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outlineLvl w:val="0"/>
        <w:rPr>
          <w:rFonts w:hint="eastAsia" w:ascii="宋体" w:hAnsi="宋体"/>
          <w:b/>
          <w:sz w:val="40"/>
          <w:szCs w:val="40"/>
          <w:highlight w:val="none"/>
          <w:lang w:eastAsia="zh-CN"/>
        </w:rPr>
      </w:pPr>
      <w:bookmarkStart w:id="0" w:name="_Toc25459"/>
    </w:p>
    <w:bookmarkEnd w:id="0"/>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outlineLvl w:val="0"/>
        <w:rPr>
          <w:rFonts w:hint="default" w:ascii="宋体" w:hAnsi="宋体" w:eastAsiaTheme="minorEastAsia"/>
          <w:b/>
          <w:color w:val="auto"/>
          <w:sz w:val="48"/>
          <w:szCs w:val="48"/>
          <w:highlight w:val="none"/>
          <w:lang w:val="en-US" w:eastAsia="zh-CN"/>
        </w:rPr>
      </w:pPr>
      <w:r>
        <w:rPr>
          <w:rFonts w:hint="eastAsia" w:ascii="宋体" w:hAnsi="宋体"/>
          <w:b/>
          <w:color w:val="auto"/>
          <w:sz w:val="48"/>
          <w:szCs w:val="48"/>
          <w:highlight w:val="none"/>
          <w:lang w:val="en-US" w:eastAsia="zh-CN"/>
        </w:rPr>
        <w:t>吉林省森林消防总队《国家综合性消防救援队伍机动力量核心攻坚能力提升工程项目》森林灭火单兵防护装备项目</w:t>
      </w:r>
    </w:p>
    <w:p>
      <w:pPr>
        <w:spacing w:line="360" w:lineRule="auto"/>
        <w:contextualSpacing/>
        <w:jc w:val="center"/>
        <w:rPr>
          <w:rFonts w:hint="eastAsia" w:ascii="宋体" w:hAnsi="宋体" w:eastAsiaTheme="minorEastAsia"/>
          <w:b/>
          <w:sz w:val="120"/>
          <w:szCs w:val="120"/>
          <w:lang w:val="en-US" w:eastAsia="zh-CN"/>
        </w:rPr>
      </w:pPr>
      <w:r>
        <w:rPr>
          <w:rFonts w:hint="eastAsia" w:ascii="宋体" w:hAnsi="宋体"/>
          <w:b/>
          <w:sz w:val="120"/>
          <w:szCs w:val="120"/>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ascii="宋体" w:hAnsi="宋体"/>
          <w:b/>
          <w:sz w:val="120"/>
          <w:szCs w:val="120"/>
        </w:rPr>
      </w:pPr>
      <w:r>
        <w:rPr>
          <w:rFonts w:hint="eastAsia" w:ascii="宋体" w:hAnsi="宋体"/>
          <w:b/>
          <w:sz w:val="120"/>
          <w:szCs w:val="120"/>
        </w:rPr>
        <w:t>招标文件</w:t>
      </w:r>
    </w:p>
    <w:p>
      <w:pPr>
        <w:autoSpaceDE w:val="0"/>
        <w:autoSpaceDN w:val="0"/>
        <w:spacing w:beforeLines="50" w:afterLines="50" w:line="360" w:lineRule="auto"/>
        <w:contextualSpacing/>
        <w:jc w:val="center"/>
        <w:outlineLvl w:val="0"/>
        <w:rPr>
          <w:rFonts w:hint="default" w:ascii="宋体" w:hAnsi="宋体" w:cs="宋体"/>
          <w:b/>
          <w:sz w:val="32"/>
          <w:szCs w:val="32"/>
          <w:highlight w:val="none"/>
          <w:lang w:val="en-US"/>
        </w:rPr>
      </w:pPr>
      <w:bookmarkStart w:id="1" w:name="_Toc7440"/>
      <w:bookmarkStart w:id="2" w:name="_Toc17018"/>
      <w:bookmarkStart w:id="3" w:name="_Toc17764"/>
      <w:r>
        <w:rPr>
          <w:rFonts w:hint="eastAsia" w:ascii="宋体" w:hAnsi="宋体" w:cs="宋体"/>
          <w:b/>
          <w:sz w:val="32"/>
          <w:szCs w:val="32"/>
          <w:highlight w:val="none"/>
          <w:lang w:val="zh-CN"/>
        </w:rPr>
        <w:t>项目编号：</w:t>
      </w:r>
      <w:bookmarkEnd w:id="1"/>
      <w:bookmarkEnd w:id="2"/>
      <w:bookmarkEnd w:id="3"/>
      <w:r>
        <w:rPr>
          <w:rFonts w:hint="eastAsia" w:ascii="宋体" w:hAnsi="宋体" w:cs="宋体"/>
          <w:b/>
          <w:sz w:val="32"/>
          <w:szCs w:val="32"/>
          <w:highlight w:val="none"/>
          <w:lang w:val="en-US" w:eastAsia="zh-CN"/>
        </w:rPr>
        <w:t>JLGY-2024-1001HW</w:t>
      </w:r>
    </w:p>
    <w:p>
      <w:pPr>
        <w:autoSpaceDE w:val="0"/>
        <w:autoSpaceDN w:val="0"/>
        <w:spacing w:beforeLines="50" w:afterLines="50" w:line="360" w:lineRule="auto"/>
        <w:contextualSpacing/>
        <w:jc w:val="center"/>
        <w:rPr>
          <w:rFonts w:ascii="宋体" w:hAnsi="宋体" w:cs="宋体"/>
          <w:b/>
          <w:sz w:val="24"/>
          <w:lang w:val="zh-CN"/>
        </w:rPr>
      </w:pPr>
    </w:p>
    <w:p>
      <w:pPr>
        <w:spacing w:line="360" w:lineRule="auto"/>
        <w:ind w:firstLine="437"/>
        <w:contextualSpacing/>
        <w:rPr>
          <w:rFonts w:ascii="宋体" w:hAnsi="宋体"/>
          <w:szCs w:val="21"/>
        </w:rPr>
      </w:pPr>
    </w:p>
    <w:p>
      <w:pPr>
        <w:spacing w:line="360" w:lineRule="auto"/>
        <w:contextualSpacing/>
        <w:rPr>
          <w:rFonts w:ascii="宋体" w:hAnsi="宋体"/>
          <w:szCs w:val="21"/>
        </w:rPr>
      </w:pPr>
    </w:p>
    <w:p>
      <w:pPr>
        <w:spacing w:line="360" w:lineRule="auto"/>
        <w:contextualSpacing/>
        <w:rPr>
          <w:rFonts w:hint="eastAsia" w:ascii="宋体" w:hAnsi="宋体"/>
          <w:szCs w:val="21"/>
          <w:lang w:val="en-US" w:eastAsia="zh-CN"/>
        </w:rPr>
      </w:pPr>
    </w:p>
    <w:p>
      <w:pPr>
        <w:spacing w:line="360" w:lineRule="auto"/>
        <w:contextualSpacing/>
        <w:rPr>
          <w:rFonts w:hint="eastAsia" w:ascii="宋体" w:hAnsi="宋体"/>
          <w:szCs w:val="21"/>
          <w:lang w:val="en-US" w:eastAsia="zh-CN"/>
        </w:rPr>
      </w:pPr>
    </w:p>
    <w:p>
      <w:pPr>
        <w:spacing w:line="360" w:lineRule="auto"/>
        <w:contextualSpacing/>
        <w:rPr>
          <w:rFonts w:ascii="宋体" w:hAnsi="宋体"/>
          <w:szCs w:val="21"/>
        </w:rPr>
      </w:pPr>
    </w:p>
    <w:p>
      <w:pPr>
        <w:spacing w:line="360" w:lineRule="auto"/>
        <w:ind w:firstLine="437"/>
        <w:contextualSpacing/>
        <w:rPr>
          <w:rFonts w:ascii="宋体" w:hAnsi="宋体"/>
          <w:szCs w:val="21"/>
        </w:rPr>
      </w:pPr>
    </w:p>
    <w:p>
      <w:pPr>
        <w:spacing w:line="360" w:lineRule="auto"/>
        <w:ind w:firstLine="723" w:firstLineChars="200"/>
        <w:contextualSpacing/>
        <w:outlineLvl w:val="0"/>
        <w:rPr>
          <w:rFonts w:hint="eastAsia" w:ascii="宋体" w:hAnsi="宋体"/>
          <w:b/>
          <w:sz w:val="36"/>
          <w:szCs w:val="36"/>
          <w:u w:val="none"/>
          <w:lang w:val="en-US" w:eastAsia="zh-CN"/>
        </w:rPr>
      </w:pPr>
      <w:bookmarkStart w:id="4" w:name="_Toc16541"/>
      <w:bookmarkStart w:id="5" w:name="_Toc25942"/>
      <w:bookmarkStart w:id="6" w:name="_Toc32756"/>
      <w:r>
        <w:rPr>
          <w:rFonts w:hint="eastAsia" w:ascii="宋体" w:hAnsi="宋体"/>
          <w:b/>
          <w:sz w:val="36"/>
          <w:szCs w:val="36"/>
          <w:u w:val="none"/>
          <w:lang w:val="en-US" w:eastAsia="zh-CN"/>
        </w:rPr>
        <w:t>采   购   人：</w:t>
      </w:r>
      <w:bookmarkEnd w:id="4"/>
      <w:bookmarkEnd w:id="5"/>
      <w:r>
        <w:rPr>
          <w:rFonts w:hint="eastAsia" w:ascii="宋体" w:hAnsi="宋体"/>
          <w:b/>
          <w:sz w:val="36"/>
          <w:szCs w:val="36"/>
          <w:u w:val="none"/>
          <w:lang w:val="en-US" w:eastAsia="zh-CN"/>
        </w:rPr>
        <w:t>吉林省森林消防总队</w:t>
      </w:r>
      <w:bookmarkEnd w:id="6"/>
    </w:p>
    <w:p>
      <w:pPr>
        <w:spacing w:line="360" w:lineRule="auto"/>
        <w:contextualSpacing/>
        <w:rPr>
          <w:rFonts w:hint="eastAsia" w:ascii="宋体" w:hAnsi="宋体" w:eastAsiaTheme="minorEastAsia"/>
          <w:b/>
          <w:sz w:val="36"/>
          <w:szCs w:val="36"/>
          <w:lang w:val="en-US" w:eastAsia="zh-CN"/>
        </w:rPr>
      </w:pPr>
    </w:p>
    <w:p>
      <w:pPr>
        <w:spacing w:line="360" w:lineRule="auto"/>
        <w:ind w:left="718" w:leftChars="342"/>
        <w:contextualSpacing/>
        <w:jc w:val="center"/>
        <w:rPr>
          <w:rFonts w:ascii="宋体" w:hAnsi="宋体"/>
          <w:b/>
          <w:sz w:val="36"/>
          <w:szCs w:val="36"/>
          <w:u w:val="single"/>
        </w:rPr>
      </w:pPr>
    </w:p>
    <w:p>
      <w:pPr>
        <w:spacing w:line="360" w:lineRule="auto"/>
        <w:ind w:firstLine="723" w:firstLineChars="200"/>
        <w:contextualSpacing/>
        <w:outlineLvl w:val="0"/>
        <w:rPr>
          <w:rFonts w:hint="eastAsia" w:ascii="宋体" w:hAnsi="宋体"/>
          <w:b/>
          <w:sz w:val="36"/>
          <w:szCs w:val="36"/>
          <w:u w:val="none"/>
          <w:lang w:eastAsia="zh-CN"/>
        </w:rPr>
      </w:pPr>
      <w:bookmarkStart w:id="7" w:name="_Toc12065"/>
      <w:bookmarkStart w:id="8" w:name="_Toc1968"/>
      <w:r>
        <w:rPr>
          <w:rFonts w:hint="eastAsia" w:ascii="宋体" w:hAnsi="宋体"/>
          <w:b/>
          <w:sz w:val="36"/>
          <w:szCs w:val="36"/>
          <w:u w:val="none"/>
          <w:lang w:eastAsia="zh-CN"/>
        </w:rPr>
        <w:t>采购代理机构：</w:t>
      </w:r>
      <w:bookmarkEnd w:id="7"/>
      <w:r>
        <w:rPr>
          <w:rFonts w:hint="eastAsia" w:ascii="宋体" w:hAnsi="宋体"/>
          <w:b/>
          <w:sz w:val="36"/>
          <w:szCs w:val="36"/>
          <w:u w:val="none"/>
          <w:lang w:val="en-US" w:eastAsia="zh-CN"/>
        </w:rPr>
        <w:t>吉林省光宇工程项目管理咨询有限公司</w:t>
      </w:r>
      <w:bookmarkEnd w:id="8"/>
    </w:p>
    <w:p>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rPr>
          <w:rFonts w:hint="eastAsia" w:ascii="宋体" w:hAnsi="宋体"/>
          <w:b/>
          <w:color w:val="000000"/>
          <w:sz w:val="36"/>
          <w:szCs w:val="36"/>
        </w:rPr>
      </w:pPr>
    </w:p>
    <w:p>
      <w:pPr>
        <w:keepNext w:val="0"/>
        <w:keepLines w:val="0"/>
        <w:pageBreakBefore w:val="0"/>
        <w:widowControl w:val="0"/>
        <w:kinsoku/>
        <w:wordWrap/>
        <w:overflowPunct/>
        <w:topLinePunct w:val="0"/>
        <w:autoSpaceDE/>
        <w:autoSpaceDN/>
        <w:bidi w:val="0"/>
        <w:adjustRightInd/>
        <w:snapToGrid/>
        <w:spacing w:line="480" w:lineRule="auto"/>
        <w:ind w:firstLine="435"/>
        <w:contextualSpacing/>
        <w:jc w:val="center"/>
        <w:textAlignment w:val="auto"/>
        <w:rPr>
          <w:rFonts w:ascii="宋体" w:hAnsi="宋体"/>
        </w:rPr>
        <w:sectPr>
          <w:headerReference r:id="rId3" w:type="default"/>
          <w:footerReference r:id="rId4" w:type="default"/>
          <w:footerReference r:id="rId5" w:type="even"/>
          <w:pgSz w:w="11906" w:h="16838"/>
          <w:pgMar w:top="1440" w:right="1080" w:bottom="1440" w:left="1080" w:header="851" w:footer="992" w:gutter="0"/>
          <w:pgBorders>
            <w:top w:val="none" w:sz="0" w:space="0"/>
            <w:left w:val="none" w:sz="0" w:space="0"/>
            <w:bottom w:val="none" w:sz="0" w:space="0"/>
            <w:right w:val="none" w:sz="0" w:space="0"/>
          </w:pgBorders>
          <w:pgNumType w:start="0"/>
          <w:cols w:space="720" w:num="1"/>
          <w:titlePg/>
          <w:docGrid w:linePitch="312" w:charSpace="0"/>
        </w:sectPr>
      </w:pPr>
      <w:r>
        <w:rPr>
          <w:rFonts w:hint="eastAsia" w:ascii="宋体" w:hAnsi="宋体"/>
          <w:b/>
          <w:color w:val="000000"/>
          <w:sz w:val="36"/>
          <w:szCs w:val="36"/>
          <w:highlight w:val="none"/>
        </w:rPr>
        <w:t>二〇二</w:t>
      </w:r>
      <w:r>
        <w:rPr>
          <w:rFonts w:hint="eastAsia" w:ascii="宋体" w:hAnsi="宋体"/>
          <w:b/>
          <w:color w:val="000000"/>
          <w:sz w:val="36"/>
          <w:szCs w:val="36"/>
          <w:highlight w:val="none"/>
          <w:lang w:val="en-US" w:eastAsia="zh-CN"/>
        </w:rPr>
        <w:t>四</w:t>
      </w:r>
      <w:r>
        <w:rPr>
          <w:rFonts w:hint="eastAsia" w:ascii="宋体" w:hAnsi="宋体"/>
          <w:b/>
          <w:color w:val="000000"/>
          <w:sz w:val="36"/>
          <w:szCs w:val="36"/>
          <w:highlight w:val="none"/>
        </w:rPr>
        <w:t>年</w:t>
      </w:r>
      <w:r>
        <w:rPr>
          <w:rFonts w:hint="eastAsia" w:ascii="宋体" w:hAnsi="宋体"/>
          <w:b/>
          <w:color w:val="000000"/>
          <w:sz w:val="36"/>
          <w:szCs w:val="36"/>
          <w:highlight w:val="none"/>
          <w:lang w:val="en-US" w:eastAsia="zh-CN"/>
        </w:rPr>
        <w:t>六</w:t>
      </w:r>
      <w:r>
        <w:rPr>
          <w:rFonts w:hint="eastAsia" w:ascii="宋体" w:hAnsi="宋体"/>
          <w:b/>
          <w:color w:val="000000"/>
          <w:sz w:val="36"/>
          <w:szCs w:val="36"/>
          <w:highlight w:val="none"/>
        </w:rPr>
        <w:t>月</w:t>
      </w:r>
      <w:r>
        <w:rPr>
          <w:rFonts w:ascii="宋体" w:hAnsi="宋体"/>
          <w:b/>
          <w:sz w:val="32"/>
          <w:szCs w:val="32"/>
        </w:rPr>
        <w:br w:type="page"/>
      </w:r>
    </w:p>
    <w:sdt>
      <w:sdtPr>
        <w:rPr>
          <w:rFonts w:ascii="宋体" w:hAnsi="宋体" w:eastAsia="宋体" w:cstheme="minorBidi"/>
          <w:kern w:val="2"/>
          <w:sz w:val="44"/>
          <w:szCs w:val="52"/>
          <w:lang w:val="en-US" w:eastAsia="zh-CN" w:bidi="ar-SA"/>
        </w:rPr>
        <w:id w:val="147454203"/>
        <w15:color w:val="DBDBDB"/>
        <w:docPartObj>
          <w:docPartGallery w:val="Table of Contents"/>
          <w:docPartUnique/>
        </w:docPartObj>
      </w:sdtPr>
      <w:sdtEndPr>
        <w:rPr>
          <w:rFonts w:ascii="宋体" w:hAnsi="宋体" w:eastAsia="宋体" w:cstheme="minorBidi"/>
          <w:kern w:val="2"/>
          <w:sz w:val="44"/>
          <w:szCs w:val="52"/>
          <w:lang w:val="en-US" w:eastAsia="zh-CN" w:bidi="ar-SA"/>
        </w:rPr>
      </w:sdtEndPr>
      <w:sdtContent>
        <w:p>
          <w:pPr>
            <w:spacing w:before="0" w:beforeLines="0" w:after="0" w:afterLines="0" w:line="240" w:lineRule="auto"/>
            <w:ind w:left="0" w:leftChars="0" w:right="0" w:rightChars="0" w:firstLine="0" w:firstLineChars="0"/>
            <w:jc w:val="center"/>
            <w:rPr>
              <w:sz w:val="24"/>
              <w:szCs w:val="24"/>
            </w:rPr>
          </w:pPr>
          <w:bookmarkStart w:id="9" w:name="_Toc15703"/>
          <w:r>
            <w:rPr>
              <w:rFonts w:ascii="宋体" w:hAnsi="宋体" w:eastAsia="宋体"/>
              <w:sz w:val="24"/>
              <w:szCs w:val="24"/>
            </w:rPr>
            <w:t>目</w:t>
          </w:r>
          <w:r>
            <w:rPr>
              <w:rFonts w:hint="eastAsia" w:ascii="宋体" w:hAnsi="宋体" w:eastAsia="宋体"/>
              <w:sz w:val="24"/>
              <w:szCs w:val="24"/>
              <w:lang w:val="en-US" w:eastAsia="zh-CN"/>
            </w:rPr>
            <w:t xml:space="preserve">  </w:t>
          </w:r>
          <w:r>
            <w:rPr>
              <w:rFonts w:ascii="宋体" w:hAnsi="宋体" w:eastAsia="宋体"/>
              <w:sz w:val="24"/>
              <w:szCs w:val="24"/>
            </w:rPr>
            <w:t>录</w:t>
          </w:r>
        </w:p>
        <w:p>
          <w:pPr>
            <w:pStyle w:val="58"/>
            <w:tabs>
              <w:tab w:val="right" w:leader="dot" w:pos="9073"/>
            </w:tabs>
            <w:rPr>
              <w:sz w:val="24"/>
              <w:szCs w:val="24"/>
            </w:rPr>
          </w:pPr>
          <w:r>
            <w:rPr>
              <w:sz w:val="24"/>
              <w:szCs w:val="24"/>
            </w:rPr>
            <w:fldChar w:fldCharType="begin"/>
          </w:r>
          <w:r>
            <w:rPr>
              <w:sz w:val="24"/>
              <w:szCs w:val="24"/>
            </w:rPr>
            <w:instrText xml:space="preserve">TOC \o "1-3" \h \u </w:instrText>
          </w:r>
          <w:r>
            <w:rPr>
              <w:sz w:val="24"/>
              <w:szCs w:val="24"/>
            </w:rPr>
            <w:fldChar w:fldCharType="separate"/>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_Toc19253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招标</w:t>
          </w:r>
          <w:r>
            <w:rPr>
              <w:rFonts w:hint="eastAsia" w:ascii="宋体" w:hAnsi="宋体" w:eastAsia="宋体" w:cs="宋体"/>
              <w:sz w:val="24"/>
              <w:szCs w:val="24"/>
            </w:rPr>
            <w:t>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_Toc19253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_Toc5695 </w:instrText>
          </w:r>
          <w:r>
            <w:rPr>
              <w:rFonts w:hint="eastAsia" w:ascii="宋体" w:hAnsi="宋体" w:eastAsia="宋体" w:cs="宋体"/>
              <w:sz w:val="24"/>
              <w:szCs w:val="24"/>
            </w:rPr>
            <w:fldChar w:fldCharType="separate"/>
          </w:r>
          <w:r>
            <w:rPr>
              <w:rFonts w:hint="eastAsia" w:ascii="宋体" w:hAnsi="宋体" w:eastAsia="宋体" w:cs="宋体"/>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_Toc5695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_Toc1279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评标办法（综合评分法）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_Toc1279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_Toc28640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_Toc28640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_Toc21332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第五章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_Toc21332 \h </w:instrText>
          </w:r>
          <w:r>
            <w:rPr>
              <w:rFonts w:hint="eastAsia" w:ascii="宋体" w:hAnsi="宋体" w:eastAsia="宋体" w:cs="宋体"/>
              <w:sz w:val="24"/>
              <w:szCs w:val="24"/>
            </w:rPr>
            <w:fldChar w:fldCharType="separate"/>
          </w:r>
          <w:r>
            <w:rPr>
              <w:rFonts w:hint="eastAsia" w:ascii="宋体" w:hAnsi="宋体" w:eastAsia="宋体" w:cs="宋体"/>
              <w:sz w:val="24"/>
              <w:szCs w:val="24"/>
            </w:rPr>
            <w:t>77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_Toc1340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_Toc1340 \h </w:instrText>
          </w:r>
          <w:r>
            <w:rPr>
              <w:rFonts w:hint="eastAsia" w:ascii="宋体" w:hAnsi="宋体" w:eastAsia="宋体" w:cs="宋体"/>
              <w:sz w:val="24"/>
              <w:szCs w:val="24"/>
            </w:rPr>
            <w:fldChar w:fldCharType="separate"/>
          </w:r>
          <w:r>
            <w:rPr>
              <w:rFonts w:hint="eastAsia" w:ascii="宋体" w:hAnsi="宋体" w:eastAsia="宋体" w:cs="宋体"/>
              <w:sz w:val="24"/>
              <w:szCs w:val="24"/>
            </w:rPr>
            <w:t>93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8"/>
            <w:keepNext w:val="0"/>
            <w:keepLines w:val="0"/>
            <w:pageBreakBefore w:val="0"/>
            <w:widowControl/>
            <w:tabs>
              <w:tab w:val="right" w:leader="dot" w:pos="9073"/>
            </w:tabs>
            <w:kinsoku/>
            <w:wordWrap/>
            <w:overflowPunct/>
            <w:topLinePunct w:val="0"/>
            <w:autoSpaceDE/>
            <w:autoSpaceDN/>
            <w:bidi w:val="0"/>
            <w:adjustRightInd/>
            <w:snapToGrid/>
            <w:spacing w:line="110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_Toc14494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第七章 招标文件附件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_Toc14494 \h </w:instrText>
          </w:r>
          <w:r>
            <w:rPr>
              <w:rFonts w:hint="eastAsia" w:ascii="宋体" w:hAnsi="宋体" w:eastAsia="宋体" w:cs="宋体"/>
              <w:sz w:val="24"/>
              <w:szCs w:val="24"/>
            </w:rPr>
            <w:fldChar w:fldCharType="separate"/>
          </w:r>
          <w:r>
            <w:rPr>
              <w:rFonts w:hint="eastAsia" w:ascii="宋体" w:hAnsi="宋体" w:eastAsia="宋体" w:cs="宋体"/>
              <w:sz w:val="24"/>
              <w:szCs w:val="24"/>
            </w:rPr>
            <w:t>127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r>
            <w:rPr>
              <w:sz w:val="24"/>
              <w:szCs w:val="24"/>
            </w:rPr>
            <w:fldChar w:fldCharType="end"/>
          </w:r>
        </w:p>
      </w:sdtContent>
    </w:sdt>
    <w:p>
      <w:pPr>
        <w:pStyle w:val="2"/>
        <w:bidi w:val="0"/>
        <w:rPr>
          <w:rFonts w:hint="eastAsia"/>
        </w:rPr>
        <w:sectPr>
          <w:headerReference r:id="rId6" w:type="default"/>
          <w:footerReference r:id="rId7" w:type="default"/>
          <w:pgSz w:w="11907" w:h="16840"/>
          <w:pgMar w:top="1701" w:right="1417" w:bottom="1134" w:left="1417" w:header="851" w:footer="992" w:gutter="0"/>
          <w:paperSrc w:first="15" w:other="15"/>
          <w:pgNumType w:fmt="decimal" w:start="1"/>
          <w:cols w:space="720" w:num="1"/>
          <w:docGrid w:linePitch="326" w:charSpace="0"/>
        </w:sectPr>
      </w:pPr>
      <w:bookmarkStart w:id="10" w:name="_Toc19253"/>
    </w:p>
    <w:p>
      <w:pPr>
        <w:pStyle w:val="2"/>
        <w:bidi w:val="0"/>
        <w:rPr>
          <w:rFonts w:hint="eastAsia"/>
        </w:rPr>
      </w:pPr>
      <w:r>
        <w:rPr>
          <w:rFonts w:hint="eastAsia"/>
        </w:rPr>
        <w:t>第一章</w:t>
      </w:r>
      <w:bookmarkStart w:id="11" w:name="OLE_LINK1"/>
      <w:r>
        <w:rPr>
          <w:rFonts w:hint="eastAsia"/>
          <w:lang w:val="en-US" w:eastAsia="zh-CN"/>
        </w:rPr>
        <w:t xml:space="preserve"> </w:t>
      </w:r>
      <w:bookmarkEnd w:id="11"/>
      <w:r>
        <w:rPr>
          <w:rFonts w:hint="eastAsia"/>
          <w:lang w:eastAsia="zh-CN"/>
        </w:rPr>
        <w:t>招标</w:t>
      </w:r>
      <w:r>
        <w:rPr>
          <w:rFonts w:hint="eastAsia"/>
        </w:rPr>
        <w:t>公告</w:t>
      </w:r>
      <w:bookmarkEnd w:id="9"/>
      <w:bookmarkEnd w:id="10"/>
    </w:p>
    <w:p>
      <w:pPr>
        <w:keepNext w:val="0"/>
        <w:keepLines w:val="0"/>
        <w:pageBreakBefore w:val="0"/>
        <w:widowControl w:val="0"/>
        <w:pBdr>
          <w:top w:val="single" w:color="auto" w:sz="4" w:space="1"/>
          <w:left w:val="single" w:color="auto" w:sz="4" w:space="4"/>
          <w:bottom w:val="single" w:color="auto" w:sz="4" w:space="2"/>
          <w:right w:val="single" w:color="auto" w:sz="4" w:space="3"/>
        </w:pBdr>
        <w:tabs>
          <w:tab w:val="left" w:pos="432"/>
        </w:tabs>
        <w:kinsoku/>
        <w:wordWrap/>
        <w:overflowPunct/>
        <w:topLinePunct w:val="0"/>
        <w:autoSpaceDE/>
        <w:autoSpaceDN/>
        <w:bidi w:val="0"/>
        <w:adjustRightInd/>
        <w:snapToGrid/>
        <w:spacing w:line="310" w:lineRule="exact"/>
        <w:ind w:left="0" w:firstLine="480" w:firstLineChars="200"/>
        <w:jc w:val="both"/>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项目概况</w:t>
      </w:r>
    </w:p>
    <w:p>
      <w:pPr>
        <w:keepNext w:val="0"/>
        <w:keepLines w:val="0"/>
        <w:pageBreakBefore w:val="0"/>
        <w:widowControl w:val="0"/>
        <w:pBdr>
          <w:top w:val="single" w:color="auto" w:sz="4" w:space="1"/>
          <w:left w:val="single" w:color="auto" w:sz="4" w:space="4"/>
          <w:bottom w:val="single" w:color="auto" w:sz="4" w:space="2"/>
          <w:right w:val="single" w:color="auto" w:sz="4" w:space="3"/>
        </w:pBdr>
        <w:tabs>
          <w:tab w:val="left" w:pos="432"/>
        </w:tabs>
        <w:kinsoku/>
        <w:wordWrap w:val="0"/>
        <w:overflowPunct/>
        <w:topLinePunct w:val="0"/>
        <w:autoSpaceDE/>
        <w:autoSpaceDN/>
        <w:bidi w:val="0"/>
        <w:adjustRightInd/>
        <w:snapToGrid/>
        <w:spacing w:line="310" w:lineRule="exact"/>
        <w:ind w:firstLine="480" w:firstLineChars="200"/>
        <w:jc w:val="left"/>
        <w:textAlignment w:val="auto"/>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u w:val="single"/>
          <w:lang w:val="en-US" w:eastAsia="zh-CN"/>
        </w:rPr>
        <w:t>吉林省森林消防总队《国家综合性消防救援队伍机动力量核心攻坚能力提升工程项目》森林灭火单兵防护装备项目</w:t>
      </w:r>
      <w:r>
        <w:rPr>
          <w:rFonts w:hint="eastAsia" w:ascii="宋体" w:hAnsi="宋体" w:eastAsia="宋体" w:cs="宋体"/>
          <w:sz w:val="24"/>
          <w:szCs w:val="24"/>
          <w:highlight w:val="none"/>
          <w:u w:val="none"/>
          <w:lang w:val="en-US" w:eastAsia="zh-CN"/>
        </w:rPr>
        <w:t>的</w:t>
      </w:r>
      <w:r>
        <w:rPr>
          <w:rFonts w:hint="eastAsia" w:ascii="宋体" w:hAnsi="宋体" w:eastAsia="宋体" w:cs="宋体"/>
          <w:kern w:val="2"/>
          <w:sz w:val="24"/>
          <w:szCs w:val="24"/>
          <w:highlight w:val="none"/>
          <w:lang w:eastAsia="zh-CN"/>
        </w:rPr>
        <w:t>潜在</w:t>
      </w:r>
      <w:r>
        <w:rPr>
          <w:rFonts w:hint="eastAsia" w:ascii="宋体" w:hAnsi="宋体" w:eastAsia="宋体" w:cs="宋体"/>
          <w:kern w:val="2"/>
          <w:sz w:val="24"/>
          <w:szCs w:val="24"/>
          <w:highlight w:val="none"/>
          <w:lang w:val="en-US" w:eastAsia="zh-CN"/>
        </w:rPr>
        <w:t>投标人</w:t>
      </w:r>
      <w:r>
        <w:rPr>
          <w:rFonts w:hint="eastAsia" w:ascii="宋体" w:hAnsi="宋体" w:eastAsia="宋体" w:cs="宋体"/>
          <w:kern w:val="2"/>
          <w:sz w:val="24"/>
          <w:szCs w:val="24"/>
          <w:highlight w:val="none"/>
          <w:lang w:eastAsia="zh-CN"/>
        </w:rPr>
        <w:t>应在</w:t>
      </w:r>
      <w:r>
        <w:rPr>
          <w:rFonts w:hint="eastAsia" w:ascii="宋体" w:hAnsi="宋体" w:eastAsia="宋体" w:cs="宋体"/>
          <w:kern w:val="2"/>
          <w:sz w:val="24"/>
          <w:szCs w:val="24"/>
          <w:highlight w:val="none"/>
          <w:u w:val="single"/>
          <w:lang w:val="en-US" w:eastAsia="zh-CN"/>
        </w:rPr>
        <w:t>吉林省光宇工程项目管理咨询有限公司</w:t>
      </w:r>
      <w:r>
        <w:rPr>
          <w:rFonts w:hint="eastAsia" w:ascii="宋体" w:hAnsi="宋体" w:eastAsia="宋体" w:cs="宋体"/>
          <w:kern w:val="2"/>
          <w:sz w:val="24"/>
          <w:szCs w:val="24"/>
          <w:highlight w:val="none"/>
          <w:lang w:eastAsia="zh-CN"/>
        </w:rPr>
        <w:t>获取</w:t>
      </w:r>
      <w:r>
        <w:rPr>
          <w:rFonts w:hint="eastAsia" w:ascii="宋体" w:hAnsi="宋体" w:eastAsia="宋体" w:cs="宋体"/>
          <w:kern w:val="2"/>
          <w:sz w:val="24"/>
          <w:szCs w:val="24"/>
          <w:highlight w:val="none"/>
          <w:lang w:val="en-US" w:eastAsia="zh-CN"/>
        </w:rPr>
        <w:t>招标</w:t>
      </w:r>
      <w:r>
        <w:rPr>
          <w:rFonts w:hint="eastAsia" w:ascii="宋体" w:hAnsi="宋体" w:eastAsia="宋体" w:cs="宋体"/>
          <w:kern w:val="2"/>
          <w:sz w:val="24"/>
          <w:szCs w:val="24"/>
          <w:highlight w:val="none"/>
          <w:lang w:eastAsia="zh-CN"/>
        </w:rPr>
        <w:t>文件，并于</w:t>
      </w:r>
      <w:r>
        <w:rPr>
          <w:rFonts w:hint="eastAsia" w:ascii="宋体" w:hAnsi="宋体" w:eastAsia="宋体" w:cs="宋体"/>
          <w:kern w:val="2"/>
          <w:sz w:val="24"/>
          <w:szCs w:val="24"/>
          <w:highlight w:val="none"/>
          <w:u w:val="single"/>
          <w:lang w:eastAsia="zh-CN"/>
        </w:rPr>
        <w:t>202</w:t>
      </w:r>
      <w:r>
        <w:rPr>
          <w:rFonts w:hint="eastAsia" w:ascii="宋体" w:hAnsi="宋体" w:eastAsia="宋体" w:cs="宋体"/>
          <w:kern w:val="2"/>
          <w:sz w:val="24"/>
          <w:szCs w:val="24"/>
          <w:highlight w:val="none"/>
          <w:u w:val="single"/>
          <w:lang w:val="en-US" w:eastAsia="zh-CN"/>
        </w:rPr>
        <w:t>4</w:t>
      </w:r>
      <w:r>
        <w:rPr>
          <w:rFonts w:hint="eastAsia" w:ascii="宋体" w:hAnsi="宋体" w:eastAsia="宋体" w:cs="宋体"/>
          <w:kern w:val="2"/>
          <w:sz w:val="24"/>
          <w:szCs w:val="24"/>
          <w:highlight w:val="none"/>
          <w:u w:val="single"/>
          <w:lang w:eastAsia="zh-CN"/>
        </w:rPr>
        <w:t>年</w:t>
      </w:r>
      <w:r>
        <w:rPr>
          <w:rFonts w:hint="eastAsia" w:ascii="宋体" w:hAnsi="宋体" w:eastAsia="宋体" w:cs="宋体"/>
          <w:kern w:val="2"/>
          <w:sz w:val="24"/>
          <w:szCs w:val="24"/>
          <w:highlight w:val="none"/>
          <w:u w:val="single"/>
          <w:lang w:val="en-US" w:eastAsia="zh-CN"/>
        </w:rPr>
        <w:t>7</w:t>
      </w:r>
      <w:r>
        <w:rPr>
          <w:rFonts w:hint="eastAsia" w:ascii="宋体" w:hAnsi="宋体" w:eastAsia="宋体" w:cs="宋体"/>
          <w:kern w:val="2"/>
          <w:sz w:val="24"/>
          <w:szCs w:val="24"/>
          <w:highlight w:val="none"/>
          <w:u w:val="single"/>
          <w:lang w:eastAsia="zh-CN"/>
        </w:rPr>
        <w:t>月</w:t>
      </w:r>
      <w:r>
        <w:rPr>
          <w:rFonts w:hint="eastAsia" w:ascii="宋体" w:hAnsi="宋体" w:eastAsia="宋体" w:cs="宋体"/>
          <w:kern w:val="2"/>
          <w:sz w:val="24"/>
          <w:szCs w:val="24"/>
          <w:highlight w:val="none"/>
          <w:u w:val="single"/>
          <w:lang w:val="en-US" w:eastAsia="zh-CN"/>
        </w:rPr>
        <w:t>15</w:t>
      </w:r>
      <w:r>
        <w:rPr>
          <w:rFonts w:hint="eastAsia" w:ascii="宋体" w:hAnsi="宋体" w:eastAsia="宋体" w:cs="宋体"/>
          <w:kern w:val="2"/>
          <w:sz w:val="24"/>
          <w:szCs w:val="24"/>
          <w:highlight w:val="none"/>
          <w:u w:val="single"/>
          <w:lang w:eastAsia="zh-CN"/>
        </w:rPr>
        <w:t>日9时</w:t>
      </w:r>
      <w:r>
        <w:rPr>
          <w:rFonts w:hint="eastAsia" w:ascii="宋体" w:hAnsi="宋体" w:eastAsia="宋体" w:cs="宋体"/>
          <w:kern w:val="2"/>
          <w:sz w:val="24"/>
          <w:szCs w:val="24"/>
          <w:highlight w:val="none"/>
          <w:u w:val="single"/>
          <w:lang w:val="en-US" w:eastAsia="zh-CN"/>
        </w:rPr>
        <w:t>0</w:t>
      </w:r>
      <w:r>
        <w:rPr>
          <w:rFonts w:hint="eastAsia" w:ascii="宋体" w:hAnsi="宋体" w:eastAsia="宋体" w:cs="宋体"/>
          <w:kern w:val="2"/>
          <w:sz w:val="24"/>
          <w:szCs w:val="24"/>
          <w:highlight w:val="none"/>
          <w:u w:val="single"/>
          <w:lang w:eastAsia="zh-CN"/>
        </w:rPr>
        <w:t>0分</w:t>
      </w:r>
      <w:r>
        <w:rPr>
          <w:rFonts w:hint="eastAsia" w:ascii="宋体" w:hAnsi="宋体" w:eastAsia="宋体" w:cs="宋体"/>
          <w:kern w:val="2"/>
          <w:sz w:val="24"/>
          <w:szCs w:val="24"/>
          <w:highlight w:val="none"/>
          <w:lang w:eastAsia="zh-CN"/>
        </w:rPr>
        <w:t>（</w:t>
      </w:r>
      <w:r>
        <w:rPr>
          <w:rFonts w:hint="eastAsia" w:ascii="宋体" w:hAnsi="宋体" w:eastAsia="宋体" w:cs="宋体"/>
          <w:bCs/>
          <w:kern w:val="2"/>
          <w:sz w:val="24"/>
          <w:szCs w:val="24"/>
          <w:highlight w:val="none"/>
          <w:lang w:eastAsia="zh-CN"/>
        </w:rPr>
        <w:t>北京时间）前提交投标文件</w:t>
      </w:r>
      <w:r>
        <w:rPr>
          <w:rFonts w:hint="eastAsia" w:ascii="宋体" w:hAnsi="宋体" w:eastAsia="宋体" w:cs="宋体"/>
          <w:kern w:val="2"/>
          <w:sz w:val="24"/>
          <w:szCs w:val="24"/>
          <w:highlight w:val="none"/>
          <w:lang w:eastAsia="zh-CN"/>
        </w:rPr>
        <w:t>。</w:t>
      </w:r>
    </w:p>
    <w:p>
      <w:pPr>
        <w:tabs>
          <w:tab w:val="left" w:pos="432"/>
        </w:tabs>
        <w:spacing w:line="310" w:lineRule="exact"/>
        <w:ind w:left="432" w:hanging="432"/>
        <w:jc w:val="both"/>
        <w:outlineLvl w:val="1"/>
        <w:rPr>
          <w:rFonts w:hint="eastAsia" w:ascii="宋体" w:hAnsi="宋体" w:eastAsia="宋体" w:cs="宋体"/>
          <w:b/>
          <w:kern w:val="2"/>
          <w:sz w:val="24"/>
          <w:szCs w:val="24"/>
          <w:highlight w:val="none"/>
          <w:lang w:eastAsia="zh-CN"/>
        </w:rPr>
      </w:pPr>
      <w:bookmarkStart w:id="12" w:name="_Toc35393629"/>
      <w:bookmarkStart w:id="13" w:name="_Toc35393798"/>
      <w:bookmarkStart w:id="14" w:name="_Toc28359089"/>
      <w:bookmarkStart w:id="15" w:name="_Toc28359012"/>
      <w:bookmarkStart w:id="16" w:name="_Toc23205"/>
      <w:r>
        <w:rPr>
          <w:rFonts w:hint="eastAsia" w:ascii="宋体" w:hAnsi="宋体" w:eastAsia="宋体" w:cs="宋体"/>
          <w:b/>
          <w:kern w:val="2"/>
          <w:sz w:val="24"/>
          <w:szCs w:val="24"/>
          <w:highlight w:val="none"/>
          <w:lang w:eastAsia="zh-CN"/>
        </w:rPr>
        <w:t>一、项目基本情况</w:t>
      </w:r>
      <w:bookmarkEnd w:id="12"/>
      <w:bookmarkEnd w:id="13"/>
      <w:bookmarkEnd w:id="14"/>
      <w:bookmarkEnd w:id="15"/>
      <w:bookmarkEnd w:id="16"/>
    </w:p>
    <w:p>
      <w:pPr>
        <w:tabs>
          <w:tab w:val="left" w:pos="432"/>
        </w:tabs>
        <w:spacing w:line="310" w:lineRule="exact"/>
        <w:ind w:firstLine="431"/>
        <w:jc w:val="both"/>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eastAsia="zh-CN"/>
        </w:rPr>
        <w:t>1</w:t>
      </w:r>
      <w:r>
        <w:rPr>
          <w:rFonts w:hint="eastAsia" w:ascii="宋体" w:hAnsi="宋体" w:eastAsia="宋体" w:cs="宋体"/>
          <w:kern w:val="2"/>
          <w:sz w:val="24"/>
          <w:szCs w:val="24"/>
          <w:highlight w:val="none"/>
          <w:lang w:val="en-US" w:eastAsia="zh-CN"/>
        </w:rPr>
        <w:t>.项目编号：JLGY-2024-1001HW。</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2.项目名称：</w:t>
      </w:r>
      <w:r>
        <w:rPr>
          <w:rFonts w:hint="eastAsia" w:ascii="宋体" w:hAnsi="宋体" w:eastAsia="宋体" w:cs="宋体"/>
          <w:sz w:val="24"/>
          <w:szCs w:val="24"/>
          <w:highlight w:val="none"/>
          <w:u w:val="none"/>
          <w:lang w:val="en-US" w:eastAsia="zh-CN"/>
        </w:rPr>
        <w:t>吉林省森林消防总队《国家综合性消防救援队伍机动力量核心攻坚能力提升工程项目》森林灭火单兵防护装备项目</w:t>
      </w:r>
      <w:r>
        <w:rPr>
          <w:rFonts w:hint="eastAsia" w:ascii="宋体" w:hAnsi="宋体" w:eastAsia="宋体" w:cs="宋体"/>
          <w:kern w:val="2"/>
          <w:sz w:val="24"/>
          <w:szCs w:val="24"/>
          <w:highlight w:val="none"/>
          <w:lang w:val="en-US" w:eastAsia="zh-CN"/>
        </w:rPr>
        <w:t>。</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3.预算金额：2551.33125万元（总预算）；其中1包：</w:t>
      </w:r>
      <w:r>
        <w:rPr>
          <w:rFonts w:hint="eastAsia" w:ascii="宋体" w:hAnsi="宋体" w:eastAsia="宋体" w:cs="宋体"/>
          <w:color w:val="auto"/>
          <w:kern w:val="2"/>
          <w:sz w:val="24"/>
          <w:szCs w:val="24"/>
          <w:highlight w:val="none"/>
          <w:vertAlign w:val="baseline"/>
          <w:lang w:val="en-US" w:eastAsia="zh-CN"/>
        </w:rPr>
        <w:t>377.6625万元；2包：147.825万元；3包：1371.2625万元；4包：198.45万元；5包：139.55625万元；6包：241.3125万元；7包：75.2625万元</w:t>
      </w:r>
      <w:r>
        <w:rPr>
          <w:rFonts w:hint="eastAsia" w:ascii="宋体" w:hAnsi="宋体" w:eastAsia="宋体" w:cs="宋体"/>
          <w:kern w:val="2"/>
          <w:sz w:val="24"/>
          <w:szCs w:val="24"/>
          <w:highlight w:val="none"/>
          <w:lang w:val="en-US" w:eastAsia="zh-CN"/>
        </w:rPr>
        <w:t>。</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4.标段划分：</w:t>
      </w:r>
    </w:p>
    <w:tbl>
      <w:tblPr>
        <w:tblStyle w:val="26"/>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2083"/>
        <w:gridCol w:w="1229"/>
        <w:gridCol w:w="2379"/>
        <w:gridCol w:w="838"/>
        <w:gridCol w:w="1005"/>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291"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项目标段</w:t>
            </w:r>
          </w:p>
        </w:tc>
        <w:tc>
          <w:tcPr>
            <w:tcW w:w="2083"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标段名称</w:t>
            </w:r>
          </w:p>
        </w:tc>
        <w:tc>
          <w:tcPr>
            <w:tcW w:w="122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标段编号</w:t>
            </w: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采购数量</w:t>
            </w:r>
          </w:p>
        </w:tc>
        <w:tc>
          <w:tcPr>
            <w:tcW w:w="838" w:type="dxa"/>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最高限价单价（万元）</w:t>
            </w:r>
          </w:p>
        </w:tc>
        <w:tc>
          <w:tcPr>
            <w:tcW w:w="1916" w:type="dxa"/>
            <w:gridSpan w:val="2"/>
          </w:tcPr>
          <w:p>
            <w:pPr>
              <w:tabs>
                <w:tab w:val="left" w:pos="432"/>
              </w:tabs>
              <w:spacing w:line="310" w:lineRule="exact"/>
              <w:jc w:val="both"/>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291"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1包</w:t>
            </w:r>
          </w:p>
        </w:tc>
        <w:tc>
          <w:tcPr>
            <w:tcW w:w="2083" w:type="dxa"/>
            <w:vMerge w:val="restart"/>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吉林省森林消防总队《国家综合性消防救援队伍机动力量核心攻坚能力提升工程项目》森林灭火单兵防护装备项目（1包：森林灭火防护头盔、佩戴式头灯）</w:t>
            </w:r>
          </w:p>
        </w:tc>
        <w:tc>
          <w:tcPr>
            <w:tcW w:w="1229"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JLGY-2024-1001HW（1）</w:t>
            </w: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森林灭火防护头盔：</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0.0829</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279.7875</w:t>
            </w:r>
          </w:p>
        </w:tc>
        <w:tc>
          <w:tcPr>
            <w:tcW w:w="911" w:type="dxa"/>
            <w:vMerge w:val="restart"/>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合计：377.6625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291"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83" w:type="dxa"/>
            <w:vMerge w:val="continue"/>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229"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佩戴式头灯：3375套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0.029</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97.875</w:t>
            </w:r>
          </w:p>
        </w:tc>
        <w:tc>
          <w:tcPr>
            <w:tcW w:w="911"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291"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2包</w:t>
            </w:r>
          </w:p>
        </w:tc>
        <w:tc>
          <w:tcPr>
            <w:tcW w:w="208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吉林省森林消防总队《国家综合性消防救援队伍机动力量核心攻坚能力提升工程项目》森林灭火单兵防护装备项目（2包：森林灭火防护眼镜）</w:t>
            </w:r>
          </w:p>
        </w:tc>
        <w:tc>
          <w:tcPr>
            <w:tcW w:w="122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JLGY-2024-1001HW（2）</w:t>
            </w: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0.0438</w:t>
            </w:r>
          </w:p>
        </w:tc>
        <w:tc>
          <w:tcPr>
            <w:tcW w:w="1916"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147.825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1"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3包</w:t>
            </w:r>
          </w:p>
        </w:tc>
        <w:tc>
          <w:tcPr>
            <w:tcW w:w="2083"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吉林省森林消防总队《国家综合性消防救援队伍机动力量核心攻坚能力提升工程项目》森林灭火单兵防护装备项目（3包：森林灭火防护头套、森林灭火防护作训帽、</w:t>
            </w:r>
            <w:r>
              <w:rPr>
                <w:rFonts w:hint="eastAsia" w:ascii="宋体" w:hAnsi="宋体" w:eastAsia="宋体" w:cs="宋体"/>
                <w:sz w:val="24"/>
                <w:szCs w:val="24"/>
                <w:highlight w:val="none"/>
                <w:u w:val="none"/>
                <w:lang w:val="en-US" w:eastAsia="zh-CN"/>
              </w:rPr>
              <w:t>森林灭火防护服</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sz w:val="24"/>
                <w:szCs w:val="24"/>
                <w:highlight w:val="none"/>
                <w:u w:val="none"/>
                <w:lang w:val="en-US" w:eastAsia="zh-CN"/>
              </w:rPr>
              <w:t>森林灭火防护服内胆</w:t>
            </w:r>
            <w:r>
              <w:rPr>
                <w:rFonts w:hint="eastAsia" w:ascii="宋体" w:hAnsi="宋体" w:eastAsia="宋体" w:cs="宋体"/>
                <w:kern w:val="2"/>
                <w:sz w:val="24"/>
                <w:szCs w:val="24"/>
                <w:highlight w:val="none"/>
                <w:vertAlign w:val="baseline"/>
                <w:lang w:val="en-US" w:eastAsia="zh-CN"/>
              </w:rPr>
              <w:t>）</w:t>
            </w:r>
          </w:p>
        </w:tc>
        <w:tc>
          <w:tcPr>
            <w:tcW w:w="1229"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JLGY-2024-1001HW（3）</w:t>
            </w: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森林灭火防护头套：</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0.0118</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39.825</w:t>
            </w:r>
          </w:p>
        </w:tc>
        <w:tc>
          <w:tcPr>
            <w:tcW w:w="911" w:type="dxa"/>
            <w:vMerge w:val="restart"/>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合计：1371.2625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291"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8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229"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森林灭火防护作训帽</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0.0058</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19.575</w:t>
            </w:r>
          </w:p>
        </w:tc>
        <w:tc>
          <w:tcPr>
            <w:tcW w:w="911"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291"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8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229"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sz w:val="24"/>
                <w:szCs w:val="24"/>
                <w:highlight w:val="none"/>
                <w:u w:val="none"/>
                <w:lang w:val="en-US" w:eastAsia="zh-CN"/>
              </w:rPr>
              <w:t>森林灭火防护服</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b w:val="0"/>
                <w:bCs w:val="0"/>
                <w:sz w:val="24"/>
                <w:szCs w:val="24"/>
                <w:highlight w:val="none"/>
                <w:vertAlign w:val="baseline"/>
                <w:lang w:val="en-US" w:eastAsia="zh-CN"/>
              </w:rPr>
              <w:t>6750套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0.1297</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875.475</w:t>
            </w:r>
          </w:p>
        </w:tc>
        <w:tc>
          <w:tcPr>
            <w:tcW w:w="911"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91"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8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229"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sz w:val="24"/>
                <w:szCs w:val="24"/>
                <w:highlight w:val="none"/>
                <w:u w:val="none"/>
                <w:lang w:val="en-US" w:eastAsia="zh-CN"/>
              </w:rPr>
              <w:t>森林灭火防护服内胆</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b w:val="0"/>
                <w:bCs w:val="0"/>
                <w:sz w:val="24"/>
                <w:szCs w:val="24"/>
                <w:highlight w:val="none"/>
                <w:vertAlign w:val="baseline"/>
                <w:lang w:val="en-US" w:eastAsia="zh-CN"/>
              </w:rPr>
              <w:t>6750套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0.06465</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436.3875</w:t>
            </w:r>
          </w:p>
        </w:tc>
        <w:tc>
          <w:tcPr>
            <w:tcW w:w="911"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291"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4包</w:t>
            </w:r>
          </w:p>
        </w:tc>
        <w:tc>
          <w:tcPr>
            <w:tcW w:w="208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吉林省森林消防总队《国家综合性消防救援队伍机动力量核心攻坚能力提升工程项目》森林灭火单兵防护装备项目（4包：森林灭火防护靴）</w:t>
            </w:r>
          </w:p>
        </w:tc>
        <w:tc>
          <w:tcPr>
            <w:tcW w:w="122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JLGY-2024-1001HW（4）</w:t>
            </w: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0.0588</w:t>
            </w:r>
          </w:p>
        </w:tc>
        <w:tc>
          <w:tcPr>
            <w:tcW w:w="1916"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198.45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291"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5包</w:t>
            </w:r>
          </w:p>
        </w:tc>
        <w:tc>
          <w:tcPr>
            <w:tcW w:w="2083"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吉林省森林消防总队《国家综合性消防救援队伍机动力量核心攻坚能力提升工程项目》森林灭火单兵防护装备项目（5包：森林灭火防护外腰带、22多功能水壶）</w:t>
            </w:r>
          </w:p>
        </w:tc>
        <w:tc>
          <w:tcPr>
            <w:tcW w:w="1229"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JLGY-2024-1001HW（5）</w:t>
            </w:r>
          </w:p>
        </w:tc>
        <w:tc>
          <w:tcPr>
            <w:tcW w:w="2379"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森林灭火防护外腰带：</w:t>
            </w: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0.01235</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41.68125</w:t>
            </w:r>
          </w:p>
        </w:tc>
        <w:tc>
          <w:tcPr>
            <w:tcW w:w="911" w:type="dxa"/>
            <w:vMerge w:val="restart"/>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合计：139.55625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291"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8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229"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22多功能水壶：</w:t>
            </w: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0.029</w:t>
            </w:r>
          </w:p>
        </w:tc>
        <w:tc>
          <w:tcPr>
            <w:tcW w:w="10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97.875</w:t>
            </w:r>
          </w:p>
        </w:tc>
        <w:tc>
          <w:tcPr>
            <w:tcW w:w="911" w:type="dxa"/>
            <w:vMerge w:val="continue"/>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291"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6包</w:t>
            </w:r>
          </w:p>
        </w:tc>
        <w:tc>
          <w:tcPr>
            <w:tcW w:w="208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吉林省森林消防总队《国家综合性消防救援队伍机动力量核心攻坚能力提升工程项目》森林灭火单兵防护装备项目（6包：携行背心）</w:t>
            </w:r>
          </w:p>
        </w:tc>
        <w:tc>
          <w:tcPr>
            <w:tcW w:w="122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JLGY-2024-1001HW（6）</w:t>
            </w: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0.0715</w:t>
            </w:r>
          </w:p>
        </w:tc>
        <w:tc>
          <w:tcPr>
            <w:tcW w:w="1916"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241.3125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291"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7包</w:t>
            </w:r>
          </w:p>
        </w:tc>
        <w:tc>
          <w:tcPr>
            <w:tcW w:w="208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吉林省森林消防总队《国家综合性消防救援队伍机动力量核心攻坚能力提升工程项目》森林灭火单兵防护装备项目（7包：森林灭火防护手套）</w:t>
            </w:r>
          </w:p>
        </w:tc>
        <w:tc>
          <w:tcPr>
            <w:tcW w:w="122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JLGY-2024-1001HW（7）</w:t>
            </w:r>
          </w:p>
        </w:tc>
        <w:tc>
          <w:tcPr>
            <w:tcW w:w="2379"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838" w:type="dxa"/>
            <w:vAlign w:val="center"/>
          </w:tcPr>
          <w:p>
            <w:pPr>
              <w:tabs>
                <w:tab w:val="left" w:pos="432"/>
              </w:tabs>
              <w:spacing w:line="310" w:lineRule="exact"/>
              <w:jc w:val="center"/>
              <w:rPr>
                <w:rFonts w:hint="default"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0.0223</w:t>
            </w:r>
          </w:p>
        </w:tc>
        <w:tc>
          <w:tcPr>
            <w:tcW w:w="1916"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75.2625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9736" w:type="dxa"/>
            <w:gridSpan w:val="7"/>
            <w:vAlign w:val="center"/>
          </w:tcPr>
          <w:p>
            <w:pPr>
              <w:tabs>
                <w:tab w:val="left" w:pos="432"/>
              </w:tabs>
              <w:spacing w:line="310" w:lineRule="exact"/>
              <w:jc w:val="center"/>
              <w:rPr>
                <w:rFonts w:hint="eastAsia" w:ascii="宋体" w:hAnsi="宋体" w:eastAsia="宋体" w:cs="宋体"/>
                <w:color w:val="FF0000"/>
                <w:kern w:val="2"/>
                <w:sz w:val="24"/>
                <w:szCs w:val="24"/>
                <w:highlight w:val="yellow"/>
                <w:vertAlign w:val="baseline"/>
                <w:lang w:val="en-US" w:eastAsia="zh-CN"/>
              </w:rPr>
            </w:pPr>
            <w:r>
              <w:rPr>
                <w:rFonts w:hint="eastAsia" w:ascii="宋体" w:hAnsi="宋体" w:eastAsia="宋体" w:cs="宋体"/>
                <w:color w:val="auto"/>
                <w:kern w:val="2"/>
                <w:sz w:val="24"/>
                <w:szCs w:val="24"/>
                <w:highlight w:val="none"/>
                <w:vertAlign w:val="baseline"/>
                <w:lang w:val="en-US" w:eastAsia="zh-CN"/>
              </w:rPr>
              <w:t>注：本项目允许兼投兼中。投标人可以对本项目多个标段进行投标。</w:t>
            </w:r>
          </w:p>
        </w:tc>
      </w:tr>
    </w:tbl>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5.采购需求：采购</w:t>
      </w:r>
      <w:r>
        <w:rPr>
          <w:rFonts w:hint="eastAsia" w:ascii="宋体" w:hAnsi="宋体" w:eastAsia="宋体" w:cs="宋体"/>
          <w:sz w:val="24"/>
          <w:szCs w:val="24"/>
          <w:highlight w:val="none"/>
          <w:u w:val="none"/>
          <w:lang w:val="en-US" w:eastAsia="zh-CN"/>
        </w:rPr>
        <w:t>森林灭火单兵防护装备，具体内容详见招标文件采购需求。</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w:t>
      </w:r>
      <w:r>
        <w:rPr>
          <w:rFonts w:hint="eastAsia" w:ascii="宋体" w:hAnsi="宋体" w:eastAsia="宋体" w:cs="宋体"/>
          <w:kern w:val="2"/>
          <w:sz w:val="24"/>
          <w:szCs w:val="24"/>
          <w:highlight w:val="none"/>
          <w:lang w:eastAsia="zh-CN"/>
        </w:rPr>
        <w:t>.合同履行期限：</w:t>
      </w:r>
      <w:r>
        <w:rPr>
          <w:rFonts w:hint="eastAsia" w:ascii="宋体" w:hAnsi="宋体" w:eastAsia="宋体" w:cs="宋体"/>
          <w:kern w:val="2"/>
          <w:sz w:val="24"/>
          <w:szCs w:val="24"/>
          <w:highlight w:val="none"/>
          <w:lang w:val="en-US" w:eastAsia="zh-CN"/>
        </w:rPr>
        <w:t>合同签订后90日内完成供货</w:t>
      </w:r>
      <w:r>
        <w:rPr>
          <w:rFonts w:hint="eastAsia" w:ascii="宋体" w:hAnsi="宋体" w:eastAsia="宋体" w:cs="宋体"/>
          <w:kern w:val="2"/>
          <w:sz w:val="24"/>
          <w:szCs w:val="24"/>
          <w:highlight w:val="none"/>
          <w:lang w:eastAsia="zh-CN"/>
        </w:rPr>
        <w:t>。</w:t>
      </w:r>
    </w:p>
    <w:p>
      <w:pPr>
        <w:tabs>
          <w:tab w:val="left" w:pos="432"/>
        </w:tabs>
        <w:spacing w:line="310" w:lineRule="exact"/>
        <w:ind w:firstLine="431"/>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lang w:eastAsia="zh-CN"/>
        </w:rPr>
        <w:t>.本项目不接受联合体投标。</w:t>
      </w:r>
    </w:p>
    <w:p>
      <w:pPr>
        <w:tabs>
          <w:tab w:val="left" w:pos="432"/>
        </w:tabs>
        <w:spacing w:line="310" w:lineRule="exact"/>
        <w:ind w:left="431" w:hanging="431"/>
        <w:jc w:val="both"/>
        <w:outlineLvl w:val="1"/>
        <w:rPr>
          <w:rFonts w:hint="eastAsia" w:ascii="宋体" w:hAnsi="宋体" w:eastAsia="宋体" w:cs="宋体"/>
          <w:b/>
          <w:kern w:val="2"/>
          <w:sz w:val="24"/>
          <w:szCs w:val="24"/>
          <w:lang w:eastAsia="zh-CN"/>
        </w:rPr>
      </w:pPr>
      <w:bookmarkStart w:id="17" w:name="_Toc35393799"/>
      <w:bookmarkStart w:id="18" w:name="_Toc28359090"/>
      <w:bookmarkStart w:id="19" w:name="_Toc28359013"/>
      <w:bookmarkStart w:id="20" w:name="_Toc35393630"/>
      <w:bookmarkStart w:id="21" w:name="_Toc14412"/>
      <w:r>
        <w:rPr>
          <w:rFonts w:hint="eastAsia" w:ascii="宋体" w:hAnsi="宋体" w:eastAsia="宋体" w:cs="宋体"/>
          <w:b/>
          <w:kern w:val="2"/>
          <w:sz w:val="24"/>
          <w:szCs w:val="24"/>
          <w:lang w:eastAsia="zh-CN"/>
        </w:rPr>
        <w:t>二、申请人的资格要求</w:t>
      </w:r>
      <w:bookmarkEnd w:id="17"/>
      <w:bookmarkEnd w:id="18"/>
      <w:bookmarkEnd w:id="19"/>
      <w:bookmarkEnd w:id="20"/>
      <w:bookmarkEnd w:id="21"/>
    </w:p>
    <w:p>
      <w:pPr>
        <w:ind w:firstLine="480" w:firstLineChars="200"/>
        <w:outlineLvl w:val="2"/>
        <w:rPr>
          <w:rFonts w:hint="eastAsia" w:ascii="宋体" w:hAnsi="宋体" w:eastAsia="宋体" w:cs="宋体"/>
          <w:sz w:val="24"/>
          <w:szCs w:val="24"/>
          <w:lang w:val="zh-CN" w:eastAsia="zh-CN"/>
        </w:rPr>
      </w:pPr>
      <w:bookmarkStart w:id="22" w:name="_Toc28068"/>
      <w:bookmarkStart w:id="23" w:name="_Toc28359091"/>
      <w:bookmarkStart w:id="24" w:name="_Toc35393800"/>
      <w:bookmarkStart w:id="25" w:name="_Toc35393631"/>
      <w:bookmarkStart w:id="26" w:name="_Toc28359014"/>
      <w:r>
        <w:rPr>
          <w:rFonts w:hint="eastAsia" w:ascii="宋体" w:hAnsi="宋体" w:eastAsia="宋体" w:cs="宋体"/>
          <w:sz w:val="24"/>
          <w:szCs w:val="24"/>
          <w:lang w:val="zh-CN" w:eastAsia="zh-CN"/>
        </w:rPr>
        <w:t>1.符合《中华人民共和国政府采购法》第二十二条规定的条件。</w:t>
      </w:r>
      <w:bookmarkEnd w:id="22"/>
    </w:p>
    <w:p>
      <w:pPr>
        <w:ind w:firstLine="480" w:firstLineChars="200"/>
        <w:rPr>
          <w:rFonts w:hint="eastAsia" w:ascii="宋体" w:hAnsi="宋体" w:eastAsia="宋体" w:cs="宋体"/>
          <w:sz w:val="24"/>
          <w:szCs w:val="24"/>
          <w:highlight w:val="none"/>
          <w:lang w:val="zh-CN" w:eastAsia="zh-CN"/>
        </w:rPr>
      </w:pPr>
      <w:r>
        <w:rPr>
          <w:rFonts w:hint="eastAsia" w:ascii="宋体" w:hAnsi="宋体" w:eastAsia="宋体" w:cs="宋体"/>
          <w:sz w:val="24"/>
          <w:szCs w:val="24"/>
          <w:lang w:val="zh-CN" w:eastAsia="zh-CN"/>
        </w:rPr>
        <w:t>2.落实政府采购政策需满足的资格要</w:t>
      </w:r>
      <w:r>
        <w:rPr>
          <w:rFonts w:hint="eastAsia" w:ascii="宋体" w:hAnsi="宋体" w:eastAsia="宋体" w:cs="宋体"/>
          <w:sz w:val="24"/>
          <w:szCs w:val="24"/>
          <w:highlight w:val="none"/>
          <w:lang w:val="zh-CN" w:eastAsia="zh-CN"/>
        </w:rPr>
        <w:t>求：</w:t>
      </w:r>
      <w:r>
        <w:rPr>
          <w:rFonts w:hint="eastAsia" w:ascii="宋体" w:hAnsi="宋体" w:eastAsia="宋体" w:cs="宋体"/>
          <w:sz w:val="24"/>
          <w:szCs w:val="24"/>
          <w:highlight w:val="none"/>
          <w:lang w:val="en-US" w:eastAsia="zh-CN"/>
        </w:rPr>
        <w:t>本项目非专门面向中小企业采购</w:t>
      </w:r>
      <w:r>
        <w:rPr>
          <w:rFonts w:hint="eastAsia" w:ascii="宋体" w:hAnsi="宋体" w:eastAsia="宋体" w:cs="宋体"/>
          <w:sz w:val="24"/>
          <w:szCs w:val="24"/>
          <w:highlight w:val="none"/>
          <w:lang w:val="zh-CN" w:eastAsia="zh-CN"/>
        </w:rPr>
        <w:t>，具体内容详见</w:t>
      </w:r>
      <w:r>
        <w:rPr>
          <w:rFonts w:hint="eastAsia" w:ascii="宋体" w:hAnsi="宋体" w:eastAsia="宋体" w:cs="宋体"/>
          <w:sz w:val="24"/>
          <w:szCs w:val="24"/>
          <w:highlight w:val="none"/>
          <w:lang w:val="en-US" w:eastAsia="zh-CN"/>
        </w:rPr>
        <w:t>招标文件</w:t>
      </w:r>
      <w:r>
        <w:rPr>
          <w:rFonts w:hint="eastAsia" w:ascii="宋体" w:hAnsi="宋体" w:eastAsia="宋体" w:cs="宋体"/>
          <w:sz w:val="24"/>
          <w:szCs w:val="24"/>
          <w:highlight w:val="none"/>
          <w:lang w:val="zh-CN" w:eastAsia="zh-CN"/>
        </w:rPr>
        <w:t>。</w:t>
      </w:r>
    </w:p>
    <w:p>
      <w:pPr>
        <w:widowControl/>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3.</w:t>
      </w: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lang w:val="zh-CN" w:eastAsia="zh-CN"/>
        </w:rPr>
        <w:t>的特定资格要求：</w:t>
      </w:r>
      <w:r>
        <w:rPr>
          <w:rFonts w:hint="eastAsia" w:ascii="宋体" w:hAnsi="宋体" w:eastAsia="宋体" w:cs="宋体"/>
          <w:sz w:val="24"/>
          <w:szCs w:val="24"/>
          <w:highlight w:val="none"/>
          <w:lang w:val="en-US" w:eastAsia="zh-CN"/>
        </w:rPr>
        <w:t>无。</w:t>
      </w:r>
    </w:p>
    <w:p>
      <w:pPr>
        <w:widowControl/>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4.其他要求：</w:t>
      </w:r>
    </w:p>
    <w:p>
      <w:pPr>
        <w:keepNext w:val="0"/>
        <w:keepLines w:val="0"/>
        <w:pageBreakBefore w:val="0"/>
        <w:widowControl/>
        <w:kinsoku/>
        <w:wordWrap w:val="0"/>
        <w:overflowPunct/>
        <w:topLinePunct w:val="0"/>
        <w:autoSpaceDE/>
        <w:autoSpaceDN/>
        <w:bidi w:val="0"/>
        <w:adjustRightInd/>
        <w:snapToGrid/>
        <w:ind w:firstLine="480" w:firstLineChars="200"/>
        <w:jc w:val="left"/>
        <w:textAlignment w:val="auto"/>
        <w:rPr>
          <w:rFonts w:hint="eastAsia" w:ascii="宋体" w:hAnsi="宋体" w:eastAsia="宋体" w:cs="宋体"/>
          <w:bCs/>
          <w:kern w:val="0"/>
          <w:sz w:val="24"/>
          <w:szCs w:val="24"/>
          <w:highlight w:val="none"/>
          <w:lang w:val="en-US" w:eastAsia="zh-CN" w:bidi="ar-SA"/>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w:t>
      </w:r>
      <w:r>
        <w:rPr>
          <w:rFonts w:hint="eastAsia" w:ascii="宋体" w:hAnsi="宋体" w:eastAsia="宋体" w:cs="宋体"/>
          <w:bCs/>
          <w:kern w:val="0"/>
          <w:sz w:val="24"/>
          <w:szCs w:val="24"/>
          <w:highlight w:val="none"/>
          <w:lang w:val="en-US" w:eastAsia="zh-CN" w:bidi="ar-S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违反这两款规定的，相关投标均无效。</w:t>
      </w:r>
    </w:p>
    <w:p>
      <w:pPr>
        <w:keepNext w:val="0"/>
        <w:keepLines w:val="0"/>
        <w:pageBreakBefore w:val="0"/>
        <w:widowControl/>
        <w:kinsoku/>
        <w:wordWrap w:val="0"/>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投标人</w:t>
      </w:r>
      <w:r>
        <w:rPr>
          <w:rFonts w:hint="eastAsia" w:ascii="宋体" w:hAnsi="宋体" w:eastAsia="宋体" w:cs="宋体"/>
          <w:sz w:val="24"/>
          <w:szCs w:val="24"/>
          <w:lang w:val="zh-CN" w:eastAsia="zh-CN"/>
        </w:rPr>
        <w:t>不得为“信用中国”网站（</w:t>
      </w: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"http://www.creditchina.gov.cn/" \t "_blank"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www.creditchina.gov.cn</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）中列入失信被执行人和重大税收违法案件当事人名单（</w:t>
      </w:r>
      <w:r>
        <w:rPr>
          <w:rFonts w:hint="eastAsia" w:ascii="宋体" w:hAnsi="宋体" w:eastAsia="宋体" w:cs="宋体"/>
          <w:sz w:val="24"/>
          <w:szCs w:val="24"/>
          <w:lang w:val="en-US" w:eastAsia="zh-CN"/>
        </w:rPr>
        <w:t>重大税收违法失信主体</w:t>
      </w:r>
      <w:r>
        <w:rPr>
          <w:rFonts w:hint="eastAsia" w:ascii="宋体" w:hAnsi="宋体" w:eastAsia="宋体" w:cs="宋体"/>
          <w:sz w:val="24"/>
          <w:szCs w:val="24"/>
          <w:lang w:val="zh-CN" w:eastAsia="zh-CN"/>
        </w:rPr>
        <w:t>）、政府采购严重违法失信行为记录名单的投标人，不得为中国政府采购网（</w:t>
      </w: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"http://www.ccgp.gov.cn/" \t "_blank"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www.ccgp.gov.cn</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）政府采购严重违法失信行为记录名单中被财政部门禁止参加政府采购活动的投标人（在处罚决定规定的时间</w:t>
      </w:r>
      <w:r>
        <w:rPr>
          <w:rFonts w:hint="eastAsia" w:ascii="宋体" w:hAnsi="宋体" w:eastAsia="宋体" w:cs="宋体"/>
          <w:sz w:val="24"/>
          <w:szCs w:val="24"/>
          <w:highlight w:val="none"/>
          <w:lang w:val="zh-CN" w:eastAsia="zh-CN"/>
        </w:rPr>
        <w:t>和地域范围内）（详见财库【2016】125号文）。</w:t>
      </w:r>
    </w:p>
    <w:p>
      <w:pPr>
        <w:widowControl/>
        <w:jc w:val="left"/>
        <w:outlineLvl w:val="1"/>
        <w:rPr>
          <w:rFonts w:hint="eastAsia" w:ascii="宋体" w:hAnsi="宋体" w:eastAsia="宋体" w:cs="宋体"/>
          <w:b/>
          <w:kern w:val="2"/>
          <w:sz w:val="24"/>
          <w:szCs w:val="24"/>
          <w:highlight w:val="none"/>
          <w:lang w:eastAsia="zh-CN"/>
        </w:rPr>
      </w:pPr>
      <w:bookmarkStart w:id="27" w:name="_Toc19497"/>
      <w:r>
        <w:rPr>
          <w:rFonts w:hint="eastAsia" w:ascii="宋体" w:hAnsi="宋体" w:eastAsia="宋体" w:cs="宋体"/>
          <w:b/>
          <w:kern w:val="2"/>
          <w:sz w:val="24"/>
          <w:szCs w:val="24"/>
          <w:highlight w:val="none"/>
          <w:lang w:eastAsia="zh-CN"/>
        </w:rPr>
        <w:t>三、获取</w:t>
      </w:r>
      <w:r>
        <w:rPr>
          <w:rFonts w:hint="eastAsia" w:ascii="宋体" w:hAnsi="宋体" w:eastAsia="宋体" w:cs="宋体"/>
          <w:b/>
          <w:kern w:val="2"/>
          <w:sz w:val="24"/>
          <w:szCs w:val="24"/>
          <w:highlight w:val="none"/>
          <w:lang w:val="en-US" w:eastAsia="zh-CN"/>
        </w:rPr>
        <w:t>招标</w:t>
      </w:r>
      <w:r>
        <w:rPr>
          <w:rFonts w:hint="eastAsia" w:ascii="宋体" w:hAnsi="宋体" w:eastAsia="宋体" w:cs="宋体"/>
          <w:b/>
          <w:kern w:val="2"/>
          <w:sz w:val="24"/>
          <w:szCs w:val="24"/>
          <w:highlight w:val="none"/>
          <w:lang w:eastAsia="zh-CN"/>
        </w:rPr>
        <w:t>文件</w:t>
      </w:r>
      <w:bookmarkEnd w:id="23"/>
      <w:bookmarkEnd w:id="24"/>
      <w:bookmarkEnd w:id="25"/>
      <w:bookmarkEnd w:id="26"/>
      <w:bookmarkEnd w:id="27"/>
    </w:p>
    <w:p>
      <w:pPr>
        <w:tabs>
          <w:tab w:val="left" w:pos="432"/>
        </w:tabs>
        <w:spacing w:line="310" w:lineRule="exact"/>
        <w:ind w:firstLine="480" w:firstLineChars="200"/>
        <w:jc w:val="both"/>
        <w:rPr>
          <w:rFonts w:hint="eastAsia" w:ascii="宋体" w:hAnsi="宋体" w:eastAsia="宋体" w:cs="宋体"/>
          <w:kern w:val="2"/>
          <w:sz w:val="24"/>
          <w:szCs w:val="24"/>
          <w:highlight w:val="none"/>
          <w:lang w:eastAsia="zh-CN"/>
        </w:rPr>
      </w:pPr>
      <w:bookmarkStart w:id="28" w:name="_Toc35393801"/>
      <w:bookmarkStart w:id="29" w:name="_Toc28359015"/>
      <w:bookmarkStart w:id="30" w:name="_Toc28359092"/>
      <w:bookmarkStart w:id="31" w:name="_Toc35393632"/>
      <w:r>
        <w:rPr>
          <w:rFonts w:hint="eastAsia" w:ascii="宋体" w:hAnsi="宋体" w:eastAsia="宋体" w:cs="宋体"/>
          <w:kern w:val="2"/>
          <w:sz w:val="24"/>
          <w:szCs w:val="24"/>
          <w:highlight w:val="none"/>
          <w:lang w:eastAsia="zh-CN"/>
        </w:rPr>
        <w:t>1.时间：</w:t>
      </w:r>
      <w:r>
        <w:rPr>
          <w:rFonts w:hint="eastAsia" w:ascii="宋体" w:hAnsi="宋体" w:eastAsia="宋体" w:cs="宋体"/>
          <w:kern w:val="2"/>
          <w:sz w:val="24"/>
          <w:szCs w:val="24"/>
          <w:highlight w:val="none"/>
          <w:u w:val="none"/>
          <w:lang w:eastAsia="zh-CN"/>
        </w:rPr>
        <w:t>202</w:t>
      </w: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none"/>
          <w:lang w:eastAsia="zh-CN"/>
        </w:rPr>
        <w:t>年</w:t>
      </w:r>
      <w:r>
        <w:rPr>
          <w:rFonts w:hint="eastAsia" w:ascii="宋体" w:hAnsi="宋体" w:eastAsia="宋体" w:cs="宋体"/>
          <w:kern w:val="2"/>
          <w:sz w:val="24"/>
          <w:szCs w:val="24"/>
          <w:highlight w:val="none"/>
          <w:u w:val="none"/>
          <w:lang w:val="en-US" w:eastAsia="zh-CN"/>
        </w:rPr>
        <w:t>6</w:t>
      </w:r>
      <w:r>
        <w:rPr>
          <w:rFonts w:hint="eastAsia" w:ascii="宋体" w:hAnsi="宋体" w:eastAsia="宋体" w:cs="宋体"/>
          <w:kern w:val="2"/>
          <w:sz w:val="24"/>
          <w:szCs w:val="24"/>
          <w:highlight w:val="none"/>
          <w:u w:val="none"/>
          <w:lang w:eastAsia="zh-CN"/>
        </w:rPr>
        <w:t>月</w:t>
      </w:r>
      <w:r>
        <w:rPr>
          <w:rFonts w:hint="eastAsia" w:ascii="宋体" w:hAnsi="宋体" w:eastAsia="宋体" w:cs="宋体"/>
          <w:kern w:val="2"/>
          <w:sz w:val="24"/>
          <w:szCs w:val="24"/>
          <w:highlight w:val="none"/>
          <w:u w:val="none"/>
          <w:lang w:val="en-US" w:eastAsia="zh-CN"/>
        </w:rPr>
        <w:t>20</w:t>
      </w:r>
      <w:r>
        <w:rPr>
          <w:rFonts w:hint="eastAsia" w:ascii="宋体" w:hAnsi="宋体" w:eastAsia="宋体" w:cs="宋体"/>
          <w:kern w:val="2"/>
          <w:sz w:val="24"/>
          <w:szCs w:val="24"/>
          <w:highlight w:val="none"/>
          <w:u w:val="none"/>
          <w:lang w:eastAsia="zh-CN"/>
        </w:rPr>
        <w:t>日至202</w:t>
      </w: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none"/>
          <w:lang w:eastAsia="zh-CN"/>
        </w:rPr>
        <w:t>年</w:t>
      </w:r>
      <w:r>
        <w:rPr>
          <w:rFonts w:hint="eastAsia" w:ascii="宋体" w:hAnsi="宋体" w:eastAsia="宋体" w:cs="宋体"/>
          <w:kern w:val="2"/>
          <w:sz w:val="24"/>
          <w:szCs w:val="24"/>
          <w:highlight w:val="none"/>
          <w:u w:val="none"/>
          <w:lang w:val="en-US" w:eastAsia="zh-CN"/>
        </w:rPr>
        <w:t>6</w:t>
      </w:r>
      <w:r>
        <w:rPr>
          <w:rFonts w:hint="eastAsia" w:ascii="宋体" w:hAnsi="宋体" w:eastAsia="宋体" w:cs="宋体"/>
          <w:kern w:val="2"/>
          <w:sz w:val="24"/>
          <w:szCs w:val="24"/>
          <w:highlight w:val="none"/>
          <w:u w:val="none"/>
          <w:lang w:eastAsia="zh-CN"/>
        </w:rPr>
        <w:t>月</w:t>
      </w:r>
      <w:r>
        <w:rPr>
          <w:rFonts w:hint="eastAsia" w:ascii="宋体" w:hAnsi="宋体" w:eastAsia="宋体" w:cs="宋体"/>
          <w:kern w:val="2"/>
          <w:sz w:val="24"/>
          <w:szCs w:val="24"/>
          <w:highlight w:val="none"/>
          <w:u w:val="none"/>
          <w:lang w:val="en-US" w:eastAsia="zh-CN"/>
        </w:rPr>
        <w:t>26</w:t>
      </w:r>
      <w:r>
        <w:rPr>
          <w:rFonts w:hint="eastAsia" w:ascii="宋体" w:hAnsi="宋体" w:eastAsia="宋体" w:cs="宋体"/>
          <w:kern w:val="2"/>
          <w:sz w:val="24"/>
          <w:szCs w:val="24"/>
          <w:highlight w:val="none"/>
          <w:u w:val="none"/>
          <w:lang w:eastAsia="zh-CN"/>
        </w:rPr>
        <w:t>日，</w:t>
      </w:r>
      <w:r>
        <w:rPr>
          <w:rFonts w:hint="eastAsia" w:ascii="宋体" w:hAnsi="宋体" w:eastAsia="宋体" w:cs="宋体"/>
          <w:kern w:val="2"/>
          <w:sz w:val="24"/>
          <w:szCs w:val="24"/>
          <w:highlight w:val="none"/>
          <w:u w:val="none"/>
          <w:lang w:val="en-US" w:eastAsia="zh-CN"/>
        </w:rPr>
        <w:t>每天上午8：30至11:30，下午13:00至16:00</w:t>
      </w:r>
      <w:r>
        <w:rPr>
          <w:rFonts w:hint="eastAsia" w:ascii="宋体" w:hAnsi="宋体" w:eastAsia="宋体" w:cs="宋体"/>
          <w:kern w:val="2"/>
          <w:sz w:val="24"/>
          <w:szCs w:val="24"/>
          <w:highlight w:val="none"/>
          <w:lang w:eastAsia="zh-CN"/>
        </w:rPr>
        <w:t>(北京时间，法定节假日除外)。</w:t>
      </w:r>
    </w:p>
    <w:p>
      <w:pPr>
        <w:tabs>
          <w:tab w:val="left" w:pos="432"/>
        </w:tabs>
        <w:spacing w:line="310" w:lineRule="exact"/>
        <w:ind w:firstLine="480" w:firstLineChars="200"/>
        <w:jc w:val="both"/>
        <w:outlineLvl w:val="2"/>
        <w:rPr>
          <w:rFonts w:hint="eastAsia" w:ascii="宋体" w:hAnsi="宋体" w:eastAsia="宋体" w:cs="宋体"/>
          <w:kern w:val="2"/>
          <w:sz w:val="24"/>
          <w:szCs w:val="24"/>
          <w:highlight w:val="none"/>
          <w:lang w:val="zh-CN" w:eastAsia="zh-CN"/>
        </w:rPr>
      </w:pPr>
      <w:bookmarkStart w:id="32" w:name="_Toc14498"/>
      <w:r>
        <w:rPr>
          <w:rFonts w:hint="eastAsia" w:ascii="宋体" w:hAnsi="宋体" w:eastAsia="宋体" w:cs="宋体"/>
          <w:kern w:val="2"/>
          <w:sz w:val="24"/>
          <w:szCs w:val="24"/>
          <w:highlight w:val="none"/>
          <w:lang w:val="zh-CN" w:eastAsia="zh-CN"/>
        </w:rPr>
        <w:t>2.地点：</w:t>
      </w:r>
      <w:r>
        <w:rPr>
          <w:rFonts w:hint="eastAsia" w:ascii="宋体" w:hAnsi="宋体" w:eastAsia="宋体" w:cs="宋体"/>
          <w:kern w:val="2"/>
          <w:sz w:val="24"/>
          <w:szCs w:val="24"/>
          <w:highlight w:val="none"/>
          <w:lang w:val="en-US" w:eastAsia="zh-CN"/>
        </w:rPr>
        <w:t>吉林省光宇工程项目管理咨询有限公司</w:t>
      </w:r>
      <w:r>
        <w:rPr>
          <w:rFonts w:hint="eastAsia" w:ascii="宋体" w:hAnsi="宋体" w:eastAsia="宋体" w:cs="宋体"/>
          <w:kern w:val="2"/>
          <w:sz w:val="24"/>
          <w:szCs w:val="24"/>
          <w:highlight w:val="none"/>
          <w:lang w:val="zh-CN" w:eastAsia="zh-CN"/>
        </w:rPr>
        <w:t>。</w:t>
      </w:r>
      <w:bookmarkEnd w:id="32"/>
    </w:p>
    <w:p>
      <w:pPr>
        <w:tabs>
          <w:tab w:val="left" w:pos="432"/>
        </w:tabs>
        <w:spacing w:line="310" w:lineRule="exact"/>
        <w:ind w:firstLine="480" w:firstLineChars="200"/>
        <w:jc w:val="both"/>
        <w:rPr>
          <w:rFonts w:hint="eastAsia" w:ascii="宋体" w:hAnsi="宋体" w:eastAsia="宋体" w:cs="宋体"/>
          <w:kern w:val="2"/>
          <w:sz w:val="24"/>
          <w:szCs w:val="24"/>
          <w:lang w:val="zh-CN" w:eastAsia="zh-CN"/>
        </w:rPr>
      </w:pPr>
      <w:r>
        <w:rPr>
          <w:rFonts w:hint="eastAsia" w:ascii="宋体" w:hAnsi="宋体" w:eastAsia="宋体" w:cs="宋体"/>
          <w:kern w:val="2"/>
          <w:sz w:val="24"/>
          <w:szCs w:val="24"/>
          <w:highlight w:val="none"/>
          <w:lang w:val="zh-CN" w:eastAsia="zh-CN"/>
        </w:rPr>
        <w:t>3.方式：</w:t>
      </w:r>
      <w:r>
        <w:rPr>
          <w:rFonts w:hint="eastAsia" w:ascii="宋体" w:hAnsi="宋体" w:eastAsia="宋体" w:cs="宋体"/>
          <w:kern w:val="2"/>
          <w:sz w:val="24"/>
          <w:szCs w:val="24"/>
          <w:highlight w:val="none"/>
          <w:lang w:val="zh-CN" w:eastAsia="zh-CN"/>
        </w:rPr>
        <w:fldChar w:fldCharType="begin"/>
      </w:r>
      <w:r>
        <w:rPr>
          <w:rFonts w:hint="eastAsia" w:ascii="宋体" w:hAnsi="宋体" w:eastAsia="宋体" w:cs="宋体"/>
          <w:kern w:val="2"/>
          <w:sz w:val="24"/>
          <w:szCs w:val="24"/>
          <w:highlight w:val="none"/>
          <w:lang w:val="zh-CN" w:eastAsia="zh-CN"/>
        </w:rPr>
        <w:instrText xml:space="preserve"> HYPERLINK "mailto:投标单位须将获取招标文件的材料复印件加盖公章发送至邮箱2214339022@qq.com" </w:instrText>
      </w:r>
      <w:r>
        <w:rPr>
          <w:rFonts w:hint="eastAsia" w:ascii="宋体" w:hAnsi="宋体" w:eastAsia="宋体" w:cs="宋体"/>
          <w:kern w:val="2"/>
          <w:sz w:val="24"/>
          <w:szCs w:val="24"/>
          <w:highlight w:val="none"/>
          <w:lang w:val="zh-CN" w:eastAsia="zh-CN"/>
        </w:rPr>
        <w:fldChar w:fldCharType="separate"/>
      </w:r>
      <w:r>
        <w:rPr>
          <w:rFonts w:hint="eastAsia" w:ascii="宋体" w:hAnsi="宋体" w:eastAsia="宋体" w:cs="宋体"/>
          <w:kern w:val="2"/>
          <w:sz w:val="24"/>
          <w:szCs w:val="24"/>
          <w:highlight w:val="none"/>
          <w:lang w:val="zh-CN" w:eastAsia="zh-CN"/>
        </w:rPr>
        <w:t>须将以下材料的复印件加盖投标单位公章后将扫描件发送至代理机构邮箱</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lang w:val="zh-CN" w:eastAsia="zh-CN"/>
        </w:rPr>
        <w:fldChar w:fldCharType="end"/>
      </w:r>
      <w:r>
        <w:rPr>
          <w:rFonts w:hint="eastAsia" w:ascii="宋体" w:hAnsi="宋体" w:eastAsia="宋体" w:cs="宋体"/>
          <w:kern w:val="2"/>
          <w:sz w:val="24"/>
          <w:szCs w:val="24"/>
          <w:highlight w:val="none"/>
          <w:u w:val="single"/>
          <w:lang w:val="en-US" w:eastAsia="zh-CN"/>
        </w:rPr>
        <w:t xml:space="preserve"> 497878109@qq.com</w:t>
      </w:r>
      <w:r>
        <w:rPr>
          <w:rFonts w:hint="eastAsia" w:ascii="宋体" w:hAnsi="宋体" w:eastAsia="宋体" w:cs="宋体"/>
          <w:kern w:val="2"/>
          <w:sz w:val="24"/>
          <w:szCs w:val="24"/>
          <w:highlight w:val="none"/>
          <w:u w:val="single"/>
          <w:lang w:val="zh-CN" w:eastAsia="zh-CN"/>
        </w:rPr>
        <w:t>（</w:t>
      </w:r>
      <w:r>
        <w:rPr>
          <w:rFonts w:hint="eastAsia" w:ascii="宋体" w:hAnsi="宋体" w:eastAsia="宋体" w:cs="宋体"/>
          <w:kern w:val="2"/>
          <w:sz w:val="24"/>
          <w:szCs w:val="24"/>
          <w:highlight w:val="none"/>
          <w:lang w:val="zh-CN" w:eastAsia="zh-CN"/>
        </w:rPr>
        <w:t>注：邮件内容需写明投标人联系人及电话），并同时拨打</w:t>
      </w:r>
      <w:r>
        <w:rPr>
          <w:rFonts w:hint="eastAsia" w:ascii="宋体" w:hAnsi="宋体" w:eastAsia="宋体" w:cs="宋体"/>
          <w:kern w:val="2"/>
          <w:sz w:val="24"/>
          <w:szCs w:val="24"/>
          <w:highlight w:val="none"/>
          <w:lang w:val="en-US" w:eastAsia="zh-CN"/>
        </w:rPr>
        <w:t>采购</w:t>
      </w:r>
      <w:r>
        <w:rPr>
          <w:rFonts w:hint="eastAsia" w:ascii="宋体" w:hAnsi="宋体" w:eastAsia="宋体" w:cs="宋体"/>
          <w:kern w:val="2"/>
          <w:sz w:val="24"/>
          <w:szCs w:val="24"/>
          <w:highlight w:val="none"/>
          <w:lang w:val="zh-CN" w:eastAsia="zh-CN"/>
        </w:rPr>
        <w:t>代理机构电话确认，与</w:t>
      </w:r>
      <w:r>
        <w:rPr>
          <w:rFonts w:hint="eastAsia" w:ascii="宋体" w:hAnsi="宋体" w:eastAsia="宋体" w:cs="宋体"/>
          <w:kern w:val="2"/>
          <w:sz w:val="24"/>
          <w:szCs w:val="24"/>
          <w:highlight w:val="none"/>
          <w:lang w:val="en-US" w:eastAsia="zh-CN"/>
        </w:rPr>
        <w:t>采购</w:t>
      </w:r>
      <w:r>
        <w:rPr>
          <w:rFonts w:hint="eastAsia" w:ascii="宋体" w:hAnsi="宋体" w:eastAsia="宋体" w:cs="宋体"/>
          <w:kern w:val="2"/>
          <w:sz w:val="24"/>
          <w:szCs w:val="24"/>
          <w:highlight w:val="none"/>
          <w:lang w:val="zh-CN" w:eastAsia="zh-CN"/>
        </w:rPr>
        <w:t>代理机构联系人办理相关登记手续</w:t>
      </w:r>
      <w:r>
        <w:rPr>
          <w:rFonts w:hint="eastAsia" w:ascii="宋体" w:hAnsi="宋体" w:eastAsia="宋体" w:cs="宋体"/>
          <w:kern w:val="2"/>
          <w:sz w:val="24"/>
          <w:szCs w:val="24"/>
          <w:highlight w:val="none"/>
          <w:lang w:val="en-US" w:eastAsia="zh-CN"/>
        </w:rPr>
        <w:t>并</w:t>
      </w:r>
      <w:r>
        <w:rPr>
          <w:rFonts w:hint="eastAsia" w:ascii="宋体" w:hAnsi="宋体" w:eastAsia="宋体" w:cs="宋体"/>
          <w:kern w:val="2"/>
          <w:sz w:val="24"/>
          <w:szCs w:val="24"/>
          <w:highlight w:val="none"/>
          <w:lang w:val="zh-CN" w:eastAsia="zh-CN"/>
        </w:rPr>
        <w:t>完成款项支</w:t>
      </w:r>
      <w:r>
        <w:rPr>
          <w:rFonts w:hint="eastAsia" w:ascii="宋体" w:hAnsi="宋体" w:eastAsia="宋体" w:cs="宋体"/>
          <w:kern w:val="2"/>
          <w:sz w:val="24"/>
          <w:szCs w:val="24"/>
          <w:lang w:val="zh-CN" w:eastAsia="zh-CN"/>
        </w:rPr>
        <w:t>付（未按要求获取</w:t>
      </w:r>
      <w:r>
        <w:rPr>
          <w:rFonts w:hint="eastAsia" w:ascii="宋体" w:hAnsi="宋体" w:eastAsia="宋体" w:cs="宋体"/>
          <w:kern w:val="2"/>
          <w:sz w:val="24"/>
          <w:szCs w:val="24"/>
          <w:lang w:val="en-US" w:eastAsia="zh-CN"/>
        </w:rPr>
        <w:t>招标</w:t>
      </w:r>
      <w:r>
        <w:rPr>
          <w:rFonts w:hint="eastAsia" w:ascii="宋体" w:hAnsi="宋体" w:eastAsia="宋体" w:cs="宋体"/>
          <w:kern w:val="2"/>
          <w:sz w:val="24"/>
          <w:szCs w:val="24"/>
          <w:lang w:val="zh-CN" w:eastAsia="zh-CN"/>
        </w:rPr>
        <w:t>文件，投标人自行承担相关风险）。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（1）营业执照副本。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（2）法定代表人授权委托书（法定代表人购买</w:t>
      </w:r>
      <w:r>
        <w:rPr>
          <w:rFonts w:hint="eastAsia" w:ascii="宋体" w:hAnsi="宋体" w:eastAsia="宋体" w:cs="宋体"/>
          <w:kern w:val="2"/>
          <w:sz w:val="24"/>
          <w:szCs w:val="24"/>
          <w:lang w:val="en-US" w:eastAsia="zh-CN"/>
        </w:rPr>
        <w:t>招标</w:t>
      </w:r>
      <w:r>
        <w:rPr>
          <w:rFonts w:hint="eastAsia" w:ascii="宋体" w:hAnsi="宋体" w:eastAsia="宋体" w:cs="宋体"/>
          <w:kern w:val="2"/>
          <w:sz w:val="24"/>
          <w:szCs w:val="24"/>
          <w:lang w:val="zh-CN" w:eastAsia="zh-CN"/>
        </w:rPr>
        <w:t>文件时提供法定代表人身份证和法定代表人身份证明书），法定代表人授权委托书</w:t>
      </w:r>
      <w:r>
        <w:rPr>
          <w:rFonts w:hint="eastAsia" w:ascii="宋体" w:hAnsi="宋体" w:eastAsia="宋体" w:cs="宋体"/>
          <w:kern w:val="2"/>
          <w:sz w:val="24"/>
          <w:szCs w:val="24"/>
          <w:lang w:val="en-US" w:eastAsia="zh-CN"/>
        </w:rPr>
        <w:t>或</w:t>
      </w:r>
      <w:r>
        <w:rPr>
          <w:rFonts w:hint="eastAsia" w:ascii="宋体" w:hAnsi="宋体" w:eastAsia="宋体" w:cs="宋体"/>
          <w:kern w:val="2"/>
          <w:sz w:val="24"/>
          <w:szCs w:val="24"/>
          <w:lang w:val="zh-CN" w:eastAsia="zh-CN"/>
        </w:rPr>
        <w:t>法定代表人身份证明书</w:t>
      </w:r>
      <w:r>
        <w:rPr>
          <w:rFonts w:hint="eastAsia" w:ascii="宋体" w:hAnsi="宋体" w:eastAsia="宋体" w:cs="宋体"/>
          <w:kern w:val="2"/>
          <w:sz w:val="24"/>
          <w:szCs w:val="24"/>
          <w:lang w:val="en-US" w:eastAsia="zh-CN"/>
        </w:rPr>
        <w:t>中需注明所投标段的标段名称</w:t>
      </w:r>
      <w:r>
        <w:rPr>
          <w:rFonts w:hint="eastAsia" w:ascii="宋体" w:hAnsi="宋体" w:eastAsia="宋体" w:cs="宋体"/>
          <w:kern w:val="2"/>
          <w:sz w:val="24"/>
          <w:szCs w:val="24"/>
          <w:lang w:val="zh-CN"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（3）被授权人的身份证。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注：投标单位如投多个标段的，需按每个标段单独准备以上资料，明确标明所投标段，否则不予受理。</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outlineLvl w:val="2"/>
        <w:rPr>
          <w:rFonts w:hint="eastAsia" w:ascii="宋体" w:hAnsi="宋体" w:eastAsia="宋体" w:cs="宋体"/>
          <w:bCs/>
          <w:sz w:val="24"/>
          <w:szCs w:val="24"/>
          <w:lang w:val="zh-CN"/>
        </w:rPr>
      </w:pPr>
      <w:bookmarkStart w:id="33" w:name="_Toc4109"/>
      <w:r>
        <w:rPr>
          <w:rFonts w:hint="eastAsia" w:ascii="宋体" w:hAnsi="宋体" w:eastAsia="宋体" w:cs="宋体"/>
          <w:bCs/>
          <w:sz w:val="24"/>
          <w:szCs w:val="24"/>
          <w:highlight w:val="none"/>
        </w:rPr>
        <w:t>4.售</w:t>
      </w:r>
      <w:r>
        <w:rPr>
          <w:rFonts w:hint="eastAsia" w:ascii="宋体" w:hAnsi="宋体" w:eastAsia="宋体" w:cs="宋体"/>
          <w:bCs/>
          <w:sz w:val="24"/>
          <w:szCs w:val="24"/>
          <w:highlight w:val="none"/>
          <w:lang w:val="en-US" w:eastAsia="zh-CN"/>
        </w:rPr>
        <w:t>价：500元/套（每标段），</w:t>
      </w:r>
      <w:r>
        <w:rPr>
          <w:rFonts w:hint="eastAsia" w:ascii="宋体" w:hAnsi="宋体" w:eastAsia="宋体" w:cs="宋体"/>
          <w:bCs/>
          <w:sz w:val="24"/>
          <w:szCs w:val="24"/>
          <w:highlight w:val="none"/>
          <w:lang w:val="zh-CN" w:eastAsia="zh-CN"/>
        </w:rPr>
        <w:t>逾期不售</w:t>
      </w:r>
      <w:r>
        <w:rPr>
          <w:rFonts w:hint="eastAsia" w:ascii="宋体" w:hAnsi="宋体" w:eastAsia="宋体" w:cs="宋体"/>
          <w:bCs/>
          <w:sz w:val="24"/>
          <w:szCs w:val="24"/>
          <w:lang w:val="zh-CN" w:eastAsia="zh-CN"/>
        </w:rPr>
        <w:t>，售后不退。</w:t>
      </w:r>
      <w:bookmarkEnd w:id="33"/>
    </w:p>
    <w:p>
      <w:pPr>
        <w:tabs>
          <w:tab w:val="left" w:pos="432"/>
        </w:tabs>
        <w:spacing w:line="310" w:lineRule="exact"/>
        <w:ind w:left="431" w:hanging="431"/>
        <w:jc w:val="both"/>
        <w:outlineLvl w:val="1"/>
        <w:rPr>
          <w:rFonts w:hint="eastAsia" w:ascii="宋体" w:hAnsi="宋体" w:eastAsia="宋体" w:cs="宋体"/>
          <w:b/>
          <w:kern w:val="2"/>
          <w:sz w:val="24"/>
          <w:szCs w:val="24"/>
          <w:lang w:eastAsia="zh-CN"/>
        </w:rPr>
      </w:pPr>
      <w:bookmarkStart w:id="34" w:name="_Toc21625"/>
      <w:r>
        <w:rPr>
          <w:rFonts w:hint="eastAsia" w:ascii="宋体" w:hAnsi="宋体" w:eastAsia="宋体" w:cs="宋体"/>
          <w:b/>
          <w:kern w:val="2"/>
          <w:sz w:val="24"/>
          <w:szCs w:val="24"/>
          <w:lang w:eastAsia="zh-CN"/>
        </w:rPr>
        <w:t>四、</w:t>
      </w:r>
      <w:bookmarkEnd w:id="28"/>
      <w:bookmarkEnd w:id="29"/>
      <w:bookmarkEnd w:id="30"/>
      <w:bookmarkEnd w:id="31"/>
      <w:r>
        <w:rPr>
          <w:rFonts w:hint="eastAsia" w:ascii="宋体" w:hAnsi="宋体" w:eastAsia="宋体" w:cs="宋体"/>
          <w:b/>
          <w:kern w:val="2"/>
          <w:sz w:val="24"/>
          <w:szCs w:val="24"/>
          <w:lang w:eastAsia="zh-CN"/>
        </w:rPr>
        <w:t>提交投标文件截止时间、开标时间和地点</w:t>
      </w:r>
      <w:bookmarkEnd w:id="34"/>
    </w:p>
    <w:p>
      <w:pPr>
        <w:tabs>
          <w:tab w:val="left" w:pos="432"/>
        </w:tabs>
        <w:spacing w:line="310" w:lineRule="exact"/>
        <w:ind w:firstLine="431"/>
        <w:jc w:val="both"/>
        <w:rPr>
          <w:rFonts w:hint="eastAsia" w:ascii="宋体" w:hAnsi="宋体" w:eastAsia="宋体" w:cs="宋体"/>
          <w:kern w:val="2"/>
          <w:sz w:val="24"/>
          <w:szCs w:val="24"/>
          <w:highlight w:val="none"/>
          <w:lang w:eastAsia="zh-CN"/>
        </w:rPr>
      </w:pPr>
      <w:bookmarkStart w:id="35" w:name="_Toc35393633"/>
      <w:bookmarkStart w:id="36" w:name="_Toc28359093"/>
      <w:bookmarkStart w:id="37" w:name="_Toc35393802"/>
      <w:bookmarkStart w:id="38" w:name="_Toc28359016"/>
      <w:r>
        <w:rPr>
          <w:rFonts w:hint="eastAsia" w:ascii="宋体" w:hAnsi="宋体" w:eastAsia="宋体" w:cs="宋体"/>
          <w:kern w:val="2"/>
          <w:sz w:val="24"/>
          <w:szCs w:val="24"/>
          <w:lang w:eastAsia="zh-CN"/>
        </w:rPr>
        <w:t>1.提交投标文件截止时间</w:t>
      </w:r>
      <w:r>
        <w:rPr>
          <w:rFonts w:hint="eastAsia" w:ascii="宋体" w:hAnsi="宋体" w:eastAsia="宋体" w:cs="宋体"/>
          <w:kern w:val="2"/>
          <w:sz w:val="24"/>
          <w:szCs w:val="24"/>
          <w:highlight w:val="none"/>
          <w:lang w:eastAsia="zh-CN"/>
        </w:rPr>
        <w:t>、开标时间：</w:t>
      </w:r>
      <w:r>
        <w:rPr>
          <w:rFonts w:hint="eastAsia" w:ascii="宋体" w:hAnsi="宋体" w:eastAsia="宋体" w:cs="宋体"/>
          <w:kern w:val="2"/>
          <w:sz w:val="24"/>
          <w:szCs w:val="24"/>
          <w:highlight w:val="none"/>
          <w:u w:val="none"/>
          <w:lang w:eastAsia="zh-CN"/>
        </w:rPr>
        <w:t>202</w:t>
      </w: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none"/>
          <w:lang w:eastAsia="zh-CN"/>
        </w:rPr>
        <w:t>年</w:t>
      </w:r>
      <w:r>
        <w:rPr>
          <w:rFonts w:hint="eastAsia" w:ascii="宋体" w:hAnsi="宋体" w:eastAsia="宋体" w:cs="宋体"/>
          <w:kern w:val="2"/>
          <w:sz w:val="24"/>
          <w:szCs w:val="24"/>
          <w:highlight w:val="none"/>
          <w:u w:val="none"/>
          <w:lang w:val="en-US" w:eastAsia="zh-CN"/>
        </w:rPr>
        <w:t>7</w:t>
      </w:r>
      <w:r>
        <w:rPr>
          <w:rFonts w:hint="eastAsia" w:ascii="宋体" w:hAnsi="宋体" w:eastAsia="宋体" w:cs="宋体"/>
          <w:kern w:val="2"/>
          <w:sz w:val="24"/>
          <w:szCs w:val="24"/>
          <w:highlight w:val="none"/>
          <w:u w:val="none"/>
          <w:lang w:eastAsia="zh-CN"/>
        </w:rPr>
        <w:t>月</w:t>
      </w:r>
      <w:r>
        <w:rPr>
          <w:rFonts w:hint="eastAsia" w:ascii="宋体" w:hAnsi="宋体" w:eastAsia="宋体" w:cs="宋体"/>
          <w:kern w:val="2"/>
          <w:sz w:val="24"/>
          <w:szCs w:val="24"/>
          <w:highlight w:val="none"/>
          <w:u w:val="none"/>
          <w:lang w:val="en-US" w:eastAsia="zh-CN"/>
        </w:rPr>
        <w:t>15</w:t>
      </w:r>
      <w:r>
        <w:rPr>
          <w:rFonts w:hint="eastAsia" w:ascii="宋体" w:hAnsi="宋体" w:eastAsia="宋体" w:cs="宋体"/>
          <w:kern w:val="2"/>
          <w:sz w:val="24"/>
          <w:szCs w:val="24"/>
          <w:highlight w:val="none"/>
          <w:u w:val="none"/>
          <w:lang w:eastAsia="zh-CN"/>
        </w:rPr>
        <w:t>日9时</w:t>
      </w:r>
      <w:r>
        <w:rPr>
          <w:rFonts w:hint="eastAsia" w:ascii="宋体" w:hAnsi="宋体" w:eastAsia="宋体" w:cs="宋体"/>
          <w:kern w:val="2"/>
          <w:sz w:val="24"/>
          <w:szCs w:val="24"/>
          <w:highlight w:val="none"/>
          <w:u w:val="none"/>
          <w:lang w:val="en-US" w:eastAsia="zh-CN"/>
        </w:rPr>
        <w:t>0</w:t>
      </w:r>
      <w:r>
        <w:rPr>
          <w:rFonts w:hint="eastAsia" w:ascii="宋体" w:hAnsi="宋体" w:eastAsia="宋体" w:cs="宋体"/>
          <w:kern w:val="2"/>
          <w:sz w:val="24"/>
          <w:szCs w:val="24"/>
          <w:highlight w:val="none"/>
          <w:u w:val="none"/>
          <w:lang w:eastAsia="zh-CN"/>
        </w:rPr>
        <w:t>0分</w:t>
      </w:r>
      <w:r>
        <w:rPr>
          <w:rFonts w:hint="eastAsia" w:ascii="宋体" w:hAnsi="宋体" w:eastAsia="宋体" w:cs="宋体"/>
          <w:kern w:val="2"/>
          <w:sz w:val="24"/>
          <w:szCs w:val="24"/>
          <w:highlight w:val="none"/>
          <w:lang w:eastAsia="zh-CN"/>
        </w:rPr>
        <w:t>（北京时间）。</w:t>
      </w:r>
    </w:p>
    <w:p>
      <w:pPr>
        <w:tabs>
          <w:tab w:val="left" w:pos="432"/>
        </w:tabs>
        <w:spacing w:line="310" w:lineRule="exact"/>
        <w:ind w:firstLine="431"/>
        <w:jc w:val="both"/>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eastAsia="zh-CN"/>
        </w:rPr>
        <w:t>2.</w:t>
      </w:r>
      <w:r>
        <w:rPr>
          <w:rFonts w:hint="eastAsia" w:ascii="宋体" w:hAnsi="宋体" w:eastAsia="宋体" w:cs="宋体"/>
          <w:kern w:val="2"/>
          <w:sz w:val="24"/>
          <w:szCs w:val="24"/>
          <w:highlight w:val="none"/>
          <w:lang w:val="en-US" w:eastAsia="zh-CN"/>
        </w:rPr>
        <w:t>地点：</w:t>
      </w:r>
      <w:r>
        <w:rPr>
          <w:rFonts w:hint="eastAsia" w:ascii="宋体" w:hAnsi="宋体" w:eastAsia="宋体" w:cs="宋体"/>
          <w:kern w:val="2"/>
          <w:sz w:val="24"/>
          <w:szCs w:val="24"/>
          <w:highlight w:val="none"/>
          <w:lang w:val="zh-CN" w:eastAsia="zh-CN"/>
        </w:rPr>
        <w:t>长春市二道区洋浦大街6999号凯利中心AB栋101开标</w:t>
      </w:r>
      <w:r>
        <w:rPr>
          <w:rFonts w:hint="eastAsia" w:ascii="宋体" w:hAnsi="宋体" w:eastAsia="宋体" w:cs="宋体"/>
          <w:kern w:val="2"/>
          <w:sz w:val="24"/>
          <w:szCs w:val="24"/>
          <w:highlight w:val="none"/>
          <w:lang w:val="en-US" w:eastAsia="zh-CN"/>
        </w:rPr>
        <w:t>三</w:t>
      </w:r>
      <w:r>
        <w:rPr>
          <w:rFonts w:hint="eastAsia" w:ascii="宋体" w:hAnsi="宋体" w:eastAsia="宋体" w:cs="宋体"/>
          <w:kern w:val="2"/>
          <w:sz w:val="24"/>
          <w:szCs w:val="24"/>
          <w:highlight w:val="none"/>
          <w:lang w:val="zh-CN" w:eastAsia="zh-CN"/>
        </w:rPr>
        <w:t>室</w:t>
      </w:r>
      <w:r>
        <w:rPr>
          <w:rFonts w:hint="eastAsia" w:ascii="宋体" w:hAnsi="宋体" w:eastAsia="宋体" w:cs="宋体"/>
          <w:kern w:val="2"/>
          <w:sz w:val="24"/>
          <w:szCs w:val="24"/>
          <w:highlight w:val="none"/>
          <w:lang w:val="en-US" w:eastAsia="zh-CN"/>
        </w:rPr>
        <w:t>。</w:t>
      </w:r>
    </w:p>
    <w:p>
      <w:pPr>
        <w:tabs>
          <w:tab w:val="left" w:pos="432"/>
        </w:tabs>
        <w:spacing w:line="310" w:lineRule="exact"/>
        <w:ind w:left="431" w:hanging="431"/>
        <w:jc w:val="both"/>
        <w:outlineLvl w:val="1"/>
        <w:rPr>
          <w:rFonts w:hint="eastAsia" w:ascii="宋体" w:hAnsi="宋体" w:eastAsia="宋体" w:cs="宋体"/>
          <w:b/>
          <w:kern w:val="2"/>
          <w:sz w:val="24"/>
          <w:szCs w:val="24"/>
          <w:highlight w:val="none"/>
          <w:lang w:eastAsia="zh-CN"/>
        </w:rPr>
      </w:pPr>
      <w:bookmarkStart w:id="39" w:name="_Toc927"/>
      <w:r>
        <w:rPr>
          <w:rFonts w:hint="eastAsia" w:ascii="宋体" w:hAnsi="宋体" w:eastAsia="宋体" w:cs="宋体"/>
          <w:b/>
          <w:kern w:val="2"/>
          <w:sz w:val="24"/>
          <w:szCs w:val="24"/>
          <w:highlight w:val="none"/>
          <w:lang w:eastAsia="zh-CN"/>
        </w:rPr>
        <w:t>五、</w:t>
      </w:r>
      <w:bookmarkEnd w:id="35"/>
      <w:bookmarkEnd w:id="36"/>
      <w:bookmarkEnd w:id="37"/>
      <w:bookmarkEnd w:id="38"/>
      <w:r>
        <w:rPr>
          <w:rFonts w:hint="eastAsia" w:ascii="宋体" w:hAnsi="宋体" w:eastAsia="宋体" w:cs="宋体"/>
          <w:b/>
          <w:kern w:val="2"/>
          <w:sz w:val="24"/>
          <w:szCs w:val="24"/>
          <w:highlight w:val="none"/>
          <w:lang w:eastAsia="zh-CN"/>
        </w:rPr>
        <w:t>公告期限</w:t>
      </w:r>
      <w:bookmarkEnd w:id="39"/>
    </w:p>
    <w:p>
      <w:pPr>
        <w:tabs>
          <w:tab w:val="left" w:pos="432"/>
        </w:tabs>
        <w:spacing w:line="310" w:lineRule="exact"/>
        <w:ind w:firstLine="431"/>
        <w:jc w:val="both"/>
        <w:rPr>
          <w:rFonts w:hint="eastAsia" w:ascii="宋体" w:hAnsi="宋体" w:eastAsia="宋体" w:cs="宋体"/>
          <w:kern w:val="2"/>
          <w:sz w:val="24"/>
          <w:szCs w:val="24"/>
          <w:lang w:eastAsia="zh-CN"/>
        </w:rPr>
      </w:pPr>
      <w:bookmarkStart w:id="40" w:name="_Toc28359094"/>
      <w:bookmarkStart w:id="41" w:name="_Toc35393803"/>
      <w:bookmarkStart w:id="42" w:name="_Toc35393634"/>
      <w:bookmarkStart w:id="43" w:name="_Toc28359017"/>
      <w:r>
        <w:rPr>
          <w:rFonts w:hint="eastAsia" w:ascii="宋体" w:hAnsi="宋体" w:eastAsia="宋体" w:cs="宋体"/>
          <w:kern w:val="2"/>
          <w:sz w:val="24"/>
          <w:szCs w:val="24"/>
          <w:lang w:eastAsia="zh-CN"/>
        </w:rPr>
        <w:t>自本公告发布之日起5个工作日。</w:t>
      </w:r>
    </w:p>
    <w:bookmarkEnd w:id="40"/>
    <w:bookmarkEnd w:id="41"/>
    <w:bookmarkEnd w:id="42"/>
    <w:bookmarkEnd w:id="43"/>
    <w:p>
      <w:pPr>
        <w:tabs>
          <w:tab w:val="left" w:pos="432"/>
        </w:tabs>
        <w:spacing w:line="310" w:lineRule="exact"/>
        <w:ind w:left="431" w:hanging="431"/>
        <w:jc w:val="both"/>
        <w:outlineLvl w:val="1"/>
        <w:rPr>
          <w:rFonts w:hint="eastAsia" w:ascii="宋体" w:hAnsi="宋体" w:eastAsia="宋体" w:cs="宋体"/>
          <w:b/>
          <w:kern w:val="2"/>
          <w:sz w:val="24"/>
          <w:szCs w:val="24"/>
          <w:lang w:eastAsia="zh-CN"/>
        </w:rPr>
      </w:pPr>
      <w:bookmarkStart w:id="44" w:name="_Toc11165"/>
      <w:r>
        <w:rPr>
          <w:rFonts w:hint="eastAsia" w:ascii="宋体" w:hAnsi="宋体" w:eastAsia="宋体" w:cs="宋体"/>
          <w:b/>
          <w:kern w:val="2"/>
          <w:sz w:val="24"/>
          <w:szCs w:val="24"/>
          <w:lang w:eastAsia="zh-CN"/>
        </w:rPr>
        <w:t>六、其他补充事宜</w:t>
      </w:r>
      <w:bookmarkEnd w:id="44"/>
    </w:p>
    <w:p>
      <w:pPr>
        <w:tabs>
          <w:tab w:val="left" w:pos="432"/>
        </w:tabs>
        <w:spacing w:line="310" w:lineRule="exact"/>
        <w:ind w:firstLine="431"/>
        <w:jc w:val="both"/>
        <w:rPr>
          <w:rFonts w:hint="eastAsia" w:ascii="宋体" w:hAnsi="宋体" w:eastAsia="宋体" w:cs="宋体"/>
          <w:kern w:val="2"/>
          <w:sz w:val="24"/>
          <w:szCs w:val="24"/>
          <w:lang w:val="zh-CN" w:eastAsia="zh-CN"/>
        </w:rPr>
      </w:pPr>
      <w:bookmarkStart w:id="45" w:name="_Toc35393635"/>
      <w:bookmarkStart w:id="46" w:name="_Toc35393804"/>
      <w:r>
        <w:rPr>
          <w:rFonts w:hint="eastAsia" w:ascii="宋体" w:hAnsi="宋体" w:eastAsia="宋体" w:cs="宋体"/>
          <w:kern w:val="2"/>
          <w:sz w:val="24"/>
          <w:szCs w:val="24"/>
          <w:lang w:val="zh-CN" w:eastAsia="zh-CN"/>
        </w:rPr>
        <w:t>1.逾期送达的、未送达指定地点的或者不按照</w:t>
      </w:r>
      <w:r>
        <w:rPr>
          <w:rFonts w:hint="eastAsia" w:ascii="宋体" w:hAnsi="宋体" w:eastAsia="宋体" w:cs="宋体"/>
          <w:kern w:val="2"/>
          <w:sz w:val="24"/>
          <w:szCs w:val="24"/>
          <w:lang w:val="en-US" w:eastAsia="zh-CN"/>
        </w:rPr>
        <w:t>招标</w:t>
      </w:r>
      <w:r>
        <w:rPr>
          <w:rFonts w:hint="eastAsia" w:ascii="宋体" w:hAnsi="宋体" w:eastAsia="宋体" w:cs="宋体"/>
          <w:kern w:val="2"/>
          <w:sz w:val="24"/>
          <w:szCs w:val="24"/>
          <w:lang w:val="zh-CN" w:eastAsia="zh-CN"/>
        </w:rPr>
        <w:t>文件要求密封的</w:t>
      </w:r>
      <w:r>
        <w:rPr>
          <w:rFonts w:hint="eastAsia" w:ascii="宋体" w:hAnsi="宋体" w:eastAsia="宋体" w:cs="宋体"/>
          <w:kern w:val="2"/>
          <w:sz w:val="24"/>
          <w:szCs w:val="24"/>
          <w:lang w:val="en-US" w:eastAsia="zh-CN"/>
        </w:rPr>
        <w:t>投标</w:t>
      </w:r>
      <w:r>
        <w:rPr>
          <w:rFonts w:hint="eastAsia" w:ascii="宋体" w:hAnsi="宋体" w:eastAsia="宋体" w:cs="宋体"/>
          <w:kern w:val="2"/>
          <w:sz w:val="24"/>
          <w:szCs w:val="24"/>
          <w:lang w:val="zh-CN" w:eastAsia="zh-CN"/>
        </w:rPr>
        <w:t>文件，采购人将不予受理。</w:t>
      </w:r>
    </w:p>
    <w:p>
      <w:pPr>
        <w:tabs>
          <w:tab w:val="left" w:pos="432"/>
        </w:tabs>
        <w:spacing w:line="310" w:lineRule="exact"/>
        <w:ind w:firstLine="431"/>
        <w:jc w:val="both"/>
        <w:rPr>
          <w:rFonts w:hint="eastAsia" w:ascii="宋体" w:hAnsi="宋体" w:eastAsia="宋体" w:cs="宋体"/>
          <w:kern w:val="2"/>
          <w:sz w:val="24"/>
          <w:szCs w:val="24"/>
          <w:u w:val="none"/>
          <w:lang w:val="zh-CN" w:eastAsia="zh-CN"/>
        </w:rPr>
      </w:pPr>
      <w:r>
        <w:rPr>
          <w:rFonts w:hint="eastAsia" w:ascii="宋体" w:hAnsi="宋体" w:eastAsia="宋体" w:cs="宋体"/>
          <w:kern w:val="2"/>
          <w:sz w:val="24"/>
          <w:szCs w:val="24"/>
          <w:lang w:val="zh-CN" w:eastAsia="zh-CN"/>
        </w:rPr>
        <w:t>2.本次</w:t>
      </w:r>
      <w:r>
        <w:rPr>
          <w:rFonts w:hint="eastAsia" w:ascii="宋体" w:hAnsi="宋体" w:eastAsia="宋体" w:cs="宋体"/>
          <w:kern w:val="2"/>
          <w:sz w:val="24"/>
          <w:szCs w:val="24"/>
          <w:lang w:val="en-US" w:eastAsia="zh-CN"/>
        </w:rPr>
        <w:t>招标</w:t>
      </w:r>
      <w:r>
        <w:rPr>
          <w:rFonts w:hint="eastAsia" w:ascii="宋体" w:hAnsi="宋体" w:eastAsia="宋体" w:cs="宋体"/>
          <w:kern w:val="2"/>
          <w:sz w:val="24"/>
          <w:szCs w:val="24"/>
          <w:lang w:val="zh-CN" w:eastAsia="zh-CN"/>
        </w:rPr>
        <w:t>公告同时</w:t>
      </w:r>
      <w:r>
        <w:rPr>
          <w:rFonts w:hint="eastAsia" w:ascii="宋体" w:hAnsi="宋体" w:eastAsia="宋体" w:cs="宋体"/>
          <w:kern w:val="2"/>
          <w:sz w:val="24"/>
          <w:szCs w:val="24"/>
          <w:u w:val="none"/>
          <w:lang w:val="zh-CN" w:eastAsia="zh-CN"/>
        </w:rPr>
        <w:t>在</w:t>
      </w:r>
      <w:r>
        <w:rPr>
          <w:rFonts w:hint="eastAsia" w:ascii="宋体" w:hAnsi="宋体" w:eastAsia="宋体" w:cs="宋体"/>
          <w:kern w:val="2"/>
          <w:sz w:val="24"/>
          <w:szCs w:val="24"/>
          <w:highlight w:val="none"/>
          <w:u w:val="none"/>
          <w:lang w:val="zh-CN" w:eastAsia="zh-CN"/>
        </w:rPr>
        <w:t>《中国政府采购网》《中国采购与招标网》</w:t>
      </w:r>
      <w:r>
        <w:rPr>
          <w:rFonts w:hint="eastAsia" w:ascii="宋体" w:hAnsi="宋体" w:eastAsia="宋体" w:cs="宋体"/>
          <w:kern w:val="2"/>
          <w:sz w:val="24"/>
          <w:szCs w:val="24"/>
          <w:u w:val="none"/>
          <w:lang w:val="zh-CN" w:eastAsia="zh-CN"/>
        </w:rPr>
        <w:t>发布。</w:t>
      </w:r>
    </w:p>
    <w:p>
      <w:pPr>
        <w:tabs>
          <w:tab w:val="left" w:pos="432"/>
        </w:tabs>
        <w:spacing w:line="310" w:lineRule="exact"/>
        <w:ind w:left="431" w:hanging="431"/>
        <w:jc w:val="both"/>
        <w:outlineLvl w:val="1"/>
        <w:rPr>
          <w:rFonts w:hint="eastAsia" w:ascii="宋体" w:hAnsi="宋体" w:eastAsia="宋体" w:cs="宋体"/>
          <w:b/>
          <w:kern w:val="2"/>
          <w:sz w:val="24"/>
          <w:szCs w:val="24"/>
          <w:u w:val="none"/>
          <w:lang w:eastAsia="zh-CN"/>
        </w:rPr>
      </w:pPr>
      <w:bookmarkStart w:id="47" w:name="_Toc21317"/>
      <w:r>
        <w:rPr>
          <w:rFonts w:hint="eastAsia" w:ascii="宋体" w:hAnsi="宋体" w:eastAsia="宋体" w:cs="宋体"/>
          <w:b/>
          <w:kern w:val="2"/>
          <w:sz w:val="24"/>
          <w:szCs w:val="24"/>
          <w:u w:val="none"/>
          <w:lang w:eastAsia="zh-CN"/>
        </w:rPr>
        <w:t>七、</w:t>
      </w:r>
      <w:bookmarkEnd w:id="45"/>
      <w:bookmarkEnd w:id="46"/>
      <w:r>
        <w:rPr>
          <w:rFonts w:hint="eastAsia" w:ascii="宋体" w:hAnsi="宋体" w:eastAsia="宋体" w:cs="宋体"/>
          <w:b/>
          <w:kern w:val="2"/>
          <w:sz w:val="24"/>
          <w:szCs w:val="24"/>
          <w:u w:val="none"/>
          <w:lang w:eastAsia="zh-CN"/>
        </w:rPr>
        <w:t>对本次招标提出询问，请按以下方式联系。</w:t>
      </w:r>
      <w:bookmarkEnd w:id="47"/>
    </w:p>
    <w:p>
      <w:pPr>
        <w:spacing w:line="260" w:lineRule="exact"/>
        <w:ind w:left="0" w:leftChars="0" w:firstLine="501" w:firstLineChars="209"/>
        <w:outlineLvl w:val="2"/>
        <w:rPr>
          <w:rFonts w:hint="eastAsia" w:ascii="宋体" w:hAnsi="宋体" w:eastAsia="宋体" w:cs="宋体"/>
          <w:kern w:val="2"/>
          <w:sz w:val="24"/>
          <w:szCs w:val="24"/>
          <w:lang w:val="zh-CN" w:eastAsia="zh-CN"/>
        </w:rPr>
      </w:pPr>
      <w:bookmarkStart w:id="48" w:name="_Toc32150"/>
      <w:r>
        <w:rPr>
          <w:rFonts w:hint="eastAsia" w:ascii="宋体" w:hAnsi="宋体" w:eastAsia="宋体" w:cs="宋体"/>
          <w:kern w:val="2"/>
          <w:sz w:val="24"/>
          <w:szCs w:val="24"/>
          <w:lang w:val="zh-CN" w:eastAsia="zh-CN"/>
        </w:rPr>
        <w:t>1.采购人信息</w:t>
      </w:r>
      <w:bookmarkEnd w:id="48"/>
    </w:p>
    <w:p>
      <w:pPr>
        <w:tabs>
          <w:tab w:val="left" w:pos="432"/>
        </w:tabs>
        <w:spacing w:line="310" w:lineRule="exact"/>
        <w:ind w:firstLine="431"/>
        <w:jc w:val="both"/>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 xml:space="preserve">名    </w:t>
      </w:r>
      <w:r>
        <w:rPr>
          <w:rFonts w:hint="eastAsia" w:ascii="宋体" w:hAnsi="宋体" w:eastAsia="宋体" w:cs="宋体"/>
          <w:kern w:val="2"/>
          <w:sz w:val="24"/>
          <w:szCs w:val="24"/>
          <w:highlight w:val="none"/>
          <w:lang w:val="zh-CN" w:eastAsia="zh-CN"/>
        </w:rPr>
        <w:t>称：</w:t>
      </w:r>
      <w:r>
        <w:rPr>
          <w:rFonts w:hint="eastAsia" w:ascii="宋体" w:hAnsi="宋体" w:eastAsia="宋体" w:cs="宋体"/>
          <w:kern w:val="2"/>
          <w:sz w:val="24"/>
          <w:szCs w:val="24"/>
          <w:highlight w:val="none"/>
          <w:lang w:val="en-US" w:eastAsia="zh-CN"/>
        </w:rPr>
        <w:t>吉林省森林消防总队</w:t>
      </w:r>
    </w:p>
    <w:p>
      <w:pPr>
        <w:tabs>
          <w:tab w:val="left" w:pos="432"/>
        </w:tabs>
        <w:spacing w:line="310" w:lineRule="exact"/>
        <w:ind w:firstLine="431"/>
        <w:jc w:val="both"/>
        <w:rPr>
          <w:rFonts w:hint="eastAsia" w:ascii="宋体" w:hAnsi="宋体" w:eastAsia="宋体" w:cs="宋体"/>
          <w:kern w:val="2"/>
          <w:sz w:val="24"/>
          <w:szCs w:val="24"/>
          <w:highlight w:val="none"/>
          <w:lang w:val="zh-CN" w:eastAsia="zh-CN"/>
        </w:rPr>
      </w:pPr>
      <w:r>
        <w:rPr>
          <w:rFonts w:hint="eastAsia" w:ascii="宋体" w:hAnsi="宋体" w:eastAsia="宋体" w:cs="宋体"/>
          <w:kern w:val="2"/>
          <w:sz w:val="24"/>
          <w:szCs w:val="24"/>
          <w:highlight w:val="none"/>
          <w:lang w:val="zh-CN" w:eastAsia="zh-CN"/>
        </w:rPr>
        <w:t>地    址：长春市自由大路5070号</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bookmarkStart w:id="49" w:name="_Toc28359020"/>
      <w:bookmarkStart w:id="50" w:name="_Toc35393807"/>
      <w:bookmarkStart w:id="51" w:name="_Toc28359097"/>
      <w:bookmarkStart w:id="52" w:name="_Toc35393638"/>
      <w:r>
        <w:rPr>
          <w:rFonts w:hint="eastAsia" w:ascii="宋体" w:hAnsi="宋体" w:eastAsia="宋体" w:cs="宋体"/>
          <w:kern w:val="2"/>
          <w:sz w:val="24"/>
          <w:szCs w:val="24"/>
          <w:highlight w:val="none"/>
          <w:lang w:val="zh-CN" w:eastAsia="zh-CN"/>
        </w:rPr>
        <w:t>联 系 人：邵先生</w:t>
      </w:r>
    </w:p>
    <w:p>
      <w:pPr>
        <w:tabs>
          <w:tab w:val="left" w:pos="432"/>
        </w:tabs>
        <w:spacing w:line="310" w:lineRule="exact"/>
        <w:ind w:firstLine="431"/>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zh-CN" w:eastAsia="zh-CN"/>
        </w:rPr>
        <w:t>联系方式：</w:t>
      </w:r>
      <w:r>
        <w:rPr>
          <w:rFonts w:hint="eastAsia" w:ascii="宋体" w:hAnsi="宋体" w:eastAsia="宋体" w:cs="宋体"/>
          <w:kern w:val="2"/>
          <w:sz w:val="24"/>
          <w:szCs w:val="24"/>
          <w:highlight w:val="none"/>
          <w:lang w:val="en-US" w:eastAsia="zh-CN"/>
        </w:rPr>
        <w:t>0431-85889999</w:t>
      </w:r>
    </w:p>
    <w:p>
      <w:pPr>
        <w:tabs>
          <w:tab w:val="left" w:pos="432"/>
        </w:tabs>
        <w:spacing w:line="310" w:lineRule="exact"/>
        <w:ind w:firstLine="431"/>
        <w:jc w:val="both"/>
        <w:outlineLvl w:val="2"/>
        <w:rPr>
          <w:rFonts w:hint="eastAsia" w:ascii="宋体" w:hAnsi="宋体" w:eastAsia="宋体" w:cs="宋体"/>
          <w:kern w:val="2"/>
          <w:sz w:val="24"/>
          <w:szCs w:val="24"/>
          <w:lang w:val="zh-CN" w:eastAsia="zh-CN"/>
        </w:rPr>
      </w:pPr>
      <w:bookmarkStart w:id="53" w:name="_Toc23096"/>
      <w:r>
        <w:rPr>
          <w:rFonts w:hint="eastAsia" w:ascii="宋体" w:hAnsi="宋体" w:eastAsia="宋体" w:cs="宋体"/>
          <w:kern w:val="2"/>
          <w:sz w:val="24"/>
          <w:szCs w:val="24"/>
          <w:lang w:val="zh-CN" w:eastAsia="zh-CN"/>
        </w:rPr>
        <w:t>2.采购代理机构信息</w:t>
      </w:r>
      <w:bookmarkEnd w:id="49"/>
      <w:bookmarkEnd w:id="50"/>
      <w:bookmarkEnd w:id="51"/>
      <w:bookmarkEnd w:id="52"/>
      <w:bookmarkEnd w:id="53"/>
    </w:p>
    <w:p>
      <w:pPr>
        <w:tabs>
          <w:tab w:val="left" w:pos="432"/>
        </w:tabs>
        <w:spacing w:line="310" w:lineRule="exact"/>
        <w:ind w:firstLine="431"/>
        <w:jc w:val="both"/>
        <w:outlineLvl w:val="2"/>
        <w:rPr>
          <w:rFonts w:hint="eastAsia" w:ascii="宋体" w:hAnsi="宋体" w:eastAsia="宋体" w:cs="宋体"/>
          <w:kern w:val="2"/>
          <w:sz w:val="24"/>
          <w:szCs w:val="24"/>
          <w:lang w:val="zh-CN" w:eastAsia="zh-CN"/>
        </w:rPr>
      </w:pPr>
      <w:bookmarkStart w:id="54" w:name="_Toc35393639"/>
      <w:bookmarkStart w:id="55" w:name="_Toc28359021"/>
      <w:bookmarkStart w:id="56" w:name="_Toc35393808"/>
      <w:bookmarkStart w:id="57" w:name="_Toc28359098"/>
      <w:r>
        <w:rPr>
          <w:rFonts w:hint="eastAsia" w:ascii="宋体" w:hAnsi="宋体" w:eastAsia="宋体" w:cs="宋体"/>
          <w:kern w:val="2"/>
          <w:sz w:val="24"/>
          <w:szCs w:val="24"/>
          <w:lang w:val="zh-CN" w:eastAsia="zh-CN"/>
        </w:rPr>
        <w:t>名    称：</w:t>
      </w:r>
      <w:r>
        <w:rPr>
          <w:rFonts w:hint="eastAsia" w:ascii="宋体" w:hAnsi="宋体" w:eastAsia="宋体" w:cs="宋体"/>
          <w:kern w:val="2"/>
          <w:sz w:val="24"/>
          <w:szCs w:val="24"/>
          <w:lang w:val="en-US" w:eastAsia="zh-CN"/>
        </w:rPr>
        <w:t>吉林省光宇工程项目管理咨询有限公司</w:t>
      </w:r>
      <w:r>
        <w:rPr>
          <w:rFonts w:hint="eastAsia" w:ascii="宋体" w:hAnsi="宋体" w:eastAsia="宋体" w:cs="宋体"/>
          <w:kern w:val="2"/>
          <w:sz w:val="24"/>
          <w:szCs w:val="24"/>
          <w:lang w:val="zh-CN" w:eastAsia="zh-CN"/>
        </w:rPr>
        <w:t>　　　　　　　　　　</w:t>
      </w:r>
    </w:p>
    <w:p>
      <w:pPr>
        <w:tabs>
          <w:tab w:val="left" w:pos="432"/>
        </w:tabs>
        <w:spacing w:line="310" w:lineRule="exact"/>
        <w:ind w:firstLine="431"/>
        <w:jc w:val="both"/>
        <w:outlineLvl w:val="2"/>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地　　址：</w:t>
      </w:r>
      <w:r>
        <w:rPr>
          <w:rFonts w:hint="eastAsia" w:ascii="宋体" w:hAnsi="宋体" w:eastAsia="宋体" w:cs="宋体"/>
          <w:kern w:val="2"/>
          <w:sz w:val="24"/>
          <w:szCs w:val="24"/>
          <w:lang w:val="en-US" w:eastAsia="zh-CN"/>
        </w:rPr>
        <w:t>长春市绿园区西安大路与普阳街交汇星海国际1栋1单元7楼</w:t>
      </w:r>
    </w:p>
    <w:p>
      <w:pPr>
        <w:tabs>
          <w:tab w:val="left" w:pos="432"/>
        </w:tabs>
        <w:spacing w:line="310" w:lineRule="exact"/>
        <w:ind w:firstLine="431"/>
        <w:jc w:val="both"/>
        <w:outlineLvl w:val="2"/>
        <w:rPr>
          <w:rFonts w:hint="eastAsia" w:ascii="宋体" w:hAnsi="宋体" w:eastAsia="宋体" w:cs="宋体"/>
          <w:kern w:val="2"/>
          <w:sz w:val="24"/>
          <w:szCs w:val="24"/>
          <w:highlight w:val="none"/>
          <w:lang w:val="zh-CN" w:eastAsia="zh-CN"/>
        </w:rPr>
      </w:pPr>
      <w:r>
        <w:rPr>
          <w:rFonts w:hint="eastAsia" w:ascii="宋体" w:hAnsi="宋体" w:eastAsia="宋体" w:cs="宋体"/>
          <w:kern w:val="2"/>
          <w:sz w:val="24"/>
          <w:szCs w:val="24"/>
          <w:lang w:val="zh-CN" w:eastAsia="zh-CN"/>
        </w:rPr>
        <w:t>联 系 人</w:t>
      </w:r>
      <w:r>
        <w:rPr>
          <w:rFonts w:hint="eastAsia" w:ascii="宋体" w:hAnsi="宋体" w:eastAsia="宋体" w:cs="宋体"/>
          <w:kern w:val="2"/>
          <w:sz w:val="24"/>
          <w:szCs w:val="24"/>
          <w:highlight w:val="none"/>
          <w:lang w:val="zh-CN" w:eastAsia="zh-CN"/>
        </w:rPr>
        <w:t>：</w:t>
      </w:r>
      <w:r>
        <w:rPr>
          <w:rFonts w:hint="eastAsia" w:ascii="宋体" w:hAnsi="宋体" w:eastAsia="宋体" w:cs="宋体"/>
          <w:kern w:val="2"/>
          <w:sz w:val="24"/>
          <w:szCs w:val="24"/>
          <w:highlight w:val="none"/>
          <w:lang w:val="en-US" w:eastAsia="zh-CN"/>
        </w:rPr>
        <w:t>田颖</w:t>
      </w:r>
      <w:r>
        <w:rPr>
          <w:rFonts w:hint="eastAsia" w:ascii="宋体" w:hAnsi="宋体" w:eastAsia="宋体" w:cs="宋体"/>
          <w:kern w:val="2"/>
          <w:sz w:val="24"/>
          <w:szCs w:val="24"/>
          <w:highlight w:val="none"/>
          <w:lang w:val="zh-CN" w:eastAsia="zh-CN"/>
        </w:rPr>
        <w:t>　　　　　　　　　　</w:t>
      </w:r>
    </w:p>
    <w:p>
      <w:pPr>
        <w:tabs>
          <w:tab w:val="left" w:pos="432"/>
        </w:tabs>
        <w:spacing w:line="310" w:lineRule="exact"/>
        <w:ind w:firstLine="431"/>
        <w:jc w:val="both"/>
        <w:outlineLvl w:val="2"/>
        <w:rPr>
          <w:rFonts w:hint="eastAsia" w:ascii="宋体" w:hAnsi="宋体" w:eastAsia="宋体" w:cs="宋体"/>
          <w:kern w:val="2"/>
          <w:sz w:val="24"/>
          <w:szCs w:val="24"/>
          <w:highlight w:val="none"/>
          <w:lang w:val="zh-CN" w:eastAsia="zh-CN"/>
        </w:rPr>
      </w:pPr>
      <w:r>
        <w:rPr>
          <w:rFonts w:hint="eastAsia" w:ascii="宋体" w:hAnsi="宋体" w:eastAsia="宋体" w:cs="宋体"/>
          <w:kern w:val="2"/>
          <w:sz w:val="24"/>
          <w:szCs w:val="24"/>
          <w:highlight w:val="none"/>
          <w:lang w:val="zh-CN" w:eastAsia="zh-CN"/>
        </w:rPr>
        <w:t>联系方式：13844131890</w:t>
      </w:r>
    </w:p>
    <w:p>
      <w:pPr>
        <w:tabs>
          <w:tab w:val="left" w:pos="432"/>
        </w:tabs>
        <w:spacing w:line="310" w:lineRule="exact"/>
        <w:ind w:firstLine="431"/>
        <w:jc w:val="both"/>
        <w:outlineLvl w:val="2"/>
        <w:rPr>
          <w:rFonts w:hint="eastAsia" w:ascii="宋体" w:hAnsi="宋体" w:eastAsia="宋体" w:cs="宋体"/>
          <w:kern w:val="2"/>
          <w:sz w:val="24"/>
          <w:szCs w:val="24"/>
          <w:highlight w:val="none"/>
          <w:lang w:val="zh-CN" w:eastAsia="zh-CN"/>
        </w:rPr>
      </w:pPr>
      <w:bookmarkStart w:id="58" w:name="_Toc13122"/>
      <w:r>
        <w:rPr>
          <w:rFonts w:hint="eastAsia" w:ascii="宋体" w:hAnsi="宋体" w:eastAsia="宋体" w:cs="宋体"/>
          <w:kern w:val="2"/>
          <w:sz w:val="24"/>
          <w:szCs w:val="24"/>
          <w:highlight w:val="none"/>
          <w:lang w:val="zh-CN" w:eastAsia="zh-CN"/>
        </w:rPr>
        <w:t>3.项目联系方式</w:t>
      </w:r>
      <w:bookmarkEnd w:id="54"/>
      <w:bookmarkEnd w:id="55"/>
      <w:bookmarkEnd w:id="56"/>
      <w:bookmarkEnd w:id="57"/>
      <w:bookmarkEnd w:id="58"/>
    </w:p>
    <w:p>
      <w:pPr>
        <w:tabs>
          <w:tab w:val="left" w:pos="432"/>
        </w:tabs>
        <w:spacing w:line="310" w:lineRule="exact"/>
        <w:ind w:firstLine="431"/>
        <w:jc w:val="both"/>
        <w:outlineLvl w:val="2"/>
        <w:rPr>
          <w:rFonts w:hint="eastAsia" w:ascii="宋体" w:hAnsi="宋体" w:eastAsia="宋体" w:cs="宋体"/>
          <w:kern w:val="2"/>
          <w:sz w:val="24"/>
          <w:szCs w:val="24"/>
          <w:highlight w:val="none"/>
          <w:lang w:val="zh-CN" w:eastAsia="zh-CN"/>
        </w:rPr>
      </w:pPr>
      <w:r>
        <w:rPr>
          <w:rFonts w:hint="eastAsia" w:ascii="宋体" w:hAnsi="宋体" w:eastAsia="宋体" w:cs="宋体"/>
          <w:kern w:val="2"/>
          <w:sz w:val="24"/>
          <w:szCs w:val="24"/>
          <w:highlight w:val="none"/>
          <w:lang w:val="zh-CN" w:eastAsia="zh-CN"/>
        </w:rPr>
        <w:t>项目联系人：</w:t>
      </w:r>
      <w:r>
        <w:rPr>
          <w:rFonts w:hint="eastAsia" w:ascii="宋体" w:hAnsi="宋体" w:eastAsia="宋体" w:cs="宋体"/>
          <w:kern w:val="2"/>
          <w:sz w:val="24"/>
          <w:szCs w:val="24"/>
          <w:highlight w:val="none"/>
          <w:lang w:val="en-US" w:eastAsia="zh-CN"/>
        </w:rPr>
        <w:t>田颖</w:t>
      </w:r>
    </w:p>
    <w:p>
      <w:pPr>
        <w:tabs>
          <w:tab w:val="left" w:pos="432"/>
        </w:tabs>
        <w:spacing w:line="310" w:lineRule="exact"/>
        <w:ind w:firstLine="431"/>
        <w:jc w:val="both"/>
        <w:outlineLvl w:val="2"/>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电　　 话：13844131890</w:t>
      </w:r>
    </w:p>
    <w:p>
      <w:pPr>
        <w:tabs>
          <w:tab w:val="left" w:pos="432"/>
        </w:tabs>
        <w:spacing w:line="310" w:lineRule="exact"/>
        <w:ind w:firstLine="431"/>
        <w:jc w:val="both"/>
        <w:rPr>
          <w:rFonts w:hint="eastAsia" w:ascii="宋体" w:hAnsi="宋体" w:eastAsia="宋体" w:cs="宋体"/>
          <w:kern w:val="2"/>
          <w:sz w:val="20"/>
          <w:szCs w:val="20"/>
          <w:lang w:val="zh-CN" w:eastAsia="zh-CN"/>
        </w:rPr>
      </w:pPr>
    </w:p>
    <w:p>
      <w:pPr>
        <w:rPr>
          <w:rFonts w:hint="eastAsia" w:ascii="宋体" w:hAnsi="宋体" w:eastAsia="宋体" w:cs="Times New Roman"/>
          <w:b/>
          <w:sz w:val="36"/>
          <w:szCs w:val="36"/>
        </w:rPr>
      </w:pPr>
      <w:r>
        <w:rPr>
          <w:rFonts w:hint="eastAsia" w:ascii="宋体" w:hAnsi="宋体" w:eastAsia="宋体" w:cs="Times New Roman"/>
          <w:b/>
          <w:sz w:val="36"/>
          <w:szCs w:val="36"/>
        </w:rPr>
        <w:br w:type="page"/>
      </w:r>
    </w:p>
    <w:p>
      <w:pPr>
        <w:pStyle w:val="2"/>
        <w:bidi w:val="0"/>
      </w:pPr>
      <w:bookmarkStart w:id="59" w:name="_Toc5695"/>
      <w:bookmarkStart w:id="60" w:name="_Toc5541"/>
      <w:r>
        <w:rPr>
          <w:rFonts w:hint="eastAsia"/>
        </w:rPr>
        <w:t>第二章  投标人须知</w:t>
      </w:r>
      <w:bookmarkEnd w:id="59"/>
      <w:bookmarkEnd w:id="60"/>
    </w:p>
    <w:p>
      <w:pPr>
        <w:pStyle w:val="45"/>
        <w:spacing w:beforeLines="100" w:line="240" w:lineRule="auto"/>
        <w:contextualSpacing/>
        <w:jc w:val="center"/>
        <w:rPr>
          <w:rFonts w:ascii="宋体" w:hAnsi="宋体" w:eastAsia="宋体"/>
          <w:sz w:val="24"/>
          <w:szCs w:val="24"/>
        </w:rPr>
      </w:pPr>
      <w:bookmarkStart w:id="61" w:name="_Toc325293410"/>
      <w:bookmarkStart w:id="62" w:name="_Toc476566546"/>
      <w:bookmarkStart w:id="63" w:name="_Toc12843"/>
      <w:r>
        <w:rPr>
          <w:rFonts w:hint="eastAsia" w:ascii="宋体" w:hAnsi="宋体" w:eastAsia="宋体"/>
          <w:sz w:val="24"/>
          <w:szCs w:val="24"/>
        </w:rPr>
        <w:t>投标人须知前附表</w:t>
      </w:r>
      <w:bookmarkEnd w:id="61"/>
      <w:bookmarkEnd w:id="62"/>
      <w:bookmarkEnd w:id="63"/>
    </w:p>
    <w:tbl>
      <w:tblPr>
        <w:tblStyle w:val="25"/>
        <w:tblW w:w="10658" w:type="dxa"/>
        <w:jc w:val="center"/>
        <w:tblLayout w:type="fixed"/>
        <w:tblCellMar>
          <w:top w:w="0" w:type="dxa"/>
          <w:left w:w="108" w:type="dxa"/>
          <w:bottom w:w="0" w:type="dxa"/>
          <w:right w:w="108" w:type="dxa"/>
        </w:tblCellMar>
      </w:tblPr>
      <w:tblGrid>
        <w:gridCol w:w="1139"/>
        <w:gridCol w:w="1826"/>
        <w:gridCol w:w="5324"/>
        <w:gridCol w:w="2369"/>
      </w:tblGrid>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条款号</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条  款  名  称</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编  列  内  容</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1.1.2</w:t>
            </w:r>
          </w:p>
        </w:tc>
        <w:tc>
          <w:tcPr>
            <w:tcW w:w="1826" w:type="dxa"/>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采 购 人：吉林省森林消防总队</w:t>
            </w:r>
          </w:p>
          <w:p>
            <w:pPr>
              <w:pStyle w:val="47"/>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地    址：长春市自由大路5070号</w:t>
            </w:r>
          </w:p>
          <w:p>
            <w:pPr>
              <w:pStyle w:val="47"/>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联 系 人：邵先生</w:t>
            </w:r>
          </w:p>
          <w:p>
            <w:pPr>
              <w:pStyle w:val="47"/>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r>
              <w:rPr>
                <w:rFonts w:hint="eastAsia" w:ascii="宋体" w:hAnsi="宋体" w:eastAsia="宋体" w:cs="宋体"/>
                <w:b w:val="0"/>
                <w:sz w:val="24"/>
                <w:szCs w:val="24"/>
                <w:highlight w:val="none"/>
                <w:lang w:val="en-US" w:eastAsia="zh-CN"/>
              </w:rPr>
              <w:t>联系电话：</w:t>
            </w:r>
            <w:r>
              <w:rPr>
                <w:rFonts w:hint="eastAsia" w:ascii="宋体" w:hAnsi="宋体" w:eastAsia="宋体" w:cs="宋体"/>
                <w:kern w:val="2"/>
                <w:sz w:val="24"/>
                <w:szCs w:val="24"/>
                <w:highlight w:val="none"/>
                <w:lang w:val="en-US" w:eastAsia="zh-CN"/>
              </w:rPr>
              <w:t>0431-85889999</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1.1.3</w:t>
            </w:r>
          </w:p>
        </w:tc>
        <w:tc>
          <w:tcPr>
            <w:tcW w:w="1826" w:type="dxa"/>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采购代理机构</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采购代理机构：吉林省光宇工程项目管理咨询有限公司</w:t>
            </w:r>
            <w:r>
              <w:rPr>
                <w:rFonts w:hint="eastAsia" w:ascii="宋体" w:hAnsi="宋体" w:eastAsia="宋体" w:cs="宋体"/>
                <w:color w:val="auto"/>
                <w:sz w:val="24"/>
                <w:szCs w:val="24"/>
                <w:highlight w:val="none"/>
                <w:lang w:val="en-US" w:eastAsia="zh-CN"/>
              </w:rPr>
              <w:tab/>
            </w:r>
          </w:p>
          <w:p>
            <w:pPr>
              <w:pStyle w:val="47"/>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地址：长春市绿园区西安大路与普阳街交汇星海国际1栋1单元7楼</w:t>
            </w:r>
          </w:p>
          <w:p>
            <w:pPr>
              <w:pStyle w:val="47"/>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eastAsia="宋体" w:cs="宋体"/>
                <w:b w:val="0"/>
                <w:bCs w:val="0"/>
                <w:color w:val="auto"/>
                <w:sz w:val="24"/>
                <w:szCs w:val="24"/>
                <w:highlight w:val="none"/>
                <w:lang w:val="en-US" w:eastAsia="zh-CN"/>
              </w:rPr>
              <w:t>：田颖</w:t>
            </w:r>
          </w:p>
          <w:p>
            <w:pPr>
              <w:pStyle w:val="47"/>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eastAsia="宋体" w:cs="宋体"/>
                <w:color w:val="auto"/>
                <w:sz w:val="24"/>
                <w:szCs w:val="24"/>
                <w:highlight w:val="none"/>
                <w:lang w:val="zh-CN" w:eastAsia="zh-CN"/>
              </w:rPr>
              <w:t>13844131890</w:t>
            </w:r>
          </w:p>
        </w:tc>
      </w:tr>
      <w:tr>
        <w:tblPrEx>
          <w:tblCellMar>
            <w:top w:w="0" w:type="dxa"/>
            <w:left w:w="108" w:type="dxa"/>
            <w:bottom w:w="0" w:type="dxa"/>
            <w:right w:w="108" w:type="dxa"/>
          </w:tblCellMar>
        </w:tblPrEx>
        <w:trPr>
          <w:trHeight w:val="23" w:hRule="atLeast"/>
          <w:jc w:val="center"/>
        </w:trPr>
        <w:tc>
          <w:tcPr>
            <w:tcW w:w="1139" w:type="dxa"/>
            <w:vMerge w:val="restart"/>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1.1.4</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none"/>
                <w:lang w:val="en-US" w:eastAsia="zh-CN"/>
              </w:rPr>
              <w:t>吉林省森林消防总队《国家综合性消防救援队伍机动力量核心攻坚能力提升工程项目》森林灭火单兵防护装备项目</w:t>
            </w:r>
          </w:p>
        </w:tc>
      </w:tr>
      <w:tr>
        <w:tblPrEx>
          <w:tblCellMar>
            <w:top w:w="0" w:type="dxa"/>
            <w:left w:w="108" w:type="dxa"/>
            <w:bottom w:w="0" w:type="dxa"/>
            <w:right w:w="108" w:type="dxa"/>
          </w:tblCellMar>
        </w:tblPrEx>
        <w:trPr>
          <w:trHeight w:val="23"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JLGY-2024-1001HW</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restart"/>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none"/>
                <w:lang w:val="en-US" w:eastAsia="zh-CN"/>
              </w:rPr>
              <w:t>标段名称及标段编号</w:t>
            </w:r>
          </w:p>
        </w:tc>
        <w:tc>
          <w:tcPr>
            <w:tcW w:w="5324"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标段名称</w:t>
            </w:r>
          </w:p>
        </w:tc>
        <w:tc>
          <w:tcPr>
            <w:tcW w:w="236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标段编号</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吉林省森林消防总队《国家综合性消防救援队伍机动力量核心攻坚能力提升工程项目》森林灭火单兵防护装备项目（1包：森林灭火防护头盔、佩戴式头灯）</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JLGY-2024-1001HW（1）</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吉林省森林消防总队《国家综合性消防救援队伍机动力量核心攻坚能力提升工程项目》森林灭火单兵防护装备项目（2包：森林灭火防护眼镜）</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JLGY-2024-1001HW（2）</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吉林省森林消防总队《国家综合性消防救援队伍机动力量核心攻坚能力提升工程项目》森林灭火单兵防护装备项目（3包：森林灭火防护头套、森林灭火防护作训帽、</w:t>
            </w:r>
            <w:r>
              <w:rPr>
                <w:rFonts w:hint="eastAsia" w:ascii="宋体" w:hAnsi="宋体" w:eastAsia="宋体" w:cs="宋体"/>
                <w:sz w:val="24"/>
                <w:szCs w:val="24"/>
                <w:highlight w:val="none"/>
                <w:u w:val="none"/>
                <w:lang w:val="en-US" w:eastAsia="zh-CN"/>
              </w:rPr>
              <w:t>森林灭火防护服</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sz w:val="24"/>
                <w:szCs w:val="24"/>
                <w:highlight w:val="none"/>
                <w:u w:val="none"/>
                <w:lang w:val="en-US" w:eastAsia="zh-CN"/>
              </w:rPr>
              <w:t>森林灭火防护服内胆</w:t>
            </w:r>
            <w:r>
              <w:rPr>
                <w:rFonts w:hint="eastAsia" w:ascii="宋体" w:hAnsi="宋体" w:eastAsia="宋体" w:cs="宋体"/>
                <w:kern w:val="2"/>
                <w:sz w:val="24"/>
                <w:szCs w:val="24"/>
                <w:highlight w:val="none"/>
                <w:vertAlign w:val="baseline"/>
                <w:lang w:val="en-US" w:eastAsia="zh-CN"/>
              </w:rPr>
              <w:t>）</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JLGY-2024-1001HW（3）</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吉林省森林消防总队《国家综合性消防救援队伍机动力量核心攻坚能力提升工程项目》森林灭火单兵防护装备项目（4包：森林灭火防护靴）</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JLGY-2024-1001HW（4）</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吉林省森林消防总队《国家综合性消防救援队伍机动力量核心攻坚能力提升工程项目》森林灭火单兵防护装备项目（5包：森林灭火防护外腰带、22多功能水壶）</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JLGY-2024-1001HW（5）</w:t>
            </w:r>
          </w:p>
        </w:tc>
      </w:tr>
      <w:tr>
        <w:tblPrEx>
          <w:tblCellMar>
            <w:top w:w="0" w:type="dxa"/>
            <w:left w:w="108" w:type="dxa"/>
            <w:bottom w:w="0" w:type="dxa"/>
            <w:right w:w="108" w:type="dxa"/>
          </w:tblCellMar>
        </w:tblPrEx>
        <w:trPr>
          <w:trHeight w:val="400"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吉林省森林消防总队《国家综合性消防救援队伍机动力量核心攻坚能力提升工程项目》森林灭火单兵防护装备项目（6包：携行背心）</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JLGY-2024-1001HW（6）</w:t>
            </w:r>
          </w:p>
        </w:tc>
      </w:tr>
      <w:tr>
        <w:tblPrEx>
          <w:tblCellMar>
            <w:top w:w="0" w:type="dxa"/>
            <w:left w:w="108" w:type="dxa"/>
            <w:bottom w:w="0" w:type="dxa"/>
            <w:right w:w="108" w:type="dxa"/>
          </w:tblCellMar>
        </w:tblPrEx>
        <w:trPr>
          <w:trHeight w:val="427"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p>
        </w:tc>
        <w:tc>
          <w:tcPr>
            <w:tcW w:w="1826"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green"/>
                <w:lang w:val="en-US" w:eastAsia="zh-CN"/>
              </w:rPr>
            </w:pPr>
          </w:p>
        </w:tc>
        <w:tc>
          <w:tcPr>
            <w:tcW w:w="5324" w:type="dxa"/>
            <w:tcBorders>
              <w:top w:val="single" w:color="auto" w:sz="4" w:space="0"/>
              <w:left w:val="single" w:color="auto" w:sz="4" w:space="0"/>
              <w:bottom w:val="single" w:color="auto" w:sz="4" w:space="0"/>
              <w:right w:val="single" w:color="auto" w:sz="4" w:space="0"/>
            </w:tcBorders>
            <w:vAlign w:val="top"/>
          </w:tcPr>
          <w:p>
            <w:pPr>
              <w:tabs>
                <w:tab w:val="left" w:pos="432"/>
              </w:tabs>
              <w:spacing w:line="310" w:lineRule="exact"/>
              <w:jc w:val="center"/>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吉林省森林消防总队《国家综合性消防救援队伍机动力量核心攻坚能力提升工程项目》森林灭火单兵防护装备项目（7包：森林灭火防护手套）</w:t>
            </w: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432"/>
              </w:tabs>
              <w:spacing w:line="310" w:lineRule="exact"/>
              <w:jc w:val="center"/>
              <w:rPr>
                <w:rFonts w:hint="eastAsia" w:ascii="宋体" w:hAnsi="宋体" w:eastAsia="宋体" w:cs="宋体"/>
                <w:sz w:val="24"/>
                <w:szCs w:val="24"/>
                <w:lang w:eastAsia="zh-CN"/>
              </w:rPr>
            </w:pPr>
            <w:r>
              <w:rPr>
                <w:rFonts w:hint="eastAsia" w:ascii="宋体" w:hAnsi="宋体" w:eastAsia="宋体" w:cs="宋体"/>
                <w:kern w:val="2"/>
                <w:sz w:val="24"/>
                <w:szCs w:val="24"/>
                <w:highlight w:val="none"/>
                <w:vertAlign w:val="baseline"/>
                <w:lang w:val="en-US" w:eastAsia="zh-CN"/>
              </w:rPr>
              <w:t>JLGY-2024-1001HW（7）</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1.1.5</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地点</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采购人指定地点。</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2023年增发国债资金。</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1.2.2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出资比例</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100%</w:t>
            </w:r>
            <w:r>
              <w:rPr>
                <w:rFonts w:hint="eastAsia" w:ascii="宋体" w:hAnsi="宋体" w:eastAsia="宋体" w:cs="宋体"/>
                <w:sz w:val="24"/>
                <w:szCs w:val="24"/>
                <w:highlight w:val="none"/>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1.2.3</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资金落实情况</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已落实</w:t>
            </w:r>
            <w:r>
              <w:rPr>
                <w:rFonts w:hint="eastAsia" w:ascii="宋体" w:hAnsi="宋体" w:eastAsia="宋体" w:cs="宋体"/>
                <w:sz w:val="24"/>
                <w:szCs w:val="24"/>
                <w:highlight w:val="none"/>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招标范围</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采购森林灭火单兵防护装备，具体内容详见招标文件第五章采购需求。</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1.3.2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val="en-US" w:eastAsia="zh-CN"/>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供货期</w:t>
            </w:r>
            <w:r>
              <w:rPr>
                <w:rFonts w:hint="eastAsia" w:ascii="宋体" w:hAnsi="宋体" w:eastAsia="宋体" w:cs="宋体"/>
                <w:sz w:val="24"/>
                <w:szCs w:val="24"/>
                <w:highlight w:val="none"/>
                <w:lang w:eastAsia="zh-CN"/>
              </w:rPr>
              <w:t>）</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yellow"/>
                <w:lang w:val="en-US" w:eastAsia="zh-CN"/>
              </w:rPr>
            </w:pPr>
            <w:r>
              <w:rPr>
                <w:rFonts w:hint="eastAsia" w:ascii="宋体" w:hAnsi="宋体" w:eastAsia="宋体" w:cs="宋体"/>
                <w:kern w:val="2"/>
                <w:sz w:val="24"/>
                <w:szCs w:val="24"/>
                <w:highlight w:val="none"/>
                <w:lang w:val="en-US" w:eastAsia="zh-CN"/>
              </w:rPr>
              <w:t>合同签订后90日内完成供货。</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1.3.3</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质量</w:t>
            </w:r>
            <w:r>
              <w:rPr>
                <w:rFonts w:hint="eastAsia" w:ascii="宋体" w:hAnsi="宋体" w:eastAsia="宋体" w:cs="宋体"/>
                <w:sz w:val="24"/>
                <w:szCs w:val="24"/>
                <w:highlight w:val="none"/>
              </w:rPr>
              <w:t>标准</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符合国家及相关行业规定的合格标准</w:t>
            </w:r>
            <w:r>
              <w:rPr>
                <w:rFonts w:hint="eastAsia" w:ascii="宋体" w:hAnsi="宋体" w:eastAsia="宋体" w:cs="宋体"/>
                <w:b w:val="0"/>
                <w:bCs/>
                <w:sz w:val="24"/>
                <w:szCs w:val="24"/>
                <w:highlight w:val="none"/>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1.4.1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rPr>
            </w:pPr>
            <w:r>
              <w:rPr>
                <w:rFonts w:hint="eastAsia" w:ascii="宋体" w:hAnsi="宋体" w:eastAsia="宋体" w:cs="宋体"/>
                <w:sz w:val="24"/>
                <w:szCs w:val="24"/>
              </w:rPr>
              <w:t>投标人资质条件、能力和信誉</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1.符合《中华人民共和国政府采购法》第二十二条规定的条件。</w:t>
            </w:r>
          </w:p>
          <w:p>
            <w:pPr>
              <w:rPr>
                <w:rFonts w:hint="eastAsia" w:ascii="宋体" w:hAnsi="宋体" w:eastAsia="宋体" w:cs="宋体"/>
                <w:sz w:val="24"/>
                <w:szCs w:val="24"/>
                <w:highlight w:val="none"/>
                <w:lang w:val="zh-CN" w:eastAsia="zh-CN"/>
              </w:rPr>
            </w:pPr>
            <w:r>
              <w:rPr>
                <w:rFonts w:hint="eastAsia" w:ascii="宋体" w:hAnsi="宋体" w:eastAsia="宋体" w:cs="宋体"/>
                <w:sz w:val="24"/>
                <w:szCs w:val="24"/>
                <w:lang w:val="zh-CN" w:eastAsia="zh-CN"/>
              </w:rPr>
              <w:t>2.落实政府采购政策需满足的资格要求：</w:t>
            </w:r>
            <w:r>
              <w:rPr>
                <w:rFonts w:hint="eastAsia" w:ascii="宋体" w:hAnsi="宋体" w:eastAsia="宋体" w:cs="宋体"/>
                <w:sz w:val="24"/>
                <w:szCs w:val="24"/>
                <w:highlight w:val="none"/>
                <w:lang w:val="en-US" w:eastAsia="zh-CN"/>
              </w:rPr>
              <w:t>本项目非专门面向中小企业采购</w:t>
            </w:r>
            <w:r>
              <w:rPr>
                <w:rFonts w:hint="eastAsia" w:ascii="宋体" w:hAnsi="宋体" w:eastAsia="宋体" w:cs="宋体"/>
                <w:sz w:val="24"/>
                <w:szCs w:val="24"/>
                <w:highlight w:val="none"/>
                <w:lang w:val="zh-CN" w:eastAsia="zh-CN"/>
              </w:rPr>
              <w:t>，具体内容详见</w:t>
            </w:r>
            <w:r>
              <w:rPr>
                <w:rFonts w:hint="eastAsia" w:ascii="宋体" w:hAnsi="宋体" w:eastAsia="宋体" w:cs="宋体"/>
                <w:sz w:val="24"/>
                <w:szCs w:val="24"/>
                <w:highlight w:val="none"/>
                <w:lang w:val="en-US" w:eastAsia="zh-CN"/>
              </w:rPr>
              <w:t>招标文件</w:t>
            </w:r>
            <w:r>
              <w:rPr>
                <w:rFonts w:hint="eastAsia" w:ascii="宋体" w:hAnsi="宋体" w:eastAsia="宋体" w:cs="宋体"/>
                <w:sz w:val="24"/>
                <w:szCs w:val="24"/>
                <w:highlight w:val="none"/>
                <w:lang w:val="zh-CN" w:eastAsia="zh-CN"/>
              </w:rPr>
              <w:t>。</w:t>
            </w:r>
          </w:p>
          <w:p>
            <w:pPr>
              <w:widowControl/>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3.</w:t>
            </w: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lang w:val="zh-CN" w:eastAsia="zh-CN"/>
              </w:rPr>
              <w:t>的特定资格要求：</w:t>
            </w:r>
            <w:r>
              <w:rPr>
                <w:rFonts w:hint="eastAsia" w:ascii="宋体" w:hAnsi="宋体" w:eastAsia="宋体" w:cs="宋体"/>
                <w:sz w:val="24"/>
                <w:szCs w:val="24"/>
                <w:highlight w:val="none"/>
                <w:lang w:val="en-US" w:eastAsia="zh-CN"/>
              </w:rPr>
              <w:t>无。</w:t>
            </w:r>
          </w:p>
          <w:p>
            <w:pPr>
              <w:widowControl/>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4.其他要求：</w:t>
            </w:r>
          </w:p>
          <w:p>
            <w:pPr>
              <w:keepNext w:val="0"/>
              <w:keepLines w:val="0"/>
              <w:pageBreakBefore w:val="0"/>
              <w:widowControl/>
              <w:kinsoku/>
              <w:wordWrap w:val="0"/>
              <w:overflowPunct/>
              <w:topLinePunct w:val="0"/>
              <w:autoSpaceDE/>
              <w:autoSpaceDN/>
              <w:bidi w:val="0"/>
              <w:adjustRightInd/>
              <w:snapToGrid/>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w:t>
            </w:r>
            <w:r>
              <w:rPr>
                <w:rFonts w:hint="eastAsia" w:ascii="宋体" w:hAnsi="宋体" w:eastAsia="宋体" w:cs="宋体"/>
                <w:bCs/>
                <w:kern w:val="0"/>
                <w:sz w:val="24"/>
                <w:szCs w:val="24"/>
                <w:highlight w:val="none"/>
                <w:lang w:val="en-US" w:eastAsia="zh-CN" w:bidi="ar-S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违反这两款规定的，相关投标均无效。</w:t>
            </w:r>
          </w:p>
          <w:p>
            <w:pPr>
              <w:keepNext w:val="0"/>
              <w:keepLines w:val="0"/>
              <w:pageBreakBefore w:val="0"/>
              <w:widowControl/>
              <w:kinsoku/>
              <w:wordWrap w:val="0"/>
              <w:overflowPunct/>
              <w:topLinePunct w:val="0"/>
              <w:autoSpaceDE/>
              <w:autoSpaceDN/>
              <w:bidi w:val="0"/>
              <w:adjustRightInd/>
              <w:snapToGrid/>
              <w:jc w:val="left"/>
              <w:textAlignment w:val="auto"/>
              <w:rPr>
                <w:rFonts w:hint="eastAsia" w:ascii="宋体" w:hAnsi="宋体" w:eastAsia="宋体" w:cs="宋体"/>
                <w:sz w:val="24"/>
                <w:szCs w:val="24"/>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投标人</w:t>
            </w:r>
            <w:r>
              <w:rPr>
                <w:rFonts w:hint="eastAsia" w:ascii="宋体" w:hAnsi="宋体" w:eastAsia="宋体" w:cs="宋体"/>
                <w:sz w:val="24"/>
                <w:szCs w:val="24"/>
                <w:lang w:val="zh-CN" w:eastAsia="zh-CN"/>
              </w:rPr>
              <w:t>不得为“信用中国”网站（</w:t>
            </w: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"http://www.creditchina.gov.cn/" \t "_blank"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www.creditchina.gov.cn</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）中列入失信被执行人和重大税收违法案件当事人名单（</w:t>
            </w:r>
            <w:r>
              <w:rPr>
                <w:rFonts w:hint="eastAsia" w:ascii="宋体" w:hAnsi="宋体" w:eastAsia="宋体" w:cs="宋体"/>
                <w:sz w:val="24"/>
                <w:szCs w:val="24"/>
                <w:lang w:val="en-US" w:eastAsia="zh-CN"/>
              </w:rPr>
              <w:t>重大税收违法失信主体</w:t>
            </w:r>
            <w:r>
              <w:rPr>
                <w:rFonts w:hint="eastAsia" w:ascii="宋体" w:hAnsi="宋体" w:eastAsia="宋体" w:cs="宋体"/>
                <w:sz w:val="24"/>
                <w:szCs w:val="24"/>
                <w:lang w:val="zh-CN" w:eastAsia="zh-CN"/>
              </w:rPr>
              <w:t>）、政府采购严重违法失信行为记录名单的投标人，不得为中国政府采购网（</w:t>
            </w: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"http://www.ccgp.gov.cn/" \t "_blank"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www.ccgp.gov.cn</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）政府采购严重违法失信行为记录名单中被财政部门禁止参加政府采购活动的投标人（在处罚决定规定的时间和地域范围内）（详见财库【2016】125号文）。</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1.4.2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是否接受联合体投标</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■不接受</w:t>
            </w:r>
            <w:r>
              <w:rPr>
                <w:rFonts w:hint="eastAsia" w:ascii="宋体" w:hAnsi="宋体" w:eastAsia="宋体" w:cs="宋体"/>
                <w:sz w:val="24"/>
                <w:szCs w:val="24"/>
                <w:shd w:val="clear" w:color="auto" w:fill="FFFFFF"/>
                <w:lang w:eastAsia="zh-CN"/>
              </w:rPr>
              <w:t>。</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□接  受，应满足下列要求：联合体资质按照联合体协议约定的分工认定。</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1.9</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标前预备会</w:t>
            </w:r>
            <w:r>
              <w:rPr>
                <w:rFonts w:hint="eastAsia" w:ascii="宋体" w:hAnsi="宋体" w:eastAsia="宋体" w:cs="宋体"/>
                <w:sz w:val="24"/>
                <w:szCs w:val="24"/>
                <w:shd w:val="clear" w:color="auto" w:fill="FFFFFF"/>
                <w:lang w:val="en-US" w:eastAsia="zh-CN"/>
              </w:rPr>
              <w:t>及踏勘</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■不召开</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lang w:val="en-US" w:eastAsia="zh-CN"/>
              </w:rPr>
              <w:t>不组织。</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□召开</w:t>
            </w:r>
            <w:r>
              <w:rPr>
                <w:rFonts w:hint="eastAsia" w:ascii="宋体" w:hAnsi="宋体" w:eastAsia="宋体" w:cs="宋体"/>
                <w:sz w:val="24"/>
                <w:szCs w:val="24"/>
                <w:shd w:val="clear" w:color="auto" w:fill="FFFFFF"/>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2.2.2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val="en-US"/>
              </w:rPr>
            </w:pPr>
            <w:r>
              <w:rPr>
                <w:rFonts w:hint="eastAsia" w:ascii="宋体" w:hAnsi="宋体" w:eastAsia="宋体" w:cs="宋体"/>
                <w:sz w:val="24"/>
                <w:szCs w:val="24"/>
                <w:shd w:val="clear" w:color="auto" w:fill="FFFFFF"/>
                <w:lang w:val="en-US" w:eastAsia="zh-CN"/>
              </w:rPr>
              <w:t>招标文件澄清或修改时间、形式</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在投标截止时间15</w:t>
            </w:r>
            <w:r>
              <w:rPr>
                <w:rFonts w:hint="eastAsia" w:ascii="宋体" w:hAnsi="宋体" w:eastAsia="宋体" w:cs="宋体"/>
                <w:sz w:val="24"/>
                <w:szCs w:val="24"/>
                <w:shd w:val="clear" w:color="auto" w:fill="FFFFFF"/>
                <w:lang w:val="en-US" w:eastAsia="zh-CN"/>
              </w:rPr>
              <w:t>日</w:t>
            </w:r>
            <w:r>
              <w:rPr>
                <w:rFonts w:hint="eastAsia" w:ascii="宋体" w:hAnsi="宋体" w:eastAsia="宋体" w:cs="宋体"/>
                <w:sz w:val="24"/>
                <w:szCs w:val="24"/>
                <w:shd w:val="clear" w:color="auto" w:fill="FFFFFF"/>
              </w:rPr>
              <w:t>前</w:t>
            </w:r>
            <w:r>
              <w:rPr>
                <w:rFonts w:hint="eastAsia" w:ascii="宋体" w:hAnsi="宋体" w:eastAsia="宋体" w:cs="宋体"/>
                <w:sz w:val="24"/>
                <w:szCs w:val="24"/>
                <w:shd w:val="clear" w:color="auto" w:fill="FFFFFF"/>
                <w:lang w:eastAsia="zh-CN"/>
              </w:rPr>
              <w:t>。</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形式：书面形式及公告形式</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2.2.3</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投标人确认收到招标文件澄清的时间</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在收到相应澄清文件后24小时内</w:t>
            </w:r>
            <w:r>
              <w:rPr>
                <w:rFonts w:hint="eastAsia" w:ascii="宋体" w:hAnsi="宋体" w:eastAsia="宋体" w:cs="宋体"/>
                <w:sz w:val="24"/>
                <w:szCs w:val="24"/>
                <w:shd w:val="clear" w:color="auto" w:fill="FFFFFF"/>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2.3.2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投标人确认收到招标文件修改的时间</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在收到相应修改文件后24小时内</w:t>
            </w:r>
            <w:r>
              <w:rPr>
                <w:rFonts w:hint="eastAsia" w:ascii="宋体" w:hAnsi="宋体" w:eastAsia="宋体" w:cs="宋体"/>
                <w:sz w:val="24"/>
                <w:szCs w:val="24"/>
                <w:shd w:val="clear" w:color="auto" w:fill="FFFFFF"/>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3.3.1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投标有效期</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投标截止之日起90天</w:t>
            </w:r>
            <w:r>
              <w:rPr>
                <w:rFonts w:hint="eastAsia" w:ascii="宋体" w:hAnsi="宋体" w:eastAsia="宋体" w:cs="宋体"/>
                <w:sz w:val="24"/>
                <w:szCs w:val="24"/>
                <w:shd w:val="clear" w:color="auto" w:fill="FFFFFF"/>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3.4.1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投标保证金</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投标保证金的金额：</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1包：</w:t>
            </w:r>
            <w:r>
              <w:rPr>
                <w:rFonts w:hint="eastAsia" w:ascii="宋体" w:hAnsi="宋体" w:eastAsia="宋体" w:cs="宋体"/>
                <w:color w:val="000000"/>
                <w:sz w:val="24"/>
                <w:szCs w:val="24"/>
                <w:highlight w:val="none"/>
                <w:u w:val="single"/>
                <w:shd w:val="clear" w:color="auto" w:fill="FFFFFF"/>
                <w:lang w:val="en-US" w:eastAsia="zh-CN"/>
              </w:rPr>
              <w:t xml:space="preserve"> 3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2包：</w:t>
            </w:r>
            <w:r>
              <w:rPr>
                <w:rFonts w:hint="eastAsia" w:ascii="宋体" w:hAnsi="宋体" w:eastAsia="宋体" w:cs="宋体"/>
                <w:color w:val="000000"/>
                <w:sz w:val="24"/>
                <w:szCs w:val="24"/>
                <w:highlight w:val="none"/>
                <w:u w:val="single"/>
                <w:shd w:val="clear" w:color="auto" w:fill="FFFFFF"/>
                <w:lang w:val="en-US" w:eastAsia="zh-CN"/>
              </w:rPr>
              <w:t xml:space="preserve"> 1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3包：</w:t>
            </w:r>
            <w:r>
              <w:rPr>
                <w:rFonts w:hint="eastAsia" w:ascii="宋体" w:hAnsi="宋体" w:eastAsia="宋体" w:cs="宋体"/>
                <w:color w:val="000000"/>
                <w:sz w:val="24"/>
                <w:szCs w:val="24"/>
                <w:highlight w:val="none"/>
                <w:u w:val="single"/>
                <w:shd w:val="clear" w:color="auto" w:fill="FFFFFF"/>
                <w:lang w:val="en-US" w:eastAsia="zh-CN"/>
              </w:rPr>
              <w:t xml:space="preserve"> 5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4包：</w:t>
            </w:r>
            <w:r>
              <w:rPr>
                <w:rFonts w:hint="eastAsia" w:ascii="宋体" w:hAnsi="宋体" w:eastAsia="宋体" w:cs="宋体"/>
                <w:color w:val="000000"/>
                <w:sz w:val="24"/>
                <w:szCs w:val="24"/>
                <w:highlight w:val="none"/>
                <w:u w:val="single"/>
                <w:shd w:val="clear" w:color="auto" w:fill="FFFFFF"/>
                <w:lang w:val="en-US" w:eastAsia="zh-CN"/>
              </w:rPr>
              <w:t xml:space="preserve"> 1.5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5包：</w:t>
            </w:r>
            <w:r>
              <w:rPr>
                <w:rFonts w:hint="eastAsia" w:ascii="宋体" w:hAnsi="宋体" w:eastAsia="宋体" w:cs="宋体"/>
                <w:color w:val="000000"/>
                <w:sz w:val="24"/>
                <w:szCs w:val="24"/>
                <w:highlight w:val="none"/>
                <w:u w:val="single"/>
                <w:shd w:val="clear" w:color="auto" w:fill="FFFFFF"/>
                <w:lang w:val="en-US" w:eastAsia="zh-CN"/>
              </w:rPr>
              <w:t xml:space="preserve">  1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6包：</w:t>
            </w:r>
            <w:r>
              <w:rPr>
                <w:rFonts w:hint="eastAsia" w:ascii="宋体" w:hAnsi="宋体" w:eastAsia="宋体" w:cs="宋体"/>
                <w:color w:val="000000"/>
                <w:sz w:val="24"/>
                <w:szCs w:val="24"/>
                <w:highlight w:val="none"/>
                <w:u w:val="single"/>
                <w:shd w:val="clear" w:color="auto" w:fill="FFFFFF"/>
                <w:lang w:val="en-US" w:eastAsia="zh-CN"/>
              </w:rPr>
              <w:t xml:space="preserve"> 2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u w:val="none"/>
                <w:shd w:val="clear" w:color="auto" w:fill="FFFFFF"/>
                <w:lang w:val="en-US" w:eastAsia="zh-CN"/>
              </w:rPr>
            </w:pPr>
            <w:r>
              <w:rPr>
                <w:rFonts w:hint="eastAsia" w:ascii="宋体" w:hAnsi="宋体" w:eastAsia="宋体" w:cs="宋体"/>
                <w:color w:val="000000"/>
                <w:sz w:val="24"/>
                <w:szCs w:val="24"/>
                <w:highlight w:val="none"/>
                <w:u w:val="none"/>
                <w:shd w:val="clear" w:color="auto" w:fill="FFFFFF"/>
                <w:lang w:val="en-US" w:eastAsia="zh-CN"/>
              </w:rPr>
              <w:t>7包：</w:t>
            </w:r>
            <w:r>
              <w:rPr>
                <w:rFonts w:hint="eastAsia" w:ascii="宋体" w:hAnsi="宋体" w:eastAsia="宋体" w:cs="宋体"/>
                <w:color w:val="000000"/>
                <w:sz w:val="24"/>
                <w:szCs w:val="24"/>
                <w:highlight w:val="none"/>
                <w:u w:val="single"/>
                <w:shd w:val="clear" w:color="auto" w:fill="FFFFFF"/>
                <w:lang w:val="en-US" w:eastAsia="zh-CN"/>
              </w:rPr>
              <w:t xml:space="preserve">0.5 </w:t>
            </w:r>
            <w:r>
              <w:rPr>
                <w:rFonts w:hint="eastAsia" w:ascii="宋体" w:hAnsi="宋体" w:eastAsia="宋体" w:cs="宋体"/>
                <w:color w:val="000000"/>
                <w:sz w:val="24"/>
                <w:szCs w:val="24"/>
                <w:highlight w:val="none"/>
                <w:u w:val="none"/>
                <w:shd w:val="clear" w:color="auto" w:fill="FFFFFF"/>
                <w:lang w:val="en-US" w:eastAsia="zh-CN"/>
              </w:rPr>
              <w:t>万元；</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投标保证金的形式：以银行转账或者金融机构、担保机构出具的保函等非现金形式提交。</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银行转账可以采取支票、电汇、网银、汇票、本票等方式，均应从基本账户转出。</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shd w:val="clear" w:color="auto" w:fill="FFFFFF"/>
                <w:lang w:val="en-US" w:eastAsia="zh-CN"/>
              </w:rPr>
              <w:t>注：（1）</w:t>
            </w:r>
            <w:r>
              <w:rPr>
                <w:rFonts w:hint="eastAsia" w:ascii="宋体" w:hAnsi="宋体" w:eastAsia="宋体" w:cs="宋体"/>
                <w:color w:val="000000"/>
                <w:sz w:val="24"/>
                <w:szCs w:val="24"/>
                <w:highlight w:val="none"/>
                <w:lang w:val="zh-CN"/>
              </w:rPr>
              <w:t>银行进账单或电汇凭证等凭证上应明确用途为【</w:t>
            </w:r>
            <w:r>
              <w:rPr>
                <w:rFonts w:hint="eastAsia" w:ascii="宋体" w:hAnsi="宋体" w:eastAsia="宋体" w:cs="宋体"/>
                <w:color w:val="000000"/>
                <w:sz w:val="24"/>
                <w:szCs w:val="24"/>
                <w:highlight w:val="none"/>
                <w:lang w:val="en-US" w:eastAsia="zh-CN"/>
              </w:rPr>
              <w:t>标段</w:t>
            </w:r>
            <w:r>
              <w:rPr>
                <w:rFonts w:hint="eastAsia" w:ascii="宋体" w:hAnsi="宋体" w:eastAsia="宋体" w:cs="宋体"/>
                <w:color w:val="000000"/>
                <w:sz w:val="24"/>
                <w:szCs w:val="24"/>
                <w:highlight w:val="none"/>
                <w:lang w:val="zh-CN"/>
              </w:rPr>
              <w:t>名称</w:t>
            </w:r>
            <w:r>
              <w:rPr>
                <w:rFonts w:hint="eastAsia" w:ascii="宋体" w:hAnsi="宋体" w:eastAsia="宋体" w:cs="宋体"/>
                <w:color w:val="000000"/>
                <w:sz w:val="24"/>
                <w:szCs w:val="24"/>
                <w:highlight w:val="none"/>
                <w:lang w:val="en-US" w:eastAsia="zh-CN"/>
              </w:rPr>
              <w:t>+投标保证金+标段编号</w:t>
            </w:r>
            <w:r>
              <w:rPr>
                <w:rFonts w:hint="eastAsia" w:ascii="宋体" w:hAnsi="宋体" w:eastAsia="宋体" w:cs="宋体"/>
                <w:color w:val="000000"/>
                <w:sz w:val="24"/>
                <w:szCs w:val="24"/>
                <w:highlight w:val="none"/>
                <w:lang w:val="zh-CN"/>
              </w:rPr>
              <w:t>】以便核对查实。</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rPr>
              <w:t>）以“保函”形式递交</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lang w:val="zh-CN"/>
              </w:rPr>
              <w:t>保证金的，应在</w:t>
            </w:r>
            <w:r>
              <w:rPr>
                <w:rFonts w:hint="eastAsia" w:ascii="宋体" w:hAnsi="宋体" w:eastAsia="宋体" w:cs="宋体"/>
                <w:color w:val="000000"/>
                <w:sz w:val="24"/>
                <w:szCs w:val="24"/>
                <w:highlight w:val="none"/>
                <w:lang w:val="en-US" w:eastAsia="zh-CN"/>
              </w:rPr>
              <w:t>递交投标文件截止</w:t>
            </w:r>
            <w:r>
              <w:rPr>
                <w:rFonts w:hint="eastAsia" w:ascii="宋体" w:hAnsi="宋体" w:eastAsia="宋体" w:cs="宋体"/>
                <w:color w:val="000000"/>
                <w:sz w:val="24"/>
                <w:szCs w:val="24"/>
                <w:highlight w:val="none"/>
                <w:lang w:val="zh-CN"/>
              </w:rPr>
              <w:t>时间前，将保函原件</w:t>
            </w:r>
            <w:r>
              <w:rPr>
                <w:rFonts w:hint="eastAsia" w:ascii="宋体" w:hAnsi="宋体" w:eastAsia="宋体" w:cs="宋体"/>
                <w:color w:val="000000"/>
                <w:sz w:val="24"/>
                <w:szCs w:val="24"/>
                <w:highlight w:val="none"/>
                <w:lang w:val="en-US" w:eastAsia="zh-CN"/>
              </w:rPr>
              <w:t>递交</w:t>
            </w:r>
            <w:r>
              <w:rPr>
                <w:rFonts w:hint="eastAsia" w:ascii="宋体" w:hAnsi="宋体" w:eastAsia="宋体" w:cs="宋体"/>
                <w:color w:val="000000"/>
                <w:sz w:val="24"/>
                <w:szCs w:val="24"/>
                <w:highlight w:val="none"/>
                <w:lang w:val="zh-CN"/>
              </w:rPr>
              <w:t>到代理机构项目负责人处，并自留一份复印件附在</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lang w:val="zh-CN"/>
              </w:rPr>
              <w:t>文件。未按规定时间办理，投标将被拒绝。</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lang w:val="en-US" w:eastAsia="zh-CN"/>
              </w:rPr>
            </w:pP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投标保证金的收款单位如下： </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户    名： 吉林省光宇工程项目管理咨询有限公司</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开 户 行： 中国建设银行股份有限公司长春基隆南街支行</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银行账号：22050131005900000086</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shd w:val="clear" w:color="auto" w:fill="FFFFFF"/>
                <w:lang w:val="en-US" w:eastAsia="zh-CN"/>
              </w:rPr>
              <w:t>投标保证金提交截止时间同提交投标文件截止时间（以银行到账时间为准），逾期未交或逾期到账，其投标无效。</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3.5.2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近年财务状况的年份要求</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2023年度。</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3.5.</w:t>
            </w:r>
            <w:r>
              <w:rPr>
                <w:rFonts w:hint="eastAsia" w:ascii="宋体" w:hAnsi="宋体" w:eastAsia="宋体" w:cs="宋体"/>
                <w:sz w:val="24"/>
                <w:szCs w:val="24"/>
                <w:shd w:val="clear" w:color="auto" w:fill="FFFFFF"/>
                <w:lang w:val="en-US" w:eastAsia="zh-CN"/>
              </w:rPr>
              <w:t>3</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近年发生的诉讼及仲裁情况的年份要求</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近年（指2021年1月1日-2023年12月31日）。</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3.6</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是否允许递交备选投标方案</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■不允许</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□允许</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3.7.</w:t>
            </w:r>
            <w:r>
              <w:rPr>
                <w:rFonts w:hint="eastAsia" w:ascii="宋体" w:hAnsi="宋体" w:eastAsia="宋体" w:cs="宋体"/>
                <w:sz w:val="24"/>
                <w:szCs w:val="24"/>
                <w:shd w:val="clear" w:color="auto" w:fill="FFFFFF"/>
                <w:lang w:val="en-US" w:eastAsia="zh-CN"/>
              </w:rPr>
              <w:t>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投标文件份数</w:t>
            </w:r>
            <w:r>
              <w:rPr>
                <w:rFonts w:hint="eastAsia" w:ascii="宋体" w:hAnsi="宋体" w:eastAsia="宋体" w:cs="宋体"/>
                <w:sz w:val="24"/>
                <w:szCs w:val="24"/>
                <w:lang w:eastAsia="zh-CN"/>
              </w:rPr>
              <w:t>及其他要求</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正本1份，副本6份，电子版2个（word版本），U盘存储，电子版投标文件与纸质投标文件不一致时以纸质版为准。</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3.7.</w:t>
            </w:r>
            <w:r>
              <w:rPr>
                <w:rFonts w:hint="eastAsia" w:ascii="宋体" w:hAnsi="宋体" w:eastAsia="宋体" w:cs="宋体"/>
                <w:sz w:val="24"/>
                <w:szCs w:val="24"/>
                <w:shd w:val="clear" w:color="auto" w:fill="FFFFFF"/>
                <w:lang w:val="en-US" w:eastAsia="zh-CN"/>
              </w:rPr>
              <w:t>4</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val="en-US" w:eastAsia="zh-CN"/>
              </w:rPr>
              <w:t>投标文件格式</w:t>
            </w:r>
            <w:r>
              <w:rPr>
                <w:rFonts w:hint="eastAsia" w:ascii="宋体" w:hAnsi="宋体" w:eastAsia="宋体" w:cs="宋体"/>
                <w:sz w:val="24"/>
                <w:szCs w:val="24"/>
                <w:highlight w:val="none"/>
                <w:shd w:val="clear" w:color="auto" w:fill="FFFFFF"/>
              </w:rPr>
              <w:t>签字或盖章要求</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投标文件格式中要求投标人“法定代表人或其委托代理人”签字或盖章的，如法定代表人亲自投标而不委托代理人投标，由法定代表人签字或盖章；如法定代表人授权委托代理人投标，由委托代理人签字。未按要求签字或盖章视为不响应招标文件实质性要求，其投标无效。</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2.所有要求盖章的地方都应加盖投标单位（法定名称）章（鲜章），不得使用专用章（如经济合同章、谈判专用章等）或下属单位印章代替。投标文件正本及副本均应该加盖鲜章。</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3.所有要求签字的地方都应用不褪色的墨水或签字笔由本人亲笔手写签字（包括姓和名），不得用盖章（如签名章、签字章等）代替，也不得由他人代签。</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3.7.5</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装订要求</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default" w:ascii="宋体" w:hAnsi="宋体" w:eastAsia="宋体" w:cs="宋体"/>
                <w:sz w:val="24"/>
                <w:szCs w:val="24"/>
                <w:shd w:val="clear" w:color="auto" w:fill="FFFFFF"/>
                <w:lang w:val="en-US" w:eastAsia="zh-CN"/>
              </w:rPr>
            </w:pPr>
            <w:r>
              <w:rPr>
                <w:rFonts w:hint="eastAsia" w:ascii="宋体" w:hAnsi="宋体" w:eastAsia="宋体" w:cs="宋体"/>
                <w:bCs/>
                <w:sz w:val="24"/>
                <w:szCs w:val="24"/>
                <w:lang w:eastAsia="zh-CN"/>
              </w:rPr>
              <w:t>投标文件的装订要整齐、牢固、不易拆散和换页，便于保管和利用，采用胶装装订方式，并编制目录及</w:t>
            </w:r>
            <w:r>
              <w:rPr>
                <w:rFonts w:hint="eastAsia" w:ascii="宋体" w:hAnsi="宋体" w:eastAsia="宋体" w:cs="宋体"/>
                <w:bCs/>
                <w:sz w:val="24"/>
                <w:szCs w:val="24"/>
                <w:lang w:val="en-US" w:eastAsia="zh-CN"/>
              </w:rPr>
              <w:t>连续</w:t>
            </w:r>
            <w:r>
              <w:rPr>
                <w:rFonts w:hint="eastAsia" w:ascii="宋体" w:hAnsi="宋体" w:eastAsia="宋体" w:cs="宋体"/>
                <w:bCs/>
                <w:sz w:val="24"/>
                <w:szCs w:val="24"/>
                <w:lang w:eastAsia="zh-CN"/>
              </w:rPr>
              <w:t>页码。</w:t>
            </w:r>
            <w:r>
              <w:rPr>
                <w:rFonts w:hint="eastAsia" w:ascii="宋体" w:hAnsi="宋体" w:eastAsia="宋体" w:cs="宋体"/>
                <w:bCs/>
                <w:sz w:val="24"/>
                <w:szCs w:val="24"/>
                <w:shd w:val="clear" w:color="auto" w:fill="FFFFFF"/>
                <w:lang w:val="en-US" w:eastAsia="zh-CN"/>
              </w:rPr>
              <w:t>如投标人投多个标段的，不得将各标段的资料混装。严格按照所投标段编制相应的投标文件。</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投标文件</w:t>
            </w:r>
            <w:r>
              <w:rPr>
                <w:rFonts w:hint="eastAsia" w:ascii="宋体" w:hAnsi="宋体" w:eastAsia="宋体" w:cs="宋体"/>
                <w:sz w:val="24"/>
                <w:szCs w:val="24"/>
                <w:shd w:val="clear" w:color="auto" w:fill="FFFFFF"/>
              </w:rPr>
              <w:t>密封与包装</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b/>
                <w:bCs/>
                <w:sz w:val="24"/>
                <w:szCs w:val="24"/>
                <w:shd w:val="clear" w:color="auto" w:fill="FFFFFF"/>
                <w:lang w:val="zh-CN"/>
              </w:rPr>
            </w:pPr>
            <w:r>
              <w:rPr>
                <w:rFonts w:hint="eastAsia" w:ascii="宋体" w:hAnsi="宋体" w:eastAsia="宋体" w:cs="宋体"/>
                <w:bCs/>
                <w:sz w:val="24"/>
                <w:szCs w:val="24"/>
                <w:shd w:val="clear" w:color="auto" w:fill="FFFFFF"/>
                <w:lang w:val="zh-CN"/>
              </w:rPr>
              <w:t>（</w:t>
            </w:r>
            <w:r>
              <w:rPr>
                <w:rFonts w:hint="eastAsia" w:ascii="宋体" w:hAnsi="宋体" w:eastAsia="宋体" w:cs="宋体"/>
                <w:bCs/>
                <w:sz w:val="24"/>
                <w:szCs w:val="24"/>
                <w:shd w:val="clear" w:color="auto" w:fill="FFFFFF"/>
                <w:lang w:val="en-US" w:eastAsia="zh-CN"/>
              </w:rPr>
              <w:t>1</w:t>
            </w:r>
            <w:r>
              <w:rPr>
                <w:rFonts w:hint="eastAsia" w:ascii="宋体" w:hAnsi="宋体" w:eastAsia="宋体" w:cs="宋体"/>
                <w:bCs/>
                <w:sz w:val="24"/>
                <w:szCs w:val="24"/>
                <w:shd w:val="clear" w:color="auto" w:fill="FFFFFF"/>
                <w:lang w:val="zh-CN"/>
              </w:rPr>
              <w:t>）投标文件的正本与副本应分开包装，加贴封条，并在封套的封口处加盖投标人单位公章</w:t>
            </w:r>
            <w:r>
              <w:rPr>
                <w:rFonts w:hint="eastAsia" w:ascii="宋体" w:hAnsi="宋体" w:eastAsia="宋体" w:cs="宋体"/>
                <w:b/>
                <w:bCs/>
                <w:sz w:val="24"/>
                <w:szCs w:val="24"/>
                <w:shd w:val="clear" w:color="auto" w:fill="FFFFFF"/>
                <w:lang w:val="zh-CN"/>
              </w:rPr>
              <w:t>；</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bCs/>
                <w:sz w:val="24"/>
                <w:szCs w:val="24"/>
                <w:shd w:val="clear" w:color="auto" w:fill="FFFFFF"/>
                <w:lang w:val="zh-CN"/>
              </w:rPr>
            </w:pPr>
            <w:r>
              <w:rPr>
                <w:rFonts w:hint="eastAsia" w:ascii="宋体" w:hAnsi="宋体" w:eastAsia="宋体" w:cs="宋体"/>
                <w:bCs/>
                <w:sz w:val="24"/>
                <w:szCs w:val="24"/>
                <w:shd w:val="clear" w:color="auto" w:fill="FFFFFF"/>
                <w:lang w:val="zh-CN"/>
              </w:rPr>
              <w:t>（</w:t>
            </w:r>
            <w:r>
              <w:rPr>
                <w:rFonts w:hint="eastAsia" w:ascii="宋体" w:hAnsi="宋体" w:eastAsia="宋体" w:cs="宋体"/>
                <w:bCs/>
                <w:sz w:val="24"/>
                <w:szCs w:val="24"/>
                <w:shd w:val="clear" w:color="auto" w:fill="FFFFFF"/>
                <w:lang w:val="en-US" w:eastAsia="zh-CN"/>
              </w:rPr>
              <w:t>2</w:t>
            </w:r>
            <w:r>
              <w:rPr>
                <w:rFonts w:hint="eastAsia" w:ascii="宋体" w:hAnsi="宋体" w:eastAsia="宋体" w:cs="宋体"/>
                <w:bCs/>
                <w:sz w:val="24"/>
                <w:szCs w:val="24"/>
                <w:shd w:val="clear" w:color="auto" w:fill="FFFFFF"/>
                <w:lang w:val="zh-CN"/>
              </w:rPr>
              <w:t>）开标一览表需单独密封，加贴封条，并在封套的封口处加盖投标人单位公章；</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bCs/>
                <w:sz w:val="24"/>
                <w:szCs w:val="24"/>
                <w:shd w:val="clear" w:color="auto" w:fill="FFFFFF"/>
                <w:lang w:val="zh-CN"/>
              </w:rPr>
            </w:pPr>
            <w:r>
              <w:rPr>
                <w:rFonts w:hint="eastAsia" w:ascii="宋体" w:hAnsi="宋体" w:eastAsia="宋体" w:cs="宋体"/>
                <w:bCs/>
                <w:sz w:val="24"/>
                <w:szCs w:val="24"/>
                <w:shd w:val="clear" w:color="auto" w:fill="FFFFFF"/>
                <w:lang w:val="en-US" w:eastAsia="zh-CN"/>
              </w:rPr>
              <w:t>（3）投标文件电子版两份（普通U盘，word版本储存）单独密封，加</w:t>
            </w:r>
            <w:r>
              <w:rPr>
                <w:rFonts w:hint="eastAsia" w:ascii="宋体" w:hAnsi="宋体" w:eastAsia="宋体" w:cs="宋体"/>
                <w:bCs/>
                <w:sz w:val="24"/>
                <w:szCs w:val="24"/>
                <w:shd w:val="clear" w:color="auto" w:fill="FFFFFF"/>
                <w:lang w:val="zh-CN"/>
              </w:rPr>
              <w:t>贴封条，并在封套的封口处加盖投标人单位公章；</w:t>
            </w:r>
          </w:p>
          <w:p>
            <w:pPr>
              <w:pStyle w:val="46"/>
              <w:keepNext w:val="0"/>
              <w:keepLines w:val="0"/>
              <w:pageBreakBefore w:val="0"/>
              <w:kinsoku/>
              <w:wordWrap/>
              <w:overflowPunct/>
              <w:topLinePunct w:val="0"/>
              <w:bidi w:val="0"/>
              <w:adjustRightInd/>
              <w:snapToGrid/>
              <w:spacing w:line="360" w:lineRule="auto"/>
              <w:contextualSpacing/>
              <w:rPr>
                <w:rFonts w:hint="default" w:ascii="宋体" w:hAnsi="宋体" w:eastAsia="宋体" w:cs="宋体"/>
                <w:bCs/>
                <w:sz w:val="24"/>
                <w:szCs w:val="24"/>
                <w:shd w:val="clear" w:color="auto" w:fill="FFFFFF"/>
                <w:lang w:val="en-US" w:eastAsia="zh-CN"/>
              </w:rPr>
            </w:pPr>
            <w:r>
              <w:rPr>
                <w:rFonts w:hint="eastAsia" w:ascii="宋体" w:hAnsi="宋体" w:eastAsia="宋体" w:cs="宋体"/>
                <w:bCs/>
                <w:sz w:val="24"/>
                <w:szCs w:val="24"/>
                <w:shd w:val="clear" w:color="auto" w:fill="FFFFFF"/>
                <w:lang w:val="en-US" w:eastAsia="zh-CN"/>
              </w:rPr>
              <w:t>注：如投标人投多个标段的，须按所投标段单独制作对应的投标文件，并密封包装、递交等。不得将各标段的资料混装。否则投标无效。</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4.1.2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封套上写明</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项目名称：</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标段名称：</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项目编号：</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标段编号：</w:t>
            </w:r>
          </w:p>
          <w:p>
            <w:pPr>
              <w:pStyle w:val="47"/>
              <w:keepNext w:val="0"/>
              <w:keepLines w:val="0"/>
              <w:pageBreakBefore w:val="0"/>
              <w:kinsoku/>
              <w:wordWrap/>
              <w:overflowPunct/>
              <w:topLinePunct w:val="0"/>
              <w:bidi w:val="0"/>
              <w:adjustRightInd/>
              <w:snapToGrid/>
              <w:spacing w:line="360" w:lineRule="auto"/>
              <w:ind w:left="1365" w:hanging="1566" w:hangingChars="650"/>
              <w:contextualSpacing/>
              <w:jc w:val="both"/>
              <w:rPr>
                <w:rFonts w:hint="default" w:ascii="宋体" w:hAnsi="宋体" w:eastAsia="宋体" w:cs="宋体"/>
                <w:color w:val="auto"/>
                <w:kern w:val="2"/>
                <w:sz w:val="24"/>
                <w:szCs w:val="24"/>
                <w:shd w:val="clear" w:color="auto" w:fill="FFFFFF"/>
                <w:lang w:val="en-US" w:eastAsia="zh-CN"/>
              </w:rPr>
            </w:pPr>
            <w:r>
              <w:rPr>
                <w:rFonts w:hint="eastAsia" w:ascii="宋体" w:hAnsi="宋体" w:eastAsia="宋体" w:cs="宋体"/>
                <w:b/>
                <w:bCs/>
                <w:color w:val="auto"/>
                <w:kern w:val="2"/>
                <w:sz w:val="24"/>
                <w:szCs w:val="24"/>
                <w:shd w:val="clear" w:color="auto" w:fill="FFFFFF"/>
              </w:rPr>
              <w:t>投标文件</w:t>
            </w:r>
            <w:r>
              <w:rPr>
                <w:rFonts w:hint="eastAsia" w:ascii="宋体" w:hAnsi="宋体" w:eastAsia="宋体" w:cs="宋体"/>
                <w:b/>
                <w:bCs/>
                <w:color w:val="auto"/>
                <w:kern w:val="2"/>
                <w:sz w:val="24"/>
                <w:szCs w:val="24"/>
                <w:shd w:val="clear" w:color="auto" w:fill="FFFFFF"/>
                <w:lang w:val="en-US" w:eastAsia="zh-CN"/>
              </w:rPr>
              <w:t>正本</w:t>
            </w:r>
            <w:r>
              <w:rPr>
                <w:rFonts w:hint="eastAsia" w:ascii="宋体" w:hAnsi="宋体" w:eastAsia="宋体" w:cs="宋体"/>
                <w:b w:val="0"/>
                <w:bCs w:val="0"/>
                <w:color w:val="auto"/>
                <w:kern w:val="2"/>
                <w:sz w:val="24"/>
                <w:szCs w:val="24"/>
                <w:shd w:val="clear" w:color="auto" w:fill="FFFFFF"/>
                <w:lang w:val="en-US" w:eastAsia="zh-CN"/>
              </w:rPr>
              <w:t>或</w:t>
            </w:r>
            <w:r>
              <w:rPr>
                <w:rFonts w:hint="eastAsia" w:ascii="宋体" w:hAnsi="宋体" w:eastAsia="宋体" w:cs="宋体"/>
                <w:b/>
                <w:bCs/>
                <w:color w:val="auto"/>
                <w:kern w:val="2"/>
                <w:sz w:val="24"/>
                <w:szCs w:val="24"/>
                <w:shd w:val="clear" w:color="auto" w:fill="FFFFFF"/>
                <w:lang w:val="en-US" w:eastAsia="zh-CN"/>
              </w:rPr>
              <w:t>投标文件副本</w:t>
            </w:r>
            <w:r>
              <w:rPr>
                <w:rFonts w:hint="eastAsia" w:ascii="宋体" w:hAnsi="宋体" w:eastAsia="宋体" w:cs="宋体"/>
                <w:color w:val="auto"/>
                <w:kern w:val="2"/>
                <w:sz w:val="24"/>
                <w:szCs w:val="24"/>
                <w:shd w:val="clear" w:color="auto" w:fill="FFFFFF"/>
                <w:lang w:val="en-US" w:eastAsia="zh-CN"/>
              </w:rPr>
              <w:t>或</w:t>
            </w:r>
            <w:r>
              <w:rPr>
                <w:rFonts w:hint="eastAsia" w:ascii="宋体" w:hAnsi="宋体" w:eastAsia="宋体" w:cs="宋体"/>
                <w:b/>
                <w:bCs/>
                <w:color w:val="auto"/>
                <w:kern w:val="2"/>
                <w:sz w:val="24"/>
                <w:szCs w:val="24"/>
                <w:shd w:val="clear" w:color="auto" w:fill="FFFFFF"/>
                <w:lang w:val="en-US" w:eastAsia="zh-CN"/>
              </w:rPr>
              <w:t>电子版</w:t>
            </w:r>
            <w:r>
              <w:rPr>
                <w:rFonts w:hint="eastAsia" w:ascii="宋体" w:hAnsi="宋体" w:eastAsia="宋体" w:cs="宋体"/>
                <w:color w:val="auto"/>
                <w:kern w:val="2"/>
                <w:sz w:val="24"/>
                <w:szCs w:val="24"/>
                <w:shd w:val="clear" w:color="auto" w:fill="FFFFFF"/>
                <w:lang w:val="en-US" w:eastAsia="zh-CN"/>
              </w:rPr>
              <w:t>或</w:t>
            </w:r>
            <w:r>
              <w:rPr>
                <w:rFonts w:hint="eastAsia" w:ascii="宋体" w:hAnsi="宋体" w:eastAsia="宋体" w:cs="宋体"/>
                <w:b/>
                <w:bCs/>
                <w:color w:val="auto"/>
                <w:kern w:val="2"/>
                <w:sz w:val="24"/>
                <w:szCs w:val="24"/>
                <w:shd w:val="clear" w:color="auto" w:fill="FFFFFF"/>
                <w:lang w:val="en-US" w:eastAsia="zh-CN"/>
              </w:rPr>
              <w:t>开标一览表</w:t>
            </w:r>
            <w:r>
              <w:rPr>
                <w:rFonts w:hint="eastAsia" w:hAnsi="宋体" w:eastAsia="宋体" w:cs="宋体"/>
                <w:b/>
                <w:bCs/>
                <w:color w:val="auto"/>
                <w:kern w:val="2"/>
                <w:sz w:val="24"/>
                <w:szCs w:val="24"/>
                <w:shd w:val="clear" w:color="auto" w:fill="FFFFFF"/>
                <w:lang w:val="en-US" w:eastAsia="zh-CN"/>
              </w:rPr>
              <w:t>或原件（检测报告</w:t>
            </w:r>
            <w:bookmarkStart w:id="516" w:name="_GoBack"/>
            <w:bookmarkEnd w:id="516"/>
            <w:r>
              <w:rPr>
                <w:rFonts w:hint="eastAsia" w:hAnsi="宋体" w:eastAsia="宋体" w:cs="宋体"/>
                <w:b/>
                <w:bCs/>
                <w:color w:val="auto"/>
                <w:kern w:val="2"/>
                <w:sz w:val="24"/>
                <w:szCs w:val="24"/>
                <w:shd w:val="clear" w:color="auto" w:fill="FFFFFF"/>
                <w:lang w:val="en-US" w:eastAsia="zh-CN"/>
              </w:rPr>
              <w:t>）</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kern w:val="2"/>
                <w:sz w:val="24"/>
                <w:szCs w:val="24"/>
                <w:shd w:val="clear" w:color="auto" w:fill="FFFFFF"/>
              </w:rPr>
            </w:pPr>
            <w:r>
              <w:rPr>
                <w:rFonts w:hint="eastAsia" w:ascii="宋体" w:hAnsi="宋体" w:eastAsia="宋体" w:cs="宋体"/>
                <w:color w:val="auto"/>
                <w:kern w:val="2"/>
                <w:sz w:val="24"/>
                <w:szCs w:val="24"/>
                <w:shd w:val="clear" w:color="auto" w:fill="FFFFFF"/>
              </w:rPr>
              <w:t>在</w:t>
            </w:r>
            <w:r>
              <w:rPr>
                <w:rFonts w:hint="eastAsia" w:ascii="宋体" w:hAnsi="宋体" w:eastAsia="宋体" w:cs="宋体"/>
                <w:color w:val="auto"/>
                <w:kern w:val="2"/>
                <w:sz w:val="24"/>
                <w:szCs w:val="24"/>
                <w:u w:val="single"/>
                <w:shd w:val="clear" w:color="auto" w:fill="FFFFFF"/>
                <w:lang w:val="en-US" w:eastAsia="zh-CN"/>
              </w:rPr>
              <w:t xml:space="preserve">   </w:t>
            </w:r>
            <w:r>
              <w:rPr>
                <w:rFonts w:hint="eastAsia" w:ascii="宋体" w:hAnsi="宋体" w:eastAsia="宋体" w:cs="宋体"/>
                <w:color w:val="auto"/>
                <w:kern w:val="2"/>
                <w:sz w:val="24"/>
                <w:szCs w:val="24"/>
                <w:shd w:val="clear" w:color="auto" w:fill="FFFFFF"/>
              </w:rPr>
              <w:t>年</w:t>
            </w:r>
            <w:r>
              <w:rPr>
                <w:rFonts w:hint="eastAsia" w:ascii="宋体" w:hAnsi="宋体" w:eastAsia="宋体" w:cs="宋体"/>
                <w:color w:val="auto"/>
                <w:kern w:val="2"/>
                <w:sz w:val="24"/>
                <w:szCs w:val="24"/>
                <w:u w:val="single"/>
                <w:shd w:val="clear" w:color="auto" w:fill="FFFFFF"/>
                <w:lang w:val="en-US" w:eastAsia="zh-CN"/>
              </w:rPr>
              <w:t xml:space="preserve">   </w:t>
            </w:r>
            <w:r>
              <w:rPr>
                <w:rFonts w:hint="eastAsia" w:ascii="宋体" w:hAnsi="宋体" w:eastAsia="宋体" w:cs="宋体"/>
                <w:color w:val="auto"/>
                <w:kern w:val="2"/>
                <w:sz w:val="24"/>
                <w:szCs w:val="24"/>
                <w:shd w:val="clear" w:color="auto" w:fill="FFFFFF"/>
              </w:rPr>
              <w:t>月</w:t>
            </w:r>
            <w:r>
              <w:rPr>
                <w:rFonts w:hint="eastAsia" w:ascii="宋体" w:hAnsi="宋体" w:eastAsia="宋体" w:cs="宋体"/>
                <w:color w:val="auto"/>
                <w:kern w:val="2"/>
                <w:sz w:val="24"/>
                <w:szCs w:val="24"/>
                <w:u w:val="single"/>
                <w:shd w:val="clear" w:color="auto" w:fill="FFFFFF"/>
                <w:lang w:val="en-US" w:eastAsia="zh-CN"/>
              </w:rPr>
              <w:t xml:space="preserve">   </w:t>
            </w:r>
            <w:r>
              <w:rPr>
                <w:rFonts w:hint="eastAsia" w:ascii="宋体" w:hAnsi="宋体" w:eastAsia="宋体" w:cs="宋体"/>
                <w:color w:val="auto"/>
                <w:kern w:val="2"/>
                <w:sz w:val="24"/>
                <w:szCs w:val="24"/>
                <w:shd w:val="clear" w:color="auto" w:fill="FFFFFF"/>
              </w:rPr>
              <w:t>日</w:t>
            </w:r>
            <w:r>
              <w:rPr>
                <w:rFonts w:hint="eastAsia" w:ascii="宋体" w:hAnsi="宋体" w:eastAsia="宋体" w:cs="宋体"/>
                <w:color w:val="auto"/>
                <w:kern w:val="2"/>
                <w:sz w:val="24"/>
                <w:szCs w:val="24"/>
                <w:u w:val="single"/>
                <w:shd w:val="clear" w:color="auto" w:fill="FFFFFF"/>
                <w:lang w:val="en-US" w:eastAsia="zh-CN"/>
              </w:rPr>
              <w:t xml:space="preserve">   </w:t>
            </w:r>
            <w:r>
              <w:rPr>
                <w:rFonts w:hint="eastAsia" w:ascii="宋体" w:hAnsi="宋体" w:eastAsia="宋体" w:cs="宋体"/>
                <w:color w:val="auto"/>
                <w:kern w:val="2"/>
                <w:sz w:val="24"/>
                <w:szCs w:val="24"/>
                <w:shd w:val="clear" w:color="auto" w:fill="FFFFFF"/>
              </w:rPr>
              <w:t>时</w:t>
            </w:r>
            <w:r>
              <w:rPr>
                <w:rFonts w:hint="eastAsia" w:ascii="宋体" w:hAnsi="宋体" w:eastAsia="宋体" w:cs="宋体"/>
                <w:color w:val="auto"/>
                <w:kern w:val="2"/>
                <w:sz w:val="24"/>
                <w:szCs w:val="24"/>
                <w:u w:val="single"/>
                <w:shd w:val="clear" w:color="auto" w:fill="FFFFFF"/>
                <w:lang w:val="en-US" w:eastAsia="zh-CN"/>
              </w:rPr>
              <w:t xml:space="preserve">   </w:t>
            </w:r>
            <w:r>
              <w:rPr>
                <w:rFonts w:hint="eastAsia" w:ascii="宋体" w:hAnsi="宋体" w:eastAsia="宋体" w:cs="宋体"/>
                <w:color w:val="auto"/>
                <w:kern w:val="2"/>
                <w:sz w:val="24"/>
                <w:szCs w:val="24"/>
                <w:shd w:val="clear" w:color="auto" w:fill="FFFFFF"/>
              </w:rPr>
              <w:t>分前不得开启。</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kern w:val="2"/>
                <w:sz w:val="24"/>
                <w:szCs w:val="24"/>
                <w:shd w:val="clear" w:color="auto" w:fill="FFFFFF"/>
              </w:rPr>
            </w:pPr>
            <w:r>
              <w:rPr>
                <w:rFonts w:hint="eastAsia" w:ascii="宋体" w:hAnsi="宋体" w:eastAsia="宋体" w:cs="宋体"/>
                <w:color w:val="auto"/>
                <w:kern w:val="2"/>
                <w:sz w:val="24"/>
                <w:szCs w:val="24"/>
                <w:shd w:val="clear" w:color="auto" w:fill="FFFFFF"/>
                <w:lang w:eastAsia="zh-CN"/>
              </w:rPr>
              <w:t>采购人</w:t>
            </w:r>
            <w:r>
              <w:rPr>
                <w:rFonts w:hint="eastAsia" w:ascii="宋体" w:hAnsi="宋体" w:eastAsia="宋体" w:cs="宋体"/>
                <w:color w:val="auto"/>
                <w:kern w:val="2"/>
                <w:sz w:val="24"/>
                <w:szCs w:val="24"/>
                <w:shd w:val="clear" w:color="auto" w:fill="FFFFFF"/>
              </w:rPr>
              <w:t>全称：</w:t>
            </w:r>
          </w:p>
          <w:p>
            <w:pPr>
              <w:pStyle w:val="47"/>
              <w:keepNext w:val="0"/>
              <w:keepLines w:val="0"/>
              <w:pageBreakBefore w:val="0"/>
              <w:kinsoku/>
              <w:wordWrap/>
              <w:overflowPunct/>
              <w:topLinePunct w:val="0"/>
              <w:bidi w:val="0"/>
              <w:adjustRightInd/>
              <w:snapToGrid/>
              <w:spacing w:line="360" w:lineRule="auto"/>
              <w:ind w:left="105" w:hanging="120" w:hangingChars="50"/>
              <w:contextualSpacing/>
              <w:jc w:val="both"/>
              <w:rPr>
                <w:rFonts w:hint="eastAsia" w:ascii="宋体" w:hAnsi="宋体" w:eastAsia="宋体" w:cs="宋体"/>
                <w:color w:val="auto"/>
                <w:kern w:val="2"/>
                <w:sz w:val="24"/>
                <w:szCs w:val="24"/>
                <w:shd w:val="clear" w:color="auto" w:fill="FFFFFF"/>
              </w:rPr>
            </w:pPr>
            <w:r>
              <w:rPr>
                <w:rFonts w:hint="eastAsia" w:ascii="宋体" w:hAnsi="宋体" w:eastAsia="宋体" w:cs="宋体"/>
                <w:color w:val="auto"/>
                <w:kern w:val="2"/>
                <w:sz w:val="24"/>
                <w:szCs w:val="24"/>
                <w:shd w:val="clear" w:color="auto" w:fill="FFFFFF"/>
                <w:lang w:eastAsia="zh-CN"/>
              </w:rPr>
              <w:t>采购人</w:t>
            </w:r>
            <w:r>
              <w:rPr>
                <w:rFonts w:hint="eastAsia" w:ascii="宋体" w:hAnsi="宋体" w:eastAsia="宋体" w:cs="宋体"/>
                <w:color w:val="auto"/>
                <w:kern w:val="2"/>
                <w:sz w:val="24"/>
                <w:szCs w:val="24"/>
                <w:shd w:val="clear" w:color="auto" w:fill="FFFFFF"/>
              </w:rPr>
              <w:t>的地址：</w:t>
            </w:r>
          </w:p>
          <w:p>
            <w:pPr>
              <w:pStyle w:val="47"/>
              <w:keepNext w:val="0"/>
              <w:keepLines w:val="0"/>
              <w:pageBreakBefore w:val="0"/>
              <w:kinsoku/>
              <w:wordWrap/>
              <w:overflowPunct/>
              <w:topLinePunct w:val="0"/>
              <w:bidi w:val="0"/>
              <w:adjustRightInd/>
              <w:snapToGrid/>
              <w:spacing w:line="360" w:lineRule="auto"/>
              <w:ind w:left="1365" w:hanging="1560" w:hangingChars="650"/>
              <w:contextualSpacing/>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投标人全称：</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投标人的地址：</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4.2.1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投标截止时间</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contextualSpacing/>
              <w:rPr>
                <w:rFonts w:hint="eastAsia" w:ascii="宋体" w:hAnsi="宋体" w:eastAsia="宋体" w:cs="宋体"/>
                <w:sz w:val="24"/>
                <w:szCs w:val="24"/>
                <w:highlight w:val="none"/>
                <w:shd w:val="clear" w:color="auto" w:fill="FFFFFF"/>
              </w:rPr>
            </w:pPr>
            <w:r>
              <w:rPr>
                <w:rFonts w:hint="eastAsia" w:ascii="宋体" w:hAnsi="宋体" w:eastAsia="宋体" w:cs="宋体"/>
                <w:kern w:val="0"/>
                <w:sz w:val="24"/>
                <w:szCs w:val="24"/>
                <w:highlight w:val="none"/>
                <w:lang w:val="en-US" w:eastAsia="zh-CN" w:bidi="ar-SA"/>
              </w:rPr>
              <w:t>2024年7月15日9时00分（北京时间）。</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4.2.2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递交投标文件地点</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lang w:val="zh-CN" w:eastAsia="zh-CN"/>
              </w:rPr>
              <w:t>长春市二道区洋浦大街6999号凯利中心AB栋101开标三室。</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4.3</w:t>
            </w:r>
            <w:r>
              <w:rPr>
                <w:rFonts w:hint="eastAsia" w:ascii="宋体" w:hAnsi="宋体" w:eastAsia="宋体" w:cs="宋体"/>
                <w:sz w:val="24"/>
                <w:szCs w:val="24"/>
                <w:shd w:val="clear" w:color="auto" w:fill="FFFFFF"/>
                <w:lang w:val="en-US" w:eastAsia="zh-CN"/>
              </w:rPr>
              <w:t>.4</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是否退还投标文件</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■否</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5.1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开标时间和地点</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时间：同投标截止时间</w:t>
            </w:r>
            <w:r>
              <w:rPr>
                <w:rFonts w:hint="eastAsia" w:ascii="宋体" w:hAnsi="宋体" w:eastAsia="宋体" w:cs="宋体"/>
                <w:sz w:val="24"/>
                <w:szCs w:val="24"/>
                <w:shd w:val="clear" w:color="auto" w:fill="FFFFFF"/>
                <w:lang w:eastAsia="zh-CN"/>
              </w:rPr>
              <w:t>。</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val="en-US" w:eastAsia="zh-CN"/>
              </w:rPr>
              <w:t>开标</w:t>
            </w:r>
            <w:r>
              <w:rPr>
                <w:rFonts w:hint="eastAsia" w:ascii="宋体" w:hAnsi="宋体" w:eastAsia="宋体" w:cs="宋体"/>
                <w:sz w:val="24"/>
                <w:szCs w:val="24"/>
                <w:shd w:val="clear" w:color="auto" w:fill="FFFFFF"/>
              </w:rPr>
              <w:t>地点：同</w:t>
            </w:r>
            <w:r>
              <w:rPr>
                <w:rFonts w:hint="eastAsia" w:ascii="宋体" w:hAnsi="宋体" w:eastAsia="宋体" w:cs="宋体"/>
                <w:sz w:val="24"/>
                <w:szCs w:val="24"/>
              </w:rPr>
              <w:t>递交投标文件地点</w:t>
            </w:r>
            <w:r>
              <w:rPr>
                <w:rFonts w:hint="eastAsia" w:ascii="宋体" w:hAnsi="宋体" w:eastAsia="宋体" w:cs="宋体"/>
                <w:sz w:val="24"/>
                <w:szCs w:val="24"/>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5.2</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开标程序</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color w:val="auto"/>
                <w:sz w:val="24"/>
                <w:szCs w:val="24"/>
                <w:lang w:eastAsia="zh-CN"/>
              </w:rPr>
              <w:t>开标顺序：按</w:t>
            </w:r>
            <w:r>
              <w:rPr>
                <w:rFonts w:hint="eastAsia" w:ascii="宋体" w:hAnsi="宋体" w:eastAsia="宋体" w:cs="宋体"/>
                <w:color w:val="auto"/>
                <w:sz w:val="24"/>
                <w:szCs w:val="24"/>
                <w:lang w:val="en-US" w:eastAsia="zh-CN"/>
              </w:rPr>
              <w:t>递交投标文件的先后</w:t>
            </w:r>
            <w:r>
              <w:rPr>
                <w:rFonts w:hint="eastAsia" w:ascii="宋体" w:hAnsi="宋体" w:eastAsia="宋体" w:cs="宋体"/>
                <w:color w:val="auto"/>
                <w:sz w:val="24"/>
                <w:szCs w:val="24"/>
                <w:lang w:eastAsia="zh-CN"/>
              </w:rPr>
              <w:t>顺序进行。</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6.1.1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评标委员会的组建</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评标委员会构成</w:t>
            </w:r>
            <w:r>
              <w:rPr>
                <w:rFonts w:hint="eastAsia" w:ascii="宋体" w:hAnsi="宋体" w:eastAsia="宋体" w:cs="宋体"/>
                <w:b w:val="0"/>
                <w:bCs w:val="0"/>
                <w:sz w:val="24"/>
                <w:szCs w:val="24"/>
                <w:shd w:val="clear" w:color="auto" w:fill="FFFFFF"/>
              </w:rPr>
              <w:t>：技术、</w:t>
            </w:r>
            <w:r>
              <w:rPr>
                <w:rFonts w:hint="eastAsia" w:ascii="宋体" w:hAnsi="宋体" w:eastAsia="宋体" w:cs="宋体"/>
                <w:b w:val="0"/>
                <w:bCs w:val="0"/>
                <w:sz w:val="24"/>
                <w:szCs w:val="24"/>
                <w:highlight w:val="none"/>
                <w:shd w:val="clear" w:color="auto" w:fill="FFFFFF"/>
              </w:rPr>
              <w:t>经济方面专家</w:t>
            </w:r>
            <w:r>
              <w:rPr>
                <w:rFonts w:hint="eastAsia" w:ascii="宋体" w:hAnsi="宋体" w:eastAsia="宋体" w:cs="宋体"/>
                <w:b w:val="0"/>
                <w:bCs w:val="0"/>
                <w:sz w:val="24"/>
                <w:szCs w:val="24"/>
                <w:highlight w:val="none"/>
                <w:shd w:val="clear" w:color="auto" w:fill="FFFFFF"/>
                <w:lang w:val="en-US" w:eastAsia="zh-CN"/>
              </w:rPr>
              <w:t>7</w:t>
            </w:r>
            <w:r>
              <w:rPr>
                <w:rFonts w:hint="eastAsia" w:ascii="宋体" w:hAnsi="宋体" w:eastAsia="宋体" w:cs="宋体"/>
                <w:b w:val="0"/>
                <w:bCs w:val="0"/>
                <w:sz w:val="24"/>
                <w:szCs w:val="24"/>
                <w:highlight w:val="none"/>
                <w:shd w:val="clear" w:color="auto" w:fill="FFFFFF"/>
              </w:rPr>
              <w:t>人</w:t>
            </w:r>
            <w:r>
              <w:rPr>
                <w:rFonts w:hint="eastAsia" w:ascii="宋体" w:hAnsi="宋体" w:eastAsia="宋体" w:cs="宋体"/>
                <w:b w:val="0"/>
                <w:bCs w:val="0"/>
                <w:sz w:val="24"/>
                <w:szCs w:val="24"/>
                <w:highlight w:val="none"/>
                <w:shd w:val="clear" w:color="auto" w:fill="FFFFFF"/>
                <w:lang w:eastAsia="zh-CN"/>
              </w:rPr>
              <w:t>。</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评标专家确定方式：</w:t>
            </w:r>
            <w:r>
              <w:rPr>
                <w:rFonts w:hint="eastAsia" w:ascii="宋体" w:hAnsi="宋体" w:eastAsia="宋体" w:cs="宋体"/>
                <w:sz w:val="24"/>
                <w:szCs w:val="24"/>
                <w:highlight w:val="none"/>
                <w:lang w:val="en-US" w:eastAsia="zh-CN"/>
              </w:rPr>
              <w:t>按专业配置要求，</w:t>
            </w:r>
            <w:r>
              <w:rPr>
                <w:rFonts w:hint="eastAsia" w:ascii="宋体" w:hAnsi="宋体" w:eastAsia="宋体" w:cs="宋体"/>
                <w:sz w:val="24"/>
                <w:szCs w:val="24"/>
                <w:highlight w:val="none"/>
                <w:lang w:eastAsia="zh-CN"/>
              </w:rPr>
              <w:t>依法从</w:t>
            </w:r>
            <w:r>
              <w:rPr>
                <w:rFonts w:hint="eastAsia" w:ascii="宋体" w:hAnsi="宋体" w:eastAsia="宋体" w:cs="宋体"/>
                <w:sz w:val="24"/>
                <w:szCs w:val="24"/>
                <w:highlight w:val="none"/>
                <w:lang w:val="en-US" w:eastAsia="zh-CN"/>
              </w:rPr>
              <w:t>政府采购评审专家库中</w:t>
            </w:r>
            <w:r>
              <w:rPr>
                <w:rFonts w:hint="eastAsia" w:ascii="宋体" w:hAnsi="宋体" w:eastAsia="宋体" w:cs="宋体"/>
                <w:sz w:val="24"/>
                <w:szCs w:val="24"/>
                <w:highlight w:val="none"/>
                <w:lang w:eastAsia="zh-CN"/>
              </w:rPr>
              <w:t>随机抽取。</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7.</w:t>
            </w:r>
            <w:r>
              <w:rPr>
                <w:rFonts w:hint="eastAsia" w:ascii="宋体" w:hAnsi="宋体" w:eastAsia="宋体" w:cs="宋体"/>
                <w:sz w:val="24"/>
                <w:szCs w:val="24"/>
                <w:shd w:val="clear" w:color="auto" w:fill="FFFFFF"/>
                <w:lang w:val="en-US" w:eastAsia="zh-CN"/>
              </w:rPr>
              <w:t>3.4</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是否授权评标委员会确定中标人</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□是</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■否，推荐的中标候选人数：3人。</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11.1</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shd w:val="clear" w:color="auto" w:fill="FFFFFF"/>
                <w:lang w:val="en-US" w:eastAsia="zh-CN"/>
              </w:rPr>
              <w:t>投标人对招标文件提出质疑的时间、形式</w:t>
            </w:r>
          </w:p>
        </w:tc>
        <w:tc>
          <w:tcPr>
            <w:tcW w:w="7693" w:type="dxa"/>
            <w:gridSpan w:val="2"/>
            <w:tcBorders>
              <w:top w:val="single" w:color="auto" w:sz="4" w:space="0"/>
              <w:left w:val="single" w:color="auto" w:sz="4" w:space="0"/>
              <w:bottom w:val="single" w:color="auto" w:sz="4" w:space="0"/>
              <w:right w:val="single" w:color="auto" w:sz="4" w:space="0"/>
            </w:tcBorders>
            <w:vAlign w:val="top"/>
          </w:tcPr>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时间：自投标人收到招标文件之日起7个工作日内，超过期限的采购人、采购代理机构不再受理 </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shd w:val="clear" w:color="auto" w:fill="FFFFFF"/>
                <w:lang w:val="en-US" w:eastAsia="zh-CN"/>
              </w:rPr>
              <w:t>形式：书面（详见投标人须知11.1）。</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11.1.8</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对投标人提出质疑答复时间、形式</w:t>
            </w:r>
          </w:p>
        </w:tc>
        <w:tc>
          <w:tcPr>
            <w:tcW w:w="7693" w:type="dxa"/>
            <w:gridSpan w:val="2"/>
            <w:tcBorders>
              <w:top w:val="single" w:color="auto" w:sz="4" w:space="0"/>
              <w:left w:val="single" w:color="auto" w:sz="4" w:space="0"/>
              <w:bottom w:val="single" w:color="auto" w:sz="4" w:space="0"/>
              <w:right w:val="single" w:color="auto" w:sz="4" w:space="0"/>
            </w:tcBorders>
            <w:vAlign w:val="top"/>
          </w:tcPr>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时间：自收到投标人质疑函之日起7个工作日内。 </w:t>
            </w:r>
          </w:p>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形式：书面。</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12.1</w:t>
            </w:r>
          </w:p>
        </w:tc>
        <w:tc>
          <w:tcPr>
            <w:tcW w:w="9519" w:type="dxa"/>
            <w:gridSpan w:val="3"/>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left"/>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需要补充的其他内容</w:t>
            </w:r>
          </w:p>
        </w:tc>
      </w:tr>
      <w:tr>
        <w:tblPrEx>
          <w:tblCellMar>
            <w:top w:w="0" w:type="dxa"/>
            <w:left w:w="108" w:type="dxa"/>
            <w:bottom w:w="0" w:type="dxa"/>
            <w:right w:w="108" w:type="dxa"/>
          </w:tblCellMar>
        </w:tblPrEx>
        <w:trPr>
          <w:trHeight w:val="1663" w:hRule="atLeast"/>
          <w:jc w:val="center"/>
        </w:trPr>
        <w:tc>
          <w:tcPr>
            <w:tcW w:w="1139" w:type="dxa"/>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.1</w:t>
            </w:r>
          </w:p>
        </w:tc>
        <w:tc>
          <w:tcPr>
            <w:tcW w:w="1826" w:type="dxa"/>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招标代理费</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采购代理机构执行国家发展改革委《关于进一步放开建设项目专业服务价格的通知》(发改价格{2015}299号）</w:t>
            </w:r>
            <w:r>
              <w:rPr>
                <w:rFonts w:hint="eastAsia" w:ascii="宋体" w:hAnsi="宋体" w:eastAsia="宋体" w:cs="宋体"/>
                <w:sz w:val="24"/>
                <w:szCs w:val="24"/>
                <w:highlight w:val="none"/>
                <w:lang w:val="en-US" w:eastAsia="zh-CN"/>
              </w:rPr>
              <w:t>按各标段中标金额的1.5%向各标段中标单位收取招标代理服务费</w:t>
            </w:r>
            <w:r>
              <w:rPr>
                <w:rFonts w:hint="eastAsia" w:ascii="宋体" w:hAnsi="宋体" w:eastAsia="宋体" w:cs="宋体"/>
                <w:sz w:val="24"/>
                <w:szCs w:val="24"/>
                <w:highlight w:val="none"/>
                <w:lang w:val="zh-CN" w:eastAsia="zh-CN"/>
              </w:rPr>
              <w:t>。</w:t>
            </w:r>
          </w:p>
        </w:tc>
      </w:tr>
      <w:tr>
        <w:tblPrEx>
          <w:tblCellMar>
            <w:top w:w="0" w:type="dxa"/>
            <w:left w:w="108" w:type="dxa"/>
            <w:bottom w:w="0" w:type="dxa"/>
            <w:right w:w="108" w:type="dxa"/>
          </w:tblCellMar>
        </w:tblPrEx>
        <w:trPr>
          <w:trHeight w:val="1306" w:hRule="atLeast"/>
          <w:jc w:val="center"/>
        </w:trPr>
        <w:tc>
          <w:tcPr>
            <w:tcW w:w="1139" w:type="dxa"/>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.2</w:t>
            </w:r>
          </w:p>
        </w:tc>
        <w:tc>
          <w:tcPr>
            <w:tcW w:w="1826" w:type="dxa"/>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yellow"/>
                <w:shd w:val="clear" w:color="auto" w:fill="FFFFFF"/>
                <w:lang w:val="en-US" w:eastAsia="zh-CN"/>
              </w:rPr>
            </w:pPr>
            <w:r>
              <w:rPr>
                <w:rFonts w:hint="eastAsia" w:ascii="宋体" w:hAnsi="宋体" w:eastAsia="宋体" w:cs="宋体"/>
                <w:sz w:val="24"/>
                <w:szCs w:val="24"/>
                <w:highlight w:val="none"/>
                <w:shd w:val="clear" w:color="auto" w:fill="FFFFFF"/>
                <w:lang w:val="en-US" w:eastAsia="zh-CN"/>
              </w:rPr>
              <w:t>各标段采购预算及最高限价</w:t>
            </w:r>
          </w:p>
        </w:tc>
        <w:tc>
          <w:tcPr>
            <w:tcW w:w="7693" w:type="dxa"/>
            <w:gridSpan w:val="2"/>
            <w:tcBorders>
              <w:top w:val="single" w:color="auto" w:sz="4" w:space="0"/>
              <w:left w:val="single" w:color="auto" w:sz="4" w:space="0"/>
              <w:bottom w:val="single" w:color="auto" w:sz="4" w:space="0"/>
              <w:right w:val="single" w:color="auto" w:sz="4" w:space="0"/>
            </w:tcBorders>
            <w:vAlign w:val="center"/>
          </w:tcPr>
          <w:tbl>
            <w:tblPr>
              <w:tblStyle w:val="26"/>
              <w:tblW w:w="7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2003"/>
              <w:gridCol w:w="1150"/>
              <w:gridCol w:w="983"/>
              <w:gridCol w:w="1205"/>
              <w:gridCol w:w="117"/>
              <w:gridCol w:w="1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632"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项目标段</w:t>
                  </w:r>
                </w:p>
              </w:tc>
              <w:tc>
                <w:tcPr>
                  <w:tcW w:w="2003"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标段名称</w:t>
                  </w: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采购数量</w:t>
                  </w:r>
                </w:p>
              </w:tc>
              <w:tc>
                <w:tcPr>
                  <w:tcW w:w="983" w:type="dxa"/>
                </w:tcPr>
                <w:p>
                  <w:pPr>
                    <w:tabs>
                      <w:tab w:val="left" w:pos="432"/>
                    </w:tabs>
                    <w:spacing w:line="310" w:lineRule="exact"/>
                    <w:jc w:val="left"/>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最高限价单价（采购预算单价）（万元）</w:t>
                  </w:r>
                </w:p>
              </w:tc>
              <w:tc>
                <w:tcPr>
                  <w:tcW w:w="2324" w:type="dxa"/>
                  <w:gridSpan w:val="3"/>
                </w:tcPr>
                <w:p>
                  <w:pPr>
                    <w:tabs>
                      <w:tab w:val="left" w:pos="432"/>
                    </w:tabs>
                    <w:spacing w:line="310" w:lineRule="exact"/>
                    <w:jc w:val="both"/>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最高限价（采购预算）（万元）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2"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1包</w:t>
                  </w:r>
                </w:p>
              </w:tc>
              <w:tc>
                <w:tcPr>
                  <w:tcW w:w="2003" w:type="dxa"/>
                  <w:vMerge w:val="restart"/>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吉林省森林消防总队《国家综合性消防救援队伍机动力量核心攻坚能力提升工程项目》森林灭火单兵防护装备项目（1包：森林灭火防护头盔、佩戴式头灯）</w:t>
                  </w: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森林灭火防护头盔：</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0.0829</w:t>
                  </w:r>
                </w:p>
              </w:tc>
              <w:tc>
                <w:tcPr>
                  <w:tcW w:w="12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279.7875</w:t>
                  </w:r>
                </w:p>
              </w:tc>
              <w:tc>
                <w:tcPr>
                  <w:tcW w:w="1119" w:type="dxa"/>
                  <w:gridSpan w:val="2"/>
                  <w:vMerge w:val="restart"/>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合计：377.6625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32"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03" w:type="dxa"/>
                  <w:vMerge w:val="continue"/>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佩戴式头灯：3375套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0.029</w:t>
                  </w:r>
                </w:p>
              </w:tc>
              <w:tc>
                <w:tcPr>
                  <w:tcW w:w="1205"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97.875</w:t>
                  </w:r>
                </w:p>
              </w:tc>
              <w:tc>
                <w:tcPr>
                  <w:tcW w:w="1119" w:type="dxa"/>
                  <w:gridSpan w:val="2"/>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632"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2包</w:t>
                  </w:r>
                </w:p>
              </w:tc>
              <w:tc>
                <w:tcPr>
                  <w:tcW w:w="200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吉林省森林消防总队《国家综合性消防救援队伍机动力量核心攻坚能力提升工程项目》森林灭火单兵防护装备项目（2包：森林灭火防护眼镜）</w:t>
                  </w: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0.0438</w:t>
                  </w:r>
                </w:p>
              </w:tc>
              <w:tc>
                <w:tcPr>
                  <w:tcW w:w="2324" w:type="dxa"/>
                  <w:gridSpan w:val="3"/>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147.825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632"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3包</w:t>
                  </w:r>
                </w:p>
              </w:tc>
              <w:tc>
                <w:tcPr>
                  <w:tcW w:w="2003"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吉林省森林消防总队《国家综合性消防救援队伍机动力量核心攻坚能力提升工程项目》森林灭火单兵防护装备项目（3包：森林灭火防护头套、森林灭火防护作训帽、</w:t>
                  </w:r>
                  <w:r>
                    <w:rPr>
                      <w:rFonts w:hint="eastAsia" w:ascii="宋体" w:hAnsi="宋体" w:eastAsia="宋体" w:cs="宋体"/>
                      <w:sz w:val="24"/>
                      <w:szCs w:val="24"/>
                      <w:highlight w:val="none"/>
                      <w:u w:val="none"/>
                      <w:lang w:val="en-US" w:eastAsia="zh-CN"/>
                    </w:rPr>
                    <w:t>森林灭火防护服</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sz w:val="24"/>
                      <w:szCs w:val="24"/>
                      <w:highlight w:val="none"/>
                      <w:u w:val="none"/>
                      <w:lang w:val="en-US" w:eastAsia="zh-CN"/>
                    </w:rPr>
                    <w:t>森林灭火防护服内胆</w:t>
                  </w:r>
                  <w:r>
                    <w:rPr>
                      <w:rFonts w:hint="eastAsia" w:ascii="宋体" w:hAnsi="宋体" w:eastAsia="宋体" w:cs="宋体"/>
                      <w:kern w:val="2"/>
                      <w:sz w:val="24"/>
                      <w:szCs w:val="24"/>
                      <w:highlight w:val="none"/>
                      <w:vertAlign w:val="baseline"/>
                      <w:lang w:val="en-US" w:eastAsia="zh-CN"/>
                    </w:rPr>
                    <w:t>）</w:t>
                  </w: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森林灭火防护头套：</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0.0118</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39.825</w:t>
                  </w:r>
                </w:p>
              </w:tc>
              <w:tc>
                <w:tcPr>
                  <w:tcW w:w="1002" w:type="dxa"/>
                  <w:vMerge w:val="restart"/>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合计：1371.2625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632"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0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森林灭火防护作训帽</w:t>
                  </w:r>
                  <w:r>
                    <w:rPr>
                      <w:rFonts w:hint="eastAsia" w:ascii="宋体" w:hAnsi="宋体" w:eastAsia="宋体" w:cs="宋体"/>
                      <w:b w:val="0"/>
                      <w:bCs w:val="0"/>
                      <w:sz w:val="24"/>
                      <w:szCs w:val="24"/>
                      <w:highlight w:val="none"/>
                      <w:vertAlign w:val="baseline"/>
                      <w:lang w:val="en-US" w:eastAsia="zh-CN"/>
                    </w:rPr>
                    <w:t>：3375套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0.0058</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19.575</w:t>
                  </w:r>
                </w:p>
              </w:tc>
              <w:tc>
                <w:tcPr>
                  <w:tcW w:w="1002"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632"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0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sz w:val="24"/>
                      <w:szCs w:val="24"/>
                      <w:highlight w:val="none"/>
                      <w:u w:val="none"/>
                      <w:lang w:val="en-US" w:eastAsia="zh-CN"/>
                    </w:rPr>
                    <w:t>森林灭火防护服</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b w:val="0"/>
                      <w:bCs w:val="0"/>
                      <w:sz w:val="24"/>
                      <w:szCs w:val="24"/>
                      <w:highlight w:val="none"/>
                      <w:vertAlign w:val="baseline"/>
                      <w:lang w:val="en-US" w:eastAsia="zh-CN"/>
                    </w:rPr>
                    <w:t>6750套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0.1297</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875.475</w:t>
                  </w:r>
                </w:p>
              </w:tc>
              <w:tc>
                <w:tcPr>
                  <w:tcW w:w="1002"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632"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0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sz w:val="24"/>
                      <w:szCs w:val="24"/>
                      <w:highlight w:val="none"/>
                      <w:u w:val="none"/>
                      <w:lang w:val="en-US" w:eastAsia="zh-CN"/>
                    </w:rPr>
                    <w:t>森林灭火防护服内胆</w:t>
                  </w:r>
                  <w:r>
                    <w:rPr>
                      <w:rFonts w:hint="eastAsia" w:ascii="宋体" w:hAnsi="宋体" w:eastAsia="宋体" w:cs="宋体"/>
                      <w:kern w:val="2"/>
                      <w:sz w:val="24"/>
                      <w:szCs w:val="24"/>
                      <w:highlight w:val="none"/>
                      <w:vertAlign w:val="baseline"/>
                      <w:lang w:val="en-US" w:eastAsia="zh-CN"/>
                    </w:rPr>
                    <w:t>：</w:t>
                  </w:r>
                  <w:r>
                    <w:rPr>
                      <w:rFonts w:hint="eastAsia" w:ascii="宋体" w:hAnsi="宋体" w:eastAsia="宋体" w:cs="宋体"/>
                      <w:b w:val="0"/>
                      <w:bCs w:val="0"/>
                      <w:sz w:val="24"/>
                      <w:szCs w:val="24"/>
                      <w:highlight w:val="none"/>
                      <w:vertAlign w:val="baseline"/>
                      <w:lang w:val="en-US" w:eastAsia="zh-CN"/>
                    </w:rPr>
                    <w:t>6750套</w:t>
                  </w:r>
                </w:p>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0.06465</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436.3875</w:t>
                  </w:r>
                </w:p>
              </w:tc>
              <w:tc>
                <w:tcPr>
                  <w:tcW w:w="1002"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32"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4包</w:t>
                  </w:r>
                </w:p>
              </w:tc>
              <w:tc>
                <w:tcPr>
                  <w:tcW w:w="200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吉林省森林消防总队《国家综合性消防救援队伍机动力量核心攻坚能力提升工程项目》森林灭火单兵防护装备项目（4包：森林灭火防护靴）</w:t>
                  </w: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0.0588</w:t>
                  </w:r>
                </w:p>
              </w:tc>
              <w:tc>
                <w:tcPr>
                  <w:tcW w:w="2324" w:type="dxa"/>
                  <w:gridSpan w:val="3"/>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198.45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632"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5包</w:t>
                  </w:r>
                </w:p>
              </w:tc>
              <w:tc>
                <w:tcPr>
                  <w:tcW w:w="2003" w:type="dxa"/>
                  <w:vMerge w:val="restart"/>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吉林省森林消防总队《国家综合性消防救援队伍机动力量核心攻坚能力提升工程项目》森林灭火单兵防护装备项目（5包：森林灭火防护外腰带、22多功能水壶）</w:t>
                  </w:r>
                </w:p>
              </w:tc>
              <w:tc>
                <w:tcPr>
                  <w:tcW w:w="1150" w:type="dxa"/>
                  <w:vAlign w:val="center"/>
                </w:tcPr>
                <w:p>
                  <w:pPr>
                    <w:tabs>
                      <w:tab w:val="left" w:pos="432"/>
                    </w:tabs>
                    <w:spacing w:line="31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森林灭火防护外腰带：</w:t>
                  </w: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0.01235</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41.68125</w:t>
                  </w:r>
                </w:p>
              </w:tc>
              <w:tc>
                <w:tcPr>
                  <w:tcW w:w="1002" w:type="dxa"/>
                  <w:vMerge w:val="restart"/>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合计：139.55625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632"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2003" w:type="dxa"/>
                  <w:vMerge w:val="continue"/>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22多功能水壶：</w:t>
                  </w: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0.029</w:t>
                  </w:r>
                </w:p>
              </w:tc>
              <w:tc>
                <w:tcPr>
                  <w:tcW w:w="1322" w:type="dxa"/>
                  <w:gridSpan w:val="2"/>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97.875</w:t>
                  </w:r>
                </w:p>
              </w:tc>
              <w:tc>
                <w:tcPr>
                  <w:tcW w:w="1002" w:type="dxa"/>
                  <w:vMerge w:val="continue"/>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trPr>
              <w:tc>
                <w:tcPr>
                  <w:tcW w:w="632"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6包</w:t>
                  </w:r>
                </w:p>
              </w:tc>
              <w:tc>
                <w:tcPr>
                  <w:tcW w:w="200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吉林省森林消防总队《国家综合性消防救援队伍机动力量核心攻坚能力提升工程项目》森林灭火单兵防护装备项目（6包：携行背心）</w:t>
                  </w: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0.0715</w:t>
                  </w:r>
                </w:p>
              </w:tc>
              <w:tc>
                <w:tcPr>
                  <w:tcW w:w="2324" w:type="dxa"/>
                  <w:gridSpan w:val="3"/>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241.3125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632"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7包</w:t>
                  </w:r>
                </w:p>
              </w:tc>
              <w:tc>
                <w:tcPr>
                  <w:tcW w:w="2003" w:type="dxa"/>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vertAlign w:val="baseline"/>
                      <w:lang w:val="en-US" w:eastAsia="zh-CN"/>
                    </w:rPr>
                    <w:t>吉林省森林消防总队《国家综合性消防救援队伍机动力量核心攻坚能力提升工程项目》森林灭火单兵防护装备项目（7包：森林灭火防护手套）</w:t>
                  </w:r>
                </w:p>
              </w:tc>
              <w:tc>
                <w:tcPr>
                  <w:tcW w:w="1150" w:type="dxa"/>
                  <w:vAlign w:val="center"/>
                </w:tcPr>
                <w:p>
                  <w:pPr>
                    <w:tabs>
                      <w:tab w:val="left" w:pos="432"/>
                    </w:tabs>
                    <w:spacing w:line="310" w:lineRule="exact"/>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983" w:type="dxa"/>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0.0223</w:t>
                  </w:r>
                </w:p>
              </w:tc>
              <w:tc>
                <w:tcPr>
                  <w:tcW w:w="2324" w:type="dxa"/>
                  <w:gridSpan w:val="3"/>
                  <w:vAlign w:val="center"/>
                </w:tcPr>
                <w:p>
                  <w:pPr>
                    <w:tabs>
                      <w:tab w:val="left" w:pos="432"/>
                    </w:tabs>
                    <w:spacing w:line="310" w:lineRule="exact"/>
                    <w:jc w:val="center"/>
                    <w:rPr>
                      <w:rFonts w:hint="eastAsia" w:ascii="宋体" w:hAnsi="宋体" w:eastAsia="宋体" w:cs="宋体"/>
                      <w:color w:val="auto"/>
                      <w:kern w:val="2"/>
                      <w:sz w:val="24"/>
                      <w:szCs w:val="24"/>
                      <w:highlight w:val="none"/>
                      <w:vertAlign w:val="baseline"/>
                      <w:lang w:val="en-US" w:eastAsia="zh-CN"/>
                    </w:rPr>
                  </w:pPr>
                  <w:r>
                    <w:rPr>
                      <w:rFonts w:hint="eastAsia" w:ascii="宋体" w:hAnsi="宋体" w:eastAsia="宋体" w:cs="宋体"/>
                      <w:color w:val="auto"/>
                      <w:kern w:val="2"/>
                      <w:sz w:val="24"/>
                      <w:szCs w:val="24"/>
                      <w:highlight w:val="none"/>
                      <w:vertAlign w:val="baseline"/>
                      <w:lang w:val="en-US" w:eastAsia="zh-CN"/>
                    </w:rPr>
                    <w:t>75.2625</w:t>
                  </w:r>
                </w:p>
              </w:tc>
            </w:tr>
          </w:tbl>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rightChars="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投标人的</w:t>
            </w:r>
            <w:r>
              <w:rPr>
                <w:rFonts w:hint="eastAsia" w:ascii="宋体" w:hAnsi="宋体" w:eastAsia="宋体" w:cs="宋体"/>
                <w:b/>
                <w:bCs/>
                <w:sz w:val="24"/>
                <w:szCs w:val="24"/>
                <w:highlight w:val="none"/>
              </w:rPr>
              <w:t>投标报价不</w:t>
            </w:r>
            <w:r>
              <w:rPr>
                <w:rFonts w:hint="eastAsia" w:ascii="宋体" w:hAnsi="宋体" w:eastAsia="宋体" w:cs="宋体"/>
                <w:b/>
                <w:bCs/>
                <w:sz w:val="24"/>
                <w:szCs w:val="24"/>
                <w:highlight w:val="none"/>
                <w:lang w:eastAsia="zh-CN"/>
              </w:rPr>
              <w:t>得</w:t>
            </w:r>
            <w:r>
              <w:rPr>
                <w:rFonts w:hint="eastAsia" w:ascii="宋体" w:hAnsi="宋体" w:eastAsia="宋体" w:cs="宋体"/>
                <w:b/>
                <w:bCs/>
                <w:sz w:val="24"/>
                <w:szCs w:val="24"/>
                <w:highlight w:val="none"/>
              </w:rPr>
              <w:t>超过</w:t>
            </w:r>
            <w:r>
              <w:rPr>
                <w:rFonts w:hint="eastAsia" w:ascii="宋体" w:hAnsi="宋体" w:eastAsia="宋体" w:cs="宋体"/>
                <w:b/>
                <w:bCs/>
                <w:sz w:val="24"/>
                <w:szCs w:val="24"/>
                <w:highlight w:val="none"/>
                <w:lang w:val="en-US" w:eastAsia="zh-CN"/>
              </w:rPr>
              <w:t>所投标段的</w:t>
            </w:r>
            <w:r>
              <w:rPr>
                <w:rFonts w:hint="eastAsia" w:ascii="宋体" w:hAnsi="宋体" w:eastAsia="宋体" w:cs="宋体"/>
                <w:b/>
                <w:bCs/>
                <w:sz w:val="24"/>
                <w:szCs w:val="24"/>
                <w:highlight w:val="none"/>
              </w:rPr>
              <w:t>最高</w:t>
            </w:r>
            <w:r>
              <w:rPr>
                <w:rFonts w:hint="eastAsia" w:ascii="宋体" w:hAnsi="宋体" w:eastAsia="宋体" w:cs="宋体"/>
                <w:b/>
                <w:bCs/>
                <w:sz w:val="24"/>
                <w:szCs w:val="24"/>
                <w:highlight w:val="none"/>
                <w:lang w:val="en-US" w:eastAsia="zh-CN"/>
              </w:rPr>
              <w:t>限价及最高限价单价</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否则</w:t>
            </w:r>
            <w:r>
              <w:rPr>
                <w:rFonts w:hint="eastAsia" w:ascii="宋体" w:hAnsi="宋体" w:eastAsia="宋体" w:cs="宋体"/>
                <w:b/>
                <w:bCs/>
                <w:sz w:val="24"/>
                <w:szCs w:val="24"/>
                <w:highlight w:val="none"/>
              </w:rPr>
              <w:t>，投标无效。</w:t>
            </w:r>
          </w:p>
          <w:p>
            <w:pPr>
              <w:keepNext w:val="0"/>
              <w:keepLines w:val="0"/>
              <w:pageBreakBefore w:val="0"/>
              <w:kinsoku/>
              <w:wordWrap/>
              <w:overflowPunct/>
              <w:topLinePunct w:val="0"/>
              <w:bidi w:val="0"/>
              <w:spacing w:line="360" w:lineRule="auto"/>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2）投标人</w:t>
            </w:r>
            <w:r>
              <w:rPr>
                <w:rFonts w:hint="eastAsia" w:ascii="宋体" w:hAnsi="宋体" w:eastAsia="宋体" w:cs="宋体"/>
                <w:sz w:val="24"/>
                <w:szCs w:val="24"/>
                <w:lang w:eastAsia="zh-CN"/>
              </w:rPr>
              <w:t>的报价</w:t>
            </w:r>
            <w:r>
              <w:rPr>
                <w:rFonts w:hint="eastAsia" w:ascii="宋体" w:hAnsi="宋体" w:eastAsia="宋体" w:cs="宋体"/>
                <w:color w:val="000000"/>
                <w:kern w:val="2"/>
                <w:sz w:val="24"/>
                <w:szCs w:val="24"/>
                <w:highlight w:val="none"/>
                <w:lang w:val="en-US" w:eastAsia="zh-CN" w:bidi="ar-SA"/>
              </w:rPr>
              <w:t>包括但不限于成本及利润、各项税金、包装费、运输费、保险费、仓储费、损耗费等及后续的</w:t>
            </w:r>
            <w:r>
              <w:rPr>
                <w:rFonts w:hint="eastAsia" w:ascii="宋体" w:hAnsi="宋体" w:cs="宋体"/>
                <w:kern w:val="0"/>
                <w:sz w:val="24"/>
                <w:szCs w:val="24"/>
              </w:rPr>
              <w:t>检验验收</w:t>
            </w:r>
            <w:r>
              <w:rPr>
                <w:rFonts w:hint="eastAsia" w:ascii="宋体" w:hAnsi="宋体" w:eastAsia="宋体" w:cs="宋体"/>
                <w:color w:val="000000"/>
                <w:kern w:val="2"/>
                <w:sz w:val="24"/>
                <w:szCs w:val="24"/>
                <w:highlight w:val="none"/>
                <w:lang w:val="en-US" w:eastAsia="zh-CN" w:bidi="ar-SA"/>
              </w:rPr>
              <w:t>、装卸货、安装、保修和维修、技术服务、培训等产生的费用，以及投标人因签署和履行本合同而应缴纳的各项税费等一切费用，采购人不再向投标人额外支付任何费用。</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rPr>
              <w:t>1</w:t>
            </w:r>
            <w:r>
              <w:rPr>
                <w:rFonts w:hint="eastAsia" w:ascii="宋体" w:hAnsi="宋体" w:eastAsia="宋体" w:cs="宋体"/>
                <w:sz w:val="24"/>
                <w:szCs w:val="24"/>
                <w:highlight w:val="none"/>
                <w:shd w:val="clear" w:color="auto" w:fill="FFFFFF"/>
                <w:lang w:val="en-US" w:eastAsia="zh-CN"/>
              </w:rPr>
              <w:t>2.3</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中标</w:t>
            </w:r>
            <w:r>
              <w:rPr>
                <w:rFonts w:hint="eastAsia" w:ascii="宋体" w:hAnsi="宋体" w:eastAsia="宋体" w:cs="宋体"/>
                <w:sz w:val="24"/>
                <w:szCs w:val="24"/>
                <w:highlight w:val="none"/>
                <w:shd w:val="clear" w:color="auto" w:fill="FFFFFF"/>
                <w:lang w:val="en-US" w:eastAsia="zh-CN"/>
              </w:rPr>
              <w:t>结果</w:t>
            </w:r>
            <w:r>
              <w:rPr>
                <w:rFonts w:hint="eastAsia" w:ascii="宋体" w:hAnsi="宋体" w:eastAsia="宋体" w:cs="宋体"/>
                <w:sz w:val="24"/>
                <w:szCs w:val="24"/>
                <w:highlight w:val="none"/>
                <w:shd w:val="clear" w:color="auto" w:fill="FFFFFF"/>
              </w:rPr>
              <w:t>公示媒介及期限</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公示媒介：</w:t>
            </w:r>
            <w:r>
              <w:rPr>
                <w:rFonts w:hint="eastAsia" w:ascii="宋体" w:hAnsi="宋体" w:eastAsia="宋体" w:cs="宋体"/>
                <w:kern w:val="2"/>
                <w:sz w:val="24"/>
                <w:szCs w:val="24"/>
                <w:highlight w:val="none"/>
                <w:lang w:val="zh-CN" w:eastAsia="zh-CN" w:bidi="ar-SA"/>
              </w:rPr>
              <w:t>《中国政府采购网》《</w:t>
            </w:r>
            <w:r>
              <w:rPr>
                <w:rFonts w:hint="eastAsia" w:ascii="宋体" w:hAnsi="宋体" w:eastAsia="宋体" w:cs="宋体"/>
                <w:sz w:val="24"/>
                <w:szCs w:val="24"/>
                <w:highlight w:val="none"/>
              </w:rPr>
              <w:t>中国采购与招标网</w:t>
            </w:r>
            <w:r>
              <w:rPr>
                <w:rFonts w:hint="eastAsia" w:ascii="宋体" w:hAnsi="宋体" w:eastAsia="宋体" w:cs="宋体"/>
                <w:kern w:val="2"/>
                <w:sz w:val="24"/>
                <w:szCs w:val="24"/>
                <w:highlight w:val="none"/>
                <w:lang w:val="zh-CN" w:eastAsia="zh-CN" w:bidi="ar-SA"/>
              </w:rPr>
              <w:t>》</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rPr>
              <w:tab/>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公示期限：1个工作日</w:t>
            </w:r>
            <w:r>
              <w:rPr>
                <w:rFonts w:hint="eastAsia" w:ascii="宋体" w:hAnsi="宋体" w:eastAsia="宋体" w:cs="宋体"/>
                <w:sz w:val="24"/>
                <w:szCs w:val="24"/>
                <w:highlight w:val="none"/>
                <w:shd w:val="clear" w:color="auto" w:fill="FFFFFF"/>
                <w:lang w:eastAsia="zh-CN"/>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1</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w:t>
            </w:r>
            <w:r>
              <w:rPr>
                <w:rFonts w:hint="eastAsia" w:ascii="宋体" w:hAnsi="宋体" w:eastAsia="宋体" w:cs="宋体"/>
                <w:sz w:val="24"/>
                <w:szCs w:val="24"/>
                <w:shd w:val="clear" w:color="auto" w:fill="FFFFFF"/>
                <w:lang w:val="en-US" w:eastAsia="zh-CN"/>
              </w:rPr>
              <w:t>4</w:t>
            </w:r>
          </w:p>
        </w:tc>
        <w:tc>
          <w:tcPr>
            <w:tcW w:w="1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rPr>
                <w:rFonts w:hint="eastAsia" w:ascii="宋体" w:hAnsi="宋体" w:eastAsia="宋体" w:cs="宋体"/>
                <w:bCs/>
                <w:kern w:val="15"/>
                <w:sz w:val="24"/>
                <w:szCs w:val="24"/>
              </w:rPr>
            </w:pPr>
            <w:r>
              <w:rPr>
                <w:rFonts w:hint="eastAsia" w:ascii="宋体" w:hAnsi="宋体" w:eastAsia="宋体" w:cs="宋体"/>
                <w:bCs/>
                <w:kern w:val="15"/>
                <w:sz w:val="24"/>
                <w:szCs w:val="24"/>
              </w:rPr>
              <w:t>合同存档</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中标单位与采购人签订合同后 2 个工作日内将采购合同复印件送至采购代理机构存档。</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1</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w:t>
            </w:r>
            <w:r>
              <w:rPr>
                <w:rFonts w:hint="eastAsia" w:ascii="宋体" w:hAnsi="宋体" w:eastAsia="宋体" w:cs="宋体"/>
                <w:sz w:val="24"/>
                <w:szCs w:val="24"/>
                <w:shd w:val="clear" w:color="auto" w:fill="FFFFFF"/>
                <w:lang w:val="en-US" w:eastAsia="zh-CN"/>
              </w:rPr>
              <w:t>5</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付款方式</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具体以甲乙双方实际签订合同为准</w:t>
            </w:r>
            <w:r>
              <w:rPr>
                <w:rFonts w:hint="eastAsia" w:ascii="宋体" w:hAnsi="宋体" w:eastAsia="宋体" w:cs="宋体"/>
                <w:sz w:val="24"/>
                <w:szCs w:val="24"/>
                <w:highlight w:val="none"/>
                <w:shd w:val="clear" w:color="auto" w:fill="FFFFFF"/>
              </w:rPr>
              <w:t>。</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12.6</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履约担保</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合同金额的10%。</w:t>
            </w:r>
          </w:p>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形式：电汇、保函等非现金形式。</w:t>
            </w:r>
          </w:p>
          <w:p>
            <w:pPr>
              <w:pStyle w:val="46"/>
              <w:keepNext w:val="0"/>
              <w:keepLines w:val="0"/>
              <w:pageBreakBefore w:val="0"/>
              <w:kinsoku/>
              <w:wordWrap/>
              <w:overflowPunct/>
              <w:topLinePunct w:val="0"/>
              <w:bidi w:val="0"/>
              <w:adjustRightInd/>
              <w:snapToGrid/>
              <w:spacing w:line="360" w:lineRule="auto"/>
              <w:contextualSpacing/>
              <w:jc w:val="both"/>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时间：中标单位在合同签订之前递交履约保证金。</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12.7</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质保期</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三年。</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12.8</w:t>
            </w:r>
          </w:p>
        </w:tc>
        <w:tc>
          <w:tcPr>
            <w:tcW w:w="1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rPr>
                <w:rFonts w:hint="eastAsia" w:ascii="宋体" w:hAnsi="宋体" w:eastAsia="宋体" w:cs="宋体"/>
                <w:bCs/>
                <w:kern w:val="15"/>
                <w:sz w:val="24"/>
                <w:szCs w:val="24"/>
                <w:highlight w:val="none"/>
              </w:rPr>
            </w:pPr>
            <w:r>
              <w:rPr>
                <w:rFonts w:hint="eastAsia" w:ascii="宋体" w:hAnsi="宋体" w:eastAsia="宋体" w:cs="宋体"/>
                <w:bCs/>
                <w:kern w:val="15"/>
                <w:sz w:val="24"/>
                <w:szCs w:val="24"/>
                <w:highlight w:val="none"/>
                <w:lang w:val="en-US" w:eastAsia="zh-CN"/>
              </w:rPr>
              <w:t xml:space="preserve">开标现场是否 </w:t>
            </w:r>
          </w:p>
          <w:p>
            <w:pPr>
              <w:keepNext w:val="0"/>
              <w:keepLines w:val="0"/>
              <w:pageBreakBefore w:val="0"/>
              <w:kinsoku/>
              <w:wordWrap/>
              <w:overflowPunct/>
              <w:topLinePunct w:val="0"/>
              <w:bidi w:val="0"/>
              <w:snapToGrid/>
              <w:spacing w:line="360" w:lineRule="auto"/>
              <w:jc w:val="center"/>
              <w:rPr>
                <w:rFonts w:hint="eastAsia" w:ascii="宋体" w:hAnsi="宋体" w:eastAsia="宋体" w:cs="宋体"/>
                <w:bCs/>
                <w:kern w:val="15"/>
                <w:sz w:val="24"/>
                <w:szCs w:val="24"/>
                <w:highlight w:val="none"/>
              </w:rPr>
            </w:pPr>
            <w:r>
              <w:rPr>
                <w:rFonts w:hint="eastAsia" w:ascii="宋体" w:hAnsi="宋体" w:eastAsia="宋体" w:cs="宋体"/>
                <w:bCs/>
                <w:kern w:val="15"/>
                <w:sz w:val="24"/>
                <w:szCs w:val="24"/>
                <w:highlight w:val="none"/>
                <w:lang w:val="en-US" w:eastAsia="zh-CN"/>
              </w:rPr>
              <w:t>提供样品</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both"/>
              <w:rPr>
                <w:rFonts w:hint="default" w:ascii="宋体" w:hAnsi="宋体" w:eastAsia="宋体" w:cs="宋体"/>
                <w:bCs/>
                <w:kern w:val="15"/>
                <w:sz w:val="24"/>
                <w:szCs w:val="24"/>
                <w:highlight w:val="none"/>
                <w:lang w:val="en-US" w:eastAsia="zh-CN"/>
              </w:rPr>
            </w:pPr>
            <w:r>
              <w:rPr>
                <w:rFonts w:hint="eastAsia" w:ascii="宋体" w:hAnsi="宋体" w:eastAsia="宋体" w:cs="宋体"/>
                <w:bCs/>
                <w:kern w:val="15"/>
                <w:sz w:val="24"/>
                <w:szCs w:val="24"/>
                <w:highlight w:val="none"/>
                <w:lang w:val="en-US" w:eastAsia="zh-CN"/>
              </w:rPr>
              <w:t>需要提供样品。所递交样品上不得体现投标人或制造商名称或其他标识，相应位置须一律空白。样品与投标文件同时递交。</w:t>
            </w:r>
          </w:p>
          <w:p>
            <w:pPr>
              <w:keepNext w:val="0"/>
              <w:keepLines w:val="0"/>
              <w:pageBreakBefore w:val="0"/>
              <w:kinsoku/>
              <w:wordWrap/>
              <w:overflowPunct/>
              <w:topLinePunct w:val="0"/>
              <w:bidi w:val="0"/>
              <w:snapToGrid/>
              <w:spacing w:line="360" w:lineRule="auto"/>
              <w:jc w:val="both"/>
              <w:rPr>
                <w:rFonts w:hint="default" w:ascii="宋体" w:hAnsi="宋体" w:eastAsia="宋体" w:cs="宋体"/>
                <w:bCs/>
                <w:kern w:val="15"/>
                <w:sz w:val="24"/>
                <w:szCs w:val="24"/>
                <w:highlight w:val="none"/>
                <w:lang w:val="en-US" w:eastAsia="zh-CN"/>
              </w:rPr>
            </w:pPr>
            <w:r>
              <w:rPr>
                <w:rFonts w:hint="eastAsia" w:ascii="宋体" w:hAnsi="宋体" w:eastAsia="宋体" w:cs="宋体"/>
                <w:bCs/>
                <w:kern w:val="15"/>
                <w:sz w:val="24"/>
                <w:szCs w:val="24"/>
                <w:highlight w:val="none"/>
                <w:lang w:val="en-US" w:eastAsia="zh-CN"/>
              </w:rPr>
              <w:t>评标工作完成后，排名第一的中标候选人的样品采购人封存。其余投标人的样品退回。封存的样品待采购人验收完毕后退回。</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12.9</w:t>
            </w:r>
          </w:p>
        </w:tc>
        <w:tc>
          <w:tcPr>
            <w:tcW w:w="1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rPr>
                <w:rFonts w:hint="eastAsia" w:ascii="宋体" w:hAnsi="宋体" w:eastAsia="宋体" w:cs="宋体"/>
                <w:bCs/>
                <w:kern w:val="15"/>
                <w:sz w:val="24"/>
                <w:szCs w:val="24"/>
                <w:highlight w:val="none"/>
                <w:lang w:val="en-US" w:eastAsia="zh-CN"/>
              </w:rPr>
            </w:pPr>
            <w:r>
              <w:rPr>
                <w:rFonts w:hint="eastAsia" w:ascii="宋体" w:hAnsi="宋体" w:eastAsia="宋体" w:cs="宋体"/>
                <w:bCs/>
                <w:kern w:val="15"/>
                <w:sz w:val="24"/>
                <w:szCs w:val="24"/>
                <w:highlight w:val="none"/>
                <w:lang w:val="en-US" w:eastAsia="zh-CN"/>
              </w:rPr>
              <w:t>评审方法</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资格后审，综合评分法。</w:t>
            </w:r>
          </w:p>
        </w:tc>
      </w:tr>
      <w:tr>
        <w:tblPrEx>
          <w:tblCellMar>
            <w:top w:w="0" w:type="dxa"/>
            <w:left w:w="108" w:type="dxa"/>
            <w:bottom w:w="0" w:type="dxa"/>
            <w:right w:w="108" w:type="dxa"/>
          </w:tblCellMar>
        </w:tblPrEx>
        <w:trPr>
          <w:trHeight w:val="23" w:hRule="atLeast"/>
          <w:jc w:val="center"/>
        </w:trPr>
        <w:tc>
          <w:tcPr>
            <w:tcW w:w="1139"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12.10</w:t>
            </w:r>
          </w:p>
        </w:tc>
        <w:tc>
          <w:tcPr>
            <w:tcW w:w="1826" w:type="dxa"/>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bCs/>
                <w:kern w:val="15"/>
                <w:sz w:val="24"/>
                <w:szCs w:val="24"/>
                <w:highlight w:val="none"/>
                <w:lang w:val="en-US" w:eastAsia="zh-CN"/>
              </w:rPr>
            </w:pPr>
            <w:r>
              <w:rPr>
                <w:rFonts w:hint="eastAsia" w:ascii="宋体" w:hAnsi="宋体" w:eastAsia="宋体" w:cs="宋体"/>
                <w:sz w:val="24"/>
                <w:szCs w:val="24"/>
                <w:shd w:val="clear" w:color="auto" w:fill="FFFFFF"/>
              </w:rPr>
              <w:t>构成投标文件的其他材料</w:t>
            </w: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shd w:val="clear" w:color="auto" w:fill="FFFFFF"/>
                <w:lang w:val="en-US" w:eastAsia="zh-CN"/>
              </w:rPr>
              <w:t>招标文件的澄清、修改书及有关补充通知为招标文件的有效组成部分。</w:t>
            </w:r>
          </w:p>
        </w:tc>
      </w:tr>
      <w:tr>
        <w:tblPrEx>
          <w:tblCellMar>
            <w:top w:w="0" w:type="dxa"/>
            <w:left w:w="108" w:type="dxa"/>
            <w:bottom w:w="0" w:type="dxa"/>
            <w:right w:w="108" w:type="dxa"/>
          </w:tblCellMar>
        </w:tblPrEx>
        <w:trPr>
          <w:trHeight w:val="23" w:hRule="atLeast"/>
          <w:jc w:val="center"/>
        </w:trPr>
        <w:tc>
          <w:tcPr>
            <w:tcW w:w="1139" w:type="dxa"/>
            <w:vMerge w:val="restart"/>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center"/>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1</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w:t>
            </w:r>
            <w:r>
              <w:rPr>
                <w:rFonts w:hint="eastAsia" w:ascii="宋体" w:hAnsi="宋体" w:eastAsia="宋体" w:cs="宋体"/>
                <w:sz w:val="24"/>
                <w:szCs w:val="24"/>
                <w:shd w:val="clear" w:color="auto" w:fill="FFFFFF"/>
                <w:lang w:val="en-US" w:eastAsia="zh-CN"/>
              </w:rPr>
              <w:t>11</w:t>
            </w:r>
          </w:p>
        </w:tc>
        <w:tc>
          <w:tcPr>
            <w:tcW w:w="1826" w:type="dxa"/>
            <w:vMerge w:val="restart"/>
            <w:tcBorders>
              <w:top w:val="single" w:color="auto" w:sz="4" w:space="0"/>
              <w:left w:val="single" w:color="auto" w:sz="4" w:space="0"/>
              <w:right w:val="single" w:color="auto" w:sz="4" w:space="0"/>
            </w:tcBorders>
            <w:vAlign w:val="center"/>
          </w:tcPr>
          <w:p>
            <w:pPr>
              <w:pStyle w:val="46"/>
              <w:keepNext w:val="0"/>
              <w:keepLines w:val="0"/>
              <w:pageBreakBefore w:val="0"/>
              <w:kinsoku/>
              <w:wordWrap/>
              <w:overflowPunct/>
              <w:topLinePunct w:val="0"/>
              <w:bidi w:val="0"/>
              <w:snapToGrid/>
              <w:spacing w:line="360" w:lineRule="auto"/>
              <w:ind w:left="16"/>
              <w:contextualSpacing/>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其他说明</w:t>
            </w:r>
          </w:p>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根据《中华人民共和国政府采购法》等法律法规及相关规章之规定，在有利于维护公共利益和招投标当事人合法权益，建立公平高效的招投标环境的前提下，对以投诉为名排挤竞争对手，故意捏造事实、伪造证明材料、虚假恶意投诉，阻碍招标投标活动正常进行的投标人，不得在本地区范围内投标或参加其他形式的招标活动并由</w:t>
            </w:r>
            <w:r>
              <w:rPr>
                <w:rFonts w:hint="eastAsia" w:ascii="宋体" w:hAnsi="宋体" w:eastAsia="宋体" w:cs="宋体"/>
                <w:sz w:val="24"/>
                <w:szCs w:val="24"/>
                <w:shd w:val="clear" w:color="auto" w:fill="FFFFFF"/>
                <w:lang w:eastAsia="zh-CN"/>
              </w:rPr>
              <w:t>采购人</w:t>
            </w:r>
            <w:r>
              <w:rPr>
                <w:rFonts w:hint="eastAsia" w:ascii="宋体" w:hAnsi="宋体" w:eastAsia="宋体" w:cs="宋体"/>
                <w:sz w:val="24"/>
                <w:szCs w:val="24"/>
                <w:shd w:val="clear" w:color="auto" w:fill="FFFFFF"/>
              </w:rPr>
              <w:t>依照相关民事法律规定追究投诉人的相关民事责任。</w:t>
            </w:r>
          </w:p>
        </w:tc>
      </w:tr>
      <w:tr>
        <w:tblPrEx>
          <w:tblCellMar>
            <w:top w:w="0" w:type="dxa"/>
            <w:left w:w="108" w:type="dxa"/>
            <w:bottom w:w="0" w:type="dxa"/>
            <w:right w:w="108" w:type="dxa"/>
          </w:tblCellMar>
        </w:tblPrEx>
        <w:trPr>
          <w:trHeight w:val="2062"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在评标过程中，评标委员会发现投标人的报价明显低于其他投标报价，使得其投标报价可能低于其个别成本的，应当要求该投标人做出书面说明并提供相关证明材料。投标人不能合理说明或者不能提供相关证明材料的，由评标委员会认定该投标人以低于成本报价竞标，低于成本作否决投标处理。</w:t>
            </w:r>
          </w:p>
        </w:tc>
      </w:tr>
      <w:tr>
        <w:tblPrEx>
          <w:tblCellMar>
            <w:top w:w="0" w:type="dxa"/>
            <w:left w:w="108" w:type="dxa"/>
            <w:bottom w:w="0" w:type="dxa"/>
            <w:right w:w="108" w:type="dxa"/>
          </w:tblCellMar>
        </w:tblPrEx>
        <w:trPr>
          <w:trHeight w:val="5578"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lang w:eastAsia="zh-CN"/>
              </w:rPr>
            </w:pPr>
            <w:r>
              <w:rPr>
                <w:rFonts w:hint="eastAsia" w:ascii="宋体" w:hAnsi="宋体" w:eastAsia="宋体" w:cs="宋体"/>
                <w:sz w:val="24"/>
                <w:szCs w:val="24"/>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ascii="宋体" w:hAnsi="宋体" w:eastAsia="宋体" w:cs="宋体"/>
                <w:kern w:val="2"/>
                <w:sz w:val="24"/>
                <w:szCs w:val="24"/>
                <w:lang w:val="en-US" w:eastAsia="zh-CN"/>
              </w:rPr>
              <w:t>招标</w:t>
            </w:r>
            <w:r>
              <w:rPr>
                <w:rFonts w:hint="eastAsia" w:ascii="宋体" w:hAnsi="宋体" w:eastAsia="宋体" w:cs="宋体"/>
                <w:sz w:val="24"/>
                <w:szCs w:val="24"/>
                <w:lang w:eastAsia="zh-CN"/>
              </w:rPr>
              <w:t>文件规定的方式确定一个投标人获得中标人推荐资格，</w:t>
            </w:r>
            <w:r>
              <w:rPr>
                <w:rFonts w:hint="eastAsia" w:ascii="宋体" w:hAnsi="宋体" w:eastAsia="宋体" w:cs="宋体"/>
                <w:kern w:val="2"/>
                <w:sz w:val="24"/>
                <w:szCs w:val="24"/>
                <w:lang w:val="en-US" w:eastAsia="zh-CN"/>
              </w:rPr>
              <w:t>招标</w:t>
            </w:r>
            <w:r>
              <w:rPr>
                <w:rFonts w:hint="eastAsia" w:ascii="宋体" w:hAnsi="宋体" w:eastAsia="宋体" w:cs="宋体"/>
                <w:sz w:val="24"/>
                <w:szCs w:val="24"/>
                <w:lang w:eastAsia="zh-CN"/>
              </w:rPr>
              <w:t>文件未规定的采取随机抽取方式确定，其他同品牌投标人不作为中标候选人。</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注：非单一产品采购项目中（本项目涉及1包、3包、5包），多家投标人提供的核心产品品牌相同的，视为提供相同品牌产品。采购人根据采购项目技术构成、产品价格比重等合理确定核心产品。</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核心产品如下（仅限于非单一产品采购标段，涉及1、3、5包）：</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1包：森林灭火防护头盔</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3包：森林灭火防护服</w:t>
            </w:r>
          </w:p>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2"/>
                <w:sz w:val="24"/>
                <w:szCs w:val="24"/>
                <w:highlight w:val="yellow"/>
                <w:vertAlign w:val="baseline"/>
                <w:lang w:val="en-US" w:eastAsia="zh-CN"/>
              </w:rPr>
            </w:pPr>
            <w:r>
              <w:rPr>
                <w:rFonts w:hint="eastAsia" w:ascii="宋体" w:hAnsi="宋体" w:eastAsia="宋体" w:cs="宋体"/>
                <w:b/>
                <w:bCs/>
                <w:sz w:val="24"/>
                <w:szCs w:val="24"/>
                <w:lang w:val="en-US" w:eastAsia="zh-CN"/>
              </w:rPr>
              <w:t>5包：22多功能水壶</w:t>
            </w:r>
          </w:p>
        </w:tc>
      </w:tr>
      <w:tr>
        <w:tblPrEx>
          <w:tblCellMar>
            <w:top w:w="0" w:type="dxa"/>
            <w:left w:w="108" w:type="dxa"/>
            <w:bottom w:w="0" w:type="dxa"/>
            <w:right w:w="108" w:type="dxa"/>
          </w:tblCellMar>
        </w:tblPrEx>
        <w:trPr>
          <w:trHeight w:val="586"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2"/>
                <w:sz w:val="24"/>
                <w:szCs w:val="24"/>
                <w:highlight w:val="yellow"/>
                <w:vertAlign w:val="baseline"/>
                <w:lang w:val="en-US" w:eastAsia="zh-CN"/>
              </w:rPr>
            </w:pPr>
            <w:r>
              <w:rPr>
                <w:rFonts w:hint="eastAsia" w:ascii="宋体" w:hAnsi="宋体" w:eastAsia="宋体" w:cs="宋体"/>
                <w:kern w:val="0"/>
                <w:sz w:val="24"/>
                <w:szCs w:val="24"/>
                <w:highlight w:val="none"/>
                <w:lang w:val="en-US" w:eastAsia="zh-CN" w:bidi="ar"/>
              </w:rPr>
              <w:t>本项目所属行业类别：工业。</w:t>
            </w:r>
          </w:p>
        </w:tc>
      </w:tr>
      <w:tr>
        <w:tblPrEx>
          <w:tblCellMar>
            <w:top w:w="0" w:type="dxa"/>
            <w:left w:w="108" w:type="dxa"/>
            <w:bottom w:w="0" w:type="dxa"/>
            <w:right w:w="108" w:type="dxa"/>
          </w:tblCellMar>
        </w:tblPrEx>
        <w:trPr>
          <w:trHeight w:val="827"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0"/>
                <w:sz w:val="24"/>
                <w:szCs w:val="24"/>
                <w:highlight w:val="none"/>
                <w:lang w:val="en-US" w:eastAsia="zh-CN" w:bidi="ar"/>
              </w:rPr>
            </w:pPr>
            <w:r>
              <w:rPr>
                <w:rFonts w:hint="eastAsia" w:ascii="宋体" w:hAnsi="宋体" w:eastAsia="宋体" w:cs="宋体"/>
                <w:sz w:val="24"/>
                <w:szCs w:val="24"/>
                <w:highlight w:val="none"/>
                <w:shd w:val="clear" w:color="auto" w:fill="FFFFFF"/>
              </w:rPr>
              <w:t>近年完成的类似项目的年份要求</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kern w:val="2"/>
                <w:sz w:val="24"/>
                <w:szCs w:val="24"/>
                <w:highlight w:val="none"/>
                <w:lang w:val="zh-CN" w:eastAsia="zh-CN"/>
              </w:rPr>
              <w:t>近年（指20</w:t>
            </w:r>
            <w:r>
              <w:rPr>
                <w:rFonts w:hint="eastAsia" w:ascii="宋体" w:hAnsi="宋体" w:eastAsia="宋体" w:cs="宋体"/>
                <w:kern w:val="2"/>
                <w:sz w:val="24"/>
                <w:szCs w:val="24"/>
                <w:highlight w:val="none"/>
                <w:lang w:val="en-US" w:eastAsia="zh-CN"/>
              </w:rPr>
              <w:t>22</w:t>
            </w:r>
            <w:r>
              <w:rPr>
                <w:rFonts w:hint="eastAsia" w:ascii="宋体" w:hAnsi="宋体" w:eastAsia="宋体" w:cs="宋体"/>
                <w:kern w:val="2"/>
                <w:sz w:val="24"/>
                <w:szCs w:val="24"/>
                <w:highlight w:val="none"/>
                <w:lang w:val="zh-CN" w:eastAsia="zh-CN"/>
              </w:rPr>
              <w:t>年1月1日起至投标截止时间前）</w:t>
            </w:r>
            <w:r>
              <w:rPr>
                <w:rFonts w:hint="eastAsia" w:ascii="宋体" w:hAnsi="宋体" w:eastAsia="宋体" w:cs="宋体"/>
                <w:sz w:val="24"/>
                <w:szCs w:val="24"/>
                <w:highlight w:val="none"/>
                <w:shd w:val="clear" w:color="auto" w:fill="FFFFFF"/>
                <w:lang w:val="en-US" w:eastAsia="zh-CN"/>
              </w:rPr>
              <w:t>。</w:t>
            </w:r>
          </w:p>
        </w:tc>
      </w:tr>
      <w:tr>
        <w:tblPrEx>
          <w:tblCellMar>
            <w:top w:w="0" w:type="dxa"/>
            <w:left w:w="108" w:type="dxa"/>
            <w:bottom w:w="0" w:type="dxa"/>
            <w:right w:w="108" w:type="dxa"/>
          </w:tblCellMar>
        </w:tblPrEx>
        <w:trPr>
          <w:trHeight w:val="827"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本招标文件出现词汇“采购文件”的按“招标文件”相互理解。</w:t>
            </w:r>
          </w:p>
        </w:tc>
      </w:tr>
      <w:tr>
        <w:tblPrEx>
          <w:tblCellMar>
            <w:top w:w="0" w:type="dxa"/>
            <w:left w:w="108" w:type="dxa"/>
            <w:bottom w:w="0" w:type="dxa"/>
            <w:right w:w="108" w:type="dxa"/>
          </w:tblCellMar>
        </w:tblPrEx>
        <w:trPr>
          <w:trHeight w:val="695" w:hRule="atLeast"/>
          <w:jc w:val="center"/>
        </w:trPr>
        <w:tc>
          <w:tcPr>
            <w:tcW w:w="1139"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eastAsia" w:ascii="宋体" w:hAnsi="宋体" w:eastAsia="宋体" w:cs="宋体"/>
                <w:kern w:val="0"/>
                <w:sz w:val="24"/>
                <w:szCs w:val="24"/>
                <w:highlight w:val="none"/>
                <w:lang w:val="en-US" w:eastAsia="zh-CN" w:bidi="ar"/>
              </w:rPr>
            </w:pPr>
            <w:r>
              <w:rPr>
                <w:rFonts w:hint="eastAsia" w:ascii="宋体" w:hAnsi="宋体" w:eastAsia="宋体" w:cs="宋体"/>
                <w:color w:val="auto"/>
                <w:kern w:val="2"/>
                <w:sz w:val="24"/>
                <w:szCs w:val="24"/>
                <w:highlight w:val="none"/>
                <w:vertAlign w:val="baseline"/>
                <w:lang w:val="en-US" w:eastAsia="zh-CN"/>
              </w:rPr>
              <w:t>本项目允许兼投兼中。投标人可以对本项目多个标段进行投标。</w:t>
            </w:r>
          </w:p>
        </w:tc>
      </w:tr>
      <w:tr>
        <w:tblPrEx>
          <w:tblCellMar>
            <w:top w:w="0" w:type="dxa"/>
            <w:left w:w="108" w:type="dxa"/>
            <w:bottom w:w="0" w:type="dxa"/>
            <w:right w:w="108" w:type="dxa"/>
          </w:tblCellMar>
        </w:tblPrEx>
        <w:trPr>
          <w:trHeight w:val="695" w:hRule="atLeast"/>
          <w:jc w:val="center"/>
        </w:trPr>
        <w:tc>
          <w:tcPr>
            <w:tcW w:w="1139"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ind w:firstLine="1320" w:firstLineChars="550"/>
              <w:contextualSpacing/>
              <w:jc w:val="center"/>
              <w:rPr>
                <w:rFonts w:hint="eastAsia" w:ascii="宋体" w:hAnsi="宋体" w:eastAsia="宋体" w:cs="宋体"/>
                <w:sz w:val="24"/>
                <w:szCs w:val="24"/>
                <w:shd w:val="clear" w:color="auto" w:fill="FFFFFF"/>
              </w:rPr>
            </w:pPr>
          </w:p>
        </w:tc>
        <w:tc>
          <w:tcPr>
            <w:tcW w:w="1826" w:type="dxa"/>
            <w:vMerge w:val="continue"/>
            <w:tcBorders>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jc w:val="both"/>
              <w:rPr>
                <w:rFonts w:hint="eastAsia" w:ascii="宋体" w:hAnsi="宋体" w:eastAsia="宋体" w:cs="宋体"/>
                <w:sz w:val="24"/>
                <w:szCs w:val="24"/>
                <w:shd w:val="clear" w:color="auto" w:fill="FFFFFF"/>
              </w:rPr>
            </w:pPr>
          </w:p>
        </w:tc>
        <w:tc>
          <w:tcPr>
            <w:tcW w:w="7693" w:type="dxa"/>
            <w:gridSpan w:val="2"/>
            <w:tcBorders>
              <w:top w:val="single" w:color="auto" w:sz="4" w:space="0"/>
              <w:left w:val="single" w:color="auto" w:sz="4" w:space="0"/>
              <w:bottom w:val="single" w:color="auto" w:sz="4" w:space="0"/>
              <w:right w:val="single" w:color="auto" w:sz="4" w:space="0"/>
            </w:tcBorders>
            <w:vAlign w:val="center"/>
          </w:tcPr>
          <w:p>
            <w:pPr>
              <w:pStyle w:val="46"/>
              <w:keepNext w:val="0"/>
              <w:keepLines w:val="0"/>
              <w:pageBreakBefore w:val="0"/>
              <w:kinsoku/>
              <w:wordWrap/>
              <w:overflowPunct/>
              <w:topLinePunct w:val="0"/>
              <w:bidi w:val="0"/>
              <w:adjustRightInd/>
              <w:snapToGrid/>
              <w:spacing w:line="360" w:lineRule="auto"/>
              <w:contextualSpacing/>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定价方式：固定单价。</w:t>
            </w:r>
          </w:p>
        </w:tc>
      </w:tr>
    </w:tbl>
    <w:p>
      <w:pPr>
        <w:spacing w:line="360" w:lineRule="auto"/>
        <w:contextualSpacing/>
        <w:jc w:val="both"/>
        <w:rPr>
          <w:rFonts w:ascii="宋体" w:hAnsi="宋体"/>
          <w:sz w:val="24"/>
          <w:szCs w:val="24"/>
          <w:shd w:val="clear" w:color="auto" w:fill="FFFFFF"/>
        </w:rPr>
      </w:pPr>
      <w:r>
        <w:rPr>
          <w:rFonts w:hint="eastAsia" w:ascii="宋体" w:hAnsi="宋体"/>
          <w:b/>
          <w:sz w:val="24"/>
          <w:szCs w:val="24"/>
          <w:shd w:val="clear" w:color="auto" w:fill="FFFFFF"/>
          <w:lang w:val="en-US" w:eastAsia="zh-CN"/>
        </w:rPr>
        <w:t>注：</w:t>
      </w:r>
      <w:r>
        <w:rPr>
          <w:rFonts w:hint="eastAsia" w:ascii="宋体" w:hAnsi="宋体"/>
          <w:b/>
          <w:sz w:val="24"/>
          <w:szCs w:val="24"/>
          <w:shd w:val="clear" w:color="auto" w:fill="FFFFFF"/>
        </w:rPr>
        <w:t>招标公告与招标文件不同之处以</w:t>
      </w:r>
      <w:r>
        <w:rPr>
          <w:rFonts w:hint="eastAsia" w:ascii="宋体" w:hAnsi="宋体"/>
          <w:b/>
          <w:sz w:val="24"/>
          <w:szCs w:val="24"/>
          <w:shd w:val="clear" w:color="auto" w:fill="FFFFFF"/>
          <w:lang w:val="en-US" w:eastAsia="zh-CN"/>
        </w:rPr>
        <w:t>本</w:t>
      </w:r>
      <w:r>
        <w:rPr>
          <w:rFonts w:hint="eastAsia" w:ascii="宋体" w:hAnsi="宋体"/>
          <w:b/>
          <w:sz w:val="24"/>
          <w:szCs w:val="24"/>
          <w:shd w:val="clear" w:color="auto" w:fill="FFFFFF"/>
        </w:rPr>
        <w:t>招标文件为准</w:t>
      </w:r>
      <w:r>
        <w:rPr>
          <w:rFonts w:hint="eastAsia" w:ascii="宋体" w:hAnsi="宋体"/>
          <w:b/>
          <w:sz w:val="24"/>
          <w:szCs w:val="24"/>
          <w:shd w:val="clear" w:color="auto" w:fill="FFFFFF"/>
          <w:lang w:eastAsia="zh-CN"/>
        </w:rPr>
        <w:t>。</w:t>
      </w:r>
      <w:r>
        <w:rPr>
          <w:rFonts w:hint="eastAsia" w:ascii="宋体" w:hAnsi="宋体"/>
          <w:b/>
          <w:sz w:val="24"/>
          <w:szCs w:val="24"/>
          <w:shd w:val="clear" w:color="auto" w:fill="FFFFFF"/>
          <w:lang w:val="en-US" w:eastAsia="zh-CN"/>
        </w:rPr>
        <w:t xml:space="preserve"> </w:t>
      </w:r>
      <w:r>
        <w:rPr>
          <w:rFonts w:ascii="宋体" w:hAnsi="宋体"/>
          <w:color w:val="000000"/>
          <w:shd w:val="clear" w:color="auto" w:fill="FFFFFF"/>
        </w:rPr>
        <w:br w:type="page"/>
      </w:r>
      <w:bookmarkStart w:id="64" w:name="_Toc325293411"/>
      <w:bookmarkStart w:id="65" w:name="_Toc476566547"/>
      <w:bookmarkStart w:id="66" w:name="_Toc152042305"/>
      <w:bookmarkStart w:id="67" w:name="_Toc8754"/>
      <w:bookmarkStart w:id="68" w:name="_Toc144974497"/>
      <w:bookmarkStart w:id="69" w:name="_Toc179632546"/>
      <w:bookmarkStart w:id="70" w:name="_Toc152045529"/>
      <w:r>
        <w:rPr>
          <w:rFonts w:hint="eastAsia" w:ascii="宋体" w:hAnsi="宋体"/>
          <w:sz w:val="24"/>
          <w:szCs w:val="24"/>
          <w:shd w:val="clear" w:color="auto" w:fill="FFFFFF"/>
        </w:rPr>
        <w:t>1. 总则</w:t>
      </w:r>
      <w:bookmarkEnd w:id="64"/>
      <w:bookmarkEnd w:id="65"/>
      <w:bookmarkEnd w:id="66"/>
      <w:bookmarkEnd w:id="67"/>
      <w:bookmarkEnd w:id="68"/>
      <w:bookmarkEnd w:id="69"/>
      <w:bookmarkEnd w:id="70"/>
      <w:bookmarkStart w:id="71" w:name="_Toc152042306"/>
      <w:bookmarkStart w:id="72" w:name="_Toc144974498"/>
      <w:bookmarkStart w:id="73" w:name="_Toc152045530"/>
      <w:bookmarkStart w:id="74" w:name="_Toc179632547"/>
    </w:p>
    <w:bookmarkEnd w:id="71"/>
    <w:bookmarkEnd w:id="72"/>
    <w:bookmarkEnd w:id="73"/>
    <w:bookmarkEnd w:id="74"/>
    <w:p>
      <w:pPr>
        <w:spacing w:line="360" w:lineRule="auto"/>
        <w:contextualSpacing/>
        <w:outlineLvl w:val="2"/>
        <w:rPr>
          <w:rFonts w:ascii="宋体" w:hAnsi="宋体"/>
          <w:sz w:val="24"/>
          <w:szCs w:val="24"/>
          <w:shd w:val="clear" w:color="auto" w:fill="FFFFFF"/>
        </w:rPr>
      </w:pPr>
      <w:bookmarkStart w:id="75" w:name="_Toc3949"/>
      <w:r>
        <w:rPr>
          <w:rFonts w:hint="eastAsia" w:ascii="宋体" w:hAnsi="宋体"/>
          <w:sz w:val="24"/>
          <w:szCs w:val="24"/>
          <w:shd w:val="clear" w:color="auto" w:fill="FFFFFF"/>
        </w:rPr>
        <w:t>1.1项目概况</w:t>
      </w:r>
      <w:bookmarkEnd w:id="75"/>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1.1.1根据《中华人民共和国政府采购法》及政府采购其它相关法律、法规和规章的规定，本招标项目已具备招标条件，现对本项目进行招标。</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1.1.2 本招标项目</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1.1.3 本招标项目</w:t>
      </w:r>
      <w:r>
        <w:rPr>
          <w:rFonts w:hint="eastAsia" w:ascii="宋体" w:hAnsi="宋体"/>
          <w:sz w:val="24"/>
          <w:szCs w:val="24"/>
          <w:shd w:val="clear" w:color="auto" w:fill="FFFFFF"/>
          <w:lang w:eastAsia="zh-CN"/>
        </w:rPr>
        <w:t>采购代理机构</w:t>
      </w:r>
      <w:r>
        <w:rPr>
          <w:rFonts w:hint="eastAsia" w:ascii="宋体" w:hAnsi="宋体"/>
          <w:sz w:val="24"/>
          <w:szCs w:val="24"/>
          <w:shd w:val="clear" w:color="auto" w:fill="FFFFFF"/>
        </w:rPr>
        <w:t>：</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color w:val="FF0000"/>
          <w:sz w:val="24"/>
          <w:szCs w:val="24"/>
          <w:u w:val="single"/>
          <w:shd w:val="clear" w:color="auto" w:fill="FFFFFF"/>
        </w:rPr>
      </w:pPr>
      <w:r>
        <w:rPr>
          <w:rFonts w:hint="eastAsia" w:ascii="宋体" w:hAnsi="宋体"/>
          <w:sz w:val="24"/>
          <w:szCs w:val="24"/>
          <w:shd w:val="clear" w:color="auto" w:fill="FFFFFF"/>
        </w:rPr>
        <w:t>1.1.4 本招标项目名称</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项目编号</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标段名称、标段编号</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color w:val="000000"/>
          <w:sz w:val="24"/>
          <w:szCs w:val="24"/>
          <w:shd w:val="clear" w:color="auto" w:fill="FFFFFF"/>
        </w:rPr>
      </w:pPr>
      <w:r>
        <w:rPr>
          <w:rFonts w:hint="eastAsia" w:ascii="宋体" w:hAnsi="宋体"/>
          <w:sz w:val="24"/>
          <w:szCs w:val="24"/>
          <w:shd w:val="clear" w:color="auto" w:fill="FFFFFF"/>
        </w:rPr>
        <w:t>1.1.5 本招标项目</w:t>
      </w:r>
      <w:r>
        <w:rPr>
          <w:rFonts w:hint="eastAsia" w:ascii="宋体" w:hAnsi="宋体"/>
          <w:sz w:val="24"/>
          <w:szCs w:val="24"/>
          <w:shd w:val="clear" w:color="auto" w:fill="FFFFFF"/>
          <w:lang w:val="en-US" w:eastAsia="zh-CN"/>
        </w:rPr>
        <w:t>供货</w:t>
      </w:r>
      <w:r>
        <w:rPr>
          <w:rFonts w:hint="eastAsia" w:ascii="宋体" w:hAnsi="宋体"/>
          <w:sz w:val="24"/>
          <w:szCs w:val="24"/>
          <w:shd w:val="clear" w:color="auto" w:fill="FFFFFF"/>
        </w:rPr>
        <w:t>地点：</w:t>
      </w:r>
      <w:bookmarkStart w:id="76" w:name="_Toc152042307"/>
      <w:bookmarkStart w:id="77" w:name="_Toc144974499"/>
      <w:bookmarkStart w:id="78" w:name="_Toc152045531"/>
      <w:bookmarkStart w:id="79" w:name="_Toc179632548"/>
      <w:r>
        <w:rPr>
          <w:rFonts w:hint="eastAsia" w:ascii="宋体" w:hAnsi="宋体"/>
          <w:color w:val="000000"/>
          <w:sz w:val="24"/>
          <w:szCs w:val="24"/>
          <w:shd w:val="clear" w:color="auto" w:fill="FFFFFF"/>
        </w:rPr>
        <w:t>见投标人须知前附表。</w:t>
      </w:r>
    </w:p>
    <w:p>
      <w:pPr>
        <w:spacing w:line="360" w:lineRule="auto"/>
        <w:contextualSpacing/>
        <w:outlineLvl w:val="2"/>
        <w:rPr>
          <w:rFonts w:ascii="宋体" w:hAnsi="宋体"/>
          <w:sz w:val="24"/>
          <w:szCs w:val="24"/>
          <w:shd w:val="clear" w:color="auto" w:fill="FFFFFF"/>
        </w:rPr>
      </w:pPr>
      <w:bookmarkStart w:id="80" w:name="_Toc13754"/>
      <w:r>
        <w:rPr>
          <w:rFonts w:hint="eastAsia" w:ascii="宋体" w:hAnsi="宋体"/>
          <w:sz w:val="24"/>
          <w:szCs w:val="24"/>
          <w:shd w:val="clear" w:color="auto" w:fill="FFFFFF"/>
        </w:rPr>
        <w:t>1.2 资金来源和落实情况</w:t>
      </w:r>
      <w:bookmarkEnd w:id="76"/>
      <w:bookmarkEnd w:id="77"/>
      <w:bookmarkEnd w:id="78"/>
      <w:bookmarkEnd w:id="79"/>
      <w:bookmarkEnd w:id="80"/>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1.2.1 本招标项目的资金来源：</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1.2.2 本招标项目的出资比例：</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1.2.3 本招标项目的资金落实情况：</w:t>
      </w:r>
      <w:bookmarkStart w:id="81" w:name="_Toc179632549"/>
      <w:bookmarkStart w:id="82" w:name="_Toc152042308"/>
      <w:bookmarkStart w:id="83" w:name="_Toc152045532"/>
      <w:bookmarkStart w:id="84" w:name="_Toc144974500"/>
      <w:r>
        <w:rPr>
          <w:rFonts w:hint="eastAsia" w:ascii="宋体" w:hAnsi="宋体"/>
          <w:color w:val="000000"/>
          <w:sz w:val="24"/>
          <w:szCs w:val="24"/>
          <w:shd w:val="clear" w:color="auto" w:fill="FFFFFF"/>
        </w:rPr>
        <w:t>见投标人须知前附表。</w:t>
      </w:r>
    </w:p>
    <w:p>
      <w:pPr>
        <w:spacing w:line="360" w:lineRule="auto"/>
        <w:contextualSpacing/>
        <w:outlineLvl w:val="2"/>
        <w:rPr>
          <w:rFonts w:ascii="宋体" w:hAnsi="宋体"/>
          <w:sz w:val="24"/>
          <w:szCs w:val="24"/>
          <w:shd w:val="clear" w:color="auto" w:fill="FFFFFF"/>
        </w:rPr>
      </w:pPr>
      <w:bookmarkStart w:id="85" w:name="_Toc18185"/>
      <w:r>
        <w:rPr>
          <w:rFonts w:hint="eastAsia" w:ascii="宋体" w:hAnsi="宋体"/>
          <w:sz w:val="24"/>
          <w:szCs w:val="24"/>
          <w:shd w:val="clear" w:color="auto" w:fill="FFFFFF"/>
        </w:rPr>
        <w:t>1.3 招标范围、</w:t>
      </w:r>
      <w:r>
        <w:rPr>
          <w:rFonts w:hint="eastAsia" w:ascii="宋体" w:hAnsi="宋体"/>
          <w:sz w:val="24"/>
          <w:szCs w:val="24"/>
          <w:shd w:val="clear" w:color="auto" w:fill="FFFFFF"/>
          <w:lang w:val="en-US" w:eastAsia="zh-CN"/>
        </w:rPr>
        <w:t>合同履行期限（供货期）</w:t>
      </w:r>
      <w:r>
        <w:rPr>
          <w:rFonts w:hint="eastAsia" w:ascii="宋体" w:hAnsi="宋体"/>
          <w:sz w:val="24"/>
          <w:szCs w:val="24"/>
          <w:shd w:val="clear" w:color="auto" w:fill="FFFFFF"/>
        </w:rPr>
        <w:t>和质量要求</w:t>
      </w:r>
      <w:bookmarkEnd w:id="81"/>
      <w:bookmarkEnd w:id="82"/>
      <w:bookmarkEnd w:id="83"/>
      <w:bookmarkEnd w:id="84"/>
      <w:bookmarkEnd w:id="85"/>
    </w:p>
    <w:p>
      <w:pPr>
        <w:spacing w:line="360" w:lineRule="auto"/>
        <w:ind w:firstLine="437"/>
        <w:contextualSpacing/>
        <w:rPr>
          <w:rFonts w:ascii="宋体" w:hAnsi="宋体"/>
          <w:sz w:val="24"/>
          <w:szCs w:val="24"/>
          <w:shd w:val="clear" w:color="auto" w:fill="FFFFFF"/>
        </w:rPr>
      </w:pPr>
      <w:r>
        <w:rPr>
          <w:rFonts w:hint="eastAsia" w:ascii="宋体" w:hAnsi="宋体"/>
          <w:sz w:val="24"/>
          <w:szCs w:val="24"/>
          <w:shd w:val="clear" w:color="auto" w:fill="FFFFFF"/>
        </w:rPr>
        <w:t>1.3.1 本次招标范围：</w:t>
      </w:r>
      <w:r>
        <w:rPr>
          <w:rFonts w:hint="eastAsia" w:ascii="宋体" w:hAnsi="宋体"/>
          <w:color w:val="000000"/>
          <w:sz w:val="24"/>
          <w:szCs w:val="24"/>
          <w:shd w:val="clear" w:color="auto" w:fill="FFFFFF"/>
        </w:rPr>
        <w:t>见投标人须知前附表。</w:t>
      </w:r>
    </w:p>
    <w:p>
      <w:pPr>
        <w:spacing w:line="360" w:lineRule="auto"/>
        <w:ind w:firstLine="437"/>
        <w:contextualSpacing/>
        <w:rPr>
          <w:rFonts w:ascii="宋体" w:hAnsi="宋体"/>
          <w:sz w:val="24"/>
          <w:szCs w:val="24"/>
          <w:shd w:val="clear" w:color="auto" w:fill="FFFFFF"/>
        </w:rPr>
      </w:pPr>
      <w:r>
        <w:rPr>
          <w:rFonts w:hint="eastAsia" w:ascii="宋体" w:hAnsi="宋体"/>
          <w:sz w:val="24"/>
          <w:szCs w:val="24"/>
          <w:shd w:val="clear" w:color="auto" w:fill="FFFFFF"/>
        </w:rPr>
        <w:t>1.3.2 本招标项目的</w:t>
      </w:r>
      <w:r>
        <w:rPr>
          <w:rFonts w:hint="eastAsia" w:ascii="宋体" w:hAnsi="宋体"/>
          <w:sz w:val="24"/>
          <w:szCs w:val="24"/>
          <w:shd w:val="clear" w:color="auto" w:fill="FFFFFF"/>
          <w:lang w:val="en-US" w:eastAsia="zh-CN"/>
        </w:rPr>
        <w:t>合同履行期限（供货期）</w:t>
      </w:r>
      <w:r>
        <w:rPr>
          <w:rFonts w:hint="eastAsia" w:ascii="宋体" w:hAnsi="宋体"/>
          <w:sz w:val="24"/>
          <w:szCs w:val="24"/>
          <w:shd w:val="clear" w:color="auto" w:fill="FFFFFF"/>
        </w:rPr>
        <w:t>：</w:t>
      </w:r>
      <w:r>
        <w:rPr>
          <w:rFonts w:hint="eastAsia" w:ascii="宋体" w:hAnsi="宋体"/>
          <w:color w:val="000000"/>
          <w:sz w:val="24"/>
          <w:szCs w:val="24"/>
          <w:shd w:val="clear" w:color="auto" w:fill="FFFFFF"/>
        </w:rPr>
        <w:t>见投标人须知前附表。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1.3.3 本招标项目的质量</w:t>
      </w:r>
      <w:r>
        <w:rPr>
          <w:rFonts w:hint="eastAsia" w:ascii="宋体" w:hAnsi="宋体"/>
          <w:sz w:val="24"/>
          <w:szCs w:val="24"/>
          <w:shd w:val="clear" w:color="auto" w:fill="FFFFFF"/>
          <w:lang w:val="en-US" w:eastAsia="zh-CN"/>
        </w:rPr>
        <w:t>标准</w:t>
      </w:r>
      <w:r>
        <w:rPr>
          <w:rFonts w:hint="eastAsia" w:ascii="宋体" w:hAnsi="宋体"/>
          <w:sz w:val="24"/>
          <w:szCs w:val="24"/>
          <w:shd w:val="clear" w:color="auto" w:fill="FFFFFF"/>
        </w:rPr>
        <w:t>：</w:t>
      </w:r>
      <w:r>
        <w:rPr>
          <w:rFonts w:hint="eastAsia" w:ascii="宋体" w:hAnsi="宋体"/>
          <w:color w:val="000000"/>
          <w:sz w:val="24"/>
          <w:szCs w:val="24"/>
          <w:shd w:val="clear" w:color="auto" w:fill="FFFFFF"/>
        </w:rPr>
        <w:t>见投标人须知前附表。</w:t>
      </w:r>
    </w:p>
    <w:p>
      <w:pPr>
        <w:spacing w:line="360" w:lineRule="auto"/>
        <w:contextualSpacing/>
        <w:outlineLvl w:val="2"/>
        <w:rPr>
          <w:rFonts w:ascii="宋体" w:hAnsi="宋体"/>
          <w:sz w:val="24"/>
          <w:szCs w:val="24"/>
          <w:shd w:val="clear" w:color="auto" w:fill="FFFFFF"/>
        </w:rPr>
      </w:pPr>
      <w:bookmarkStart w:id="86" w:name="_Toc179632551"/>
      <w:bookmarkStart w:id="87" w:name="_Toc144974502"/>
      <w:bookmarkStart w:id="88" w:name="_Toc23527"/>
      <w:bookmarkStart w:id="89" w:name="_Toc152042310"/>
      <w:bookmarkStart w:id="90" w:name="_Toc152045534"/>
      <w:r>
        <w:rPr>
          <w:rFonts w:hint="eastAsia" w:ascii="宋体" w:hAnsi="宋体"/>
          <w:sz w:val="24"/>
          <w:szCs w:val="24"/>
          <w:shd w:val="clear" w:color="auto" w:fill="FFFFFF"/>
        </w:rPr>
        <w:t>1.4 投标人资格要求</w:t>
      </w:r>
      <w:bookmarkEnd w:id="86"/>
      <w:bookmarkEnd w:id="87"/>
      <w:bookmarkEnd w:id="88"/>
      <w:bookmarkEnd w:id="89"/>
      <w:bookmarkEnd w:id="90"/>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1.4.1投标人应具备承担本招标项目的资质条件、能力和信誉，详</w:t>
      </w:r>
      <w:r>
        <w:rPr>
          <w:rFonts w:hint="eastAsia" w:ascii="宋体" w:hAnsi="宋体"/>
          <w:color w:val="000000"/>
          <w:sz w:val="24"/>
          <w:szCs w:val="24"/>
          <w:shd w:val="clear" w:color="auto" w:fill="FFFFFF"/>
        </w:rPr>
        <w:t>见投标人须知前附表。</w:t>
      </w:r>
    </w:p>
    <w:p>
      <w:pPr>
        <w:spacing w:line="360" w:lineRule="auto"/>
        <w:ind w:firstLine="456" w:firstLineChars="190"/>
        <w:contextualSpacing/>
        <w:rPr>
          <w:rFonts w:ascii="宋体" w:hAnsi="宋体"/>
          <w:sz w:val="24"/>
          <w:szCs w:val="24"/>
          <w:shd w:val="clear" w:color="auto" w:fill="FFFFFF"/>
        </w:rPr>
      </w:pPr>
      <w:r>
        <w:rPr>
          <w:rFonts w:hint="eastAsia" w:ascii="宋体" w:hAnsi="宋体"/>
          <w:sz w:val="24"/>
          <w:szCs w:val="24"/>
          <w:shd w:val="clear" w:color="auto" w:fill="FFFFFF"/>
        </w:rPr>
        <w:t>1.4.2 投标人须知前附表规定本次招标项目不接受联合体投标。</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1.4.3 投标人不得存在下列情形之一：</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（1）为</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 xml:space="preserve">不具有独立法人资格的附属机构（单位）；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 xml:space="preserve">（2）为本标段提供招标代理服务的；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（3）与本标段的</w:t>
      </w:r>
      <w:r>
        <w:rPr>
          <w:rFonts w:hint="eastAsia" w:ascii="宋体" w:hAnsi="宋体"/>
          <w:sz w:val="24"/>
          <w:szCs w:val="24"/>
          <w:shd w:val="clear" w:color="auto" w:fill="FFFFFF"/>
          <w:lang w:eastAsia="zh-CN"/>
        </w:rPr>
        <w:t>采购代理机构</w:t>
      </w:r>
      <w:r>
        <w:rPr>
          <w:rFonts w:hint="eastAsia" w:ascii="宋体" w:hAnsi="宋体"/>
          <w:sz w:val="24"/>
          <w:szCs w:val="24"/>
          <w:shd w:val="clear" w:color="auto" w:fill="FFFFFF"/>
        </w:rPr>
        <w:t>同为一个法定代表人的；</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（4）与本标段的</w:t>
      </w:r>
      <w:r>
        <w:rPr>
          <w:rFonts w:hint="eastAsia" w:ascii="宋体" w:hAnsi="宋体"/>
          <w:sz w:val="24"/>
          <w:szCs w:val="24"/>
          <w:shd w:val="clear" w:color="auto" w:fill="FFFFFF"/>
          <w:lang w:eastAsia="zh-CN"/>
        </w:rPr>
        <w:t>采购代理机构</w:t>
      </w:r>
      <w:r>
        <w:rPr>
          <w:rFonts w:hint="eastAsia" w:ascii="宋体" w:hAnsi="宋体"/>
          <w:sz w:val="24"/>
          <w:szCs w:val="24"/>
          <w:shd w:val="clear" w:color="auto" w:fill="FFFFFF"/>
        </w:rPr>
        <w:t>相互控股或参股的；</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（5）与本标段的</w:t>
      </w:r>
      <w:r>
        <w:rPr>
          <w:rFonts w:hint="eastAsia" w:ascii="宋体" w:hAnsi="宋体"/>
          <w:sz w:val="24"/>
          <w:szCs w:val="24"/>
          <w:shd w:val="clear" w:color="auto" w:fill="FFFFFF"/>
          <w:lang w:eastAsia="zh-CN"/>
        </w:rPr>
        <w:t>采购代理机构</w:t>
      </w:r>
      <w:r>
        <w:rPr>
          <w:rFonts w:hint="eastAsia" w:ascii="宋体" w:hAnsi="宋体"/>
          <w:sz w:val="24"/>
          <w:szCs w:val="24"/>
          <w:shd w:val="clear" w:color="auto" w:fill="FFFFFF"/>
        </w:rPr>
        <w:t>相互任职或工作的；</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 xml:space="preserve">（6）被责令停业的；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 xml:space="preserve">（7）被暂停或取消投标资格的；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（8）财产被接管或冻结的；</w:t>
      </w:r>
    </w:p>
    <w:p>
      <w:pPr>
        <w:spacing w:line="360" w:lineRule="auto"/>
        <w:ind w:firstLine="480" w:firstLineChars="200"/>
        <w:contextualSpacing/>
        <w:rPr>
          <w:rFonts w:ascii="宋体" w:hAnsi="宋体"/>
          <w:sz w:val="24"/>
          <w:szCs w:val="24"/>
          <w:shd w:val="clear" w:color="auto" w:fill="FFFFFF"/>
        </w:rPr>
      </w:pPr>
      <w:bookmarkStart w:id="91" w:name="_Toc152042311"/>
      <w:bookmarkStart w:id="92" w:name="_Toc144974503"/>
      <w:bookmarkStart w:id="93" w:name="_Toc152045535"/>
      <w:bookmarkStart w:id="94" w:name="_Toc179632552"/>
      <w:r>
        <w:rPr>
          <w:rFonts w:hint="eastAsia" w:ascii="宋体" w:hAnsi="宋体"/>
          <w:sz w:val="24"/>
          <w:szCs w:val="24"/>
          <w:shd w:val="clear" w:color="auto" w:fill="FFFFFF"/>
        </w:rPr>
        <w:t>（9）两个及以上投标人在同一标段存在：法定代表人为同一人，或母公司、全资子公司及控股公司关系；</w:t>
      </w:r>
    </w:p>
    <w:p>
      <w:pPr>
        <w:spacing w:line="360" w:lineRule="auto"/>
        <w:contextualSpacing/>
        <w:outlineLvl w:val="2"/>
        <w:rPr>
          <w:rFonts w:ascii="宋体" w:hAnsi="宋体"/>
          <w:sz w:val="24"/>
          <w:szCs w:val="24"/>
          <w:shd w:val="clear" w:color="auto" w:fill="FFFFFF"/>
        </w:rPr>
      </w:pPr>
      <w:bookmarkStart w:id="95" w:name="_Toc666"/>
      <w:r>
        <w:rPr>
          <w:rFonts w:hint="eastAsia" w:ascii="宋体" w:hAnsi="宋体"/>
          <w:sz w:val="24"/>
          <w:szCs w:val="24"/>
          <w:shd w:val="clear" w:color="auto" w:fill="FFFFFF"/>
        </w:rPr>
        <w:t>1.5 费用承担</w:t>
      </w:r>
      <w:bookmarkEnd w:id="91"/>
      <w:bookmarkEnd w:id="92"/>
      <w:bookmarkEnd w:id="93"/>
      <w:bookmarkEnd w:id="94"/>
      <w:bookmarkEnd w:id="95"/>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投标人准备和参加投标活动发生的费用自理。</w:t>
      </w:r>
    </w:p>
    <w:p>
      <w:pPr>
        <w:spacing w:line="360" w:lineRule="auto"/>
        <w:contextualSpacing/>
        <w:outlineLvl w:val="2"/>
        <w:rPr>
          <w:rFonts w:hint="eastAsia" w:ascii="宋体" w:hAnsi="宋体"/>
          <w:sz w:val="24"/>
          <w:szCs w:val="24"/>
          <w:shd w:val="clear" w:color="auto" w:fill="FFFFFF"/>
        </w:rPr>
      </w:pPr>
      <w:bookmarkStart w:id="96" w:name="_Toc152042312"/>
      <w:bookmarkStart w:id="97" w:name="_Toc24463"/>
      <w:bookmarkStart w:id="98" w:name="_Toc144974504"/>
      <w:bookmarkStart w:id="99" w:name="_Toc179632553"/>
      <w:bookmarkStart w:id="100" w:name="_Toc152045536"/>
      <w:r>
        <w:rPr>
          <w:rFonts w:hint="eastAsia" w:ascii="宋体" w:hAnsi="宋体"/>
          <w:sz w:val="24"/>
          <w:szCs w:val="24"/>
          <w:shd w:val="clear" w:color="auto" w:fill="FFFFFF"/>
        </w:rPr>
        <w:t>1.6 保密</w:t>
      </w:r>
      <w:bookmarkEnd w:id="96"/>
      <w:bookmarkEnd w:id="97"/>
      <w:bookmarkEnd w:id="98"/>
      <w:bookmarkEnd w:id="99"/>
      <w:bookmarkEnd w:id="100"/>
      <w:r>
        <w:rPr>
          <w:rFonts w:hint="eastAsia" w:ascii="宋体" w:hAnsi="宋体"/>
          <w:sz w:val="24"/>
          <w:szCs w:val="24"/>
          <w:shd w:val="clear" w:color="auto" w:fill="FFFFFF"/>
        </w:rPr>
        <w:t xml:space="preserve"> </w:t>
      </w:r>
    </w:p>
    <w:p>
      <w:pPr>
        <w:spacing w:line="360" w:lineRule="auto"/>
        <w:ind w:firstLine="480" w:firstLineChars="200"/>
        <w:rPr>
          <w:sz w:val="24"/>
          <w:szCs w:val="24"/>
          <w:highlight w:val="none"/>
        </w:rPr>
      </w:pPr>
      <w:r>
        <w:rPr>
          <w:rFonts w:hint="eastAsia" w:ascii="宋体" w:hAnsi="宋体"/>
          <w:sz w:val="24"/>
          <w:szCs w:val="24"/>
        </w:rPr>
        <w:t>参</w:t>
      </w:r>
      <w:r>
        <w:rPr>
          <w:rFonts w:hint="eastAsia" w:ascii="宋体" w:hAnsi="宋体"/>
          <w:sz w:val="24"/>
          <w:szCs w:val="24"/>
          <w:highlight w:val="none"/>
        </w:rPr>
        <w:t>与</w:t>
      </w:r>
      <w:r>
        <w:rPr>
          <w:rFonts w:hint="eastAsia" w:ascii="宋体" w:hAnsi="宋体"/>
          <w:sz w:val="24"/>
          <w:szCs w:val="24"/>
          <w:highlight w:val="none"/>
          <w:shd w:val="clear" w:color="auto" w:fill="FFFFFF"/>
        </w:rPr>
        <w:t>招标投标活动</w:t>
      </w:r>
      <w:r>
        <w:rPr>
          <w:rFonts w:hint="eastAsia" w:ascii="宋体" w:hAnsi="宋体"/>
          <w:sz w:val="24"/>
          <w:szCs w:val="24"/>
          <w:highlight w:val="none"/>
        </w:rPr>
        <w:t>的各方应对</w:t>
      </w:r>
      <w:r>
        <w:rPr>
          <w:rFonts w:hint="eastAsia" w:ascii="宋体" w:hAnsi="宋体"/>
          <w:sz w:val="24"/>
          <w:szCs w:val="24"/>
          <w:highlight w:val="none"/>
          <w:shd w:val="clear" w:color="auto" w:fill="FFFFFF"/>
        </w:rPr>
        <w:t>招标文件和投标文件</w:t>
      </w:r>
      <w:r>
        <w:rPr>
          <w:rFonts w:hint="eastAsia" w:ascii="宋体" w:hAnsi="宋体"/>
          <w:sz w:val="24"/>
          <w:szCs w:val="24"/>
          <w:highlight w:val="none"/>
        </w:rPr>
        <w:t>中的商业和技术等秘密保密，违者应对由此造成的后果承担法律责任。</w:t>
      </w:r>
    </w:p>
    <w:p>
      <w:pPr>
        <w:spacing w:line="360" w:lineRule="auto"/>
        <w:contextualSpacing/>
        <w:outlineLvl w:val="2"/>
        <w:rPr>
          <w:rFonts w:ascii="宋体" w:hAnsi="宋体"/>
          <w:sz w:val="24"/>
          <w:szCs w:val="24"/>
          <w:highlight w:val="none"/>
          <w:shd w:val="clear" w:color="auto" w:fill="FFFFFF"/>
        </w:rPr>
      </w:pPr>
      <w:bookmarkStart w:id="101" w:name="_Toc144974505"/>
      <w:bookmarkStart w:id="102" w:name="_Toc179632554"/>
      <w:bookmarkStart w:id="103" w:name="_Toc4792"/>
      <w:bookmarkStart w:id="104" w:name="_Toc152042313"/>
      <w:bookmarkStart w:id="105" w:name="_Toc152045537"/>
      <w:r>
        <w:rPr>
          <w:rFonts w:hint="eastAsia" w:ascii="宋体" w:hAnsi="宋体"/>
          <w:sz w:val="24"/>
          <w:szCs w:val="24"/>
          <w:highlight w:val="none"/>
          <w:shd w:val="clear" w:color="auto" w:fill="FFFFFF"/>
        </w:rPr>
        <w:t>1.7 语言</w:t>
      </w:r>
      <w:bookmarkEnd w:id="101"/>
      <w:r>
        <w:rPr>
          <w:rFonts w:hint="eastAsia" w:ascii="宋体" w:hAnsi="宋体"/>
          <w:sz w:val="24"/>
          <w:szCs w:val="24"/>
          <w:highlight w:val="none"/>
          <w:shd w:val="clear" w:color="auto" w:fill="FFFFFF"/>
        </w:rPr>
        <w:t>文字</w:t>
      </w:r>
      <w:bookmarkEnd w:id="102"/>
      <w:bookmarkEnd w:id="103"/>
      <w:bookmarkEnd w:id="104"/>
      <w:bookmarkEnd w:id="105"/>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highlight w:val="none"/>
          <w:shd w:val="clear" w:color="auto" w:fill="FFFFFF"/>
        </w:rPr>
        <w:t>除专用术语外，与招标投</w:t>
      </w:r>
      <w:r>
        <w:rPr>
          <w:rFonts w:hint="eastAsia" w:ascii="宋体" w:hAnsi="宋体"/>
          <w:sz w:val="24"/>
          <w:szCs w:val="24"/>
          <w:shd w:val="clear" w:color="auto" w:fill="FFFFFF"/>
        </w:rPr>
        <w:t>标有关的语言均使用中文。必要时专用术语应附有中文注释。</w:t>
      </w:r>
    </w:p>
    <w:p>
      <w:pPr>
        <w:spacing w:line="360" w:lineRule="auto"/>
        <w:contextualSpacing/>
        <w:outlineLvl w:val="2"/>
        <w:rPr>
          <w:rFonts w:ascii="宋体" w:hAnsi="宋体"/>
          <w:sz w:val="24"/>
          <w:szCs w:val="24"/>
          <w:shd w:val="clear" w:color="auto" w:fill="FFFFFF"/>
        </w:rPr>
      </w:pPr>
      <w:bookmarkStart w:id="106" w:name="_Toc144974506"/>
      <w:bookmarkStart w:id="107" w:name="_Toc152045538"/>
      <w:bookmarkStart w:id="108" w:name="_Toc179632555"/>
      <w:bookmarkStart w:id="109" w:name="_Toc152042314"/>
      <w:bookmarkStart w:id="110" w:name="_Toc9110"/>
      <w:r>
        <w:rPr>
          <w:rFonts w:hint="eastAsia" w:ascii="宋体" w:hAnsi="宋体"/>
          <w:sz w:val="24"/>
          <w:szCs w:val="24"/>
          <w:shd w:val="clear" w:color="auto" w:fill="FFFFFF"/>
        </w:rPr>
        <w:t>1.8 计量单位</w:t>
      </w:r>
      <w:bookmarkEnd w:id="106"/>
      <w:bookmarkEnd w:id="107"/>
      <w:bookmarkEnd w:id="108"/>
      <w:bookmarkEnd w:id="109"/>
      <w:bookmarkEnd w:id="110"/>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所有计量均采用中华人民共和国法定计量单位。</w:t>
      </w:r>
    </w:p>
    <w:p>
      <w:pPr>
        <w:spacing w:line="360" w:lineRule="auto"/>
        <w:contextualSpacing/>
        <w:outlineLvl w:val="2"/>
        <w:rPr>
          <w:rFonts w:ascii="宋体" w:hAnsi="宋体"/>
          <w:sz w:val="24"/>
          <w:szCs w:val="24"/>
          <w:shd w:val="clear" w:color="auto" w:fill="FFFFFF"/>
        </w:rPr>
      </w:pPr>
      <w:bookmarkStart w:id="111" w:name="_Toc152045539"/>
      <w:bookmarkStart w:id="112" w:name="_Toc144974507"/>
      <w:bookmarkStart w:id="113" w:name="_Toc179632556"/>
      <w:bookmarkStart w:id="114" w:name="_Toc152042315"/>
      <w:bookmarkStart w:id="115" w:name="_Toc6301"/>
      <w:r>
        <w:rPr>
          <w:rFonts w:hint="eastAsia" w:ascii="宋体" w:hAnsi="宋体"/>
          <w:sz w:val="24"/>
          <w:szCs w:val="24"/>
          <w:shd w:val="clear" w:color="auto" w:fill="FFFFFF"/>
        </w:rPr>
        <w:t>1.9</w:t>
      </w:r>
      <w:bookmarkEnd w:id="111"/>
      <w:bookmarkEnd w:id="112"/>
      <w:bookmarkEnd w:id="113"/>
      <w:bookmarkEnd w:id="114"/>
      <w:r>
        <w:rPr>
          <w:rFonts w:hint="eastAsia" w:ascii="宋体" w:hAnsi="宋体"/>
          <w:sz w:val="24"/>
          <w:szCs w:val="24"/>
          <w:shd w:val="clear" w:color="auto" w:fill="FFFFFF"/>
        </w:rPr>
        <w:t xml:space="preserve"> 标前预备会</w:t>
      </w:r>
      <w:bookmarkEnd w:id="115"/>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不组织召开投标预备会。</w:t>
      </w:r>
    </w:p>
    <w:p>
      <w:pPr>
        <w:pStyle w:val="45"/>
        <w:spacing w:beforeLines="100" w:line="360" w:lineRule="auto"/>
        <w:contextualSpacing/>
        <w:jc w:val="left"/>
        <w:rPr>
          <w:rFonts w:ascii="宋体" w:hAnsi="宋体" w:eastAsia="宋体"/>
          <w:sz w:val="24"/>
          <w:szCs w:val="24"/>
          <w:highlight w:val="none"/>
          <w:shd w:val="clear" w:color="auto" w:fill="FFFFFF"/>
        </w:rPr>
      </w:pPr>
      <w:bookmarkStart w:id="116" w:name="_Toc144974510"/>
      <w:bookmarkStart w:id="117" w:name="_Toc179632560"/>
      <w:bookmarkStart w:id="118" w:name="_Toc152042318"/>
      <w:bookmarkStart w:id="119" w:name="_Toc3731"/>
      <w:bookmarkStart w:id="120" w:name="_Toc152045542"/>
      <w:bookmarkStart w:id="121" w:name="_Toc325293412"/>
      <w:bookmarkStart w:id="122" w:name="_Toc476566548"/>
      <w:r>
        <w:rPr>
          <w:rFonts w:hint="eastAsia" w:ascii="宋体" w:hAnsi="宋体" w:eastAsia="宋体"/>
          <w:sz w:val="24"/>
          <w:szCs w:val="24"/>
          <w:highlight w:val="none"/>
          <w:shd w:val="clear" w:color="auto" w:fill="FFFFFF"/>
        </w:rPr>
        <w:t>2. 招标文件</w:t>
      </w:r>
      <w:bookmarkEnd w:id="116"/>
      <w:bookmarkEnd w:id="117"/>
      <w:bookmarkEnd w:id="118"/>
      <w:bookmarkEnd w:id="119"/>
      <w:bookmarkEnd w:id="120"/>
      <w:bookmarkEnd w:id="121"/>
      <w:bookmarkEnd w:id="122"/>
    </w:p>
    <w:p>
      <w:pPr>
        <w:spacing w:line="360" w:lineRule="auto"/>
        <w:contextualSpacing/>
        <w:outlineLvl w:val="2"/>
        <w:rPr>
          <w:rFonts w:ascii="宋体" w:hAnsi="宋体"/>
          <w:sz w:val="24"/>
          <w:szCs w:val="24"/>
          <w:highlight w:val="none"/>
          <w:shd w:val="clear" w:color="auto" w:fill="FFFFFF"/>
        </w:rPr>
      </w:pPr>
      <w:bookmarkStart w:id="123" w:name="_Toc152042319"/>
      <w:bookmarkStart w:id="124" w:name="_Toc2499"/>
      <w:bookmarkStart w:id="125" w:name="_Toc179632561"/>
      <w:bookmarkStart w:id="126" w:name="_Toc144974511"/>
      <w:bookmarkStart w:id="127" w:name="_Toc152045543"/>
      <w:r>
        <w:rPr>
          <w:rFonts w:hint="eastAsia" w:ascii="宋体" w:hAnsi="宋体"/>
          <w:sz w:val="24"/>
          <w:szCs w:val="24"/>
          <w:highlight w:val="none"/>
          <w:shd w:val="clear" w:color="auto" w:fill="FFFFFF"/>
        </w:rPr>
        <w:t>2.1 招标文件的组成</w:t>
      </w:r>
      <w:bookmarkEnd w:id="123"/>
      <w:bookmarkEnd w:id="124"/>
      <w:bookmarkEnd w:id="125"/>
      <w:bookmarkEnd w:id="126"/>
      <w:bookmarkEnd w:id="127"/>
    </w:p>
    <w:p>
      <w:pPr>
        <w:spacing w:line="360" w:lineRule="auto"/>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　　本招标文件包括：</w:t>
      </w:r>
    </w:p>
    <w:p>
      <w:pPr>
        <w:spacing w:line="360" w:lineRule="auto"/>
        <w:ind w:firstLine="410" w:firstLineChars="171"/>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（1）招标公告；</w:t>
      </w:r>
    </w:p>
    <w:p>
      <w:pPr>
        <w:spacing w:line="360" w:lineRule="auto"/>
        <w:ind w:firstLine="410" w:firstLineChars="171"/>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（2）投标人须知；</w:t>
      </w:r>
    </w:p>
    <w:p>
      <w:pPr>
        <w:spacing w:line="360" w:lineRule="auto"/>
        <w:ind w:firstLine="410" w:firstLineChars="171"/>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（3）评标办法（综合评分法）；</w:t>
      </w:r>
    </w:p>
    <w:p>
      <w:pPr>
        <w:spacing w:line="360" w:lineRule="auto"/>
        <w:ind w:firstLine="410" w:firstLineChars="171"/>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（4）合同条款及格式；</w:t>
      </w:r>
    </w:p>
    <w:p>
      <w:pPr>
        <w:spacing w:line="360" w:lineRule="auto"/>
        <w:ind w:firstLine="410" w:firstLineChars="171"/>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（5）采购</w:t>
      </w:r>
      <w:r>
        <w:rPr>
          <w:rFonts w:hint="eastAsia" w:ascii="宋体" w:hAnsi="宋体"/>
          <w:sz w:val="24"/>
          <w:szCs w:val="24"/>
          <w:highlight w:val="none"/>
          <w:shd w:val="clear" w:color="auto" w:fill="FFFFFF"/>
          <w:lang w:eastAsia="zh-CN"/>
        </w:rPr>
        <w:t>需求</w:t>
      </w:r>
      <w:r>
        <w:rPr>
          <w:rFonts w:hint="eastAsia" w:ascii="宋体" w:hAnsi="宋体"/>
          <w:sz w:val="24"/>
          <w:szCs w:val="24"/>
          <w:highlight w:val="none"/>
          <w:shd w:val="clear" w:color="auto" w:fill="FFFFFF"/>
        </w:rPr>
        <w:t xml:space="preserve">； </w:t>
      </w:r>
    </w:p>
    <w:p>
      <w:pPr>
        <w:spacing w:line="360" w:lineRule="auto"/>
        <w:ind w:firstLine="410" w:firstLineChars="171"/>
        <w:contextualSpacing/>
        <w:rPr>
          <w:rFonts w:hint="eastAsia" w:ascii="宋体" w:hAnsi="宋体"/>
          <w:sz w:val="24"/>
          <w:szCs w:val="24"/>
          <w:highlight w:val="none"/>
          <w:shd w:val="clear" w:color="auto" w:fill="FFFFFF"/>
          <w:lang w:eastAsia="zh-CN"/>
        </w:rPr>
      </w:pPr>
      <w:r>
        <w:rPr>
          <w:rFonts w:hint="eastAsia" w:ascii="宋体" w:hAnsi="宋体"/>
          <w:sz w:val="24"/>
          <w:szCs w:val="24"/>
          <w:highlight w:val="none"/>
          <w:shd w:val="clear" w:color="auto" w:fill="FFFFFF"/>
        </w:rPr>
        <w:t>（6）投标文件格式</w:t>
      </w:r>
      <w:r>
        <w:rPr>
          <w:rFonts w:hint="eastAsia" w:ascii="宋体" w:hAnsi="宋体"/>
          <w:sz w:val="24"/>
          <w:szCs w:val="24"/>
          <w:highlight w:val="none"/>
          <w:shd w:val="clear" w:color="auto" w:fill="FFFFFF"/>
          <w:lang w:eastAsia="zh-CN"/>
        </w:rPr>
        <w:t>。</w:t>
      </w:r>
    </w:p>
    <w:p>
      <w:pPr>
        <w:spacing w:line="360" w:lineRule="auto"/>
        <w:ind w:firstLine="410" w:firstLineChars="171"/>
        <w:contextualSpacing/>
        <w:rPr>
          <w:rFonts w:hint="default" w:ascii="宋体" w:hAnsi="宋体"/>
          <w:sz w:val="24"/>
          <w:szCs w:val="24"/>
          <w:highlight w:val="none"/>
          <w:shd w:val="clear" w:color="auto" w:fill="FFFFFF"/>
          <w:lang w:val="en-US" w:eastAsia="zh-CN"/>
        </w:rPr>
      </w:pPr>
      <w:r>
        <w:rPr>
          <w:rFonts w:hint="eastAsia" w:ascii="宋体" w:hAnsi="宋体"/>
          <w:sz w:val="24"/>
          <w:szCs w:val="24"/>
          <w:highlight w:val="none"/>
          <w:shd w:val="clear" w:color="auto" w:fill="FFFFFF"/>
          <w:lang w:eastAsia="zh-CN"/>
        </w:rPr>
        <w:t>（</w:t>
      </w:r>
      <w:r>
        <w:rPr>
          <w:rFonts w:hint="eastAsia" w:ascii="宋体" w:hAnsi="宋体"/>
          <w:sz w:val="24"/>
          <w:szCs w:val="24"/>
          <w:highlight w:val="none"/>
          <w:shd w:val="clear" w:color="auto" w:fill="FFFFFF"/>
          <w:lang w:val="en-US" w:eastAsia="zh-CN"/>
        </w:rPr>
        <w:t>7</w:t>
      </w:r>
      <w:r>
        <w:rPr>
          <w:rFonts w:hint="eastAsia" w:ascii="宋体" w:hAnsi="宋体"/>
          <w:sz w:val="24"/>
          <w:szCs w:val="24"/>
          <w:highlight w:val="none"/>
          <w:shd w:val="clear" w:color="auto" w:fill="FFFFFF"/>
          <w:lang w:eastAsia="zh-CN"/>
        </w:rPr>
        <w:t>）</w:t>
      </w:r>
      <w:r>
        <w:rPr>
          <w:rFonts w:hint="eastAsia" w:ascii="宋体" w:hAnsi="宋体"/>
          <w:sz w:val="24"/>
          <w:szCs w:val="24"/>
          <w:highlight w:val="none"/>
          <w:shd w:val="clear" w:color="auto" w:fill="FFFFFF"/>
          <w:lang w:val="en-US" w:eastAsia="zh-CN"/>
        </w:rPr>
        <w:t>招标文件附件</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根据本章第2.2款和第2.3款对招标文件所作的澄清、修改，构成招标文件的组成部分。</w:t>
      </w:r>
    </w:p>
    <w:p>
      <w:pPr>
        <w:spacing w:line="360" w:lineRule="auto"/>
        <w:contextualSpacing/>
        <w:outlineLvl w:val="2"/>
        <w:rPr>
          <w:rFonts w:ascii="宋体" w:hAnsi="宋体"/>
          <w:sz w:val="24"/>
          <w:szCs w:val="24"/>
          <w:shd w:val="clear" w:color="auto" w:fill="FFFFFF"/>
        </w:rPr>
      </w:pPr>
      <w:bookmarkStart w:id="128" w:name="_Toc11366"/>
      <w:bookmarkStart w:id="129" w:name="_Toc144974512"/>
      <w:bookmarkStart w:id="130" w:name="_Toc179632562"/>
      <w:bookmarkStart w:id="131" w:name="_Toc152045544"/>
      <w:bookmarkStart w:id="132" w:name="_Toc152042320"/>
      <w:r>
        <w:rPr>
          <w:rFonts w:hint="eastAsia" w:ascii="宋体" w:hAnsi="宋体"/>
          <w:sz w:val="24"/>
          <w:szCs w:val="24"/>
          <w:shd w:val="clear" w:color="auto" w:fill="FFFFFF"/>
        </w:rPr>
        <w:t>2.2 招标文件的澄清</w:t>
      </w:r>
      <w:bookmarkEnd w:id="128"/>
      <w:bookmarkEnd w:id="129"/>
      <w:bookmarkEnd w:id="130"/>
      <w:bookmarkEnd w:id="131"/>
      <w:bookmarkEnd w:id="132"/>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2.2.1投标人应仔细阅读和检查招标文件的全部内容。如发现缺页或附件不全，应及时向</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提出，以便补齐。如有疑问，应在投标人须知前附表规定的时间前以书面形式（包括信函、电报、传真等可以有形地表现所载内容的形式，下同），要求</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对招标文件予以澄清。</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rPr>
        <w:t>2.2.2 招标文件的澄清将在投标人须知前附表规定的投标截止时间15天前以书面形式发给所有购买招标文件的投标人，但不指明澄清问题的来源。如果澄清发出的时间距投标截止时间不足15天</w:t>
      </w:r>
      <w:r>
        <w:rPr>
          <w:rFonts w:hint="eastAsia" w:ascii="宋体" w:hAnsi="宋体"/>
          <w:sz w:val="24"/>
          <w:szCs w:val="24"/>
          <w:shd w:val="clear" w:color="auto" w:fill="FFFFFF"/>
          <w:lang w:eastAsia="zh-CN"/>
        </w:rPr>
        <w:t>并且澄清内容可能影响投标文件编制的，将相应延长投标截止时间。</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2.2.3 投标人在收到澄清后，应在投标人须知前附表规定的时间内以书面形式通知</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，确认已收到该澄清。</w:t>
      </w:r>
    </w:p>
    <w:p>
      <w:pPr>
        <w:spacing w:line="360" w:lineRule="auto"/>
        <w:contextualSpacing/>
        <w:outlineLvl w:val="2"/>
        <w:rPr>
          <w:rFonts w:ascii="宋体" w:hAnsi="宋体"/>
          <w:sz w:val="24"/>
          <w:szCs w:val="24"/>
          <w:shd w:val="clear" w:color="auto" w:fill="FFFFFF"/>
        </w:rPr>
      </w:pPr>
      <w:bookmarkStart w:id="133" w:name="_Toc152042321"/>
      <w:bookmarkStart w:id="134" w:name="_Toc179632563"/>
      <w:bookmarkStart w:id="135" w:name="_Toc152045545"/>
      <w:bookmarkStart w:id="136" w:name="_Toc17811"/>
      <w:bookmarkStart w:id="137" w:name="_Toc144974513"/>
      <w:r>
        <w:rPr>
          <w:rFonts w:hint="eastAsia" w:ascii="宋体" w:hAnsi="宋体"/>
          <w:sz w:val="24"/>
          <w:szCs w:val="24"/>
          <w:shd w:val="clear" w:color="auto" w:fill="FFFFFF"/>
        </w:rPr>
        <w:t>2.3 招标文件的修改</w:t>
      </w:r>
      <w:bookmarkEnd w:id="133"/>
      <w:bookmarkEnd w:id="134"/>
      <w:bookmarkEnd w:id="135"/>
      <w:bookmarkEnd w:id="136"/>
      <w:bookmarkEnd w:id="137"/>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rPr>
        <w:t>2.</w:t>
      </w:r>
      <w:r>
        <w:rPr>
          <w:rFonts w:hint="eastAsia" w:ascii="宋体" w:hAnsi="宋体"/>
          <w:sz w:val="24"/>
          <w:szCs w:val="24"/>
          <w:shd w:val="clear" w:color="auto" w:fill="FFFFFF"/>
          <w:lang w:val="en-US" w:eastAsia="zh-CN"/>
        </w:rPr>
        <w:t>3</w:t>
      </w:r>
      <w:r>
        <w:rPr>
          <w:rFonts w:hint="eastAsia" w:ascii="宋体" w:hAnsi="宋体"/>
          <w:sz w:val="24"/>
          <w:szCs w:val="24"/>
          <w:shd w:val="clear" w:color="auto" w:fill="FFFFFF"/>
        </w:rPr>
        <w:t>.</w:t>
      </w:r>
      <w:r>
        <w:rPr>
          <w:rFonts w:hint="eastAsia" w:ascii="宋体" w:hAnsi="宋体"/>
          <w:sz w:val="24"/>
          <w:szCs w:val="24"/>
          <w:shd w:val="clear" w:color="auto" w:fill="FFFFFF"/>
          <w:lang w:val="en-US" w:eastAsia="zh-CN"/>
        </w:rPr>
        <w:t>1</w:t>
      </w:r>
      <w:r>
        <w:rPr>
          <w:rFonts w:hint="eastAsia" w:ascii="宋体" w:hAnsi="宋体"/>
          <w:sz w:val="24"/>
          <w:szCs w:val="24"/>
          <w:shd w:val="clear" w:color="auto" w:fill="FFFFFF"/>
        </w:rPr>
        <w:t xml:space="preserve"> 在投标截止时间15天前，</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可以书面形式修改招标文件，并通知所有已</w:t>
      </w:r>
      <w:r>
        <w:rPr>
          <w:rFonts w:hint="eastAsia" w:ascii="宋体" w:hAnsi="宋体"/>
          <w:sz w:val="24"/>
          <w:szCs w:val="24"/>
          <w:shd w:val="clear" w:color="auto" w:fill="FFFFFF"/>
          <w:lang w:val="en-US" w:eastAsia="zh-CN"/>
        </w:rPr>
        <w:t>获取</w:t>
      </w:r>
      <w:r>
        <w:rPr>
          <w:rFonts w:hint="eastAsia" w:ascii="宋体" w:hAnsi="宋体"/>
          <w:sz w:val="24"/>
          <w:szCs w:val="24"/>
          <w:shd w:val="clear" w:color="auto" w:fill="FFFFFF"/>
        </w:rPr>
        <w:t>招标文件的投标人。如果修改招标文件的时间距投标截止时间不足15天</w:t>
      </w:r>
      <w:r>
        <w:rPr>
          <w:rFonts w:hint="eastAsia" w:ascii="宋体" w:hAnsi="宋体"/>
          <w:sz w:val="24"/>
          <w:szCs w:val="24"/>
          <w:shd w:val="clear" w:color="auto" w:fill="FFFFFF"/>
          <w:lang w:eastAsia="zh-CN"/>
        </w:rPr>
        <w:t>并且修改内容可能影响投标文件编制的，将相应延长投标截止时间</w:t>
      </w:r>
      <w:r>
        <w:rPr>
          <w:rFonts w:hint="eastAsia" w:ascii="宋体" w:hAnsi="宋体"/>
          <w:sz w:val="24"/>
          <w:szCs w:val="24"/>
          <w:shd w:val="clear" w:color="auto" w:fill="FFFFFF"/>
        </w:rPr>
        <w:t xml:space="preserve">。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2.</w:t>
      </w:r>
      <w:r>
        <w:rPr>
          <w:rFonts w:hint="eastAsia" w:ascii="宋体" w:hAnsi="宋体"/>
          <w:sz w:val="24"/>
          <w:szCs w:val="24"/>
          <w:shd w:val="clear" w:color="auto" w:fill="FFFFFF"/>
          <w:lang w:val="en-US" w:eastAsia="zh-CN"/>
        </w:rPr>
        <w:t>3</w:t>
      </w:r>
      <w:r>
        <w:rPr>
          <w:rFonts w:hint="eastAsia" w:ascii="宋体" w:hAnsi="宋体"/>
          <w:sz w:val="24"/>
          <w:szCs w:val="24"/>
          <w:shd w:val="clear" w:color="auto" w:fill="FFFFFF"/>
        </w:rPr>
        <w:t>.</w:t>
      </w:r>
      <w:r>
        <w:rPr>
          <w:rFonts w:hint="eastAsia" w:ascii="宋体" w:hAnsi="宋体"/>
          <w:sz w:val="24"/>
          <w:szCs w:val="24"/>
          <w:shd w:val="clear" w:color="auto" w:fill="FFFFFF"/>
          <w:lang w:val="en-US" w:eastAsia="zh-CN"/>
        </w:rPr>
        <w:t>2</w:t>
      </w:r>
      <w:r>
        <w:rPr>
          <w:rFonts w:hint="eastAsia" w:ascii="宋体" w:hAnsi="宋体"/>
          <w:sz w:val="24"/>
          <w:szCs w:val="24"/>
          <w:shd w:val="clear" w:color="auto" w:fill="FFFFFF"/>
        </w:rPr>
        <w:t>投标人收到修改内容后，应在投标人须知前附表规定的时间内以书面形式通知</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，确认已收到该修改。</w:t>
      </w:r>
    </w:p>
    <w:p>
      <w:pPr>
        <w:spacing w:line="360" w:lineRule="auto"/>
        <w:contextualSpacing/>
        <w:outlineLvl w:val="1"/>
        <w:rPr>
          <w:rFonts w:hint="eastAsia" w:ascii="宋体" w:hAnsi="宋体"/>
          <w:sz w:val="24"/>
          <w:szCs w:val="24"/>
          <w:shd w:val="clear" w:color="auto" w:fill="FFFFFF"/>
        </w:rPr>
      </w:pPr>
      <w:bookmarkStart w:id="138" w:name="_Toc476566549"/>
      <w:bookmarkStart w:id="139" w:name="_Toc152045546"/>
      <w:bookmarkStart w:id="140" w:name="_Toc152042322"/>
      <w:bookmarkStart w:id="141" w:name="_Toc32191"/>
      <w:bookmarkStart w:id="142" w:name="_Toc144974514"/>
      <w:bookmarkStart w:id="143" w:name="_Toc179632564"/>
      <w:bookmarkStart w:id="144" w:name="_Toc325293413"/>
      <w:r>
        <w:rPr>
          <w:rFonts w:hint="eastAsia" w:ascii="宋体" w:hAnsi="宋体" w:eastAsia="宋体"/>
          <w:sz w:val="24"/>
          <w:szCs w:val="24"/>
          <w:shd w:val="clear" w:color="auto" w:fill="FFFFFF"/>
        </w:rPr>
        <w:t>3. 投标文件</w:t>
      </w:r>
      <w:bookmarkEnd w:id="138"/>
      <w:bookmarkEnd w:id="139"/>
      <w:bookmarkEnd w:id="140"/>
      <w:bookmarkEnd w:id="141"/>
      <w:bookmarkEnd w:id="142"/>
      <w:bookmarkEnd w:id="143"/>
      <w:bookmarkEnd w:id="144"/>
    </w:p>
    <w:p>
      <w:pPr>
        <w:spacing w:line="360" w:lineRule="auto"/>
        <w:contextualSpacing/>
        <w:outlineLvl w:val="2"/>
        <w:rPr>
          <w:rFonts w:hint="eastAsia" w:ascii="宋体" w:hAnsi="宋体"/>
          <w:sz w:val="24"/>
          <w:szCs w:val="24"/>
          <w:highlight w:val="none"/>
          <w:shd w:val="clear" w:color="auto" w:fill="FFFFFF"/>
        </w:rPr>
      </w:pPr>
      <w:bookmarkStart w:id="145" w:name="_Toc144974515"/>
      <w:bookmarkStart w:id="146" w:name="_Toc30039"/>
      <w:bookmarkStart w:id="147" w:name="_Toc152042323"/>
      <w:bookmarkStart w:id="148" w:name="_Toc179632565"/>
      <w:bookmarkStart w:id="149" w:name="_Toc152045547"/>
      <w:r>
        <w:rPr>
          <w:rFonts w:hint="eastAsia" w:ascii="宋体" w:hAnsi="宋体"/>
          <w:sz w:val="24"/>
          <w:szCs w:val="24"/>
          <w:highlight w:val="none"/>
          <w:shd w:val="clear" w:color="auto" w:fill="FFFFFF"/>
        </w:rPr>
        <w:t>3.1 投标文件的组成</w:t>
      </w:r>
      <w:bookmarkEnd w:id="145"/>
      <w:bookmarkEnd w:id="146"/>
      <w:bookmarkEnd w:id="147"/>
      <w:bookmarkEnd w:id="148"/>
      <w:bookmarkEnd w:id="149"/>
    </w:p>
    <w:p>
      <w:pPr>
        <w:spacing w:line="360" w:lineRule="auto"/>
        <w:contextualSpacing/>
        <w:rPr>
          <w:rFonts w:ascii="宋体" w:hAnsi="宋体"/>
          <w:sz w:val="24"/>
          <w:szCs w:val="24"/>
          <w:highlight w:val="none"/>
          <w:shd w:val="clear" w:color="auto" w:fill="FFFFFF"/>
        </w:rPr>
      </w:pPr>
      <w:r>
        <w:rPr>
          <w:rFonts w:hint="eastAsia" w:ascii="宋体" w:hAnsi="宋体"/>
          <w:sz w:val="24"/>
          <w:szCs w:val="24"/>
          <w:highlight w:val="none"/>
          <w:shd w:val="clear" w:color="auto" w:fill="FFFFFF"/>
        </w:rPr>
        <w:t>　　3.1.1投标文件应包括下列内容：</w:t>
      </w:r>
    </w:p>
    <w:p>
      <w:pPr>
        <w:spacing w:line="360" w:lineRule="auto"/>
        <w:ind w:firstLine="480" w:firstLineChars="200"/>
        <w:contextualSpacing/>
        <w:rPr>
          <w:rFonts w:hint="eastAsia" w:ascii="宋体" w:hAnsi="宋体"/>
          <w:sz w:val="24"/>
          <w:szCs w:val="24"/>
          <w:shd w:val="clear" w:color="auto" w:fill="FFFFFF"/>
          <w:lang w:val="en-US" w:eastAsia="zh-CN"/>
        </w:rPr>
      </w:pPr>
      <w:bookmarkStart w:id="150" w:name="_Toc152042324"/>
      <w:bookmarkStart w:id="151" w:name="_Toc152045548"/>
      <w:bookmarkStart w:id="152" w:name="_Toc144974516"/>
      <w:bookmarkStart w:id="153" w:name="_Toc179632566"/>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1</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投标函</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（2）</w:t>
      </w:r>
      <w:r>
        <w:rPr>
          <w:rFonts w:hint="eastAsia" w:ascii="宋体" w:hAnsi="宋体"/>
          <w:sz w:val="24"/>
          <w:szCs w:val="24"/>
          <w:shd w:val="clear" w:color="auto" w:fill="FFFFFF"/>
        </w:rPr>
        <w:t>法定代表人身份证明</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3</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授权委托书</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4</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投标保证金</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5</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开标一览表</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6</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分项报价表</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（7）</w:t>
      </w:r>
      <w:r>
        <w:rPr>
          <w:rFonts w:hint="eastAsia" w:ascii="宋体" w:hAnsi="宋体"/>
          <w:sz w:val="24"/>
          <w:szCs w:val="24"/>
          <w:shd w:val="clear" w:color="auto" w:fill="FFFFFF"/>
          <w:lang w:eastAsia="zh-CN"/>
        </w:rPr>
        <w:t>项目</w:t>
      </w:r>
      <w:r>
        <w:rPr>
          <w:rFonts w:hint="eastAsia" w:ascii="宋体" w:hAnsi="宋体"/>
          <w:sz w:val="24"/>
          <w:szCs w:val="24"/>
          <w:shd w:val="clear" w:color="auto" w:fill="FFFFFF"/>
        </w:rPr>
        <w:t>管理</w:t>
      </w:r>
      <w:r>
        <w:rPr>
          <w:rFonts w:hint="eastAsia" w:ascii="宋体" w:hAnsi="宋体"/>
          <w:sz w:val="24"/>
          <w:szCs w:val="24"/>
          <w:shd w:val="clear" w:color="auto" w:fill="FFFFFF"/>
          <w:lang w:eastAsia="zh-CN"/>
        </w:rPr>
        <w:t>团队</w:t>
      </w:r>
      <w:r>
        <w:rPr>
          <w:rFonts w:hint="eastAsia" w:ascii="宋体" w:hAnsi="宋体"/>
          <w:sz w:val="24"/>
          <w:szCs w:val="24"/>
          <w:shd w:val="clear" w:color="auto" w:fill="FFFFFF"/>
        </w:rPr>
        <w:t>配置表</w:t>
      </w:r>
    </w:p>
    <w:p>
      <w:pPr>
        <w:spacing w:line="360" w:lineRule="auto"/>
        <w:ind w:firstLine="480" w:firstLineChars="200"/>
        <w:contextualSpacing/>
        <w:rPr>
          <w:rFonts w:hint="eastAsia" w:ascii="宋体" w:hAnsi="宋体"/>
          <w:sz w:val="24"/>
          <w:szCs w:val="24"/>
          <w:shd w:val="clear" w:color="auto" w:fill="FFFFFF"/>
          <w:lang w:eastAsia="zh-CN"/>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lang w:eastAsia="zh-CN"/>
        </w:rPr>
        <w:t>）技术部分</w:t>
      </w:r>
    </w:p>
    <w:p>
      <w:pPr>
        <w:spacing w:line="360" w:lineRule="auto"/>
        <w:ind w:firstLine="480" w:firstLineChars="200"/>
        <w:contextualSpacing/>
        <w:rPr>
          <w:rFonts w:hint="eastAsia" w:ascii="宋体" w:hAnsi="宋体"/>
          <w:sz w:val="24"/>
          <w:szCs w:val="24"/>
          <w:shd w:val="clear" w:color="auto" w:fill="FFFFFF"/>
          <w:lang w:eastAsia="zh-CN"/>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9</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资格证明</w:t>
      </w:r>
      <w:r>
        <w:rPr>
          <w:rFonts w:hint="eastAsia" w:ascii="宋体" w:hAnsi="宋体"/>
          <w:sz w:val="24"/>
          <w:szCs w:val="24"/>
          <w:shd w:val="clear" w:color="auto" w:fill="FFFFFF"/>
          <w:lang w:eastAsia="zh-CN"/>
        </w:rPr>
        <w:t>资料</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10</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投标人已完成类似项目情况（如有）</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（11）商务条款偏离表</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（12）</w:t>
      </w:r>
      <w:r>
        <w:rPr>
          <w:rFonts w:hint="eastAsia" w:ascii="宋体" w:hAnsi="宋体"/>
          <w:sz w:val="24"/>
          <w:szCs w:val="24"/>
          <w:shd w:val="clear" w:color="auto" w:fill="FFFFFF"/>
        </w:rPr>
        <w:t>其它材料</w:t>
      </w:r>
    </w:p>
    <w:p>
      <w:pPr>
        <w:spacing w:line="360" w:lineRule="auto"/>
        <w:contextualSpacing/>
        <w:outlineLvl w:val="2"/>
        <w:rPr>
          <w:rFonts w:ascii="宋体" w:hAnsi="宋体"/>
          <w:sz w:val="24"/>
          <w:szCs w:val="24"/>
          <w:shd w:val="clear" w:color="auto" w:fill="FFFFFF"/>
        </w:rPr>
      </w:pPr>
      <w:bookmarkStart w:id="154" w:name="_Toc27816"/>
      <w:r>
        <w:rPr>
          <w:rFonts w:hint="eastAsia" w:ascii="宋体" w:hAnsi="宋体"/>
          <w:sz w:val="24"/>
          <w:szCs w:val="24"/>
          <w:shd w:val="clear" w:color="auto" w:fill="FFFFFF"/>
        </w:rPr>
        <w:t>3.2 投标报价</w:t>
      </w:r>
      <w:bookmarkEnd w:id="150"/>
      <w:bookmarkEnd w:id="151"/>
      <w:bookmarkEnd w:id="152"/>
      <w:bookmarkEnd w:id="153"/>
      <w:bookmarkEnd w:id="154"/>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rPr>
        <w:t>3.2.1 投标人应按第六章“投标文件格式”的要求填写相应表格。</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rPr>
        <w:t>3.2.</w:t>
      </w:r>
      <w:r>
        <w:rPr>
          <w:rFonts w:hint="eastAsia" w:ascii="宋体" w:hAnsi="宋体"/>
          <w:sz w:val="24"/>
          <w:szCs w:val="24"/>
          <w:shd w:val="clear" w:color="auto" w:fill="FFFFFF"/>
          <w:lang w:val="en-US" w:eastAsia="zh-CN"/>
        </w:rPr>
        <w:t>2投标人应当按照招标文件要求填报投标报价，并充分了解该采购项目的总体情况以及影响投标报价的其他要素。</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3.2.3投标人的</w:t>
      </w:r>
      <w:r>
        <w:rPr>
          <w:rFonts w:hint="eastAsia" w:ascii="宋体" w:hAnsi="宋体"/>
          <w:sz w:val="24"/>
          <w:szCs w:val="24"/>
          <w:shd w:val="clear" w:color="auto" w:fill="FFFFFF"/>
        </w:rPr>
        <w:t>投标报价不</w:t>
      </w:r>
      <w:r>
        <w:rPr>
          <w:rFonts w:hint="eastAsia" w:ascii="宋体" w:hAnsi="宋体"/>
          <w:sz w:val="24"/>
          <w:szCs w:val="24"/>
          <w:shd w:val="clear" w:color="auto" w:fill="FFFFFF"/>
          <w:lang w:eastAsia="zh-CN"/>
        </w:rPr>
        <w:t>得</w:t>
      </w:r>
      <w:r>
        <w:rPr>
          <w:rFonts w:hint="eastAsia" w:ascii="宋体" w:hAnsi="宋体"/>
          <w:sz w:val="24"/>
          <w:szCs w:val="24"/>
          <w:shd w:val="clear" w:color="auto" w:fill="FFFFFF"/>
        </w:rPr>
        <w:t>超过最高</w:t>
      </w:r>
      <w:r>
        <w:rPr>
          <w:rFonts w:hint="eastAsia" w:ascii="宋体" w:hAnsi="宋体"/>
          <w:sz w:val="24"/>
          <w:szCs w:val="24"/>
          <w:shd w:val="clear" w:color="auto" w:fill="FFFFFF"/>
          <w:lang w:val="en-US" w:eastAsia="zh-CN"/>
        </w:rPr>
        <w:t>投标限价及最高限价单价</w:t>
      </w:r>
      <w:r>
        <w:rPr>
          <w:rFonts w:hint="eastAsia" w:ascii="宋体" w:hAnsi="宋体"/>
          <w:sz w:val="24"/>
          <w:szCs w:val="24"/>
          <w:shd w:val="clear" w:color="auto" w:fill="FFFFFF"/>
        </w:rPr>
        <w:t>，</w:t>
      </w:r>
      <w:r>
        <w:rPr>
          <w:rFonts w:hint="eastAsia" w:ascii="宋体" w:hAnsi="宋体"/>
          <w:sz w:val="24"/>
          <w:szCs w:val="24"/>
          <w:shd w:val="clear" w:color="auto" w:fill="FFFFFF"/>
          <w:lang w:eastAsia="zh-CN"/>
        </w:rPr>
        <w:t>否则</w:t>
      </w:r>
      <w:r>
        <w:rPr>
          <w:rFonts w:hint="eastAsia" w:ascii="宋体" w:hAnsi="宋体"/>
          <w:sz w:val="24"/>
          <w:szCs w:val="24"/>
          <w:shd w:val="clear" w:color="auto" w:fill="FFFFFF"/>
        </w:rPr>
        <w:t>，投标无效</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各标段采购预算及最高限价详见投标人须知前附表</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w:t>
      </w:r>
    </w:p>
    <w:p>
      <w:pPr>
        <w:spacing w:line="360" w:lineRule="auto"/>
        <w:ind w:firstLine="480" w:firstLineChars="200"/>
        <w:contextualSpacing/>
        <w:rPr>
          <w:rFonts w:hint="default" w:ascii="宋体" w:hAnsi="宋体"/>
          <w:sz w:val="24"/>
          <w:szCs w:val="24"/>
          <w:shd w:val="clear" w:color="auto" w:fill="FFFFFF"/>
          <w:lang w:val="en-US" w:eastAsia="zh-CN"/>
        </w:rPr>
      </w:pPr>
      <w:r>
        <w:rPr>
          <w:rFonts w:hint="eastAsia" w:ascii="宋体" w:hAnsi="宋体" w:eastAsia="宋体"/>
          <w:sz w:val="24"/>
          <w:szCs w:val="24"/>
          <w:shd w:val="clear" w:color="auto" w:fill="FFFFFF"/>
          <w:lang w:val="en-US" w:eastAsia="zh-CN"/>
        </w:rPr>
        <w:t>3.2.4</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lang w:eastAsia="zh-CN"/>
        </w:rPr>
        <w:t>的报价</w:t>
      </w:r>
      <w:r>
        <w:rPr>
          <w:rFonts w:hint="eastAsia" w:ascii="宋体" w:hAnsi="宋体" w:eastAsia="宋体" w:cs="宋体"/>
          <w:color w:val="000000"/>
          <w:kern w:val="2"/>
          <w:sz w:val="24"/>
          <w:szCs w:val="24"/>
          <w:highlight w:val="none"/>
          <w:lang w:val="en-US" w:eastAsia="zh-CN" w:bidi="ar-SA"/>
        </w:rPr>
        <w:t>包括但不限于成本及利润、各项税金、包装费、运输费、保险费、仓储费、损耗费等及后续的</w:t>
      </w:r>
      <w:r>
        <w:rPr>
          <w:rFonts w:hint="eastAsia" w:ascii="宋体" w:hAnsi="宋体" w:cs="宋体"/>
          <w:kern w:val="0"/>
          <w:sz w:val="24"/>
          <w:szCs w:val="24"/>
        </w:rPr>
        <w:t>检验验收</w:t>
      </w:r>
      <w:r>
        <w:rPr>
          <w:rFonts w:hint="eastAsia" w:ascii="宋体" w:hAnsi="宋体" w:eastAsia="宋体" w:cs="宋体"/>
          <w:color w:val="000000"/>
          <w:kern w:val="2"/>
          <w:sz w:val="24"/>
          <w:szCs w:val="24"/>
          <w:highlight w:val="none"/>
          <w:lang w:val="en-US" w:eastAsia="zh-CN" w:bidi="ar-SA"/>
        </w:rPr>
        <w:t>、装卸货、安装、保修和维修、技术服务、培训等产生的费用，以及投标人因签署和履行本合同而应缴纳的各项税费等一切费用，采购人不再向投标人额外支付任何费用。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3.2.</w:t>
      </w:r>
      <w:r>
        <w:rPr>
          <w:rFonts w:hint="eastAsia" w:ascii="宋体" w:hAnsi="宋体"/>
          <w:sz w:val="24"/>
          <w:szCs w:val="24"/>
          <w:shd w:val="clear" w:color="auto" w:fill="FFFFFF"/>
          <w:lang w:val="en-US" w:eastAsia="zh-CN"/>
        </w:rPr>
        <w:t>5</w:t>
      </w:r>
      <w:r>
        <w:rPr>
          <w:rFonts w:hint="eastAsia" w:ascii="宋体" w:hAnsi="宋体"/>
          <w:sz w:val="24"/>
          <w:szCs w:val="24"/>
          <w:shd w:val="clear" w:color="auto" w:fill="FFFFFF"/>
        </w:rPr>
        <w:t>投标人报价在合同履行完成前必须保持固定有效。</w:t>
      </w:r>
    </w:p>
    <w:p>
      <w:pPr>
        <w:spacing w:line="360" w:lineRule="auto"/>
        <w:ind w:firstLine="480" w:firstLineChars="200"/>
        <w:contextualSpacing/>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3.2.6投标人如需用外汇购入某种投标货物，须折合人民币计入总报价中。</w:t>
      </w:r>
    </w:p>
    <w:p>
      <w:pPr>
        <w:spacing w:line="360" w:lineRule="auto"/>
        <w:ind w:firstLine="480" w:firstLineChars="200"/>
        <w:contextualSpacing/>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3.2.7采购人不接受任何选择性报价，投标人每种产品只允许有一个报价，并且在合同履行过程中是固定不变的，任何有选择或可调整的报价将不予接受并按无效投标处理。</w:t>
      </w:r>
    </w:p>
    <w:p>
      <w:pPr>
        <w:spacing w:line="360" w:lineRule="auto"/>
        <w:ind w:firstLine="480" w:firstLineChars="200"/>
        <w:contextualSpacing/>
        <w:rPr>
          <w:rFonts w:hint="eastAsia" w:ascii="宋体" w:hAnsi="宋体"/>
          <w:sz w:val="24"/>
          <w:szCs w:val="24"/>
          <w:highlight w:val="green"/>
          <w:shd w:val="clear" w:color="auto" w:fill="FFFFFF"/>
        </w:rPr>
      </w:pPr>
      <w:r>
        <w:rPr>
          <w:rFonts w:hint="eastAsia" w:ascii="宋体" w:hAnsi="宋体"/>
          <w:sz w:val="24"/>
          <w:szCs w:val="24"/>
          <w:shd w:val="clear" w:color="auto" w:fill="FFFFFF"/>
        </w:rPr>
        <w:t>3.2.</w:t>
      </w:r>
      <w:r>
        <w:rPr>
          <w:rFonts w:hint="eastAsia" w:ascii="宋体" w:hAnsi="宋体"/>
          <w:sz w:val="24"/>
          <w:szCs w:val="24"/>
          <w:shd w:val="clear" w:color="auto" w:fill="FFFFFF"/>
          <w:lang w:val="en-US" w:eastAsia="zh-CN"/>
        </w:rPr>
        <w:t>8投标人应按“开标一览表”及“分项报价表”的内容和格式要求填写各项货物的分项价格和总价。投标报价为各分项报价金额之和。</w:t>
      </w:r>
    </w:p>
    <w:p>
      <w:pPr>
        <w:spacing w:line="360" w:lineRule="auto"/>
        <w:contextualSpacing/>
        <w:outlineLvl w:val="2"/>
        <w:rPr>
          <w:rFonts w:ascii="宋体" w:hAnsi="宋体"/>
          <w:sz w:val="24"/>
          <w:szCs w:val="24"/>
          <w:shd w:val="clear" w:color="auto" w:fill="FFFFFF"/>
        </w:rPr>
      </w:pPr>
      <w:bookmarkStart w:id="155" w:name="_Toc179632567"/>
      <w:bookmarkStart w:id="156" w:name="_Toc152042325"/>
      <w:bookmarkStart w:id="157" w:name="_Toc144974517"/>
      <w:bookmarkStart w:id="158" w:name="_Toc28952"/>
      <w:bookmarkStart w:id="159" w:name="_Toc152045549"/>
      <w:r>
        <w:rPr>
          <w:rFonts w:hint="eastAsia" w:ascii="宋体" w:hAnsi="宋体"/>
          <w:sz w:val="24"/>
          <w:szCs w:val="24"/>
          <w:shd w:val="clear" w:color="auto" w:fill="FFFFFF"/>
        </w:rPr>
        <w:t>3.3 投标有效期</w:t>
      </w:r>
      <w:bookmarkEnd w:id="155"/>
      <w:bookmarkEnd w:id="156"/>
      <w:bookmarkEnd w:id="157"/>
      <w:bookmarkEnd w:id="158"/>
      <w:bookmarkEnd w:id="159"/>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3.3.1 在投标人须知前附表规定的投标有效期内（投标截止之日起90天），投标人不得要求撤销或修改其投标文件。投标文件中必须载明投标有效期，载明的投标有效期可以长于招标文件规定的期限，但不得短于招标文件规定的期限，否则属于非实质性响应，将按无效投标处理。</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rPr>
        <w:t>3.3.2出现特殊情况需要延长投标有效期的，</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以书面形式通知所有投标人延长投标有效期。投标人同意延长的，应相应延长其投标保证金的有效期，但不得要求或被允许修改或撤销其投标文件；投标人拒绝延</w:t>
      </w:r>
      <w:r>
        <w:rPr>
          <w:rFonts w:hint="eastAsia" w:ascii="宋体" w:hAnsi="宋体"/>
          <w:sz w:val="24"/>
          <w:szCs w:val="24"/>
          <w:shd w:val="clear" w:color="auto" w:fill="FFFFFF"/>
          <w:lang w:val="en-US" w:eastAsia="zh-CN"/>
        </w:rPr>
        <w:t xml:space="preserve">长的，其投标失效，但投标人有权收回其投标保证金。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3.3.3 在投标有效期内，投标人撤销投标文件的，应承担招标文件和法律规定的责任。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3.3.4中标人的投标有效期自动延长至合同终止为止。</w:t>
      </w:r>
    </w:p>
    <w:p>
      <w:pPr>
        <w:spacing w:line="360" w:lineRule="auto"/>
        <w:contextualSpacing/>
        <w:outlineLvl w:val="2"/>
        <w:rPr>
          <w:rFonts w:hint="eastAsia" w:ascii="宋体" w:hAnsi="宋体"/>
          <w:sz w:val="24"/>
          <w:szCs w:val="24"/>
          <w:shd w:val="clear" w:color="auto" w:fill="FFFFFF"/>
          <w:lang w:val="en-US" w:eastAsia="zh-CN"/>
        </w:rPr>
      </w:pPr>
      <w:bookmarkStart w:id="160" w:name="_Toc22158"/>
      <w:bookmarkStart w:id="161" w:name="_Toc152045550"/>
      <w:bookmarkStart w:id="162" w:name="_Toc144974518"/>
      <w:bookmarkStart w:id="163" w:name="_Toc179632568"/>
      <w:bookmarkStart w:id="164" w:name="_Toc152042326"/>
      <w:r>
        <w:rPr>
          <w:rFonts w:hint="eastAsia" w:ascii="宋体" w:hAnsi="宋体"/>
          <w:sz w:val="24"/>
          <w:szCs w:val="24"/>
          <w:shd w:val="clear" w:color="auto" w:fill="FFFFFF"/>
          <w:lang w:val="en-US" w:eastAsia="zh-CN"/>
        </w:rPr>
        <w:t>3.4 投标保证金</w:t>
      </w:r>
      <w:bookmarkEnd w:id="160"/>
      <w:bookmarkEnd w:id="161"/>
      <w:bookmarkEnd w:id="162"/>
      <w:bookmarkEnd w:id="163"/>
      <w:bookmarkEnd w:id="164"/>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3.4.1投标人应按投标人须知前附表规定的金额、形式、时间和第六章“投标文件格式” 规定的投标保证金格式提交投标保证金，作为其投标文件的一部分。</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3.4.2供应商不按本章第3.4.1 项要求提交投标保证金的，其投标文件作废标处理。</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3.4.3未中标投标单位的投标保证金应当在中标通知书发出后5个工作日内退还，中标单位的投标保证金应当在项目合同签订后5个工作日内退还。</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3.4.4 有下列情形之一的，投标保证金将不予退还：</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（1）投标单位在规定的投标有效期内撤销或修改其响应文件；</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（2）中标单位在收到中标通知书后，无正当理由拒签合同协议书或未按招标文件规定提交履约担保。</w:t>
      </w:r>
    </w:p>
    <w:p>
      <w:pPr>
        <w:spacing w:line="360" w:lineRule="auto"/>
        <w:ind w:firstLine="480" w:firstLineChars="200"/>
        <w:contextualSpacing/>
        <w:rPr>
          <w:rFonts w:hint="default"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（3）法律法规规定的其他不退换投标保证金情形。</w:t>
      </w:r>
    </w:p>
    <w:p>
      <w:pPr>
        <w:spacing w:line="360" w:lineRule="auto"/>
        <w:ind w:firstLine="240" w:firstLineChars="100"/>
        <w:contextualSpacing/>
        <w:outlineLvl w:val="2"/>
        <w:rPr>
          <w:rFonts w:ascii="宋体" w:hAnsi="宋体"/>
          <w:sz w:val="24"/>
          <w:szCs w:val="24"/>
          <w:shd w:val="clear" w:color="auto" w:fill="FFFFFF"/>
        </w:rPr>
      </w:pPr>
      <w:bookmarkStart w:id="165" w:name="_Toc152045552"/>
      <w:bookmarkStart w:id="166" w:name="_Toc179632570"/>
      <w:bookmarkStart w:id="167" w:name="_Toc152042328"/>
      <w:bookmarkStart w:id="168" w:name="_Toc144974520"/>
      <w:bookmarkStart w:id="169" w:name="_Toc30732"/>
      <w:r>
        <w:rPr>
          <w:rFonts w:hint="eastAsia" w:ascii="宋体" w:hAnsi="宋体"/>
          <w:sz w:val="24"/>
          <w:szCs w:val="24"/>
          <w:shd w:val="clear" w:color="auto" w:fill="FFFFFF"/>
        </w:rPr>
        <w:t>3.5 资格审查资料</w:t>
      </w:r>
      <w:bookmarkEnd w:id="165"/>
      <w:bookmarkEnd w:id="166"/>
      <w:bookmarkEnd w:id="167"/>
      <w:bookmarkEnd w:id="168"/>
      <w:bookmarkEnd w:id="169"/>
    </w:p>
    <w:p>
      <w:pPr>
        <w:spacing w:line="360" w:lineRule="auto"/>
        <w:ind w:firstLine="480" w:firstLineChars="200"/>
        <w:contextualSpacing/>
        <w:rPr>
          <w:rFonts w:hint="eastAsia" w:ascii="宋体" w:hAnsi="宋体"/>
          <w:sz w:val="24"/>
          <w:szCs w:val="24"/>
          <w:highlight w:val="none"/>
          <w:shd w:val="clear" w:color="auto" w:fill="FFFFFF"/>
        </w:rPr>
      </w:pPr>
      <w:r>
        <w:rPr>
          <w:rFonts w:hint="eastAsia" w:ascii="宋体" w:hAnsi="宋体"/>
          <w:sz w:val="24"/>
          <w:szCs w:val="24"/>
          <w:shd w:val="clear" w:color="auto" w:fill="FFFFFF"/>
        </w:rPr>
        <w:t>3.5.1“投标人基本情</w:t>
      </w:r>
      <w:r>
        <w:rPr>
          <w:rFonts w:hint="eastAsia" w:ascii="宋体" w:hAnsi="宋体"/>
          <w:sz w:val="24"/>
          <w:szCs w:val="24"/>
          <w:highlight w:val="none"/>
          <w:shd w:val="clear" w:color="auto" w:fill="FFFFFF"/>
        </w:rPr>
        <w:t>况表”</w:t>
      </w:r>
      <w:r>
        <w:rPr>
          <w:rFonts w:hint="eastAsia" w:ascii="宋体" w:hAnsi="宋体"/>
          <w:sz w:val="24"/>
          <w:szCs w:val="24"/>
          <w:highlight w:val="none"/>
          <w:shd w:val="clear" w:color="auto" w:fill="FFFFFF"/>
          <w:lang w:val="en-US" w:eastAsia="zh-CN"/>
        </w:rPr>
        <w:t>应附</w:t>
      </w:r>
      <w:r>
        <w:rPr>
          <w:rFonts w:hint="eastAsia" w:ascii="宋体" w:hAnsi="宋体" w:eastAsia="宋体" w:cs="宋体"/>
          <w:sz w:val="24"/>
          <w:szCs w:val="24"/>
          <w:lang w:eastAsia="zh-CN"/>
        </w:rPr>
        <w:t>营业执照</w:t>
      </w:r>
      <w:r>
        <w:rPr>
          <w:rFonts w:hint="eastAsia" w:cs="宋体"/>
          <w:sz w:val="24"/>
          <w:szCs w:val="24"/>
          <w:lang w:val="en-US" w:eastAsia="zh-CN"/>
        </w:rPr>
        <w:t>等证明文件（具体内容详见资格审查表要求的内容）</w:t>
      </w:r>
      <w:r>
        <w:rPr>
          <w:rFonts w:hint="eastAsia" w:ascii="宋体" w:hAnsi="宋体"/>
          <w:sz w:val="24"/>
          <w:szCs w:val="24"/>
          <w:highlight w:val="none"/>
          <w:shd w:val="clear" w:color="auto" w:fill="FFFFFF"/>
          <w:lang w:val="en-US" w:eastAsia="zh-CN"/>
        </w:rPr>
        <w:t>、开户许可证或开户证明复印件等</w:t>
      </w:r>
      <w:r>
        <w:rPr>
          <w:rFonts w:hint="eastAsia" w:ascii="宋体" w:hAnsi="宋体"/>
          <w:sz w:val="24"/>
          <w:szCs w:val="24"/>
          <w:highlight w:val="none"/>
          <w:shd w:val="clear" w:color="auto" w:fill="FFFFFF"/>
        </w:rPr>
        <w:t>证明材料。</w:t>
      </w:r>
    </w:p>
    <w:p>
      <w:pPr>
        <w:spacing w:line="360" w:lineRule="auto"/>
        <w:ind w:firstLine="480" w:firstLineChars="200"/>
        <w:contextualSpacing/>
        <w:rPr>
          <w:rFonts w:hint="default" w:ascii="宋体" w:hAnsi="宋体" w:eastAsiaTheme="minorEastAsia"/>
          <w:sz w:val="24"/>
          <w:szCs w:val="24"/>
          <w:highlight w:val="none"/>
          <w:shd w:val="clear" w:color="auto" w:fill="FFFFFF"/>
          <w:lang w:val="en-US" w:eastAsia="zh-CN"/>
        </w:rPr>
      </w:pPr>
      <w:r>
        <w:rPr>
          <w:rFonts w:hint="eastAsia" w:ascii="宋体" w:hAnsi="宋体"/>
          <w:sz w:val="24"/>
          <w:szCs w:val="24"/>
          <w:highlight w:val="none"/>
          <w:shd w:val="clear" w:color="auto" w:fill="FFFFFF"/>
          <w:lang w:val="en-US" w:eastAsia="zh-CN"/>
        </w:rPr>
        <w:t>3.5.2近年财务状况：具体年份详见投标人须知前附表。按资格审查表附证明材料。</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3.5.</w:t>
      </w:r>
      <w:r>
        <w:rPr>
          <w:rFonts w:hint="eastAsia" w:ascii="宋体" w:hAnsi="宋体"/>
          <w:sz w:val="24"/>
          <w:szCs w:val="24"/>
          <w:shd w:val="clear" w:color="auto" w:fill="FFFFFF"/>
          <w:lang w:val="en-US" w:eastAsia="zh-CN"/>
        </w:rPr>
        <w:t>3</w:t>
      </w:r>
      <w:r>
        <w:rPr>
          <w:rFonts w:hint="eastAsia" w:ascii="宋体" w:hAnsi="宋体"/>
          <w:sz w:val="24"/>
          <w:szCs w:val="24"/>
          <w:shd w:val="clear" w:color="auto" w:fill="FFFFFF"/>
        </w:rPr>
        <w:t>“近年发生的诉讼及仲裁情况”应说明相关情况，并附法院或仲裁机构作出的判决、裁决等有关法律文书复印件，具体年份要求见投标人须知前附表</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如无诉讼及仲裁情况应附书面说明，并加盖投标单位公章</w:t>
      </w:r>
      <w:r>
        <w:rPr>
          <w:rFonts w:hint="eastAsia" w:ascii="宋体" w:hAnsi="宋体"/>
          <w:sz w:val="24"/>
          <w:szCs w:val="24"/>
          <w:shd w:val="clear" w:color="auto" w:fill="FFFFFF"/>
        </w:rPr>
        <w:t>。</w:t>
      </w:r>
    </w:p>
    <w:p>
      <w:pPr>
        <w:spacing w:line="360" w:lineRule="auto"/>
        <w:ind w:firstLine="480" w:firstLineChars="200"/>
        <w:contextualSpacing/>
        <w:rPr>
          <w:rFonts w:hint="default" w:ascii="宋体" w:hAnsi="宋体"/>
          <w:sz w:val="24"/>
          <w:szCs w:val="24"/>
          <w:lang w:val="en-US" w:eastAsia="zh-CN"/>
        </w:rPr>
      </w:pPr>
      <w:r>
        <w:rPr>
          <w:rFonts w:hint="eastAsia" w:ascii="宋体" w:hAnsi="宋体"/>
          <w:sz w:val="24"/>
          <w:szCs w:val="24"/>
          <w:lang w:val="en-US" w:eastAsia="zh-CN"/>
        </w:rPr>
        <w:t>3.5.4具备履行合同所必需的设备和专业技术能力、依法缴纳税收证明、依法缴纳社保的证明、参加政府采购活动前三年内，在经营活动中没有重大违法记录、落实政府采购政策需满足的资格要求、其他资格审查资料按照资格审查表要求在投标文件格式对应位置处附相关材料并加盖投标单位公章。</w:t>
      </w:r>
    </w:p>
    <w:p>
      <w:pPr>
        <w:spacing w:line="360" w:lineRule="auto"/>
        <w:contextualSpacing/>
        <w:outlineLvl w:val="2"/>
        <w:rPr>
          <w:rFonts w:ascii="宋体" w:hAnsi="宋体"/>
          <w:sz w:val="24"/>
          <w:szCs w:val="24"/>
          <w:shd w:val="clear" w:color="auto" w:fill="FFFFFF"/>
        </w:rPr>
      </w:pPr>
      <w:bookmarkStart w:id="170" w:name="_Toc152045553"/>
      <w:bookmarkStart w:id="171" w:name="_Toc152042329"/>
      <w:bookmarkStart w:id="172" w:name="_Toc24413"/>
      <w:bookmarkStart w:id="173" w:name="_Toc144974521"/>
      <w:bookmarkStart w:id="174" w:name="_Toc179632571"/>
      <w:r>
        <w:rPr>
          <w:rFonts w:hint="eastAsia" w:ascii="宋体" w:hAnsi="宋体"/>
          <w:sz w:val="24"/>
          <w:szCs w:val="24"/>
          <w:shd w:val="clear" w:color="auto" w:fill="FFFFFF"/>
        </w:rPr>
        <w:t>3.6 备选投标方案</w:t>
      </w:r>
      <w:bookmarkEnd w:id="170"/>
      <w:bookmarkEnd w:id="171"/>
      <w:bookmarkEnd w:id="172"/>
      <w:bookmarkEnd w:id="173"/>
      <w:bookmarkEnd w:id="174"/>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除投标人须知前附表另有规定外，投标人不得递交备选投标方案。</w:t>
      </w:r>
    </w:p>
    <w:p>
      <w:pPr>
        <w:spacing w:line="360" w:lineRule="auto"/>
        <w:contextualSpacing/>
        <w:outlineLvl w:val="2"/>
        <w:rPr>
          <w:rFonts w:ascii="宋体" w:hAnsi="宋体"/>
          <w:sz w:val="24"/>
          <w:szCs w:val="24"/>
          <w:shd w:val="clear" w:color="auto" w:fill="FFFFFF"/>
        </w:rPr>
      </w:pPr>
      <w:bookmarkStart w:id="175" w:name="_Toc152042330"/>
      <w:bookmarkStart w:id="176" w:name="_Toc152045554"/>
      <w:bookmarkStart w:id="177" w:name="_Toc16826"/>
      <w:bookmarkStart w:id="178" w:name="_Toc179632572"/>
      <w:bookmarkStart w:id="179" w:name="_Toc144974522"/>
      <w:r>
        <w:rPr>
          <w:rFonts w:hint="eastAsia" w:ascii="宋体" w:hAnsi="宋体"/>
          <w:sz w:val="24"/>
          <w:szCs w:val="24"/>
          <w:shd w:val="clear" w:color="auto" w:fill="FFFFFF"/>
        </w:rPr>
        <w:t>3.7 投标文件的编制</w:t>
      </w:r>
      <w:bookmarkEnd w:id="175"/>
      <w:bookmarkEnd w:id="176"/>
      <w:bookmarkEnd w:id="177"/>
      <w:bookmarkEnd w:id="178"/>
      <w:bookmarkEnd w:id="179"/>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rPr>
        <w:t>3.7.1投标文件应按第六章“投标文件格式”进行编写，如有必要，可以增加附页，作为投标文件的组成部分。</w:t>
      </w:r>
      <w:r>
        <w:rPr>
          <w:rFonts w:hint="eastAsia" w:ascii="宋体" w:hAnsi="宋体"/>
          <w:sz w:val="24"/>
          <w:szCs w:val="24"/>
          <w:shd w:val="clear" w:color="auto" w:fill="FFFFFF"/>
          <w:lang w:val="en-US" w:eastAsia="zh-CN"/>
        </w:rPr>
        <w:t>投标文件应填写投标人的全称，并与投标人的证件证书保持一致，如单位名称发生变更应附变更证明材料。</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3.7.2投标人应当按照“投标人须知前附表”规定的份数准备投标文件正本、副本和相应的电子版文件。正本和副本封面右上角应清楚地标明“正本”或“副本”字样。当副本和正本有不一致的内容，以正本书面投标文件为准。</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3.7.</w:t>
      </w:r>
      <w:r>
        <w:rPr>
          <w:rFonts w:hint="eastAsia" w:ascii="宋体" w:hAnsi="宋体"/>
          <w:sz w:val="24"/>
          <w:szCs w:val="24"/>
          <w:shd w:val="clear" w:color="auto" w:fill="FFFFFF"/>
          <w:lang w:val="en-US" w:eastAsia="zh-CN"/>
        </w:rPr>
        <w:t>3</w:t>
      </w:r>
      <w:r>
        <w:rPr>
          <w:rFonts w:hint="eastAsia" w:ascii="宋体" w:hAnsi="宋体"/>
          <w:sz w:val="24"/>
          <w:szCs w:val="24"/>
          <w:shd w:val="clear" w:color="auto" w:fill="FFFFFF"/>
        </w:rPr>
        <w:t>投标文件应当对招标文件有关</w:t>
      </w:r>
      <w:r>
        <w:rPr>
          <w:rFonts w:hint="eastAsia" w:ascii="宋体" w:hAnsi="宋体"/>
          <w:sz w:val="24"/>
          <w:szCs w:val="24"/>
          <w:shd w:val="clear" w:color="auto" w:fill="FFFFFF"/>
          <w:lang w:val="en-US" w:eastAsia="zh-CN"/>
        </w:rPr>
        <w:t>合同履行期限（供货期）</w:t>
      </w:r>
      <w:r>
        <w:rPr>
          <w:rFonts w:hint="eastAsia" w:ascii="宋体" w:hAnsi="宋体"/>
          <w:sz w:val="24"/>
          <w:szCs w:val="24"/>
          <w:shd w:val="clear" w:color="auto" w:fill="FFFFFF"/>
        </w:rPr>
        <w:t>、投标有效期、质量要求、技术标准和要求、招标范围等实质性内容作出响应。</w:t>
      </w:r>
    </w:p>
    <w:p>
      <w:pPr>
        <w:spacing w:line="360" w:lineRule="auto"/>
        <w:ind w:firstLine="480" w:firstLineChars="200"/>
        <w:contextualSpacing/>
        <w:rPr>
          <w:rFonts w:hint="eastAsia" w:ascii="宋体" w:hAnsi="宋体" w:eastAsia="宋体" w:cs="宋体"/>
          <w:kern w:val="0"/>
          <w:sz w:val="24"/>
          <w:szCs w:val="24"/>
          <w:lang w:val="en-US" w:eastAsia="zh-CN" w:bidi="ar-SA"/>
        </w:rPr>
      </w:pPr>
      <w:r>
        <w:rPr>
          <w:rFonts w:hint="eastAsia" w:ascii="宋体" w:hAnsi="宋体"/>
          <w:sz w:val="24"/>
          <w:szCs w:val="24"/>
          <w:shd w:val="clear" w:color="auto" w:fill="FFFFFF"/>
        </w:rPr>
        <w:t>3.7.</w:t>
      </w:r>
      <w:r>
        <w:rPr>
          <w:rFonts w:hint="eastAsia" w:ascii="宋体" w:hAnsi="宋体"/>
          <w:sz w:val="24"/>
          <w:szCs w:val="24"/>
          <w:shd w:val="clear" w:color="auto" w:fill="FFFFFF"/>
          <w:lang w:val="en-US" w:eastAsia="zh-CN"/>
        </w:rPr>
        <w:t>4</w:t>
      </w:r>
      <w:r>
        <w:rPr>
          <w:rFonts w:hint="eastAsia" w:ascii="宋体" w:hAnsi="宋体"/>
          <w:sz w:val="24"/>
          <w:szCs w:val="24"/>
          <w:shd w:val="clear" w:color="auto" w:fill="FFFFFF"/>
        </w:rPr>
        <w:t>投标文件应用不褪色的材料书写或打印</w:t>
      </w:r>
      <w:r>
        <w:rPr>
          <w:rFonts w:hint="eastAsia" w:ascii="宋体" w:hAnsi="宋体"/>
          <w:sz w:val="24"/>
          <w:szCs w:val="24"/>
          <w:shd w:val="clear" w:color="auto" w:fill="FFFFFF"/>
          <w:lang w:eastAsia="zh-CN"/>
        </w:rPr>
        <w:t>。</w:t>
      </w:r>
      <w:r>
        <w:rPr>
          <w:rFonts w:hint="eastAsia" w:ascii="宋体" w:hAnsi="宋体" w:eastAsia="宋体" w:cs="宋体"/>
          <w:kern w:val="0"/>
          <w:sz w:val="24"/>
          <w:szCs w:val="24"/>
          <w:lang w:val="en-US" w:eastAsia="zh-CN" w:bidi="ar-SA"/>
        </w:rPr>
        <w:t>投标文件格式中要求投标人“法定代表人或其委托代理人”签字或盖章的，如法定代表人亲自投标而不委托代理人投标，由法定代表人签字或盖章；如法定代表人授权委托代理人投标，由委托代理人签字。未按要求签字或盖章视为不响应招标文件实质性要求，其投标无效。所有要求盖章的地方都应加盖投标单位（法定名称）章（鲜章），不得使用专用章（如经济合同章、谈判专用章等）或下属单位印章代替。投标文件正本及副本均应该加盖鲜章。所有要求签字的地方都应用不褪色的墨水或签字笔由本人亲笔手写签字（包括姓和名），不得用盖章（如签名章、签字章等）代替，也不得由他人代签。</w:t>
      </w:r>
    </w:p>
    <w:p>
      <w:pPr>
        <w:spacing w:line="360" w:lineRule="auto"/>
        <w:ind w:firstLine="480" w:firstLineChars="200"/>
        <w:contextualSpacing/>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3.7.5投标文件的正本与副本应分别装订成册，并编制目录及连续页码，具体装订要求见投标人须知前附表规定。</w:t>
      </w:r>
    </w:p>
    <w:p>
      <w:pPr>
        <w:pStyle w:val="45"/>
        <w:spacing w:beforeLines="100" w:line="360" w:lineRule="auto"/>
        <w:contextualSpacing/>
        <w:jc w:val="left"/>
        <w:rPr>
          <w:rFonts w:ascii="宋体" w:hAnsi="宋体" w:eastAsia="宋体"/>
          <w:sz w:val="24"/>
          <w:szCs w:val="24"/>
          <w:shd w:val="clear" w:color="auto" w:fill="FFFFFF"/>
        </w:rPr>
      </w:pPr>
      <w:bookmarkStart w:id="180" w:name="_Toc152042331"/>
      <w:bookmarkStart w:id="181" w:name="_Toc152045555"/>
      <w:bookmarkStart w:id="182" w:name="_Toc144974523"/>
      <w:bookmarkStart w:id="183" w:name="_Toc325293414"/>
      <w:bookmarkStart w:id="184" w:name="_Toc179632573"/>
      <w:bookmarkStart w:id="185" w:name="_Toc7847"/>
      <w:bookmarkStart w:id="186" w:name="_Toc476566550"/>
      <w:r>
        <w:rPr>
          <w:rFonts w:hint="eastAsia" w:ascii="宋体" w:hAnsi="宋体" w:eastAsia="宋体"/>
          <w:sz w:val="24"/>
          <w:szCs w:val="24"/>
          <w:shd w:val="clear" w:color="auto" w:fill="FFFFFF"/>
        </w:rPr>
        <w:t>4. 投标</w:t>
      </w:r>
      <w:bookmarkEnd w:id="180"/>
      <w:bookmarkEnd w:id="181"/>
      <w:bookmarkEnd w:id="182"/>
      <w:bookmarkEnd w:id="183"/>
      <w:bookmarkEnd w:id="184"/>
      <w:bookmarkEnd w:id="185"/>
      <w:bookmarkEnd w:id="186"/>
    </w:p>
    <w:p>
      <w:pPr>
        <w:spacing w:line="360" w:lineRule="auto"/>
        <w:contextualSpacing/>
        <w:outlineLvl w:val="2"/>
        <w:rPr>
          <w:rFonts w:ascii="宋体" w:hAnsi="宋体"/>
          <w:sz w:val="24"/>
          <w:szCs w:val="24"/>
          <w:shd w:val="clear" w:color="auto" w:fill="FFFFFF"/>
        </w:rPr>
      </w:pPr>
      <w:bookmarkStart w:id="187" w:name="_Toc152042332"/>
      <w:bookmarkStart w:id="188" w:name="_Toc179632574"/>
      <w:bookmarkStart w:id="189" w:name="_Toc21763"/>
      <w:bookmarkStart w:id="190" w:name="_Toc152045556"/>
      <w:bookmarkStart w:id="191" w:name="_Toc144974524"/>
      <w:r>
        <w:rPr>
          <w:rFonts w:hint="eastAsia" w:ascii="宋体" w:hAnsi="宋体"/>
          <w:sz w:val="24"/>
          <w:szCs w:val="24"/>
          <w:shd w:val="clear" w:color="auto" w:fill="FFFFFF"/>
        </w:rPr>
        <w:t>4.1 投标文件的密封和标记</w:t>
      </w:r>
      <w:bookmarkEnd w:id="187"/>
      <w:bookmarkEnd w:id="188"/>
      <w:bookmarkEnd w:id="189"/>
      <w:bookmarkEnd w:id="190"/>
      <w:bookmarkEnd w:id="191"/>
    </w:p>
    <w:p>
      <w:pPr>
        <w:spacing w:line="360" w:lineRule="auto"/>
        <w:ind w:firstLine="480" w:firstLineChars="200"/>
        <w:contextualSpacing/>
        <w:rPr>
          <w:rFonts w:ascii="宋体" w:hAnsi="宋体" w:cs="宋体"/>
          <w:b/>
          <w:bCs/>
          <w:sz w:val="24"/>
          <w:szCs w:val="24"/>
          <w:shd w:val="clear" w:color="auto" w:fill="FFFFFF"/>
          <w:lang w:val="zh-CN"/>
        </w:rPr>
      </w:pPr>
      <w:bookmarkStart w:id="192" w:name="_Toc152042333"/>
      <w:bookmarkStart w:id="193" w:name="_Toc179632575"/>
      <w:bookmarkStart w:id="194" w:name="_Toc152045557"/>
      <w:bookmarkStart w:id="195" w:name="_Toc144974525"/>
      <w:r>
        <w:rPr>
          <w:rFonts w:hint="eastAsia" w:ascii="宋体" w:hAnsi="宋体" w:cs="宋体"/>
          <w:bCs/>
          <w:sz w:val="24"/>
          <w:szCs w:val="24"/>
          <w:shd w:val="clear" w:color="auto" w:fill="FFFFFF"/>
          <w:lang w:val="en-US" w:eastAsia="zh-CN"/>
        </w:rPr>
        <w:t>4.1.1</w:t>
      </w:r>
      <w:r>
        <w:rPr>
          <w:rFonts w:hint="eastAsia" w:ascii="宋体" w:hAnsi="宋体" w:cs="宋体"/>
          <w:bCs/>
          <w:sz w:val="24"/>
          <w:szCs w:val="24"/>
          <w:shd w:val="clear" w:color="auto" w:fill="FFFFFF"/>
          <w:lang w:val="zh-CN"/>
        </w:rPr>
        <w:t>投标文件的正本与副本应分开包装，加贴封条，并在封套的封口处加盖投标人单位公章</w:t>
      </w:r>
      <w:r>
        <w:rPr>
          <w:rFonts w:hint="eastAsia" w:ascii="宋体" w:hAnsi="宋体" w:cs="宋体"/>
          <w:b/>
          <w:bCs/>
          <w:sz w:val="24"/>
          <w:szCs w:val="24"/>
          <w:shd w:val="clear" w:color="auto" w:fill="FFFFFF"/>
          <w:lang w:val="zh-CN"/>
        </w:rPr>
        <w:t>。</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4.1.</w:t>
      </w:r>
      <w:r>
        <w:rPr>
          <w:rFonts w:hint="eastAsia" w:ascii="宋体" w:hAnsi="宋体"/>
          <w:sz w:val="24"/>
          <w:szCs w:val="24"/>
          <w:shd w:val="clear" w:color="auto" w:fill="FFFFFF"/>
          <w:lang w:val="en-US" w:eastAsia="zh-CN"/>
        </w:rPr>
        <w:t>2</w:t>
      </w:r>
      <w:r>
        <w:rPr>
          <w:rFonts w:hint="eastAsia" w:ascii="宋体" w:hAnsi="宋体"/>
          <w:sz w:val="24"/>
          <w:szCs w:val="24"/>
          <w:shd w:val="clear" w:color="auto" w:fill="FFFFFF"/>
        </w:rPr>
        <w:t>投标文件的封套上应写明的内容见投标人须知前附表。</w:t>
      </w:r>
    </w:p>
    <w:p>
      <w:pPr>
        <w:pStyle w:val="46"/>
        <w:adjustRightInd/>
        <w:spacing w:line="360" w:lineRule="auto"/>
        <w:ind w:firstLine="480" w:firstLineChars="200"/>
        <w:contextualSpacing/>
        <w:rPr>
          <w:rFonts w:hint="eastAsia" w:ascii="宋体" w:hAnsi="宋体"/>
          <w:kern w:val="2"/>
          <w:sz w:val="24"/>
          <w:szCs w:val="24"/>
          <w:shd w:val="clear" w:color="auto" w:fill="FFFFFF"/>
        </w:rPr>
      </w:pPr>
      <w:r>
        <w:rPr>
          <w:rFonts w:hint="eastAsia" w:ascii="宋体" w:hAnsi="宋体"/>
          <w:kern w:val="2"/>
          <w:sz w:val="24"/>
          <w:szCs w:val="24"/>
          <w:shd w:val="clear" w:color="auto" w:fill="FFFFFF"/>
        </w:rPr>
        <w:t>4.1.</w:t>
      </w:r>
      <w:r>
        <w:rPr>
          <w:rFonts w:hint="eastAsia" w:ascii="宋体" w:hAnsi="宋体"/>
          <w:kern w:val="2"/>
          <w:sz w:val="24"/>
          <w:szCs w:val="24"/>
          <w:shd w:val="clear" w:color="auto" w:fill="FFFFFF"/>
          <w:lang w:val="en-US" w:eastAsia="zh-CN"/>
        </w:rPr>
        <w:t>3</w:t>
      </w:r>
      <w:r>
        <w:rPr>
          <w:rFonts w:hint="eastAsia" w:ascii="宋体" w:hAnsi="宋体"/>
          <w:kern w:val="2"/>
          <w:sz w:val="24"/>
          <w:szCs w:val="24"/>
          <w:shd w:val="clear" w:color="auto" w:fill="FFFFFF"/>
        </w:rPr>
        <w:t>开标一览表需单独密封，加贴封条，并在封套的封口处加盖投标人单位</w:t>
      </w:r>
      <w:r>
        <w:rPr>
          <w:rFonts w:hint="eastAsia" w:ascii="宋体" w:hAnsi="宋体"/>
          <w:kern w:val="2"/>
          <w:sz w:val="24"/>
          <w:szCs w:val="24"/>
          <w:shd w:val="clear" w:color="auto" w:fill="FFFFFF"/>
          <w:lang w:eastAsia="zh-CN"/>
        </w:rPr>
        <w:t>公</w:t>
      </w:r>
      <w:r>
        <w:rPr>
          <w:rFonts w:hint="eastAsia" w:ascii="宋体" w:hAnsi="宋体"/>
          <w:kern w:val="2"/>
          <w:sz w:val="24"/>
          <w:szCs w:val="24"/>
          <w:shd w:val="clear" w:color="auto" w:fill="FFFFFF"/>
        </w:rPr>
        <w:t>章，在封套上标记“开标一览表”字样，与投标文件共同递交，做唱标使用。</w:t>
      </w:r>
    </w:p>
    <w:p>
      <w:pPr>
        <w:pStyle w:val="46"/>
        <w:adjustRightInd/>
        <w:spacing w:line="360" w:lineRule="auto"/>
        <w:ind w:firstLine="480" w:firstLineChars="200"/>
        <w:contextualSpacing/>
        <w:rPr>
          <w:rFonts w:hint="eastAsia" w:ascii="宋体" w:hAnsi="宋体"/>
          <w:kern w:val="2"/>
          <w:sz w:val="24"/>
          <w:szCs w:val="24"/>
          <w:shd w:val="clear" w:color="auto" w:fill="FFFFFF"/>
        </w:rPr>
      </w:pPr>
      <w:r>
        <w:rPr>
          <w:rFonts w:hint="eastAsia" w:ascii="宋体" w:hAnsi="宋体"/>
          <w:kern w:val="2"/>
          <w:sz w:val="24"/>
          <w:szCs w:val="24"/>
          <w:shd w:val="clear" w:color="auto" w:fill="FFFFFF"/>
        </w:rPr>
        <w:t>4.1</w:t>
      </w:r>
      <w:r>
        <w:rPr>
          <w:rFonts w:hint="eastAsia" w:ascii="宋体" w:hAnsi="宋体"/>
          <w:kern w:val="2"/>
          <w:sz w:val="24"/>
          <w:szCs w:val="24"/>
          <w:shd w:val="clear" w:color="auto" w:fill="FFFFFF"/>
          <w:lang w:val="en-US" w:eastAsia="zh-CN"/>
        </w:rPr>
        <w:t>.4</w:t>
      </w:r>
      <w:r>
        <w:rPr>
          <w:rFonts w:hint="eastAsia" w:ascii="宋体" w:hAnsi="宋体"/>
          <w:kern w:val="2"/>
          <w:sz w:val="24"/>
          <w:szCs w:val="24"/>
          <w:shd w:val="clear" w:color="auto" w:fill="FFFFFF"/>
        </w:rPr>
        <w:t>投标文件电子版</w:t>
      </w:r>
      <w:r>
        <w:rPr>
          <w:rFonts w:hint="eastAsia" w:ascii="宋体" w:hAnsi="宋体"/>
          <w:kern w:val="2"/>
          <w:sz w:val="24"/>
          <w:szCs w:val="24"/>
          <w:shd w:val="clear" w:color="auto" w:fill="FFFFFF"/>
          <w:lang w:eastAsia="zh-CN"/>
        </w:rPr>
        <w:t>（</w:t>
      </w:r>
      <w:r>
        <w:rPr>
          <w:rFonts w:hint="eastAsia" w:ascii="宋体" w:hAnsi="宋体"/>
          <w:kern w:val="2"/>
          <w:sz w:val="24"/>
          <w:szCs w:val="24"/>
          <w:shd w:val="clear" w:color="auto" w:fill="FFFFFF"/>
          <w:lang w:val="en-US" w:eastAsia="zh-CN"/>
        </w:rPr>
        <w:t>U盘2份</w:t>
      </w:r>
      <w:r>
        <w:rPr>
          <w:rFonts w:hint="eastAsia" w:ascii="宋体" w:hAnsi="宋体"/>
          <w:kern w:val="2"/>
          <w:sz w:val="24"/>
          <w:szCs w:val="24"/>
          <w:shd w:val="clear" w:color="auto" w:fill="FFFFFF"/>
          <w:lang w:eastAsia="zh-CN"/>
        </w:rPr>
        <w:t>）</w:t>
      </w:r>
      <w:r>
        <w:rPr>
          <w:rFonts w:hint="eastAsia" w:ascii="宋体" w:hAnsi="宋体"/>
          <w:kern w:val="2"/>
          <w:sz w:val="24"/>
          <w:szCs w:val="24"/>
          <w:shd w:val="clear" w:color="auto" w:fill="FFFFFF"/>
        </w:rPr>
        <w:t>单独放入一个密封袋中，加贴封条，并在封套封口处加盖投标人单位公章，在封套上标记“投标文件电子版”字样。</w:t>
      </w:r>
    </w:p>
    <w:p>
      <w:pPr>
        <w:pStyle w:val="46"/>
        <w:adjustRightInd/>
        <w:spacing w:line="360" w:lineRule="auto"/>
        <w:ind w:firstLine="480" w:firstLineChars="200"/>
        <w:contextualSpacing/>
        <w:rPr>
          <w:rFonts w:hint="default" w:ascii="宋体" w:hAnsi="宋体" w:eastAsiaTheme="minorEastAsia"/>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4.1.5招标文件评标办法要求的原件单独密封在一个密封袋中，</w:t>
      </w:r>
      <w:r>
        <w:rPr>
          <w:rFonts w:hint="eastAsia" w:ascii="宋体" w:hAnsi="宋体"/>
          <w:kern w:val="2"/>
          <w:sz w:val="24"/>
          <w:szCs w:val="24"/>
          <w:shd w:val="clear" w:color="auto" w:fill="FFFFFF"/>
        </w:rPr>
        <w:t>加贴封条，并在封套封口处加盖投标人单位公章，在封套上标记“</w:t>
      </w:r>
      <w:r>
        <w:rPr>
          <w:rFonts w:hint="eastAsia" w:ascii="宋体" w:hAnsi="宋体"/>
          <w:kern w:val="2"/>
          <w:sz w:val="24"/>
          <w:szCs w:val="24"/>
          <w:shd w:val="clear" w:color="auto" w:fill="FFFFFF"/>
          <w:lang w:val="en-US" w:eastAsia="zh-CN"/>
        </w:rPr>
        <w:t>原件</w:t>
      </w:r>
      <w:r>
        <w:rPr>
          <w:rFonts w:hint="eastAsia" w:ascii="宋体" w:hAnsi="宋体"/>
          <w:kern w:val="2"/>
          <w:sz w:val="24"/>
          <w:szCs w:val="24"/>
          <w:shd w:val="clear" w:color="auto" w:fill="FFFFFF"/>
        </w:rPr>
        <w:t>”字样。</w:t>
      </w:r>
    </w:p>
    <w:p>
      <w:pPr>
        <w:pStyle w:val="46"/>
        <w:adjustRightInd/>
        <w:spacing w:line="360" w:lineRule="auto"/>
        <w:ind w:firstLine="480" w:firstLineChars="200"/>
        <w:contextualSpacing/>
        <w:rPr>
          <w:rFonts w:hint="eastAsia" w:ascii="宋体" w:hAnsi="宋体"/>
          <w:kern w:val="2"/>
          <w:sz w:val="24"/>
          <w:szCs w:val="24"/>
          <w:shd w:val="clear" w:color="auto" w:fill="FFFFFF"/>
        </w:rPr>
      </w:pPr>
      <w:r>
        <w:rPr>
          <w:rFonts w:hint="eastAsia" w:ascii="宋体" w:hAnsi="宋体"/>
          <w:kern w:val="2"/>
          <w:sz w:val="24"/>
          <w:szCs w:val="24"/>
          <w:shd w:val="clear" w:color="auto" w:fill="FFFFFF"/>
          <w:lang w:val="en-US" w:eastAsia="zh-CN"/>
        </w:rPr>
        <w:t>4.1.6未按要求密封的投标文件，采购代理机构将予以拒收。</w:t>
      </w:r>
    </w:p>
    <w:p>
      <w:pPr>
        <w:spacing w:line="360" w:lineRule="auto"/>
        <w:contextualSpacing/>
        <w:outlineLvl w:val="2"/>
        <w:rPr>
          <w:rFonts w:ascii="宋体" w:hAnsi="宋体"/>
          <w:sz w:val="24"/>
          <w:szCs w:val="24"/>
          <w:shd w:val="clear" w:color="auto" w:fill="FFFFFF"/>
        </w:rPr>
      </w:pPr>
      <w:bookmarkStart w:id="196" w:name="_Toc32504"/>
      <w:r>
        <w:rPr>
          <w:rFonts w:hint="eastAsia" w:ascii="宋体" w:hAnsi="宋体"/>
          <w:sz w:val="24"/>
          <w:szCs w:val="24"/>
          <w:shd w:val="clear" w:color="auto" w:fill="FFFFFF"/>
        </w:rPr>
        <w:t>4.2 投标文件的递交</w:t>
      </w:r>
      <w:bookmarkEnd w:id="192"/>
      <w:bookmarkEnd w:id="193"/>
      <w:bookmarkEnd w:id="194"/>
      <w:bookmarkEnd w:id="195"/>
      <w:bookmarkEnd w:id="196"/>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4.2.1 投标人必须在投标人须知前附表规定的提交投标文件截止时间前提交投标文件。</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4.2.2投标人递交投标文件地点：见投标人须知前附表。</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4.2.3逾期送达的投标文件，采购代理机构将予以拒收。</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4.2.4本次招标不接受邮寄的投标文件。</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4.2.5投标人须知规定投标人需提供样品的，同投标文件一起递交。</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4.2.6招标文件未允许提供备选文件，但存在同一投标人提交两个或以上不同的投标文件，其投标无效。投标人在同一投标文件中对某项技术、商务要求提供有选择性的响应参数或方案等同于提交两个或以上不同的投标文件。</w:t>
      </w:r>
      <w:bookmarkStart w:id="197" w:name="_Toc152045559"/>
      <w:bookmarkStart w:id="198" w:name="_Toc144974527"/>
      <w:bookmarkStart w:id="199" w:name="_Toc152042335"/>
      <w:bookmarkStart w:id="200" w:name="_Toc179632577"/>
      <w:bookmarkStart w:id="201" w:name="_Toc325293415"/>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4.2.7采购代理机构收到投标文件后，应当如实记载投标文件的送达时间和密封情况，签收保存，并向投标人出具签收回执。</w:t>
      </w:r>
    </w:p>
    <w:p>
      <w:pPr>
        <w:pStyle w:val="46"/>
        <w:adjustRightInd/>
        <w:spacing w:line="360" w:lineRule="auto"/>
        <w:contextualSpacing/>
        <w:outlineLvl w:val="2"/>
        <w:rPr>
          <w:rFonts w:hint="eastAsia" w:ascii="宋体" w:hAnsi="宋体"/>
          <w:kern w:val="2"/>
          <w:sz w:val="24"/>
          <w:szCs w:val="24"/>
          <w:shd w:val="clear" w:color="auto" w:fill="FFFFFF"/>
          <w:lang w:val="en-US" w:eastAsia="zh-CN"/>
        </w:rPr>
      </w:pPr>
      <w:bookmarkStart w:id="202" w:name="_Toc15534"/>
      <w:r>
        <w:rPr>
          <w:rFonts w:hint="eastAsia" w:ascii="宋体" w:hAnsi="宋体"/>
          <w:kern w:val="2"/>
          <w:sz w:val="24"/>
          <w:szCs w:val="24"/>
          <w:shd w:val="clear" w:color="auto" w:fill="FFFFFF"/>
          <w:lang w:val="en-US" w:eastAsia="zh-CN"/>
        </w:rPr>
        <w:t>4.3投标文件的修改和撤回</w:t>
      </w:r>
      <w:bookmarkEnd w:id="202"/>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4.3.1在投标人须知前附表规定的投标截止时间前，投标人可以修改或撤回已递交的投标文件，但应以书面形式通知采购代理机构。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4.3.2 投标人的修改或撤回通知书，应由其法定代表人或委托代理人签署并盖单位章。修改或撤回通知书应按本章第 4.1项规定进行密封，并在密封袋上标注“投标文件修改”或“投标文件撤回通知”字样，“修改文件”作为投标文件的组成部分。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4.3.3投标人撤回投标文件的，采购代理机构自收到投标人书面撤回通知之日起 5 个工作日内退还已收取的投标保证金。 </w:t>
      </w:r>
    </w:p>
    <w:p>
      <w:pPr>
        <w:pStyle w:val="46"/>
        <w:adjustRightInd/>
        <w:spacing w:line="360" w:lineRule="auto"/>
        <w:ind w:firstLine="480" w:firstLineChars="200"/>
        <w:contextualSpacing/>
        <w:rPr>
          <w:rFonts w:hint="default"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4.3.4在投标截止时间之后，投标人不得对其递交的投标文件做任何修改或撤销投标。</w:t>
      </w:r>
    </w:p>
    <w:p>
      <w:pPr>
        <w:pStyle w:val="45"/>
        <w:spacing w:beforeLines="100" w:line="360" w:lineRule="auto"/>
        <w:contextualSpacing/>
        <w:jc w:val="left"/>
        <w:rPr>
          <w:rFonts w:ascii="宋体" w:hAnsi="宋体" w:eastAsia="宋体"/>
          <w:sz w:val="24"/>
          <w:szCs w:val="24"/>
          <w:shd w:val="clear" w:color="auto" w:fill="FFFFFF"/>
        </w:rPr>
      </w:pPr>
      <w:bookmarkStart w:id="203" w:name="_Toc10428"/>
      <w:bookmarkStart w:id="204" w:name="_Toc476566551"/>
      <w:r>
        <w:rPr>
          <w:rFonts w:hint="eastAsia" w:ascii="宋体" w:hAnsi="宋体" w:eastAsia="宋体"/>
          <w:sz w:val="24"/>
          <w:szCs w:val="24"/>
          <w:shd w:val="clear" w:color="auto" w:fill="FFFFFF"/>
        </w:rPr>
        <w:t>5. 开标</w:t>
      </w:r>
      <w:bookmarkEnd w:id="197"/>
      <w:bookmarkEnd w:id="198"/>
      <w:bookmarkEnd w:id="199"/>
      <w:bookmarkEnd w:id="200"/>
      <w:bookmarkEnd w:id="201"/>
      <w:bookmarkEnd w:id="203"/>
      <w:bookmarkEnd w:id="204"/>
    </w:p>
    <w:p>
      <w:pPr>
        <w:spacing w:line="360" w:lineRule="auto"/>
        <w:contextualSpacing/>
        <w:outlineLvl w:val="2"/>
        <w:rPr>
          <w:rFonts w:ascii="宋体" w:hAnsi="宋体"/>
          <w:sz w:val="24"/>
          <w:szCs w:val="24"/>
          <w:shd w:val="clear" w:color="auto" w:fill="FFFFFF"/>
        </w:rPr>
      </w:pPr>
      <w:bookmarkStart w:id="205" w:name="_Toc11569"/>
      <w:bookmarkStart w:id="206" w:name="_Toc179632578"/>
      <w:bookmarkStart w:id="207" w:name="_Toc152045560"/>
      <w:bookmarkStart w:id="208" w:name="_Toc144974528"/>
      <w:bookmarkStart w:id="209" w:name="_Toc152042336"/>
      <w:r>
        <w:rPr>
          <w:rFonts w:hint="eastAsia" w:ascii="宋体" w:hAnsi="宋体"/>
          <w:sz w:val="24"/>
          <w:szCs w:val="24"/>
          <w:shd w:val="clear" w:color="auto" w:fill="FFFFFF"/>
        </w:rPr>
        <w:t>5.1 开标时间和地点</w:t>
      </w:r>
      <w:bookmarkEnd w:id="205"/>
      <w:bookmarkEnd w:id="206"/>
      <w:bookmarkEnd w:id="207"/>
      <w:bookmarkEnd w:id="208"/>
      <w:bookmarkEnd w:id="209"/>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5.1.1采购代理机构在投标人须知前附表规定的投标截止时间（开标时间）和地点公开开标，并邀请采购人及所有投标人的法定代表人或其委托代理人准时参加，并签到以证明出席。评标委员会成员不得参加开标活动。</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5.1.2开标时，采购代理机构邀请有关监督管理机构对开标进行现场监督。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5.1.3投标人不足 3 家的，不得开标。</w:t>
      </w:r>
    </w:p>
    <w:p>
      <w:pPr>
        <w:pStyle w:val="46"/>
        <w:adjustRightInd/>
        <w:spacing w:line="360" w:lineRule="auto"/>
        <w:contextualSpacing/>
        <w:outlineLvl w:val="2"/>
        <w:rPr>
          <w:rFonts w:hint="eastAsia" w:ascii="宋体" w:hAnsi="宋体"/>
          <w:kern w:val="2"/>
          <w:sz w:val="24"/>
          <w:szCs w:val="24"/>
          <w:shd w:val="clear" w:color="auto" w:fill="FFFFFF"/>
          <w:lang w:val="en-US" w:eastAsia="zh-CN"/>
        </w:rPr>
      </w:pPr>
      <w:bookmarkStart w:id="210" w:name="_Toc152042337"/>
      <w:bookmarkStart w:id="211" w:name="_Toc23909"/>
      <w:bookmarkStart w:id="212" w:name="_Toc179632579"/>
      <w:bookmarkStart w:id="213" w:name="_Toc144974529"/>
      <w:bookmarkStart w:id="214" w:name="_Toc152045561"/>
      <w:r>
        <w:rPr>
          <w:rFonts w:hint="eastAsia" w:ascii="宋体" w:hAnsi="宋体"/>
          <w:kern w:val="2"/>
          <w:sz w:val="24"/>
          <w:szCs w:val="24"/>
          <w:shd w:val="clear" w:color="auto" w:fill="FFFFFF"/>
          <w:lang w:val="en-US" w:eastAsia="zh-CN"/>
        </w:rPr>
        <w:t>5.2 开标程序</w:t>
      </w:r>
      <w:bookmarkEnd w:id="210"/>
      <w:bookmarkEnd w:id="211"/>
      <w:bookmarkEnd w:id="212"/>
      <w:bookmarkEnd w:id="213"/>
      <w:bookmarkEnd w:id="214"/>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bookmarkStart w:id="215" w:name="_Toc179632580"/>
      <w:bookmarkStart w:id="216" w:name="_Toc144974530"/>
      <w:bookmarkStart w:id="217" w:name="_Toc476566552"/>
      <w:bookmarkStart w:id="218" w:name="_Toc152045562"/>
      <w:bookmarkStart w:id="219" w:name="_Toc152042338"/>
      <w:bookmarkStart w:id="220" w:name="_Toc325293416"/>
      <w:r>
        <w:rPr>
          <w:rFonts w:hint="eastAsia" w:ascii="宋体" w:hAnsi="宋体"/>
          <w:kern w:val="2"/>
          <w:sz w:val="24"/>
          <w:szCs w:val="24"/>
          <w:shd w:val="clear" w:color="auto" w:fill="FFFFFF"/>
          <w:lang w:val="en-US" w:eastAsia="zh-CN"/>
        </w:rPr>
        <w:t xml:space="preserve">5.2.1开标由采购代理机构主持。主持人按照招标文件规定的开标时间宣布开标，并按下列程序进行：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（1）宣布开标开始；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（2）宣布开标纪律和有关注意事项；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（3）公布在投标截止时间前递交投标文件的投标人名称；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（4）宣布开标人、唱标人、监标人、记录人等有关工作人员和现场监督人员姓名；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（5）检查并宣布投标文件的密封情况；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6）开标唱标：主持人宣布开标后，由现场工作人员按照投标人须知前附表规定的顺序对投标人单独密封的“开标一览表”当众进行拆封，由唱标人对其中“开标一览表”的投标人名称、投标总价、质量标准、合同履行期限（供货期）、投标保证金、备注等内容进行宣读并做开标记录；所有投标唱标完毕，如投标人对宣读的“开标一览表”上的内容有异议的，应当当场提出，如确实属于唱标人宣读错误的，经现场监督人员核实后，当场予以更正；无异议后，由采购代理机构、投标人法定代表人或委托代理人、采购人代表及监督人代表签名确认唱标内容；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（7）宣布开标结束：主持人宣布开标结束后，所有投标人应立即退场；同时所有投标人应保持通讯设备的畅通，以方便在评标过程中评标委员会要求投标人对投标文件的必要澄清、说明和纠正。 </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 xml:space="preserve">5.2.2检查投标文件密封情况是指，由投标人或者其推选的代表检查投标文件的密封情况，经检查无误后，签名确认。 </w:t>
      </w:r>
    </w:p>
    <w:p>
      <w:pPr>
        <w:pStyle w:val="45"/>
        <w:spacing w:beforeLines="100" w:line="360" w:lineRule="auto"/>
        <w:contextualSpacing/>
        <w:jc w:val="left"/>
        <w:rPr>
          <w:rFonts w:hint="eastAsia" w:ascii="宋体" w:hAnsi="宋体" w:eastAsia="宋体"/>
          <w:sz w:val="24"/>
          <w:szCs w:val="24"/>
          <w:shd w:val="clear" w:color="auto" w:fill="FFFFFF"/>
          <w:lang w:val="en-US" w:eastAsia="zh-CN"/>
        </w:rPr>
      </w:pPr>
      <w:bookmarkStart w:id="221" w:name="_Toc3522"/>
      <w:r>
        <w:rPr>
          <w:rFonts w:hint="eastAsia" w:ascii="宋体" w:hAnsi="宋体" w:eastAsia="宋体"/>
          <w:sz w:val="24"/>
          <w:szCs w:val="24"/>
          <w:shd w:val="clear" w:color="auto" w:fill="FFFFFF"/>
          <w:lang w:val="en-US" w:eastAsia="zh-CN"/>
        </w:rPr>
        <w:t>6.投标人资格审查</w:t>
      </w:r>
      <w:bookmarkEnd w:id="221"/>
    </w:p>
    <w:p>
      <w:pPr>
        <w:pStyle w:val="46"/>
        <w:adjustRightInd/>
        <w:spacing w:line="360" w:lineRule="auto"/>
        <w:ind w:firstLine="480" w:firstLineChars="200"/>
        <w:contextualSpacing/>
        <w:outlineLvl w:val="2"/>
        <w:rPr>
          <w:rFonts w:hint="eastAsia" w:ascii="宋体" w:hAnsi="宋体"/>
          <w:kern w:val="2"/>
          <w:sz w:val="24"/>
          <w:szCs w:val="24"/>
          <w:shd w:val="clear" w:color="auto" w:fill="FFFFFF"/>
          <w:lang w:val="en-US" w:eastAsia="zh-CN"/>
        </w:rPr>
      </w:pPr>
      <w:bookmarkStart w:id="222" w:name="_Toc3250"/>
      <w:r>
        <w:rPr>
          <w:rFonts w:hint="eastAsia" w:ascii="宋体" w:hAnsi="宋体"/>
          <w:kern w:val="2"/>
          <w:sz w:val="24"/>
          <w:szCs w:val="24"/>
          <w:shd w:val="clear" w:color="auto" w:fill="FFFFFF"/>
          <w:lang w:val="en-US" w:eastAsia="zh-CN"/>
        </w:rPr>
        <w:t>6.1资格审查程序</w:t>
      </w:r>
      <w:bookmarkEnd w:id="222"/>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（1）开标结束后，采购代理机构将根据《资格审查表》中的规定，对投标人的投标文件进行资格审查，并形成资格审查结果。</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（2）投标人的投标文件，有任何一项不符合《资格审查表》的，资格审查不合格，其投标无效。</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（3）资格审查合格的投标人不足3家的，不进行评标。</w:t>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6.2资格审查小组按资格审查表进行审查（资格审查表详见下方附件）。</w:t>
      </w:r>
    </w:p>
    <w:p>
      <w:pPr>
        <w:rPr>
          <w:rFonts w:hint="default" w:ascii="宋体" w:hAnsi="宋体"/>
          <w:kern w:val="2"/>
          <w:sz w:val="21"/>
          <w:szCs w:val="21"/>
          <w:shd w:val="clear" w:color="auto" w:fill="FFFFFF"/>
          <w:lang w:val="en-US" w:eastAsia="zh-CN"/>
        </w:rPr>
      </w:pPr>
      <w:r>
        <w:rPr>
          <w:rFonts w:hint="default" w:ascii="宋体" w:hAnsi="宋体"/>
          <w:kern w:val="2"/>
          <w:sz w:val="21"/>
          <w:szCs w:val="21"/>
          <w:shd w:val="clear" w:color="auto" w:fill="FFFFFF"/>
          <w:lang w:val="en-US" w:eastAsia="zh-CN"/>
        </w:rPr>
        <w:br w:type="page"/>
      </w:r>
    </w:p>
    <w:p>
      <w:pPr>
        <w:pStyle w:val="46"/>
        <w:adjustRightInd/>
        <w:spacing w:line="360" w:lineRule="auto"/>
        <w:ind w:firstLine="480" w:firstLineChars="200"/>
        <w:contextualSpacing/>
        <w:rPr>
          <w:rFonts w:hint="eastAsia" w:ascii="宋体" w:hAnsi="宋体"/>
          <w:kern w:val="2"/>
          <w:sz w:val="24"/>
          <w:szCs w:val="24"/>
          <w:shd w:val="clear" w:color="auto" w:fill="FFFFFF"/>
          <w:lang w:val="en-US" w:eastAsia="zh-CN"/>
        </w:rPr>
      </w:pPr>
      <w:r>
        <w:rPr>
          <w:rFonts w:hint="eastAsia" w:ascii="宋体" w:hAnsi="宋体"/>
          <w:kern w:val="2"/>
          <w:sz w:val="24"/>
          <w:szCs w:val="24"/>
          <w:shd w:val="clear" w:color="auto" w:fill="FFFFFF"/>
          <w:lang w:val="en-US" w:eastAsia="zh-CN"/>
        </w:rPr>
        <w:t>附件：</w:t>
      </w:r>
    </w:p>
    <w:p>
      <w:pPr>
        <w:keepNext/>
        <w:keepLines w:val="0"/>
        <w:pageBreakBefore w:val="0"/>
        <w:widowControl w:val="0"/>
        <w:kinsoku/>
        <w:wordWrap/>
        <w:overflowPunct/>
        <w:topLinePunct w:val="0"/>
        <w:autoSpaceDE/>
        <w:autoSpaceDN/>
        <w:bidi w:val="0"/>
        <w:adjustRightInd/>
        <w:jc w:val="center"/>
        <w:textAlignment w:val="auto"/>
        <w:rPr>
          <w:rFonts w:hint="eastAsia" w:ascii="宋体" w:hAnsi="宋体" w:eastAsia="宋体"/>
          <w:sz w:val="24"/>
          <w:szCs w:val="24"/>
          <w:highlight w:val="none"/>
          <w:shd w:val="clear" w:color="auto" w:fill="FFFFFF"/>
          <w:lang w:val="en-US" w:eastAsia="zh-CN"/>
        </w:rPr>
      </w:pPr>
      <w:r>
        <w:rPr>
          <w:rFonts w:hint="eastAsia" w:ascii="宋体" w:hAnsi="宋体" w:eastAsia="宋体"/>
          <w:sz w:val="24"/>
          <w:szCs w:val="24"/>
          <w:highlight w:val="none"/>
          <w:shd w:val="clear" w:color="auto" w:fill="FFFFFF"/>
          <w:lang w:val="en-US" w:eastAsia="zh-CN"/>
        </w:rPr>
        <w:t>资格审查表</w:t>
      </w:r>
    </w:p>
    <w:tbl>
      <w:tblPr>
        <w:tblStyle w:val="50"/>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707"/>
        <w:gridCol w:w="6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bottom w:val="single" w:color="auto" w:sz="4" w:space="0"/>
            </w:tcBorders>
            <w:noWrap w:val="0"/>
            <w:vAlign w:val="center"/>
          </w:tcPr>
          <w:p>
            <w:pPr>
              <w:pStyle w:val="48"/>
              <w:spacing w:line="400" w:lineRule="exact"/>
              <w:ind w:left="105" w:leftChars="50" w:right="105" w:rightChars="50"/>
              <w:contextualSpacing/>
              <w:jc w:val="center"/>
              <w:rPr>
                <w:rFonts w:hint="eastAsia" w:ascii="宋体" w:hAnsi="宋体" w:eastAsia="宋体" w:cs="宋体"/>
                <w:b/>
                <w:sz w:val="24"/>
                <w:szCs w:val="24"/>
              </w:rPr>
            </w:pPr>
            <w:r>
              <w:rPr>
                <w:rFonts w:hint="eastAsia" w:ascii="宋体" w:hAnsi="宋体" w:eastAsia="宋体" w:cs="宋体"/>
                <w:b/>
                <w:sz w:val="24"/>
                <w:szCs w:val="24"/>
                <w:lang w:eastAsia="zh-CN"/>
              </w:rPr>
              <w:t>序号</w:t>
            </w:r>
          </w:p>
        </w:tc>
        <w:tc>
          <w:tcPr>
            <w:tcW w:w="1707" w:type="dxa"/>
            <w:noWrap w:val="0"/>
            <w:vAlign w:val="center"/>
          </w:tcPr>
          <w:p>
            <w:pPr>
              <w:pStyle w:val="48"/>
              <w:spacing w:line="400" w:lineRule="exact"/>
              <w:ind w:left="105" w:leftChars="50" w:right="105" w:rightChars="50"/>
              <w:contextualSpacing/>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6594" w:type="dxa"/>
            <w:noWrap w:val="0"/>
            <w:vAlign w:val="center"/>
          </w:tcPr>
          <w:p>
            <w:pPr>
              <w:pStyle w:val="48"/>
              <w:spacing w:line="400" w:lineRule="exact"/>
              <w:ind w:left="105" w:leftChars="50" w:right="105" w:rightChars="50"/>
              <w:contextualSpacing/>
              <w:jc w:val="center"/>
              <w:rPr>
                <w:rFonts w:hint="eastAsia" w:ascii="宋体" w:hAnsi="宋体" w:eastAsia="宋体" w:cs="宋体"/>
                <w:b/>
                <w:sz w:val="24"/>
                <w:szCs w:val="24"/>
              </w:rPr>
            </w:pPr>
            <w:r>
              <w:rPr>
                <w:rFonts w:hint="eastAsia" w:ascii="宋体" w:hAnsi="宋体" w:eastAsia="宋体" w:cs="宋体"/>
                <w:b/>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eastAsia" w:ascii="宋体" w:hAnsi="宋体" w:eastAsia="宋体" w:cs="宋体"/>
                <w:sz w:val="24"/>
                <w:szCs w:val="24"/>
              </w:rPr>
            </w:pPr>
            <w:r>
              <w:rPr>
                <w:rFonts w:hint="eastAsia" w:ascii="宋体" w:hAnsi="宋体" w:eastAsia="宋体" w:cs="宋体"/>
                <w:sz w:val="24"/>
                <w:szCs w:val="24"/>
              </w:rPr>
              <w:t>1</w:t>
            </w:r>
          </w:p>
        </w:tc>
        <w:tc>
          <w:tcPr>
            <w:tcW w:w="1707" w:type="dxa"/>
            <w:noWrap w:val="0"/>
            <w:vAlign w:val="center"/>
          </w:tcPr>
          <w:p>
            <w:pPr>
              <w:pStyle w:val="48"/>
              <w:spacing w:line="400" w:lineRule="exact"/>
              <w:ind w:left="105" w:leftChars="50" w:right="105" w:rightChars="50"/>
              <w:contextualSpacing/>
              <w:jc w:val="center"/>
              <w:rPr>
                <w:rFonts w:hint="default" w:ascii="宋体" w:hAnsi="宋体" w:eastAsia="宋体" w:cs="宋体"/>
                <w:sz w:val="24"/>
                <w:szCs w:val="24"/>
                <w:lang w:val="en-US" w:eastAsia="zh-CN"/>
              </w:rPr>
            </w:pPr>
            <w:r>
              <w:rPr>
                <w:rFonts w:hint="eastAsia" w:ascii="宋体" w:hAnsi="宋体" w:eastAsia="宋体" w:cs="宋体"/>
                <w:sz w:val="24"/>
                <w:szCs w:val="24"/>
                <w:lang w:eastAsia="zh-CN"/>
              </w:rPr>
              <w:t>营业执照</w:t>
            </w:r>
            <w:r>
              <w:rPr>
                <w:rFonts w:hint="eastAsia" w:cs="宋体"/>
                <w:sz w:val="24"/>
                <w:szCs w:val="24"/>
                <w:lang w:val="en-US" w:eastAsia="zh-CN"/>
              </w:rPr>
              <w:t>等证明文件</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（1）投标人为企业（包括合伙企业）的，应提供有效的“营业执照”；</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（2）投标人为事业单位的，应提供有效的“事业单位法人证书”；</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（3）投标人是非企业机构的，应提供有效的“执业许可证”、“登记证书”等证明文件；</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（4）投标人是个体工商户的，应提供有效的“个体工商户营业执照”；</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（5）投标人是自然人的，应提供有效的自然人身份证明。</w:t>
            </w:r>
          </w:p>
          <w:p>
            <w:pPr>
              <w:pStyle w:val="48"/>
              <w:spacing w:line="400" w:lineRule="exact"/>
              <w:ind w:left="105" w:leftChars="50" w:right="105" w:rightChars="50"/>
              <w:contextualSpacing/>
              <w:jc w:val="left"/>
              <w:rPr>
                <w:rFonts w:hint="default" w:ascii="宋体" w:hAnsi="宋体" w:eastAsia="宋体" w:cs="宋体"/>
                <w:bCs/>
                <w:sz w:val="24"/>
                <w:szCs w:val="24"/>
                <w:highlight w:val="none"/>
                <w:lang w:val="en-US" w:eastAsia="zh-CN"/>
              </w:rPr>
            </w:pPr>
            <w:r>
              <w:rPr>
                <w:rFonts w:hint="eastAsia" w:cs="宋体"/>
                <w:b/>
                <w:bCs w:val="0"/>
                <w:sz w:val="24"/>
                <w:szCs w:val="24"/>
                <w:highlight w:val="none"/>
                <w:lang w:val="en-US" w:eastAsia="zh-CN"/>
              </w:rPr>
              <w:t>投标文件内附复印件并加盖投标单位公章。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2</w:t>
            </w:r>
          </w:p>
        </w:tc>
        <w:tc>
          <w:tcPr>
            <w:tcW w:w="1707" w:type="dxa"/>
            <w:noWrap w:val="0"/>
            <w:vAlign w:val="center"/>
          </w:tcPr>
          <w:p>
            <w:pPr>
              <w:pStyle w:val="48"/>
              <w:spacing w:line="400" w:lineRule="exact"/>
              <w:ind w:left="105" w:leftChars="50" w:right="105" w:rightChars="50"/>
              <w:contextualSpacing/>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财务</w:t>
            </w:r>
            <w:r>
              <w:rPr>
                <w:rFonts w:hint="eastAsia" w:cs="宋体"/>
                <w:sz w:val="24"/>
                <w:szCs w:val="24"/>
                <w:lang w:val="en-US" w:eastAsia="zh-CN"/>
              </w:rPr>
              <w:t>要求</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投标人近年（2023年</w:t>
            </w:r>
            <w:r>
              <w:rPr>
                <w:rFonts w:hint="eastAsia" w:cs="宋体"/>
                <w:bCs/>
                <w:sz w:val="24"/>
                <w:szCs w:val="24"/>
                <w:highlight w:val="none"/>
                <w:lang w:val="en-US" w:eastAsia="zh-CN"/>
              </w:rPr>
              <w:t>度</w:t>
            </w:r>
            <w:r>
              <w:rPr>
                <w:rFonts w:hint="eastAsia" w:ascii="宋体" w:hAnsi="宋体" w:eastAsia="宋体" w:cs="宋体"/>
                <w:bCs/>
                <w:sz w:val="24"/>
                <w:szCs w:val="24"/>
                <w:highlight w:val="none"/>
                <w:lang w:val="en-US" w:eastAsia="zh-CN"/>
              </w:rPr>
              <w:t>）财务状况良好，提供经会计师事务</w:t>
            </w:r>
            <w:r>
              <w:rPr>
                <w:rFonts w:hint="eastAsia" w:cs="宋体"/>
                <w:bCs/>
                <w:sz w:val="24"/>
                <w:szCs w:val="24"/>
                <w:highlight w:val="none"/>
                <w:lang w:val="en-US" w:eastAsia="zh-CN"/>
              </w:rPr>
              <w:t>所</w:t>
            </w:r>
            <w:r>
              <w:rPr>
                <w:rFonts w:hint="eastAsia" w:ascii="宋体" w:hAnsi="宋体" w:eastAsia="宋体" w:cs="宋体"/>
                <w:bCs/>
                <w:sz w:val="24"/>
                <w:szCs w:val="24"/>
                <w:highlight w:val="none"/>
                <w:lang w:val="en-US" w:eastAsia="zh-CN"/>
              </w:rPr>
              <w:t>或审计机构审计的2023年度的财务审计报告复印件，或开标日前六个月内投标人开户银行出具的资信证明）。</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注：1、财务审计报告应当体现投标人（被审计单位）名称、会计师事务所（审计单位）名称、符合招标文件要求的审计年度并提供经审计的财务报表。未体现以上内容的视为无效。</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银行资信证明可提供原件，也可提供复印件。若银行开具的资信证明声明复印无效的，则投标人必须提供原件，否则视为无效。提供复印件的，必须提供银行资信证明所有内容页的齐全的复印件，含首页、声明页等，否则视为无效。</w:t>
            </w:r>
          </w:p>
          <w:p>
            <w:pPr>
              <w:pStyle w:val="48"/>
              <w:spacing w:line="400" w:lineRule="exact"/>
              <w:ind w:left="105" w:leftChars="50" w:right="105" w:rightChars="50"/>
              <w:contextualSpacing/>
              <w:jc w:val="lef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3、银行出具的存款证明不能替代银行资信证明，存款证明无效。</w:t>
            </w:r>
          </w:p>
          <w:p>
            <w:pPr>
              <w:pStyle w:val="48"/>
              <w:spacing w:line="400" w:lineRule="exact"/>
              <w:ind w:right="105" w:rightChars="50"/>
              <w:contextualSpacing/>
              <w:jc w:val="left"/>
              <w:rPr>
                <w:rFonts w:hint="default" w:ascii="宋体" w:hAnsi="宋体" w:eastAsia="宋体" w:cs="宋体"/>
                <w:bCs/>
                <w:sz w:val="24"/>
                <w:szCs w:val="24"/>
                <w:highlight w:val="none"/>
                <w:lang w:val="en-US" w:eastAsia="zh-CN"/>
              </w:rPr>
            </w:pPr>
            <w:r>
              <w:rPr>
                <w:rFonts w:hint="eastAsia" w:ascii="宋体" w:hAnsi="宋体" w:eastAsia="宋体" w:cs="宋体"/>
                <w:b/>
                <w:bCs/>
                <w:sz w:val="24"/>
                <w:szCs w:val="24"/>
                <w:lang w:val="en-US" w:eastAsia="zh-CN"/>
              </w:rPr>
              <w:t>投标文件内提供上述资料复印件并加盖投标单位公章。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3</w:t>
            </w:r>
          </w:p>
        </w:tc>
        <w:tc>
          <w:tcPr>
            <w:tcW w:w="1707" w:type="dxa"/>
            <w:noWrap w:val="0"/>
            <w:vAlign w:val="center"/>
          </w:tcPr>
          <w:p>
            <w:pPr>
              <w:pStyle w:val="48"/>
              <w:spacing w:line="400" w:lineRule="exact"/>
              <w:ind w:left="105" w:leftChars="50" w:right="105" w:rightChars="50"/>
              <w:contextualSpacing/>
              <w:jc w:val="center"/>
              <w:rPr>
                <w:rFonts w:hint="default"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具备履行合同所必需的设备和专业技术能力</w:t>
            </w:r>
          </w:p>
        </w:tc>
        <w:tc>
          <w:tcPr>
            <w:tcW w:w="6594" w:type="dxa"/>
            <w:noWrap w:val="0"/>
            <w:vAlign w:val="center"/>
          </w:tcPr>
          <w:p>
            <w:pPr>
              <w:pStyle w:val="48"/>
              <w:spacing w:line="400" w:lineRule="exact"/>
              <w:ind w:left="105" w:leftChars="50" w:right="105" w:rightChars="50"/>
              <w:contextualSpacing/>
              <w:jc w:val="left"/>
              <w:rPr>
                <w:rFonts w:hint="default"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具备履行合同所必需的设备和专业技术能力。投标文件内附法定代表人或其委托代理人签字或盖章并加盖投标单位公章的承诺书。格式自拟。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default" w:cs="宋体"/>
                <w:sz w:val="24"/>
                <w:szCs w:val="24"/>
                <w:highlight w:val="none"/>
                <w:lang w:val="en-US" w:eastAsia="zh-CN"/>
              </w:rPr>
            </w:pPr>
            <w:r>
              <w:rPr>
                <w:rFonts w:hint="eastAsia" w:cs="宋体"/>
                <w:sz w:val="24"/>
                <w:szCs w:val="24"/>
                <w:highlight w:val="none"/>
                <w:lang w:val="en-US" w:eastAsia="zh-CN"/>
              </w:rPr>
              <w:t>4</w:t>
            </w:r>
          </w:p>
        </w:tc>
        <w:tc>
          <w:tcPr>
            <w:tcW w:w="1707" w:type="dxa"/>
            <w:noWrap w:val="0"/>
            <w:vAlign w:val="center"/>
          </w:tcPr>
          <w:p>
            <w:pPr>
              <w:pStyle w:val="48"/>
              <w:spacing w:line="400" w:lineRule="exact"/>
              <w:ind w:left="105" w:leftChars="50" w:right="105" w:rightChars="50"/>
              <w:contextualSpacing/>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依法缴纳税收证明</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提供本项目投标截止前六个月内任意月份投标人税务缴纳有效票据凭证或其他有效证明材料；依法免税的，应提供依法免税的相关证明文件。</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
                <w:bCs/>
                <w:sz w:val="24"/>
                <w:szCs w:val="24"/>
                <w:lang w:val="en-US" w:eastAsia="zh-CN"/>
              </w:rPr>
              <w:t>投标文件内提供上述资料复印件并加盖投标单位公章。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default" w:cs="宋体"/>
                <w:sz w:val="24"/>
                <w:szCs w:val="24"/>
                <w:highlight w:val="none"/>
                <w:lang w:val="en-US" w:eastAsia="zh-CN"/>
              </w:rPr>
            </w:pPr>
            <w:r>
              <w:rPr>
                <w:rFonts w:hint="eastAsia" w:cs="宋体"/>
                <w:sz w:val="24"/>
                <w:szCs w:val="24"/>
                <w:highlight w:val="none"/>
                <w:lang w:val="en-US" w:eastAsia="zh-CN"/>
              </w:rPr>
              <w:t>5</w:t>
            </w:r>
          </w:p>
        </w:tc>
        <w:tc>
          <w:tcPr>
            <w:tcW w:w="1707" w:type="dxa"/>
            <w:noWrap w:val="0"/>
            <w:vAlign w:val="center"/>
          </w:tcPr>
          <w:p>
            <w:pPr>
              <w:pStyle w:val="48"/>
              <w:spacing w:line="400" w:lineRule="exact"/>
              <w:ind w:left="105" w:leftChars="50" w:right="105" w:rightChars="50"/>
              <w:contextualSpacing/>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依法缴纳社保的证明</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提供本项目投标截止前六个月内任意月份投标人社会保障资金缴纳有效票据凭证或其他有效证明材料；依法免缴的，应提供依法免缴的相关证明文件。</w:t>
            </w:r>
          </w:p>
          <w:p>
            <w:pPr>
              <w:pStyle w:val="48"/>
              <w:spacing w:line="400" w:lineRule="exact"/>
              <w:ind w:left="105" w:leftChars="50" w:right="105" w:rightChars="50"/>
              <w:contextualSpacing/>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投标文件内提供上述资料复印件并加盖投标单位公章。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center"/>
              <w:rPr>
                <w:rFonts w:hint="default" w:cs="宋体"/>
                <w:sz w:val="24"/>
                <w:szCs w:val="24"/>
                <w:highlight w:val="none"/>
                <w:lang w:val="en-US" w:eastAsia="zh-CN"/>
              </w:rPr>
            </w:pPr>
            <w:r>
              <w:rPr>
                <w:rFonts w:hint="eastAsia" w:cs="宋体"/>
                <w:sz w:val="24"/>
                <w:szCs w:val="24"/>
                <w:highlight w:val="none"/>
                <w:lang w:val="en-US" w:eastAsia="zh-CN"/>
              </w:rPr>
              <w:t>6</w:t>
            </w:r>
          </w:p>
        </w:tc>
        <w:tc>
          <w:tcPr>
            <w:tcW w:w="1707" w:type="dxa"/>
            <w:noWrap w:val="0"/>
            <w:vAlign w:val="center"/>
          </w:tcPr>
          <w:p>
            <w:pPr>
              <w:pStyle w:val="48"/>
              <w:spacing w:line="400" w:lineRule="exact"/>
              <w:ind w:left="105" w:leftChars="50" w:right="105" w:rightChars="50"/>
              <w:contextualSpacing/>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参加政府采购活动前三年内，在经营活动中没有重大违法记录</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
                <w:bCs/>
                <w:sz w:val="24"/>
                <w:szCs w:val="24"/>
                <w:lang w:val="en-US" w:eastAsia="zh-CN"/>
              </w:rPr>
            </w:pPr>
            <w:r>
              <w:rPr>
                <w:rFonts w:hint="eastAsia" w:ascii="宋体" w:hAnsi="宋体" w:eastAsia="宋体" w:cs="宋体"/>
                <w:bCs/>
                <w:sz w:val="24"/>
                <w:szCs w:val="24"/>
                <w:highlight w:val="none"/>
                <w:lang w:val="en-US" w:eastAsia="zh-CN"/>
              </w:rPr>
              <w:t>参加政府采购活动前三年内，在经营活动中没有重大违法记录。投标文件内附法定代表人或其委托代理人签字或盖章并加盖投标单位公章的承诺书。格式自拟。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37" w:type="dxa"/>
            <w:tcBorders>
              <w:top w:val="single" w:color="auto" w:sz="4" w:space="0"/>
              <w:bottom w:val="single" w:color="auto" w:sz="4" w:space="0"/>
            </w:tcBorders>
            <w:noWrap w:val="0"/>
            <w:vAlign w:val="center"/>
          </w:tcPr>
          <w:p>
            <w:pPr>
              <w:spacing w:line="400" w:lineRule="exact"/>
              <w:ind w:left="105" w:leftChars="50" w:right="105" w:rightChars="50"/>
              <w:contextualSpacing/>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707" w:type="dxa"/>
            <w:noWrap w:val="0"/>
            <w:vAlign w:val="center"/>
          </w:tcPr>
          <w:p>
            <w:pPr>
              <w:pStyle w:val="48"/>
              <w:spacing w:line="400" w:lineRule="exact"/>
              <w:ind w:left="105" w:leftChars="50" w:right="105" w:rightChars="50"/>
              <w:contextualSpacing/>
              <w:jc w:val="center"/>
              <w:rPr>
                <w:color w:val="auto"/>
                <w:sz w:val="24"/>
                <w:szCs w:val="24"/>
                <w:highlight w:val="none"/>
              </w:rPr>
            </w:pPr>
            <w:r>
              <w:rPr>
                <w:rFonts w:hint="eastAsia" w:ascii="宋体" w:hAnsi="宋体" w:eastAsia="宋体" w:cs="宋体"/>
                <w:sz w:val="24"/>
                <w:szCs w:val="24"/>
                <w:highlight w:val="none"/>
                <w:lang w:val="en-US" w:eastAsia="zh-CN"/>
              </w:rPr>
              <w:t>投标人信用记录</w:t>
            </w:r>
          </w:p>
        </w:tc>
        <w:tc>
          <w:tcPr>
            <w:tcW w:w="6594" w:type="dxa"/>
            <w:noWrap w:val="0"/>
            <w:vAlign w:val="center"/>
          </w:tcPr>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查询渠道：信用中国网站和中国政府采购（www.creditchina.gov.cn、www.ccgp.gov.cn）；</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截止时点：投标截止时间以后、资格审查阶段</w:t>
            </w:r>
            <w:r>
              <w:rPr>
                <w:rFonts w:hint="eastAsia" w:cs="宋体"/>
                <w:bCs/>
                <w:sz w:val="24"/>
                <w:szCs w:val="24"/>
                <w:highlight w:val="none"/>
                <w:lang w:val="en-US" w:eastAsia="zh-CN"/>
              </w:rPr>
              <w:t>由采购人或</w:t>
            </w:r>
            <w:r>
              <w:rPr>
                <w:rFonts w:hint="eastAsia" w:ascii="宋体" w:hAnsi="宋体" w:eastAsia="宋体" w:cs="宋体"/>
                <w:bCs/>
                <w:sz w:val="24"/>
                <w:szCs w:val="24"/>
                <w:highlight w:val="none"/>
                <w:lang w:val="en-US" w:eastAsia="zh-CN"/>
              </w:rPr>
              <w:t>采购代理机构的实际查询时间；</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信用信息查询记录和证据留存具体方式：查询结果网页打印页作为查询记录和证据，与</w:t>
            </w:r>
            <w:r>
              <w:rPr>
                <w:rFonts w:hint="eastAsia" w:ascii="宋体" w:hAnsi="宋体" w:eastAsia="宋体" w:cs="宋体"/>
                <w:kern w:val="2"/>
                <w:sz w:val="24"/>
                <w:szCs w:val="24"/>
                <w:lang w:val="en-US" w:eastAsia="zh-CN"/>
              </w:rPr>
              <w:t>招标</w:t>
            </w:r>
            <w:r>
              <w:rPr>
                <w:rFonts w:hint="eastAsia" w:ascii="宋体" w:hAnsi="宋体" w:eastAsia="宋体" w:cs="宋体"/>
                <w:bCs/>
                <w:sz w:val="24"/>
                <w:szCs w:val="24"/>
                <w:highlight w:val="none"/>
                <w:lang w:val="en-US" w:eastAsia="zh-CN"/>
              </w:rPr>
              <w:t>文件一并保存；</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信用信息的使用原则：经认定的被列入失信被执行人、重大税收违法案件当事人名单</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重大税收违法失信主体</w:t>
            </w:r>
            <w:r>
              <w:rPr>
                <w:rFonts w:hint="eastAsia" w:ascii="宋体" w:hAnsi="宋体" w:eastAsia="宋体" w:cs="宋体"/>
                <w:sz w:val="24"/>
                <w:szCs w:val="24"/>
                <w:lang w:val="zh-CN" w:eastAsia="zh-CN"/>
              </w:rPr>
              <w:t>）</w:t>
            </w:r>
            <w:r>
              <w:rPr>
                <w:rFonts w:hint="eastAsia" w:ascii="宋体" w:hAnsi="宋体" w:eastAsia="宋体" w:cs="宋体"/>
                <w:bCs/>
                <w:sz w:val="24"/>
                <w:szCs w:val="24"/>
                <w:highlight w:val="none"/>
                <w:lang w:val="en-US" w:eastAsia="zh-CN"/>
              </w:rPr>
              <w:t>、政府采购严重违法失信行为记录名单的投标人，其投标无效。</w:t>
            </w:r>
          </w:p>
          <w:p>
            <w:pPr>
              <w:pStyle w:val="48"/>
              <w:spacing w:line="400" w:lineRule="exact"/>
              <w:ind w:left="105" w:leftChars="50" w:right="105" w:rightChars="50"/>
              <w:contextualSpacing/>
              <w:jc w:val="left"/>
              <w:rPr>
                <w:rFonts w:hint="eastAsia" w:ascii="Calibri" w:hAnsi="Calibri" w:eastAsia="宋体" w:cs="宋体"/>
                <w:color w:val="auto"/>
                <w:kern w:val="2"/>
                <w:sz w:val="24"/>
                <w:szCs w:val="24"/>
                <w:highlight w:val="yellow"/>
                <w:lang w:val="en-US" w:eastAsia="zh-CN" w:bidi="ar-SA"/>
              </w:rPr>
            </w:pPr>
            <w:r>
              <w:rPr>
                <w:rFonts w:hint="eastAsia" w:ascii="宋体" w:hAnsi="宋体" w:eastAsia="宋体" w:cs="宋体"/>
                <w:bCs/>
                <w:sz w:val="24"/>
                <w:szCs w:val="24"/>
                <w:highlight w:val="none"/>
                <w:lang w:val="en-US" w:eastAsia="zh-CN"/>
              </w:rPr>
              <w:t>注：此项无须投标人提供，由</w:t>
            </w:r>
            <w:r>
              <w:rPr>
                <w:rFonts w:hint="eastAsia" w:cs="宋体"/>
                <w:bCs/>
                <w:sz w:val="24"/>
                <w:szCs w:val="24"/>
                <w:highlight w:val="none"/>
                <w:lang w:val="en-US" w:eastAsia="zh-CN"/>
              </w:rPr>
              <w:t>采购人或</w:t>
            </w:r>
            <w:r>
              <w:rPr>
                <w:rFonts w:hint="eastAsia" w:ascii="宋体" w:hAnsi="宋体" w:eastAsia="宋体" w:cs="宋体"/>
                <w:bCs/>
                <w:sz w:val="24"/>
                <w:szCs w:val="24"/>
                <w:highlight w:val="none"/>
                <w:lang w:val="en-US" w:eastAsia="zh-CN"/>
              </w:rPr>
              <w:t>采购代理机构资格审查阶段查询。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jc w:val="center"/>
        </w:trPr>
        <w:tc>
          <w:tcPr>
            <w:tcW w:w="837" w:type="dxa"/>
            <w:tcBorders>
              <w:top w:val="single" w:color="auto" w:sz="4" w:space="0"/>
              <w:bottom w:val="single" w:color="auto" w:sz="4" w:space="0"/>
            </w:tcBorders>
            <w:noWrap w:val="0"/>
            <w:vAlign w:val="center"/>
          </w:tcPr>
          <w:p>
            <w:pPr>
              <w:spacing w:line="400" w:lineRule="exact"/>
              <w:ind w:left="105" w:leftChars="50" w:right="105" w:rightChars="50"/>
              <w:contextualSpacing/>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p>
        </w:tc>
        <w:tc>
          <w:tcPr>
            <w:tcW w:w="1707" w:type="dxa"/>
            <w:noWrap w:val="0"/>
            <w:vAlign w:val="center"/>
          </w:tcPr>
          <w:p>
            <w:pPr>
              <w:spacing w:line="360" w:lineRule="auto"/>
              <w:jc w:val="center"/>
              <w:rPr>
                <w:rFonts w:hint="eastAsia" w:ascii="宋体" w:hAnsi="宋体" w:eastAsia="宋体" w:cs="宋体"/>
                <w:kern w:val="2"/>
                <w:sz w:val="24"/>
                <w:szCs w:val="24"/>
                <w:lang w:val="en-US" w:eastAsia="en-US" w:bidi="ar-SA"/>
              </w:rPr>
            </w:pPr>
            <w:r>
              <w:rPr>
                <w:rFonts w:hint="eastAsia" w:ascii="宋体" w:hAnsi="宋体" w:eastAsia="宋体" w:cs="宋体"/>
                <w:sz w:val="24"/>
                <w:szCs w:val="24"/>
              </w:rPr>
              <w:t>其他要求</w:t>
            </w:r>
          </w:p>
        </w:tc>
        <w:tc>
          <w:tcPr>
            <w:tcW w:w="6594" w:type="dxa"/>
            <w:noWrap w:val="0"/>
            <w:vAlign w:val="center"/>
          </w:tcPr>
          <w:p>
            <w:pPr>
              <w:numPr>
                <w:ilvl w:val="0"/>
                <w:numId w:val="0"/>
              </w:numPr>
              <w:jc w:val="both"/>
              <w:rPr>
                <w:rFonts w:hint="eastAsia" w:ascii="宋体" w:hAnsi="宋体" w:eastAsia="宋体" w:cs="宋体"/>
                <w:b/>
                <w:bCs/>
                <w:kern w:val="2"/>
                <w:sz w:val="24"/>
                <w:szCs w:val="24"/>
                <w:lang w:val="en-US" w:eastAsia="zh-CN" w:bidi="ar-SA"/>
              </w:rPr>
            </w:pPr>
            <w:r>
              <w:rPr>
                <w:rFonts w:hint="eastAsia" w:ascii="宋体" w:hAnsi="宋体" w:eastAsia="宋体" w:cs="宋体"/>
                <w:bCs/>
                <w:kern w:val="0"/>
                <w:sz w:val="24"/>
                <w:szCs w:val="24"/>
                <w:highlight w:val="none"/>
                <w:lang w:val="en-US" w:eastAsia="zh-CN" w:bidi="ar-S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违反这两款规定的，相关投标均无效。（投标文件</w:t>
            </w:r>
            <w:r>
              <w:rPr>
                <w:rFonts w:hint="eastAsia" w:ascii="宋体" w:hAnsi="宋体" w:eastAsia="宋体" w:cs="宋体"/>
                <w:bCs/>
                <w:kern w:val="0"/>
                <w:sz w:val="24"/>
                <w:szCs w:val="24"/>
                <w:highlight w:val="none"/>
                <w:lang w:val="zh-CN" w:eastAsia="zh-CN" w:bidi="ar-SA"/>
              </w:rPr>
              <w:t>内附法定代表人签字</w:t>
            </w:r>
            <w:r>
              <w:rPr>
                <w:rFonts w:hint="eastAsia" w:ascii="宋体" w:hAnsi="宋体" w:eastAsia="宋体" w:cs="宋体"/>
                <w:bCs/>
                <w:kern w:val="0"/>
                <w:sz w:val="24"/>
                <w:szCs w:val="24"/>
                <w:highlight w:val="none"/>
                <w:lang w:val="en-US" w:eastAsia="zh-CN" w:bidi="ar-SA"/>
              </w:rPr>
              <w:t>盖章</w:t>
            </w:r>
            <w:r>
              <w:rPr>
                <w:rFonts w:hint="eastAsia" w:ascii="宋体" w:hAnsi="宋体" w:eastAsia="宋体" w:cs="宋体"/>
                <w:bCs/>
                <w:kern w:val="0"/>
                <w:sz w:val="24"/>
                <w:szCs w:val="24"/>
                <w:highlight w:val="none"/>
                <w:lang w:val="zh-CN" w:eastAsia="zh-CN" w:bidi="ar-SA"/>
              </w:rPr>
              <w:t>并加盖单位公章的承诺书。</w:t>
            </w:r>
            <w:r>
              <w:rPr>
                <w:rFonts w:hint="eastAsia" w:ascii="宋体" w:hAnsi="宋体" w:eastAsia="宋体" w:cs="宋体"/>
                <w:bCs/>
                <w:kern w:val="0"/>
                <w:sz w:val="24"/>
                <w:szCs w:val="24"/>
                <w:highlight w:val="none"/>
                <w:lang w:val="en-US" w:eastAsia="zh-CN" w:bidi="ar-SA"/>
              </w:rPr>
              <w:t>承诺书格式自拟。）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jc w:val="center"/>
        </w:trPr>
        <w:tc>
          <w:tcPr>
            <w:tcW w:w="837" w:type="dxa"/>
            <w:tcBorders>
              <w:top w:val="single" w:color="auto" w:sz="4" w:space="0"/>
              <w:bottom w:val="single" w:color="auto" w:sz="4" w:space="0"/>
            </w:tcBorders>
            <w:noWrap w:val="0"/>
            <w:vAlign w:val="center"/>
          </w:tcPr>
          <w:p>
            <w:pPr>
              <w:spacing w:line="400" w:lineRule="exact"/>
              <w:ind w:left="105" w:leftChars="50" w:right="105" w:rightChars="50"/>
              <w:contextualSpacing/>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707" w:type="dxa"/>
            <w:noWrap w:val="0"/>
            <w:vAlign w:val="center"/>
          </w:tcPr>
          <w:p>
            <w:pPr>
              <w:numPr>
                <w:ilvl w:val="0"/>
                <w:numId w:val="0"/>
              </w:numPr>
              <w:jc w:val="center"/>
              <w:rPr>
                <w:rFonts w:hint="default" w:ascii="宋体" w:hAnsi="宋体" w:eastAsia="宋体" w:cs="宋体"/>
                <w:bCs/>
                <w:kern w:val="0"/>
                <w:sz w:val="24"/>
                <w:szCs w:val="24"/>
                <w:highlight w:val="none"/>
                <w:lang w:val="en-US" w:eastAsia="zh-CN" w:bidi="ar-SA"/>
              </w:rPr>
            </w:pPr>
            <w:r>
              <w:rPr>
                <w:rFonts w:hint="eastAsia" w:ascii="宋体" w:hAnsi="宋体" w:eastAsia="宋体" w:cs="宋体"/>
                <w:bCs/>
                <w:kern w:val="0"/>
                <w:sz w:val="24"/>
                <w:szCs w:val="24"/>
                <w:highlight w:val="none"/>
                <w:lang w:val="en-US" w:eastAsia="zh-CN" w:bidi="ar-SA"/>
              </w:rPr>
              <w:t>投标保证金</w:t>
            </w:r>
          </w:p>
        </w:tc>
        <w:tc>
          <w:tcPr>
            <w:tcW w:w="6594" w:type="dxa"/>
            <w:noWrap w:val="0"/>
            <w:vAlign w:val="center"/>
          </w:tcPr>
          <w:p>
            <w:pPr>
              <w:numPr>
                <w:ilvl w:val="0"/>
                <w:numId w:val="0"/>
              </w:numPr>
              <w:jc w:val="both"/>
              <w:rPr>
                <w:rFonts w:hint="default" w:ascii="宋体" w:hAnsi="宋体" w:eastAsia="宋体" w:cs="宋体"/>
                <w:bCs/>
                <w:kern w:val="0"/>
                <w:sz w:val="24"/>
                <w:szCs w:val="24"/>
                <w:highlight w:val="none"/>
                <w:lang w:val="en-US" w:eastAsia="zh-CN" w:bidi="ar-SA"/>
              </w:rPr>
            </w:pPr>
            <w:r>
              <w:rPr>
                <w:rFonts w:hint="eastAsia" w:ascii="宋体" w:hAnsi="宋体" w:eastAsia="宋体" w:cs="宋体"/>
                <w:bCs/>
                <w:kern w:val="0"/>
                <w:sz w:val="24"/>
                <w:szCs w:val="24"/>
                <w:highlight w:val="none"/>
                <w:lang w:val="en-US" w:eastAsia="zh-CN" w:bidi="ar-SA"/>
              </w:rPr>
              <w:t>按照招标文件的规定提交投标保证金。并且投标文件中按要求附保证金或保函凭证复印件。</w:t>
            </w:r>
          </w:p>
        </w:tc>
      </w:tr>
    </w:tbl>
    <w:p>
      <w:pPr>
        <w:pStyle w:val="46"/>
        <w:adjustRightInd/>
        <w:spacing w:line="360" w:lineRule="auto"/>
        <w:ind w:firstLine="480" w:firstLineChars="200"/>
        <w:contextualSpacing/>
        <w:rPr>
          <w:rFonts w:hint="default" w:ascii="宋体" w:hAnsi="宋体"/>
          <w:kern w:val="2"/>
          <w:sz w:val="24"/>
          <w:szCs w:val="24"/>
          <w:shd w:val="clear" w:color="auto" w:fill="FFFFFF"/>
          <w:lang w:val="en-US" w:eastAsia="zh-CN"/>
        </w:rPr>
      </w:pPr>
    </w:p>
    <w:p>
      <w:pPr>
        <w:ind w:firstLine="723" w:firstLineChars="300"/>
        <w:jc w:val="both"/>
        <w:rPr>
          <w:rFonts w:hint="eastAsia" w:ascii="宋体" w:hAnsi="宋体" w:eastAsia="宋体"/>
          <w:sz w:val="24"/>
          <w:szCs w:val="24"/>
          <w:shd w:val="clear" w:color="auto" w:fill="FFFFFF"/>
          <w:lang w:val="en-US" w:eastAsia="zh-CN"/>
        </w:rPr>
      </w:pPr>
      <w:bookmarkStart w:id="223" w:name="_Hlt487972895"/>
      <w:bookmarkEnd w:id="223"/>
      <w:r>
        <w:rPr>
          <w:rFonts w:hint="eastAsia"/>
          <w:b/>
          <w:bCs/>
          <w:sz w:val="24"/>
          <w:szCs w:val="24"/>
          <w:lang w:val="en-US" w:eastAsia="zh-CN"/>
        </w:rPr>
        <w:t>1.</w:t>
      </w:r>
      <w:r>
        <w:rPr>
          <w:rFonts w:hint="eastAsia"/>
          <w:b/>
          <w:bCs/>
          <w:sz w:val="24"/>
          <w:szCs w:val="24"/>
          <w:lang w:val="zh-CN" w:eastAsia="zh-CN"/>
        </w:rPr>
        <w:t>上述要求</w:t>
      </w:r>
      <w:r>
        <w:rPr>
          <w:rFonts w:hint="eastAsia"/>
          <w:b/>
          <w:bCs/>
          <w:sz w:val="24"/>
          <w:szCs w:val="24"/>
          <w:lang w:val="en-US" w:eastAsia="zh-CN"/>
        </w:rPr>
        <w:t>投标人</w:t>
      </w:r>
      <w:r>
        <w:rPr>
          <w:rFonts w:hint="eastAsia"/>
          <w:b/>
          <w:bCs/>
          <w:sz w:val="24"/>
          <w:szCs w:val="24"/>
          <w:lang w:val="zh-CN" w:eastAsia="zh-CN"/>
        </w:rPr>
        <w:t>有一项不合格的，视为未通过资格评审，将不进入</w:t>
      </w:r>
      <w:r>
        <w:rPr>
          <w:rFonts w:hint="eastAsia"/>
          <w:b/>
          <w:bCs/>
          <w:sz w:val="24"/>
          <w:szCs w:val="24"/>
          <w:lang w:val="en-US" w:eastAsia="zh-CN"/>
        </w:rPr>
        <w:t>符合性评审</w:t>
      </w:r>
      <w:r>
        <w:rPr>
          <w:rFonts w:hint="eastAsia"/>
          <w:b/>
          <w:bCs/>
          <w:sz w:val="24"/>
          <w:szCs w:val="24"/>
          <w:lang w:val="zh-CN" w:eastAsia="zh-CN"/>
        </w:rPr>
        <w:t>。</w:t>
      </w:r>
      <w:r>
        <w:rPr>
          <w:rFonts w:hint="eastAsia" w:ascii="宋体" w:hAnsi="宋体" w:eastAsia="宋体"/>
          <w:sz w:val="24"/>
          <w:szCs w:val="24"/>
          <w:shd w:val="clear" w:color="auto" w:fill="FFFFFF"/>
          <w:lang w:val="en-US" w:eastAsia="zh-CN"/>
        </w:rPr>
        <w:br w:type="page"/>
      </w:r>
    </w:p>
    <w:p>
      <w:pPr>
        <w:pStyle w:val="45"/>
        <w:spacing w:beforeLines="100" w:line="360" w:lineRule="auto"/>
        <w:contextualSpacing/>
        <w:jc w:val="left"/>
        <w:rPr>
          <w:rFonts w:hint="eastAsia" w:ascii="宋体" w:hAnsi="宋体" w:eastAsia="宋体"/>
          <w:sz w:val="24"/>
          <w:szCs w:val="24"/>
          <w:shd w:val="clear" w:color="auto" w:fill="FFFFFF"/>
          <w:lang w:val="en-US" w:eastAsia="zh-CN"/>
        </w:rPr>
      </w:pPr>
      <w:bookmarkStart w:id="224" w:name="_Toc9978"/>
      <w:r>
        <w:rPr>
          <w:rFonts w:hint="eastAsia" w:ascii="宋体" w:hAnsi="宋体" w:eastAsia="宋体"/>
          <w:sz w:val="24"/>
          <w:szCs w:val="24"/>
          <w:shd w:val="clear" w:color="auto" w:fill="FFFFFF"/>
          <w:lang w:val="en-US" w:eastAsia="zh-CN"/>
        </w:rPr>
        <w:t>7. 评标</w:t>
      </w:r>
      <w:bookmarkEnd w:id="215"/>
      <w:bookmarkEnd w:id="216"/>
      <w:bookmarkEnd w:id="217"/>
      <w:bookmarkEnd w:id="218"/>
      <w:bookmarkEnd w:id="219"/>
      <w:bookmarkEnd w:id="220"/>
      <w:bookmarkEnd w:id="224"/>
    </w:p>
    <w:p>
      <w:pPr>
        <w:spacing w:line="360" w:lineRule="auto"/>
        <w:contextualSpacing/>
        <w:outlineLvl w:val="2"/>
        <w:rPr>
          <w:rFonts w:ascii="宋体" w:hAnsi="宋体"/>
          <w:sz w:val="24"/>
          <w:szCs w:val="24"/>
          <w:shd w:val="clear" w:color="auto" w:fill="FFFFFF"/>
        </w:rPr>
      </w:pPr>
      <w:bookmarkStart w:id="225" w:name="_Toc32073"/>
      <w:bookmarkStart w:id="226" w:name="_Toc179632581"/>
      <w:bookmarkStart w:id="227" w:name="_Toc144974531"/>
      <w:bookmarkStart w:id="228" w:name="_Toc152042339"/>
      <w:bookmarkStart w:id="229" w:name="_Toc152045563"/>
      <w:r>
        <w:rPr>
          <w:rFonts w:hint="eastAsia" w:ascii="宋体" w:hAnsi="宋体"/>
          <w:sz w:val="24"/>
          <w:szCs w:val="24"/>
          <w:shd w:val="clear" w:color="auto" w:fill="FFFFFF"/>
          <w:lang w:val="en-US" w:eastAsia="zh-CN"/>
        </w:rPr>
        <w:t>7</w:t>
      </w:r>
      <w:r>
        <w:rPr>
          <w:rFonts w:hint="eastAsia" w:ascii="宋体" w:hAnsi="宋体"/>
          <w:sz w:val="24"/>
          <w:szCs w:val="24"/>
          <w:shd w:val="clear" w:color="auto" w:fill="FFFFFF"/>
        </w:rPr>
        <w:t>.1 评标委员会</w:t>
      </w:r>
      <w:bookmarkEnd w:id="225"/>
      <w:bookmarkEnd w:id="226"/>
      <w:bookmarkEnd w:id="227"/>
      <w:bookmarkEnd w:id="228"/>
      <w:bookmarkEnd w:id="229"/>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7</w:t>
      </w:r>
      <w:r>
        <w:rPr>
          <w:rFonts w:hint="eastAsia" w:ascii="宋体" w:hAnsi="宋体"/>
          <w:sz w:val="24"/>
          <w:szCs w:val="24"/>
          <w:shd w:val="clear" w:color="auto" w:fill="FFFFFF"/>
        </w:rPr>
        <w:t>.1.1评标由</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lang w:val="en-US" w:eastAsia="zh-CN"/>
        </w:rPr>
        <w:t>或采购代理机构</w:t>
      </w:r>
      <w:r>
        <w:rPr>
          <w:rFonts w:hint="eastAsia" w:ascii="宋体" w:hAnsi="宋体"/>
          <w:sz w:val="24"/>
          <w:szCs w:val="24"/>
          <w:shd w:val="clear" w:color="auto" w:fill="FFFFFF"/>
        </w:rPr>
        <w:t>依法组建的评标委员会负责。评标委员会由有关技术、经济等方面的专家组成。评标委员会成员人数以及技术、经济等方面专家的确定方式见投标人须知前附表。</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7</w:t>
      </w:r>
      <w:r>
        <w:rPr>
          <w:rFonts w:hint="eastAsia" w:ascii="宋体" w:hAnsi="宋体"/>
          <w:sz w:val="24"/>
          <w:szCs w:val="24"/>
          <w:shd w:val="clear" w:color="auto" w:fill="FFFFFF"/>
        </w:rPr>
        <w:t>.1.2 评标委员会成员有下列情形之一的，应当回避：</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（1）</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或投标人的主要负责人的近亲属；</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（2）项目主管部门或者行政监督部门的人员；</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（3）与投标人有经济利益关系，可能影响对投标公正评审的；</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rPr>
        <w:t>（4）曾因在招标、评标以及其他与招标投标有关活动中从事违法行为而受过行政处罚或刑事处罚的。</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7.1.3评标委员会及其成员不得有下列行为：</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（1）确定参与评标至评标结束前私自接触投标人；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（2）接受投标人提出的与投标文件不一致的澄清或者说明；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（3）违反评标纪律发表倾向性意见或者征询采购人的倾向性意见；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（4）对需要专业判断的主观评审因素协商评分；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（5）在评标过程中擅离职守，影响评标程序正常进行的；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（6）记录、复制或者带走任何评标资料；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（7）其他不遵守评标纪律的行为。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评标委员会成员有前款第一至五项行为之一的，其评审意见无效，不得获取评审劳务报酬。</w:t>
      </w:r>
    </w:p>
    <w:p>
      <w:pPr>
        <w:pStyle w:val="24"/>
        <w:rPr>
          <w:sz w:val="24"/>
          <w:szCs w:val="24"/>
        </w:rPr>
      </w:pPr>
    </w:p>
    <w:p>
      <w:pPr>
        <w:spacing w:line="360" w:lineRule="auto"/>
        <w:contextualSpacing/>
        <w:outlineLvl w:val="2"/>
        <w:rPr>
          <w:rFonts w:hint="eastAsia" w:ascii="宋体" w:hAnsi="宋体"/>
          <w:sz w:val="24"/>
          <w:szCs w:val="24"/>
          <w:shd w:val="clear" w:color="auto" w:fill="FFFFFF"/>
          <w:lang w:val="en-US" w:eastAsia="zh-CN"/>
        </w:rPr>
      </w:pPr>
      <w:bookmarkStart w:id="230" w:name="_Toc152045564"/>
      <w:bookmarkStart w:id="231" w:name="_Toc144974532"/>
      <w:bookmarkStart w:id="232" w:name="_Toc152042340"/>
      <w:bookmarkStart w:id="233" w:name="_Toc179632582"/>
      <w:bookmarkStart w:id="234" w:name="_Toc2963"/>
      <w:r>
        <w:rPr>
          <w:rFonts w:hint="eastAsia" w:ascii="宋体" w:hAnsi="宋体"/>
          <w:sz w:val="24"/>
          <w:szCs w:val="24"/>
          <w:shd w:val="clear" w:color="auto" w:fill="FFFFFF"/>
          <w:lang w:val="en-US" w:eastAsia="zh-CN"/>
        </w:rPr>
        <w:t>7.2 评标原则</w:t>
      </w:r>
      <w:bookmarkEnd w:id="230"/>
      <w:bookmarkEnd w:id="231"/>
      <w:bookmarkEnd w:id="232"/>
      <w:bookmarkEnd w:id="233"/>
      <w:bookmarkEnd w:id="234"/>
      <w:r>
        <w:rPr>
          <w:rFonts w:hint="eastAsia" w:ascii="宋体" w:hAnsi="宋体"/>
          <w:sz w:val="24"/>
          <w:szCs w:val="24"/>
          <w:shd w:val="clear" w:color="auto" w:fill="FFFFFF"/>
          <w:lang w:val="en-US" w:eastAsia="zh-CN"/>
        </w:rPr>
        <w:tab/>
      </w:r>
    </w:p>
    <w:p>
      <w:pPr>
        <w:spacing w:line="360" w:lineRule="auto"/>
        <w:ind w:firstLine="480" w:firstLineChars="200"/>
        <w:contextualSpacing/>
        <w:rPr>
          <w:rFonts w:hint="eastAsia" w:ascii="宋体" w:hAnsi="宋体"/>
          <w:sz w:val="24"/>
          <w:szCs w:val="24"/>
          <w:shd w:val="clear" w:color="auto" w:fill="FFFFFF"/>
          <w:lang w:val="en-US" w:eastAsia="zh-CN"/>
        </w:rPr>
      </w:pPr>
      <w:bookmarkStart w:id="235" w:name="_Toc144974533"/>
      <w:bookmarkStart w:id="236" w:name="_Toc152045565"/>
      <w:bookmarkStart w:id="237" w:name="_Toc152042341"/>
      <w:bookmarkStart w:id="238" w:name="_Toc179632583"/>
      <w:r>
        <w:rPr>
          <w:rFonts w:hint="eastAsia" w:ascii="宋体" w:hAnsi="宋体"/>
          <w:sz w:val="24"/>
          <w:szCs w:val="24"/>
          <w:shd w:val="clear" w:color="auto" w:fill="FFFFFF"/>
          <w:lang w:val="en-US" w:eastAsia="zh-CN"/>
        </w:rPr>
        <w:t>7.2.1“客观、公正、审慎”为本次评标的基本原则，评标委员会按照这一原则的要求，公正、平等地对待各投标人。</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7.2.2评标委员会有权对整个招标过程中出现的一切问题，根据《中华人民共和国政府采购法》 及实施条例和《政府采购货物和服务招标投标管理办法》等相关规定进行处理。</w:t>
      </w:r>
    </w:p>
    <w:p>
      <w:pPr>
        <w:spacing w:line="360" w:lineRule="auto"/>
        <w:contextualSpacing/>
        <w:outlineLvl w:val="2"/>
        <w:rPr>
          <w:rFonts w:ascii="宋体" w:hAnsi="宋体"/>
          <w:sz w:val="24"/>
          <w:szCs w:val="24"/>
          <w:shd w:val="clear" w:color="auto" w:fill="FFFFFF"/>
        </w:rPr>
      </w:pPr>
      <w:bookmarkStart w:id="239" w:name="_Toc27394"/>
      <w:r>
        <w:rPr>
          <w:rFonts w:hint="eastAsia" w:ascii="宋体" w:hAnsi="宋体"/>
          <w:sz w:val="24"/>
          <w:szCs w:val="24"/>
          <w:shd w:val="clear" w:color="auto" w:fill="FFFFFF"/>
          <w:lang w:val="en-US" w:eastAsia="zh-CN"/>
        </w:rPr>
        <w:t>7</w:t>
      </w:r>
      <w:r>
        <w:rPr>
          <w:rFonts w:hint="eastAsia" w:ascii="宋体" w:hAnsi="宋体"/>
          <w:sz w:val="24"/>
          <w:szCs w:val="24"/>
          <w:shd w:val="clear" w:color="auto" w:fill="FFFFFF"/>
        </w:rPr>
        <w:t>.3 评标</w:t>
      </w:r>
      <w:bookmarkEnd w:id="235"/>
      <w:bookmarkEnd w:id="236"/>
      <w:bookmarkEnd w:id="237"/>
      <w:bookmarkEnd w:id="238"/>
      <w:bookmarkEnd w:id="239"/>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7.3.1</w:t>
      </w:r>
      <w:r>
        <w:rPr>
          <w:rFonts w:hint="eastAsia" w:ascii="宋体" w:hAnsi="宋体"/>
          <w:sz w:val="24"/>
          <w:szCs w:val="24"/>
          <w:shd w:val="clear" w:color="auto" w:fill="FFFFFF"/>
        </w:rPr>
        <w:t>评标委员会按照第三章“评标办法”规定的方法、评审因素、标准和程序对投标文件进行评审</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不含资格性审查</w:t>
      </w:r>
      <w:r>
        <w:rPr>
          <w:rFonts w:hint="eastAsia" w:ascii="宋体" w:hAnsi="宋体"/>
          <w:sz w:val="24"/>
          <w:szCs w:val="24"/>
          <w:shd w:val="clear" w:color="auto" w:fill="FFFFFF"/>
          <w:lang w:eastAsia="zh-CN"/>
        </w:rPr>
        <w:t>）</w:t>
      </w:r>
      <w:r>
        <w:rPr>
          <w:rFonts w:hint="eastAsia" w:ascii="宋体" w:hAnsi="宋体"/>
          <w:sz w:val="24"/>
          <w:szCs w:val="24"/>
          <w:shd w:val="clear" w:color="auto" w:fill="FFFFFF"/>
        </w:rPr>
        <w:t>。第三章“评标办法”没有规定的方法、评审因素和标准，不作为评标依据。</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7.3.2评标委员会成员应当履行下列义务：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（1）遵纪守法，客观、公正、廉洁地履行职责；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（2）根据</w:t>
      </w:r>
      <w:r>
        <w:rPr>
          <w:rFonts w:hint="eastAsia" w:ascii="宋体" w:hAnsi="宋体" w:eastAsia="宋体" w:cs="宋体"/>
          <w:kern w:val="2"/>
          <w:sz w:val="24"/>
          <w:szCs w:val="24"/>
          <w:lang w:val="en-US" w:eastAsia="zh-CN"/>
        </w:rPr>
        <w:t>招标</w:t>
      </w:r>
      <w:r>
        <w:rPr>
          <w:rFonts w:hint="eastAsia" w:ascii="宋体" w:hAnsi="宋体"/>
          <w:sz w:val="24"/>
          <w:szCs w:val="24"/>
          <w:shd w:val="clear" w:color="auto" w:fill="FFFFFF"/>
          <w:lang w:val="en-US" w:eastAsia="zh-CN"/>
        </w:rPr>
        <w:t xml:space="preserve">文件的规定独立进行评审，对个人的评审意见承担法律责任；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（3）参与评标报告的起草；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（4）配合采购人、采购代理机构答复供应商提出的质疑；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（5）配合投诉处理和监督检查工作。</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7.3.3采购代理机构负责组织评标工作并履行下列职责： </w:t>
      </w:r>
    </w:p>
    <w:p>
      <w:pPr>
        <w:spacing w:line="360" w:lineRule="auto"/>
        <w:ind w:firstLine="480" w:firstLineChars="200"/>
        <w:contextualSpacing/>
        <w:rPr>
          <w:rFonts w:hint="default"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（1）核对评审专家身份；</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（2）开启录音录像设备并宣布评标纪律；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（3）公布投标人名单，告知评标专家应当回避的情形；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（4）组织评标委员会推选评标组长；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（5）在评标期间采取必要的通讯管理措施，保证评标活动不受外界干扰；</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（6）根据评标委员会的要求介绍项目基本情况；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（7）维护评标秩序；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（8）处理与评标有关的其他事项。</w:t>
      </w:r>
    </w:p>
    <w:p>
      <w:pPr>
        <w:spacing w:line="360" w:lineRule="auto"/>
        <w:ind w:firstLine="480" w:firstLineChars="200"/>
        <w:contextualSpacing/>
        <w:rPr>
          <w:rFonts w:hint="eastAsia" w:ascii="宋体" w:hAnsi="宋体" w:eastAsia="宋体"/>
          <w:sz w:val="24"/>
          <w:szCs w:val="24"/>
          <w:shd w:val="clear" w:color="auto" w:fill="FFFFFF"/>
          <w:lang w:val="en-US" w:eastAsia="zh-CN"/>
        </w:rPr>
      </w:pPr>
      <w:r>
        <w:rPr>
          <w:rFonts w:hint="eastAsia" w:ascii="宋体" w:hAnsi="宋体"/>
          <w:sz w:val="24"/>
          <w:szCs w:val="24"/>
          <w:shd w:val="clear" w:color="auto" w:fill="FFFFFF"/>
          <w:lang w:val="en-US" w:eastAsia="zh-CN"/>
        </w:rPr>
        <w:t>7.3.4</w:t>
      </w:r>
      <w:r>
        <w:rPr>
          <w:rFonts w:hint="eastAsia" w:ascii="宋体" w:hAnsi="宋体" w:eastAsia="宋体" w:cs="宋体"/>
          <w:sz w:val="24"/>
          <w:szCs w:val="24"/>
          <w:shd w:val="clear" w:color="auto" w:fill="FFFFFF"/>
        </w:rPr>
        <w:t>是否授权评标委员会确定中标人</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rPr>
        <w:t>否，推荐的中标候选人数：3人。</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7.3.5评标过程严格保密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7.3.5.1采购人、采购代理机构应当采取必要措施，保证评标在严格保密的情况下进行。除评标现场组织人员外，采购人的其他工作人员以及与评标工作无关的人员不得进入评标现场。</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7.3.5.2有关人员对评标情况以及在评标过程中获悉的国家秘密、商业秘密负有保密责任。开标后直至授予中标人合同为止，凡属于对投标文件的审查、澄清、评价和比较的有关资料与评标有关的其他任何情况均严格保密。</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7.3.5.3评标完成后，评标委员会应当向采购人提交书面评标报告，并由采购代理机构转送。</w:t>
      </w:r>
    </w:p>
    <w:p>
      <w:pPr>
        <w:pStyle w:val="24"/>
        <w:rPr>
          <w:rFonts w:hint="default"/>
          <w:sz w:val="24"/>
          <w:szCs w:val="24"/>
          <w:lang w:val="en-US" w:eastAsia="zh-CN"/>
        </w:rPr>
      </w:pPr>
    </w:p>
    <w:p>
      <w:pPr>
        <w:pStyle w:val="45"/>
        <w:spacing w:beforeLines="100" w:line="360" w:lineRule="auto"/>
        <w:contextualSpacing/>
        <w:jc w:val="left"/>
        <w:rPr>
          <w:rFonts w:ascii="宋体" w:hAnsi="宋体" w:eastAsia="宋体"/>
          <w:sz w:val="24"/>
          <w:szCs w:val="24"/>
          <w:shd w:val="clear" w:color="auto" w:fill="FFFFFF"/>
        </w:rPr>
      </w:pPr>
      <w:bookmarkStart w:id="240" w:name="_Toc476566553"/>
      <w:bookmarkStart w:id="241" w:name="_Toc179632584"/>
      <w:bookmarkStart w:id="242" w:name="_Toc152042342"/>
      <w:bookmarkStart w:id="243" w:name="_Toc152045566"/>
      <w:bookmarkStart w:id="244" w:name="_Toc13314"/>
      <w:bookmarkStart w:id="245" w:name="_Toc325293417"/>
      <w:bookmarkStart w:id="246" w:name="_Toc144974534"/>
      <w:r>
        <w:rPr>
          <w:rFonts w:hint="eastAsia" w:ascii="宋体" w:hAnsi="宋体" w:eastAsia="宋体"/>
          <w:sz w:val="24"/>
          <w:szCs w:val="24"/>
          <w:shd w:val="clear" w:color="auto" w:fill="FFFFFF"/>
          <w:lang w:val="en-US" w:eastAsia="zh-CN"/>
        </w:rPr>
        <w:t>8</w:t>
      </w:r>
      <w:r>
        <w:rPr>
          <w:rFonts w:hint="eastAsia" w:ascii="宋体" w:hAnsi="宋体" w:eastAsia="宋体"/>
          <w:sz w:val="24"/>
          <w:szCs w:val="24"/>
          <w:shd w:val="clear" w:color="auto" w:fill="FFFFFF"/>
        </w:rPr>
        <w:t>. 合同授予</w:t>
      </w:r>
      <w:bookmarkEnd w:id="240"/>
      <w:bookmarkEnd w:id="241"/>
      <w:bookmarkEnd w:id="242"/>
      <w:bookmarkEnd w:id="243"/>
      <w:bookmarkEnd w:id="244"/>
      <w:bookmarkEnd w:id="245"/>
      <w:bookmarkEnd w:id="246"/>
    </w:p>
    <w:p>
      <w:pPr>
        <w:spacing w:line="360" w:lineRule="auto"/>
        <w:contextualSpacing/>
        <w:outlineLvl w:val="2"/>
        <w:rPr>
          <w:rFonts w:ascii="宋体" w:hAnsi="宋体"/>
          <w:sz w:val="24"/>
          <w:szCs w:val="24"/>
          <w:shd w:val="clear" w:color="auto" w:fill="FFFFFF"/>
        </w:rPr>
      </w:pPr>
      <w:bookmarkStart w:id="247" w:name="_Toc152042343"/>
      <w:bookmarkStart w:id="248" w:name="_Toc179632585"/>
      <w:bookmarkStart w:id="249" w:name="_Toc144974535"/>
      <w:bookmarkStart w:id="250" w:name="_Toc20620"/>
      <w:bookmarkStart w:id="251" w:name="_Toc152045567"/>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.1 定标方式</w:t>
      </w:r>
      <w:bookmarkEnd w:id="247"/>
      <w:bookmarkEnd w:id="248"/>
      <w:bookmarkEnd w:id="249"/>
      <w:bookmarkEnd w:id="250"/>
      <w:bookmarkEnd w:id="251"/>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除投标人须知前附表规定评标委员会直接确定中标人外，</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依据评标委员会推荐的中标候选人确定中标人，评标委员会推荐中标候选人的人数见投标人须知前附表。</w:t>
      </w:r>
    </w:p>
    <w:p>
      <w:pPr>
        <w:spacing w:line="360" w:lineRule="auto"/>
        <w:contextualSpacing/>
        <w:outlineLvl w:val="2"/>
        <w:rPr>
          <w:rFonts w:hint="eastAsia" w:ascii="宋体" w:hAnsi="宋体"/>
          <w:sz w:val="24"/>
          <w:szCs w:val="24"/>
          <w:shd w:val="clear" w:color="auto" w:fill="FFFFFF"/>
          <w:lang w:eastAsia="zh-CN"/>
        </w:rPr>
      </w:pPr>
      <w:bookmarkStart w:id="252" w:name="_Toc152045568"/>
      <w:bookmarkStart w:id="253" w:name="_Toc152042344"/>
      <w:bookmarkStart w:id="254" w:name="_Toc179632586"/>
      <w:bookmarkStart w:id="255" w:name="_Toc144974536"/>
      <w:bookmarkStart w:id="256" w:name="_Toc19456"/>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 xml:space="preserve">.2 </w:t>
      </w:r>
      <w:bookmarkEnd w:id="252"/>
      <w:bookmarkEnd w:id="253"/>
      <w:bookmarkEnd w:id="254"/>
      <w:bookmarkEnd w:id="255"/>
      <w:r>
        <w:rPr>
          <w:rFonts w:hint="eastAsia" w:ascii="宋体" w:hAnsi="宋体"/>
          <w:sz w:val="24"/>
          <w:szCs w:val="24"/>
          <w:shd w:val="clear" w:color="auto" w:fill="FFFFFF"/>
          <w:lang w:val="en-US" w:eastAsia="zh-CN"/>
        </w:rPr>
        <w:t>中标</w:t>
      </w:r>
      <w:r>
        <w:rPr>
          <w:rFonts w:hint="eastAsia" w:ascii="宋体" w:hAnsi="宋体"/>
          <w:sz w:val="24"/>
          <w:szCs w:val="24"/>
          <w:shd w:val="clear" w:color="auto" w:fill="FFFFFF"/>
          <w:lang w:eastAsia="zh-CN"/>
        </w:rPr>
        <w:t>公示</w:t>
      </w:r>
      <w:bookmarkEnd w:id="256"/>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eastAsia="zh-CN"/>
        </w:rPr>
        <w:t>采购代理机构应当在评标结束后2个工作日内将评标报告送采购人。采购人应当自收到评标报告之日起5个工作日内，在评标报告确定的中标候选人名单中按顺序确定中标人。采购代理机构应当自中标人确定之日起2个工作日内，按照</w:t>
      </w:r>
      <w:r>
        <w:rPr>
          <w:rFonts w:hint="eastAsia" w:ascii="宋体" w:hAnsi="宋体"/>
          <w:sz w:val="24"/>
          <w:szCs w:val="24"/>
          <w:shd w:val="clear" w:color="auto" w:fill="FFFFFF"/>
          <w:lang w:val="en-US" w:eastAsia="zh-CN"/>
        </w:rPr>
        <w:t>投标人</w:t>
      </w:r>
      <w:r>
        <w:rPr>
          <w:rFonts w:hint="eastAsia" w:ascii="宋体" w:hAnsi="宋体"/>
          <w:sz w:val="24"/>
          <w:szCs w:val="24"/>
          <w:shd w:val="clear" w:color="auto" w:fill="FFFFFF"/>
          <w:lang w:eastAsia="zh-CN"/>
        </w:rPr>
        <w:t>须知前附表规定的公示媒介和期限公示中标人，公示期1个工作日</w:t>
      </w:r>
      <w:r>
        <w:rPr>
          <w:rFonts w:hint="eastAsia" w:ascii="宋体" w:hAnsi="宋体"/>
          <w:sz w:val="24"/>
          <w:szCs w:val="24"/>
          <w:shd w:val="clear" w:color="auto" w:fill="FFFFFF"/>
        </w:rPr>
        <w:t>。</w:t>
      </w:r>
    </w:p>
    <w:p>
      <w:pPr>
        <w:spacing w:line="360" w:lineRule="auto"/>
        <w:contextualSpacing/>
        <w:outlineLvl w:val="2"/>
        <w:rPr>
          <w:rFonts w:hint="eastAsia" w:ascii="宋体" w:hAnsi="宋体"/>
          <w:sz w:val="24"/>
          <w:szCs w:val="24"/>
          <w:shd w:val="clear" w:color="auto" w:fill="FFFFFF"/>
        </w:rPr>
      </w:pPr>
      <w:bookmarkStart w:id="257" w:name="_Toc152042345"/>
      <w:bookmarkStart w:id="258" w:name="_Toc179632587"/>
      <w:bookmarkStart w:id="259" w:name="_Toc144974537"/>
      <w:bookmarkStart w:id="260" w:name="_Toc152045569"/>
      <w:bookmarkStart w:id="261" w:name="_Toc32607"/>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.3</w:t>
      </w:r>
      <w:bookmarkEnd w:id="257"/>
      <w:bookmarkEnd w:id="258"/>
      <w:bookmarkEnd w:id="259"/>
      <w:bookmarkEnd w:id="260"/>
      <w:bookmarkStart w:id="262" w:name="_Toc152042346"/>
      <w:bookmarkStart w:id="263" w:name="_Toc144974538"/>
      <w:bookmarkStart w:id="264" w:name="_Toc179632588"/>
      <w:bookmarkStart w:id="265" w:name="_Toc152045570"/>
      <w:r>
        <w:rPr>
          <w:rFonts w:hint="eastAsia" w:ascii="宋体" w:hAnsi="宋体"/>
          <w:sz w:val="24"/>
          <w:szCs w:val="24"/>
          <w:shd w:val="clear" w:color="auto" w:fill="FFFFFF"/>
        </w:rPr>
        <w:t>履约担保</w:t>
      </w:r>
      <w:bookmarkEnd w:id="261"/>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.3.1在签定合同前，中标人应按投标人须知前附表规定的金额、担保形式和招标文件第四章“合同条款及格式”规定的履约担保格式向</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提交履约担保。</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.3.2中标人不能按本章第</w:t>
      </w: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.3.1项要求提交履约担保的，视为放弃中标，其投标保证金不予退还，给</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造成的损失超过投标保证金数额的，中标人还应当对超过部分予以赔偿。</w:t>
      </w:r>
    </w:p>
    <w:p>
      <w:pPr>
        <w:spacing w:line="360" w:lineRule="auto"/>
        <w:contextualSpacing/>
        <w:outlineLvl w:val="2"/>
        <w:rPr>
          <w:rFonts w:ascii="宋体" w:hAnsi="宋体"/>
          <w:sz w:val="24"/>
          <w:szCs w:val="24"/>
          <w:shd w:val="clear" w:color="auto" w:fill="FFFFFF"/>
        </w:rPr>
      </w:pPr>
      <w:bookmarkStart w:id="266" w:name="_Toc26944"/>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.4签订合同</w:t>
      </w:r>
      <w:bookmarkEnd w:id="262"/>
      <w:bookmarkEnd w:id="263"/>
      <w:bookmarkEnd w:id="264"/>
      <w:bookmarkEnd w:id="265"/>
      <w:bookmarkEnd w:id="266"/>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w:t>
      </w:r>
      <w:r>
        <w:rPr>
          <w:rFonts w:hint="eastAsia" w:ascii="宋体" w:hAnsi="宋体"/>
          <w:sz w:val="24"/>
          <w:szCs w:val="24"/>
          <w:shd w:val="clear" w:color="auto" w:fill="FFFFFF"/>
          <w:lang w:val="en-US" w:eastAsia="zh-CN"/>
        </w:rPr>
        <w:t>4</w:t>
      </w:r>
      <w:r>
        <w:rPr>
          <w:rFonts w:hint="eastAsia" w:ascii="宋体" w:hAnsi="宋体"/>
          <w:sz w:val="24"/>
          <w:szCs w:val="24"/>
          <w:shd w:val="clear" w:color="auto" w:fill="FFFFFF"/>
        </w:rPr>
        <w:t>.1</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和中标人应当自中标通知书发出之日起30天内，根据招标文件和中标人的投标文件订立书面合同。中标人无正当理由拒签合同的，</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取消其中标资格，其投标保证金不予退还；给</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 xml:space="preserve">造成的损失超过投标保证金数额的，中标人还应当对超过部分予以赔偿。 </w:t>
      </w:r>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val="en-US" w:eastAsia="zh-CN"/>
        </w:rPr>
        <w:t>8</w:t>
      </w:r>
      <w:r>
        <w:rPr>
          <w:rFonts w:hint="eastAsia" w:ascii="宋体" w:hAnsi="宋体"/>
          <w:sz w:val="24"/>
          <w:szCs w:val="24"/>
          <w:shd w:val="clear" w:color="auto" w:fill="FFFFFF"/>
        </w:rPr>
        <w:t>.</w:t>
      </w:r>
      <w:r>
        <w:rPr>
          <w:rFonts w:hint="eastAsia" w:ascii="宋体" w:hAnsi="宋体"/>
          <w:sz w:val="24"/>
          <w:szCs w:val="24"/>
          <w:shd w:val="clear" w:color="auto" w:fill="FFFFFF"/>
          <w:lang w:val="en-US" w:eastAsia="zh-CN"/>
        </w:rPr>
        <w:t>4</w:t>
      </w:r>
      <w:r>
        <w:rPr>
          <w:rFonts w:hint="eastAsia" w:ascii="宋体" w:hAnsi="宋体"/>
          <w:sz w:val="24"/>
          <w:szCs w:val="24"/>
          <w:shd w:val="clear" w:color="auto" w:fill="FFFFFF"/>
        </w:rPr>
        <w:t>.2 发出中标通知书后，</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无正当理由拒签合同的，</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向中标人退还投标保证金；给中标人造成损失的，还应当赔偿损失。</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与中标人签订合同后</w:t>
      </w:r>
      <w:r>
        <w:rPr>
          <w:rFonts w:ascii="宋体" w:hAnsi="宋体"/>
          <w:sz w:val="24"/>
          <w:szCs w:val="24"/>
          <w:shd w:val="clear" w:color="auto" w:fill="FFFFFF"/>
        </w:rPr>
        <w:t>5</w:t>
      </w:r>
      <w:r>
        <w:rPr>
          <w:rFonts w:hint="eastAsia" w:ascii="宋体" w:hAnsi="宋体"/>
          <w:sz w:val="24"/>
          <w:szCs w:val="24"/>
          <w:shd w:val="clear" w:color="auto" w:fill="FFFFFF"/>
        </w:rPr>
        <w:t>个工作日内，向未中标的投标人和中标人退还投标保证金。</w:t>
      </w:r>
      <w:bookmarkStart w:id="267" w:name="_Toc325293418"/>
      <w:bookmarkStart w:id="268" w:name="_Toc179632589"/>
      <w:bookmarkStart w:id="269" w:name="_Toc144974539"/>
      <w:bookmarkStart w:id="270" w:name="_Toc152045571"/>
      <w:bookmarkStart w:id="271" w:name="_Toc152042347"/>
    </w:p>
    <w:p>
      <w:pPr>
        <w:pStyle w:val="45"/>
        <w:spacing w:beforeLines="100" w:line="360" w:lineRule="auto"/>
        <w:contextualSpacing/>
        <w:jc w:val="left"/>
        <w:rPr>
          <w:rFonts w:hint="default" w:ascii="宋体" w:hAnsi="宋体" w:eastAsia="宋体"/>
          <w:sz w:val="24"/>
          <w:szCs w:val="24"/>
          <w:shd w:val="clear" w:color="auto" w:fill="FFFFFF"/>
          <w:lang w:val="en-US" w:eastAsia="zh-CN"/>
        </w:rPr>
      </w:pPr>
      <w:bookmarkStart w:id="272" w:name="_Toc476566554"/>
      <w:bookmarkStart w:id="273" w:name="_Toc21"/>
      <w:r>
        <w:rPr>
          <w:rFonts w:hint="eastAsia" w:ascii="宋体" w:hAnsi="宋体" w:eastAsia="宋体"/>
          <w:sz w:val="24"/>
          <w:szCs w:val="24"/>
          <w:shd w:val="clear" w:color="auto" w:fill="FFFFFF"/>
          <w:lang w:val="en-US" w:eastAsia="zh-CN"/>
        </w:rPr>
        <w:t>9</w:t>
      </w:r>
      <w:r>
        <w:rPr>
          <w:rFonts w:hint="eastAsia" w:ascii="宋体" w:hAnsi="宋体" w:eastAsia="宋体"/>
          <w:sz w:val="24"/>
          <w:szCs w:val="24"/>
          <w:shd w:val="clear" w:color="auto" w:fill="FFFFFF"/>
        </w:rPr>
        <w:t>. 重新招标</w:t>
      </w:r>
      <w:bookmarkEnd w:id="267"/>
      <w:bookmarkEnd w:id="268"/>
      <w:bookmarkEnd w:id="269"/>
      <w:bookmarkEnd w:id="270"/>
      <w:bookmarkEnd w:id="271"/>
      <w:bookmarkEnd w:id="272"/>
      <w:r>
        <w:rPr>
          <w:rFonts w:hint="eastAsia" w:ascii="宋体" w:hAnsi="宋体" w:eastAsia="宋体"/>
          <w:sz w:val="24"/>
          <w:szCs w:val="24"/>
          <w:shd w:val="clear" w:color="auto" w:fill="FFFFFF"/>
          <w:lang w:val="en-US" w:eastAsia="zh-CN"/>
        </w:rPr>
        <w:t>和废标</w:t>
      </w:r>
      <w:bookmarkEnd w:id="273"/>
    </w:p>
    <w:p>
      <w:pPr>
        <w:spacing w:line="360" w:lineRule="auto"/>
        <w:contextualSpacing/>
        <w:outlineLvl w:val="2"/>
        <w:rPr>
          <w:rFonts w:ascii="宋体" w:hAnsi="宋体"/>
          <w:sz w:val="24"/>
          <w:szCs w:val="24"/>
          <w:shd w:val="clear" w:color="auto" w:fill="FFFFFF"/>
        </w:rPr>
      </w:pPr>
      <w:bookmarkStart w:id="274" w:name="_Toc179632590"/>
      <w:bookmarkStart w:id="275" w:name="_Toc144974540"/>
      <w:bookmarkStart w:id="276" w:name="_Toc152042348"/>
      <w:bookmarkStart w:id="277" w:name="_Toc152045572"/>
      <w:bookmarkStart w:id="278" w:name="_Toc23774"/>
      <w:r>
        <w:rPr>
          <w:rFonts w:hint="eastAsia" w:ascii="宋体" w:hAnsi="宋体"/>
          <w:sz w:val="24"/>
          <w:szCs w:val="24"/>
          <w:shd w:val="clear" w:color="auto" w:fill="FFFFFF"/>
          <w:lang w:val="en-US" w:eastAsia="zh-CN"/>
        </w:rPr>
        <w:t>9</w:t>
      </w:r>
      <w:r>
        <w:rPr>
          <w:rFonts w:hint="eastAsia" w:ascii="宋体" w:hAnsi="宋体"/>
          <w:sz w:val="24"/>
          <w:szCs w:val="24"/>
          <w:shd w:val="clear" w:color="auto" w:fill="FFFFFF"/>
        </w:rPr>
        <w:t>.1 重新招标</w:t>
      </w:r>
      <w:bookmarkEnd w:id="274"/>
      <w:bookmarkEnd w:id="275"/>
      <w:bookmarkEnd w:id="276"/>
      <w:bookmarkEnd w:id="277"/>
      <w:bookmarkEnd w:id="278"/>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有下列情形之一的，</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将重新招标：</w:t>
      </w:r>
    </w:p>
    <w:p>
      <w:pPr>
        <w:spacing w:line="360" w:lineRule="auto"/>
        <w:ind w:firstLine="410" w:firstLineChars="171"/>
        <w:contextualSpacing/>
        <w:rPr>
          <w:rFonts w:ascii="宋体" w:hAnsi="宋体"/>
          <w:sz w:val="24"/>
          <w:szCs w:val="24"/>
          <w:shd w:val="clear" w:color="auto" w:fill="FFFFFF"/>
        </w:rPr>
      </w:pPr>
      <w:r>
        <w:rPr>
          <w:rFonts w:hint="eastAsia" w:ascii="宋体" w:hAnsi="宋体"/>
          <w:sz w:val="24"/>
          <w:szCs w:val="24"/>
          <w:shd w:val="clear" w:color="auto" w:fill="FFFFFF"/>
        </w:rPr>
        <w:t>（1）投标截止时间止，投标人少于3个的；</w:t>
      </w:r>
    </w:p>
    <w:p>
      <w:pPr>
        <w:spacing w:line="360" w:lineRule="auto"/>
        <w:ind w:firstLine="410" w:firstLineChars="171"/>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（2）法律法规规定的其他的重新招标的情形。</w:t>
      </w:r>
    </w:p>
    <w:p>
      <w:pPr>
        <w:spacing w:line="360" w:lineRule="auto"/>
        <w:contextualSpacing/>
        <w:outlineLvl w:val="2"/>
        <w:rPr>
          <w:rFonts w:hint="eastAsia" w:ascii="宋体" w:hAnsi="宋体"/>
          <w:sz w:val="24"/>
          <w:szCs w:val="24"/>
          <w:shd w:val="clear" w:color="auto" w:fill="FFFFFF"/>
          <w:lang w:val="en-US" w:eastAsia="zh-CN"/>
        </w:rPr>
      </w:pPr>
      <w:bookmarkStart w:id="279" w:name="_Toc18073"/>
      <w:r>
        <w:rPr>
          <w:rFonts w:hint="eastAsia" w:ascii="宋体" w:hAnsi="宋体"/>
          <w:sz w:val="24"/>
          <w:szCs w:val="24"/>
          <w:shd w:val="clear" w:color="auto" w:fill="FFFFFF"/>
          <w:lang w:val="en-US" w:eastAsia="zh-CN"/>
        </w:rPr>
        <w:t>9.2废标</w:t>
      </w:r>
      <w:bookmarkEnd w:id="279"/>
    </w:p>
    <w:p>
      <w:pPr>
        <w:spacing w:line="360" w:lineRule="auto"/>
        <w:ind w:firstLine="410" w:firstLineChars="171"/>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（1）符合专业条件的投标人或者对招标文件作实质响应的投标人不足 3 家的； </w:t>
      </w:r>
    </w:p>
    <w:p>
      <w:pPr>
        <w:spacing w:line="360" w:lineRule="auto"/>
        <w:ind w:firstLine="410" w:firstLineChars="171"/>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（2）出现影响采购公正的违法、违规行为的； </w:t>
      </w:r>
    </w:p>
    <w:p>
      <w:pPr>
        <w:spacing w:line="360" w:lineRule="auto"/>
        <w:ind w:firstLine="410" w:firstLineChars="171"/>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（3）因重大变故，采购任务取消的</w:t>
      </w:r>
    </w:p>
    <w:p>
      <w:pPr>
        <w:pStyle w:val="45"/>
        <w:spacing w:beforeLines="100" w:line="360" w:lineRule="auto"/>
        <w:contextualSpacing/>
        <w:jc w:val="left"/>
        <w:rPr>
          <w:rFonts w:ascii="宋体" w:hAnsi="宋体" w:eastAsia="宋体"/>
          <w:sz w:val="24"/>
          <w:szCs w:val="24"/>
          <w:shd w:val="clear" w:color="auto" w:fill="FFFFFF"/>
        </w:rPr>
      </w:pPr>
      <w:bookmarkStart w:id="280" w:name="_Toc144974542"/>
      <w:bookmarkStart w:id="281" w:name="_Toc7508"/>
      <w:bookmarkStart w:id="282" w:name="_Toc152045574"/>
      <w:bookmarkStart w:id="283" w:name="_Toc179632592"/>
      <w:bookmarkStart w:id="284" w:name="_Toc325293419"/>
      <w:bookmarkStart w:id="285" w:name="_Toc476566555"/>
      <w:bookmarkStart w:id="286" w:name="_Toc152042350"/>
      <w:r>
        <w:rPr>
          <w:rFonts w:hint="eastAsia" w:ascii="宋体" w:hAnsi="宋体" w:eastAsia="宋体"/>
          <w:sz w:val="24"/>
          <w:szCs w:val="24"/>
          <w:shd w:val="clear" w:color="auto" w:fill="FFFFFF"/>
          <w:lang w:val="en-US" w:eastAsia="zh-CN"/>
        </w:rPr>
        <w:t>10</w:t>
      </w:r>
      <w:r>
        <w:rPr>
          <w:rFonts w:hint="eastAsia" w:ascii="宋体" w:hAnsi="宋体" w:eastAsia="宋体"/>
          <w:sz w:val="24"/>
          <w:szCs w:val="24"/>
          <w:shd w:val="clear" w:color="auto" w:fill="FFFFFF"/>
        </w:rPr>
        <w:t>. 纪律和监督</w:t>
      </w:r>
      <w:bookmarkEnd w:id="280"/>
      <w:bookmarkEnd w:id="281"/>
      <w:bookmarkEnd w:id="282"/>
      <w:bookmarkEnd w:id="283"/>
      <w:bookmarkEnd w:id="284"/>
      <w:bookmarkEnd w:id="285"/>
      <w:bookmarkEnd w:id="286"/>
    </w:p>
    <w:p>
      <w:pPr>
        <w:spacing w:line="360" w:lineRule="auto"/>
        <w:contextualSpacing/>
        <w:outlineLvl w:val="2"/>
        <w:rPr>
          <w:rFonts w:ascii="宋体" w:hAnsi="宋体"/>
          <w:sz w:val="24"/>
          <w:szCs w:val="24"/>
          <w:shd w:val="clear" w:color="auto" w:fill="FFFFFF"/>
        </w:rPr>
      </w:pPr>
      <w:bookmarkStart w:id="287" w:name="_Toc152045575"/>
      <w:bookmarkStart w:id="288" w:name="_Toc179632593"/>
      <w:bookmarkStart w:id="289" w:name="_Toc144974543"/>
      <w:bookmarkStart w:id="290" w:name="_Toc24788"/>
      <w:bookmarkStart w:id="291" w:name="_Toc152042351"/>
      <w:r>
        <w:rPr>
          <w:rFonts w:hint="eastAsia" w:ascii="宋体" w:hAnsi="宋体"/>
          <w:sz w:val="24"/>
          <w:szCs w:val="24"/>
          <w:shd w:val="clear" w:color="auto" w:fill="FFFFFF"/>
          <w:lang w:val="en-US" w:eastAsia="zh-CN"/>
        </w:rPr>
        <w:t>10</w:t>
      </w:r>
      <w:r>
        <w:rPr>
          <w:rFonts w:hint="eastAsia" w:ascii="宋体" w:hAnsi="宋体"/>
          <w:sz w:val="24"/>
          <w:szCs w:val="24"/>
          <w:shd w:val="clear" w:color="auto" w:fill="FFFFFF"/>
        </w:rPr>
        <w:t>.1 对</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的纪律要求</w:t>
      </w:r>
      <w:bookmarkEnd w:id="287"/>
      <w:bookmarkEnd w:id="288"/>
      <w:bookmarkEnd w:id="289"/>
      <w:bookmarkEnd w:id="290"/>
      <w:bookmarkEnd w:id="291"/>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不得泄漏招标投标活动中应当保密的情况和资料，不得与投标人串通损害国家利益、社会公共利益或者他人合法权益。</w:t>
      </w:r>
    </w:p>
    <w:p>
      <w:pPr>
        <w:spacing w:line="360" w:lineRule="auto"/>
        <w:contextualSpacing/>
        <w:outlineLvl w:val="2"/>
        <w:rPr>
          <w:rFonts w:ascii="宋体" w:hAnsi="宋体"/>
          <w:sz w:val="24"/>
          <w:szCs w:val="24"/>
          <w:shd w:val="clear" w:color="auto" w:fill="FFFFFF"/>
        </w:rPr>
      </w:pPr>
      <w:bookmarkStart w:id="292" w:name="_Toc152045576"/>
      <w:bookmarkStart w:id="293" w:name="_Toc144974544"/>
      <w:bookmarkStart w:id="294" w:name="_Toc152042352"/>
      <w:bookmarkStart w:id="295" w:name="_Toc179632594"/>
      <w:bookmarkStart w:id="296" w:name="_Toc29933"/>
      <w:r>
        <w:rPr>
          <w:rFonts w:hint="eastAsia" w:ascii="宋体" w:hAnsi="宋体"/>
          <w:sz w:val="24"/>
          <w:szCs w:val="24"/>
          <w:shd w:val="clear" w:color="auto" w:fill="FFFFFF"/>
          <w:lang w:val="en-US" w:eastAsia="zh-CN"/>
        </w:rPr>
        <w:t>10</w:t>
      </w:r>
      <w:r>
        <w:rPr>
          <w:rFonts w:hint="eastAsia" w:ascii="宋体" w:hAnsi="宋体"/>
          <w:sz w:val="24"/>
          <w:szCs w:val="24"/>
          <w:shd w:val="clear" w:color="auto" w:fill="FFFFFF"/>
        </w:rPr>
        <w:t>.2 对投标人的纪律要求</w:t>
      </w:r>
      <w:bookmarkEnd w:id="292"/>
      <w:bookmarkEnd w:id="293"/>
      <w:bookmarkEnd w:id="294"/>
      <w:bookmarkEnd w:id="295"/>
      <w:bookmarkEnd w:id="296"/>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投标人不得相互串通投标或者与</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串通投标，不得向</w:t>
      </w:r>
      <w:r>
        <w:rPr>
          <w:rFonts w:hint="eastAsia" w:ascii="宋体" w:hAnsi="宋体"/>
          <w:sz w:val="24"/>
          <w:szCs w:val="24"/>
          <w:shd w:val="clear" w:color="auto" w:fill="FFFFFF"/>
          <w:lang w:eastAsia="zh-CN"/>
        </w:rPr>
        <w:t>采购人</w:t>
      </w:r>
      <w:r>
        <w:rPr>
          <w:rFonts w:hint="eastAsia" w:ascii="宋体" w:hAnsi="宋体"/>
          <w:sz w:val="24"/>
          <w:szCs w:val="24"/>
          <w:shd w:val="clear" w:color="auto" w:fill="FFFFFF"/>
        </w:rPr>
        <w:t>或者评标委员会成员行贿谋取中标，不得以他人名义投标或者以其他方式弄虚作假骗取中标；投标人不得以任何方式干扰、影响评标工作。</w:t>
      </w:r>
    </w:p>
    <w:p>
      <w:pPr>
        <w:spacing w:line="360" w:lineRule="auto"/>
        <w:contextualSpacing/>
        <w:outlineLvl w:val="2"/>
        <w:rPr>
          <w:rFonts w:ascii="宋体" w:hAnsi="宋体"/>
          <w:sz w:val="24"/>
          <w:szCs w:val="24"/>
          <w:shd w:val="clear" w:color="auto" w:fill="FFFFFF"/>
        </w:rPr>
      </w:pPr>
      <w:bookmarkStart w:id="297" w:name="_Toc15297"/>
      <w:bookmarkStart w:id="298" w:name="_Toc144974545"/>
      <w:bookmarkStart w:id="299" w:name="_Toc179632595"/>
      <w:bookmarkStart w:id="300" w:name="_Toc152042353"/>
      <w:bookmarkStart w:id="301" w:name="_Toc152045577"/>
      <w:r>
        <w:rPr>
          <w:rFonts w:hint="eastAsia" w:ascii="宋体" w:hAnsi="宋体"/>
          <w:sz w:val="24"/>
          <w:szCs w:val="24"/>
          <w:shd w:val="clear" w:color="auto" w:fill="FFFFFF"/>
          <w:lang w:val="en-US" w:eastAsia="zh-CN"/>
        </w:rPr>
        <w:t>10</w:t>
      </w:r>
      <w:r>
        <w:rPr>
          <w:rFonts w:hint="eastAsia" w:ascii="宋体" w:hAnsi="宋体"/>
          <w:sz w:val="24"/>
          <w:szCs w:val="24"/>
          <w:shd w:val="clear" w:color="auto" w:fill="FFFFFF"/>
        </w:rPr>
        <w:t>.3 对评标委员会成员的纪律要求</w:t>
      </w:r>
      <w:bookmarkEnd w:id="297"/>
      <w:bookmarkEnd w:id="298"/>
      <w:bookmarkEnd w:id="299"/>
      <w:bookmarkEnd w:id="300"/>
      <w:bookmarkEnd w:id="301"/>
    </w:p>
    <w:p>
      <w:pPr>
        <w:spacing w:line="360" w:lineRule="auto"/>
        <w:ind w:firstLine="480" w:firstLineChars="200"/>
        <w:contextualSpacing/>
        <w:rPr>
          <w:rFonts w:ascii="宋体" w:hAnsi="宋体"/>
          <w:sz w:val="24"/>
          <w:szCs w:val="24"/>
          <w:shd w:val="clear" w:color="auto" w:fill="FFFFFF"/>
        </w:rPr>
      </w:pPr>
      <w:r>
        <w:rPr>
          <w:rFonts w:hint="eastAsia" w:ascii="宋体" w:hAnsi="宋体"/>
          <w:sz w:val="24"/>
          <w:szCs w:val="24"/>
          <w:shd w:val="clear" w:color="auto" w:fill="FFFFFF"/>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spacing w:line="360" w:lineRule="auto"/>
        <w:contextualSpacing/>
        <w:outlineLvl w:val="2"/>
        <w:rPr>
          <w:rFonts w:ascii="宋体" w:hAnsi="宋体"/>
          <w:sz w:val="24"/>
          <w:szCs w:val="24"/>
          <w:shd w:val="clear" w:color="auto" w:fill="FFFFFF"/>
        </w:rPr>
      </w:pPr>
      <w:bookmarkStart w:id="302" w:name="_Toc179632596"/>
      <w:bookmarkStart w:id="303" w:name="_Toc16666"/>
      <w:bookmarkStart w:id="304" w:name="_Toc152045578"/>
      <w:bookmarkStart w:id="305" w:name="_Toc152042354"/>
      <w:bookmarkStart w:id="306" w:name="_Toc144974546"/>
      <w:r>
        <w:rPr>
          <w:rFonts w:hint="eastAsia" w:ascii="宋体" w:hAnsi="宋体"/>
          <w:sz w:val="24"/>
          <w:szCs w:val="24"/>
          <w:shd w:val="clear" w:color="auto" w:fill="FFFFFF"/>
          <w:lang w:val="en-US" w:eastAsia="zh-CN"/>
        </w:rPr>
        <w:t>10</w:t>
      </w:r>
      <w:r>
        <w:rPr>
          <w:rFonts w:hint="eastAsia" w:ascii="宋体" w:hAnsi="宋体"/>
          <w:sz w:val="24"/>
          <w:szCs w:val="24"/>
          <w:shd w:val="clear" w:color="auto" w:fill="FFFFFF"/>
        </w:rPr>
        <w:t>.4 对与评标活动有关的工作人员的纪律要求</w:t>
      </w:r>
      <w:bookmarkEnd w:id="302"/>
      <w:bookmarkEnd w:id="303"/>
      <w:bookmarkEnd w:id="304"/>
      <w:bookmarkEnd w:id="305"/>
    </w:p>
    <w:p>
      <w:pPr>
        <w:spacing w:line="360" w:lineRule="auto"/>
        <w:ind w:firstLine="480" w:firstLineChars="200"/>
        <w:contextualSpacing/>
        <w:rPr>
          <w:rFonts w:ascii="宋体" w:hAnsi="宋体"/>
          <w:sz w:val="24"/>
          <w:szCs w:val="24"/>
          <w:shd w:val="clear" w:color="auto" w:fill="FFFFFF"/>
        </w:rPr>
      </w:pPr>
      <w:bookmarkStart w:id="307" w:name="_Toc152042355"/>
      <w:r>
        <w:rPr>
          <w:rFonts w:hint="eastAsia" w:ascii="宋体" w:hAnsi="宋体"/>
          <w:sz w:val="24"/>
          <w:szCs w:val="24"/>
          <w:shd w:val="clear" w:color="auto" w:fill="FFFFFF"/>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07"/>
    </w:p>
    <w:bookmarkEnd w:id="306"/>
    <w:p>
      <w:pPr>
        <w:pStyle w:val="45"/>
        <w:spacing w:beforeLines="100" w:line="360" w:lineRule="auto"/>
        <w:contextualSpacing/>
        <w:jc w:val="left"/>
        <w:rPr>
          <w:rFonts w:hint="default" w:ascii="宋体" w:hAnsi="宋体" w:eastAsia="宋体"/>
          <w:sz w:val="24"/>
          <w:szCs w:val="24"/>
          <w:shd w:val="clear" w:color="auto" w:fill="FFFFFF"/>
          <w:lang w:val="en-US" w:eastAsia="zh-CN"/>
        </w:rPr>
      </w:pPr>
      <w:bookmarkStart w:id="308" w:name="_Toc14854"/>
      <w:bookmarkStart w:id="309" w:name="_Toc144974547"/>
      <w:bookmarkStart w:id="310" w:name="_Toc325293420"/>
      <w:bookmarkStart w:id="311" w:name="_Toc152042357"/>
      <w:bookmarkStart w:id="312" w:name="_Toc179632598"/>
      <w:bookmarkStart w:id="313" w:name="_Toc476566556"/>
      <w:bookmarkStart w:id="314" w:name="_Toc152045580"/>
      <w:r>
        <w:rPr>
          <w:rFonts w:hint="eastAsia" w:ascii="宋体" w:hAnsi="宋体" w:eastAsia="宋体"/>
          <w:sz w:val="24"/>
          <w:szCs w:val="24"/>
          <w:shd w:val="clear" w:color="auto" w:fill="FFFFFF"/>
          <w:lang w:val="en-US" w:eastAsia="zh-CN"/>
        </w:rPr>
        <w:t>11.质疑与投诉</w:t>
      </w:r>
      <w:bookmarkEnd w:id="308"/>
    </w:p>
    <w:p>
      <w:pPr>
        <w:keepNext w:val="0"/>
        <w:keepLines w:val="0"/>
        <w:widowControl/>
        <w:suppressLineNumbers w:val="0"/>
        <w:jc w:val="left"/>
        <w:outlineLvl w:val="2"/>
        <w:rPr>
          <w:sz w:val="24"/>
          <w:szCs w:val="24"/>
        </w:rPr>
      </w:pPr>
      <w:bookmarkStart w:id="315" w:name="_Toc12555"/>
      <w:r>
        <w:rPr>
          <w:rFonts w:hint="eastAsia" w:ascii="宋体" w:hAnsi="宋体" w:eastAsia="宋体" w:cs="宋体"/>
          <w:b/>
          <w:bCs/>
          <w:color w:val="000000"/>
          <w:kern w:val="0"/>
          <w:sz w:val="24"/>
          <w:szCs w:val="24"/>
          <w:lang w:val="en-US" w:eastAsia="zh-CN" w:bidi="ar"/>
        </w:rPr>
        <w:t>11.1质疑</w:t>
      </w:r>
      <w:bookmarkEnd w:id="315"/>
      <w:r>
        <w:rPr>
          <w:rFonts w:hint="eastAsia" w:ascii="宋体" w:hAnsi="宋体" w:eastAsia="宋体" w:cs="宋体"/>
          <w:b/>
          <w:bCs/>
          <w:color w:val="000000"/>
          <w:kern w:val="0"/>
          <w:sz w:val="24"/>
          <w:szCs w:val="24"/>
          <w:lang w:val="en-US" w:eastAsia="zh-CN" w:bidi="ar"/>
        </w:rPr>
        <w:t xml:space="preserve">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11.1.1如投标人对本次采购活动有疑问，认为需要提出质疑和投诉的，应当按照《政府采购质疑投诉办法》（财政部 94 号令）的有关规定办理。 </w:t>
      </w:r>
    </w:p>
    <w:p>
      <w:pPr>
        <w:spacing w:line="360" w:lineRule="auto"/>
        <w:ind w:firstLine="480" w:firstLineChars="200"/>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11.1.2投标人对采购文件（招标文件）、采购过程或中标结果使自身的合法权益受到损害，应当法定期限内 （7 个工作日内），按照质疑函范本格式要求以书面形式向采购代理机构或采购人提出质疑，并附必要的证明材料。 </w:t>
      </w:r>
    </w:p>
    <w:p>
      <w:pPr>
        <w:spacing w:line="360" w:lineRule="auto"/>
        <w:ind w:firstLine="480" w:firstLineChars="200"/>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11.1.3质疑函应当包括下列内容：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（1）投标人的姓名或者名称、地址、邮编、联系人及联系电话；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（2）质疑项目的名称、编号；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（3）具体、明确的质疑事项和与质疑事项相关的请求；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（4）事实依据；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（5）必要的法律依据； </w:t>
      </w:r>
    </w:p>
    <w:p>
      <w:pPr>
        <w:spacing w:line="360" w:lineRule="auto"/>
        <w:contextualSpacing/>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（6）提出质疑的日期。 </w:t>
      </w:r>
    </w:p>
    <w:p>
      <w:pPr>
        <w:spacing w:line="360" w:lineRule="auto"/>
        <w:contextualSpacing/>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投标人为自然人的，应当由本人签名；投标人为法人或者其他组织的，应当由法定代表人、主要负责人，或者其授权代表签名或者盖章，并加盖单位章。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11.1.4质疑人可以委托代理人办理质疑事项，代理人办理质疑事项时，除提交质疑函外，还应当提交质疑人的营业执照或法人证书复印件和授权委托书及代理人的有效身份证明，授权委托书应当载明委托代理的具体权限期限和相关事项。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11.1.5质疑函范本格式在中国政府采购网站（http://www.ccgp.gov.cn/）自行下载。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11.1.6接收质疑函的联系部门、联系电话和通讯地址同招标公告。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11.1.7有下列情形之一的，属于无效质疑，采购代理机构和采购人不予受理：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（1）质疑人不是参与本次政府采购项目的投标人；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（2）质疑人与质疑事项不存在利害关系的；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（3）未在法定期限内提出质疑的；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（4）质疑未以书面形式提出，以传真、电子邮件、移动通信等形式即时收悉提交的质疑材料；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（5）质疑未按质疑函范本格式提出的；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（6）质疑书没有合法有效的签名、盖章的；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（7）未提交营业执照或法人证书复印件，由授权代表签名的，未提交授权委托书；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（8）以非法手段取得证据、材料的；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（9）质疑答复后，同一质疑人就同一事项再次提出质疑的；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（10）不符合法律法规、规章和规范性文件规定的其他条件的。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11.1.8采购代理机构或采购人将在收到书面质疑后 7 个工作日内作出答复，并以书面形式通知质疑人和其他有关投标人。 </w:t>
      </w:r>
    </w:p>
    <w:p>
      <w:pPr>
        <w:keepNext w:val="0"/>
        <w:keepLines w:val="0"/>
        <w:widowControl/>
        <w:suppressLineNumbers w:val="0"/>
        <w:jc w:val="left"/>
        <w:outlineLvl w:val="2"/>
        <w:rPr>
          <w:rFonts w:hint="eastAsia" w:ascii="宋体" w:hAnsi="宋体" w:eastAsia="宋体" w:cs="宋体"/>
          <w:b/>
          <w:bCs/>
          <w:color w:val="000000"/>
          <w:kern w:val="0"/>
          <w:sz w:val="24"/>
          <w:szCs w:val="24"/>
          <w:lang w:val="en-US" w:eastAsia="zh-CN" w:bidi="ar"/>
        </w:rPr>
      </w:pPr>
      <w:bookmarkStart w:id="316" w:name="_Toc28814"/>
      <w:r>
        <w:rPr>
          <w:rFonts w:hint="eastAsia" w:ascii="宋体" w:hAnsi="宋体" w:eastAsia="宋体" w:cs="宋体"/>
          <w:b/>
          <w:bCs/>
          <w:color w:val="000000"/>
          <w:kern w:val="0"/>
          <w:sz w:val="24"/>
          <w:szCs w:val="24"/>
          <w:lang w:val="en-US" w:eastAsia="zh-CN" w:bidi="ar"/>
        </w:rPr>
        <w:t>11.2 投诉</w:t>
      </w:r>
      <w:bookmarkEnd w:id="316"/>
      <w:r>
        <w:rPr>
          <w:rFonts w:hint="eastAsia" w:ascii="宋体" w:hAnsi="宋体" w:eastAsia="宋体" w:cs="宋体"/>
          <w:b/>
          <w:bCs/>
          <w:color w:val="000000"/>
          <w:kern w:val="0"/>
          <w:sz w:val="24"/>
          <w:szCs w:val="24"/>
          <w:lang w:val="en-US" w:eastAsia="zh-CN" w:bidi="ar"/>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11.2.1 质疑人对采购代理机构或采购人的答复不满意，或者采购人、采购代理机构未在规定时间内作出答复的，可以在答复期满后 15 个工作日内财政部门）提起投诉。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11.2.2 投诉人投诉时,应当提交投诉书和必要的证明材料，并按照被投诉采购人、采购代理机构（以下简称被投诉人）和与投诉事项有关的供应商数量提供投诉书的副本。投诉书应当包括下列内容：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（1）投诉人和被投诉人的姓名或者名称、通讯地址、邮编、联系人及联系电话；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（2）质疑和质疑答复情况说明及相关证明材料；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（3）具体、明确的投诉事项和与投诉事项相关的投诉请求；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（4）事实依据；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（5）法律依据；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（6）提起投诉的日期。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投诉人为自然人的，应当由本人签名；投诉人为法人或者其他组织的，应当由法定代表人、主要负责人，或者其授权代表签名或者盖章，并加盖单位章。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11.2.3投诉书范本格式在中国政府采购网站（http://www.ccgp.gov.cn/）自行下载。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11.2.4投诉人提起投诉应当符合下列条件：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（1）提起投诉前已依法进行质疑；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（2）投诉书内容符合财政部 94 号令的规定；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（3）在投诉有效期限内提起投诉；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（4）同一投诉事项未经财政部门投诉处理；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（5）财政部规定的其他条件。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11.2.5投诉人投诉的事项不得超出已质疑事项的范围，但基于质疑答复内容提出的投诉事项除外。</w:t>
      </w:r>
    </w:p>
    <w:p>
      <w:pPr>
        <w:keepNext w:val="0"/>
        <w:keepLines w:val="0"/>
        <w:widowControl/>
        <w:suppressLineNumbers w:val="0"/>
        <w:jc w:val="left"/>
        <w:outlineLvl w:val="1"/>
        <w:rPr>
          <w:rFonts w:hint="eastAsia" w:ascii="宋体" w:hAnsi="宋体" w:eastAsia="宋体" w:cs="宋体"/>
          <w:b/>
          <w:bCs/>
          <w:color w:val="000000"/>
          <w:kern w:val="0"/>
          <w:sz w:val="24"/>
          <w:szCs w:val="24"/>
          <w:lang w:val="en-US" w:eastAsia="zh-CN" w:bidi="ar"/>
        </w:rPr>
      </w:pPr>
      <w:bookmarkStart w:id="317" w:name="_Toc9855"/>
      <w:r>
        <w:rPr>
          <w:rFonts w:hint="eastAsia" w:ascii="宋体" w:hAnsi="宋体" w:eastAsia="宋体" w:cs="宋体"/>
          <w:b/>
          <w:bCs/>
          <w:color w:val="000000"/>
          <w:kern w:val="0"/>
          <w:sz w:val="24"/>
          <w:szCs w:val="24"/>
          <w:lang w:val="en-US" w:eastAsia="zh-CN" w:bidi="ar"/>
        </w:rPr>
        <w:t>12. 需要补充的其他内容</w:t>
      </w:r>
      <w:bookmarkEnd w:id="309"/>
      <w:bookmarkEnd w:id="310"/>
      <w:bookmarkEnd w:id="311"/>
      <w:bookmarkEnd w:id="312"/>
      <w:bookmarkEnd w:id="313"/>
      <w:bookmarkEnd w:id="314"/>
      <w:bookmarkEnd w:id="317"/>
    </w:p>
    <w:p>
      <w:pPr>
        <w:spacing w:line="360" w:lineRule="auto"/>
        <w:ind w:firstLine="480" w:firstLineChars="200"/>
        <w:contextualSpacing/>
        <w:outlineLvl w:val="2"/>
        <w:rPr>
          <w:rFonts w:hint="default" w:ascii="宋体" w:hAnsi="宋体" w:eastAsiaTheme="minorEastAsia"/>
          <w:sz w:val="24"/>
          <w:szCs w:val="24"/>
          <w:shd w:val="clear" w:color="auto" w:fill="FFFFFF"/>
          <w:lang w:val="en-US" w:eastAsia="zh-CN"/>
        </w:rPr>
      </w:pPr>
      <w:bookmarkStart w:id="318" w:name="_Toc16564"/>
      <w:r>
        <w:rPr>
          <w:rFonts w:hint="eastAsia" w:ascii="宋体" w:hAnsi="宋体"/>
          <w:sz w:val="24"/>
          <w:szCs w:val="24"/>
          <w:shd w:val="clear" w:color="auto" w:fill="FFFFFF"/>
          <w:lang w:val="en-US" w:eastAsia="zh-CN"/>
        </w:rPr>
        <w:t>12.1</w:t>
      </w:r>
      <w:r>
        <w:rPr>
          <w:rFonts w:hint="eastAsia" w:ascii="宋体" w:hAnsi="宋体"/>
          <w:sz w:val="24"/>
          <w:szCs w:val="24"/>
          <w:shd w:val="clear" w:color="auto" w:fill="FFFFFF"/>
        </w:rPr>
        <w:t>需要补充的其他内容</w:t>
      </w:r>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详见投标人须知前附表。</w:t>
      </w:r>
      <w:bookmarkEnd w:id="318"/>
    </w:p>
    <w:p>
      <w:pPr>
        <w:spacing w:line="360" w:lineRule="auto"/>
        <w:ind w:firstLine="420" w:firstLineChars="200"/>
        <w:contextualSpacing/>
        <w:rPr>
          <w:rFonts w:hint="eastAsia" w:ascii="宋体" w:hAnsi="宋体" w:eastAsia="宋体" w:cs="宋体"/>
          <w:sz w:val="21"/>
          <w:szCs w:val="21"/>
          <w:highlight w:val="none"/>
          <w:shd w:val="clear" w:color="auto" w:fill="FFFFFF"/>
          <w:lang w:val="en-US" w:eastAsia="zh-CN"/>
        </w:rPr>
      </w:pPr>
    </w:p>
    <w:p>
      <w:pPr>
        <w:rPr>
          <w:rFonts w:hint="eastAsia" w:ascii="宋体" w:hAnsi="宋体"/>
          <w:shd w:val="clear" w:color="auto" w:fill="FFFFFF"/>
        </w:rPr>
      </w:pPr>
      <w:bookmarkStart w:id="319" w:name="_Toc325293424"/>
      <w:r>
        <w:rPr>
          <w:rFonts w:hint="eastAsia" w:ascii="宋体" w:hAnsi="宋体"/>
          <w:shd w:val="clear" w:color="auto" w:fill="FFFFFF"/>
        </w:rPr>
        <w:br w:type="page"/>
      </w:r>
    </w:p>
    <w:p>
      <w:pPr>
        <w:pStyle w:val="6"/>
        <w:spacing w:line="360" w:lineRule="auto"/>
        <w:contextualSpacing/>
        <w:outlineLvl w:val="0"/>
        <w:rPr>
          <w:rFonts w:ascii="宋体" w:hAnsi="宋体"/>
          <w:sz w:val="24"/>
          <w:szCs w:val="24"/>
          <w:shd w:val="clear" w:color="auto" w:fill="FFFFFF"/>
        </w:rPr>
      </w:pPr>
      <w:bookmarkStart w:id="320" w:name="_Toc12712"/>
      <w:bookmarkStart w:id="321" w:name="_Toc6662"/>
      <w:bookmarkStart w:id="322" w:name="_Toc29405"/>
      <w:r>
        <w:rPr>
          <w:rFonts w:hint="eastAsia" w:ascii="宋体" w:hAnsi="宋体"/>
          <w:sz w:val="24"/>
          <w:szCs w:val="24"/>
          <w:shd w:val="clear" w:color="auto" w:fill="FFFFFF"/>
        </w:rPr>
        <w:t>附件一：开标记录表</w:t>
      </w:r>
      <w:bookmarkEnd w:id="319"/>
      <w:bookmarkEnd w:id="320"/>
      <w:bookmarkEnd w:id="321"/>
      <w:bookmarkEnd w:id="322"/>
    </w:p>
    <w:p>
      <w:pPr>
        <w:spacing w:line="360" w:lineRule="auto"/>
        <w:contextualSpacing/>
        <w:jc w:val="center"/>
        <w:rPr>
          <w:rFonts w:hint="eastAsia" w:ascii="宋体" w:hAnsi="宋体"/>
          <w:sz w:val="24"/>
          <w:szCs w:val="24"/>
          <w:shd w:val="clear" w:color="auto" w:fill="FFFFFF"/>
        </w:rPr>
      </w:pPr>
    </w:p>
    <w:p>
      <w:pPr>
        <w:spacing w:line="360" w:lineRule="auto"/>
        <w:contextualSpacing/>
        <w:jc w:val="center"/>
        <w:rPr>
          <w:rFonts w:ascii="宋体" w:hAnsi="宋体"/>
          <w:sz w:val="24"/>
          <w:szCs w:val="24"/>
          <w:shd w:val="clear" w:color="auto" w:fill="FFFFFF"/>
        </w:rPr>
      </w:pPr>
      <w:r>
        <w:rPr>
          <w:rFonts w:hint="eastAsia" w:ascii="宋体" w:hAnsi="宋体"/>
          <w:sz w:val="24"/>
          <w:szCs w:val="24"/>
          <w:shd w:val="clear" w:color="auto" w:fill="FFFFFF"/>
        </w:rPr>
        <w:t>开标记录表</w:t>
      </w:r>
    </w:p>
    <w:p>
      <w:pPr>
        <w:keepNext w:val="0"/>
        <w:keepLines w:val="0"/>
        <w:pageBreakBefore w:val="0"/>
        <w:widowControl w:val="0"/>
        <w:kinsoku/>
        <w:wordWrap/>
        <w:overflowPunct/>
        <w:topLinePunct w:val="0"/>
        <w:autoSpaceDE/>
        <w:autoSpaceDN/>
        <w:bidi w:val="0"/>
        <w:adjustRightInd/>
        <w:snapToGrid/>
        <w:spacing w:line="240" w:lineRule="auto"/>
        <w:ind w:right="0"/>
        <w:contextualSpacing/>
        <w:jc w:val="left"/>
        <w:textAlignment w:val="auto"/>
        <w:rPr>
          <w:rFonts w:hint="default"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 xml:space="preserve">项目名称：                                            </w:t>
      </w:r>
      <w:r>
        <w:rPr>
          <w:rFonts w:hint="eastAsia" w:ascii="宋体" w:hAnsi="宋体"/>
          <w:sz w:val="24"/>
          <w:szCs w:val="24"/>
          <w:shd w:val="clear" w:color="auto" w:fill="FFFFFF"/>
          <w:lang w:eastAsia="zh-CN"/>
        </w:rPr>
        <w:t>项目编号</w:t>
      </w:r>
      <w:r>
        <w:rPr>
          <w:rFonts w:hint="eastAsia" w:ascii="宋体" w:hAnsi="宋体"/>
          <w:sz w:val="24"/>
          <w:szCs w:val="24"/>
          <w:shd w:val="clear" w:color="auto" w:fill="FFFFFF"/>
        </w:rPr>
        <w:t>：</w:t>
      </w:r>
    </w:p>
    <w:p>
      <w:pPr>
        <w:keepNext w:val="0"/>
        <w:keepLines w:val="0"/>
        <w:pageBreakBefore w:val="0"/>
        <w:widowControl w:val="0"/>
        <w:kinsoku/>
        <w:wordWrap/>
        <w:overflowPunct/>
        <w:topLinePunct w:val="0"/>
        <w:autoSpaceDE/>
        <w:autoSpaceDN/>
        <w:bidi w:val="0"/>
        <w:adjustRightInd/>
        <w:snapToGrid/>
        <w:spacing w:line="240" w:lineRule="auto"/>
        <w:ind w:right="0"/>
        <w:contextualSpacing/>
        <w:jc w:val="left"/>
        <w:textAlignment w:val="auto"/>
        <w:rPr>
          <w:rFonts w:ascii="宋体" w:hAnsi="宋体"/>
          <w:sz w:val="24"/>
          <w:szCs w:val="24"/>
          <w:shd w:val="clear" w:color="auto" w:fill="FFFFFF"/>
        </w:rPr>
      </w:pPr>
      <w:r>
        <w:rPr>
          <w:rFonts w:hint="eastAsia" w:ascii="宋体" w:hAnsi="宋体"/>
          <w:sz w:val="24"/>
          <w:szCs w:val="24"/>
          <w:shd w:val="clear" w:color="auto" w:fill="FFFFFF"/>
          <w:lang w:val="en-US" w:eastAsia="zh-CN"/>
        </w:rPr>
        <w:t>标段名称</w:t>
      </w:r>
      <w:r>
        <w:rPr>
          <w:rFonts w:hint="eastAsia" w:ascii="宋体" w:hAnsi="宋体"/>
          <w:sz w:val="24"/>
          <w:szCs w:val="24"/>
          <w:shd w:val="clear" w:color="auto" w:fill="FFFFFF"/>
        </w:rPr>
        <w:t xml:space="preserve">：           </w:t>
      </w:r>
      <w:r>
        <w:rPr>
          <w:rFonts w:hint="eastAsia" w:ascii="宋体" w:hAnsi="宋体"/>
          <w:sz w:val="24"/>
          <w:szCs w:val="24"/>
          <w:shd w:val="clear" w:color="auto" w:fill="FFFFFF"/>
          <w:lang w:val="en-US" w:eastAsia="zh-CN"/>
        </w:rPr>
        <w:t xml:space="preserve">                                 标段编号：                          </w:t>
      </w:r>
      <w:r>
        <w:rPr>
          <w:rFonts w:hint="eastAsia" w:ascii="宋体" w:hAnsi="宋体"/>
          <w:sz w:val="24"/>
          <w:szCs w:val="24"/>
          <w:shd w:val="clear" w:color="auto" w:fill="FFFFFF"/>
        </w:rPr>
        <w:t xml:space="preserve">            </w:t>
      </w:r>
    </w:p>
    <w:tbl>
      <w:tblPr>
        <w:tblStyle w:val="25"/>
        <w:tblpPr w:leftFromText="180" w:rightFromText="180" w:vertAnchor="text" w:horzAnchor="margin" w:tblpXSpec="center" w:tblpY="138"/>
        <w:tblW w:w="10658" w:type="dxa"/>
        <w:tblInd w:w="-13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971"/>
        <w:gridCol w:w="1258"/>
        <w:gridCol w:w="1276"/>
        <w:gridCol w:w="1512"/>
        <w:gridCol w:w="1540"/>
        <w:gridCol w:w="827"/>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807"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ascii="宋体" w:hAnsi="宋体"/>
                <w:sz w:val="24"/>
                <w:szCs w:val="24"/>
                <w:shd w:val="clear" w:color="auto" w:fill="FFFFFF"/>
              </w:rPr>
            </w:pPr>
            <w:r>
              <w:rPr>
                <w:rFonts w:hint="eastAsia" w:ascii="宋体" w:hAnsi="宋体"/>
                <w:sz w:val="24"/>
                <w:szCs w:val="24"/>
                <w:shd w:val="clear" w:color="auto" w:fill="FFFFFF"/>
              </w:rPr>
              <w:t>序号</w:t>
            </w:r>
          </w:p>
        </w:tc>
        <w:tc>
          <w:tcPr>
            <w:tcW w:w="1971"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ascii="宋体" w:hAnsi="宋体"/>
                <w:sz w:val="24"/>
                <w:szCs w:val="24"/>
                <w:shd w:val="clear" w:color="auto" w:fill="FFFFFF"/>
              </w:rPr>
            </w:pPr>
            <w:r>
              <w:rPr>
                <w:rFonts w:hint="eastAsia" w:ascii="宋体" w:hAnsi="宋体"/>
                <w:sz w:val="24"/>
                <w:szCs w:val="24"/>
                <w:shd w:val="clear" w:color="auto" w:fill="FFFFFF"/>
              </w:rPr>
              <w:t>投标人</w:t>
            </w:r>
          </w:p>
        </w:tc>
        <w:tc>
          <w:tcPr>
            <w:tcW w:w="1258" w:type="dxa"/>
            <w:vAlign w:val="center"/>
          </w:tcPr>
          <w:p>
            <w:pPr>
              <w:spacing w:beforeLines="50" w:afterLines="50" w:line="360" w:lineRule="auto"/>
              <w:contextualSpacing/>
              <w:jc w:val="center"/>
              <w:textAlignment w:val="baseline"/>
              <w:rPr>
                <w:rFonts w:hint="eastAsia" w:ascii="宋体" w:hAnsi="宋体" w:eastAsiaTheme="minorEastAsia"/>
                <w:sz w:val="24"/>
                <w:szCs w:val="24"/>
                <w:shd w:val="clear" w:color="auto" w:fill="FFFFFF"/>
                <w:lang w:eastAsia="zh-CN"/>
              </w:rPr>
            </w:pPr>
            <w:r>
              <w:rPr>
                <w:rFonts w:ascii="宋体" w:hAnsi="宋体"/>
                <w:sz w:val="24"/>
                <w:szCs w:val="24"/>
              </w:rPr>
              <w:t>投标</w:t>
            </w:r>
            <w:r>
              <w:rPr>
                <w:rFonts w:hint="eastAsia" w:ascii="宋体" w:hAnsi="宋体"/>
                <w:sz w:val="24"/>
                <w:szCs w:val="24"/>
              </w:rPr>
              <w:t>报价</w:t>
            </w:r>
            <w:r>
              <w:rPr>
                <w:rFonts w:hint="eastAsia" w:ascii="宋体" w:hAnsi="宋体"/>
                <w:sz w:val="24"/>
                <w:szCs w:val="24"/>
                <w:lang w:eastAsia="zh-CN"/>
              </w:rPr>
              <w:t>（</w:t>
            </w:r>
            <w:r>
              <w:rPr>
                <w:rFonts w:hint="eastAsia" w:ascii="宋体" w:hAnsi="宋体"/>
                <w:sz w:val="24"/>
                <w:szCs w:val="24"/>
                <w:lang w:val="en-US" w:eastAsia="zh-CN"/>
              </w:rPr>
              <w:t>总价</w:t>
            </w:r>
            <w:r>
              <w:rPr>
                <w:rFonts w:hint="eastAsia" w:ascii="宋体" w:hAnsi="宋体"/>
                <w:sz w:val="24"/>
                <w:szCs w:val="24"/>
                <w:lang w:eastAsia="zh-CN"/>
              </w:rPr>
              <w:t>）（</w:t>
            </w:r>
            <w:r>
              <w:rPr>
                <w:rFonts w:hint="eastAsia" w:ascii="宋体" w:hAnsi="宋体"/>
                <w:sz w:val="24"/>
                <w:szCs w:val="24"/>
                <w:lang w:val="en-US" w:eastAsia="zh-CN"/>
              </w:rPr>
              <w:t>元</w:t>
            </w:r>
            <w:r>
              <w:rPr>
                <w:rFonts w:hint="eastAsia" w:ascii="宋体" w:hAnsi="宋体"/>
                <w:sz w:val="24"/>
                <w:szCs w:val="24"/>
                <w:lang w:eastAsia="zh-CN"/>
              </w:rPr>
              <w:t>）</w:t>
            </w:r>
          </w:p>
        </w:tc>
        <w:tc>
          <w:tcPr>
            <w:tcW w:w="1276"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ascii="宋体" w:hAnsi="宋体"/>
                <w:sz w:val="24"/>
                <w:szCs w:val="24"/>
                <w:shd w:val="clear" w:color="auto" w:fill="FFFFFF"/>
              </w:rPr>
            </w:pPr>
            <w:r>
              <w:rPr>
                <w:rFonts w:hint="eastAsia" w:ascii="宋体" w:hAnsi="宋体"/>
                <w:sz w:val="24"/>
                <w:szCs w:val="24"/>
                <w:shd w:val="clear" w:color="auto" w:fill="FFFFFF"/>
                <w:lang w:val="en-US" w:eastAsia="zh-CN"/>
              </w:rPr>
              <w:t>质量</w:t>
            </w:r>
            <w:r>
              <w:rPr>
                <w:rFonts w:hint="eastAsia" w:ascii="宋体" w:hAnsi="宋体"/>
                <w:sz w:val="24"/>
                <w:szCs w:val="24"/>
                <w:shd w:val="clear" w:color="auto" w:fill="FFFFFF"/>
              </w:rPr>
              <w:t>标准</w:t>
            </w:r>
          </w:p>
        </w:tc>
        <w:tc>
          <w:tcPr>
            <w:tcW w:w="1512" w:type="dxa"/>
            <w:vAlign w:val="center"/>
          </w:tcPr>
          <w:p>
            <w:pPr>
              <w:keepNext w:val="0"/>
              <w:keepLines w:val="0"/>
              <w:suppressLineNumbers w:val="0"/>
              <w:spacing w:before="0" w:beforeAutospacing="0" w:after="0" w:afterAutospacing="0"/>
              <w:ind w:left="0" w:right="0"/>
              <w:jc w:val="center"/>
              <w:rPr>
                <w:b w:val="0"/>
                <w:bCs/>
                <w:kern w:val="2"/>
                <w:sz w:val="24"/>
                <w:szCs w:val="24"/>
                <w:lang w:eastAsia="zh-CN"/>
              </w:rPr>
            </w:pPr>
            <w:r>
              <w:rPr>
                <w:rFonts w:hint="eastAsia"/>
                <w:b w:val="0"/>
                <w:bCs/>
                <w:kern w:val="2"/>
                <w:sz w:val="24"/>
                <w:szCs w:val="24"/>
                <w:lang w:eastAsia="zh-CN"/>
              </w:rPr>
              <w:t>合同履行</w:t>
            </w:r>
          </w:p>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ascii="宋体" w:hAnsi="宋体"/>
                <w:sz w:val="24"/>
                <w:szCs w:val="24"/>
                <w:shd w:val="clear" w:color="auto" w:fill="FFFFFF"/>
              </w:rPr>
            </w:pPr>
            <w:r>
              <w:rPr>
                <w:rFonts w:hint="eastAsia"/>
                <w:b w:val="0"/>
                <w:bCs/>
                <w:kern w:val="2"/>
                <w:sz w:val="24"/>
                <w:szCs w:val="24"/>
                <w:lang w:eastAsia="zh-CN"/>
              </w:rPr>
              <w:t>期限（</w:t>
            </w:r>
            <w:r>
              <w:rPr>
                <w:rFonts w:hint="eastAsia"/>
                <w:b w:val="0"/>
                <w:bCs/>
                <w:kern w:val="2"/>
                <w:sz w:val="24"/>
                <w:szCs w:val="24"/>
                <w:lang w:val="en-US" w:eastAsia="zh-CN"/>
              </w:rPr>
              <w:t>供货期</w:t>
            </w:r>
            <w:r>
              <w:rPr>
                <w:rFonts w:hint="eastAsia"/>
                <w:b w:val="0"/>
                <w:bCs/>
                <w:kern w:val="2"/>
                <w:sz w:val="24"/>
                <w:szCs w:val="24"/>
                <w:lang w:eastAsia="zh-CN"/>
              </w:rPr>
              <w:t>）</w:t>
            </w:r>
          </w:p>
        </w:tc>
        <w:tc>
          <w:tcPr>
            <w:tcW w:w="1540"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b w:val="0"/>
                <w:bCs/>
                <w:kern w:val="2"/>
                <w:sz w:val="24"/>
                <w:szCs w:val="24"/>
                <w:lang w:val="en-US" w:eastAsia="zh-CN"/>
              </w:rPr>
            </w:pPr>
            <w:r>
              <w:rPr>
                <w:rFonts w:hint="eastAsia"/>
                <w:b w:val="0"/>
                <w:bCs/>
                <w:kern w:val="2"/>
                <w:sz w:val="24"/>
                <w:szCs w:val="24"/>
                <w:lang w:val="en-US" w:eastAsia="zh-CN"/>
              </w:rPr>
              <w:t>投标保证金（有或无）</w:t>
            </w:r>
          </w:p>
        </w:tc>
        <w:tc>
          <w:tcPr>
            <w:tcW w:w="827"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eastAsia" w:ascii="宋体" w:hAnsi="宋体" w:eastAsiaTheme="minorEastAsia"/>
                <w:sz w:val="24"/>
                <w:szCs w:val="24"/>
                <w:shd w:val="clear" w:color="auto" w:fill="FFFFFF"/>
                <w:lang w:eastAsia="zh-CN"/>
              </w:rPr>
            </w:pPr>
            <w:r>
              <w:rPr>
                <w:rFonts w:hint="eastAsia" w:ascii="宋体" w:hAnsi="宋体"/>
                <w:sz w:val="24"/>
                <w:szCs w:val="24"/>
                <w:shd w:val="clear" w:color="auto" w:fill="FFFFFF"/>
                <w:lang w:val="en-US" w:eastAsia="zh-CN"/>
              </w:rPr>
              <w:t>备注</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宋体" w:hAnsi="宋体"/>
                <w:sz w:val="24"/>
                <w:szCs w:val="24"/>
                <w:shd w:val="clear" w:color="auto" w:fill="FFFFFF"/>
                <w:lang w:val="en-US" w:eastAsia="zh-CN"/>
              </w:rPr>
            </w:pPr>
            <w:r>
              <w:rPr>
                <w:rFonts w:hint="eastAsia" w:ascii="宋体" w:hAnsi="宋体"/>
                <w:sz w:val="24"/>
                <w:szCs w:val="24"/>
                <w:shd w:val="clear" w:color="auto" w:fill="FFFFFF"/>
                <w:lang w:val="en-US" w:eastAsia="zh-CN"/>
              </w:rPr>
              <w:t>投标人代表（签字）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07" w:type="dxa"/>
          </w:tcPr>
          <w:p>
            <w:pPr>
              <w:spacing w:line="360" w:lineRule="auto"/>
              <w:contextualSpacing/>
              <w:rPr>
                <w:rFonts w:ascii="宋体" w:hAnsi="宋体" w:cs="宋体"/>
                <w:sz w:val="24"/>
                <w:szCs w:val="24"/>
                <w:shd w:val="clear" w:color="auto" w:fill="FFFFFF"/>
              </w:rPr>
            </w:pPr>
          </w:p>
        </w:tc>
        <w:tc>
          <w:tcPr>
            <w:tcW w:w="1971" w:type="dxa"/>
            <w:vAlign w:val="center"/>
          </w:tcPr>
          <w:p>
            <w:pPr>
              <w:spacing w:line="360" w:lineRule="auto"/>
              <w:contextualSpacing/>
              <w:rPr>
                <w:rFonts w:ascii="宋体" w:hAnsi="宋体" w:cs="宋体"/>
                <w:sz w:val="24"/>
                <w:szCs w:val="24"/>
                <w:shd w:val="clear" w:color="auto" w:fill="FFFFFF"/>
              </w:rPr>
            </w:pPr>
          </w:p>
        </w:tc>
        <w:tc>
          <w:tcPr>
            <w:tcW w:w="1258" w:type="dxa"/>
            <w:vAlign w:val="center"/>
          </w:tcPr>
          <w:p>
            <w:pPr>
              <w:spacing w:line="360" w:lineRule="auto"/>
              <w:contextualSpacing/>
              <w:jc w:val="center"/>
              <w:rPr>
                <w:rFonts w:ascii="宋体" w:hAnsi="宋体"/>
                <w:sz w:val="24"/>
                <w:szCs w:val="24"/>
                <w:shd w:val="clear" w:color="auto" w:fill="FFFFFF"/>
              </w:rPr>
            </w:pPr>
          </w:p>
        </w:tc>
        <w:tc>
          <w:tcPr>
            <w:tcW w:w="1276" w:type="dxa"/>
            <w:vAlign w:val="center"/>
          </w:tcPr>
          <w:p>
            <w:pPr>
              <w:spacing w:line="360" w:lineRule="auto"/>
              <w:contextualSpacing/>
              <w:jc w:val="center"/>
              <w:rPr>
                <w:rFonts w:ascii="宋体" w:hAnsi="宋体"/>
                <w:sz w:val="24"/>
                <w:szCs w:val="24"/>
                <w:shd w:val="clear" w:color="auto" w:fill="FFFFFF"/>
              </w:rPr>
            </w:pPr>
          </w:p>
        </w:tc>
        <w:tc>
          <w:tcPr>
            <w:tcW w:w="1512" w:type="dxa"/>
            <w:vAlign w:val="center"/>
          </w:tcPr>
          <w:p>
            <w:pPr>
              <w:spacing w:line="360" w:lineRule="auto"/>
              <w:contextualSpacing/>
              <w:jc w:val="center"/>
              <w:rPr>
                <w:rFonts w:ascii="宋体" w:hAnsi="宋体"/>
                <w:sz w:val="24"/>
                <w:szCs w:val="24"/>
                <w:shd w:val="clear" w:color="auto" w:fill="FFFFFF"/>
              </w:rPr>
            </w:pPr>
          </w:p>
        </w:tc>
        <w:tc>
          <w:tcPr>
            <w:tcW w:w="1540" w:type="dxa"/>
            <w:vAlign w:val="center"/>
          </w:tcPr>
          <w:p>
            <w:pPr>
              <w:spacing w:line="360" w:lineRule="auto"/>
              <w:contextualSpacing/>
              <w:jc w:val="center"/>
              <w:rPr>
                <w:rFonts w:ascii="宋体" w:hAnsi="宋体"/>
                <w:sz w:val="24"/>
                <w:szCs w:val="24"/>
                <w:shd w:val="clear" w:color="auto" w:fill="FFFFFF"/>
              </w:rPr>
            </w:pPr>
          </w:p>
        </w:tc>
        <w:tc>
          <w:tcPr>
            <w:tcW w:w="827" w:type="dxa"/>
            <w:vAlign w:val="center"/>
          </w:tcPr>
          <w:p>
            <w:pPr>
              <w:spacing w:line="360" w:lineRule="auto"/>
              <w:contextualSpacing/>
              <w:jc w:val="center"/>
              <w:rPr>
                <w:rFonts w:ascii="宋体" w:hAnsi="宋体"/>
                <w:sz w:val="24"/>
                <w:szCs w:val="24"/>
                <w:shd w:val="clear" w:color="auto" w:fill="FFFFFF"/>
              </w:rPr>
            </w:pPr>
          </w:p>
        </w:tc>
        <w:tc>
          <w:tcPr>
            <w:tcW w:w="1467" w:type="dxa"/>
            <w:vAlign w:val="center"/>
          </w:tcPr>
          <w:p>
            <w:pPr>
              <w:spacing w:line="360" w:lineRule="auto"/>
              <w:contextualSpacing/>
              <w:jc w:val="center"/>
              <w:rPr>
                <w:rFonts w:ascii="宋体" w:hAnsi="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807" w:type="dxa"/>
          </w:tcPr>
          <w:p>
            <w:pPr>
              <w:spacing w:line="360" w:lineRule="auto"/>
              <w:contextualSpacing/>
              <w:rPr>
                <w:rFonts w:ascii="宋体" w:hAnsi="宋体" w:cs="宋体"/>
                <w:sz w:val="24"/>
                <w:szCs w:val="24"/>
                <w:shd w:val="clear" w:color="auto" w:fill="FFFFFF"/>
              </w:rPr>
            </w:pPr>
          </w:p>
        </w:tc>
        <w:tc>
          <w:tcPr>
            <w:tcW w:w="1971" w:type="dxa"/>
            <w:vAlign w:val="center"/>
          </w:tcPr>
          <w:p>
            <w:pPr>
              <w:spacing w:line="360" w:lineRule="auto"/>
              <w:contextualSpacing/>
              <w:rPr>
                <w:rFonts w:ascii="宋体" w:hAnsi="宋体" w:cs="宋体"/>
                <w:sz w:val="24"/>
                <w:szCs w:val="24"/>
                <w:shd w:val="clear" w:color="auto" w:fill="FFFFFF"/>
              </w:rPr>
            </w:pPr>
          </w:p>
        </w:tc>
        <w:tc>
          <w:tcPr>
            <w:tcW w:w="1258" w:type="dxa"/>
            <w:vAlign w:val="center"/>
          </w:tcPr>
          <w:p>
            <w:pPr>
              <w:spacing w:line="360" w:lineRule="auto"/>
              <w:contextualSpacing/>
              <w:jc w:val="center"/>
              <w:rPr>
                <w:rFonts w:ascii="宋体" w:hAnsi="宋体"/>
                <w:sz w:val="24"/>
                <w:szCs w:val="24"/>
                <w:shd w:val="clear" w:color="auto" w:fill="FFFFFF"/>
              </w:rPr>
            </w:pPr>
          </w:p>
        </w:tc>
        <w:tc>
          <w:tcPr>
            <w:tcW w:w="1276" w:type="dxa"/>
            <w:vAlign w:val="center"/>
          </w:tcPr>
          <w:p>
            <w:pPr>
              <w:spacing w:line="360" w:lineRule="auto"/>
              <w:contextualSpacing/>
              <w:jc w:val="center"/>
              <w:rPr>
                <w:rFonts w:ascii="宋体" w:hAnsi="宋体"/>
                <w:sz w:val="24"/>
                <w:szCs w:val="24"/>
                <w:shd w:val="clear" w:color="auto" w:fill="FFFFFF"/>
              </w:rPr>
            </w:pPr>
          </w:p>
        </w:tc>
        <w:tc>
          <w:tcPr>
            <w:tcW w:w="1512" w:type="dxa"/>
            <w:vAlign w:val="center"/>
          </w:tcPr>
          <w:p>
            <w:pPr>
              <w:spacing w:line="360" w:lineRule="auto"/>
              <w:contextualSpacing/>
              <w:jc w:val="center"/>
              <w:rPr>
                <w:rFonts w:ascii="宋体" w:hAnsi="宋体"/>
                <w:sz w:val="24"/>
                <w:szCs w:val="24"/>
                <w:shd w:val="clear" w:color="auto" w:fill="FFFFFF"/>
              </w:rPr>
            </w:pPr>
          </w:p>
        </w:tc>
        <w:tc>
          <w:tcPr>
            <w:tcW w:w="1540" w:type="dxa"/>
            <w:vAlign w:val="center"/>
          </w:tcPr>
          <w:p>
            <w:pPr>
              <w:spacing w:line="360" w:lineRule="auto"/>
              <w:contextualSpacing/>
              <w:jc w:val="center"/>
              <w:rPr>
                <w:rFonts w:ascii="宋体" w:hAnsi="宋体"/>
                <w:sz w:val="24"/>
                <w:szCs w:val="24"/>
                <w:shd w:val="clear" w:color="auto" w:fill="FFFFFF"/>
              </w:rPr>
            </w:pPr>
          </w:p>
        </w:tc>
        <w:tc>
          <w:tcPr>
            <w:tcW w:w="827" w:type="dxa"/>
            <w:vAlign w:val="center"/>
          </w:tcPr>
          <w:p>
            <w:pPr>
              <w:spacing w:line="360" w:lineRule="auto"/>
              <w:contextualSpacing/>
              <w:jc w:val="center"/>
              <w:rPr>
                <w:rFonts w:ascii="宋体" w:hAnsi="宋体"/>
                <w:sz w:val="24"/>
                <w:szCs w:val="24"/>
                <w:shd w:val="clear" w:color="auto" w:fill="FFFFFF"/>
              </w:rPr>
            </w:pPr>
          </w:p>
        </w:tc>
        <w:tc>
          <w:tcPr>
            <w:tcW w:w="1467" w:type="dxa"/>
            <w:vAlign w:val="center"/>
          </w:tcPr>
          <w:p>
            <w:pPr>
              <w:spacing w:line="360" w:lineRule="auto"/>
              <w:contextualSpacing/>
              <w:jc w:val="center"/>
              <w:rPr>
                <w:rFonts w:ascii="宋体" w:hAnsi="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807" w:type="dxa"/>
          </w:tcPr>
          <w:p>
            <w:pPr>
              <w:spacing w:line="360" w:lineRule="auto"/>
              <w:contextualSpacing/>
              <w:rPr>
                <w:rFonts w:ascii="宋体" w:hAnsi="宋体" w:cs="宋体"/>
                <w:sz w:val="24"/>
                <w:szCs w:val="24"/>
                <w:shd w:val="clear" w:color="auto" w:fill="FFFFFF"/>
              </w:rPr>
            </w:pPr>
          </w:p>
        </w:tc>
        <w:tc>
          <w:tcPr>
            <w:tcW w:w="1971" w:type="dxa"/>
            <w:vAlign w:val="center"/>
          </w:tcPr>
          <w:p>
            <w:pPr>
              <w:spacing w:line="360" w:lineRule="auto"/>
              <w:contextualSpacing/>
              <w:rPr>
                <w:rFonts w:ascii="宋体" w:hAnsi="宋体" w:cs="宋体"/>
                <w:sz w:val="24"/>
                <w:szCs w:val="24"/>
                <w:shd w:val="clear" w:color="auto" w:fill="FFFFFF"/>
              </w:rPr>
            </w:pPr>
          </w:p>
        </w:tc>
        <w:tc>
          <w:tcPr>
            <w:tcW w:w="1258" w:type="dxa"/>
            <w:vAlign w:val="center"/>
          </w:tcPr>
          <w:p>
            <w:pPr>
              <w:spacing w:line="360" w:lineRule="auto"/>
              <w:contextualSpacing/>
              <w:jc w:val="center"/>
              <w:rPr>
                <w:rFonts w:ascii="宋体" w:hAnsi="宋体"/>
                <w:sz w:val="24"/>
                <w:szCs w:val="24"/>
                <w:shd w:val="clear" w:color="auto" w:fill="FFFFFF"/>
              </w:rPr>
            </w:pPr>
          </w:p>
        </w:tc>
        <w:tc>
          <w:tcPr>
            <w:tcW w:w="1276" w:type="dxa"/>
            <w:vAlign w:val="center"/>
          </w:tcPr>
          <w:p>
            <w:pPr>
              <w:spacing w:line="360" w:lineRule="auto"/>
              <w:contextualSpacing/>
              <w:jc w:val="center"/>
              <w:rPr>
                <w:rFonts w:ascii="宋体" w:hAnsi="宋体"/>
                <w:sz w:val="24"/>
                <w:szCs w:val="24"/>
                <w:shd w:val="clear" w:color="auto" w:fill="FFFFFF"/>
              </w:rPr>
            </w:pPr>
          </w:p>
        </w:tc>
        <w:tc>
          <w:tcPr>
            <w:tcW w:w="1512" w:type="dxa"/>
            <w:vAlign w:val="center"/>
          </w:tcPr>
          <w:p>
            <w:pPr>
              <w:spacing w:line="360" w:lineRule="auto"/>
              <w:contextualSpacing/>
              <w:jc w:val="center"/>
              <w:rPr>
                <w:rFonts w:ascii="宋体" w:hAnsi="宋体"/>
                <w:sz w:val="24"/>
                <w:szCs w:val="24"/>
                <w:shd w:val="clear" w:color="auto" w:fill="FFFFFF"/>
              </w:rPr>
            </w:pPr>
          </w:p>
        </w:tc>
        <w:tc>
          <w:tcPr>
            <w:tcW w:w="1540" w:type="dxa"/>
            <w:vAlign w:val="center"/>
          </w:tcPr>
          <w:p>
            <w:pPr>
              <w:spacing w:line="360" w:lineRule="auto"/>
              <w:contextualSpacing/>
              <w:jc w:val="center"/>
              <w:rPr>
                <w:rFonts w:ascii="宋体" w:hAnsi="宋体"/>
                <w:sz w:val="24"/>
                <w:szCs w:val="24"/>
                <w:shd w:val="clear" w:color="auto" w:fill="FFFFFF"/>
              </w:rPr>
            </w:pPr>
          </w:p>
        </w:tc>
        <w:tc>
          <w:tcPr>
            <w:tcW w:w="827" w:type="dxa"/>
            <w:vAlign w:val="center"/>
          </w:tcPr>
          <w:p>
            <w:pPr>
              <w:spacing w:line="360" w:lineRule="auto"/>
              <w:contextualSpacing/>
              <w:jc w:val="center"/>
              <w:rPr>
                <w:rFonts w:ascii="宋体" w:hAnsi="宋体"/>
                <w:sz w:val="24"/>
                <w:szCs w:val="24"/>
                <w:shd w:val="clear" w:color="auto" w:fill="FFFFFF"/>
              </w:rPr>
            </w:pPr>
          </w:p>
        </w:tc>
        <w:tc>
          <w:tcPr>
            <w:tcW w:w="1467" w:type="dxa"/>
            <w:vAlign w:val="center"/>
          </w:tcPr>
          <w:p>
            <w:pPr>
              <w:spacing w:line="360" w:lineRule="auto"/>
              <w:contextualSpacing/>
              <w:jc w:val="center"/>
              <w:rPr>
                <w:rFonts w:ascii="宋体" w:hAnsi="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807" w:type="dxa"/>
          </w:tcPr>
          <w:p>
            <w:pPr>
              <w:spacing w:line="360" w:lineRule="auto"/>
              <w:contextualSpacing/>
              <w:rPr>
                <w:rFonts w:ascii="宋体" w:hAnsi="宋体" w:cs="宋体"/>
                <w:sz w:val="24"/>
                <w:szCs w:val="24"/>
                <w:shd w:val="clear" w:color="auto" w:fill="FFFFFF"/>
              </w:rPr>
            </w:pPr>
          </w:p>
        </w:tc>
        <w:tc>
          <w:tcPr>
            <w:tcW w:w="1971" w:type="dxa"/>
            <w:vAlign w:val="center"/>
          </w:tcPr>
          <w:p>
            <w:pPr>
              <w:spacing w:line="360" w:lineRule="auto"/>
              <w:contextualSpacing/>
              <w:rPr>
                <w:rFonts w:ascii="宋体" w:hAnsi="宋体" w:cs="宋体"/>
                <w:sz w:val="24"/>
                <w:szCs w:val="24"/>
                <w:shd w:val="clear" w:color="auto" w:fill="FFFFFF"/>
              </w:rPr>
            </w:pPr>
          </w:p>
        </w:tc>
        <w:tc>
          <w:tcPr>
            <w:tcW w:w="1258" w:type="dxa"/>
            <w:vAlign w:val="center"/>
          </w:tcPr>
          <w:p>
            <w:pPr>
              <w:spacing w:line="360" w:lineRule="auto"/>
              <w:contextualSpacing/>
              <w:jc w:val="center"/>
              <w:rPr>
                <w:rFonts w:ascii="宋体" w:hAnsi="宋体"/>
                <w:sz w:val="24"/>
                <w:szCs w:val="24"/>
                <w:shd w:val="clear" w:color="auto" w:fill="FFFFFF"/>
              </w:rPr>
            </w:pPr>
          </w:p>
        </w:tc>
        <w:tc>
          <w:tcPr>
            <w:tcW w:w="1276" w:type="dxa"/>
            <w:vAlign w:val="center"/>
          </w:tcPr>
          <w:p>
            <w:pPr>
              <w:spacing w:line="360" w:lineRule="auto"/>
              <w:contextualSpacing/>
              <w:jc w:val="center"/>
              <w:rPr>
                <w:rFonts w:ascii="宋体" w:hAnsi="宋体"/>
                <w:sz w:val="24"/>
                <w:szCs w:val="24"/>
                <w:shd w:val="clear" w:color="auto" w:fill="FFFFFF"/>
              </w:rPr>
            </w:pPr>
          </w:p>
        </w:tc>
        <w:tc>
          <w:tcPr>
            <w:tcW w:w="1512" w:type="dxa"/>
            <w:vAlign w:val="center"/>
          </w:tcPr>
          <w:p>
            <w:pPr>
              <w:spacing w:line="360" w:lineRule="auto"/>
              <w:contextualSpacing/>
              <w:jc w:val="center"/>
              <w:rPr>
                <w:rFonts w:ascii="宋体" w:hAnsi="宋体"/>
                <w:sz w:val="24"/>
                <w:szCs w:val="24"/>
                <w:shd w:val="clear" w:color="auto" w:fill="FFFFFF"/>
              </w:rPr>
            </w:pPr>
          </w:p>
        </w:tc>
        <w:tc>
          <w:tcPr>
            <w:tcW w:w="1540" w:type="dxa"/>
            <w:vAlign w:val="center"/>
          </w:tcPr>
          <w:p>
            <w:pPr>
              <w:spacing w:line="360" w:lineRule="auto"/>
              <w:contextualSpacing/>
              <w:jc w:val="center"/>
              <w:rPr>
                <w:rFonts w:ascii="宋体" w:hAnsi="宋体"/>
                <w:sz w:val="24"/>
                <w:szCs w:val="24"/>
                <w:shd w:val="clear" w:color="auto" w:fill="FFFFFF"/>
              </w:rPr>
            </w:pPr>
          </w:p>
        </w:tc>
        <w:tc>
          <w:tcPr>
            <w:tcW w:w="827" w:type="dxa"/>
            <w:vAlign w:val="center"/>
          </w:tcPr>
          <w:p>
            <w:pPr>
              <w:spacing w:line="360" w:lineRule="auto"/>
              <w:contextualSpacing/>
              <w:jc w:val="center"/>
              <w:rPr>
                <w:rFonts w:ascii="宋体" w:hAnsi="宋体"/>
                <w:sz w:val="24"/>
                <w:szCs w:val="24"/>
                <w:shd w:val="clear" w:color="auto" w:fill="FFFFFF"/>
              </w:rPr>
            </w:pPr>
          </w:p>
        </w:tc>
        <w:tc>
          <w:tcPr>
            <w:tcW w:w="1467" w:type="dxa"/>
            <w:vAlign w:val="center"/>
          </w:tcPr>
          <w:p>
            <w:pPr>
              <w:spacing w:line="360" w:lineRule="auto"/>
              <w:contextualSpacing/>
              <w:jc w:val="center"/>
              <w:rPr>
                <w:rFonts w:ascii="宋体" w:hAnsi="宋体"/>
                <w:sz w:val="24"/>
                <w:szCs w:val="24"/>
                <w:shd w:val="clear" w:color="auto" w:fill="FFFFFF"/>
              </w:rPr>
            </w:pPr>
          </w:p>
        </w:tc>
      </w:tr>
    </w:tbl>
    <w:p>
      <w:pPr>
        <w:pStyle w:val="59"/>
        <w:spacing w:line="363" w:lineRule="exact"/>
        <w:ind w:left="0" w:leftChars="0" w:right="0" w:firstLine="0" w:firstLineChars="0"/>
        <w:jc w:val="both"/>
        <w:rPr>
          <w:rFonts w:hint="eastAsia"/>
          <w:sz w:val="24"/>
          <w:szCs w:val="24"/>
          <w:lang w:eastAsia="zh-CN"/>
        </w:rPr>
      </w:pPr>
    </w:p>
    <w:p>
      <w:pPr>
        <w:pStyle w:val="59"/>
        <w:spacing w:line="363" w:lineRule="exact"/>
        <w:ind w:left="0" w:leftChars="0" w:right="0" w:firstLine="0" w:firstLineChars="0"/>
        <w:jc w:val="both"/>
        <w:rPr>
          <w:rFonts w:hint="default"/>
          <w:sz w:val="24"/>
          <w:szCs w:val="24"/>
          <w:u w:val="single"/>
          <w:lang w:val="en-US" w:eastAsia="zh-CN"/>
        </w:rPr>
      </w:pPr>
      <w:r>
        <w:rPr>
          <w:rFonts w:hint="eastAsia"/>
          <w:sz w:val="24"/>
          <w:szCs w:val="24"/>
          <w:lang w:eastAsia="zh-CN"/>
        </w:rPr>
        <w:t>唱标人：</w:t>
      </w:r>
      <w:r>
        <w:rPr>
          <w:sz w:val="24"/>
          <w:szCs w:val="24"/>
          <w:u w:val="single"/>
          <w:lang w:eastAsia="zh-CN"/>
        </w:rPr>
        <w:tab/>
      </w:r>
      <w:r>
        <w:rPr>
          <w:rFonts w:hint="eastAsia"/>
          <w:sz w:val="24"/>
          <w:szCs w:val="24"/>
          <w:u w:val="single"/>
          <w:lang w:val="en-US" w:eastAsia="zh-CN"/>
        </w:rPr>
        <w:t xml:space="preserve">       </w:t>
      </w:r>
      <w:r>
        <w:rPr>
          <w:rFonts w:hint="eastAsia"/>
          <w:sz w:val="24"/>
          <w:szCs w:val="24"/>
          <w:lang w:eastAsia="zh-CN"/>
        </w:rPr>
        <w:t>记录人：</w:t>
      </w:r>
      <w:r>
        <w:rPr>
          <w:rFonts w:hint="eastAsia"/>
          <w:sz w:val="24"/>
          <w:szCs w:val="24"/>
          <w:u w:val="single"/>
          <w:lang w:val="en-US" w:eastAsia="zh-CN"/>
        </w:rPr>
        <w:t xml:space="preserve">          </w:t>
      </w:r>
      <w:r>
        <w:rPr>
          <w:sz w:val="24"/>
          <w:szCs w:val="24"/>
          <w:u w:val="single"/>
          <w:lang w:eastAsia="zh-CN"/>
        </w:rPr>
        <w:tab/>
      </w:r>
      <w:r>
        <w:rPr>
          <w:rFonts w:hint="eastAsia"/>
          <w:sz w:val="24"/>
          <w:szCs w:val="24"/>
          <w:lang w:eastAsia="zh-CN"/>
        </w:rPr>
        <w:t>采购人代表：</w:t>
      </w:r>
      <w:r>
        <w:rPr>
          <w:sz w:val="24"/>
          <w:szCs w:val="24"/>
          <w:u w:val="single"/>
          <w:lang w:eastAsia="zh-CN"/>
        </w:rPr>
        <w:tab/>
      </w:r>
      <w:r>
        <w:rPr>
          <w:rFonts w:hint="eastAsia"/>
          <w:sz w:val="24"/>
          <w:szCs w:val="24"/>
          <w:u w:val="single"/>
          <w:lang w:val="en-US" w:eastAsia="zh-CN"/>
        </w:rPr>
        <w:t xml:space="preserve">         </w:t>
      </w:r>
      <w:r>
        <w:rPr>
          <w:rFonts w:hint="eastAsia"/>
          <w:sz w:val="24"/>
          <w:szCs w:val="24"/>
          <w:lang w:eastAsia="zh-CN"/>
        </w:rPr>
        <w:t xml:space="preserve">  监督人：</w:t>
      </w:r>
      <w:r>
        <w:rPr>
          <w:sz w:val="24"/>
          <w:szCs w:val="24"/>
          <w:u w:val="single"/>
          <w:lang w:eastAsia="zh-CN"/>
        </w:rPr>
        <w:tab/>
      </w:r>
      <w:r>
        <w:rPr>
          <w:rFonts w:hint="eastAsia"/>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960" w:firstLineChars="400"/>
        <w:contextualSpacing/>
        <w:jc w:val="left"/>
        <w:textAlignment w:val="auto"/>
        <w:rPr>
          <w:rFonts w:hint="eastAsia" w:ascii="宋体" w:hAnsi="宋体"/>
          <w:sz w:val="24"/>
          <w:szCs w:val="24"/>
          <w:shd w:val="clear" w:color="auto" w:fill="FFFFFF"/>
        </w:rPr>
      </w:pPr>
    </w:p>
    <w:p>
      <w:pPr>
        <w:spacing w:line="360" w:lineRule="auto"/>
        <w:contextualSpacing/>
        <w:jc w:val="center"/>
        <w:rPr>
          <w:rFonts w:ascii="宋体" w:hAnsi="宋体"/>
          <w:sz w:val="24"/>
          <w:szCs w:val="24"/>
          <w:shd w:val="clear" w:color="auto" w:fill="FFFFFF"/>
        </w:rPr>
      </w:pPr>
    </w:p>
    <w:p>
      <w:pPr>
        <w:spacing w:line="360" w:lineRule="auto"/>
        <w:contextualSpacing/>
        <w:jc w:val="right"/>
        <w:rPr>
          <w:rFonts w:ascii="宋体" w:hAnsi="宋体"/>
          <w:sz w:val="24"/>
          <w:szCs w:val="24"/>
          <w:shd w:val="clear" w:color="auto" w:fill="FFFFFF"/>
        </w:rPr>
      </w:pPr>
    </w:p>
    <w:p>
      <w:pPr>
        <w:keepNext w:val="0"/>
        <w:keepLines w:val="0"/>
        <w:pageBreakBefore w:val="0"/>
        <w:widowControl w:val="0"/>
        <w:kinsoku/>
        <w:wordWrap/>
        <w:overflowPunct/>
        <w:topLinePunct w:val="0"/>
        <w:autoSpaceDE/>
        <w:autoSpaceDN/>
        <w:bidi w:val="0"/>
        <w:adjustRightInd/>
        <w:snapToGrid/>
        <w:spacing w:line="240" w:lineRule="auto"/>
        <w:contextualSpacing/>
        <w:jc w:val="right"/>
        <w:textAlignment w:val="auto"/>
        <w:rPr>
          <w:rFonts w:hint="eastAsia" w:ascii="宋体" w:hAnsi="宋体"/>
          <w:sz w:val="24"/>
          <w:szCs w:val="24"/>
          <w:shd w:val="clear" w:color="auto" w:fill="FFFFFF"/>
        </w:rPr>
      </w:pPr>
      <w:r>
        <w:rPr>
          <w:rFonts w:hint="eastAsia" w:ascii="宋体" w:hAnsi="宋体"/>
          <w:sz w:val="24"/>
          <w:szCs w:val="24"/>
          <w:shd w:val="clear" w:color="auto" w:fill="FFFFFF"/>
        </w:rPr>
        <w:t>年</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月</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日</w:t>
      </w: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spacing w:line="360" w:lineRule="auto"/>
        <w:contextualSpacing/>
        <w:jc w:val="center"/>
        <w:rPr>
          <w:rFonts w:ascii="宋体" w:hAnsi="宋体"/>
          <w:sz w:val="24"/>
          <w:shd w:val="clear" w:color="auto" w:fill="FFFFFF"/>
        </w:rPr>
      </w:pPr>
    </w:p>
    <w:p>
      <w:pPr>
        <w:pStyle w:val="6"/>
        <w:spacing w:line="360" w:lineRule="auto"/>
        <w:contextualSpacing/>
        <w:rPr>
          <w:rFonts w:ascii="宋体" w:hAnsi="宋体"/>
          <w:sz w:val="24"/>
          <w:szCs w:val="24"/>
          <w:shd w:val="clear" w:color="auto" w:fill="FFFFFF"/>
        </w:rPr>
      </w:pPr>
      <w:r>
        <w:rPr>
          <w:rFonts w:hint="eastAsia" w:ascii="宋体" w:hAnsi="宋体"/>
          <w:sz w:val="24"/>
          <w:szCs w:val="24"/>
          <w:shd w:val="clear" w:color="auto" w:fill="FFFFFF"/>
        </w:rPr>
        <w:t>附件二：问题澄清通知</w:t>
      </w:r>
    </w:p>
    <w:p>
      <w:pPr>
        <w:spacing w:before="15"/>
        <w:ind w:right="13"/>
        <w:jc w:val="center"/>
        <w:rPr>
          <w:b/>
          <w:bCs/>
          <w:sz w:val="24"/>
          <w:szCs w:val="24"/>
          <w:lang w:eastAsia="zh-CN"/>
        </w:rPr>
      </w:pPr>
      <w:r>
        <w:rPr>
          <w:rFonts w:hint="eastAsia"/>
          <w:b/>
          <w:bCs/>
          <w:sz w:val="24"/>
          <w:szCs w:val="24"/>
          <w:lang w:eastAsia="zh-CN"/>
        </w:rPr>
        <w:t>问题澄清通知</w:t>
      </w:r>
    </w:p>
    <w:p>
      <w:pPr>
        <w:pStyle w:val="9"/>
        <w:tabs>
          <w:tab w:val="left" w:pos="2937"/>
        </w:tabs>
        <w:spacing w:before="157"/>
        <w:ind w:right="20"/>
        <w:jc w:val="center"/>
        <w:rPr>
          <w:b w:val="0"/>
          <w:bCs/>
          <w:sz w:val="24"/>
          <w:szCs w:val="24"/>
          <w:lang w:eastAsia="zh-CN"/>
        </w:rPr>
      </w:pPr>
      <w:r>
        <w:rPr>
          <w:rFonts w:hint="eastAsia"/>
          <w:b w:val="0"/>
          <w:bCs/>
          <w:sz w:val="24"/>
          <w:szCs w:val="24"/>
          <w:lang w:eastAsia="zh-CN"/>
        </w:rPr>
        <w:t>（编号：</w:t>
      </w:r>
      <w:r>
        <w:rPr>
          <w:b w:val="0"/>
          <w:bCs/>
          <w:sz w:val="24"/>
          <w:szCs w:val="24"/>
          <w:u w:val="single"/>
          <w:lang w:eastAsia="zh-CN"/>
        </w:rPr>
        <w:tab/>
      </w:r>
      <w:r>
        <w:rPr>
          <w:rFonts w:hint="eastAsia"/>
          <w:b w:val="0"/>
          <w:bCs/>
          <w:sz w:val="24"/>
          <w:szCs w:val="24"/>
          <w:lang w:eastAsia="zh-CN"/>
        </w:rPr>
        <w:t>）</w:t>
      </w:r>
    </w:p>
    <w:p>
      <w:pPr>
        <w:pStyle w:val="9"/>
        <w:rPr>
          <w:b w:val="0"/>
          <w:bCs/>
          <w:sz w:val="24"/>
          <w:szCs w:val="24"/>
          <w:lang w:eastAsia="zh-CN"/>
        </w:rPr>
      </w:pPr>
    </w:p>
    <w:p>
      <w:pPr>
        <w:pStyle w:val="9"/>
        <w:spacing w:before="7"/>
        <w:rPr>
          <w:b w:val="0"/>
          <w:bCs/>
          <w:sz w:val="24"/>
          <w:szCs w:val="24"/>
          <w:lang w:eastAsia="zh-CN"/>
        </w:rPr>
      </w:pPr>
    </w:p>
    <w:p>
      <w:pPr>
        <w:rPr>
          <w:rFonts w:hint="default"/>
          <w:b w:val="0"/>
          <w:bCs/>
          <w:sz w:val="24"/>
          <w:szCs w:val="24"/>
          <w:lang w:val="en-US" w:eastAsia="zh-CN"/>
        </w:rPr>
      </w:pPr>
      <w:r>
        <w:rPr>
          <w:rFonts w:hint="eastAsia"/>
          <w:b w:val="0"/>
          <w:bCs/>
          <w:sz w:val="24"/>
          <w:szCs w:val="24"/>
          <w:lang w:val="en-US" w:eastAsia="zh-CN"/>
        </w:rPr>
        <w:t>（投标人名称）：</w:t>
      </w:r>
    </w:p>
    <w:p>
      <w:pPr>
        <w:pStyle w:val="24"/>
        <w:rPr>
          <w:sz w:val="24"/>
          <w:szCs w:val="24"/>
          <w:lang w:eastAsia="zh-CN"/>
        </w:rPr>
      </w:pPr>
    </w:p>
    <w:p>
      <w:pPr>
        <w:pStyle w:val="9"/>
        <w:spacing w:before="37" w:line="384" w:lineRule="auto"/>
        <w:ind w:left="100" w:right="102" w:firstLine="422"/>
        <w:rPr>
          <w:b w:val="0"/>
          <w:bCs/>
          <w:sz w:val="24"/>
          <w:szCs w:val="24"/>
          <w:lang w:eastAsia="zh-CN"/>
        </w:rPr>
      </w:pPr>
      <w:r>
        <w:rPr>
          <w:rFonts w:hint="eastAsia"/>
          <w:b w:val="0"/>
          <w:bCs/>
          <w:sz w:val="24"/>
          <w:szCs w:val="24"/>
          <w:lang w:eastAsia="zh-CN"/>
        </w:rPr>
        <w:t>评标委员会对你方的投标文件进行了仔细的审查，现需你方对下列问题以书面形式予以澄清、说明或补正：</w:t>
      </w:r>
    </w:p>
    <w:p>
      <w:pPr>
        <w:pStyle w:val="9"/>
        <w:rPr>
          <w:b w:val="0"/>
          <w:bCs/>
          <w:sz w:val="24"/>
          <w:szCs w:val="24"/>
          <w:lang w:eastAsia="zh-CN"/>
        </w:rPr>
      </w:pPr>
    </w:p>
    <w:p>
      <w:pPr>
        <w:pStyle w:val="9"/>
        <w:spacing w:before="5"/>
        <w:rPr>
          <w:b w:val="0"/>
          <w:bCs/>
          <w:sz w:val="24"/>
          <w:szCs w:val="24"/>
          <w:lang w:eastAsia="zh-CN"/>
        </w:rPr>
      </w:pPr>
    </w:p>
    <w:p>
      <w:pPr>
        <w:pStyle w:val="9"/>
        <w:ind w:left="522" w:right="102"/>
        <w:rPr>
          <w:b w:val="0"/>
          <w:bCs/>
          <w:sz w:val="24"/>
          <w:szCs w:val="24"/>
          <w:lang w:eastAsia="zh-CN"/>
        </w:rPr>
      </w:pPr>
      <w:r>
        <w:rPr>
          <w:b w:val="0"/>
          <w:bCs/>
          <w:sz w:val="24"/>
          <w:szCs w:val="24"/>
          <w:lang w:eastAsia="zh-CN"/>
        </w:rPr>
        <w:t>1.</w:t>
      </w:r>
    </w:p>
    <w:p>
      <w:pPr>
        <w:pStyle w:val="9"/>
        <w:spacing w:before="2"/>
        <w:rPr>
          <w:b w:val="0"/>
          <w:bCs/>
          <w:sz w:val="24"/>
          <w:szCs w:val="24"/>
          <w:lang w:eastAsia="zh-CN"/>
        </w:rPr>
      </w:pPr>
    </w:p>
    <w:p>
      <w:pPr>
        <w:pStyle w:val="9"/>
        <w:ind w:left="522" w:right="102"/>
        <w:rPr>
          <w:b w:val="0"/>
          <w:bCs/>
          <w:sz w:val="24"/>
          <w:szCs w:val="24"/>
          <w:lang w:eastAsia="zh-CN"/>
        </w:rPr>
      </w:pPr>
      <w:r>
        <w:rPr>
          <w:b w:val="0"/>
          <w:bCs/>
          <w:sz w:val="24"/>
          <w:szCs w:val="24"/>
          <w:lang w:eastAsia="zh-CN"/>
        </w:rPr>
        <w:t>2.</w:t>
      </w:r>
    </w:p>
    <w:p>
      <w:pPr>
        <w:pStyle w:val="9"/>
        <w:spacing w:before="5"/>
        <w:rPr>
          <w:b w:val="0"/>
          <w:bCs/>
          <w:sz w:val="24"/>
          <w:szCs w:val="24"/>
          <w:lang w:eastAsia="zh-CN"/>
        </w:rPr>
      </w:pPr>
    </w:p>
    <w:p>
      <w:pPr>
        <w:pStyle w:val="9"/>
        <w:ind w:left="628" w:right="102"/>
        <w:rPr>
          <w:b w:val="0"/>
          <w:bCs/>
          <w:sz w:val="24"/>
          <w:szCs w:val="24"/>
          <w:lang w:eastAsia="zh-CN"/>
        </w:rPr>
      </w:pPr>
      <w:r>
        <w:rPr>
          <w:b w:val="0"/>
          <w:bCs/>
          <w:sz w:val="24"/>
          <w:szCs w:val="24"/>
          <w:lang w:eastAsia="zh-CN"/>
        </w:rPr>
        <w:t>......</w:t>
      </w:r>
    </w:p>
    <w:p>
      <w:pPr>
        <w:pStyle w:val="9"/>
        <w:rPr>
          <w:b w:val="0"/>
          <w:bCs/>
          <w:sz w:val="24"/>
          <w:szCs w:val="24"/>
          <w:lang w:eastAsia="zh-CN"/>
        </w:rPr>
      </w:pPr>
    </w:p>
    <w:p>
      <w:pPr>
        <w:pStyle w:val="9"/>
        <w:rPr>
          <w:b w:val="0"/>
          <w:bCs/>
          <w:sz w:val="24"/>
          <w:szCs w:val="24"/>
          <w:lang w:eastAsia="zh-CN"/>
        </w:rPr>
      </w:pPr>
    </w:p>
    <w:p>
      <w:pPr>
        <w:pStyle w:val="9"/>
        <w:tabs>
          <w:tab w:val="left" w:pos="837"/>
          <w:tab w:val="left" w:pos="1782"/>
          <w:tab w:val="left" w:pos="5669"/>
        </w:tabs>
        <w:spacing w:before="36"/>
        <w:ind w:left="100" w:right="102"/>
        <w:rPr>
          <w:b w:val="0"/>
          <w:bCs/>
          <w:sz w:val="24"/>
          <w:szCs w:val="24"/>
          <w:lang w:eastAsia="zh-CN"/>
        </w:rPr>
      </w:pPr>
      <w:r>
        <w:rPr>
          <w:rFonts w:hint="eastAsia"/>
          <w:b w:val="0"/>
          <w:bCs/>
          <w:sz w:val="24"/>
          <w:szCs w:val="24"/>
          <w:lang w:eastAsia="zh-CN"/>
        </w:rPr>
        <w:t>请将上述问题的澄清、说明或补正于</w:t>
      </w:r>
      <w:r>
        <w:rPr>
          <w:rFonts w:hint="eastAsia"/>
          <w:b w:val="0"/>
          <w:bCs/>
          <w:sz w:val="24"/>
          <w:szCs w:val="24"/>
          <w:u w:val="single"/>
          <w:lang w:val="en-US" w:eastAsia="zh-CN"/>
        </w:rPr>
        <w:t xml:space="preserve">      </w:t>
      </w:r>
      <w:r>
        <w:rPr>
          <w:rFonts w:hint="eastAsia"/>
          <w:b w:val="0"/>
          <w:bCs/>
          <w:sz w:val="24"/>
          <w:szCs w:val="24"/>
          <w:lang w:eastAsia="zh-CN"/>
        </w:rPr>
        <w:t>年</w:t>
      </w:r>
      <w:r>
        <w:rPr>
          <w:rFonts w:hint="eastAsia"/>
          <w:b w:val="0"/>
          <w:bCs/>
          <w:sz w:val="24"/>
          <w:szCs w:val="24"/>
          <w:u w:val="single"/>
          <w:lang w:val="en-US" w:eastAsia="zh-CN"/>
        </w:rPr>
        <w:t xml:space="preserve">      </w:t>
      </w:r>
      <w:r>
        <w:rPr>
          <w:rFonts w:hint="eastAsia"/>
          <w:b w:val="0"/>
          <w:bCs/>
          <w:sz w:val="24"/>
          <w:szCs w:val="24"/>
          <w:lang w:eastAsia="zh-CN"/>
        </w:rPr>
        <w:t>月</w:t>
      </w:r>
      <w:r>
        <w:rPr>
          <w:rFonts w:hint="eastAsia"/>
          <w:b w:val="0"/>
          <w:bCs/>
          <w:sz w:val="24"/>
          <w:szCs w:val="24"/>
          <w:u w:val="single"/>
          <w:lang w:val="en-US" w:eastAsia="zh-CN"/>
        </w:rPr>
        <w:t xml:space="preserve">      </w:t>
      </w:r>
      <w:r>
        <w:rPr>
          <w:rFonts w:hint="eastAsia"/>
          <w:b w:val="0"/>
          <w:bCs/>
          <w:spacing w:val="-3"/>
          <w:sz w:val="24"/>
          <w:szCs w:val="24"/>
          <w:lang w:eastAsia="zh-CN"/>
        </w:rPr>
        <w:t>日</w:t>
      </w:r>
      <w:r>
        <w:rPr>
          <w:rFonts w:hint="eastAsia"/>
          <w:b w:val="0"/>
          <w:bCs/>
          <w:sz w:val="24"/>
          <w:szCs w:val="24"/>
          <w:u w:val="single"/>
          <w:lang w:val="en-US" w:eastAsia="zh-CN"/>
        </w:rPr>
        <w:t xml:space="preserve">      </w:t>
      </w:r>
      <w:r>
        <w:rPr>
          <w:rFonts w:hint="eastAsia"/>
          <w:b w:val="0"/>
          <w:bCs/>
          <w:sz w:val="24"/>
          <w:szCs w:val="24"/>
          <w:lang w:eastAsia="zh-CN"/>
        </w:rPr>
        <w:t>时前递交至</w:t>
      </w:r>
      <w:r>
        <w:rPr>
          <w:rFonts w:hint="eastAsia"/>
          <w:b w:val="0"/>
          <w:bCs/>
          <w:sz w:val="24"/>
          <w:szCs w:val="24"/>
          <w:u w:val="single"/>
          <w:lang w:val="en-US" w:eastAsia="zh-CN"/>
        </w:rPr>
        <w:t xml:space="preserve">      </w:t>
      </w:r>
      <w:r>
        <w:rPr>
          <w:rFonts w:hint="eastAsia"/>
          <w:b w:val="0"/>
          <w:bCs/>
          <w:spacing w:val="-5"/>
          <w:sz w:val="24"/>
          <w:szCs w:val="24"/>
          <w:lang w:eastAsia="zh-CN"/>
        </w:rPr>
        <w:t>（详细地址）</w:t>
      </w:r>
      <w:r>
        <w:rPr>
          <w:rFonts w:hint="eastAsia"/>
          <w:b w:val="0"/>
          <w:bCs/>
          <w:sz w:val="24"/>
          <w:szCs w:val="24"/>
          <w:lang w:eastAsia="zh-CN"/>
        </w:rPr>
        <w:t>。</w:t>
      </w:r>
    </w:p>
    <w:p>
      <w:pPr>
        <w:pStyle w:val="9"/>
        <w:rPr>
          <w:b w:val="0"/>
          <w:bCs/>
          <w:sz w:val="24"/>
          <w:szCs w:val="24"/>
          <w:lang w:eastAsia="zh-CN"/>
        </w:rPr>
      </w:pPr>
    </w:p>
    <w:p>
      <w:pPr>
        <w:pStyle w:val="9"/>
        <w:rPr>
          <w:b w:val="0"/>
          <w:bCs/>
          <w:sz w:val="24"/>
          <w:szCs w:val="24"/>
          <w:lang w:eastAsia="zh-CN"/>
        </w:rPr>
      </w:pPr>
    </w:p>
    <w:p>
      <w:pPr>
        <w:pStyle w:val="9"/>
        <w:rPr>
          <w:b w:val="0"/>
          <w:bCs/>
          <w:sz w:val="24"/>
          <w:szCs w:val="24"/>
          <w:lang w:eastAsia="zh-CN"/>
        </w:rPr>
      </w:pPr>
    </w:p>
    <w:p>
      <w:pPr>
        <w:pStyle w:val="9"/>
        <w:spacing w:before="1"/>
        <w:rPr>
          <w:b w:val="0"/>
          <w:bCs/>
          <w:sz w:val="24"/>
          <w:szCs w:val="24"/>
          <w:lang w:eastAsia="zh-CN"/>
        </w:rPr>
      </w:pPr>
    </w:p>
    <w:p>
      <w:pPr>
        <w:pStyle w:val="9"/>
        <w:tabs>
          <w:tab w:val="left" w:pos="7032"/>
        </w:tabs>
        <w:spacing w:before="37"/>
        <w:ind w:left="2200" w:right="102"/>
        <w:rPr>
          <w:b w:val="0"/>
          <w:bCs/>
          <w:sz w:val="24"/>
          <w:szCs w:val="24"/>
          <w:lang w:eastAsia="zh-CN"/>
        </w:rPr>
      </w:pPr>
      <w:r>
        <w:rPr>
          <w:rFonts w:hint="eastAsia"/>
          <w:b w:val="0"/>
          <w:bCs/>
          <w:sz w:val="24"/>
          <w:szCs w:val="24"/>
          <w:lang w:eastAsia="zh-CN"/>
        </w:rPr>
        <w:t>评标委员会授权的采购代理机构：</w:t>
      </w:r>
      <w:r>
        <w:rPr>
          <w:b w:val="0"/>
          <w:bCs/>
          <w:sz w:val="24"/>
          <w:szCs w:val="24"/>
          <w:u w:val="single"/>
          <w:lang w:eastAsia="zh-CN"/>
        </w:rPr>
        <w:tab/>
      </w:r>
      <w:r>
        <w:rPr>
          <w:rFonts w:hint="eastAsia"/>
          <w:b w:val="0"/>
          <w:bCs/>
          <w:sz w:val="24"/>
          <w:szCs w:val="24"/>
          <w:lang w:eastAsia="zh-CN"/>
        </w:rPr>
        <w:t>（签字或盖章）</w:t>
      </w:r>
    </w:p>
    <w:p>
      <w:pPr>
        <w:pStyle w:val="9"/>
        <w:rPr>
          <w:b w:val="0"/>
          <w:bCs/>
          <w:sz w:val="24"/>
          <w:szCs w:val="24"/>
          <w:lang w:eastAsia="zh-CN"/>
        </w:rPr>
      </w:pPr>
    </w:p>
    <w:p>
      <w:pPr>
        <w:pStyle w:val="9"/>
        <w:spacing w:before="7"/>
        <w:rPr>
          <w:b w:val="0"/>
          <w:bCs/>
          <w:sz w:val="24"/>
          <w:szCs w:val="24"/>
          <w:lang w:eastAsia="zh-CN"/>
        </w:rPr>
      </w:pPr>
    </w:p>
    <w:p>
      <w:pPr>
        <w:spacing w:line="360" w:lineRule="auto"/>
        <w:ind w:firstLine="5280" w:firstLineChars="2200"/>
        <w:contextualSpacing/>
        <w:jc w:val="right"/>
        <w:rPr>
          <w:rFonts w:ascii="宋体" w:hAnsi="宋体"/>
          <w:b w:val="0"/>
          <w:bCs/>
          <w:color w:val="000000"/>
          <w:sz w:val="24"/>
          <w:szCs w:val="24"/>
          <w:shd w:val="clear" w:color="auto" w:fill="FFFFFF"/>
        </w:rPr>
      </w:pPr>
      <w:r>
        <w:rPr>
          <w:b w:val="0"/>
          <w:bCs/>
          <w:sz w:val="24"/>
          <w:szCs w:val="24"/>
          <w:u w:val="single"/>
          <w:lang w:eastAsia="zh-CN"/>
        </w:rPr>
        <w:tab/>
      </w:r>
      <w:r>
        <w:rPr>
          <w:rFonts w:hint="eastAsia"/>
          <w:b w:val="0"/>
          <w:bCs/>
          <w:spacing w:val="-3"/>
          <w:sz w:val="24"/>
          <w:szCs w:val="24"/>
          <w:lang w:eastAsia="zh-CN"/>
        </w:rPr>
        <w:t>年</w:t>
      </w:r>
      <w:r>
        <w:rPr>
          <w:b w:val="0"/>
          <w:bCs/>
          <w:spacing w:val="-3"/>
          <w:sz w:val="24"/>
          <w:szCs w:val="24"/>
          <w:u w:val="single"/>
          <w:lang w:eastAsia="zh-CN"/>
        </w:rPr>
        <w:tab/>
      </w:r>
      <w:r>
        <w:rPr>
          <w:rFonts w:hint="eastAsia"/>
          <w:b w:val="0"/>
          <w:bCs/>
          <w:sz w:val="24"/>
          <w:szCs w:val="24"/>
          <w:lang w:eastAsia="zh-CN"/>
        </w:rPr>
        <w:t>月</w:t>
      </w:r>
      <w:r>
        <w:rPr>
          <w:b w:val="0"/>
          <w:bCs/>
          <w:sz w:val="24"/>
          <w:szCs w:val="24"/>
          <w:u w:val="single"/>
          <w:lang w:eastAsia="zh-CN"/>
        </w:rPr>
        <w:tab/>
      </w:r>
      <w:r>
        <w:rPr>
          <w:rFonts w:hint="eastAsia"/>
          <w:b w:val="0"/>
          <w:bCs/>
          <w:sz w:val="24"/>
          <w:szCs w:val="24"/>
          <w:lang w:eastAsia="zh-CN"/>
        </w:rPr>
        <w:t>日</w:t>
      </w: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rPr>
          <w:rFonts w:hint="eastAsia" w:ascii="宋体" w:hAnsi="宋体"/>
          <w:shd w:val="clear" w:color="auto" w:fill="FFFFFF"/>
        </w:rPr>
      </w:pPr>
      <w:bookmarkStart w:id="323" w:name="_Toc325293423"/>
      <w:r>
        <w:rPr>
          <w:rFonts w:hint="eastAsia" w:ascii="宋体" w:hAnsi="宋体"/>
          <w:shd w:val="clear" w:color="auto" w:fill="FFFFFF"/>
        </w:rPr>
        <w:br w:type="page"/>
      </w:r>
    </w:p>
    <w:p>
      <w:pPr>
        <w:pStyle w:val="6"/>
        <w:spacing w:line="360" w:lineRule="auto"/>
        <w:contextualSpacing/>
        <w:rPr>
          <w:rFonts w:ascii="宋体" w:hAnsi="宋体"/>
          <w:sz w:val="24"/>
          <w:szCs w:val="24"/>
          <w:shd w:val="clear" w:color="auto" w:fill="FFFFFF"/>
        </w:rPr>
      </w:pPr>
      <w:r>
        <w:rPr>
          <w:rFonts w:hint="eastAsia" w:ascii="宋体" w:hAnsi="宋体"/>
          <w:sz w:val="24"/>
          <w:szCs w:val="24"/>
          <w:shd w:val="clear" w:color="auto" w:fill="FFFFFF"/>
        </w:rPr>
        <w:t>附件三：</w:t>
      </w:r>
      <w:bookmarkEnd w:id="323"/>
      <w:r>
        <w:rPr>
          <w:rFonts w:hint="eastAsia" w:ascii="宋体" w:hAnsi="宋体"/>
          <w:sz w:val="24"/>
          <w:szCs w:val="24"/>
          <w:shd w:val="clear" w:color="auto" w:fill="FFFFFF"/>
        </w:rPr>
        <w:t>问题的澄清</w:t>
      </w:r>
    </w:p>
    <w:p>
      <w:pPr>
        <w:spacing w:beforeLines="100" w:afterLines="100" w:line="360" w:lineRule="auto"/>
        <w:contextualSpacing/>
        <w:jc w:val="center"/>
        <w:rPr>
          <w:rFonts w:ascii="宋体" w:hAnsi="宋体"/>
          <w:color w:val="000000"/>
          <w:sz w:val="24"/>
          <w:szCs w:val="24"/>
          <w:shd w:val="clear" w:color="auto" w:fill="FFFFFF"/>
        </w:rPr>
      </w:pPr>
      <w:r>
        <w:rPr>
          <w:rFonts w:hint="eastAsia" w:ascii="宋体" w:hAnsi="宋体"/>
          <w:color w:val="000000"/>
          <w:sz w:val="24"/>
          <w:szCs w:val="24"/>
          <w:shd w:val="clear" w:color="auto" w:fill="FFFFFF"/>
        </w:rPr>
        <w:t>问题的澄清</w:t>
      </w:r>
    </w:p>
    <w:p>
      <w:pPr>
        <w:pStyle w:val="9"/>
        <w:tabs>
          <w:tab w:val="left" w:pos="2937"/>
        </w:tabs>
        <w:spacing w:before="157"/>
        <w:ind w:right="20"/>
        <w:jc w:val="center"/>
        <w:rPr>
          <w:b w:val="0"/>
          <w:bCs/>
          <w:sz w:val="24"/>
          <w:szCs w:val="24"/>
          <w:lang w:eastAsia="zh-CN"/>
        </w:rPr>
      </w:pPr>
      <w:r>
        <w:rPr>
          <w:rFonts w:hint="eastAsia"/>
          <w:b w:val="0"/>
          <w:bCs/>
          <w:sz w:val="24"/>
          <w:szCs w:val="24"/>
          <w:lang w:eastAsia="zh-CN"/>
        </w:rPr>
        <w:t>（编号：</w:t>
      </w:r>
      <w:r>
        <w:rPr>
          <w:b w:val="0"/>
          <w:bCs/>
          <w:sz w:val="24"/>
          <w:szCs w:val="24"/>
          <w:u w:val="single"/>
          <w:lang w:eastAsia="zh-CN"/>
        </w:rPr>
        <w:tab/>
      </w:r>
      <w:r>
        <w:rPr>
          <w:rFonts w:hint="eastAsia"/>
          <w:b w:val="0"/>
          <w:bCs/>
          <w:sz w:val="24"/>
          <w:szCs w:val="24"/>
          <w:lang w:eastAsia="zh-CN"/>
        </w:rPr>
        <w:t>）</w:t>
      </w:r>
    </w:p>
    <w:p>
      <w:pPr>
        <w:spacing w:line="360" w:lineRule="auto"/>
        <w:contextualSpacing/>
        <w:rPr>
          <w:rFonts w:hint="eastAsia" w:ascii="宋体" w:hAnsi="宋体"/>
          <w:color w:val="000000"/>
          <w:sz w:val="24"/>
          <w:szCs w:val="24"/>
          <w:u w:val="single"/>
          <w:shd w:val="clear" w:color="auto" w:fill="FFFFFF"/>
        </w:rPr>
      </w:pPr>
    </w:p>
    <w:p>
      <w:pPr>
        <w:spacing w:line="360" w:lineRule="auto"/>
        <w:contextualSpacing/>
        <w:rPr>
          <w:rFonts w:ascii="宋体" w:hAnsi="宋体"/>
          <w:color w:val="000000"/>
          <w:sz w:val="24"/>
          <w:szCs w:val="24"/>
          <w:shd w:val="clear" w:color="auto" w:fill="FFFFFF"/>
        </w:rPr>
      </w:pPr>
      <w:r>
        <w:rPr>
          <w:rFonts w:hint="eastAsia" w:ascii="宋体" w:hAnsi="宋体"/>
          <w:color w:val="000000"/>
          <w:sz w:val="24"/>
          <w:szCs w:val="24"/>
          <w:u w:val="single"/>
          <w:shd w:val="clear" w:color="auto" w:fill="FFFFFF"/>
        </w:rPr>
        <w:t>（项目名称）</w:t>
      </w:r>
      <w:r>
        <w:rPr>
          <w:rFonts w:hint="eastAsia" w:ascii="宋体" w:hAnsi="宋体"/>
          <w:color w:val="000000"/>
          <w:sz w:val="24"/>
          <w:szCs w:val="24"/>
          <w:shd w:val="clear" w:color="auto" w:fill="FFFFFF"/>
        </w:rPr>
        <w:t>招标评标委员会：</w:t>
      </w:r>
    </w:p>
    <w:p>
      <w:pPr>
        <w:spacing w:line="360" w:lineRule="auto"/>
        <w:ind w:firstLine="480" w:firstLineChars="200"/>
        <w:contextualSpacing/>
        <w:rPr>
          <w:rFonts w:ascii="宋体" w:hAnsi="宋体"/>
          <w:color w:val="000000"/>
          <w:sz w:val="24"/>
          <w:szCs w:val="24"/>
          <w:shd w:val="clear" w:color="auto" w:fill="FFFFFF"/>
        </w:rPr>
      </w:pPr>
      <w:r>
        <w:rPr>
          <w:rFonts w:hint="eastAsia" w:ascii="宋体" w:hAnsi="宋体"/>
          <w:color w:val="000000"/>
          <w:sz w:val="24"/>
          <w:szCs w:val="24"/>
          <w:shd w:val="clear" w:color="auto" w:fill="FFFFFF"/>
        </w:rPr>
        <w:t xml:space="preserve">问题澄清通知（编号：         ）已收悉，现澄清如下： </w:t>
      </w:r>
    </w:p>
    <w:p>
      <w:pPr>
        <w:spacing w:line="360" w:lineRule="auto"/>
        <w:ind w:firstLine="480" w:firstLineChars="200"/>
        <w:contextualSpacing/>
        <w:rPr>
          <w:rFonts w:ascii="宋体" w:hAnsi="宋体"/>
          <w:color w:val="000000"/>
          <w:sz w:val="24"/>
          <w:szCs w:val="24"/>
          <w:shd w:val="clear" w:color="auto" w:fill="FFFFFF"/>
        </w:rPr>
      </w:pPr>
      <w:r>
        <w:rPr>
          <w:rFonts w:hint="eastAsia" w:ascii="宋体" w:hAnsi="宋体"/>
          <w:color w:val="000000"/>
          <w:sz w:val="24"/>
          <w:szCs w:val="24"/>
          <w:shd w:val="clear" w:color="auto" w:fill="FFFFFF"/>
        </w:rPr>
        <w:t>1、</w:t>
      </w:r>
    </w:p>
    <w:p>
      <w:pPr>
        <w:spacing w:line="360" w:lineRule="auto"/>
        <w:ind w:firstLine="480" w:firstLineChars="200"/>
        <w:contextualSpacing/>
        <w:rPr>
          <w:rFonts w:ascii="宋体" w:hAnsi="宋体"/>
          <w:color w:val="000000"/>
          <w:sz w:val="24"/>
          <w:szCs w:val="24"/>
          <w:shd w:val="clear" w:color="auto" w:fill="FFFFFF"/>
        </w:rPr>
      </w:pPr>
      <w:r>
        <w:rPr>
          <w:rFonts w:hint="eastAsia" w:ascii="宋体" w:hAnsi="宋体"/>
          <w:color w:val="000000"/>
          <w:sz w:val="24"/>
          <w:szCs w:val="24"/>
          <w:shd w:val="clear" w:color="auto" w:fill="FFFFFF"/>
        </w:rPr>
        <w:t>2、</w:t>
      </w:r>
    </w:p>
    <w:p>
      <w:pPr>
        <w:spacing w:line="360" w:lineRule="auto"/>
        <w:contextualSpacing/>
        <w:rPr>
          <w:rFonts w:ascii="宋体" w:hAnsi="宋体"/>
          <w:color w:val="000000"/>
          <w:sz w:val="24"/>
          <w:szCs w:val="24"/>
          <w:shd w:val="clear" w:color="auto" w:fill="FFFFFF"/>
        </w:rPr>
      </w:pPr>
    </w:p>
    <w:p>
      <w:pPr>
        <w:spacing w:line="360" w:lineRule="auto"/>
        <w:contextualSpacing/>
        <w:rPr>
          <w:rFonts w:ascii="宋体" w:hAnsi="宋体"/>
          <w:color w:val="000000"/>
          <w:sz w:val="24"/>
          <w:szCs w:val="24"/>
          <w:shd w:val="clear" w:color="auto" w:fill="FFFFFF"/>
        </w:rPr>
      </w:pPr>
    </w:p>
    <w:p>
      <w:pPr>
        <w:pStyle w:val="9"/>
        <w:spacing w:before="10"/>
        <w:rPr>
          <w:sz w:val="24"/>
          <w:szCs w:val="24"/>
          <w:lang w:eastAsia="zh-CN"/>
        </w:rPr>
      </w:pPr>
    </w:p>
    <w:p>
      <w:pPr>
        <w:spacing w:line="360" w:lineRule="auto"/>
        <w:contextualSpacing/>
        <w:rPr>
          <w:rFonts w:ascii="宋体" w:hAnsi="宋体"/>
          <w:color w:val="000000"/>
          <w:sz w:val="24"/>
          <w:szCs w:val="24"/>
          <w:shd w:val="clear" w:color="auto" w:fill="FFFFFF"/>
        </w:rPr>
      </w:pPr>
      <w:r>
        <w:rPr>
          <w:rFonts w:hint="eastAsia"/>
          <w:sz w:val="24"/>
          <w:szCs w:val="24"/>
          <w:lang w:eastAsia="zh-CN"/>
        </w:rPr>
        <w:t>上述问题澄清、说明或补正，不改变我方投标文件的实质性内容，构成我方投标文件的组成部分。</w:t>
      </w:r>
    </w:p>
    <w:p>
      <w:pPr>
        <w:spacing w:line="360" w:lineRule="auto"/>
        <w:contextualSpacing/>
        <w:rPr>
          <w:rFonts w:ascii="宋体" w:hAnsi="宋体"/>
          <w:color w:val="000000"/>
          <w:sz w:val="24"/>
          <w:szCs w:val="24"/>
          <w:shd w:val="clear" w:color="auto" w:fill="FFFFFF"/>
        </w:rPr>
      </w:pPr>
    </w:p>
    <w:p>
      <w:pPr>
        <w:spacing w:line="360" w:lineRule="auto"/>
        <w:contextualSpacing/>
        <w:rPr>
          <w:rFonts w:ascii="宋体" w:hAnsi="宋体"/>
          <w:color w:val="000000"/>
          <w:sz w:val="24"/>
          <w:szCs w:val="24"/>
          <w:shd w:val="clear" w:color="auto" w:fill="FFFFFF"/>
        </w:rPr>
      </w:pPr>
    </w:p>
    <w:p>
      <w:pPr>
        <w:spacing w:line="360" w:lineRule="auto"/>
        <w:contextualSpacing/>
        <w:rPr>
          <w:rFonts w:ascii="宋体" w:hAnsi="宋体"/>
          <w:color w:val="000000"/>
          <w:sz w:val="24"/>
          <w:szCs w:val="24"/>
          <w:shd w:val="clear" w:color="auto" w:fill="FFFFFF"/>
        </w:rPr>
      </w:pPr>
    </w:p>
    <w:p>
      <w:pPr>
        <w:spacing w:line="360" w:lineRule="auto"/>
        <w:ind w:firstLine="5040" w:firstLineChars="2100"/>
        <w:contextualSpacing/>
        <w:rPr>
          <w:rFonts w:ascii="宋体" w:hAnsi="宋体"/>
          <w:color w:val="000000"/>
          <w:sz w:val="24"/>
          <w:szCs w:val="24"/>
          <w:shd w:val="clear" w:color="auto" w:fill="FFFFFF"/>
        </w:rPr>
      </w:pPr>
      <w:r>
        <w:rPr>
          <w:rFonts w:hint="eastAsia" w:ascii="宋体" w:hAnsi="宋体"/>
          <w:color w:val="000000"/>
          <w:sz w:val="24"/>
          <w:szCs w:val="24"/>
          <w:shd w:val="clear" w:color="auto" w:fill="FFFFFF"/>
        </w:rPr>
        <w:t>投</w:t>
      </w:r>
      <w:r>
        <w:rPr>
          <w:rFonts w:ascii="宋体" w:hAnsi="宋体"/>
          <w:color w:val="000000"/>
          <w:sz w:val="24"/>
          <w:szCs w:val="24"/>
          <w:shd w:val="clear" w:color="auto" w:fill="FFFFFF"/>
        </w:rPr>
        <w:t>标人：</w:t>
      </w:r>
      <w:r>
        <w:rPr>
          <w:rFonts w:hint="eastAsia" w:ascii="宋体" w:hAnsi="宋体"/>
          <w:color w:val="000000"/>
          <w:sz w:val="24"/>
          <w:szCs w:val="24"/>
          <w:u w:val="single"/>
          <w:shd w:val="clear" w:color="auto" w:fill="FFFFFF"/>
          <w:lang w:val="en-US" w:eastAsia="zh-CN"/>
        </w:rPr>
        <w:t xml:space="preserve">          </w:t>
      </w:r>
      <w:r>
        <w:rPr>
          <w:rFonts w:ascii="宋体" w:hAnsi="宋体"/>
          <w:color w:val="000000"/>
          <w:sz w:val="24"/>
          <w:szCs w:val="24"/>
          <w:shd w:val="clear" w:color="auto" w:fill="FFFFFF"/>
        </w:rPr>
        <w:t xml:space="preserve">（盖单位章）            </w:t>
      </w:r>
    </w:p>
    <w:p>
      <w:pPr>
        <w:spacing w:line="360" w:lineRule="auto"/>
        <w:ind w:firstLine="3600" w:firstLineChars="1500"/>
        <w:contextualSpacing/>
        <w:rPr>
          <w:rFonts w:ascii="宋体" w:hAnsi="宋体"/>
          <w:color w:val="000000"/>
          <w:sz w:val="24"/>
          <w:szCs w:val="24"/>
          <w:shd w:val="clear" w:color="auto" w:fill="FFFFFF"/>
        </w:rPr>
      </w:pPr>
      <w:r>
        <w:rPr>
          <w:rFonts w:ascii="宋体" w:hAnsi="宋体"/>
          <w:color w:val="000000"/>
          <w:sz w:val="24"/>
          <w:szCs w:val="24"/>
          <w:shd w:val="clear" w:color="auto" w:fill="FFFFFF"/>
        </w:rPr>
        <w:t>法定代表人</w:t>
      </w:r>
      <w:r>
        <w:rPr>
          <w:rFonts w:hint="eastAsia" w:ascii="宋体" w:hAnsi="宋体"/>
          <w:color w:val="000000"/>
          <w:sz w:val="24"/>
          <w:szCs w:val="24"/>
          <w:shd w:val="clear" w:color="auto" w:fill="FFFFFF"/>
        </w:rPr>
        <w:t>或其委托代理人</w:t>
      </w:r>
      <w:r>
        <w:rPr>
          <w:rFonts w:ascii="宋体" w:hAnsi="宋体"/>
          <w:color w:val="000000"/>
          <w:sz w:val="24"/>
          <w:szCs w:val="24"/>
          <w:shd w:val="clear" w:color="auto" w:fill="FFFFFF"/>
        </w:rPr>
        <w:t>：</w:t>
      </w:r>
      <w:r>
        <w:rPr>
          <w:rFonts w:hint="eastAsia" w:ascii="宋体" w:hAnsi="宋体"/>
          <w:color w:val="000000"/>
          <w:sz w:val="24"/>
          <w:szCs w:val="24"/>
          <w:u w:val="single"/>
          <w:shd w:val="clear" w:color="auto" w:fill="FFFFFF"/>
          <w:lang w:val="en-US" w:eastAsia="zh-CN"/>
        </w:rPr>
        <w:t xml:space="preserve">           </w:t>
      </w:r>
      <w:r>
        <w:rPr>
          <w:rFonts w:ascii="宋体" w:hAnsi="宋体"/>
          <w:color w:val="000000"/>
          <w:sz w:val="24"/>
          <w:szCs w:val="24"/>
          <w:shd w:val="clear" w:color="auto" w:fill="FFFFFF"/>
        </w:rPr>
        <w:t>（签字）</w:t>
      </w:r>
    </w:p>
    <w:p>
      <w:pPr>
        <w:spacing w:line="360" w:lineRule="auto"/>
        <w:ind w:firstLine="4416" w:firstLineChars="1840"/>
        <w:contextualSpacing/>
        <w:rPr>
          <w:rFonts w:ascii="宋体" w:hAnsi="宋体"/>
          <w:color w:val="000000"/>
          <w:sz w:val="24"/>
          <w:szCs w:val="24"/>
          <w:shd w:val="clear" w:color="auto" w:fill="FFFFFF"/>
        </w:rPr>
      </w:pPr>
    </w:p>
    <w:p>
      <w:pPr>
        <w:spacing w:line="360" w:lineRule="auto"/>
        <w:contextualSpacing/>
        <w:jc w:val="right"/>
        <w:rPr>
          <w:rFonts w:ascii="宋体" w:hAnsi="宋体"/>
          <w:color w:val="000000"/>
          <w:shd w:val="clear" w:color="auto" w:fill="FFFFFF"/>
        </w:rPr>
      </w:pPr>
      <w:r>
        <w:rPr>
          <w:rFonts w:ascii="宋体" w:hAnsi="宋体"/>
          <w:color w:val="000000"/>
          <w:sz w:val="24"/>
          <w:szCs w:val="24"/>
          <w:shd w:val="clear" w:color="auto" w:fill="FFFFFF"/>
        </w:rPr>
        <w:t>年</w:t>
      </w:r>
      <w:r>
        <w:rPr>
          <w:rFonts w:hint="eastAsia" w:ascii="宋体" w:hAnsi="宋体"/>
          <w:color w:val="000000"/>
          <w:sz w:val="24"/>
          <w:szCs w:val="24"/>
          <w:shd w:val="clear" w:color="auto" w:fill="FFFFFF"/>
          <w:lang w:val="en-US" w:eastAsia="zh-CN"/>
        </w:rPr>
        <w:t xml:space="preserve">  </w:t>
      </w:r>
      <w:r>
        <w:rPr>
          <w:rFonts w:ascii="宋体" w:hAnsi="宋体"/>
          <w:color w:val="000000"/>
          <w:sz w:val="24"/>
          <w:szCs w:val="24"/>
          <w:shd w:val="clear" w:color="auto" w:fill="FFFFFF"/>
        </w:rPr>
        <w:t>月  日</w:t>
      </w: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ind w:firstLine="420" w:firstLineChars="200"/>
        <w:contextualSpacing/>
        <w:rPr>
          <w:rFonts w:ascii="宋体" w:hAnsi="宋体"/>
          <w:color w:val="000000"/>
          <w:shd w:val="clear" w:color="auto" w:fill="FFFFFF"/>
        </w:rPr>
      </w:pPr>
    </w:p>
    <w:p>
      <w:pPr>
        <w:spacing w:line="360" w:lineRule="auto"/>
        <w:ind w:firstLine="420" w:firstLineChars="200"/>
        <w:contextualSpacing/>
        <w:rPr>
          <w:rFonts w:ascii="宋体" w:hAnsi="宋体"/>
          <w:color w:val="000000"/>
          <w:shd w:val="clear" w:color="auto" w:fill="FFFFFF"/>
        </w:rPr>
      </w:pPr>
    </w:p>
    <w:p>
      <w:pPr>
        <w:spacing w:line="360" w:lineRule="auto"/>
        <w:ind w:firstLine="420" w:firstLineChars="200"/>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spacing w:line="360" w:lineRule="auto"/>
        <w:contextualSpacing/>
        <w:rPr>
          <w:rFonts w:ascii="宋体" w:hAnsi="宋体"/>
          <w:color w:val="000000"/>
          <w:shd w:val="clear" w:color="auto" w:fill="FFFFFF"/>
        </w:rPr>
      </w:pPr>
    </w:p>
    <w:p>
      <w:pPr>
        <w:pStyle w:val="6"/>
        <w:spacing w:line="360" w:lineRule="auto"/>
        <w:contextualSpacing/>
        <w:rPr>
          <w:rFonts w:hint="eastAsia" w:ascii="宋体" w:hAnsi="宋体" w:eastAsia="宋体"/>
          <w:sz w:val="24"/>
          <w:szCs w:val="24"/>
          <w:shd w:val="clear" w:color="auto" w:fill="FFFFFF"/>
          <w:lang w:eastAsia="zh-CN"/>
        </w:rPr>
      </w:pPr>
      <w:bookmarkStart w:id="324" w:name="_Toc325293425"/>
      <w:r>
        <w:rPr>
          <w:rFonts w:hint="eastAsia" w:ascii="宋体" w:hAnsi="宋体"/>
          <w:sz w:val="24"/>
          <w:szCs w:val="24"/>
          <w:shd w:val="clear" w:color="auto" w:fill="FFFFFF"/>
        </w:rPr>
        <w:t>附件四：中标通知书</w:t>
      </w:r>
      <w:bookmarkEnd w:id="324"/>
      <w:r>
        <w:rPr>
          <w:rFonts w:hint="eastAsia" w:ascii="宋体" w:hAnsi="宋体"/>
          <w:sz w:val="24"/>
          <w:szCs w:val="24"/>
          <w:shd w:val="clear" w:color="auto" w:fill="FFFFFF"/>
          <w:lang w:eastAsia="zh-CN"/>
        </w:rPr>
        <w:t>（</w:t>
      </w:r>
      <w:r>
        <w:rPr>
          <w:rFonts w:hint="eastAsia" w:ascii="宋体" w:hAnsi="宋体"/>
          <w:sz w:val="24"/>
          <w:szCs w:val="24"/>
          <w:shd w:val="clear" w:color="auto" w:fill="FFFFFF"/>
          <w:lang w:val="en-US" w:eastAsia="zh-CN"/>
        </w:rPr>
        <w:t>以实际发出格式为准，此格式仅作参考</w:t>
      </w:r>
      <w:r>
        <w:rPr>
          <w:rFonts w:hint="eastAsia" w:ascii="宋体" w:hAnsi="宋体"/>
          <w:sz w:val="24"/>
          <w:szCs w:val="24"/>
          <w:shd w:val="clear" w:color="auto" w:fill="FFFFFF"/>
          <w:lang w:eastAsia="zh-CN"/>
        </w:rPr>
        <w:t>）</w:t>
      </w:r>
    </w:p>
    <w:p>
      <w:pPr>
        <w:autoSpaceDE w:val="0"/>
        <w:autoSpaceDN w:val="0"/>
        <w:adjustRightIn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中标通知书</w:t>
      </w:r>
    </w:p>
    <w:tbl>
      <w:tblPr>
        <w:tblStyle w:val="25"/>
        <w:tblpPr w:leftFromText="180" w:rightFromText="180" w:vertAnchor="text" w:horzAnchor="margin" w:tblpXSpec="center" w:tblpY="14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6"/>
        <w:gridCol w:w="1787"/>
        <w:gridCol w:w="1337"/>
        <w:gridCol w:w="3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636" w:type="dxa"/>
            <w:vAlign w:val="center"/>
          </w:tcPr>
          <w:p>
            <w:pPr>
              <w:keepNext w:val="0"/>
              <w:keepLines w:val="0"/>
              <w:suppressLineNumbers w:val="0"/>
              <w:spacing w:before="0" w:beforeAutospacing="0" w:after="0" w:afterAutospacing="0"/>
              <w:ind w:left="0" w:right="0"/>
              <w:jc w:val="distribute"/>
              <w:rPr>
                <w:rFonts w:hint="eastAsia" w:ascii="宋体" w:hAnsi="宋体" w:eastAsia="宋体" w:cs="宋体"/>
                <w:kern w:val="2"/>
                <w:sz w:val="24"/>
                <w:szCs w:val="24"/>
              </w:rPr>
            </w:pPr>
            <w:r>
              <w:rPr>
                <w:rFonts w:hint="eastAsia" w:ascii="宋体" w:hAnsi="宋体" w:eastAsia="宋体" w:cs="宋体"/>
                <w:kern w:val="2"/>
                <w:sz w:val="24"/>
                <w:szCs w:val="24"/>
              </w:rPr>
              <w:t>中标项目</w:t>
            </w:r>
            <w:r>
              <w:rPr>
                <w:rFonts w:hint="eastAsia" w:ascii="宋体" w:hAnsi="宋体" w:eastAsia="宋体" w:cs="宋体"/>
                <w:kern w:val="2"/>
                <w:sz w:val="24"/>
                <w:szCs w:val="24"/>
                <w:lang w:val="en-US" w:eastAsia="zh-CN"/>
              </w:rPr>
              <w:t>标段</w:t>
            </w:r>
            <w:r>
              <w:rPr>
                <w:rFonts w:hint="eastAsia" w:ascii="宋体" w:hAnsi="宋体" w:eastAsia="宋体" w:cs="宋体"/>
                <w:kern w:val="2"/>
                <w:sz w:val="24"/>
                <w:szCs w:val="24"/>
              </w:rPr>
              <w:t>名称</w:t>
            </w:r>
          </w:p>
        </w:tc>
        <w:tc>
          <w:tcPr>
            <w:tcW w:w="6604" w:type="dxa"/>
            <w:gridSpan w:val="3"/>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636" w:type="dxa"/>
            <w:vAlign w:val="center"/>
          </w:tcPr>
          <w:p>
            <w:pPr>
              <w:keepNext w:val="0"/>
              <w:keepLines w:val="0"/>
              <w:suppressLineNumbers w:val="0"/>
              <w:spacing w:before="0" w:beforeAutospacing="0" w:after="0" w:afterAutospacing="0"/>
              <w:ind w:left="0" w:right="0"/>
              <w:jc w:val="distribute"/>
              <w:rPr>
                <w:rFonts w:hint="eastAsia" w:ascii="宋体" w:hAnsi="宋体" w:eastAsia="宋体" w:cs="宋体"/>
                <w:kern w:val="2"/>
                <w:sz w:val="24"/>
                <w:szCs w:val="24"/>
              </w:rPr>
            </w:pPr>
            <w:r>
              <w:rPr>
                <w:rFonts w:hint="eastAsia" w:ascii="宋体" w:hAnsi="宋体" w:eastAsia="宋体" w:cs="宋体"/>
                <w:kern w:val="2"/>
                <w:sz w:val="24"/>
                <w:szCs w:val="24"/>
                <w:lang w:eastAsia="zh-CN"/>
              </w:rPr>
              <w:t>招标</w:t>
            </w:r>
            <w:r>
              <w:rPr>
                <w:rFonts w:hint="eastAsia" w:ascii="宋体" w:hAnsi="宋体" w:eastAsia="宋体" w:cs="宋体"/>
                <w:kern w:val="2"/>
                <w:sz w:val="24"/>
                <w:szCs w:val="24"/>
              </w:rPr>
              <w:t>项目</w:t>
            </w:r>
            <w:r>
              <w:rPr>
                <w:rFonts w:hint="eastAsia" w:ascii="宋体" w:hAnsi="宋体" w:eastAsia="宋体" w:cs="宋体"/>
                <w:kern w:val="2"/>
                <w:sz w:val="24"/>
                <w:szCs w:val="24"/>
                <w:lang w:val="en-US" w:eastAsia="zh-CN"/>
              </w:rPr>
              <w:t>标段</w:t>
            </w:r>
            <w:r>
              <w:rPr>
                <w:rFonts w:hint="eastAsia" w:ascii="宋体" w:hAnsi="宋体" w:eastAsia="宋体" w:cs="宋体"/>
                <w:kern w:val="2"/>
                <w:sz w:val="24"/>
                <w:szCs w:val="24"/>
              </w:rPr>
              <w:t>编号</w:t>
            </w:r>
          </w:p>
        </w:tc>
        <w:tc>
          <w:tcPr>
            <w:tcW w:w="6604" w:type="dxa"/>
            <w:gridSpan w:val="3"/>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2636" w:type="dxa"/>
            <w:vAlign w:val="center"/>
          </w:tcPr>
          <w:p>
            <w:pPr>
              <w:keepNext w:val="0"/>
              <w:keepLines w:val="0"/>
              <w:suppressLineNumbers w:val="0"/>
              <w:spacing w:before="0" w:beforeAutospacing="0" w:after="0" w:afterAutospacing="0"/>
              <w:ind w:left="0" w:right="0"/>
              <w:jc w:val="distribute"/>
              <w:rPr>
                <w:rFonts w:hint="eastAsia" w:ascii="宋体" w:hAnsi="宋体" w:eastAsia="宋体" w:cs="宋体"/>
                <w:kern w:val="2"/>
                <w:sz w:val="24"/>
                <w:szCs w:val="24"/>
              </w:rPr>
            </w:pPr>
            <w:r>
              <w:rPr>
                <w:rFonts w:hint="eastAsia" w:ascii="宋体" w:hAnsi="宋体" w:eastAsia="宋体" w:cs="宋体"/>
                <w:kern w:val="2"/>
                <w:sz w:val="24"/>
                <w:szCs w:val="24"/>
              </w:rPr>
              <w:t>中标单位名称</w:t>
            </w:r>
          </w:p>
        </w:tc>
        <w:tc>
          <w:tcPr>
            <w:tcW w:w="6604" w:type="dxa"/>
            <w:gridSpan w:val="3"/>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63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项</w:t>
            </w:r>
            <w:r>
              <w:rPr>
                <w:rFonts w:hint="eastAsia" w:cs="宋体"/>
                <w:kern w:val="2"/>
                <w:sz w:val="24"/>
                <w:szCs w:val="24"/>
                <w:lang w:val="en-US" w:eastAsia="zh-CN"/>
              </w:rPr>
              <w:t xml:space="preserve"> </w:t>
            </w:r>
            <w:r>
              <w:rPr>
                <w:rFonts w:hint="eastAsia" w:ascii="宋体" w:hAnsi="宋体" w:eastAsia="宋体" w:cs="宋体"/>
                <w:kern w:val="2"/>
                <w:sz w:val="24"/>
                <w:szCs w:val="24"/>
              </w:rPr>
              <w:t>目</w:t>
            </w:r>
            <w:r>
              <w:rPr>
                <w:rFonts w:hint="eastAsia" w:cs="宋体"/>
                <w:kern w:val="2"/>
                <w:sz w:val="24"/>
                <w:szCs w:val="24"/>
                <w:lang w:val="en-US" w:eastAsia="zh-CN"/>
              </w:rPr>
              <w:t xml:space="preserve"> </w:t>
            </w:r>
            <w:r>
              <w:rPr>
                <w:rFonts w:hint="eastAsia" w:ascii="宋体" w:hAnsi="宋体" w:eastAsia="宋体" w:cs="宋体"/>
                <w:kern w:val="2"/>
                <w:sz w:val="24"/>
                <w:szCs w:val="24"/>
              </w:rPr>
              <w:t>地</w:t>
            </w:r>
            <w:r>
              <w:rPr>
                <w:rFonts w:hint="eastAsia" w:cs="宋体"/>
                <w:kern w:val="2"/>
                <w:sz w:val="24"/>
                <w:szCs w:val="24"/>
                <w:lang w:val="en-US" w:eastAsia="zh-CN"/>
              </w:rPr>
              <w:t xml:space="preserve"> </w:t>
            </w:r>
            <w:r>
              <w:rPr>
                <w:rFonts w:hint="eastAsia" w:ascii="宋体" w:hAnsi="宋体" w:eastAsia="宋体" w:cs="宋体"/>
                <w:kern w:val="2"/>
                <w:sz w:val="24"/>
                <w:szCs w:val="24"/>
              </w:rPr>
              <w:t>点</w:t>
            </w:r>
          </w:p>
        </w:tc>
        <w:tc>
          <w:tcPr>
            <w:tcW w:w="178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3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采购人</w:t>
            </w:r>
          </w:p>
        </w:tc>
        <w:tc>
          <w:tcPr>
            <w:tcW w:w="348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63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开 标 日 期</w:t>
            </w:r>
          </w:p>
        </w:tc>
        <w:tc>
          <w:tcPr>
            <w:tcW w:w="178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3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招标方式</w:t>
            </w:r>
          </w:p>
        </w:tc>
        <w:tc>
          <w:tcPr>
            <w:tcW w:w="348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63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中 标 价 格</w:t>
            </w:r>
          </w:p>
        </w:tc>
        <w:tc>
          <w:tcPr>
            <w:tcW w:w="6604" w:type="dxa"/>
            <w:gridSpan w:val="3"/>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63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kern w:val="2"/>
                <w:sz w:val="24"/>
                <w:szCs w:val="24"/>
                <w:lang w:val="en-US" w:eastAsia="zh-CN"/>
              </w:rPr>
            </w:pPr>
            <w:r>
              <w:rPr>
                <w:rFonts w:hint="eastAsia"/>
                <w:kern w:val="2"/>
                <w:sz w:val="24"/>
                <w:szCs w:val="24"/>
                <w:lang w:val="en-US" w:eastAsia="zh-CN"/>
              </w:rPr>
              <w:t>合同履行期限</w:t>
            </w:r>
          </w:p>
        </w:tc>
        <w:tc>
          <w:tcPr>
            <w:tcW w:w="6604" w:type="dxa"/>
            <w:gridSpan w:val="3"/>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63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Cs/>
                <w:kern w:val="2"/>
                <w:sz w:val="24"/>
                <w:szCs w:val="24"/>
                <w:lang w:val="zh-CN" w:eastAsia="zh-CN"/>
              </w:rPr>
            </w:pPr>
            <w:r>
              <w:rPr>
                <w:rFonts w:hint="eastAsia" w:ascii="宋体" w:hAnsi="宋体" w:eastAsia="宋体" w:cs="宋体"/>
                <w:bCs/>
                <w:kern w:val="2"/>
                <w:sz w:val="24"/>
                <w:szCs w:val="24"/>
                <w:lang w:val="en-US" w:eastAsia="zh-CN"/>
              </w:rPr>
              <w:t>质量</w:t>
            </w:r>
            <w:r>
              <w:rPr>
                <w:rFonts w:hint="eastAsia" w:ascii="宋体" w:hAnsi="宋体" w:eastAsia="宋体" w:cs="宋体"/>
                <w:bCs/>
                <w:kern w:val="2"/>
                <w:sz w:val="24"/>
                <w:szCs w:val="24"/>
                <w:lang w:val="zh-CN" w:eastAsia="zh-CN"/>
              </w:rPr>
              <w:t xml:space="preserve"> </w:t>
            </w:r>
            <w:r>
              <w:rPr>
                <w:rFonts w:hint="eastAsia" w:cs="宋体"/>
                <w:bCs/>
                <w:kern w:val="2"/>
                <w:sz w:val="24"/>
                <w:szCs w:val="24"/>
                <w:lang w:val="zh-CN" w:eastAsia="zh-CN"/>
              </w:rPr>
              <w:t>标</w:t>
            </w:r>
            <w:r>
              <w:rPr>
                <w:rFonts w:hint="eastAsia" w:ascii="宋体" w:hAnsi="宋体" w:eastAsia="宋体" w:cs="宋体"/>
                <w:bCs/>
                <w:kern w:val="2"/>
                <w:sz w:val="24"/>
                <w:szCs w:val="24"/>
                <w:lang w:val="zh-CN" w:eastAsia="zh-CN"/>
              </w:rPr>
              <w:t xml:space="preserve"> </w:t>
            </w:r>
            <w:r>
              <w:rPr>
                <w:rFonts w:hint="eastAsia" w:cs="宋体"/>
                <w:bCs/>
                <w:kern w:val="2"/>
                <w:sz w:val="24"/>
                <w:szCs w:val="24"/>
                <w:lang w:val="zh-CN" w:eastAsia="zh-CN"/>
              </w:rPr>
              <w:t>准</w:t>
            </w:r>
          </w:p>
        </w:tc>
        <w:tc>
          <w:tcPr>
            <w:tcW w:w="6604" w:type="dxa"/>
            <w:gridSpan w:val="3"/>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36" w:type="dxa"/>
            <w:vAlign w:val="center"/>
          </w:tcPr>
          <w:p>
            <w:pPr>
              <w:keepNext w:val="0"/>
              <w:keepLines w:val="0"/>
              <w:suppressLineNumbers w:val="0"/>
              <w:spacing w:before="0" w:beforeAutospacing="0" w:after="0" w:afterAutospacing="0"/>
              <w:ind w:left="0" w:right="0"/>
              <w:jc w:val="distribute"/>
              <w:rPr>
                <w:rFonts w:hint="eastAsia" w:ascii="宋体" w:hAnsi="宋体" w:eastAsia="宋体" w:cs="宋体"/>
                <w:kern w:val="2"/>
                <w:sz w:val="24"/>
                <w:szCs w:val="24"/>
              </w:rPr>
            </w:pPr>
            <w:r>
              <w:rPr>
                <w:rFonts w:hint="eastAsia" w:ascii="宋体" w:hAnsi="宋体" w:eastAsia="宋体" w:cs="宋体"/>
                <w:kern w:val="2"/>
                <w:sz w:val="24"/>
                <w:szCs w:val="24"/>
              </w:rPr>
              <w:t>中标项目范围</w:t>
            </w:r>
          </w:p>
        </w:tc>
        <w:tc>
          <w:tcPr>
            <w:tcW w:w="6604" w:type="dxa"/>
            <w:gridSpan w:val="3"/>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9240" w:type="dxa"/>
            <w:gridSpan w:val="4"/>
            <w:vAlign w:val="center"/>
          </w:tcPr>
          <w:p>
            <w:pPr>
              <w:keepNext w:val="0"/>
              <w:keepLines w:val="0"/>
              <w:suppressLineNumbers w:val="0"/>
              <w:spacing w:before="0" w:beforeAutospacing="0" w:after="0" w:afterAutospacing="0"/>
              <w:ind w:left="0" w:right="0" w:firstLine="435"/>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请中标单位在《中标通知书》发出之日起30日内，与采购人签订合同。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9" w:hRule="atLeast"/>
          <w:jc w:val="center"/>
        </w:trPr>
        <w:tc>
          <w:tcPr>
            <w:tcW w:w="4423" w:type="dxa"/>
            <w:gridSpan w:val="2"/>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采购人（章）</w:t>
            </w: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法人或授权代表（章或签字）</w:t>
            </w: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firstLine="960" w:firstLineChars="400"/>
              <w:jc w:val="right"/>
              <w:rPr>
                <w:rFonts w:hint="eastAsia" w:ascii="宋体" w:hAnsi="宋体" w:eastAsia="宋体" w:cs="宋体"/>
                <w:kern w:val="2"/>
                <w:sz w:val="24"/>
                <w:szCs w:val="24"/>
                <w:lang w:eastAsia="zh-CN"/>
              </w:rPr>
            </w:pPr>
          </w:p>
          <w:p>
            <w:pPr>
              <w:pStyle w:val="3"/>
              <w:outlineLvl w:val="9"/>
              <w:rPr>
                <w:rFonts w:hint="eastAsia"/>
                <w:sz w:val="24"/>
                <w:szCs w:val="24"/>
                <w:lang w:eastAsia="zh-CN"/>
              </w:rPr>
            </w:pPr>
          </w:p>
          <w:p>
            <w:pPr>
              <w:keepNext w:val="0"/>
              <w:keepLines w:val="0"/>
              <w:suppressLineNumbers w:val="0"/>
              <w:spacing w:before="0" w:beforeAutospacing="0" w:after="0" w:afterAutospacing="0"/>
              <w:ind w:left="0" w:right="0" w:firstLine="1440" w:firstLineChars="600"/>
              <w:jc w:val="right"/>
              <w:rPr>
                <w:rFonts w:hint="eastAsia" w:ascii="宋体" w:hAnsi="宋体" w:eastAsia="宋体" w:cs="宋体"/>
                <w:kern w:val="2"/>
                <w:sz w:val="24"/>
                <w:szCs w:val="24"/>
              </w:rPr>
            </w:pPr>
            <w:r>
              <w:rPr>
                <w:rFonts w:hint="eastAsia" w:ascii="宋体" w:hAnsi="宋体" w:eastAsia="宋体" w:cs="宋体"/>
                <w:kern w:val="2"/>
                <w:sz w:val="24"/>
                <w:szCs w:val="24"/>
              </w:rPr>
              <w:t>年   月   日</w:t>
            </w:r>
          </w:p>
        </w:tc>
        <w:tc>
          <w:tcPr>
            <w:tcW w:w="4817" w:type="dxa"/>
            <w:gridSpan w:val="2"/>
            <w:vAlign w:val="center"/>
          </w:tcPr>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采购代理机构（章）</w:t>
            </w: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法人或授权代表（章或签字）</w:t>
            </w:r>
          </w:p>
          <w:p>
            <w:pPr>
              <w:keepNext w:val="0"/>
              <w:keepLines w:val="0"/>
              <w:suppressLineNumbers w:val="0"/>
              <w:spacing w:before="0" w:beforeAutospacing="0" w:after="0" w:afterAutospacing="0"/>
              <w:ind w:left="0" w:right="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firstLine="1200" w:firstLineChars="500"/>
              <w:rPr>
                <w:rFonts w:hint="eastAsia" w:ascii="宋体" w:hAnsi="宋体" w:eastAsia="宋体" w:cs="宋体"/>
                <w:kern w:val="2"/>
                <w:sz w:val="24"/>
                <w:szCs w:val="24"/>
                <w:lang w:eastAsia="zh-CN"/>
              </w:rPr>
            </w:pPr>
          </w:p>
          <w:p>
            <w:pPr>
              <w:pStyle w:val="3"/>
              <w:outlineLvl w:val="9"/>
              <w:rPr>
                <w:rFonts w:hint="eastAsia"/>
                <w:sz w:val="24"/>
                <w:szCs w:val="24"/>
                <w:lang w:eastAsia="zh-CN"/>
              </w:rPr>
            </w:pPr>
          </w:p>
          <w:p>
            <w:pPr>
              <w:keepNext w:val="0"/>
              <w:keepLines w:val="0"/>
              <w:suppressLineNumbers w:val="0"/>
              <w:spacing w:before="0" w:beforeAutospacing="0" w:after="0" w:afterAutospacing="0"/>
              <w:ind w:left="0" w:right="0" w:firstLine="1200" w:firstLineChars="500"/>
              <w:rPr>
                <w:rFonts w:hint="eastAsia" w:ascii="宋体" w:hAnsi="宋体" w:eastAsia="宋体" w:cs="宋体"/>
                <w:kern w:val="2"/>
                <w:sz w:val="24"/>
                <w:szCs w:val="24"/>
                <w:lang w:eastAsia="zh-CN"/>
              </w:rPr>
            </w:pPr>
          </w:p>
          <w:p>
            <w:pPr>
              <w:keepNext w:val="0"/>
              <w:keepLines w:val="0"/>
              <w:suppressLineNumbers w:val="0"/>
              <w:spacing w:before="0" w:beforeAutospacing="0" w:after="0" w:afterAutospacing="0"/>
              <w:ind w:left="0" w:right="0" w:firstLine="1440" w:firstLineChars="600"/>
              <w:jc w:val="right"/>
              <w:rPr>
                <w:rFonts w:hint="eastAsia" w:ascii="宋体" w:hAnsi="宋体" w:eastAsia="宋体" w:cs="宋体"/>
                <w:kern w:val="2"/>
                <w:sz w:val="24"/>
                <w:szCs w:val="24"/>
              </w:rPr>
            </w:pPr>
            <w:r>
              <w:rPr>
                <w:rFonts w:hint="eastAsia" w:ascii="宋体" w:hAnsi="宋体" w:eastAsia="宋体" w:cs="宋体"/>
                <w:kern w:val="2"/>
                <w:sz w:val="24"/>
                <w:szCs w:val="24"/>
              </w:rPr>
              <w:t>年   月   日</w:t>
            </w:r>
          </w:p>
        </w:tc>
      </w:tr>
    </w:tbl>
    <w:p>
      <w:pPr>
        <w:pStyle w:val="20"/>
        <w:spacing w:line="360" w:lineRule="auto"/>
        <w:contextualSpacing/>
        <w:rPr>
          <w:rFonts w:ascii="宋体" w:hAnsi="宋体" w:eastAsia="宋体" w:cs="Times New Roman"/>
          <w:color w:val="000000"/>
          <w:sz w:val="21"/>
          <w:shd w:val="clear" w:color="auto" w:fill="FFFFFF"/>
        </w:rPr>
      </w:pPr>
    </w:p>
    <w:p>
      <w:pPr>
        <w:rPr>
          <w:rFonts w:hint="eastAsia" w:ascii="宋体" w:hAnsi="宋体" w:eastAsia="宋体" w:cs="Times New Roman"/>
          <w:b/>
          <w:sz w:val="36"/>
          <w:szCs w:val="36"/>
        </w:rPr>
      </w:pPr>
      <w:bookmarkStart w:id="325" w:name="_Toc476566557"/>
      <w:bookmarkStart w:id="326" w:name="_Toc325293427"/>
      <w:r>
        <w:rPr>
          <w:rFonts w:hint="eastAsia" w:ascii="宋体" w:hAnsi="宋体" w:eastAsia="宋体" w:cs="Times New Roman"/>
          <w:b/>
          <w:sz w:val="36"/>
          <w:szCs w:val="36"/>
        </w:rPr>
        <w:br w:type="page"/>
      </w:r>
    </w:p>
    <w:p>
      <w:pPr>
        <w:pStyle w:val="2"/>
        <w:bidi w:val="0"/>
        <w:rPr>
          <w:rFonts w:hint="eastAsia"/>
        </w:rPr>
      </w:pPr>
      <w:bookmarkStart w:id="327" w:name="_Toc7163"/>
      <w:bookmarkStart w:id="328" w:name="_Toc1279"/>
      <w:r>
        <w:rPr>
          <w:rFonts w:hint="eastAsia"/>
        </w:rPr>
        <w:t>第三章 评标办法</w:t>
      </w:r>
      <w:bookmarkEnd w:id="325"/>
      <w:bookmarkEnd w:id="326"/>
      <w:r>
        <w:rPr>
          <w:rFonts w:hint="eastAsia"/>
        </w:rPr>
        <w:t>（综合评分法）</w:t>
      </w:r>
      <w:bookmarkEnd w:id="327"/>
      <w:bookmarkEnd w:id="328"/>
    </w:p>
    <w:p>
      <w:pPr>
        <w:jc w:val="center"/>
        <w:outlineLvl w:val="9"/>
        <w:rPr>
          <w:rFonts w:hint="eastAsia" w:ascii="宋体" w:hAnsi="宋体" w:eastAsia="宋体" w:cs="Times New Roman"/>
          <w:b/>
          <w:sz w:val="36"/>
          <w:szCs w:val="36"/>
        </w:rPr>
      </w:pP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第一条 为保证评标的公平和公正，维护招标投标活动当事人的合法权益，依据《中华人民共和国政府采购法》、国家发展计划委员会等七部委《评标委员会和评标方法暂行规定》等有关法律、法规的规定，结合本项目招标文件要求，特制定本项目招标评标办法。</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第二条 评标工作遵循公平、公正、科学、择优的原则。任何单位和个人不得非法干预或者影响评标过程和结果。</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第三条 本采购项目的评标工作是按照招标文件规定的主要评标标准、办法和本评标办法的具体评价指标，采用综合评分法评标，对所有投标人的投标文件进行评审，提出否决投标、中标或重新招标等评标意见，编写评标报告。</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评标工作由评标委员会负责。评标委员会是由采购代理机构依法从政府采购评审专家库中随机抽取的技术、经济方面专家组成。</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第四条 评标委员会成员熟悉招标文件﹑投标文件﹑补充通知及评标方法及标准。 </w:t>
      </w:r>
    </w:p>
    <w:p>
      <w:pPr>
        <w:spacing w:line="360" w:lineRule="auto"/>
        <w:ind w:firstLine="480" w:firstLineChars="200"/>
        <w:outlineLvl w:val="1"/>
        <w:rPr>
          <w:rFonts w:hint="eastAsia" w:ascii="宋体" w:hAnsi="宋体" w:eastAsia="宋体" w:cs="宋体"/>
          <w:sz w:val="24"/>
          <w:szCs w:val="24"/>
          <w:lang w:eastAsia="zh-CN"/>
        </w:rPr>
      </w:pPr>
      <w:bookmarkStart w:id="329" w:name="_Toc10643"/>
      <w:r>
        <w:rPr>
          <w:rFonts w:hint="eastAsia" w:ascii="宋体" w:hAnsi="宋体" w:eastAsia="宋体" w:cs="宋体"/>
          <w:sz w:val="24"/>
          <w:szCs w:val="24"/>
          <w:lang w:eastAsia="zh-CN"/>
        </w:rPr>
        <w:t>第五条 本项目采用资格后审方式，评标工作按以下程序进行：</w:t>
      </w:r>
      <w:bookmarkEnd w:id="329"/>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1、采购代理机构</w:t>
      </w:r>
      <w:r>
        <w:rPr>
          <w:rFonts w:hint="eastAsia" w:cs="宋体"/>
          <w:sz w:val="24"/>
          <w:szCs w:val="24"/>
          <w:lang w:eastAsia="zh-CN"/>
        </w:rPr>
        <w:t>或采购人</w:t>
      </w:r>
      <w:r>
        <w:rPr>
          <w:rFonts w:hint="eastAsia" w:ascii="宋体" w:hAnsi="宋体" w:eastAsia="宋体" w:cs="宋体"/>
          <w:sz w:val="24"/>
          <w:szCs w:val="24"/>
          <w:lang w:eastAsia="zh-CN"/>
        </w:rPr>
        <w:t>首先应当依法对投标人的资格进行审查（</w:t>
      </w:r>
      <w:r>
        <w:rPr>
          <w:rFonts w:hint="eastAsia" w:ascii="宋体" w:hAnsi="宋体" w:eastAsia="宋体" w:cs="宋体"/>
          <w:sz w:val="24"/>
          <w:szCs w:val="24"/>
          <w:lang w:val="en-US" w:eastAsia="zh-CN"/>
        </w:rPr>
        <w:t>资格性审查详见资格审查表</w:t>
      </w:r>
      <w:r>
        <w:rPr>
          <w:rFonts w:hint="eastAsia" w:ascii="宋体" w:hAnsi="宋体" w:eastAsia="宋体" w:cs="宋体"/>
          <w:sz w:val="24"/>
          <w:szCs w:val="24"/>
          <w:lang w:eastAsia="zh-CN"/>
        </w:rPr>
        <w:t>），并将审查结果提交给评标委员会；评标委员会依据本章符合性评审表规定的标准对投标文件进行符合性审查。符合性评审表中有一项不符合评审标准的，评标委员会应当否决其投标，只有通过资格评审、符合性评审的投标人才能进入后续评审。</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只有当通过资格评审、符合性评审的投标单位超过3家（包含3家），此次招标才能进入详细评审，否则视为具有竞争性的投标单位不足3家，应重新组织招标。</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2、评标委员会只对通过资格评审、符合性评审的投标人的投标文件进行详细评审。本采购项目投标文件的评审采用百分制。</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3、评标委员会可以要求投标人对投标文件中含义不明确的内容或与招标文件的偏差作必要的澄清或说明，投标人不得拒绝。</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投标人须以书面形式提供澄清或说明内容，并作为投标文件的组成部分。澄清和说明不得超出投标文件的范围或者改变投标文件的实质性内容。</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评标委员会成员应当按照评标细则的规定，独立评审并署名。评标委员会对投标人的投标文件进行评价，综合计算得分结果并由高至低排列顺序，得分相同的，按投标报价由低到高顺序排列，得分且投标报价相同，按技术部分得分由高到低顺序排列。综合得分结果为所有评委打分的算术平均值。小数点后保留两位有效数字。</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adjustRightInd w:val="0"/>
        <w:snapToGrid w:val="0"/>
        <w:spacing w:line="360" w:lineRule="auto"/>
        <w:ind w:firstLine="480" w:firstLineChars="200"/>
        <w:outlineLvl w:val="2"/>
        <w:rPr>
          <w:rFonts w:hint="eastAsia" w:ascii="宋体" w:hAnsi="宋体" w:eastAsia="宋体" w:cs="宋体"/>
          <w:sz w:val="24"/>
          <w:szCs w:val="24"/>
          <w:lang w:eastAsia="zh-CN"/>
        </w:rPr>
      </w:pPr>
      <w:bookmarkStart w:id="330" w:name="_Toc27773"/>
      <w:r>
        <w:rPr>
          <w:rFonts w:hint="eastAsia" w:ascii="宋体" w:hAnsi="宋体" w:eastAsia="宋体" w:cs="宋体"/>
          <w:sz w:val="24"/>
          <w:szCs w:val="24"/>
          <w:lang w:eastAsia="zh-CN"/>
        </w:rPr>
        <w:t>5、投标人存在下列情形之一的，投标无效：</w:t>
      </w:r>
      <w:bookmarkEnd w:id="330"/>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（1）未按照招标文件的规定提交投标保证金的；</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（2）投标文件未按招标文件要求签署、盖章的；</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（3）不具备招标文件中规定的资格要求的；</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（4）报价超过招标文件中规定的预算金额或者最高限价的；</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（5）投标文件含有采购人不能接受的附加条件的;</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（6）法律、法规和招标文件规定的其他无效情形。</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有下列情形之一的，视为投标人串通投标，其投标无效：</w:t>
      </w:r>
    </w:p>
    <w:p>
      <w:pPr>
        <w:adjustRightInd w:val="0"/>
        <w:snapToGri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（1）不同投标人的投标文件由同一单位或者个人编制；</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（2）不同投标人委托同一单位或者个人办理投标事宜；</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（3）不同投标人的投标文件载明的项目管理成员或者联系人员为同一人；</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（4）不同投标人的投标文件异常一致或者投标报价呈规律性差异；</w:t>
      </w:r>
    </w:p>
    <w:p>
      <w:pPr>
        <w:adjustRightInd w:val="0"/>
        <w:snapToGri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（5）不同投标人的投标文件相互混装；</w:t>
      </w:r>
    </w:p>
    <w:p>
      <w:pPr>
        <w:autoSpaceDE w:val="0"/>
        <w:autoSpaceDN w:val="0"/>
        <w:adjustRightInd w:val="0"/>
        <w:spacing w:line="360" w:lineRule="auto"/>
        <w:ind w:firstLine="960" w:firstLineChars="400"/>
        <w:rPr>
          <w:rFonts w:hint="eastAsia" w:ascii="宋体" w:hAnsi="宋体" w:eastAsia="宋体" w:cs="宋体"/>
          <w:sz w:val="24"/>
          <w:szCs w:val="24"/>
          <w:lang w:eastAsia="zh-CN"/>
        </w:rPr>
      </w:pPr>
      <w:r>
        <w:rPr>
          <w:rFonts w:hint="eastAsia" w:ascii="宋体" w:hAnsi="宋体" w:eastAsia="宋体" w:cs="宋体"/>
          <w:sz w:val="24"/>
          <w:szCs w:val="24"/>
          <w:lang w:eastAsia="zh-CN"/>
        </w:rPr>
        <w:t>（6）不同投标人的投标保证金从同一单位或者个人的账户转出。</w:t>
      </w:r>
    </w:p>
    <w:p>
      <w:pPr>
        <w:autoSpaceDE w:val="0"/>
        <w:autoSpaceDN w:val="0"/>
        <w:adjustRightInd w:val="0"/>
        <w:spacing w:line="360" w:lineRule="auto"/>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6、投标报价有算术错误的，评审小组按以下原则对投标报价进行修正，修正的价格经投标人书面确认后具有约束力。投标人不接受修正价格的，其投标作废标处理。 </w:t>
      </w:r>
    </w:p>
    <w:p>
      <w:pPr>
        <w:autoSpaceDE w:val="0"/>
        <w:autoSpaceDN w:val="0"/>
        <w:adjustRightInd w:val="0"/>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 xml:space="preserve">） 单独递交的开标一览表与投标文件中开标一览表内容不一致的，以单独递交的开标一览表为准；  </w:t>
      </w:r>
    </w:p>
    <w:p>
      <w:pPr>
        <w:autoSpaceDE w:val="0"/>
        <w:autoSpaceDN w:val="0"/>
        <w:adjustRightInd w:val="0"/>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）投标文件中开标一览表（报价表）内容与投标文件中相应内容不一致的，以开标一览表（报价表）为准；</w:t>
      </w:r>
    </w:p>
    <w:p>
      <w:pPr>
        <w:autoSpaceDE w:val="0"/>
        <w:autoSpaceDN w:val="0"/>
        <w:adjustRightInd w:val="0"/>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）投标文件中的大写金额与小写金额不一致的，以大写金额为准；</w:t>
      </w:r>
    </w:p>
    <w:p>
      <w:pPr>
        <w:autoSpaceDE w:val="0"/>
        <w:autoSpaceDN w:val="0"/>
        <w:adjustRightInd w:val="0"/>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）单价金额小数点或者百分比有明显错位的，以开标一览表的总价为准，并修改单价；</w:t>
      </w:r>
    </w:p>
    <w:p>
      <w:pPr>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）总价金额与依据单价汇总金额不一致的，以单价金额计算结果为准。</w:t>
      </w:r>
    </w:p>
    <w:p>
      <w:pPr>
        <w:spacing w:line="360" w:lineRule="auto"/>
        <w:ind w:firstLine="964" w:firstLineChars="4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同时出现两种以上不一致的，按照前款规定的顺序修正。修正后的报价经投标人书面确认后产生约束力，投标人不确认的，其投标无效。</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7、评标委员会对投标文件评审完成后，按综合得分由高至低排序，推荐三名中标候选人，向采购人提</w:t>
      </w:r>
      <w:r>
        <w:rPr>
          <w:rFonts w:hint="eastAsia" w:cs="宋体"/>
          <w:sz w:val="24"/>
          <w:szCs w:val="24"/>
          <w:lang w:eastAsia="zh-CN"/>
        </w:rPr>
        <w:t>交</w:t>
      </w:r>
      <w:r>
        <w:rPr>
          <w:rFonts w:hint="eastAsia" w:ascii="宋体" w:hAnsi="宋体" w:eastAsia="宋体" w:cs="宋体"/>
          <w:sz w:val="24"/>
          <w:szCs w:val="24"/>
          <w:lang w:eastAsia="zh-CN"/>
        </w:rPr>
        <w:t>书面评标报告。</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第六条 评标委员全体成员应当在评标报告上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第七条 评标委员会成员应当客观、公正地履行职责，遵守职业道德，对所提出的评审意见承担个人责任。评标委员会成员不得私下接触投标人，不得收受投标人的财物或者其他好处，不得透露对投标文件的评审、中标候选人的推荐情况以及与评标有关的其他情况。</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第八条 排名第一的中标候选人放弃中标、因不可抗力提出不能履行合同或者被查实存在影响中标结果的违法行为等情形，不符合中标条件的，采购人可以按照评标委员会提出的中标候选人名单排序依次确定其他中标候选人为中标人，也可以重新招标。</w:t>
      </w:r>
    </w:p>
    <w:p>
      <w:pPr>
        <w:spacing w:line="360" w:lineRule="auto"/>
        <w:ind w:firstLine="480" w:firstLineChars="200"/>
        <w:outlineLvl w:val="1"/>
        <w:rPr>
          <w:rFonts w:hint="eastAsia" w:ascii="宋体" w:hAnsi="宋体" w:cs="宋体"/>
          <w:b/>
          <w:bCs/>
          <w:color w:val="000000"/>
          <w:kern w:val="0"/>
          <w:sz w:val="24"/>
          <w:szCs w:val="24"/>
        </w:rPr>
      </w:pPr>
      <w:bookmarkStart w:id="331" w:name="_Toc11386"/>
      <w:r>
        <w:rPr>
          <w:rFonts w:hint="eastAsia" w:ascii="宋体" w:hAnsi="宋体" w:eastAsia="宋体" w:cs="宋体"/>
          <w:sz w:val="24"/>
          <w:szCs w:val="24"/>
          <w:lang w:eastAsia="zh-CN"/>
        </w:rPr>
        <w:t>第九条 评标表格。以下附表是</w:t>
      </w:r>
      <w:r>
        <w:rPr>
          <w:rFonts w:hint="eastAsia" w:cs="宋体"/>
          <w:sz w:val="24"/>
          <w:szCs w:val="24"/>
          <w:lang w:eastAsia="zh-CN"/>
        </w:rPr>
        <w:t>评标</w:t>
      </w:r>
      <w:r>
        <w:rPr>
          <w:rFonts w:hint="eastAsia" w:ascii="宋体" w:hAnsi="宋体" w:eastAsia="宋体" w:cs="宋体"/>
          <w:sz w:val="24"/>
          <w:szCs w:val="24"/>
          <w:lang w:eastAsia="zh-CN"/>
        </w:rPr>
        <w:t>办法的组成部分</w:t>
      </w:r>
      <w:bookmarkEnd w:id="331"/>
    </w:p>
    <w:p>
      <w:pPr>
        <w:rPr>
          <w:rFonts w:hint="eastAsia" w:ascii="宋体" w:hAnsi="宋体" w:eastAsia="宋体" w:cs="宋体"/>
          <w:b/>
          <w:sz w:val="32"/>
          <w:szCs w:val="32"/>
          <w:lang w:eastAsia="zh-CN"/>
        </w:rPr>
      </w:pPr>
      <w:r>
        <w:rPr>
          <w:rFonts w:hint="eastAsia" w:ascii="宋体" w:hAnsi="宋体" w:eastAsia="宋体" w:cs="宋体"/>
          <w:b/>
          <w:sz w:val="32"/>
          <w:szCs w:val="32"/>
          <w:lang w:eastAsia="zh-CN"/>
        </w:rPr>
        <w:br w:type="page"/>
      </w:r>
    </w:p>
    <w:p>
      <w:pPr>
        <w:jc w:val="center"/>
        <w:rPr>
          <w:rFonts w:hint="eastAsia" w:ascii="宋体" w:hAnsi="宋体" w:eastAsia="宋体" w:cs="宋体"/>
          <w:b/>
          <w:sz w:val="24"/>
          <w:szCs w:val="24"/>
          <w:highlight w:val="none"/>
          <w:lang w:eastAsia="zh-CN"/>
        </w:rPr>
      </w:pPr>
      <w:bookmarkStart w:id="332" w:name="_Toc476566558"/>
      <w:bookmarkStart w:id="333" w:name="_Toc325293433"/>
      <w:r>
        <w:rPr>
          <w:rFonts w:hint="eastAsia" w:ascii="宋体" w:hAnsi="宋体" w:eastAsia="宋体" w:cs="宋体"/>
          <w:b/>
          <w:sz w:val="24"/>
          <w:szCs w:val="24"/>
          <w:highlight w:val="none"/>
          <w:lang w:eastAsia="zh-CN"/>
        </w:rPr>
        <w:t>符合性</w:t>
      </w:r>
      <w:r>
        <w:rPr>
          <w:rFonts w:hint="eastAsia" w:ascii="宋体" w:hAnsi="宋体" w:eastAsia="宋体" w:cs="宋体"/>
          <w:b/>
          <w:sz w:val="24"/>
          <w:szCs w:val="24"/>
          <w:highlight w:val="none"/>
        </w:rPr>
        <w:t>评审表</w:t>
      </w:r>
    </w:p>
    <w:p>
      <w:pPr>
        <w:rPr>
          <w:rFonts w:hint="eastAsia" w:ascii="宋体" w:hAnsi="宋体" w:eastAsia="宋体" w:cs="宋体"/>
          <w:b/>
          <w:bCs/>
          <w:sz w:val="24"/>
          <w:szCs w:val="24"/>
          <w:lang w:val="zh-CN" w:eastAsia="zh-CN"/>
        </w:rPr>
      </w:pPr>
    </w:p>
    <w:tbl>
      <w:tblPr>
        <w:tblStyle w:val="50"/>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6"/>
        <w:gridCol w:w="2011"/>
        <w:gridCol w:w="6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bottom w:val="single" w:color="auto" w:sz="4" w:space="0"/>
            </w:tcBorders>
            <w:noWrap w:val="0"/>
            <w:vAlign w:val="center"/>
          </w:tcPr>
          <w:p>
            <w:pPr>
              <w:pStyle w:val="48"/>
              <w:spacing w:line="400" w:lineRule="exact"/>
              <w:ind w:left="105" w:leftChars="50" w:right="105" w:rightChars="50"/>
              <w:contextualSpacing/>
              <w:jc w:val="both"/>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序号</w:t>
            </w:r>
          </w:p>
        </w:tc>
        <w:tc>
          <w:tcPr>
            <w:tcW w:w="2011" w:type="dxa"/>
            <w:noWrap w:val="0"/>
            <w:vAlign w:val="center"/>
          </w:tcPr>
          <w:p>
            <w:pPr>
              <w:pStyle w:val="48"/>
              <w:spacing w:line="400" w:lineRule="exact"/>
              <w:ind w:left="105" w:leftChars="50" w:right="105" w:rightChars="50"/>
              <w:contextualSpacing/>
              <w:jc w:val="both"/>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6992" w:type="dxa"/>
            <w:noWrap w:val="0"/>
            <w:vAlign w:val="center"/>
          </w:tcPr>
          <w:p>
            <w:pPr>
              <w:pStyle w:val="48"/>
              <w:spacing w:line="400" w:lineRule="exact"/>
              <w:ind w:left="105" w:leftChars="50" w:right="105" w:rightChars="50"/>
              <w:contextualSpacing/>
              <w:jc w:val="both"/>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pStyle w:val="48"/>
              <w:spacing w:line="400" w:lineRule="exact"/>
              <w:ind w:left="105" w:leftChars="50" w:right="105" w:rightChars="50"/>
              <w:contextualSpacing/>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011" w:type="dxa"/>
            <w:noWrap w:val="0"/>
            <w:vAlign w:val="center"/>
          </w:tcPr>
          <w:p>
            <w:pPr>
              <w:widowControl/>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授权委托书</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2011" w:type="dxa"/>
            <w:noWrap w:val="0"/>
            <w:vAlign w:val="center"/>
          </w:tcPr>
          <w:p>
            <w:pPr>
              <w:widowControl/>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投标完整性</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未将一个采购包中的内容拆开投标；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2011" w:type="dxa"/>
            <w:noWrap w:val="0"/>
            <w:vAlign w:val="center"/>
          </w:tcPr>
          <w:p>
            <w:pPr>
              <w:widowControl/>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投标报价</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投标报价未</w:t>
            </w:r>
            <w:r>
              <w:rPr>
                <w:rFonts w:hint="eastAsia" w:ascii="宋体" w:hAnsi="宋体" w:eastAsia="宋体" w:cs="宋体"/>
                <w:color w:val="auto"/>
                <w:sz w:val="24"/>
                <w:szCs w:val="24"/>
              </w:rPr>
              <w:t>超过招标文件中规定的项目/采购包预算金额或者项目/采购包最高限价</w:t>
            </w:r>
            <w:r>
              <w:rPr>
                <w:rFonts w:hint="eastAsia" w:ascii="宋体" w:hAnsi="宋体" w:eastAsia="宋体" w:cs="宋体"/>
                <w:color w:val="auto"/>
                <w:sz w:val="24"/>
                <w:szCs w:val="24"/>
                <w:lang w:val="en-US" w:eastAsia="zh-CN"/>
              </w:rPr>
              <w:t>及最高限价单价</w:t>
            </w:r>
            <w:r>
              <w:rPr>
                <w:rFonts w:hint="eastAsia" w:ascii="宋体" w:hAnsi="宋体" w:eastAsia="宋体" w:cs="宋体"/>
                <w:color w:val="auto"/>
                <w:kern w:val="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1156" w:type="dxa"/>
            <w:tcBorders>
              <w:top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2011" w:type="dxa"/>
            <w:noWrap w:val="0"/>
            <w:vAlign w:val="center"/>
          </w:tcPr>
          <w:p>
            <w:pPr>
              <w:widowControl/>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报价唯一性</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投标文件未</w:t>
            </w:r>
            <w:r>
              <w:rPr>
                <w:rFonts w:hint="eastAsia" w:ascii="宋体" w:hAnsi="宋体" w:eastAsia="宋体" w:cs="宋体"/>
                <w:color w:val="auto"/>
                <w:sz w:val="24"/>
                <w:szCs w:val="24"/>
              </w:rPr>
              <w:t>出现可选择性或可调整的报价（招标文件另有规定的除外）</w:t>
            </w:r>
            <w:r>
              <w:rPr>
                <w:rFonts w:hint="eastAsia" w:ascii="宋体" w:hAnsi="宋体" w:eastAsia="宋体" w:cs="宋体"/>
                <w:color w:val="auto"/>
                <w:kern w:val="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bottom w:val="single" w:color="auto" w:sz="4" w:space="0"/>
            </w:tcBorders>
            <w:noWrap w:val="0"/>
            <w:vAlign w:val="center"/>
          </w:tcPr>
          <w:p>
            <w:pPr>
              <w:pStyle w:val="48"/>
              <w:spacing w:line="400" w:lineRule="exact"/>
              <w:ind w:left="105" w:leftChars="50" w:right="105" w:rightChars="50"/>
              <w:contextualSpacing/>
              <w:jc w:val="both"/>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011" w:type="dxa"/>
            <w:noWrap w:val="0"/>
            <w:vAlign w:val="center"/>
          </w:tcPr>
          <w:p>
            <w:pPr>
              <w:widowControl/>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投标有效期</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投标文件中承诺的投标有效期满足招标文件中载明的投标有效期；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2011" w:type="dxa"/>
            <w:noWrap w:val="0"/>
            <w:vAlign w:val="center"/>
          </w:tcPr>
          <w:p>
            <w:pPr>
              <w:pStyle w:val="48"/>
              <w:spacing w:line="400" w:lineRule="exact"/>
              <w:ind w:right="105" w:rightChars="5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投标文件格式</w:t>
            </w:r>
          </w:p>
        </w:tc>
        <w:tc>
          <w:tcPr>
            <w:tcW w:w="6992" w:type="dxa"/>
            <w:noWrap w:val="0"/>
            <w:vAlign w:val="center"/>
          </w:tcPr>
          <w:p>
            <w:pPr>
              <w:pStyle w:val="48"/>
              <w:spacing w:line="400" w:lineRule="exact"/>
              <w:ind w:right="105" w:rightChars="5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符合招标文件第六章投标文件格式的要求。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2011" w:type="dxa"/>
            <w:noWrap w:val="0"/>
            <w:vAlign w:val="center"/>
          </w:tcPr>
          <w:p>
            <w:pPr>
              <w:pStyle w:val="48"/>
              <w:spacing w:line="400" w:lineRule="exact"/>
              <w:ind w:left="105" w:leftChars="50" w:right="105" w:rightChars="50"/>
              <w:contextualSpacing/>
              <w:jc w:val="both"/>
              <w:rPr>
                <w:rFonts w:hint="default" w:ascii="宋体" w:hAnsi="宋体" w:eastAsia="宋体" w:cs="宋体"/>
                <w:b w:val="0"/>
                <w:bCs w:val="0"/>
                <w:color w:val="auto"/>
                <w:sz w:val="24"/>
                <w:szCs w:val="24"/>
                <w:lang w:val="en-US" w:eastAsia="zh-CN"/>
              </w:rPr>
            </w:pPr>
            <w:r>
              <w:rPr>
                <w:rFonts w:hint="eastAsia" w:cs="宋体"/>
                <w:b w:val="0"/>
                <w:bCs w:val="0"/>
                <w:color w:val="auto"/>
                <w:kern w:val="0"/>
                <w:sz w:val="24"/>
                <w:szCs w:val="24"/>
                <w:lang w:val="en-US" w:eastAsia="zh-CN"/>
              </w:rPr>
              <w:t>采购需求响应</w:t>
            </w:r>
          </w:p>
        </w:tc>
        <w:tc>
          <w:tcPr>
            <w:tcW w:w="6992" w:type="dxa"/>
            <w:noWrap w:val="0"/>
            <w:vAlign w:val="center"/>
          </w:tcPr>
          <w:p>
            <w:pPr>
              <w:pStyle w:val="48"/>
              <w:spacing w:line="400" w:lineRule="exact"/>
              <w:ind w:right="105" w:rightChars="50"/>
              <w:contextualSpacing/>
              <w:jc w:val="both"/>
              <w:rPr>
                <w:rFonts w:hint="eastAsia" w:ascii="宋体" w:hAnsi="宋体" w:eastAsia="宋体" w:cs="宋体"/>
                <w:b w:val="0"/>
                <w:bCs w:val="0"/>
                <w:color w:val="auto"/>
                <w:sz w:val="24"/>
                <w:szCs w:val="24"/>
                <w:lang w:eastAsia="zh-CN"/>
              </w:rPr>
            </w:pPr>
            <w:r>
              <w:rPr>
                <w:rFonts w:hint="eastAsia" w:cs="宋体"/>
                <w:b w:val="0"/>
                <w:bCs w:val="0"/>
                <w:color w:val="auto"/>
                <w:kern w:val="0"/>
                <w:sz w:val="24"/>
                <w:szCs w:val="24"/>
                <w:lang w:val="en-US" w:eastAsia="zh-CN"/>
              </w:rPr>
              <w:t>投标人所投包的</w:t>
            </w:r>
            <w:r>
              <w:rPr>
                <w:rFonts w:hint="eastAsia" w:ascii="宋体" w:hAnsi="宋体" w:eastAsia="宋体" w:cs="宋体"/>
                <w:b w:val="0"/>
                <w:bCs w:val="0"/>
                <w:color w:val="auto"/>
                <w:kern w:val="0"/>
                <w:sz w:val="24"/>
                <w:szCs w:val="24"/>
              </w:rPr>
              <w:t>投标文件满足招标文件</w:t>
            </w:r>
            <w:r>
              <w:rPr>
                <w:rFonts w:hint="eastAsia" w:ascii="宋体" w:hAnsi="宋体" w:eastAsia="宋体" w:cs="宋体"/>
                <w:b w:val="0"/>
                <w:bCs w:val="0"/>
                <w:color w:val="auto"/>
                <w:sz w:val="24"/>
                <w:szCs w:val="24"/>
              </w:rPr>
              <w:t>第五章《采购需求》</w:t>
            </w:r>
            <w:r>
              <w:rPr>
                <w:rFonts w:hint="eastAsia" w:cs="宋体"/>
                <w:b w:val="0"/>
                <w:bCs w:val="0"/>
                <w:color w:val="auto"/>
                <w:sz w:val="24"/>
                <w:szCs w:val="24"/>
                <w:lang w:eastAsia="zh-CN"/>
              </w:rPr>
              <w:t>：</w:t>
            </w:r>
          </w:p>
          <w:p>
            <w:pPr>
              <w:pStyle w:val="48"/>
              <w:spacing w:line="400" w:lineRule="exact"/>
              <w:ind w:right="105" w:rightChars="50"/>
              <w:contextualSpacing/>
              <w:jc w:val="both"/>
              <w:rPr>
                <w:rFonts w:hint="eastAsia" w:cs="宋体"/>
                <w:b w:val="0"/>
                <w:bCs w:val="0"/>
                <w:color w:val="auto"/>
                <w:kern w:val="0"/>
                <w:sz w:val="24"/>
                <w:szCs w:val="24"/>
                <w:lang w:eastAsia="zh-CN"/>
              </w:rPr>
            </w:pPr>
            <w:r>
              <w:rPr>
                <w:rFonts w:hint="eastAsia" w:cs="宋体"/>
                <w:b w:val="0"/>
                <w:bCs w:val="0"/>
                <w:color w:val="auto"/>
                <w:sz w:val="24"/>
                <w:szCs w:val="24"/>
                <w:lang w:val="en-US" w:eastAsia="zh-CN"/>
              </w:rPr>
              <w:t>1.招标文件第五章</w:t>
            </w:r>
            <w:r>
              <w:rPr>
                <w:rFonts w:hint="eastAsia" w:ascii="宋体" w:hAnsi="宋体" w:eastAsia="宋体" w:cs="宋体"/>
                <w:b w:val="0"/>
                <w:bCs w:val="0"/>
                <w:color w:val="auto"/>
                <w:sz w:val="24"/>
                <w:szCs w:val="24"/>
              </w:rPr>
              <w:t>《采购需求》</w:t>
            </w:r>
            <w:r>
              <w:rPr>
                <w:rFonts w:hint="eastAsia" w:ascii="宋体" w:hAnsi="宋体" w:eastAsia="宋体" w:cs="宋体"/>
                <w:b w:val="0"/>
                <w:bCs w:val="0"/>
                <w:color w:val="auto"/>
                <w:kern w:val="0"/>
                <w:sz w:val="24"/>
                <w:szCs w:val="24"/>
              </w:rPr>
              <w:t>中★条款要求</w:t>
            </w:r>
            <w:r>
              <w:rPr>
                <w:rFonts w:hint="eastAsia" w:ascii="宋体" w:hAnsi="宋体" w:eastAsia="宋体" w:cs="宋体"/>
                <w:b w:val="0"/>
                <w:bCs w:val="0"/>
                <w:sz w:val="24"/>
                <w:szCs w:val="24"/>
                <w:lang w:val="en-US" w:eastAsia="zh-CN"/>
              </w:rPr>
              <w:t>不得负偏离，必须在</w:t>
            </w:r>
            <w:r>
              <w:rPr>
                <w:rFonts w:hint="eastAsia" w:cs="宋体"/>
                <w:b w:val="0"/>
                <w:bCs w:val="0"/>
                <w:sz w:val="24"/>
                <w:szCs w:val="24"/>
                <w:lang w:val="en-US" w:eastAsia="zh-CN"/>
              </w:rPr>
              <w:t>“</w:t>
            </w:r>
            <w:r>
              <w:rPr>
                <w:rFonts w:hint="eastAsia" w:ascii="宋体" w:hAnsi="宋体" w:eastAsia="宋体" w:cs="宋体"/>
                <w:b w:val="0"/>
                <w:bCs w:val="0"/>
                <w:sz w:val="24"/>
                <w:szCs w:val="24"/>
                <w:lang w:val="en-US" w:eastAsia="zh-CN"/>
              </w:rPr>
              <w:t>采购需求偏离表</w:t>
            </w:r>
            <w:r>
              <w:rPr>
                <w:rFonts w:hint="eastAsia" w:cs="宋体"/>
                <w:b w:val="0"/>
                <w:bCs w:val="0"/>
                <w:sz w:val="24"/>
                <w:szCs w:val="24"/>
                <w:lang w:val="en-US" w:eastAsia="zh-CN"/>
              </w:rPr>
              <w:t>”中</w:t>
            </w:r>
            <w:r>
              <w:rPr>
                <w:rFonts w:hint="eastAsia" w:ascii="宋体" w:hAnsi="宋体" w:eastAsia="宋体" w:cs="宋体"/>
                <w:b w:val="0"/>
                <w:bCs w:val="0"/>
                <w:sz w:val="24"/>
                <w:szCs w:val="24"/>
                <w:lang w:val="en-US" w:eastAsia="zh-CN"/>
              </w:rPr>
              <w:t>逐项响应</w:t>
            </w:r>
            <w:r>
              <w:rPr>
                <w:rFonts w:hint="eastAsia" w:ascii="宋体" w:hAnsi="宋体" w:eastAsia="宋体" w:cs="宋体"/>
                <w:b w:val="0"/>
                <w:bCs w:val="0"/>
                <w:color w:val="auto"/>
                <w:kern w:val="0"/>
                <w:sz w:val="24"/>
                <w:szCs w:val="24"/>
              </w:rPr>
              <w:t>★条款</w:t>
            </w:r>
            <w:r>
              <w:rPr>
                <w:rFonts w:hint="eastAsia" w:ascii="宋体" w:hAnsi="宋体" w:eastAsia="宋体" w:cs="宋体"/>
                <w:b w:val="0"/>
                <w:bCs w:val="0"/>
                <w:sz w:val="24"/>
                <w:szCs w:val="24"/>
                <w:highlight w:val="none"/>
                <w:lang w:val="en-US" w:eastAsia="zh-CN"/>
              </w:rPr>
              <w:t>（如所投包有多个产品的须逐项响应</w:t>
            </w:r>
            <w:r>
              <w:rPr>
                <w:rFonts w:hint="eastAsia" w:cs="宋体"/>
                <w:b w:val="0"/>
                <w:bCs w:val="0"/>
                <w:sz w:val="24"/>
                <w:szCs w:val="24"/>
                <w:highlight w:val="none"/>
                <w:lang w:val="en-US" w:eastAsia="zh-CN"/>
              </w:rPr>
              <w:t>，要求提供承诺书的，对应所投包及相应产品逐条列明承诺书，并按要求签字和盖章</w:t>
            </w:r>
            <w:r>
              <w:rPr>
                <w:rFonts w:hint="eastAsia" w:ascii="宋体" w:hAnsi="宋体" w:eastAsia="宋体" w:cs="宋体"/>
                <w:b w:val="0"/>
                <w:bCs w:val="0"/>
                <w:sz w:val="24"/>
                <w:szCs w:val="24"/>
                <w:highlight w:val="none"/>
                <w:lang w:val="en-US" w:eastAsia="zh-CN"/>
              </w:rPr>
              <w:t>）</w:t>
            </w:r>
            <w:r>
              <w:rPr>
                <w:rFonts w:hint="eastAsia" w:cs="宋体"/>
                <w:b w:val="0"/>
                <w:bCs w:val="0"/>
                <w:color w:val="auto"/>
                <w:kern w:val="0"/>
                <w:sz w:val="24"/>
                <w:szCs w:val="24"/>
                <w:lang w:eastAsia="zh-CN"/>
              </w:rPr>
              <w:t>。</w:t>
            </w:r>
          </w:p>
          <w:p>
            <w:pPr>
              <w:spacing w:before="152" w:line="229" w:lineRule="auto"/>
              <w:rPr>
                <w:rFonts w:hint="eastAsia" w:ascii="宋体" w:hAnsi="宋体" w:eastAsia="宋体" w:cs="宋体"/>
                <w:b w:val="0"/>
                <w:bCs w:val="0"/>
                <w:spacing w:val="9"/>
                <w:sz w:val="24"/>
                <w:szCs w:val="24"/>
                <w:highlight w:val="none"/>
                <w:lang w:val="en-US" w:eastAsia="zh-CN"/>
              </w:rPr>
            </w:pPr>
            <w:r>
              <w:rPr>
                <w:rFonts w:hint="eastAsia" w:cs="宋体"/>
                <w:b w:val="0"/>
                <w:bCs w:val="0"/>
                <w:color w:val="auto"/>
                <w:kern w:val="0"/>
                <w:sz w:val="24"/>
                <w:szCs w:val="24"/>
                <w:lang w:val="en-US" w:eastAsia="zh-CN"/>
              </w:rPr>
              <w:t>2.</w:t>
            </w:r>
            <w:r>
              <w:rPr>
                <w:rFonts w:hint="eastAsia" w:cs="宋体"/>
                <w:b w:val="0"/>
                <w:bCs w:val="0"/>
                <w:color w:val="auto"/>
                <w:sz w:val="24"/>
                <w:szCs w:val="24"/>
                <w:lang w:val="en-US" w:eastAsia="zh-CN"/>
              </w:rPr>
              <w:t>招标文件第五章</w:t>
            </w:r>
            <w:r>
              <w:rPr>
                <w:rFonts w:hint="eastAsia" w:ascii="宋体" w:hAnsi="宋体" w:eastAsia="宋体" w:cs="宋体"/>
                <w:b w:val="0"/>
                <w:bCs w:val="0"/>
                <w:color w:val="auto"/>
                <w:sz w:val="24"/>
                <w:szCs w:val="24"/>
              </w:rPr>
              <w:t>《采购需求》</w:t>
            </w:r>
            <w:r>
              <w:rPr>
                <w:rFonts w:hint="eastAsia" w:ascii="宋体" w:hAnsi="宋体" w:eastAsia="宋体" w:cs="宋体"/>
                <w:b w:val="0"/>
                <w:bCs w:val="0"/>
                <w:spacing w:val="9"/>
                <w:sz w:val="24"/>
                <w:szCs w:val="24"/>
                <w:highlight w:val="none"/>
              </w:rPr>
              <w:t>中“</w:t>
            </w:r>
            <w:r>
              <w:rPr>
                <w:rFonts w:hint="eastAsia" w:ascii="宋体" w:hAnsi="宋体" w:eastAsia="宋体" w:cs="宋体"/>
                <w:b w:val="0"/>
                <w:bCs w:val="0"/>
                <w:spacing w:val="9"/>
                <w:sz w:val="24"/>
                <w:szCs w:val="24"/>
                <w:highlight w:val="none"/>
                <w:lang w:val="en-US" w:eastAsia="zh-CN"/>
              </w:rPr>
              <w:t>三、技术要求----</w:t>
            </w:r>
            <w:r>
              <w:rPr>
                <w:rFonts w:hint="eastAsia" w:ascii="宋体" w:hAnsi="宋体" w:eastAsia="宋体" w:cs="宋体"/>
                <w:b w:val="0"/>
                <w:bCs w:val="0"/>
                <w:spacing w:val="9"/>
                <w:sz w:val="24"/>
                <w:szCs w:val="24"/>
                <w:highlight w:val="none"/>
              </w:rPr>
              <w:t>2. 货物技术要求”</w:t>
            </w:r>
            <w:r>
              <w:rPr>
                <w:rFonts w:hint="eastAsia" w:ascii="宋体" w:hAnsi="宋体" w:eastAsia="宋体" w:cs="宋体"/>
                <w:b w:val="0"/>
                <w:bCs w:val="0"/>
                <w:spacing w:val="9"/>
                <w:sz w:val="24"/>
                <w:szCs w:val="24"/>
                <w:highlight w:val="none"/>
                <w:lang w:val="en-US" w:eastAsia="zh-CN"/>
              </w:rPr>
              <w:t>逐条响应（对所投包的货物名称、技术参数、数量逐条响应），均不得负偏离，投标人</w:t>
            </w:r>
            <w:r>
              <w:rPr>
                <w:rFonts w:hint="eastAsia" w:ascii="宋体" w:hAnsi="宋体" w:eastAsia="宋体" w:cs="宋体"/>
                <w:b w:val="0"/>
                <w:bCs w:val="0"/>
                <w:sz w:val="24"/>
                <w:szCs w:val="24"/>
                <w:lang w:val="en-US" w:eastAsia="zh-CN"/>
              </w:rPr>
              <w:t>必须在</w:t>
            </w:r>
            <w:r>
              <w:rPr>
                <w:rFonts w:hint="eastAsia" w:cs="宋体"/>
                <w:b w:val="0"/>
                <w:bCs w:val="0"/>
                <w:sz w:val="24"/>
                <w:szCs w:val="24"/>
                <w:lang w:val="en-US" w:eastAsia="zh-CN"/>
              </w:rPr>
              <w:t>“</w:t>
            </w:r>
            <w:r>
              <w:rPr>
                <w:rFonts w:hint="eastAsia" w:ascii="宋体" w:hAnsi="宋体" w:eastAsia="宋体" w:cs="宋体"/>
                <w:b w:val="0"/>
                <w:bCs w:val="0"/>
                <w:sz w:val="24"/>
                <w:szCs w:val="24"/>
                <w:lang w:val="en-US" w:eastAsia="zh-CN"/>
              </w:rPr>
              <w:t>采购需求偏离表</w:t>
            </w:r>
            <w:r>
              <w:rPr>
                <w:rFonts w:hint="eastAsia" w:cs="宋体"/>
                <w:b w:val="0"/>
                <w:bCs w:val="0"/>
                <w:sz w:val="24"/>
                <w:szCs w:val="24"/>
                <w:lang w:val="en-US" w:eastAsia="zh-CN"/>
              </w:rPr>
              <w:t>”中</w:t>
            </w:r>
            <w:r>
              <w:rPr>
                <w:rFonts w:hint="eastAsia" w:ascii="宋体" w:hAnsi="宋体" w:eastAsia="宋体" w:cs="宋体"/>
                <w:b w:val="0"/>
                <w:bCs w:val="0"/>
                <w:sz w:val="24"/>
                <w:szCs w:val="24"/>
                <w:lang w:val="en-US" w:eastAsia="zh-CN"/>
              </w:rPr>
              <w:t>逐项响应。</w:t>
            </w:r>
          </w:p>
          <w:p>
            <w:pPr>
              <w:spacing w:before="152" w:line="229" w:lineRule="auto"/>
              <w:rPr>
                <w:rFonts w:hint="default" w:cs="宋体"/>
                <w:b w:val="0"/>
                <w:bCs w:val="0"/>
                <w:color w:val="auto"/>
                <w:kern w:val="0"/>
                <w:sz w:val="24"/>
                <w:szCs w:val="24"/>
                <w:lang w:val="en-US" w:eastAsia="zh-CN"/>
              </w:rPr>
            </w:pPr>
            <w:r>
              <w:rPr>
                <w:rFonts w:hint="eastAsia" w:ascii="宋体" w:hAnsi="宋体" w:eastAsia="宋体" w:cs="宋体"/>
                <w:b w:val="0"/>
                <w:bCs w:val="0"/>
                <w:spacing w:val="9"/>
                <w:sz w:val="24"/>
                <w:szCs w:val="24"/>
                <w:highlight w:val="none"/>
                <w:lang w:val="en-US" w:eastAsia="zh-CN"/>
              </w:rPr>
              <w:t>注：投标人必须如实响应上述内容，如缺项漏项、或未响应的视为负偏离，投标无效。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2011" w:type="dxa"/>
            <w:noWrap w:val="0"/>
            <w:vAlign w:val="center"/>
          </w:tcPr>
          <w:p>
            <w:pPr>
              <w:widowControl/>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报价合理性</w:t>
            </w:r>
          </w:p>
        </w:tc>
        <w:tc>
          <w:tcPr>
            <w:tcW w:w="6992" w:type="dxa"/>
            <w:noWrap w:val="0"/>
            <w:vAlign w:val="center"/>
          </w:tcPr>
          <w:p>
            <w:pPr>
              <w:widowControl/>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报价合理，或</w:t>
            </w:r>
            <w:r>
              <w:rPr>
                <w:rFonts w:hint="eastAsia" w:ascii="宋体" w:hAnsi="宋体" w:eastAsia="宋体" w:cs="宋体"/>
                <w:color w:val="auto"/>
                <w:sz w:val="24"/>
                <w:szCs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kern w:val="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4"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2011" w:type="dxa"/>
            <w:noWrap w:val="0"/>
            <w:vAlign w:val="center"/>
          </w:tcPr>
          <w:p>
            <w:pPr>
              <w:pStyle w:val="48"/>
              <w:spacing w:line="400" w:lineRule="exact"/>
              <w:ind w:left="105" w:leftChars="50" w:right="105" w:rightChars="50"/>
              <w:contextualSpacing/>
              <w:jc w:val="both"/>
              <w:rPr>
                <w:rFonts w:hint="eastAsia" w:ascii="宋体" w:hAnsi="宋体" w:eastAsia="宋体" w:cs="宋体"/>
                <w:color w:val="auto"/>
                <w:sz w:val="24"/>
                <w:szCs w:val="24"/>
              </w:rPr>
            </w:pPr>
            <w:r>
              <w:rPr>
                <w:rFonts w:hint="eastAsia" w:ascii="宋体" w:hAnsi="宋体" w:eastAsia="宋体" w:cs="宋体"/>
                <w:color w:val="auto"/>
                <w:kern w:val="0"/>
                <w:sz w:val="24"/>
                <w:szCs w:val="24"/>
              </w:rPr>
              <w:t>串通投标</w:t>
            </w:r>
          </w:p>
        </w:tc>
        <w:tc>
          <w:tcPr>
            <w:tcW w:w="6992" w:type="dxa"/>
            <w:noWrap w:val="0"/>
            <w:vAlign w:val="center"/>
          </w:tcPr>
          <w:p>
            <w:pPr>
              <w:pStyle w:val="48"/>
              <w:spacing w:line="400" w:lineRule="exact"/>
              <w:ind w:left="105" w:leftChars="50" w:right="105" w:rightChars="50"/>
              <w:contextualSpacing/>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011" w:type="dxa"/>
            <w:tcBorders>
              <w:bottom w:val="single" w:color="auto" w:sz="4" w:space="0"/>
            </w:tcBorders>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附加条件</w:t>
            </w:r>
          </w:p>
        </w:tc>
        <w:tc>
          <w:tcPr>
            <w:tcW w:w="6992" w:type="dxa"/>
            <w:noWrap w:val="0"/>
            <w:vAlign w:val="center"/>
          </w:tcPr>
          <w:p>
            <w:pPr>
              <w:widowControl/>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1</w:t>
            </w:r>
          </w:p>
        </w:tc>
        <w:tc>
          <w:tcPr>
            <w:tcW w:w="2011" w:type="dxa"/>
            <w:tcBorders>
              <w:top w:val="single" w:color="auto" w:sz="4" w:space="0"/>
              <w:bottom w:val="single" w:color="auto" w:sz="4" w:space="0"/>
            </w:tcBorders>
            <w:noWrap w:val="0"/>
            <w:vAlign w:val="center"/>
          </w:tcPr>
          <w:p>
            <w:pPr>
              <w:pStyle w:val="48"/>
              <w:spacing w:line="400" w:lineRule="exact"/>
              <w:ind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合同履行期限</w:t>
            </w:r>
            <w:r>
              <w:rPr>
                <w:rFonts w:hint="eastAsia" w:cs="宋体"/>
                <w:color w:val="auto"/>
                <w:sz w:val="24"/>
                <w:szCs w:val="24"/>
                <w:lang w:val="en-US" w:eastAsia="zh-CN"/>
              </w:rPr>
              <w:t>（供货期）</w:t>
            </w:r>
          </w:p>
        </w:tc>
        <w:tc>
          <w:tcPr>
            <w:tcW w:w="6992" w:type="dxa"/>
            <w:noWrap w:val="0"/>
            <w:vAlign w:val="center"/>
          </w:tcPr>
          <w:p>
            <w:pPr>
              <w:pStyle w:val="48"/>
              <w:spacing w:line="400" w:lineRule="exact"/>
              <w:ind w:right="105" w:rightChars="50"/>
              <w:contextualSpacing/>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highlight w:val="none"/>
                <w:lang w:val="en-US" w:eastAsia="zh-CN"/>
              </w:rPr>
              <w:t>合同签订后90日内完成供货</w:t>
            </w:r>
            <w:r>
              <w:rPr>
                <w:rFonts w:hint="eastAsia" w:ascii="宋体" w:hAnsi="宋体" w:eastAsia="宋体" w:cs="宋体"/>
                <w:color w:val="auto"/>
                <w:kern w:val="2"/>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2011" w:type="dxa"/>
            <w:tcBorders>
              <w:top w:val="single" w:color="auto" w:sz="4" w:space="0"/>
              <w:bottom w:val="single" w:color="auto" w:sz="4" w:space="0"/>
            </w:tcBorders>
            <w:noWrap w:val="0"/>
            <w:vAlign w:val="center"/>
          </w:tcPr>
          <w:p>
            <w:pPr>
              <w:pStyle w:val="48"/>
              <w:spacing w:line="400" w:lineRule="exact"/>
              <w:ind w:right="105" w:rightChars="50"/>
              <w:contextualSpacing/>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质量标准</w:t>
            </w:r>
          </w:p>
        </w:tc>
        <w:tc>
          <w:tcPr>
            <w:tcW w:w="6992" w:type="dxa"/>
            <w:noWrap w:val="0"/>
            <w:vAlign w:val="center"/>
          </w:tcPr>
          <w:p>
            <w:pPr>
              <w:pStyle w:val="48"/>
              <w:spacing w:line="400" w:lineRule="exact"/>
              <w:ind w:right="105" w:rightChars="50"/>
              <w:contextualSpacing/>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符合国家及相关行业规定的合格标准</w:t>
            </w:r>
            <w:r>
              <w:rPr>
                <w:rFonts w:hint="eastAsia" w:ascii="宋体" w:hAnsi="宋体" w:eastAsia="宋体" w:cs="宋体"/>
                <w:b w:val="0"/>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2011" w:type="dxa"/>
            <w:tcBorders>
              <w:top w:val="single" w:color="auto" w:sz="4" w:space="0"/>
              <w:bottom w:val="single" w:color="auto" w:sz="4" w:space="0"/>
            </w:tcBorders>
            <w:noWrap w:val="0"/>
            <w:vAlign w:val="center"/>
          </w:tcPr>
          <w:p>
            <w:pPr>
              <w:pStyle w:val="48"/>
              <w:spacing w:line="400" w:lineRule="exact"/>
              <w:ind w:right="105" w:rightChars="50"/>
              <w:contextualSpacing/>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联合体投标</w:t>
            </w:r>
          </w:p>
        </w:tc>
        <w:tc>
          <w:tcPr>
            <w:tcW w:w="6992" w:type="dxa"/>
            <w:noWrap w:val="0"/>
            <w:vAlign w:val="center"/>
          </w:tcPr>
          <w:p>
            <w:pPr>
              <w:pStyle w:val="48"/>
              <w:spacing w:line="400" w:lineRule="exact"/>
              <w:ind w:right="105" w:rightChars="50"/>
              <w:contextualSpacing/>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本项目不接受联合体投标，投标人存在联合体投标的投标无效。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1156" w:type="dxa"/>
            <w:tcBorders>
              <w:top w:val="single" w:color="auto" w:sz="4" w:space="0"/>
              <w:bottom w:val="single" w:color="auto" w:sz="4" w:space="0"/>
            </w:tcBorders>
            <w:noWrap w:val="0"/>
            <w:vAlign w:val="center"/>
          </w:tcPr>
          <w:p>
            <w:pPr>
              <w:spacing w:line="400" w:lineRule="exact"/>
              <w:ind w:left="105" w:leftChars="50" w:right="105" w:rightChars="5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2011" w:type="dxa"/>
            <w:tcBorders>
              <w:top w:val="single" w:color="auto" w:sz="4" w:space="0"/>
              <w:bottom w:val="single" w:color="auto" w:sz="4" w:space="0"/>
            </w:tcBorders>
            <w:noWrap w:val="0"/>
            <w:vAlign w:val="center"/>
          </w:tcPr>
          <w:p>
            <w:pPr>
              <w:widowControl/>
              <w:jc w:val="both"/>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rPr>
              <w:t>其他无效情形</w:t>
            </w:r>
          </w:p>
        </w:tc>
        <w:tc>
          <w:tcPr>
            <w:tcW w:w="6992" w:type="dxa"/>
            <w:noWrap w:val="0"/>
            <w:vAlign w:val="center"/>
          </w:tcPr>
          <w:p>
            <w:pPr>
              <w:widowControl/>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投标人、投标文件不存在不符合法律、法规和招标文件规定的其他无效情形。</w:t>
            </w:r>
          </w:p>
        </w:tc>
      </w:tr>
    </w:tbl>
    <w:p>
      <w:pPr>
        <w:pStyle w:val="12"/>
        <w:spacing w:line="340" w:lineRule="exact"/>
        <w:contextualSpacing/>
        <w:jc w:val="both"/>
        <w:rPr>
          <w:rFonts w:hint="eastAsia" w:hAnsi="宋体"/>
          <w:b/>
          <w:sz w:val="24"/>
          <w:szCs w:val="24"/>
          <w:shd w:val="clear" w:color="auto" w:fill="FFFFFF"/>
        </w:rPr>
      </w:pPr>
      <w:r>
        <w:rPr>
          <w:rFonts w:hint="eastAsia"/>
          <w:b/>
          <w:bCs/>
          <w:sz w:val="24"/>
          <w:szCs w:val="24"/>
          <w:lang w:val="zh-CN" w:eastAsia="zh-CN"/>
        </w:rPr>
        <w:t>注：</w:t>
      </w:r>
      <w:r>
        <w:rPr>
          <w:rFonts w:hint="eastAsia"/>
          <w:b/>
          <w:bCs/>
          <w:sz w:val="24"/>
          <w:szCs w:val="24"/>
          <w:lang w:val="en-US" w:eastAsia="zh-CN"/>
        </w:rPr>
        <w:t>1.</w:t>
      </w:r>
      <w:r>
        <w:rPr>
          <w:rFonts w:hint="eastAsia"/>
          <w:b/>
          <w:bCs/>
          <w:sz w:val="24"/>
          <w:szCs w:val="24"/>
          <w:lang w:val="zh-CN" w:eastAsia="zh-CN"/>
        </w:rPr>
        <w:t>上述要求</w:t>
      </w:r>
      <w:r>
        <w:rPr>
          <w:rFonts w:hint="eastAsia"/>
          <w:b/>
          <w:bCs/>
          <w:sz w:val="24"/>
          <w:szCs w:val="24"/>
          <w:lang w:val="en-US" w:eastAsia="zh-CN"/>
        </w:rPr>
        <w:t>投标人</w:t>
      </w:r>
      <w:r>
        <w:rPr>
          <w:rFonts w:hint="eastAsia"/>
          <w:b/>
          <w:bCs/>
          <w:sz w:val="24"/>
          <w:szCs w:val="24"/>
          <w:lang w:val="zh-CN" w:eastAsia="zh-CN"/>
        </w:rPr>
        <w:t>有一项不合格的，视为未通过符合性评审，将不再进入后续</w:t>
      </w:r>
      <w:r>
        <w:rPr>
          <w:rFonts w:hint="eastAsia"/>
          <w:b/>
          <w:bCs/>
          <w:sz w:val="24"/>
          <w:szCs w:val="24"/>
          <w:lang w:val="en-US" w:eastAsia="zh-CN"/>
        </w:rPr>
        <w:t>详细评审</w:t>
      </w:r>
      <w:r>
        <w:rPr>
          <w:rFonts w:hint="eastAsia"/>
          <w:b/>
          <w:bCs/>
          <w:sz w:val="24"/>
          <w:szCs w:val="24"/>
          <w:lang w:val="zh-CN" w:eastAsia="zh-CN"/>
        </w:rPr>
        <w:t>。</w:t>
      </w:r>
    </w:p>
    <w:p>
      <w:pPr>
        <w:spacing w:line="360" w:lineRule="auto"/>
        <w:ind w:firstLine="315" w:firstLineChars="150"/>
        <w:contextualSpacing/>
        <w:rPr>
          <w:rFonts w:ascii="宋体" w:hAnsi="宋体"/>
        </w:rPr>
      </w:pPr>
    </w:p>
    <w:p>
      <w:pPr>
        <w:pStyle w:val="24"/>
        <w:rPr>
          <w:rFonts w:ascii="宋体" w:hAnsi="宋体"/>
        </w:rPr>
      </w:pPr>
    </w:p>
    <w:p>
      <w:pPr>
        <w:pStyle w:val="24"/>
        <w:rPr>
          <w:rFonts w:ascii="宋体" w:hAnsi="宋体"/>
        </w:rPr>
      </w:pPr>
    </w:p>
    <w:p>
      <w:pPr>
        <w:pStyle w:val="24"/>
        <w:rPr>
          <w:rFonts w:ascii="宋体" w:hAnsi="宋体"/>
        </w:rPr>
      </w:pPr>
    </w:p>
    <w:p>
      <w:pPr>
        <w:pStyle w:val="24"/>
        <w:rPr>
          <w:rFonts w:ascii="宋体" w:hAnsi="宋体"/>
        </w:rPr>
      </w:pPr>
    </w:p>
    <w:p>
      <w:pPr>
        <w:rPr>
          <w:rFonts w:hint="eastAsia" w:ascii="宋体" w:hAnsi="宋体" w:eastAsia="宋体" w:cs="宋体"/>
          <w:b/>
          <w:bCs/>
          <w:i w:val="0"/>
          <w:iCs w:val="0"/>
          <w:sz w:val="24"/>
          <w:szCs w:val="24"/>
          <w:highlight w:val="none"/>
          <w:lang w:eastAsia="zh-CN"/>
        </w:rPr>
      </w:pPr>
      <w:bookmarkStart w:id="334" w:name="_Toc16962"/>
      <w:r>
        <w:rPr>
          <w:rFonts w:hint="eastAsia" w:ascii="宋体" w:hAnsi="宋体" w:eastAsia="宋体" w:cs="宋体"/>
          <w:b/>
          <w:bCs/>
          <w:i w:val="0"/>
          <w:iCs w:val="0"/>
          <w:sz w:val="24"/>
          <w:szCs w:val="24"/>
          <w:highlight w:val="none"/>
          <w:lang w:eastAsia="zh-CN"/>
        </w:rPr>
        <w:br w:type="page"/>
      </w:r>
    </w:p>
    <w:p>
      <w:pPr>
        <w:keepNext w:val="0"/>
        <w:keepLines w:val="0"/>
        <w:pageBreakBefore w:val="0"/>
        <w:widowControl/>
        <w:kinsoku/>
        <w:overflowPunct/>
        <w:topLinePunct w:val="0"/>
        <w:autoSpaceDE/>
        <w:autoSpaceDN/>
        <w:bidi w:val="0"/>
        <w:adjustRightInd/>
        <w:snapToGrid/>
        <w:spacing w:line="240" w:lineRule="atLeast"/>
        <w:jc w:val="center"/>
        <w:textAlignment w:val="auto"/>
        <w:outlineLvl w:val="0"/>
        <w:rPr>
          <w:rFonts w:hint="eastAsia" w:ascii="宋体" w:hAnsi="宋体" w:eastAsia="宋体" w:cs="宋体"/>
          <w:b/>
          <w:bCs/>
          <w:i w:val="0"/>
          <w:iCs w:val="0"/>
          <w:sz w:val="24"/>
          <w:szCs w:val="24"/>
          <w:highlight w:val="none"/>
          <w:lang w:eastAsia="zh-CN"/>
        </w:rPr>
      </w:pPr>
      <w:r>
        <w:rPr>
          <w:rFonts w:hint="eastAsia" w:ascii="宋体" w:hAnsi="宋体" w:eastAsia="宋体" w:cs="宋体"/>
          <w:b/>
          <w:bCs/>
          <w:i w:val="0"/>
          <w:iCs w:val="0"/>
          <w:sz w:val="24"/>
          <w:szCs w:val="24"/>
          <w:highlight w:val="none"/>
          <w:lang w:eastAsia="zh-CN"/>
        </w:rPr>
        <w:t>详细评审表</w:t>
      </w:r>
      <w:bookmarkEnd w:id="334"/>
    </w:p>
    <w:tbl>
      <w:tblPr>
        <w:tblStyle w:val="25"/>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57"/>
        <w:gridCol w:w="8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57" w:type="dxa"/>
            <w:gridSpan w:val="2"/>
            <w:noWrap w:val="0"/>
            <w:vAlign w:val="center"/>
          </w:tcPr>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评审因素</w:t>
            </w:r>
          </w:p>
        </w:tc>
        <w:tc>
          <w:tcPr>
            <w:tcW w:w="8127" w:type="dxa"/>
            <w:noWrap w:val="0"/>
            <w:vAlign w:val="center"/>
          </w:tcPr>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57" w:type="dxa"/>
            <w:gridSpan w:val="2"/>
            <w:noWrap w:val="0"/>
            <w:vAlign w:val="center"/>
          </w:tcPr>
          <w:p>
            <w:pPr>
              <w:keepNext w:val="0"/>
              <w:keepLines w:val="0"/>
              <w:suppressLineNumbers w:val="0"/>
              <w:autoSpaceDE w:val="0"/>
              <w:autoSpaceDN w:val="0"/>
              <w:adjustRightInd w:val="0"/>
              <w:spacing w:before="0" w:beforeAutospacing="0" w:after="0" w:afterAutospacing="0" w:line="240" w:lineRule="atLeast"/>
              <w:ind w:left="0" w:right="0"/>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投标报价</w:t>
            </w:r>
          </w:p>
          <w:p>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eastAsia" w:ascii="宋体" w:hAnsi="宋体" w:cs="宋体"/>
                <w:sz w:val="24"/>
                <w:szCs w:val="24"/>
                <w:lang w:val="en-US" w:eastAsia="zh-CN"/>
              </w:rPr>
            </w:pPr>
            <w:r>
              <w:rPr>
                <w:rFonts w:hint="eastAsia" w:ascii="宋体" w:hAnsi="宋体" w:eastAsia="宋体" w:cs="宋体"/>
                <w:kern w:val="2"/>
                <w:sz w:val="24"/>
                <w:szCs w:val="24"/>
                <w:lang w:val="en-US" w:eastAsia="zh-CN"/>
              </w:rPr>
              <w:t>（30分）</w:t>
            </w:r>
          </w:p>
        </w:tc>
        <w:tc>
          <w:tcPr>
            <w:tcW w:w="8127" w:type="dxa"/>
            <w:noWrap w:val="0"/>
            <w:vAlign w:val="center"/>
          </w:tcPr>
          <w:p>
            <w:pPr>
              <w:keepNext w:val="0"/>
              <w:keepLines w:val="0"/>
              <w:widowControl/>
              <w:suppressLineNumbers w:val="0"/>
              <w:jc w:val="left"/>
              <w:rPr>
                <w:rStyle w:val="70"/>
                <w:rFonts w:hint="eastAsia" w:ascii="宋体" w:hAnsi="宋体" w:eastAsia="宋体" w:cs="Times New Roman"/>
                <w:b/>
                <w:bCs/>
                <w:kern w:val="0"/>
                <w:sz w:val="24"/>
                <w:szCs w:val="24"/>
                <w:highlight w:val="none"/>
                <w:lang w:val="en-US" w:eastAsia="zh-CN"/>
              </w:rPr>
            </w:pPr>
            <w:r>
              <w:rPr>
                <w:rFonts w:hint="eastAsia" w:ascii="宋体" w:hAnsi="宋体" w:eastAsia="宋体" w:cs="宋体"/>
                <w:sz w:val="24"/>
                <w:szCs w:val="24"/>
                <w:highlight w:val="none"/>
                <w:lang w:val="en-US" w:eastAsia="zh-CN"/>
              </w:rPr>
              <w:t>本项目非专门面向中小企业采购</w:t>
            </w:r>
          </w:p>
          <w:p>
            <w:pPr>
              <w:keepNext w:val="0"/>
              <w:keepLines w:val="0"/>
              <w:widowControl/>
              <w:suppressLineNumbers w:val="0"/>
              <w:jc w:val="left"/>
              <w:rPr>
                <w:rStyle w:val="70"/>
                <w:rFonts w:hint="eastAsia" w:ascii="宋体" w:hAnsi="宋体" w:eastAsia="宋体" w:cs="Times New Roman"/>
                <w:b/>
                <w:bCs/>
                <w:kern w:val="0"/>
                <w:sz w:val="24"/>
                <w:szCs w:val="24"/>
                <w:lang w:val="en-US" w:eastAsia="zh-CN"/>
              </w:rPr>
            </w:pPr>
            <w:r>
              <w:rPr>
                <w:rStyle w:val="70"/>
                <w:rFonts w:hint="eastAsia" w:ascii="宋体" w:hAnsi="宋体" w:eastAsia="宋体" w:cs="Times New Roman"/>
                <w:b/>
                <w:bCs/>
                <w:kern w:val="0"/>
                <w:sz w:val="24"/>
                <w:szCs w:val="24"/>
                <w:lang w:val="en-US" w:eastAsia="zh-CN"/>
              </w:rPr>
              <w:t xml:space="preserve">小型和微型企业（残疾人福利性企业、监狱企业视同小型、微型企业）的报价给予 10%的扣除。 </w:t>
            </w:r>
          </w:p>
          <w:p>
            <w:pPr>
              <w:keepNext w:val="0"/>
              <w:keepLines w:val="0"/>
              <w:widowControl/>
              <w:suppressLineNumbers w:val="0"/>
              <w:jc w:val="left"/>
              <w:rPr>
                <w:rStyle w:val="70"/>
                <w:rFonts w:hint="eastAsia" w:ascii="宋体" w:hAnsi="宋体" w:eastAsia="宋体" w:cs="Times New Roman"/>
                <w:kern w:val="0"/>
                <w:sz w:val="24"/>
                <w:szCs w:val="24"/>
                <w:lang w:val="en-US" w:eastAsia="zh-CN"/>
              </w:rPr>
            </w:pPr>
            <w:r>
              <w:rPr>
                <w:rStyle w:val="70"/>
                <w:rFonts w:hint="eastAsia" w:ascii="宋体" w:hAnsi="宋体" w:eastAsia="宋体" w:cs="Times New Roman"/>
                <w:b/>
                <w:bCs/>
                <w:kern w:val="0"/>
                <w:sz w:val="24"/>
                <w:szCs w:val="24"/>
                <w:lang w:val="en-US" w:eastAsia="zh-CN"/>
              </w:rPr>
              <w:t>价格扣除</w:t>
            </w:r>
            <w:r>
              <w:rPr>
                <w:rStyle w:val="70"/>
                <w:rFonts w:hint="eastAsia" w:ascii="宋体" w:hAnsi="宋体" w:eastAsia="宋体" w:cs="Times New Roman"/>
                <w:kern w:val="0"/>
                <w:sz w:val="24"/>
                <w:szCs w:val="24"/>
                <w:lang w:val="en-US" w:eastAsia="zh-CN"/>
              </w:rPr>
              <w:t xml:space="preserve">：根据财政部司法部《关于政府采购支持监狱企业发展有关问题的通知》（财库〔2014〕68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 定提供《中小企业声明函》（中小企业划型标准详见《关于印发中 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keepNext w:val="0"/>
              <w:keepLines w:val="0"/>
              <w:widowControl/>
              <w:suppressLineNumbers w:val="0"/>
              <w:jc w:val="left"/>
              <w:rPr>
                <w:rStyle w:val="70"/>
                <w:rFonts w:hint="eastAsia" w:ascii="宋体" w:hAnsi="宋体" w:eastAsia="宋体" w:cs="Times New Roman"/>
                <w:kern w:val="0"/>
                <w:sz w:val="24"/>
                <w:szCs w:val="24"/>
                <w:lang w:val="en-US" w:eastAsia="zh-CN"/>
              </w:rPr>
            </w:pPr>
            <w:r>
              <w:rPr>
                <w:rStyle w:val="70"/>
                <w:rFonts w:hint="eastAsia" w:ascii="宋体" w:hAnsi="宋体" w:eastAsia="宋体" w:cs="Times New Roman"/>
                <w:kern w:val="0"/>
                <w:sz w:val="24"/>
                <w:szCs w:val="24"/>
                <w:lang w:val="en-US" w:eastAsia="zh-CN"/>
              </w:rPr>
              <w:t>同一投标人，投标报价扣除优惠只享受一次，不得重复享受。</w:t>
            </w:r>
          </w:p>
          <w:p>
            <w:pPr>
              <w:keepNext w:val="0"/>
              <w:keepLines w:val="0"/>
              <w:widowControl/>
              <w:suppressLineNumbers w:val="0"/>
              <w:jc w:val="left"/>
              <w:rPr>
                <w:rStyle w:val="70"/>
                <w:rFonts w:hint="default" w:ascii="宋体" w:hAnsi="宋体" w:eastAsia="宋体" w:cs="Times New Roman"/>
                <w:kern w:val="0"/>
                <w:sz w:val="24"/>
                <w:szCs w:val="24"/>
                <w:lang w:val="en-US" w:eastAsia="zh-CN"/>
              </w:rPr>
            </w:pPr>
            <w:r>
              <w:rPr>
                <w:rStyle w:val="70"/>
                <w:rFonts w:hint="eastAsia" w:ascii="宋体" w:hAnsi="宋体" w:eastAsia="宋体" w:cs="Times New Roman"/>
                <w:kern w:val="0"/>
                <w:sz w:val="24"/>
                <w:szCs w:val="24"/>
                <w:lang w:val="en-US" w:eastAsia="zh-CN"/>
              </w:rPr>
              <w:t>满足招标文件要求且投标价格最低的投标报价为评标基准价，其价格分为满分。其他投标人的价格分统一按照下列公式计算：投标报价得分=(评标基准价／投标报价)×30 （计算得分保留小数点后二位，第三位小数采用四舍五入算法）。</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textAlignment w:val="auto"/>
              <w:rPr>
                <w:rFonts w:hint="default" w:ascii="宋体" w:hAnsi="宋体" w:eastAsia="宋体" w:cs="宋体"/>
                <w:kern w:val="2"/>
                <w:sz w:val="24"/>
                <w:szCs w:val="24"/>
                <w:highlight w:val="none"/>
                <w:lang w:val="en-US" w:eastAsia="zh-CN"/>
              </w:rPr>
            </w:pPr>
            <w:r>
              <w:rPr>
                <w:rStyle w:val="70"/>
                <w:rFonts w:hint="eastAsia" w:ascii="宋体" w:hAnsi="宋体" w:eastAsia="宋体" w:cs="Times New Roman"/>
                <w:kern w:val="0"/>
                <w:sz w:val="24"/>
                <w:szCs w:val="24"/>
                <w:lang w:val="en-US"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restart"/>
            <w:noWrap w:val="0"/>
            <w:vAlign w:val="center"/>
          </w:tcPr>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商务部分</w:t>
            </w:r>
          </w:p>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8</w:t>
            </w:r>
            <w:r>
              <w:rPr>
                <w:rFonts w:hint="eastAsia" w:ascii="宋体" w:hAnsi="宋体" w:eastAsia="宋体" w:cs="宋体"/>
                <w:kern w:val="2"/>
                <w:sz w:val="24"/>
                <w:szCs w:val="24"/>
              </w:rPr>
              <w:t>分）</w:t>
            </w:r>
          </w:p>
        </w:tc>
        <w:tc>
          <w:tcPr>
            <w:tcW w:w="1057" w:type="dxa"/>
            <w:vMerge w:val="restart"/>
            <w:noWrap w:val="0"/>
            <w:vAlign w:val="center"/>
          </w:tcPr>
          <w:p>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生产能力</w:t>
            </w:r>
          </w:p>
          <w:p>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（6分）</w:t>
            </w:r>
          </w:p>
        </w:tc>
        <w:tc>
          <w:tcPr>
            <w:tcW w:w="8127" w:type="dxa"/>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textAlignment w:val="auto"/>
              <w:rPr>
                <w:rFonts w:hint="eastAsia" w:ascii="宋体" w:hAnsi="宋体" w:eastAsia="宋体" w:cs="宋体"/>
                <w:kern w:val="2"/>
                <w:sz w:val="24"/>
                <w:szCs w:val="24"/>
                <w:highlight w:val="none"/>
                <w:lang w:val="en-US" w:eastAsia="zh-CN"/>
              </w:rPr>
            </w:pP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textAlignment w:val="auto"/>
              <w:rPr>
                <w:rFonts w:hint="eastAsia"/>
                <w:bCs/>
                <w:color w:val="auto"/>
                <w:sz w:val="24"/>
                <w:szCs w:val="24"/>
                <w:highlight w:val="none"/>
                <w:lang w:val="en-US" w:eastAsia="zh-CN"/>
              </w:rPr>
            </w:pPr>
            <w:r>
              <w:rPr>
                <w:rFonts w:hint="eastAsia" w:ascii="宋体" w:hAnsi="宋体" w:eastAsia="宋体" w:cs="宋体"/>
                <w:kern w:val="2"/>
                <w:sz w:val="24"/>
                <w:szCs w:val="24"/>
                <w:highlight w:val="none"/>
                <w:lang w:val="en-US" w:eastAsia="zh-CN"/>
              </w:rPr>
              <w:t>根据投标人所提供的本项目产品（1、3、5包非单一产品采购标段按照核心产品提供即可）生产场所实际图片描述进行评价：</w:t>
            </w:r>
          </w:p>
          <w:p>
            <w:pPr>
              <w:numPr>
                <w:ilvl w:val="0"/>
                <w:numId w:val="0"/>
              </w:numPr>
              <w:spacing w:line="276" w:lineRule="auto"/>
              <w:rPr>
                <w:rFonts w:hint="eastAsia"/>
                <w:b w:val="0"/>
                <w:bCs/>
                <w:color w:val="auto"/>
                <w:sz w:val="24"/>
                <w:szCs w:val="24"/>
                <w:highlight w:val="none"/>
                <w:lang w:val="en-US" w:eastAsia="zh-CN"/>
              </w:rPr>
            </w:pPr>
            <w:r>
              <w:rPr>
                <w:rFonts w:hint="eastAsia"/>
                <w:bCs/>
                <w:color w:val="auto"/>
                <w:sz w:val="24"/>
                <w:szCs w:val="24"/>
                <w:highlight w:val="none"/>
                <w:lang w:val="en-US" w:eastAsia="zh-CN"/>
              </w:rPr>
              <w:t>（1）生产场所关键地点图片全面且清晰，且有详细的文字描</w:t>
            </w:r>
            <w:r>
              <w:rPr>
                <w:rFonts w:hint="eastAsia"/>
                <w:b w:val="0"/>
                <w:bCs/>
                <w:color w:val="auto"/>
                <w:sz w:val="24"/>
                <w:szCs w:val="24"/>
                <w:highlight w:val="none"/>
                <w:lang w:val="en-US" w:eastAsia="zh-CN"/>
              </w:rPr>
              <w:t>述得1分。</w:t>
            </w:r>
          </w:p>
          <w:p>
            <w:pPr>
              <w:numPr>
                <w:ilvl w:val="0"/>
                <w:numId w:val="0"/>
              </w:numPr>
              <w:spacing w:line="276" w:lineRule="auto"/>
              <w:rPr>
                <w:rFonts w:hint="eastAsia"/>
                <w:bCs/>
                <w:color w:val="auto"/>
                <w:sz w:val="24"/>
                <w:szCs w:val="24"/>
                <w:highlight w:val="none"/>
                <w:lang w:val="en-US" w:eastAsia="zh-CN"/>
              </w:rPr>
            </w:pPr>
            <w:r>
              <w:rPr>
                <w:rFonts w:hint="eastAsia"/>
                <w:b w:val="0"/>
                <w:bCs/>
                <w:color w:val="auto"/>
                <w:sz w:val="24"/>
                <w:szCs w:val="24"/>
                <w:highlight w:val="none"/>
                <w:lang w:val="en-US" w:eastAsia="zh-CN"/>
              </w:rPr>
              <w:t>（2）</w:t>
            </w:r>
            <w:r>
              <w:rPr>
                <w:rFonts w:hint="eastAsia"/>
                <w:bCs/>
                <w:color w:val="auto"/>
                <w:sz w:val="24"/>
                <w:szCs w:val="24"/>
                <w:highlight w:val="none"/>
                <w:lang w:val="en-US" w:eastAsia="zh-CN"/>
              </w:rPr>
              <w:t>生产场所关键地点图片全面且清晰，无文字描述或文字描述不清晰的得0.5分。</w:t>
            </w:r>
          </w:p>
          <w:p>
            <w:pPr>
              <w:numPr>
                <w:ilvl w:val="0"/>
                <w:numId w:val="0"/>
              </w:numPr>
              <w:spacing w:line="276" w:lineRule="auto"/>
              <w:rPr>
                <w:rFonts w:hint="eastAsia" w:ascii="宋体" w:hAnsi="宋体" w:eastAsia="宋体" w:cs="宋体"/>
                <w:color w:val="auto"/>
                <w:kern w:val="2"/>
                <w:sz w:val="24"/>
                <w:szCs w:val="24"/>
                <w:highlight w:val="none"/>
                <w:lang w:val="en-US" w:eastAsia="zh-CN"/>
              </w:rPr>
            </w:pPr>
            <w:r>
              <w:rPr>
                <w:rFonts w:hint="eastAsia"/>
                <w:bCs/>
                <w:color w:val="auto"/>
                <w:sz w:val="24"/>
                <w:szCs w:val="24"/>
                <w:highlight w:val="none"/>
                <w:lang w:val="en-US" w:eastAsia="zh-CN"/>
              </w:rPr>
              <w:t>（3）生产场所关键地点图片模糊不能清晰辨认的或未提供此项的不得分。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057" w:type="dxa"/>
            <w:vMerge w:val="continue"/>
            <w:noWrap w:val="0"/>
            <w:vAlign w:val="center"/>
          </w:tcPr>
          <w:p>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eastAsia" w:ascii="宋体" w:hAnsi="宋体" w:eastAsia="宋体" w:cs="宋体"/>
                <w:kern w:val="2"/>
                <w:sz w:val="24"/>
                <w:szCs w:val="24"/>
                <w:highlight w:val="none"/>
                <w:lang w:val="en-US" w:eastAsia="zh-CN"/>
              </w:rPr>
            </w:pPr>
          </w:p>
        </w:tc>
        <w:tc>
          <w:tcPr>
            <w:tcW w:w="8127" w:type="dxa"/>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根据投标人拟配备本项目人员综合评价：</w:t>
            </w:r>
          </w:p>
          <w:p>
            <w:pPr>
              <w:spacing w:line="276" w:lineRule="auto"/>
              <w:rPr>
                <w:bCs/>
                <w:color w:val="auto"/>
                <w:sz w:val="24"/>
                <w:szCs w:val="24"/>
                <w:highlight w:val="none"/>
              </w:rPr>
            </w:pPr>
            <w:r>
              <w:rPr>
                <w:rFonts w:hint="eastAsia"/>
                <w:b w:val="0"/>
                <w:bCs/>
                <w:color w:val="auto"/>
                <w:sz w:val="24"/>
                <w:szCs w:val="24"/>
                <w:highlight w:val="none"/>
                <w:lang w:val="en-US" w:eastAsia="zh-CN"/>
              </w:rPr>
              <w:t>（1）配备的服务人员特别齐全，职责分工清晰明确且有人员分工表（拟配备的人员提供本单位2024年至投标截止前任意一个月社保证明）得5分</w:t>
            </w:r>
            <w:r>
              <w:rPr>
                <w:rFonts w:hint="eastAsia"/>
                <w:bCs/>
                <w:color w:val="auto"/>
                <w:sz w:val="24"/>
                <w:szCs w:val="24"/>
                <w:highlight w:val="none"/>
              </w:rPr>
              <w:t>；</w:t>
            </w:r>
          </w:p>
          <w:p>
            <w:pPr>
              <w:spacing w:line="276" w:lineRule="auto"/>
              <w:rPr>
                <w:bCs/>
                <w:color w:val="auto"/>
                <w:sz w:val="24"/>
                <w:szCs w:val="24"/>
                <w:highlight w:val="none"/>
              </w:rPr>
            </w:pPr>
            <w:r>
              <w:rPr>
                <w:rFonts w:hint="eastAsia"/>
                <w:bCs/>
                <w:color w:val="auto"/>
                <w:sz w:val="24"/>
                <w:szCs w:val="24"/>
                <w:highlight w:val="none"/>
                <w:lang w:val="en-US" w:eastAsia="zh-CN"/>
              </w:rPr>
              <w:t>（2）配备的服务人员分工较为齐全，</w:t>
            </w:r>
            <w:r>
              <w:rPr>
                <w:rFonts w:hint="eastAsia"/>
                <w:b w:val="0"/>
                <w:bCs/>
                <w:color w:val="auto"/>
                <w:sz w:val="24"/>
                <w:szCs w:val="24"/>
                <w:highlight w:val="none"/>
                <w:lang w:val="en-US" w:eastAsia="zh-CN"/>
              </w:rPr>
              <w:t>职责分工较为明确且有人员分工表（拟配备的人员提供本单位2024年至投标截止前任意一个月社保证明）得</w:t>
            </w:r>
            <w:r>
              <w:rPr>
                <w:rFonts w:hint="eastAsia"/>
                <w:bCs/>
                <w:color w:val="auto"/>
                <w:sz w:val="24"/>
                <w:szCs w:val="24"/>
                <w:highlight w:val="none"/>
                <w:lang w:val="en-US" w:eastAsia="zh-CN"/>
              </w:rPr>
              <w:t>3分</w:t>
            </w:r>
            <w:r>
              <w:rPr>
                <w:rFonts w:hint="eastAsia"/>
                <w:bCs/>
                <w:color w:val="auto"/>
                <w:sz w:val="24"/>
                <w:szCs w:val="24"/>
                <w:highlight w:val="none"/>
              </w:rPr>
              <w:t>；</w:t>
            </w:r>
          </w:p>
          <w:p>
            <w:pPr>
              <w:spacing w:line="276" w:lineRule="auto"/>
              <w:rPr>
                <w:rFonts w:hint="eastAsia"/>
                <w:bCs/>
                <w:color w:val="auto"/>
                <w:sz w:val="24"/>
                <w:szCs w:val="24"/>
                <w:highlight w:val="none"/>
              </w:rPr>
            </w:pPr>
            <w:r>
              <w:rPr>
                <w:rFonts w:hint="eastAsia"/>
                <w:bCs/>
                <w:color w:val="auto"/>
                <w:sz w:val="24"/>
                <w:szCs w:val="24"/>
                <w:highlight w:val="none"/>
                <w:lang w:val="en-US" w:eastAsia="zh-CN"/>
              </w:rPr>
              <w:t>（3）配备服务人员基本齐全，</w:t>
            </w:r>
            <w:r>
              <w:rPr>
                <w:rFonts w:hint="eastAsia"/>
                <w:b w:val="0"/>
                <w:bCs/>
                <w:color w:val="auto"/>
                <w:sz w:val="24"/>
                <w:szCs w:val="24"/>
                <w:highlight w:val="none"/>
                <w:lang w:val="en-US" w:eastAsia="zh-CN"/>
              </w:rPr>
              <w:t>职责分工不明确或未提供人员分工表</w:t>
            </w:r>
            <w:r>
              <w:rPr>
                <w:rFonts w:hint="eastAsia"/>
                <w:b/>
                <w:bCs w:val="0"/>
                <w:color w:val="auto"/>
                <w:sz w:val="24"/>
                <w:szCs w:val="24"/>
                <w:highlight w:val="none"/>
                <w:lang w:val="en-US" w:eastAsia="zh-CN"/>
              </w:rPr>
              <w:t>（拟配备的人员提供本单位2024年至投标截止前任意一个月社保证明）</w:t>
            </w:r>
            <w:r>
              <w:rPr>
                <w:rFonts w:hint="eastAsia"/>
                <w:bCs/>
                <w:color w:val="auto"/>
                <w:sz w:val="24"/>
                <w:szCs w:val="24"/>
                <w:highlight w:val="none"/>
                <w:lang w:val="en-US" w:eastAsia="zh-CN"/>
              </w:rPr>
              <w:t>得1分</w:t>
            </w:r>
            <w:r>
              <w:rPr>
                <w:rFonts w:hint="eastAsia"/>
                <w:bCs/>
                <w:color w:val="auto"/>
                <w:sz w:val="24"/>
                <w:szCs w:val="24"/>
                <w:highlight w:val="none"/>
              </w:rPr>
              <w:t>；</w:t>
            </w:r>
          </w:p>
          <w:p>
            <w:pPr>
              <w:spacing w:line="276" w:lineRule="auto"/>
              <w:rPr>
                <w:rFonts w:hint="eastAsia"/>
                <w:bCs/>
                <w:color w:val="auto"/>
                <w:sz w:val="24"/>
                <w:szCs w:val="24"/>
                <w:highlight w:val="none"/>
                <w:lang w:val="en-US" w:eastAsia="zh-CN"/>
              </w:rPr>
            </w:pPr>
            <w:r>
              <w:rPr>
                <w:rFonts w:hint="eastAsia"/>
                <w:bCs/>
                <w:color w:val="auto"/>
                <w:sz w:val="24"/>
                <w:szCs w:val="24"/>
                <w:highlight w:val="none"/>
                <w:lang w:val="en-US" w:eastAsia="zh-CN"/>
              </w:rPr>
              <w:t>未提供此项不得分。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057" w:type="dxa"/>
            <w:noWrap w:val="0"/>
            <w:vAlign w:val="center"/>
          </w:tcPr>
          <w:p>
            <w:pPr>
              <w:spacing w:line="276" w:lineRule="auto"/>
              <w:ind w:firstLine="28"/>
              <w:jc w:val="center"/>
              <w:rPr>
                <w:rFonts w:hint="eastAsia" w:ascii="宋体" w:hAnsi="宋体" w:cs="宋体" w:eastAsiaTheme="minorEastAsia"/>
                <w:sz w:val="24"/>
                <w:szCs w:val="24"/>
                <w:highlight w:val="none"/>
                <w:lang w:val="en-US" w:eastAsia="zh-CN"/>
              </w:rPr>
            </w:pPr>
            <w:r>
              <w:rPr>
                <w:rFonts w:hint="eastAsia"/>
                <w:bCs/>
                <w:color w:val="auto"/>
                <w:sz w:val="24"/>
                <w:szCs w:val="24"/>
                <w:highlight w:val="none"/>
              </w:rPr>
              <w:t>同类项目业绩</w:t>
            </w:r>
            <w:r>
              <w:rPr>
                <w:rFonts w:hint="eastAsia"/>
                <w:bCs/>
                <w:color w:val="auto"/>
                <w:sz w:val="24"/>
                <w:szCs w:val="24"/>
                <w:highlight w:val="none"/>
                <w:lang w:eastAsia="zh-CN"/>
              </w:rPr>
              <w:t>（</w:t>
            </w:r>
            <w:r>
              <w:rPr>
                <w:rFonts w:hint="eastAsia"/>
                <w:bCs/>
                <w:color w:val="auto"/>
                <w:sz w:val="24"/>
                <w:szCs w:val="24"/>
                <w:highlight w:val="none"/>
                <w:lang w:val="en-US" w:eastAsia="zh-CN"/>
              </w:rPr>
              <w:t>2分</w:t>
            </w:r>
            <w:r>
              <w:rPr>
                <w:rFonts w:hint="eastAsia"/>
                <w:bCs/>
                <w:color w:val="auto"/>
                <w:sz w:val="24"/>
                <w:szCs w:val="24"/>
                <w:highlight w:val="none"/>
                <w:lang w:eastAsia="zh-CN"/>
              </w:rPr>
              <w:t>）</w:t>
            </w:r>
          </w:p>
        </w:tc>
        <w:tc>
          <w:tcPr>
            <w:tcW w:w="8127" w:type="dxa"/>
            <w:noWrap w:val="0"/>
            <w:vAlign w:val="center"/>
          </w:tcPr>
          <w:p>
            <w:pPr>
              <w:spacing w:line="276" w:lineRule="auto"/>
              <w:rPr>
                <w:rFonts w:hint="eastAsia"/>
                <w:bCs/>
                <w:color w:val="auto"/>
                <w:sz w:val="24"/>
                <w:szCs w:val="24"/>
                <w:highlight w:val="none"/>
              </w:rPr>
            </w:pPr>
            <w:r>
              <w:rPr>
                <w:rFonts w:hint="eastAsia"/>
                <w:bCs/>
                <w:color w:val="auto"/>
                <w:sz w:val="24"/>
                <w:szCs w:val="24"/>
                <w:highlight w:val="none"/>
              </w:rPr>
              <w:t>投标人自</w:t>
            </w:r>
            <w:r>
              <w:rPr>
                <w:rFonts w:hint="eastAsia"/>
                <w:bCs/>
                <w:color w:val="auto"/>
                <w:kern w:val="0"/>
                <w:sz w:val="24"/>
                <w:szCs w:val="24"/>
                <w:highlight w:val="none"/>
              </w:rPr>
              <w:t>20</w:t>
            </w:r>
            <w:r>
              <w:rPr>
                <w:bCs/>
                <w:color w:val="auto"/>
                <w:kern w:val="0"/>
                <w:sz w:val="24"/>
                <w:szCs w:val="24"/>
                <w:highlight w:val="none"/>
              </w:rPr>
              <w:t>2</w:t>
            </w:r>
            <w:r>
              <w:rPr>
                <w:rFonts w:hint="eastAsia"/>
                <w:bCs/>
                <w:color w:val="auto"/>
                <w:kern w:val="0"/>
                <w:sz w:val="24"/>
                <w:szCs w:val="24"/>
                <w:highlight w:val="none"/>
                <w:lang w:val="en-US" w:eastAsia="zh-CN"/>
              </w:rPr>
              <w:t>2</w:t>
            </w:r>
            <w:r>
              <w:rPr>
                <w:rFonts w:hint="eastAsia"/>
                <w:bCs/>
                <w:color w:val="auto"/>
                <w:kern w:val="0"/>
                <w:sz w:val="24"/>
                <w:szCs w:val="24"/>
                <w:highlight w:val="none"/>
              </w:rPr>
              <w:t>年</w:t>
            </w:r>
            <w:r>
              <w:rPr>
                <w:bCs/>
                <w:color w:val="auto"/>
                <w:kern w:val="0"/>
                <w:sz w:val="24"/>
                <w:szCs w:val="24"/>
                <w:highlight w:val="none"/>
              </w:rPr>
              <w:t>1</w:t>
            </w:r>
            <w:r>
              <w:rPr>
                <w:rFonts w:hint="eastAsia"/>
                <w:bCs/>
                <w:color w:val="auto"/>
                <w:kern w:val="0"/>
                <w:sz w:val="24"/>
                <w:szCs w:val="24"/>
                <w:highlight w:val="none"/>
              </w:rPr>
              <w:t>月1日起至</w:t>
            </w:r>
            <w:r>
              <w:rPr>
                <w:rFonts w:hint="eastAsia"/>
                <w:bCs/>
                <w:color w:val="auto"/>
                <w:kern w:val="0"/>
                <w:sz w:val="24"/>
                <w:szCs w:val="24"/>
                <w:highlight w:val="none"/>
                <w:lang w:val="en-US" w:eastAsia="zh-CN"/>
              </w:rPr>
              <w:t>投标截止前</w:t>
            </w:r>
            <w:r>
              <w:rPr>
                <w:rFonts w:hint="eastAsia"/>
                <w:bCs/>
                <w:color w:val="auto"/>
                <w:kern w:val="0"/>
                <w:sz w:val="24"/>
                <w:szCs w:val="24"/>
                <w:highlight w:val="none"/>
              </w:rPr>
              <w:t>（以合同签订日期为准）</w:t>
            </w:r>
            <w:r>
              <w:rPr>
                <w:rFonts w:hint="eastAsia"/>
                <w:bCs/>
                <w:color w:val="auto"/>
                <w:sz w:val="24"/>
                <w:szCs w:val="24"/>
                <w:highlight w:val="none"/>
              </w:rPr>
              <w:t>与所投</w:t>
            </w:r>
            <w:r>
              <w:rPr>
                <w:rFonts w:hint="eastAsia"/>
                <w:bCs/>
                <w:color w:val="auto"/>
                <w:sz w:val="24"/>
                <w:szCs w:val="24"/>
                <w:highlight w:val="none"/>
                <w:lang w:val="en-US" w:eastAsia="zh-CN"/>
              </w:rPr>
              <w:t>标段（包）</w:t>
            </w:r>
            <w:r>
              <w:rPr>
                <w:rFonts w:hint="eastAsia"/>
                <w:bCs/>
                <w:color w:val="auto"/>
                <w:sz w:val="24"/>
                <w:szCs w:val="24"/>
                <w:highlight w:val="none"/>
              </w:rPr>
              <w:t>同类产品（指功能用途相同或相似的产品）的销售业绩，每提供1份合同得</w:t>
            </w:r>
            <w:r>
              <w:rPr>
                <w:rFonts w:hint="eastAsia"/>
                <w:bCs/>
                <w:color w:val="auto"/>
                <w:sz w:val="24"/>
                <w:szCs w:val="24"/>
                <w:highlight w:val="none"/>
                <w:lang w:val="en-US" w:eastAsia="zh-CN"/>
              </w:rPr>
              <w:t>1</w:t>
            </w:r>
            <w:r>
              <w:rPr>
                <w:rFonts w:hint="eastAsia"/>
                <w:bCs/>
                <w:color w:val="auto"/>
                <w:sz w:val="24"/>
                <w:szCs w:val="24"/>
                <w:highlight w:val="none"/>
              </w:rPr>
              <w:t>分，最多得</w:t>
            </w:r>
            <w:r>
              <w:rPr>
                <w:rFonts w:hint="eastAsia"/>
                <w:bCs/>
                <w:color w:val="auto"/>
                <w:sz w:val="24"/>
                <w:szCs w:val="24"/>
                <w:highlight w:val="none"/>
                <w:lang w:val="en-US" w:eastAsia="zh-CN"/>
              </w:rPr>
              <w:t>2</w:t>
            </w:r>
            <w:r>
              <w:rPr>
                <w:rFonts w:hint="eastAsia"/>
                <w:bCs/>
                <w:color w:val="auto"/>
                <w:sz w:val="24"/>
                <w:szCs w:val="24"/>
                <w:highlight w:val="none"/>
              </w:rPr>
              <w:t>分</w:t>
            </w:r>
            <w:r>
              <w:rPr>
                <w:bCs/>
                <w:color w:val="auto"/>
                <w:sz w:val="24"/>
                <w:szCs w:val="24"/>
                <w:highlight w:val="none"/>
              </w:rPr>
              <w:t>。</w:t>
            </w:r>
            <w:r>
              <w:rPr>
                <w:rFonts w:hint="eastAsia"/>
                <w:bCs/>
                <w:color w:val="auto"/>
                <w:sz w:val="24"/>
                <w:szCs w:val="24"/>
                <w:highlight w:val="none"/>
                <w:lang w:val="en-US" w:eastAsia="zh-CN"/>
              </w:rPr>
              <w:t>同一个采购单位的</w:t>
            </w:r>
            <w:r>
              <w:rPr>
                <w:rFonts w:hint="eastAsia"/>
                <w:bCs/>
                <w:color w:val="auto"/>
                <w:sz w:val="24"/>
                <w:szCs w:val="24"/>
                <w:highlight w:val="none"/>
              </w:rPr>
              <w:t>业绩证明文件不重复计算。</w:t>
            </w:r>
          </w:p>
          <w:p>
            <w:pPr>
              <w:spacing w:line="276" w:lineRule="auto"/>
              <w:rPr>
                <w:rFonts w:hint="eastAsia" w:ascii="宋体" w:hAnsi="宋体" w:eastAsia="宋体" w:cs="宋体"/>
                <w:color w:val="auto"/>
                <w:kern w:val="2"/>
                <w:sz w:val="24"/>
                <w:szCs w:val="24"/>
                <w:highlight w:val="none"/>
                <w:lang w:val="en-US" w:eastAsia="zh-CN"/>
              </w:rPr>
            </w:pPr>
          </w:p>
          <w:p>
            <w:pPr>
              <w:spacing w:line="276" w:lineRule="auto"/>
              <w:rPr>
                <w:color w:val="auto"/>
                <w:kern w:val="0"/>
                <w:sz w:val="24"/>
                <w:szCs w:val="24"/>
                <w:highlight w:val="none"/>
              </w:rPr>
            </w:pPr>
            <w:r>
              <w:rPr>
                <w:rFonts w:hint="eastAsia" w:ascii="宋体" w:hAnsi="宋体" w:eastAsia="宋体" w:cs="宋体"/>
                <w:color w:val="auto"/>
                <w:kern w:val="2"/>
                <w:sz w:val="24"/>
                <w:szCs w:val="24"/>
                <w:highlight w:val="none"/>
                <w:lang w:val="en-US" w:eastAsia="zh-CN"/>
              </w:rPr>
              <w:t>注：</w:t>
            </w:r>
            <w:r>
              <w:rPr>
                <w:rFonts w:hint="eastAsia"/>
                <w:color w:val="auto"/>
                <w:kern w:val="0"/>
                <w:sz w:val="24"/>
                <w:szCs w:val="24"/>
                <w:highlight w:val="none"/>
              </w:rPr>
              <w:t>投标人须在投标文件中提供所报业绩的相关材料，包括：</w:t>
            </w:r>
          </w:p>
          <w:p>
            <w:pPr>
              <w:spacing w:line="276" w:lineRule="auto"/>
              <w:ind w:left="2" w:hanging="2"/>
              <w:rPr>
                <w:color w:val="auto"/>
                <w:kern w:val="0"/>
                <w:sz w:val="24"/>
                <w:szCs w:val="24"/>
                <w:highlight w:val="none"/>
              </w:rPr>
            </w:pPr>
            <w:r>
              <w:rPr>
                <w:rFonts w:hint="eastAsia"/>
                <w:color w:val="auto"/>
                <w:kern w:val="0"/>
                <w:sz w:val="24"/>
                <w:szCs w:val="24"/>
                <w:highlight w:val="none"/>
              </w:rPr>
              <w:t>①</w:t>
            </w:r>
            <w:r>
              <w:rPr>
                <w:rFonts w:hint="eastAsia"/>
                <w:b/>
                <w:bCs/>
                <w:color w:val="auto"/>
                <w:kern w:val="0"/>
                <w:sz w:val="24"/>
                <w:szCs w:val="24"/>
                <w:highlight w:val="none"/>
              </w:rPr>
              <w:t>合同复印件</w:t>
            </w:r>
            <w:r>
              <w:rPr>
                <w:rFonts w:hint="eastAsia"/>
                <w:color w:val="auto"/>
                <w:kern w:val="0"/>
                <w:sz w:val="24"/>
                <w:szCs w:val="24"/>
                <w:highlight w:val="none"/>
              </w:rPr>
              <w:t>，包括合同首页、关键页（能够显示产品名称等信息）和签署盖章页；</w:t>
            </w:r>
          </w:p>
          <w:p>
            <w:pPr>
              <w:spacing w:line="276" w:lineRule="auto"/>
              <w:ind w:hanging="2"/>
              <w:rPr>
                <w:color w:val="auto"/>
                <w:kern w:val="0"/>
                <w:sz w:val="24"/>
                <w:szCs w:val="24"/>
                <w:highlight w:val="none"/>
              </w:rPr>
            </w:pPr>
            <w:r>
              <w:rPr>
                <w:rFonts w:hint="eastAsia"/>
                <w:color w:val="auto"/>
                <w:kern w:val="0"/>
                <w:sz w:val="24"/>
                <w:szCs w:val="24"/>
                <w:highlight w:val="none"/>
              </w:rPr>
              <w:t>②</w:t>
            </w:r>
            <w:r>
              <w:rPr>
                <w:rFonts w:hint="eastAsia"/>
                <w:b/>
                <w:bCs/>
                <w:color w:val="auto"/>
                <w:kern w:val="0"/>
                <w:sz w:val="24"/>
                <w:szCs w:val="24"/>
                <w:highlight w:val="none"/>
              </w:rPr>
              <w:t>合同项下发票复印件</w:t>
            </w:r>
            <w:r>
              <w:rPr>
                <w:rFonts w:hint="eastAsia"/>
                <w:color w:val="auto"/>
                <w:kern w:val="0"/>
                <w:sz w:val="24"/>
                <w:szCs w:val="24"/>
                <w:highlight w:val="none"/>
              </w:rPr>
              <w:t>，提供合同项下任一张对应发票即可，发票开具日期应在合同执行期内，收付双方应与合同规定的甲乙方相符；</w:t>
            </w:r>
          </w:p>
          <w:p>
            <w:pPr>
              <w:spacing w:line="276" w:lineRule="auto"/>
              <w:ind w:left="2" w:hanging="2"/>
              <w:rPr>
                <w:color w:val="auto"/>
                <w:kern w:val="0"/>
                <w:sz w:val="24"/>
                <w:szCs w:val="24"/>
                <w:highlight w:val="none"/>
              </w:rPr>
            </w:pPr>
            <w:r>
              <w:rPr>
                <w:rFonts w:hint="eastAsia"/>
                <w:color w:val="auto"/>
                <w:kern w:val="0"/>
                <w:sz w:val="24"/>
                <w:szCs w:val="24"/>
                <w:highlight w:val="none"/>
              </w:rPr>
              <w:t>③</w:t>
            </w:r>
            <w:r>
              <w:rPr>
                <w:rFonts w:hint="eastAsia"/>
                <w:b/>
                <w:bCs/>
                <w:color w:val="auto"/>
                <w:kern w:val="0"/>
                <w:sz w:val="24"/>
                <w:szCs w:val="24"/>
                <w:highlight w:val="none"/>
              </w:rPr>
              <w:t>合同项下银行收款凭证</w:t>
            </w:r>
            <w:r>
              <w:rPr>
                <w:rFonts w:hint="eastAsia"/>
                <w:color w:val="auto"/>
                <w:kern w:val="0"/>
                <w:sz w:val="24"/>
                <w:szCs w:val="24"/>
                <w:highlight w:val="none"/>
              </w:rPr>
              <w:t>，提供合同项下任一份银行收款凭证即可，收款日期应在合同执行期内，收付双方应与合同规定的甲乙方相符。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textAlignment w:val="auto"/>
              <w:rPr>
                <w:rFonts w:hint="default" w:ascii="宋体" w:hAnsi="宋体" w:eastAsia="宋体" w:cs="宋体"/>
                <w:kern w:val="2"/>
                <w:sz w:val="24"/>
                <w:szCs w:val="24"/>
                <w:highlight w:val="none"/>
                <w:lang w:val="en-US" w:eastAsia="zh-CN"/>
              </w:rPr>
            </w:pPr>
            <w:r>
              <w:rPr>
                <w:rFonts w:hint="eastAsia"/>
                <w:color w:val="auto"/>
                <w:kern w:val="0"/>
                <w:sz w:val="24"/>
                <w:szCs w:val="24"/>
                <w:highlight w:val="none"/>
              </w:rPr>
              <w:t>注：①不符合上述要求或未按要求提供有效证明文件的业绩在评审时将不予承认。②凡造假或篡改业绩的，其投标将被拒绝。评标现场评标专家组有权对提供的业绩文件（含合同、发票、收款凭证）进行抽样查询及</w:t>
            </w:r>
            <w:r>
              <w:rPr>
                <w:color w:val="auto"/>
                <w:kern w:val="0"/>
                <w:sz w:val="24"/>
                <w:szCs w:val="24"/>
                <w:highlight w:val="none"/>
              </w:rPr>
              <w:t>验证</w:t>
            </w:r>
            <w:r>
              <w:rPr>
                <w:rFonts w:hint="eastAsia"/>
                <w:color w:val="auto"/>
                <w:kern w:val="0"/>
                <w:sz w:val="24"/>
                <w:szCs w:val="24"/>
                <w:highlight w:val="none"/>
              </w:rPr>
              <w:t>，判定是否有造假情况。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restart"/>
            <w:noWrap w:val="0"/>
            <w:vAlign w:val="center"/>
          </w:tcPr>
          <w:p>
            <w:pPr>
              <w:pStyle w:val="12"/>
              <w:jc w:val="center"/>
              <w:rPr>
                <w:rFonts w:hint="eastAsia" w:ascii="宋体" w:hAnsi="宋体" w:eastAsia="宋体" w:cs="宋体"/>
                <w:sz w:val="24"/>
                <w:szCs w:val="24"/>
              </w:rPr>
            </w:pPr>
            <w:r>
              <w:rPr>
                <w:rFonts w:hint="eastAsia" w:ascii="宋体" w:hAnsi="宋体" w:eastAsia="宋体" w:cs="宋体"/>
                <w:sz w:val="24"/>
                <w:szCs w:val="24"/>
              </w:rPr>
              <w:t>技术部分</w:t>
            </w:r>
          </w:p>
          <w:p>
            <w:pPr>
              <w:pStyle w:val="12"/>
              <w:jc w:val="center"/>
              <w:rPr>
                <w:rFonts w:hint="eastAsia" w:ascii="宋体" w:hAnsi="宋体" w:eastAsia="宋体" w:cs="宋体"/>
                <w:kern w:val="2"/>
                <w:sz w:val="24"/>
                <w:szCs w:val="24"/>
              </w:rPr>
            </w:pPr>
            <w:r>
              <w:rPr>
                <w:rFonts w:hint="eastAsia" w:ascii="宋体" w:hAnsi="宋体" w:eastAsia="宋体" w:cs="宋体"/>
                <w:sz w:val="24"/>
                <w:szCs w:val="24"/>
              </w:rPr>
              <w:t>（</w:t>
            </w:r>
            <w:r>
              <w:rPr>
                <w:rFonts w:hint="eastAsia" w:hAnsi="宋体" w:cs="宋体"/>
                <w:sz w:val="24"/>
                <w:szCs w:val="24"/>
                <w:lang w:val="en-US" w:eastAsia="zh-CN"/>
              </w:rPr>
              <w:t>62</w:t>
            </w:r>
            <w:r>
              <w:rPr>
                <w:rFonts w:hint="eastAsia" w:ascii="宋体" w:hAnsi="宋体" w:eastAsia="宋体" w:cs="宋体"/>
                <w:sz w:val="24"/>
                <w:szCs w:val="24"/>
              </w:rPr>
              <w:t>分）</w:t>
            </w:r>
          </w:p>
        </w:tc>
        <w:tc>
          <w:tcPr>
            <w:tcW w:w="1057" w:type="dxa"/>
            <w:noWrap w:val="0"/>
            <w:vAlign w:val="center"/>
          </w:tcPr>
          <w:p>
            <w:pPr>
              <w:pStyle w:val="48"/>
              <w:ind w:left="42" w:leftChars="20" w:right="113" w:rightChars="0"/>
              <w:jc w:val="center"/>
              <w:rPr>
                <w:rFonts w:hint="eastAsia"/>
                <w:sz w:val="24"/>
                <w:szCs w:val="24"/>
                <w:highlight w:val="none"/>
                <w:lang w:val="en-US" w:eastAsia="zh-CN"/>
              </w:rPr>
            </w:pPr>
            <w:r>
              <w:rPr>
                <w:rFonts w:hint="eastAsia"/>
                <w:sz w:val="24"/>
                <w:szCs w:val="24"/>
                <w:highlight w:val="none"/>
                <w:lang w:val="en-US" w:eastAsia="zh-CN"/>
              </w:rPr>
              <w:t>技术指标响应（12分）</w:t>
            </w:r>
          </w:p>
          <w:p>
            <w:pPr>
              <w:pStyle w:val="48"/>
              <w:ind w:left="42" w:leftChars="20" w:right="113" w:rightChars="0"/>
              <w:jc w:val="center"/>
              <w:rPr>
                <w:rFonts w:hint="default"/>
                <w:sz w:val="24"/>
                <w:szCs w:val="24"/>
                <w:highlight w:val="none"/>
                <w:lang w:val="en-US" w:eastAsia="zh-CN"/>
              </w:rPr>
            </w:pPr>
          </w:p>
        </w:tc>
        <w:tc>
          <w:tcPr>
            <w:tcW w:w="8127" w:type="dxa"/>
            <w:noWrap w:val="0"/>
            <w:vAlign w:val="center"/>
          </w:tcPr>
          <w:p>
            <w:pPr>
              <w:spacing w:line="276" w:lineRule="auto"/>
              <w:rPr>
                <w:rFonts w:cs="宋体"/>
                <w:color w:val="auto"/>
                <w:sz w:val="24"/>
                <w:szCs w:val="24"/>
                <w:lang w:bidi="ar"/>
              </w:rPr>
            </w:pPr>
            <w:r>
              <w:rPr>
                <w:rFonts w:hint="eastAsia"/>
                <w:bCs/>
                <w:color w:val="auto"/>
                <w:sz w:val="24"/>
                <w:szCs w:val="24"/>
              </w:rPr>
              <w:t>投标人</w:t>
            </w:r>
            <w:r>
              <w:rPr>
                <w:rFonts w:hint="eastAsia"/>
                <w:bCs/>
                <w:color w:val="auto"/>
                <w:sz w:val="24"/>
                <w:szCs w:val="24"/>
                <w:highlight w:val="none"/>
              </w:rPr>
              <w:t>提供的202</w:t>
            </w:r>
            <w:r>
              <w:rPr>
                <w:rFonts w:hint="eastAsia"/>
                <w:bCs/>
                <w:color w:val="auto"/>
                <w:sz w:val="24"/>
                <w:szCs w:val="24"/>
                <w:highlight w:val="none"/>
                <w:lang w:val="en-US" w:eastAsia="zh-CN"/>
              </w:rPr>
              <w:t>3</w:t>
            </w:r>
            <w:r>
              <w:rPr>
                <w:rFonts w:hint="eastAsia"/>
                <w:bCs/>
                <w:color w:val="auto"/>
                <w:sz w:val="24"/>
                <w:szCs w:val="24"/>
                <w:highlight w:val="none"/>
              </w:rPr>
              <w:t>年1月1日起至投标截止时间的省、</w:t>
            </w:r>
            <w:r>
              <w:rPr>
                <w:rFonts w:hint="eastAsia"/>
                <w:bCs/>
                <w:color w:val="auto"/>
                <w:sz w:val="24"/>
                <w:szCs w:val="24"/>
              </w:rPr>
              <w:t>直辖市级及以上具有检测资质的第三方检测机构出具的，按照森林灭火单兵防护装备技术规范进行检测的检测报告</w:t>
            </w:r>
            <w:r>
              <w:rPr>
                <w:rFonts w:hint="eastAsia" w:cs="宋体"/>
                <w:color w:val="auto"/>
                <w:sz w:val="24"/>
                <w:szCs w:val="24"/>
                <w:lang w:bidi="ar"/>
              </w:rPr>
              <w:t>，</w:t>
            </w:r>
            <w:r>
              <w:rPr>
                <w:rFonts w:hint="eastAsia"/>
                <w:b/>
                <w:color w:val="auto"/>
                <w:sz w:val="24"/>
                <w:szCs w:val="24"/>
              </w:rPr>
              <w:t>检测内容要求详见招标文件《第五章 采购需求》</w:t>
            </w:r>
            <w:r>
              <w:rPr>
                <w:rFonts w:hint="eastAsia"/>
                <w:b/>
                <w:color w:val="auto"/>
                <w:sz w:val="24"/>
                <w:szCs w:val="24"/>
                <w:lang w:val="en-US" w:eastAsia="zh-CN"/>
              </w:rPr>
              <w:t>2.3.3项</w:t>
            </w:r>
            <w:r>
              <w:rPr>
                <w:rFonts w:hint="eastAsia"/>
                <w:bCs/>
                <w:color w:val="auto"/>
                <w:sz w:val="24"/>
                <w:szCs w:val="24"/>
              </w:rPr>
              <w:t>，</w:t>
            </w:r>
            <w:r>
              <w:rPr>
                <w:rFonts w:hint="eastAsia" w:cs="宋体"/>
                <w:color w:val="auto"/>
                <w:sz w:val="24"/>
                <w:szCs w:val="24"/>
                <w:lang w:bidi="ar"/>
              </w:rPr>
              <w:t>检测报告均需加盖投标人公章。</w:t>
            </w:r>
          </w:p>
          <w:p>
            <w:pPr>
              <w:spacing w:line="276" w:lineRule="auto"/>
              <w:rPr>
                <w:bCs/>
                <w:color w:val="auto"/>
                <w:sz w:val="24"/>
              </w:rPr>
            </w:pPr>
            <w:r>
              <w:rPr>
                <w:rFonts w:hint="eastAsia"/>
                <w:bCs/>
                <w:color w:val="auto"/>
                <w:sz w:val="24"/>
              </w:rPr>
              <w:t>（</w:t>
            </w:r>
            <w:r>
              <w:rPr>
                <w:bCs/>
                <w:color w:val="auto"/>
                <w:sz w:val="24"/>
              </w:rPr>
              <w:t>1</w:t>
            </w:r>
            <w:r>
              <w:rPr>
                <w:rFonts w:hint="eastAsia"/>
                <w:bCs/>
                <w:color w:val="auto"/>
                <w:sz w:val="24"/>
              </w:rPr>
              <w:t>）检验报告结果均合格且检验内容无缺陷项的，得</w:t>
            </w:r>
            <w:r>
              <w:rPr>
                <w:bCs/>
                <w:color w:val="auto"/>
                <w:sz w:val="24"/>
              </w:rPr>
              <w:t>12</w:t>
            </w:r>
            <w:r>
              <w:rPr>
                <w:rFonts w:hint="eastAsia"/>
                <w:bCs/>
                <w:color w:val="auto"/>
                <w:sz w:val="24"/>
              </w:rPr>
              <w:t>分；</w:t>
            </w:r>
          </w:p>
          <w:p>
            <w:pPr>
              <w:spacing w:line="276" w:lineRule="auto"/>
              <w:rPr>
                <w:bCs/>
                <w:color w:val="auto"/>
                <w:sz w:val="24"/>
              </w:rPr>
            </w:pPr>
            <w:r>
              <w:rPr>
                <w:rFonts w:hint="eastAsia"/>
                <w:bCs/>
                <w:color w:val="auto"/>
                <w:sz w:val="24"/>
              </w:rPr>
              <w:t>（2）检验报告结果均合格但存在1个检测内容缺漏项的，得</w:t>
            </w:r>
            <w:r>
              <w:rPr>
                <w:bCs/>
                <w:color w:val="auto"/>
                <w:sz w:val="24"/>
              </w:rPr>
              <w:t>9</w:t>
            </w:r>
            <w:r>
              <w:rPr>
                <w:rFonts w:hint="eastAsia"/>
                <w:bCs/>
                <w:color w:val="auto"/>
                <w:sz w:val="24"/>
              </w:rPr>
              <w:t>分；</w:t>
            </w:r>
          </w:p>
          <w:p>
            <w:pPr>
              <w:spacing w:line="276" w:lineRule="auto"/>
              <w:rPr>
                <w:bCs/>
                <w:color w:val="auto"/>
                <w:sz w:val="24"/>
              </w:rPr>
            </w:pPr>
            <w:r>
              <w:rPr>
                <w:rFonts w:hint="eastAsia"/>
                <w:bCs/>
                <w:color w:val="auto"/>
                <w:sz w:val="24"/>
              </w:rPr>
              <w:t>（3）检验报告结果均合格但存在</w:t>
            </w:r>
            <w:r>
              <w:rPr>
                <w:bCs/>
                <w:color w:val="auto"/>
                <w:sz w:val="24"/>
              </w:rPr>
              <w:t>2</w:t>
            </w:r>
            <w:r>
              <w:rPr>
                <w:rFonts w:hint="eastAsia"/>
                <w:bCs/>
                <w:color w:val="auto"/>
                <w:sz w:val="24"/>
              </w:rPr>
              <w:t>个检测内容缺漏项的，得</w:t>
            </w:r>
            <w:r>
              <w:rPr>
                <w:bCs/>
                <w:color w:val="auto"/>
                <w:sz w:val="24"/>
              </w:rPr>
              <w:t>6</w:t>
            </w:r>
            <w:r>
              <w:rPr>
                <w:rFonts w:hint="eastAsia"/>
                <w:bCs/>
                <w:color w:val="auto"/>
                <w:sz w:val="24"/>
              </w:rPr>
              <w:t>分；</w:t>
            </w:r>
          </w:p>
          <w:p>
            <w:pPr>
              <w:spacing w:line="276" w:lineRule="auto"/>
              <w:rPr>
                <w:bCs/>
                <w:color w:val="auto"/>
                <w:sz w:val="24"/>
              </w:rPr>
            </w:pPr>
            <w:r>
              <w:rPr>
                <w:rFonts w:hint="eastAsia"/>
                <w:bCs/>
                <w:color w:val="auto"/>
                <w:sz w:val="24"/>
              </w:rPr>
              <w:t>（</w:t>
            </w:r>
            <w:r>
              <w:rPr>
                <w:bCs/>
                <w:color w:val="auto"/>
                <w:sz w:val="24"/>
              </w:rPr>
              <w:t>4</w:t>
            </w:r>
            <w:r>
              <w:rPr>
                <w:rFonts w:hint="eastAsia"/>
                <w:bCs/>
                <w:color w:val="auto"/>
                <w:sz w:val="24"/>
              </w:rPr>
              <w:t>）检验报告结果均合格但存在</w:t>
            </w:r>
            <w:r>
              <w:rPr>
                <w:bCs/>
                <w:color w:val="auto"/>
                <w:sz w:val="24"/>
              </w:rPr>
              <w:t>3</w:t>
            </w:r>
            <w:r>
              <w:rPr>
                <w:rFonts w:hint="eastAsia"/>
                <w:bCs/>
                <w:color w:val="auto"/>
                <w:sz w:val="24"/>
              </w:rPr>
              <w:t>个检测内容缺漏项的，得</w:t>
            </w:r>
            <w:r>
              <w:rPr>
                <w:bCs/>
                <w:color w:val="auto"/>
                <w:sz w:val="24"/>
              </w:rPr>
              <w:t>3</w:t>
            </w:r>
            <w:r>
              <w:rPr>
                <w:rFonts w:hint="eastAsia"/>
                <w:bCs/>
                <w:color w:val="auto"/>
                <w:sz w:val="24"/>
              </w:rPr>
              <w:t>分；</w:t>
            </w:r>
          </w:p>
          <w:p>
            <w:pPr>
              <w:spacing w:line="276" w:lineRule="auto"/>
              <w:rPr>
                <w:bCs/>
                <w:color w:val="auto"/>
                <w:sz w:val="24"/>
              </w:rPr>
            </w:pPr>
            <w:r>
              <w:rPr>
                <w:rFonts w:hint="eastAsia"/>
                <w:bCs/>
                <w:color w:val="auto"/>
                <w:sz w:val="24"/>
              </w:rPr>
              <w:t>（</w:t>
            </w:r>
            <w:r>
              <w:rPr>
                <w:bCs/>
                <w:color w:val="auto"/>
                <w:sz w:val="24"/>
              </w:rPr>
              <w:t>5</w:t>
            </w:r>
            <w:r>
              <w:rPr>
                <w:rFonts w:hint="eastAsia"/>
                <w:bCs/>
                <w:color w:val="auto"/>
                <w:sz w:val="24"/>
              </w:rPr>
              <w:t>）检验报告结果均合格但存在</w:t>
            </w:r>
            <w:r>
              <w:rPr>
                <w:bCs/>
                <w:color w:val="auto"/>
                <w:sz w:val="24"/>
              </w:rPr>
              <w:t>4</w:t>
            </w:r>
            <w:r>
              <w:rPr>
                <w:rFonts w:hint="eastAsia"/>
                <w:bCs/>
                <w:color w:val="auto"/>
                <w:sz w:val="24"/>
              </w:rPr>
              <w:t>个及以上检测内容缺漏项</w:t>
            </w:r>
            <w:r>
              <w:rPr>
                <w:rFonts w:hint="eastAsia"/>
                <w:bCs/>
                <w:color w:val="auto"/>
                <w:sz w:val="24"/>
                <w:lang w:val="en-US" w:eastAsia="zh-CN"/>
              </w:rPr>
              <w:t>的</w:t>
            </w:r>
            <w:r>
              <w:rPr>
                <w:rFonts w:hint="eastAsia"/>
                <w:bCs/>
                <w:color w:val="auto"/>
                <w:sz w:val="24"/>
              </w:rPr>
              <w:t>，均不得分。</w:t>
            </w:r>
          </w:p>
          <w:p>
            <w:pPr>
              <w:pStyle w:val="48"/>
              <w:ind w:left="42" w:leftChars="20" w:right="113" w:rightChars="0"/>
              <w:rPr>
                <w:rFonts w:hint="eastAsia"/>
                <w:b/>
                <w:color w:val="auto"/>
                <w:sz w:val="24"/>
                <w:szCs w:val="24"/>
                <w:lang w:val="en-US" w:eastAsia="zh-CN"/>
              </w:rPr>
            </w:pPr>
            <w:r>
              <w:rPr>
                <w:rFonts w:hint="eastAsia"/>
                <w:b/>
                <w:color w:val="auto"/>
                <w:sz w:val="24"/>
                <w:szCs w:val="24"/>
              </w:rPr>
              <w:t>注：</w:t>
            </w:r>
            <w:r>
              <w:rPr>
                <w:rFonts w:hint="eastAsia"/>
                <w:b/>
                <w:color w:val="auto"/>
                <w:sz w:val="24"/>
                <w:szCs w:val="24"/>
                <w:lang w:eastAsia="zh-CN"/>
              </w:rPr>
              <w:t>（</w:t>
            </w:r>
            <w:r>
              <w:rPr>
                <w:rFonts w:hint="eastAsia"/>
                <w:b/>
                <w:color w:val="auto"/>
                <w:sz w:val="24"/>
                <w:szCs w:val="24"/>
                <w:lang w:val="en-US" w:eastAsia="zh-CN"/>
              </w:rPr>
              <w:t>1</w:t>
            </w:r>
            <w:r>
              <w:rPr>
                <w:rFonts w:hint="eastAsia"/>
                <w:b/>
                <w:color w:val="auto"/>
                <w:sz w:val="24"/>
                <w:szCs w:val="24"/>
                <w:lang w:eastAsia="zh-CN"/>
              </w:rPr>
              <w:t>）</w:t>
            </w:r>
            <w:r>
              <w:rPr>
                <w:rFonts w:hint="eastAsia"/>
                <w:b/>
                <w:color w:val="auto"/>
                <w:sz w:val="24"/>
                <w:szCs w:val="24"/>
              </w:rPr>
              <w:t>各包次检测报告及检测内容要求，详见招标文件《第五章 采购需求》</w:t>
            </w:r>
            <w:r>
              <w:rPr>
                <w:rFonts w:hint="eastAsia"/>
                <w:b/>
                <w:color w:val="auto"/>
                <w:sz w:val="24"/>
                <w:szCs w:val="24"/>
                <w:lang w:val="en-US" w:eastAsia="zh-CN"/>
              </w:rPr>
              <w:t>2.3.3项。</w:t>
            </w:r>
          </w:p>
          <w:p>
            <w:pPr>
              <w:pStyle w:val="48"/>
              <w:ind w:left="42" w:leftChars="20" w:right="113" w:rightChars="0"/>
              <w:rPr>
                <w:rFonts w:hint="eastAsia"/>
                <w:b/>
                <w:color w:val="auto"/>
                <w:sz w:val="24"/>
                <w:szCs w:val="24"/>
                <w:lang w:val="en-US" w:eastAsia="zh-CN"/>
              </w:rPr>
            </w:pPr>
            <w:r>
              <w:rPr>
                <w:rFonts w:hint="eastAsia"/>
                <w:b/>
                <w:color w:val="auto"/>
                <w:sz w:val="24"/>
                <w:szCs w:val="24"/>
                <w:lang w:val="en-US" w:eastAsia="zh-CN"/>
              </w:rPr>
              <w:t>（2）各标段投标人按所投标段提供相应产品的检测报告原件，投标文件内附复印件并加盖投标单位公章。（检测报告原件单独密封与投标文件同时递交，以便评标现场核实）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noWrap w:val="0"/>
            <w:vAlign w:val="center"/>
          </w:tcPr>
          <w:p>
            <w:pPr>
              <w:pStyle w:val="48"/>
              <w:ind w:left="42" w:leftChars="20" w:right="113" w:rightChars="0"/>
              <w:jc w:val="center"/>
              <w:rPr>
                <w:rFonts w:hint="eastAsia" w:cs="宋体"/>
                <w:kern w:val="2"/>
                <w:sz w:val="24"/>
                <w:szCs w:val="24"/>
                <w:lang w:val="en-US" w:eastAsia="zh-CN" w:bidi="ar-SA"/>
              </w:rPr>
            </w:pPr>
            <w:r>
              <w:rPr>
                <w:rFonts w:hint="eastAsia" w:cs="宋体"/>
                <w:kern w:val="2"/>
                <w:sz w:val="24"/>
                <w:szCs w:val="24"/>
                <w:lang w:val="en-US" w:eastAsia="zh-CN" w:bidi="ar-SA"/>
              </w:rPr>
              <w:t>样品</w:t>
            </w:r>
          </w:p>
          <w:p>
            <w:pPr>
              <w:pStyle w:val="48"/>
              <w:ind w:left="42" w:leftChars="20" w:right="113" w:rightChars="0"/>
              <w:jc w:val="center"/>
              <w:rPr>
                <w:rFonts w:hint="default" w:cs="宋体"/>
                <w:kern w:val="2"/>
                <w:sz w:val="24"/>
                <w:szCs w:val="24"/>
                <w:lang w:val="en-US" w:eastAsia="zh-CN" w:bidi="ar-SA"/>
              </w:rPr>
            </w:pPr>
            <w:r>
              <w:rPr>
                <w:rFonts w:hint="eastAsia" w:cs="宋体"/>
                <w:kern w:val="2"/>
                <w:sz w:val="24"/>
                <w:szCs w:val="24"/>
                <w:lang w:val="en-US" w:eastAsia="zh-CN" w:bidi="ar-SA"/>
              </w:rPr>
              <w:t>（20分）</w:t>
            </w:r>
          </w:p>
        </w:tc>
        <w:tc>
          <w:tcPr>
            <w:tcW w:w="8127" w:type="dxa"/>
            <w:noWrap w:val="0"/>
            <w:vAlign w:val="center"/>
          </w:tcPr>
          <w:p>
            <w:pPr>
              <w:pStyle w:val="48"/>
              <w:ind w:left="42" w:leftChars="20" w:right="113" w:rightChars="0"/>
              <w:rPr>
                <w:rFonts w:hint="eastAsia" w:ascii="宋体" w:hAnsi="宋体" w:eastAsia="宋体" w:cs="宋体"/>
                <w:kern w:val="0"/>
                <w:sz w:val="24"/>
                <w:szCs w:val="24"/>
                <w:lang w:val="zh-CN" w:eastAsia="en-US" w:bidi="ar-SA"/>
              </w:rPr>
            </w:pPr>
            <w:r>
              <w:rPr>
                <w:rFonts w:hint="eastAsia"/>
                <w:bCs/>
                <w:color w:val="auto"/>
                <w:sz w:val="24"/>
                <w:szCs w:val="24"/>
              </w:rPr>
              <w:t>根据投标人提供的样品进行评审，</w:t>
            </w:r>
            <w:r>
              <w:rPr>
                <w:rFonts w:hint="eastAsia"/>
                <w:b/>
                <w:color w:val="auto"/>
                <w:sz w:val="24"/>
                <w:szCs w:val="24"/>
              </w:rPr>
              <w:t>若未提交样品或样品样式存在明显差异</w:t>
            </w:r>
            <w:r>
              <w:rPr>
                <w:rFonts w:hint="eastAsia"/>
                <w:bCs/>
                <w:color w:val="auto"/>
                <w:sz w:val="24"/>
                <w:szCs w:val="24"/>
              </w:rPr>
              <w:t>，则本项“样品评审”不得分，各包具体评审细则详见附件《样品评审细则》。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noWrap w:val="0"/>
            <w:vAlign w:val="center"/>
          </w:tcPr>
          <w:p>
            <w:pPr>
              <w:pStyle w:val="48"/>
              <w:ind w:left="42" w:leftChars="20" w:right="113"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实施方案</w:t>
            </w:r>
          </w:p>
          <w:p>
            <w:pPr>
              <w:pStyle w:val="48"/>
              <w:ind w:left="42" w:leftChars="20" w:right="113"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cs="宋体"/>
                <w:kern w:val="2"/>
                <w:sz w:val="24"/>
                <w:szCs w:val="24"/>
                <w:lang w:val="en-US" w:eastAsia="zh-CN" w:bidi="ar-SA"/>
              </w:rPr>
              <w:t>10</w:t>
            </w:r>
            <w:r>
              <w:rPr>
                <w:rFonts w:hint="eastAsia" w:ascii="宋体" w:hAnsi="宋体" w:eastAsia="宋体" w:cs="宋体"/>
                <w:kern w:val="2"/>
                <w:sz w:val="24"/>
                <w:szCs w:val="24"/>
                <w:lang w:val="en-US" w:eastAsia="zh-CN" w:bidi="ar-SA"/>
              </w:rPr>
              <w:t>分）</w:t>
            </w:r>
          </w:p>
        </w:tc>
        <w:tc>
          <w:tcPr>
            <w:tcW w:w="8127" w:type="dxa"/>
            <w:noWrap w:val="0"/>
            <w:vAlign w:val="center"/>
          </w:tcPr>
          <w:p>
            <w:pPr>
              <w:pStyle w:val="48"/>
              <w:ind w:left="42" w:leftChars="20" w:right="113"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w:t>
            </w:r>
          </w:p>
          <w:p>
            <w:pPr>
              <w:pStyle w:val="48"/>
              <w:ind w:left="42" w:leftChars="20" w:right="113"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以上5项内容进行评价，逐项打分，每项</w:t>
            </w:r>
            <w:r>
              <w:rPr>
                <w:rFonts w:hint="eastAsia" w:cs="宋体"/>
                <w:kern w:val="2"/>
                <w:sz w:val="24"/>
                <w:szCs w:val="24"/>
                <w:lang w:val="en-US" w:eastAsia="zh-CN" w:bidi="ar-SA"/>
              </w:rPr>
              <w:t>2</w:t>
            </w:r>
            <w:r>
              <w:rPr>
                <w:rFonts w:hint="eastAsia" w:ascii="宋体" w:hAnsi="宋体" w:eastAsia="宋体" w:cs="宋体"/>
                <w:kern w:val="2"/>
                <w:sz w:val="24"/>
                <w:szCs w:val="24"/>
                <w:lang w:val="en-US" w:eastAsia="zh-CN" w:bidi="ar-SA"/>
              </w:rPr>
              <w:t>分，本项满分</w:t>
            </w:r>
            <w:r>
              <w:rPr>
                <w:rFonts w:hint="eastAsia" w:cs="宋体"/>
                <w:kern w:val="2"/>
                <w:sz w:val="24"/>
                <w:szCs w:val="24"/>
                <w:lang w:val="en-US" w:eastAsia="zh-CN" w:bidi="ar-SA"/>
              </w:rPr>
              <w:t>10</w:t>
            </w:r>
            <w:r>
              <w:rPr>
                <w:rFonts w:hint="eastAsia" w:ascii="宋体" w:hAnsi="宋体" w:eastAsia="宋体" w:cs="宋体"/>
                <w:kern w:val="2"/>
                <w:sz w:val="24"/>
                <w:szCs w:val="24"/>
                <w:lang w:val="en-US" w:eastAsia="zh-CN" w:bidi="ar-SA"/>
              </w:rPr>
              <w:t>分：</w:t>
            </w:r>
          </w:p>
          <w:p>
            <w:pPr>
              <w:pStyle w:val="48"/>
              <w:ind w:left="42" w:leftChars="20" w:right="113"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每项评审标准：提供了内容完整、详实可行的生产实施方案，有很强的针对性，得</w:t>
            </w:r>
            <w:r>
              <w:rPr>
                <w:rFonts w:hint="eastAsia" w:cs="宋体"/>
                <w:kern w:val="2"/>
                <w:sz w:val="24"/>
                <w:szCs w:val="24"/>
                <w:lang w:val="en-US" w:eastAsia="zh-CN" w:bidi="ar-SA"/>
              </w:rPr>
              <w:t>2</w:t>
            </w:r>
            <w:r>
              <w:rPr>
                <w:rFonts w:hint="eastAsia" w:ascii="宋体" w:hAnsi="宋体" w:eastAsia="宋体" w:cs="宋体"/>
                <w:kern w:val="2"/>
                <w:sz w:val="24"/>
                <w:szCs w:val="24"/>
                <w:lang w:val="en-US" w:eastAsia="zh-CN" w:bidi="ar-SA"/>
              </w:rPr>
              <w:t>分/项；提供了常规、通用的生产实施方案，基本符合采购需求，得</w:t>
            </w:r>
            <w:r>
              <w:rPr>
                <w:rFonts w:hint="eastAsia" w:cs="宋体"/>
                <w:kern w:val="2"/>
                <w:sz w:val="24"/>
                <w:szCs w:val="24"/>
                <w:lang w:val="en-US" w:eastAsia="zh-CN" w:bidi="ar-SA"/>
              </w:rPr>
              <w:t>1</w:t>
            </w:r>
            <w:r>
              <w:rPr>
                <w:rFonts w:hint="eastAsia" w:ascii="宋体" w:hAnsi="宋体" w:eastAsia="宋体" w:cs="宋体"/>
                <w:kern w:val="2"/>
                <w:sz w:val="24"/>
                <w:szCs w:val="24"/>
                <w:lang w:val="en-US" w:eastAsia="zh-CN" w:bidi="ar-SA"/>
              </w:rPr>
              <w:t>分/项；提供的方案欠佳或方案不可行，得0.5分/项；未提供相应方案，得0分/项。</w:t>
            </w:r>
          </w:p>
          <w:p>
            <w:pPr>
              <w:pStyle w:val="48"/>
              <w:ind w:left="42" w:leftChars="20" w:right="113"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w:t>
            </w:r>
            <w:r>
              <w:rPr>
                <w:rFonts w:hint="eastAsia" w:ascii="宋体" w:hAnsi="宋体" w:eastAsia="宋体" w:cs="宋体"/>
                <w:kern w:val="2"/>
                <w:sz w:val="24"/>
                <w:szCs w:val="24"/>
                <w:highlight w:val="none"/>
                <w:lang w:val="en-US" w:eastAsia="zh-CN" w:bidi="ar-SA"/>
              </w:rPr>
              <w:t>：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w:t>
            </w:r>
            <w:r>
              <w:rPr>
                <w:rFonts w:hint="eastAsia" w:ascii="宋体" w:hAnsi="宋体" w:eastAsia="宋体" w:cs="宋体"/>
                <w:kern w:val="2"/>
                <w:sz w:val="24"/>
                <w:szCs w:val="24"/>
                <w:lang w:val="en-US" w:eastAsia="zh-CN" w:bidi="ar-SA"/>
              </w:rPr>
              <w:t>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noWrap w:val="0"/>
            <w:vAlign w:val="center"/>
          </w:tcPr>
          <w:p>
            <w:pPr>
              <w:pStyle w:val="48"/>
              <w:ind w:left="42" w:leftChars="20" w:right="113"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质量保障</w:t>
            </w:r>
          </w:p>
          <w:p>
            <w:pPr>
              <w:pStyle w:val="48"/>
              <w:ind w:left="42" w:leftChars="20" w:right="113" w:rightChars="0"/>
              <w:jc w:val="center"/>
              <w:rPr>
                <w:rFonts w:hint="eastAsia" w:eastAsiaTheme="minorEastAsia"/>
                <w:sz w:val="24"/>
                <w:szCs w:val="24"/>
                <w:lang w:eastAsia="zh-CN"/>
              </w:rPr>
            </w:pPr>
            <w:r>
              <w:rPr>
                <w:rFonts w:hint="eastAsia" w:ascii="宋体" w:hAnsi="宋体" w:eastAsia="宋体" w:cs="宋体"/>
                <w:kern w:val="2"/>
                <w:sz w:val="24"/>
                <w:szCs w:val="24"/>
                <w:lang w:val="en-US" w:eastAsia="zh-CN" w:bidi="ar-SA"/>
              </w:rPr>
              <w:t>（</w:t>
            </w:r>
            <w:r>
              <w:rPr>
                <w:rFonts w:hint="eastAsia" w:cs="宋体"/>
                <w:kern w:val="2"/>
                <w:sz w:val="24"/>
                <w:szCs w:val="24"/>
                <w:lang w:val="en-US" w:eastAsia="zh-CN" w:bidi="ar-SA"/>
              </w:rPr>
              <w:t>6</w:t>
            </w:r>
            <w:r>
              <w:rPr>
                <w:rFonts w:hint="eastAsia" w:ascii="宋体" w:hAnsi="宋体" w:eastAsia="宋体" w:cs="宋体"/>
                <w:kern w:val="2"/>
                <w:sz w:val="24"/>
                <w:szCs w:val="24"/>
                <w:lang w:val="en-US" w:eastAsia="zh-CN" w:bidi="ar-SA"/>
              </w:rPr>
              <w:t>分）</w:t>
            </w:r>
          </w:p>
        </w:tc>
        <w:tc>
          <w:tcPr>
            <w:tcW w:w="8127" w:type="dxa"/>
            <w:noWrap w:val="0"/>
            <w:vAlign w:val="center"/>
          </w:tcPr>
          <w:p>
            <w:pPr>
              <w:spacing w:line="276" w:lineRule="auto"/>
              <w:rPr>
                <w:bCs/>
                <w:color w:val="auto"/>
                <w:sz w:val="24"/>
                <w:szCs w:val="24"/>
              </w:rPr>
            </w:pPr>
            <w:r>
              <w:rPr>
                <w:rFonts w:hint="eastAsia"/>
                <w:bCs/>
                <w:color w:val="auto"/>
                <w:sz w:val="24"/>
                <w:szCs w:val="24"/>
              </w:rPr>
              <w:t>根据投标人针对本项目制定的质量保障方案，包括但不限于制作过程质量控制、过程风险控制、产品出厂质量控制等各阶段质量控制措施和检验与验收内容。</w:t>
            </w:r>
          </w:p>
          <w:p>
            <w:pPr>
              <w:spacing w:line="276" w:lineRule="auto"/>
              <w:rPr>
                <w:bCs/>
                <w:color w:val="auto"/>
                <w:sz w:val="24"/>
                <w:szCs w:val="24"/>
              </w:rPr>
            </w:pPr>
            <w:r>
              <w:rPr>
                <w:rFonts w:hint="eastAsia"/>
                <w:bCs/>
                <w:color w:val="auto"/>
                <w:sz w:val="24"/>
                <w:szCs w:val="24"/>
              </w:rPr>
              <w:t>提供了内容完整、详实可行的质量保障方案，有很强的针对性，得</w:t>
            </w:r>
            <w:r>
              <w:rPr>
                <w:rFonts w:hint="eastAsia"/>
                <w:bCs/>
                <w:color w:val="auto"/>
                <w:sz w:val="24"/>
                <w:szCs w:val="24"/>
                <w:lang w:val="en-US" w:eastAsia="zh-CN"/>
              </w:rPr>
              <w:t>6</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提供了常规、通用的质量保障方案，基本符合采购需求，得</w:t>
            </w:r>
            <w:r>
              <w:rPr>
                <w:rFonts w:hint="eastAsia"/>
                <w:bCs/>
                <w:color w:val="auto"/>
                <w:sz w:val="24"/>
                <w:szCs w:val="24"/>
                <w:lang w:val="en-US" w:eastAsia="zh-CN"/>
              </w:rPr>
              <w:t>4</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提供的质量保障方案欠佳或方案不可行，得</w:t>
            </w:r>
            <w:r>
              <w:rPr>
                <w:rFonts w:hint="eastAsia"/>
                <w:bCs/>
                <w:color w:val="auto"/>
                <w:sz w:val="24"/>
                <w:szCs w:val="24"/>
                <w:lang w:val="en-US" w:eastAsia="zh-CN"/>
              </w:rPr>
              <w:t>2</w:t>
            </w:r>
            <w:r>
              <w:rPr>
                <w:rFonts w:hint="eastAsia"/>
                <w:bCs/>
                <w:color w:val="auto"/>
                <w:sz w:val="24"/>
                <w:szCs w:val="24"/>
              </w:rPr>
              <w:t>分；</w:t>
            </w:r>
          </w:p>
          <w:p>
            <w:pPr>
              <w:pStyle w:val="12"/>
              <w:keepNext w:val="0"/>
              <w:keepLines w:val="0"/>
              <w:suppressLineNumbers w:val="0"/>
              <w:spacing w:before="0" w:beforeAutospacing="0" w:after="0" w:afterAutospacing="0"/>
              <w:ind w:left="0" w:leftChars="0" w:right="0" w:rightChars="0"/>
              <w:rPr>
                <w:rFonts w:hint="eastAsia" w:ascii="宋体" w:hAnsi="宋体" w:cs="宋体"/>
                <w:sz w:val="24"/>
                <w:szCs w:val="24"/>
                <w:lang w:val="zh-CN"/>
              </w:rPr>
            </w:pPr>
            <w:r>
              <w:rPr>
                <w:rFonts w:hint="eastAsia"/>
                <w:bCs/>
                <w:color w:val="auto"/>
                <w:sz w:val="24"/>
                <w:szCs w:val="24"/>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vMerge w:val="restart"/>
            <w:noWrap w:val="0"/>
            <w:vAlign w:val="center"/>
          </w:tcPr>
          <w:p>
            <w:pPr>
              <w:pStyle w:val="48"/>
              <w:ind w:left="42" w:leftChars="20" w:right="113" w:rightChars="0"/>
              <w:jc w:val="center"/>
              <w:rPr>
                <w:rFonts w:hint="eastAsia" w:cs="Times New Roman"/>
                <w:sz w:val="24"/>
                <w:szCs w:val="24"/>
                <w:lang w:val="en-US" w:eastAsia="zh-CN"/>
              </w:rPr>
            </w:pPr>
            <w:r>
              <w:rPr>
                <w:rFonts w:hint="eastAsia" w:cs="Times New Roman"/>
                <w:sz w:val="24"/>
                <w:szCs w:val="24"/>
                <w:lang w:val="en-US" w:eastAsia="zh-CN"/>
              </w:rPr>
              <w:t>售后服务</w:t>
            </w:r>
          </w:p>
          <w:p>
            <w:pPr>
              <w:pStyle w:val="48"/>
              <w:ind w:left="42" w:leftChars="20" w:right="113" w:rightChars="0"/>
              <w:jc w:val="center"/>
              <w:rPr>
                <w:rFonts w:hint="default" w:cs="Times New Roman"/>
                <w:sz w:val="24"/>
                <w:szCs w:val="24"/>
                <w:lang w:val="en-US" w:eastAsia="zh-CN"/>
              </w:rPr>
            </w:pPr>
            <w:r>
              <w:rPr>
                <w:rFonts w:hint="eastAsia" w:cs="Times New Roman"/>
                <w:sz w:val="24"/>
                <w:szCs w:val="24"/>
                <w:lang w:val="en-US" w:eastAsia="zh-CN"/>
              </w:rPr>
              <w:t>（8分）</w:t>
            </w:r>
          </w:p>
        </w:tc>
        <w:tc>
          <w:tcPr>
            <w:tcW w:w="8127" w:type="dxa"/>
            <w:noWrap w:val="0"/>
            <w:vAlign w:val="center"/>
          </w:tcPr>
          <w:p>
            <w:pPr>
              <w:pStyle w:val="48"/>
              <w:ind w:left="42" w:leftChars="20" w:right="113" w:rightChars="0"/>
              <w:rPr>
                <w:rFonts w:hint="eastAsia" w:ascii="宋体" w:hAnsi="宋体" w:cs="宋体"/>
                <w:color w:val="auto"/>
                <w:sz w:val="24"/>
                <w:szCs w:val="24"/>
                <w:lang w:val="zh-CN"/>
              </w:rPr>
            </w:pPr>
            <w:r>
              <w:rPr>
                <w:rFonts w:hint="eastAsia"/>
                <w:bCs/>
                <w:color w:val="auto"/>
                <w:sz w:val="24"/>
                <w:szCs w:val="24"/>
                <w:lang w:val="en-US" w:eastAsia="zh-CN"/>
              </w:rPr>
              <w:t>质保期：</w:t>
            </w:r>
            <w:r>
              <w:rPr>
                <w:rFonts w:hint="eastAsia"/>
                <w:bCs/>
                <w:color w:val="auto"/>
                <w:sz w:val="24"/>
                <w:szCs w:val="24"/>
              </w:rPr>
              <w:t>在满足招标人要求基础上承诺质保期每增加1年得</w:t>
            </w:r>
            <w:r>
              <w:rPr>
                <w:rFonts w:hint="eastAsia"/>
                <w:bCs/>
                <w:color w:val="auto"/>
                <w:sz w:val="24"/>
                <w:szCs w:val="24"/>
                <w:lang w:val="en-US" w:eastAsia="zh-CN"/>
              </w:rPr>
              <w:t>1</w:t>
            </w:r>
            <w:r>
              <w:rPr>
                <w:rFonts w:hint="eastAsia"/>
                <w:bCs/>
                <w:color w:val="auto"/>
                <w:sz w:val="24"/>
                <w:szCs w:val="24"/>
              </w:rPr>
              <w:t>分，最多得</w:t>
            </w:r>
            <w:r>
              <w:rPr>
                <w:rFonts w:hint="eastAsia"/>
                <w:bCs/>
                <w:color w:val="auto"/>
                <w:sz w:val="24"/>
                <w:szCs w:val="24"/>
                <w:lang w:val="en-US" w:eastAsia="zh-CN"/>
              </w:rPr>
              <w:t>2</w:t>
            </w:r>
            <w:r>
              <w:rPr>
                <w:rFonts w:hint="eastAsia"/>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vMerge w:val="continue"/>
            <w:noWrap w:val="0"/>
            <w:vAlign w:val="center"/>
          </w:tcPr>
          <w:p>
            <w:pPr>
              <w:pStyle w:val="48"/>
              <w:ind w:left="42" w:leftChars="20" w:right="113" w:rightChars="0"/>
              <w:jc w:val="center"/>
              <w:rPr>
                <w:rFonts w:hint="eastAsia" w:cs="Times New Roman"/>
                <w:sz w:val="24"/>
                <w:szCs w:val="24"/>
                <w:lang w:val="en-US" w:eastAsia="zh-CN"/>
              </w:rPr>
            </w:pPr>
          </w:p>
        </w:tc>
        <w:tc>
          <w:tcPr>
            <w:tcW w:w="8127" w:type="dxa"/>
            <w:noWrap w:val="0"/>
            <w:vAlign w:val="center"/>
          </w:tcPr>
          <w:p>
            <w:pPr>
              <w:spacing w:line="276" w:lineRule="auto"/>
              <w:rPr>
                <w:bCs/>
                <w:color w:val="auto"/>
                <w:sz w:val="24"/>
                <w:szCs w:val="24"/>
              </w:rPr>
            </w:pPr>
            <w:r>
              <w:rPr>
                <w:rFonts w:hint="eastAsia"/>
                <w:bCs/>
                <w:color w:val="auto"/>
                <w:sz w:val="24"/>
                <w:szCs w:val="24"/>
              </w:rPr>
              <w:t xml:space="preserve">针对本项目制定的售后服务方案，包括但不限于：1）包装；2）发货、运输，装卸；3) 备品备件供应与存储量等；4）各售后服务网点地址及售后服务人员、联系方式； </w:t>
            </w:r>
          </w:p>
          <w:p>
            <w:pPr>
              <w:spacing w:line="276" w:lineRule="auto"/>
              <w:rPr>
                <w:bCs/>
                <w:color w:val="auto"/>
                <w:sz w:val="24"/>
                <w:szCs w:val="24"/>
              </w:rPr>
            </w:pPr>
            <w:r>
              <w:rPr>
                <w:rFonts w:hint="eastAsia"/>
                <w:bCs/>
                <w:color w:val="auto"/>
                <w:sz w:val="24"/>
                <w:szCs w:val="24"/>
              </w:rPr>
              <w:t>提供了内容完整、详实可行的售后服务方案，有很强的针对性，得</w:t>
            </w:r>
            <w:r>
              <w:rPr>
                <w:rFonts w:hint="eastAsia"/>
                <w:bCs/>
                <w:color w:val="auto"/>
                <w:sz w:val="24"/>
                <w:szCs w:val="24"/>
                <w:lang w:val="en-US" w:eastAsia="zh-CN"/>
              </w:rPr>
              <w:t>2</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提供了常规、通用的售后服务方案，基本符合采购需求，得</w:t>
            </w:r>
            <w:r>
              <w:rPr>
                <w:rFonts w:hint="eastAsia"/>
                <w:bCs/>
                <w:color w:val="auto"/>
                <w:sz w:val="24"/>
                <w:szCs w:val="24"/>
                <w:lang w:val="en-US" w:eastAsia="zh-CN"/>
              </w:rPr>
              <w:t>1</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提供的售后服务方案欠佳或方案不可行，得</w:t>
            </w:r>
            <w:r>
              <w:rPr>
                <w:rFonts w:hint="eastAsia"/>
                <w:bCs/>
                <w:color w:val="auto"/>
                <w:sz w:val="24"/>
                <w:szCs w:val="24"/>
                <w:lang w:val="en-US" w:eastAsia="zh-CN"/>
              </w:rPr>
              <w:t>0.5</w:t>
            </w:r>
            <w:r>
              <w:rPr>
                <w:rFonts w:hint="eastAsia"/>
                <w:bCs/>
                <w:color w:val="auto"/>
                <w:sz w:val="24"/>
                <w:szCs w:val="24"/>
              </w:rPr>
              <w:t>分；</w:t>
            </w:r>
          </w:p>
          <w:p>
            <w:pPr>
              <w:pStyle w:val="48"/>
              <w:ind w:left="42" w:leftChars="20" w:right="113" w:rightChars="0"/>
              <w:rPr>
                <w:rFonts w:hint="eastAsia"/>
                <w:bCs/>
                <w:color w:val="auto"/>
                <w:sz w:val="24"/>
                <w:szCs w:val="24"/>
              </w:rPr>
            </w:pPr>
            <w:r>
              <w:rPr>
                <w:rFonts w:hint="eastAsia"/>
                <w:bCs/>
                <w:color w:val="auto"/>
                <w:sz w:val="24"/>
                <w:szCs w:val="24"/>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vMerge w:val="continue"/>
            <w:noWrap w:val="0"/>
            <w:vAlign w:val="center"/>
          </w:tcPr>
          <w:p>
            <w:pPr>
              <w:pStyle w:val="48"/>
              <w:ind w:left="42" w:leftChars="20" w:right="113" w:rightChars="0"/>
              <w:jc w:val="center"/>
              <w:rPr>
                <w:rFonts w:hint="eastAsia" w:cs="Times New Roman"/>
                <w:sz w:val="24"/>
                <w:szCs w:val="24"/>
                <w:lang w:val="en-US" w:eastAsia="zh-CN"/>
              </w:rPr>
            </w:pPr>
          </w:p>
        </w:tc>
        <w:tc>
          <w:tcPr>
            <w:tcW w:w="8127" w:type="dxa"/>
            <w:noWrap w:val="0"/>
            <w:vAlign w:val="center"/>
          </w:tcPr>
          <w:p>
            <w:pPr>
              <w:spacing w:line="276" w:lineRule="auto"/>
              <w:rPr>
                <w:bCs/>
                <w:color w:val="auto"/>
                <w:sz w:val="24"/>
                <w:szCs w:val="24"/>
              </w:rPr>
            </w:pPr>
            <w:r>
              <w:rPr>
                <w:rFonts w:hint="eastAsia"/>
                <w:bCs/>
                <w:color w:val="auto"/>
                <w:sz w:val="24"/>
                <w:szCs w:val="24"/>
              </w:rPr>
              <w:t>质保期内免费调换比例及免费邮寄等承诺：</w:t>
            </w:r>
          </w:p>
          <w:p>
            <w:pPr>
              <w:spacing w:line="276" w:lineRule="auto"/>
              <w:rPr>
                <w:bCs/>
                <w:color w:val="auto"/>
                <w:sz w:val="24"/>
                <w:szCs w:val="24"/>
              </w:rPr>
            </w:pPr>
            <w:r>
              <w:rPr>
                <w:rFonts w:hint="eastAsia"/>
                <w:bCs/>
                <w:color w:val="auto"/>
                <w:sz w:val="24"/>
                <w:szCs w:val="24"/>
              </w:rPr>
              <w:t>1.承诺日常为采购人提供总数量的5</w:t>
            </w:r>
            <w:r>
              <w:rPr>
                <w:bCs/>
                <w:color w:val="auto"/>
                <w:sz w:val="24"/>
                <w:szCs w:val="24"/>
              </w:rPr>
              <w:t>%</w:t>
            </w:r>
            <w:r>
              <w:rPr>
                <w:rFonts w:hint="eastAsia"/>
                <w:bCs/>
                <w:color w:val="auto"/>
                <w:sz w:val="24"/>
                <w:szCs w:val="24"/>
              </w:rPr>
              <w:t>的备货库存，采购人提出调换货物的要求时，投标人承诺免费调换货物比例为总数量的5%，且收到招标人调换货物通知后能够保证</w:t>
            </w:r>
            <w:r>
              <w:rPr>
                <w:bCs/>
                <w:color w:val="auto"/>
                <w:sz w:val="24"/>
                <w:szCs w:val="24"/>
              </w:rPr>
              <w:t>5</w:t>
            </w:r>
            <w:r>
              <w:rPr>
                <w:rFonts w:hint="eastAsia"/>
                <w:bCs/>
                <w:color w:val="auto"/>
                <w:sz w:val="24"/>
                <w:szCs w:val="24"/>
              </w:rPr>
              <w:t>日内送达并承担邮寄费等相关费用得</w:t>
            </w:r>
            <w:r>
              <w:rPr>
                <w:rFonts w:hint="eastAsia"/>
                <w:bCs/>
                <w:color w:val="auto"/>
                <w:sz w:val="24"/>
                <w:szCs w:val="24"/>
                <w:lang w:val="en-US" w:eastAsia="zh-CN"/>
              </w:rPr>
              <w:t>4</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2.承诺日常为采购人提供总数量的3</w:t>
            </w:r>
            <w:r>
              <w:rPr>
                <w:bCs/>
                <w:color w:val="auto"/>
                <w:sz w:val="24"/>
                <w:szCs w:val="24"/>
              </w:rPr>
              <w:t>%</w:t>
            </w:r>
            <w:r>
              <w:rPr>
                <w:rFonts w:hint="eastAsia"/>
                <w:bCs/>
                <w:color w:val="auto"/>
                <w:sz w:val="24"/>
                <w:szCs w:val="24"/>
              </w:rPr>
              <w:t>的备货库存，采购人提出调换货物的要求时，投标人承诺免费调换比例为总数量的3%，且收到招标人调换货物通知后</w:t>
            </w:r>
            <w:r>
              <w:rPr>
                <w:bCs/>
                <w:color w:val="auto"/>
                <w:sz w:val="24"/>
                <w:szCs w:val="24"/>
              </w:rPr>
              <w:t>7</w:t>
            </w:r>
            <w:r>
              <w:rPr>
                <w:rFonts w:hint="eastAsia"/>
                <w:bCs/>
                <w:color w:val="auto"/>
                <w:sz w:val="24"/>
                <w:szCs w:val="24"/>
              </w:rPr>
              <w:t>日内送达并承担邮寄费等相关费用得</w:t>
            </w:r>
            <w:r>
              <w:rPr>
                <w:rFonts w:hint="eastAsia"/>
                <w:bCs/>
                <w:color w:val="auto"/>
                <w:sz w:val="24"/>
                <w:szCs w:val="24"/>
                <w:lang w:val="en-US" w:eastAsia="zh-CN"/>
              </w:rPr>
              <w:t>3</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3.承诺日常为采购人提供总数量的1</w:t>
            </w:r>
            <w:r>
              <w:rPr>
                <w:bCs/>
                <w:color w:val="auto"/>
                <w:sz w:val="24"/>
                <w:szCs w:val="24"/>
              </w:rPr>
              <w:t>%</w:t>
            </w:r>
            <w:r>
              <w:rPr>
                <w:rFonts w:hint="eastAsia"/>
                <w:bCs/>
                <w:color w:val="auto"/>
                <w:sz w:val="24"/>
                <w:szCs w:val="24"/>
              </w:rPr>
              <w:t>的备货库存，采购人提出调换货物的要求时，投标人承诺免费调换比例为总数量的1%，且收到招标人调换货物通知后</w:t>
            </w:r>
            <w:r>
              <w:rPr>
                <w:bCs/>
                <w:color w:val="auto"/>
                <w:sz w:val="24"/>
                <w:szCs w:val="24"/>
              </w:rPr>
              <w:t>9</w:t>
            </w:r>
            <w:r>
              <w:rPr>
                <w:rFonts w:hint="eastAsia"/>
                <w:bCs/>
                <w:color w:val="auto"/>
                <w:sz w:val="24"/>
                <w:szCs w:val="24"/>
              </w:rPr>
              <w:t>天内送达并承担邮寄费等相关费用得1分；</w:t>
            </w:r>
          </w:p>
          <w:p>
            <w:pPr>
              <w:spacing w:line="276" w:lineRule="auto"/>
              <w:rPr>
                <w:bCs/>
                <w:color w:val="auto"/>
                <w:sz w:val="24"/>
                <w:szCs w:val="24"/>
              </w:rPr>
            </w:pPr>
            <w:r>
              <w:rPr>
                <w:rFonts w:hint="eastAsia"/>
                <w:bCs/>
                <w:color w:val="auto"/>
                <w:sz w:val="24"/>
                <w:szCs w:val="24"/>
              </w:rPr>
              <w:t>4.未提供相关承诺、未承诺承担邮寄费或送达时间超过</w:t>
            </w:r>
            <w:r>
              <w:rPr>
                <w:bCs/>
                <w:color w:val="auto"/>
                <w:sz w:val="24"/>
                <w:szCs w:val="24"/>
              </w:rPr>
              <w:t>9</w:t>
            </w:r>
            <w:r>
              <w:rPr>
                <w:rFonts w:hint="eastAsia"/>
                <w:bCs/>
                <w:color w:val="auto"/>
                <w:sz w:val="24"/>
                <w:szCs w:val="24"/>
              </w:rPr>
              <w:t>天均不得分。</w:t>
            </w:r>
          </w:p>
          <w:p>
            <w:pPr>
              <w:spacing w:line="276" w:lineRule="auto"/>
              <w:rPr>
                <w:bCs/>
                <w:color w:val="auto"/>
                <w:sz w:val="24"/>
                <w:szCs w:val="24"/>
              </w:rPr>
            </w:pPr>
            <w:r>
              <w:rPr>
                <w:rFonts w:hint="eastAsia"/>
                <w:bCs/>
                <w:color w:val="auto"/>
                <w:sz w:val="24"/>
                <w:szCs w:val="24"/>
              </w:rPr>
              <w:t>投标人应针对自身情况提供切实可行的调换方案</w:t>
            </w:r>
            <w:r>
              <w:rPr>
                <w:rFonts w:hint="eastAsia" w:ascii="宋体" w:hAnsi="宋体"/>
                <w:color w:val="auto"/>
                <w:sz w:val="24"/>
                <w:szCs w:val="24"/>
              </w:rPr>
              <w:t>包括但不限于产品余量库存、主辅料库存保障、调换产品的发货运输以及物流运输机构选择等内容。</w:t>
            </w:r>
          </w:p>
          <w:p>
            <w:pPr>
              <w:pStyle w:val="48"/>
              <w:ind w:left="42" w:leftChars="20" w:right="113" w:rightChars="0"/>
              <w:rPr>
                <w:rFonts w:hint="eastAsia" w:ascii="宋体" w:hAnsi="宋体" w:cs="宋体"/>
                <w:sz w:val="24"/>
                <w:szCs w:val="24"/>
                <w:lang w:val="zh-CN"/>
              </w:rPr>
            </w:pPr>
            <w:r>
              <w:rPr>
                <w:rFonts w:hint="eastAsia"/>
                <w:b/>
                <w:color w:val="auto"/>
                <w:sz w:val="24"/>
                <w:szCs w:val="24"/>
              </w:rPr>
              <w:t>注：为保障项目后续实施，采购人将对中标单位进行不定期走访并考察余量库存等以确保后续调换保障，如发现存在弄虚作假，与事实不符或无法保障后续实施，采购人有权终止合同并追究其责任。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 w:type="dxa"/>
            <w:vMerge w:val="continue"/>
            <w:noWrap w:val="0"/>
            <w:vAlign w:val="center"/>
          </w:tcPr>
          <w:p>
            <w:pPr>
              <w:pStyle w:val="12"/>
              <w:jc w:val="center"/>
              <w:rPr>
                <w:rFonts w:hint="eastAsia" w:ascii="宋体" w:hAnsi="宋体" w:eastAsia="宋体" w:cs="宋体"/>
                <w:kern w:val="2"/>
                <w:sz w:val="24"/>
                <w:szCs w:val="24"/>
              </w:rPr>
            </w:pPr>
          </w:p>
        </w:tc>
        <w:tc>
          <w:tcPr>
            <w:tcW w:w="1057" w:type="dxa"/>
            <w:noWrap w:val="0"/>
            <w:vAlign w:val="center"/>
          </w:tcPr>
          <w:p>
            <w:pPr>
              <w:pStyle w:val="48"/>
              <w:ind w:left="42" w:leftChars="20" w:right="113" w:rightChars="0"/>
              <w:jc w:val="center"/>
              <w:rPr>
                <w:rFonts w:hint="eastAsia"/>
                <w:bCs/>
                <w:color w:val="auto"/>
                <w:sz w:val="24"/>
                <w:szCs w:val="24"/>
              </w:rPr>
            </w:pPr>
            <w:r>
              <w:rPr>
                <w:rFonts w:hint="eastAsia"/>
                <w:bCs/>
                <w:color w:val="auto"/>
                <w:sz w:val="24"/>
                <w:szCs w:val="24"/>
              </w:rPr>
              <w:t>应急保障</w:t>
            </w:r>
          </w:p>
          <w:p>
            <w:pPr>
              <w:pStyle w:val="48"/>
              <w:ind w:left="42" w:leftChars="20" w:right="113" w:rightChars="0"/>
              <w:jc w:val="center"/>
              <w:rPr>
                <w:rFonts w:hint="eastAsia" w:eastAsia="宋体"/>
                <w:bCs/>
                <w:color w:val="FF0000"/>
                <w:sz w:val="24"/>
                <w:szCs w:val="24"/>
                <w:lang w:val="en-US" w:eastAsia="zh-CN"/>
              </w:rPr>
            </w:pPr>
            <w:r>
              <w:rPr>
                <w:rFonts w:hint="eastAsia"/>
                <w:bCs/>
                <w:color w:val="auto"/>
                <w:sz w:val="24"/>
                <w:szCs w:val="24"/>
                <w:lang w:eastAsia="zh-CN"/>
              </w:rPr>
              <w:t>（</w:t>
            </w:r>
            <w:r>
              <w:rPr>
                <w:rFonts w:hint="eastAsia"/>
                <w:bCs/>
                <w:color w:val="auto"/>
                <w:sz w:val="24"/>
                <w:szCs w:val="24"/>
                <w:lang w:val="en-US" w:eastAsia="zh-CN"/>
              </w:rPr>
              <w:t>6分</w:t>
            </w:r>
            <w:r>
              <w:rPr>
                <w:rFonts w:hint="eastAsia"/>
                <w:bCs/>
                <w:color w:val="auto"/>
                <w:sz w:val="24"/>
                <w:szCs w:val="24"/>
                <w:lang w:eastAsia="zh-CN"/>
              </w:rPr>
              <w:t>）</w:t>
            </w:r>
          </w:p>
        </w:tc>
        <w:tc>
          <w:tcPr>
            <w:tcW w:w="8127" w:type="dxa"/>
            <w:noWrap w:val="0"/>
            <w:vAlign w:val="center"/>
          </w:tcPr>
          <w:p>
            <w:pPr>
              <w:spacing w:line="276" w:lineRule="auto"/>
              <w:rPr>
                <w:bCs/>
                <w:color w:val="auto"/>
                <w:sz w:val="24"/>
                <w:szCs w:val="24"/>
              </w:rPr>
            </w:pPr>
            <w:r>
              <w:rPr>
                <w:rFonts w:hint="eastAsia"/>
                <w:bCs/>
                <w:color w:val="auto"/>
                <w:sz w:val="24"/>
                <w:szCs w:val="24"/>
              </w:rPr>
              <w:t>投标人提供了应急保障承诺书且提供了应急服务（零星保障）解决方案，内容包括且不限于：具有固定的应急保障（零星保障）联系人员及联系方式、响应时间（含送达时间）、零星保障供货措施、运输方式选取（涉及的运输费用均由投标人承担）。</w:t>
            </w:r>
          </w:p>
          <w:p>
            <w:pPr>
              <w:spacing w:line="276" w:lineRule="auto"/>
              <w:rPr>
                <w:bCs/>
                <w:color w:val="auto"/>
                <w:sz w:val="24"/>
                <w:szCs w:val="24"/>
              </w:rPr>
            </w:pPr>
            <w:r>
              <w:rPr>
                <w:rFonts w:hint="eastAsia"/>
                <w:bCs/>
                <w:color w:val="auto"/>
                <w:sz w:val="24"/>
                <w:szCs w:val="24"/>
              </w:rPr>
              <w:t>投标人提供了应急保障（零星保障）承诺书且应急服务解决方案内容完整、详实可行，有很强的针对性，得</w:t>
            </w:r>
            <w:r>
              <w:rPr>
                <w:rFonts w:hint="eastAsia"/>
                <w:bCs/>
                <w:color w:val="auto"/>
                <w:sz w:val="24"/>
                <w:szCs w:val="24"/>
                <w:lang w:val="en-US" w:eastAsia="zh-CN"/>
              </w:rPr>
              <w:t>6</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投标人提供了应急保障（零星保障）承诺书但应急服务解决方案常规、通用，基本符合采购需求，得</w:t>
            </w:r>
            <w:r>
              <w:rPr>
                <w:rFonts w:hint="eastAsia"/>
                <w:bCs/>
                <w:color w:val="auto"/>
                <w:sz w:val="24"/>
                <w:szCs w:val="24"/>
                <w:lang w:val="en-US" w:eastAsia="zh-CN"/>
              </w:rPr>
              <w:t>4</w:t>
            </w:r>
            <w:r>
              <w:rPr>
                <w:rFonts w:hint="eastAsia"/>
                <w:bCs/>
                <w:color w:val="auto"/>
                <w:sz w:val="24"/>
                <w:szCs w:val="24"/>
              </w:rPr>
              <w:t>分；</w:t>
            </w:r>
          </w:p>
          <w:p>
            <w:pPr>
              <w:spacing w:line="276" w:lineRule="auto"/>
              <w:rPr>
                <w:bCs/>
                <w:color w:val="auto"/>
                <w:sz w:val="24"/>
                <w:szCs w:val="24"/>
              </w:rPr>
            </w:pPr>
            <w:r>
              <w:rPr>
                <w:rFonts w:hint="eastAsia"/>
                <w:bCs/>
                <w:color w:val="auto"/>
                <w:sz w:val="24"/>
                <w:szCs w:val="24"/>
              </w:rPr>
              <w:t>投标人提供了应急保障（零星保障）承诺书但应急服务解决方案欠佳或方案不可行，得</w:t>
            </w:r>
            <w:r>
              <w:rPr>
                <w:rFonts w:hint="eastAsia"/>
                <w:bCs/>
                <w:color w:val="auto"/>
                <w:sz w:val="24"/>
                <w:szCs w:val="24"/>
                <w:lang w:val="en-US" w:eastAsia="zh-CN"/>
              </w:rPr>
              <w:t>2</w:t>
            </w:r>
            <w:r>
              <w:rPr>
                <w:rFonts w:hint="eastAsia"/>
                <w:bCs/>
                <w:color w:val="auto"/>
                <w:sz w:val="24"/>
                <w:szCs w:val="24"/>
              </w:rPr>
              <w:t>分；</w:t>
            </w:r>
          </w:p>
          <w:p>
            <w:pPr>
              <w:pStyle w:val="48"/>
              <w:ind w:left="42" w:leftChars="20" w:right="113" w:rightChars="0"/>
              <w:rPr>
                <w:rFonts w:hint="eastAsia"/>
                <w:b/>
                <w:color w:val="auto"/>
                <w:sz w:val="24"/>
                <w:szCs w:val="24"/>
              </w:rPr>
            </w:pPr>
            <w:r>
              <w:rPr>
                <w:rFonts w:hint="eastAsia"/>
                <w:bCs/>
                <w:color w:val="auto"/>
                <w:sz w:val="24"/>
                <w:szCs w:val="24"/>
              </w:rPr>
              <w:t>未提供应急保障承诺书或未提供相应方案，得0分。</w:t>
            </w:r>
          </w:p>
        </w:tc>
      </w:tr>
    </w:tbl>
    <w:p>
      <w:pPr>
        <w:rPr>
          <w:rFonts w:hint="eastAsia" w:ascii="宋体" w:hAnsi="宋体" w:eastAsia="宋体" w:cs="宋体"/>
          <w:b/>
          <w:bCs/>
          <w:color w:val="000000"/>
          <w:kern w:val="0"/>
          <w:sz w:val="24"/>
          <w:szCs w:val="24"/>
          <w:lang w:eastAsia="zh-CN"/>
        </w:rPr>
      </w:pPr>
      <w:r>
        <w:rPr>
          <w:rFonts w:hint="eastAsia" w:ascii="宋体" w:hAnsi="宋体" w:eastAsia="宋体" w:cs="宋体"/>
          <w:b/>
          <w:bCs/>
          <w:color w:val="000000"/>
          <w:kern w:val="0"/>
          <w:sz w:val="24"/>
          <w:szCs w:val="24"/>
          <w:lang w:eastAsia="zh-CN"/>
        </w:rPr>
        <w:br w:type="page"/>
      </w:r>
    </w:p>
    <w:p>
      <w:pPr>
        <w:jc w:val="center"/>
        <w:rPr>
          <w:rFonts w:hint="eastAsia" w:ascii="宋体" w:hAnsi="宋体" w:eastAsiaTheme="minorEastAsia"/>
          <w:b/>
          <w:bCs/>
          <w:sz w:val="24"/>
          <w:szCs w:val="24"/>
          <w:highlight w:val="none"/>
          <w:lang w:eastAsia="zh-CN"/>
        </w:rPr>
      </w:pPr>
      <w:bookmarkStart w:id="335" w:name="_Toc27347"/>
      <w:r>
        <w:rPr>
          <w:rFonts w:hint="eastAsia" w:ascii="宋体" w:hAnsi="宋体"/>
          <w:b/>
          <w:bCs/>
          <w:sz w:val="24"/>
          <w:szCs w:val="24"/>
          <w:highlight w:val="none"/>
          <w:lang w:val="en-US" w:eastAsia="zh-CN"/>
        </w:rPr>
        <w:t>1包：森林灭火防护头盔、佩戴式头灯</w:t>
      </w:r>
      <w:r>
        <w:rPr>
          <w:rFonts w:hint="eastAsia" w:ascii="宋体" w:hAnsi="宋体"/>
          <w:b/>
          <w:bCs/>
          <w:sz w:val="24"/>
          <w:szCs w:val="24"/>
          <w:highlight w:val="none"/>
        </w:rPr>
        <w:t>样品评审细则</w:t>
      </w:r>
      <w:r>
        <w:rPr>
          <w:rFonts w:hint="eastAsia" w:ascii="宋体" w:hAnsi="宋体"/>
          <w:b/>
          <w:bCs/>
          <w:sz w:val="24"/>
          <w:szCs w:val="24"/>
          <w:highlight w:val="none"/>
          <w:lang w:eastAsia="zh-CN"/>
        </w:rPr>
        <w:t>。</w:t>
      </w:r>
    </w:p>
    <w:p>
      <w:pPr>
        <w:jc w:val="center"/>
        <w:rPr>
          <w:rFonts w:hint="eastAsia" w:ascii="宋体" w:hAnsi="宋体"/>
          <w:b/>
          <w:bCs/>
          <w:sz w:val="24"/>
          <w:szCs w:val="24"/>
          <w:highlight w:val="none"/>
          <w:lang w:val="en-US" w:eastAsia="zh-CN"/>
        </w:rPr>
      </w:pPr>
    </w:p>
    <w:tbl>
      <w:tblPr>
        <w:tblStyle w:val="25"/>
        <w:tblW w:w="51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1454"/>
        <w:gridCol w:w="717"/>
        <w:gridCol w:w="3914"/>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5"/>
            <w:vAlign w:val="center"/>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森林灭火防护头盔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758"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评分标准说明</w:t>
            </w:r>
          </w:p>
        </w:tc>
        <w:tc>
          <w:tcPr>
            <w:tcW w:w="1536"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 w:hRule="atLeast"/>
          <w:jc w:val="center"/>
        </w:trPr>
        <w:tc>
          <w:tcPr>
            <w:tcW w:w="287" w:type="pct"/>
            <w:vMerge w:val="restar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58" w:type="pct"/>
            <w:vMerge w:val="restar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产品整体结构、制造工艺</w:t>
            </w:r>
          </w:p>
        </w:tc>
        <w:tc>
          <w:tcPr>
            <w:tcW w:w="374"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产品整体结构结实，左右挤压无明显变形；未出现帽壳无法还原，龟裂、掉漆或漆裂。</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 w:hRule="atLeast"/>
          <w:jc w:val="center"/>
        </w:trPr>
        <w:tc>
          <w:tcPr>
            <w:tcW w:w="287" w:type="pct"/>
            <w:vMerge w:val="continue"/>
            <w:vAlign w:val="center"/>
          </w:tcPr>
          <w:p>
            <w:pPr>
              <w:jc w:val="center"/>
              <w:rPr>
                <w:rFonts w:hint="eastAsia" w:ascii="宋体" w:hAnsi="宋体" w:eastAsia="宋体" w:cs="宋体"/>
                <w:sz w:val="24"/>
                <w:szCs w:val="24"/>
                <w:highlight w:val="none"/>
              </w:rPr>
            </w:pPr>
          </w:p>
        </w:tc>
        <w:tc>
          <w:tcPr>
            <w:tcW w:w="758" w:type="pct"/>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头盔内衬无异味、抗压能力强、拆卸方便、缓冲性能好；魔术贴位置，颜色符合技术要求，粘贴牢固</w:t>
            </w:r>
            <w:r>
              <w:rPr>
                <w:rFonts w:hint="eastAsia" w:ascii="宋体" w:hAnsi="宋体" w:eastAsia="宋体" w:cs="宋体"/>
                <w:sz w:val="24"/>
                <w:szCs w:val="24"/>
                <w:highlight w:val="none"/>
                <w:lang w:eastAsia="zh-CN"/>
              </w:rPr>
              <w:t>。</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jc w:val="center"/>
              <w:rPr>
                <w:rFonts w:hint="eastAsia" w:ascii="宋体" w:hAnsi="宋体" w:eastAsia="宋体" w:cs="宋体"/>
                <w:sz w:val="24"/>
                <w:szCs w:val="24"/>
                <w:highlight w:val="none"/>
              </w:rPr>
            </w:pPr>
          </w:p>
        </w:tc>
        <w:tc>
          <w:tcPr>
            <w:tcW w:w="758" w:type="pct"/>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头盔扣、帽带调节方便，轻松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完全满足得1分，否则得0分。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 w:hRule="atLeast"/>
          <w:jc w:val="center"/>
        </w:trPr>
        <w:tc>
          <w:tcPr>
            <w:tcW w:w="287" w:type="pct"/>
            <w:vMerge w:val="continue"/>
            <w:vAlign w:val="center"/>
          </w:tcPr>
          <w:p>
            <w:pPr>
              <w:jc w:val="center"/>
              <w:rPr>
                <w:rFonts w:hint="eastAsia" w:ascii="宋体" w:hAnsi="宋体" w:eastAsia="宋体" w:cs="宋体"/>
                <w:sz w:val="24"/>
                <w:szCs w:val="24"/>
                <w:highlight w:val="none"/>
              </w:rPr>
            </w:pPr>
          </w:p>
        </w:tc>
        <w:tc>
          <w:tcPr>
            <w:tcW w:w="758" w:type="pct"/>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各部位材料使用正确，符合标准；各材料外观无疵点，毛刺，手感光滑；材质精良、舒适，与本项目需求契合度高。</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完全满足要求得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widowControl/>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缓冲层与外壳固定牢固</w:t>
            </w:r>
            <w:r>
              <w:rPr>
                <w:rFonts w:hint="eastAsia" w:ascii="宋体" w:hAnsi="宋体" w:eastAsia="宋体" w:cs="宋体"/>
                <w:sz w:val="24"/>
                <w:szCs w:val="24"/>
                <w:highlight w:val="none"/>
                <w:lang w:eastAsia="zh-CN"/>
              </w:rPr>
              <w:t>。</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完全满足得1分，否则得0分。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 w:hRule="atLeast"/>
          <w:jc w:val="center"/>
        </w:trPr>
        <w:tc>
          <w:tcPr>
            <w:tcW w:w="287" w:type="pct"/>
            <w:vMerge w:val="continue"/>
            <w:vAlign w:val="center"/>
          </w:tcPr>
          <w:p>
            <w:pPr>
              <w:widowControl/>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头盔标成品弧度均匀、棱角清晰、定型规整；漆面无气泡、脱层、掉皮、污渍；图案花纹清晰、完整、饱满、规整，边缘不得缺料；着色印模部位不漏底、错位、无划痕，颜色鲜艳、无堆漆；连接部位牢固，魔术贴位置，颜色符合技术要求，粘贴牢固。</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完全满足要求得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58" w:type="pct"/>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各部位色泽</w:t>
            </w:r>
          </w:p>
        </w:tc>
        <w:tc>
          <w:tcPr>
            <w:tcW w:w="374" w:type="pct"/>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与标样进行对比。</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各部位无色差得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分；色差明显的得0分。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Align w:val="center"/>
          </w:tcPr>
          <w:p>
            <w:pPr>
              <w:widowControl/>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3</w:t>
            </w:r>
          </w:p>
        </w:tc>
        <w:tc>
          <w:tcPr>
            <w:tcW w:w="758"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功能性</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43"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样品功能满足采购要求、配件齐全；佩戴舒适，包裹性好。</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46" w:type="pct"/>
            <w:gridSpan w:val="2"/>
            <w:vAlign w:val="center"/>
          </w:tcPr>
          <w:p>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小计</w:t>
            </w:r>
          </w:p>
        </w:tc>
        <w:tc>
          <w:tcPr>
            <w:tcW w:w="374"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w:t>
            </w:r>
          </w:p>
        </w:tc>
        <w:tc>
          <w:tcPr>
            <w:tcW w:w="2043" w:type="pct"/>
            <w:vAlign w:val="center"/>
          </w:tcPr>
          <w:p>
            <w:pPr>
              <w:widowControl/>
              <w:rPr>
                <w:rFonts w:hint="eastAsia" w:ascii="宋体" w:hAnsi="宋体" w:eastAsia="宋体" w:cs="宋体"/>
                <w:sz w:val="24"/>
                <w:szCs w:val="24"/>
                <w:highlight w:val="none"/>
              </w:rPr>
            </w:pPr>
          </w:p>
        </w:tc>
        <w:tc>
          <w:tcPr>
            <w:tcW w:w="1536" w:type="pct"/>
            <w:vAlign w:val="center"/>
          </w:tcPr>
          <w:p>
            <w:pPr>
              <w:widowControl/>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5"/>
            <w:vAlign w:val="center"/>
          </w:tcPr>
          <w:p>
            <w:pPr>
              <w:widowControl/>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5"/>
            <w:vAlign w:val="center"/>
          </w:tcPr>
          <w:p>
            <w:pPr>
              <w:widowControl/>
              <w:jc w:val="center"/>
              <w:rPr>
                <w:rFonts w:hint="eastAsia" w:ascii="宋体" w:hAnsi="宋体" w:eastAsia="宋体" w:cs="宋体"/>
                <w:sz w:val="24"/>
                <w:szCs w:val="24"/>
                <w:highlight w:val="none"/>
              </w:rPr>
            </w:pP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佩戴式头灯</w:t>
            </w:r>
          </w:p>
          <w:p>
            <w:pPr>
              <w:widowControl/>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序号</w:t>
            </w:r>
          </w:p>
        </w:tc>
        <w:tc>
          <w:tcPr>
            <w:tcW w:w="758"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评分标准说明</w:t>
            </w:r>
          </w:p>
        </w:tc>
        <w:tc>
          <w:tcPr>
            <w:tcW w:w="1536"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Align w:val="center"/>
          </w:tcPr>
          <w:p>
            <w:pPr>
              <w:widowControl/>
              <w:spacing w:line="360" w:lineRule="auto"/>
              <w:jc w:val="center"/>
              <w:rPr>
                <w:rFonts w:hint="eastAsia" w:ascii="宋体" w:hAnsi="宋体" w:eastAsia="宋体" w:cs="宋体"/>
                <w:b/>
                <w:bCs/>
                <w:sz w:val="24"/>
                <w:szCs w:val="24"/>
                <w:highlight w:val="none"/>
              </w:rPr>
            </w:pPr>
            <w:r>
              <w:rPr>
                <w:rFonts w:hint="eastAsia" w:ascii="宋体" w:hAnsi="宋体" w:eastAsia="宋体" w:cs="宋体"/>
                <w:sz w:val="24"/>
                <w:szCs w:val="24"/>
                <w:highlight w:val="none"/>
              </w:rPr>
              <w:t>1</w:t>
            </w:r>
          </w:p>
        </w:tc>
        <w:tc>
          <w:tcPr>
            <w:tcW w:w="758"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sz w:val="24"/>
                <w:szCs w:val="24"/>
                <w:highlight w:val="none"/>
              </w:rPr>
              <w:t>功能需求</w:t>
            </w:r>
          </w:p>
        </w:tc>
        <w:tc>
          <w:tcPr>
            <w:tcW w:w="374" w:type="pct"/>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2043" w:type="pct"/>
            <w:vAlign w:val="center"/>
          </w:tcPr>
          <w:p>
            <w:pPr>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头灯具有强光、工作光、弱光、泛光、爆闪、求救6种工作模式（需投标人提供有电样品，如无电将视为不满足）</w:t>
            </w:r>
            <w:r>
              <w:rPr>
                <w:rFonts w:hint="eastAsia" w:ascii="宋体" w:hAnsi="宋体" w:eastAsia="宋体" w:cs="宋体"/>
                <w:sz w:val="24"/>
                <w:szCs w:val="24"/>
                <w:highlight w:val="none"/>
                <w:lang w:eastAsia="zh-CN"/>
              </w:rPr>
              <w:t>。</w:t>
            </w:r>
          </w:p>
        </w:tc>
        <w:tc>
          <w:tcPr>
            <w:tcW w:w="1536" w:type="pct"/>
            <w:vAlign w:val="center"/>
          </w:tcPr>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restart"/>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58" w:type="pct"/>
            <w:vMerge w:val="restar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整体结构</w:t>
            </w:r>
          </w:p>
        </w:tc>
        <w:tc>
          <w:tcPr>
            <w:tcW w:w="374" w:type="pct"/>
            <w:vAlign w:val="center"/>
          </w:tcPr>
          <w:p>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头灯须自带快拆夹具，在与头盔轨道上快速安装拆卸。安装好之后头灯可依托夹具进行俯仰调节，俯仰角调节范围不低于上下60度</w:t>
            </w:r>
            <w:r>
              <w:rPr>
                <w:rFonts w:hint="eastAsia" w:ascii="宋体" w:hAnsi="宋体" w:eastAsia="宋体" w:cs="宋体"/>
                <w:sz w:val="24"/>
                <w:szCs w:val="24"/>
                <w:highlight w:val="none"/>
                <w:lang w:eastAsia="zh-CN"/>
              </w:rPr>
              <w:t>。</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spacing w:line="360" w:lineRule="auto"/>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产品设计简洁大方，体积小、重量小，携带方便，整体结构结实，拆卸方便，产品各连接处稳固</w:t>
            </w:r>
            <w:r>
              <w:rPr>
                <w:rFonts w:hint="eastAsia" w:ascii="宋体" w:hAnsi="宋体" w:eastAsia="宋体" w:cs="宋体"/>
                <w:sz w:val="24"/>
                <w:szCs w:val="24"/>
                <w:highlight w:val="none"/>
                <w:lang w:eastAsia="zh-CN"/>
              </w:rPr>
              <w:t>。</w:t>
            </w:r>
          </w:p>
        </w:tc>
        <w:tc>
          <w:tcPr>
            <w:tcW w:w="1536"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否则得0分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restart"/>
            <w:vAlign w:val="center"/>
          </w:tcPr>
          <w:p>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758" w:type="pct"/>
            <w:vMerge w:val="restar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产品外观</w:t>
            </w:r>
          </w:p>
        </w:tc>
        <w:tc>
          <w:tcPr>
            <w:tcW w:w="374"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佩戴式头灯成品光滑，无划痕、磨损、毛刺、油渍，镜片和反光杯光洁、无痕迹</w:t>
            </w:r>
            <w:r>
              <w:rPr>
                <w:rFonts w:hint="eastAsia" w:ascii="宋体" w:hAnsi="宋体" w:eastAsia="宋体" w:cs="宋体"/>
                <w:sz w:val="24"/>
                <w:szCs w:val="24"/>
                <w:highlight w:val="none"/>
                <w:lang w:eastAsia="zh-CN"/>
              </w:rPr>
              <w:t>。</w:t>
            </w:r>
          </w:p>
        </w:tc>
        <w:tc>
          <w:tcPr>
            <w:tcW w:w="1536" w:type="pct"/>
            <w:vMerge w:val="restar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完全满足得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分，有一项不满足扣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spacing w:line="360" w:lineRule="auto"/>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佩戴式头灯表面文字标示清晰，完整</w:t>
            </w:r>
            <w:r>
              <w:rPr>
                <w:rFonts w:hint="eastAsia" w:ascii="宋体" w:hAnsi="宋体" w:eastAsia="宋体" w:cs="宋体"/>
                <w:sz w:val="24"/>
                <w:szCs w:val="24"/>
                <w:highlight w:val="none"/>
                <w:lang w:eastAsia="zh-CN"/>
              </w:rPr>
              <w:t>。</w:t>
            </w:r>
          </w:p>
        </w:tc>
        <w:tc>
          <w:tcPr>
            <w:tcW w:w="1536" w:type="pct"/>
            <w:vMerge w:val="continue"/>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spacing w:line="360" w:lineRule="auto"/>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各部件齐全、装配严密、操作方便</w:t>
            </w:r>
            <w:r>
              <w:rPr>
                <w:rFonts w:hint="eastAsia" w:ascii="宋体" w:hAnsi="宋体" w:eastAsia="宋体" w:cs="宋体"/>
                <w:sz w:val="24"/>
                <w:szCs w:val="24"/>
                <w:highlight w:val="none"/>
                <w:lang w:eastAsia="zh-CN"/>
              </w:rPr>
              <w:t>。</w:t>
            </w:r>
          </w:p>
        </w:tc>
        <w:tc>
          <w:tcPr>
            <w:tcW w:w="1536" w:type="pct"/>
            <w:vMerge w:val="continue"/>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87" w:type="pct"/>
            <w:vMerge w:val="continue"/>
            <w:vAlign w:val="center"/>
          </w:tcPr>
          <w:p>
            <w:pPr>
              <w:spacing w:line="360" w:lineRule="auto"/>
              <w:jc w:val="center"/>
              <w:rPr>
                <w:rFonts w:hint="eastAsia" w:ascii="宋体" w:hAnsi="宋体" w:eastAsia="宋体" w:cs="宋体"/>
                <w:sz w:val="24"/>
                <w:szCs w:val="24"/>
                <w:highlight w:val="none"/>
              </w:rPr>
            </w:pPr>
          </w:p>
        </w:tc>
        <w:tc>
          <w:tcPr>
            <w:tcW w:w="758" w:type="pct"/>
            <w:vMerge w:val="continue"/>
            <w:vAlign w:val="center"/>
          </w:tcPr>
          <w:p>
            <w:pPr>
              <w:widowControl/>
              <w:jc w:val="center"/>
              <w:rPr>
                <w:rFonts w:hint="eastAsia" w:ascii="宋体" w:hAnsi="宋体" w:eastAsia="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rPr>
            </w:pPr>
          </w:p>
        </w:tc>
        <w:tc>
          <w:tcPr>
            <w:tcW w:w="2043" w:type="pct"/>
            <w:vAlign w:val="center"/>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与标样进行对比</w:t>
            </w:r>
            <w:r>
              <w:rPr>
                <w:rFonts w:hint="eastAsia" w:ascii="宋体" w:hAnsi="宋体" w:eastAsia="宋体" w:cs="宋体"/>
                <w:sz w:val="24"/>
                <w:szCs w:val="24"/>
                <w:highlight w:val="none"/>
                <w:lang w:eastAsia="zh-CN"/>
              </w:rPr>
              <w:t>。</w:t>
            </w:r>
          </w:p>
        </w:tc>
        <w:tc>
          <w:tcPr>
            <w:tcW w:w="1536" w:type="pct"/>
            <w:vMerge w:val="continue"/>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46" w:type="pct"/>
            <w:gridSpan w:val="2"/>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小计</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2043" w:type="pct"/>
            <w:vAlign w:val="center"/>
          </w:tcPr>
          <w:p>
            <w:pPr>
              <w:rPr>
                <w:rFonts w:hint="eastAsia" w:ascii="宋体" w:hAnsi="宋体" w:eastAsia="宋体" w:cs="宋体"/>
                <w:sz w:val="24"/>
                <w:szCs w:val="24"/>
                <w:highlight w:val="none"/>
              </w:rPr>
            </w:pPr>
          </w:p>
        </w:tc>
        <w:tc>
          <w:tcPr>
            <w:tcW w:w="1536" w:type="pct"/>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5"/>
            <w:vAlign w:val="center"/>
          </w:tcPr>
          <w:p>
            <w:pP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46" w:type="pct"/>
            <w:gridSpan w:val="2"/>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合计</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2043" w:type="pct"/>
            <w:vAlign w:val="center"/>
          </w:tcPr>
          <w:p>
            <w:pPr>
              <w:rPr>
                <w:rFonts w:hint="eastAsia" w:ascii="宋体" w:hAnsi="宋体" w:eastAsia="宋体" w:cs="宋体"/>
                <w:sz w:val="24"/>
                <w:szCs w:val="24"/>
                <w:highlight w:val="none"/>
              </w:rPr>
            </w:pPr>
          </w:p>
        </w:tc>
        <w:tc>
          <w:tcPr>
            <w:tcW w:w="1536" w:type="pct"/>
            <w:vAlign w:val="center"/>
          </w:tcPr>
          <w:p>
            <w:pPr>
              <w:rPr>
                <w:rFonts w:hint="eastAsia" w:ascii="宋体" w:hAnsi="宋体" w:eastAsia="宋体" w:cs="宋体"/>
                <w:sz w:val="24"/>
                <w:szCs w:val="24"/>
                <w:highlight w:val="none"/>
              </w:rPr>
            </w:pPr>
          </w:p>
        </w:tc>
      </w:tr>
    </w:tbl>
    <w:p>
      <w:pPr>
        <w:jc w:val="center"/>
        <w:rPr>
          <w:rFonts w:hint="eastAsia" w:ascii="宋体" w:hAnsi="宋体"/>
          <w:b/>
          <w:bCs/>
          <w:sz w:val="24"/>
          <w:szCs w:val="24"/>
          <w:highlight w:val="none"/>
        </w:rPr>
      </w:pPr>
    </w:p>
    <w:p>
      <w:pPr>
        <w:jc w:val="center"/>
        <w:rPr>
          <w:rFonts w:hint="eastAsia" w:ascii="宋体" w:hAnsi="宋体"/>
          <w:b/>
          <w:bCs/>
          <w:sz w:val="24"/>
          <w:szCs w:val="24"/>
          <w:highlight w:val="none"/>
        </w:rPr>
      </w:pPr>
    </w:p>
    <w:p>
      <w:pPr>
        <w:jc w:val="center"/>
        <w:rPr>
          <w:rFonts w:hint="eastAsia" w:ascii="宋体" w:hAnsi="宋体"/>
          <w:b/>
          <w:bCs/>
          <w:sz w:val="24"/>
          <w:szCs w:val="24"/>
          <w:highlight w:val="none"/>
        </w:rPr>
      </w:pPr>
    </w:p>
    <w:p>
      <w:pPr>
        <w:jc w:val="center"/>
        <w:rPr>
          <w:rFonts w:hint="eastAsia" w:ascii="宋体" w:hAnsi="宋体"/>
          <w:b/>
          <w:bCs/>
          <w:sz w:val="24"/>
          <w:szCs w:val="24"/>
          <w:highlight w:val="none"/>
        </w:rPr>
      </w:pPr>
    </w:p>
    <w:p>
      <w:pPr>
        <w:rPr>
          <w:rFonts w:hint="eastAsia" w:ascii="宋体" w:hAnsi="宋体" w:eastAsia="宋体"/>
          <w:sz w:val="24"/>
          <w:szCs w:val="24"/>
          <w:highlight w:val="none"/>
        </w:rPr>
      </w:pPr>
    </w:p>
    <w:p>
      <w:pPr>
        <w:rPr>
          <w:rFonts w:hint="eastAsia" w:ascii="宋体" w:hAnsi="宋体" w:eastAsia="宋体"/>
          <w:sz w:val="24"/>
          <w:szCs w:val="24"/>
          <w:highlight w:val="none"/>
        </w:rPr>
      </w:pPr>
      <w:r>
        <w:rPr>
          <w:rFonts w:hint="eastAsia" w:ascii="宋体" w:hAnsi="宋体" w:eastAsia="宋体"/>
          <w:sz w:val="24"/>
          <w:szCs w:val="24"/>
          <w:highlight w:val="none"/>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2包：森林灭火防护眼镜样品评审细则。</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1289"/>
        <w:gridCol w:w="719"/>
        <w:gridCol w:w="4065"/>
        <w:gridCol w:w="2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5000" w:type="pct"/>
            <w:gridSpan w:val="5"/>
            <w:vAlign w:val="center"/>
          </w:tcPr>
          <w:p>
            <w:pPr>
              <w:widowControl/>
              <w:jc w:val="center"/>
              <w:rPr>
                <w:rFonts w:ascii="宋体" w:hAnsi="宋体"/>
                <w:b/>
                <w:bCs/>
                <w:sz w:val="24"/>
                <w:szCs w:val="24"/>
                <w:highlight w:val="none"/>
              </w:rPr>
            </w:pPr>
            <w:r>
              <w:rPr>
                <w:rFonts w:hint="eastAsia" w:ascii="宋体" w:hAnsi="宋体"/>
                <w:b/>
                <w:bCs/>
                <w:sz w:val="24"/>
                <w:szCs w:val="24"/>
                <w:highlight w:val="none"/>
                <w:lang w:val="en-US" w:eastAsia="zh-CN"/>
              </w:rPr>
              <w:t>森林灭火防护眼镜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249"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序号</w:t>
            </w:r>
          </w:p>
        </w:tc>
        <w:tc>
          <w:tcPr>
            <w:tcW w:w="693"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评审因素</w:t>
            </w:r>
          </w:p>
        </w:tc>
        <w:tc>
          <w:tcPr>
            <w:tcW w:w="387"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分值</w:t>
            </w:r>
          </w:p>
        </w:tc>
        <w:tc>
          <w:tcPr>
            <w:tcW w:w="2188"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评分标准说明</w:t>
            </w:r>
          </w:p>
        </w:tc>
        <w:tc>
          <w:tcPr>
            <w:tcW w:w="1481"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249" w:type="pct"/>
            <w:vAlign w:val="center"/>
          </w:tcPr>
          <w:p>
            <w:pPr>
              <w:widowControl/>
              <w:spacing w:line="360" w:lineRule="auto"/>
              <w:jc w:val="center"/>
              <w:rPr>
                <w:rFonts w:ascii="宋体" w:hAnsi="宋体"/>
                <w:sz w:val="24"/>
                <w:szCs w:val="24"/>
                <w:highlight w:val="none"/>
              </w:rPr>
            </w:pPr>
            <w:r>
              <w:rPr>
                <w:rFonts w:hint="eastAsia" w:ascii="宋体" w:hAnsi="宋体"/>
                <w:sz w:val="24"/>
                <w:szCs w:val="24"/>
                <w:highlight w:val="none"/>
              </w:rPr>
              <w:t>1</w:t>
            </w:r>
          </w:p>
        </w:tc>
        <w:tc>
          <w:tcPr>
            <w:tcW w:w="693" w:type="pc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功能需求</w:t>
            </w:r>
          </w:p>
        </w:tc>
        <w:tc>
          <w:tcPr>
            <w:tcW w:w="38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样品功能满足采购要求、配件齐全；佩戴舒适，</w:t>
            </w:r>
            <w:r>
              <w:rPr>
                <w:rFonts w:hint="eastAsia" w:ascii="宋体" w:hAnsi="宋体" w:cs="宋体"/>
                <w:sz w:val="24"/>
                <w:szCs w:val="24"/>
                <w:highlight w:val="none"/>
                <w:lang w:val="en-US" w:eastAsia="zh-CN"/>
              </w:rPr>
              <w:t>无松动现象</w:t>
            </w:r>
            <w:r>
              <w:rPr>
                <w:rFonts w:hint="eastAsia" w:ascii="宋体" w:hAnsi="宋体" w:cs="宋体"/>
                <w:sz w:val="24"/>
                <w:szCs w:val="24"/>
                <w:highlight w:val="none"/>
              </w:rPr>
              <w:t>。</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249" w:type="pct"/>
            <w:vMerge w:val="restart"/>
            <w:vAlign w:val="center"/>
          </w:tcPr>
          <w:p>
            <w:pPr>
              <w:spacing w:line="360" w:lineRule="auto"/>
              <w:jc w:val="center"/>
              <w:rPr>
                <w:rFonts w:ascii="宋体" w:hAnsi="宋体"/>
                <w:sz w:val="24"/>
                <w:szCs w:val="24"/>
                <w:highlight w:val="none"/>
              </w:rPr>
            </w:pPr>
            <w:r>
              <w:rPr>
                <w:rFonts w:hint="eastAsia" w:ascii="宋体" w:hAnsi="宋体"/>
                <w:sz w:val="24"/>
                <w:szCs w:val="24"/>
                <w:highlight w:val="none"/>
              </w:rPr>
              <w:t>2</w:t>
            </w:r>
          </w:p>
        </w:tc>
        <w:tc>
          <w:tcPr>
            <w:tcW w:w="693" w:type="pct"/>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整体结构</w:t>
            </w:r>
          </w:p>
        </w:tc>
        <w:tc>
          <w:tcPr>
            <w:tcW w:w="387"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防护眼镜应整体设计合理，无明显变形或损坏。</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Align w:val="center"/>
          </w:tcPr>
          <w:p>
            <w:pPr>
              <w:widowControl/>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镜框应牢固，与镜片结合紧密，无松动现象。</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完全满足得3分，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2188" w:type="pct"/>
            <w:vAlign w:val="center"/>
          </w:tcPr>
          <w:p>
            <w:pPr>
              <w:rPr>
                <w:rFonts w:hint="eastAsia" w:ascii="宋体" w:hAnsi="宋体" w:cs="宋体"/>
                <w:sz w:val="24"/>
                <w:szCs w:val="24"/>
                <w:highlight w:val="none"/>
              </w:rPr>
            </w:pPr>
            <w:r>
              <w:rPr>
                <w:rFonts w:hint="eastAsia" w:ascii="宋体" w:hAnsi="宋体" w:cs="宋体"/>
                <w:sz w:val="24"/>
                <w:szCs w:val="24"/>
                <w:highlight w:val="none"/>
              </w:rPr>
              <w:t>头箍应可调节，适应不同头型，且佩戴舒适。</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249" w:type="pct"/>
            <w:vMerge w:val="restart"/>
            <w:vAlign w:val="center"/>
          </w:tcPr>
          <w:p>
            <w:pPr>
              <w:spacing w:line="360" w:lineRule="auto"/>
              <w:jc w:val="center"/>
              <w:rPr>
                <w:rFonts w:ascii="宋体" w:hAnsi="宋体"/>
                <w:sz w:val="24"/>
                <w:szCs w:val="24"/>
                <w:highlight w:val="none"/>
              </w:rPr>
            </w:pPr>
            <w:r>
              <w:rPr>
                <w:rFonts w:hint="eastAsia" w:ascii="宋体" w:hAnsi="宋体"/>
                <w:sz w:val="24"/>
                <w:szCs w:val="24"/>
                <w:highlight w:val="none"/>
              </w:rPr>
              <w:t>3</w:t>
            </w:r>
          </w:p>
        </w:tc>
        <w:tc>
          <w:tcPr>
            <w:tcW w:w="693" w:type="pct"/>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产品外观</w:t>
            </w:r>
          </w:p>
        </w:tc>
        <w:tc>
          <w:tcPr>
            <w:tcW w:w="387" w:type="pct"/>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8</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除镜片边缘5mm宽的区域以外，镜片不应存在气泡、水泡、划痕、凹痕、固体杂质、气体杂质、暗点、蚀孔、碎片、裂纹、抛光缺陷或波纹等表面缺陷。</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佩防护眼镜与面部接触的镜框内侧部分,应使用弹性材料,触感柔软,不应存在对使用者造成伤害的突出部分、尖锐边缘。</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灭火防护眼镜与佩戴者皮肤接触的部分不应使用影响健康或不安全的材料，不应存在致敏、变异和毒性作用的因素。</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hint="eastAsia" w:ascii="宋体" w:hAnsi="宋体" w:cs="宋体"/>
                <w:sz w:val="24"/>
                <w:szCs w:val="24"/>
                <w:highlight w:val="none"/>
              </w:rPr>
            </w:pPr>
            <w:r>
              <w:rPr>
                <w:rFonts w:hint="eastAsia" w:ascii="宋体" w:hAnsi="宋体" w:cs="宋体"/>
                <w:sz w:val="24"/>
                <w:szCs w:val="24"/>
                <w:highlight w:val="none"/>
              </w:rPr>
              <w:t>生产商所提供防护眼镜清洁、维护及消毒的方法，按此方法操作不应对防护眼镜产生不良影响及对佩戴者造成伤害。</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249" w:type="pct"/>
            <w:vAlign w:val="center"/>
          </w:tcPr>
          <w:p>
            <w:pPr>
              <w:widowControl/>
              <w:spacing w:line="360" w:lineRule="auto"/>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4</w:t>
            </w:r>
          </w:p>
        </w:tc>
        <w:tc>
          <w:tcPr>
            <w:tcW w:w="693"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色泽</w:t>
            </w:r>
          </w:p>
        </w:tc>
        <w:tc>
          <w:tcPr>
            <w:tcW w:w="38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2188" w:type="pct"/>
            <w:vAlign w:val="center"/>
          </w:tcPr>
          <w:p>
            <w:pPr>
              <w:widowControl/>
              <w:spacing w:line="360" w:lineRule="auto"/>
              <w:rPr>
                <w:rFonts w:ascii="宋体" w:hAnsi="宋体"/>
                <w:sz w:val="24"/>
                <w:szCs w:val="24"/>
                <w:highlight w:val="none"/>
              </w:rPr>
            </w:pPr>
            <w:r>
              <w:rPr>
                <w:rFonts w:hint="eastAsia" w:ascii="宋体" w:hAnsi="宋体"/>
                <w:sz w:val="24"/>
                <w:szCs w:val="24"/>
                <w:highlight w:val="none"/>
                <w:lang w:eastAsia="zh-CN"/>
              </w:rPr>
              <w:t>与标样对比，色差应不低于3-4级。</w:t>
            </w:r>
          </w:p>
        </w:tc>
        <w:tc>
          <w:tcPr>
            <w:tcW w:w="1481" w:type="pct"/>
            <w:vAlign w:val="center"/>
          </w:tcPr>
          <w:p>
            <w:pPr>
              <w:widowControl/>
              <w:spacing w:line="360" w:lineRule="auto"/>
              <w:rPr>
                <w:rFonts w:ascii="宋体" w:hAnsi="宋体"/>
                <w:sz w:val="24"/>
                <w:szCs w:val="24"/>
                <w:highlight w:val="none"/>
              </w:rPr>
            </w:pPr>
            <w:r>
              <w:rPr>
                <w:rFonts w:hint="eastAsia" w:ascii="宋体" w:hAnsi="宋体"/>
                <w:sz w:val="24"/>
                <w:szCs w:val="24"/>
                <w:highlight w:val="none"/>
              </w:rPr>
              <w:t>完全满足得2分，否则得0分。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943" w:type="pct"/>
            <w:gridSpan w:val="2"/>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合计</w:t>
            </w:r>
          </w:p>
        </w:tc>
        <w:tc>
          <w:tcPr>
            <w:tcW w:w="387" w:type="pct"/>
            <w:vAlign w:val="center"/>
          </w:tcPr>
          <w:p>
            <w:pPr>
              <w:widowControl/>
              <w:jc w:val="center"/>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=SUM(ABOVE) </w:instrText>
            </w:r>
            <w:r>
              <w:rPr>
                <w:rFonts w:ascii="宋体" w:hAnsi="宋体" w:cs="宋体"/>
                <w:sz w:val="24"/>
                <w:szCs w:val="24"/>
                <w:highlight w:val="none"/>
              </w:rPr>
              <w:fldChar w:fldCharType="separate"/>
            </w:r>
            <w:r>
              <w:rPr>
                <w:rFonts w:ascii="宋体" w:hAnsi="宋体" w:cs="宋体"/>
                <w:sz w:val="24"/>
                <w:szCs w:val="24"/>
                <w:highlight w:val="none"/>
              </w:rPr>
              <w:t>20</w:t>
            </w:r>
            <w:r>
              <w:rPr>
                <w:rFonts w:ascii="宋体" w:hAnsi="宋体" w:cs="宋体"/>
                <w:sz w:val="24"/>
                <w:szCs w:val="24"/>
                <w:highlight w:val="none"/>
              </w:rPr>
              <w:fldChar w:fldCharType="end"/>
            </w:r>
          </w:p>
        </w:tc>
        <w:tc>
          <w:tcPr>
            <w:tcW w:w="2188" w:type="pct"/>
            <w:vAlign w:val="center"/>
          </w:tcPr>
          <w:p>
            <w:pPr>
              <w:widowControl/>
              <w:spacing w:line="360" w:lineRule="auto"/>
              <w:rPr>
                <w:rFonts w:ascii="宋体" w:hAnsi="宋体"/>
                <w:sz w:val="24"/>
                <w:szCs w:val="24"/>
                <w:highlight w:val="none"/>
              </w:rPr>
            </w:pPr>
          </w:p>
        </w:tc>
        <w:tc>
          <w:tcPr>
            <w:tcW w:w="1481" w:type="pct"/>
            <w:vAlign w:val="center"/>
          </w:tcPr>
          <w:p>
            <w:pPr>
              <w:widowControl/>
              <w:spacing w:line="360" w:lineRule="auto"/>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5000" w:type="pct"/>
            <w:gridSpan w:val="5"/>
            <w:vAlign w:val="center"/>
          </w:tcPr>
          <w:p>
            <w:pPr>
              <w:widowControl/>
              <w:spacing w:line="360" w:lineRule="auto"/>
              <w:rPr>
                <w:rFonts w:ascii="宋体" w:hAnsi="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bl>
    <w:p>
      <w:pPr>
        <w:rPr>
          <w:rFonts w:hint="eastAsia" w:ascii="宋体" w:hAnsi="宋体" w:eastAsia="宋体"/>
          <w:sz w:val="24"/>
          <w:szCs w:val="24"/>
          <w:highlight w:val="none"/>
        </w:rPr>
      </w:pPr>
      <w:r>
        <w:rPr>
          <w:rFonts w:hint="eastAsia" w:ascii="宋体" w:hAnsi="宋体" w:eastAsia="宋体"/>
          <w:sz w:val="24"/>
          <w:szCs w:val="24"/>
          <w:highlight w:val="none"/>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3包：森林灭火防护头套、森林灭火防护作训帽、森林灭火防护服、森林灭火防护服内胆样品评审细则。</w:t>
      </w:r>
    </w:p>
    <w:tbl>
      <w:tblPr>
        <w:tblStyle w:val="25"/>
        <w:tblW w:w="51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10"/>
        <w:gridCol w:w="1433"/>
        <w:gridCol w:w="717"/>
        <w:gridCol w:w="3914"/>
        <w:gridCol w:w="3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jc w:val="center"/>
              <w:rPr>
                <w:rFonts w:hint="eastAsia" w:ascii="宋体" w:hAnsi="宋体" w:eastAsia="宋体" w:cs="宋体"/>
                <w:b/>
                <w:bCs/>
                <w:sz w:val="24"/>
                <w:szCs w:val="24"/>
                <w:highlight w:val="none"/>
              </w:rPr>
            </w:pPr>
            <w:r>
              <w:rPr>
                <w:rFonts w:hint="eastAsia" w:ascii="宋体" w:hAnsi="宋体"/>
                <w:b/>
                <w:bCs/>
                <w:sz w:val="24"/>
                <w:szCs w:val="24"/>
                <w:highlight w:val="none"/>
                <w:lang w:val="en-US" w:eastAsia="zh-CN"/>
              </w:rPr>
              <w:t>森林灭火防护头套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753" w:type="pct"/>
            <w:gridSpan w:val="2"/>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评分标准说明</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53" w:type="pct"/>
            <w:gridSpan w:val="2"/>
            <w:vMerge w:val="restart"/>
            <w:vAlign w:val="center"/>
          </w:tcPr>
          <w:p>
            <w:pPr>
              <w:jc w:val="center"/>
              <w:rPr>
                <w:rFonts w:hint="eastAsia" w:ascii="宋体" w:hAnsi="宋体" w:eastAsia="宋体" w:cs="宋体"/>
                <w:sz w:val="24"/>
                <w:szCs w:val="24"/>
                <w:highlight w:val="none"/>
              </w:rPr>
            </w:pPr>
            <w:r>
              <w:rPr>
                <w:rFonts w:hint="eastAsia" w:ascii="宋体" w:hAnsi="宋体" w:cs="宋体"/>
                <w:sz w:val="24"/>
                <w:szCs w:val="24"/>
                <w:highlight w:val="none"/>
              </w:rPr>
              <w:t>外观质量</w:t>
            </w:r>
          </w:p>
        </w:tc>
        <w:tc>
          <w:tcPr>
            <w:tcW w:w="374" w:type="pct"/>
            <w:vMerge w:val="restart"/>
            <w:vAlign w:val="center"/>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成品颜色为米黄色，表面色泽、样式与标样对比，无明显色差。</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成品无明显印花疵点、起毛露底、脱绒、起毛不匀</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成品无破洞、锈斑、针洞等</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eastAsia="宋体" w:cs="宋体"/>
                <w:sz w:val="24"/>
                <w:szCs w:val="24"/>
                <w:highlight w:val="none"/>
              </w:rPr>
            </w:pPr>
          </w:p>
        </w:tc>
        <w:tc>
          <w:tcPr>
            <w:tcW w:w="374" w:type="pct"/>
            <w:vMerge w:val="restart"/>
            <w:vAlign w:val="center"/>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袖子：长短、肥瘦无明显互差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口罩：系扣后平服,肩袢长度无明显互差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披肩：贴布平服,距领罗纹无明显互差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3" w:type="pct"/>
            <w:gridSpan w:val="2"/>
            <w:vMerge w:val="continue"/>
            <w:vAlign w:val="center"/>
          </w:tcPr>
          <w:p>
            <w:pPr>
              <w:jc w:val="center"/>
              <w:rPr>
                <w:rFonts w:hint="eastAsia" w:ascii="宋体" w:hAnsi="宋体" w:eastAsia="宋体" w:cs="宋体"/>
                <w:sz w:val="24"/>
                <w:szCs w:val="24"/>
                <w:highlight w:val="none"/>
              </w:rPr>
            </w:pPr>
          </w:p>
        </w:tc>
        <w:tc>
          <w:tcPr>
            <w:tcW w:w="374" w:type="pct"/>
            <w:vMerge w:val="continue"/>
            <w:vAlign w:val="center"/>
          </w:tcPr>
          <w:p>
            <w:pPr>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护脖：贴布平服,距领罗纹无明显互差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Align w:val="center"/>
          </w:tcPr>
          <w:p>
            <w:pPr>
              <w:widowControl/>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w:t>
            </w:r>
          </w:p>
        </w:tc>
        <w:tc>
          <w:tcPr>
            <w:tcW w:w="753" w:type="pct"/>
            <w:gridSpan w:val="2"/>
            <w:vAlign w:val="center"/>
          </w:tcPr>
          <w:p>
            <w:pPr>
              <w:widowControl/>
              <w:jc w:val="center"/>
              <w:rPr>
                <w:rFonts w:hint="eastAsia" w:ascii="宋体" w:hAnsi="宋体" w:eastAsia="宋体" w:cs="宋体"/>
                <w:sz w:val="24"/>
                <w:szCs w:val="24"/>
                <w:highlight w:val="none"/>
              </w:rPr>
            </w:pPr>
            <w:r>
              <w:rPr>
                <w:rFonts w:hint="eastAsia" w:ascii="宋体" w:hAnsi="宋体" w:cs="宋体"/>
                <w:sz w:val="24"/>
                <w:szCs w:val="24"/>
                <w:highlight w:val="none"/>
              </w:rPr>
              <w:t>缝制质量</w:t>
            </w:r>
          </w:p>
        </w:tc>
        <w:tc>
          <w:tcPr>
            <w:tcW w:w="374"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043" w:type="pct"/>
            <w:vAlign w:val="center"/>
          </w:tcPr>
          <w:p>
            <w:pPr>
              <w:rPr>
                <w:rFonts w:ascii="宋体" w:hAnsi="宋体" w:cs="宋体"/>
                <w:sz w:val="24"/>
                <w:szCs w:val="24"/>
                <w:highlight w:val="none"/>
              </w:rPr>
            </w:pPr>
            <w:r>
              <w:rPr>
                <w:rFonts w:hint="eastAsia" w:ascii="宋体" w:hAnsi="宋体" w:cs="宋体"/>
                <w:sz w:val="24"/>
                <w:szCs w:val="24"/>
                <w:highlight w:val="none"/>
              </w:rPr>
              <w:t>套口、绷缝、平缝不应开断线；</w:t>
            </w:r>
          </w:p>
          <w:p>
            <w:pPr>
              <w:rPr>
                <w:rFonts w:ascii="宋体" w:hAnsi="宋体" w:cs="宋体"/>
                <w:sz w:val="24"/>
                <w:szCs w:val="24"/>
                <w:highlight w:val="none"/>
              </w:rPr>
            </w:pPr>
            <w:r>
              <w:rPr>
                <w:rFonts w:hint="eastAsia" w:ascii="宋体" w:hAnsi="宋体" w:cs="宋体"/>
                <w:sz w:val="24"/>
                <w:szCs w:val="24"/>
                <w:highlight w:val="none"/>
              </w:rPr>
              <w:t>套口、绷缝不应跳线；</w:t>
            </w:r>
          </w:p>
          <w:p>
            <w:pPr>
              <w:rPr>
                <w:rFonts w:ascii="宋体" w:hAnsi="宋体" w:cs="宋体"/>
                <w:sz w:val="24"/>
                <w:szCs w:val="24"/>
                <w:highlight w:val="none"/>
              </w:rPr>
            </w:pPr>
            <w:r>
              <w:rPr>
                <w:rFonts w:hint="eastAsia" w:ascii="宋体" w:hAnsi="宋体" w:cs="宋体"/>
                <w:sz w:val="24"/>
                <w:szCs w:val="24"/>
                <w:highlight w:val="none"/>
              </w:rPr>
              <w:t>各部位均不准毛露；</w:t>
            </w:r>
          </w:p>
          <w:p>
            <w:pPr>
              <w:rPr>
                <w:rFonts w:ascii="宋体" w:hAnsi="宋体" w:cs="宋体"/>
                <w:sz w:val="24"/>
                <w:szCs w:val="24"/>
                <w:highlight w:val="none"/>
              </w:rPr>
            </w:pPr>
            <w:r>
              <w:rPr>
                <w:rFonts w:hint="eastAsia" w:ascii="宋体" w:hAnsi="宋体" w:cs="宋体"/>
                <w:sz w:val="24"/>
                <w:szCs w:val="24"/>
                <w:highlight w:val="none"/>
              </w:rPr>
              <w:t>无线头纱毛；</w:t>
            </w:r>
          </w:p>
          <w:p>
            <w:pPr>
              <w:rPr>
                <w:rFonts w:hint="eastAsia" w:ascii="宋体" w:hAnsi="宋体" w:eastAsia="宋体" w:cs="宋体"/>
                <w:sz w:val="24"/>
                <w:szCs w:val="24"/>
                <w:highlight w:val="none"/>
              </w:rPr>
            </w:pPr>
            <w:r>
              <w:rPr>
                <w:rFonts w:hint="eastAsia" w:ascii="宋体" w:hAnsi="宋体" w:cs="宋体"/>
                <w:sz w:val="24"/>
                <w:szCs w:val="24"/>
                <w:highlight w:val="none"/>
              </w:rPr>
              <w:t>表面明显部位无污染、水斑。</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0" w:type="pct"/>
            <w:gridSpan w:val="3"/>
            <w:vAlign w:val="center"/>
          </w:tcPr>
          <w:p>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小计</w:t>
            </w:r>
          </w:p>
        </w:tc>
        <w:tc>
          <w:tcPr>
            <w:tcW w:w="374"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p>
        </w:tc>
        <w:tc>
          <w:tcPr>
            <w:tcW w:w="2043" w:type="pct"/>
            <w:vAlign w:val="center"/>
          </w:tcPr>
          <w:p>
            <w:pPr>
              <w:widowControl/>
              <w:rPr>
                <w:rFonts w:hint="eastAsia" w:ascii="宋体" w:hAnsi="宋体" w:eastAsia="宋体" w:cs="宋体"/>
                <w:sz w:val="24"/>
                <w:szCs w:val="24"/>
                <w:highlight w:val="none"/>
              </w:rPr>
            </w:pPr>
          </w:p>
        </w:tc>
        <w:tc>
          <w:tcPr>
            <w:tcW w:w="1572" w:type="pct"/>
            <w:vAlign w:val="center"/>
          </w:tcPr>
          <w:p>
            <w:pPr>
              <w:widowControl/>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widowControl/>
              <w:jc w:val="center"/>
              <w:rPr>
                <w:rFonts w:hint="eastAsia" w:ascii="宋体" w:hAnsi="宋体" w:eastAsia="宋体" w:cs="宋体"/>
                <w:sz w:val="24"/>
                <w:szCs w:val="24"/>
                <w:highlight w:val="none"/>
              </w:rPr>
            </w:pPr>
            <w:r>
              <w:rPr>
                <w:rFonts w:hint="eastAsia" w:ascii="宋体" w:hAnsi="宋体"/>
                <w:b/>
                <w:bCs/>
                <w:sz w:val="24"/>
                <w:szCs w:val="24"/>
                <w:highlight w:val="none"/>
                <w:lang w:val="en-US" w:eastAsia="zh-CN"/>
              </w:rPr>
              <w:t>森林灭火防护作训帽</w:t>
            </w:r>
          </w:p>
          <w:p>
            <w:pPr>
              <w:widowControl/>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序号</w:t>
            </w:r>
          </w:p>
        </w:tc>
        <w:tc>
          <w:tcPr>
            <w:tcW w:w="753" w:type="pct"/>
            <w:gridSpan w:val="2"/>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评分标准说明</w:t>
            </w:r>
          </w:p>
        </w:tc>
        <w:tc>
          <w:tcPr>
            <w:tcW w:w="1572"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restart"/>
            <w:vAlign w:val="center"/>
          </w:tcPr>
          <w:p>
            <w:pPr>
              <w:widowControl/>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p>
        </w:tc>
        <w:tc>
          <w:tcPr>
            <w:tcW w:w="753" w:type="pct"/>
            <w:gridSpan w:val="2"/>
            <w:vMerge w:val="restart"/>
            <w:vAlign w:val="center"/>
          </w:tcPr>
          <w:p>
            <w:pPr>
              <w:widowControl/>
              <w:jc w:val="center"/>
              <w:rPr>
                <w:rFonts w:hint="eastAsia" w:ascii="宋体" w:hAnsi="宋体" w:eastAsia="宋体" w:cs="宋体"/>
                <w:b/>
                <w:bCs/>
                <w:sz w:val="24"/>
                <w:szCs w:val="24"/>
                <w:highlight w:val="none"/>
              </w:rPr>
            </w:pPr>
            <w:r>
              <w:rPr>
                <w:rFonts w:hint="eastAsia" w:ascii="宋体" w:hAnsi="宋体" w:eastAsia="大黑体"/>
                <w:color w:val="000000"/>
                <w:kern w:val="0"/>
                <w:sz w:val="24"/>
                <w:szCs w:val="24"/>
                <w:highlight w:val="none"/>
                <w:lang w:val="en-US" w:eastAsia="zh-CN"/>
              </w:rPr>
              <w:t>外</w:t>
            </w:r>
            <w:r>
              <w:rPr>
                <w:rFonts w:hint="eastAsia" w:ascii="宋体" w:hAnsi="宋体" w:eastAsia="大黑体"/>
                <w:color w:val="000000"/>
                <w:kern w:val="0"/>
                <w:sz w:val="24"/>
                <w:szCs w:val="24"/>
                <w:highlight w:val="none"/>
              </w:rPr>
              <w:t>观质量</w:t>
            </w:r>
          </w:p>
        </w:tc>
        <w:tc>
          <w:tcPr>
            <w:tcW w:w="374" w:type="pct"/>
            <w:vMerge w:val="restar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2043"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样品外观与标样对比一致。面料、里料、其他辅料颜色与标样一致，无明显色差，样品号型符合要求。</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spacing w:line="360" w:lineRule="auto"/>
              <w:jc w:val="center"/>
              <w:rPr>
                <w:rFonts w:hint="eastAsia" w:ascii="宋体" w:hAnsi="宋体" w:eastAsia="宋体" w:cs="宋体"/>
                <w:b/>
                <w:bCs/>
                <w:sz w:val="24"/>
                <w:szCs w:val="24"/>
                <w:highlight w:val="none"/>
                <w:lang w:val="en-US" w:eastAsia="zh-CN"/>
              </w:rPr>
            </w:pPr>
          </w:p>
        </w:tc>
        <w:tc>
          <w:tcPr>
            <w:tcW w:w="753" w:type="pct"/>
            <w:gridSpan w:val="2"/>
            <w:vMerge w:val="continue"/>
            <w:vAlign w:val="center"/>
          </w:tcPr>
          <w:p>
            <w:pPr>
              <w:widowControl/>
              <w:jc w:val="center"/>
              <w:rPr>
                <w:rFonts w:hint="eastAsia" w:ascii="宋体" w:hAnsi="宋体" w:eastAsia="大黑体"/>
                <w:color w:val="000000"/>
                <w:kern w:val="0"/>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b/>
                <w:bCs/>
                <w:sz w:val="24"/>
                <w:szCs w:val="24"/>
                <w:highlight w:val="none"/>
                <w:lang w:val="en-US" w:eastAsia="zh-CN"/>
              </w:rPr>
            </w:pP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表面无对美观、坚固有影响的明显加工致残缺陷，承受拉力部位无明显的开、断线、跳线以及明线。</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spacing w:line="360" w:lineRule="auto"/>
              <w:jc w:val="center"/>
              <w:rPr>
                <w:rFonts w:hint="eastAsia" w:ascii="宋体" w:hAnsi="宋体" w:eastAsia="宋体" w:cs="宋体"/>
                <w:b/>
                <w:bCs/>
                <w:sz w:val="24"/>
                <w:szCs w:val="24"/>
                <w:highlight w:val="none"/>
                <w:lang w:val="en-US" w:eastAsia="zh-CN"/>
              </w:rPr>
            </w:pPr>
          </w:p>
        </w:tc>
        <w:tc>
          <w:tcPr>
            <w:tcW w:w="753" w:type="pct"/>
            <w:gridSpan w:val="2"/>
            <w:vMerge w:val="continue"/>
            <w:vAlign w:val="center"/>
          </w:tcPr>
          <w:p>
            <w:pPr>
              <w:widowControl/>
              <w:jc w:val="center"/>
              <w:rPr>
                <w:rFonts w:hint="eastAsia" w:ascii="宋体" w:hAnsi="宋体" w:eastAsia="大黑体"/>
                <w:color w:val="000000"/>
                <w:kern w:val="0"/>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b/>
                <w:bCs/>
                <w:sz w:val="24"/>
                <w:szCs w:val="24"/>
                <w:highlight w:val="none"/>
                <w:lang w:val="en-US" w:eastAsia="zh-CN"/>
              </w:rPr>
            </w:pP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敷衬平整、无渗胶。</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spacing w:line="360" w:lineRule="auto"/>
              <w:jc w:val="center"/>
              <w:rPr>
                <w:rFonts w:hint="eastAsia" w:ascii="宋体" w:hAnsi="宋体" w:eastAsia="宋体" w:cs="宋体"/>
                <w:b/>
                <w:bCs/>
                <w:sz w:val="24"/>
                <w:szCs w:val="24"/>
                <w:highlight w:val="none"/>
                <w:lang w:val="en-US" w:eastAsia="zh-CN"/>
              </w:rPr>
            </w:pPr>
          </w:p>
        </w:tc>
        <w:tc>
          <w:tcPr>
            <w:tcW w:w="753" w:type="pct"/>
            <w:gridSpan w:val="2"/>
            <w:vMerge w:val="continue"/>
            <w:vAlign w:val="center"/>
          </w:tcPr>
          <w:p>
            <w:pPr>
              <w:widowControl/>
              <w:jc w:val="center"/>
              <w:rPr>
                <w:rFonts w:hint="eastAsia" w:ascii="宋体" w:hAnsi="宋体" w:eastAsia="大黑体"/>
                <w:color w:val="000000"/>
                <w:kern w:val="0"/>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b/>
                <w:bCs/>
                <w:sz w:val="24"/>
                <w:szCs w:val="24"/>
                <w:highlight w:val="none"/>
                <w:lang w:val="en-US" w:eastAsia="zh-CN"/>
              </w:rPr>
            </w:pP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帽面、帽里无明显疵点。无条痕（折痕）、斑疵（油、锈、色斑）、线状疵点等。各部位均无毛露，表面部位无线头，表面无污迹、水斑。</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restart"/>
            <w:vAlign w:val="center"/>
          </w:tcPr>
          <w:p>
            <w:pPr>
              <w:widowControl/>
              <w:spacing w:line="360" w:lineRule="auto"/>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753" w:type="pct"/>
            <w:gridSpan w:val="2"/>
            <w:vMerge w:val="restart"/>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eastAsia="大黑体"/>
                <w:snapToGrid w:val="0"/>
                <w:kern w:val="21"/>
                <w:sz w:val="24"/>
                <w:szCs w:val="24"/>
                <w:highlight w:val="none"/>
              </w:rPr>
              <w:t>缝制质量</w:t>
            </w:r>
          </w:p>
        </w:tc>
        <w:tc>
          <w:tcPr>
            <w:tcW w:w="374" w:type="pct"/>
            <w:vMerge w:val="restar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w:t>
            </w: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帽徽、气眼、帽饰带等位置无明显偏差。</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spacing w:line="360" w:lineRule="auto"/>
              <w:jc w:val="center"/>
              <w:rPr>
                <w:rFonts w:hint="eastAsia" w:ascii="宋体" w:hAnsi="宋体" w:eastAsia="宋体" w:cs="宋体"/>
                <w:b/>
                <w:bCs/>
                <w:sz w:val="24"/>
                <w:szCs w:val="24"/>
                <w:highlight w:val="none"/>
                <w:lang w:val="en-US" w:eastAsia="zh-CN"/>
              </w:rPr>
            </w:pPr>
          </w:p>
        </w:tc>
        <w:tc>
          <w:tcPr>
            <w:tcW w:w="753" w:type="pct"/>
            <w:gridSpan w:val="2"/>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b/>
                <w:bCs/>
                <w:sz w:val="24"/>
                <w:szCs w:val="24"/>
                <w:highlight w:val="none"/>
                <w:lang w:val="en-US" w:eastAsia="zh-CN"/>
              </w:rPr>
            </w:pP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气眼无掉漆，反面不开花。</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57" w:type="pct"/>
            <w:vMerge w:val="continue"/>
            <w:vAlign w:val="center"/>
          </w:tcPr>
          <w:p>
            <w:pPr>
              <w:widowControl/>
              <w:spacing w:line="360" w:lineRule="auto"/>
              <w:jc w:val="center"/>
              <w:rPr>
                <w:rFonts w:hint="eastAsia" w:ascii="宋体" w:hAnsi="宋体" w:eastAsia="宋体" w:cs="宋体"/>
                <w:b/>
                <w:bCs/>
                <w:sz w:val="24"/>
                <w:szCs w:val="24"/>
                <w:highlight w:val="none"/>
                <w:lang w:val="en-US" w:eastAsia="zh-CN"/>
              </w:rPr>
            </w:pPr>
          </w:p>
        </w:tc>
        <w:tc>
          <w:tcPr>
            <w:tcW w:w="753" w:type="pct"/>
            <w:gridSpan w:val="2"/>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b/>
                <w:bCs/>
                <w:sz w:val="24"/>
                <w:szCs w:val="24"/>
                <w:highlight w:val="none"/>
                <w:lang w:val="en-US" w:eastAsia="zh-CN"/>
              </w:rPr>
            </w:pPr>
          </w:p>
        </w:tc>
        <w:tc>
          <w:tcPr>
            <w:tcW w:w="2043" w:type="pct"/>
            <w:vAlign w:val="center"/>
          </w:tcPr>
          <w:p>
            <w:pPr>
              <w:rPr>
                <w:rFonts w:hint="eastAsia" w:ascii="宋体" w:hAnsi="宋体" w:cs="宋体"/>
                <w:sz w:val="24"/>
                <w:szCs w:val="24"/>
                <w:highlight w:val="none"/>
              </w:rPr>
            </w:pPr>
            <w:r>
              <w:rPr>
                <w:rFonts w:hint="eastAsia" w:ascii="宋体" w:hAnsi="宋体" w:cs="宋体"/>
                <w:sz w:val="24"/>
                <w:szCs w:val="24"/>
                <w:highlight w:val="none"/>
              </w:rPr>
              <w:t>帽顶与帽墙结合线路平服，圆顺，缝头一致，抻吃均匀，垫条平服，左右对称，帽顶不允许偏歪。</w:t>
            </w:r>
          </w:p>
        </w:tc>
        <w:tc>
          <w:tcPr>
            <w:tcW w:w="1572" w:type="pct"/>
            <w:vAlign w:val="center"/>
          </w:tcPr>
          <w:p>
            <w:pP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0" w:type="pct"/>
            <w:gridSpan w:val="3"/>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小计</w:t>
            </w:r>
          </w:p>
        </w:tc>
        <w:tc>
          <w:tcPr>
            <w:tcW w:w="374"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2043" w:type="pct"/>
            <w:vAlign w:val="center"/>
          </w:tcPr>
          <w:p>
            <w:pPr>
              <w:rPr>
                <w:rFonts w:hint="eastAsia" w:ascii="宋体" w:hAnsi="宋体" w:eastAsia="宋体" w:cs="宋体"/>
                <w:sz w:val="24"/>
                <w:szCs w:val="24"/>
                <w:highlight w:val="none"/>
              </w:rPr>
            </w:pPr>
          </w:p>
        </w:tc>
        <w:tc>
          <w:tcPr>
            <w:tcW w:w="1572" w:type="pct"/>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jc w:val="center"/>
              <w:rPr>
                <w:rFonts w:hint="eastAsia" w:ascii="宋体" w:hAnsi="宋体" w:eastAsia="宋体" w:cs="宋体"/>
                <w:sz w:val="24"/>
                <w:szCs w:val="24"/>
                <w:highlight w:val="none"/>
              </w:rPr>
            </w:pPr>
            <w:r>
              <w:rPr>
                <w:rFonts w:hint="eastAsia" w:ascii="宋体" w:hAnsi="宋体"/>
                <w:b/>
                <w:bCs/>
                <w:sz w:val="24"/>
                <w:szCs w:val="24"/>
                <w:highlight w:val="none"/>
                <w:lang w:val="en-US" w:eastAsia="zh-CN"/>
              </w:rPr>
              <w:t>森林灭火防护服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序号</w:t>
            </w:r>
          </w:p>
        </w:tc>
        <w:tc>
          <w:tcPr>
            <w:tcW w:w="74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评分标准说明</w:t>
            </w:r>
          </w:p>
        </w:tc>
        <w:tc>
          <w:tcPr>
            <w:tcW w:w="1572"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47"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大黑体"/>
                <w:color w:val="000000"/>
                <w:kern w:val="0"/>
                <w:sz w:val="24"/>
                <w:szCs w:val="24"/>
                <w:highlight w:val="none"/>
              </w:rPr>
              <w:t>外观质量及缝制</w:t>
            </w:r>
          </w:p>
        </w:tc>
        <w:tc>
          <w:tcPr>
            <w:tcW w:w="374"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上衣:①领子平服不反翘，领尖长短及驳口宽窄一致</w:t>
            </w:r>
            <w:r>
              <w:rPr>
                <w:rFonts w:hint="eastAsia" w:ascii="宋体" w:hAnsi="宋体" w:cs="宋体"/>
                <w:sz w:val="24"/>
                <w:szCs w:val="24"/>
                <w:highlight w:val="none"/>
                <w:lang w:eastAsia="zh-CN"/>
              </w:rPr>
              <w:t>；</w:t>
            </w:r>
            <w:r>
              <w:rPr>
                <w:rFonts w:hint="eastAsia" w:ascii="宋体" w:hAnsi="宋体" w:cs="宋体"/>
                <w:sz w:val="24"/>
                <w:szCs w:val="24"/>
                <w:highlight w:val="none"/>
              </w:rPr>
              <w:t>②两肩宽窄一致、左右袖长短一致。</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样品缝合线路顺直，缝合牢固；缝制无明显线头、开线、断线等缺陷。</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前襟、胸袋等左右对比无互差；腋下十字缝无互错</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裤装:①左右脚裤对称一致；②裤子无吊脚、扭脚现象、裤子直缝端正。</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裤腰：裤腰左右腰长对比无明显互差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0.3</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裤缝对齐，两腿并合前后裤缝对比无明显互差</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敷衬部位应无起泡、脱胶、渗胶及起皱现象</w:t>
            </w:r>
            <w:r>
              <w:rPr>
                <w:rFonts w:hint="eastAsia" w:ascii="宋体" w:hAnsi="宋体" w:cs="宋体"/>
                <w:sz w:val="24"/>
                <w:szCs w:val="24"/>
                <w:highlight w:val="none"/>
                <w:lang w:eastAsia="zh-CN"/>
              </w:rPr>
              <w:t>。</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74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大黑体"/>
                <w:color w:val="000000"/>
                <w:kern w:val="0"/>
                <w:sz w:val="24"/>
                <w:szCs w:val="24"/>
                <w:highlight w:val="none"/>
              </w:rPr>
              <w:t>材料</w:t>
            </w:r>
          </w:p>
        </w:tc>
        <w:tc>
          <w:tcPr>
            <w:tcW w:w="374"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0.5</w:t>
            </w: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各部位材料使用正确符合标准；各种材料外观无疵点、毛刺、手感光滑；材质精良、舒适、与本项目需求契合度高。</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747"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大黑体"/>
                <w:color w:val="000000"/>
                <w:kern w:val="0"/>
                <w:sz w:val="24"/>
                <w:szCs w:val="24"/>
                <w:highlight w:val="none"/>
              </w:rPr>
              <w:t>整体样式、尺寸及配件</w:t>
            </w:r>
          </w:p>
        </w:tc>
        <w:tc>
          <w:tcPr>
            <w:tcW w:w="374"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样品外观与标样一致，样品号型符合要求，样品整体整洁，顺滑，无污渍。</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sz w:val="24"/>
                <w:szCs w:val="24"/>
                <w:highlight w:val="none"/>
                <w:lang w:val="en-US" w:eastAsia="zh-CN"/>
              </w:rPr>
            </w:pPr>
          </w:p>
        </w:tc>
        <w:tc>
          <w:tcPr>
            <w:tcW w:w="74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各配件（如扣、拉链、反光条等）不偏位、松动、脱落，完好、平服、顺滑，开合无异常。</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74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大黑体"/>
                <w:color w:val="000000"/>
                <w:kern w:val="0"/>
                <w:sz w:val="24"/>
                <w:szCs w:val="24"/>
                <w:highlight w:val="none"/>
              </w:rPr>
              <w:t>各部位色泽</w:t>
            </w:r>
          </w:p>
        </w:tc>
        <w:tc>
          <w:tcPr>
            <w:tcW w:w="374"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0.5</w:t>
            </w:r>
          </w:p>
        </w:tc>
        <w:tc>
          <w:tcPr>
            <w:tcW w:w="2043"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与标样进行对比。</w:t>
            </w:r>
          </w:p>
        </w:tc>
        <w:tc>
          <w:tcPr>
            <w:tcW w:w="1572"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各部位无色差得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分；色差明显的得0分。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0" w:type="pct"/>
            <w:gridSpan w:val="3"/>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小计</w:t>
            </w:r>
          </w:p>
        </w:tc>
        <w:tc>
          <w:tcPr>
            <w:tcW w:w="374" w:type="pc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2043" w:type="pct"/>
            <w:vAlign w:val="center"/>
          </w:tcPr>
          <w:p>
            <w:pPr>
              <w:rPr>
                <w:rFonts w:hint="eastAsia" w:ascii="宋体" w:hAnsi="宋体" w:eastAsia="宋体" w:cs="宋体"/>
                <w:sz w:val="24"/>
                <w:szCs w:val="24"/>
                <w:highlight w:val="none"/>
              </w:rPr>
            </w:pPr>
          </w:p>
        </w:tc>
        <w:tc>
          <w:tcPr>
            <w:tcW w:w="1572" w:type="pct"/>
            <w:vAlign w:val="center"/>
          </w:tcPr>
          <w:p>
            <w:pP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jc w:val="center"/>
              <w:rPr>
                <w:rFonts w:hint="eastAsia" w:ascii="宋体" w:hAnsi="宋体" w:eastAsia="宋体" w:cs="宋体"/>
                <w:sz w:val="24"/>
                <w:szCs w:val="24"/>
                <w:highlight w:val="none"/>
              </w:rPr>
            </w:pPr>
            <w:r>
              <w:rPr>
                <w:rFonts w:hint="eastAsia" w:ascii="宋体" w:hAnsi="宋体"/>
                <w:b/>
                <w:bCs/>
                <w:sz w:val="24"/>
                <w:szCs w:val="24"/>
                <w:highlight w:val="none"/>
                <w:lang w:val="en-US" w:eastAsia="zh-CN"/>
              </w:rPr>
              <w:t>森林灭火防护服内胆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序号</w:t>
            </w:r>
          </w:p>
        </w:tc>
        <w:tc>
          <w:tcPr>
            <w:tcW w:w="74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分值</w:t>
            </w:r>
          </w:p>
        </w:tc>
        <w:tc>
          <w:tcPr>
            <w:tcW w:w="2043"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评分标准说明</w:t>
            </w:r>
          </w:p>
        </w:tc>
        <w:tc>
          <w:tcPr>
            <w:tcW w:w="1572"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p>
        </w:tc>
        <w:tc>
          <w:tcPr>
            <w:tcW w:w="74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大黑体"/>
                <w:color w:val="000000"/>
                <w:kern w:val="0"/>
                <w:sz w:val="24"/>
                <w:szCs w:val="24"/>
                <w:highlight w:val="none"/>
                <w:lang w:val="en-US" w:eastAsia="zh-CN"/>
              </w:rPr>
              <w:t>外观质量</w:t>
            </w:r>
          </w:p>
        </w:tc>
        <w:tc>
          <w:tcPr>
            <w:tcW w:w="374" w:type="pc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0.5</w:t>
            </w:r>
          </w:p>
        </w:tc>
        <w:tc>
          <w:tcPr>
            <w:tcW w:w="2043" w:type="pct"/>
            <w:vAlign w:val="center"/>
          </w:tcPr>
          <w:p>
            <w:pPr>
              <w:widowControl/>
              <w:jc w:val="left"/>
              <w:rPr>
                <w:rFonts w:hint="eastAsia" w:ascii="宋体" w:hAnsi="宋体" w:eastAsia="宋体" w:cs="宋体"/>
                <w:b/>
                <w:bCs/>
                <w:sz w:val="24"/>
                <w:szCs w:val="24"/>
                <w:highlight w:val="none"/>
              </w:rPr>
            </w:pPr>
            <w:r>
              <w:rPr>
                <w:rFonts w:hint="eastAsia" w:ascii="宋体" w:hAnsi="宋体" w:cs="宋体"/>
                <w:sz w:val="24"/>
                <w:szCs w:val="24"/>
                <w:highlight w:val="none"/>
              </w:rPr>
              <w:t>外观整洁、平服、无烫光，线路顺直，左右对称，定位准确，无开断线、线头，美观、挺括。</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74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大黑体"/>
                <w:color w:val="000000"/>
                <w:kern w:val="0"/>
                <w:sz w:val="24"/>
                <w:szCs w:val="24"/>
                <w:highlight w:val="none"/>
              </w:rPr>
              <w:t>材料</w:t>
            </w:r>
          </w:p>
        </w:tc>
        <w:tc>
          <w:tcPr>
            <w:tcW w:w="374" w:type="pc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0.5</w:t>
            </w:r>
          </w:p>
        </w:tc>
        <w:tc>
          <w:tcPr>
            <w:tcW w:w="2043" w:type="pct"/>
            <w:vAlign w:val="center"/>
          </w:tcPr>
          <w:p>
            <w:pPr>
              <w:widowControl/>
              <w:jc w:val="left"/>
              <w:rPr>
                <w:rFonts w:hint="eastAsia" w:ascii="宋体" w:hAnsi="宋体" w:eastAsia="宋体" w:cs="宋体"/>
                <w:b/>
                <w:bCs/>
                <w:sz w:val="24"/>
                <w:szCs w:val="24"/>
                <w:highlight w:val="none"/>
              </w:rPr>
            </w:pPr>
            <w:r>
              <w:rPr>
                <w:rFonts w:hint="eastAsia" w:ascii="宋体" w:hAnsi="宋体" w:cs="宋体"/>
                <w:sz w:val="24"/>
                <w:szCs w:val="24"/>
                <w:highlight w:val="none"/>
              </w:rPr>
              <w:t>材料外观无疵点、毛刺、手感光滑；材质精良、舒适、与本项目需求契合度高。</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262" w:type="pct"/>
            <w:gridSpan w:val="2"/>
            <w:vMerge w:val="restart"/>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w:t>
            </w:r>
          </w:p>
        </w:tc>
        <w:tc>
          <w:tcPr>
            <w:tcW w:w="747" w:type="pct"/>
            <w:vMerge w:val="restart"/>
            <w:vAlign w:val="center"/>
          </w:tcPr>
          <w:p>
            <w:pPr>
              <w:widowControl/>
              <w:jc w:val="center"/>
              <w:rPr>
                <w:rFonts w:hint="eastAsia" w:ascii="宋体" w:hAnsi="宋体" w:eastAsia="宋体" w:cs="宋体"/>
                <w:b/>
                <w:bCs/>
                <w:sz w:val="24"/>
                <w:szCs w:val="24"/>
                <w:highlight w:val="none"/>
              </w:rPr>
            </w:pPr>
            <w:r>
              <w:rPr>
                <w:rFonts w:hint="eastAsia" w:ascii="宋体" w:hAnsi="宋体" w:eastAsia="大黑体"/>
                <w:color w:val="000000"/>
                <w:kern w:val="0"/>
                <w:sz w:val="24"/>
                <w:szCs w:val="24"/>
                <w:highlight w:val="none"/>
              </w:rPr>
              <w:t>整体样式、尺寸及配件</w:t>
            </w:r>
          </w:p>
        </w:tc>
        <w:tc>
          <w:tcPr>
            <w:tcW w:w="374" w:type="pc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2043" w:type="pct"/>
            <w:vAlign w:val="center"/>
          </w:tcPr>
          <w:p>
            <w:pPr>
              <w:widowControl/>
              <w:jc w:val="left"/>
              <w:rPr>
                <w:rFonts w:hint="eastAsia" w:ascii="宋体" w:hAnsi="宋体" w:eastAsia="宋体" w:cs="宋体"/>
                <w:b/>
                <w:bCs/>
                <w:sz w:val="24"/>
                <w:szCs w:val="24"/>
                <w:highlight w:val="none"/>
              </w:rPr>
            </w:pPr>
            <w:r>
              <w:rPr>
                <w:rFonts w:hint="eastAsia" w:ascii="宋体" w:hAnsi="宋体" w:cs="宋体"/>
                <w:sz w:val="24"/>
                <w:szCs w:val="24"/>
                <w:highlight w:val="none"/>
              </w:rPr>
              <w:t>样品外观与标样一致，样品号型符合要求，样品整体整洁，顺滑，无污渍。</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Merge w:val="continue"/>
            <w:vAlign w:val="center"/>
          </w:tcPr>
          <w:p>
            <w:pPr>
              <w:widowControl/>
              <w:jc w:val="center"/>
              <w:rPr>
                <w:rFonts w:hint="eastAsia" w:ascii="宋体" w:hAnsi="宋体" w:eastAsia="宋体" w:cs="宋体"/>
                <w:b/>
                <w:bCs/>
                <w:sz w:val="24"/>
                <w:szCs w:val="24"/>
                <w:highlight w:val="none"/>
              </w:rPr>
            </w:pPr>
          </w:p>
        </w:tc>
        <w:tc>
          <w:tcPr>
            <w:tcW w:w="747" w:type="pct"/>
            <w:vMerge w:val="continue"/>
            <w:vAlign w:val="center"/>
          </w:tcPr>
          <w:p>
            <w:pPr>
              <w:widowControl/>
              <w:jc w:val="center"/>
              <w:rPr>
                <w:rFonts w:hint="eastAsia" w:ascii="宋体" w:hAnsi="宋体" w:eastAsia="大黑体"/>
                <w:color w:val="000000"/>
                <w:kern w:val="0"/>
                <w:sz w:val="24"/>
                <w:szCs w:val="24"/>
                <w:highlight w:val="none"/>
              </w:rPr>
            </w:pPr>
          </w:p>
        </w:tc>
        <w:tc>
          <w:tcPr>
            <w:tcW w:w="374" w:type="pct"/>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p>
        </w:tc>
        <w:tc>
          <w:tcPr>
            <w:tcW w:w="2043" w:type="pct"/>
            <w:vAlign w:val="center"/>
          </w:tcPr>
          <w:p>
            <w:pPr>
              <w:widowControl/>
              <w:jc w:val="left"/>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拉链</w:t>
            </w:r>
            <w:r>
              <w:rPr>
                <w:rFonts w:hint="eastAsia" w:ascii="宋体" w:hAnsi="宋体" w:cs="宋体"/>
                <w:sz w:val="24"/>
                <w:szCs w:val="24"/>
                <w:highlight w:val="none"/>
              </w:rPr>
              <w:t>完好、平服、顺滑，开合无异常。</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62" w:type="pct"/>
            <w:gridSpan w:val="2"/>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w:t>
            </w:r>
          </w:p>
        </w:tc>
        <w:tc>
          <w:tcPr>
            <w:tcW w:w="74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大黑体"/>
                <w:color w:val="000000"/>
                <w:kern w:val="0"/>
                <w:sz w:val="24"/>
                <w:szCs w:val="24"/>
                <w:highlight w:val="none"/>
              </w:rPr>
              <w:t>色泽</w:t>
            </w:r>
          </w:p>
        </w:tc>
        <w:tc>
          <w:tcPr>
            <w:tcW w:w="374" w:type="pct"/>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p>
        </w:tc>
        <w:tc>
          <w:tcPr>
            <w:tcW w:w="2043" w:type="pct"/>
            <w:vAlign w:val="center"/>
          </w:tcPr>
          <w:p>
            <w:pPr>
              <w:widowControl/>
              <w:jc w:val="left"/>
              <w:rPr>
                <w:rFonts w:hint="eastAsia" w:ascii="宋体" w:hAnsi="宋体" w:eastAsia="宋体" w:cs="宋体"/>
                <w:b/>
                <w:bCs/>
                <w:sz w:val="24"/>
                <w:szCs w:val="24"/>
                <w:highlight w:val="none"/>
              </w:rPr>
            </w:pPr>
            <w:r>
              <w:rPr>
                <w:rFonts w:hint="eastAsia" w:ascii="宋体" w:hAnsi="宋体" w:cs="宋体"/>
                <w:sz w:val="24"/>
                <w:szCs w:val="24"/>
                <w:highlight w:val="none"/>
                <w:lang w:eastAsia="zh-CN"/>
              </w:rPr>
              <w:t>与标样对比，</w:t>
            </w:r>
            <w:r>
              <w:rPr>
                <w:rFonts w:hint="eastAsia" w:ascii="宋体" w:hAnsi="宋体" w:cs="宋体"/>
                <w:sz w:val="24"/>
                <w:szCs w:val="24"/>
                <w:highlight w:val="none"/>
                <w:lang w:val="en-US" w:eastAsia="zh-CN"/>
              </w:rPr>
              <w:t>各部位</w:t>
            </w:r>
            <w:r>
              <w:rPr>
                <w:rFonts w:hint="eastAsia" w:ascii="宋体" w:hAnsi="宋体" w:cs="宋体"/>
                <w:sz w:val="24"/>
                <w:szCs w:val="24"/>
                <w:highlight w:val="none"/>
                <w:lang w:eastAsia="zh-CN"/>
              </w:rPr>
              <w:t>色差应不低于</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4级</w:t>
            </w:r>
            <w:r>
              <w:rPr>
                <w:rFonts w:hint="eastAsia" w:ascii="宋体" w:hAnsi="宋体" w:cs="宋体"/>
                <w:sz w:val="24"/>
                <w:szCs w:val="24"/>
                <w:highlight w:val="none"/>
              </w:rPr>
              <w:t>。</w:t>
            </w:r>
          </w:p>
        </w:tc>
        <w:tc>
          <w:tcPr>
            <w:tcW w:w="1572" w:type="pct"/>
            <w:vAlign w:val="center"/>
          </w:tcPr>
          <w:p>
            <w:pPr>
              <w:widowControl/>
              <w:jc w:val="center"/>
              <w:rPr>
                <w:rFonts w:hint="eastAsia" w:ascii="宋体" w:hAnsi="宋体" w:eastAsia="宋体" w:cs="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0" w:type="pct"/>
            <w:gridSpan w:val="3"/>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小计</w:t>
            </w:r>
          </w:p>
        </w:tc>
        <w:tc>
          <w:tcPr>
            <w:tcW w:w="374" w:type="pct"/>
            <w:vAlign w:val="center"/>
          </w:tcPr>
          <w:p>
            <w:pPr>
              <w:widowControl/>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w:t>
            </w:r>
          </w:p>
        </w:tc>
        <w:tc>
          <w:tcPr>
            <w:tcW w:w="2043" w:type="pct"/>
            <w:vAlign w:val="center"/>
          </w:tcPr>
          <w:p>
            <w:pPr>
              <w:widowControl/>
              <w:jc w:val="center"/>
              <w:rPr>
                <w:rFonts w:hint="eastAsia" w:ascii="宋体" w:hAnsi="宋体" w:eastAsia="宋体" w:cs="宋体"/>
                <w:b/>
                <w:bCs/>
                <w:sz w:val="24"/>
                <w:szCs w:val="24"/>
                <w:highlight w:val="none"/>
              </w:rPr>
            </w:pPr>
          </w:p>
        </w:tc>
        <w:tc>
          <w:tcPr>
            <w:tcW w:w="1572" w:type="pct"/>
            <w:vAlign w:val="center"/>
          </w:tcPr>
          <w:p>
            <w:pPr>
              <w:widowControl/>
              <w:jc w:val="center"/>
              <w:rPr>
                <w:rFonts w:hint="eastAsia" w:ascii="宋体" w:hAnsi="宋体" w:eastAsia="宋体" w:cs="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000" w:type="pct"/>
            <w:gridSpan w:val="6"/>
            <w:vAlign w:val="center"/>
          </w:tcPr>
          <w:p>
            <w:pPr>
              <w:widowControl/>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0" w:type="pct"/>
            <w:gridSpan w:val="3"/>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合计</w:t>
            </w:r>
          </w:p>
        </w:tc>
        <w:tc>
          <w:tcPr>
            <w:tcW w:w="374" w:type="pct"/>
            <w:vAlign w:val="center"/>
          </w:tcPr>
          <w:p>
            <w:pPr>
              <w:widowControl/>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20</w:t>
            </w:r>
          </w:p>
        </w:tc>
        <w:tc>
          <w:tcPr>
            <w:tcW w:w="2043" w:type="pct"/>
            <w:vAlign w:val="center"/>
          </w:tcPr>
          <w:p>
            <w:pPr>
              <w:widowControl/>
              <w:jc w:val="center"/>
              <w:rPr>
                <w:rFonts w:hint="eastAsia" w:ascii="宋体" w:hAnsi="宋体" w:eastAsia="宋体" w:cs="宋体"/>
                <w:b/>
                <w:bCs/>
                <w:sz w:val="24"/>
                <w:szCs w:val="24"/>
                <w:highlight w:val="none"/>
              </w:rPr>
            </w:pPr>
          </w:p>
        </w:tc>
        <w:tc>
          <w:tcPr>
            <w:tcW w:w="1572" w:type="pct"/>
            <w:vAlign w:val="center"/>
          </w:tcPr>
          <w:p>
            <w:pPr>
              <w:widowControl/>
              <w:jc w:val="center"/>
              <w:rPr>
                <w:rFonts w:hint="eastAsia" w:ascii="宋体" w:hAnsi="宋体" w:eastAsia="宋体" w:cs="宋体"/>
                <w:b/>
                <w:bCs/>
                <w:sz w:val="24"/>
                <w:szCs w:val="24"/>
                <w:highlight w:val="none"/>
              </w:rPr>
            </w:pPr>
          </w:p>
        </w:tc>
      </w:tr>
    </w:tbl>
    <w:p>
      <w:pPr>
        <w:jc w:val="center"/>
        <w:rPr>
          <w:rFonts w:hint="eastAsia" w:ascii="宋体" w:hAnsi="宋体"/>
          <w:b/>
          <w:bCs/>
          <w:sz w:val="24"/>
          <w:szCs w:val="24"/>
          <w:highlight w:val="none"/>
          <w:lang w:val="en-US" w:eastAsia="zh-CN"/>
        </w:rPr>
      </w:pPr>
    </w:p>
    <w:p>
      <w:pPr>
        <w:rPr>
          <w:rFonts w:hint="eastAsia" w:ascii="宋体" w:hAnsi="宋体" w:eastAsia="宋体"/>
          <w:sz w:val="24"/>
          <w:szCs w:val="24"/>
          <w:highlight w:val="none"/>
        </w:rPr>
      </w:pPr>
      <w:r>
        <w:rPr>
          <w:rFonts w:hint="eastAsia" w:ascii="宋体" w:hAnsi="宋体" w:eastAsia="宋体"/>
          <w:sz w:val="24"/>
          <w:szCs w:val="24"/>
          <w:highlight w:val="none"/>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4包：森林灭火防护靴样品评审细则。</w:t>
      </w:r>
    </w:p>
    <w:tbl>
      <w:tblPr>
        <w:tblStyle w:val="25"/>
        <w:tblpPr w:leftFromText="180" w:rightFromText="180" w:vertAnchor="text" w:horzAnchor="page" w:tblpX="1268" w:tblpY="452"/>
        <w:tblOverlap w:val="never"/>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
        <w:gridCol w:w="1439"/>
        <w:gridCol w:w="714"/>
        <w:gridCol w:w="3894"/>
        <w:gridCol w:w="2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00" w:type="pct"/>
            <w:gridSpan w:val="5"/>
            <w:vAlign w:val="center"/>
          </w:tcPr>
          <w:p>
            <w:pPr>
              <w:jc w:val="center"/>
              <w:rPr>
                <w:rFonts w:hint="eastAsia" w:ascii="宋体" w:hAnsi="宋体" w:eastAsia="宋体" w:cs="宋体"/>
                <w:b/>
                <w:bCs/>
                <w:sz w:val="24"/>
                <w:szCs w:val="24"/>
                <w:highlight w:val="none"/>
              </w:rPr>
            </w:pPr>
            <w:r>
              <w:rPr>
                <w:rFonts w:hint="eastAsia" w:ascii="宋体" w:hAnsi="宋体"/>
                <w:b/>
                <w:bCs/>
                <w:sz w:val="24"/>
                <w:szCs w:val="24"/>
                <w:highlight w:val="none"/>
                <w:lang w:val="en-US" w:eastAsia="zh-CN"/>
              </w:rPr>
              <w:t>森林灭火防护靴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754"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374"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2041"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评分标准说明</w:t>
            </w:r>
          </w:p>
        </w:tc>
        <w:tc>
          <w:tcPr>
            <w:tcW w:w="1561" w:type="pct"/>
            <w:vAlign w:val="center"/>
          </w:tcPr>
          <w:p>
            <w:pPr>
              <w:widowControl/>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 w:hRule="atLeast"/>
        </w:trPr>
        <w:tc>
          <w:tcPr>
            <w:tcW w:w="267"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54" w:type="pct"/>
            <w:vMerge w:val="restart"/>
            <w:vAlign w:val="center"/>
          </w:tcPr>
          <w:p>
            <w:pPr>
              <w:widowControl/>
              <w:jc w:val="center"/>
              <w:rPr>
                <w:rFonts w:hint="eastAsia" w:ascii="宋体" w:hAnsi="宋体" w:eastAsia="宋体" w:cs="宋体"/>
                <w:sz w:val="24"/>
                <w:szCs w:val="24"/>
                <w:highlight w:val="none"/>
              </w:rPr>
            </w:pPr>
            <w:r>
              <w:rPr>
                <w:rFonts w:hint="eastAsia" w:ascii="宋体" w:hAnsi="宋体" w:eastAsia="大黑体"/>
                <w:color w:val="000000"/>
                <w:kern w:val="0"/>
                <w:sz w:val="24"/>
                <w:szCs w:val="24"/>
                <w:highlight w:val="none"/>
              </w:rPr>
              <w:t>成品尺寸</w:t>
            </w:r>
          </w:p>
        </w:tc>
        <w:tc>
          <w:tcPr>
            <w:tcW w:w="374"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前帮长短</w:t>
            </w:r>
            <w:r>
              <w:rPr>
                <w:rFonts w:hint="eastAsia" w:ascii="宋体" w:hAnsi="宋体" w:cs="宋体"/>
                <w:sz w:val="24"/>
                <w:szCs w:val="24"/>
                <w:highlight w:val="none"/>
                <w:lang w:eastAsia="zh-CN"/>
              </w:rPr>
              <w:t>：</w:t>
            </w:r>
            <w:r>
              <w:rPr>
                <w:rFonts w:hint="eastAsia" w:ascii="宋体" w:hAnsi="宋体" w:cs="宋体"/>
                <w:sz w:val="24"/>
                <w:szCs w:val="24"/>
                <w:highlight w:val="none"/>
              </w:rPr>
              <w:t>同双不应超过公差、互差范围</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widowControl/>
              <w:jc w:val="center"/>
              <w:rPr>
                <w:rFonts w:hint="eastAsia" w:ascii="宋体" w:hAnsi="宋体" w:eastAsia="大黑体"/>
                <w:color w:val="000000"/>
                <w:kern w:val="0"/>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后帮高低</w:t>
            </w:r>
            <w:r>
              <w:rPr>
                <w:rFonts w:hint="eastAsia" w:ascii="宋体" w:hAnsi="宋体" w:cs="宋体"/>
                <w:sz w:val="24"/>
                <w:szCs w:val="24"/>
                <w:highlight w:val="none"/>
                <w:lang w:eastAsia="zh-CN"/>
              </w:rPr>
              <w:t>：</w:t>
            </w:r>
            <w:r>
              <w:rPr>
                <w:rFonts w:hint="eastAsia" w:ascii="宋体" w:hAnsi="宋体" w:cs="宋体"/>
                <w:sz w:val="24"/>
                <w:szCs w:val="24"/>
                <w:highlight w:val="none"/>
              </w:rPr>
              <w:t>同双不应超过公差、互差范围</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widowControl/>
              <w:jc w:val="center"/>
              <w:rPr>
                <w:rFonts w:hint="eastAsia" w:ascii="宋体" w:hAnsi="宋体" w:cs="宋体"/>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样品号型</w:t>
            </w:r>
            <w:r>
              <w:rPr>
                <w:rFonts w:hint="eastAsia" w:ascii="宋体" w:hAnsi="宋体" w:cs="宋体"/>
                <w:sz w:val="24"/>
                <w:szCs w:val="24"/>
                <w:highlight w:val="none"/>
                <w:lang w:eastAsia="zh-CN"/>
              </w:rPr>
              <w:t>：</w:t>
            </w:r>
            <w:r>
              <w:rPr>
                <w:rFonts w:hint="eastAsia" w:ascii="宋体" w:hAnsi="宋体" w:cs="宋体"/>
                <w:sz w:val="24"/>
                <w:szCs w:val="24"/>
                <w:highlight w:val="none"/>
              </w:rPr>
              <w:t>鞋号为2</w:t>
            </w:r>
            <w:r>
              <w:rPr>
                <w:rFonts w:ascii="宋体" w:hAnsi="宋体" w:cs="宋体"/>
                <w:sz w:val="24"/>
                <w:szCs w:val="24"/>
                <w:highlight w:val="none"/>
              </w:rPr>
              <w:t>6</w:t>
            </w:r>
            <w:r>
              <w:rPr>
                <w:rFonts w:hint="eastAsia" w:ascii="宋体" w:hAnsi="宋体" w:cs="宋体"/>
                <w:sz w:val="24"/>
                <w:szCs w:val="24"/>
                <w:highlight w:val="none"/>
              </w:rPr>
              <w:t>0，尺码符合技术标准，不超过公差、互差范围。</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754" w:type="pct"/>
            <w:vMerge w:val="restart"/>
            <w:vAlign w:val="center"/>
          </w:tcPr>
          <w:p>
            <w:pPr>
              <w:jc w:val="center"/>
              <w:rPr>
                <w:rFonts w:hint="eastAsia" w:ascii="宋体" w:hAnsi="宋体" w:eastAsia="宋体" w:cs="宋体"/>
                <w:sz w:val="24"/>
                <w:szCs w:val="24"/>
                <w:highlight w:val="none"/>
              </w:rPr>
            </w:pPr>
            <w:r>
              <w:rPr>
                <w:rFonts w:hint="eastAsia" w:ascii="宋体" w:hAnsi="宋体" w:eastAsia="大黑体"/>
                <w:snapToGrid w:val="0"/>
                <w:kern w:val="21"/>
                <w:sz w:val="24"/>
                <w:szCs w:val="24"/>
                <w:highlight w:val="none"/>
              </w:rPr>
              <w:t>外观质量</w:t>
            </w:r>
          </w:p>
        </w:tc>
        <w:tc>
          <w:tcPr>
            <w:tcW w:w="374" w:type="pct"/>
            <w:vMerge w:val="restart"/>
            <w:vAlign w:val="center"/>
          </w:tcPr>
          <w:p>
            <w:pPr>
              <w:jc w:val="center"/>
              <w:rPr>
                <w:rFonts w:hint="eastAsia" w:ascii="宋体" w:hAnsi="宋体" w:eastAsia="宋体" w:cs="宋体"/>
                <w:sz w:val="24"/>
                <w:szCs w:val="24"/>
                <w:highlight w:val="none"/>
                <w:lang w:val="en-US" w:eastAsia="zh-CN"/>
              </w:rPr>
            </w:pPr>
            <w:r>
              <w:rPr>
                <w:rFonts w:ascii="宋体" w:hAnsi="宋体" w:eastAsia="大黑体"/>
                <w:color w:val="000000"/>
                <w:kern w:val="0"/>
                <w:sz w:val="24"/>
                <w:szCs w:val="24"/>
                <w:highlight w:val="none"/>
              </w:rPr>
              <w:t>6</w:t>
            </w: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污渍</w:t>
            </w:r>
            <w:r>
              <w:rPr>
                <w:rFonts w:hint="eastAsia" w:ascii="宋体" w:hAnsi="宋体" w:cs="宋体"/>
                <w:sz w:val="24"/>
                <w:szCs w:val="24"/>
                <w:highlight w:val="none"/>
                <w:lang w:val="en-US" w:eastAsia="zh-CN"/>
              </w:rPr>
              <w:t>:</w:t>
            </w:r>
            <w:r>
              <w:rPr>
                <w:rFonts w:hint="eastAsia" w:ascii="宋体" w:hAnsi="宋体" w:cs="宋体"/>
                <w:sz w:val="24"/>
                <w:szCs w:val="24"/>
                <w:highlight w:val="none"/>
              </w:rPr>
              <w:t>每只鞋里经修饰后，不应影响美观，其他部位不应有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鞋边不均匀、不圆滑</w:t>
            </w:r>
            <w:r>
              <w:rPr>
                <w:rFonts w:hint="eastAsia" w:ascii="宋体" w:hAnsi="宋体" w:cs="宋体"/>
                <w:sz w:val="24"/>
                <w:szCs w:val="24"/>
                <w:highlight w:val="none"/>
                <w:lang w:val="en-US" w:eastAsia="zh-CN"/>
              </w:rPr>
              <w:t>:</w:t>
            </w:r>
            <w:r>
              <w:rPr>
                <w:rFonts w:hint="eastAsia" w:ascii="宋体" w:hAnsi="宋体" w:cs="宋体"/>
                <w:sz w:val="24"/>
                <w:szCs w:val="24"/>
                <w:highlight w:val="none"/>
              </w:rPr>
              <w:t>轻微，不应影响美观</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鞋面、鞋里皱褶</w:t>
            </w:r>
            <w:r>
              <w:rPr>
                <w:rFonts w:hint="eastAsia" w:ascii="宋体" w:hAnsi="宋体" w:cs="宋体"/>
                <w:sz w:val="24"/>
                <w:szCs w:val="24"/>
                <w:highlight w:val="none"/>
                <w:lang w:val="en-US" w:eastAsia="zh-CN"/>
              </w:rPr>
              <w:t>:</w:t>
            </w:r>
            <w:r>
              <w:rPr>
                <w:rFonts w:hint="eastAsia" w:ascii="宋体" w:hAnsi="宋体" w:cs="宋体"/>
                <w:sz w:val="24"/>
                <w:szCs w:val="24"/>
                <w:highlight w:val="none"/>
              </w:rPr>
              <w:t>每只里怀部位基本平坦，不影响美观，其它部位不应有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鞋面碰伤</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破损</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鞋里脱壳</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鞋垫不平整</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后条皮歪斜</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不应超过4mm</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鞋眼不齐、松动、歪斜</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鞋垫缺只</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754" w:type="pct"/>
            <w:vMerge w:val="restart"/>
            <w:vAlign w:val="center"/>
          </w:tcPr>
          <w:p>
            <w:pPr>
              <w:jc w:val="center"/>
              <w:rPr>
                <w:rFonts w:hint="eastAsia" w:ascii="宋体" w:hAnsi="宋体" w:eastAsia="大黑体"/>
                <w:snapToGrid w:val="0"/>
                <w:kern w:val="21"/>
                <w:sz w:val="24"/>
                <w:szCs w:val="24"/>
                <w:highlight w:val="none"/>
              </w:rPr>
            </w:pPr>
            <w:r>
              <w:rPr>
                <w:rFonts w:hint="eastAsia" w:ascii="宋体" w:hAnsi="宋体" w:eastAsia="大黑体"/>
                <w:snapToGrid w:val="0"/>
                <w:kern w:val="21"/>
                <w:sz w:val="24"/>
                <w:szCs w:val="24"/>
                <w:highlight w:val="none"/>
              </w:rPr>
              <w:t>鞋帮缝线</w:t>
            </w:r>
          </w:p>
        </w:tc>
        <w:tc>
          <w:tcPr>
            <w:tcW w:w="374" w:type="pct"/>
            <w:vMerge w:val="restart"/>
            <w:vAlign w:val="center"/>
          </w:tcPr>
          <w:p>
            <w:pPr>
              <w:jc w:val="center"/>
              <w:rPr>
                <w:rFonts w:hint="eastAsia"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6</w:t>
            </w: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翻线</w:t>
            </w:r>
            <w:r>
              <w:rPr>
                <w:rFonts w:hint="eastAsia" w:ascii="宋体" w:hAnsi="宋体" w:cs="宋体"/>
                <w:sz w:val="24"/>
                <w:szCs w:val="24"/>
                <w:highlight w:val="none"/>
                <w:lang w:val="en-US" w:eastAsia="zh-CN"/>
              </w:rPr>
              <w:t>:</w:t>
            </w:r>
            <w:r>
              <w:rPr>
                <w:rFonts w:hint="eastAsia" w:ascii="宋体" w:hAnsi="宋体" w:cs="宋体"/>
                <w:sz w:val="24"/>
                <w:szCs w:val="24"/>
                <w:highlight w:val="none"/>
              </w:rPr>
              <w:t>每只不应超过3针，不应连翻</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跳线</w:t>
            </w:r>
            <w:r>
              <w:rPr>
                <w:rFonts w:hint="eastAsia" w:ascii="宋体" w:hAnsi="宋体" w:cs="宋体"/>
                <w:sz w:val="24"/>
                <w:szCs w:val="24"/>
                <w:highlight w:val="none"/>
                <w:lang w:val="en-US" w:eastAsia="zh-CN"/>
              </w:rPr>
              <w:t>:</w:t>
            </w:r>
            <w:r>
              <w:rPr>
                <w:rFonts w:hint="eastAsia" w:ascii="宋体" w:hAnsi="宋体" w:cs="宋体"/>
                <w:sz w:val="24"/>
                <w:szCs w:val="24"/>
                <w:highlight w:val="none"/>
              </w:rPr>
              <w:t>每只不应超过3针，不应连跳</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缝帮裂口</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断线</w:t>
            </w:r>
            <w:r>
              <w:rPr>
                <w:rFonts w:hint="eastAsia" w:ascii="宋体" w:hAnsi="宋体" w:cs="宋体"/>
                <w:sz w:val="24"/>
                <w:szCs w:val="24"/>
                <w:highlight w:val="none"/>
                <w:lang w:val="en-US" w:eastAsia="zh-CN"/>
              </w:rPr>
              <w:t>:</w:t>
            </w:r>
            <w:r>
              <w:rPr>
                <w:rFonts w:hint="eastAsia" w:ascii="宋体" w:hAnsi="宋体" w:cs="宋体"/>
                <w:sz w:val="24"/>
                <w:szCs w:val="24"/>
                <w:highlight w:val="none"/>
              </w:rPr>
              <w:t>不应有，交叉线扎断不超过1针</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针眼</w:t>
            </w:r>
            <w:r>
              <w:rPr>
                <w:rFonts w:hint="eastAsia" w:ascii="宋体" w:hAnsi="宋体" w:cs="宋体"/>
                <w:sz w:val="24"/>
                <w:szCs w:val="24"/>
                <w:highlight w:val="none"/>
                <w:lang w:val="en-US" w:eastAsia="zh-CN"/>
              </w:rPr>
              <w:t>:</w:t>
            </w:r>
            <w:r>
              <w:rPr>
                <w:rFonts w:hint="eastAsia" w:ascii="宋体" w:hAnsi="宋体" w:cs="宋体"/>
                <w:sz w:val="24"/>
                <w:szCs w:val="24"/>
                <w:highlight w:val="none"/>
              </w:rPr>
              <w:t>所有部位总计不应超过3针</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754" w:type="pct"/>
            <w:vMerge w:val="continue"/>
            <w:vAlign w:val="center"/>
          </w:tcPr>
          <w:p>
            <w:pPr>
              <w:jc w:val="center"/>
              <w:rPr>
                <w:rFonts w:hint="eastAsia" w:ascii="宋体" w:hAnsi="宋体" w:eastAsia="大黑体"/>
                <w:snapToGrid w:val="0"/>
                <w:kern w:val="21"/>
                <w:sz w:val="24"/>
                <w:szCs w:val="24"/>
                <w:highlight w:val="none"/>
              </w:rPr>
            </w:pPr>
          </w:p>
        </w:tc>
        <w:tc>
          <w:tcPr>
            <w:tcW w:w="374" w:type="pct"/>
            <w:vMerge w:val="continue"/>
            <w:vAlign w:val="center"/>
          </w:tcPr>
          <w:p>
            <w:pPr>
              <w:jc w:val="center"/>
              <w:rPr>
                <w:rFonts w:ascii="宋体" w:hAnsi="宋体" w:eastAsia="大黑体"/>
                <w:color w:val="000000"/>
                <w:kern w:val="0"/>
                <w:sz w:val="24"/>
                <w:szCs w:val="24"/>
                <w:highlight w:val="none"/>
              </w:rPr>
            </w:pPr>
          </w:p>
        </w:tc>
        <w:tc>
          <w:tcPr>
            <w:tcW w:w="2041" w:type="pct"/>
            <w:vAlign w:val="center"/>
          </w:tcPr>
          <w:p>
            <w:pP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针码过稀、过密</w:t>
            </w:r>
            <w:r>
              <w:rPr>
                <w:rFonts w:hint="eastAsia" w:ascii="宋体" w:hAnsi="宋体" w:cs="宋体"/>
                <w:sz w:val="24"/>
                <w:szCs w:val="24"/>
                <w:highlight w:val="none"/>
                <w:lang w:val="en-US" w:eastAsia="zh-CN"/>
              </w:rPr>
              <w:t>:不</w:t>
            </w:r>
            <w:r>
              <w:rPr>
                <w:rFonts w:hint="eastAsia" w:ascii="宋体" w:hAnsi="宋体" w:cs="宋体"/>
                <w:sz w:val="24"/>
                <w:szCs w:val="24"/>
                <w:highlight w:val="none"/>
              </w:rPr>
              <w:t>超过公差，拐弯处可适当调整</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restart"/>
            <w:vAlign w:val="center"/>
          </w:tcPr>
          <w:p>
            <w:pPr>
              <w:widowControl/>
              <w:jc w:val="center"/>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4</w:t>
            </w:r>
          </w:p>
        </w:tc>
        <w:tc>
          <w:tcPr>
            <w:tcW w:w="754" w:type="pct"/>
            <w:vMerge w:val="restart"/>
            <w:vAlign w:val="center"/>
          </w:tcPr>
          <w:p>
            <w:pPr>
              <w:widowControl/>
              <w:jc w:val="center"/>
              <w:rPr>
                <w:rFonts w:hint="eastAsia" w:ascii="宋体" w:hAnsi="宋体" w:eastAsia="宋体" w:cs="宋体"/>
                <w:sz w:val="24"/>
                <w:szCs w:val="24"/>
                <w:highlight w:val="none"/>
              </w:rPr>
            </w:pPr>
            <w:r>
              <w:rPr>
                <w:rFonts w:hint="eastAsia" w:hAnsi="宋体" w:eastAsia="大黑体" w:cs="宋体"/>
                <w:kern w:val="0"/>
                <w:sz w:val="24"/>
                <w:szCs w:val="24"/>
                <w:highlight w:val="none"/>
              </w:rPr>
              <w:t>绷帮</w:t>
            </w:r>
          </w:p>
        </w:tc>
        <w:tc>
          <w:tcPr>
            <w:tcW w:w="374"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lang w:val="en-US" w:eastAsia="zh-CN"/>
              </w:rPr>
              <w:t>松</w:t>
            </w:r>
            <w:r>
              <w:rPr>
                <w:rFonts w:hint="eastAsia" w:ascii="宋体" w:hAnsi="宋体" w:cs="宋体"/>
                <w:sz w:val="24"/>
                <w:szCs w:val="24"/>
                <w:highlight w:val="none"/>
              </w:rPr>
              <w:t>软、脱壳、收缩变形</w:t>
            </w:r>
            <w:r>
              <w:rPr>
                <w:rFonts w:hint="eastAsia" w:ascii="宋体" w:hAnsi="宋体" w:cs="宋体"/>
                <w:sz w:val="24"/>
                <w:szCs w:val="24"/>
                <w:highlight w:val="none"/>
                <w:lang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hAnsi="宋体" w:eastAsia="大黑体" w:cs="宋体"/>
                <w:kern w:val="0"/>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内包头歪斜</w:t>
            </w:r>
            <w:r>
              <w:rPr>
                <w:rFonts w:hint="eastAsia" w:ascii="宋体" w:hAnsi="宋体" w:cs="宋体"/>
                <w:sz w:val="24"/>
                <w:szCs w:val="24"/>
                <w:highlight w:val="none"/>
                <w:lang w:eastAsia="zh-CN"/>
              </w:rPr>
              <w:t>：</w:t>
            </w:r>
            <w:r>
              <w:rPr>
                <w:rFonts w:hint="eastAsia" w:ascii="宋体" w:hAnsi="宋体" w:cs="宋体"/>
                <w:sz w:val="24"/>
                <w:szCs w:val="24"/>
                <w:highlight w:val="none"/>
              </w:rPr>
              <w:t>同双应一致，互差不超过3mm，单只歪斜不应超过4mm</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restart"/>
            <w:vAlign w:val="center"/>
          </w:tcPr>
          <w:p>
            <w:pPr>
              <w:widowControl/>
              <w:jc w:val="center"/>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5</w:t>
            </w:r>
          </w:p>
        </w:tc>
        <w:tc>
          <w:tcPr>
            <w:tcW w:w="754" w:type="pct"/>
            <w:vMerge w:val="restart"/>
            <w:vAlign w:val="center"/>
          </w:tcPr>
          <w:p>
            <w:pPr>
              <w:spacing w:line="276" w:lineRule="auto"/>
              <w:jc w:val="center"/>
              <w:rPr>
                <w:rFonts w:ascii="宋体" w:hAnsi="宋体" w:eastAsia="大黑体"/>
                <w:snapToGrid w:val="0"/>
                <w:kern w:val="21"/>
                <w:sz w:val="24"/>
                <w:szCs w:val="24"/>
                <w:highlight w:val="none"/>
              </w:rPr>
            </w:pPr>
            <w:r>
              <w:rPr>
                <w:rFonts w:hint="eastAsia" w:ascii="宋体" w:hAnsi="宋体" w:eastAsia="大黑体"/>
                <w:snapToGrid w:val="0"/>
                <w:kern w:val="21"/>
                <w:sz w:val="24"/>
                <w:szCs w:val="24"/>
                <w:highlight w:val="none"/>
              </w:rPr>
              <w:t>鞋底和</w:t>
            </w:r>
          </w:p>
          <w:p>
            <w:pPr>
              <w:widowControl/>
              <w:jc w:val="center"/>
              <w:rPr>
                <w:rFonts w:hint="eastAsia" w:hAnsi="宋体" w:eastAsia="大黑体" w:cs="宋体"/>
                <w:kern w:val="0"/>
                <w:sz w:val="24"/>
                <w:szCs w:val="24"/>
                <w:highlight w:val="none"/>
              </w:rPr>
            </w:pPr>
            <w:r>
              <w:rPr>
                <w:rFonts w:hint="eastAsia" w:ascii="宋体" w:hAnsi="宋体" w:eastAsia="大黑体"/>
                <w:snapToGrid w:val="0"/>
                <w:kern w:val="21"/>
                <w:sz w:val="24"/>
                <w:szCs w:val="24"/>
                <w:highlight w:val="none"/>
              </w:rPr>
              <w:t>其他</w:t>
            </w:r>
          </w:p>
        </w:tc>
        <w:tc>
          <w:tcPr>
            <w:tcW w:w="374"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偏斜</w:t>
            </w:r>
            <w:r>
              <w:rPr>
                <w:rFonts w:hint="eastAsia" w:ascii="宋体" w:hAnsi="宋体" w:cs="宋体"/>
                <w:sz w:val="24"/>
                <w:szCs w:val="24"/>
                <w:highlight w:val="none"/>
                <w:lang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露帮脚</w:t>
            </w:r>
            <w:r>
              <w:rPr>
                <w:rFonts w:hint="eastAsia" w:ascii="宋体" w:hAnsi="宋体" w:cs="宋体"/>
                <w:sz w:val="24"/>
                <w:szCs w:val="24"/>
                <w:highlight w:val="none"/>
                <w:lang w:eastAsia="zh-CN"/>
              </w:rPr>
              <w:t>：</w:t>
            </w:r>
            <w:r>
              <w:rPr>
                <w:rFonts w:hint="eastAsia" w:ascii="宋体" w:hAnsi="宋体" w:cs="宋体"/>
                <w:sz w:val="24"/>
                <w:szCs w:val="24"/>
                <w:highlight w:val="none"/>
              </w:rPr>
              <w:t>不应超过1.0㎜，露出部位经修饰后不应影响美观</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过硫、欠硫、喷霜</w:t>
            </w:r>
            <w:r>
              <w:rPr>
                <w:rFonts w:hint="eastAsia" w:ascii="宋体" w:hAnsi="宋体" w:cs="宋体"/>
                <w:sz w:val="24"/>
                <w:szCs w:val="24"/>
                <w:highlight w:val="none"/>
                <w:lang w:eastAsia="zh-CN"/>
              </w:rPr>
              <w:t>：</w:t>
            </w:r>
            <w:r>
              <w:rPr>
                <w:rFonts w:hint="eastAsia" w:ascii="宋体" w:hAnsi="宋体" w:cs="宋体"/>
                <w:sz w:val="24"/>
                <w:szCs w:val="24"/>
                <w:highlight w:val="none"/>
              </w:rPr>
              <w:t>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开胶</w:t>
            </w:r>
            <w:r>
              <w:rPr>
                <w:rFonts w:hint="eastAsia" w:ascii="宋体" w:hAnsi="宋体" w:cs="宋体"/>
                <w:sz w:val="24"/>
                <w:szCs w:val="24"/>
                <w:highlight w:val="none"/>
                <w:lang w:eastAsia="zh-CN"/>
              </w:rPr>
              <w:t>：</w:t>
            </w:r>
            <w:r>
              <w:rPr>
                <w:rFonts w:hint="eastAsia" w:ascii="宋体" w:hAnsi="宋体" w:cs="宋体"/>
                <w:sz w:val="24"/>
                <w:szCs w:val="24"/>
                <w:highlight w:val="none"/>
              </w:rPr>
              <w:t>周边涂饰层未砂掉处开胶深不应超过1.5㎜，长度不超过3㎜</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缺胶、气泡</w:t>
            </w:r>
            <w:r>
              <w:rPr>
                <w:rFonts w:hint="eastAsia" w:ascii="宋体" w:hAnsi="宋体" w:cs="宋体"/>
                <w:sz w:val="24"/>
                <w:szCs w:val="24"/>
                <w:highlight w:val="none"/>
                <w:lang w:eastAsia="zh-CN"/>
              </w:rPr>
              <w:t>：</w:t>
            </w:r>
            <w:r>
              <w:rPr>
                <w:rFonts w:hint="eastAsia" w:ascii="宋体" w:hAnsi="宋体" w:cs="宋体"/>
                <w:sz w:val="24"/>
                <w:szCs w:val="24"/>
                <w:highlight w:val="none"/>
              </w:rPr>
              <w:t>每处面积不应超过</w:t>
            </w:r>
            <w:r>
              <w:rPr>
                <w:rFonts w:hint="eastAsia" w:ascii="宋体" w:hAnsi="宋体" w:cs="宋体"/>
                <w:sz w:val="24"/>
                <w:szCs w:val="24"/>
                <w:highlight w:val="none"/>
                <w:lang w:val="en-US" w:eastAsia="zh-CN"/>
              </w:rPr>
              <w:t>mm2</w:t>
            </w:r>
            <w:r>
              <w:rPr>
                <w:rFonts w:hint="eastAsia" w:ascii="宋体" w:hAnsi="宋体" w:cs="宋体"/>
                <w:sz w:val="24"/>
                <w:szCs w:val="24"/>
                <w:highlight w:val="none"/>
              </w:rPr>
              <w:t xml:space="preserve">，累计面积不应超过15 </w:t>
            </w:r>
            <w:r>
              <w:rPr>
                <w:rFonts w:hint="eastAsia" w:ascii="宋体" w:hAnsi="宋体" w:cs="宋体"/>
                <w:sz w:val="24"/>
                <w:szCs w:val="24"/>
                <w:highlight w:val="none"/>
                <w:lang w:val="en-US" w:eastAsia="zh-CN"/>
              </w:rPr>
              <w:t>mm2</w:t>
            </w:r>
            <w:r>
              <w:rPr>
                <w:rFonts w:hint="eastAsia" w:ascii="宋体" w:hAnsi="宋体" w:cs="宋体"/>
                <w:sz w:val="24"/>
                <w:szCs w:val="24"/>
                <w:highlight w:val="none"/>
              </w:rPr>
              <w:t>，胶底周边不应有</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Merge w:val="continue"/>
            <w:vAlign w:val="center"/>
          </w:tcPr>
          <w:p>
            <w:pPr>
              <w:widowControl/>
              <w:jc w:val="center"/>
              <w:rPr>
                <w:rFonts w:hint="eastAsia" w:ascii="宋体" w:hAnsi="宋体" w:eastAsia="宋体" w:cs="宋体"/>
                <w:sz w:val="24"/>
                <w:szCs w:val="24"/>
                <w:highlight w:val="none"/>
                <w:lang w:val="en-US" w:eastAsia="zh-CN" w:bidi="ar"/>
              </w:rPr>
            </w:pPr>
          </w:p>
        </w:tc>
        <w:tc>
          <w:tcPr>
            <w:tcW w:w="754" w:type="pct"/>
            <w:vMerge w:val="continue"/>
            <w:vAlign w:val="center"/>
          </w:tcPr>
          <w:p>
            <w:pPr>
              <w:widowControl/>
              <w:jc w:val="center"/>
              <w:rPr>
                <w:rFonts w:hint="eastAsia" w:ascii="宋体" w:hAnsi="宋体" w:eastAsia="大黑体"/>
                <w:snapToGrid w:val="0"/>
                <w:kern w:val="21"/>
                <w:sz w:val="24"/>
                <w:szCs w:val="24"/>
                <w:highlight w:val="none"/>
              </w:rPr>
            </w:pPr>
          </w:p>
        </w:tc>
        <w:tc>
          <w:tcPr>
            <w:tcW w:w="374"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041"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鞋底杂质</w:t>
            </w:r>
            <w:r>
              <w:rPr>
                <w:rFonts w:hint="eastAsia" w:ascii="宋体" w:hAnsi="宋体" w:cs="宋体"/>
                <w:sz w:val="24"/>
                <w:szCs w:val="24"/>
                <w:highlight w:val="none"/>
                <w:lang w:eastAsia="zh-CN"/>
              </w:rPr>
              <w:t>：</w:t>
            </w:r>
            <w:r>
              <w:rPr>
                <w:rFonts w:hint="eastAsia" w:ascii="宋体" w:hAnsi="宋体" w:cs="宋体"/>
                <w:sz w:val="24"/>
                <w:szCs w:val="24"/>
                <w:highlight w:val="none"/>
              </w:rPr>
              <w:t>表面光滑，不影响美观</w:t>
            </w:r>
            <w:r>
              <w:rPr>
                <w:rFonts w:hint="eastAsia" w:ascii="宋体" w:hAnsi="宋体" w:cs="宋体"/>
                <w:sz w:val="24"/>
                <w:szCs w:val="24"/>
                <w:highlight w:val="none"/>
                <w:lang w:eastAsia="zh-CN"/>
              </w:rPr>
              <w:t>。</w:t>
            </w:r>
          </w:p>
        </w:tc>
        <w:tc>
          <w:tcPr>
            <w:tcW w:w="1561" w:type="pct"/>
            <w:vAlign w:val="center"/>
          </w:tcPr>
          <w:p>
            <w:pPr>
              <w:rPr>
                <w:rFonts w:hint="eastAsia" w:ascii="宋体" w:hAnsi="宋体" w:eastAsia="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7" w:type="pct"/>
            <w:vAlign w:val="center"/>
          </w:tcPr>
          <w:p>
            <w:pPr>
              <w:widowControl/>
              <w:jc w:val="center"/>
              <w:rPr>
                <w:rFonts w:hint="eastAsia" w:ascii="宋体" w:hAnsi="宋体" w:eastAsia="宋体" w:cs="宋体"/>
                <w:sz w:val="24"/>
                <w:szCs w:val="24"/>
                <w:highlight w:val="none"/>
              </w:rPr>
            </w:pPr>
          </w:p>
        </w:tc>
        <w:tc>
          <w:tcPr>
            <w:tcW w:w="754" w:type="pct"/>
            <w:vAlign w:val="center"/>
          </w:tcPr>
          <w:p>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合计</w:t>
            </w:r>
          </w:p>
        </w:tc>
        <w:tc>
          <w:tcPr>
            <w:tcW w:w="374" w:type="pct"/>
            <w:vAlign w:val="center"/>
          </w:tcPr>
          <w:p>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w:t>
            </w:r>
          </w:p>
        </w:tc>
        <w:tc>
          <w:tcPr>
            <w:tcW w:w="2041" w:type="pct"/>
            <w:vAlign w:val="center"/>
          </w:tcPr>
          <w:p>
            <w:pPr>
              <w:widowControl/>
              <w:rPr>
                <w:rFonts w:hint="eastAsia" w:ascii="宋体" w:hAnsi="宋体" w:eastAsia="宋体" w:cs="宋体"/>
                <w:sz w:val="24"/>
                <w:szCs w:val="24"/>
                <w:highlight w:val="none"/>
              </w:rPr>
            </w:pPr>
          </w:p>
        </w:tc>
        <w:tc>
          <w:tcPr>
            <w:tcW w:w="1561" w:type="pct"/>
            <w:vAlign w:val="center"/>
          </w:tcPr>
          <w:p>
            <w:pPr>
              <w:widowControl/>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00" w:type="pct"/>
            <w:gridSpan w:val="5"/>
            <w:vAlign w:val="center"/>
          </w:tcPr>
          <w:p>
            <w:pPr>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bl>
    <w:p>
      <w:pPr>
        <w:rPr>
          <w:rFonts w:hint="eastAsia" w:ascii="宋体" w:hAnsi="宋体" w:eastAsia="宋体"/>
          <w:sz w:val="24"/>
          <w:szCs w:val="24"/>
          <w:highlight w:val="none"/>
        </w:rPr>
      </w:pPr>
    </w:p>
    <w:p>
      <w:pPr>
        <w:rPr>
          <w:rFonts w:hint="eastAsia" w:ascii="宋体" w:hAnsi="宋体" w:eastAsia="宋体"/>
          <w:sz w:val="24"/>
          <w:szCs w:val="24"/>
          <w:highlight w:val="none"/>
        </w:rPr>
      </w:pPr>
    </w:p>
    <w:p>
      <w:pP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5包：森林灭火防护外腰带、22多功能水壶样品评审细则。</w:t>
      </w:r>
    </w:p>
    <w:p>
      <w:pPr>
        <w:rPr>
          <w:rFonts w:hint="eastAsia" w:ascii="宋体" w:hAnsi="宋体" w:eastAsia="宋体"/>
          <w:sz w:val="24"/>
          <w:szCs w:val="24"/>
          <w:highlight w:val="none"/>
        </w:rPr>
      </w:pPr>
    </w:p>
    <w:tbl>
      <w:tblPr>
        <w:tblStyle w:val="25"/>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3"/>
        <w:gridCol w:w="1162"/>
        <w:gridCol w:w="874"/>
        <w:gridCol w:w="3813"/>
        <w:gridCol w:w="3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 w:hRule="atLeast"/>
          <w:jc w:val="center"/>
        </w:trPr>
        <w:tc>
          <w:tcPr>
            <w:tcW w:w="5000" w:type="pct"/>
            <w:gridSpan w:val="5"/>
            <w:vAlign w:val="center"/>
          </w:tcPr>
          <w:p>
            <w:pPr>
              <w:widowControl/>
              <w:jc w:val="center"/>
              <w:rPr>
                <w:rFonts w:ascii="宋体" w:hAnsi="宋体"/>
                <w:b/>
                <w:bCs/>
                <w:sz w:val="24"/>
                <w:szCs w:val="24"/>
                <w:highlight w:val="none"/>
              </w:rPr>
            </w:pPr>
            <w:r>
              <w:rPr>
                <w:rFonts w:hint="eastAsia" w:ascii="宋体" w:hAnsi="宋体"/>
                <w:b/>
                <w:bCs/>
                <w:sz w:val="24"/>
                <w:szCs w:val="24"/>
                <w:highlight w:val="none"/>
                <w:lang w:val="en-US" w:eastAsia="zh-CN"/>
              </w:rPr>
              <w:t>森林灭火防护外腰带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序号</w:t>
            </w:r>
          </w:p>
        </w:tc>
        <w:tc>
          <w:tcPr>
            <w:tcW w:w="607"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评审因素</w:t>
            </w:r>
          </w:p>
        </w:tc>
        <w:tc>
          <w:tcPr>
            <w:tcW w:w="457"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分值</w:t>
            </w:r>
          </w:p>
        </w:tc>
        <w:tc>
          <w:tcPr>
            <w:tcW w:w="1995"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评分标准说明</w:t>
            </w:r>
          </w:p>
        </w:tc>
        <w:tc>
          <w:tcPr>
            <w:tcW w:w="1637"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300" w:type="pct"/>
            <w:vMerge w:val="restart"/>
            <w:vAlign w:val="center"/>
          </w:tcPr>
          <w:p>
            <w:pPr>
              <w:widowControl/>
              <w:spacing w:line="360" w:lineRule="auto"/>
              <w:jc w:val="center"/>
              <w:rPr>
                <w:rFonts w:ascii="宋体" w:hAnsi="宋体"/>
                <w:sz w:val="24"/>
                <w:szCs w:val="24"/>
                <w:highlight w:val="none"/>
              </w:rPr>
            </w:pPr>
            <w:r>
              <w:rPr>
                <w:rFonts w:hint="eastAsia" w:ascii="宋体" w:hAnsi="宋体"/>
                <w:sz w:val="24"/>
                <w:szCs w:val="24"/>
                <w:highlight w:val="none"/>
              </w:rPr>
              <w:t>1</w:t>
            </w:r>
          </w:p>
        </w:tc>
        <w:tc>
          <w:tcPr>
            <w:tcW w:w="607" w:type="pct"/>
            <w:vMerge w:val="restar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产品外观</w:t>
            </w:r>
          </w:p>
        </w:tc>
        <w:tc>
          <w:tcPr>
            <w:tcW w:w="457" w:type="pct"/>
            <w:vMerge w:val="restart"/>
            <w:vAlign w:val="center"/>
          </w:tcPr>
          <w:p>
            <w:pPr>
              <w:spacing w:line="276" w:lineRule="auto"/>
              <w:jc w:val="center"/>
              <w:rPr>
                <w:rFonts w:hint="eastAsia" w:ascii="宋体" w:hAnsi="宋体" w:eastAsia="大黑体"/>
                <w:color w:val="000000"/>
                <w:kern w:val="0"/>
                <w:sz w:val="24"/>
                <w:szCs w:val="24"/>
                <w:highlight w:val="none"/>
                <w:lang w:eastAsia="zh-CN"/>
              </w:rPr>
            </w:pPr>
            <w:r>
              <w:rPr>
                <w:rFonts w:hint="eastAsia" w:ascii="宋体" w:hAnsi="宋体" w:eastAsia="大黑体"/>
                <w:color w:val="000000"/>
                <w:kern w:val="0"/>
                <w:sz w:val="24"/>
                <w:szCs w:val="24"/>
                <w:highlight w:val="none"/>
                <w:lang w:val="en-US" w:eastAsia="zh-CN"/>
              </w:rPr>
              <w:t>5</w:t>
            </w:r>
          </w:p>
        </w:tc>
        <w:tc>
          <w:tcPr>
            <w:tcW w:w="1995" w:type="pct"/>
            <w:vAlign w:val="center"/>
          </w:tcPr>
          <w:p>
            <w:pPr>
              <w:rPr>
                <w:rFonts w:ascii="宋体" w:hAnsi="宋体" w:cs="宋体"/>
                <w:sz w:val="24"/>
                <w:szCs w:val="24"/>
                <w:highlight w:val="none"/>
              </w:rPr>
            </w:pPr>
            <w:r>
              <w:rPr>
                <w:rFonts w:hint="eastAsia" w:ascii="宋体" w:hAnsi="宋体" w:cs="宋体"/>
                <w:sz w:val="24"/>
                <w:szCs w:val="24"/>
                <w:highlight w:val="none"/>
              </w:rPr>
              <w:t>钎套正面图案端正，清晰，饱满，边缘应光滑，无毛刺，压紧后不松动或自行打开。</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spacing w:line="360" w:lineRule="auto"/>
              <w:jc w:val="center"/>
              <w:rPr>
                <w:rFonts w:ascii="宋体" w:hAnsi="宋体"/>
                <w:sz w:val="24"/>
                <w:szCs w:val="24"/>
                <w:highlight w:val="none"/>
              </w:rPr>
            </w:pPr>
          </w:p>
        </w:tc>
        <w:tc>
          <w:tcPr>
            <w:tcW w:w="607" w:type="pct"/>
            <w:vMerge w:val="continue"/>
            <w:vAlign w:val="center"/>
          </w:tcPr>
          <w:p>
            <w:pPr>
              <w:spacing w:line="276" w:lineRule="auto"/>
              <w:jc w:val="center"/>
              <w:rPr>
                <w:rFonts w:ascii="宋体" w:hAnsi="宋体" w:eastAsia="大黑体"/>
                <w:color w:val="000000"/>
                <w:kern w:val="0"/>
                <w:sz w:val="24"/>
                <w:szCs w:val="24"/>
                <w:highlight w:val="none"/>
              </w:rPr>
            </w:pPr>
          </w:p>
        </w:tc>
        <w:tc>
          <w:tcPr>
            <w:tcW w:w="457"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5" w:type="pct"/>
            <w:vAlign w:val="center"/>
          </w:tcPr>
          <w:p>
            <w:pPr>
              <w:rPr>
                <w:rFonts w:ascii="宋体" w:hAnsi="宋体" w:cs="宋体"/>
                <w:sz w:val="24"/>
                <w:szCs w:val="24"/>
                <w:highlight w:val="none"/>
              </w:rPr>
            </w:pPr>
            <w:r>
              <w:rPr>
                <w:rFonts w:ascii="宋体" w:hAnsi="宋体" w:cs="宋体"/>
                <w:sz w:val="24"/>
                <w:szCs w:val="24"/>
                <w:highlight w:val="none"/>
              </w:rPr>
              <w:t>钎插头</w:t>
            </w:r>
            <w:r>
              <w:rPr>
                <w:rFonts w:hint="eastAsia" w:ascii="宋体" w:hAnsi="宋体" w:cs="宋体"/>
                <w:sz w:val="24"/>
                <w:szCs w:val="24"/>
                <w:highlight w:val="none"/>
              </w:rPr>
              <w:t>、</w:t>
            </w:r>
            <w:r>
              <w:rPr>
                <w:rFonts w:ascii="宋体" w:hAnsi="宋体" w:cs="宋体"/>
                <w:sz w:val="24"/>
                <w:szCs w:val="24"/>
                <w:highlight w:val="none"/>
              </w:rPr>
              <w:t>带箍</w:t>
            </w:r>
            <w:r>
              <w:rPr>
                <w:rFonts w:hint="eastAsia" w:ascii="宋体" w:hAnsi="宋体" w:cs="宋体"/>
                <w:sz w:val="24"/>
                <w:szCs w:val="24"/>
                <w:highlight w:val="none"/>
              </w:rPr>
              <w:t>边缘应光滑、无毛刺，压紧后不松动或自行打开。</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spacing w:line="360" w:lineRule="auto"/>
              <w:jc w:val="center"/>
              <w:rPr>
                <w:rFonts w:ascii="宋体" w:hAnsi="宋体"/>
                <w:sz w:val="24"/>
                <w:szCs w:val="24"/>
                <w:highlight w:val="none"/>
              </w:rPr>
            </w:pPr>
          </w:p>
        </w:tc>
        <w:tc>
          <w:tcPr>
            <w:tcW w:w="607" w:type="pct"/>
            <w:vMerge w:val="continue"/>
            <w:vAlign w:val="center"/>
          </w:tcPr>
          <w:p>
            <w:pPr>
              <w:spacing w:line="276" w:lineRule="auto"/>
              <w:jc w:val="center"/>
              <w:rPr>
                <w:rFonts w:ascii="宋体" w:hAnsi="宋体" w:eastAsia="大黑体"/>
                <w:color w:val="000000"/>
                <w:kern w:val="0"/>
                <w:sz w:val="24"/>
                <w:szCs w:val="24"/>
                <w:highlight w:val="none"/>
              </w:rPr>
            </w:pPr>
          </w:p>
        </w:tc>
        <w:tc>
          <w:tcPr>
            <w:tcW w:w="457"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5"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带尾包头与带体铆合应牢固端正，不松动，不松脱，包头表面光滑，无毛刺</w:t>
            </w:r>
            <w:r>
              <w:rPr>
                <w:rFonts w:hint="eastAsia" w:ascii="宋体" w:hAnsi="宋体" w:cs="宋体"/>
                <w:sz w:val="24"/>
                <w:szCs w:val="24"/>
                <w:highlight w:val="none"/>
                <w:lang w:eastAsia="zh-CN"/>
              </w:rPr>
              <w:t>。</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300" w:type="pct"/>
            <w:vMerge w:val="continue"/>
            <w:vAlign w:val="center"/>
          </w:tcPr>
          <w:p>
            <w:pPr>
              <w:widowControl/>
              <w:spacing w:line="360" w:lineRule="auto"/>
              <w:jc w:val="center"/>
              <w:rPr>
                <w:rFonts w:ascii="宋体" w:hAnsi="宋体"/>
                <w:sz w:val="24"/>
                <w:szCs w:val="24"/>
                <w:highlight w:val="none"/>
              </w:rPr>
            </w:pPr>
          </w:p>
        </w:tc>
        <w:tc>
          <w:tcPr>
            <w:tcW w:w="607" w:type="pct"/>
            <w:vMerge w:val="continue"/>
            <w:vAlign w:val="center"/>
          </w:tcPr>
          <w:p>
            <w:pPr>
              <w:spacing w:line="276" w:lineRule="auto"/>
              <w:jc w:val="center"/>
              <w:rPr>
                <w:rFonts w:ascii="宋体" w:hAnsi="宋体" w:eastAsia="大黑体"/>
                <w:color w:val="000000"/>
                <w:kern w:val="0"/>
                <w:sz w:val="24"/>
                <w:szCs w:val="24"/>
                <w:highlight w:val="none"/>
              </w:rPr>
            </w:pPr>
          </w:p>
        </w:tc>
        <w:tc>
          <w:tcPr>
            <w:tcW w:w="457"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5" w:type="pct"/>
            <w:vAlign w:val="center"/>
          </w:tcPr>
          <w:p>
            <w:pPr>
              <w:rPr>
                <w:rFonts w:ascii="宋体" w:hAnsi="宋体" w:cs="宋体"/>
                <w:sz w:val="24"/>
                <w:szCs w:val="24"/>
                <w:highlight w:val="none"/>
              </w:rPr>
            </w:pPr>
            <w:r>
              <w:rPr>
                <w:rFonts w:ascii="宋体" w:hAnsi="宋体" w:cs="宋体"/>
                <w:sz w:val="24"/>
                <w:szCs w:val="24"/>
                <w:highlight w:val="none"/>
              </w:rPr>
              <w:t>气眼铆合应牢固，翻边卷曲到位，表面无脱漆现象</w:t>
            </w:r>
            <w:r>
              <w:rPr>
                <w:rFonts w:hint="eastAsia" w:ascii="宋体" w:hAnsi="宋体" w:cs="宋体"/>
                <w:sz w:val="24"/>
                <w:szCs w:val="24"/>
                <w:highlight w:val="none"/>
              </w:rPr>
              <w:t>，</w:t>
            </w:r>
            <w:r>
              <w:rPr>
                <w:rFonts w:ascii="宋体" w:hAnsi="宋体" w:cs="宋体"/>
                <w:sz w:val="24"/>
                <w:szCs w:val="24"/>
                <w:highlight w:val="none"/>
              </w:rPr>
              <w:t>用手折气眼边缘带体不露线头。</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spacing w:line="360" w:lineRule="auto"/>
              <w:jc w:val="center"/>
              <w:rPr>
                <w:rFonts w:ascii="宋体" w:hAnsi="宋体"/>
                <w:sz w:val="24"/>
                <w:szCs w:val="24"/>
                <w:highlight w:val="none"/>
              </w:rPr>
            </w:pPr>
          </w:p>
        </w:tc>
        <w:tc>
          <w:tcPr>
            <w:tcW w:w="607" w:type="pct"/>
            <w:vMerge w:val="continue"/>
            <w:vAlign w:val="center"/>
          </w:tcPr>
          <w:p>
            <w:pPr>
              <w:spacing w:line="276" w:lineRule="auto"/>
              <w:jc w:val="center"/>
              <w:rPr>
                <w:rFonts w:ascii="宋体" w:hAnsi="宋体" w:eastAsia="大黑体"/>
                <w:color w:val="000000"/>
                <w:kern w:val="0"/>
                <w:sz w:val="24"/>
                <w:szCs w:val="24"/>
                <w:highlight w:val="none"/>
              </w:rPr>
            </w:pPr>
          </w:p>
        </w:tc>
        <w:tc>
          <w:tcPr>
            <w:tcW w:w="457"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5"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带体宽度应一致，厚度应均匀，正反表面无跳线、脱线、软档</w:t>
            </w:r>
            <w:r>
              <w:rPr>
                <w:rFonts w:hint="eastAsia" w:ascii="宋体" w:hAnsi="宋体" w:cs="宋体"/>
                <w:sz w:val="24"/>
                <w:szCs w:val="24"/>
                <w:highlight w:val="none"/>
                <w:lang w:eastAsia="zh-CN"/>
              </w:rPr>
              <w:t>。</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Align w:val="center"/>
          </w:tcPr>
          <w:p>
            <w:pPr>
              <w:widowControl/>
              <w:spacing w:line="360" w:lineRule="auto"/>
              <w:jc w:val="center"/>
              <w:rPr>
                <w:rFonts w:ascii="宋体" w:hAnsi="宋体"/>
                <w:sz w:val="24"/>
                <w:szCs w:val="24"/>
                <w:highlight w:val="none"/>
              </w:rPr>
            </w:pPr>
            <w:r>
              <w:rPr>
                <w:rFonts w:ascii="宋体" w:hAnsi="宋体"/>
                <w:sz w:val="24"/>
                <w:szCs w:val="24"/>
                <w:highlight w:val="none"/>
              </w:rPr>
              <w:t>2</w:t>
            </w:r>
          </w:p>
        </w:tc>
        <w:tc>
          <w:tcPr>
            <w:tcW w:w="607"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色泽</w:t>
            </w:r>
          </w:p>
        </w:tc>
        <w:tc>
          <w:tcPr>
            <w:tcW w:w="457" w:type="pct"/>
            <w:vAlign w:val="center"/>
          </w:tcPr>
          <w:p>
            <w:pPr>
              <w:spacing w:line="276" w:lineRule="auto"/>
              <w:jc w:val="center"/>
              <w:rPr>
                <w:rFonts w:hint="default"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1</w:t>
            </w:r>
          </w:p>
        </w:tc>
        <w:tc>
          <w:tcPr>
            <w:tcW w:w="1995" w:type="pct"/>
            <w:vAlign w:val="center"/>
          </w:tcPr>
          <w:p>
            <w:pPr>
              <w:rPr>
                <w:rFonts w:ascii="宋体" w:hAnsi="宋体" w:cs="宋体"/>
                <w:sz w:val="24"/>
                <w:szCs w:val="24"/>
                <w:highlight w:val="none"/>
              </w:rPr>
            </w:pPr>
            <w:r>
              <w:rPr>
                <w:rFonts w:ascii="宋体" w:hAnsi="宋体" w:cs="宋体"/>
                <w:color w:val="auto"/>
                <w:sz w:val="24"/>
                <w:szCs w:val="24"/>
                <w:highlight w:val="none"/>
              </w:rPr>
              <w:t>带体颜色</w:t>
            </w:r>
            <w:r>
              <w:rPr>
                <w:rFonts w:hint="eastAsia" w:ascii="宋体" w:hAnsi="宋体" w:cs="宋体"/>
                <w:color w:val="auto"/>
                <w:sz w:val="24"/>
                <w:szCs w:val="24"/>
                <w:highlight w:val="none"/>
              </w:rPr>
              <w:t>、</w:t>
            </w:r>
            <w:r>
              <w:rPr>
                <w:rFonts w:ascii="宋体" w:hAnsi="宋体" w:cs="宋体"/>
                <w:color w:val="auto"/>
                <w:sz w:val="24"/>
                <w:szCs w:val="24"/>
                <w:highlight w:val="none"/>
              </w:rPr>
              <w:t>钎插头、钎套、带箍、带尾包头</w:t>
            </w:r>
            <w:r>
              <w:rPr>
                <w:rFonts w:hint="eastAsia" w:ascii="宋体" w:hAnsi="宋体" w:cs="宋体"/>
                <w:color w:val="auto"/>
                <w:sz w:val="24"/>
                <w:szCs w:val="24"/>
                <w:highlight w:val="none"/>
              </w:rPr>
              <w:t>、</w:t>
            </w:r>
            <w:r>
              <w:rPr>
                <w:rFonts w:ascii="宋体" w:hAnsi="宋体" w:cs="宋体"/>
                <w:color w:val="auto"/>
                <w:sz w:val="24"/>
                <w:szCs w:val="24"/>
                <w:highlight w:val="none"/>
              </w:rPr>
              <w:t>气眼颜色</w:t>
            </w:r>
            <w:r>
              <w:rPr>
                <w:rFonts w:hint="eastAsia" w:ascii="宋体" w:hAnsi="宋体" w:cs="宋体"/>
                <w:color w:val="auto"/>
                <w:sz w:val="24"/>
                <w:szCs w:val="24"/>
                <w:highlight w:val="none"/>
              </w:rPr>
              <w:t>与标样进行对比。</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各部位无色差得</w:t>
            </w:r>
            <w:r>
              <w:rPr>
                <w:rFonts w:ascii="宋体" w:hAnsi="宋体" w:cs="宋体"/>
                <w:sz w:val="24"/>
                <w:szCs w:val="24"/>
                <w:highlight w:val="none"/>
              </w:rPr>
              <w:t>1</w:t>
            </w:r>
            <w:r>
              <w:rPr>
                <w:rFonts w:hint="eastAsia" w:ascii="宋体" w:hAnsi="宋体" w:cs="宋体"/>
                <w:sz w:val="24"/>
                <w:szCs w:val="24"/>
                <w:highlight w:val="none"/>
              </w:rPr>
              <w:t>分；色差明显的得0分。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Align w:val="center"/>
          </w:tcPr>
          <w:p>
            <w:pPr>
              <w:widowControl/>
              <w:spacing w:line="360" w:lineRule="auto"/>
              <w:jc w:val="center"/>
              <w:rPr>
                <w:rFonts w:ascii="宋体" w:hAnsi="宋体"/>
                <w:sz w:val="24"/>
                <w:szCs w:val="24"/>
                <w:highlight w:val="none"/>
              </w:rPr>
            </w:pPr>
            <w:r>
              <w:rPr>
                <w:rFonts w:hint="eastAsia" w:ascii="宋体" w:hAnsi="宋体"/>
                <w:sz w:val="24"/>
                <w:szCs w:val="24"/>
                <w:highlight w:val="none"/>
              </w:rPr>
              <w:t>3</w:t>
            </w:r>
          </w:p>
        </w:tc>
        <w:tc>
          <w:tcPr>
            <w:tcW w:w="607"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整体样式</w:t>
            </w:r>
          </w:p>
        </w:tc>
        <w:tc>
          <w:tcPr>
            <w:tcW w:w="457" w:type="pct"/>
            <w:vAlign w:val="center"/>
          </w:tcPr>
          <w:p>
            <w:pPr>
              <w:spacing w:line="276" w:lineRule="auto"/>
              <w:jc w:val="center"/>
              <w:rPr>
                <w:rFonts w:hint="eastAsia"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3</w:t>
            </w:r>
          </w:p>
        </w:tc>
        <w:tc>
          <w:tcPr>
            <w:tcW w:w="1995" w:type="pct"/>
            <w:vAlign w:val="center"/>
          </w:tcPr>
          <w:p>
            <w:pPr>
              <w:rPr>
                <w:rFonts w:ascii="宋体" w:hAnsi="宋体" w:cs="宋体"/>
                <w:sz w:val="24"/>
                <w:szCs w:val="24"/>
                <w:highlight w:val="none"/>
              </w:rPr>
            </w:pPr>
            <w:r>
              <w:rPr>
                <w:rFonts w:hint="eastAsia" w:ascii="宋体" w:hAnsi="宋体" w:cs="宋体"/>
                <w:sz w:val="24"/>
                <w:szCs w:val="24"/>
                <w:highlight w:val="none"/>
              </w:rPr>
              <w:t>样品外观与标样一致，样品号型符合要求，样品整体整洁，顺滑，无污渍。</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 w:hRule="atLeast"/>
          <w:jc w:val="center"/>
        </w:trPr>
        <w:tc>
          <w:tcPr>
            <w:tcW w:w="300" w:type="pct"/>
            <w:vAlign w:val="center"/>
          </w:tcPr>
          <w:p>
            <w:pPr>
              <w:widowControl/>
              <w:spacing w:line="360" w:lineRule="auto"/>
              <w:jc w:val="center"/>
              <w:rPr>
                <w:rFonts w:ascii="宋体" w:hAnsi="宋体"/>
                <w:sz w:val="24"/>
                <w:szCs w:val="24"/>
                <w:highlight w:val="none"/>
                <w:lang w:bidi="ar"/>
              </w:rPr>
            </w:pPr>
            <w:r>
              <w:rPr>
                <w:rFonts w:ascii="宋体" w:hAnsi="宋体"/>
                <w:sz w:val="24"/>
                <w:szCs w:val="24"/>
                <w:highlight w:val="none"/>
              </w:rPr>
              <w:t>4</w:t>
            </w:r>
          </w:p>
        </w:tc>
        <w:tc>
          <w:tcPr>
            <w:tcW w:w="607"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材料</w:t>
            </w:r>
          </w:p>
        </w:tc>
        <w:tc>
          <w:tcPr>
            <w:tcW w:w="457" w:type="pct"/>
            <w:vAlign w:val="center"/>
          </w:tcPr>
          <w:p>
            <w:pPr>
              <w:spacing w:line="276" w:lineRule="auto"/>
              <w:jc w:val="center"/>
              <w:rPr>
                <w:rFonts w:hint="eastAsia"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1</w:t>
            </w:r>
          </w:p>
        </w:tc>
        <w:tc>
          <w:tcPr>
            <w:tcW w:w="1995"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各部位材料使用正确，符合标准</w:t>
            </w:r>
            <w:r>
              <w:rPr>
                <w:rFonts w:hint="eastAsia" w:ascii="宋体" w:hAnsi="宋体" w:cs="宋体"/>
                <w:sz w:val="24"/>
                <w:szCs w:val="24"/>
                <w:highlight w:val="none"/>
                <w:lang w:eastAsia="zh-CN"/>
              </w:rPr>
              <w:t>。</w:t>
            </w:r>
          </w:p>
        </w:tc>
        <w:tc>
          <w:tcPr>
            <w:tcW w:w="1637"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 w:hRule="atLeast"/>
          <w:jc w:val="center"/>
        </w:trPr>
        <w:tc>
          <w:tcPr>
            <w:tcW w:w="908" w:type="pct"/>
            <w:gridSpan w:val="2"/>
            <w:vAlign w:val="center"/>
          </w:tcPr>
          <w:p>
            <w:pPr>
              <w:spacing w:line="276" w:lineRule="auto"/>
              <w:jc w:val="center"/>
              <w:rPr>
                <w:rFonts w:hint="eastAsia" w:ascii="宋体" w:hAnsi="宋体" w:eastAsia="大黑体"/>
                <w:color w:val="000000"/>
                <w:kern w:val="0"/>
                <w:sz w:val="24"/>
                <w:szCs w:val="24"/>
                <w:highlight w:val="none"/>
                <w:lang w:eastAsia="zh-CN"/>
              </w:rPr>
            </w:pPr>
            <w:r>
              <w:rPr>
                <w:rFonts w:hint="eastAsia" w:ascii="宋体" w:hAnsi="宋体" w:eastAsia="大黑体"/>
                <w:color w:val="000000"/>
                <w:kern w:val="0"/>
                <w:sz w:val="24"/>
                <w:szCs w:val="24"/>
                <w:highlight w:val="none"/>
                <w:lang w:val="en-US" w:eastAsia="zh-CN"/>
              </w:rPr>
              <w:t>小计</w:t>
            </w:r>
          </w:p>
        </w:tc>
        <w:tc>
          <w:tcPr>
            <w:tcW w:w="457"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lang w:val="en-US" w:eastAsia="zh-CN"/>
              </w:rPr>
              <w:t>1</w:t>
            </w:r>
            <w:r>
              <w:rPr>
                <w:rFonts w:ascii="宋体" w:hAnsi="宋体" w:eastAsia="大黑体"/>
                <w:color w:val="000000"/>
                <w:kern w:val="0"/>
                <w:sz w:val="24"/>
                <w:szCs w:val="24"/>
                <w:highlight w:val="none"/>
              </w:rPr>
              <w:t>0</w:t>
            </w:r>
          </w:p>
        </w:tc>
        <w:tc>
          <w:tcPr>
            <w:tcW w:w="1995" w:type="pct"/>
            <w:vAlign w:val="center"/>
          </w:tcPr>
          <w:p>
            <w:pPr>
              <w:widowControl/>
              <w:spacing w:line="360" w:lineRule="auto"/>
              <w:rPr>
                <w:rFonts w:ascii="宋体" w:hAnsi="宋体"/>
                <w:sz w:val="24"/>
                <w:szCs w:val="24"/>
                <w:highlight w:val="none"/>
              </w:rPr>
            </w:pPr>
          </w:p>
        </w:tc>
        <w:tc>
          <w:tcPr>
            <w:tcW w:w="1637" w:type="pct"/>
            <w:vAlign w:val="center"/>
          </w:tcPr>
          <w:p>
            <w:pPr>
              <w:widowControl/>
              <w:spacing w:line="360" w:lineRule="auto"/>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 w:hRule="atLeast"/>
          <w:jc w:val="center"/>
        </w:trPr>
        <w:tc>
          <w:tcPr>
            <w:tcW w:w="5000" w:type="pct"/>
            <w:gridSpan w:val="5"/>
            <w:vAlign w:val="center"/>
          </w:tcPr>
          <w:p>
            <w:pPr>
              <w:widowControl/>
              <w:spacing w:line="360" w:lineRule="auto"/>
              <w:rPr>
                <w:rFonts w:ascii="宋体" w:hAnsi="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5000" w:type="pct"/>
            <w:gridSpan w:val="5"/>
            <w:vAlign w:val="center"/>
          </w:tcPr>
          <w:p>
            <w:pPr>
              <w:widowControl/>
              <w:spacing w:line="360" w:lineRule="auto"/>
              <w:jc w:val="center"/>
              <w:rPr>
                <w:rFonts w:ascii="宋体" w:hAnsi="宋体"/>
                <w:sz w:val="24"/>
                <w:szCs w:val="24"/>
                <w:highlight w:val="none"/>
              </w:rPr>
            </w:pPr>
            <w:r>
              <w:rPr>
                <w:rFonts w:hint="eastAsia" w:ascii="宋体" w:hAnsi="宋体"/>
                <w:b/>
                <w:bCs/>
                <w:sz w:val="24"/>
                <w:szCs w:val="24"/>
                <w:highlight w:val="none"/>
                <w:lang w:val="en-US" w:eastAsia="zh-CN"/>
              </w:rPr>
              <w:t>22多功能水壶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b/>
                <w:bCs/>
                <w:sz w:val="24"/>
                <w:szCs w:val="24"/>
                <w:highlight w:val="none"/>
              </w:rPr>
              <w:t>序号</w:t>
            </w:r>
          </w:p>
        </w:tc>
        <w:tc>
          <w:tcPr>
            <w:tcW w:w="607" w:type="pct"/>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b/>
                <w:bCs/>
                <w:sz w:val="24"/>
                <w:szCs w:val="24"/>
                <w:highlight w:val="none"/>
              </w:rPr>
              <w:t>评审因素</w:t>
            </w:r>
          </w:p>
        </w:tc>
        <w:tc>
          <w:tcPr>
            <w:tcW w:w="457" w:type="pct"/>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b/>
                <w:bCs/>
                <w:sz w:val="24"/>
                <w:szCs w:val="24"/>
                <w:highlight w:val="none"/>
              </w:rPr>
              <w:t>分值</w:t>
            </w:r>
          </w:p>
        </w:tc>
        <w:tc>
          <w:tcPr>
            <w:tcW w:w="1995" w:type="pct"/>
            <w:vAlign w:val="center"/>
          </w:tcPr>
          <w:p>
            <w:pPr>
              <w:widowControl/>
              <w:jc w:val="center"/>
              <w:rPr>
                <w:rFonts w:ascii="宋体" w:hAnsi="宋体"/>
                <w:sz w:val="24"/>
                <w:szCs w:val="24"/>
                <w:highlight w:val="none"/>
              </w:rPr>
            </w:pPr>
            <w:r>
              <w:rPr>
                <w:rFonts w:hint="eastAsia" w:ascii="宋体" w:hAnsi="宋体"/>
                <w:b/>
                <w:bCs/>
                <w:sz w:val="24"/>
                <w:szCs w:val="24"/>
                <w:highlight w:val="none"/>
              </w:rPr>
              <w:t>评分标准说明</w:t>
            </w:r>
          </w:p>
        </w:tc>
        <w:tc>
          <w:tcPr>
            <w:tcW w:w="1637" w:type="pct"/>
            <w:vAlign w:val="center"/>
          </w:tcPr>
          <w:p>
            <w:pPr>
              <w:widowControl/>
              <w:jc w:val="center"/>
              <w:rPr>
                <w:rFonts w:ascii="宋体" w:hAnsi="宋体"/>
                <w:sz w:val="24"/>
                <w:szCs w:val="24"/>
                <w:highlight w:val="none"/>
              </w:rPr>
            </w:pPr>
            <w:r>
              <w:rPr>
                <w:rFonts w:hint="eastAsia" w:ascii="宋体" w:hAnsi="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1</w:t>
            </w:r>
          </w:p>
        </w:tc>
        <w:tc>
          <w:tcPr>
            <w:tcW w:w="607" w:type="pct"/>
            <w:vAlign w:val="center"/>
          </w:tcPr>
          <w:p>
            <w:pPr>
              <w:widowControl/>
              <w:jc w:val="center"/>
              <w:rPr>
                <w:rFonts w:hint="eastAsia" w:ascii="宋体" w:hAnsi="宋体"/>
                <w:b/>
                <w:bCs/>
                <w:sz w:val="24"/>
                <w:szCs w:val="24"/>
                <w:highlight w:val="none"/>
              </w:rPr>
            </w:pPr>
            <w:r>
              <w:rPr>
                <w:rFonts w:hint="eastAsia" w:ascii="宋体" w:hAnsi="宋体" w:eastAsia="大黑体"/>
                <w:color w:val="000000"/>
                <w:kern w:val="0"/>
                <w:sz w:val="24"/>
                <w:szCs w:val="24"/>
                <w:highlight w:val="none"/>
              </w:rPr>
              <w:t>整体样式</w:t>
            </w:r>
          </w:p>
        </w:tc>
        <w:tc>
          <w:tcPr>
            <w:tcW w:w="457" w:type="pc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2</w:t>
            </w:r>
          </w:p>
        </w:tc>
        <w:tc>
          <w:tcPr>
            <w:tcW w:w="1995"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样品外观与标样一致，样品号型符合要求，样品整体整洁，顺滑，无污渍。</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restar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2</w:t>
            </w:r>
          </w:p>
        </w:tc>
        <w:tc>
          <w:tcPr>
            <w:tcW w:w="607" w:type="pct"/>
            <w:vMerge w:val="restart"/>
            <w:vAlign w:val="center"/>
          </w:tcPr>
          <w:p>
            <w:pPr>
              <w:widowControl/>
              <w:jc w:val="center"/>
              <w:rPr>
                <w:rFonts w:hint="eastAsia" w:ascii="宋体" w:hAnsi="宋体"/>
                <w:b/>
                <w:bCs/>
                <w:sz w:val="24"/>
                <w:szCs w:val="24"/>
                <w:highlight w:val="none"/>
              </w:rPr>
            </w:pPr>
            <w:r>
              <w:rPr>
                <w:rFonts w:hint="eastAsia" w:ascii="宋体" w:hAnsi="宋体" w:eastAsia="大黑体"/>
                <w:color w:val="000000"/>
                <w:kern w:val="0"/>
                <w:sz w:val="24"/>
                <w:szCs w:val="24"/>
                <w:highlight w:val="none"/>
              </w:rPr>
              <w:t>水壶</w:t>
            </w:r>
          </w:p>
        </w:tc>
        <w:tc>
          <w:tcPr>
            <w:tcW w:w="457" w:type="pct"/>
            <w:vMerge w:val="restar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4</w:t>
            </w:r>
          </w:p>
        </w:tc>
        <w:tc>
          <w:tcPr>
            <w:tcW w:w="1995" w:type="pct"/>
            <w:vAlign w:val="center"/>
          </w:tcPr>
          <w:p>
            <w:pPr>
              <w:jc w:val="left"/>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壶体外表面漆膜色泽均匀、平滑，无划痕、无缺漆、无起泡、无斑点、无流挂</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jc w:val="left"/>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壶口圆整、光滑，无毛刺，螺纹清晰完整</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壶体正面六道加强筋清晰规整，壶体应平展圆滑，无变形，无凹坑、无凸起</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壶盖（内盖、外盖）应装配严整、色泽均匀、无划伤、无毛刺</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壶口与内盖、与外盖的螺纹配合应顺畅，无阻滞现象</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内盖密封与壶口内环状凸缘贴合严实。密封垫不应有松驰、扭皱、缺料、裂纹等缺陷</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eastAsiaTheme="minorEastAsia"/>
                <w:b/>
                <w:bCs/>
                <w:sz w:val="24"/>
                <w:szCs w:val="24"/>
                <w:highlight w:val="none"/>
                <w:lang w:eastAsia="zh-CN"/>
              </w:rPr>
            </w:pPr>
            <w:r>
              <w:rPr>
                <w:rFonts w:hint="eastAsia" w:ascii="宋体" w:hAnsi="宋体" w:cs="宋体"/>
                <w:sz w:val="24"/>
                <w:szCs w:val="24"/>
                <w:highlight w:val="none"/>
              </w:rPr>
              <w:t>壶体及壶盖（内盖、外盖）内外应清洁、干燥，无污渍、无杂质、无异味</w:t>
            </w:r>
            <w:r>
              <w:rPr>
                <w:rFonts w:hint="eastAsia" w:ascii="宋体" w:hAnsi="宋体" w:cs="宋体"/>
                <w:sz w:val="24"/>
                <w:szCs w:val="24"/>
                <w:highlight w:val="none"/>
                <w:lang w:eastAsia="zh-CN"/>
              </w:rPr>
              <w:t>。</w:t>
            </w:r>
          </w:p>
        </w:tc>
        <w:tc>
          <w:tcPr>
            <w:tcW w:w="1637" w:type="pct"/>
            <w:vAlign w:val="center"/>
          </w:tcPr>
          <w:p>
            <w:pPr>
              <w:widowControl/>
              <w:jc w:val="left"/>
              <w:rPr>
                <w:rFonts w:hint="eastAsia" w:ascii="宋体" w:hAnsi="宋体" w:eastAsiaTheme="minorEastAsia"/>
                <w:b/>
                <w:bCs/>
                <w:sz w:val="24"/>
                <w:szCs w:val="24"/>
                <w:highlight w:val="none"/>
                <w:lang w:val="en-US" w:eastAsia="zh-CN"/>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restar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3</w:t>
            </w:r>
          </w:p>
        </w:tc>
        <w:tc>
          <w:tcPr>
            <w:tcW w:w="607" w:type="pct"/>
            <w:vMerge w:val="restart"/>
            <w:vAlign w:val="center"/>
          </w:tcPr>
          <w:p>
            <w:pPr>
              <w:widowControl/>
              <w:jc w:val="center"/>
              <w:rPr>
                <w:rFonts w:hint="eastAsia" w:ascii="宋体" w:hAnsi="宋体"/>
                <w:b/>
                <w:bCs/>
                <w:sz w:val="24"/>
                <w:szCs w:val="24"/>
                <w:highlight w:val="none"/>
              </w:rPr>
            </w:pPr>
            <w:r>
              <w:rPr>
                <w:rFonts w:hint="eastAsia" w:ascii="宋体" w:hAnsi="宋体" w:eastAsia="大黑体"/>
                <w:color w:val="000000"/>
                <w:kern w:val="0"/>
                <w:sz w:val="24"/>
                <w:szCs w:val="24"/>
                <w:highlight w:val="none"/>
              </w:rPr>
              <w:t>饭盒/菜盒</w:t>
            </w:r>
          </w:p>
        </w:tc>
        <w:tc>
          <w:tcPr>
            <w:tcW w:w="457" w:type="pct"/>
            <w:vMerge w:val="restart"/>
            <w:vAlign w:val="center"/>
          </w:tcPr>
          <w:p>
            <w:pPr>
              <w:widowControl/>
              <w:jc w:val="center"/>
              <w:rPr>
                <w:rFonts w:hint="eastAsia" w:ascii="宋体" w:hAnsi="宋体" w:eastAsiaTheme="minorEastAsia"/>
                <w:b/>
                <w:bCs/>
                <w:sz w:val="24"/>
                <w:szCs w:val="24"/>
                <w:highlight w:val="none"/>
                <w:lang w:val="en-US" w:eastAsia="zh-CN"/>
              </w:rPr>
            </w:pPr>
            <w:r>
              <w:rPr>
                <w:rFonts w:hint="eastAsia" w:ascii="宋体" w:hAnsi="宋体"/>
                <w:b/>
                <w:bCs/>
                <w:sz w:val="24"/>
                <w:szCs w:val="24"/>
                <w:highlight w:val="none"/>
                <w:lang w:val="en-US" w:eastAsia="zh-CN"/>
              </w:rPr>
              <w:t>4</w:t>
            </w:r>
          </w:p>
        </w:tc>
        <w:tc>
          <w:tcPr>
            <w:tcW w:w="1995" w:type="pct"/>
            <w:vAlign w:val="center"/>
          </w:tcPr>
          <w:p>
            <w:pPr>
              <w:rPr>
                <w:rFonts w:hint="eastAsia" w:ascii="宋体" w:hAnsi="宋体"/>
                <w:b/>
                <w:bCs/>
                <w:sz w:val="24"/>
                <w:szCs w:val="24"/>
                <w:highlight w:val="none"/>
              </w:rPr>
            </w:pPr>
            <w:r>
              <w:rPr>
                <w:rFonts w:hint="eastAsia" w:ascii="宋体" w:hAnsi="宋体" w:eastAsia="大黑体"/>
                <w:color w:val="000000"/>
                <w:kern w:val="0"/>
                <w:sz w:val="24"/>
                <w:szCs w:val="24"/>
                <w:highlight w:val="none"/>
              </w:rPr>
              <w:t>饭盒/菜盒外表面色泽一致，无明显斑块</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b/>
                <w:bCs/>
                <w:sz w:val="24"/>
                <w:szCs w:val="24"/>
                <w:highlight w:val="none"/>
              </w:rPr>
            </w:pPr>
            <w:r>
              <w:rPr>
                <w:rFonts w:hint="eastAsia" w:ascii="宋体" w:hAnsi="宋体" w:cs="宋体"/>
                <w:sz w:val="24"/>
                <w:szCs w:val="24"/>
                <w:highlight w:val="none"/>
              </w:rPr>
              <w:t>饭盒、菜盒的口边应倒钝，无毛刺飞边</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b/>
                <w:bCs/>
                <w:sz w:val="24"/>
                <w:szCs w:val="24"/>
                <w:highlight w:val="none"/>
              </w:rPr>
            </w:pPr>
            <w:r>
              <w:rPr>
                <w:rFonts w:hint="eastAsia" w:ascii="宋体" w:hAnsi="宋体" w:cs="宋体"/>
                <w:sz w:val="24"/>
                <w:szCs w:val="24"/>
                <w:highlight w:val="none"/>
              </w:rPr>
              <w:t>手柄固定片及吊钩支架不存在脱焊</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b/>
                <w:bCs/>
                <w:sz w:val="24"/>
                <w:szCs w:val="24"/>
                <w:highlight w:val="none"/>
              </w:rPr>
            </w:pPr>
            <w:r>
              <w:rPr>
                <w:rFonts w:hint="eastAsia" w:ascii="宋体" w:hAnsi="宋体" w:cs="宋体"/>
                <w:sz w:val="24"/>
                <w:szCs w:val="24"/>
                <w:highlight w:val="none"/>
              </w:rPr>
              <w:t>手柄与盒体装配贴合、可靠，无明显晃动</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300" w:type="pct"/>
            <w:vMerge w:val="continue"/>
            <w:vAlign w:val="center"/>
          </w:tcPr>
          <w:p>
            <w:pPr>
              <w:widowControl/>
              <w:jc w:val="center"/>
              <w:rPr>
                <w:rFonts w:hint="eastAsia" w:ascii="宋体" w:hAnsi="宋体"/>
                <w:b/>
                <w:bCs/>
                <w:sz w:val="24"/>
                <w:szCs w:val="24"/>
                <w:highlight w:val="none"/>
                <w:lang w:val="en-US" w:eastAsia="zh-CN"/>
              </w:rPr>
            </w:pPr>
          </w:p>
        </w:tc>
        <w:tc>
          <w:tcPr>
            <w:tcW w:w="607" w:type="pct"/>
            <w:vMerge w:val="continue"/>
            <w:vAlign w:val="center"/>
          </w:tcPr>
          <w:p>
            <w:pPr>
              <w:widowControl/>
              <w:jc w:val="center"/>
              <w:rPr>
                <w:rFonts w:hint="eastAsia" w:ascii="宋体" w:hAnsi="宋体" w:eastAsia="大黑体"/>
                <w:color w:val="000000"/>
                <w:kern w:val="0"/>
                <w:sz w:val="24"/>
                <w:szCs w:val="24"/>
                <w:highlight w:val="none"/>
              </w:rPr>
            </w:pPr>
          </w:p>
        </w:tc>
        <w:tc>
          <w:tcPr>
            <w:tcW w:w="457" w:type="pct"/>
            <w:vMerge w:val="continue"/>
            <w:vAlign w:val="center"/>
          </w:tcPr>
          <w:p>
            <w:pPr>
              <w:widowControl/>
              <w:jc w:val="center"/>
              <w:rPr>
                <w:rFonts w:hint="eastAsia" w:ascii="宋体" w:hAnsi="宋体"/>
                <w:b/>
                <w:bCs/>
                <w:sz w:val="24"/>
                <w:szCs w:val="24"/>
                <w:highlight w:val="none"/>
                <w:lang w:val="en-US" w:eastAsia="zh-CN"/>
              </w:rPr>
            </w:pPr>
          </w:p>
        </w:tc>
        <w:tc>
          <w:tcPr>
            <w:tcW w:w="1995" w:type="pct"/>
            <w:vAlign w:val="center"/>
          </w:tcPr>
          <w:p>
            <w:pPr>
              <w:rPr>
                <w:rFonts w:hint="eastAsia" w:ascii="宋体" w:hAnsi="宋体"/>
                <w:b/>
                <w:bCs/>
                <w:sz w:val="24"/>
                <w:szCs w:val="24"/>
                <w:highlight w:val="none"/>
              </w:rPr>
            </w:pPr>
            <w:r>
              <w:rPr>
                <w:rFonts w:hint="eastAsia" w:ascii="宋体" w:hAnsi="宋体" w:cs="宋体"/>
                <w:sz w:val="24"/>
                <w:szCs w:val="24"/>
                <w:highlight w:val="none"/>
              </w:rPr>
              <w:t>产品不超过3处坑点、划痕、焊瘤，但不密集，焊缝均匀平滑</w:t>
            </w:r>
          </w:p>
        </w:tc>
        <w:tc>
          <w:tcPr>
            <w:tcW w:w="1637" w:type="pct"/>
            <w:vAlign w:val="center"/>
          </w:tcPr>
          <w:p>
            <w:pPr>
              <w:widowControl/>
              <w:jc w:val="left"/>
              <w:rPr>
                <w:rFonts w:hint="eastAsia" w:ascii="宋体" w:hAnsi="宋体"/>
                <w:b/>
                <w:bCs/>
                <w:sz w:val="24"/>
                <w:szCs w:val="24"/>
                <w:highlight w:val="none"/>
              </w:rPr>
            </w:pPr>
            <w:r>
              <w:rPr>
                <w:rFonts w:hint="eastAsia" w:ascii="宋体" w:hAnsi="宋体" w:cs="宋体"/>
                <w:sz w:val="24"/>
                <w:szCs w:val="24"/>
                <w:highlight w:val="none"/>
              </w:rPr>
              <w:t>完全满足得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r>
              <w:rPr>
                <w:rFonts w:hint="eastAsia" w:ascii="宋体" w:hAnsi="宋体" w:cs="宋体"/>
                <w:sz w:val="24"/>
                <w:szCs w:val="24"/>
                <w:highlight w:val="none"/>
                <w:lang w:val="en-US" w:eastAsia="zh-CN"/>
              </w:rPr>
              <w:t>否则得0分</w:t>
            </w: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908" w:type="pct"/>
            <w:gridSpan w:val="2"/>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小计</w:t>
            </w:r>
          </w:p>
        </w:tc>
        <w:tc>
          <w:tcPr>
            <w:tcW w:w="457" w:type="pct"/>
            <w:vAlign w:val="center"/>
          </w:tcPr>
          <w:p>
            <w:pPr>
              <w:widowControl/>
              <w:jc w:val="center"/>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10</w:t>
            </w:r>
          </w:p>
        </w:tc>
        <w:tc>
          <w:tcPr>
            <w:tcW w:w="1995" w:type="pct"/>
            <w:vAlign w:val="center"/>
          </w:tcPr>
          <w:p>
            <w:pPr>
              <w:rPr>
                <w:rFonts w:hint="eastAsia" w:ascii="宋体" w:hAnsi="宋体" w:cs="宋体"/>
                <w:sz w:val="24"/>
                <w:szCs w:val="24"/>
                <w:highlight w:val="none"/>
              </w:rPr>
            </w:pPr>
          </w:p>
        </w:tc>
        <w:tc>
          <w:tcPr>
            <w:tcW w:w="1637" w:type="pct"/>
            <w:vAlign w:val="center"/>
          </w:tcPr>
          <w:p>
            <w:pPr>
              <w:widowControl/>
              <w:jc w:val="center"/>
              <w:rPr>
                <w:rFonts w:hint="eastAsia"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5000" w:type="pct"/>
            <w:gridSpan w:val="5"/>
            <w:vAlign w:val="center"/>
          </w:tcPr>
          <w:p>
            <w:pPr>
              <w:widowControl/>
              <w:jc w:val="left"/>
              <w:rPr>
                <w:rFonts w:hint="eastAsia" w:ascii="宋体" w:hAnsi="宋体"/>
                <w:b/>
                <w:bCs/>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 w:hRule="atLeast"/>
          <w:jc w:val="center"/>
        </w:trPr>
        <w:tc>
          <w:tcPr>
            <w:tcW w:w="908" w:type="pct"/>
            <w:gridSpan w:val="2"/>
            <w:vAlign w:val="center"/>
          </w:tcPr>
          <w:p>
            <w:pPr>
              <w:widowControl/>
              <w:jc w:val="center"/>
              <w:rPr>
                <w:rFonts w:hint="eastAsia" w:ascii="宋体" w:hAnsi="宋体" w:eastAsia="大黑体"/>
                <w:color w:val="000000"/>
                <w:kern w:val="0"/>
                <w:sz w:val="24"/>
                <w:szCs w:val="24"/>
                <w:highlight w:val="none"/>
                <w:lang w:val="en-US" w:eastAsia="zh-CN"/>
              </w:rPr>
            </w:pPr>
            <w:r>
              <w:rPr>
                <w:rFonts w:hint="eastAsia" w:ascii="宋体" w:hAnsi="宋体" w:eastAsia="大黑体"/>
                <w:color w:val="000000"/>
                <w:kern w:val="0"/>
                <w:sz w:val="24"/>
                <w:szCs w:val="24"/>
                <w:highlight w:val="none"/>
                <w:lang w:val="en-US" w:eastAsia="zh-CN"/>
              </w:rPr>
              <w:t>合计</w:t>
            </w:r>
          </w:p>
        </w:tc>
        <w:tc>
          <w:tcPr>
            <w:tcW w:w="457" w:type="pct"/>
            <w:vAlign w:val="center"/>
          </w:tcPr>
          <w:p>
            <w:pPr>
              <w:widowControl/>
              <w:jc w:val="center"/>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20</w:t>
            </w:r>
          </w:p>
        </w:tc>
        <w:tc>
          <w:tcPr>
            <w:tcW w:w="1995" w:type="pct"/>
            <w:vAlign w:val="center"/>
          </w:tcPr>
          <w:p>
            <w:pPr>
              <w:rPr>
                <w:rFonts w:hint="eastAsia" w:ascii="宋体" w:hAnsi="宋体" w:cs="宋体"/>
                <w:sz w:val="24"/>
                <w:szCs w:val="24"/>
                <w:highlight w:val="none"/>
              </w:rPr>
            </w:pPr>
          </w:p>
        </w:tc>
        <w:tc>
          <w:tcPr>
            <w:tcW w:w="1637" w:type="pct"/>
            <w:vAlign w:val="center"/>
          </w:tcPr>
          <w:p>
            <w:pPr>
              <w:widowControl/>
              <w:jc w:val="center"/>
              <w:rPr>
                <w:rFonts w:hint="eastAsia" w:ascii="宋体" w:hAnsi="宋体"/>
                <w:b/>
                <w:bCs/>
                <w:sz w:val="24"/>
                <w:szCs w:val="24"/>
                <w:highlight w:val="none"/>
              </w:rPr>
            </w:pPr>
          </w:p>
        </w:tc>
      </w:tr>
    </w:tbl>
    <w:p>
      <w:pPr>
        <w:rPr>
          <w:rFonts w:hint="eastAsia" w:ascii="宋体" w:hAnsi="宋体" w:eastAsia="宋体"/>
          <w:sz w:val="24"/>
          <w:szCs w:val="24"/>
          <w:highlight w:val="none"/>
        </w:rPr>
      </w:pPr>
    </w:p>
    <w:p>
      <w:pP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6包：携行背心样品评审细则。</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1289"/>
        <w:gridCol w:w="719"/>
        <w:gridCol w:w="4065"/>
        <w:gridCol w:w="2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5000" w:type="pct"/>
            <w:gridSpan w:val="5"/>
            <w:vAlign w:val="center"/>
          </w:tcPr>
          <w:p>
            <w:pPr>
              <w:widowControl/>
              <w:jc w:val="center"/>
              <w:rPr>
                <w:rFonts w:ascii="宋体" w:hAnsi="宋体"/>
                <w:b/>
                <w:bCs/>
                <w:sz w:val="24"/>
                <w:szCs w:val="24"/>
                <w:highlight w:val="none"/>
              </w:rPr>
            </w:pPr>
            <w:r>
              <w:rPr>
                <w:rFonts w:hint="eastAsia" w:ascii="宋体" w:hAnsi="宋体"/>
                <w:b/>
                <w:bCs/>
                <w:sz w:val="24"/>
                <w:szCs w:val="24"/>
                <w:highlight w:val="none"/>
                <w:lang w:val="en-US" w:eastAsia="zh-CN"/>
              </w:rPr>
              <w:t>携行背心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249"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序号</w:t>
            </w:r>
          </w:p>
        </w:tc>
        <w:tc>
          <w:tcPr>
            <w:tcW w:w="693"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评审因素</w:t>
            </w:r>
          </w:p>
        </w:tc>
        <w:tc>
          <w:tcPr>
            <w:tcW w:w="387"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分值</w:t>
            </w:r>
          </w:p>
        </w:tc>
        <w:tc>
          <w:tcPr>
            <w:tcW w:w="2188"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评分标准说明</w:t>
            </w:r>
          </w:p>
        </w:tc>
        <w:tc>
          <w:tcPr>
            <w:tcW w:w="1481"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249" w:type="pct"/>
            <w:vMerge w:val="restart"/>
            <w:vAlign w:val="center"/>
          </w:tcPr>
          <w:p>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1</w:t>
            </w:r>
          </w:p>
        </w:tc>
        <w:tc>
          <w:tcPr>
            <w:tcW w:w="693" w:type="pct"/>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整体结构</w:t>
            </w:r>
          </w:p>
        </w:tc>
        <w:tc>
          <w:tcPr>
            <w:tcW w:w="387" w:type="pct"/>
            <w:vMerge w:val="restart"/>
            <w:vAlign w:val="center"/>
          </w:tcPr>
          <w:p>
            <w:pPr>
              <w:widowControl/>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背心应设有足够的口袋和收纳空间，便于携带必要的工具和装备。口袋应设计合理，易于取用。</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hint="eastAsia" w:ascii="宋体" w:hAnsi="宋体" w:eastAsia="宋体" w:cs="宋体"/>
                <w:sz w:val="24"/>
                <w:szCs w:val="24"/>
                <w:highlight w:val="none"/>
                <w:lang w:eastAsia="zh-CN"/>
              </w:rPr>
            </w:pP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背心应设有可调节的腰部、肩部连接处，以适应不同体型和穿着需求。</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hint="eastAsia" w:ascii="宋体" w:hAnsi="宋体" w:eastAsia="宋体" w:cs="宋体"/>
                <w:sz w:val="24"/>
                <w:szCs w:val="24"/>
                <w:highlight w:val="none"/>
                <w:lang w:val="en-US" w:eastAsia="zh-CN"/>
              </w:rPr>
            </w:pPr>
          </w:p>
        </w:tc>
        <w:tc>
          <w:tcPr>
            <w:tcW w:w="2188" w:type="pct"/>
            <w:vAlign w:val="center"/>
          </w:tcPr>
          <w:p>
            <w:pPr>
              <w:rPr>
                <w:rFonts w:hint="eastAsia" w:ascii="宋体" w:hAnsi="宋体" w:cs="宋体"/>
                <w:sz w:val="24"/>
                <w:szCs w:val="24"/>
                <w:highlight w:val="none"/>
              </w:rPr>
            </w:pPr>
            <w:r>
              <w:rPr>
                <w:rFonts w:hint="eastAsia" w:ascii="宋体" w:hAnsi="宋体" w:cs="宋体"/>
                <w:sz w:val="24"/>
                <w:szCs w:val="24"/>
                <w:highlight w:val="none"/>
              </w:rPr>
              <w:t>背心应设有救援拖拽把手，位于后颈部或适当位置，便于在紧急情况下进行拖拽救援。</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hint="default" w:ascii="宋体" w:hAnsi="宋体" w:cs="宋体"/>
                <w:sz w:val="24"/>
                <w:szCs w:val="24"/>
                <w:highlight w:val="none"/>
                <w:lang w:val="en-US" w:eastAsia="zh-CN"/>
              </w:rPr>
            </w:pPr>
          </w:p>
        </w:tc>
        <w:tc>
          <w:tcPr>
            <w:tcW w:w="2188" w:type="pct"/>
            <w:vAlign w:val="center"/>
          </w:tcPr>
          <w:p>
            <w:pPr>
              <w:rPr>
                <w:rFonts w:hint="eastAsia" w:ascii="宋体" w:hAnsi="宋体" w:cs="宋体"/>
                <w:sz w:val="24"/>
                <w:szCs w:val="24"/>
                <w:highlight w:val="none"/>
              </w:rPr>
            </w:pPr>
            <w:r>
              <w:rPr>
                <w:rFonts w:hint="eastAsia" w:ascii="宋体" w:hAnsi="宋体" w:cs="宋体"/>
                <w:sz w:val="24"/>
                <w:szCs w:val="24"/>
                <w:highlight w:val="none"/>
              </w:rPr>
              <w:t>背心背部可设计悬挂独立水袋或其他补给模块，提高灭火作业效率。</w:t>
            </w:r>
          </w:p>
        </w:tc>
        <w:tc>
          <w:tcPr>
            <w:tcW w:w="1481" w:type="pct"/>
            <w:vAlign w:val="center"/>
          </w:tcPr>
          <w:p>
            <w:pPr>
              <w:rPr>
                <w:rFonts w:hint="eastAsia"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249" w:type="pct"/>
            <w:vMerge w:val="restart"/>
            <w:vAlign w:val="center"/>
          </w:tcPr>
          <w:p>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2</w:t>
            </w:r>
          </w:p>
        </w:tc>
        <w:tc>
          <w:tcPr>
            <w:tcW w:w="693" w:type="pct"/>
            <w:vMerge w:val="restar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外观</w:t>
            </w:r>
            <w:r>
              <w:rPr>
                <w:rFonts w:hint="eastAsia" w:ascii="宋体" w:hAnsi="宋体" w:cs="宋体"/>
                <w:sz w:val="24"/>
                <w:szCs w:val="24"/>
                <w:highlight w:val="none"/>
                <w:lang w:val="en-US" w:eastAsia="zh-CN"/>
              </w:rPr>
              <w:t>质量</w:t>
            </w:r>
          </w:p>
        </w:tc>
        <w:tc>
          <w:tcPr>
            <w:tcW w:w="387" w:type="pct"/>
            <w:vMerge w:val="restart"/>
            <w:vAlign w:val="center"/>
          </w:tcPr>
          <w:p>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样品外观与标样对比一致。背心整体应整洁、无污渍、无破损、无线头等瑕疵。</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ascii="宋体" w:hAnsi="宋体" w:cs="宋体"/>
                <w:sz w:val="24"/>
                <w:szCs w:val="24"/>
                <w:highlight w:val="none"/>
              </w:rPr>
            </w:pPr>
            <w:r>
              <w:rPr>
                <w:rFonts w:hint="eastAsia" w:ascii="宋体" w:hAnsi="宋体" w:cs="宋体"/>
                <w:sz w:val="24"/>
                <w:szCs w:val="24"/>
                <w:highlight w:val="none"/>
              </w:rPr>
              <w:t>背心面料应平整，无起球、无皱褶、无扭曲等现象。</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hint="eastAsia" w:ascii="宋体" w:hAnsi="宋体" w:eastAsia="宋体" w:cs="宋体"/>
                <w:sz w:val="24"/>
                <w:szCs w:val="24"/>
                <w:highlight w:val="none"/>
                <w:lang w:eastAsia="zh-CN"/>
              </w:rPr>
            </w:pPr>
            <w:r>
              <w:rPr>
                <w:rFonts w:hint="eastAsia" w:ascii="宋体" w:hAnsi="宋体" w:cs="宋体"/>
                <w:sz w:val="24"/>
                <w:szCs w:val="24"/>
                <w:highlight w:val="none"/>
              </w:rPr>
              <w:t>背心缝制应均匀、牢固，无线头、跳针等瑕疵</w:t>
            </w:r>
            <w:r>
              <w:rPr>
                <w:rFonts w:hint="eastAsia" w:ascii="宋体" w:hAnsi="宋体" w:cs="宋体"/>
                <w:sz w:val="24"/>
                <w:szCs w:val="24"/>
                <w:highlight w:val="none"/>
                <w:lang w:eastAsia="zh-CN"/>
              </w:rPr>
              <w:t>。</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hint="eastAsia" w:ascii="宋体" w:hAnsi="宋体" w:cs="宋体"/>
                <w:sz w:val="24"/>
                <w:szCs w:val="24"/>
                <w:highlight w:val="none"/>
              </w:rPr>
            </w:pPr>
            <w:r>
              <w:rPr>
                <w:rFonts w:hint="eastAsia" w:ascii="宋体" w:hAnsi="宋体" w:cs="宋体"/>
                <w:sz w:val="24"/>
                <w:szCs w:val="24"/>
                <w:highlight w:val="none"/>
              </w:rPr>
              <w:t>辅料与</w:t>
            </w:r>
            <w:r>
              <w:rPr>
                <w:rFonts w:hint="eastAsia" w:ascii="宋体" w:hAnsi="宋体" w:cs="宋体"/>
                <w:sz w:val="24"/>
                <w:szCs w:val="24"/>
                <w:highlight w:val="none"/>
                <w:lang w:val="en-US" w:eastAsia="zh-CN"/>
              </w:rPr>
              <w:t>配件</w:t>
            </w:r>
            <w:r>
              <w:rPr>
                <w:rFonts w:hint="eastAsia" w:ascii="宋体" w:hAnsi="宋体" w:cs="宋体"/>
                <w:sz w:val="24"/>
                <w:szCs w:val="24"/>
                <w:highlight w:val="none"/>
              </w:rPr>
              <w:t>应确保质量可靠、功能正常，无损坏、无脱落等现象。</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49" w:type="pct"/>
            <w:vMerge w:val="continue"/>
            <w:vAlign w:val="center"/>
          </w:tcPr>
          <w:p>
            <w:pPr>
              <w:spacing w:line="360" w:lineRule="auto"/>
              <w:jc w:val="center"/>
              <w:rPr>
                <w:rFonts w:ascii="宋体" w:hAnsi="宋体"/>
                <w:sz w:val="24"/>
                <w:szCs w:val="24"/>
                <w:highlight w:val="none"/>
              </w:rPr>
            </w:pPr>
          </w:p>
        </w:tc>
        <w:tc>
          <w:tcPr>
            <w:tcW w:w="693" w:type="pct"/>
            <w:vMerge w:val="continue"/>
            <w:vAlign w:val="center"/>
          </w:tcPr>
          <w:p>
            <w:pPr>
              <w:widowControl/>
              <w:jc w:val="center"/>
              <w:rPr>
                <w:rFonts w:ascii="宋体" w:hAnsi="宋体" w:cs="宋体"/>
                <w:sz w:val="24"/>
                <w:szCs w:val="24"/>
                <w:highlight w:val="none"/>
              </w:rPr>
            </w:pPr>
          </w:p>
        </w:tc>
        <w:tc>
          <w:tcPr>
            <w:tcW w:w="387" w:type="pct"/>
            <w:vMerge w:val="continue"/>
            <w:vAlign w:val="center"/>
          </w:tcPr>
          <w:p>
            <w:pPr>
              <w:widowControl/>
              <w:jc w:val="center"/>
              <w:rPr>
                <w:rFonts w:ascii="宋体" w:hAnsi="宋体" w:cs="宋体"/>
                <w:sz w:val="24"/>
                <w:szCs w:val="24"/>
                <w:highlight w:val="none"/>
              </w:rPr>
            </w:pPr>
          </w:p>
        </w:tc>
        <w:tc>
          <w:tcPr>
            <w:tcW w:w="2188" w:type="pct"/>
            <w:vAlign w:val="center"/>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各部位尺寸符合要求。</w:t>
            </w:r>
          </w:p>
        </w:tc>
        <w:tc>
          <w:tcPr>
            <w:tcW w:w="1481"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249" w:type="pct"/>
            <w:vAlign w:val="center"/>
          </w:tcPr>
          <w:p>
            <w:pPr>
              <w:widowControl/>
              <w:spacing w:line="360" w:lineRule="auto"/>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3</w:t>
            </w:r>
          </w:p>
        </w:tc>
        <w:tc>
          <w:tcPr>
            <w:tcW w:w="693" w:type="pct"/>
            <w:vAlign w:val="center"/>
          </w:tcPr>
          <w:p>
            <w:pPr>
              <w:widowControl/>
              <w:jc w:val="center"/>
              <w:rPr>
                <w:rFonts w:hint="eastAsia" w:ascii="宋体" w:hAnsi="宋体" w:cs="宋体"/>
                <w:sz w:val="24"/>
                <w:szCs w:val="24"/>
                <w:highlight w:val="none"/>
              </w:rPr>
            </w:pPr>
            <w:r>
              <w:rPr>
                <w:rFonts w:hint="eastAsia" w:ascii="宋体" w:hAnsi="宋体" w:cs="宋体"/>
                <w:sz w:val="24"/>
                <w:szCs w:val="24"/>
                <w:highlight w:val="none"/>
                <w:lang w:val="en-US" w:eastAsia="zh-CN"/>
              </w:rPr>
              <w:t>色泽</w:t>
            </w:r>
          </w:p>
        </w:tc>
        <w:tc>
          <w:tcPr>
            <w:tcW w:w="387" w:type="pct"/>
            <w:vAlign w:val="center"/>
          </w:tcPr>
          <w:p>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2188" w:type="pct"/>
            <w:vAlign w:val="center"/>
          </w:tcPr>
          <w:p>
            <w:pPr>
              <w:widowControl/>
              <w:spacing w:line="360" w:lineRule="auto"/>
              <w:rPr>
                <w:rFonts w:hint="default" w:ascii="宋体" w:hAnsi="宋体"/>
                <w:sz w:val="24"/>
                <w:szCs w:val="24"/>
                <w:highlight w:val="none"/>
                <w:lang w:val="en-US"/>
              </w:rPr>
            </w:pPr>
            <w:r>
              <w:rPr>
                <w:rFonts w:hint="eastAsia" w:ascii="宋体" w:hAnsi="宋体"/>
                <w:sz w:val="24"/>
                <w:szCs w:val="24"/>
                <w:highlight w:val="none"/>
                <w:lang w:eastAsia="zh-CN"/>
              </w:rPr>
              <w:t>与标样对比，色差应不低于3-4级。</w:t>
            </w:r>
          </w:p>
        </w:tc>
        <w:tc>
          <w:tcPr>
            <w:tcW w:w="1481" w:type="pct"/>
            <w:vAlign w:val="center"/>
          </w:tcPr>
          <w:p>
            <w:pPr>
              <w:widowControl/>
              <w:spacing w:line="360" w:lineRule="auto"/>
              <w:rPr>
                <w:rFonts w:ascii="宋体" w:hAnsi="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943" w:type="pct"/>
            <w:gridSpan w:val="2"/>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合计</w:t>
            </w:r>
          </w:p>
        </w:tc>
        <w:tc>
          <w:tcPr>
            <w:tcW w:w="387" w:type="pct"/>
            <w:vAlign w:val="center"/>
          </w:tcPr>
          <w:p>
            <w:pPr>
              <w:widowControl/>
              <w:jc w:val="center"/>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=SUM(ABOVE) </w:instrText>
            </w:r>
            <w:r>
              <w:rPr>
                <w:rFonts w:ascii="宋体" w:hAnsi="宋体" w:cs="宋体"/>
                <w:sz w:val="24"/>
                <w:szCs w:val="24"/>
                <w:highlight w:val="none"/>
              </w:rPr>
              <w:fldChar w:fldCharType="separate"/>
            </w:r>
            <w:r>
              <w:rPr>
                <w:rFonts w:ascii="宋体" w:hAnsi="宋体" w:cs="宋体"/>
                <w:sz w:val="24"/>
                <w:szCs w:val="24"/>
                <w:highlight w:val="none"/>
              </w:rPr>
              <w:t>20</w:t>
            </w:r>
            <w:r>
              <w:rPr>
                <w:rFonts w:ascii="宋体" w:hAnsi="宋体" w:cs="宋体"/>
                <w:sz w:val="24"/>
                <w:szCs w:val="24"/>
                <w:highlight w:val="none"/>
              </w:rPr>
              <w:fldChar w:fldCharType="end"/>
            </w:r>
          </w:p>
        </w:tc>
        <w:tc>
          <w:tcPr>
            <w:tcW w:w="2188" w:type="pct"/>
            <w:vAlign w:val="center"/>
          </w:tcPr>
          <w:p>
            <w:pPr>
              <w:widowControl/>
              <w:spacing w:line="360" w:lineRule="auto"/>
              <w:rPr>
                <w:rFonts w:ascii="宋体" w:hAnsi="宋体"/>
                <w:sz w:val="24"/>
                <w:szCs w:val="24"/>
                <w:highlight w:val="none"/>
              </w:rPr>
            </w:pPr>
          </w:p>
        </w:tc>
        <w:tc>
          <w:tcPr>
            <w:tcW w:w="1481" w:type="pct"/>
            <w:vAlign w:val="center"/>
          </w:tcPr>
          <w:p>
            <w:pPr>
              <w:widowControl/>
              <w:spacing w:line="360" w:lineRule="auto"/>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5000" w:type="pct"/>
            <w:gridSpan w:val="5"/>
            <w:vAlign w:val="center"/>
          </w:tcPr>
          <w:p>
            <w:pPr>
              <w:widowControl/>
              <w:spacing w:line="360" w:lineRule="auto"/>
              <w:rPr>
                <w:rFonts w:ascii="宋体" w:hAnsi="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bl>
    <w:p>
      <w:pPr>
        <w:rPr>
          <w:rFonts w:hint="eastAsia" w:ascii="宋体" w:hAnsi="宋体" w:eastAsia="宋体"/>
          <w:sz w:val="24"/>
          <w:szCs w:val="24"/>
          <w:highlight w:val="none"/>
        </w:rPr>
      </w:pPr>
    </w:p>
    <w:p>
      <w:pPr>
        <w:rPr>
          <w:rFonts w:hint="eastAsia" w:ascii="宋体" w:hAnsi="宋体" w:eastAsia="宋体"/>
          <w:sz w:val="24"/>
          <w:szCs w:val="24"/>
          <w:highlight w:val="none"/>
        </w:rPr>
      </w:pPr>
      <w:r>
        <w:rPr>
          <w:rFonts w:hint="eastAsia" w:ascii="宋体" w:hAnsi="宋体" w:eastAsia="宋体"/>
          <w:sz w:val="24"/>
          <w:szCs w:val="24"/>
          <w:highlight w:val="none"/>
        </w:rPr>
        <w:br w:type="page"/>
      </w:r>
    </w:p>
    <w:p>
      <w:pPr>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7包：森林灭火防护手套样品评审细则。</w:t>
      </w:r>
    </w:p>
    <w:tbl>
      <w:tblPr>
        <w:tblStyle w:val="25"/>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1150"/>
        <w:gridCol w:w="868"/>
        <w:gridCol w:w="3773"/>
        <w:gridCol w:w="3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5000" w:type="pct"/>
            <w:gridSpan w:val="5"/>
            <w:vAlign w:val="center"/>
          </w:tcPr>
          <w:p>
            <w:pPr>
              <w:widowControl/>
              <w:jc w:val="center"/>
              <w:rPr>
                <w:rFonts w:ascii="宋体" w:hAnsi="宋体"/>
                <w:b/>
                <w:bCs/>
                <w:sz w:val="24"/>
                <w:szCs w:val="24"/>
                <w:highlight w:val="none"/>
              </w:rPr>
            </w:pPr>
            <w:r>
              <w:rPr>
                <w:rFonts w:hint="eastAsia" w:ascii="宋体" w:hAnsi="宋体"/>
                <w:b/>
                <w:bCs/>
                <w:sz w:val="24"/>
                <w:szCs w:val="24"/>
                <w:highlight w:val="none"/>
                <w:lang w:val="en-US" w:eastAsia="zh-CN"/>
              </w:rPr>
              <w:t>森林灭火防护手套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313"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序号</w:t>
            </w:r>
          </w:p>
        </w:tc>
        <w:tc>
          <w:tcPr>
            <w:tcW w:w="609"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评审因素</w:t>
            </w:r>
          </w:p>
        </w:tc>
        <w:tc>
          <w:tcPr>
            <w:tcW w:w="460"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分值</w:t>
            </w:r>
          </w:p>
        </w:tc>
        <w:tc>
          <w:tcPr>
            <w:tcW w:w="1999"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评分标准说明</w:t>
            </w:r>
          </w:p>
        </w:tc>
        <w:tc>
          <w:tcPr>
            <w:tcW w:w="1616" w:type="pct"/>
            <w:vAlign w:val="center"/>
          </w:tcPr>
          <w:p>
            <w:pPr>
              <w:widowControl/>
              <w:jc w:val="center"/>
              <w:rPr>
                <w:rFonts w:hint="eastAsia" w:ascii="宋体" w:hAnsi="宋体"/>
                <w:b/>
                <w:bCs/>
                <w:sz w:val="24"/>
                <w:szCs w:val="24"/>
                <w:highlight w:val="none"/>
              </w:rPr>
            </w:pPr>
            <w:r>
              <w:rPr>
                <w:rFonts w:hint="eastAsia" w:ascii="宋体" w:hAnsi="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13" w:type="pct"/>
            <w:vMerge w:val="restart"/>
            <w:vAlign w:val="center"/>
          </w:tcPr>
          <w:p>
            <w:pPr>
              <w:widowControl/>
              <w:spacing w:line="360" w:lineRule="auto"/>
              <w:jc w:val="center"/>
              <w:rPr>
                <w:rFonts w:ascii="宋体" w:hAnsi="宋体"/>
                <w:sz w:val="24"/>
                <w:szCs w:val="24"/>
                <w:highlight w:val="none"/>
              </w:rPr>
            </w:pPr>
            <w:r>
              <w:rPr>
                <w:rFonts w:hint="eastAsia" w:ascii="宋体" w:hAnsi="宋体"/>
                <w:sz w:val="24"/>
                <w:szCs w:val="24"/>
                <w:highlight w:val="none"/>
              </w:rPr>
              <w:t>1</w:t>
            </w:r>
          </w:p>
        </w:tc>
        <w:tc>
          <w:tcPr>
            <w:tcW w:w="609" w:type="pct"/>
            <w:vMerge w:val="restar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产品外观</w:t>
            </w:r>
          </w:p>
        </w:tc>
        <w:tc>
          <w:tcPr>
            <w:tcW w:w="460" w:type="pct"/>
            <w:vMerge w:val="restart"/>
            <w:vAlign w:val="center"/>
          </w:tcPr>
          <w:p>
            <w:pPr>
              <w:spacing w:line="276" w:lineRule="auto"/>
              <w:jc w:val="center"/>
              <w:rPr>
                <w:rFonts w:ascii="宋体" w:hAnsi="宋体" w:eastAsia="大黑体"/>
                <w:color w:val="000000"/>
                <w:kern w:val="0"/>
                <w:sz w:val="24"/>
                <w:szCs w:val="24"/>
                <w:highlight w:val="none"/>
              </w:rPr>
            </w:pPr>
            <w:r>
              <w:rPr>
                <w:rFonts w:ascii="宋体" w:hAnsi="宋体" w:eastAsia="大黑体"/>
                <w:color w:val="000000"/>
                <w:kern w:val="0"/>
                <w:sz w:val="24"/>
                <w:szCs w:val="24"/>
                <w:highlight w:val="none"/>
              </w:rPr>
              <w:t>8</w:t>
            </w: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产品整烫定型，手型自然弯曲，与手自然状态下高度贴合</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13" w:type="pct"/>
            <w:vMerge w:val="continue"/>
            <w:vAlign w:val="center"/>
          </w:tcPr>
          <w:p>
            <w:pPr>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手指吃量均匀、不扭不偏、不起绺</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313" w:type="pct"/>
            <w:vMerge w:val="continue"/>
            <w:vAlign w:val="center"/>
          </w:tcPr>
          <w:p>
            <w:pPr>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高度贴合，手指吃量均匀、不扭不偏、不起绺</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313" w:type="pct"/>
            <w:vMerge w:val="continue"/>
            <w:vAlign w:val="center"/>
          </w:tcPr>
          <w:p>
            <w:pPr>
              <w:widowControl/>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左右对称，表面线头干净，产品整洁</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13" w:type="pct"/>
            <w:vMerge w:val="restart"/>
            <w:vAlign w:val="center"/>
          </w:tcPr>
          <w:p>
            <w:pPr>
              <w:widowControl/>
              <w:spacing w:line="360" w:lineRule="auto"/>
              <w:jc w:val="center"/>
              <w:rPr>
                <w:rFonts w:ascii="宋体" w:hAnsi="宋体"/>
                <w:sz w:val="24"/>
                <w:szCs w:val="24"/>
                <w:highlight w:val="none"/>
              </w:rPr>
            </w:pPr>
            <w:r>
              <w:rPr>
                <w:rFonts w:ascii="宋体" w:hAnsi="宋体"/>
                <w:sz w:val="24"/>
                <w:szCs w:val="24"/>
                <w:highlight w:val="none"/>
              </w:rPr>
              <w:t>2</w:t>
            </w:r>
          </w:p>
        </w:tc>
        <w:tc>
          <w:tcPr>
            <w:tcW w:w="609" w:type="pct"/>
            <w:vMerge w:val="restar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缝制质量</w:t>
            </w:r>
          </w:p>
        </w:tc>
        <w:tc>
          <w:tcPr>
            <w:tcW w:w="460" w:type="pct"/>
            <w:vMerge w:val="restart"/>
            <w:vAlign w:val="center"/>
          </w:tcPr>
          <w:p>
            <w:pPr>
              <w:spacing w:line="276" w:lineRule="auto"/>
              <w:jc w:val="center"/>
              <w:rPr>
                <w:rFonts w:ascii="宋体" w:hAnsi="宋体" w:eastAsia="大黑体"/>
                <w:color w:val="000000"/>
                <w:kern w:val="0"/>
                <w:sz w:val="24"/>
                <w:szCs w:val="24"/>
                <w:highlight w:val="none"/>
              </w:rPr>
            </w:pPr>
            <w:r>
              <w:rPr>
                <w:rFonts w:ascii="宋体" w:hAnsi="宋体" w:eastAsia="大黑体"/>
                <w:color w:val="000000"/>
                <w:kern w:val="0"/>
                <w:sz w:val="24"/>
                <w:szCs w:val="24"/>
                <w:highlight w:val="none"/>
              </w:rPr>
              <w:t>10</w:t>
            </w: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产品整体无明显疵点，无3</w:t>
            </w:r>
            <w:r>
              <w:rPr>
                <w:rFonts w:ascii="宋体" w:hAnsi="宋体" w:cs="宋体"/>
                <w:sz w:val="24"/>
                <w:szCs w:val="24"/>
                <w:highlight w:val="none"/>
              </w:rPr>
              <w:t>mm</w:t>
            </w:r>
            <w:r>
              <w:rPr>
                <w:rFonts w:hint="eastAsia" w:ascii="宋体" w:hAnsi="宋体" w:cs="宋体"/>
                <w:sz w:val="24"/>
                <w:szCs w:val="24"/>
                <w:highlight w:val="none"/>
              </w:rPr>
              <w:t>以上线头、各部位的缝制线无开断线、跳线、在一条线上或相邻部位、针距均匀</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13" w:type="pct"/>
            <w:vMerge w:val="continue"/>
            <w:vAlign w:val="center"/>
          </w:tcPr>
          <w:p>
            <w:pPr>
              <w:widowControl/>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pStyle w:val="8"/>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手指处缝制平展、不起绺、丫口圆顺，侧条吃量均匀，手指弯曲自然，左右只对应的手指长短、宽窄限差</w:t>
            </w:r>
            <w:r>
              <w:rPr>
                <w:rFonts w:hint="default" w:ascii="Arial" w:hAnsi="Arial" w:cs="Arial"/>
                <w:sz w:val="24"/>
                <w:szCs w:val="24"/>
                <w:highlight w:val="none"/>
              </w:rPr>
              <w:t>≤</w:t>
            </w:r>
            <w:r>
              <w:rPr>
                <w:rFonts w:hint="eastAsia" w:ascii="宋体" w:hAnsi="宋体" w:cs="宋体"/>
                <w:sz w:val="24"/>
                <w:szCs w:val="24"/>
                <w:highlight w:val="none"/>
              </w:rPr>
              <w:t>2.0mm</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13" w:type="pct"/>
            <w:vMerge w:val="continue"/>
            <w:vAlign w:val="center"/>
          </w:tcPr>
          <w:p>
            <w:pPr>
              <w:widowControl/>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手背、手掌处缝制平展、不起绺，明线宽窄一致</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13" w:type="pct"/>
            <w:vMerge w:val="continue"/>
            <w:vAlign w:val="center"/>
          </w:tcPr>
          <w:p>
            <w:pPr>
              <w:widowControl/>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腕口处缝线规整，搭扣明线距边宽窄一致</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13" w:type="pct"/>
            <w:vMerge w:val="continue"/>
            <w:vAlign w:val="center"/>
          </w:tcPr>
          <w:p>
            <w:pPr>
              <w:widowControl/>
              <w:spacing w:line="360" w:lineRule="auto"/>
              <w:jc w:val="center"/>
              <w:rPr>
                <w:rFonts w:ascii="宋体" w:hAnsi="宋体"/>
                <w:sz w:val="24"/>
                <w:szCs w:val="24"/>
                <w:highlight w:val="none"/>
              </w:rPr>
            </w:pPr>
          </w:p>
        </w:tc>
        <w:tc>
          <w:tcPr>
            <w:tcW w:w="609" w:type="pct"/>
            <w:vMerge w:val="continue"/>
            <w:vAlign w:val="center"/>
          </w:tcPr>
          <w:p>
            <w:pPr>
              <w:spacing w:line="276" w:lineRule="auto"/>
              <w:jc w:val="center"/>
              <w:rPr>
                <w:rFonts w:ascii="宋体" w:hAnsi="宋体" w:eastAsia="大黑体"/>
                <w:color w:val="000000"/>
                <w:kern w:val="0"/>
                <w:sz w:val="24"/>
                <w:szCs w:val="24"/>
                <w:highlight w:val="none"/>
              </w:rPr>
            </w:pPr>
          </w:p>
        </w:tc>
        <w:tc>
          <w:tcPr>
            <w:tcW w:w="460" w:type="pct"/>
            <w:vMerge w:val="continue"/>
            <w:vAlign w:val="center"/>
          </w:tcPr>
          <w:p>
            <w:pPr>
              <w:spacing w:line="276" w:lineRule="auto"/>
              <w:jc w:val="center"/>
              <w:rPr>
                <w:rFonts w:ascii="宋体" w:hAnsi="宋体" w:eastAsia="大黑体"/>
                <w:color w:val="000000"/>
                <w:kern w:val="0"/>
                <w:sz w:val="24"/>
                <w:szCs w:val="24"/>
                <w:highlight w:val="none"/>
              </w:rPr>
            </w:pPr>
          </w:p>
        </w:tc>
        <w:tc>
          <w:tcPr>
            <w:tcW w:w="1999" w:type="pct"/>
            <w:vAlign w:val="center"/>
          </w:tcPr>
          <w:p>
            <w:pP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补强处缝线规整，搭扣明线距边宽窄一致，左右对称</w:t>
            </w:r>
            <w:r>
              <w:rPr>
                <w:rFonts w:hint="eastAsia" w:ascii="宋体" w:hAnsi="宋体" w:cs="宋体"/>
                <w:sz w:val="24"/>
                <w:szCs w:val="24"/>
                <w:highlight w:val="none"/>
                <w:lang w:eastAsia="zh-CN"/>
              </w:rPr>
              <w:t>。</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13" w:type="pct"/>
            <w:vAlign w:val="center"/>
          </w:tcPr>
          <w:p>
            <w:pPr>
              <w:widowControl/>
              <w:jc w:val="center"/>
              <w:rPr>
                <w:rFonts w:ascii="宋体" w:hAnsi="宋体"/>
                <w:sz w:val="24"/>
                <w:szCs w:val="24"/>
                <w:highlight w:val="none"/>
              </w:rPr>
            </w:pPr>
            <w:r>
              <w:rPr>
                <w:rFonts w:hint="eastAsia" w:ascii="宋体" w:hAnsi="宋体"/>
                <w:sz w:val="24"/>
                <w:szCs w:val="24"/>
                <w:highlight w:val="none"/>
              </w:rPr>
              <w:t>3</w:t>
            </w:r>
          </w:p>
        </w:tc>
        <w:tc>
          <w:tcPr>
            <w:tcW w:w="609"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整体样式</w:t>
            </w:r>
          </w:p>
        </w:tc>
        <w:tc>
          <w:tcPr>
            <w:tcW w:w="460" w:type="pct"/>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2</w:t>
            </w:r>
          </w:p>
        </w:tc>
        <w:tc>
          <w:tcPr>
            <w:tcW w:w="1999" w:type="pct"/>
            <w:vAlign w:val="center"/>
          </w:tcPr>
          <w:p>
            <w:pPr>
              <w:rPr>
                <w:rFonts w:ascii="宋体" w:hAnsi="宋体" w:cs="宋体"/>
                <w:sz w:val="24"/>
                <w:szCs w:val="24"/>
                <w:highlight w:val="none"/>
              </w:rPr>
            </w:pPr>
            <w:r>
              <w:rPr>
                <w:rFonts w:hint="eastAsia" w:ascii="宋体" w:hAnsi="宋体" w:cs="宋体"/>
                <w:sz w:val="24"/>
                <w:szCs w:val="24"/>
                <w:highlight w:val="none"/>
              </w:rPr>
              <w:t>样品外观与标样一致，样品号型符合要求，样品整体整洁，顺滑，无污渍。</w:t>
            </w:r>
          </w:p>
        </w:tc>
        <w:tc>
          <w:tcPr>
            <w:tcW w:w="1616" w:type="pct"/>
            <w:vAlign w:val="center"/>
          </w:tcPr>
          <w:p>
            <w:pPr>
              <w:rPr>
                <w:rFonts w:ascii="宋体" w:hAnsi="宋体" w:cs="宋体"/>
                <w:sz w:val="24"/>
                <w:szCs w:val="24"/>
                <w:highlight w:val="none"/>
              </w:rPr>
            </w:pPr>
            <w:r>
              <w:rPr>
                <w:rFonts w:hint="eastAsia" w:ascii="宋体" w:hAnsi="宋体" w:cs="宋体"/>
                <w:sz w:val="24"/>
                <w:szCs w:val="24"/>
                <w:highlight w:val="none"/>
              </w:rPr>
              <w:t>完全满足得</w:t>
            </w:r>
            <w:r>
              <w:rPr>
                <w:rFonts w:ascii="宋体" w:hAnsi="宋体" w:cs="宋体"/>
                <w:sz w:val="24"/>
                <w:szCs w:val="24"/>
                <w:highlight w:val="none"/>
              </w:rPr>
              <w:t>2</w:t>
            </w:r>
            <w:r>
              <w:rPr>
                <w:rFonts w:hint="eastAsia" w:ascii="宋体" w:hAnsi="宋体" w:cs="宋体"/>
                <w:sz w:val="24"/>
                <w:szCs w:val="24"/>
                <w:highlight w:val="none"/>
              </w:rPr>
              <w:t>分，否则得0分。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22" w:type="pct"/>
            <w:gridSpan w:val="2"/>
            <w:vAlign w:val="center"/>
          </w:tcPr>
          <w:p>
            <w:pPr>
              <w:spacing w:line="276" w:lineRule="auto"/>
              <w:jc w:val="center"/>
              <w:rPr>
                <w:rFonts w:ascii="宋体" w:hAnsi="宋体" w:eastAsia="大黑体"/>
                <w:color w:val="000000"/>
                <w:kern w:val="0"/>
                <w:sz w:val="24"/>
                <w:szCs w:val="24"/>
                <w:highlight w:val="none"/>
              </w:rPr>
            </w:pPr>
            <w:r>
              <w:rPr>
                <w:rFonts w:hint="eastAsia" w:ascii="宋体" w:hAnsi="宋体" w:eastAsia="大黑体"/>
                <w:color w:val="000000"/>
                <w:kern w:val="0"/>
                <w:sz w:val="24"/>
                <w:szCs w:val="24"/>
                <w:highlight w:val="none"/>
              </w:rPr>
              <w:t>合计</w:t>
            </w:r>
          </w:p>
        </w:tc>
        <w:tc>
          <w:tcPr>
            <w:tcW w:w="460" w:type="pct"/>
            <w:vAlign w:val="center"/>
          </w:tcPr>
          <w:p>
            <w:pPr>
              <w:spacing w:line="276" w:lineRule="auto"/>
              <w:jc w:val="center"/>
              <w:rPr>
                <w:rFonts w:ascii="宋体" w:hAnsi="宋体" w:eastAsia="大黑体"/>
                <w:color w:val="000000"/>
                <w:kern w:val="0"/>
                <w:sz w:val="24"/>
                <w:szCs w:val="24"/>
                <w:highlight w:val="none"/>
              </w:rPr>
            </w:pPr>
            <w:r>
              <w:rPr>
                <w:rFonts w:ascii="宋体" w:hAnsi="宋体" w:eastAsia="大黑体"/>
                <w:color w:val="000000"/>
                <w:kern w:val="0"/>
                <w:sz w:val="24"/>
                <w:szCs w:val="24"/>
                <w:highlight w:val="none"/>
              </w:rPr>
              <w:fldChar w:fldCharType="begin"/>
            </w:r>
            <w:r>
              <w:rPr>
                <w:rFonts w:ascii="宋体" w:hAnsi="宋体" w:eastAsia="大黑体"/>
                <w:color w:val="000000"/>
                <w:kern w:val="0"/>
                <w:sz w:val="24"/>
                <w:szCs w:val="24"/>
                <w:highlight w:val="none"/>
              </w:rPr>
              <w:instrText xml:space="preserve"> =SUM(ABOVE) </w:instrText>
            </w:r>
            <w:r>
              <w:rPr>
                <w:rFonts w:ascii="宋体" w:hAnsi="宋体" w:eastAsia="大黑体"/>
                <w:color w:val="000000"/>
                <w:kern w:val="0"/>
                <w:sz w:val="24"/>
                <w:szCs w:val="24"/>
                <w:highlight w:val="none"/>
              </w:rPr>
              <w:fldChar w:fldCharType="separate"/>
            </w:r>
            <w:r>
              <w:rPr>
                <w:rFonts w:ascii="宋体" w:hAnsi="宋体" w:eastAsia="大黑体"/>
                <w:color w:val="000000"/>
                <w:kern w:val="0"/>
                <w:sz w:val="24"/>
                <w:szCs w:val="24"/>
                <w:highlight w:val="none"/>
              </w:rPr>
              <w:t>20</w:t>
            </w:r>
            <w:r>
              <w:rPr>
                <w:rFonts w:ascii="宋体" w:hAnsi="宋体" w:eastAsia="大黑体"/>
                <w:color w:val="000000"/>
                <w:kern w:val="0"/>
                <w:sz w:val="24"/>
                <w:szCs w:val="24"/>
                <w:highlight w:val="none"/>
              </w:rPr>
              <w:fldChar w:fldCharType="end"/>
            </w:r>
          </w:p>
        </w:tc>
        <w:tc>
          <w:tcPr>
            <w:tcW w:w="1999" w:type="pct"/>
            <w:vAlign w:val="center"/>
          </w:tcPr>
          <w:p>
            <w:pPr>
              <w:widowControl/>
              <w:spacing w:line="360" w:lineRule="auto"/>
              <w:rPr>
                <w:rFonts w:ascii="宋体" w:hAnsi="宋体"/>
                <w:sz w:val="24"/>
                <w:szCs w:val="24"/>
                <w:highlight w:val="none"/>
              </w:rPr>
            </w:pPr>
          </w:p>
        </w:tc>
        <w:tc>
          <w:tcPr>
            <w:tcW w:w="1616" w:type="pct"/>
            <w:vAlign w:val="center"/>
          </w:tcPr>
          <w:p>
            <w:pPr>
              <w:widowControl/>
              <w:spacing w:line="360" w:lineRule="auto"/>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000" w:type="pct"/>
            <w:gridSpan w:val="5"/>
            <w:vAlign w:val="center"/>
          </w:tcPr>
          <w:p>
            <w:pPr>
              <w:widowControl/>
              <w:spacing w:line="360" w:lineRule="auto"/>
              <w:rPr>
                <w:rFonts w:ascii="宋体" w:hAnsi="宋体"/>
                <w:sz w:val="24"/>
                <w:szCs w:val="24"/>
                <w:highlight w:val="none"/>
              </w:rPr>
            </w:pPr>
            <w:r>
              <w:rPr>
                <w:rFonts w:hint="eastAsia" w:ascii="宋体" w:hAnsi="宋体" w:eastAsia="宋体" w:cs="宋体"/>
                <w:b/>
                <w:bCs/>
                <w:sz w:val="24"/>
                <w:szCs w:val="24"/>
                <w:highlight w:val="none"/>
                <w:lang w:val="en-US" w:eastAsia="zh-CN"/>
              </w:rPr>
              <w:t>备注：投标人所提供的产品（样品）整体外观和结构与采购人提供的样品存在明显差异的，本样品得0分。</w:t>
            </w:r>
          </w:p>
        </w:tc>
      </w:tr>
    </w:tbl>
    <w:p>
      <w:pPr>
        <w:rPr>
          <w:rFonts w:hint="eastAsia" w:ascii="宋体" w:hAnsi="宋体" w:eastAsia="宋体"/>
          <w:sz w:val="24"/>
          <w:szCs w:val="24"/>
          <w:highlight w:val="none"/>
        </w:rPr>
      </w:pPr>
    </w:p>
    <w:p>
      <w:pPr>
        <w:rPr>
          <w:rFonts w:hint="eastAsia" w:ascii="宋体" w:hAnsi="宋体" w:eastAsia="宋体"/>
          <w:sz w:val="24"/>
          <w:szCs w:val="24"/>
          <w:highlight w:val="none"/>
        </w:rPr>
      </w:pPr>
    </w:p>
    <w:p>
      <w:pPr>
        <w:rPr>
          <w:rFonts w:hint="eastAsia" w:ascii="宋体" w:hAnsi="宋体" w:eastAsia="宋体"/>
          <w:sz w:val="36"/>
          <w:szCs w:val="36"/>
          <w:highlight w:val="none"/>
        </w:rPr>
      </w:pPr>
    </w:p>
    <w:p>
      <w:pPr>
        <w:rPr>
          <w:rFonts w:hint="eastAsia" w:ascii="宋体" w:hAnsi="宋体" w:eastAsia="宋体"/>
          <w:sz w:val="36"/>
          <w:szCs w:val="36"/>
          <w:highlight w:val="none"/>
        </w:rPr>
      </w:pPr>
    </w:p>
    <w:p>
      <w:pPr>
        <w:rPr>
          <w:rFonts w:hint="eastAsia" w:ascii="宋体" w:hAnsi="宋体" w:eastAsia="宋体"/>
          <w:sz w:val="36"/>
          <w:szCs w:val="36"/>
          <w:highlight w:val="none"/>
        </w:rPr>
      </w:pPr>
    </w:p>
    <w:p>
      <w:pPr>
        <w:rPr>
          <w:rFonts w:hint="eastAsia" w:ascii="宋体" w:hAnsi="宋体" w:eastAsia="宋体"/>
          <w:sz w:val="36"/>
          <w:szCs w:val="36"/>
          <w:highlight w:val="none"/>
        </w:rPr>
      </w:pPr>
    </w:p>
    <w:p>
      <w:pPr>
        <w:rPr>
          <w:rFonts w:ascii="宋体" w:hAnsi="宋体" w:eastAsia="宋体"/>
          <w:sz w:val="36"/>
          <w:szCs w:val="36"/>
          <w:highlight w:val="none"/>
        </w:rPr>
      </w:pPr>
      <w:r>
        <w:rPr>
          <w:rFonts w:hint="eastAsia" w:ascii="宋体" w:hAnsi="宋体" w:eastAsia="宋体"/>
          <w:sz w:val="36"/>
          <w:szCs w:val="36"/>
          <w:highlight w:val="none"/>
        </w:rPr>
        <w:br w:type="page"/>
      </w:r>
    </w:p>
    <w:p>
      <w:pPr>
        <w:pStyle w:val="2"/>
        <w:bidi w:val="0"/>
      </w:pPr>
      <w:bookmarkStart w:id="336" w:name="_Toc28640"/>
      <w:r>
        <w:rPr>
          <w:rFonts w:hint="eastAsia"/>
        </w:rPr>
        <w:t>第四章  合同条款及格式</w:t>
      </w:r>
      <w:bookmarkEnd w:id="332"/>
      <w:bookmarkEnd w:id="333"/>
      <w:bookmarkEnd w:id="335"/>
      <w:bookmarkEnd w:id="336"/>
    </w:p>
    <w:p>
      <w:pPr>
        <w:jc w:val="center"/>
        <w:rPr>
          <w:bCs/>
          <w:sz w:val="24"/>
        </w:rPr>
      </w:pPr>
      <w:r>
        <w:rPr>
          <w:rFonts w:hint="eastAsia"/>
          <w:bCs/>
          <w:sz w:val="24"/>
        </w:rPr>
        <w:t>（本章节所提供的文本为合同草案，具体签订合同以实际为准）</w:t>
      </w:r>
    </w:p>
    <w:p>
      <w:pPr>
        <w:rPr>
          <w:rFonts w:hint="eastAsia" w:ascii="宋体" w:hAnsi="宋体" w:eastAsia="宋体" w:cs="宋体"/>
          <w:spacing w:val="7"/>
          <w:sz w:val="24"/>
          <w:szCs w:val="24"/>
          <w:lang w:val="en-US" w:eastAsia="zh-CN"/>
        </w:rPr>
      </w:pPr>
      <w:bookmarkStart w:id="337" w:name="_Toc16571"/>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rPr>
          <w:rFonts w:hint="eastAsia" w:ascii="宋体" w:hAnsi="宋体" w:eastAsia="宋体" w:cs="宋体"/>
          <w:spacing w:val="7"/>
          <w:sz w:val="24"/>
          <w:szCs w:val="24"/>
          <w:lang w:val="en-US" w:eastAsia="zh-CN"/>
        </w:rPr>
      </w:pPr>
    </w:p>
    <w:p>
      <w:pPr>
        <w:jc w:val="center"/>
        <w:rPr>
          <w:rFonts w:hint="eastAsia"/>
          <w:lang w:val="en-US" w:eastAsia="zh-CN"/>
        </w:rPr>
      </w:pPr>
      <w:r>
        <w:rPr>
          <w:rFonts w:hint="eastAsia" w:ascii="宋体" w:hAnsi="宋体" w:eastAsia="宋体" w:cs="宋体"/>
          <w:b/>
          <w:bCs/>
          <w:spacing w:val="7"/>
          <w:sz w:val="24"/>
          <w:szCs w:val="24"/>
          <w:lang w:val="en-US" w:eastAsia="zh-CN"/>
        </w:rPr>
        <w:t>拟签订的合同文本</w:t>
      </w:r>
      <w:bookmarkEnd w:id="337"/>
      <w:r>
        <w:rPr>
          <w:rFonts w:hint="eastAsia"/>
          <w:lang w:val="en-US" w:eastAsia="zh-CN"/>
        </w:rPr>
        <w:br w:type="page"/>
      </w:r>
    </w:p>
    <w:p>
      <w:pPr>
        <w:spacing w:line="360" w:lineRule="auto"/>
        <w:rPr>
          <w:rFonts w:ascii="宋体" w:hAnsi="宋体" w:cs="宋体"/>
          <w:b/>
          <w:kern w:val="0"/>
          <w:sz w:val="28"/>
        </w:rPr>
      </w:pPr>
      <w:r>
        <w:rPr>
          <w:rFonts w:hint="eastAsia" w:ascii="宋体" w:hAnsi="宋体" w:cs="宋体"/>
          <w:b/>
          <w:kern w:val="0"/>
          <w:sz w:val="28"/>
          <w:lang w:val="zh-CN"/>
        </w:rPr>
        <w:t>合同编号：</w:t>
      </w:r>
    </w:p>
    <w:p>
      <w:pPr>
        <w:adjustRightInd w:val="0"/>
        <w:spacing w:after="240" w:line="360" w:lineRule="auto"/>
        <w:jc w:val="center"/>
        <w:textAlignment w:val="baseline"/>
        <w:outlineLvl w:val="1"/>
        <w:rPr>
          <w:rFonts w:ascii="宋体" w:hAnsi="宋体" w:cs="宋体"/>
          <w:b/>
          <w:kern w:val="0"/>
          <w:sz w:val="36"/>
          <w:szCs w:val="44"/>
        </w:rPr>
      </w:pPr>
      <w:r>
        <w:rPr>
          <w:rFonts w:hint="eastAsia" w:ascii="宋体" w:hAnsi="宋体" w:cs="宋体"/>
          <w:b/>
          <w:kern w:val="0"/>
          <w:sz w:val="36"/>
          <w:szCs w:val="44"/>
        </w:rPr>
        <w:tab/>
      </w:r>
      <w:r>
        <w:rPr>
          <w:rFonts w:hint="eastAsia" w:ascii="宋体" w:hAnsi="宋体" w:cs="宋体"/>
          <w:b/>
          <w:kern w:val="0"/>
          <w:sz w:val="36"/>
          <w:szCs w:val="44"/>
        </w:rPr>
        <w:tab/>
      </w:r>
      <w:r>
        <w:rPr>
          <w:rFonts w:hint="eastAsia" w:ascii="宋体" w:hAnsi="宋体" w:cs="宋体"/>
          <w:b/>
          <w:kern w:val="0"/>
          <w:sz w:val="36"/>
          <w:szCs w:val="44"/>
        </w:rPr>
        <w:tab/>
      </w:r>
      <w:bookmarkStart w:id="338" w:name="_Toc2454"/>
      <w:r>
        <w:rPr>
          <w:rFonts w:hint="eastAsia" w:ascii="宋体" w:hAnsi="宋体" w:cs="宋体"/>
          <w:b/>
          <w:kern w:val="0"/>
          <w:sz w:val="36"/>
          <w:szCs w:val="44"/>
        </w:rPr>
        <w:t>XXX森林消防总队物资采购合同</w:t>
      </w:r>
      <w:bookmarkEnd w:id="338"/>
    </w:p>
    <w:p>
      <w:pPr>
        <w:adjustRightInd w:val="0"/>
        <w:spacing w:line="360" w:lineRule="auto"/>
        <w:ind w:firstLine="480" w:firstLineChars="200"/>
        <w:textAlignment w:val="baseline"/>
        <w:rPr>
          <w:rFonts w:ascii="宋体" w:hAnsi="宋体" w:cs="宋体"/>
          <w:b/>
          <w:kern w:val="0"/>
          <w:sz w:val="24"/>
          <w:szCs w:val="32"/>
        </w:rPr>
      </w:pPr>
      <w:r>
        <w:rPr>
          <w:rFonts w:hint="eastAsia" w:ascii="宋体" w:hAnsi="宋体" w:cs="宋体"/>
          <w:kern w:val="0"/>
          <w:sz w:val="24"/>
          <w:szCs w:val="20"/>
        </w:rPr>
        <mc:AlternateContent>
          <mc:Choice Requires="wps">
            <w:drawing>
              <wp:anchor distT="0" distB="0" distL="114300" distR="114300" simplePos="0" relativeHeight="251663360" behindDoc="0" locked="0" layoutInCell="1" allowOverlap="1">
                <wp:simplePos x="0" y="0"/>
                <wp:positionH relativeFrom="column">
                  <wp:posOffset>1370965</wp:posOffset>
                </wp:positionH>
                <wp:positionV relativeFrom="paragraph">
                  <wp:posOffset>242570</wp:posOffset>
                </wp:positionV>
                <wp:extent cx="3374390" cy="0"/>
                <wp:effectExtent l="0" t="4445" r="0" b="5080"/>
                <wp:wrapNone/>
                <wp:docPr id="7" name="直接连接符 7"/>
                <wp:cNvGraphicFramePr/>
                <a:graphic xmlns:a="http://schemas.openxmlformats.org/drawingml/2006/main">
                  <a:graphicData uri="http://schemas.microsoft.com/office/word/2010/wordprocessingShape">
                    <wps:wsp>
                      <wps:cNvCnPr/>
                      <wps:spPr>
                        <a:xfrm flipV="1">
                          <a:off x="0" y="0"/>
                          <a:ext cx="337439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flip:y;margin-left:107.95pt;margin-top:19.1pt;height:0pt;width:265.7pt;z-index:251663360;mso-width-relative:page;mso-height-relative:page;" filled="f" stroked="t" coordsize="21600,21600" o:gfxdata="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eU6XzXAAAACQEAAA8AAAAAAAAAAQAgAAAAIgAAAGRycy9kb3ducmV2LnhtbFBLAQIU&#10;ABQAAAAIAIdO4kD7pVI79AEAAOIDAAAOAAAAAAAAAAEAIAAAACYBAABkcnMvZTJvRG9jLnhtbFBL&#10;BQYAAAAABgAGAFkBAACMBQAAAAA=&#10;">
                <v:fill on="f" focussize="0,0"/>
                <v:stroke color="#000000" joinstyle="round"/>
                <v:imagedata o:title=""/>
                <o:lock v:ext="edit" aspectratio="f"/>
              </v:line>
            </w:pict>
          </mc:Fallback>
        </mc:AlternateContent>
      </w:r>
      <w:r>
        <w:rPr>
          <w:rFonts w:hint="eastAsia" w:ascii="宋体" w:hAnsi="宋体" w:cs="宋体"/>
          <w:kern w:val="0"/>
          <w:sz w:val="24"/>
          <w:szCs w:val="32"/>
        </w:rPr>
        <w:t xml:space="preserve">需方（甲方）：       </w:t>
      </w:r>
      <w:r>
        <w:rPr>
          <w:rFonts w:hint="eastAsia" w:ascii="宋体" w:hAnsi="宋体" w:cs="宋体"/>
          <w:kern w:val="0"/>
          <w:sz w:val="22"/>
          <w:szCs w:val="28"/>
        </w:rPr>
        <w:t xml:space="preserve"> </w:t>
      </w:r>
      <w:r>
        <w:rPr>
          <w:rFonts w:hint="eastAsia" w:ascii="宋体" w:hAnsi="宋体" w:cs="宋体"/>
          <w:kern w:val="0"/>
          <w:sz w:val="24"/>
          <w:szCs w:val="32"/>
        </w:rPr>
        <w:t xml:space="preserve">  XXX森林消防总队</w:t>
      </w:r>
    </w:p>
    <w:p>
      <w:pPr>
        <w:adjustRightInd w:val="0"/>
        <w:spacing w:line="360" w:lineRule="auto"/>
        <w:textAlignment w:val="baseline"/>
        <w:rPr>
          <w:rFonts w:ascii="宋体" w:hAnsi="宋体" w:cs="宋体"/>
          <w:b/>
          <w:spacing w:val="-4"/>
          <w:kern w:val="0"/>
          <w:sz w:val="28"/>
          <w:szCs w:val="28"/>
        </w:rPr>
      </w:pPr>
      <w:r>
        <w:rPr>
          <w:rFonts w:hint="eastAsia" w:ascii="宋体" w:hAnsi="宋体" w:cs="宋体"/>
          <w:kern w:val="0"/>
          <w:sz w:val="24"/>
          <w:szCs w:val="20"/>
        </w:rPr>
        <mc:AlternateContent>
          <mc:Choice Requires="wps">
            <w:drawing>
              <wp:anchor distT="0" distB="0" distL="114300" distR="114300" simplePos="0" relativeHeight="251664384" behindDoc="0" locked="0" layoutInCell="1" allowOverlap="1">
                <wp:simplePos x="0" y="0"/>
                <wp:positionH relativeFrom="column">
                  <wp:posOffset>1379220</wp:posOffset>
                </wp:positionH>
                <wp:positionV relativeFrom="paragraph">
                  <wp:posOffset>226060</wp:posOffset>
                </wp:positionV>
                <wp:extent cx="3383915" cy="0"/>
                <wp:effectExtent l="0" t="4445" r="0" b="5080"/>
                <wp:wrapNone/>
                <wp:docPr id="6" name="直接连接符 6"/>
                <wp:cNvGraphicFramePr/>
                <a:graphic xmlns:a="http://schemas.openxmlformats.org/drawingml/2006/main">
                  <a:graphicData uri="http://schemas.microsoft.com/office/word/2010/wordprocessingShape">
                    <wps:wsp>
                      <wps:cNvCnPr/>
                      <wps:spPr>
                        <a:xfrm>
                          <a:off x="0" y="0"/>
                          <a:ext cx="33839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108.6pt;margin-top:17.8pt;height:0pt;width:266.45pt;z-index:251664384;mso-width-relative:page;mso-height-relative:page;" filled="f" stroked="t" coordsize="21600,21600" o:gfxdata="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Q&#10;WEAn1wAAAAkBAAAPAAAAAAAAAAEAIAAAACIAAABkcnMvZG93bnJldi54bWxQSwECFAAUAAAACACH&#10;TuJA5B13fuwBAADYAwAADgAAAAAAAAABACAAAAAmAQAAZHJzL2Uyb0RvYy54bWxQSwUGAAAAAAYA&#10;BgBZAQAAhAUAAAAA&#10;">
                <v:fill on="f" focussize="0,0"/>
                <v:stroke color="#000000" joinstyle="round"/>
                <v:imagedata o:title=""/>
                <o:lock v:ext="edit" aspectratio="f"/>
              </v:line>
            </w:pict>
          </mc:Fallback>
        </mc:AlternateContent>
      </w:r>
      <w:r>
        <w:rPr>
          <w:rFonts w:hint="eastAsia" w:ascii="宋体" w:hAnsi="宋体" w:cs="宋体"/>
          <w:kern w:val="0"/>
          <w:sz w:val="24"/>
          <w:szCs w:val="32"/>
        </w:rPr>
        <w:t xml:space="preserve">    供方（乙方）：    </w:t>
      </w:r>
    </w:p>
    <w:p>
      <w:pPr>
        <w:adjustRightInd w:val="0"/>
        <w:spacing w:line="360" w:lineRule="auto"/>
        <w:ind w:firstLine="480" w:firstLineChars="200"/>
        <w:textAlignment w:val="baseline"/>
        <w:rPr>
          <w:rFonts w:ascii="宋体" w:hAnsi="宋体" w:cs="宋体"/>
          <w:b/>
          <w:kern w:val="0"/>
          <w:sz w:val="24"/>
          <w:szCs w:val="32"/>
        </w:rPr>
      </w:pPr>
      <w:r>
        <w:rPr>
          <w:rFonts w:hint="eastAsia" w:ascii="宋体" w:hAnsi="宋体" w:cs="宋体"/>
          <w:kern w:val="0"/>
          <w:sz w:val="24"/>
          <w:szCs w:val="32"/>
        </w:rPr>
        <w:t xml:space="preserve">订立时间：  </w:t>
      </w:r>
      <w:r>
        <w:rPr>
          <w:rFonts w:hint="eastAsia" w:ascii="宋体" w:hAnsi="宋体" w:cs="宋体"/>
          <w:kern w:val="0"/>
          <w:sz w:val="24"/>
          <w:szCs w:val="32"/>
          <w:lang w:val="en-US" w:eastAsia="zh-CN"/>
        </w:rPr>
        <w:t xml:space="preserve">  </w:t>
      </w:r>
      <w:r>
        <w:rPr>
          <w:rFonts w:hint="eastAsia" w:ascii="宋体" w:hAnsi="宋体" w:cs="宋体"/>
          <w:kern w:val="0"/>
          <w:sz w:val="24"/>
          <w:szCs w:val="32"/>
        </w:rPr>
        <w:t>年  月  日</w:t>
      </w:r>
    </w:p>
    <w:p>
      <w:pPr>
        <w:adjustRightInd w:val="0"/>
        <w:spacing w:line="360" w:lineRule="auto"/>
        <w:ind w:firstLine="480" w:firstLineChars="200"/>
        <w:textAlignment w:val="baseline"/>
        <w:rPr>
          <w:rFonts w:ascii="宋体" w:hAnsi="宋体" w:cs="宋体"/>
          <w:b/>
          <w:kern w:val="0"/>
          <w:sz w:val="24"/>
          <w:szCs w:val="32"/>
        </w:rPr>
      </w:pPr>
      <w:r>
        <w:rPr>
          <w:rFonts w:hint="eastAsia" w:ascii="宋体" w:hAnsi="宋体" w:cs="宋体"/>
          <w:kern w:val="0"/>
          <w:sz w:val="24"/>
          <w:szCs w:val="32"/>
        </w:rPr>
        <w:t>订立地点：XXX森林消防总队机关</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甲方（采购人）</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rPr>
        <w:t>所属</w:t>
      </w:r>
      <w:r>
        <w:rPr>
          <w:rFonts w:hint="eastAsia" w:ascii="宋体" w:hAnsi="宋体" w:cs="宋体"/>
          <w:kern w:val="0"/>
          <w:sz w:val="24"/>
          <w:szCs w:val="32"/>
          <w:u w:val="single"/>
          <w:lang w:val="en-US" w:eastAsia="zh-CN"/>
        </w:rPr>
        <w:t xml:space="preserve">    （项目名称）     </w:t>
      </w:r>
      <w:r>
        <w:rPr>
          <w:rFonts w:hint="eastAsia" w:ascii="宋体" w:hAnsi="宋体" w:cs="宋体"/>
          <w:kern w:val="0"/>
          <w:sz w:val="24"/>
          <w:szCs w:val="32"/>
        </w:rPr>
        <w:t>项目，以</w:t>
      </w:r>
      <w:r>
        <w:rPr>
          <w:rFonts w:hint="eastAsia" w:ascii="宋体" w:hAnsi="宋体" w:cs="宋体"/>
          <w:kern w:val="0"/>
          <w:sz w:val="24"/>
          <w:szCs w:val="32"/>
          <w:u w:val="single"/>
        </w:rPr>
        <w:t xml:space="preserve"> 公开招标</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rPr>
        <w:t>方式进行采购，经过合法合规的采购程序，确定</w:t>
      </w:r>
      <w:r>
        <w:rPr>
          <w:rFonts w:hint="eastAsia" w:ascii="宋体" w:hAnsi="宋体" w:cs="宋体"/>
          <w:kern w:val="0"/>
          <w:sz w:val="24"/>
          <w:szCs w:val="32"/>
          <w:u w:val="single"/>
          <w:lang w:val="en-US" w:eastAsia="zh-CN"/>
        </w:rPr>
        <w:t xml:space="preserve">   （标段名称）   </w:t>
      </w:r>
      <w:r>
        <w:rPr>
          <w:rFonts w:hint="eastAsia" w:ascii="宋体" w:hAnsi="宋体" w:cs="宋体"/>
          <w:kern w:val="0"/>
          <w:sz w:val="24"/>
          <w:szCs w:val="32"/>
          <w:u w:val="none"/>
          <w:lang w:val="en-US" w:eastAsia="zh-CN"/>
        </w:rPr>
        <w:t>的</w:t>
      </w:r>
      <w:r>
        <w:rPr>
          <w:rFonts w:hint="eastAsia" w:ascii="宋体" w:hAnsi="宋体" w:cs="宋体"/>
          <w:kern w:val="0"/>
          <w:sz w:val="24"/>
          <w:szCs w:val="32"/>
        </w:rPr>
        <w:t>乙方</w:t>
      </w:r>
      <w:r>
        <w:rPr>
          <w:rFonts w:hint="eastAsia" w:ascii="宋体" w:hAnsi="宋体" w:cs="宋体"/>
          <w:kern w:val="0"/>
          <w:sz w:val="24"/>
          <w:szCs w:val="32"/>
          <w:u w:val="single"/>
        </w:rPr>
        <w:t xml:space="preserve">    （中标人）   </w:t>
      </w:r>
      <w:r>
        <w:rPr>
          <w:rFonts w:hint="eastAsia" w:ascii="宋体" w:hAnsi="宋体" w:cs="宋体"/>
          <w:kern w:val="0"/>
          <w:sz w:val="24"/>
          <w:szCs w:val="32"/>
        </w:rPr>
        <w:t>为中标人。甲、乙双方根据《中华人民共和国民法典》、《中华人民共和国政府采购法》和国家法律、法规的规定，并按照公正、平等、自愿、诚实信用的原则，经甲乙双方协商一致，订立本合同，以便共同遵守。</w:t>
      </w:r>
    </w:p>
    <w:p>
      <w:pPr>
        <w:adjustRightInd w:val="0"/>
        <w:spacing w:line="360" w:lineRule="auto"/>
        <w:textAlignment w:val="baseline"/>
        <w:rPr>
          <w:rFonts w:ascii="宋体" w:hAnsi="宋体" w:cs="宋体"/>
          <w:b/>
          <w:kern w:val="0"/>
          <w:sz w:val="24"/>
          <w:szCs w:val="20"/>
        </w:rPr>
      </w:pPr>
      <w:r>
        <w:rPr>
          <w:rFonts w:hint="eastAsia" w:ascii="宋体" w:hAnsi="宋体" w:cs="宋体"/>
          <w:b/>
          <w:kern w:val="0"/>
          <w:sz w:val="24"/>
          <w:szCs w:val="20"/>
        </w:rPr>
        <w:t>一、物资名称、计量单位、数量、单价、金额、交货期限</w:t>
      </w:r>
    </w:p>
    <w:tbl>
      <w:tblPr>
        <w:tblStyle w:val="25"/>
        <w:tblW w:w="9344" w:type="dxa"/>
        <w:tblInd w:w="0" w:type="dxa"/>
        <w:tblLayout w:type="fixed"/>
        <w:tblCellMar>
          <w:top w:w="0" w:type="dxa"/>
          <w:left w:w="108" w:type="dxa"/>
          <w:bottom w:w="0" w:type="dxa"/>
          <w:right w:w="108" w:type="dxa"/>
        </w:tblCellMar>
      </w:tblPr>
      <w:tblGrid>
        <w:gridCol w:w="620"/>
        <w:gridCol w:w="2228"/>
        <w:gridCol w:w="759"/>
        <w:gridCol w:w="906"/>
        <w:gridCol w:w="1069"/>
        <w:gridCol w:w="1975"/>
        <w:gridCol w:w="1787"/>
      </w:tblGrid>
      <w:tr>
        <w:tblPrEx>
          <w:tblCellMar>
            <w:top w:w="0" w:type="dxa"/>
            <w:left w:w="108" w:type="dxa"/>
            <w:bottom w:w="0" w:type="dxa"/>
            <w:right w:w="108" w:type="dxa"/>
          </w:tblCellMar>
        </w:tblPrEx>
        <w:trPr>
          <w:trHeight w:val="489" w:hRule="atLeast"/>
        </w:trPr>
        <w:tc>
          <w:tcPr>
            <w:tcW w:w="620" w:type="dxa"/>
            <w:tcBorders>
              <w:top w:val="single" w:color="auto" w:sz="4" w:space="0"/>
              <w:left w:val="single" w:color="auto" w:sz="4" w:space="0"/>
              <w:bottom w:val="single" w:color="auto" w:sz="4" w:space="0"/>
              <w:right w:val="single" w:color="auto" w:sz="4" w:space="0"/>
            </w:tcBorders>
            <w:vAlign w:val="center"/>
          </w:tcPr>
          <w:p>
            <w:pPr>
              <w:adjustRightInd w:val="0"/>
              <w:spacing w:line="300" w:lineRule="exact"/>
              <w:jc w:val="center"/>
              <w:textAlignment w:val="baseline"/>
              <w:rPr>
                <w:rFonts w:ascii="宋体" w:hAnsi="宋体" w:cs="宋体"/>
                <w:b/>
                <w:kern w:val="0"/>
                <w:sz w:val="24"/>
                <w:szCs w:val="24"/>
              </w:rPr>
            </w:pPr>
            <w:r>
              <w:rPr>
                <w:rFonts w:hint="eastAsia" w:ascii="宋体" w:hAnsi="宋体" w:cs="宋体"/>
                <w:kern w:val="0"/>
                <w:sz w:val="24"/>
                <w:szCs w:val="24"/>
              </w:rPr>
              <w:t>序号</w:t>
            </w:r>
          </w:p>
        </w:tc>
        <w:tc>
          <w:tcPr>
            <w:tcW w:w="2228" w:type="dxa"/>
            <w:tcBorders>
              <w:top w:val="single" w:color="auto" w:sz="4" w:space="0"/>
              <w:left w:val="single" w:color="auto" w:sz="4" w:space="0"/>
              <w:bottom w:val="single" w:color="auto" w:sz="4" w:space="0"/>
              <w:right w:val="single" w:color="auto" w:sz="4" w:space="0"/>
            </w:tcBorders>
            <w:vAlign w:val="center"/>
          </w:tcPr>
          <w:p>
            <w:pPr>
              <w:adjustRightInd w:val="0"/>
              <w:spacing w:line="300" w:lineRule="exact"/>
              <w:jc w:val="center"/>
              <w:textAlignment w:val="baseline"/>
              <w:rPr>
                <w:rFonts w:ascii="宋体" w:hAnsi="宋体" w:cs="宋体"/>
                <w:kern w:val="0"/>
                <w:sz w:val="24"/>
                <w:szCs w:val="24"/>
              </w:rPr>
            </w:pPr>
            <w:r>
              <w:rPr>
                <w:rFonts w:hint="eastAsia" w:ascii="宋体" w:hAnsi="宋体" w:cs="宋体"/>
                <w:kern w:val="0"/>
                <w:sz w:val="24"/>
                <w:szCs w:val="24"/>
              </w:rPr>
              <w:t>物资名称</w:t>
            </w:r>
          </w:p>
        </w:tc>
        <w:tc>
          <w:tcPr>
            <w:tcW w:w="759" w:type="dxa"/>
            <w:tcBorders>
              <w:top w:val="single" w:color="auto" w:sz="4" w:space="0"/>
              <w:left w:val="nil"/>
              <w:bottom w:val="single" w:color="auto" w:sz="4" w:space="0"/>
              <w:right w:val="single" w:color="auto" w:sz="4" w:space="0"/>
            </w:tcBorders>
            <w:vAlign w:val="center"/>
          </w:tcPr>
          <w:p>
            <w:pPr>
              <w:adjustRightInd w:val="0"/>
              <w:spacing w:line="300" w:lineRule="exact"/>
              <w:jc w:val="center"/>
              <w:textAlignment w:val="baseline"/>
              <w:rPr>
                <w:rFonts w:ascii="宋体" w:hAnsi="宋体" w:cs="宋体"/>
                <w:b/>
                <w:kern w:val="0"/>
                <w:sz w:val="24"/>
                <w:szCs w:val="24"/>
              </w:rPr>
            </w:pPr>
            <w:r>
              <w:rPr>
                <w:rFonts w:hint="eastAsia" w:ascii="宋体" w:hAnsi="宋体" w:cs="宋体"/>
                <w:kern w:val="0"/>
                <w:sz w:val="24"/>
                <w:szCs w:val="24"/>
              </w:rPr>
              <w:t>单位</w:t>
            </w:r>
          </w:p>
        </w:tc>
        <w:tc>
          <w:tcPr>
            <w:tcW w:w="906" w:type="dxa"/>
            <w:tcBorders>
              <w:top w:val="single" w:color="auto" w:sz="4" w:space="0"/>
              <w:left w:val="nil"/>
              <w:bottom w:val="single" w:color="auto" w:sz="4" w:space="0"/>
              <w:right w:val="single" w:color="auto" w:sz="4" w:space="0"/>
            </w:tcBorders>
            <w:vAlign w:val="center"/>
          </w:tcPr>
          <w:p>
            <w:pPr>
              <w:adjustRightInd w:val="0"/>
              <w:spacing w:line="300" w:lineRule="exact"/>
              <w:jc w:val="center"/>
              <w:textAlignment w:val="baseline"/>
              <w:rPr>
                <w:rFonts w:ascii="宋体" w:hAnsi="宋体" w:cs="宋体"/>
                <w:b/>
                <w:kern w:val="0"/>
                <w:sz w:val="24"/>
                <w:szCs w:val="24"/>
              </w:rPr>
            </w:pPr>
            <w:r>
              <w:rPr>
                <w:rFonts w:hint="eastAsia" w:ascii="宋体" w:hAnsi="宋体" w:cs="宋体"/>
                <w:kern w:val="0"/>
                <w:sz w:val="24"/>
                <w:szCs w:val="24"/>
              </w:rPr>
              <w:t>数量</w:t>
            </w:r>
          </w:p>
        </w:tc>
        <w:tc>
          <w:tcPr>
            <w:tcW w:w="1069" w:type="dxa"/>
            <w:tcBorders>
              <w:top w:val="single" w:color="auto" w:sz="4" w:space="0"/>
              <w:left w:val="nil"/>
              <w:bottom w:val="single" w:color="auto" w:sz="4" w:space="0"/>
              <w:right w:val="single" w:color="auto" w:sz="4" w:space="0"/>
            </w:tcBorders>
            <w:vAlign w:val="center"/>
          </w:tcPr>
          <w:p>
            <w:pPr>
              <w:adjustRightInd w:val="0"/>
              <w:spacing w:line="300" w:lineRule="exact"/>
              <w:jc w:val="center"/>
              <w:textAlignment w:val="baseline"/>
              <w:rPr>
                <w:rFonts w:ascii="宋体" w:hAnsi="宋体" w:cs="宋体"/>
                <w:kern w:val="0"/>
                <w:sz w:val="24"/>
                <w:szCs w:val="24"/>
              </w:rPr>
            </w:pPr>
            <w:r>
              <w:rPr>
                <w:rFonts w:hint="eastAsia" w:ascii="宋体" w:hAnsi="宋体" w:cs="宋体"/>
                <w:kern w:val="0"/>
                <w:sz w:val="24"/>
                <w:szCs w:val="24"/>
              </w:rPr>
              <w:t>单价（元）</w:t>
            </w:r>
          </w:p>
        </w:tc>
        <w:tc>
          <w:tcPr>
            <w:tcW w:w="1975" w:type="dxa"/>
            <w:tcBorders>
              <w:top w:val="single" w:color="auto" w:sz="4" w:space="0"/>
              <w:left w:val="nil"/>
              <w:bottom w:val="single" w:color="auto" w:sz="4" w:space="0"/>
              <w:right w:val="single" w:color="auto" w:sz="4" w:space="0"/>
            </w:tcBorders>
            <w:vAlign w:val="center"/>
          </w:tcPr>
          <w:p>
            <w:pPr>
              <w:adjustRightInd w:val="0"/>
              <w:spacing w:line="300" w:lineRule="exact"/>
              <w:jc w:val="center"/>
              <w:textAlignment w:val="baseline"/>
              <w:rPr>
                <w:rFonts w:ascii="宋体" w:hAnsi="宋体" w:cs="宋体"/>
                <w:b/>
                <w:kern w:val="0"/>
                <w:sz w:val="24"/>
                <w:szCs w:val="24"/>
              </w:rPr>
            </w:pPr>
            <w:r>
              <w:rPr>
                <w:rFonts w:hint="eastAsia" w:ascii="宋体" w:hAnsi="宋体" w:cs="宋体"/>
                <w:kern w:val="0"/>
                <w:sz w:val="24"/>
                <w:szCs w:val="24"/>
              </w:rPr>
              <w:t>金额（元）</w:t>
            </w:r>
          </w:p>
        </w:tc>
        <w:tc>
          <w:tcPr>
            <w:tcW w:w="1787" w:type="dxa"/>
            <w:tcBorders>
              <w:top w:val="single" w:color="auto" w:sz="4" w:space="0"/>
              <w:left w:val="nil"/>
              <w:bottom w:val="single" w:color="auto" w:sz="4" w:space="0"/>
              <w:right w:val="single" w:color="auto" w:sz="4" w:space="0"/>
            </w:tcBorders>
            <w:vAlign w:val="center"/>
          </w:tcPr>
          <w:p>
            <w:pPr>
              <w:adjustRightInd w:val="0"/>
              <w:spacing w:line="300" w:lineRule="exact"/>
              <w:jc w:val="center"/>
              <w:textAlignment w:val="baseline"/>
              <w:rPr>
                <w:rFonts w:ascii="宋体" w:hAnsi="宋体" w:cs="宋体"/>
                <w:b/>
                <w:kern w:val="0"/>
                <w:sz w:val="24"/>
                <w:szCs w:val="24"/>
              </w:rPr>
            </w:pPr>
            <w:r>
              <w:rPr>
                <w:rFonts w:hint="eastAsia" w:ascii="宋体" w:hAnsi="宋体" w:cs="宋体"/>
                <w:kern w:val="0"/>
                <w:sz w:val="24"/>
                <w:szCs w:val="24"/>
              </w:rPr>
              <w:t>交货期限</w:t>
            </w:r>
          </w:p>
        </w:tc>
      </w:tr>
      <w:tr>
        <w:tblPrEx>
          <w:tblCellMar>
            <w:top w:w="0" w:type="dxa"/>
            <w:left w:w="108" w:type="dxa"/>
            <w:bottom w:w="0" w:type="dxa"/>
            <w:right w:w="108" w:type="dxa"/>
          </w:tblCellMar>
        </w:tblPrEx>
        <w:trPr>
          <w:trHeight w:val="570" w:hRule="atLeast"/>
        </w:trPr>
        <w:tc>
          <w:tcPr>
            <w:tcW w:w="620" w:type="dxa"/>
            <w:tcBorders>
              <w:top w:val="single" w:color="auto" w:sz="4" w:space="0"/>
              <w:left w:val="single" w:color="auto" w:sz="4" w:space="0"/>
              <w:bottom w:val="single" w:color="auto" w:sz="4" w:space="0"/>
              <w:right w:val="single" w:color="auto" w:sz="4" w:space="0"/>
            </w:tcBorders>
            <w:vAlign w:val="center"/>
          </w:tcPr>
          <w:p>
            <w:pPr>
              <w:widowControl/>
              <w:adjustRightInd w:val="0"/>
              <w:spacing w:line="360" w:lineRule="atLeast"/>
              <w:jc w:val="center"/>
              <w:textAlignment w:val="baseline"/>
              <w:rPr>
                <w:rFonts w:hint="eastAsia" w:ascii="宋体" w:hAnsi="宋体" w:cs="宋体" w:eastAsiaTheme="minorEastAsia"/>
                <w:kern w:val="0"/>
                <w:sz w:val="24"/>
                <w:szCs w:val="24"/>
                <w:lang w:val="en-US" w:eastAsia="zh-CN"/>
              </w:rPr>
            </w:pPr>
            <w:r>
              <w:rPr>
                <w:rFonts w:hint="eastAsia" w:ascii="宋体" w:hAnsi="宋体" w:cs="宋体"/>
                <w:kern w:val="0"/>
                <w:sz w:val="24"/>
                <w:szCs w:val="24"/>
                <w:lang w:val="en-US" w:eastAsia="zh-CN"/>
              </w:rPr>
              <w:t>1</w:t>
            </w:r>
          </w:p>
        </w:tc>
        <w:tc>
          <w:tcPr>
            <w:tcW w:w="2228" w:type="dxa"/>
            <w:tcBorders>
              <w:top w:val="single" w:color="auto" w:sz="4" w:space="0"/>
              <w:left w:val="single" w:color="auto" w:sz="4" w:space="0"/>
              <w:bottom w:val="single" w:color="auto" w:sz="4" w:space="0"/>
              <w:right w:val="single" w:color="auto" w:sz="4" w:space="0"/>
            </w:tcBorders>
            <w:vAlign w:val="center"/>
          </w:tcPr>
          <w:p>
            <w:pPr>
              <w:adjustRightInd w:val="0"/>
              <w:spacing w:line="360" w:lineRule="atLeast"/>
              <w:jc w:val="center"/>
              <w:textAlignment w:val="baseline"/>
              <w:rPr>
                <w:rFonts w:ascii="宋体" w:hAnsi="宋体" w:cs="宋体"/>
                <w:kern w:val="0"/>
                <w:sz w:val="24"/>
                <w:szCs w:val="24"/>
              </w:rPr>
            </w:pPr>
          </w:p>
        </w:tc>
        <w:tc>
          <w:tcPr>
            <w:tcW w:w="759" w:type="dxa"/>
            <w:tcBorders>
              <w:top w:val="single" w:color="auto" w:sz="4" w:space="0"/>
              <w:left w:val="nil"/>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906" w:type="dxa"/>
            <w:tcBorders>
              <w:top w:val="single" w:color="auto" w:sz="4" w:space="0"/>
              <w:left w:val="nil"/>
              <w:bottom w:val="single" w:color="auto" w:sz="4" w:space="0"/>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069" w:type="dxa"/>
            <w:tcBorders>
              <w:top w:val="single" w:color="auto" w:sz="4" w:space="0"/>
              <w:left w:val="nil"/>
              <w:bottom w:val="single" w:color="auto" w:sz="4" w:space="0"/>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975" w:type="dxa"/>
            <w:tcBorders>
              <w:top w:val="single" w:color="auto" w:sz="4" w:space="0"/>
              <w:left w:val="nil"/>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787" w:type="dxa"/>
            <w:vMerge w:val="restart"/>
            <w:tcBorders>
              <w:top w:val="single" w:color="auto" w:sz="4" w:space="0"/>
              <w:left w:val="nil"/>
              <w:right w:val="single" w:color="auto" w:sz="4" w:space="0"/>
            </w:tcBorders>
            <w:vAlign w:val="center"/>
          </w:tcPr>
          <w:p>
            <w:pPr>
              <w:adjustRightInd w:val="0"/>
              <w:spacing w:line="360" w:lineRule="atLeast"/>
              <w:jc w:val="left"/>
              <w:textAlignment w:val="baseline"/>
              <w:rPr>
                <w:rFonts w:ascii="宋体" w:hAnsi="宋体" w:cs="宋体"/>
                <w:kern w:val="0"/>
                <w:sz w:val="24"/>
                <w:szCs w:val="24"/>
              </w:rPr>
            </w:pPr>
          </w:p>
        </w:tc>
      </w:tr>
      <w:tr>
        <w:tblPrEx>
          <w:tblCellMar>
            <w:top w:w="0" w:type="dxa"/>
            <w:left w:w="108" w:type="dxa"/>
            <w:bottom w:w="0" w:type="dxa"/>
            <w:right w:w="108" w:type="dxa"/>
          </w:tblCellMar>
        </w:tblPrEx>
        <w:trPr>
          <w:trHeight w:val="570" w:hRule="atLeast"/>
        </w:trPr>
        <w:tc>
          <w:tcPr>
            <w:tcW w:w="620" w:type="dxa"/>
            <w:tcBorders>
              <w:top w:val="single" w:color="auto" w:sz="4" w:space="0"/>
              <w:left w:val="single" w:color="auto" w:sz="4" w:space="0"/>
              <w:bottom w:val="single" w:color="auto" w:sz="4" w:space="0"/>
              <w:right w:val="single" w:color="auto" w:sz="4" w:space="0"/>
            </w:tcBorders>
            <w:vAlign w:val="center"/>
          </w:tcPr>
          <w:p>
            <w:pPr>
              <w:widowControl/>
              <w:adjustRightInd w:val="0"/>
              <w:spacing w:line="360" w:lineRule="atLeast"/>
              <w:jc w:val="center"/>
              <w:textAlignment w:val="baseline"/>
              <w:rPr>
                <w:rFonts w:hint="default" w:ascii="宋体" w:hAnsi="宋体" w:cs="宋体" w:eastAsiaTheme="minorEastAsia"/>
                <w:kern w:val="0"/>
                <w:sz w:val="24"/>
                <w:szCs w:val="24"/>
                <w:lang w:val="en-US" w:eastAsia="zh-CN"/>
              </w:rPr>
            </w:pPr>
            <w:r>
              <w:rPr>
                <w:rFonts w:hint="eastAsia" w:ascii="宋体" w:hAnsi="宋体" w:cs="宋体"/>
                <w:kern w:val="0"/>
                <w:sz w:val="24"/>
                <w:szCs w:val="24"/>
                <w:lang w:val="en-US" w:eastAsia="zh-CN"/>
              </w:rPr>
              <w:t>...</w:t>
            </w:r>
          </w:p>
        </w:tc>
        <w:tc>
          <w:tcPr>
            <w:tcW w:w="2228" w:type="dxa"/>
            <w:tcBorders>
              <w:top w:val="single" w:color="auto" w:sz="4" w:space="0"/>
              <w:left w:val="single" w:color="auto" w:sz="4" w:space="0"/>
              <w:bottom w:val="single" w:color="auto" w:sz="4" w:space="0"/>
              <w:right w:val="single" w:color="auto" w:sz="4" w:space="0"/>
            </w:tcBorders>
            <w:vAlign w:val="center"/>
          </w:tcPr>
          <w:p>
            <w:pPr>
              <w:adjustRightInd w:val="0"/>
              <w:spacing w:line="360" w:lineRule="atLeast"/>
              <w:jc w:val="center"/>
              <w:textAlignment w:val="baseline"/>
              <w:rPr>
                <w:rFonts w:ascii="宋体" w:hAnsi="宋体" w:cs="宋体"/>
                <w:kern w:val="0"/>
                <w:sz w:val="24"/>
                <w:szCs w:val="24"/>
              </w:rPr>
            </w:pPr>
          </w:p>
        </w:tc>
        <w:tc>
          <w:tcPr>
            <w:tcW w:w="759" w:type="dxa"/>
            <w:tcBorders>
              <w:top w:val="single" w:color="auto" w:sz="4" w:space="0"/>
              <w:left w:val="nil"/>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906" w:type="dxa"/>
            <w:tcBorders>
              <w:top w:val="single" w:color="auto" w:sz="4" w:space="0"/>
              <w:left w:val="nil"/>
              <w:bottom w:val="single" w:color="auto" w:sz="4" w:space="0"/>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069" w:type="dxa"/>
            <w:tcBorders>
              <w:top w:val="single" w:color="auto" w:sz="4" w:space="0"/>
              <w:left w:val="nil"/>
              <w:bottom w:val="single" w:color="auto" w:sz="4" w:space="0"/>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975" w:type="dxa"/>
            <w:tcBorders>
              <w:top w:val="single" w:color="auto" w:sz="4" w:space="0"/>
              <w:left w:val="nil"/>
              <w:right w:val="single" w:color="auto" w:sz="4" w:space="0"/>
            </w:tcBorders>
            <w:vAlign w:val="center"/>
          </w:tcPr>
          <w:p>
            <w:pPr>
              <w:widowControl/>
              <w:adjustRightInd w:val="0"/>
              <w:spacing w:line="360" w:lineRule="atLeast"/>
              <w:jc w:val="center"/>
              <w:textAlignment w:val="baseline"/>
              <w:rPr>
                <w:rFonts w:ascii="宋体" w:hAnsi="宋体" w:cs="宋体"/>
                <w:kern w:val="0"/>
                <w:sz w:val="24"/>
                <w:szCs w:val="24"/>
              </w:rPr>
            </w:pPr>
          </w:p>
        </w:tc>
        <w:tc>
          <w:tcPr>
            <w:tcW w:w="1787" w:type="dxa"/>
            <w:vMerge w:val="continue"/>
            <w:tcBorders>
              <w:left w:val="nil"/>
              <w:right w:val="single" w:color="auto" w:sz="4" w:space="0"/>
            </w:tcBorders>
            <w:vAlign w:val="center"/>
          </w:tcPr>
          <w:p>
            <w:pPr>
              <w:adjustRightInd w:val="0"/>
              <w:spacing w:line="360" w:lineRule="atLeast"/>
              <w:jc w:val="left"/>
              <w:textAlignment w:val="baseline"/>
              <w:rPr>
                <w:rFonts w:ascii="宋体" w:hAnsi="宋体" w:cs="宋体"/>
                <w:kern w:val="0"/>
                <w:sz w:val="24"/>
                <w:szCs w:val="24"/>
              </w:rPr>
            </w:pPr>
          </w:p>
        </w:tc>
      </w:tr>
      <w:tr>
        <w:tblPrEx>
          <w:tblCellMar>
            <w:top w:w="0" w:type="dxa"/>
            <w:left w:w="108" w:type="dxa"/>
            <w:bottom w:w="0" w:type="dxa"/>
            <w:right w:w="108" w:type="dxa"/>
          </w:tblCellMar>
        </w:tblPrEx>
        <w:trPr>
          <w:trHeight w:val="570" w:hRule="atLeast"/>
        </w:trPr>
        <w:tc>
          <w:tcPr>
            <w:tcW w:w="9344" w:type="dxa"/>
            <w:gridSpan w:val="7"/>
            <w:tcBorders>
              <w:top w:val="single" w:color="auto" w:sz="4" w:space="0"/>
              <w:left w:val="single" w:color="auto" w:sz="4" w:space="0"/>
              <w:bottom w:val="single" w:color="auto" w:sz="4" w:space="0"/>
              <w:right w:val="single" w:color="auto" w:sz="4" w:space="0"/>
            </w:tcBorders>
            <w:vAlign w:val="center"/>
          </w:tcPr>
          <w:p>
            <w:pPr>
              <w:adjustRightInd w:val="0"/>
              <w:spacing w:line="360" w:lineRule="atLeast"/>
              <w:jc w:val="left"/>
              <w:textAlignment w:val="baseline"/>
              <w:rPr>
                <w:rFonts w:ascii="宋体" w:hAnsi="宋体" w:cs="宋体"/>
                <w:kern w:val="0"/>
                <w:sz w:val="24"/>
                <w:szCs w:val="24"/>
              </w:rPr>
            </w:pPr>
            <w:r>
              <w:rPr>
                <w:rFonts w:hint="eastAsia" w:ascii="宋体" w:hAnsi="宋体" w:cs="宋体"/>
                <w:kern w:val="0"/>
                <w:sz w:val="24"/>
                <w:szCs w:val="24"/>
              </w:rPr>
              <w:t>合计人民币金额（大写）:                      （小写）￥:           元</w:t>
            </w:r>
          </w:p>
        </w:tc>
      </w:tr>
      <w:tr>
        <w:tblPrEx>
          <w:tblCellMar>
            <w:top w:w="0" w:type="dxa"/>
            <w:left w:w="108" w:type="dxa"/>
            <w:bottom w:w="0" w:type="dxa"/>
            <w:right w:w="108" w:type="dxa"/>
          </w:tblCellMar>
        </w:tblPrEx>
        <w:trPr>
          <w:trHeight w:val="570" w:hRule="atLeast"/>
        </w:trPr>
        <w:tc>
          <w:tcPr>
            <w:tcW w:w="9344" w:type="dxa"/>
            <w:gridSpan w:val="7"/>
            <w:tcBorders>
              <w:top w:val="single" w:color="auto" w:sz="4" w:space="0"/>
              <w:left w:val="single" w:color="auto" w:sz="4" w:space="0"/>
              <w:bottom w:val="single" w:color="auto" w:sz="4" w:space="0"/>
              <w:right w:val="single" w:color="auto" w:sz="4" w:space="0"/>
            </w:tcBorders>
            <w:vAlign w:val="center"/>
          </w:tcPr>
          <w:p>
            <w:pPr>
              <w:adjustRightInd w:val="0"/>
              <w:spacing w:line="360" w:lineRule="atLeast"/>
              <w:jc w:val="left"/>
              <w:textAlignment w:val="baseline"/>
              <w:rPr>
                <w:rFonts w:ascii="宋体" w:hAnsi="宋体" w:cs="宋体"/>
                <w:kern w:val="0"/>
                <w:sz w:val="24"/>
                <w:szCs w:val="24"/>
              </w:rPr>
            </w:pPr>
            <w:r>
              <w:rPr>
                <w:rFonts w:hint="eastAsia" w:ascii="宋体" w:hAnsi="宋体" w:cs="宋体"/>
                <w:kern w:val="0"/>
                <w:sz w:val="24"/>
                <w:szCs w:val="24"/>
              </w:rPr>
              <w:t>说明：1.合同总金额含税费、包装、运输、保险、检验验收、培训等所有费用；</w:t>
            </w:r>
          </w:p>
          <w:p>
            <w:pPr>
              <w:adjustRightInd w:val="0"/>
              <w:spacing w:line="360" w:lineRule="atLeast"/>
              <w:jc w:val="left"/>
              <w:textAlignment w:val="baseline"/>
              <w:rPr>
                <w:rFonts w:ascii="宋体" w:hAnsi="宋体" w:cs="宋体"/>
                <w:kern w:val="0"/>
                <w:sz w:val="24"/>
                <w:szCs w:val="24"/>
              </w:rPr>
            </w:pPr>
            <w:r>
              <w:rPr>
                <w:rFonts w:hint="eastAsia" w:ascii="宋体" w:hAnsi="宋体" w:cs="宋体"/>
                <w:kern w:val="0"/>
                <w:sz w:val="24"/>
                <w:szCs w:val="24"/>
              </w:rPr>
              <w:t>2.未涉及事项按照招标文件要求及投标文件承诺执行。</w:t>
            </w:r>
          </w:p>
        </w:tc>
      </w:tr>
    </w:tbl>
    <w:p>
      <w:pPr>
        <w:adjustRightInd w:val="0"/>
        <w:spacing w:before="240" w:line="360" w:lineRule="auto"/>
        <w:textAlignment w:val="baseline"/>
        <w:rPr>
          <w:rFonts w:ascii="宋体" w:hAnsi="宋体" w:cs="宋体"/>
          <w:b/>
          <w:kern w:val="0"/>
          <w:sz w:val="24"/>
          <w:szCs w:val="20"/>
        </w:rPr>
      </w:pPr>
      <w:r>
        <w:rPr>
          <w:rFonts w:hint="eastAsia" w:ascii="宋体" w:hAnsi="宋体" w:cs="宋体"/>
          <w:b/>
          <w:kern w:val="0"/>
          <w:sz w:val="24"/>
          <w:szCs w:val="20"/>
        </w:rPr>
        <w:t>二、质量要求及技术标准</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（一）乙方为甲方生产的</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rPr>
        <w:t>，必须按照</w:t>
      </w:r>
      <w:bookmarkStart w:id="339" w:name="_Hlk167874830"/>
      <w:r>
        <w:rPr>
          <w:rFonts w:hint="eastAsia" w:ascii="宋体" w:hAnsi="宋体" w:cs="宋体"/>
          <w:kern w:val="0"/>
          <w:sz w:val="24"/>
          <w:szCs w:val="32"/>
        </w:rPr>
        <w:t>吉林省森林消防总队</w:t>
      </w:r>
      <w:bookmarkEnd w:id="339"/>
      <w:r>
        <w:rPr>
          <w:rFonts w:hint="eastAsia" w:ascii="宋体" w:hAnsi="宋体" w:cs="宋体"/>
          <w:kern w:val="0"/>
          <w:sz w:val="24"/>
          <w:szCs w:val="32"/>
        </w:rPr>
        <w:t>提供的产品技术规范及标样组织生产；如乙方未按约定的技术规范和标样生产，甲方有权拒收乙方产品。</w:t>
      </w:r>
    </w:p>
    <w:p>
      <w:pPr>
        <w:adjustRightInd w:val="0"/>
        <w:spacing w:line="360" w:lineRule="auto"/>
        <w:ind w:firstLine="480" w:firstLineChars="200"/>
        <w:textAlignment w:val="baseline"/>
        <w:rPr>
          <w:rFonts w:hint="eastAsia" w:ascii="宋体" w:hAnsi="宋体" w:cs="宋体"/>
          <w:kern w:val="0"/>
          <w:sz w:val="24"/>
          <w:szCs w:val="32"/>
        </w:rPr>
      </w:pPr>
      <w:r>
        <w:rPr>
          <w:rFonts w:hint="eastAsia" w:ascii="宋体" w:hAnsi="宋体" w:cs="宋体"/>
          <w:kern w:val="0"/>
          <w:sz w:val="24"/>
          <w:szCs w:val="32"/>
        </w:rPr>
        <w:t>（二）乙方应当严格履行标书中明确的生产技术规范，严格按照合同约定的时间、品种、数量完成生产任务。</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三）对甲方尚未确定技术标准的，乙方应及时向吉林省森林消防总队确认生产技术规范，交货日期在甲乙双方原定交货时间基础上由双方协商确定顺延日期，甲方不承担因交货日期顺延所增加的任何费用。相关顺延情形，一律采用书面形式确认。</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（四）甲方通过电子邮件形式，将所需产品具体型号</w:t>
      </w:r>
      <w:r>
        <w:rPr>
          <w:rFonts w:hint="eastAsia" w:ascii="宋体" w:hAnsi="宋体" w:cs="宋体"/>
          <w:kern w:val="0"/>
          <w:sz w:val="24"/>
          <w:szCs w:val="21"/>
          <w:lang w:bidi="ar"/>
        </w:rPr>
        <w:t>于合同签订</w:t>
      </w:r>
      <w:r>
        <w:rPr>
          <w:rFonts w:hint="eastAsia" w:ascii="宋体" w:hAnsi="宋体" w:cs="宋体"/>
          <w:kern w:val="0"/>
          <w:sz w:val="24"/>
          <w:szCs w:val="21"/>
          <w:highlight w:val="none"/>
          <w:lang w:bidi="ar"/>
        </w:rPr>
        <w:t>后</w:t>
      </w:r>
      <w:r>
        <w:rPr>
          <w:rFonts w:hint="eastAsia" w:ascii="宋体" w:hAnsi="宋体" w:cs="宋体"/>
          <w:kern w:val="0"/>
          <w:sz w:val="24"/>
          <w:szCs w:val="21"/>
          <w:highlight w:val="none"/>
          <w:u w:val="single"/>
          <w:lang w:val="en-US" w:eastAsia="zh-CN" w:bidi="ar"/>
        </w:rPr>
        <w:t xml:space="preserve">    </w:t>
      </w:r>
      <w:r>
        <w:rPr>
          <w:rFonts w:hint="eastAsia" w:ascii="宋体" w:hAnsi="宋体" w:cs="宋体"/>
          <w:kern w:val="0"/>
          <w:sz w:val="24"/>
          <w:szCs w:val="21"/>
          <w:highlight w:val="none"/>
          <w:lang w:val="en-US" w:eastAsia="zh-CN" w:bidi="ar"/>
        </w:rPr>
        <w:t xml:space="preserve"> </w:t>
      </w:r>
      <w:r>
        <w:rPr>
          <w:rFonts w:hint="eastAsia" w:ascii="宋体" w:hAnsi="宋体" w:cs="宋体"/>
          <w:kern w:val="0"/>
          <w:sz w:val="24"/>
          <w:szCs w:val="21"/>
          <w:highlight w:val="none"/>
          <w:lang w:bidi="ar"/>
        </w:rPr>
        <w:t>日</w:t>
      </w:r>
      <w:r>
        <w:rPr>
          <w:rFonts w:hint="eastAsia" w:ascii="宋体" w:hAnsi="宋体" w:cs="宋体"/>
          <w:kern w:val="0"/>
          <w:sz w:val="24"/>
          <w:szCs w:val="32"/>
        </w:rPr>
        <w:t>内发给乙方。</w:t>
      </w:r>
    </w:p>
    <w:p>
      <w:pPr>
        <w:adjustRightInd w:val="0"/>
        <w:spacing w:line="360" w:lineRule="auto"/>
        <w:textAlignment w:val="baseline"/>
        <w:outlineLvl w:val="1"/>
        <w:rPr>
          <w:rFonts w:ascii="宋体" w:hAnsi="宋体" w:cs="宋体"/>
          <w:b/>
          <w:kern w:val="0"/>
          <w:sz w:val="24"/>
          <w:szCs w:val="20"/>
        </w:rPr>
      </w:pPr>
      <w:bookmarkStart w:id="340" w:name="_Toc18034"/>
      <w:r>
        <w:rPr>
          <w:rFonts w:hint="eastAsia" w:ascii="宋体" w:hAnsi="宋体" w:cs="宋体"/>
          <w:b/>
          <w:kern w:val="0"/>
          <w:sz w:val="24"/>
          <w:szCs w:val="20"/>
        </w:rPr>
        <w:t>三、生产组织</w:t>
      </w:r>
      <w:bookmarkEnd w:id="340"/>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（一）乙方应在取得中标通</w:t>
      </w:r>
      <w:r>
        <w:rPr>
          <w:rFonts w:hint="eastAsia" w:ascii="宋体" w:hAnsi="宋体" w:cs="宋体"/>
          <w:kern w:val="0"/>
          <w:sz w:val="24"/>
          <w:szCs w:val="32"/>
          <w:highlight w:val="none"/>
        </w:rPr>
        <w:t>知书后</w:t>
      </w:r>
      <w:r>
        <w:rPr>
          <w:rFonts w:hint="eastAsia" w:ascii="宋体" w:hAnsi="宋体" w:cs="宋体"/>
          <w:kern w:val="0"/>
          <w:sz w:val="24"/>
          <w:szCs w:val="32"/>
          <w:highlight w:val="none"/>
          <w:lang w:val="en-US" w:eastAsia="zh-CN"/>
        </w:rPr>
        <w:t xml:space="preserve"> </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rPr>
        <w:t>日内</w:t>
      </w:r>
      <w:r>
        <w:rPr>
          <w:rFonts w:hint="eastAsia" w:ascii="宋体" w:hAnsi="宋体" w:cs="宋体"/>
          <w:kern w:val="0"/>
          <w:sz w:val="24"/>
          <w:szCs w:val="32"/>
        </w:rPr>
        <w:t>提交《生产供应计划表》（附件3），合同内产品由乙方按照该生产计划组织生产，生产地必须为投标文件承诺的地点，严禁组织外加工、严禁擅自扩大生产数量、严禁擅自改变生产号型和生产品种等违约行为。</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（二）为规范乙方生产等相关行为，甲乙双方约定《生产保密协议》（附件4）、《反商业贿赂协议》（附件5）、《生产供应有关事项的协议》（附件6）。</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（三）因保障需要，如甲方向乙方下达零星产品保障需求，乙方应在最短时间内予以响应和生产，并在规定时间内将零星产品寄递至甲方指定地点。</w:t>
      </w:r>
    </w:p>
    <w:p>
      <w:pPr>
        <w:adjustRightInd w:val="0"/>
        <w:spacing w:line="360" w:lineRule="auto"/>
        <w:textAlignment w:val="baseline"/>
        <w:outlineLvl w:val="1"/>
        <w:rPr>
          <w:rFonts w:ascii="宋体" w:hAnsi="宋体" w:cs="宋体"/>
          <w:b/>
          <w:kern w:val="0"/>
          <w:sz w:val="24"/>
          <w:szCs w:val="20"/>
        </w:rPr>
      </w:pPr>
      <w:bookmarkStart w:id="341" w:name="_Toc23765"/>
      <w:r>
        <w:rPr>
          <w:rFonts w:hint="eastAsia" w:ascii="宋体" w:hAnsi="宋体" w:cs="宋体"/>
          <w:b/>
          <w:kern w:val="0"/>
          <w:sz w:val="24"/>
          <w:szCs w:val="20"/>
        </w:rPr>
        <w:t>四、原材料采购合同及检测报告</w:t>
      </w:r>
      <w:bookmarkEnd w:id="341"/>
    </w:p>
    <w:p>
      <w:pPr>
        <w:adjustRightInd w:val="0"/>
        <w:spacing w:line="360" w:lineRule="auto"/>
        <w:ind w:firstLine="480" w:firstLineChars="200"/>
        <w:textAlignment w:val="baseline"/>
        <w:rPr>
          <w:rFonts w:hint="eastAsia" w:ascii="宋体" w:hAnsi="宋体" w:cs="宋体"/>
          <w:kern w:val="0"/>
          <w:sz w:val="24"/>
          <w:szCs w:val="32"/>
        </w:rPr>
      </w:pPr>
      <w:r>
        <w:rPr>
          <w:rFonts w:hint="eastAsia" w:ascii="宋体" w:hAnsi="宋体" w:cs="宋体"/>
          <w:kern w:val="0"/>
          <w:sz w:val="24"/>
          <w:szCs w:val="32"/>
        </w:rPr>
        <w:t>乙方应在完成原材料采购后，迅速进行质量检测，并留存备查（至少留存五年）。</w:t>
      </w:r>
    </w:p>
    <w:p>
      <w:pPr>
        <w:adjustRightInd w:val="0"/>
        <w:spacing w:line="360" w:lineRule="auto"/>
        <w:textAlignment w:val="baseline"/>
        <w:outlineLvl w:val="1"/>
        <w:rPr>
          <w:rFonts w:ascii="宋体" w:hAnsi="宋体" w:cs="宋体"/>
          <w:b/>
          <w:kern w:val="0"/>
          <w:sz w:val="24"/>
          <w:szCs w:val="20"/>
        </w:rPr>
      </w:pPr>
      <w:bookmarkStart w:id="342" w:name="_Toc12795"/>
      <w:r>
        <w:rPr>
          <w:rFonts w:hint="eastAsia" w:ascii="宋体" w:hAnsi="宋体" w:cs="宋体"/>
          <w:b/>
          <w:kern w:val="0"/>
          <w:sz w:val="24"/>
          <w:szCs w:val="20"/>
        </w:rPr>
        <w:t>五、生产进度报告</w:t>
      </w:r>
      <w:bookmarkEnd w:id="342"/>
    </w:p>
    <w:p>
      <w:pPr>
        <w:adjustRightInd w:val="0"/>
        <w:spacing w:line="360" w:lineRule="auto"/>
        <w:ind w:firstLine="480" w:firstLineChars="200"/>
        <w:textAlignment w:val="baseline"/>
        <w:rPr>
          <w:rFonts w:ascii="宋体" w:hAnsi="宋体" w:cs="宋体"/>
          <w:kern w:val="0"/>
          <w:sz w:val="24"/>
          <w:szCs w:val="21"/>
          <w:lang w:bidi="ar"/>
        </w:rPr>
      </w:pPr>
      <w:r>
        <w:rPr>
          <w:rFonts w:hint="eastAsia" w:ascii="宋体" w:hAnsi="宋体" w:cs="宋体"/>
          <w:kern w:val="0"/>
          <w:sz w:val="24"/>
          <w:szCs w:val="21"/>
          <w:lang w:bidi="ar"/>
        </w:rPr>
        <w:t>甲方有权根据最终确认的生产（代理）进度计划，随时派人员检查乙方执行情况，如有关键节点进度延期，乙方应向甲方书面说明原因，并提出改进措施、及时补救，保证交货时间。</w:t>
      </w:r>
    </w:p>
    <w:p>
      <w:pPr>
        <w:adjustRightInd w:val="0"/>
        <w:spacing w:line="360" w:lineRule="auto"/>
        <w:textAlignment w:val="baseline"/>
        <w:outlineLvl w:val="1"/>
        <w:rPr>
          <w:rFonts w:hint="eastAsia" w:ascii="宋体" w:hAnsi="宋体" w:cs="宋体" w:eastAsiaTheme="minorEastAsia"/>
          <w:b/>
          <w:kern w:val="0"/>
          <w:sz w:val="24"/>
          <w:szCs w:val="20"/>
          <w:lang w:val="en-US" w:eastAsia="zh-CN"/>
        </w:rPr>
      </w:pPr>
      <w:bookmarkStart w:id="343" w:name="_Toc11279"/>
      <w:r>
        <w:rPr>
          <w:rFonts w:hint="eastAsia" w:ascii="宋体" w:hAnsi="宋体" w:cs="宋体"/>
          <w:b/>
          <w:kern w:val="0"/>
          <w:sz w:val="24"/>
          <w:szCs w:val="20"/>
        </w:rPr>
        <w:t>六、质量</w:t>
      </w:r>
      <w:bookmarkEnd w:id="343"/>
      <w:r>
        <w:rPr>
          <w:rFonts w:hint="eastAsia" w:ascii="宋体" w:hAnsi="宋体" w:cs="宋体"/>
          <w:b/>
          <w:kern w:val="0"/>
          <w:sz w:val="24"/>
          <w:szCs w:val="20"/>
          <w:lang w:val="en-US" w:eastAsia="zh-CN"/>
        </w:rPr>
        <w:t>监督</w:t>
      </w:r>
    </w:p>
    <w:p>
      <w:pPr>
        <w:adjustRightInd w:val="0"/>
        <w:spacing w:line="360" w:lineRule="auto"/>
        <w:ind w:firstLine="480" w:firstLineChars="200"/>
        <w:textAlignment w:val="baseline"/>
        <w:rPr>
          <w:rFonts w:ascii="宋体" w:hAnsi="宋体" w:cs="宋体"/>
          <w:color w:val="FF0000"/>
          <w:kern w:val="0"/>
          <w:sz w:val="24"/>
          <w:szCs w:val="32"/>
        </w:rPr>
      </w:pPr>
      <w:r>
        <w:rPr>
          <w:rFonts w:hint="eastAsia" w:ascii="宋体" w:hAnsi="宋体" w:cs="宋体"/>
          <w:color w:val="FF0000"/>
          <w:kern w:val="0"/>
          <w:sz w:val="24"/>
          <w:szCs w:val="32"/>
        </w:rPr>
        <w:t>（一）甲方采用产品首检、巡检、出厂检、实物抽检等方式进行质量监督，甲方可根据工作安排进行合并或调整。各类样品，乙方必须完全无条件配合做好首检产品、抽检样品、理化检测样品及相应成品的补货，具体检测数量由甲方委托的第三方检测机构确定，产生的样品费用（包括生产和发运）及理化检测费用均由乙方承担。</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（二）甲方的质量检验以抽检为主。乙方生产的产品必须使用甲方提供的技术文件规定的原材料，且理化送检合格率达到100%，现场抽检产品合格率不低于95%；否则，视为整批产品不合格。</w:t>
      </w:r>
    </w:p>
    <w:p>
      <w:pPr>
        <w:adjustRightInd w:val="0"/>
        <w:spacing w:line="360" w:lineRule="auto"/>
        <w:textAlignment w:val="baseline"/>
        <w:outlineLvl w:val="1"/>
        <w:rPr>
          <w:rFonts w:ascii="宋体" w:hAnsi="宋体" w:cs="宋体"/>
          <w:b/>
          <w:kern w:val="0"/>
          <w:sz w:val="24"/>
          <w:szCs w:val="20"/>
        </w:rPr>
      </w:pPr>
      <w:bookmarkStart w:id="344" w:name="_Toc18926"/>
      <w:r>
        <w:rPr>
          <w:rFonts w:hint="eastAsia" w:ascii="宋体" w:hAnsi="宋体" w:cs="宋体"/>
          <w:b/>
          <w:kern w:val="0"/>
          <w:sz w:val="24"/>
          <w:szCs w:val="20"/>
        </w:rPr>
        <w:t>七、包装方式及费用</w:t>
      </w:r>
      <w:bookmarkEnd w:id="344"/>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（一）乙方按甲方要求及招标文件规定的包装方式进行包装，包装费用由乙方承担（投标和签订本合同时，乙方已完全知晓并完全接受该条款）。</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（二）乙方按照甲方提供的收货单位集中打包，在箱内放置装箱单，在箱体外粘贴装箱单（</w:t>
      </w:r>
      <w:r>
        <w:rPr>
          <w:rFonts w:hint="eastAsia" w:ascii="宋体" w:hAnsi="宋体" w:cs="宋体"/>
          <w:kern w:val="0"/>
          <w:sz w:val="24"/>
          <w:szCs w:val="32"/>
          <w:lang w:val="en-US" w:eastAsia="zh-CN"/>
        </w:rPr>
        <w:t>吉林省森林消防总队</w:t>
      </w:r>
      <w:r>
        <w:rPr>
          <w:rFonts w:hint="eastAsia" w:ascii="宋体" w:hAnsi="宋体" w:cs="宋体"/>
          <w:kern w:val="0"/>
          <w:sz w:val="24"/>
          <w:szCs w:val="32"/>
        </w:rPr>
        <w:t>确定相应格式）。</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三）乙方按照包装要求，将货物发至甲方指定地点后，甲方收货人发现包装箱内的实物与甲方下达给乙方的包装明细不相符且存在错号、破损等情况，乙方免费调换（10天内），并承担相应费用；出错（破损、灭失）产品的数量占比高于合同产品总数量 3‰的，甲方扣除乙方履约保证金的10%，并按比例递增。</w:t>
      </w:r>
    </w:p>
    <w:p>
      <w:pPr>
        <w:adjustRightInd w:val="0"/>
        <w:spacing w:line="360" w:lineRule="auto"/>
        <w:textAlignment w:val="baseline"/>
        <w:outlineLvl w:val="1"/>
        <w:rPr>
          <w:rFonts w:ascii="宋体" w:hAnsi="宋体" w:cs="宋体"/>
          <w:b/>
          <w:kern w:val="0"/>
          <w:sz w:val="24"/>
          <w:szCs w:val="20"/>
        </w:rPr>
      </w:pPr>
      <w:bookmarkStart w:id="345" w:name="_Toc8683"/>
      <w:r>
        <w:rPr>
          <w:rFonts w:hint="eastAsia" w:ascii="宋体" w:hAnsi="宋体" w:cs="宋体"/>
          <w:b/>
          <w:kern w:val="0"/>
          <w:sz w:val="24"/>
          <w:szCs w:val="20"/>
        </w:rPr>
        <w:t>八、交货时间及交货地点</w:t>
      </w:r>
      <w:bookmarkEnd w:id="345"/>
    </w:p>
    <w:p>
      <w:pPr>
        <w:adjustRightInd w:val="0"/>
        <w:spacing w:line="360" w:lineRule="auto"/>
        <w:ind w:left="479" w:leftChars="228" w:firstLine="0" w:firstLineChars="0"/>
        <w:textAlignment w:val="baseline"/>
        <w:rPr>
          <w:rFonts w:ascii="宋体" w:hAnsi="宋体" w:cs="宋体"/>
          <w:kern w:val="0"/>
          <w:sz w:val="24"/>
          <w:szCs w:val="32"/>
        </w:rPr>
      </w:pPr>
      <w:r>
        <w:rPr>
          <w:rFonts w:hint="eastAsia" w:ascii="宋体" w:hAnsi="宋体" w:cs="宋体"/>
          <w:kern w:val="0"/>
          <w:sz w:val="24"/>
          <w:szCs w:val="32"/>
        </w:rPr>
        <w:t>（一）按照合同第一款规定的交货时限要求，乙方将全部货物交付给</w:t>
      </w:r>
      <w:r>
        <w:rPr>
          <w:rFonts w:hint="eastAsia" w:ascii="宋体" w:hAnsi="宋体" w:cs="宋体"/>
          <w:kern w:val="0"/>
          <w:sz w:val="24"/>
          <w:szCs w:val="21"/>
          <w:lang w:bidi="ar"/>
        </w:rPr>
        <w:t>甲方指定地点。</w:t>
      </w:r>
      <w:r>
        <w:rPr>
          <w:rFonts w:hint="eastAsia" w:ascii="宋体" w:hAnsi="宋体" w:cs="宋体"/>
          <w:kern w:val="0"/>
          <w:sz w:val="24"/>
          <w:szCs w:val="32"/>
        </w:rPr>
        <w:t>（二）运输：乙方自行选取物流企业，确保物流方式快捷、高效、整洁，严禁造成甲方货物的污染、破损等问题，运费由乙方承担（投标和签订本合同时，乙方已完全知晓并完全接受该条款）。</w:t>
      </w:r>
    </w:p>
    <w:p>
      <w:pPr>
        <w:adjustRightInd w:val="0"/>
        <w:spacing w:line="360" w:lineRule="auto"/>
        <w:ind w:firstLine="480" w:firstLineChars="200"/>
        <w:textAlignment w:val="baseline"/>
        <w:outlineLvl w:val="2"/>
        <w:rPr>
          <w:rFonts w:ascii="宋体" w:hAnsi="宋体" w:cs="宋体"/>
          <w:kern w:val="0"/>
          <w:sz w:val="24"/>
          <w:szCs w:val="32"/>
        </w:rPr>
      </w:pPr>
      <w:bookmarkStart w:id="346" w:name="_Toc17240"/>
      <w:r>
        <w:rPr>
          <w:rFonts w:hint="eastAsia" w:ascii="宋体" w:hAnsi="宋体" w:cs="宋体"/>
          <w:kern w:val="0"/>
          <w:sz w:val="24"/>
          <w:szCs w:val="32"/>
        </w:rPr>
        <w:t>（三）交货地点：</w:t>
      </w:r>
      <w:r>
        <w:rPr>
          <w:rFonts w:hint="eastAsia" w:ascii="宋体" w:hAnsi="宋体" w:cs="宋体"/>
          <w:kern w:val="0"/>
          <w:sz w:val="24"/>
          <w:szCs w:val="32"/>
          <w:u w:val="single"/>
        </w:rPr>
        <w:t xml:space="preserve">           </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u w:val="single"/>
        </w:rPr>
        <w:t xml:space="preserve">        </w:t>
      </w:r>
      <w:r>
        <w:rPr>
          <w:rFonts w:hint="eastAsia" w:ascii="宋体" w:hAnsi="宋体" w:cs="宋体"/>
          <w:kern w:val="0"/>
          <w:sz w:val="24"/>
          <w:szCs w:val="32"/>
        </w:rPr>
        <w:t>。</w:t>
      </w:r>
      <w:bookmarkEnd w:id="346"/>
    </w:p>
    <w:p>
      <w:pPr>
        <w:adjustRightInd w:val="0"/>
        <w:spacing w:line="360" w:lineRule="auto"/>
        <w:textAlignment w:val="baseline"/>
        <w:outlineLvl w:val="1"/>
        <w:rPr>
          <w:rFonts w:ascii="宋体" w:hAnsi="宋体" w:cs="宋体"/>
          <w:b/>
          <w:kern w:val="0"/>
          <w:sz w:val="24"/>
          <w:szCs w:val="20"/>
        </w:rPr>
      </w:pPr>
      <w:bookmarkStart w:id="347" w:name="_Toc26712"/>
      <w:r>
        <w:rPr>
          <w:rFonts w:hint="eastAsia" w:ascii="宋体" w:hAnsi="宋体" w:cs="宋体"/>
          <w:b/>
          <w:kern w:val="0"/>
          <w:sz w:val="24"/>
          <w:szCs w:val="20"/>
        </w:rPr>
        <w:t>九、验收方式</w:t>
      </w:r>
      <w:bookmarkEnd w:id="347"/>
    </w:p>
    <w:p>
      <w:pPr>
        <w:adjustRightInd w:val="0"/>
        <w:spacing w:line="360" w:lineRule="auto"/>
        <w:ind w:firstLine="480" w:firstLineChars="200"/>
        <w:textAlignment w:val="baseline"/>
        <w:rPr>
          <w:rFonts w:hint="eastAsia" w:ascii="宋体" w:hAnsi="宋体" w:cs="宋体"/>
          <w:kern w:val="0"/>
          <w:sz w:val="24"/>
          <w:szCs w:val="32"/>
        </w:rPr>
      </w:pPr>
      <w:r>
        <w:rPr>
          <w:rFonts w:hint="eastAsia" w:ascii="宋体" w:hAnsi="宋体" w:cs="宋体"/>
          <w:kern w:val="0"/>
          <w:sz w:val="24"/>
          <w:szCs w:val="32"/>
        </w:rPr>
        <w:t>（一）吉林省森林消防总队有关要求执行。</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（二）现场点验和交货：</w:t>
      </w:r>
    </w:p>
    <w:p>
      <w:pPr>
        <w:adjustRightInd w:val="0"/>
        <w:spacing w:line="360" w:lineRule="auto"/>
        <w:ind w:firstLine="480" w:firstLineChars="200"/>
        <w:textAlignment w:val="baseline"/>
        <w:rPr>
          <w:rFonts w:hint="eastAsia" w:ascii="宋体" w:hAnsi="宋体" w:cs="宋体"/>
          <w:kern w:val="0"/>
          <w:sz w:val="24"/>
          <w:szCs w:val="32"/>
        </w:rPr>
      </w:pPr>
      <w:r>
        <w:rPr>
          <w:rFonts w:hint="eastAsia" w:ascii="宋体" w:hAnsi="宋体" w:cs="宋体"/>
          <w:kern w:val="0"/>
          <w:sz w:val="24"/>
          <w:szCs w:val="32"/>
        </w:rPr>
        <w:t>1.乙方须按甲方要求的收货单位进行包装，同一保障单位需要分装多个包装箱时，须在包装箱内的装箱单和粘贴在包装箱外的装箱单上注明序号。</w:t>
      </w:r>
    </w:p>
    <w:p>
      <w:pPr>
        <w:adjustRightInd w:val="0"/>
        <w:spacing w:line="360" w:lineRule="auto"/>
        <w:ind w:firstLine="480" w:firstLineChars="200"/>
        <w:textAlignment w:val="baseline"/>
        <w:rPr>
          <w:rFonts w:hint="eastAsia" w:ascii="宋体" w:hAnsi="宋体" w:cs="宋体"/>
          <w:kern w:val="0"/>
          <w:sz w:val="24"/>
          <w:szCs w:val="32"/>
        </w:rPr>
      </w:pPr>
      <w:r>
        <w:rPr>
          <w:rFonts w:hint="eastAsia" w:ascii="宋体" w:hAnsi="宋体" w:cs="宋体"/>
          <w:kern w:val="0"/>
          <w:sz w:val="24"/>
          <w:szCs w:val="32"/>
        </w:rPr>
        <w:t>2.须由甲方所属单位签收的《吉林省森林消防总队物资到货验收登记表》（附件1）一式六份，由乙方提前放置在拟向甲方所属单位交付的货物箱中，放置该单据的包装箱外须注明内含《吉林省森林消防总队物资到货验收登记表》。</w:t>
      </w:r>
    </w:p>
    <w:p>
      <w:pPr>
        <w:adjustRightInd w:val="0"/>
        <w:spacing w:line="360" w:lineRule="auto"/>
        <w:ind w:firstLine="480" w:firstLineChars="200"/>
        <w:textAlignment w:val="baseline"/>
        <w:rPr>
          <w:rFonts w:ascii="宋体" w:hAnsi="宋体" w:cs="宋体"/>
          <w:color w:val="auto"/>
          <w:kern w:val="0"/>
          <w:sz w:val="24"/>
          <w:szCs w:val="32"/>
        </w:rPr>
      </w:pPr>
      <w:r>
        <w:rPr>
          <w:rFonts w:hint="eastAsia" w:ascii="宋体" w:hAnsi="宋体" w:cs="宋体"/>
          <w:kern w:val="0"/>
          <w:sz w:val="24"/>
          <w:szCs w:val="32"/>
        </w:rPr>
        <w:t>3.甲方验收人员对照乙方提供的交货清单，现场全部开箱点验；乙方委托的物流人员须在开箱现场全程配合。</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color w:val="auto"/>
          <w:kern w:val="0"/>
          <w:sz w:val="24"/>
          <w:szCs w:val="32"/>
        </w:rPr>
        <w:t>4.甲方验收人员确认品种、数量、号型无误后，在5份《</w:t>
      </w:r>
      <w:bookmarkStart w:id="348" w:name="_Hlk167875174"/>
      <w:r>
        <w:rPr>
          <w:rFonts w:hint="eastAsia" w:ascii="宋体" w:hAnsi="宋体" w:cs="宋体"/>
          <w:color w:val="auto"/>
          <w:kern w:val="0"/>
          <w:sz w:val="24"/>
          <w:szCs w:val="32"/>
        </w:rPr>
        <w:t>吉林省森林消防总队</w:t>
      </w:r>
      <w:bookmarkEnd w:id="348"/>
      <w:r>
        <w:rPr>
          <w:rFonts w:hint="eastAsia" w:ascii="宋体" w:hAnsi="宋体" w:cs="宋体"/>
          <w:color w:val="auto"/>
          <w:kern w:val="0"/>
          <w:sz w:val="24"/>
          <w:szCs w:val="32"/>
        </w:rPr>
        <w:t>物资到货验收登记表》上签字盖章并注明收货时间，吉林省森林消防总队需求部门1份、采购部门1份、财务部门1份，验收单位1份，供应商1份；甲方验收人员完</w:t>
      </w:r>
      <w:r>
        <w:rPr>
          <w:rFonts w:hint="eastAsia" w:ascii="宋体" w:hAnsi="宋体" w:cs="宋体"/>
          <w:kern w:val="0"/>
          <w:sz w:val="24"/>
          <w:szCs w:val="32"/>
        </w:rPr>
        <w:t>成验收3日内，即应将签收后的回执单进行拍照或扫描后，将相关图片发至乙方指定邮箱（暂时省略）；甲方验收人员不及时采用邮件发送相关回执单的照片或扫描件时，乙方可随时通过甲方指定渠道进行投诉。</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5.甲方验收人员在现场点验无异议的，不得在验收结束之日后再次向乙方提出关于数量、号型方面的异议；如甲方验收人员在后续有异议的，可向上级后勤部门反映。</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6.甲方在现场查验中发现差异、错号、破损、灭失等情况，经现场交接双方签字确认后，现场通知乙方，乙方必须无条件在</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lang w:val="en-US" w:eastAsia="zh-CN"/>
        </w:rPr>
        <w:t xml:space="preserve"> </w:t>
      </w:r>
      <w:r>
        <w:rPr>
          <w:rFonts w:hint="eastAsia" w:ascii="宋体" w:hAnsi="宋体" w:cs="宋体"/>
          <w:kern w:val="0"/>
          <w:sz w:val="24"/>
          <w:szCs w:val="32"/>
        </w:rPr>
        <w:t>天内免费调换、补足，同时查找问题原因。如确实存在相应问题，应由乙方承担全部的生产、物流等费用；如不存在相应问题，乙方提供相应证明材料后，双方协商解决。</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7.乙方按照甲方要求进行分包包装，分包的包装箱内出错（破损）产品的数量占比高于合同产品总数量3‰的，甲方扣除乙方履约保证金的10%。</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8.除了按照甲方所提出的交货产品、数量、号型、交货时间等要求进行严格落实外，乙方不接受甲方所属的任何下级单位及人员提出的任何额外要求。</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为展示合作诚意，提升发运交接效率，如甲方所属单位在货物接收中，存在工作不积极、拖延接收、故意刁难、擅自索要服装服饰、恶意破坏乙方产品、拒不签署回执单等言行失当或其他违法违纪行为的，乙方及委托的物流公司可在事发当时或事发后，向甲方上级单位进行举报。（此项条款列入装箱粘贴单）</w:t>
      </w:r>
    </w:p>
    <w:p>
      <w:pPr>
        <w:adjustRightInd w:val="0"/>
        <w:spacing w:line="360" w:lineRule="auto"/>
        <w:textAlignment w:val="baseline"/>
        <w:outlineLvl w:val="1"/>
        <w:rPr>
          <w:rFonts w:ascii="宋体" w:hAnsi="宋体" w:cs="宋体"/>
          <w:b/>
          <w:kern w:val="0"/>
          <w:sz w:val="24"/>
          <w:szCs w:val="20"/>
          <w:highlight w:val="none"/>
        </w:rPr>
      </w:pPr>
      <w:bookmarkStart w:id="349" w:name="_Toc3376"/>
      <w:r>
        <w:rPr>
          <w:rFonts w:hint="eastAsia" w:ascii="宋体" w:hAnsi="宋体" w:cs="宋体"/>
          <w:b/>
          <w:kern w:val="0"/>
          <w:sz w:val="24"/>
          <w:szCs w:val="20"/>
          <w:highlight w:val="none"/>
        </w:rPr>
        <w:t>十、</w:t>
      </w:r>
      <w:bookmarkStart w:id="350" w:name="_Hlk111648063"/>
      <w:r>
        <w:rPr>
          <w:rFonts w:hint="eastAsia" w:ascii="宋体" w:hAnsi="宋体" w:cs="宋体"/>
          <w:b/>
          <w:kern w:val="0"/>
          <w:sz w:val="24"/>
          <w:szCs w:val="20"/>
          <w:highlight w:val="none"/>
        </w:rPr>
        <w:t>付款方式</w:t>
      </w:r>
      <w:bookmarkEnd w:id="349"/>
    </w:p>
    <w:p>
      <w:pPr>
        <w:adjustRightInd w:val="0"/>
        <w:spacing w:line="360" w:lineRule="auto"/>
        <w:ind w:firstLine="480" w:firstLineChars="200"/>
        <w:textAlignment w:val="baseline"/>
        <w:rPr>
          <w:rFonts w:ascii="宋体" w:hAnsi="宋体" w:cs="宋体"/>
          <w:kern w:val="0"/>
          <w:sz w:val="24"/>
          <w:szCs w:val="32"/>
          <w:highlight w:val="none"/>
        </w:rPr>
      </w:pPr>
      <w:r>
        <w:rPr>
          <w:rFonts w:hint="eastAsia" w:ascii="宋体" w:hAnsi="宋体" w:cs="宋体"/>
          <w:kern w:val="0"/>
          <w:sz w:val="24"/>
          <w:szCs w:val="32"/>
          <w:highlight w:val="none"/>
        </w:rPr>
        <w:t>（一）合同签订前</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rPr>
        <w:t>日内，乙方向甲方缴纳履约保证金，履约保证金金额为合同总价的</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u w:val="single"/>
        </w:rPr>
        <w:t>%</w:t>
      </w:r>
      <w:r>
        <w:rPr>
          <w:rFonts w:hint="eastAsia" w:ascii="宋体" w:hAnsi="宋体" w:cs="宋体"/>
          <w:kern w:val="0"/>
          <w:sz w:val="24"/>
          <w:szCs w:val="32"/>
          <w:highlight w:val="none"/>
        </w:rPr>
        <w:t>（即：人民币小写：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元，大写：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w:t>
      </w:r>
    </w:p>
    <w:p>
      <w:pPr>
        <w:adjustRightInd w:val="0"/>
        <w:spacing w:line="360" w:lineRule="auto"/>
        <w:ind w:firstLine="480" w:firstLineChars="200"/>
        <w:textAlignment w:val="baseline"/>
        <w:rPr>
          <w:rFonts w:ascii="宋体" w:hAnsi="宋体" w:cs="宋体"/>
          <w:kern w:val="0"/>
          <w:sz w:val="24"/>
          <w:szCs w:val="32"/>
          <w:highlight w:val="none"/>
        </w:rPr>
      </w:pPr>
      <w:r>
        <w:rPr>
          <w:rFonts w:hint="eastAsia" w:ascii="宋体" w:hAnsi="宋体" w:cs="宋体"/>
          <w:kern w:val="0"/>
          <w:sz w:val="24"/>
          <w:szCs w:val="32"/>
          <w:highlight w:val="none"/>
        </w:rPr>
        <w:t>（二）合同签订后</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rPr>
        <w:t xml:space="preserve">个工作日内甲方向乙方支付合同总金额的 </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rPr>
        <w:t xml:space="preserve"> （即：人民币小写：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万元，大写：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）预付款，乙方根据甲方要求开具该项目合同总金额全额有效的正规增值税普通发票。</w:t>
      </w:r>
    </w:p>
    <w:p>
      <w:pPr>
        <w:adjustRightInd w:val="0"/>
        <w:spacing w:line="360" w:lineRule="auto"/>
        <w:ind w:firstLine="480" w:firstLineChars="200"/>
        <w:textAlignment w:val="baseline"/>
        <w:rPr>
          <w:rFonts w:ascii="宋体" w:hAnsi="宋体" w:cs="宋体"/>
          <w:kern w:val="0"/>
          <w:sz w:val="24"/>
          <w:szCs w:val="32"/>
          <w:highlight w:val="none"/>
        </w:rPr>
      </w:pPr>
      <w:r>
        <w:rPr>
          <w:rFonts w:hint="eastAsia" w:ascii="宋体" w:hAnsi="宋体" w:cs="宋体"/>
          <w:kern w:val="0"/>
          <w:sz w:val="24"/>
          <w:szCs w:val="32"/>
          <w:highlight w:val="none"/>
        </w:rPr>
        <w:t>（三）乙方按合同约定完成生产任务并将全部货物发运至甲方指定单位后，乙方向甲方提交甲方各单位签收的到货验收表、发票、出厂合格证等汇总材料后，</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rPr>
        <w:t>个工作日内，甲方向乙方支付合同总金额</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u w:val="single"/>
          <w:lang w:val="en-US" w:eastAsia="zh-CN"/>
        </w:rPr>
        <w:t xml:space="preserve">  </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%（即：人民币小写：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元，大写：</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rPr>
        <w:t xml:space="preserve"> )。</w:t>
      </w:r>
    </w:p>
    <w:bookmarkEnd w:id="350"/>
    <w:p>
      <w:pPr>
        <w:adjustRightInd w:val="0"/>
        <w:spacing w:line="360" w:lineRule="auto"/>
        <w:ind w:firstLine="480" w:firstLineChars="200"/>
        <w:textAlignment w:val="baseline"/>
        <w:rPr>
          <w:rFonts w:ascii="宋体" w:hAnsi="宋体" w:cs="宋体"/>
          <w:kern w:val="0"/>
          <w:sz w:val="24"/>
          <w:szCs w:val="32"/>
          <w:highlight w:val="none"/>
        </w:rPr>
      </w:pPr>
      <w:r>
        <w:rPr>
          <w:rFonts w:hint="eastAsia" w:ascii="宋体" w:hAnsi="宋体" w:cs="宋体"/>
          <w:kern w:val="0"/>
          <w:sz w:val="24"/>
          <w:szCs w:val="32"/>
          <w:highlight w:val="none"/>
        </w:rPr>
        <w:t>（四）根据乙方承诺的质保期时限到期后返还履约保证金，如甲方所属各单位在质保期内使用中未发现产品质量等问题，由乙方提出退回保证金的申请函，甲方在接到申请函</w:t>
      </w:r>
      <w:r>
        <w:rPr>
          <w:rFonts w:hint="eastAsia" w:ascii="宋体" w:hAnsi="宋体" w:cs="宋体"/>
          <w:kern w:val="0"/>
          <w:sz w:val="24"/>
          <w:szCs w:val="32"/>
          <w:highlight w:val="none"/>
          <w:u w:val="none"/>
        </w:rPr>
        <w:t>后</w:t>
      </w:r>
      <w:r>
        <w:rPr>
          <w:rFonts w:hint="eastAsia" w:ascii="宋体" w:hAnsi="宋体" w:cs="宋体"/>
          <w:kern w:val="0"/>
          <w:sz w:val="24"/>
          <w:szCs w:val="32"/>
          <w:highlight w:val="none"/>
          <w:u w:val="single"/>
        </w:rPr>
        <w:t xml:space="preserve">    </w:t>
      </w:r>
      <w:r>
        <w:rPr>
          <w:rFonts w:hint="eastAsia" w:ascii="宋体" w:hAnsi="宋体" w:cs="宋体"/>
          <w:kern w:val="0"/>
          <w:sz w:val="24"/>
          <w:szCs w:val="32"/>
          <w:highlight w:val="none"/>
          <w:u w:val="none"/>
        </w:rPr>
        <w:t>个工</w:t>
      </w:r>
      <w:r>
        <w:rPr>
          <w:rFonts w:hint="eastAsia" w:ascii="宋体" w:hAnsi="宋体" w:cs="宋体"/>
          <w:kern w:val="0"/>
          <w:sz w:val="24"/>
          <w:szCs w:val="32"/>
          <w:highlight w:val="none"/>
        </w:rPr>
        <w:t>作日内，由甲方向乙方无息返还履约保证金。</w:t>
      </w:r>
    </w:p>
    <w:p>
      <w:pPr>
        <w:adjustRightInd w:val="0"/>
        <w:spacing w:line="360" w:lineRule="auto"/>
        <w:textAlignment w:val="baseline"/>
        <w:outlineLvl w:val="1"/>
        <w:rPr>
          <w:rFonts w:ascii="宋体" w:hAnsi="宋体" w:cs="宋体"/>
          <w:b/>
          <w:kern w:val="0"/>
          <w:sz w:val="24"/>
          <w:szCs w:val="20"/>
        </w:rPr>
      </w:pPr>
      <w:bookmarkStart w:id="351" w:name="_Toc5137"/>
      <w:r>
        <w:rPr>
          <w:rFonts w:hint="eastAsia" w:ascii="宋体" w:hAnsi="宋体" w:cs="宋体"/>
          <w:b/>
          <w:kern w:val="0"/>
          <w:sz w:val="24"/>
          <w:szCs w:val="20"/>
        </w:rPr>
        <w:t>十一、质量保证期</w:t>
      </w:r>
      <w:bookmarkEnd w:id="351"/>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本合同所购货物质量保证期</w:t>
      </w:r>
      <w:r>
        <w:rPr>
          <w:rFonts w:hint="eastAsia" w:ascii="宋体" w:hAnsi="宋体" w:cs="宋体"/>
          <w:kern w:val="0"/>
          <w:sz w:val="24"/>
          <w:szCs w:val="32"/>
          <w:u w:val="single"/>
        </w:rPr>
        <w:t xml:space="preserve">为 </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u w:val="single"/>
        </w:rPr>
        <w:t xml:space="preserve"> 年（  个月）</w:t>
      </w:r>
      <w:r>
        <w:rPr>
          <w:rFonts w:hint="eastAsia" w:ascii="宋体" w:hAnsi="宋体" w:cs="宋体"/>
          <w:kern w:val="0"/>
          <w:sz w:val="24"/>
          <w:szCs w:val="32"/>
        </w:rPr>
        <w:t>。质量保证期自甲方最终用户签收之日起开始计算。在质量保证期内，如发生质量问题，乙方应保证所供货物及相应面料、辅料、附件的持续免费供应（即：乙方应在质量保证期保证足够的补量及配件）。质保期到期后，保留对尚未使用的且由乙方生产的2年内库存产品的质量问题等进行索赔的权利。</w:t>
      </w:r>
    </w:p>
    <w:p>
      <w:pPr>
        <w:adjustRightInd w:val="0"/>
        <w:spacing w:line="360" w:lineRule="auto"/>
        <w:textAlignment w:val="baseline"/>
        <w:outlineLvl w:val="1"/>
        <w:rPr>
          <w:rFonts w:ascii="宋体" w:hAnsi="宋体" w:cs="宋体"/>
          <w:b/>
          <w:kern w:val="0"/>
          <w:sz w:val="24"/>
          <w:szCs w:val="20"/>
        </w:rPr>
      </w:pPr>
      <w:bookmarkStart w:id="352" w:name="_Toc19554"/>
      <w:r>
        <w:rPr>
          <w:rFonts w:hint="eastAsia" w:ascii="宋体" w:hAnsi="宋体" w:cs="宋体"/>
          <w:b/>
          <w:kern w:val="0"/>
          <w:sz w:val="24"/>
          <w:szCs w:val="20"/>
        </w:rPr>
        <w:t>十二、双方责任及违约处理</w:t>
      </w:r>
      <w:bookmarkEnd w:id="352"/>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甲乙双方未按照合同条款约定履行合同义务，区别下述情况处理：</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（一）生产合同签订后，除下列情况外，擅自解除或变更合同的一方应支付合同总金额10%的违约金；给对方造成损失的，责任方应赔偿对方损失。</w:t>
      </w:r>
    </w:p>
    <w:p>
      <w:pPr>
        <w:adjustRightInd w:val="0"/>
        <w:spacing w:line="360" w:lineRule="auto"/>
        <w:ind w:firstLine="480" w:firstLineChars="200"/>
        <w:textAlignment w:val="baseline"/>
        <w:outlineLvl w:val="2"/>
        <w:rPr>
          <w:rFonts w:ascii="宋体" w:hAnsi="宋体" w:cs="宋体"/>
          <w:kern w:val="0"/>
          <w:sz w:val="24"/>
          <w:szCs w:val="32"/>
        </w:rPr>
      </w:pPr>
      <w:bookmarkStart w:id="353" w:name="_Toc29955"/>
      <w:r>
        <w:rPr>
          <w:rFonts w:hint="eastAsia" w:ascii="宋体" w:hAnsi="宋体" w:cs="宋体"/>
          <w:kern w:val="0"/>
          <w:sz w:val="24"/>
          <w:szCs w:val="32"/>
        </w:rPr>
        <w:t>1.双方经过协商同意的；</w:t>
      </w:r>
      <w:bookmarkEnd w:id="353"/>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2.甲方根据改革需要，改变被装品种、规格、质量标准等，需变更或解除合同的；</w:t>
      </w:r>
    </w:p>
    <w:p>
      <w:pPr>
        <w:adjustRightInd w:val="0"/>
        <w:spacing w:line="360" w:lineRule="auto"/>
        <w:ind w:firstLine="480" w:firstLineChars="200"/>
        <w:textAlignment w:val="baseline"/>
        <w:outlineLvl w:val="2"/>
        <w:rPr>
          <w:rFonts w:ascii="宋体" w:hAnsi="宋体" w:cs="宋体"/>
          <w:kern w:val="0"/>
          <w:sz w:val="24"/>
          <w:szCs w:val="32"/>
        </w:rPr>
      </w:pPr>
      <w:bookmarkStart w:id="354" w:name="_Toc7439"/>
      <w:r>
        <w:rPr>
          <w:rFonts w:hint="eastAsia" w:ascii="宋体" w:hAnsi="宋体" w:cs="宋体"/>
          <w:kern w:val="0"/>
          <w:sz w:val="24"/>
          <w:szCs w:val="32"/>
        </w:rPr>
        <w:t>3.由于不可抗力影响，致使合同无法履行的。</w:t>
      </w:r>
      <w:bookmarkEnd w:id="354"/>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（二）乙方违反合同，区别不同情况，按照下列办法处理：</w:t>
      </w:r>
    </w:p>
    <w:p>
      <w:pPr>
        <w:adjustRightInd w:val="0"/>
        <w:spacing w:line="360" w:lineRule="auto"/>
        <w:ind w:firstLine="480" w:firstLineChars="200"/>
        <w:textAlignment w:val="baseline"/>
        <w:outlineLvl w:val="2"/>
        <w:rPr>
          <w:rFonts w:hint="eastAsia" w:ascii="宋体" w:hAnsi="宋体" w:cs="宋体"/>
          <w:kern w:val="0"/>
          <w:sz w:val="24"/>
          <w:szCs w:val="32"/>
        </w:rPr>
      </w:pPr>
      <w:bookmarkStart w:id="355" w:name="_Toc15121"/>
      <w:r>
        <w:rPr>
          <w:rFonts w:hint="eastAsia" w:ascii="宋体" w:hAnsi="宋体" w:cs="宋体"/>
          <w:kern w:val="0"/>
          <w:sz w:val="24"/>
          <w:szCs w:val="32"/>
        </w:rPr>
        <w:t>1.产品不合格问题。</w:t>
      </w:r>
      <w:r>
        <w:rPr>
          <w:rFonts w:hint="eastAsia" w:ascii="宋体" w:hAnsi="宋体" w:cs="宋体"/>
          <w:kern w:val="0"/>
          <w:sz w:val="24"/>
          <w:szCs w:val="32"/>
          <w:lang w:val="en-US" w:eastAsia="zh-CN"/>
        </w:rPr>
        <w:t>吉林省森林消防总队</w:t>
      </w:r>
      <w:r>
        <w:rPr>
          <w:rFonts w:hint="eastAsia" w:ascii="宋体" w:hAnsi="宋体" w:cs="宋体"/>
          <w:kern w:val="0"/>
          <w:sz w:val="24"/>
          <w:szCs w:val="32"/>
        </w:rPr>
        <w:t>有关要求执行。</w:t>
      </w:r>
      <w:bookmarkEnd w:id="355"/>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（1）如检验结果有出入，以甲方指定检验机构出具的检测报告为准。</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（2）对重要理化指标不合格、外观和安全严重影响使用的产品，乙方应当采取更换的方式处理，在交货期限前乙方无法全部更换或更换后的产品仍不满足要求，甲方有权解除合同， 并扣留乙方履约保证金作为违约金。</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（3）对部分指标不符合技术规范标准，但不影响使用的产品，应当返修；无法返修的，视不合格情况，对乙方进行约谈或处以该产品合同价3%的违约金。</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4）对已结算的入库产品，发现质量问题，但仍可正常使用的，或在发放使用中发现质量问题的，根据产品质量问题程度，采取约谈、经济赔付或更换、返修实物的方式处理。采取经济赔付方式处理的，甲方有权在履约保证金中扣除赔付金额。</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乙方产品发生严重质量问题，影响正常使用且造成重大影响的，执行上述条款外，三年内不得参与吉林省森林消防总队投标和生产。</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2.乙方延期交货的，5天以上（不含5天）10天以下（含10天）的，乙方应向甲方支付延期交货部分产品合同金额 1%的违约金；延迟交货10天以上（不含10天）15天以下（含15天）的，乙方应向甲方支付延期交货部分产品合同金额3%的违约赔偿金；延迟交货15天以上（不含15天）的，乙方应向甲方支付延期交货部分产品合同金额5%的违约赔偿金；延期30天以上的，甲方有权不予结算延期交货部分产品的合同款，并扣留乙方履约保证金作为违约金。</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3.包装不合格。外包装箱的强度、厚度等质量指标不符合甲方要求的，在运输过程中变形、破损等问题，甲方所属单位有权拒收。因乙方更换包装超出合同规定或双方商定交货时间的，按延期交货处理。</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4.产品外加工问题。乙方如将中标的产品转包或安排外加工生产（即乙方实际生产地点不在乙方投标文件中承诺的生产地点），甲方有权解除或终止合同，除没收乙方履约保证金作为违约金外，乙方另行支付合同总金额</w:t>
      </w:r>
      <w:r>
        <w:rPr>
          <w:rFonts w:hint="eastAsia" w:ascii="宋体" w:hAnsi="宋体" w:cs="宋体"/>
          <w:kern w:val="0"/>
          <w:sz w:val="24"/>
          <w:szCs w:val="32"/>
          <w:lang w:val="en-US" w:eastAsia="zh-CN"/>
        </w:rPr>
        <w:t xml:space="preserve"> </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rPr>
        <w:t>的违约金。</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 xml:space="preserve">5.违规生产、转让、仿制、泄密等问题。甲方将没收乙方履约保证金，取消乙方再次参与吉林省森林消防总队项目投标资格，乙方另行支付合同总金额 </w:t>
      </w:r>
      <w:r>
        <w:rPr>
          <w:rFonts w:hint="eastAsia" w:ascii="宋体" w:hAnsi="宋体" w:cs="宋体"/>
          <w:kern w:val="0"/>
          <w:sz w:val="24"/>
          <w:szCs w:val="32"/>
          <w:u w:val="single"/>
          <w:lang w:val="en-US" w:eastAsia="zh-CN"/>
        </w:rPr>
        <w:t xml:space="preserve">       </w:t>
      </w:r>
      <w:r>
        <w:rPr>
          <w:rFonts w:hint="eastAsia" w:ascii="宋体" w:hAnsi="宋体" w:cs="宋体"/>
          <w:kern w:val="0"/>
          <w:sz w:val="24"/>
          <w:szCs w:val="32"/>
        </w:rPr>
        <w:t>的违约金，并依法依规对乙方追究其泄密责任。</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同一产品存在多项违反合同情况时，采取多项并罚的办法进行处理。</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三）甲方不能按合同规定及时付款的，除与乙方协商同意外，接到乙方提供的完整有效的结算资料之日起，10个工作日内应予支付货款。10个工作日以上（不含10个工作日）20个工作日以内（含20个工作日）未付款的，甲方应承担该批产品价款1%的违约金；20个工作日以上（不含20个工作日）30个工作日以内（含30个工作日）未付款的，甲方应承担该批产品价款3%的违约金；依次类推，每逾期支付10个工作日，违约金递增2%，但违约金最高不得超过合同总金额的20%。</w:t>
      </w:r>
    </w:p>
    <w:p>
      <w:pPr>
        <w:adjustRightInd w:val="0"/>
        <w:spacing w:line="360" w:lineRule="auto"/>
        <w:textAlignment w:val="baseline"/>
        <w:outlineLvl w:val="1"/>
        <w:rPr>
          <w:rFonts w:ascii="宋体" w:hAnsi="宋体" w:cs="宋体"/>
          <w:b/>
          <w:kern w:val="0"/>
          <w:sz w:val="24"/>
          <w:szCs w:val="20"/>
        </w:rPr>
      </w:pPr>
      <w:bookmarkStart w:id="356" w:name="_Toc27339"/>
      <w:r>
        <w:rPr>
          <w:rFonts w:hint="eastAsia" w:ascii="宋体" w:hAnsi="宋体" w:cs="宋体"/>
          <w:b/>
          <w:kern w:val="0"/>
          <w:sz w:val="24"/>
          <w:szCs w:val="20"/>
        </w:rPr>
        <w:t>十三、不可抗力影响</w:t>
      </w:r>
      <w:bookmarkEnd w:id="356"/>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甲方、乙方，任何一方由于不可抗力因素影响合同履行时，都要在不可抗力因素发生36小时内将情况通知另一方。在不可抗力因素发生后14日内将权威部门出具的证明文件以最快的方式寄给另一方。如果不可抗力因素影响持续40日以上时，双方可以重新商定合同履行问题。</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不可抗力的范围是：由于地震、台风、水灾、雷击、瘟疫、战争、单位编制体制改革以及其他不能预见，并且对其发生和后果不能防止，或避免和克服的人力不可抗拒事件。</w:t>
      </w:r>
    </w:p>
    <w:p>
      <w:pPr>
        <w:adjustRightInd w:val="0"/>
        <w:spacing w:line="360" w:lineRule="auto"/>
        <w:textAlignment w:val="baseline"/>
        <w:outlineLvl w:val="1"/>
        <w:rPr>
          <w:rFonts w:ascii="宋体" w:hAnsi="宋体" w:cs="宋体"/>
          <w:b/>
          <w:kern w:val="0"/>
          <w:sz w:val="24"/>
          <w:szCs w:val="20"/>
        </w:rPr>
      </w:pPr>
      <w:bookmarkStart w:id="357" w:name="_Toc6603"/>
      <w:r>
        <w:rPr>
          <w:rFonts w:hint="eastAsia" w:ascii="宋体" w:hAnsi="宋体" w:cs="宋体"/>
          <w:b/>
          <w:kern w:val="0"/>
          <w:sz w:val="24"/>
          <w:szCs w:val="20"/>
        </w:rPr>
        <w:t>十四、合同争议的解决方式</w:t>
      </w:r>
      <w:bookmarkEnd w:id="357"/>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在执行合同中所发生的或与合同有关的一切争端，应统一先由吉林省森林消防总队通过友好协商解决，如从协商开始30日内仍不能解决，则应由</w:t>
      </w:r>
      <w:r>
        <w:rPr>
          <w:rFonts w:hint="eastAsia" w:ascii="宋体" w:hAnsi="宋体" w:cs="宋体"/>
          <w:kern w:val="0"/>
          <w:sz w:val="24"/>
          <w:szCs w:val="32"/>
          <w:lang w:val="en-US" w:eastAsia="zh-CN"/>
        </w:rPr>
        <w:t>长春市</w:t>
      </w:r>
      <w:r>
        <w:rPr>
          <w:rFonts w:hint="eastAsia" w:ascii="宋体" w:hAnsi="宋体" w:cs="宋体"/>
          <w:kern w:val="0"/>
          <w:sz w:val="24"/>
          <w:szCs w:val="32"/>
        </w:rPr>
        <w:t>仲裁委员会仲裁。仲裁费用由承担责任一方支付。在仲裁期间，除正在进行仲裁的部分外，合同其它部分应继续执行。</w:t>
      </w:r>
    </w:p>
    <w:p>
      <w:pPr>
        <w:adjustRightInd w:val="0"/>
        <w:spacing w:line="360" w:lineRule="auto"/>
        <w:textAlignment w:val="baseline"/>
        <w:outlineLvl w:val="1"/>
        <w:rPr>
          <w:rFonts w:ascii="宋体" w:hAnsi="宋体" w:cs="宋体"/>
          <w:b/>
          <w:kern w:val="0"/>
          <w:sz w:val="24"/>
          <w:szCs w:val="20"/>
        </w:rPr>
      </w:pPr>
      <w:bookmarkStart w:id="358" w:name="_Toc32748"/>
      <w:r>
        <w:rPr>
          <w:rFonts w:hint="eastAsia" w:ascii="宋体" w:hAnsi="宋体" w:cs="宋体"/>
          <w:b/>
          <w:kern w:val="0"/>
          <w:sz w:val="24"/>
          <w:szCs w:val="20"/>
        </w:rPr>
        <w:t>十五</w:t>
      </w:r>
      <w:r>
        <w:rPr>
          <w:rFonts w:hint="eastAsia" w:ascii="宋体" w:hAnsi="宋体" w:cs="宋体"/>
          <w:b/>
          <w:kern w:val="0"/>
          <w:sz w:val="24"/>
          <w:szCs w:val="20"/>
          <w:lang w:eastAsia="zh-CN"/>
        </w:rPr>
        <w:t>、</w:t>
      </w:r>
      <w:r>
        <w:rPr>
          <w:rFonts w:hint="eastAsia" w:ascii="宋体" w:hAnsi="宋体" w:cs="宋体"/>
          <w:b/>
          <w:kern w:val="0"/>
          <w:sz w:val="24"/>
          <w:szCs w:val="20"/>
        </w:rPr>
        <w:t>其它约定事项</w:t>
      </w:r>
      <w:bookmarkEnd w:id="358"/>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1.因编制体制改革，采购计划被上级取消，或继续履行合同将严重损害国家利益的，甲方有权终止采购和合同履行，由此带来的任何风险和损失由乙方自行承担。</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2.合同一经订立不得转让，否则，甲方有权单方解除合同，乙方承担违约责任。</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3.合同中未尽事项，依据产品招投标文件执行，或由甲乙双方协商解决；如发生纠纷，经协商仍不能解决时，任何一方均有权提交</w:t>
      </w:r>
      <w:r>
        <w:rPr>
          <w:rFonts w:hint="eastAsia" w:ascii="宋体" w:hAnsi="宋体" w:cs="宋体"/>
          <w:kern w:val="0"/>
          <w:sz w:val="24"/>
          <w:szCs w:val="32"/>
          <w:lang w:val="en-US" w:eastAsia="zh-CN"/>
        </w:rPr>
        <w:t>长春市</w:t>
      </w:r>
      <w:r>
        <w:rPr>
          <w:rFonts w:hint="eastAsia" w:ascii="宋体" w:hAnsi="宋体" w:cs="宋体"/>
          <w:kern w:val="0"/>
          <w:sz w:val="24"/>
          <w:szCs w:val="32"/>
        </w:rPr>
        <w:t>仲裁委员会，按照申请仲裁时现行有效的仲裁规则进行仲裁。仲裁裁决是终局的，对双方均有约束力。</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在双方协商、仲裁期间，除争议条款外，本合同其它条款必须继续履行，由于争议给无过错方造成的损失，由过错方承担。</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4.本合同一式4份，具有同等法律效力。其中：甲方3份，乙方1份。本合同自双方签字、盖章之日起生效。</w:t>
      </w:r>
    </w:p>
    <w:p>
      <w:pPr>
        <w:adjustRightInd w:val="0"/>
        <w:spacing w:line="360" w:lineRule="auto"/>
        <w:textAlignment w:val="baseline"/>
        <w:outlineLvl w:val="1"/>
        <w:rPr>
          <w:rFonts w:ascii="宋体" w:hAnsi="宋体" w:cs="宋体"/>
          <w:b/>
          <w:kern w:val="0"/>
          <w:sz w:val="24"/>
          <w:szCs w:val="20"/>
        </w:rPr>
      </w:pPr>
      <w:bookmarkStart w:id="359" w:name="_Toc11030"/>
      <w:r>
        <w:rPr>
          <w:rFonts w:hint="eastAsia" w:ascii="宋体" w:hAnsi="宋体" w:cs="宋体"/>
          <w:b/>
          <w:kern w:val="0"/>
          <w:sz w:val="24"/>
          <w:szCs w:val="20"/>
        </w:rPr>
        <w:t>十六.合同附件</w:t>
      </w:r>
      <w:bookmarkEnd w:id="359"/>
    </w:p>
    <w:p>
      <w:pPr>
        <w:adjustRightInd w:val="0"/>
        <w:spacing w:line="360" w:lineRule="auto"/>
        <w:ind w:firstLine="480" w:firstLineChars="200"/>
        <w:textAlignment w:val="baseline"/>
        <w:rPr>
          <w:rFonts w:hint="eastAsia" w:ascii="宋体" w:hAnsi="宋体" w:cs="宋体"/>
          <w:kern w:val="0"/>
          <w:sz w:val="24"/>
          <w:szCs w:val="32"/>
        </w:rPr>
      </w:pPr>
      <w:bookmarkStart w:id="360" w:name="_Toc11297"/>
      <w:r>
        <w:rPr>
          <w:rFonts w:hint="eastAsia" w:ascii="宋体" w:hAnsi="宋体" w:cs="宋体"/>
          <w:kern w:val="0"/>
          <w:sz w:val="24"/>
          <w:szCs w:val="32"/>
        </w:rPr>
        <w:t>附件1：吉林省森林消防总队物资到货验收登记表</w:t>
      </w:r>
      <w:bookmarkEnd w:id="360"/>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附件2：技术规范</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附件3：生产供应计划表</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附件4：生产供应保密协议</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附件5：反商业贿赂协议</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附件6：生产供应有关事项的协议</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附件7：分配计划表</w:t>
      </w:r>
    </w:p>
    <w:p>
      <w:pPr>
        <w:adjustRightInd w:val="0"/>
        <w:spacing w:line="360" w:lineRule="auto"/>
        <w:ind w:firstLine="480" w:firstLineChars="200"/>
        <w:textAlignment w:val="baseline"/>
        <w:rPr>
          <w:rFonts w:ascii="宋体" w:hAnsi="宋体" w:cs="宋体"/>
          <w:kern w:val="0"/>
          <w:sz w:val="24"/>
          <w:szCs w:val="32"/>
        </w:rPr>
      </w:pPr>
      <w:r>
        <w:rPr>
          <w:rFonts w:hint="eastAsia" w:ascii="宋体" w:hAnsi="宋体" w:cs="宋体"/>
          <w:kern w:val="0"/>
          <w:sz w:val="24"/>
          <w:szCs w:val="32"/>
        </w:rPr>
        <w:t>附件8：甲乙双方相关信息表</w:t>
      </w:r>
    </w:p>
    <w:p>
      <w:pPr>
        <w:adjustRightInd w:val="0"/>
        <w:snapToGrid w:val="0"/>
        <w:spacing w:line="240" w:lineRule="atLeast"/>
        <w:ind w:right="370" w:rightChars="176"/>
        <w:jc w:val="center"/>
        <w:textAlignment w:val="baseline"/>
        <w:rPr>
          <w:rFonts w:ascii="宋体" w:hAnsi="宋体" w:cs="宋体"/>
          <w:b/>
          <w:kern w:val="0"/>
          <w:sz w:val="28"/>
          <w:szCs w:val="28"/>
        </w:rPr>
        <w:sectPr>
          <w:footerReference r:id="rId8" w:type="default"/>
          <w:pgSz w:w="11907" w:h="16840"/>
          <w:pgMar w:top="1701" w:right="1417" w:bottom="1134" w:left="1417" w:header="851" w:footer="992" w:gutter="0"/>
          <w:paperSrc w:first="15" w:other="15"/>
          <w:pgNumType w:fmt="decimal"/>
          <w:cols w:space="720" w:num="1"/>
          <w:docGrid w:linePitch="326" w:charSpace="0"/>
        </w:sectPr>
      </w:pPr>
    </w:p>
    <w:p>
      <w:pPr>
        <w:adjustRightInd w:val="0"/>
        <w:spacing w:line="360" w:lineRule="atLeas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附件1：</w:t>
      </w:r>
    </w:p>
    <w:p>
      <w:pPr>
        <w:widowControl/>
        <w:adjustRightInd w:val="0"/>
        <w:spacing w:line="360" w:lineRule="atLeast"/>
        <w:jc w:val="center"/>
        <w:textAlignment w:val="center"/>
        <w:rPr>
          <w:rFonts w:hint="eastAsia" w:ascii="宋体" w:hAnsi="宋体" w:eastAsia="宋体" w:cs="宋体"/>
          <w:b/>
          <w:bCs/>
          <w:snapToGrid w:val="0"/>
          <w:kern w:val="0"/>
          <w:sz w:val="24"/>
          <w:szCs w:val="24"/>
        </w:rPr>
      </w:pPr>
      <w:r>
        <w:rPr>
          <w:rFonts w:hint="eastAsia" w:ascii="宋体" w:hAnsi="宋体" w:eastAsia="宋体" w:cs="宋体"/>
          <w:b/>
          <w:bCs/>
          <w:snapToGrid w:val="0"/>
          <w:kern w:val="0"/>
          <w:sz w:val="24"/>
          <w:szCs w:val="24"/>
        </w:rPr>
        <w:t>吉林省森林消防总队物资（服务）到货验收登记表</w:t>
      </w:r>
    </w:p>
    <w:p>
      <w:pPr>
        <w:adjustRightInd w:val="0"/>
        <w:spacing w:line="400" w:lineRule="exact"/>
        <w:jc w:val="left"/>
        <w:textAlignment w:val="baseline"/>
        <w:rPr>
          <w:rFonts w:hint="eastAsia" w:ascii="宋体" w:hAnsi="宋体" w:eastAsia="宋体" w:cs="宋体"/>
          <w:b/>
          <w:kern w:val="0"/>
          <w:sz w:val="24"/>
          <w:szCs w:val="24"/>
        </w:rPr>
      </w:pPr>
    </w:p>
    <w:p>
      <w:pPr>
        <w:adjustRightInd w:val="0"/>
        <w:spacing w:line="40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验收单位：                  负责人：                 验收人：                    联系电话：              单位:元</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39"/>
        <w:gridCol w:w="1905"/>
        <w:gridCol w:w="1290"/>
        <w:gridCol w:w="1110"/>
        <w:gridCol w:w="1260"/>
        <w:gridCol w:w="1365"/>
        <w:gridCol w:w="1170"/>
        <w:gridCol w:w="1890"/>
        <w:gridCol w:w="1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1" w:type="dxa"/>
            <w:gridSpan w:val="6"/>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供货单位栏</w:t>
            </w:r>
          </w:p>
        </w:tc>
        <w:tc>
          <w:tcPr>
            <w:tcW w:w="6390" w:type="dxa"/>
            <w:gridSpan w:val="4"/>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收货单位栏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17"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序号</w:t>
            </w:r>
          </w:p>
        </w:tc>
        <w:tc>
          <w:tcPr>
            <w:tcW w:w="1739"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物资名称</w:t>
            </w:r>
          </w:p>
        </w:tc>
        <w:tc>
          <w:tcPr>
            <w:tcW w:w="1905"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规格型号</w:t>
            </w:r>
          </w:p>
        </w:tc>
        <w:tc>
          <w:tcPr>
            <w:tcW w:w="1290"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计量单位</w:t>
            </w:r>
          </w:p>
        </w:tc>
        <w:tc>
          <w:tcPr>
            <w:tcW w:w="1110"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单价</w:t>
            </w:r>
          </w:p>
        </w:tc>
        <w:tc>
          <w:tcPr>
            <w:tcW w:w="1260"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供货</w:t>
            </w:r>
          </w:p>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数量</w:t>
            </w:r>
          </w:p>
        </w:tc>
        <w:tc>
          <w:tcPr>
            <w:tcW w:w="1365"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实收</w:t>
            </w:r>
          </w:p>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数量</w:t>
            </w:r>
          </w:p>
        </w:tc>
        <w:tc>
          <w:tcPr>
            <w:tcW w:w="1170"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单价</w:t>
            </w:r>
          </w:p>
        </w:tc>
        <w:tc>
          <w:tcPr>
            <w:tcW w:w="1890"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交货时间</w:t>
            </w:r>
          </w:p>
        </w:tc>
        <w:tc>
          <w:tcPr>
            <w:tcW w:w="1965" w:type="dxa"/>
            <w:vAlign w:val="center"/>
          </w:tcPr>
          <w:p>
            <w:pPr>
              <w:adjustRightInd w:val="0"/>
              <w:spacing w:line="40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验收结果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817" w:type="dxa"/>
          </w:tcPr>
          <w:p>
            <w:pPr>
              <w:adjustRightInd w:val="0"/>
              <w:spacing w:line="400" w:lineRule="exact"/>
              <w:jc w:val="left"/>
              <w:textAlignment w:val="baseline"/>
              <w:rPr>
                <w:rFonts w:hint="eastAsia" w:ascii="宋体" w:hAnsi="宋体" w:eastAsia="宋体" w:cs="宋体"/>
                <w:b/>
                <w:kern w:val="0"/>
                <w:sz w:val="24"/>
                <w:szCs w:val="24"/>
              </w:rPr>
            </w:pPr>
          </w:p>
        </w:tc>
        <w:tc>
          <w:tcPr>
            <w:tcW w:w="1739" w:type="dxa"/>
          </w:tcPr>
          <w:p>
            <w:pPr>
              <w:adjustRightInd w:val="0"/>
              <w:spacing w:line="400" w:lineRule="exact"/>
              <w:jc w:val="left"/>
              <w:textAlignment w:val="baseline"/>
              <w:rPr>
                <w:rFonts w:hint="eastAsia" w:ascii="宋体" w:hAnsi="宋体" w:eastAsia="宋体" w:cs="宋体"/>
                <w:b/>
                <w:kern w:val="0"/>
                <w:sz w:val="24"/>
                <w:szCs w:val="24"/>
              </w:rPr>
            </w:pPr>
          </w:p>
        </w:tc>
        <w:tc>
          <w:tcPr>
            <w:tcW w:w="1905" w:type="dxa"/>
          </w:tcPr>
          <w:p>
            <w:pPr>
              <w:adjustRightInd w:val="0"/>
              <w:spacing w:line="400" w:lineRule="exact"/>
              <w:jc w:val="left"/>
              <w:textAlignment w:val="baseline"/>
              <w:rPr>
                <w:rFonts w:hint="eastAsia" w:ascii="宋体" w:hAnsi="宋体" w:eastAsia="宋体" w:cs="宋体"/>
                <w:b/>
                <w:kern w:val="0"/>
                <w:sz w:val="24"/>
                <w:szCs w:val="24"/>
              </w:rPr>
            </w:pPr>
          </w:p>
        </w:tc>
        <w:tc>
          <w:tcPr>
            <w:tcW w:w="1290" w:type="dxa"/>
          </w:tcPr>
          <w:p>
            <w:pPr>
              <w:adjustRightInd w:val="0"/>
              <w:spacing w:line="400" w:lineRule="exact"/>
              <w:jc w:val="left"/>
              <w:textAlignment w:val="baseline"/>
              <w:rPr>
                <w:rFonts w:hint="eastAsia" w:ascii="宋体" w:hAnsi="宋体" w:eastAsia="宋体" w:cs="宋体"/>
                <w:b/>
                <w:kern w:val="0"/>
                <w:sz w:val="24"/>
                <w:szCs w:val="24"/>
              </w:rPr>
            </w:pPr>
          </w:p>
        </w:tc>
        <w:tc>
          <w:tcPr>
            <w:tcW w:w="1110" w:type="dxa"/>
          </w:tcPr>
          <w:p>
            <w:pPr>
              <w:adjustRightInd w:val="0"/>
              <w:spacing w:line="400" w:lineRule="exact"/>
              <w:jc w:val="left"/>
              <w:textAlignment w:val="baseline"/>
              <w:rPr>
                <w:rFonts w:hint="eastAsia" w:ascii="宋体" w:hAnsi="宋体" w:eastAsia="宋体" w:cs="宋体"/>
                <w:b/>
                <w:kern w:val="0"/>
                <w:sz w:val="24"/>
                <w:szCs w:val="24"/>
              </w:rPr>
            </w:pPr>
          </w:p>
        </w:tc>
        <w:tc>
          <w:tcPr>
            <w:tcW w:w="1260" w:type="dxa"/>
          </w:tcPr>
          <w:p>
            <w:pPr>
              <w:adjustRightInd w:val="0"/>
              <w:spacing w:line="400" w:lineRule="exact"/>
              <w:jc w:val="left"/>
              <w:textAlignment w:val="baseline"/>
              <w:rPr>
                <w:rFonts w:hint="eastAsia" w:ascii="宋体" w:hAnsi="宋体" w:eastAsia="宋体" w:cs="宋体"/>
                <w:b/>
                <w:kern w:val="0"/>
                <w:sz w:val="24"/>
                <w:szCs w:val="24"/>
              </w:rPr>
            </w:pPr>
          </w:p>
        </w:tc>
        <w:tc>
          <w:tcPr>
            <w:tcW w:w="1365" w:type="dxa"/>
          </w:tcPr>
          <w:p>
            <w:pPr>
              <w:adjustRightInd w:val="0"/>
              <w:spacing w:line="400" w:lineRule="exact"/>
              <w:jc w:val="left"/>
              <w:textAlignment w:val="baseline"/>
              <w:rPr>
                <w:rFonts w:hint="eastAsia" w:ascii="宋体" w:hAnsi="宋体" w:eastAsia="宋体" w:cs="宋体"/>
                <w:b/>
                <w:kern w:val="0"/>
                <w:sz w:val="24"/>
                <w:szCs w:val="24"/>
              </w:rPr>
            </w:pPr>
          </w:p>
        </w:tc>
        <w:tc>
          <w:tcPr>
            <w:tcW w:w="1170" w:type="dxa"/>
          </w:tcPr>
          <w:p>
            <w:pPr>
              <w:adjustRightInd w:val="0"/>
              <w:spacing w:line="400" w:lineRule="exact"/>
              <w:jc w:val="left"/>
              <w:textAlignment w:val="baseline"/>
              <w:rPr>
                <w:rFonts w:hint="eastAsia" w:ascii="宋体" w:hAnsi="宋体" w:eastAsia="宋体" w:cs="宋体"/>
                <w:b/>
                <w:kern w:val="0"/>
                <w:sz w:val="24"/>
                <w:szCs w:val="24"/>
              </w:rPr>
            </w:pPr>
          </w:p>
        </w:tc>
        <w:tc>
          <w:tcPr>
            <w:tcW w:w="1890" w:type="dxa"/>
          </w:tcPr>
          <w:p>
            <w:pPr>
              <w:adjustRightInd w:val="0"/>
              <w:spacing w:line="400" w:lineRule="exact"/>
              <w:jc w:val="left"/>
              <w:textAlignment w:val="baseline"/>
              <w:rPr>
                <w:rFonts w:hint="eastAsia" w:ascii="宋体" w:hAnsi="宋体" w:eastAsia="宋体" w:cs="宋体"/>
                <w:b/>
                <w:kern w:val="0"/>
                <w:sz w:val="24"/>
                <w:szCs w:val="24"/>
              </w:rPr>
            </w:pPr>
          </w:p>
        </w:tc>
        <w:tc>
          <w:tcPr>
            <w:tcW w:w="1965" w:type="dxa"/>
          </w:tcPr>
          <w:p>
            <w:pPr>
              <w:adjustRightInd w:val="0"/>
              <w:spacing w:line="400" w:lineRule="exact"/>
              <w:jc w:val="left"/>
              <w:textAlignment w:val="baseline"/>
              <w:rPr>
                <w:rFonts w:hint="eastAsia" w:ascii="宋体" w:hAnsi="宋体" w:eastAsia="宋体" w:cs="宋体"/>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17" w:type="dxa"/>
          </w:tcPr>
          <w:p>
            <w:pPr>
              <w:adjustRightInd w:val="0"/>
              <w:spacing w:line="400" w:lineRule="exact"/>
              <w:jc w:val="left"/>
              <w:textAlignment w:val="baseline"/>
              <w:rPr>
                <w:rFonts w:hint="eastAsia" w:ascii="宋体" w:hAnsi="宋体" w:eastAsia="宋体" w:cs="宋体"/>
                <w:b/>
                <w:kern w:val="0"/>
                <w:sz w:val="24"/>
                <w:szCs w:val="24"/>
              </w:rPr>
            </w:pPr>
          </w:p>
        </w:tc>
        <w:tc>
          <w:tcPr>
            <w:tcW w:w="1739" w:type="dxa"/>
          </w:tcPr>
          <w:p>
            <w:pPr>
              <w:adjustRightInd w:val="0"/>
              <w:spacing w:line="400" w:lineRule="exact"/>
              <w:jc w:val="left"/>
              <w:textAlignment w:val="baseline"/>
              <w:rPr>
                <w:rFonts w:hint="eastAsia" w:ascii="宋体" w:hAnsi="宋体" w:eastAsia="宋体" w:cs="宋体"/>
                <w:b/>
                <w:kern w:val="0"/>
                <w:sz w:val="24"/>
                <w:szCs w:val="24"/>
              </w:rPr>
            </w:pPr>
          </w:p>
        </w:tc>
        <w:tc>
          <w:tcPr>
            <w:tcW w:w="1905" w:type="dxa"/>
          </w:tcPr>
          <w:p>
            <w:pPr>
              <w:adjustRightInd w:val="0"/>
              <w:spacing w:line="400" w:lineRule="exact"/>
              <w:jc w:val="left"/>
              <w:textAlignment w:val="baseline"/>
              <w:rPr>
                <w:rFonts w:hint="eastAsia" w:ascii="宋体" w:hAnsi="宋体" w:eastAsia="宋体" w:cs="宋体"/>
                <w:b/>
                <w:kern w:val="0"/>
                <w:sz w:val="24"/>
                <w:szCs w:val="24"/>
              </w:rPr>
            </w:pPr>
          </w:p>
        </w:tc>
        <w:tc>
          <w:tcPr>
            <w:tcW w:w="1290" w:type="dxa"/>
          </w:tcPr>
          <w:p>
            <w:pPr>
              <w:adjustRightInd w:val="0"/>
              <w:spacing w:line="400" w:lineRule="exact"/>
              <w:jc w:val="left"/>
              <w:textAlignment w:val="baseline"/>
              <w:rPr>
                <w:rFonts w:hint="eastAsia" w:ascii="宋体" w:hAnsi="宋体" w:eastAsia="宋体" w:cs="宋体"/>
                <w:b/>
                <w:kern w:val="0"/>
                <w:sz w:val="24"/>
                <w:szCs w:val="24"/>
              </w:rPr>
            </w:pPr>
          </w:p>
        </w:tc>
        <w:tc>
          <w:tcPr>
            <w:tcW w:w="1110" w:type="dxa"/>
          </w:tcPr>
          <w:p>
            <w:pPr>
              <w:adjustRightInd w:val="0"/>
              <w:spacing w:line="400" w:lineRule="exact"/>
              <w:jc w:val="left"/>
              <w:textAlignment w:val="baseline"/>
              <w:rPr>
                <w:rFonts w:hint="eastAsia" w:ascii="宋体" w:hAnsi="宋体" w:eastAsia="宋体" w:cs="宋体"/>
                <w:b/>
                <w:kern w:val="0"/>
                <w:sz w:val="24"/>
                <w:szCs w:val="24"/>
              </w:rPr>
            </w:pPr>
          </w:p>
        </w:tc>
        <w:tc>
          <w:tcPr>
            <w:tcW w:w="1260" w:type="dxa"/>
          </w:tcPr>
          <w:p>
            <w:pPr>
              <w:adjustRightInd w:val="0"/>
              <w:spacing w:line="400" w:lineRule="exact"/>
              <w:jc w:val="left"/>
              <w:textAlignment w:val="baseline"/>
              <w:rPr>
                <w:rFonts w:hint="eastAsia" w:ascii="宋体" w:hAnsi="宋体" w:eastAsia="宋体" w:cs="宋体"/>
                <w:b/>
                <w:kern w:val="0"/>
                <w:sz w:val="24"/>
                <w:szCs w:val="24"/>
              </w:rPr>
            </w:pPr>
          </w:p>
        </w:tc>
        <w:tc>
          <w:tcPr>
            <w:tcW w:w="1365" w:type="dxa"/>
          </w:tcPr>
          <w:p>
            <w:pPr>
              <w:adjustRightInd w:val="0"/>
              <w:spacing w:line="400" w:lineRule="exact"/>
              <w:jc w:val="left"/>
              <w:textAlignment w:val="baseline"/>
              <w:rPr>
                <w:rFonts w:hint="eastAsia" w:ascii="宋体" w:hAnsi="宋体" w:eastAsia="宋体" w:cs="宋体"/>
                <w:b/>
                <w:kern w:val="0"/>
                <w:sz w:val="24"/>
                <w:szCs w:val="24"/>
              </w:rPr>
            </w:pPr>
          </w:p>
        </w:tc>
        <w:tc>
          <w:tcPr>
            <w:tcW w:w="1170" w:type="dxa"/>
          </w:tcPr>
          <w:p>
            <w:pPr>
              <w:adjustRightInd w:val="0"/>
              <w:spacing w:line="400" w:lineRule="exact"/>
              <w:jc w:val="left"/>
              <w:textAlignment w:val="baseline"/>
              <w:rPr>
                <w:rFonts w:hint="eastAsia" w:ascii="宋体" w:hAnsi="宋体" w:eastAsia="宋体" w:cs="宋体"/>
                <w:b/>
                <w:kern w:val="0"/>
                <w:sz w:val="24"/>
                <w:szCs w:val="24"/>
              </w:rPr>
            </w:pPr>
          </w:p>
        </w:tc>
        <w:tc>
          <w:tcPr>
            <w:tcW w:w="1890" w:type="dxa"/>
          </w:tcPr>
          <w:p>
            <w:pPr>
              <w:adjustRightInd w:val="0"/>
              <w:spacing w:line="400" w:lineRule="exact"/>
              <w:jc w:val="left"/>
              <w:textAlignment w:val="baseline"/>
              <w:rPr>
                <w:rFonts w:hint="eastAsia" w:ascii="宋体" w:hAnsi="宋体" w:eastAsia="宋体" w:cs="宋体"/>
                <w:b/>
                <w:kern w:val="0"/>
                <w:sz w:val="24"/>
                <w:szCs w:val="24"/>
              </w:rPr>
            </w:pPr>
          </w:p>
        </w:tc>
        <w:tc>
          <w:tcPr>
            <w:tcW w:w="1965" w:type="dxa"/>
          </w:tcPr>
          <w:p>
            <w:pPr>
              <w:adjustRightInd w:val="0"/>
              <w:spacing w:line="400" w:lineRule="exact"/>
              <w:jc w:val="left"/>
              <w:textAlignment w:val="baseline"/>
              <w:rPr>
                <w:rFonts w:hint="eastAsia" w:ascii="宋体" w:hAnsi="宋体" w:eastAsia="宋体" w:cs="宋体"/>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17" w:type="dxa"/>
          </w:tcPr>
          <w:p>
            <w:pPr>
              <w:adjustRightInd w:val="0"/>
              <w:spacing w:line="400" w:lineRule="exact"/>
              <w:jc w:val="left"/>
              <w:textAlignment w:val="baseline"/>
              <w:rPr>
                <w:rFonts w:hint="eastAsia" w:ascii="宋体" w:hAnsi="宋体" w:eastAsia="宋体" w:cs="宋体"/>
                <w:b/>
                <w:kern w:val="0"/>
                <w:sz w:val="24"/>
                <w:szCs w:val="24"/>
              </w:rPr>
            </w:pPr>
          </w:p>
        </w:tc>
        <w:tc>
          <w:tcPr>
            <w:tcW w:w="1739" w:type="dxa"/>
          </w:tcPr>
          <w:p>
            <w:pPr>
              <w:adjustRightInd w:val="0"/>
              <w:spacing w:line="400" w:lineRule="exact"/>
              <w:jc w:val="left"/>
              <w:textAlignment w:val="baseline"/>
              <w:rPr>
                <w:rFonts w:hint="eastAsia" w:ascii="宋体" w:hAnsi="宋体" w:eastAsia="宋体" w:cs="宋体"/>
                <w:b/>
                <w:kern w:val="0"/>
                <w:sz w:val="24"/>
                <w:szCs w:val="24"/>
              </w:rPr>
            </w:pPr>
          </w:p>
        </w:tc>
        <w:tc>
          <w:tcPr>
            <w:tcW w:w="1905" w:type="dxa"/>
          </w:tcPr>
          <w:p>
            <w:pPr>
              <w:adjustRightInd w:val="0"/>
              <w:spacing w:line="400" w:lineRule="exact"/>
              <w:jc w:val="left"/>
              <w:textAlignment w:val="baseline"/>
              <w:rPr>
                <w:rFonts w:hint="eastAsia" w:ascii="宋体" w:hAnsi="宋体" w:eastAsia="宋体" w:cs="宋体"/>
                <w:b/>
                <w:kern w:val="0"/>
                <w:sz w:val="24"/>
                <w:szCs w:val="24"/>
              </w:rPr>
            </w:pPr>
          </w:p>
        </w:tc>
        <w:tc>
          <w:tcPr>
            <w:tcW w:w="1290" w:type="dxa"/>
          </w:tcPr>
          <w:p>
            <w:pPr>
              <w:adjustRightInd w:val="0"/>
              <w:spacing w:line="400" w:lineRule="exact"/>
              <w:jc w:val="left"/>
              <w:textAlignment w:val="baseline"/>
              <w:rPr>
                <w:rFonts w:hint="eastAsia" w:ascii="宋体" w:hAnsi="宋体" w:eastAsia="宋体" w:cs="宋体"/>
                <w:b/>
                <w:kern w:val="0"/>
                <w:sz w:val="24"/>
                <w:szCs w:val="24"/>
              </w:rPr>
            </w:pPr>
          </w:p>
        </w:tc>
        <w:tc>
          <w:tcPr>
            <w:tcW w:w="1110" w:type="dxa"/>
          </w:tcPr>
          <w:p>
            <w:pPr>
              <w:adjustRightInd w:val="0"/>
              <w:spacing w:line="400" w:lineRule="exact"/>
              <w:jc w:val="left"/>
              <w:textAlignment w:val="baseline"/>
              <w:rPr>
                <w:rFonts w:hint="eastAsia" w:ascii="宋体" w:hAnsi="宋体" w:eastAsia="宋体" w:cs="宋体"/>
                <w:b/>
                <w:kern w:val="0"/>
                <w:sz w:val="24"/>
                <w:szCs w:val="24"/>
              </w:rPr>
            </w:pPr>
          </w:p>
        </w:tc>
        <w:tc>
          <w:tcPr>
            <w:tcW w:w="1260" w:type="dxa"/>
          </w:tcPr>
          <w:p>
            <w:pPr>
              <w:adjustRightInd w:val="0"/>
              <w:spacing w:line="400" w:lineRule="exact"/>
              <w:jc w:val="left"/>
              <w:textAlignment w:val="baseline"/>
              <w:rPr>
                <w:rFonts w:hint="eastAsia" w:ascii="宋体" w:hAnsi="宋体" w:eastAsia="宋体" w:cs="宋体"/>
                <w:b/>
                <w:kern w:val="0"/>
                <w:sz w:val="24"/>
                <w:szCs w:val="24"/>
              </w:rPr>
            </w:pPr>
          </w:p>
        </w:tc>
        <w:tc>
          <w:tcPr>
            <w:tcW w:w="1365" w:type="dxa"/>
          </w:tcPr>
          <w:p>
            <w:pPr>
              <w:adjustRightInd w:val="0"/>
              <w:spacing w:line="400" w:lineRule="exact"/>
              <w:jc w:val="left"/>
              <w:textAlignment w:val="baseline"/>
              <w:rPr>
                <w:rFonts w:hint="eastAsia" w:ascii="宋体" w:hAnsi="宋体" w:eastAsia="宋体" w:cs="宋体"/>
                <w:b/>
                <w:kern w:val="0"/>
                <w:sz w:val="24"/>
                <w:szCs w:val="24"/>
              </w:rPr>
            </w:pPr>
          </w:p>
        </w:tc>
        <w:tc>
          <w:tcPr>
            <w:tcW w:w="1170" w:type="dxa"/>
          </w:tcPr>
          <w:p>
            <w:pPr>
              <w:adjustRightInd w:val="0"/>
              <w:spacing w:line="400" w:lineRule="exact"/>
              <w:jc w:val="left"/>
              <w:textAlignment w:val="baseline"/>
              <w:rPr>
                <w:rFonts w:hint="eastAsia" w:ascii="宋体" w:hAnsi="宋体" w:eastAsia="宋体" w:cs="宋体"/>
                <w:b/>
                <w:kern w:val="0"/>
                <w:sz w:val="24"/>
                <w:szCs w:val="24"/>
              </w:rPr>
            </w:pPr>
          </w:p>
        </w:tc>
        <w:tc>
          <w:tcPr>
            <w:tcW w:w="1890" w:type="dxa"/>
          </w:tcPr>
          <w:p>
            <w:pPr>
              <w:adjustRightInd w:val="0"/>
              <w:spacing w:line="400" w:lineRule="exact"/>
              <w:jc w:val="left"/>
              <w:textAlignment w:val="baseline"/>
              <w:rPr>
                <w:rFonts w:hint="eastAsia" w:ascii="宋体" w:hAnsi="宋体" w:eastAsia="宋体" w:cs="宋体"/>
                <w:b/>
                <w:kern w:val="0"/>
                <w:sz w:val="24"/>
                <w:szCs w:val="24"/>
              </w:rPr>
            </w:pPr>
          </w:p>
        </w:tc>
        <w:tc>
          <w:tcPr>
            <w:tcW w:w="1965" w:type="dxa"/>
          </w:tcPr>
          <w:p>
            <w:pPr>
              <w:adjustRightInd w:val="0"/>
              <w:spacing w:line="400" w:lineRule="exact"/>
              <w:jc w:val="left"/>
              <w:textAlignment w:val="baseline"/>
              <w:rPr>
                <w:rFonts w:hint="eastAsia" w:ascii="宋体" w:hAnsi="宋体" w:eastAsia="宋体" w:cs="宋体"/>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817" w:type="dxa"/>
          </w:tcPr>
          <w:p>
            <w:pPr>
              <w:adjustRightInd w:val="0"/>
              <w:spacing w:line="400" w:lineRule="exact"/>
              <w:jc w:val="left"/>
              <w:textAlignment w:val="baseline"/>
              <w:rPr>
                <w:rFonts w:hint="eastAsia" w:ascii="宋体" w:hAnsi="宋体" w:eastAsia="宋体" w:cs="宋体"/>
                <w:b/>
                <w:kern w:val="0"/>
                <w:sz w:val="24"/>
                <w:szCs w:val="24"/>
              </w:rPr>
            </w:pPr>
          </w:p>
        </w:tc>
        <w:tc>
          <w:tcPr>
            <w:tcW w:w="1739" w:type="dxa"/>
          </w:tcPr>
          <w:p>
            <w:pPr>
              <w:adjustRightInd w:val="0"/>
              <w:spacing w:line="400" w:lineRule="exact"/>
              <w:jc w:val="left"/>
              <w:textAlignment w:val="baseline"/>
              <w:rPr>
                <w:rFonts w:hint="eastAsia" w:ascii="宋体" w:hAnsi="宋体" w:eastAsia="宋体" w:cs="宋体"/>
                <w:b/>
                <w:kern w:val="0"/>
                <w:sz w:val="24"/>
                <w:szCs w:val="24"/>
              </w:rPr>
            </w:pPr>
          </w:p>
        </w:tc>
        <w:tc>
          <w:tcPr>
            <w:tcW w:w="1905" w:type="dxa"/>
          </w:tcPr>
          <w:p>
            <w:pPr>
              <w:adjustRightInd w:val="0"/>
              <w:spacing w:line="400" w:lineRule="exact"/>
              <w:jc w:val="left"/>
              <w:textAlignment w:val="baseline"/>
              <w:rPr>
                <w:rFonts w:hint="eastAsia" w:ascii="宋体" w:hAnsi="宋体" w:eastAsia="宋体" w:cs="宋体"/>
                <w:b/>
                <w:kern w:val="0"/>
                <w:sz w:val="24"/>
                <w:szCs w:val="24"/>
              </w:rPr>
            </w:pPr>
          </w:p>
        </w:tc>
        <w:tc>
          <w:tcPr>
            <w:tcW w:w="1290" w:type="dxa"/>
          </w:tcPr>
          <w:p>
            <w:pPr>
              <w:adjustRightInd w:val="0"/>
              <w:spacing w:line="400" w:lineRule="exact"/>
              <w:jc w:val="left"/>
              <w:textAlignment w:val="baseline"/>
              <w:rPr>
                <w:rFonts w:hint="eastAsia" w:ascii="宋体" w:hAnsi="宋体" w:eastAsia="宋体" w:cs="宋体"/>
                <w:b/>
                <w:kern w:val="0"/>
                <w:sz w:val="24"/>
                <w:szCs w:val="24"/>
              </w:rPr>
            </w:pPr>
          </w:p>
        </w:tc>
        <w:tc>
          <w:tcPr>
            <w:tcW w:w="1110" w:type="dxa"/>
          </w:tcPr>
          <w:p>
            <w:pPr>
              <w:adjustRightInd w:val="0"/>
              <w:spacing w:line="400" w:lineRule="exact"/>
              <w:jc w:val="left"/>
              <w:textAlignment w:val="baseline"/>
              <w:rPr>
                <w:rFonts w:hint="eastAsia" w:ascii="宋体" w:hAnsi="宋体" w:eastAsia="宋体" w:cs="宋体"/>
                <w:b/>
                <w:kern w:val="0"/>
                <w:sz w:val="24"/>
                <w:szCs w:val="24"/>
              </w:rPr>
            </w:pPr>
          </w:p>
        </w:tc>
        <w:tc>
          <w:tcPr>
            <w:tcW w:w="1260" w:type="dxa"/>
          </w:tcPr>
          <w:p>
            <w:pPr>
              <w:adjustRightInd w:val="0"/>
              <w:spacing w:line="400" w:lineRule="exact"/>
              <w:jc w:val="left"/>
              <w:textAlignment w:val="baseline"/>
              <w:rPr>
                <w:rFonts w:hint="eastAsia" w:ascii="宋体" w:hAnsi="宋体" w:eastAsia="宋体" w:cs="宋体"/>
                <w:b/>
                <w:kern w:val="0"/>
                <w:sz w:val="24"/>
                <w:szCs w:val="24"/>
              </w:rPr>
            </w:pPr>
          </w:p>
        </w:tc>
        <w:tc>
          <w:tcPr>
            <w:tcW w:w="1365" w:type="dxa"/>
          </w:tcPr>
          <w:p>
            <w:pPr>
              <w:adjustRightInd w:val="0"/>
              <w:spacing w:line="400" w:lineRule="exact"/>
              <w:jc w:val="left"/>
              <w:textAlignment w:val="baseline"/>
              <w:rPr>
                <w:rFonts w:hint="eastAsia" w:ascii="宋体" w:hAnsi="宋体" w:eastAsia="宋体" w:cs="宋体"/>
                <w:b/>
                <w:kern w:val="0"/>
                <w:sz w:val="24"/>
                <w:szCs w:val="24"/>
              </w:rPr>
            </w:pPr>
          </w:p>
        </w:tc>
        <w:tc>
          <w:tcPr>
            <w:tcW w:w="1170" w:type="dxa"/>
          </w:tcPr>
          <w:p>
            <w:pPr>
              <w:adjustRightInd w:val="0"/>
              <w:spacing w:line="400" w:lineRule="exact"/>
              <w:jc w:val="left"/>
              <w:textAlignment w:val="baseline"/>
              <w:rPr>
                <w:rFonts w:hint="eastAsia" w:ascii="宋体" w:hAnsi="宋体" w:eastAsia="宋体" w:cs="宋体"/>
                <w:b/>
                <w:kern w:val="0"/>
                <w:sz w:val="24"/>
                <w:szCs w:val="24"/>
              </w:rPr>
            </w:pPr>
          </w:p>
        </w:tc>
        <w:tc>
          <w:tcPr>
            <w:tcW w:w="1890" w:type="dxa"/>
          </w:tcPr>
          <w:p>
            <w:pPr>
              <w:adjustRightInd w:val="0"/>
              <w:spacing w:line="400" w:lineRule="exact"/>
              <w:jc w:val="left"/>
              <w:textAlignment w:val="baseline"/>
              <w:rPr>
                <w:rFonts w:hint="eastAsia" w:ascii="宋体" w:hAnsi="宋体" w:eastAsia="宋体" w:cs="宋体"/>
                <w:b/>
                <w:kern w:val="0"/>
                <w:sz w:val="24"/>
                <w:szCs w:val="24"/>
              </w:rPr>
            </w:pPr>
          </w:p>
        </w:tc>
        <w:tc>
          <w:tcPr>
            <w:tcW w:w="1965" w:type="dxa"/>
          </w:tcPr>
          <w:p>
            <w:pPr>
              <w:adjustRightInd w:val="0"/>
              <w:spacing w:line="400" w:lineRule="exact"/>
              <w:jc w:val="left"/>
              <w:textAlignment w:val="baseline"/>
              <w:rPr>
                <w:rFonts w:hint="eastAsia" w:ascii="宋体" w:hAnsi="宋体" w:eastAsia="宋体" w:cs="宋体"/>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2" w:hRule="atLeast"/>
        </w:trPr>
        <w:tc>
          <w:tcPr>
            <w:tcW w:w="8121" w:type="dxa"/>
            <w:gridSpan w:val="6"/>
          </w:tcPr>
          <w:p>
            <w:pPr>
              <w:adjustRightInd w:val="0"/>
              <w:spacing w:line="40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合同（协议）编号：</w:t>
            </w:r>
          </w:p>
          <w:p>
            <w:pPr>
              <w:adjustRightInd w:val="0"/>
              <w:spacing w:line="400" w:lineRule="exact"/>
              <w:jc w:val="left"/>
              <w:textAlignment w:val="baseline"/>
              <w:rPr>
                <w:rFonts w:hint="eastAsia" w:ascii="宋体" w:hAnsi="宋体" w:eastAsia="宋体" w:cs="宋体"/>
                <w:b/>
                <w:kern w:val="0"/>
                <w:sz w:val="24"/>
                <w:szCs w:val="24"/>
              </w:rPr>
            </w:pPr>
          </w:p>
          <w:p>
            <w:pPr>
              <w:adjustRightInd w:val="0"/>
              <w:spacing w:line="40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供货单位：（公章）</w:t>
            </w:r>
          </w:p>
          <w:p>
            <w:pPr>
              <w:adjustRightInd w:val="0"/>
              <w:spacing w:line="400" w:lineRule="exact"/>
              <w:jc w:val="left"/>
              <w:textAlignment w:val="baseline"/>
              <w:rPr>
                <w:rFonts w:hint="eastAsia" w:ascii="宋体" w:hAnsi="宋体" w:eastAsia="宋体" w:cs="宋体"/>
                <w:b/>
                <w:kern w:val="0"/>
                <w:sz w:val="24"/>
                <w:szCs w:val="24"/>
              </w:rPr>
            </w:pPr>
          </w:p>
          <w:p>
            <w:pPr>
              <w:adjustRightInd w:val="0"/>
              <w:spacing w:line="40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经办人：</w:t>
            </w:r>
          </w:p>
          <w:p>
            <w:pPr>
              <w:adjustRightInd w:val="0"/>
              <w:spacing w:line="400" w:lineRule="exact"/>
              <w:jc w:val="left"/>
              <w:textAlignment w:val="baseline"/>
              <w:rPr>
                <w:rFonts w:hint="eastAsia" w:ascii="宋体" w:hAnsi="宋体" w:eastAsia="宋体" w:cs="宋体"/>
                <w:b/>
                <w:kern w:val="0"/>
                <w:sz w:val="24"/>
                <w:szCs w:val="24"/>
              </w:rPr>
            </w:pPr>
          </w:p>
        </w:tc>
        <w:tc>
          <w:tcPr>
            <w:tcW w:w="6390" w:type="dxa"/>
            <w:gridSpan w:val="4"/>
          </w:tcPr>
          <w:p>
            <w:pPr>
              <w:adjustRightInd w:val="0"/>
              <w:spacing w:line="40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处理结果或意见：</w:t>
            </w:r>
          </w:p>
        </w:tc>
      </w:tr>
    </w:tbl>
    <w:p>
      <w:pPr>
        <w:adjustRightInd w:val="0"/>
        <w:snapToGrid w:val="0"/>
        <w:spacing w:line="240" w:lineRule="atLeast"/>
        <w:ind w:right="370" w:rightChars="176"/>
        <w:jc w:val="center"/>
        <w:textAlignment w:val="baseline"/>
        <w:rPr>
          <w:rFonts w:ascii="宋体" w:hAnsi="宋体" w:cs="宋体"/>
          <w:b/>
          <w:kern w:val="0"/>
          <w:sz w:val="28"/>
          <w:szCs w:val="28"/>
        </w:rPr>
      </w:pPr>
    </w:p>
    <w:p>
      <w:pPr>
        <w:widowControl/>
        <w:jc w:val="left"/>
        <w:rPr>
          <w:rFonts w:ascii="宋体" w:hAnsi="宋体" w:cs="宋体"/>
          <w:b/>
          <w:kern w:val="0"/>
          <w:sz w:val="32"/>
          <w:szCs w:val="44"/>
        </w:rPr>
      </w:pPr>
      <w:r>
        <w:rPr>
          <w:rFonts w:ascii="宋体" w:hAnsi="宋体" w:cs="宋体"/>
          <w:b/>
          <w:kern w:val="0"/>
          <w:sz w:val="32"/>
          <w:szCs w:val="44"/>
        </w:rPr>
        <w:br w:type="page"/>
      </w:r>
    </w:p>
    <w:p>
      <w:pPr>
        <w:adjustRightInd w:val="0"/>
        <w:spacing w:line="600" w:lineRule="atLeas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《物资（服务）到货验收登记表》填写说明</w:t>
      </w:r>
    </w:p>
    <w:p>
      <w:pPr>
        <w:adjustRightInd w:val="0"/>
        <w:spacing w:line="600" w:lineRule="atLeast"/>
        <w:jc w:val="left"/>
        <w:textAlignment w:val="baseline"/>
        <w:rPr>
          <w:rFonts w:hint="eastAsia" w:ascii="宋体" w:hAnsi="宋体" w:eastAsia="宋体" w:cs="宋体"/>
          <w:b/>
          <w:kern w:val="0"/>
          <w:sz w:val="24"/>
          <w:szCs w:val="24"/>
        </w:rPr>
      </w:pPr>
    </w:p>
    <w:p>
      <w:pPr>
        <w:adjustRightInd w:val="0"/>
        <w:spacing w:line="560" w:lineRule="exac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一.本表由供货单位和收货单位共同填写，一式5份，吉林省森林消防总队需求部门1份、采购部门1份、财务部门1份，验收单位1份，供应商1份。</w:t>
      </w:r>
    </w:p>
    <w:p>
      <w:pPr>
        <w:adjustRightInd w:val="0"/>
        <w:spacing w:line="560" w:lineRule="exac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二.“验收结果”栏主要填写产品是否达到合同约定的技术质量标准；有无产品合格证、产品说明书和配件单；配件品种及数量是否与配件单相符合；产品包装情况、外观质量；其他验收记录。</w:t>
      </w:r>
    </w:p>
    <w:p>
      <w:pPr>
        <w:adjustRightInd w:val="0"/>
        <w:spacing w:line="560" w:lineRule="exact"/>
        <w:textAlignment w:val="baseline"/>
        <w:outlineLvl w:val="1"/>
        <w:rPr>
          <w:rFonts w:ascii="宋体" w:hAnsi="宋体" w:cs="宋体"/>
          <w:kern w:val="0"/>
          <w:sz w:val="24"/>
          <w:szCs w:val="20"/>
        </w:rPr>
        <w:sectPr>
          <w:footerReference r:id="rId10" w:type="first"/>
          <w:footerReference r:id="rId9" w:type="default"/>
          <w:type w:val="nextColumn"/>
          <w:pgSz w:w="16838" w:h="11906" w:orient="landscape"/>
          <w:pgMar w:top="1701" w:right="1417" w:bottom="1134" w:left="1417" w:header="851" w:footer="992" w:gutter="0"/>
          <w:paperSrc w:first="15" w:other="15"/>
          <w:pgNumType w:fmt="decimal"/>
          <w:cols w:space="720" w:num="1"/>
          <w:titlePg/>
          <w:docGrid w:linePitch="312" w:charSpace="0"/>
        </w:sectPr>
      </w:pPr>
      <w:bookmarkStart w:id="361" w:name="_Toc4054"/>
      <w:r>
        <w:rPr>
          <w:rFonts w:hint="eastAsia" w:ascii="宋体" w:hAnsi="宋体" w:eastAsia="宋体" w:cs="宋体"/>
          <w:kern w:val="0"/>
          <w:sz w:val="24"/>
          <w:szCs w:val="24"/>
        </w:rPr>
        <w:t>三.本表使用A4纸</w:t>
      </w:r>
      <w:r>
        <w:rPr>
          <w:rFonts w:hint="eastAsia" w:ascii="宋体" w:hAnsi="宋体" w:cs="宋体"/>
          <w:kern w:val="0"/>
          <w:sz w:val="24"/>
          <w:szCs w:val="22"/>
        </w:rPr>
        <w:t>。</w:t>
      </w:r>
      <w:bookmarkEnd w:id="361"/>
    </w:p>
    <w:p>
      <w:pPr>
        <w:adjustRightInd w:val="0"/>
        <w:spacing w:line="360" w:lineRule="auto"/>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附件2：</w:t>
      </w:r>
    </w:p>
    <w:p>
      <w:pPr>
        <w:adjustRightInd w:val="0"/>
        <w:spacing w:line="600" w:lineRule="atLeast"/>
        <w:jc w:val="center"/>
        <w:textAlignment w:val="baseline"/>
        <w:outlineLvl w:val="2"/>
        <w:rPr>
          <w:rFonts w:hint="eastAsia" w:ascii="宋体" w:hAnsi="宋体" w:eastAsia="宋体" w:cs="宋体"/>
          <w:b/>
          <w:kern w:val="0"/>
          <w:sz w:val="24"/>
          <w:szCs w:val="24"/>
        </w:rPr>
      </w:pPr>
      <w:bookmarkStart w:id="362" w:name="_Toc9448"/>
      <w:r>
        <w:rPr>
          <w:rFonts w:hint="eastAsia" w:ascii="宋体" w:hAnsi="宋体" w:eastAsia="宋体" w:cs="宋体"/>
          <w:b/>
          <w:kern w:val="0"/>
          <w:sz w:val="24"/>
          <w:szCs w:val="24"/>
        </w:rPr>
        <w:t>技术规范</w:t>
      </w:r>
      <w:bookmarkEnd w:id="362"/>
    </w:p>
    <w:p>
      <w:pPr>
        <w:tabs>
          <w:tab w:val="left" w:pos="567"/>
        </w:tabs>
        <w:rPr>
          <w:rFonts w:hint="eastAsia" w:ascii="宋体" w:hAnsi="宋体" w:eastAsia="宋体" w:cs="宋体"/>
          <w:sz w:val="24"/>
          <w:szCs w:val="24"/>
        </w:rPr>
      </w:pP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adjustRightInd w:val="0"/>
        <w:spacing w:line="360" w:lineRule="auto"/>
        <w:jc w:val="left"/>
        <w:textAlignment w:val="baseline"/>
        <w:rPr>
          <w:rFonts w:hint="eastAsia" w:ascii="宋体" w:hAnsi="宋体" w:eastAsia="宋体" w:cs="宋体"/>
          <w:b/>
          <w:kern w:val="0"/>
          <w:sz w:val="24"/>
          <w:szCs w:val="24"/>
        </w:rPr>
        <w:sectPr>
          <w:footerReference r:id="rId13" w:type="first"/>
          <w:headerReference r:id="rId11" w:type="default"/>
          <w:footerReference r:id="rId12" w:type="default"/>
          <w:type w:val="nextColumn"/>
          <w:pgSz w:w="11907" w:h="16840"/>
          <w:pgMar w:top="1701" w:right="1417" w:bottom="1134" w:left="1417" w:header="851" w:footer="850" w:gutter="0"/>
          <w:paperSrc w:first="15" w:other="15"/>
          <w:pgNumType w:fmt="decimal"/>
          <w:cols w:space="720" w:num="1"/>
          <w:titlePg/>
          <w:docGrid w:linePitch="462" w:charSpace="0"/>
        </w:sectPr>
      </w:pPr>
    </w:p>
    <w:p>
      <w:pPr>
        <w:adjustRightInd w:val="0"/>
        <w:spacing w:line="360" w:lineRule="auto"/>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附件3：</w:t>
      </w:r>
    </w:p>
    <w:p>
      <w:pPr>
        <w:adjustRightInd w:val="0"/>
        <w:spacing w:line="600" w:lineRule="atLeas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生产供应计划表</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企业名称：</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品名：（按照该包的具体品名数量，分别列出生产供应计划表）</w:t>
      </w:r>
    </w:p>
    <w:p>
      <w:pPr>
        <w:tabs>
          <w:tab w:val="left" w:pos="567"/>
        </w:tabs>
        <w:spacing w:before="9" w:after="1"/>
        <w:rPr>
          <w:rFonts w:hint="eastAsia" w:ascii="宋体" w:hAnsi="宋体" w:eastAsia="宋体" w:cs="宋体"/>
          <w:sz w:val="24"/>
          <w:szCs w:val="24"/>
        </w:rPr>
      </w:pPr>
    </w:p>
    <w:tbl>
      <w:tblPr>
        <w:tblStyle w:val="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9"/>
        <w:gridCol w:w="5328"/>
        <w:gridCol w:w="26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999" w:type="dxa"/>
            <w:vAlign w:val="center"/>
          </w:tcPr>
          <w:p>
            <w:pPr>
              <w:adjustRightInd w:val="0"/>
              <w:jc w:val="center"/>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序号</w:t>
            </w:r>
          </w:p>
        </w:tc>
        <w:tc>
          <w:tcPr>
            <w:tcW w:w="5328" w:type="dxa"/>
            <w:vAlign w:val="center"/>
          </w:tcPr>
          <w:p>
            <w:pPr>
              <w:adjustRightInd w:val="0"/>
              <w:jc w:val="center"/>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项目</w:t>
            </w:r>
          </w:p>
        </w:tc>
        <w:tc>
          <w:tcPr>
            <w:tcW w:w="2630" w:type="dxa"/>
          </w:tcPr>
          <w:p>
            <w:pPr>
              <w:adjustRightInd w:val="0"/>
              <w:jc w:val="center"/>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具体情况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完成全部主辅材料的备料时间</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主料、辅料的生产企业名称</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3</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原材料上线时间</w:t>
            </w:r>
          </w:p>
        </w:tc>
        <w:tc>
          <w:tcPr>
            <w:tcW w:w="2630" w:type="dxa"/>
          </w:tcPr>
          <w:p>
            <w:pPr>
              <w:autoSpaceDE w:val="0"/>
              <w:autoSpaceDN w:val="0"/>
              <w:spacing w:line="276" w:lineRule="auto"/>
              <w:jc w:val="left"/>
              <w:rPr>
                <w:rFonts w:hint="eastAsia" w:ascii="宋体" w:hAnsi="宋体" w:eastAsia="宋体" w:cs="宋体"/>
                <w:kern w:val="0"/>
                <w:sz w:val="24"/>
                <w:szCs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4</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完成首件成品下线时间</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5</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申请赴厂首检时间（首检数量不少于 30 件）</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5"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6</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生产进度安排（以最终交货日期为止，根据企业每天可生产该品种的产能，测算和列出每 10 天可完成的成品、半成品数量，按照累计方式测算）</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7</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交货时间安排（以最终交货日期为止，列出各省（自治区、直辖市）的具体的发运时间安排）</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5"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8</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申请出厂检验及出厂时间（有分批出厂要求，列出不同批次完成时间；经甲方审核同意后备案。）</w:t>
            </w:r>
          </w:p>
        </w:tc>
        <w:tc>
          <w:tcPr>
            <w:tcW w:w="2630" w:type="dxa"/>
          </w:tcPr>
          <w:p>
            <w:pPr>
              <w:autoSpaceDE w:val="0"/>
              <w:autoSpaceDN w:val="0"/>
              <w:spacing w:line="276" w:lineRule="auto"/>
              <w:jc w:val="left"/>
              <w:rPr>
                <w:rFonts w:hint="eastAsia" w:ascii="宋体" w:hAnsi="宋体" w:eastAsia="宋体" w:cs="宋体"/>
                <w:kern w:val="0"/>
                <w:sz w:val="24"/>
                <w:szCs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999" w:type="dxa"/>
            <w:vAlign w:val="center"/>
          </w:tcPr>
          <w:p>
            <w:pPr>
              <w:adjustRightInd w:val="0"/>
              <w:spacing w:line="276" w:lineRule="auto"/>
              <w:jc w:val="center"/>
              <w:textAlignment w:val="baseline"/>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9</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分拣保障组织工作（如何落实甲方提出的按照甲方指定地点进行精细、准确包装的措施）</w:t>
            </w:r>
          </w:p>
        </w:tc>
        <w:tc>
          <w:tcPr>
            <w:tcW w:w="2630" w:type="dxa"/>
          </w:tcPr>
          <w:p>
            <w:pPr>
              <w:autoSpaceDE w:val="0"/>
              <w:autoSpaceDN w:val="0"/>
              <w:spacing w:line="276" w:lineRule="auto"/>
              <w:jc w:val="left"/>
              <w:rPr>
                <w:rFonts w:hint="eastAsia" w:ascii="宋体" w:hAnsi="宋体" w:eastAsia="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9" w:type="dxa"/>
            <w:vAlign w:val="center"/>
          </w:tcPr>
          <w:p>
            <w:pPr>
              <w:adjustRightInd w:val="0"/>
              <w:spacing w:line="276" w:lineRule="auto"/>
              <w:jc w:val="center"/>
              <w:textAlignment w:val="baseline"/>
              <w:rPr>
                <w:rFonts w:hint="default"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10</w:t>
            </w:r>
          </w:p>
        </w:tc>
        <w:tc>
          <w:tcPr>
            <w:tcW w:w="5328" w:type="dxa"/>
            <w:vAlign w:val="center"/>
          </w:tcPr>
          <w:p>
            <w:pPr>
              <w:adjustRightInd w:val="0"/>
              <w:spacing w:line="276" w:lineRule="auto"/>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物流方式及物流企业名称</w:t>
            </w:r>
          </w:p>
        </w:tc>
        <w:tc>
          <w:tcPr>
            <w:tcW w:w="2630" w:type="dxa"/>
          </w:tcPr>
          <w:p>
            <w:pPr>
              <w:autoSpaceDE w:val="0"/>
              <w:autoSpaceDN w:val="0"/>
              <w:spacing w:line="276" w:lineRule="auto"/>
              <w:jc w:val="left"/>
              <w:rPr>
                <w:rFonts w:hint="eastAsia" w:ascii="宋体" w:hAnsi="宋体" w:eastAsia="宋体" w:cs="宋体"/>
                <w:kern w:val="0"/>
                <w:sz w:val="24"/>
                <w:szCs w:val="24"/>
              </w:rPr>
            </w:pPr>
          </w:p>
        </w:tc>
      </w:tr>
    </w:tbl>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注：1.上报内容包括但不限于上述 11 项内容，乙方认为还有其他需要说明的生产供应事项，也可列入。2.在上表无法充分反映有关情况时，乙方可采用增加附表或文字形式说明。</w:t>
      </w:r>
    </w:p>
    <w:p>
      <w:pPr>
        <w:adjustRightInd w:val="0"/>
        <w:spacing w:line="360" w:lineRule="auto"/>
        <w:jc w:val="left"/>
        <w:textAlignment w:val="baseline"/>
        <w:rPr>
          <w:rFonts w:hint="eastAsia" w:ascii="宋体" w:hAnsi="宋体" w:eastAsia="宋体" w:cs="宋体"/>
          <w:b/>
          <w:kern w:val="0"/>
          <w:sz w:val="24"/>
          <w:szCs w:val="24"/>
        </w:rPr>
        <w:sectPr>
          <w:footerReference r:id="rId15" w:type="first"/>
          <w:footerReference r:id="rId14" w:type="default"/>
          <w:type w:val="nextColumn"/>
          <w:pgSz w:w="11907" w:h="16840"/>
          <w:pgMar w:top="1701" w:right="1417" w:bottom="1134" w:left="1417" w:header="851" w:footer="851" w:gutter="0"/>
          <w:paperSrc w:first="15" w:other="15"/>
          <w:pgNumType w:fmt="decimal"/>
          <w:cols w:space="720" w:num="1"/>
          <w:titlePg/>
          <w:docGrid w:linePitch="462" w:charSpace="0"/>
        </w:sectPr>
      </w:pPr>
    </w:p>
    <w:p>
      <w:pPr>
        <w:adjustRightInd w:val="0"/>
        <w:spacing w:line="360" w:lineRule="auto"/>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附件4：</w:t>
      </w:r>
    </w:p>
    <w:p>
      <w:pPr>
        <w:adjustRightInd w:val="0"/>
        <w:spacing w:line="360" w:lineRule="auto"/>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生产保密协议</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为了确保甲方产品生产、运输的安全保密，经双方友好协商，达成以下协议，以资共同遵守：</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一.甲方提供乙方的所有文件资料及相关数据，都具有确保安全保密的要求。乙方承诺对甲方交付的（或甲方委托第三方交付的）所有文件资料及数据承担保密义务。</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二.乙方未经甲方书面同意，不得以泄露、告知、公布、发布、出版、传授、转载、展示、转让或者其他任何方式使任何第三方知悉甲方交付的文件资料内容，也不得在合作过程中不正当使用或者在合作过程之外使用或许可、帮助他人使用甲方交付的（或甲方委托第三方交付的）文件资料及数据。</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乙方全体员工在进入生产发运区时不得以任何理由携带照相拍摄工具，在离开生产区时不得以任何理由携带拍摄工具、复印图样、图片、样品等与产品相关的任何资料。因为乙方雇员的原因导致甲方的文件资料被泄露或不正当使用的，视为乙方违反本协议。</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上述保密义务不适用于以下情况：</w:t>
      </w:r>
    </w:p>
    <w:p>
      <w:pPr>
        <w:spacing w:line="360" w:lineRule="auto"/>
        <w:ind w:firstLine="480" w:firstLineChars="200"/>
        <w:outlineLvl w:val="2"/>
        <w:rPr>
          <w:rFonts w:hint="eastAsia" w:ascii="宋体" w:hAnsi="宋体" w:eastAsia="宋体" w:cs="宋体"/>
          <w:bCs/>
          <w:kern w:val="0"/>
          <w:sz w:val="24"/>
          <w:szCs w:val="24"/>
        </w:rPr>
      </w:pPr>
      <w:bookmarkStart w:id="363" w:name="_Toc1810"/>
      <w:r>
        <w:rPr>
          <w:rFonts w:hint="eastAsia" w:ascii="宋体" w:hAnsi="宋体" w:eastAsia="宋体" w:cs="宋体"/>
          <w:bCs/>
          <w:kern w:val="0"/>
          <w:sz w:val="24"/>
          <w:szCs w:val="24"/>
        </w:rPr>
        <w:t>1.甲方已经公开披露的信息；</w:t>
      </w:r>
      <w:bookmarkEnd w:id="363"/>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2.应司法机关或政府机构的有效命令而披露的信息，但仅限于该命令所限制的范围和目的；</w:t>
      </w:r>
    </w:p>
    <w:p>
      <w:pPr>
        <w:spacing w:line="360" w:lineRule="auto"/>
        <w:ind w:firstLine="480" w:firstLineChars="200"/>
        <w:outlineLvl w:val="2"/>
        <w:rPr>
          <w:rFonts w:hint="eastAsia" w:ascii="宋体" w:hAnsi="宋体" w:eastAsia="宋体" w:cs="宋体"/>
          <w:bCs/>
          <w:kern w:val="0"/>
          <w:sz w:val="24"/>
          <w:szCs w:val="24"/>
        </w:rPr>
      </w:pPr>
      <w:bookmarkStart w:id="364" w:name="_Toc5795"/>
      <w:r>
        <w:rPr>
          <w:rFonts w:hint="eastAsia" w:ascii="宋体" w:hAnsi="宋体" w:eastAsia="宋体" w:cs="宋体"/>
          <w:bCs/>
          <w:kern w:val="0"/>
          <w:sz w:val="24"/>
          <w:szCs w:val="24"/>
        </w:rPr>
        <w:t>3.经甲方书面许可。</w:t>
      </w:r>
      <w:bookmarkEnd w:id="364"/>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三.乙方发现甲方交付的文件资料及数据可能被泄露或已经被泄露时，应及时采取有效措施防止损失的进一步扩大，并及时向甲方通报相关情况。</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四.乙方与甲方的合作结束后，无论因为何种原因导致合作结束的，乙方应按照本协议的规定对其在合作期间接触、知悉的甲方交付的文件资料及数据承担保密义务，该保密义务直至甲方公开向社会披露为止。</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五.乙方的保密义务应由严格的内控制度加以保证。乙方负责对员工进行安全保密意识教育，对甲方提供的所有资料及数据都必须做到安全保密。同时，乙方保证本项工作经甲方验收结束后，除乙方必须存档备案的资料外，其余相关工作人员所经手的文件资料和数据（含电子文档）等，均予以删除销毁，不得留有备份。乙方及所属工作人员不得泄露消防救援制式被装和标志服饰及专用材料生产技术，不得泄露相应的生产数量、接收单位等涉及国家秘密的信息。</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六.由乙方管理不当造成泄密或其他损害后果的，甲方有权利向乙方追究其法律责任，并取消乙方未来三年的合作资格。</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七.乙方违反本协议各项约定，甲方将没收乙方履约保证金，终止乙方今后参与甲方招标项目的投标资格，同时乙方应按照本合同总金额的20%承担违约责任，甲方有权依法依规对乙方追究其泄密责任和造成国家机关专用被装流失的法律责任。</w:t>
      </w:r>
    </w:p>
    <w:p>
      <w:pPr>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八.本协议在合同签订后生效，保密期限按照《中华人民共和国保守国家秘密法》相关规定执行。</w:t>
      </w:r>
    </w:p>
    <w:p>
      <w:pPr>
        <w:adjustRightInd w:val="0"/>
        <w:spacing w:line="560" w:lineRule="exac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tabs>
          <w:tab w:val="left" w:pos="567"/>
        </w:tabs>
        <w:rPr>
          <w:rFonts w:hint="eastAsia" w:ascii="宋体" w:hAnsi="宋体" w:eastAsia="宋体" w:cs="宋体"/>
          <w:bCs/>
          <w:sz w:val="24"/>
          <w:szCs w:val="24"/>
        </w:rPr>
      </w:pPr>
    </w:p>
    <w:p>
      <w:pPr>
        <w:adjustRightInd w:val="0"/>
        <w:spacing w:line="560" w:lineRule="exact"/>
        <w:jc w:val="left"/>
        <w:textAlignment w:val="baseline"/>
        <w:rPr>
          <w:rFonts w:hint="eastAsia" w:ascii="宋体" w:hAnsi="宋体" w:eastAsia="宋体" w:cs="宋体"/>
          <w:b/>
          <w:kern w:val="0"/>
          <w:sz w:val="24"/>
          <w:szCs w:val="24"/>
        </w:rPr>
        <w:sectPr>
          <w:footerReference r:id="rId17" w:type="first"/>
          <w:footerReference r:id="rId16" w:type="default"/>
          <w:type w:val="nextColumn"/>
          <w:pgSz w:w="11907" w:h="16840"/>
          <w:pgMar w:top="1418" w:right="1417" w:bottom="1134" w:left="1417" w:header="851" w:footer="851" w:gutter="0"/>
          <w:paperSrc w:first="15" w:other="15"/>
          <w:pgNumType w:fmt="decimal"/>
          <w:cols w:space="720" w:num="1"/>
          <w:titlePg/>
          <w:docGrid w:linePitch="462" w:charSpace="0"/>
        </w:sectPr>
      </w:pPr>
    </w:p>
    <w:p>
      <w:pPr>
        <w:adjustRightInd w:val="0"/>
        <w:spacing w:line="360" w:lineRule="auto"/>
        <w:textAlignment w:val="baseline"/>
        <w:rPr>
          <w:rFonts w:hint="eastAsia" w:ascii="宋体" w:hAnsi="宋体" w:eastAsia="宋体" w:cs="宋体"/>
          <w:bCs/>
          <w:kern w:val="0"/>
          <w:sz w:val="24"/>
          <w:szCs w:val="24"/>
        </w:rPr>
      </w:pPr>
      <w:r>
        <w:rPr>
          <w:rFonts w:hint="eastAsia" w:ascii="宋体" w:hAnsi="宋体" w:eastAsia="宋体" w:cs="宋体"/>
          <w:b/>
          <w:kern w:val="0"/>
          <w:sz w:val="24"/>
          <w:szCs w:val="24"/>
        </w:rPr>
        <w:t>附件5：</w:t>
      </w:r>
    </w:p>
    <w:p>
      <w:pPr>
        <w:adjustRightInd w:val="0"/>
        <w:spacing w:line="360" w:lineRule="auto"/>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反商业贿赂协议</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双方合作期间，为了更严格遵守法律法规有关禁止商业贿赂行为的规定，维护双方共同利益，促进双方关系良好发展，经双方友好协商，达成以下协议：</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第一条 本协议中的商业贿赂是指乙方为获取与甲方的合作及合作的利益，乙方或乙方单位工作人员或乙方通过第三方给予甲方员工及甲方员工利益代言人的一切物质及精神上的直接或间接的不正当利益。</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第二条 不正当利益：乙方或乙方工作人员或乙方通过第三方向甲方员工及甲方员工利益代言人直接或间接赠送礼金、物品、有价证券或采取其他变相手段提供不正当利益，包括但不限于现金、支票、信用卡礼品、样品或其他商品、娱乐票券、会员卡、货币或货物形式的回扣、回佣、就业或置业、乙方付款的旅游、宴请及个人服务等。</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第三条 利益冲突：包括但不限于（1）乙方不得向甲方员工及其利益代言人提供任何形式的借款；（2）乙方的股东、监事、经理、高级管理人员、合作项目负责人及项目成员系甲方员工或其利益代言人的，应在合作前以书面方式如实、全面告知甲方。（3）合作过程中，乙方不得允许甲方员工及其配偶持有或由第三方代持有乙方股权（但通过公开的证券交易市场且低于发行在外5%的权益、通过直接或间接持有无实际控制权的基金、或通过受益人非本人或利益代言人的信托方式持有的股份除外），亦不得聘用甲方员工（包括但不限于建立正式劳动关系、劳务派遣、外包服务、兼职、咨询顾问等其他形式）。乙方如有聘用甲方员工配偶及其他利益代言人任职于乙方的，应在聘用之日起三日内以书面方式如实、全面告知甲方。</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第四条 若乙方违反上述约定行为之一，甲方有权单方部分或全部终止与乙方的合同，同时乙方应向甲方支付10万元违约金或者支付所涉订单（合同）金额的50%作为违约金，两者以高者为准。乙方应于甲方发现违约行为之日起5 个工作日内支付违约金，如未及时支付，甲方有权从合同款项中直接扣除。同时，乙方将被列入供应商黑名单，即为永不合作的供应商。</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第五条 若乙方违反本协议第三条第（2）款和/或第（3）款之规定，除应根据上述第四条承担违约金， 乙方还应将因此行为所得的全部收益支付给甲方。乙方应于甲方发现该等违约行为之日起 5 个工作日内向甲方支付其所得的全部收益，如未及时支付，甲方有权从合同款项中直接扣除，不足部分甲方有权向乙方进行追偿。</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第六条 对于乙方，无论是主动还是被动发生第一条、第二条、第三条所示行为的，如果主动向甲方提供有效信息，甲方将与乙方继续合作并给予相应的奖励，对于上述情形的处理甲方有完全的判断权和自主权，乙方认可并自愿接受处理结果。</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第七条 若乙方有知悉/怀疑甲方员工有违反上述规定的，欢迎与甲方内控有关部门联系。信息提供者提供的有关商业贿赂行为的信息一经查实，甲方将根据事件的影响程度给予信息提供者5000元至10万元。</w:t>
      </w:r>
    </w:p>
    <w:p>
      <w:pPr>
        <w:tabs>
          <w:tab w:val="left" w:pos="567"/>
        </w:tabs>
        <w:spacing w:line="360" w:lineRule="auto"/>
        <w:rPr>
          <w:rFonts w:hint="eastAsia"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附件6：</w:t>
      </w:r>
    </w:p>
    <w:p>
      <w:pPr>
        <w:tabs>
          <w:tab w:val="left" w:pos="567"/>
        </w:tabs>
        <w:spacing w:line="360" w:lineRule="auto"/>
        <w:jc w:val="center"/>
        <w:outlineLvl w:val="0"/>
        <w:rPr>
          <w:rFonts w:hint="eastAsia" w:ascii="宋体" w:hAnsi="宋体" w:eastAsia="宋体" w:cs="宋体"/>
          <w:b/>
          <w:sz w:val="24"/>
          <w:szCs w:val="24"/>
        </w:rPr>
      </w:pPr>
      <w:bookmarkStart w:id="365" w:name="_Toc14135"/>
      <w:r>
        <w:rPr>
          <w:rFonts w:hint="eastAsia" w:ascii="宋体" w:hAnsi="宋体" w:eastAsia="宋体" w:cs="宋体"/>
          <w:b/>
          <w:sz w:val="24"/>
          <w:szCs w:val="24"/>
        </w:rPr>
        <w:t>生产供应有关事项的协议</w:t>
      </w:r>
      <w:bookmarkEnd w:id="365"/>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为确保甲方的生产供应等工作得到严密监管，经双方协商一致，制定本协议，并严格遵守：</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一、采购产品为</w:t>
      </w:r>
      <w:r>
        <w:rPr>
          <w:rFonts w:hint="eastAsia" w:ascii="宋体" w:hAnsi="宋体" w:eastAsia="宋体" w:cs="宋体"/>
          <w:bCs/>
          <w:kern w:val="0"/>
          <w:sz w:val="24"/>
          <w:szCs w:val="24"/>
          <w:lang w:val="en-US" w:eastAsia="zh-CN"/>
        </w:rPr>
        <w:t>森林灭火单兵防护装备</w:t>
      </w:r>
      <w:r>
        <w:rPr>
          <w:rFonts w:hint="eastAsia" w:ascii="宋体" w:hAnsi="宋体" w:eastAsia="宋体" w:cs="宋体"/>
          <w:bCs/>
          <w:kern w:val="0"/>
          <w:sz w:val="24"/>
          <w:szCs w:val="24"/>
        </w:rPr>
        <w:t>，必须维护</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的严肃性和专属性，乙方对此已有准确、深刻认知。</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二、甲乙双方一致同意，本协议及相关合同和协议约定的涉及安全保密、规范生产的各项处罚条款， 并非刻意针对乙方，不会对乙方按程序执行甲乙双方正常合同产生不利影响。</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三、甲乙双方一致同意，为防止本年度和今后年度出现非法生产、非法仿制</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的问题，甲方与乙方在本协议中约定的安全保密、规范生产等全部条款和甲乙双方签订的其他相关合同、协议中约定的有关条款，不仅只限于本合同年度，而且属于甲乙双方必须长期执行和落实的约束条款。</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四、甲方给予乙方的封样、样品和生产技术规范只能用于相应合同约定的</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的生产（严格按合同约定的品种和数量），乙方不得将甲方给予的封样、样品和生产技术规范用于生产合同约定之外的任何品种或额外数量。</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五、乙方不得转让</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及专用材料的生产合同、生产技术规范，也不得委托其他企业生产</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及专用材料。</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六、</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及专用材料生产中的试制品，经甲方或者其授权的机构检验合格的，作为制成品接收；乙方生产中剩余的专用材料，</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及专用材料生产中的残次品，未经改制、染色等处理的，不得销售或者以其他方式转让，乙方应妥善处理，防止泄密或造成不良后果。</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七、未经甲方书面授权，乙方不得擅自为其他单位和个人（含甲方所属各单位）生产</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，乙方不得擅自生产变更了主辅材料等技术规范的</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的仿制品。</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八、在本合同年度，乙方违反本协议各项约定，甲方将没收乙方履约保证金，终止乙方今后参与甲方招标项目的投标资格，同时按照合同总金额的 20%承担违约责任，并依法依规对乙方追究其泄密责任和造成国家机关专用被装和标志流失的法律责任。</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九、本合同年度结束后，在今后任何时期，乙方违反本协议各项约定，造成</w:t>
      </w:r>
      <w:r>
        <w:rPr>
          <w:rFonts w:hint="eastAsia" w:ascii="宋体" w:hAnsi="宋体" w:eastAsia="宋体" w:cs="宋体"/>
          <w:bCs/>
          <w:kern w:val="0"/>
          <w:sz w:val="24"/>
          <w:szCs w:val="24"/>
          <w:lang w:eastAsia="zh-CN"/>
        </w:rPr>
        <w:t>森林灭火单兵防护装备</w:t>
      </w:r>
      <w:r>
        <w:rPr>
          <w:rFonts w:hint="eastAsia" w:ascii="宋体" w:hAnsi="宋体" w:eastAsia="宋体" w:cs="宋体"/>
          <w:bCs/>
          <w:kern w:val="0"/>
          <w:sz w:val="24"/>
          <w:szCs w:val="24"/>
        </w:rPr>
        <w:t>发生失泄密和违规生产等问题的，终止乙方今后参与甲方招标项目的投标资格，同时甲方将配合公安部门、市场监管部门，对乙方、乙方法人和相关责任人追究法律责任。</w:t>
      </w:r>
    </w:p>
    <w:p>
      <w:pPr>
        <w:adjustRightIn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十、本协议经合同签订后生效，保密期限按照《中华人民共和国保守国家秘密法》相关规定执行。</w:t>
      </w:r>
    </w:p>
    <w:p>
      <w:pPr>
        <w:adjustRightInd w:val="0"/>
        <w:spacing w:line="360" w:lineRule="auto"/>
        <w:textAlignment w:val="baseline"/>
        <w:rPr>
          <w:rFonts w:hint="eastAsia" w:ascii="宋体" w:hAnsi="宋体" w:eastAsia="宋体" w:cs="宋体"/>
          <w:bCs/>
          <w:kern w:val="0"/>
          <w:sz w:val="24"/>
          <w:szCs w:val="24"/>
        </w:rPr>
      </w:pPr>
    </w:p>
    <w:p>
      <w:pPr>
        <w:tabs>
          <w:tab w:val="left" w:pos="567"/>
        </w:tabs>
        <w:spacing w:line="360" w:lineRule="auto"/>
        <w:rPr>
          <w:rFonts w:hint="eastAsia" w:ascii="宋体" w:hAnsi="宋体" w:eastAsia="宋体" w:cs="宋体"/>
          <w:b/>
          <w:sz w:val="24"/>
          <w:szCs w:val="24"/>
        </w:rPr>
      </w:pPr>
    </w:p>
    <w:p>
      <w:pPr>
        <w:numPr>
          <w:ilvl w:val="2"/>
          <w:numId w:val="0"/>
        </w:numPr>
        <w:tabs>
          <w:tab w:val="left" w:pos="567"/>
        </w:tabs>
        <w:rPr>
          <w:rFonts w:hint="eastAsia" w:ascii="宋体" w:hAnsi="宋体" w:eastAsia="宋体" w:cs="宋体"/>
          <w:b/>
          <w:sz w:val="24"/>
          <w:szCs w:val="24"/>
        </w:rPr>
        <w:sectPr>
          <w:footerReference r:id="rId19" w:type="first"/>
          <w:footerReference r:id="rId18" w:type="default"/>
          <w:type w:val="nextColumn"/>
          <w:pgSz w:w="11907" w:h="16840"/>
          <w:pgMar w:top="1418" w:right="1417" w:bottom="1134" w:left="1417" w:header="851" w:footer="850" w:gutter="0"/>
          <w:paperSrc w:first="15" w:other="15"/>
          <w:pgNumType w:fmt="decimal"/>
          <w:cols w:space="720" w:num="1"/>
          <w:titlePg/>
          <w:docGrid w:linePitch="462" w:charSpace="0"/>
        </w:sectPr>
      </w:pPr>
    </w:p>
    <w:p>
      <w:pPr>
        <w:tabs>
          <w:tab w:val="left" w:pos="567"/>
        </w:tabs>
        <w:rPr>
          <w:rFonts w:hint="eastAsia" w:ascii="宋体" w:hAnsi="宋体" w:eastAsia="宋体" w:cs="宋体"/>
          <w:b/>
          <w:sz w:val="24"/>
          <w:szCs w:val="24"/>
        </w:rPr>
      </w:pPr>
      <w:r>
        <w:rPr>
          <w:rFonts w:hint="eastAsia" w:ascii="宋体" w:hAnsi="宋体" w:eastAsia="宋体" w:cs="宋体"/>
          <w:b/>
          <w:sz w:val="24"/>
          <w:szCs w:val="24"/>
        </w:rPr>
        <w:t xml:space="preserve">附件7：   </w:t>
      </w:r>
    </w:p>
    <w:p>
      <w:pPr>
        <w:tabs>
          <w:tab w:val="left" w:pos="567"/>
        </w:tabs>
        <w:jc w:val="center"/>
        <w:rPr>
          <w:rFonts w:hint="eastAsia" w:ascii="宋体" w:hAnsi="宋体" w:eastAsia="宋体" w:cs="宋体"/>
          <w:b/>
          <w:sz w:val="24"/>
          <w:szCs w:val="24"/>
        </w:rPr>
      </w:pPr>
      <w:r>
        <w:rPr>
          <w:rFonts w:hint="eastAsia" w:ascii="宋体" w:hAnsi="宋体" w:eastAsia="宋体" w:cs="宋体"/>
          <w:b/>
          <w:sz w:val="24"/>
          <w:szCs w:val="24"/>
        </w:rPr>
        <w:t>分配计划表</w:t>
      </w:r>
    </w:p>
    <w:p>
      <w:pPr>
        <w:tabs>
          <w:tab w:val="left" w:pos="567"/>
        </w:tabs>
        <w:spacing w:before="79" w:line="360" w:lineRule="auto"/>
        <w:ind w:right="266"/>
        <w:rPr>
          <w:rFonts w:hint="eastAsia" w:ascii="宋体" w:hAnsi="宋体" w:eastAsia="宋体" w:cs="宋体"/>
          <w:bCs/>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adjustRightInd w:val="0"/>
        <w:spacing w:line="520" w:lineRule="exact"/>
        <w:jc w:val="left"/>
        <w:textAlignment w:val="baseline"/>
        <w:rPr>
          <w:rFonts w:hint="eastAsia" w:ascii="宋体" w:hAnsi="宋体" w:eastAsia="宋体" w:cs="宋体"/>
          <w:b/>
          <w:kern w:val="0"/>
          <w:sz w:val="24"/>
          <w:szCs w:val="24"/>
        </w:rPr>
      </w:pPr>
    </w:p>
    <w:p>
      <w:pPr>
        <w:adjustRightInd w:val="0"/>
        <w:spacing w:line="520" w:lineRule="exact"/>
        <w:jc w:val="left"/>
        <w:textAlignment w:val="baseline"/>
        <w:rPr>
          <w:rFonts w:hint="eastAsia" w:ascii="宋体" w:hAnsi="宋体" w:eastAsia="宋体" w:cs="宋体"/>
          <w:b/>
          <w:kern w:val="0"/>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tabs>
          <w:tab w:val="left" w:pos="567"/>
        </w:tabs>
        <w:rPr>
          <w:rFonts w:hint="eastAsia" w:ascii="宋体" w:hAnsi="宋体" w:eastAsia="宋体" w:cs="宋体"/>
          <w:b/>
          <w:sz w:val="24"/>
          <w:szCs w:val="24"/>
        </w:rPr>
      </w:pPr>
    </w:p>
    <w:p>
      <w:pPr>
        <w:adjustRightInd w:val="0"/>
        <w:spacing w:line="578" w:lineRule="exact"/>
        <w:jc w:val="left"/>
        <w:textAlignment w:val="baseline"/>
        <w:rPr>
          <w:rFonts w:hint="eastAsia" w:ascii="宋体" w:hAnsi="宋体" w:eastAsia="宋体" w:cs="宋体"/>
          <w:b/>
          <w:kern w:val="0"/>
          <w:sz w:val="24"/>
          <w:szCs w:val="24"/>
        </w:rPr>
        <w:sectPr>
          <w:footerReference r:id="rId21" w:type="first"/>
          <w:footerReference r:id="rId20" w:type="default"/>
          <w:type w:val="nextColumn"/>
          <w:pgSz w:w="11907" w:h="16840"/>
          <w:pgMar w:top="1701" w:right="1417" w:bottom="1134" w:left="1417" w:header="851" w:footer="850" w:gutter="0"/>
          <w:paperSrc w:first="15" w:other="15"/>
          <w:pgNumType w:fmt="decimal"/>
          <w:cols w:space="720" w:num="1"/>
          <w:titlePg/>
          <w:docGrid w:linePitch="462" w:charSpace="0"/>
        </w:sectPr>
      </w:pPr>
    </w:p>
    <w:p>
      <w:pPr>
        <w:adjustRightInd w:val="0"/>
        <w:spacing w:line="520" w:lineRule="exac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 xml:space="preserve">附件8：         </w:t>
      </w:r>
    </w:p>
    <w:p>
      <w:pPr>
        <w:adjustRightInd w:val="0"/>
        <w:spacing w:line="360" w:lineRule="atLeast"/>
        <w:jc w:val="left"/>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 xml:space="preserve">                      甲乙双方相关信息表</w:t>
      </w:r>
    </w:p>
    <w:tbl>
      <w:tblPr>
        <w:tblStyle w:val="25"/>
        <w:tblpPr w:leftFromText="180" w:rightFromText="180" w:vertAnchor="text" w:horzAnchor="page" w:tblpX="1516" w:tblpY="188"/>
        <w:tblOverlap w:val="never"/>
        <w:tblW w:w="934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786"/>
        <w:gridCol w:w="455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4786" w:type="dxa"/>
            <w:tcBorders>
              <w:top w:val="single" w:color="auto" w:sz="12" w:space="0"/>
              <w:left w:val="single" w:color="auto" w:sz="12" w:space="0"/>
              <w:bottom w:val="single" w:color="auto" w:sz="4" w:space="0"/>
              <w:right w:val="single" w:color="auto" w:sz="4" w:space="0"/>
            </w:tcBorders>
            <w:vAlign w:val="center"/>
          </w:tcPr>
          <w:p>
            <w:pPr>
              <w:adjustRightInd w:val="0"/>
              <w:spacing w:line="560" w:lineRule="exact"/>
              <w:jc w:val="center"/>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需  方（甲方）</w:t>
            </w:r>
          </w:p>
        </w:tc>
        <w:tc>
          <w:tcPr>
            <w:tcW w:w="4555" w:type="dxa"/>
            <w:tcBorders>
              <w:top w:val="single" w:color="auto" w:sz="12" w:space="0"/>
              <w:left w:val="single" w:color="auto" w:sz="4" w:space="0"/>
              <w:bottom w:val="single" w:color="auto" w:sz="4" w:space="0"/>
              <w:right w:val="single" w:color="auto" w:sz="12" w:space="0"/>
            </w:tcBorders>
            <w:vAlign w:val="center"/>
          </w:tcPr>
          <w:p>
            <w:pPr>
              <w:adjustRightInd w:val="0"/>
              <w:spacing w:line="560" w:lineRule="exact"/>
              <w:jc w:val="center"/>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供  方（乙方）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32" w:hRule="atLeast"/>
        </w:trPr>
        <w:tc>
          <w:tcPr>
            <w:tcW w:w="4786" w:type="dxa"/>
            <w:tcBorders>
              <w:top w:val="single" w:color="auto" w:sz="4" w:space="0"/>
              <w:left w:val="single" w:color="auto" w:sz="12" w:space="0"/>
              <w:bottom w:val="single" w:color="auto" w:sz="12" w:space="0"/>
              <w:right w:val="single" w:color="auto" w:sz="4" w:space="0"/>
            </w:tcBorders>
          </w:tcPr>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单位名称（公章）：</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单位地址：</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法定代表人：</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 xml:space="preserve">委托代理人： </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联系方式：</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开户全称：</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开户银行：</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银行账号：</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邮政编码：</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签字时间：</w:t>
            </w:r>
            <w:r>
              <w:rPr>
                <w:rFonts w:hint="eastAsia" w:ascii="宋体" w:hAnsi="宋体" w:eastAsia="宋体" w:cs="宋体"/>
                <w:bCs/>
                <w:kern w:val="0"/>
                <w:sz w:val="24"/>
                <w:szCs w:val="24"/>
                <w:lang w:val="en-US" w:eastAsia="zh-CN"/>
              </w:rPr>
              <w:t xml:space="preserve">  </w:t>
            </w:r>
            <w:r>
              <w:rPr>
                <w:rFonts w:hint="eastAsia" w:ascii="宋体" w:hAnsi="宋体" w:eastAsia="宋体" w:cs="宋体"/>
                <w:bCs/>
                <w:kern w:val="0"/>
                <w:sz w:val="24"/>
                <w:szCs w:val="24"/>
              </w:rPr>
              <w:t>年  月   日</w:t>
            </w:r>
          </w:p>
        </w:tc>
        <w:tc>
          <w:tcPr>
            <w:tcW w:w="4555" w:type="dxa"/>
            <w:tcBorders>
              <w:top w:val="single" w:color="auto" w:sz="4" w:space="0"/>
              <w:left w:val="single" w:color="auto" w:sz="4" w:space="0"/>
              <w:bottom w:val="single" w:color="auto" w:sz="12" w:space="0"/>
              <w:right w:val="single" w:color="auto" w:sz="12" w:space="0"/>
            </w:tcBorders>
          </w:tcPr>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单位名称（公章）：</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单位地址：</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法定代表人：</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 xml:space="preserve">委托代理人： </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 xml:space="preserve">联系方式： </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开户全称：</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开户银行：</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银行账号：</w:t>
            </w: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邮政编码：</w:t>
            </w:r>
          </w:p>
          <w:p>
            <w:pPr>
              <w:adjustRightInd w:val="0"/>
              <w:spacing w:line="560" w:lineRule="exact"/>
              <w:jc w:val="left"/>
              <w:textAlignment w:val="baseline"/>
              <w:rPr>
                <w:rFonts w:hint="eastAsia" w:ascii="宋体" w:hAnsi="宋体" w:eastAsia="宋体" w:cs="宋体"/>
                <w:bCs/>
                <w:kern w:val="0"/>
                <w:sz w:val="24"/>
                <w:szCs w:val="24"/>
              </w:rPr>
            </w:pPr>
          </w:p>
          <w:p>
            <w:pPr>
              <w:adjustRightInd w:val="0"/>
              <w:spacing w:line="560" w:lineRule="exact"/>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签字时间：</w:t>
            </w:r>
            <w:r>
              <w:rPr>
                <w:rFonts w:hint="eastAsia" w:ascii="宋体" w:hAnsi="宋体" w:eastAsia="宋体" w:cs="宋体"/>
                <w:bCs/>
                <w:kern w:val="0"/>
                <w:sz w:val="24"/>
                <w:szCs w:val="24"/>
                <w:lang w:val="en-US" w:eastAsia="zh-CN"/>
              </w:rPr>
              <w:t xml:space="preserve">   </w:t>
            </w:r>
            <w:r>
              <w:rPr>
                <w:rFonts w:hint="eastAsia" w:ascii="宋体" w:hAnsi="宋体" w:eastAsia="宋体" w:cs="宋体"/>
                <w:bCs/>
                <w:kern w:val="0"/>
                <w:sz w:val="24"/>
                <w:szCs w:val="24"/>
              </w:rPr>
              <w:t>年   月   日</w:t>
            </w:r>
          </w:p>
        </w:tc>
      </w:tr>
    </w:tbl>
    <w:p>
      <w:pPr>
        <w:widowControl/>
        <w:jc w:val="left"/>
        <w:rPr>
          <w:rFonts w:hint="eastAsia" w:ascii="宋体" w:hAnsi="宋体" w:eastAsia="宋体" w:cs="宋体"/>
          <w:kern w:val="0"/>
          <w:sz w:val="24"/>
          <w:szCs w:val="24"/>
        </w:rPr>
      </w:pPr>
      <w:r>
        <w:rPr>
          <w:rFonts w:hint="eastAsia" w:ascii="宋体" w:hAnsi="宋体" w:eastAsia="宋体" w:cs="宋体"/>
          <w:bCs/>
          <w:kern w:val="0"/>
          <w:sz w:val="24"/>
          <w:szCs w:val="24"/>
        </w:rPr>
        <w:t>本合同一式4份，吉林省森林消防总队需求部门、采购部门、财务部门1份，乙方1份。</w:t>
      </w:r>
    </w:p>
    <w:p>
      <w:pPr>
        <w:spacing w:line="360" w:lineRule="auto"/>
        <w:jc w:val="both"/>
        <w:rPr>
          <w:rFonts w:hint="eastAsia" w:ascii="宋体" w:hAnsi="宋体" w:eastAsia="宋体" w:cs="宋体"/>
          <w:b/>
          <w:sz w:val="24"/>
          <w:szCs w:val="24"/>
        </w:rPr>
      </w:pPr>
    </w:p>
    <w:p>
      <w:pPr>
        <w:rPr>
          <w:rFonts w:hint="eastAsia" w:ascii="宋体" w:hAnsi="宋体" w:cs="黑体"/>
          <w:b/>
          <w:bCs/>
          <w:sz w:val="32"/>
          <w:szCs w:val="32"/>
          <w:highlight w:val="none"/>
          <w:lang w:val="zh-CN"/>
        </w:rPr>
      </w:pPr>
      <w:bookmarkStart w:id="366" w:name="_Toc476566562"/>
      <w:r>
        <w:rPr>
          <w:rFonts w:hint="eastAsia" w:ascii="宋体" w:hAnsi="宋体" w:cs="黑体"/>
          <w:b/>
          <w:bCs/>
          <w:sz w:val="32"/>
          <w:szCs w:val="32"/>
          <w:highlight w:val="none"/>
          <w:lang w:val="zh-CN"/>
        </w:rPr>
        <w:br w:type="page"/>
      </w:r>
    </w:p>
    <w:p>
      <w:pPr>
        <w:pStyle w:val="2"/>
        <w:bidi w:val="0"/>
        <w:rPr>
          <w:lang w:val="zh-CN"/>
        </w:rPr>
      </w:pPr>
      <w:bookmarkStart w:id="367" w:name="_Toc12649"/>
      <w:bookmarkStart w:id="368" w:name="_Toc21332"/>
      <w:r>
        <w:rPr>
          <w:rFonts w:hint="eastAsia"/>
          <w:lang w:val="zh-CN"/>
        </w:rPr>
        <w:t>第</w:t>
      </w:r>
      <w:r>
        <w:rPr>
          <w:rFonts w:hint="eastAsia"/>
          <w:highlight w:val="none"/>
          <w:lang w:val="zh-CN"/>
        </w:rPr>
        <w:t xml:space="preserve">五章 </w:t>
      </w:r>
      <w:bookmarkEnd w:id="366"/>
      <w:bookmarkStart w:id="369" w:name="_Toc329757312"/>
      <w:r>
        <w:rPr>
          <w:rFonts w:hint="eastAsia"/>
          <w:highlight w:val="none"/>
          <w:lang w:val="zh-CN"/>
        </w:rPr>
        <w:t>采购需求</w:t>
      </w:r>
      <w:bookmarkEnd w:id="367"/>
      <w:bookmarkEnd w:id="368"/>
    </w:p>
    <w:p>
      <w:pPr>
        <w:pStyle w:val="51"/>
        <w:numPr>
          <w:ilvl w:val="0"/>
          <w:numId w:val="0"/>
        </w:numPr>
        <w:spacing w:line="360" w:lineRule="auto"/>
        <w:ind w:leftChars="0"/>
        <w:outlineLvl w:val="1"/>
        <w:rPr>
          <w:rFonts w:hint="eastAsia" w:ascii="宋体" w:hAnsi="宋体" w:eastAsia="宋体" w:cs="宋体"/>
          <w:b/>
          <w:color w:val="000000"/>
          <w:sz w:val="24"/>
          <w:szCs w:val="24"/>
        </w:rPr>
      </w:pPr>
      <w:bookmarkStart w:id="370" w:name="_Toc605"/>
      <w:bookmarkStart w:id="371" w:name="_Toc476566563"/>
      <w:bookmarkStart w:id="372" w:name="_Toc9556"/>
      <w:r>
        <w:rPr>
          <w:rFonts w:hint="eastAsia" w:ascii="宋体" w:hAnsi="宋体" w:eastAsia="宋体" w:cs="宋体"/>
          <w:b/>
          <w:color w:val="000000"/>
          <w:sz w:val="24"/>
          <w:szCs w:val="24"/>
          <w:lang w:val="en-US" w:eastAsia="zh-CN"/>
        </w:rPr>
        <w:t>一、</w:t>
      </w:r>
      <w:r>
        <w:rPr>
          <w:rFonts w:hint="eastAsia" w:ascii="宋体" w:hAnsi="宋体" w:eastAsia="宋体" w:cs="宋体"/>
          <w:b/>
          <w:color w:val="000000"/>
          <w:sz w:val="24"/>
          <w:szCs w:val="24"/>
        </w:rPr>
        <w:t>采购标的</w:t>
      </w:r>
      <w:bookmarkEnd w:id="370"/>
    </w:p>
    <w:p>
      <w:pPr>
        <w:spacing w:line="360" w:lineRule="auto"/>
        <w:outlineLvl w:val="2"/>
        <w:rPr>
          <w:rFonts w:hint="eastAsia" w:ascii="宋体" w:hAnsi="宋体" w:eastAsia="宋体" w:cs="宋体"/>
          <w:b/>
          <w:bCs/>
          <w:color w:val="000000"/>
          <w:sz w:val="24"/>
          <w:szCs w:val="24"/>
        </w:rPr>
      </w:pPr>
      <w:bookmarkStart w:id="373" w:name="_Toc13394"/>
      <w:r>
        <w:rPr>
          <w:rFonts w:hint="eastAsia" w:ascii="宋体" w:hAnsi="宋体" w:eastAsia="宋体" w:cs="宋体"/>
          <w:b/>
          <w:bCs/>
          <w:color w:val="000000"/>
          <w:sz w:val="24"/>
          <w:szCs w:val="24"/>
        </w:rPr>
        <w:t>1. 采购标的</w:t>
      </w:r>
      <w:bookmarkEnd w:id="373"/>
    </w:p>
    <w:p>
      <w:pPr>
        <w:spacing w:line="360" w:lineRule="auto"/>
        <w:ind w:firstLine="482" w:firstLineChars="200"/>
        <w:rPr>
          <w:rFonts w:hint="eastAsia" w:ascii="宋体" w:hAnsi="宋体" w:eastAsia="宋体" w:cs="宋体"/>
          <w:b/>
          <w:iCs/>
          <w:sz w:val="24"/>
          <w:szCs w:val="24"/>
        </w:rPr>
      </w:pPr>
      <w:r>
        <w:rPr>
          <w:rFonts w:hint="eastAsia" w:ascii="宋体" w:hAnsi="宋体" w:eastAsia="宋体" w:cs="宋体"/>
          <w:b/>
          <w:iCs/>
          <w:sz w:val="24"/>
          <w:szCs w:val="24"/>
        </w:rPr>
        <w:t>详见招标文件第一章</w:t>
      </w:r>
      <w:r>
        <w:rPr>
          <w:rFonts w:hint="eastAsia" w:ascii="宋体" w:hAnsi="宋体" w:eastAsia="宋体" w:cs="宋体"/>
          <w:b/>
          <w:iCs/>
          <w:sz w:val="24"/>
          <w:szCs w:val="24"/>
          <w:lang w:val="en-US" w:eastAsia="zh-CN"/>
        </w:rPr>
        <w:t>招标公告</w:t>
      </w:r>
      <w:r>
        <w:rPr>
          <w:rFonts w:hint="eastAsia" w:ascii="宋体" w:hAnsi="宋体" w:eastAsia="宋体" w:cs="宋体"/>
          <w:b/>
          <w:iCs/>
          <w:sz w:val="24"/>
          <w:szCs w:val="24"/>
        </w:rPr>
        <w:t>。</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①投标人可以对本项目中的一个采购包进行投标，也可同时对多个采购包进行投标，但必须针对每一采购包中的所有内容进行投标，不允许拆分投标。</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★②本项目不接受进口产品投标。</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③投标人如中标，投标文件中提交的检验报告，采购人有权在合同签订之前要求中标人提供原件备查。</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④递交的样品除可拆除的外包装以外，样品不应有任何体现企业信息的文字、标识等。</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⑤</w:t>
      </w:r>
      <w:r>
        <w:rPr>
          <w:rFonts w:hint="eastAsia" w:ascii="宋体" w:hAnsi="宋体" w:eastAsia="宋体" w:cs="宋体"/>
          <w:sz w:val="24"/>
          <w:szCs w:val="24"/>
          <w:highlight w:val="none"/>
        </w:rPr>
        <w:t>投标方需提供所有产品及主辅料的相关检测证明材料，所有数据以202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年1月1日起至投标截止时间的省、直辖市级及以上具有检测资质的第三方检测</w:t>
      </w:r>
      <w:r>
        <w:rPr>
          <w:rFonts w:hint="eastAsia" w:ascii="宋体" w:hAnsi="宋体" w:eastAsia="宋体" w:cs="宋体"/>
          <w:sz w:val="24"/>
          <w:szCs w:val="24"/>
        </w:rPr>
        <w:t>机构出具的，按照森林灭火单兵防护装备技术规范进行检测的检测报告为准。采购人有权对材料的真实性进行核验。投标人应对投标文件所提供的全部资料（包括但不限于检测报告、业绩证明材料等）的真实性承担法律责任，如发现提供虚假资料谋取中标的，将取消其中标资格、上报上级主管部门进行相应处罚。</w:t>
      </w:r>
    </w:p>
    <w:p>
      <w:pPr>
        <w:pStyle w:val="51"/>
        <w:numPr>
          <w:ilvl w:val="0"/>
          <w:numId w:val="0"/>
        </w:numPr>
        <w:spacing w:before="240" w:line="360" w:lineRule="auto"/>
        <w:ind w:leftChars="0"/>
        <w:outlineLvl w:val="1"/>
        <w:rPr>
          <w:rFonts w:hint="eastAsia" w:ascii="宋体" w:hAnsi="宋体" w:eastAsia="宋体" w:cs="宋体"/>
          <w:b/>
          <w:color w:val="000000"/>
          <w:sz w:val="24"/>
          <w:szCs w:val="24"/>
        </w:rPr>
      </w:pPr>
      <w:bookmarkStart w:id="374" w:name="_Toc17847"/>
      <w:r>
        <w:rPr>
          <w:rFonts w:hint="eastAsia" w:ascii="宋体" w:hAnsi="宋体" w:eastAsia="宋体" w:cs="宋体"/>
          <w:b/>
          <w:color w:val="000000"/>
          <w:sz w:val="24"/>
          <w:szCs w:val="24"/>
          <w:lang w:val="en-US" w:eastAsia="zh-CN"/>
        </w:rPr>
        <w:t>二、</w:t>
      </w:r>
      <w:r>
        <w:rPr>
          <w:rFonts w:hint="eastAsia" w:ascii="宋体" w:hAnsi="宋体" w:eastAsia="宋体" w:cs="宋体"/>
          <w:b/>
          <w:color w:val="000000"/>
          <w:sz w:val="24"/>
          <w:szCs w:val="24"/>
        </w:rPr>
        <w:t>商务要求</w:t>
      </w:r>
      <w:bookmarkEnd w:id="374"/>
    </w:p>
    <w:p>
      <w:pPr>
        <w:spacing w:line="360" w:lineRule="auto"/>
        <w:outlineLvl w:val="2"/>
        <w:rPr>
          <w:rFonts w:hint="eastAsia" w:ascii="宋体" w:hAnsi="宋体" w:eastAsia="宋体" w:cs="宋体"/>
          <w:b/>
          <w:i/>
          <w:color w:val="FF0000"/>
          <w:sz w:val="24"/>
          <w:szCs w:val="24"/>
        </w:rPr>
      </w:pPr>
      <w:bookmarkStart w:id="375" w:name="_Toc11882"/>
      <w:r>
        <w:rPr>
          <w:rFonts w:hint="eastAsia" w:ascii="宋体" w:hAnsi="宋体" w:eastAsia="宋体" w:cs="宋体"/>
          <w:b/>
          <w:sz w:val="24"/>
          <w:szCs w:val="24"/>
        </w:rPr>
        <w:t>1. 交付的时间和地点</w:t>
      </w:r>
      <w:bookmarkEnd w:id="375"/>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①交付时间：</w:t>
      </w:r>
      <w:r>
        <w:rPr>
          <w:rFonts w:hint="eastAsia" w:ascii="宋体" w:hAnsi="宋体" w:eastAsia="宋体" w:cs="宋体"/>
          <w:color w:val="000000"/>
          <w:sz w:val="24"/>
          <w:szCs w:val="24"/>
          <w:lang w:val="en-US" w:eastAsia="zh-CN"/>
        </w:rPr>
        <w:t>合同签订后90日内完成供货</w:t>
      </w:r>
      <w:r>
        <w:rPr>
          <w:rFonts w:hint="eastAsia" w:ascii="宋体" w:hAnsi="宋体" w:eastAsia="宋体" w:cs="宋体"/>
          <w:color w:val="000000"/>
          <w:sz w:val="24"/>
          <w:szCs w:val="24"/>
        </w:rPr>
        <w:t>。</w:t>
      </w:r>
    </w:p>
    <w:p>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②交付地点：</w:t>
      </w:r>
      <w:r>
        <w:rPr>
          <w:rFonts w:hint="eastAsia" w:ascii="宋体" w:hAnsi="宋体" w:eastAsia="宋体" w:cs="宋体"/>
          <w:color w:val="000000"/>
          <w:sz w:val="24"/>
          <w:szCs w:val="24"/>
          <w:lang w:val="en-US" w:eastAsia="zh-CN"/>
        </w:rPr>
        <w:t>按照甲方具体计划发货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③分批次交货要求：因项目需要，本次采购的品目和采购数量，可能会出现分批次生产和交货的情形。但中标企业须在中标后，立即完成全部原材料的筹措采购。</w:t>
      </w:r>
    </w:p>
    <w:p>
      <w:pPr>
        <w:spacing w:before="240" w:line="360" w:lineRule="auto"/>
        <w:outlineLvl w:val="2"/>
        <w:rPr>
          <w:rFonts w:hint="eastAsia" w:ascii="宋体" w:hAnsi="宋体" w:eastAsia="宋体" w:cs="宋体"/>
          <w:b/>
          <w:sz w:val="24"/>
          <w:szCs w:val="24"/>
        </w:rPr>
      </w:pPr>
      <w:bookmarkStart w:id="376" w:name="_Toc9631"/>
      <w:r>
        <w:rPr>
          <w:rFonts w:hint="eastAsia" w:ascii="宋体" w:hAnsi="宋体" w:eastAsia="宋体" w:cs="宋体"/>
          <w:b/>
          <w:sz w:val="24"/>
          <w:szCs w:val="24"/>
        </w:rPr>
        <w:t>2. 付款条件（进度和方式）</w:t>
      </w:r>
      <w:bookmarkEnd w:id="376"/>
    </w:p>
    <w:p>
      <w:pPr>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详见第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章合同</w:t>
      </w:r>
      <w:r>
        <w:rPr>
          <w:rFonts w:hint="eastAsia" w:ascii="宋体" w:hAnsi="宋体" w:eastAsia="宋体" w:cs="宋体"/>
          <w:bCs/>
          <w:sz w:val="24"/>
          <w:szCs w:val="24"/>
          <w:lang w:val="en-US" w:eastAsia="zh-CN"/>
        </w:rPr>
        <w:t>条款及格式</w:t>
      </w:r>
      <w:r>
        <w:rPr>
          <w:rFonts w:hint="eastAsia" w:ascii="宋体" w:hAnsi="宋体" w:eastAsia="宋体" w:cs="宋体"/>
          <w:bCs/>
          <w:sz w:val="24"/>
          <w:szCs w:val="24"/>
        </w:rPr>
        <w:t>相关规定</w:t>
      </w:r>
      <w:r>
        <w:rPr>
          <w:rFonts w:hint="eastAsia" w:ascii="宋体" w:hAnsi="宋体" w:eastAsia="宋体" w:cs="宋体"/>
          <w:bCs/>
          <w:sz w:val="24"/>
          <w:szCs w:val="24"/>
          <w:lang w:eastAsia="zh-CN"/>
        </w:rPr>
        <w:t>。（</w:t>
      </w:r>
      <w:r>
        <w:rPr>
          <w:rFonts w:hint="eastAsia" w:ascii="宋体" w:hAnsi="宋体" w:eastAsia="宋体" w:cs="宋体"/>
          <w:sz w:val="24"/>
          <w:szCs w:val="24"/>
          <w:highlight w:val="none"/>
          <w:shd w:val="clear" w:color="auto" w:fill="FFFFFF"/>
          <w:lang w:eastAsia="zh-CN"/>
        </w:rPr>
        <w:t>具体以甲乙双方实际签订合同为准</w:t>
      </w:r>
      <w:r>
        <w:rPr>
          <w:rFonts w:hint="eastAsia" w:ascii="宋体" w:hAnsi="宋体" w:eastAsia="宋体" w:cs="宋体"/>
          <w:sz w:val="24"/>
          <w:szCs w:val="24"/>
          <w:highlight w:val="none"/>
          <w:shd w:val="clear" w:color="auto" w:fill="FFFFFF"/>
        </w:rPr>
        <w:t>。</w:t>
      </w:r>
      <w:r>
        <w:rPr>
          <w:rFonts w:hint="eastAsia" w:ascii="宋体" w:hAnsi="宋体" w:eastAsia="宋体" w:cs="宋体"/>
          <w:bCs/>
          <w:sz w:val="24"/>
          <w:szCs w:val="24"/>
          <w:lang w:eastAsia="zh-CN"/>
        </w:rPr>
        <w:t>）</w:t>
      </w:r>
    </w:p>
    <w:p>
      <w:pPr>
        <w:spacing w:line="360" w:lineRule="auto"/>
        <w:outlineLvl w:val="2"/>
        <w:rPr>
          <w:rFonts w:hint="eastAsia" w:ascii="宋体" w:hAnsi="宋体" w:eastAsia="宋体" w:cs="宋体"/>
          <w:b/>
          <w:sz w:val="24"/>
          <w:szCs w:val="24"/>
        </w:rPr>
      </w:pPr>
      <w:bookmarkStart w:id="377" w:name="_Toc21579"/>
      <w:r>
        <w:rPr>
          <w:rFonts w:hint="eastAsia" w:ascii="宋体" w:hAnsi="宋体" w:eastAsia="宋体" w:cs="宋体"/>
          <w:b/>
          <w:sz w:val="24"/>
          <w:szCs w:val="24"/>
        </w:rPr>
        <w:t>3. 包装和运输</w:t>
      </w:r>
      <w:bookmarkEnd w:id="377"/>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★3.1须满足《关于印发〈商品包装政府采购需求标准（试行）〉、〈快递包装政府采购需求标准（试行）〉的通知》（财办库﹝2020﹞123号）。</w:t>
      </w:r>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3.2运输时须按采购人要求送至指定地点（涉及收货地址较多且分散，如总队、支队等），所有运输费用由中标人承担。</w:t>
      </w:r>
    </w:p>
    <w:p>
      <w:pPr>
        <w:spacing w:line="360" w:lineRule="auto"/>
        <w:outlineLvl w:val="2"/>
        <w:rPr>
          <w:rFonts w:hint="eastAsia" w:ascii="宋体" w:hAnsi="宋体" w:eastAsia="宋体" w:cs="宋体"/>
          <w:b/>
          <w:sz w:val="24"/>
          <w:szCs w:val="24"/>
        </w:rPr>
      </w:pPr>
      <w:bookmarkStart w:id="378" w:name="_Toc21205"/>
      <w:r>
        <w:rPr>
          <w:rFonts w:hint="eastAsia" w:ascii="宋体" w:hAnsi="宋体" w:eastAsia="宋体" w:cs="宋体"/>
          <w:b/>
          <w:sz w:val="24"/>
          <w:szCs w:val="24"/>
        </w:rPr>
        <w:t>4. 售后服务（质保期）</w:t>
      </w:r>
      <w:bookmarkEnd w:id="378"/>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4.1质保</w:t>
      </w:r>
      <w:r>
        <w:rPr>
          <w:rFonts w:hint="eastAsia" w:ascii="宋体" w:hAnsi="宋体" w:eastAsia="宋体" w:cs="宋体"/>
          <w:bCs/>
          <w:sz w:val="24"/>
          <w:szCs w:val="24"/>
          <w:highlight w:val="none"/>
        </w:rPr>
        <w:t>期：质保期</w:t>
      </w:r>
      <w:r>
        <w:rPr>
          <w:rFonts w:hint="eastAsia" w:ascii="宋体" w:hAnsi="宋体" w:eastAsia="宋体" w:cs="宋体"/>
          <w:bCs/>
          <w:sz w:val="24"/>
          <w:szCs w:val="24"/>
          <w:highlight w:val="none"/>
          <w:lang w:val="en-US" w:eastAsia="zh-CN"/>
        </w:rPr>
        <w:t>三</w:t>
      </w:r>
      <w:r>
        <w:rPr>
          <w:rFonts w:hint="eastAsia" w:ascii="宋体" w:hAnsi="宋体" w:eastAsia="宋体" w:cs="宋体"/>
          <w:bCs/>
          <w:sz w:val="24"/>
          <w:szCs w:val="24"/>
          <w:highlight w:val="none"/>
        </w:rPr>
        <w:t>年，</w:t>
      </w:r>
      <w:r>
        <w:rPr>
          <w:rFonts w:hint="eastAsia" w:ascii="宋体" w:hAnsi="宋体" w:eastAsia="宋体" w:cs="宋体"/>
          <w:bCs/>
          <w:sz w:val="24"/>
          <w:szCs w:val="24"/>
        </w:rPr>
        <w:t>质保期从货物验收合格之日起开始计算。在此期间如发现货物有质量问题，中标方应在2</w:t>
      </w:r>
      <w:r>
        <w:rPr>
          <w:rFonts w:hint="eastAsia" w:ascii="宋体" w:hAnsi="宋体" w:eastAsia="宋体" w:cs="宋体"/>
          <w:bCs/>
          <w:sz w:val="24"/>
          <w:szCs w:val="24"/>
          <w:lang w:val="en-US" w:eastAsia="zh-CN"/>
        </w:rPr>
        <w:t>4</w:t>
      </w:r>
      <w:r>
        <w:rPr>
          <w:rFonts w:hint="eastAsia" w:ascii="宋体" w:hAnsi="宋体" w:eastAsia="宋体" w:cs="宋体"/>
          <w:bCs/>
          <w:sz w:val="24"/>
          <w:szCs w:val="24"/>
        </w:rPr>
        <w:t>小时内无条件免费更换货物。</w:t>
      </w:r>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4.2投标人应具有完善的服务保障体系。能够提供7×24电话技术咨询服务、故障诊断处理服务，并承诺在紧急情况发生时4小时间内响应，如短时间无法快速处理问题需返厂修理，在修理同时投标人应免费提供备用产品；</w:t>
      </w:r>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4.3零星采购保障要求：因保障需要，用户单位向中标企业下达零星采购保障需求后，中标企业应在最短时间内予以响应，并在规定时间内将零星采购货物寄递至用户单位指定地点，涉及的运输费用均由投标人承担。</w:t>
      </w:r>
    </w:p>
    <w:p>
      <w:pPr>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4.4投标方需为后续实施提供技术支持。投标人须具备完善的技术支持、售后服务体系，提供免费售后服务电话以及现场更换或返厂维修，涉及的相关费用由投标方承担。</w:t>
      </w:r>
    </w:p>
    <w:p>
      <w:pPr>
        <w:pStyle w:val="51"/>
        <w:numPr>
          <w:ilvl w:val="0"/>
          <w:numId w:val="0"/>
        </w:numPr>
        <w:spacing w:line="360" w:lineRule="auto"/>
        <w:ind w:leftChars="0"/>
        <w:outlineLvl w:val="1"/>
        <w:rPr>
          <w:rFonts w:hint="eastAsia" w:ascii="宋体" w:hAnsi="宋体" w:eastAsia="宋体" w:cs="宋体"/>
          <w:b/>
          <w:sz w:val="24"/>
          <w:szCs w:val="24"/>
        </w:rPr>
      </w:pPr>
      <w:bookmarkStart w:id="379" w:name="_Toc8506"/>
      <w:r>
        <w:rPr>
          <w:rFonts w:hint="eastAsia" w:ascii="宋体" w:hAnsi="宋体" w:eastAsia="宋体" w:cs="宋体"/>
          <w:b/>
          <w:sz w:val="24"/>
          <w:szCs w:val="24"/>
          <w:lang w:val="en-US" w:eastAsia="zh-CN"/>
        </w:rPr>
        <w:t>三、</w:t>
      </w:r>
      <w:r>
        <w:rPr>
          <w:rFonts w:hint="eastAsia" w:ascii="宋体" w:hAnsi="宋体" w:eastAsia="宋体" w:cs="宋体"/>
          <w:b/>
          <w:sz w:val="24"/>
          <w:szCs w:val="24"/>
        </w:rPr>
        <w:t>技术要求</w:t>
      </w:r>
      <w:bookmarkEnd w:id="379"/>
    </w:p>
    <w:p>
      <w:pPr>
        <w:spacing w:line="360" w:lineRule="auto"/>
        <w:outlineLvl w:val="2"/>
        <w:rPr>
          <w:rFonts w:hint="eastAsia" w:ascii="宋体" w:hAnsi="宋体" w:eastAsia="宋体" w:cs="宋体"/>
          <w:b/>
          <w:color w:val="000000"/>
          <w:sz w:val="24"/>
          <w:szCs w:val="24"/>
        </w:rPr>
      </w:pPr>
      <w:bookmarkStart w:id="380" w:name="_Toc23279"/>
      <w:r>
        <w:rPr>
          <w:rFonts w:hint="eastAsia" w:ascii="宋体" w:hAnsi="宋体" w:eastAsia="宋体" w:cs="宋体"/>
          <w:b/>
          <w:color w:val="000000"/>
          <w:sz w:val="24"/>
          <w:szCs w:val="24"/>
        </w:rPr>
        <w:t>1. 基本要求</w:t>
      </w:r>
      <w:bookmarkEnd w:id="380"/>
    </w:p>
    <w:p>
      <w:pPr>
        <w:spacing w:line="360" w:lineRule="auto"/>
        <w:ind w:firstLine="424" w:firstLineChars="177"/>
        <w:rPr>
          <w:rFonts w:hint="eastAsia" w:ascii="宋体" w:hAnsi="宋体" w:eastAsia="宋体" w:cs="宋体"/>
          <w:color w:val="000000"/>
          <w:sz w:val="24"/>
          <w:szCs w:val="24"/>
        </w:rPr>
      </w:pPr>
      <w:r>
        <w:rPr>
          <w:rFonts w:hint="eastAsia" w:ascii="宋体" w:hAnsi="宋体" w:eastAsia="宋体" w:cs="宋体"/>
          <w:sz w:val="24"/>
          <w:szCs w:val="24"/>
        </w:rPr>
        <w:t xml:space="preserve">1.1 </w:t>
      </w:r>
      <w:r>
        <w:rPr>
          <w:rFonts w:hint="eastAsia" w:ascii="宋体" w:hAnsi="宋体" w:eastAsia="宋体" w:cs="宋体"/>
          <w:color w:val="000000"/>
          <w:sz w:val="24"/>
          <w:szCs w:val="24"/>
        </w:rPr>
        <w:t>采购标的需实现的功能或者目标</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按规定完成供货，并符合相关质量要求</w:t>
      </w:r>
      <w:r>
        <w:rPr>
          <w:rFonts w:hint="eastAsia" w:ascii="宋体" w:hAnsi="宋体" w:eastAsia="宋体" w:cs="宋体"/>
          <w:sz w:val="24"/>
          <w:szCs w:val="24"/>
        </w:rPr>
        <w:t>。</w:t>
      </w:r>
    </w:p>
    <w:p>
      <w:pPr>
        <w:spacing w:line="360"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1.2 需执行的国家相关标准、行业标准、地方标准或者其他标准、规范</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包括但不限于达到国家相关的标准、规范，具体详见技术标准。</w:t>
      </w:r>
    </w:p>
    <w:p>
      <w:pPr>
        <w:spacing w:line="360" w:lineRule="auto"/>
        <w:outlineLvl w:val="2"/>
        <w:rPr>
          <w:rFonts w:hint="eastAsia" w:ascii="宋体" w:hAnsi="宋体" w:eastAsia="宋体" w:cs="宋体"/>
          <w:b/>
          <w:sz w:val="24"/>
          <w:szCs w:val="24"/>
        </w:rPr>
      </w:pPr>
      <w:bookmarkStart w:id="381" w:name="_Toc30291"/>
      <w:r>
        <w:rPr>
          <w:rFonts w:hint="eastAsia" w:ascii="宋体" w:hAnsi="宋体" w:eastAsia="宋体" w:cs="宋体"/>
          <w:b/>
          <w:sz w:val="24"/>
          <w:szCs w:val="24"/>
        </w:rPr>
        <w:t>2. 货物技术要求</w:t>
      </w:r>
      <w:bookmarkEnd w:id="381"/>
    </w:p>
    <w:p>
      <w:pPr>
        <w:spacing w:line="360" w:lineRule="auto"/>
        <w:ind w:firstLine="424" w:firstLineChars="177"/>
        <w:rPr>
          <w:rFonts w:hint="eastAsia" w:ascii="宋体" w:hAnsi="宋体" w:eastAsia="宋体" w:cs="宋体"/>
          <w:color w:val="000000"/>
          <w:sz w:val="24"/>
          <w:szCs w:val="24"/>
        </w:rPr>
      </w:pPr>
      <w:r>
        <w:rPr>
          <w:rFonts w:hint="eastAsia" w:ascii="宋体" w:hAnsi="宋体" w:eastAsia="宋体" w:cs="宋体"/>
          <w:color w:val="000000"/>
          <w:sz w:val="24"/>
          <w:szCs w:val="24"/>
        </w:rPr>
        <w:t>2.1采购标的需满足的性能、材料、结构、技术规格、物理特性等要求</w:t>
      </w:r>
    </w:p>
    <w:p>
      <w:pPr>
        <w:spacing w:line="360" w:lineRule="auto"/>
        <w:ind w:firstLine="424" w:firstLineChars="177"/>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color w:val="000000"/>
          <w:sz w:val="24"/>
          <w:szCs w:val="24"/>
        </w:rPr>
        <w:t>本项目01-0</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包产品技术要求及验收标准</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1包：森林灭火防护头盔、佩戴式头灯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森林灭火防护头盔</w:t>
            </w:r>
          </w:p>
        </w:tc>
        <w:tc>
          <w:tcPr>
            <w:tcW w:w="4200" w:type="dxa"/>
          </w:tcPr>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1.冲击吸收性能：传递到头模上的力不超过4900N，帽壳不得有碎片脱落。</w:t>
            </w:r>
          </w:p>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2.耐穿刺性能：钢锥不得接触头模表面，帽壳不得有碎片脱落。</w:t>
            </w:r>
          </w:p>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3.侧向刚性：最大变形不超过40mm，残余变形不超过15mm，帽壳不得有碎片脱落。</w:t>
            </w:r>
          </w:p>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4.阻燃性能：续燃时间不超过5s，帽壳不得烧穿。</w:t>
            </w:r>
          </w:p>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5.头盔耐熔融金属飞溅性能：帽壳被穿透现象；出现大于10mm的损坏形变；帽壳续燃时间大于5s。</w:t>
            </w:r>
          </w:p>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备注：</w:t>
            </w:r>
            <w:r>
              <w:rPr>
                <w:rFonts w:hint="eastAsia" w:ascii="宋体" w:hAnsi="宋体" w:eastAsia="宋体" w:cs="宋体"/>
                <w:b/>
                <w:bCs/>
                <w:sz w:val="24"/>
                <w:szCs w:val="24"/>
                <w:highlight w:val="none"/>
              </w:rPr>
              <w:t>★</w:t>
            </w:r>
            <w:r>
              <w:rPr>
                <w:rFonts w:hint="eastAsia" w:ascii="宋体" w:hAnsi="宋体" w:eastAsia="宋体" w:cs="宋体"/>
                <w:b w:val="0"/>
                <w:bCs w:val="0"/>
                <w:sz w:val="24"/>
                <w:szCs w:val="24"/>
                <w:highlight w:val="none"/>
                <w:vertAlign w:val="baseline"/>
                <w:lang w:val="en-US" w:eastAsia="zh-CN"/>
              </w:rPr>
              <w:t xml:space="preserve">款式要求符合原应急管理部森林消防局《15森林灭火防护头盔技术规范》（涉及标识、印字、技术要求规范等有关内容，以最新国家消防救援局报批规范统型后的技术规范为准） </w:t>
            </w:r>
            <w:r>
              <w:rPr>
                <w:rStyle w:val="62"/>
                <w:rFonts w:hint="eastAsia" w:ascii="宋体" w:hAnsi="宋体" w:eastAsia="宋体" w:cs="宋体"/>
                <w:b/>
                <w:bCs w:val="0"/>
                <w:sz w:val="24"/>
                <w:szCs w:val="24"/>
                <w:highlight w:val="none"/>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佩戴式头灯</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1.头灯须具有14500充电锂电池和5号碱性干电池互换功能；</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2.灯具外壳防护等级≥IP66；</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3.强光3米处初始中心照度≥800 lx，工作时间不低于2小时；</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4.工作光3米处初始中心照度≥300 lx，工作时间不低于3小时；</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5.弱光3米处初始中心照度≥120 lx，工作时间不低于8小时；</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6.泛光1米处中心照度≥15 lx，工作时间不低于3小时；</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7.爆闪模式闪烁频率8～10Hz</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8.灯具抗冲击性能：2米高度自由跌落后，灯具可正常工作；</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9.灯具抗高低温性能：-30℃～＋60℃存储两小时能正常工作；</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10.灯具耐腐蚀，在盐雾环境可正常工作；</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11.防爆等级：Ex ib ⅡC T4 Gb(须提供防爆合格证）。</w:t>
            </w:r>
          </w:p>
          <w:p>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Style w:val="62"/>
                <w:rFonts w:hint="eastAsia" w:ascii="宋体" w:hAnsi="宋体" w:eastAsia="宋体" w:cs="宋体"/>
                <w:b w:val="0"/>
                <w:bCs w:val="0"/>
                <w:sz w:val="24"/>
                <w:szCs w:val="24"/>
                <w:lang w:val="en-US" w:eastAsia="zh-CN" w:bidi="ar"/>
              </w:rPr>
              <w:t>款式要求符合原应急管理部森林消防局《佩戴式头灯技术规范》</w:t>
            </w:r>
            <w:r>
              <w:rPr>
                <w:rStyle w:val="62"/>
                <w:rFonts w:hint="eastAsia" w:ascii="宋体" w:hAnsi="宋体" w:eastAsia="宋体" w:cs="宋体"/>
                <w:b/>
                <w:bCs/>
                <w:sz w:val="24"/>
                <w:szCs w:val="24"/>
                <w:lang w:val="en-US" w:eastAsia="zh-CN" w:bidi="ar"/>
              </w:rPr>
              <w:t>（涉</w:t>
            </w:r>
            <w:r>
              <w:rPr>
                <w:rStyle w:val="62"/>
                <w:rFonts w:hint="eastAsia" w:ascii="宋体" w:hAnsi="宋体" w:eastAsia="宋体" w:cs="宋体"/>
                <w:b/>
                <w:bCs w:val="0"/>
                <w:sz w:val="24"/>
                <w:szCs w:val="24"/>
                <w:lang w:val="en-US" w:eastAsia="zh-CN" w:bidi="ar"/>
              </w:rPr>
              <w:t>及标识、印字、技术要求规范等有关内容，以最新国家消防救援局报批规范统型后的技术规范为准）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val="0"/>
                <w:bCs w:val="0"/>
                <w:sz w:val="24"/>
                <w:szCs w:val="24"/>
                <w:highlight w:val="none"/>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lang w:val="en-US" w:eastAsia="zh-CN"/>
        </w:rPr>
      </w:pPr>
    </w:p>
    <w:p>
      <w:pPr>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br w:type="page"/>
      </w:r>
    </w:p>
    <w:p>
      <w:pPr>
        <w:widowControl/>
        <w:spacing w:line="360" w:lineRule="auto"/>
        <w:ind w:firstLine="426" w:firstLineChars="177"/>
        <w:contextualSpacing/>
        <w:rPr>
          <w:rFonts w:hint="eastAsia" w:ascii="宋体" w:hAnsi="宋体" w:eastAsia="宋体" w:cs="宋体"/>
          <w:b/>
          <w:bCs/>
          <w:sz w:val="24"/>
          <w:szCs w:val="24"/>
          <w:highlight w:val="yellow"/>
          <w:lang w:val="en-US" w:eastAsia="zh-CN"/>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2包：森林灭火防护眼镜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森林灭火防护眼镜</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1.1镜框 橡胶镜框，附着间接散热排气孔</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1.2镜片 聚碳酸酯镜片，镜片厚度应不低于3.0 mm (±0.2mm )</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1.3弹性固定头带 可调节弹性固定头带，宽度≥10mm              </w:t>
            </w:r>
          </w:p>
          <w:p>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款式要求符合原应急管理部森林消防局《15森林灭火防护眼镜技术规范》（涉及标识、印字、技术要求规范等有关内容，以最新国家消防救援局报批规范统型后的技术规范为准）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lang w:val="en-US" w:eastAsia="zh-CN"/>
        </w:rPr>
      </w:pPr>
    </w:p>
    <w:p>
      <w:pPr>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br w:type="page"/>
      </w:r>
    </w:p>
    <w:p>
      <w:pPr>
        <w:widowControl/>
        <w:spacing w:line="360" w:lineRule="auto"/>
        <w:ind w:firstLine="426" w:firstLineChars="177"/>
        <w:contextualSpacing/>
        <w:rPr>
          <w:rFonts w:hint="eastAsia" w:ascii="宋体" w:hAnsi="宋体" w:eastAsia="宋体" w:cs="宋体"/>
          <w:b/>
          <w:bCs/>
          <w:sz w:val="24"/>
          <w:szCs w:val="24"/>
          <w:highlight w:val="yellow"/>
          <w:lang w:val="en-US" w:eastAsia="zh-CN"/>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3包：森林灭火防护头套、森林灭火防护作训帽、森林灭火防护服、森林灭火防护服内胆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森林灭火防护头套</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1、颜色：头套为米黄色；</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2、克重（g/㎡）：150±10；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3、PH值：4.0-7.5；</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4、甲醛含量（mg/kg）：≤75；</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5、顶破强力（N）：≥300；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6、续燃时间（s）：经纬向：≤2；损毁长度（mm）：直向≤100，横向≤100；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7、起毛起球（级）：≥3。</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款式要求符合原应急管理部森林消防局《15森林灭火防护头套技术规范》（涉及标识、印字等有关内容，以局机关报批规范统型后的技术规范为准）</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森林灭火防护作训帽</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1、颜色：森林灭火防护作训帽为桔红色。气眼颜色为桔红色。帽饰带底带为深火焰蓝色，森林消防员帽饰带级别标识为正红色:指挥员帽饰带级别标识为浅蓝色，帽扣颜色为深火焰蓝色。</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2、外观质量：成品要整烫，外观整洁、平服、无烫光，线路顺直，左右对称，定位准确，无开断线、线头，美观、挺括。</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3、性能参数：</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3.1单位面积质量g/㎡：200（±10）；3.2纤维</w:t>
            </w:r>
            <w:r>
              <w:rPr>
                <w:rFonts w:hint="eastAsia" w:ascii="宋体" w:hAnsi="宋体" w:eastAsia="宋体" w:cs="宋体"/>
                <w:b w:val="0"/>
                <w:bCs w:val="0"/>
                <w:i w:val="0"/>
                <w:iCs w:val="0"/>
                <w:color w:val="000000"/>
                <w:kern w:val="0"/>
                <w:sz w:val="24"/>
                <w:szCs w:val="24"/>
                <w:highlight w:val="none"/>
                <w:u w:val="none"/>
                <w:lang w:val="en-US" w:eastAsia="zh-CN" w:bidi="ar"/>
              </w:rPr>
              <w:t>含量，%：间</w:t>
            </w:r>
            <w:r>
              <w:rPr>
                <w:rFonts w:hint="eastAsia" w:ascii="宋体" w:hAnsi="宋体" w:eastAsia="宋体" w:cs="宋体"/>
                <w:b w:val="0"/>
                <w:bCs w:val="0"/>
                <w:i w:val="0"/>
                <w:iCs w:val="0"/>
                <w:color w:val="000000"/>
                <w:kern w:val="0"/>
                <w:sz w:val="24"/>
                <w:szCs w:val="24"/>
                <w:u w:val="none"/>
                <w:lang w:val="en-US" w:eastAsia="zh-CN" w:bidi="ar"/>
              </w:rPr>
              <w:t>位芳纶 93%，对位芳纶 5%和抗静电 2%；</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3.3断裂强力，N：经向 ≥950；纬向 ≥950；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3.4撕破强力，N：经向 ≥200；纬向 ≥200。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3.5耐摩擦色牢度：湿摩 ≥4；</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3.6阻燃性：续燃时间 ≤1s，阴燃时间 ≤1s，损毁长度 ≤80mm。</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w:t>
            </w:r>
            <w:r>
              <w:rPr>
                <w:rFonts w:hint="eastAsia" w:ascii="宋体" w:hAnsi="宋体" w:eastAsia="宋体" w:cs="宋体"/>
                <w:b w:val="0"/>
                <w:bCs w:val="0"/>
                <w:i w:val="0"/>
                <w:iCs w:val="0"/>
                <w:color w:val="auto"/>
                <w:kern w:val="0"/>
                <w:sz w:val="24"/>
                <w:szCs w:val="24"/>
                <w:highlight w:val="none"/>
                <w:u w:val="none"/>
                <w:lang w:val="en-US" w:eastAsia="zh-CN" w:bidi="ar"/>
              </w:rPr>
              <w:t>热稳定性：经向≤2%，纬向≤2% （180℃/5min）。</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款式要求符合原应急管理部森林消防局《15森林灭火防护作训帽技术规范》（涉及标识、印字、技术要求规范等有关内容，以最新国家消防救援局报批规范统型后的技术规范为准）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森林灭火防护服</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highlight w:val="none"/>
                <w:u w:val="none"/>
                <w:lang w:val="en-US" w:eastAsia="zh-CN" w:bidi="ar"/>
              </w:rPr>
              <w:t>颜色：面料颜色：桔红色。拉链基布颜色：黑</w:t>
            </w:r>
            <w:r>
              <w:rPr>
                <w:rFonts w:hint="eastAsia" w:ascii="宋体" w:hAnsi="宋体" w:eastAsia="宋体" w:cs="宋体"/>
                <w:b w:val="0"/>
                <w:bCs w:val="0"/>
                <w:i w:val="0"/>
                <w:iCs w:val="0"/>
                <w:color w:val="000000"/>
                <w:kern w:val="0"/>
                <w:sz w:val="24"/>
                <w:szCs w:val="24"/>
                <w:u w:val="none"/>
                <w:lang w:val="en-US" w:eastAsia="zh-CN" w:bidi="ar"/>
              </w:rPr>
              <w:t>色。锦丝搭扣颜色：桔红色；标志带颜色：黄荧黄。</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2、外层原液芳纶布（主面料）:</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2.1单位面积质量g/㎡：200（±10）；2.2PH值：4.0-8.5；</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2.3断裂强力（N）：经向 ≥950，纬向 ≥950；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2.4撕破强力（N）：经向 ≥200，纬向 ≥200。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2.5阻燃性：续燃时间≤1s；阴燃时间 ≤1s；损毁长度 ≤80mm。</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2.6防水性能 沾水法</w:t>
            </w:r>
            <w:r>
              <w:rPr>
                <w:rFonts w:hint="eastAsia" w:ascii="宋体" w:hAnsi="宋体" w:eastAsia="宋体" w:cs="宋体"/>
                <w:b w:val="0"/>
                <w:bCs w:val="0"/>
                <w:i w:val="0"/>
                <w:iCs w:val="0"/>
                <w:color w:val="auto"/>
                <w:kern w:val="0"/>
                <w:sz w:val="24"/>
                <w:szCs w:val="24"/>
                <w:highlight w:val="none"/>
                <w:u w:val="none"/>
                <w:lang w:val="en-US" w:eastAsia="zh-CN" w:bidi="ar"/>
              </w:rPr>
              <w:t>≥4</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3、高强度隔热层(补强面料):</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3.1单位面积质量，g/㎡：230（±12）；3.2断裂强力，N：经向≥2500；纬向≥2500；3.3撕破强力，N：经纬向≥650；3.4阻燃性：续燃时间≤2s；损毁长度 ≤50mm。</w:t>
            </w:r>
          </w:p>
          <w:p>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款式要求符合原应急管理部森林消防局《15森林灭火防护服技术规范》（涉及标识、印字、技术要求规范等有关内容，以最新国家消防救援局报批规范统型后的技术规范为准）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keepNext w:val="0"/>
              <w:keepLines w:val="0"/>
              <w:widowControl/>
              <w:suppressLineNumbers w:val="0"/>
              <w:jc w:val="center"/>
              <w:textAlignment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6750套</w:t>
            </w:r>
          </w:p>
        </w:tc>
        <w:tc>
          <w:tcPr>
            <w:tcW w:w="172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森林灭火防护服内胆</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1、颜色：面料颜色：浅桔红</w:t>
            </w:r>
            <w:r>
              <w:rPr>
                <w:rFonts w:hint="eastAsia" w:ascii="宋体" w:hAnsi="宋体" w:eastAsia="宋体" w:cs="宋体"/>
                <w:b w:val="0"/>
                <w:bCs w:val="0"/>
                <w:i w:val="0"/>
                <w:iCs w:val="0"/>
                <w:color w:val="000000"/>
                <w:kern w:val="0"/>
                <w:sz w:val="24"/>
                <w:szCs w:val="24"/>
                <w:highlight w:val="none"/>
                <w:u w:val="none"/>
                <w:lang w:val="en-US" w:eastAsia="zh-CN" w:bidi="ar"/>
              </w:rPr>
              <w:t>色。拉链基布颜色：黑色。缝纫线颜色：浅桔红色，与面料颜色相匹配。</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2、面料：聚酰亚胺抓绒布</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3、克重，g/㎡：260±13；</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4、甲醛含量，mg/kg：＜20；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5、保暖性，克罗值：≥0.7；</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6、顶破强力N：≥400；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7、阻燃性能：极</w:t>
            </w:r>
            <w:r>
              <w:rPr>
                <w:rFonts w:hint="eastAsia" w:ascii="宋体" w:hAnsi="宋体" w:eastAsia="宋体" w:cs="宋体"/>
                <w:b w:val="0"/>
                <w:bCs w:val="0"/>
                <w:i w:val="0"/>
                <w:iCs w:val="0"/>
                <w:color w:val="000000"/>
                <w:kern w:val="0"/>
                <w:sz w:val="24"/>
                <w:szCs w:val="24"/>
                <w:highlight w:val="none"/>
                <w:u w:val="none"/>
                <w:lang w:val="en-US" w:eastAsia="zh-CN" w:bidi="ar"/>
              </w:rPr>
              <w:t>限氧指数,%:≥35；</w:t>
            </w:r>
            <w:r>
              <w:rPr>
                <w:rFonts w:hint="eastAsia" w:ascii="宋体" w:hAnsi="宋体" w:eastAsia="宋体" w:cs="宋体"/>
                <w:b w:val="0"/>
                <w:bCs w:val="0"/>
                <w:i w:val="0"/>
                <w:iCs w:val="0"/>
                <w:color w:val="000000"/>
                <w:kern w:val="0"/>
                <w:sz w:val="24"/>
                <w:szCs w:val="24"/>
                <w:u w:val="none"/>
                <w:lang w:val="en-US" w:eastAsia="zh-CN" w:bidi="ar"/>
              </w:rPr>
              <w:t>垂直燃烧：损毁长度≤30mm；续燃时间≤2s，阴燃时间≤2s。</w:t>
            </w:r>
          </w:p>
          <w:p>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款式要求符合原应急管理部森林消防局《15森林灭火防护内胆技术规范》（涉及标识、印字、技术要求规范等有关内容，以最新国家消防救援局报批规范统型后的技术规范为准）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keepNext w:val="0"/>
              <w:keepLines w:val="0"/>
              <w:widowControl/>
              <w:suppressLineNumbers w:val="0"/>
              <w:jc w:val="center"/>
              <w:textAlignment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6750套</w:t>
            </w:r>
          </w:p>
        </w:tc>
        <w:tc>
          <w:tcPr>
            <w:tcW w:w="172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p>
        </w:tc>
      </w:tr>
    </w:tbl>
    <w:p>
      <w:pPr>
        <w:widowControl/>
        <w:spacing w:line="360" w:lineRule="auto"/>
        <w:ind w:firstLine="426" w:firstLineChars="177"/>
        <w:contextualSpacing/>
        <w:rPr>
          <w:rFonts w:hint="eastAsia" w:ascii="宋体" w:hAnsi="宋体" w:eastAsia="宋体" w:cs="宋体"/>
          <w:b/>
          <w:bCs/>
          <w:sz w:val="24"/>
          <w:szCs w:val="24"/>
          <w:highlight w:val="yellow"/>
        </w:rPr>
      </w:pPr>
    </w:p>
    <w:p>
      <w:pPr>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br w:type="page"/>
      </w:r>
    </w:p>
    <w:p>
      <w:pPr>
        <w:widowControl/>
        <w:spacing w:line="360" w:lineRule="auto"/>
        <w:ind w:firstLine="426" w:firstLineChars="177"/>
        <w:contextualSpacing/>
        <w:rPr>
          <w:rFonts w:hint="eastAsia" w:ascii="宋体" w:hAnsi="宋体" w:eastAsia="宋体" w:cs="宋体"/>
          <w:b/>
          <w:bCs/>
          <w:sz w:val="24"/>
          <w:szCs w:val="24"/>
          <w:highlight w:val="yellow"/>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4包：森林灭火防护靴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森林灭火防护靴</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1.成鞋耐折性：鞋底裂口≤10.0mm，鞋面折后无裂纹且不应出现裂面，鞋底不应出现开胶现象，预割口5mm，连续屈挠4万次。</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2.外底磨痕长度≤7mm</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3.粘和强度，N/cm：≥4.0或破材</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4.成鞋抗刺穿性，N：≥900  在前掌屈挠部位（屈挠 4万次后）测 2 点、腰窝及后跟部位各测 1 点</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5.成鞋阻燃测试：离火≤2秒，自熄</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6.成鞋隔热性：加热板温度 150℃，放置 30min，内底表面温度上升≤22℃，没有鞋底变形或脆化使之功能降低</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7.防水性能：动态透水次数≥9000，动态吸水性（</w:t>
            </w:r>
            <w:r>
              <w:rPr>
                <w:rFonts w:hint="eastAsia" w:ascii="宋体" w:hAnsi="宋体" w:eastAsia="宋体" w:cs="宋体"/>
                <w:b w:val="0"/>
                <w:bCs w:val="0"/>
                <w:i w:val="0"/>
                <w:iCs w:val="0"/>
                <w:color w:val="000000"/>
                <w:kern w:val="0"/>
                <w:sz w:val="24"/>
                <w:szCs w:val="24"/>
                <w:highlight w:val="none"/>
                <w:u w:val="none"/>
                <w:lang w:val="en-US" w:eastAsia="zh-CN" w:bidi="ar"/>
              </w:rPr>
              <w:t>1h），%≤22.00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8.动态透水性（1h），g≤0.1，撕裂强度，N/mm ≥70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9.耐磨性能，（9kap）,cycle≥50000, 燃烧状态, 不允许熔融,耐洗染色牢度，≥3-4</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10.成型大底,拉伸强度，Mpa≥13.5 硬度，绍尔A 68±4</w:t>
            </w:r>
          </w:p>
          <w:p>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款式要求符合原应急管理部森林消防局《15森林灭火防护靴技术规范》（涉及标识、印字、技术要求等有关规范内容，以最新国家消防救援局报批规范统型后的技术规范为准）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rPr>
      </w:pPr>
    </w:p>
    <w:p>
      <w:pPr>
        <w:widowControl/>
        <w:spacing w:line="360" w:lineRule="auto"/>
        <w:ind w:firstLine="426" w:firstLineChars="177"/>
        <w:contextualSpacing/>
        <w:rPr>
          <w:rFonts w:hint="eastAsia" w:ascii="宋体" w:hAnsi="宋体" w:eastAsia="宋体" w:cs="宋体"/>
          <w:b/>
          <w:bCs/>
          <w:sz w:val="24"/>
          <w:szCs w:val="24"/>
          <w:highlight w:val="yellow"/>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5包：森林灭火防护外腰带、22多功能水壶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森林灭火防护外腰带</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1.钎套、钎插头、带箍、带尾包头：耐热老化，（70℃±1℃，72h）不变形；耐低温，（-40℃±1℃，48h）；无龟裂、脆断；热变形温度，℃≥220；阻燃性，（垂直燃烧）V-0。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2.钎套筒与钎插头：扣合抗拉强力，N≥700。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3.带体：断裂强力，N≥2000；阴燃时间，s≤1；续燃时间，s≤1；耐光色牢度，≥5级；耐汗渍色牢度，≥4级；耐摩擦色牢度，干摩≥4级；湿摩≥4级。</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款式要求符合原应急管理部森林消防局《15森林灭火防护外腰带技术规范》（涉及标识、印字、技术要求规范等有关内容，以最新国家消防救援局报批规范统型后的技术规范为准）</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r>
              <w:rPr>
                <w:rFonts w:hint="eastAsia" w:ascii="宋体" w:hAnsi="宋体" w:eastAsia="宋体" w:cs="宋体"/>
                <w:b w:val="0"/>
                <w:bCs w:val="0"/>
                <w:i w:val="0"/>
                <w:iCs w:val="0"/>
                <w:color w:val="000000"/>
                <w:kern w:val="0"/>
                <w:sz w:val="24"/>
                <w:szCs w:val="24"/>
                <w:u w:val="none"/>
                <w:lang w:val="en-US" w:eastAsia="zh-CN" w:bidi="ar"/>
              </w:rPr>
              <w:t xml:space="preserve">                           </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22多功能水壶</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1.保温性能：a) 常温下24 h，壶内水温应不低于40℃；b) 0℃下24 h，壶内水温应不低于28℃；c) - 30℃下24 h，壶内水温应不低于15℃。</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2.壶体（内胆、外胆）：铅≤1；铬≤0.5；镍≤3；镉≤0.02；砷≤0.04</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款式要求符合原应急管理部森林消防局《多功能水壶技术规范》（涉及标识、印字、技术要求等有关规范内容，以最新国家消防救援局报批规范统型后的技术规范为准）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rPr>
      </w:pPr>
    </w:p>
    <w:p>
      <w:pPr>
        <w:widowControl/>
        <w:spacing w:line="360" w:lineRule="auto"/>
        <w:ind w:firstLine="426" w:firstLineChars="177"/>
        <w:contextualSpacing/>
        <w:rPr>
          <w:rFonts w:hint="eastAsia" w:ascii="宋体" w:hAnsi="宋体" w:eastAsia="宋体" w:cs="宋体"/>
          <w:b/>
          <w:bCs/>
          <w:sz w:val="24"/>
          <w:szCs w:val="24"/>
          <w:highlight w:val="yellow"/>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6包：携行背心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携行背心</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1.芳纶面料断裂强力：经向≥750N,纬向≥750N</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2.芳纶面料撕破强力：经向≥80N,纬向≥80N</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3.芳纶面料阻燃性能：</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经向损毁长度≤100mm; 续燃时间≤2S; 无熔融、滴落试验现象</w:t>
            </w:r>
          </w:p>
          <w:p>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纬向损毁长度≤100mm; 续燃时间≤2S; 熔融、滴落试验现象：无；</w:t>
            </w:r>
          </w:p>
          <w:p>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4.耐用性:</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四件子母扣使用次数不少于2000次</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锦丝搭扣带使用次数不少于5000次</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5.携行背心质量小于1.5kg</w:t>
            </w:r>
          </w:p>
          <w:p>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 xml:space="preserve">款式要求符合原应急管理部森林消防局《携行背心技术规范》（涉及标识、印字、技术要求规范等有关内容，以最新国家消防救援局报批规范统型后的技术规范为准） </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rPr>
      </w:pPr>
    </w:p>
    <w:p>
      <w:pPr>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br w:type="page"/>
      </w:r>
    </w:p>
    <w:p>
      <w:pPr>
        <w:widowControl/>
        <w:spacing w:line="360" w:lineRule="auto"/>
        <w:ind w:firstLine="426" w:firstLineChars="177"/>
        <w:contextualSpacing/>
        <w:rPr>
          <w:rFonts w:hint="eastAsia" w:ascii="宋体" w:hAnsi="宋体" w:eastAsia="宋体" w:cs="宋体"/>
          <w:b/>
          <w:bCs/>
          <w:sz w:val="24"/>
          <w:szCs w:val="24"/>
          <w:highlight w:val="yellow"/>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4200"/>
        <w:gridCol w:w="1566"/>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0296" w:type="dxa"/>
            <w:gridSpan w:val="4"/>
            <w:vAlign w:val="center"/>
          </w:tcPr>
          <w:p>
            <w:pPr>
              <w:widowControl/>
              <w:spacing w:line="360" w:lineRule="auto"/>
              <w:contextualSpacing/>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b/>
                <w:bCs/>
                <w:kern w:val="2"/>
                <w:sz w:val="24"/>
                <w:szCs w:val="24"/>
                <w:highlight w:val="none"/>
                <w:vertAlign w:val="baseline"/>
                <w:lang w:val="en-US" w:eastAsia="zh-CN"/>
              </w:rPr>
              <w:t>7包：森林灭火防护手套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货物名称</w:t>
            </w:r>
          </w:p>
        </w:tc>
        <w:tc>
          <w:tcPr>
            <w:tcW w:w="4200"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722" w:type="dxa"/>
            <w:vAlign w:val="center"/>
          </w:tcPr>
          <w:p>
            <w:pPr>
              <w:widowControl/>
              <w:spacing w:line="360" w:lineRule="auto"/>
              <w:contextualSpacing/>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808"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森林灭火防护手套</w:t>
            </w:r>
          </w:p>
        </w:tc>
        <w:tc>
          <w:tcPr>
            <w:tcW w:w="4200" w:type="dxa"/>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1.续燃时间：≤2s</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2.损毁长度：≤100mm</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3.燃烧状态：碳化</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4.手掌补强防割性能：≥3</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5.手掌耐磨性能：≧2000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6.手掌耐穿刺性能：≥80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7.整体防水性能：无渗透</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8.热传导性能：260℃环境中疼痛时间不小于30秒</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9.耐热性能：260℃环境下试验表面无明显变化无熔融、脱离和燃烧现象</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10.握紧性能：≥100%</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11.灵巧性：5级</w:t>
            </w:r>
          </w:p>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r>
              <w:rPr>
                <w:rFonts w:hint="eastAsia" w:ascii="宋体" w:hAnsi="宋体" w:eastAsia="宋体" w:cs="宋体"/>
                <w:b/>
                <w:bCs/>
                <w:sz w:val="24"/>
                <w:szCs w:val="24"/>
              </w:rPr>
              <w:t>★</w:t>
            </w:r>
            <w:r>
              <w:rPr>
                <w:rFonts w:hint="eastAsia" w:ascii="宋体" w:hAnsi="宋体" w:eastAsia="宋体" w:cs="宋体"/>
                <w:b w:val="0"/>
                <w:bCs w:val="0"/>
                <w:i w:val="0"/>
                <w:iCs w:val="0"/>
                <w:color w:val="000000"/>
                <w:kern w:val="0"/>
                <w:sz w:val="24"/>
                <w:szCs w:val="24"/>
                <w:u w:val="none"/>
                <w:lang w:val="en-US" w:eastAsia="zh-CN" w:bidi="ar"/>
              </w:rPr>
              <w:t>款式要求符合原应急管理部森林消防局《15森林灭火防护手套技术规范》（涉及标识、印字等有关内容，以局机关报批规范统型后的技术规范为准）</w:t>
            </w:r>
            <w:r>
              <w:rPr>
                <w:rStyle w:val="62"/>
                <w:rFonts w:hint="eastAsia" w:ascii="宋体" w:hAnsi="宋体" w:eastAsia="宋体" w:cs="宋体"/>
                <w:b/>
                <w:bCs w:val="0"/>
                <w:sz w:val="24"/>
                <w:szCs w:val="24"/>
                <w:lang w:val="en-US" w:eastAsia="zh-CN" w:bidi="ar"/>
              </w:rPr>
              <w:t>此项为实质性参数，投标单位须在投标文件中提供法定代表人签字并加盖投标人单位公章的承诺书，未提供承诺书的视为不响应招标文件实质性条款。</w:t>
            </w:r>
          </w:p>
        </w:tc>
        <w:tc>
          <w:tcPr>
            <w:tcW w:w="1566" w:type="dxa"/>
            <w:vAlign w:val="center"/>
          </w:tcPr>
          <w:p>
            <w:pPr>
              <w:widowControl/>
              <w:spacing w:line="360" w:lineRule="auto"/>
              <w:contextualSpacing/>
              <w:jc w:val="center"/>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val="0"/>
                <w:bCs w:val="0"/>
                <w:sz w:val="24"/>
                <w:szCs w:val="24"/>
                <w:highlight w:val="none"/>
                <w:vertAlign w:val="baseline"/>
                <w:lang w:val="en-US" w:eastAsia="zh-CN"/>
              </w:rPr>
              <w:t>3375套</w:t>
            </w:r>
          </w:p>
        </w:tc>
        <w:tc>
          <w:tcPr>
            <w:tcW w:w="1722" w:type="dxa"/>
          </w:tcPr>
          <w:p>
            <w:pPr>
              <w:widowControl/>
              <w:spacing w:line="360" w:lineRule="auto"/>
              <w:contextualSpacing/>
              <w:rPr>
                <w:rFonts w:hint="eastAsia" w:ascii="宋体" w:hAnsi="宋体" w:eastAsia="宋体" w:cs="宋体"/>
                <w:b/>
                <w:bCs/>
                <w:sz w:val="24"/>
                <w:szCs w:val="24"/>
                <w:highlight w:val="yellow"/>
                <w:vertAlign w:val="baseline"/>
                <w:lang w:val="en-US" w:eastAsia="zh-CN"/>
              </w:rPr>
            </w:pPr>
          </w:p>
        </w:tc>
      </w:tr>
    </w:tbl>
    <w:p>
      <w:pPr>
        <w:widowControl/>
        <w:spacing w:line="360" w:lineRule="auto"/>
        <w:ind w:firstLine="426" w:firstLineChars="177"/>
        <w:contextualSpacing/>
        <w:rPr>
          <w:rFonts w:hint="eastAsia" w:ascii="宋体" w:hAnsi="宋体" w:eastAsia="宋体" w:cs="宋体"/>
          <w:b/>
          <w:bCs/>
          <w:sz w:val="24"/>
          <w:szCs w:val="24"/>
          <w:highlight w:val="yellow"/>
          <w:lang w:val="en-US" w:eastAsia="zh-CN"/>
        </w:rPr>
      </w:pPr>
    </w:p>
    <w:p>
      <w:pPr>
        <w:spacing w:line="360" w:lineRule="auto"/>
        <w:ind w:firstLine="424" w:firstLineChars="177"/>
        <w:rPr>
          <w:rFonts w:hint="eastAsia" w:ascii="宋体" w:hAnsi="宋体" w:eastAsia="宋体" w:cs="宋体"/>
          <w:color w:val="000000"/>
          <w:sz w:val="24"/>
          <w:szCs w:val="24"/>
        </w:rPr>
      </w:pPr>
      <w:r>
        <w:rPr>
          <w:rFonts w:hint="eastAsia" w:ascii="宋体" w:hAnsi="宋体" w:eastAsia="宋体" w:cs="宋体"/>
          <w:color w:val="000000"/>
          <w:sz w:val="24"/>
          <w:szCs w:val="24"/>
        </w:rPr>
        <w:t>2.2 采购标的需满足的服务标准、期限、效率等要求</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满足招标文件</w:t>
      </w:r>
      <w:r>
        <w:rPr>
          <w:rFonts w:hint="eastAsia" w:ascii="宋体" w:hAnsi="宋体" w:eastAsia="宋体" w:cs="宋体"/>
          <w:sz w:val="24"/>
          <w:szCs w:val="24"/>
          <w:lang w:val="en-US" w:eastAsia="zh-CN"/>
        </w:rPr>
        <w:t>合同履行期限（供货期）</w:t>
      </w:r>
      <w:r>
        <w:rPr>
          <w:rFonts w:hint="eastAsia" w:ascii="宋体" w:hAnsi="宋体" w:eastAsia="宋体" w:cs="宋体"/>
          <w:sz w:val="24"/>
          <w:szCs w:val="24"/>
        </w:rPr>
        <w:t>相关要求。</w:t>
      </w:r>
    </w:p>
    <w:p>
      <w:pPr>
        <w:spacing w:line="360" w:lineRule="auto"/>
        <w:ind w:firstLine="424" w:firstLineChars="177"/>
        <w:rPr>
          <w:rFonts w:hint="eastAsia" w:ascii="宋体" w:hAnsi="宋体" w:eastAsia="宋体" w:cs="宋体"/>
          <w:color w:val="000000"/>
          <w:sz w:val="24"/>
          <w:szCs w:val="24"/>
        </w:rPr>
      </w:pPr>
      <w:r>
        <w:rPr>
          <w:rFonts w:hint="eastAsia" w:ascii="宋体" w:hAnsi="宋体" w:eastAsia="宋体" w:cs="宋体"/>
          <w:color w:val="000000"/>
          <w:sz w:val="24"/>
          <w:szCs w:val="24"/>
        </w:rPr>
        <w:t>2.3 采购标的其他技术、服务等要求</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2.3.1 投标人所提供的产品技术条款应符合招标文件的要求。如所供产品存在技术偏离，投标人应如实填写</w:t>
      </w:r>
      <w:bookmarkStart w:id="382" w:name="_Hlk132887155"/>
      <w:r>
        <w:rPr>
          <w:rFonts w:hint="eastAsia" w:ascii="宋体" w:hAnsi="宋体" w:eastAsia="宋体" w:cs="宋体"/>
          <w:sz w:val="24"/>
          <w:szCs w:val="24"/>
        </w:rPr>
        <w:t>《采购需求偏离表》</w:t>
      </w:r>
      <w:bookmarkEnd w:id="382"/>
      <w:r>
        <w:rPr>
          <w:rFonts w:hint="eastAsia" w:ascii="宋体" w:hAnsi="宋体" w:eastAsia="宋体" w:cs="宋体"/>
          <w:sz w:val="24"/>
          <w:szCs w:val="24"/>
        </w:rPr>
        <w:t>，能够给出具体技术参数的，应给出具体技术参数，而不能笼统的响应为“符合”、“满足” 等结论性内容。如果投标产品的技术条款不同于或多于招标文件的技术条款要求，也应在《采购需求偏离表》中附加说明。若未如实填写《采购需求偏离表》或有欺诈行为，该投标文件将被拒绝。</w:t>
      </w:r>
    </w:p>
    <w:p>
      <w:pPr>
        <w:widowControl/>
        <w:spacing w:line="360" w:lineRule="auto"/>
        <w:ind w:firstLine="426" w:firstLineChars="177"/>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★2.3.2 投标人须承诺投标产品不受第三方提出侵犯其专利权、商标权等相关知识产权的起诉。</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2.3.3 本项目01-0</w:t>
      </w:r>
      <w:r>
        <w:rPr>
          <w:rFonts w:hint="eastAsia" w:ascii="宋体" w:hAnsi="宋体" w:eastAsia="宋体" w:cs="宋体"/>
          <w:sz w:val="24"/>
          <w:szCs w:val="24"/>
          <w:lang w:val="en-US" w:eastAsia="zh-CN"/>
        </w:rPr>
        <w:t>7</w:t>
      </w:r>
      <w:r>
        <w:rPr>
          <w:rFonts w:hint="eastAsia" w:ascii="宋体" w:hAnsi="宋体" w:eastAsia="宋体" w:cs="宋体"/>
          <w:sz w:val="24"/>
          <w:szCs w:val="24"/>
        </w:rPr>
        <w:t>包</w:t>
      </w:r>
      <w:r>
        <w:rPr>
          <w:rFonts w:hint="eastAsia" w:ascii="宋体" w:hAnsi="宋体" w:eastAsia="宋体" w:cs="宋体"/>
          <w:sz w:val="24"/>
          <w:szCs w:val="24"/>
          <w:highlight w:val="none"/>
        </w:rPr>
        <w:t>需提供202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年1月1日起至投</w:t>
      </w:r>
      <w:r>
        <w:rPr>
          <w:rFonts w:hint="eastAsia" w:ascii="宋体" w:hAnsi="宋体" w:eastAsia="宋体" w:cs="宋体"/>
          <w:sz w:val="24"/>
          <w:szCs w:val="24"/>
        </w:rPr>
        <w:t>标截止时间省、直辖市级及以上具有检测资质的第三方检测机构出具，按照森林灭火单兵防护装备技术规范进行检测的检测报告，具体要求如下：</w:t>
      </w:r>
    </w:p>
    <w:tbl>
      <w:tblPr>
        <w:tblStyle w:val="25"/>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2552"/>
        <w:gridCol w:w="1134"/>
        <w:gridCol w:w="4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62" w:type="dxa"/>
            <w:vMerge w:val="restar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包号</w:t>
            </w:r>
          </w:p>
        </w:tc>
        <w:tc>
          <w:tcPr>
            <w:tcW w:w="2552" w:type="dxa"/>
            <w:vMerge w:val="restar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品目</w:t>
            </w:r>
          </w:p>
        </w:tc>
        <w:tc>
          <w:tcPr>
            <w:tcW w:w="5976" w:type="dxa"/>
            <w:gridSpan w:val="2"/>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检验报告要求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562" w:type="dxa"/>
            <w:vMerge w:val="continue"/>
            <w:vAlign w:val="center"/>
          </w:tcPr>
          <w:p>
            <w:pPr>
              <w:jc w:val="center"/>
              <w:rPr>
                <w:rFonts w:hint="eastAsia" w:ascii="宋体" w:hAnsi="宋体" w:eastAsia="宋体" w:cs="宋体"/>
                <w:b/>
                <w:bCs/>
                <w:sz w:val="24"/>
                <w:szCs w:val="24"/>
              </w:rPr>
            </w:pPr>
          </w:p>
        </w:tc>
        <w:tc>
          <w:tcPr>
            <w:tcW w:w="2552" w:type="dxa"/>
            <w:vMerge w:val="continue"/>
            <w:vAlign w:val="center"/>
          </w:tcPr>
          <w:p>
            <w:pPr>
              <w:jc w:val="center"/>
              <w:rPr>
                <w:rFonts w:hint="eastAsia" w:ascii="宋体" w:hAnsi="宋体" w:eastAsia="宋体" w:cs="宋体"/>
                <w:b/>
                <w:bCs/>
                <w:sz w:val="24"/>
                <w:szCs w:val="24"/>
              </w:rPr>
            </w:pPr>
          </w:p>
        </w:tc>
        <w:tc>
          <w:tcPr>
            <w:tcW w:w="1134"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是否要求检验报告</w:t>
            </w:r>
          </w:p>
        </w:tc>
        <w:tc>
          <w:tcPr>
            <w:tcW w:w="4842"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检测内容具体要求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Merge w:val="restart"/>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1包</w:t>
            </w:r>
          </w:p>
        </w:tc>
        <w:tc>
          <w:tcPr>
            <w:tcW w:w="2552" w:type="dxa"/>
            <w:vAlign w:val="center"/>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森林灭火防护头盔</w:t>
            </w:r>
          </w:p>
        </w:tc>
        <w:tc>
          <w:tcPr>
            <w:tcW w:w="1134" w:type="dxa"/>
            <w:vAlign w:val="center"/>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①样式；②结构；③重量；④外观质量；⑤冲击吸收性能；⑥耐穿刺性能；⑦电绝缘性能；⑧侧向刚性；⑨阻燃性能；⑩耐低温性能；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Merge w:val="continue"/>
            <w:vAlign w:val="center"/>
          </w:tcPr>
          <w:p>
            <w:pPr>
              <w:jc w:val="center"/>
              <w:rPr>
                <w:rFonts w:hint="eastAsia" w:ascii="宋体" w:hAnsi="宋体" w:eastAsia="宋体" w:cs="宋体"/>
                <w:sz w:val="24"/>
                <w:szCs w:val="24"/>
              </w:rPr>
            </w:pPr>
          </w:p>
        </w:tc>
        <w:tc>
          <w:tcPr>
            <w:tcW w:w="2552" w:type="dxa"/>
            <w:vAlign w:val="center"/>
          </w:tcPr>
          <w:p>
            <w:pPr>
              <w:jc w:val="center"/>
              <w:rPr>
                <w:rFonts w:hint="eastAsia" w:ascii="宋体" w:hAnsi="宋体" w:eastAsia="宋体" w:cs="宋体"/>
                <w:sz w:val="24"/>
                <w:szCs w:val="24"/>
                <w:lang w:bidi="ar"/>
              </w:rPr>
            </w:pPr>
            <w:r>
              <w:rPr>
                <w:rFonts w:hint="eastAsia" w:ascii="宋体" w:hAnsi="宋体" w:eastAsia="宋体" w:cs="宋体"/>
                <w:bCs/>
                <w:sz w:val="24"/>
                <w:szCs w:val="24"/>
              </w:rPr>
              <w:t>佩戴式头灯</w:t>
            </w:r>
          </w:p>
        </w:tc>
        <w:tc>
          <w:tcPr>
            <w:tcW w:w="1134"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sz w:val="24"/>
                <w:szCs w:val="24"/>
                <w:highlight w:val="none"/>
              </w:rPr>
              <w:t>质量；②尺寸；③开关工作模式转换；④强光、工作光、弱光、泛光初始照度；⑤强光、工作光、弱光、泛光照明时间；⑥强光爆闪频率；⑦跌落可靠性；⑧耐高低温性能；⑨盐雾性能；⑩外壳防护性能；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2包</w:t>
            </w:r>
          </w:p>
        </w:tc>
        <w:tc>
          <w:tcPr>
            <w:tcW w:w="2552" w:type="dxa"/>
            <w:vAlign w:val="center"/>
          </w:tcPr>
          <w:p>
            <w:pPr>
              <w:jc w:val="center"/>
              <w:rPr>
                <w:rFonts w:hint="eastAsia" w:ascii="宋体" w:hAnsi="宋体" w:eastAsia="宋体" w:cs="宋体"/>
                <w:bCs/>
                <w:sz w:val="24"/>
                <w:szCs w:val="24"/>
                <w:highlight w:val="none"/>
              </w:rPr>
            </w:pPr>
            <w:r>
              <w:rPr>
                <w:rFonts w:hint="eastAsia" w:ascii="宋体" w:hAnsi="宋体" w:eastAsia="宋体" w:cs="宋体"/>
                <w:kern w:val="2"/>
                <w:sz w:val="24"/>
                <w:szCs w:val="24"/>
                <w:highlight w:val="none"/>
                <w:vertAlign w:val="baseline"/>
                <w:lang w:val="en-US" w:eastAsia="zh-CN"/>
              </w:rPr>
              <w:t>森林灭火防护眼镜</w:t>
            </w:r>
          </w:p>
        </w:tc>
        <w:tc>
          <w:tcPr>
            <w:tcW w:w="1134"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材料；②样式、结构；③规格；④颜色、色差；⑤成品性能；⑥特殊性能；⑦外观质量；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Merge w:val="restart"/>
            <w:vAlign w:val="center"/>
          </w:tcPr>
          <w:p>
            <w:pPr>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3包</w:t>
            </w:r>
          </w:p>
        </w:tc>
        <w:tc>
          <w:tcPr>
            <w:tcW w:w="2552"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rPr>
              <w:t>森林灭火防护头套</w:t>
            </w:r>
          </w:p>
        </w:tc>
        <w:tc>
          <w:tcPr>
            <w:tcW w:w="1134"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sz w:val="24"/>
                <w:szCs w:val="24"/>
              </w:rPr>
            </w:pPr>
            <w:r>
              <w:rPr>
                <w:rFonts w:hint="eastAsia" w:ascii="宋体" w:hAnsi="宋体" w:eastAsia="宋体" w:cs="宋体"/>
                <w:sz w:val="24"/>
                <w:szCs w:val="24"/>
              </w:rPr>
              <w:t>①材料（芳纶混纺针织汗布、缝纫线）；②外观质量；③安全性（包括但不限于甲醛含量、PH值）；④成品内在质量（包括但不限于胀破压力、起球、面料带电量）；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Merge w:val="continue"/>
            <w:vAlign w:val="center"/>
          </w:tcPr>
          <w:p>
            <w:pPr>
              <w:jc w:val="center"/>
              <w:rPr>
                <w:rFonts w:hint="eastAsia" w:ascii="宋体" w:hAnsi="宋体" w:eastAsia="宋体" w:cs="宋体"/>
                <w:bCs/>
                <w:sz w:val="24"/>
                <w:szCs w:val="24"/>
                <w:highlight w:val="none"/>
                <w:lang w:val="en-US" w:eastAsia="zh-CN"/>
              </w:rPr>
            </w:pPr>
          </w:p>
        </w:tc>
        <w:tc>
          <w:tcPr>
            <w:tcW w:w="2552"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森林灭火防护作训帽</w:t>
            </w:r>
          </w:p>
        </w:tc>
        <w:tc>
          <w:tcPr>
            <w:tcW w:w="1134"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①材料（包括但不限于原液芳纶布、缝纫线、铝气眼）；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Merge w:val="continue"/>
            <w:vAlign w:val="center"/>
          </w:tcPr>
          <w:p>
            <w:pPr>
              <w:jc w:val="center"/>
              <w:rPr>
                <w:rFonts w:hint="eastAsia" w:ascii="宋体" w:hAnsi="宋体" w:eastAsia="宋体" w:cs="宋体"/>
                <w:sz w:val="24"/>
                <w:szCs w:val="24"/>
                <w:highlight w:val="none"/>
              </w:rPr>
            </w:pPr>
          </w:p>
        </w:tc>
        <w:tc>
          <w:tcPr>
            <w:tcW w:w="2552"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森林灭火防护服</w:t>
            </w:r>
          </w:p>
        </w:tc>
        <w:tc>
          <w:tcPr>
            <w:tcW w:w="1134" w:type="dxa"/>
            <w:vAlign w:val="center"/>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①样式；②号型尺寸；③材料颜色、规格及用途（包括但不限于原液芳纶布、高强度隔热层、垫肩、阻燃金属拉链、阻燃锦丝搭扣带、缝纫线）；④外观质量；⑤甲醛含量；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Merge w:val="continue"/>
            <w:vAlign w:val="center"/>
          </w:tcPr>
          <w:p>
            <w:pPr>
              <w:jc w:val="center"/>
              <w:rPr>
                <w:rFonts w:hint="eastAsia" w:ascii="宋体" w:hAnsi="宋体" w:eastAsia="宋体" w:cs="宋体"/>
                <w:bCs/>
                <w:sz w:val="24"/>
                <w:szCs w:val="24"/>
                <w:highlight w:val="none"/>
              </w:rPr>
            </w:pPr>
          </w:p>
        </w:tc>
        <w:tc>
          <w:tcPr>
            <w:tcW w:w="2552" w:type="dxa"/>
            <w:vAlign w:val="center"/>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森林灭火防护服内胆</w:t>
            </w:r>
          </w:p>
          <w:p>
            <w:pPr>
              <w:jc w:val="center"/>
              <w:rPr>
                <w:rFonts w:hint="eastAsia" w:ascii="宋体" w:hAnsi="宋体" w:eastAsia="宋体" w:cs="宋体"/>
                <w:bCs/>
                <w:sz w:val="24"/>
                <w:szCs w:val="24"/>
                <w:highlight w:val="none"/>
              </w:rPr>
            </w:pPr>
          </w:p>
        </w:tc>
        <w:tc>
          <w:tcPr>
            <w:tcW w:w="1134"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样式；②颜色；③材料颜色、规格；④颜色、色差；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Align w:val="center"/>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4包</w:t>
            </w:r>
          </w:p>
        </w:tc>
        <w:tc>
          <w:tcPr>
            <w:tcW w:w="2552" w:type="dxa"/>
            <w:vAlign w:val="center"/>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森林灭火防护靴</w:t>
            </w:r>
          </w:p>
        </w:tc>
        <w:tc>
          <w:tcPr>
            <w:tcW w:w="1134" w:type="dxa"/>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sz w:val="24"/>
                <w:szCs w:val="24"/>
              </w:rPr>
            </w:pPr>
            <w:r>
              <w:rPr>
                <w:rFonts w:hint="eastAsia" w:ascii="宋体" w:hAnsi="宋体" w:eastAsia="宋体" w:cs="宋体"/>
                <w:sz w:val="24"/>
                <w:szCs w:val="24"/>
              </w:rPr>
              <w:t>①材料（包括但不限于铬鞣黄牛黑色阻燃防水正面革、黑色芳纶阻燃鞋面布、黑色涤纶经编间隔网眼织物、抗穿刺复合成型内底、橡胶硫化成型外底、鞋垫、阻燃鞋带）；</w:t>
            </w:r>
          </w:p>
          <w:p>
            <w:pPr>
              <w:rPr>
                <w:rFonts w:hint="eastAsia" w:ascii="宋体" w:hAnsi="宋体" w:eastAsia="宋体" w:cs="宋体"/>
                <w:sz w:val="24"/>
                <w:szCs w:val="24"/>
              </w:rPr>
            </w:pPr>
            <w:r>
              <w:rPr>
                <w:rFonts w:hint="eastAsia" w:ascii="宋体" w:hAnsi="宋体" w:eastAsia="宋体" w:cs="宋体"/>
                <w:sz w:val="24"/>
                <w:szCs w:val="24"/>
              </w:rPr>
              <w:t>②外观质量；</w:t>
            </w:r>
          </w:p>
          <w:p>
            <w:pPr>
              <w:rPr>
                <w:rFonts w:hint="eastAsia" w:ascii="宋体" w:hAnsi="宋体" w:eastAsia="宋体" w:cs="宋体"/>
                <w:sz w:val="24"/>
                <w:szCs w:val="24"/>
              </w:rPr>
            </w:pPr>
            <w:r>
              <w:rPr>
                <w:rFonts w:hint="eastAsia" w:ascii="宋体" w:hAnsi="宋体" w:eastAsia="宋体" w:cs="宋体"/>
                <w:sz w:val="24"/>
                <w:szCs w:val="24"/>
              </w:rPr>
              <w:t>③物理性能（包括但不限于成鞋耐折性、外底磨痕长度、粘合强度、外底硬度、成鞋抗刺穿性、成鞋隔热性、外底耐热接触性）；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Merge w:val="restart"/>
            <w:vAlign w:val="center"/>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5包</w:t>
            </w:r>
          </w:p>
        </w:tc>
        <w:tc>
          <w:tcPr>
            <w:tcW w:w="2552" w:type="dxa"/>
            <w:vAlign w:val="center"/>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森林灭火防护外腰带</w:t>
            </w:r>
          </w:p>
        </w:tc>
        <w:tc>
          <w:tcPr>
            <w:tcW w:w="1134" w:type="dxa"/>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sz w:val="24"/>
                <w:szCs w:val="24"/>
              </w:rPr>
            </w:pPr>
            <w:r>
              <w:rPr>
                <w:rFonts w:hint="eastAsia" w:ascii="宋体" w:hAnsi="宋体" w:eastAsia="宋体" w:cs="宋体"/>
                <w:sz w:val="24"/>
                <w:szCs w:val="24"/>
              </w:rPr>
              <w:t xml:space="preserve">①尺寸；②颜色；③外观质量；④理化性能（包括但不限于钎套、钎插头、带箍、带尾包头耐老化性能、钎套与钎插头扣合抗拉强力）；⑤材料（包括但不限于芳纶编织带）；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Merge w:val="continue"/>
            <w:vAlign w:val="center"/>
          </w:tcPr>
          <w:p>
            <w:pPr>
              <w:jc w:val="center"/>
              <w:rPr>
                <w:rFonts w:hint="eastAsia" w:ascii="宋体" w:hAnsi="宋体" w:eastAsia="宋体" w:cs="宋体"/>
                <w:bCs/>
                <w:sz w:val="24"/>
                <w:szCs w:val="24"/>
                <w:lang w:val="en-US" w:eastAsia="zh-CN"/>
              </w:rPr>
            </w:pPr>
          </w:p>
        </w:tc>
        <w:tc>
          <w:tcPr>
            <w:tcW w:w="2552" w:type="dxa"/>
            <w:vAlign w:val="center"/>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22多功能水壶</w:t>
            </w:r>
          </w:p>
        </w:tc>
        <w:tc>
          <w:tcPr>
            <w:tcW w:w="1134" w:type="dxa"/>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bCs/>
                <w:sz w:val="24"/>
                <w:szCs w:val="24"/>
              </w:rPr>
            </w:pPr>
            <w:r>
              <w:rPr>
                <w:rFonts w:hint="eastAsia" w:ascii="宋体" w:hAnsi="宋体" w:eastAsia="宋体" w:cs="宋体"/>
                <w:sz w:val="24"/>
                <w:szCs w:val="24"/>
              </w:rPr>
              <w:t>①</w:t>
            </w:r>
            <w:r>
              <w:rPr>
                <w:rFonts w:hint="eastAsia" w:ascii="宋体" w:hAnsi="宋体" w:eastAsia="宋体" w:cs="宋体"/>
                <w:bCs/>
                <w:sz w:val="24"/>
                <w:szCs w:val="24"/>
              </w:rPr>
              <w:t>材料；②</w:t>
            </w:r>
            <w:r>
              <w:rPr>
                <w:rFonts w:hint="eastAsia" w:ascii="宋体" w:hAnsi="宋体" w:eastAsia="宋体" w:cs="宋体"/>
                <w:sz w:val="24"/>
                <w:szCs w:val="24"/>
              </w:rPr>
              <w:t>性能（包括但不限于质量与容积、</w:t>
            </w:r>
            <w:r>
              <w:rPr>
                <w:rFonts w:hint="eastAsia" w:ascii="宋体" w:hAnsi="宋体" w:eastAsia="宋体" w:cs="宋体"/>
                <w:bCs/>
                <w:sz w:val="24"/>
                <w:szCs w:val="24"/>
              </w:rPr>
              <w:t>保温性能、密封性能、异味、跌落性能）；</w:t>
            </w:r>
          </w:p>
          <w:p>
            <w:pPr>
              <w:rPr>
                <w:rFonts w:hint="eastAsia" w:ascii="宋体" w:hAnsi="宋体" w:eastAsia="宋体" w:cs="宋体"/>
                <w:sz w:val="24"/>
                <w:szCs w:val="24"/>
              </w:rPr>
            </w:pPr>
            <w:r>
              <w:rPr>
                <w:rFonts w:hint="eastAsia" w:ascii="宋体" w:hAnsi="宋体" w:eastAsia="宋体" w:cs="宋体"/>
                <w:bCs/>
                <w:sz w:val="24"/>
                <w:szCs w:val="24"/>
              </w:rPr>
              <w:t>③卫生性能；④外观质量。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562" w:type="dxa"/>
            <w:vAlign w:val="center"/>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6包</w:t>
            </w:r>
          </w:p>
        </w:tc>
        <w:tc>
          <w:tcPr>
            <w:tcW w:w="2552"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携行背心</w:t>
            </w:r>
          </w:p>
        </w:tc>
        <w:tc>
          <w:tcPr>
            <w:tcW w:w="1134" w:type="dxa"/>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w:t>
            </w:r>
          </w:p>
        </w:tc>
        <w:tc>
          <w:tcPr>
            <w:tcW w:w="4842" w:type="dxa"/>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报告中至少包含以下内容：</w:t>
            </w:r>
          </w:p>
          <w:p>
            <w:pPr>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结构尺寸；②性能；③耐用性；④质量；⑤颜色；⑥工艺；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7包</w:t>
            </w:r>
          </w:p>
        </w:tc>
        <w:tc>
          <w:tcPr>
            <w:tcW w:w="2552" w:type="dxa"/>
            <w:vAlign w:val="center"/>
          </w:tcPr>
          <w:p>
            <w:pPr>
              <w:jc w:val="center"/>
              <w:rPr>
                <w:rFonts w:hint="eastAsia" w:ascii="宋体" w:hAnsi="宋体" w:eastAsia="宋体" w:cs="宋体"/>
                <w:bCs/>
                <w:kern w:val="0"/>
                <w:sz w:val="24"/>
                <w:szCs w:val="24"/>
                <w:lang w:bidi="ar"/>
              </w:rPr>
            </w:pPr>
            <w:r>
              <w:rPr>
                <w:rFonts w:hint="eastAsia" w:ascii="宋体" w:hAnsi="宋体" w:eastAsia="宋体" w:cs="宋体"/>
                <w:b w:val="0"/>
                <w:bCs w:val="0"/>
                <w:sz w:val="24"/>
                <w:szCs w:val="24"/>
                <w:vertAlign w:val="baseline"/>
                <w:lang w:val="en-US" w:eastAsia="zh-CN"/>
              </w:rPr>
              <w:t>森林灭火防护手套</w:t>
            </w:r>
          </w:p>
        </w:tc>
        <w:tc>
          <w:tcPr>
            <w:tcW w:w="1134"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rPr>
              <w:t>是</w:t>
            </w:r>
          </w:p>
        </w:tc>
        <w:tc>
          <w:tcPr>
            <w:tcW w:w="4842" w:type="dxa"/>
            <w:vAlign w:val="center"/>
          </w:tcPr>
          <w:p>
            <w:pPr>
              <w:rPr>
                <w:rFonts w:hint="eastAsia" w:ascii="宋体" w:hAnsi="宋体" w:eastAsia="宋体" w:cs="宋体"/>
                <w:sz w:val="24"/>
                <w:szCs w:val="24"/>
              </w:rPr>
            </w:pPr>
            <w:r>
              <w:rPr>
                <w:rFonts w:hint="eastAsia" w:ascii="宋体" w:hAnsi="宋体" w:eastAsia="宋体" w:cs="宋体"/>
                <w:sz w:val="24"/>
                <w:szCs w:val="24"/>
              </w:rPr>
              <w:t>报告中至少包含以下内容：</w:t>
            </w:r>
          </w:p>
          <w:p>
            <w:pPr>
              <w:rPr>
                <w:rFonts w:hint="eastAsia" w:ascii="宋体" w:hAnsi="宋体" w:eastAsia="宋体" w:cs="宋体"/>
                <w:sz w:val="24"/>
                <w:szCs w:val="24"/>
              </w:rPr>
            </w:pPr>
            <w:r>
              <w:rPr>
                <w:rFonts w:hint="eastAsia" w:ascii="宋体" w:hAnsi="宋体" w:eastAsia="宋体" w:cs="宋体"/>
                <w:sz w:val="24"/>
                <w:szCs w:val="24"/>
              </w:rPr>
              <w:t>①材料（包括但不限于芳纶阻燃布、芳纶阻燃粘胶混纺布、PTFE膜、芳纶针刺隔热毡、阻燃搭扣带、阻燃耐切割耐磨止滑革、对位芳纶针织布、阻燃反光布、阻燃反光带、芳纶缝纫线）；</w:t>
            </w:r>
          </w:p>
          <w:p>
            <w:pPr>
              <w:rPr>
                <w:rFonts w:hint="eastAsia" w:ascii="宋体" w:hAnsi="宋体" w:eastAsia="宋体" w:cs="宋体"/>
                <w:sz w:val="24"/>
                <w:szCs w:val="24"/>
              </w:rPr>
            </w:pPr>
            <w:r>
              <w:rPr>
                <w:rFonts w:hint="eastAsia" w:ascii="宋体" w:hAnsi="宋体" w:eastAsia="宋体" w:cs="宋体"/>
                <w:sz w:val="24"/>
                <w:szCs w:val="24"/>
              </w:rPr>
              <w:t xml:space="preserve">②外观质量规格；③成品检验（包括但不限于甲醛含量）； </w:t>
            </w:r>
          </w:p>
        </w:tc>
      </w:tr>
    </w:tbl>
    <w:p>
      <w:pPr>
        <w:widowControl/>
        <w:spacing w:line="360" w:lineRule="auto"/>
        <w:ind w:firstLine="424" w:firstLineChars="177"/>
        <w:contextualSpacing/>
        <w:rPr>
          <w:rFonts w:hint="eastAsia" w:ascii="宋体" w:hAnsi="宋体" w:eastAsia="宋体" w:cs="宋体"/>
          <w:sz w:val="24"/>
          <w:szCs w:val="24"/>
        </w:rPr>
      </w:pPr>
    </w:p>
    <w:p>
      <w:pPr>
        <w:spacing w:before="240" w:line="360" w:lineRule="auto"/>
        <w:outlineLvl w:val="2"/>
        <w:rPr>
          <w:rFonts w:hint="eastAsia" w:ascii="宋体" w:hAnsi="宋体" w:eastAsia="宋体" w:cs="宋体"/>
          <w:b/>
          <w:sz w:val="24"/>
          <w:szCs w:val="24"/>
        </w:rPr>
      </w:pPr>
      <w:bookmarkStart w:id="383" w:name="_Toc25867"/>
      <w:r>
        <w:rPr>
          <w:rFonts w:hint="eastAsia" w:ascii="宋体" w:hAnsi="宋体" w:eastAsia="宋体" w:cs="宋体"/>
          <w:b/>
          <w:sz w:val="24"/>
          <w:szCs w:val="24"/>
        </w:rPr>
        <w:t>3. 履约验收方案</w:t>
      </w:r>
      <w:bookmarkEnd w:id="383"/>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3.1 所有产品按照国家或行业或地方标准验收。产品质量应达到技术需求，应能通过质检、计量部门的检验；</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3.2 检验和验收将按照以下标准和条件进行：</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3.2.1招标文件中对货物规定的技术标准；</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3.2.2招标人向中标企业提供的样品标准；</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3.2.3检验抽样按有关标准执行。</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 合同货物经如下检验合格后才能进行供货：</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3.3.1对生产过程中的合同货物进行生产过程检验；</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3.3.2对出库前的成品进行待出厂检验；</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3.3.3凭用户单位出具的《产品出厂许可证》方可供货。</w:t>
      </w:r>
    </w:p>
    <w:p>
      <w:pPr>
        <w:widowControl/>
        <w:adjustRightInd w:val="0"/>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3.3.4产品技术标准应符合招标文件规定的标准以及招标人确定的技术标准；未经批准，擅自修改、调整产品技术标准或包装标准（或材质），招标人有权视为整批产品为不合格产品。</w:t>
      </w:r>
    </w:p>
    <w:p>
      <w:pPr>
        <w:widowControl/>
        <w:adjustRightInd w:val="0"/>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3.3.5本项目完成生产发运前，采购人将在指定地点组织验收，须在产品中随机抽样检测（费用由中标人承担），若检测结果和投标文件相应参数（或采购合同双方约定的技术指标）不符合，中标人将面临解除合同并承担相关后果的风险。</w:t>
      </w:r>
    </w:p>
    <w:p>
      <w:pPr>
        <w:widowControl/>
        <w:adjustRightInd w:val="0"/>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3.3.6中标人承担全部运输费用，将所有产品按采购人指定的配送地址输送到位后，产品最终由采购人将对产品外观、数量进行验收,验收合格后，双方在验收文件上签字生效。</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3.4 中标人应按合同规定的时间和数量与采购人做好货物移交验收工作，运输移交工程所发生的一切费用由中标人承担。</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3.5 所有供货必须由中标生产厂家完成货物生产、制造、不得分包和转包，且以现场实际数量为准。</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3.6 中标人在签订合同后要严格按照甲方提供的封样和技术文件生产（如有冲突以甲方提供的技术资料为准）</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3.7 若提出的技术要求与国家有关技术与质量标准发生冲突时，均以甲方提供的技术资料为准。</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3.8 其他要求</w:t>
      </w:r>
    </w:p>
    <w:p>
      <w:pPr>
        <w:widowControl/>
        <w:spacing w:line="360" w:lineRule="auto"/>
        <w:ind w:firstLine="424" w:firstLineChars="177"/>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★3.8.1供应商须承诺中标后合同执行中，随验货时提供质量检验机构出具检测报告。</w:t>
      </w:r>
    </w:p>
    <w:p>
      <w:pPr>
        <w:widowControl/>
        <w:tabs>
          <w:tab w:val="left" w:pos="8931"/>
        </w:tabs>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★3.8.2在项目实施过程中，中标单位不得随意更换中标的原材料（主辅料）也不得更换原材料（主辅料）的供应商。</w:t>
      </w:r>
    </w:p>
    <w:p>
      <w:pPr>
        <w:spacing w:line="360" w:lineRule="auto"/>
        <w:contextualSpacing/>
        <w:outlineLvl w:val="2"/>
        <w:rPr>
          <w:rFonts w:hint="eastAsia" w:ascii="宋体" w:hAnsi="宋体" w:eastAsia="宋体" w:cs="宋体"/>
          <w:b/>
          <w:sz w:val="24"/>
          <w:szCs w:val="24"/>
          <w:highlight w:val="none"/>
        </w:rPr>
      </w:pPr>
      <w:bookmarkStart w:id="384" w:name="_Toc18150"/>
      <w:r>
        <w:rPr>
          <w:rFonts w:hint="eastAsia" w:ascii="宋体" w:hAnsi="宋体" w:eastAsia="宋体" w:cs="宋体"/>
          <w:b/>
          <w:sz w:val="24"/>
          <w:szCs w:val="24"/>
        </w:rPr>
        <w:t>4. 其他要求</w:t>
      </w:r>
      <w:bookmarkEnd w:id="384"/>
    </w:p>
    <w:p>
      <w:pPr>
        <w:widowControl/>
        <w:spacing w:line="360" w:lineRule="auto"/>
        <w:ind w:firstLine="424" w:firstLineChars="177"/>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4.1 投标人应针对本项目提出合理可行的实施方案、质量保障、售后服务、应急保障</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其中供应商须选择经营规范、信誉可靠、运输质量好、发货效率高、货运车辆充足、售后服务有保障的，以全国为覆盖面可全天候发货的优质物流运输公司进行合作，以保障本项目的运输安全和进度。要求做到发货前向采购方报备物流信息，运输进度可追踪，运输安全可靠；</w:t>
      </w:r>
    </w:p>
    <w:p>
      <w:pPr>
        <w:widowControl/>
        <w:spacing w:line="360" w:lineRule="auto"/>
        <w:ind w:firstLine="424" w:firstLineChars="177"/>
        <w:contextualSpacing/>
        <w:rPr>
          <w:rFonts w:hint="eastAsia" w:ascii="宋体" w:hAnsi="宋体" w:eastAsia="宋体" w:cs="宋体"/>
          <w:sz w:val="24"/>
          <w:szCs w:val="24"/>
        </w:rPr>
      </w:pPr>
      <w:r>
        <w:rPr>
          <w:rFonts w:hint="eastAsia" w:ascii="宋体" w:hAnsi="宋体" w:eastAsia="宋体" w:cs="宋体"/>
          <w:sz w:val="24"/>
          <w:szCs w:val="24"/>
        </w:rPr>
        <w:t>4.2 提交的投标样品数量及号型要求</w:t>
      </w:r>
    </w:p>
    <w:tbl>
      <w:tblPr>
        <w:tblStyle w:val="25"/>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4191"/>
        <w:gridCol w:w="1044"/>
        <w:gridCol w:w="2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包号</w:t>
            </w:r>
          </w:p>
        </w:tc>
        <w:tc>
          <w:tcPr>
            <w:tcW w:w="4191"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样品品目</w:t>
            </w:r>
          </w:p>
        </w:tc>
        <w:tc>
          <w:tcPr>
            <w:tcW w:w="1044"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994"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restart"/>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1包</w:t>
            </w:r>
          </w:p>
        </w:tc>
        <w:tc>
          <w:tcPr>
            <w:tcW w:w="4191"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rPr>
              <w:t>15森林灭火防护头盔</w:t>
            </w:r>
          </w:p>
        </w:tc>
        <w:tc>
          <w:tcPr>
            <w:tcW w:w="1044"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L号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continue"/>
            <w:vAlign w:val="center"/>
          </w:tcPr>
          <w:p>
            <w:pPr>
              <w:jc w:val="center"/>
              <w:rPr>
                <w:rFonts w:hint="eastAsia" w:ascii="宋体" w:hAnsi="宋体" w:eastAsia="宋体" w:cs="宋体"/>
                <w:sz w:val="24"/>
                <w:szCs w:val="24"/>
                <w:lang w:val="en-US" w:eastAsia="zh-CN"/>
              </w:rPr>
            </w:pPr>
          </w:p>
        </w:tc>
        <w:tc>
          <w:tcPr>
            <w:tcW w:w="4191" w:type="dxa"/>
            <w:vAlign w:val="center"/>
          </w:tcPr>
          <w:p>
            <w:pPr>
              <w:jc w:val="center"/>
              <w:rPr>
                <w:rFonts w:hint="eastAsia" w:ascii="宋体" w:hAnsi="宋体" w:eastAsia="宋体" w:cs="宋体"/>
                <w:bCs/>
                <w:sz w:val="24"/>
                <w:szCs w:val="24"/>
              </w:rPr>
            </w:pPr>
            <w:r>
              <w:rPr>
                <w:rFonts w:hint="eastAsia" w:ascii="宋体" w:hAnsi="宋体" w:eastAsia="宋体" w:cs="宋体"/>
                <w:b w:val="0"/>
                <w:bCs w:val="0"/>
                <w:sz w:val="24"/>
                <w:szCs w:val="24"/>
                <w:vertAlign w:val="baseline"/>
                <w:lang w:val="en-US" w:eastAsia="zh-CN"/>
              </w:rPr>
              <w:t>佩戴式头灯</w:t>
            </w:r>
          </w:p>
        </w:tc>
        <w:tc>
          <w:tcPr>
            <w:tcW w:w="1044" w:type="dxa"/>
            <w:vAlign w:val="center"/>
          </w:tcPr>
          <w:p>
            <w:pPr>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不分号型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2包</w:t>
            </w:r>
          </w:p>
        </w:tc>
        <w:tc>
          <w:tcPr>
            <w:tcW w:w="4191" w:type="dxa"/>
            <w:vAlign w:val="center"/>
          </w:tcPr>
          <w:p>
            <w:pPr>
              <w:jc w:val="center"/>
              <w:rPr>
                <w:rFonts w:hint="eastAsia" w:ascii="宋体" w:hAnsi="宋体" w:eastAsia="宋体" w:cs="宋体"/>
                <w:sz w:val="24"/>
                <w:szCs w:val="24"/>
                <w:highlight w:val="none"/>
                <w:lang w:bidi="ar"/>
              </w:rPr>
            </w:pPr>
            <w:r>
              <w:rPr>
                <w:rFonts w:hint="eastAsia" w:ascii="宋体" w:hAnsi="宋体" w:eastAsia="宋体" w:cs="宋体"/>
                <w:kern w:val="2"/>
                <w:sz w:val="24"/>
                <w:szCs w:val="24"/>
                <w:highlight w:val="none"/>
                <w:vertAlign w:val="baseline"/>
                <w:lang w:val="en-US" w:eastAsia="zh-CN"/>
              </w:rPr>
              <w:t>森林灭火防护眼镜</w:t>
            </w:r>
          </w:p>
        </w:tc>
        <w:tc>
          <w:tcPr>
            <w:tcW w:w="1044"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1套</w:t>
            </w:r>
          </w:p>
        </w:tc>
        <w:tc>
          <w:tcPr>
            <w:tcW w:w="2994"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restart"/>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3包</w:t>
            </w: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森林灭火防护头套</w:t>
            </w:r>
          </w:p>
        </w:tc>
        <w:tc>
          <w:tcPr>
            <w:tcW w:w="1044" w:type="dxa"/>
            <w:vAlign w:val="center"/>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1套</w:t>
            </w:r>
          </w:p>
        </w:tc>
        <w:tc>
          <w:tcPr>
            <w:tcW w:w="299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不分号型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continue"/>
            <w:vAlign w:val="center"/>
          </w:tcPr>
          <w:p>
            <w:pPr>
              <w:jc w:val="center"/>
              <w:rPr>
                <w:rFonts w:hint="eastAsia" w:ascii="宋体" w:hAnsi="宋体" w:eastAsia="宋体" w:cs="宋体"/>
                <w:sz w:val="24"/>
                <w:szCs w:val="24"/>
                <w:lang w:val="en-US" w:eastAsia="zh-CN"/>
              </w:rPr>
            </w:pPr>
          </w:p>
        </w:tc>
        <w:tc>
          <w:tcPr>
            <w:tcW w:w="4191" w:type="dxa"/>
            <w:vAlign w:val="center"/>
          </w:tcPr>
          <w:p>
            <w:pPr>
              <w:jc w:val="center"/>
              <w:rPr>
                <w:rFonts w:hint="eastAsia" w:ascii="宋体" w:hAnsi="宋体" w:eastAsia="宋体" w:cs="宋体"/>
                <w:sz w:val="24"/>
                <w:szCs w:val="24"/>
              </w:rPr>
            </w:pPr>
            <w:r>
              <w:rPr>
                <w:rFonts w:hint="eastAsia" w:ascii="宋体" w:hAnsi="宋体" w:eastAsia="宋体" w:cs="宋体"/>
                <w:b w:val="0"/>
                <w:bCs w:val="0"/>
                <w:sz w:val="24"/>
                <w:szCs w:val="24"/>
                <w:vertAlign w:val="baseline"/>
                <w:lang w:val="en-US" w:eastAsia="zh-CN"/>
              </w:rPr>
              <w:t>森林灭火防护作训帽</w:t>
            </w:r>
          </w:p>
        </w:tc>
        <w:tc>
          <w:tcPr>
            <w:tcW w:w="1044" w:type="dxa"/>
            <w:vAlign w:val="center"/>
          </w:tcPr>
          <w:p>
            <w:pPr>
              <w:jc w:val="center"/>
              <w:rPr>
                <w:rFonts w:hint="eastAsia" w:ascii="宋体" w:hAnsi="宋体" w:eastAsia="宋体" w:cs="宋体"/>
                <w:sz w:val="24"/>
                <w:szCs w:val="24"/>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continue"/>
            <w:vAlign w:val="center"/>
          </w:tcPr>
          <w:p>
            <w:pPr>
              <w:jc w:val="center"/>
              <w:rPr>
                <w:rFonts w:hint="eastAsia" w:ascii="宋体" w:hAnsi="宋体" w:eastAsia="宋体" w:cs="宋体"/>
                <w:sz w:val="24"/>
                <w:szCs w:val="24"/>
                <w:highlight w:val="none"/>
                <w:lang w:val="en-US" w:eastAsia="zh-CN"/>
              </w:rPr>
            </w:pP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森林灭火防护服</w:t>
            </w:r>
          </w:p>
        </w:tc>
        <w:tc>
          <w:tcPr>
            <w:tcW w:w="1044" w:type="dxa"/>
            <w:vAlign w:val="center"/>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1套</w:t>
            </w:r>
          </w:p>
        </w:tc>
        <w:tc>
          <w:tcPr>
            <w:tcW w:w="299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185/100号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continue"/>
            <w:vAlign w:val="center"/>
          </w:tcPr>
          <w:p>
            <w:pPr>
              <w:jc w:val="center"/>
              <w:rPr>
                <w:rFonts w:hint="eastAsia" w:ascii="宋体" w:hAnsi="宋体" w:eastAsia="宋体" w:cs="宋体"/>
                <w:sz w:val="24"/>
                <w:szCs w:val="24"/>
                <w:highlight w:val="none"/>
                <w:lang w:val="en-US" w:eastAsia="zh-CN"/>
              </w:rPr>
            </w:pP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森林灭火防护服内胆</w:t>
            </w:r>
          </w:p>
        </w:tc>
        <w:tc>
          <w:tcPr>
            <w:tcW w:w="1044" w:type="dxa"/>
            <w:vAlign w:val="center"/>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1套</w:t>
            </w:r>
          </w:p>
        </w:tc>
        <w:tc>
          <w:tcPr>
            <w:tcW w:w="2994"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4包</w:t>
            </w: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森林灭火防护靴</w:t>
            </w:r>
          </w:p>
        </w:tc>
        <w:tc>
          <w:tcPr>
            <w:tcW w:w="1044" w:type="dxa"/>
            <w:vAlign w:val="center"/>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1套</w:t>
            </w:r>
          </w:p>
        </w:tc>
        <w:tc>
          <w:tcPr>
            <w:tcW w:w="299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restart"/>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5包</w:t>
            </w:r>
          </w:p>
        </w:tc>
        <w:tc>
          <w:tcPr>
            <w:tcW w:w="4191" w:type="dxa"/>
            <w:vAlign w:val="center"/>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森林灭火防护外腰带</w:t>
            </w:r>
          </w:p>
        </w:tc>
        <w:tc>
          <w:tcPr>
            <w:tcW w:w="1044" w:type="dxa"/>
            <w:vAlign w:val="center"/>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大号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Merge w:val="continue"/>
            <w:vAlign w:val="center"/>
          </w:tcPr>
          <w:p>
            <w:pPr>
              <w:jc w:val="center"/>
              <w:rPr>
                <w:rFonts w:hint="eastAsia" w:ascii="宋体" w:hAnsi="宋体" w:eastAsia="宋体" w:cs="宋体"/>
                <w:sz w:val="24"/>
                <w:szCs w:val="24"/>
                <w:lang w:val="en-US" w:eastAsia="zh-CN"/>
              </w:rPr>
            </w:pPr>
          </w:p>
        </w:tc>
        <w:tc>
          <w:tcPr>
            <w:tcW w:w="4191" w:type="dxa"/>
            <w:vAlign w:val="center"/>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22多功能水壶</w:t>
            </w:r>
          </w:p>
        </w:tc>
        <w:tc>
          <w:tcPr>
            <w:tcW w:w="1044" w:type="dxa"/>
            <w:vAlign w:val="center"/>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不分号型，配备饭盒、菜盒和折叠叉勺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6包</w:t>
            </w: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携行背心</w:t>
            </w:r>
          </w:p>
        </w:tc>
        <w:tc>
          <w:tcPr>
            <w:tcW w:w="1044" w:type="dxa"/>
            <w:vAlign w:val="center"/>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1套</w:t>
            </w:r>
          </w:p>
        </w:tc>
        <w:tc>
          <w:tcPr>
            <w:tcW w:w="2994"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1"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7包</w:t>
            </w:r>
          </w:p>
        </w:tc>
        <w:tc>
          <w:tcPr>
            <w:tcW w:w="4191" w:type="dxa"/>
            <w:vAlign w:val="center"/>
          </w:tcPr>
          <w:p>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森林灭火防护手套</w:t>
            </w:r>
          </w:p>
        </w:tc>
        <w:tc>
          <w:tcPr>
            <w:tcW w:w="1044" w:type="dxa"/>
            <w:vAlign w:val="center"/>
          </w:tcPr>
          <w:p>
            <w:pPr>
              <w:jc w:val="center"/>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lang w:val="en-US" w:eastAsia="zh-CN"/>
              </w:rPr>
              <w:t>1套</w:t>
            </w:r>
          </w:p>
        </w:tc>
        <w:tc>
          <w:tcPr>
            <w:tcW w:w="2994" w:type="dxa"/>
            <w:vAlign w:val="center"/>
          </w:tcPr>
          <w:p>
            <w:pPr>
              <w:jc w:val="center"/>
              <w:rPr>
                <w:rFonts w:hint="eastAsia" w:ascii="宋体" w:hAnsi="宋体" w:eastAsia="宋体" w:cs="宋体"/>
                <w:sz w:val="24"/>
                <w:szCs w:val="24"/>
                <w:highlight w:val="yellow"/>
              </w:rPr>
            </w:pPr>
            <w:r>
              <w:rPr>
                <w:rFonts w:hint="eastAsia" w:ascii="宋体" w:hAnsi="宋体" w:eastAsia="宋体" w:cs="宋体"/>
                <w:sz w:val="24"/>
                <w:szCs w:val="24"/>
              </w:rPr>
              <w:t>大号</w:t>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t>注：各品目中分男女号的，提供男士号型。</w:t>
      </w:r>
    </w:p>
    <w:p>
      <w:pPr>
        <w:widowControl/>
        <w:spacing w:line="360" w:lineRule="auto"/>
        <w:ind w:firstLine="424" w:firstLineChars="177"/>
        <w:contextualSpacing/>
        <w:rPr>
          <w:rFonts w:hint="eastAsia"/>
          <w:sz w:val="24"/>
        </w:rPr>
      </w:pPr>
    </w:p>
    <w:p>
      <w:pPr>
        <w:widowControl/>
        <w:tabs>
          <w:tab w:val="left" w:pos="8931"/>
        </w:tabs>
        <w:spacing w:line="360" w:lineRule="auto"/>
        <w:ind w:firstLine="424" w:firstLineChars="177"/>
        <w:contextualSpacing/>
        <w:rPr>
          <w:rFonts w:hint="eastAsia"/>
          <w:sz w:val="24"/>
        </w:rPr>
      </w:pPr>
    </w:p>
    <w:p>
      <w:bookmarkStart w:id="385" w:name="_Toc1340"/>
      <w:r>
        <w:rPr>
          <w:rFonts w:hint="eastAsia"/>
        </w:rPr>
        <w:br w:type="page"/>
      </w:r>
    </w:p>
    <w:p>
      <w:pPr>
        <w:pStyle w:val="2"/>
        <w:bidi w:val="0"/>
      </w:pPr>
      <w:r>
        <w:rPr>
          <w:rFonts w:hint="eastAsia"/>
        </w:rPr>
        <w:t>第六章  投标文件格式</w:t>
      </w:r>
      <w:bookmarkEnd w:id="369"/>
      <w:bookmarkEnd w:id="371"/>
      <w:bookmarkEnd w:id="372"/>
      <w:bookmarkEnd w:id="385"/>
    </w:p>
    <w:p>
      <w:pPr>
        <w:spacing w:line="360" w:lineRule="auto"/>
        <w:ind w:left="525"/>
        <w:contextualSpacing/>
        <w:rPr>
          <w:rFonts w:ascii="宋体" w:hAnsi="宋体"/>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spacing w:line="360" w:lineRule="auto"/>
        <w:contextualSpacing/>
        <w:rPr>
          <w:rFonts w:ascii="宋体" w:hAnsi="宋体"/>
          <w:sz w:val="20"/>
          <w:szCs w:val="20"/>
        </w:rPr>
      </w:pPr>
    </w:p>
    <w:p>
      <w:pPr>
        <w:widowControl/>
        <w:jc w:val="left"/>
        <w:rPr>
          <w:rFonts w:ascii="宋体" w:hAnsi="宋体"/>
          <w:sz w:val="20"/>
          <w:szCs w:val="20"/>
        </w:rPr>
      </w:pPr>
      <w:r>
        <w:rPr>
          <w:rFonts w:ascii="宋体" w:hAnsi="宋体"/>
          <w:sz w:val="20"/>
          <w:szCs w:val="20"/>
        </w:rPr>
        <w:br w:type="page"/>
      </w:r>
    </w:p>
    <w:p>
      <w:pPr>
        <w:spacing w:line="360" w:lineRule="auto"/>
        <w:contextualSpacing/>
        <w:jc w:val="right"/>
        <w:rPr>
          <w:rFonts w:hint="default" w:ascii="宋体" w:hAnsi="宋体" w:eastAsiaTheme="minorEastAsia"/>
          <w:sz w:val="24"/>
          <w:szCs w:val="24"/>
          <w:lang w:val="en-US" w:eastAsia="zh-CN"/>
        </w:rPr>
      </w:pPr>
      <w:r>
        <w:rPr>
          <w:rFonts w:hint="eastAsia" w:ascii="宋体" w:hAnsi="宋体"/>
          <w:sz w:val="24"/>
          <w:szCs w:val="24"/>
          <w:lang w:val="en-US" w:eastAsia="zh-CN"/>
        </w:rPr>
        <w:t>正本/副本</w:t>
      </w:r>
    </w:p>
    <w:p>
      <w:pPr>
        <w:spacing w:line="360" w:lineRule="auto"/>
        <w:contextualSpacing/>
        <w:rPr>
          <w:rFonts w:ascii="宋体" w:hAnsi="宋体"/>
          <w:sz w:val="24"/>
          <w:szCs w:val="24"/>
        </w:rPr>
      </w:pPr>
    </w:p>
    <w:p>
      <w:pPr>
        <w:spacing w:line="360" w:lineRule="auto"/>
        <w:contextualSpacing/>
        <w:rPr>
          <w:rFonts w:ascii="宋体" w:hAnsi="宋体"/>
          <w:b/>
          <w:sz w:val="24"/>
          <w:szCs w:val="24"/>
          <w:u w:val="single"/>
        </w:rPr>
      </w:pPr>
    </w:p>
    <w:p>
      <w:pPr>
        <w:spacing w:line="360" w:lineRule="auto"/>
        <w:contextualSpacing/>
        <w:jc w:val="center"/>
        <w:outlineLvl w:val="1"/>
        <w:rPr>
          <w:rFonts w:hint="default" w:ascii="宋体" w:hAnsi="宋体"/>
          <w:b/>
          <w:sz w:val="24"/>
          <w:szCs w:val="24"/>
          <w:u w:val="single"/>
          <w:lang w:val="en-US" w:eastAsia="zh-CN"/>
        </w:rPr>
      </w:pPr>
      <w:r>
        <w:rPr>
          <w:rFonts w:hint="eastAsia" w:ascii="宋体" w:hAnsi="宋体"/>
          <w:b/>
          <w:sz w:val="24"/>
          <w:szCs w:val="24"/>
          <w:u w:val="single"/>
          <w:lang w:val="en-US" w:eastAsia="zh-CN"/>
        </w:rPr>
        <w:t xml:space="preserve">     </w:t>
      </w:r>
      <w:bookmarkStart w:id="386" w:name="_Toc5300"/>
      <w:r>
        <w:rPr>
          <w:rFonts w:ascii="宋体" w:hAnsi="宋体"/>
          <w:b/>
          <w:sz w:val="24"/>
          <w:szCs w:val="24"/>
          <w:u w:val="single"/>
        </w:rPr>
        <w:t>（项目名称）</w:t>
      </w:r>
      <w:bookmarkEnd w:id="386"/>
      <w:r>
        <w:rPr>
          <w:rFonts w:hint="eastAsia" w:ascii="宋体" w:hAnsi="宋体"/>
          <w:b/>
          <w:sz w:val="24"/>
          <w:szCs w:val="24"/>
          <w:u w:val="single"/>
          <w:lang w:val="en-US" w:eastAsia="zh-CN"/>
        </w:rPr>
        <w:t xml:space="preserve">    </w:t>
      </w:r>
    </w:p>
    <w:p>
      <w:pPr>
        <w:spacing w:line="360" w:lineRule="auto"/>
        <w:contextualSpacing/>
        <w:jc w:val="center"/>
        <w:rPr>
          <w:rFonts w:hint="eastAsia" w:ascii="宋体" w:hAnsi="宋体"/>
          <w:b/>
          <w:sz w:val="24"/>
          <w:szCs w:val="24"/>
          <w:u w:val="single"/>
          <w:lang w:val="en-US" w:eastAsia="zh-CN"/>
        </w:rPr>
      </w:pPr>
      <w:r>
        <w:rPr>
          <w:rFonts w:hint="eastAsia" w:ascii="宋体" w:hAnsi="宋体"/>
          <w:b/>
          <w:sz w:val="24"/>
          <w:szCs w:val="24"/>
          <w:u w:val="single"/>
          <w:lang w:val="en-US" w:eastAsia="zh-CN"/>
        </w:rPr>
        <w:t xml:space="preserve">      （标段名称 ）    </w:t>
      </w:r>
    </w:p>
    <w:p>
      <w:pPr>
        <w:spacing w:line="360" w:lineRule="auto"/>
        <w:contextualSpacing/>
        <w:jc w:val="center"/>
        <w:rPr>
          <w:rFonts w:hint="default" w:ascii="宋体" w:hAnsi="宋体"/>
          <w:b/>
          <w:sz w:val="24"/>
          <w:szCs w:val="24"/>
          <w:u w:val="single"/>
          <w:lang w:val="en-US" w:eastAsia="zh-CN"/>
        </w:rPr>
      </w:pPr>
    </w:p>
    <w:p>
      <w:pPr>
        <w:spacing w:line="360" w:lineRule="auto"/>
        <w:contextualSpacing/>
        <w:rPr>
          <w:rFonts w:ascii="宋体" w:hAnsi="宋体"/>
          <w:b/>
          <w:sz w:val="24"/>
          <w:szCs w:val="24"/>
        </w:rPr>
      </w:pPr>
    </w:p>
    <w:p>
      <w:pPr>
        <w:spacing w:line="360" w:lineRule="auto"/>
        <w:contextualSpacing/>
        <w:rPr>
          <w:rFonts w:ascii="宋体" w:hAnsi="宋体"/>
          <w:b/>
          <w:sz w:val="24"/>
          <w:szCs w:val="24"/>
        </w:rPr>
      </w:pPr>
    </w:p>
    <w:p>
      <w:pPr>
        <w:spacing w:line="360" w:lineRule="auto"/>
        <w:contextualSpacing/>
        <w:rPr>
          <w:rFonts w:ascii="宋体" w:hAnsi="宋体"/>
          <w:b/>
          <w:sz w:val="24"/>
          <w:szCs w:val="24"/>
        </w:rPr>
      </w:pPr>
    </w:p>
    <w:p>
      <w:pPr>
        <w:spacing w:line="360" w:lineRule="auto"/>
        <w:contextualSpacing/>
        <w:rPr>
          <w:rFonts w:ascii="宋体" w:hAnsi="宋体"/>
          <w:b/>
          <w:sz w:val="24"/>
          <w:szCs w:val="24"/>
        </w:rPr>
      </w:pPr>
    </w:p>
    <w:p>
      <w:pPr>
        <w:spacing w:line="360" w:lineRule="auto"/>
        <w:contextualSpacing/>
        <w:jc w:val="center"/>
        <w:rPr>
          <w:rFonts w:ascii="宋体" w:hAnsi="宋体"/>
          <w:b/>
          <w:sz w:val="24"/>
          <w:szCs w:val="24"/>
        </w:rPr>
      </w:pPr>
      <w:r>
        <w:rPr>
          <w:rFonts w:ascii="宋体" w:hAnsi="宋体"/>
          <w:b/>
          <w:sz w:val="24"/>
          <w:szCs w:val="24"/>
        </w:rPr>
        <w:t>投  标  文  件</w:t>
      </w:r>
    </w:p>
    <w:p>
      <w:pPr>
        <w:spacing w:line="360" w:lineRule="auto"/>
        <w:contextualSpacing/>
        <w:jc w:val="center"/>
        <w:rPr>
          <w:rFonts w:ascii="宋体" w:hAnsi="宋体"/>
          <w:b/>
          <w:sz w:val="24"/>
          <w:szCs w:val="24"/>
        </w:rPr>
      </w:pPr>
    </w:p>
    <w:p>
      <w:pPr>
        <w:spacing w:line="360" w:lineRule="auto"/>
        <w:contextualSpacing/>
        <w:jc w:val="center"/>
        <w:rPr>
          <w:rFonts w:hint="eastAsia" w:ascii="宋体" w:hAnsi="宋体"/>
          <w:b/>
          <w:sz w:val="24"/>
          <w:szCs w:val="24"/>
        </w:rPr>
      </w:pPr>
      <w:r>
        <w:rPr>
          <w:rFonts w:hint="eastAsia" w:ascii="宋体" w:hAnsi="宋体"/>
          <w:b/>
          <w:sz w:val="24"/>
          <w:szCs w:val="24"/>
          <w:lang w:val="en-US" w:eastAsia="zh-CN"/>
        </w:rPr>
        <w:t>标段</w:t>
      </w:r>
      <w:r>
        <w:rPr>
          <w:rFonts w:hint="eastAsia" w:ascii="宋体" w:hAnsi="宋体"/>
          <w:b/>
          <w:sz w:val="24"/>
          <w:szCs w:val="24"/>
        </w:rPr>
        <w:t>编号：</w:t>
      </w:r>
    </w:p>
    <w:p>
      <w:pPr>
        <w:spacing w:line="360" w:lineRule="auto"/>
        <w:contextualSpacing/>
        <w:jc w:val="center"/>
        <w:rPr>
          <w:rFonts w:hint="default" w:ascii="宋体" w:hAnsi="宋体" w:eastAsiaTheme="minorEastAsia"/>
          <w:b/>
          <w:sz w:val="24"/>
          <w:szCs w:val="24"/>
          <w:lang w:val="en-US" w:eastAsia="zh-CN"/>
        </w:rPr>
      </w:pPr>
    </w:p>
    <w:p>
      <w:pPr>
        <w:spacing w:line="360" w:lineRule="auto"/>
        <w:contextualSpacing/>
        <w:rPr>
          <w:rFonts w:ascii="宋体" w:hAnsi="宋体"/>
          <w:sz w:val="24"/>
          <w:szCs w:val="24"/>
        </w:rPr>
      </w:pPr>
    </w:p>
    <w:p>
      <w:pPr>
        <w:spacing w:line="360" w:lineRule="auto"/>
        <w:contextualSpacing/>
        <w:rPr>
          <w:rFonts w:ascii="宋体" w:hAnsi="宋体"/>
          <w:sz w:val="24"/>
          <w:szCs w:val="24"/>
        </w:rPr>
      </w:pPr>
    </w:p>
    <w:p>
      <w:pPr>
        <w:spacing w:line="360" w:lineRule="auto"/>
        <w:contextualSpacing/>
        <w:rPr>
          <w:rFonts w:ascii="宋体" w:hAnsi="宋体"/>
          <w:sz w:val="24"/>
          <w:szCs w:val="24"/>
        </w:rPr>
      </w:pPr>
    </w:p>
    <w:p>
      <w:pPr>
        <w:spacing w:line="360" w:lineRule="auto"/>
        <w:ind w:firstLine="1205" w:firstLineChars="500"/>
        <w:contextualSpacing/>
        <w:jc w:val="both"/>
        <w:rPr>
          <w:rFonts w:ascii="宋体" w:hAnsi="宋体"/>
          <w:b/>
          <w:sz w:val="24"/>
          <w:szCs w:val="24"/>
        </w:rPr>
      </w:pPr>
      <w:r>
        <w:rPr>
          <w:rFonts w:ascii="宋体" w:hAnsi="宋体"/>
          <w:b/>
          <w:sz w:val="24"/>
          <w:szCs w:val="24"/>
        </w:rPr>
        <w:t>投标人：</w:t>
      </w:r>
      <w:r>
        <w:rPr>
          <w:rFonts w:hint="eastAsia" w:ascii="宋体" w:hAnsi="宋体"/>
          <w:b/>
          <w:sz w:val="24"/>
          <w:szCs w:val="24"/>
          <w:u w:val="single"/>
          <w:lang w:val="en-US" w:eastAsia="zh-CN"/>
        </w:rPr>
        <w:t xml:space="preserve">                          </w:t>
      </w:r>
      <w:r>
        <w:rPr>
          <w:rFonts w:ascii="宋体" w:hAnsi="宋体"/>
          <w:b/>
          <w:sz w:val="24"/>
          <w:szCs w:val="24"/>
        </w:rPr>
        <w:t>（盖单位章）</w:t>
      </w:r>
    </w:p>
    <w:p>
      <w:pPr>
        <w:pStyle w:val="24"/>
        <w:rPr>
          <w:sz w:val="24"/>
          <w:szCs w:val="24"/>
        </w:rPr>
      </w:pPr>
    </w:p>
    <w:p>
      <w:pPr>
        <w:spacing w:line="360" w:lineRule="auto"/>
        <w:contextualSpacing/>
        <w:jc w:val="center"/>
        <w:rPr>
          <w:rFonts w:ascii="宋体" w:hAnsi="宋体"/>
          <w:b/>
          <w:sz w:val="24"/>
          <w:szCs w:val="24"/>
          <w:u w:val="single"/>
        </w:rPr>
      </w:pPr>
    </w:p>
    <w:p>
      <w:pPr>
        <w:spacing w:line="360" w:lineRule="auto"/>
        <w:ind w:firstLine="1205" w:firstLineChars="500"/>
        <w:contextualSpacing/>
        <w:jc w:val="both"/>
        <w:rPr>
          <w:rFonts w:ascii="宋体" w:hAnsi="宋体"/>
          <w:b/>
          <w:sz w:val="24"/>
          <w:szCs w:val="24"/>
        </w:rPr>
      </w:pPr>
      <w:r>
        <w:rPr>
          <w:rFonts w:ascii="宋体" w:hAnsi="宋体"/>
          <w:b/>
          <w:sz w:val="24"/>
          <w:szCs w:val="24"/>
        </w:rPr>
        <w:t>法定代表人或</w:t>
      </w:r>
      <w:r>
        <w:rPr>
          <w:rFonts w:hint="eastAsia" w:ascii="宋体" w:hAnsi="宋体"/>
          <w:b/>
          <w:sz w:val="24"/>
          <w:szCs w:val="24"/>
          <w:lang w:val="en-US" w:eastAsia="zh-CN"/>
        </w:rPr>
        <w:t>委托</w:t>
      </w:r>
      <w:r>
        <w:rPr>
          <w:rFonts w:ascii="宋体" w:hAnsi="宋体"/>
          <w:b/>
          <w:sz w:val="24"/>
          <w:szCs w:val="24"/>
        </w:rPr>
        <w:t>代理人：</w:t>
      </w:r>
      <w:r>
        <w:rPr>
          <w:rFonts w:hint="eastAsia" w:ascii="宋体" w:hAnsi="宋体"/>
          <w:b/>
          <w:sz w:val="24"/>
          <w:szCs w:val="24"/>
          <w:u w:val="single"/>
          <w:lang w:val="en-US" w:eastAsia="zh-CN"/>
        </w:rPr>
        <w:t xml:space="preserve">                     </w:t>
      </w:r>
      <w:r>
        <w:rPr>
          <w:rFonts w:ascii="宋体" w:hAnsi="宋体"/>
          <w:b/>
          <w:sz w:val="24"/>
          <w:szCs w:val="24"/>
        </w:rPr>
        <w:t>（签字</w:t>
      </w:r>
      <w:r>
        <w:rPr>
          <w:rFonts w:hint="eastAsia" w:ascii="宋体" w:hAnsi="宋体"/>
          <w:b/>
          <w:sz w:val="24"/>
          <w:szCs w:val="24"/>
          <w:lang w:val="en-US" w:eastAsia="zh-CN"/>
        </w:rPr>
        <w:t>或盖章</w:t>
      </w:r>
      <w:r>
        <w:rPr>
          <w:rFonts w:ascii="宋体" w:hAnsi="宋体"/>
          <w:b/>
          <w:sz w:val="24"/>
          <w:szCs w:val="24"/>
        </w:rPr>
        <w:t>）</w:t>
      </w:r>
    </w:p>
    <w:p>
      <w:pPr>
        <w:spacing w:line="360" w:lineRule="auto"/>
        <w:contextualSpacing/>
        <w:jc w:val="center"/>
        <w:rPr>
          <w:rFonts w:ascii="宋体" w:hAnsi="宋体"/>
          <w:b/>
          <w:sz w:val="24"/>
          <w:szCs w:val="24"/>
        </w:rPr>
      </w:pPr>
    </w:p>
    <w:p>
      <w:pPr>
        <w:pStyle w:val="24"/>
        <w:rPr>
          <w:sz w:val="24"/>
          <w:szCs w:val="24"/>
        </w:rPr>
      </w:pPr>
    </w:p>
    <w:p>
      <w:pPr>
        <w:spacing w:line="360" w:lineRule="auto"/>
        <w:contextualSpacing/>
        <w:jc w:val="center"/>
        <w:rPr>
          <w:rFonts w:ascii="宋体" w:hAnsi="宋体"/>
          <w:b/>
          <w:sz w:val="24"/>
          <w:szCs w:val="24"/>
        </w:rPr>
      </w:pPr>
      <w:r>
        <w:rPr>
          <w:rFonts w:ascii="宋体" w:hAnsi="宋体"/>
          <w:b/>
          <w:sz w:val="24"/>
          <w:szCs w:val="24"/>
        </w:rPr>
        <w:t>年</w:t>
      </w:r>
      <w:r>
        <w:rPr>
          <w:rFonts w:hint="eastAsia" w:ascii="宋体" w:hAnsi="宋体"/>
          <w:b/>
          <w:sz w:val="24"/>
          <w:szCs w:val="24"/>
          <w:lang w:val="en-US" w:eastAsia="zh-CN"/>
        </w:rPr>
        <w:t xml:space="preserve">   </w:t>
      </w:r>
      <w:r>
        <w:rPr>
          <w:rFonts w:ascii="宋体" w:hAnsi="宋体"/>
          <w:b/>
          <w:sz w:val="24"/>
          <w:szCs w:val="24"/>
        </w:rPr>
        <w:t>月</w:t>
      </w:r>
      <w:r>
        <w:rPr>
          <w:rFonts w:hint="eastAsia" w:ascii="宋体" w:hAnsi="宋体"/>
          <w:b/>
          <w:sz w:val="24"/>
          <w:szCs w:val="24"/>
          <w:lang w:val="en-US" w:eastAsia="zh-CN"/>
        </w:rPr>
        <w:t xml:space="preserve">   </w:t>
      </w:r>
      <w:r>
        <w:rPr>
          <w:rFonts w:ascii="宋体" w:hAnsi="宋体"/>
          <w:b/>
          <w:sz w:val="24"/>
          <w:szCs w:val="24"/>
        </w:rPr>
        <w:t>日</w:t>
      </w:r>
      <w:bookmarkStart w:id="387" w:name="_Toc144974856"/>
      <w:bookmarkStart w:id="388" w:name="_Toc152042576"/>
      <w:bookmarkStart w:id="389" w:name="_Toc238797661"/>
      <w:bookmarkStart w:id="390" w:name="_Toc238552299"/>
      <w:bookmarkStart w:id="391" w:name="_Toc262740152"/>
      <w:bookmarkStart w:id="392" w:name="_Toc285981643"/>
      <w:bookmarkStart w:id="393" w:name="_Toc152045787"/>
    </w:p>
    <w:p>
      <w:pPr>
        <w:spacing w:line="360" w:lineRule="auto"/>
        <w:contextualSpacing/>
        <w:rPr>
          <w:rFonts w:ascii="宋体" w:hAnsi="宋体"/>
        </w:rPr>
      </w:pPr>
    </w:p>
    <w:p>
      <w:pPr>
        <w:spacing w:line="360" w:lineRule="auto"/>
        <w:contextualSpacing/>
        <w:jc w:val="center"/>
        <w:rPr>
          <w:rFonts w:ascii="宋体" w:hAnsi="宋体"/>
          <w:b/>
          <w:sz w:val="30"/>
          <w:szCs w:val="30"/>
        </w:rPr>
      </w:pPr>
    </w:p>
    <w:p>
      <w:pPr>
        <w:rPr>
          <w:rFonts w:hint="eastAsia" w:ascii="宋体" w:hAnsi="宋体"/>
          <w:b/>
          <w:sz w:val="36"/>
          <w:szCs w:val="36"/>
          <w:highlight w:val="yellow"/>
        </w:rPr>
      </w:pPr>
      <w:r>
        <w:rPr>
          <w:rFonts w:hint="eastAsia" w:ascii="宋体" w:hAnsi="宋体"/>
          <w:b/>
          <w:sz w:val="36"/>
          <w:szCs w:val="36"/>
          <w:highlight w:val="yellow"/>
        </w:rPr>
        <w:br w:type="page"/>
      </w:r>
    </w:p>
    <w:p>
      <w:pPr>
        <w:spacing w:line="360" w:lineRule="auto"/>
        <w:contextualSpacing/>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目  录</w:t>
      </w:r>
      <w:bookmarkEnd w:id="387"/>
      <w:bookmarkEnd w:id="388"/>
      <w:bookmarkEnd w:id="389"/>
      <w:bookmarkEnd w:id="390"/>
      <w:bookmarkEnd w:id="391"/>
      <w:bookmarkEnd w:id="392"/>
      <w:bookmarkEnd w:id="393"/>
    </w:p>
    <w:p>
      <w:pPr>
        <w:spacing w:line="360" w:lineRule="auto"/>
        <w:contextualSpacing/>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投标人自行编制详细目录及页码，至少包括如下内容</w:t>
      </w:r>
      <w:r>
        <w:rPr>
          <w:rFonts w:hint="eastAsia" w:ascii="宋体" w:hAnsi="宋体" w:eastAsia="宋体" w:cs="宋体"/>
          <w:sz w:val="24"/>
          <w:szCs w:val="24"/>
          <w:highlight w:val="none"/>
          <w:lang w:eastAsia="zh-CN"/>
        </w:rPr>
        <w:t>）</w:t>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投标函</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法定代表人身份证明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授权委托书</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投标保证金</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开标一览表</w:t>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分项报价表</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（7）</w:t>
      </w:r>
      <w:r>
        <w:rPr>
          <w:rFonts w:hint="eastAsia" w:ascii="宋体" w:hAnsi="宋体" w:eastAsia="宋体" w:cs="宋体"/>
          <w:b w:val="0"/>
          <w:bCs w:val="0"/>
          <w:sz w:val="24"/>
          <w:szCs w:val="24"/>
          <w:highlight w:val="none"/>
          <w:lang w:eastAsia="zh-CN"/>
        </w:rPr>
        <w:t>项目</w:t>
      </w:r>
      <w:r>
        <w:rPr>
          <w:rFonts w:hint="eastAsia" w:ascii="宋体" w:hAnsi="宋体" w:eastAsia="宋体" w:cs="宋体"/>
          <w:b w:val="0"/>
          <w:bCs w:val="0"/>
          <w:sz w:val="24"/>
          <w:szCs w:val="24"/>
          <w:highlight w:val="none"/>
        </w:rPr>
        <w:t>管理</w:t>
      </w:r>
      <w:r>
        <w:rPr>
          <w:rFonts w:hint="eastAsia" w:ascii="宋体" w:hAnsi="宋体" w:eastAsia="宋体" w:cs="宋体"/>
          <w:b w:val="0"/>
          <w:bCs w:val="0"/>
          <w:sz w:val="24"/>
          <w:szCs w:val="24"/>
          <w:highlight w:val="none"/>
          <w:lang w:eastAsia="zh-CN"/>
        </w:rPr>
        <w:t>团队</w:t>
      </w:r>
      <w:r>
        <w:rPr>
          <w:rFonts w:hint="eastAsia" w:ascii="宋体" w:hAnsi="宋体" w:eastAsia="宋体" w:cs="宋体"/>
          <w:b w:val="0"/>
          <w:bCs w:val="0"/>
          <w:sz w:val="24"/>
          <w:szCs w:val="24"/>
          <w:highlight w:val="none"/>
        </w:rPr>
        <w:t>配置表</w:t>
      </w:r>
    </w:p>
    <w:p>
      <w:pP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8</w:t>
      </w:r>
      <w:r>
        <w:rPr>
          <w:rFonts w:hint="eastAsia" w:ascii="宋体" w:hAnsi="宋体" w:eastAsia="宋体" w:cs="宋体"/>
          <w:b w:val="0"/>
          <w:bCs w:val="0"/>
          <w:sz w:val="24"/>
          <w:szCs w:val="24"/>
          <w:highlight w:val="none"/>
          <w:lang w:eastAsia="zh-CN"/>
        </w:rPr>
        <w:t>）技术部分</w:t>
      </w:r>
    </w:p>
    <w:p>
      <w:pP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资格证明</w:t>
      </w:r>
      <w:r>
        <w:rPr>
          <w:rFonts w:hint="eastAsia" w:ascii="宋体" w:hAnsi="宋体" w:eastAsia="宋体" w:cs="宋体"/>
          <w:b w:val="0"/>
          <w:bCs w:val="0"/>
          <w:sz w:val="24"/>
          <w:szCs w:val="24"/>
          <w:highlight w:val="none"/>
          <w:lang w:eastAsia="zh-CN"/>
        </w:rPr>
        <w:t>资料</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kern w:val="2"/>
          <w:sz w:val="24"/>
          <w:szCs w:val="24"/>
          <w:highlight w:val="none"/>
          <w:lang w:val="en-US" w:eastAsia="zh-CN" w:bidi="ar-SA"/>
        </w:rPr>
        <w:t>投标人已完成类似项目情况（如有）</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（11）商务条款偏离表</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（12）</w:t>
      </w:r>
      <w:r>
        <w:rPr>
          <w:rFonts w:hint="eastAsia" w:ascii="宋体" w:hAnsi="宋体" w:eastAsia="宋体" w:cs="宋体"/>
          <w:b w:val="0"/>
          <w:bCs w:val="0"/>
          <w:sz w:val="24"/>
          <w:szCs w:val="24"/>
          <w:highlight w:val="none"/>
        </w:rPr>
        <w:t>其它材料</w:t>
      </w:r>
    </w:p>
    <w:p>
      <w:pPr>
        <w:spacing w:line="360" w:lineRule="auto"/>
        <w:contextualSpacing/>
        <w:rPr>
          <w:rFonts w:hint="eastAsia" w:ascii="宋体" w:hAnsi="宋体" w:eastAsia="宋体" w:cs="宋体"/>
          <w:sz w:val="24"/>
          <w:szCs w:val="24"/>
        </w:rPr>
      </w:pPr>
    </w:p>
    <w:p>
      <w:pPr>
        <w:spacing w:line="360" w:lineRule="auto"/>
        <w:contextualSpacing/>
        <w:jc w:val="center"/>
        <w:outlineLvl w:val="1"/>
        <w:rPr>
          <w:rFonts w:hint="eastAsia" w:ascii="宋体" w:hAnsi="宋体" w:eastAsia="宋体" w:cs="宋体"/>
          <w:b/>
          <w:sz w:val="24"/>
          <w:szCs w:val="24"/>
        </w:rPr>
      </w:pPr>
      <w:bookmarkStart w:id="394" w:name="_Toc152042577"/>
      <w:bookmarkStart w:id="395" w:name="_Toc262740153"/>
      <w:bookmarkStart w:id="396" w:name="_Toc238797662"/>
      <w:bookmarkStart w:id="397" w:name="_Toc144974857"/>
      <w:bookmarkStart w:id="398" w:name="_Toc238552300"/>
      <w:bookmarkStart w:id="399" w:name="_Toc152045788"/>
      <w:r>
        <w:rPr>
          <w:rFonts w:ascii="宋体" w:hAnsi="宋体"/>
        </w:rPr>
        <w:br w:type="page"/>
      </w:r>
      <w:bookmarkStart w:id="400" w:name="_Toc285981644"/>
      <w:bookmarkStart w:id="401" w:name="_Toc329757313"/>
      <w:bookmarkStart w:id="402" w:name="_Toc476566564"/>
      <w:bookmarkStart w:id="403" w:name="_Toc25683"/>
      <w:r>
        <w:rPr>
          <w:rFonts w:hint="eastAsia" w:ascii="宋体" w:hAnsi="宋体" w:eastAsia="宋体" w:cs="宋体"/>
          <w:b/>
          <w:sz w:val="24"/>
          <w:szCs w:val="24"/>
        </w:rPr>
        <w:t>一.投标函</w:t>
      </w:r>
      <w:bookmarkEnd w:id="394"/>
      <w:bookmarkEnd w:id="395"/>
      <w:bookmarkEnd w:id="396"/>
      <w:bookmarkEnd w:id="397"/>
      <w:bookmarkEnd w:id="398"/>
      <w:bookmarkEnd w:id="399"/>
      <w:bookmarkEnd w:id="400"/>
      <w:bookmarkEnd w:id="401"/>
      <w:bookmarkEnd w:id="402"/>
      <w:bookmarkEnd w:id="403"/>
    </w:p>
    <w:p>
      <w:pPr>
        <w:pStyle w:val="12"/>
        <w:keepNext w:val="0"/>
        <w:keepLines w:val="0"/>
        <w:pageBreakBefore w:val="0"/>
        <w:widowControl w:val="0"/>
        <w:kinsoku/>
        <w:wordWrap/>
        <w:overflowPunct/>
        <w:topLinePunct w:val="0"/>
        <w:autoSpaceDE/>
        <w:autoSpaceDN/>
        <w:bidi w:val="0"/>
        <w:adjustRightInd/>
        <w:snapToGrid/>
        <w:spacing w:line="360" w:lineRule="exact"/>
        <w:contextualSpacing/>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采购人</w:t>
      </w:r>
      <w:r>
        <w:rPr>
          <w:rFonts w:hint="eastAsia" w:ascii="宋体" w:hAnsi="宋体" w:eastAsia="宋体" w:cs="宋体"/>
          <w:sz w:val="24"/>
          <w:szCs w:val="24"/>
          <w:u w:val="single"/>
        </w:rPr>
        <w:t>）</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00"/>
        <w:contextualSpacing/>
        <w:textAlignment w:val="auto"/>
        <w:rPr>
          <w:rFonts w:hint="eastAsia" w:ascii="宋体" w:hAnsi="宋体" w:eastAsia="宋体" w:cs="宋体"/>
          <w:color w:val="000000"/>
          <w:sz w:val="24"/>
          <w:szCs w:val="24"/>
          <w:lang w:val="en-US" w:eastAsia="zh-CN"/>
        </w:rPr>
      </w:pPr>
      <w:bookmarkStart w:id="404" w:name="_Toc329757314"/>
      <w:bookmarkStart w:id="405" w:name="_Toc238552301"/>
      <w:bookmarkStart w:id="406" w:name="_Toc144974860"/>
      <w:bookmarkStart w:id="407" w:name="_Toc152042580"/>
      <w:bookmarkStart w:id="408" w:name="_Toc285981645"/>
      <w:bookmarkStart w:id="409" w:name="_Toc262740154"/>
      <w:bookmarkStart w:id="410" w:name="_Toc238797663"/>
      <w:bookmarkStart w:id="411" w:name="_Toc152045791"/>
      <w:r>
        <w:rPr>
          <w:rFonts w:hint="eastAsia" w:ascii="宋体" w:hAnsi="宋体" w:eastAsia="宋体" w:cs="宋体"/>
          <w:spacing w:val="-4"/>
          <w:sz w:val="24"/>
          <w:szCs w:val="24"/>
        </w:rPr>
        <w:t>我方已仔细研究了</w:t>
      </w:r>
      <w:r>
        <w:rPr>
          <w:rFonts w:hint="eastAsia" w:ascii="宋体" w:hAnsi="宋体" w:eastAsia="宋体" w:cs="宋体"/>
          <w:spacing w:val="-4"/>
          <w:sz w:val="24"/>
          <w:szCs w:val="24"/>
          <w:u w:val="single"/>
        </w:rPr>
        <w:tab/>
      </w:r>
      <w:r>
        <w:rPr>
          <w:rFonts w:hint="eastAsia" w:ascii="宋体" w:hAnsi="宋体" w:eastAsia="宋体" w:cs="宋体"/>
          <w:spacing w:val="-4"/>
          <w:sz w:val="24"/>
          <w:szCs w:val="24"/>
          <w:u w:val="single"/>
        </w:rPr>
        <w:t xml:space="preserve">           </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标段</w:t>
      </w:r>
      <w:r>
        <w:rPr>
          <w:rFonts w:hint="eastAsia" w:ascii="宋体" w:hAnsi="宋体" w:eastAsia="宋体" w:cs="宋体"/>
          <w:spacing w:val="-3"/>
          <w:sz w:val="24"/>
          <w:szCs w:val="24"/>
        </w:rPr>
        <w:t>名称）招标文件的全部</w:t>
      </w:r>
      <w:r>
        <w:rPr>
          <w:rFonts w:hint="eastAsia" w:ascii="宋体" w:hAnsi="宋体" w:eastAsia="宋体" w:cs="宋体"/>
          <w:spacing w:val="-4"/>
          <w:sz w:val="24"/>
          <w:szCs w:val="24"/>
        </w:rPr>
        <w:t>内容</w:t>
      </w:r>
      <w:r>
        <w:rPr>
          <w:rFonts w:hint="eastAsia" w:ascii="宋体" w:hAnsi="宋体" w:eastAsia="宋体" w:cs="宋体"/>
          <w:color w:val="000000"/>
          <w:sz w:val="24"/>
          <w:szCs w:val="24"/>
        </w:rPr>
        <w:t>，我方针对该项目的</w:t>
      </w:r>
      <w:r>
        <w:rPr>
          <w:rFonts w:hint="eastAsia" w:ascii="宋体" w:hAnsi="宋体" w:eastAsia="宋体" w:cs="宋体"/>
          <w:color w:val="000000"/>
          <w:sz w:val="24"/>
          <w:szCs w:val="24"/>
          <w:lang w:val="en-US" w:eastAsia="zh-CN"/>
        </w:rPr>
        <w:t>投标报价（总价）</w:t>
      </w:r>
      <w:r>
        <w:rPr>
          <w:rFonts w:hint="eastAsia" w:ascii="宋体" w:hAnsi="宋体" w:eastAsia="宋体" w:cs="宋体"/>
          <w:color w:val="000000"/>
          <w:sz w:val="24"/>
          <w:szCs w:val="24"/>
        </w:rPr>
        <w:t>为</w:t>
      </w:r>
      <w:r>
        <w:rPr>
          <w:rFonts w:hint="eastAsia" w:ascii="宋体" w:hAnsi="宋体" w:eastAsia="宋体" w:cs="宋体"/>
          <w:color w:val="000000"/>
          <w:sz w:val="24"/>
          <w:szCs w:val="24"/>
          <w:u w:val="single"/>
          <w:lang w:val="en-US" w:eastAsia="zh-CN"/>
        </w:rPr>
        <w:t xml:space="preserve">      元</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合同履行期限（供货期）</w:t>
      </w:r>
      <w:r>
        <w:rPr>
          <w:rFonts w:hint="eastAsia" w:ascii="宋体" w:hAnsi="宋体" w:eastAsia="宋体" w:cs="宋体"/>
          <w:color w:val="000000"/>
          <w:sz w:val="24"/>
          <w:szCs w:val="24"/>
        </w:rPr>
        <w:t>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。并正式授权的下述签字人代表投标人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（投标人名称），提交招标文件要求的全套投标文件，包括</w:t>
      </w:r>
      <w:r>
        <w:rPr>
          <w:rFonts w:hint="eastAsia" w:ascii="宋体" w:hAnsi="宋体" w:eastAsia="宋体" w:cs="宋体"/>
          <w:color w:val="000000"/>
          <w:sz w:val="24"/>
          <w:szCs w:val="24"/>
          <w:lang w:val="en-US" w:eastAsia="zh-CN"/>
        </w:rPr>
        <w:t>下列内容：</w:t>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投标函</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法定代表人身份证明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授权委托书</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投标保证金</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开标一览表</w:t>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分项报价表</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（7）</w:t>
      </w:r>
      <w:r>
        <w:rPr>
          <w:rFonts w:hint="eastAsia" w:ascii="宋体" w:hAnsi="宋体" w:eastAsia="宋体" w:cs="宋体"/>
          <w:b w:val="0"/>
          <w:bCs w:val="0"/>
          <w:sz w:val="24"/>
          <w:szCs w:val="24"/>
          <w:highlight w:val="none"/>
          <w:lang w:eastAsia="zh-CN"/>
        </w:rPr>
        <w:t>项目</w:t>
      </w:r>
      <w:r>
        <w:rPr>
          <w:rFonts w:hint="eastAsia" w:ascii="宋体" w:hAnsi="宋体" w:eastAsia="宋体" w:cs="宋体"/>
          <w:b w:val="0"/>
          <w:bCs w:val="0"/>
          <w:sz w:val="24"/>
          <w:szCs w:val="24"/>
          <w:highlight w:val="none"/>
        </w:rPr>
        <w:t>管理</w:t>
      </w:r>
      <w:r>
        <w:rPr>
          <w:rFonts w:hint="eastAsia" w:ascii="宋体" w:hAnsi="宋体" w:eastAsia="宋体" w:cs="宋体"/>
          <w:b w:val="0"/>
          <w:bCs w:val="0"/>
          <w:sz w:val="24"/>
          <w:szCs w:val="24"/>
          <w:highlight w:val="none"/>
          <w:lang w:eastAsia="zh-CN"/>
        </w:rPr>
        <w:t>团队</w:t>
      </w:r>
      <w:r>
        <w:rPr>
          <w:rFonts w:hint="eastAsia" w:ascii="宋体" w:hAnsi="宋体" w:eastAsia="宋体" w:cs="宋体"/>
          <w:b w:val="0"/>
          <w:bCs w:val="0"/>
          <w:sz w:val="24"/>
          <w:szCs w:val="24"/>
          <w:highlight w:val="none"/>
        </w:rPr>
        <w:t>配置表</w:t>
      </w:r>
    </w:p>
    <w:p>
      <w:pP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8</w:t>
      </w:r>
      <w:r>
        <w:rPr>
          <w:rFonts w:hint="eastAsia" w:ascii="宋体" w:hAnsi="宋体" w:eastAsia="宋体" w:cs="宋体"/>
          <w:b w:val="0"/>
          <w:bCs w:val="0"/>
          <w:sz w:val="24"/>
          <w:szCs w:val="24"/>
          <w:highlight w:val="none"/>
          <w:lang w:eastAsia="zh-CN"/>
        </w:rPr>
        <w:t>）技术部分</w:t>
      </w:r>
    </w:p>
    <w:p>
      <w:pP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资格证明</w:t>
      </w:r>
      <w:r>
        <w:rPr>
          <w:rFonts w:hint="eastAsia" w:ascii="宋体" w:hAnsi="宋体" w:eastAsia="宋体" w:cs="宋体"/>
          <w:b w:val="0"/>
          <w:bCs w:val="0"/>
          <w:sz w:val="24"/>
          <w:szCs w:val="24"/>
          <w:highlight w:val="none"/>
          <w:lang w:eastAsia="zh-CN"/>
        </w:rPr>
        <w:t>资料</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kern w:val="2"/>
          <w:sz w:val="24"/>
          <w:szCs w:val="24"/>
          <w:highlight w:val="none"/>
          <w:lang w:val="en-US" w:eastAsia="zh-CN" w:bidi="ar-SA"/>
        </w:rPr>
        <w:t>投标人已完成类似项目情况（如有）</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（11）商务条款偏离表</w:t>
      </w:r>
    </w:p>
    <w:p>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（12）</w:t>
      </w:r>
      <w:r>
        <w:rPr>
          <w:rFonts w:hint="eastAsia" w:ascii="宋体" w:hAnsi="宋体" w:eastAsia="宋体" w:cs="宋体"/>
          <w:b w:val="0"/>
          <w:bCs w:val="0"/>
          <w:sz w:val="24"/>
          <w:szCs w:val="24"/>
          <w:highlight w:val="none"/>
        </w:rPr>
        <w:t>其它材料</w:t>
      </w:r>
    </w:p>
    <w:p>
      <w:pPr>
        <w:keepNext w:val="0"/>
        <w:keepLines w:val="0"/>
        <w:pageBreakBefore w:val="0"/>
        <w:widowControl w:val="0"/>
        <w:kinsoku/>
        <w:wordWrap/>
        <w:overflowPunct/>
        <w:topLinePunct w:val="0"/>
        <w:autoSpaceDE/>
        <w:autoSpaceDN/>
        <w:bidi w:val="0"/>
        <w:adjustRightInd/>
        <w:snapToGrid/>
        <w:spacing w:line="360" w:lineRule="exact"/>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如我方中标，我方承诺：</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（1）在收到中标通知书后，在中标通知书规定的期限内与你方签订合同；</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（2）在签订合同时不向你方提出附加条件；</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（3）按照招标文件要求提交履约保证金；</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（4）在合同约定的期限内完成合同规定的全部义务。</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我方在此声明，所递交的投标文件及有关资料内容完整、真实和准确，且不存在第二章 “投标人须知”第1.4.3 项规定的任何一种情形。</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其他补充说明（</w:t>
      </w:r>
      <w:r>
        <w:rPr>
          <w:rFonts w:hint="eastAsia" w:ascii="宋体" w:hAnsi="宋体" w:eastAsia="宋体" w:cs="宋体"/>
          <w:color w:val="000000"/>
          <w:sz w:val="24"/>
          <w:szCs w:val="24"/>
          <w:lang w:val="en-US" w:eastAsia="zh-CN"/>
        </w:rPr>
        <w:t>如有</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exact"/>
        <w:contextualSpacing/>
        <w:textAlignment w:val="auto"/>
        <w:rPr>
          <w:rFonts w:hint="eastAsia" w:ascii="宋体" w:hAnsi="宋体" w:eastAsia="宋体" w:cs="宋体"/>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exact"/>
        <w:contextualSpacing/>
        <w:jc w:val="righ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（盖单位章）</w:t>
      </w:r>
    </w:p>
    <w:p>
      <w:pPr>
        <w:keepNext w:val="0"/>
        <w:keepLines w:val="0"/>
        <w:pageBreakBefore w:val="0"/>
        <w:widowControl w:val="0"/>
        <w:kinsoku/>
        <w:wordWrap/>
        <w:overflowPunct/>
        <w:topLinePunct w:val="0"/>
        <w:autoSpaceDE/>
        <w:autoSpaceDN/>
        <w:bidi w:val="0"/>
        <w:adjustRightInd/>
        <w:snapToGrid/>
        <w:spacing w:line="360" w:lineRule="exact"/>
        <w:contextualSpacing/>
        <w:textAlignment w:val="auto"/>
        <w:rPr>
          <w:rFonts w:hint="eastAsia" w:ascii="宋体" w:hAnsi="宋体" w:eastAsia="宋体" w:cs="宋体"/>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exact"/>
        <w:contextualSpacing/>
        <w:jc w:val="right"/>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rPr>
        <w:t>法定代表人或</w:t>
      </w:r>
      <w:r>
        <w:rPr>
          <w:rFonts w:hint="eastAsia" w:ascii="宋体" w:hAnsi="宋体" w:eastAsia="宋体" w:cs="宋体"/>
          <w:sz w:val="24"/>
          <w:szCs w:val="24"/>
          <w:lang w:val="en-US" w:eastAsia="zh-CN"/>
        </w:rPr>
        <w:t>委托</w:t>
      </w:r>
      <w:r>
        <w:rPr>
          <w:rFonts w:hint="eastAsia" w:ascii="宋体" w:hAnsi="宋体" w:eastAsia="宋体" w:cs="宋体"/>
          <w:sz w:val="24"/>
          <w:szCs w:val="24"/>
        </w:rPr>
        <w:t>代理人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（签字</w:t>
      </w:r>
      <w:r>
        <w:rPr>
          <w:rFonts w:hint="eastAsia" w:ascii="宋体" w:hAnsi="宋体" w:eastAsia="宋体" w:cs="宋体"/>
          <w:color w:val="000000"/>
          <w:sz w:val="24"/>
          <w:szCs w:val="24"/>
          <w:lang w:val="en-US" w:eastAsia="zh-CN"/>
        </w:rPr>
        <w:t>或盖章</w:t>
      </w:r>
      <w:r>
        <w:rPr>
          <w:rFonts w:hint="eastAsia" w:ascii="宋体" w:hAnsi="宋体" w:eastAsia="宋体" w:cs="宋体"/>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exact"/>
        <w:contextualSpacing/>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exact"/>
        <w:contextualSpacing/>
        <w:jc w:val="right"/>
        <w:textAlignment w:val="auto"/>
        <w:rPr>
          <w:rFonts w:hint="eastAsia" w:ascii="宋体" w:hAnsi="宋体" w:eastAsia="宋体" w:cs="宋体"/>
          <w:color w:val="000000"/>
          <w:sz w:val="24"/>
          <w:szCs w:val="24"/>
          <w:lang w:eastAsia="zh-CN"/>
        </w:rPr>
        <w:sectPr>
          <w:footerReference r:id="rId22" w:type="default"/>
          <w:pgSz w:w="12240" w:h="15840"/>
          <w:pgMar w:top="1134" w:right="1080" w:bottom="1440" w:left="1080" w:header="862" w:footer="862"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日</w:t>
      </w:r>
    </w:p>
    <w:bookmarkEnd w:id="404"/>
    <w:p>
      <w:pPr>
        <w:spacing w:line="360" w:lineRule="auto"/>
        <w:contextualSpacing/>
        <w:jc w:val="center"/>
        <w:outlineLvl w:val="1"/>
        <w:rPr>
          <w:rFonts w:hint="eastAsia" w:ascii="宋体" w:hAnsi="宋体" w:eastAsia="宋体" w:cs="宋体"/>
          <w:b/>
          <w:sz w:val="24"/>
          <w:szCs w:val="24"/>
        </w:rPr>
      </w:pPr>
      <w:bookmarkStart w:id="412" w:name="_Toc329757315"/>
      <w:bookmarkStart w:id="413" w:name="_Toc476566566"/>
      <w:bookmarkStart w:id="414" w:name="_Toc8978"/>
      <w:r>
        <w:rPr>
          <w:rFonts w:hint="eastAsia" w:ascii="宋体" w:hAnsi="宋体" w:eastAsia="宋体" w:cs="宋体"/>
          <w:b/>
          <w:sz w:val="24"/>
          <w:szCs w:val="24"/>
          <w:lang w:eastAsia="zh-CN"/>
        </w:rPr>
        <w:t>二</w:t>
      </w:r>
      <w:r>
        <w:rPr>
          <w:rFonts w:hint="eastAsia" w:ascii="宋体" w:hAnsi="宋体" w:eastAsia="宋体" w:cs="宋体"/>
          <w:b/>
          <w:sz w:val="24"/>
          <w:szCs w:val="24"/>
        </w:rPr>
        <w:t>.法定代表人身份证明</w:t>
      </w:r>
      <w:bookmarkEnd w:id="405"/>
      <w:bookmarkEnd w:id="406"/>
      <w:bookmarkEnd w:id="407"/>
      <w:bookmarkEnd w:id="408"/>
      <w:bookmarkEnd w:id="409"/>
      <w:bookmarkEnd w:id="410"/>
      <w:bookmarkEnd w:id="411"/>
      <w:bookmarkEnd w:id="412"/>
      <w:bookmarkEnd w:id="413"/>
      <w:bookmarkEnd w:id="414"/>
    </w:p>
    <w:p>
      <w:pPr>
        <w:spacing w:line="360" w:lineRule="auto"/>
        <w:contextualSpacing/>
        <w:rPr>
          <w:rFonts w:hint="eastAsia" w:ascii="宋体" w:hAnsi="宋体" w:eastAsia="宋体" w:cs="宋体"/>
          <w:sz w:val="24"/>
          <w:szCs w:val="24"/>
        </w:rPr>
      </w:pPr>
    </w:p>
    <w:p>
      <w:pPr>
        <w:spacing w:line="360" w:lineRule="auto"/>
        <w:contextualSpacing/>
        <w:rPr>
          <w:rFonts w:hint="eastAsia" w:ascii="宋体" w:hAnsi="宋体" w:eastAsia="宋体" w:cs="宋体"/>
          <w:sz w:val="24"/>
          <w:szCs w:val="24"/>
        </w:rPr>
      </w:pPr>
    </w:p>
    <w:p>
      <w:pPr>
        <w:tabs>
          <w:tab w:val="left" w:pos="400"/>
        </w:tabs>
        <w:autoSpaceDE w:val="0"/>
        <w:autoSpaceDN w:val="0"/>
        <w:adjustRightInd w:val="0"/>
        <w:spacing w:line="360" w:lineRule="auto"/>
        <w:ind w:firstLine="360" w:firstLineChars="150"/>
        <w:jc w:val="left"/>
        <w:rPr>
          <w:rFonts w:hint="eastAsia" w:ascii="宋体" w:hAnsi="宋体" w:eastAsia="宋体" w:cs="宋体"/>
          <w:sz w:val="24"/>
          <w:szCs w:val="24"/>
          <w:u w:val="none"/>
          <w:lang w:val="zh-CN"/>
        </w:rPr>
      </w:pPr>
      <w:r>
        <w:rPr>
          <w:rFonts w:hint="eastAsia" w:ascii="宋体" w:hAnsi="宋体" w:eastAsia="宋体" w:cs="宋体"/>
          <w:sz w:val="24"/>
          <w:szCs w:val="24"/>
          <w:lang w:val="zh-CN"/>
        </w:rPr>
        <w:t>投标人名称：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none"/>
          <w:lang w:val="zh-CN"/>
        </w:rPr>
        <w:t xml:space="preserve"> </w:t>
      </w:r>
    </w:p>
    <w:p>
      <w:pPr>
        <w:autoSpaceDE w:val="0"/>
        <w:autoSpaceDN w:val="0"/>
        <w:adjustRightInd w:val="0"/>
        <w:spacing w:line="360" w:lineRule="auto"/>
        <w:jc w:val="left"/>
        <w:rPr>
          <w:rFonts w:hint="eastAsia" w:ascii="宋体" w:hAnsi="宋体" w:eastAsia="宋体" w:cs="宋体"/>
          <w:sz w:val="24"/>
          <w:szCs w:val="24"/>
          <w:u w:val="single"/>
          <w:lang w:val="zh-CN"/>
        </w:rPr>
      </w:pPr>
      <w:r>
        <w:rPr>
          <w:rFonts w:hint="eastAsia" w:ascii="宋体" w:hAnsi="宋体" w:eastAsia="宋体" w:cs="宋体"/>
          <w:sz w:val="24"/>
          <w:szCs w:val="24"/>
          <w:u w:val="none"/>
          <w:lang w:val="zh-CN"/>
        </w:rPr>
        <w:t xml:space="preserve">   单位性质： </w:t>
      </w:r>
      <w:r>
        <w:rPr>
          <w:rFonts w:hint="eastAsia" w:ascii="宋体" w:hAnsi="宋体" w:eastAsia="宋体" w:cs="宋体"/>
          <w:sz w:val="24"/>
          <w:szCs w:val="24"/>
          <w:u w:val="single"/>
          <w:lang w:val="zh-CN"/>
        </w:rPr>
        <w:t xml:space="preserve">                              </w:t>
      </w:r>
    </w:p>
    <w:p>
      <w:pPr>
        <w:autoSpaceDE w:val="0"/>
        <w:autoSpaceDN w:val="0"/>
        <w:adjustRightInd w:val="0"/>
        <w:spacing w:line="360" w:lineRule="auto"/>
        <w:jc w:val="left"/>
        <w:rPr>
          <w:rFonts w:hint="eastAsia" w:ascii="宋体" w:hAnsi="宋体" w:eastAsia="宋体" w:cs="宋体"/>
          <w:sz w:val="24"/>
          <w:szCs w:val="24"/>
          <w:u w:val="none"/>
          <w:lang w:val="zh-CN"/>
        </w:rPr>
      </w:pPr>
      <w:r>
        <w:rPr>
          <w:rFonts w:hint="eastAsia" w:ascii="宋体" w:hAnsi="宋体" w:eastAsia="宋体" w:cs="宋体"/>
          <w:sz w:val="24"/>
          <w:szCs w:val="24"/>
          <w:u w:val="none"/>
          <w:lang w:val="zh-CN"/>
        </w:rPr>
        <w:t xml:space="preserve">   地址：</w:t>
      </w:r>
      <w:r>
        <w:rPr>
          <w:rFonts w:hint="eastAsia" w:ascii="宋体" w:hAnsi="宋体" w:eastAsia="宋体" w:cs="宋体"/>
          <w:sz w:val="24"/>
          <w:szCs w:val="24"/>
          <w:u w:val="single"/>
          <w:lang w:val="zh-CN"/>
        </w:rPr>
        <w:t xml:space="preserve">                                    </w:t>
      </w:r>
    </w:p>
    <w:p>
      <w:pPr>
        <w:autoSpaceDE w:val="0"/>
        <w:autoSpaceDN w:val="0"/>
        <w:adjustRightInd w:val="0"/>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成立时间</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年</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pPr>
        <w:autoSpaceDE w:val="0"/>
        <w:autoSpaceDN w:val="0"/>
        <w:adjustRightInd w:val="0"/>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经营期限：</w:t>
      </w:r>
      <w:r>
        <w:rPr>
          <w:rFonts w:hint="eastAsia" w:ascii="宋体" w:hAnsi="宋体" w:eastAsia="宋体" w:cs="宋体"/>
          <w:sz w:val="24"/>
          <w:szCs w:val="24"/>
          <w:u w:val="single"/>
          <w:lang w:val="zh-CN"/>
        </w:rPr>
        <w:t xml:space="preserve">                                </w:t>
      </w:r>
    </w:p>
    <w:p>
      <w:pPr>
        <w:autoSpaceDE w:val="0"/>
        <w:autoSpaceDN w:val="0"/>
        <w:adjustRightInd w:val="0"/>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lang w:val="zh-CN"/>
        </w:rPr>
        <w:t xml:space="preserve">   姓名：</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 性别：</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 年龄：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 职务：</w:t>
      </w:r>
      <w:r>
        <w:rPr>
          <w:rFonts w:hint="eastAsia" w:ascii="宋体" w:hAnsi="宋体" w:eastAsia="宋体" w:cs="宋体"/>
          <w:sz w:val="24"/>
          <w:szCs w:val="24"/>
          <w:u w:val="single"/>
          <w:lang w:val="en-US" w:eastAsia="zh-CN"/>
        </w:rPr>
        <w:t xml:space="preserve">        </w:t>
      </w:r>
    </w:p>
    <w:p>
      <w:pPr>
        <w:autoSpaceDE w:val="0"/>
        <w:autoSpaceDN w:val="0"/>
        <w:adjustRightInd w:val="0"/>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系</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(投标人名称)的法定代表人。</w:t>
      </w:r>
    </w:p>
    <w:p>
      <w:pPr>
        <w:autoSpaceDE w:val="0"/>
        <w:autoSpaceDN w:val="0"/>
        <w:adjustRightInd w:val="0"/>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p>
    <w:p>
      <w:pPr>
        <w:autoSpaceDE w:val="0"/>
        <w:autoSpaceDN w:val="0"/>
        <w:adjustRightInd w:val="0"/>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特此证明。</w:t>
      </w:r>
    </w:p>
    <w:p>
      <w:pPr>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ind w:firstLine="480" w:firstLineChars="200"/>
        <w:jc w:val="lef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附：法定代表人（单位负责人）身份证复印件。</w:t>
      </w:r>
    </w:p>
    <w:p>
      <w:pPr>
        <w:tabs>
          <w:tab w:val="left" w:pos="2084"/>
        </w:tabs>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jc w:val="left"/>
        <w:rPr>
          <w:rFonts w:hint="eastAsia" w:ascii="宋体" w:hAnsi="宋体" w:eastAsia="宋体" w:cs="宋体"/>
          <w:sz w:val="24"/>
          <w:szCs w:val="24"/>
          <w:lang w:val="zh-CN"/>
        </w:rPr>
      </w:pPr>
    </w:p>
    <w:p>
      <w:pPr>
        <w:autoSpaceDE w:val="0"/>
        <w:autoSpaceDN w:val="0"/>
        <w:adjustRightInd w:val="0"/>
        <w:spacing w:line="360" w:lineRule="auto"/>
        <w:jc w:val="right"/>
        <w:rPr>
          <w:rFonts w:hint="eastAsia" w:ascii="宋体" w:hAnsi="宋体" w:eastAsia="宋体" w:cs="宋体"/>
          <w:sz w:val="24"/>
          <w:szCs w:val="24"/>
          <w:lang w:val="zh-CN"/>
        </w:rPr>
      </w:pPr>
      <w:r>
        <w:rPr>
          <w:rFonts w:hint="eastAsia" w:ascii="宋体" w:hAnsi="宋体" w:eastAsia="宋体" w:cs="宋体"/>
          <w:sz w:val="24"/>
          <w:szCs w:val="24"/>
          <w:lang w:val="zh-CN"/>
        </w:rPr>
        <w:t>投标人：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(盖单位章)</w:t>
      </w:r>
    </w:p>
    <w:p>
      <w:pPr>
        <w:autoSpaceDE w:val="0"/>
        <w:autoSpaceDN w:val="0"/>
        <w:adjustRightInd w:val="0"/>
        <w:spacing w:line="360" w:lineRule="auto"/>
        <w:ind w:firstLine="6480" w:firstLineChars="2700"/>
        <w:jc w:val="right"/>
        <w:rPr>
          <w:rFonts w:hint="eastAsia" w:ascii="宋体" w:hAnsi="宋体" w:eastAsia="宋体" w:cs="宋体"/>
          <w:sz w:val="24"/>
          <w:szCs w:val="24"/>
          <w:lang w:val="zh-CN"/>
        </w:rPr>
      </w:pPr>
    </w:p>
    <w:p>
      <w:pPr>
        <w:autoSpaceDE w:val="0"/>
        <w:autoSpaceDN w:val="0"/>
        <w:adjustRightInd w:val="0"/>
        <w:spacing w:line="360" w:lineRule="auto"/>
        <w:jc w:val="right"/>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年</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pPr>
        <w:spacing w:line="360" w:lineRule="auto"/>
        <w:contextualSpacing/>
        <w:rPr>
          <w:rFonts w:hint="eastAsia" w:ascii="宋体" w:hAnsi="宋体" w:eastAsia="宋体" w:cs="宋体"/>
          <w:sz w:val="24"/>
          <w:szCs w:val="24"/>
        </w:rPr>
      </w:pPr>
    </w:p>
    <w:p>
      <w:pPr>
        <w:spacing w:line="360" w:lineRule="auto"/>
        <w:contextualSpacing/>
        <w:rPr>
          <w:rFonts w:hint="eastAsia" w:ascii="宋体" w:hAnsi="宋体" w:eastAsia="宋体" w:cs="宋体"/>
          <w:sz w:val="24"/>
          <w:szCs w:val="24"/>
        </w:rPr>
      </w:pPr>
      <w:bookmarkStart w:id="415" w:name="_Toc152045792"/>
      <w:bookmarkStart w:id="416" w:name="_Toc285981646"/>
      <w:bookmarkStart w:id="417" w:name="_Toc262740155"/>
      <w:bookmarkStart w:id="418" w:name="_Toc238797664"/>
      <w:bookmarkStart w:id="419" w:name="_Toc238552302"/>
      <w:bookmarkStart w:id="420" w:name="_Toc152042581"/>
      <w:bookmarkStart w:id="421" w:name="_Toc144974861"/>
    </w:p>
    <w:p>
      <w:pPr>
        <w:spacing w:line="360" w:lineRule="auto"/>
        <w:contextualSpacing/>
        <w:rPr>
          <w:rFonts w:hint="eastAsia" w:ascii="宋体" w:hAnsi="宋体" w:eastAsia="宋体" w:cs="宋体"/>
          <w:sz w:val="24"/>
          <w:szCs w:val="24"/>
        </w:rPr>
      </w:pPr>
    </w:p>
    <w:p>
      <w:pPr>
        <w:spacing w:line="360" w:lineRule="auto"/>
        <w:contextualSpacing/>
        <w:rPr>
          <w:rFonts w:hint="eastAsia" w:ascii="宋体" w:hAnsi="宋体" w:eastAsia="宋体" w:cs="宋体"/>
          <w:sz w:val="24"/>
          <w:szCs w:val="24"/>
        </w:rPr>
      </w:pPr>
    </w:p>
    <w:p>
      <w:pPr>
        <w:rPr>
          <w:rFonts w:hint="eastAsia" w:ascii="宋体" w:hAnsi="宋体" w:eastAsia="宋体" w:cs="宋体"/>
          <w:b/>
          <w:sz w:val="24"/>
          <w:szCs w:val="24"/>
          <w:lang w:eastAsia="zh-CN"/>
        </w:rPr>
      </w:pPr>
      <w:bookmarkStart w:id="422" w:name="_Toc9964"/>
      <w:bookmarkStart w:id="423" w:name="_Toc329757316"/>
      <w:bookmarkStart w:id="424" w:name="_Toc476566567"/>
      <w:r>
        <w:rPr>
          <w:rFonts w:hint="eastAsia" w:ascii="宋体" w:hAnsi="宋体" w:eastAsia="宋体" w:cs="宋体"/>
          <w:b/>
          <w:sz w:val="24"/>
          <w:szCs w:val="24"/>
          <w:lang w:eastAsia="zh-CN"/>
        </w:rPr>
        <w:br w:type="page"/>
      </w:r>
    </w:p>
    <w:p>
      <w:pPr>
        <w:spacing w:line="360" w:lineRule="auto"/>
        <w:contextualSpacing/>
        <w:jc w:val="center"/>
        <w:outlineLvl w:val="1"/>
        <w:rPr>
          <w:rFonts w:hint="eastAsia" w:ascii="宋体" w:hAnsi="宋体" w:eastAsia="宋体" w:cs="宋体"/>
          <w:b/>
          <w:sz w:val="24"/>
          <w:szCs w:val="24"/>
        </w:rPr>
      </w:pPr>
      <w:r>
        <w:rPr>
          <w:rFonts w:hint="eastAsia" w:ascii="宋体" w:hAnsi="宋体" w:eastAsia="宋体" w:cs="宋体"/>
          <w:b/>
          <w:sz w:val="24"/>
          <w:szCs w:val="24"/>
          <w:lang w:eastAsia="zh-CN"/>
        </w:rPr>
        <w:t>三</w:t>
      </w:r>
      <w:r>
        <w:rPr>
          <w:rFonts w:hint="eastAsia" w:ascii="宋体" w:hAnsi="宋体" w:eastAsia="宋体" w:cs="宋体"/>
          <w:b/>
          <w:sz w:val="24"/>
          <w:szCs w:val="24"/>
        </w:rPr>
        <w:t>.授权委托书</w:t>
      </w:r>
      <w:bookmarkEnd w:id="415"/>
      <w:bookmarkEnd w:id="416"/>
      <w:bookmarkEnd w:id="417"/>
      <w:bookmarkEnd w:id="418"/>
      <w:bookmarkEnd w:id="419"/>
      <w:bookmarkEnd w:id="420"/>
      <w:bookmarkEnd w:id="421"/>
      <w:bookmarkEnd w:id="422"/>
      <w:bookmarkEnd w:id="423"/>
      <w:bookmarkEnd w:id="424"/>
    </w:p>
    <w:p>
      <w:pPr>
        <w:spacing w:line="360" w:lineRule="auto"/>
        <w:contextualSpacing/>
        <w:rPr>
          <w:rFonts w:hint="eastAsia" w:ascii="宋体" w:hAnsi="宋体" w:eastAsia="宋体" w:cs="宋体"/>
          <w:sz w:val="24"/>
          <w:szCs w:val="24"/>
        </w:rPr>
      </w:pPr>
    </w:p>
    <w:p>
      <w:pPr>
        <w:topLinePunct/>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）的法定代表人，现委托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（姓名）为我方代理人。代理人根据授权，以我方名义签署、澄清、说明、补正、递交、撤回、修改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标段</w:t>
      </w:r>
      <w:r>
        <w:rPr>
          <w:rFonts w:hint="eastAsia" w:ascii="宋体" w:hAnsi="宋体" w:eastAsia="宋体" w:cs="宋体"/>
          <w:sz w:val="24"/>
          <w:szCs w:val="24"/>
        </w:rPr>
        <w:t>名称）投标文件、签订合同和处理有关事宜，其法律后果由我方承担。</w:t>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委托期限：</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代理人无转委托权。</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附：</w:t>
      </w:r>
      <w:r>
        <w:rPr>
          <w:rFonts w:hint="eastAsia" w:ascii="宋体" w:hAnsi="宋体" w:eastAsia="宋体" w:cs="宋体"/>
          <w:sz w:val="24"/>
          <w:szCs w:val="24"/>
          <w:lang w:eastAsia="zh-CN"/>
        </w:rPr>
        <w:t>法定代表人身份证复印件及委托代理人身份证复印件。</w:t>
      </w:r>
    </w:p>
    <w:p>
      <w:pPr>
        <w:pStyle w:val="12"/>
        <w:spacing w:line="360" w:lineRule="auto"/>
        <w:ind w:firstLine="420"/>
        <w:contextualSpacing/>
        <w:rPr>
          <w:rFonts w:hint="eastAsia" w:ascii="宋体" w:hAnsi="宋体" w:eastAsia="宋体" w:cs="宋体"/>
          <w:sz w:val="24"/>
          <w:szCs w:val="24"/>
        </w:rPr>
      </w:pPr>
    </w:p>
    <w:p>
      <w:pPr>
        <w:pStyle w:val="12"/>
        <w:spacing w:line="360" w:lineRule="auto"/>
        <w:ind w:firstLine="420"/>
        <w:contextualSpacing/>
        <w:rPr>
          <w:rFonts w:hint="eastAsia" w:ascii="宋体" w:hAnsi="宋体" w:eastAsia="宋体" w:cs="宋体"/>
          <w:sz w:val="24"/>
          <w:szCs w:val="24"/>
        </w:rPr>
      </w:pPr>
    </w:p>
    <w:p>
      <w:pPr>
        <w:pStyle w:val="12"/>
        <w:spacing w:line="360" w:lineRule="auto"/>
        <w:ind w:firstLine="420"/>
        <w:contextualSpacing/>
        <w:rPr>
          <w:rFonts w:hint="eastAsia" w:ascii="宋体" w:hAnsi="宋体" w:eastAsia="宋体" w:cs="宋体"/>
          <w:sz w:val="24"/>
          <w:szCs w:val="24"/>
        </w:rPr>
      </w:pPr>
    </w:p>
    <w:p>
      <w:pPr>
        <w:pStyle w:val="9"/>
        <w:spacing w:before="8"/>
        <w:rPr>
          <w:rFonts w:hint="eastAsia" w:ascii="宋体" w:hAnsi="宋体" w:eastAsia="宋体" w:cs="宋体"/>
          <w:sz w:val="24"/>
          <w:szCs w:val="24"/>
          <w:lang w:eastAsia="zh-CN"/>
        </w:rPr>
      </w:pPr>
    </w:p>
    <w:p>
      <w:pPr>
        <w:pStyle w:val="9"/>
        <w:tabs>
          <w:tab w:val="left" w:pos="3216"/>
          <w:tab w:val="left" w:pos="3636"/>
          <w:tab w:val="left" w:pos="7241"/>
        </w:tabs>
        <w:spacing w:before="1"/>
        <w:ind w:left="2793" w:right="21"/>
        <w:rPr>
          <w:rFonts w:hint="eastAsia" w:ascii="宋体" w:hAnsi="宋体" w:eastAsia="宋体" w:cs="宋体"/>
          <w:b w:val="0"/>
          <w:bCs/>
          <w:sz w:val="24"/>
          <w:szCs w:val="24"/>
          <w:lang w:eastAsia="zh-CN"/>
        </w:rPr>
      </w:pPr>
      <w:r>
        <w:rPr>
          <w:rFonts w:hint="eastAsia" w:ascii="宋体" w:hAnsi="宋体" w:eastAsia="宋体" w:cs="宋体"/>
          <w:b w:val="0"/>
          <w:bCs/>
          <w:spacing w:val="-3"/>
          <w:sz w:val="24"/>
          <w:szCs w:val="24"/>
          <w:lang w:val="en-US" w:eastAsia="zh-CN"/>
        </w:rPr>
        <w:t xml:space="preserve">投 标 </w:t>
      </w:r>
      <w:r>
        <w:rPr>
          <w:rFonts w:hint="eastAsia" w:ascii="宋体" w:hAnsi="宋体" w:eastAsia="宋体" w:cs="宋体"/>
          <w:b w:val="0"/>
          <w:bCs/>
          <w:spacing w:val="-3"/>
          <w:sz w:val="24"/>
          <w:szCs w:val="24"/>
          <w:lang w:eastAsia="zh-CN"/>
        </w:rPr>
        <w:t>人：</w:t>
      </w:r>
      <w:r>
        <w:rPr>
          <w:rFonts w:hint="eastAsia" w:ascii="宋体" w:hAnsi="宋体" w:eastAsia="宋体" w:cs="宋体"/>
          <w:b w:val="0"/>
          <w:bCs/>
          <w:spacing w:val="-3"/>
          <w:sz w:val="24"/>
          <w:szCs w:val="24"/>
          <w:u w:val="single"/>
          <w:lang w:eastAsia="zh-CN"/>
        </w:rPr>
        <w:tab/>
      </w:r>
      <w:r>
        <w:rPr>
          <w:rFonts w:hint="eastAsia" w:ascii="宋体" w:hAnsi="宋体" w:eastAsia="宋体" w:cs="宋体"/>
          <w:b w:val="0"/>
          <w:bCs/>
          <w:sz w:val="24"/>
          <w:szCs w:val="24"/>
          <w:lang w:eastAsia="zh-CN"/>
        </w:rPr>
        <w:t>（单位公章）</w:t>
      </w:r>
    </w:p>
    <w:p>
      <w:pPr>
        <w:pStyle w:val="9"/>
        <w:rPr>
          <w:rFonts w:hint="eastAsia" w:ascii="宋体" w:hAnsi="宋体" w:eastAsia="宋体" w:cs="宋体"/>
          <w:b w:val="0"/>
          <w:bCs/>
          <w:sz w:val="24"/>
          <w:szCs w:val="24"/>
          <w:lang w:eastAsia="zh-CN"/>
        </w:rPr>
      </w:pPr>
    </w:p>
    <w:p>
      <w:pPr>
        <w:pStyle w:val="9"/>
        <w:spacing w:before="4"/>
        <w:rPr>
          <w:rFonts w:hint="eastAsia" w:ascii="宋体" w:hAnsi="宋体" w:eastAsia="宋体" w:cs="宋体"/>
          <w:b w:val="0"/>
          <w:bCs/>
          <w:sz w:val="24"/>
          <w:szCs w:val="24"/>
          <w:lang w:eastAsia="zh-CN"/>
        </w:rPr>
      </w:pPr>
    </w:p>
    <w:p>
      <w:pPr>
        <w:pStyle w:val="9"/>
        <w:tabs>
          <w:tab w:val="left" w:pos="7661"/>
        </w:tabs>
        <w:spacing w:before="37"/>
        <w:ind w:left="2791" w:right="21"/>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法定</w:t>
      </w:r>
      <w:r>
        <w:rPr>
          <w:rFonts w:hint="eastAsia" w:ascii="宋体" w:hAnsi="宋体" w:eastAsia="宋体" w:cs="宋体"/>
          <w:b w:val="0"/>
          <w:bCs/>
          <w:spacing w:val="-3"/>
          <w:sz w:val="24"/>
          <w:szCs w:val="24"/>
          <w:lang w:eastAsia="zh-CN"/>
        </w:rPr>
        <w:t>代</w:t>
      </w:r>
      <w:r>
        <w:rPr>
          <w:rFonts w:hint="eastAsia" w:ascii="宋体" w:hAnsi="宋体" w:eastAsia="宋体" w:cs="宋体"/>
          <w:b w:val="0"/>
          <w:bCs/>
          <w:sz w:val="24"/>
          <w:szCs w:val="24"/>
          <w:lang w:eastAsia="zh-CN"/>
        </w:rPr>
        <w:t>表</w:t>
      </w:r>
      <w:r>
        <w:rPr>
          <w:rFonts w:hint="eastAsia" w:ascii="宋体" w:hAnsi="宋体" w:eastAsia="宋体" w:cs="宋体"/>
          <w:b w:val="0"/>
          <w:bCs/>
          <w:spacing w:val="-3"/>
          <w:sz w:val="24"/>
          <w:szCs w:val="24"/>
          <w:lang w:eastAsia="zh-CN"/>
        </w:rPr>
        <w:t>人：</w:t>
      </w:r>
      <w:r>
        <w:rPr>
          <w:rFonts w:hint="eastAsia" w:ascii="宋体" w:hAnsi="宋体" w:eastAsia="宋体" w:cs="宋体"/>
          <w:b w:val="0"/>
          <w:bCs/>
          <w:spacing w:val="-3"/>
          <w:sz w:val="24"/>
          <w:szCs w:val="24"/>
          <w:u w:val="single"/>
          <w:lang w:val="en-US" w:eastAsia="zh-CN"/>
        </w:rPr>
        <w:t xml:space="preserve">                           </w:t>
      </w:r>
      <w:r>
        <w:rPr>
          <w:rFonts w:hint="eastAsia" w:ascii="宋体" w:hAnsi="宋体" w:eastAsia="宋体" w:cs="宋体"/>
          <w:b w:val="0"/>
          <w:bCs/>
          <w:sz w:val="24"/>
          <w:szCs w:val="24"/>
          <w:lang w:eastAsia="zh-CN"/>
        </w:rPr>
        <w:t>（签</w:t>
      </w:r>
      <w:r>
        <w:rPr>
          <w:rFonts w:hint="eastAsia" w:ascii="宋体" w:hAnsi="宋体" w:eastAsia="宋体" w:cs="宋体"/>
          <w:b w:val="0"/>
          <w:bCs/>
          <w:spacing w:val="-3"/>
          <w:sz w:val="24"/>
          <w:szCs w:val="24"/>
          <w:lang w:eastAsia="zh-CN"/>
        </w:rPr>
        <w:t>字</w:t>
      </w:r>
      <w:r>
        <w:rPr>
          <w:rFonts w:hint="eastAsia" w:ascii="宋体" w:hAnsi="宋体" w:eastAsia="宋体" w:cs="宋体"/>
          <w:b w:val="0"/>
          <w:bCs/>
          <w:spacing w:val="-3"/>
          <w:sz w:val="24"/>
          <w:szCs w:val="24"/>
          <w:lang w:val="en-US" w:eastAsia="zh-CN"/>
        </w:rPr>
        <w:t>或盖章</w:t>
      </w:r>
      <w:r>
        <w:rPr>
          <w:rFonts w:hint="eastAsia" w:ascii="宋体" w:hAnsi="宋体" w:eastAsia="宋体" w:cs="宋体"/>
          <w:b w:val="0"/>
          <w:bCs/>
          <w:sz w:val="24"/>
          <w:szCs w:val="24"/>
          <w:lang w:eastAsia="zh-CN"/>
        </w:rPr>
        <w:t>）</w:t>
      </w:r>
    </w:p>
    <w:p>
      <w:pPr>
        <w:pStyle w:val="9"/>
        <w:rPr>
          <w:rFonts w:hint="eastAsia" w:ascii="宋体" w:hAnsi="宋体" w:eastAsia="宋体" w:cs="宋体"/>
          <w:b w:val="0"/>
          <w:bCs/>
          <w:sz w:val="24"/>
          <w:szCs w:val="24"/>
          <w:lang w:eastAsia="zh-CN"/>
        </w:rPr>
      </w:pPr>
    </w:p>
    <w:p>
      <w:pPr>
        <w:pStyle w:val="9"/>
        <w:spacing w:before="7"/>
        <w:rPr>
          <w:rFonts w:hint="eastAsia" w:ascii="宋体" w:hAnsi="宋体" w:eastAsia="宋体" w:cs="宋体"/>
          <w:b w:val="0"/>
          <w:bCs/>
          <w:sz w:val="24"/>
          <w:szCs w:val="24"/>
          <w:lang w:eastAsia="zh-CN"/>
        </w:rPr>
      </w:pPr>
    </w:p>
    <w:p>
      <w:pPr>
        <w:pStyle w:val="9"/>
        <w:tabs>
          <w:tab w:val="left" w:pos="8549"/>
        </w:tabs>
        <w:spacing w:before="36"/>
        <w:ind w:left="2793" w:right="21"/>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身份证号码：</w:t>
      </w:r>
      <w:r>
        <w:rPr>
          <w:rFonts w:hint="eastAsia" w:ascii="宋体" w:hAnsi="宋体" w:eastAsia="宋体" w:cs="宋体"/>
          <w:b w:val="0"/>
          <w:bCs/>
          <w:sz w:val="24"/>
          <w:szCs w:val="24"/>
          <w:u w:val="single"/>
          <w:lang w:eastAsia="zh-CN"/>
        </w:rPr>
        <w:tab/>
      </w:r>
    </w:p>
    <w:p>
      <w:pPr>
        <w:pStyle w:val="9"/>
        <w:rPr>
          <w:rFonts w:hint="eastAsia" w:ascii="宋体" w:hAnsi="宋体" w:eastAsia="宋体" w:cs="宋体"/>
          <w:b w:val="0"/>
          <w:bCs/>
          <w:sz w:val="24"/>
          <w:szCs w:val="24"/>
          <w:lang w:eastAsia="zh-CN"/>
        </w:rPr>
      </w:pPr>
    </w:p>
    <w:p>
      <w:pPr>
        <w:pStyle w:val="9"/>
        <w:spacing w:before="6"/>
        <w:rPr>
          <w:rFonts w:hint="eastAsia" w:ascii="宋体" w:hAnsi="宋体" w:eastAsia="宋体" w:cs="宋体"/>
          <w:b w:val="0"/>
          <w:bCs/>
          <w:sz w:val="24"/>
          <w:szCs w:val="24"/>
          <w:lang w:eastAsia="zh-CN"/>
        </w:rPr>
      </w:pPr>
    </w:p>
    <w:p>
      <w:pPr>
        <w:pStyle w:val="9"/>
        <w:tabs>
          <w:tab w:val="left" w:pos="7661"/>
        </w:tabs>
        <w:spacing w:before="37"/>
        <w:ind w:right="21" w:firstLine="2808" w:firstLineChars="1200"/>
        <w:jc w:val="both"/>
        <w:rPr>
          <w:rFonts w:hint="eastAsia" w:ascii="宋体" w:hAnsi="宋体" w:eastAsia="宋体" w:cs="宋体"/>
          <w:b w:val="0"/>
          <w:bCs/>
          <w:sz w:val="24"/>
          <w:szCs w:val="24"/>
          <w:lang w:eastAsia="zh-CN"/>
        </w:rPr>
      </w:pPr>
      <w:r>
        <w:rPr>
          <w:rFonts w:hint="eastAsia" w:ascii="宋体" w:hAnsi="宋体" w:eastAsia="宋体" w:cs="宋体"/>
          <w:b w:val="0"/>
          <w:bCs/>
          <w:spacing w:val="-3"/>
          <w:sz w:val="24"/>
          <w:szCs w:val="24"/>
          <w:lang w:val="en-US" w:eastAsia="zh-CN"/>
        </w:rPr>
        <w:t>委托</w:t>
      </w:r>
      <w:r>
        <w:rPr>
          <w:rFonts w:hint="eastAsia" w:ascii="宋体" w:hAnsi="宋体" w:eastAsia="宋体" w:cs="宋体"/>
          <w:b w:val="0"/>
          <w:bCs/>
          <w:spacing w:val="-3"/>
          <w:sz w:val="24"/>
          <w:szCs w:val="24"/>
          <w:lang w:eastAsia="zh-CN"/>
        </w:rPr>
        <w:t>代理人：</w:t>
      </w:r>
      <w:r>
        <w:rPr>
          <w:rFonts w:hint="eastAsia" w:ascii="宋体" w:hAnsi="宋体" w:eastAsia="宋体" w:cs="宋体"/>
          <w:b w:val="0"/>
          <w:bCs/>
          <w:spacing w:val="-3"/>
          <w:sz w:val="24"/>
          <w:szCs w:val="24"/>
          <w:u w:val="single"/>
          <w:lang w:val="en-US" w:eastAsia="zh-CN"/>
        </w:rPr>
        <w:t xml:space="preserve">                                </w:t>
      </w:r>
      <w:r>
        <w:rPr>
          <w:rFonts w:hint="eastAsia" w:ascii="宋体" w:hAnsi="宋体" w:eastAsia="宋体" w:cs="宋体"/>
          <w:b w:val="0"/>
          <w:bCs/>
          <w:sz w:val="24"/>
          <w:szCs w:val="24"/>
          <w:lang w:eastAsia="zh-CN"/>
        </w:rPr>
        <w:t>（签字）</w:t>
      </w:r>
    </w:p>
    <w:p>
      <w:pPr>
        <w:pStyle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p>
    <w:p>
      <w:pPr>
        <w:pStyle w:val="9"/>
        <w:spacing w:before="4"/>
        <w:rPr>
          <w:rFonts w:hint="eastAsia" w:ascii="宋体" w:hAnsi="宋体" w:eastAsia="宋体" w:cs="宋体"/>
          <w:b w:val="0"/>
          <w:bCs/>
          <w:sz w:val="24"/>
          <w:szCs w:val="24"/>
          <w:lang w:eastAsia="zh-CN"/>
        </w:rPr>
      </w:pPr>
    </w:p>
    <w:p>
      <w:pPr>
        <w:pStyle w:val="9"/>
        <w:tabs>
          <w:tab w:val="left" w:pos="8549"/>
        </w:tabs>
        <w:spacing w:before="37"/>
        <w:ind w:left="2793" w:right="21"/>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身份证号码：</w:t>
      </w:r>
      <w:r>
        <w:rPr>
          <w:rFonts w:hint="eastAsia" w:ascii="宋体" w:hAnsi="宋体" w:eastAsia="宋体" w:cs="宋体"/>
          <w:b w:val="0"/>
          <w:bCs/>
          <w:sz w:val="24"/>
          <w:szCs w:val="24"/>
          <w:u w:val="single"/>
          <w:lang w:eastAsia="zh-CN"/>
        </w:rPr>
        <w:tab/>
      </w:r>
    </w:p>
    <w:p>
      <w:pPr>
        <w:pStyle w:val="9"/>
        <w:rPr>
          <w:rFonts w:hint="eastAsia" w:ascii="宋体" w:hAnsi="宋体" w:eastAsia="宋体" w:cs="宋体"/>
          <w:b w:val="0"/>
          <w:bCs/>
          <w:sz w:val="24"/>
          <w:szCs w:val="24"/>
          <w:lang w:eastAsia="zh-CN"/>
        </w:rPr>
      </w:pPr>
    </w:p>
    <w:p>
      <w:pPr>
        <w:pStyle w:val="9"/>
        <w:rPr>
          <w:rFonts w:hint="eastAsia" w:ascii="宋体" w:hAnsi="宋体" w:eastAsia="宋体" w:cs="宋体"/>
          <w:b w:val="0"/>
          <w:bCs/>
          <w:sz w:val="24"/>
          <w:szCs w:val="24"/>
          <w:lang w:eastAsia="zh-CN"/>
        </w:rPr>
      </w:pPr>
    </w:p>
    <w:p>
      <w:pPr>
        <w:pStyle w:val="9"/>
        <w:rPr>
          <w:rFonts w:hint="eastAsia" w:ascii="宋体" w:hAnsi="宋体" w:eastAsia="宋体" w:cs="宋体"/>
          <w:b w:val="0"/>
          <w:bCs/>
          <w:sz w:val="24"/>
          <w:szCs w:val="24"/>
          <w:lang w:eastAsia="zh-CN"/>
        </w:rPr>
      </w:pPr>
    </w:p>
    <w:p>
      <w:pPr>
        <w:pStyle w:val="9"/>
        <w:spacing w:before="8"/>
        <w:rPr>
          <w:rFonts w:hint="eastAsia" w:ascii="宋体" w:hAnsi="宋体" w:eastAsia="宋体" w:cs="宋体"/>
          <w:b w:val="0"/>
          <w:bCs/>
          <w:sz w:val="24"/>
          <w:szCs w:val="24"/>
          <w:lang w:eastAsia="zh-CN"/>
        </w:rPr>
      </w:pPr>
    </w:p>
    <w:p>
      <w:pPr>
        <w:pStyle w:val="9"/>
        <w:tabs>
          <w:tab w:val="left" w:pos="6643"/>
          <w:tab w:val="left" w:pos="7589"/>
          <w:tab w:val="left" w:pos="8533"/>
        </w:tabs>
        <w:spacing w:before="36"/>
        <w:ind w:left="5907" w:right="21"/>
        <w:rPr>
          <w:rFonts w:hint="eastAsia" w:ascii="宋体" w:hAnsi="宋体" w:eastAsia="宋体" w:cs="宋体"/>
          <w:b w:val="0"/>
          <w:bCs/>
          <w:sz w:val="24"/>
          <w:szCs w:val="24"/>
          <w:lang w:eastAsia="zh-CN"/>
        </w:rPr>
      </w:pPr>
      <w:r>
        <w:rPr>
          <w:rFonts w:hint="eastAsia" w:ascii="宋体" w:hAnsi="宋体" w:eastAsia="宋体" w:cs="宋体"/>
          <w:b w:val="0"/>
          <w:bCs/>
          <w:sz w:val="24"/>
          <w:szCs w:val="24"/>
          <w:u w:val="single"/>
          <w:lang w:eastAsia="zh-CN"/>
        </w:rPr>
        <w:tab/>
      </w:r>
      <w:r>
        <w:rPr>
          <w:rFonts w:hint="eastAsia" w:ascii="宋体" w:hAnsi="宋体" w:eastAsia="宋体" w:cs="宋体"/>
          <w:b w:val="0"/>
          <w:bCs/>
          <w:sz w:val="24"/>
          <w:szCs w:val="24"/>
          <w:lang w:eastAsia="zh-CN"/>
        </w:rPr>
        <w:t>年</w:t>
      </w:r>
      <w:r>
        <w:rPr>
          <w:rFonts w:hint="eastAsia" w:ascii="宋体" w:hAnsi="宋体" w:eastAsia="宋体" w:cs="宋体"/>
          <w:b w:val="0"/>
          <w:bCs/>
          <w:sz w:val="24"/>
          <w:szCs w:val="24"/>
          <w:u w:val="single"/>
          <w:lang w:eastAsia="zh-CN"/>
        </w:rPr>
        <w:tab/>
      </w:r>
      <w:r>
        <w:rPr>
          <w:rFonts w:hint="eastAsia" w:ascii="宋体" w:hAnsi="宋体" w:eastAsia="宋体" w:cs="宋体"/>
          <w:b w:val="0"/>
          <w:bCs/>
          <w:spacing w:val="-3"/>
          <w:sz w:val="24"/>
          <w:szCs w:val="24"/>
          <w:lang w:eastAsia="zh-CN"/>
        </w:rPr>
        <w:t>月</w:t>
      </w:r>
      <w:r>
        <w:rPr>
          <w:rFonts w:hint="eastAsia" w:ascii="宋体" w:hAnsi="宋体" w:eastAsia="宋体" w:cs="宋体"/>
          <w:b w:val="0"/>
          <w:bCs/>
          <w:spacing w:val="-3"/>
          <w:sz w:val="24"/>
          <w:szCs w:val="24"/>
          <w:u w:val="single"/>
          <w:lang w:eastAsia="zh-CN"/>
        </w:rPr>
        <w:tab/>
      </w:r>
      <w:r>
        <w:rPr>
          <w:rFonts w:hint="eastAsia" w:ascii="宋体" w:hAnsi="宋体" w:eastAsia="宋体" w:cs="宋体"/>
          <w:b w:val="0"/>
          <w:bCs/>
          <w:sz w:val="24"/>
          <w:szCs w:val="24"/>
          <w:lang w:eastAsia="zh-CN"/>
        </w:rPr>
        <w:t>日</w:t>
      </w:r>
    </w:p>
    <w:p>
      <w:pPr>
        <w:rPr>
          <w:rFonts w:hint="eastAsia" w:ascii="宋体" w:hAnsi="宋体" w:eastAsia="宋体" w:cs="宋体"/>
          <w:b w:val="0"/>
          <w:bCs/>
          <w:sz w:val="24"/>
          <w:szCs w:val="24"/>
          <w:lang w:eastAsia="zh-CN"/>
        </w:rPr>
        <w:sectPr>
          <w:pgSz w:w="12240" w:h="15840"/>
          <w:pgMar w:top="1400" w:right="1580" w:bottom="1120" w:left="1700" w:header="862" w:footer="862" w:gutter="0"/>
          <w:pgBorders>
            <w:top w:val="none" w:sz="0" w:space="0"/>
            <w:left w:val="none" w:sz="0" w:space="0"/>
            <w:bottom w:val="none" w:sz="0" w:space="0"/>
            <w:right w:val="none" w:sz="0" w:space="0"/>
          </w:pgBorders>
          <w:pgNumType w:fmt="decimal"/>
          <w:cols w:space="720" w:num="1"/>
        </w:sectPr>
      </w:pPr>
    </w:p>
    <w:p>
      <w:pPr>
        <w:spacing w:line="360" w:lineRule="auto"/>
        <w:contextualSpacing/>
        <w:jc w:val="center"/>
        <w:outlineLvl w:val="1"/>
        <w:rPr>
          <w:rFonts w:hint="eastAsia" w:ascii="宋体" w:hAnsi="宋体" w:eastAsia="宋体" w:cs="宋体"/>
          <w:b/>
          <w:sz w:val="24"/>
          <w:szCs w:val="24"/>
        </w:rPr>
      </w:pPr>
      <w:bookmarkStart w:id="425" w:name="_Toc144974862"/>
      <w:bookmarkStart w:id="426" w:name="_Toc238552304"/>
      <w:bookmarkStart w:id="427" w:name="_Toc238797666"/>
      <w:bookmarkStart w:id="428" w:name="_Toc152042583"/>
      <w:bookmarkStart w:id="429" w:name="_Toc152045794"/>
      <w:bookmarkStart w:id="430" w:name="_Toc262740156"/>
      <w:bookmarkStart w:id="431" w:name="_Toc476566568"/>
      <w:bookmarkStart w:id="432" w:name="_Toc285981647"/>
      <w:bookmarkStart w:id="433" w:name="_Toc329757317"/>
      <w:bookmarkStart w:id="434" w:name="_Toc16456"/>
      <w:r>
        <w:rPr>
          <w:rFonts w:hint="eastAsia" w:ascii="宋体" w:hAnsi="宋体" w:eastAsia="宋体" w:cs="宋体"/>
          <w:b/>
          <w:sz w:val="24"/>
          <w:szCs w:val="24"/>
          <w:lang w:eastAsia="zh-CN"/>
        </w:rPr>
        <w:t>四</w:t>
      </w:r>
      <w:r>
        <w:rPr>
          <w:rFonts w:hint="eastAsia" w:ascii="宋体" w:hAnsi="宋体" w:eastAsia="宋体" w:cs="宋体"/>
          <w:b/>
          <w:sz w:val="24"/>
          <w:szCs w:val="24"/>
        </w:rPr>
        <w:t>.投标</w:t>
      </w:r>
      <w:bookmarkEnd w:id="425"/>
      <w:bookmarkEnd w:id="426"/>
      <w:bookmarkEnd w:id="427"/>
      <w:bookmarkEnd w:id="428"/>
      <w:bookmarkEnd w:id="429"/>
      <w:r>
        <w:rPr>
          <w:rFonts w:hint="eastAsia" w:ascii="宋体" w:hAnsi="宋体" w:eastAsia="宋体" w:cs="宋体"/>
          <w:b/>
          <w:sz w:val="24"/>
          <w:szCs w:val="24"/>
        </w:rPr>
        <w:t>保证金</w:t>
      </w:r>
      <w:bookmarkEnd w:id="430"/>
      <w:bookmarkEnd w:id="431"/>
      <w:bookmarkEnd w:id="432"/>
      <w:bookmarkEnd w:id="433"/>
      <w:bookmarkEnd w:id="434"/>
    </w:p>
    <w:p>
      <w:pPr>
        <w:spacing w:line="440" w:lineRule="exact"/>
        <w:rPr>
          <w:rFonts w:hint="eastAsia" w:ascii="宋体" w:hAnsi="宋体" w:eastAsia="宋体" w:cs="宋体"/>
          <w:sz w:val="24"/>
          <w:szCs w:val="24"/>
          <w:lang w:eastAsia="zh-CN"/>
        </w:rPr>
      </w:pPr>
      <w:bookmarkStart w:id="435" w:name="_Toc476566569"/>
      <w:bookmarkStart w:id="436" w:name="_Toc329757318"/>
      <w:bookmarkStart w:id="437" w:name="_Toc285981648"/>
      <w:bookmarkStart w:id="438" w:name="_Toc238552305"/>
      <w:bookmarkStart w:id="439" w:name="_Toc262740157"/>
      <w:bookmarkStart w:id="440" w:name="_Toc238797667"/>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（采购人名称）：</w:t>
      </w:r>
    </w:p>
    <w:p>
      <w:pPr>
        <w:tabs>
          <w:tab w:val="left" w:pos="4235"/>
        </w:tabs>
        <w:spacing w:line="400" w:lineRule="exact"/>
        <w:ind w:firstLine="720" w:firstLineChars="300"/>
        <w:rPr>
          <w:rFonts w:hint="eastAsia" w:ascii="宋体" w:hAnsi="宋体" w:eastAsia="宋体" w:cs="宋体"/>
          <w:sz w:val="24"/>
          <w:szCs w:val="24"/>
          <w:lang w:eastAsia="zh-CN"/>
        </w:rPr>
      </w:pPr>
      <w:r>
        <w:rPr>
          <w:rFonts w:hint="eastAsia" w:ascii="宋体" w:hAnsi="宋体" w:eastAsia="宋体" w:cs="宋体"/>
          <w:sz w:val="24"/>
          <w:szCs w:val="24"/>
          <w:lang w:eastAsia="zh-CN"/>
        </w:rPr>
        <w:t>我方同意</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文件有关</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保证金的规定，并对我方有约束力。</w:t>
      </w:r>
    </w:p>
    <w:p>
      <w:pPr>
        <w:tabs>
          <w:tab w:val="left" w:pos="4235"/>
        </w:tabs>
        <w:spacing w:line="400" w:lineRule="exact"/>
        <w:ind w:firstLine="720" w:firstLineChars="300"/>
        <w:rPr>
          <w:rFonts w:hint="eastAsia" w:ascii="宋体" w:hAnsi="宋体" w:eastAsia="宋体" w:cs="宋体"/>
          <w:sz w:val="24"/>
          <w:szCs w:val="24"/>
          <w:lang w:eastAsia="zh-CN"/>
        </w:rPr>
      </w:pPr>
    </w:p>
    <w:tbl>
      <w:tblPr>
        <w:tblStyle w:val="25"/>
        <w:tblW w:w="0" w:type="auto"/>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1" w:type="dxa"/>
            <w:noWrap/>
          </w:tcPr>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1066"/>
              </w:tabs>
              <w:spacing w:afterLines="100"/>
              <w:ind w:firstLine="42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附：投标</w:t>
            </w:r>
            <w:r>
              <w:rPr>
                <w:rFonts w:hint="eastAsia" w:ascii="宋体" w:hAnsi="宋体" w:eastAsia="宋体" w:cs="宋体"/>
                <w:b w:val="0"/>
                <w:bCs w:val="0"/>
                <w:sz w:val="24"/>
                <w:szCs w:val="24"/>
                <w:lang w:eastAsia="zh-CN"/>
              </w:rPr>
              <w:t>保证金递交凭证</w:t>
            </w:r>
            <w:r>
              <w:rPr>
                <w:rFonts w:hint="eastAsia" w:ascii="宋体" w:hAnsi="宋体" w:eastAsia="宋体" w:cs="宋体"/>
                <w:b/>
                <w:bCs/>
                <w:sz w:val="24"/>
                <w:szCs w:val="24"/>
                <w:lang w:val="en-US" w:eastAsia="zh-CN"/>
              </w:rPr>
              <w:t>或</w:t>
            </w:r>
            <w:r>
              <w:rPr>
                <w:rFonts w:hint="eastAsia" w:ascii="宋体" w:hAnsi="宋体" w:eastAsia="宋体" w:cs="宋体"/>
                <w:b w:val="0"/>
                <w:bCs w:val="0"/>
                <w:sz w:val="24"/>
                <w:szCs w:val="24"/>
                <w:lang w:val="en-US" w:eastAsia="zh-CN"/>
              </w:rPr>
              <w:t>保函</w:t>
            </w:r>
          </w:p>
          <w:p>
            <w:pPr>
              <w:tabs>
                <w:tab w:val="left" w:pos="1066"/>
              </w:tabs>
              <w:spacing w:afterLines="100"/>
              <w:ind w:firstLine="420"/>
              <w:jc w:val="center"/>
              <w:rPr>
                <w:rFonts w:hint="eastAsia" w:ascii="宋体" w:hAnsi="宋体" w:eastAsia="宋体" w:cs="宋体"/>
                <w:b/>
                <w:bCs/>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本表后附开户许可证或开户证明</w:t>
            </w:r>
            <w:r>
              <w:rPr>
                <w:rFonts w:hint="eastAsia" w:ascii="宋体" w:hAnsi="宋体" w:eastAsia="宋体" w:cs="宋体"/>
                <w:b w:val="0"/>
                <w:bCs w:val="0"/>
                <w:sz w:val="24"/>
                <w:szCs w:val="24"/>
                <w:lang w:eastAsia="zh-CN"/>
              </w:rPr>
              <w:t>）</w:t>
            </w:r>
            <w:r>
              <w:rPr>
                <w:rFonts w:hint="eastAsia" w:ascii="宋体" w:hAnsi="宋体" w:eastAsia="宋体" w:cs="宋体"/>
                <w:b/>
                <w:bCs/>
                <w:sz w:val="24"/>
                <w:szCs w:val="24"/>
                <w:lang w:eastAsia="zh-CN"/>
              </w:rPr>
              <w:t xml:space="preserve"> </w:t>
            </w: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p>
            <w:pPr>
              <w:tabs>
                <w:tab w:val="left" w:pos="4235"/>
              </w:tabs>
              <w:spacing w:line="400" w:lineRule="exact"/>
              <w:rPr>
                <w:rFonts w:hint="eastAsia" w:ascii="宋体" w:hAnsi="宋体" w:eastAsia="宋体" w:cs="宋体"/>
                <w:sz w:val="24"/>
                <w:szCs w:val="24"/>
                <w:lang w:eastAsia="zh-CN"/>
              </w:rPr>
            </w:pPr>
          </w:p>
        </w:tc>
      </w:tr>
    </w:tbl>
    <w:p>
      <w:pPr>
        <w:tabs>
          <w:tab w:val="left" w:pos="4235"/>
        </w:tabs>
        <w:spacing w:line="400" w:lineRule="exact"/>
        <w:ind w:firstLine="720" w:firstLineChars="300"/>
        <w:rPr>
          <w:rFonts w:hint="eastAsia" w:ascii="宋体" w:hAnsi="宋体" w:eastAsia="宋体" w:cs="宋体"/>
          <w:sz w:val="24"/>
          <w:szCs w:val="24"/>
          <w:lang w:eastAsia="zh-CN"/>
        </w:rPr>
      </w:pPr>
    </w:p>
    <w:p>
      <w:pPr>
        <w:tabs>
          <w:tab w:val="left" w:pos="4235"/>
        </w:tabs>
        <w:spacing w:line="400" w:lineRule="exact"/>
        <w:ind w:firstLine="720" w:firstLineChars="300"/>
        <w:jc w:val="right"/>
        <w:rPr>
          <w:rFonts w:hint="eastAsia" w:ascii="宋体" w:hAnsi="宋体" w:eastAsia="宋体" w:cs="宋体"/>
          <w:sz w:val="24"/>
          <w:szCs w:val="24"/>
          <w:lang w:eastAsia="zh-CN"/>
        </w:rPr>
      </w:pPr>
      <w:r>
        <w:rPr>
          <w:rFonts w:hint="eastAsia" w:ascii="宋体" w:hAnsi="宋体" w:eastAsia="宋体" w:cs="宋体"/>
          <w:sz w:val="24"/>
          <w:szCs w:val="24"/>
          <w:lang w:val="en-US" w:eastAsia="zh-CN"/>
        </w:rPr>
        <w:t>投标单位</w:t>
      </w:r>
      <w:r>
        <w:rPr>
          <w:rFonts w:hint="eastAsia" w:ascii="宋体" w:hAnsi="宋体" w:eastAsia="宋体" w:cs="宋体"/>
          <w:sz w:val="24"/>
          <w:szCs w:val="24"/>
          <w:lang w:eastAsia="zh-CN"/>
        </w:rPr>
        <w:t>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（公章）</w:t>
      </w:r>
    </w:p>
    <w:p>
      <w:pPr>
        <w:tabs>
          <w:tab w:val="left" w:pos="4235"/>
        </w:tabs>
        <w:spacing w:line="400" w:lineRule="exact"/>
        <w:ind w:firstLine="720" w:firstLineChars="300"/>
        <w:jc w:val="right"/>
        <w:rPr>
          <w:rFonts w:hint="eastAsia" w:ascii="宋体" w:hAnsi="宋体" w:eastAsia="宋体" w:cs="宋体"/>
          <w:sz w:val="24"/>
          <w:szCs w:val="24"/>
          <w:lang w:eastAsia="zh-CN"/>
        </w:rPr>
      </w:pPr>
    </w:p>
    <w:p>
      <w:pPr>
        <w:tabs>
          <w:tab w:val="left" w:pos="4235"/>
        </w:tabs>
        <w:spacing w:line="400" w:lineRule="exact"/>
        <w:ind w:firstLine="720" w:firstLineChars="300"/>
        <w:jc w:val="right"/>
        <w:rPr>
          <w:rFonts w:hint="eastAsia" w:ascii="宋体" w:hAnsi="宋体" w:eastAsia="宋体" w:cs="宋体"/>
          <w:sz w:val="24"/>
          <w:szCs w:val="24"/>
          <w:lang w:eastAsia="zh-CN"/>
        </w:rPr>
      </w:pPr>
      <w:r>
        <w:rPr>
          <w:rFonts w:hint="eastAsia" w:ascii="宋体" w:hAnsi="宋体" w:eastAsia="宋体" w:cs="宋体"/>
          <w:sz w:val="24"/>
          <w:szCs w:val="24"/>
          <w:lang w:val="en-US" w:eastAsia="zh-CN"/>
        </w:rPr>
        <w:t>法定代表人</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w:t>
      </w:r>
      <w:r>
        <w:rPr>
          <w:rFonts w:hint="eastAsia" w:ascii="宋体" w:hAnsi="宋体" w:eastAsia="宋体" w:cs="宋体"/>
          <w:sz w:val="24"/>
          <w:szCs w:val="24"/>
          <w:lang w:eastAsia="zh-CN"/>
        </w:rPr>
        <w:t>盖章）</w:t>
      </w:r>
    </w:p>
    <w:p>
      <w:pPr>
        <w:tabs>
          <w:tab w:val="left" w:pos="4235"/>
        </w:tabs>
        <w:spacing w:line="400" w:lineRule="exact"/>
        <w:ind w:firstLine="6480" w:firstLineChars="2700"/>
        <w:jc w:val="right"/>
        <w:rPr>
          <w:rFonts w:hint="eastAsia" w:ascii="宋体" w:hAnsi="宋体" w:eastAsia="宋体" w:cs="宋体"/>
          <w:sz w:val="24"/>
          <w:szCs w:val="24"/>
          <w:lang w:eastAsia="zh-CN"/>
        </w:rPr>
      </w:pPr>
    </w:p>
    <w:p>
      <w:pPr>
        <w:tabs>
          <w:tab w:val="left" w:pos="4235"/>
        </w:tabs>
        <w:spacing w:line="400" w:lineRule="exact"/>
        <w:ind w:firstLine="6480" w:firstLineChars="2700"/>
        <w:jc w:val="right"/>
        <w:rPr>
          <w:rFonts w:hint="eastAsia" w:ascii="宋体" w:hAnsi="宋体" w:eastAsia="宋体" w:cs="宋体"/>
          <w:sz w:val="24"/>
          <w:szCs w:val="24"/>
          <w:lang w:eastAsia="zh-CN"/>
        </w:rPr>
      </w:pPr>
      <w:r>
        <w:rPr>
          <w:rFonts w:hint="eastAsia" w:ascii="宋体" w:hAnsi="宋体" w:eastAsia="宋体" w:cs="宋体"/>
          <w:sz w:val="24"/>
          <w:szCs w:val="24"/>
          <w:lang w:eastAsia="zh-CN"/>
        </w:rPr>
        <w:t>年   月   日</w:t>
      </w:r>
    </w:p>
    <w:p>
      <w:pPr>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p>
    <w:p>
      <w:pPr>
        <w:spacing w:line="360" w:lineRule="auto"/>
        <w:contextualSpacing/>
        <w:jc w:val="center"/>
        <w:outlineLvl w:val="1"/>
        <w:rPr>
          <w:rFonts w:hint="eastAsia" w:ascii="宋体" w:hAnsi="宋体" w:eastAsia="宋体" w:cs="宋体"/>
          <w:b/>
          <w:sz w:val="24"/>
          <w:szCs w:val="24"/>
        </w:rPr>
      </w:pPr>
      <w:bookmarkStart w:id="441" w:name="_Toc5610"/>
      <w:r>
        <w:rPr>
          <w:rFonts w:hint="eastAsia" w:ascii="宋体" w:hAnsi="宋体" w:eastAsia="宋体" w:cs="宋体"/>
          <w:b/>
          <w:sz w:val="24"/>
          <w:szCs w:val="24"/>
          <w:lang w:eastAsia="zh-CN"/>
        </w:rPr>
        <w:t>五</w:t>
      </w:r>
      <w:r>
        <w:rPr>
          <w:rFonts w:hint="eastAsia" w:ascii="宋体" w:hAnsi="宋体" w:eastAsia="宋体" w:cs="宋体"/>
          <w:b/>
          <w:sz w:val="24"/>
          <w:szCs w:val="24"/>
        </w:rPr>
        <w:t>. 开标一览表</w:t>
      </w:r>
      <w:bookmarkEnd w:id="435"/>
      <w:bookmarkEnd w:id="436"/>
      <w:bookmarkEnd w:id="441"/>
    </w:p>
    <w:p>
      <w:pPr>
        <w:spacing w:line="360" w:lineRule="auto"/>
        <w:contextualSpacing/>
        <w:jc w:val="center"/>
        <w:rPr>
          <w:rFonts w:hint="eastAsia" w:ascii="宋体" w:hAnsi="宋体" w:eastAsia="宋体" w:cs="宋体"/>
          <w:b/>
          <w:sz w:val="24"/>
          <w:szCs w:val="24"/>
          <w:u w:val="single"/>
        </w:rPr>
      </w:pPr>
    </w:p>
    <w:p>
      <w:pPr>
        <w:spacing w:line="360" w:lineRule="auto"/>
        <w:ind w:firstLine="480" w:firstLineChars="200"/>
        <w:contextualSpacing/>
        <w:rPr>
          <w:rFonts w:hint="eastAsia" w:ascii="宋体" w:hAnsi="宋体" w:eastAsia="宋体" w:cs="宋体"/>
          <w:sz w:val="24"/>
          <w:szCs w:val="24"/>
          <w:u w:val="single"/>
        </w:rPr>
      </w:pPr>
    </w:p>
    <w:p>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 xml:space="preserve">项目名称：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项目</w:t>
      </w:r>
      <w:r>
        <w:rPr>
          <w:rFonts w:hint="eastAsia" w:ascii="宋体" w:hAnsi="宋体" w:eastAsia="宋体" w:cs="宋体"/>
          <w:sz w:val="24"/>
          <w:szCs w:val="24"/>
        </w:rPr>
        <w:t>编号：</w:t>
      </w:r>
    </w:p>
    <w:p>
      <w:pPr>
        <w:spacing w:line="360" w:lineRule="auto"/>
        <w:contextualSpacing/>
        <w:rPr>
          <w:rFonts w:hint="eastAsia" w:ascii="宋体" w:hAnsi="宋体" w:eastAsia="宋体" w:cs="宋体"/>
          <w:sz w:val="24"/>
          <w:szCs w:val="24"/>
          <w:u w:val="single"/>
        </w:rPr>
      </w:pPr>
      <w:r>
        <w:rPr>
          <w:rFonts w:hint="eastAsia" w:ascii="宋体" w:hAnsi="宋体" w:eastAsia="宋体" w:cs="宋体"/>
          <w:sz w:val="24"/>
          <w:szCs w:val="24"/>
          <w:lang w:val="en-US" w:eastAsia="zh-CN"/>
        </w:rPr>
        <w:t>标段名称：                                                    标段编号：</w:t>
      </w:r>
      <w:r>
        <w:rPr>
          <w:rFonts w:hint="eastAsia" w:ascii="宋体" w:hAnsi="宋体" w:eastAsia="宋体" w:cs="宋体"/>
          <w:sz w:val="24"/>
          <w:szCs w:val="24"/>
        </w:rPr>
        <w:t xml:space="preserve">  </w:t>
      </w:r>
    </w:p>
    <w:tbl>
      <w:tblPr>
        <w:tblStyle w:val="25"/>
        <w:tblW w:w="10482" w:type="dxa"/>
        <w:jc w:val="center"/>
        <w:tblLayout w:type="fixed"/>
        <w:tblCellMar>
          <w:top w:w="0" w:type="dxa"/>
          <w:left w:w="108" w:type="dxa"/>
          <w:bottom w:w="0" w:type="dxa"/>
          <w:right w:w="108" w:type="dxa"/>
        </w:tblCellMar>
      </w:tblPr>
      <w:tblGrid>
        <w:gridCol w:w="2248"/>
        <w:gridCol w:w="2046"/>
        <w:gridCol w:w="1402"/>
        <w:gridCol w:w="1928"/>
        <w:gridCol w:w="1429"/>
        <w:gridCol w:w="1429"/>
      </w:tblGrid>
      <w:tr>
        <w:tblPrEx>
          <w:tblCellMar>
            <w:top w:w="0" w:type="dxa"/>
            <w:left w:w="108" w:type="dxa"/>
            <w:bottom w:w="0" w:type="dxa"/>
            <w:right w:w="108" w:type="dxa"/>
          </w:tblCellMar>
        </w:tblPrEx>
        <w:trPr>
          <w:trHeight w:val="1040" w:hRule="atLeast"/>
          <w:jc w:val="center"/>
        </w:trPr>
        <w:tc>
          <w:tcPr>
            <w:tcW w:w="2248" w:type="dxa"/>
            <w:tcBorders>
              <w:top w:val="single" w:color="auto" w:sz="4" w:space="0"/>
              <w:left w:val="single" w:color="auto" w:sz="4" w:space="0"/>
              <w:bottom w:val="single" w:color="auto" w:sz="4" w:space="0"/>
              <w:right w:val="single" w:color="auto" w:sz="4" w:space="0"/>
            </w:tcBorders>
            <w:vAlign w:val="center"/>
          </w:tcPr>
          <w:p>
            <w:pPr>
              <w:spacing w:beforeLines="50" w:afterLines="50" w:line="360" w:lineRule="auto"/>
              <w:contextualSpacing/>
              <w:jc w:val="center"/>
              <w:textAlignment w:val="baseline"/>
              <w:rPr>
                <w:rFonts w:hint="eastAsia" w:ascii="宋体" w:hAnsi="宋体" w:eastAsia="宋体" w:cs="宋体"/>
                <w:sz w:val="24"/>
                <w:szCs w:val="24"/>
              </w:rPr>
            </w:pPr>
            <w:r>
              <w:rPr>
                <w:rFonts w:hint="eastAsia" w:ascii="宋体" w:hAnsi="宋体" w:eastAsia="宋体" w:cs="宋体"/>
                <w:sz w:val="24"/>
                <w:szCs w:val="24"/>
              </w:rPr>
              <w:t>投标人全称</w:t>
            </w:r>
          </w:p>
        </w:tc>
        <w:tc>
          <w:tcPr>
            <w:tcW w:w="2046" w:type="dxa"/>
            <w:tcBorders>
              <w:top w:val="single" w:color="auto" w:sz="4" w:space="0"/>
              <w:left w:val="single" w:color="auto" w:sz="4" w:space="0"/>
              <w:bottom w:val="single" w:color="auto" w:sz="4" w:space="0"/>
              <w:right w:val="single" w:color="auto" w:sz="4" w:space="0"/>
            </w:tcBorders>
            <w:vAlign w:val="center"/>
          </w:tcPr>
          <w:p>
            <w:pPr>
              <w:spacing w:beforeLines="50" w:afterLines="50" w:line="360" w:lineRule="auto"/>
              <w:contextualSpacing/>
              <w:jc w:val="center"/>
              <w:textAlignment w:val="baseline"/>
              <w:rPr>
                <w:rFonts w:hint="eastAsia" w:ascii="宋体" w:hAnsi="宋体" w:eastAsia="宋体" w:cs="宋体"/>
                <w:sz w:val="24"/>
                <w:szCs w:val="24"/>
                <w:lang w:eastAsia="zh-CN"/>
              </w:rPr>
            </w:pPr>
            <w:r>
              <w:rPr>
                <w:rFonts w:hint="eastAsia" w:ascii="宋体" w:hAnsi="宋体" w:eastAsia="宋体" w:cs="宋体"/>
                <w:sz w:val="24"/>
                <w:szCs w:val="24"/>
              </w:rPr>
              <w:t>投标报价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总价</w:t>
            </w:r>
            <w:r>
              <w:rPr>
                <w:rFonts w:hint="eastAsia" w:ascii="宋体" w:hAnsi="宋体" w:eastAsia="宋体" w:cs="宋体"/>
                <w:sz w:val="24"/>
                <w:szCs w:val="24"/>
                <w:lang w:eastAsia="zh-CN"/>
              </w:rPr>
              <w:t>）</w:t>
            </w:r>
          </w:p>
        </w:tc>
        <w:tc>
          <w:tcPr>
            <w:tcW w:w="14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lang w:val="en-US" w:eastAsia="zh-CN"/>
              </w:rPr>
              <w:t>质量</w:t>
            </w:r>
            <w:r>
              <w:rPr>
                <w:rFonts w:hint="eastAsia" w:ascii="宋体" w:hAnsi="宋体" w:eastAsia="宋体" w:cs="宋体"/>
                <w:sz w:val="24"/>
                <w:szCs w:val="24"/>
                <w:shd w:val="clear" w:color="auto" w:fill="FFFFFF"/>
              </w:rPr>
              <w:t>标准</w:t>
            </w:r>
          </w:p>
        </w:tc>
        <w:tc>
          <w:tcPr>
            <w:tcW w:w="1928" w:type="dxa"/>
            <w:tcBorders>
              <w:top w:val="single" w:color="auto" w:sz="4" w:space="0"/>
              <w:left w:val="single" w:color="auto" w:sz="4" w:space="0"/>
              <w:bottom w:val="single" w:color="auto" w:sz="4" w:space="0"/>
              <w:right w:val="single" w:color="auto" w:sz="6"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b w:val="0"/>
                <w:bCs/>
                <w:kern w:val="2"/>
                <w:sz w:val="24"/>
                <w:szCs w:val="24"/>
                <w:lang w:eastAsia="zh-CN"/>
              </w:rPr>
              <w:t>合同履行期限（</w:t>
            </w:r>
            <w:r>
              <w:rPr>
                <w:rFonts w:hint="eastAsia" w:ascii="宋体" w:hAnsi="宋体" w:eastAsia="宋体" w:cs="宋体"/>
                <w:b w:val="0"/>
                <w:bCs/>
                <w:kern w:val="2"/>
                <w:sz w:val="24"/>
                <w:szCs w:val="24"/>
                <w:lang w:val="en-US" w:eastAsia="zh-CN"/>
              </w:rPr>
              <w:t>供货期</w:t>
            </w:r>
            <w:r>
              <w:rPr>
                <w:rFonts w:hint="eastAsia" w:ascii="宋体" w:hAnsi="宋体" w:eastAsia="宋体" w:cs="宋体"/>
                <w:b w:val="0"/>
                <w:bCs/>
                <w:kern w:val="2"/>
                <w:sz w:val="24"/>
                <w:szCs w:val="24"/>
                <w:lang w:eastAsia="zh-CN"/>
              </w:rPr>
              <w:t>）</w:t>
            </w:r>
          </w:p>
        </w:tc>
        <w:tc>
          <w:tcPr>
            <w:tcW w:w="1429" w:type="dxa"/>
            <w:tcBorders>
              <w:top w:val="single" w:color="auto" w:sz="4" w:space="0"/>
              <w:left w:val="single" w:color="auto" w:sz="6"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投标保证金（有或无）</w:t>
            </w:r>
          </w:p>
        </w:tc>
        <w:tc>
          <w:tcPr>
            <w:tcW w:w="1429" w:type="dxa"/>
            <w:tcBorders>
              <w:top w:val="single" w:color="auto" w:sz="4" w:space="0"/>
              <w:left w:val="single" w:color="auto" w:sz="6" w:space="0"/>
              <w:bottom w:val="single" w:color="auto" w:sz="4" w:space="0"/>
              <w:right w:val="single" w:color="auto" w:sz="4" w:space="0"/>
            </w:tcBorders>
            <w:vAlign w:val="center"/>
          </w:tcPr>
          <w:p>
            <w:pPr>
              <w:spacing w:beforeLines="50" w:afterLines="50" w:line="360" w:lineRule="auto"/>
              <w:contextualSpacing/>
              <w:jc w:val="center"/>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备注</w:t>
            </w:r>
          </w:p>
        </w:tc>
      </w:tr>
      <w:tr>
        <w:tblPrEx>
          <w:tblCellMar>
            <w:top w:w="0" w:type="dxa"/>
            <w:left w:w="108" w:type="dxa"/>
            <w:bottom w:w="0" w:type="dxa"/>
            <w:right w:w="108" w:type="dxa"/>
          </w:tblCellMar>
        </w:tblPrEx>
        <w:trPr>
          <w:trHeight w:val="2089" w:hRule="atLeast"/>
          <w:jc w:val="center"/>
        </w:trPr>
        <w:tc>
          <w:tcPr>
            <w:tcW w:w="2248" w:type="dxa"/>
            <w:tcBorders>
              <w:top w:val="single" w:color="auto" w:sz="4" w:space="0"/>
              <w:left w:val="single" w:color="auto" w:sz="4" w:space="0"/>
              <w:bottom w:val="single" w:color="auto" w:sz="4" w:space="0"/>
              <w:right w:val="single" w:color="auto" w:sz="4" w:space="0"/>
            </w:tcBorders>
          </w:tcPr>
          <w:p>
            <w:pPr>
              <w:spacing w:line="360" w:lineRule="auto"/>
              <w:contextualSpacing/>
              <w:jc w:val="center"/>
              <w:textAlignment w:val="baseline"/>
              <w:rPr>
                <w:rFonts w:hint="eastAsia" w:ascii="宋体" w:hAnsi="宋体" w:eastAsia="宋体" w:cs="宋体"/>
                <w:sz w:val="24"/>
                <w:szCs w:val="24"/>
              </w:rPr>
            </w:pPr>
          </w:p>
        </w:tc>
        <w:tc>
          <w:tcPr>
            <w:tcW w:w="20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napToGrid/>
              <w:spacing w:line="360" w:lineRule="auto"/>
              <w:contextualSpacing/>
              <w:jc w:val="lef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 </w:t>
            </w:r>
          </w:p>
        </w:tc>
        <w:tc>
          <w:tcPr>
            <w:tcW w:w="1402" w:type="dxa"/>
            <w:tcBorders>
              <w:top w:val="single" w:color="auto" w:sz="4" w:space="0"/>
              <w:left w:val="single" w:color="auto" w:sz="4" w:space="0"/>
              <w:bottom w:val="single" w:color="auto" w:sz="4" w:space="0"/>
              <w:right w:val="single" w:color="auto" w:sz="4" w:space="0"/>
            </w:tcBorders>
          </w:tcPr>
          <w:p>
            <w:pPr>
              <w:spacing w:line="360" w:lineRule="auto"/>
              <w:contextualSpacing/>
              <w:jc w:val="both"/>
              <w:textAlignment w:val="baseline"/>
              <w:rPr>
                <w:rFonts w:hint="eastAsia" w:ascii="宋体" w:hAnsi="宋体" w:eastAsia="宋体" w:cs="宋体"/>
                <w:sz w:val="24"/>
                <w:szCs w:val="24"/>
              </w:rPr>
            </w:pPr>
          </w:p>
        </w:tc>
        <w:tc>
          <w:tcPr>
            <w:tcW w:w="1928" w:type="dxa"/>
            <w:tcBorders>
              <w:top w:val="single" w:color="auto" w:sz="4" w:space="0"/>
              <w:left w:val="single" w:color="auto" w:sz="4" w:space="0"/>
              <w:bottom w:val="single" w:color="auto" w:sz="4" w:space="0"/>
              <w:right w:val="single" w:color="auto" w:sz="6" w:space="0"/>
            </w:tcBorders>
          </w:tcPr>
          <w:p>
            <w:pPr>
              <w:spacing w:line="360" w:lineRule="auto"/>
              <w:contextualSpacing/>
              <w:jc w:val="both"/>
              <w:textAlignment w:val="baseline"/>
              <w:rPr>
                <w:rFonts w:hint="eastAsia" w:ascii="宋体" w:hAnsi="宋体" w:eastAsia="宋体" w:cs="宋体"/>
                <w:sz w:val="24"/>
                <w:szCs w:val="24"/>
              </w:rPr>
            </w:pPr>
          </w:p>
        </w:tc>
        <w:tc>
          <w:tcPr>
            <w:tcW w:w="1429" w:type="dxa"/>
            <w:tcBorders>
              <w:top w:val="single" w:color="auto" w:sz="4" w:space="0"/>
              <w:left w:val="single" w:color="auto" w:sz="6" w:space="0"/>
              <w:bottom w:val="single" w:color="auto" w:sz="4" w:space="0"/>
              <w:right w:val="single" w:color="auto" w:sz="4" w:space="0"/>
            </w:tcBorders>
          </w:tcPr>
          <w:p>
            <w:pPr>
              <w:spacing w:line="360" w:lineRule="auto"/>
              <w:contextualSpacing/>
              <w:jc w:val="both"/>
              <w:textAlignment w:val="baseline"/>
              <w:rPr>
                <w:rFonts w:hint="eastAsia" w:ascii="宋体" w:hAnsi="宋体" w:eastAsia="宋体" w:cs="宋体"/>
                <w:sz w:val="24"/>
                <w:szCs w:val="24"/>
              </w:rPr>
            </w:pPr>
          </w:p>
        </w:tc>
        <w:tc>
          <w:tcPr>
            <w:tcW w:w="1429" w:type="dxa"/>
            <w:tcBorders>
              <w:top w:val="single" w:color="auto" w:sz="4" w:space="0"/>
              <w:left w:val="single" w:color="auto" w:sz="6" w:space="0"/>
              <w:bottom w:val="single" w:color="auto" w:sz="4" w:space="0"/>
              <w:right w:val="single" w:color="auto" w:sz="4" w:space="0"/>
            </w:tcBorders>
          </w:tcPr>
          <w:p>
            <w:pPr>
              <w:spacing w:line="360" w:lineRule="auto"/>
              <w:contextualSpacing/>
              <w:jc w:val="both"/>
              <w:textAlignment w:val="baseline"/>
              <w:rPr>
                <w:rFonts w:hint="eastAsia" w:ascii="宋体" w:hAnsi="宋体" w:eastAsia="宋体" w:cs="宋体"/>
                <w:sz w:val="24"/>
                <w:szCs w:val="24"/>
              </w:rPr>
            </w:pPr>
          </w:p>
        </w:tc>
      </w:tr>
    </w:tbl>
    <w:p>
      <w:pPr>
        <w:spacing w:line="360" w:lineRule="auto"/>
        <w:ind w:firstLine="480" w:firstLineChars="200"/>
        <w:contextualSpacing/>
        <w:rPr>
          <w:rFonts w:hint="eastAsia" w:ascii="宋体" w:hAnsi="宋体" w:eastAsia="宋体" w:cs="宋体"/>
          <w:sz w:val="24"/>
          <w:szCs w:val="24"/>
        </w:rPr>
      </w:pPr>
    </w:p>
    <w:p>
      <w:pPr>
        <w:widowControl/>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1.本“开标一览表”用于开标时唱标使用。</w:t>
      </w:r>
    </w:p>
    <w:p>
      <w:pPr>
        <w:widowControl/>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填报内容须与投标函一致。</w:t>
      </w:r>
      <w:r>
        <w:rPr>
          <w:rFonts w:hint="eastAsia" w:ascii="宋体" w:hAnsi="宋体" w:eastAsia="宋体" w:cs="宋体"/>
          <w:color w:val="auto"/>
          <w:sz w:val="24"/>
          <w:szCs w:val="24"/>
          <w:highlight w:val="none"/>
          <w:lang w:eastAsia="zh-CN"/>
        </w:rPr>
        <w:t xml:space="preserve">    </w:t>
      </w:r>
    </w:p>
    <w:p>
      <w:pPr>
        <w:widowControl/>
        <w:topLinePunct/>
        <w:spacing w:line="360" w:lineRule="auto"/>
        <w:ind w:firstLine="480" w:firstLineChars="200"/>
        <w:jc w:val="both"/>
        <w:rPr>
          <w:rFonts w:hint="eastAsia" w:ascii="宋体" w:hAnsi="宋体" w:eastAsia="宋体" w:cs="宋体"/>
          <w:bCs/>
          <w:sz w:val="24"/>
          <w:szCs w:val="24"/>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Cs/>
          <w:sz w:val="24"/>
          <w:szCs w:val="24"/>
          <w:lang w:val="zh-CN" w:eastAsia="zh-CN"/>
        </w:rPr>
        <w:t>本表须装订在</w:t>
      </w:r>
      <w:r>
        <w:rPr>
          <w:rFonts w:hint="eastAsia" w:ascii="宋体" w:hAnsi="宋体" w:eastAsia="宋体" w:cs="宋体"/>
          <w:bCs/>
          <w:sz w:val="24"/>
          <w:szCs w:val="24"/>
          <w:lang w:val="en-US" w:eastAsia="zh-CN"/>
        </w:rPr>
        <w:t>投标</w:t>
      </w:r>
      <w:r>
        <w:rPr>
          <w:rFonts w:hint="eastAsia" w:ascii="宋体" w:hAnsi="宋体" w:eastAsia="宋体" w:cs="宋体"/>
          <w:bCs/>
          <w:sz w:val="24"/>
          <w:szCs w:val="24"/>
          <w:lang w:val="zh-CN" w:eastAsia="zh-CN"/>
        </w:rPr>
        <w:t>文件内。然后再将此表单独打印一份签字和加盖公章后，单独密封在一个小信封内，随</w:t>
      </w:r>
      <w:r>
        <w:rPr>
          <w:rFonts w:hint="eastAsia" w:ascii="宋体" w:hAnsi="宋体" w:eastAsia="宋体" w:cs="宋体"/>
          <w:bCs/>
          <w:sz w:val="24"/>
          <w:szCs w:val="24"/>
          <w:lang w:val="en-US" w:eastAsia="zh-CN"/>
        </w:rPr>
        <w:t>投标</w:t>
      </w:r>
      <w:r>
        <w:rPr>
          <w:rFonts w:hint="eastAsia" w:ascii="宋体" w:hAnsi="宋体" w:eastAsia="宋体" w:cs="宋体"/>
          <w:bCs/>
          <w:sz w:val="24"/>
          <w:szCs w:val="24"/>
          <w:lang w:val="zh-CN" w:eastAsia="zh-CN"/>
        </w:rPr>
        <w:t>文件一同递交，以便</w:t>
      </w:r>
      <w:r>
        <w:rPr>
          <w:rFonts w:hint="eastAsia" w:ascii="宋体" w:hAnsi="宋体" w:eastAsia="宋体" w:cs="宋体"/>
          <w:bCs/>
          <w:sz w:val="24"/>
          <w:szCs w:val="24"/>
          <w:lang w:val="en-US" w:eastAsia="zh-CN"/>
        </w:rPr>
        <w:t>唱标</w:t>
      </w:r>
      <w:r>
        <w:rPr>
          <w:rFonts w:hint="eastAsia" w:ascii="宋体" w:hAnsi="宋体" w:eastAsia="宋体" w:cs="宋体"/>
          <w:bCs/>
          <w:sz w:val="24"/>
          <w:szCs w:val="24"/>
          <w:lang w:val="zh-CN" w:eastAsia="zh-CN"/>
        </w:rPr>
        <w:t>。</w:t>
      </w:r>
    </w:p>
    <w:p>
      <w:pPr>
        <w:widowControl/>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pPr>
        <w:spacing w:line="360" w:lineRule="auto"/>
        <w:ind w:left="1078" w:leftChars="342" w:hanging="360" w:hangingChars="150"/>
        <w:contextualSpacing/>
        <w:rPr>
          <w:rFonts w:hint="eastAsia" w:ascii="宋体" w:hAnsi="宋体" w:eastAsia="宋体" w:cs="宋体"/>
          <w:sz w:val="24"/>
          <w:szCs w:val="24"/>
          <w:lang w:val="zh-CN"/>
        </w:rPr>
      </w:pPr>
    </w:p>
    <w:p>
      <w:pPr>
        <w:spacing w:line="360" w:lineRule="auto"/>
        <w:contextualSpacing/>
        <w:rPr>
          <w:rFonts w:hint="eastAsia" w:ascii="宋体" w:hAnsi="宋体" w:eastAsia="宋体" w:cs="宋体"/>
          <w:sz w:val="24"/>
          <w:szCs w:val="24"/>
        </w:rPr>
      </w:pPr>
    </w:p>
    <w:p>
      <w:pPr>
        <w:spacing w:line="360" w:lineRule="auto"/>
        <w:contextualSpacing/>
        <w:rPr>
          <w:rFonts w:hint="eastAsia" w:ascii="宋体" w:hAnsi="宋体" w:eastAsia="宋体" w:cs="宋体"/>
          <w:sz w:val="24"/>
          <w:szCs w:val="24"/>
        </w:rPr>
      </w:pPr>
    </w:p>
    <w:p>
      <w:pPr>
        <w:pStyle w:val="12"/>
        <w:wordWrap w:val="0"/>
        <w:spacing w:line="360" w:lineRule="auto"/>
        <w:ind w:firstLine="420"/>
        <w:contextualSpacing/>
        <w:jc w:val="right"/>
        <w:rPr>
          <w:rFonts w:hint="eastAsia" w:ascii="宋体" w:hAnsi="宋体" w:eastAsia="宋体" w:cs="宋体"/>
          <w:sz w:val="24"/>
          <w:szCs w:val="24"/>
          <w:u w:val="single"/>
          <w:lang w:val="en-US" w:eastAsia="zh-CN"/>
        </w:rPr>
      </w:pPr>
      <w:r>
        <w:rPr>
          <w:rFonts w:hint="eastAsia" w:ascii="宋体" w:hAnsi="宋体" w:eastAsia="宋体" w:cs="宋体"/>
          <w:sz w:val="24"/>
          <w:szCs w:val="24"/>
        </w:rPr>
        <w:t>投标人名称（单位盖章）：</w:t>
      </w:r>
      <w:r>
        <w:rPr>
          <w:rFonts w:hint="eastAsia" w:ascii="宋体" w:hAnsi="宋体" w:eastAsia="宋体" w:cs="宋体"/>
          <w:sz w:val="24"/>
          <w:szCs w:val="24"/>
          <w:u w:val="single"/>
          <w:lang w:val="en-US" w:eastAsia="zh-CN"/>
        </w:rPr>
        <w:t xml:space="preserve">                    </w:t>
      </w:r>
    </w:p>
    <w:p>
      <w:pPr>
        <w:pStyle w:val="12"/>
        <w:spacing w:line="360" w:lineRule="auto"/>
        <w:ind w:firstLine="420"/>
        <w:contextualSpacing/>
        <w:jc w:val="right"/>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exact"/>
        <w:contextualSpacing/>
        <w:jc w:val="right"/>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rPr>
        <w:t>法定代表人或</w:t>
      </w:r>
      <w:r>
        <w:rPr>
          <w:rFonts w:hint="eastAsia" w:ascii="宋体" w:hAnsi="宋体" w:eastAsia="宋体" w:cs="宋体"/>
          <w:sz w:val="24"/>
          <w:szCs w:val="24"/>
          <w:lang w:val="en-US" w:eastAsia="zh-CN"/>
        </w:rPr>
        <w:t>委托</w:t>
      </w:r>
      <w:r>
        <w:rPr>
          <w:rFonts w:hint="eastAsia" w:ascii="宋体" w:hAnsi="宋体" w:eastAsia="宋体" w:cs="宋体"/>
          <w:sz w:val="24"/>
          <w:szCs w:val="24"/>
        </w:rPr>
        <w:t>代理人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（签字</w:t>
      </w:r>
      <w:r>
        <w:rPr>
          <w:rFonts w:hint="eastAsia" w:ascii="宋体" w:hAnsi="宋体" w:eastAsia="宋体" w:cs="宋体"/>
          <w:color w:val="000000"/>
          <w:sz w:val="24"/>
          <w:szCs w:val="24"/>
          <w:lang w:val="en-US" w:eastAsia="zh-CN"/>
        </w:rPr>
        <w:t>或盖章</w:t>
      </w:r>
      <w:r>
        <w:rPr>
          <w:rFonts w:hint="eastAsia" w:ascii="宋体" w:hAnsi="宋体" w:eastAsia="宋体" w:cs="宋体"/>
          <w:color w:val="000000"/>
          <w:sz w:val="24"/>
          <w:szCs w:val="24"/>
          <w:lang w:eastAsia="zh-CN"/>
        </w:rPr>
        <w:t>）</w:t>
      </w:r>
    </w:p>
    <w:p>
      <w:pPr>
        <w:pStyle w:val="12"/>
        <w:spacing w:line="360" w:lineRule="auto"/>
        <w:ind w:firstLine="420"/>
        <w:contextualSpacing/>
        <w:jc w:val="right"/>
        <w:rPr>
          <w:rFonts w:hint="eastAsia" w:ascii="宋体" w:hAnsi="宋体" w:eastAsia="宋体" w:cs="宋体"/>
          <w:sz w:val="24"/>
          <w:szCs w:val="24"/>
        </w:rPr>
      </w:pPr>
    </w:p>
    <w:p>
      <w:pPr>
        <w:pStyle w:val="12"/>
        <w:spacing w:line="360" w:lineRule="auto"/>
        <w:ind w:firstLine="420"/>
        <w:contextualSpacing/>
        <w:jc w:val="right"/>
        <w:rPr>
          <w:rFonts w:hint="eastAsia" w:ascii="宋体" w:hAnsi="宋体" w:eastAsia="宋体" w:cs="宋体"/>
          <w:sz w:val="24"/>
          <w:szCs w:val="24"/>
        </w:rPr>
      </w:pP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pPr>
        <w:spacing w:line="360" w:lineRule="auto"/>
        <w:contextualSpacing/>
        <w:jc w:val="center"/>
        <w:outlineLvl w:val="9"/>
        <w:rPr>
          <w:rFonts w:hint="eastAsia" w:ascii="宋体" w:hAnsi="宋体" w:eastAsia="宋体" w:cs="宋体"/>
          <w:b/>
          <w:sz w:val="24"/>
          <w:szCs w:val="24"/>
        </w:rPr>
      </w:pPr>
      <w:bookmarkStart w:id="442" w:name="_Toc329757319"/>
      <w:bookmarkStart w:id="443" w:name="_Toc476566570"/>
    </w:p>
    <w:p>
      <w:pPr>
        <w:spacing w:line="360" w:lineRule="auto"/>
        <w:contextualSpacing/>
        <w:jc w:val="center"/>
        <w:outlineLvl w:val="9"/>
        <w:rPr>
          <w:rFonts w:hint="eastAsia" w:ascii="宋体" w:hAnsi="宋体" w:eastAsia="宋体" w:cs="宋体"/>
          <w:b/>
          <w:sz w:val="24"/>
          <w:szCs w:val="24"/>
        </w:rPr>
      </w:pPr>
    </w:p>
    <w:p>
      <w:pPr>
        <w:spacing w:line="360" w:lineRule="auto"/>
        <w:contextualSpacing/>
        <w:jc w:val="center"/>
        <w:outlineLvl w:val="9"/>
        <w:rPr>
          <w:rFonts w:hint="eastAsia" w:ascii="宋体" w:hAnsi="宋体" w:eastAsia="宋体" w:cs="宋体"/>
          <w:b/>
          <w:sz w:val="24"/>
          <w:szCs w:val="24"/>
        </w:rPr>
      </w:pPr>
    </w:p>
    <w:p>
      <w:pPr>
        <w:spacing w:line="360" w:lineRule="auto"/>
        <w:contextualSpacing/>
        <w:jc w:val="center"/>
        <w:outlineLvl w:val="9"/>
        <w:rPr>
          <w:rFonts w:hint="eastAsia" w:ascii="宋体" w:hAnsi="宋体" w:eastAsia="宋体" w:cs="宋体"/>
          <w:b/>
          <w:sz w:val="24"/>
          <w:szCs w:val="24"/>
        </w:rPr>
      </w:pPr>
    </w:p>
    <w:p>
      <w:pPr>
        <w:rPr>
          <w:rFonts w:hint="eastAsia" w:ascii="宋体" w:hAnsi="宋体" w:eastAsia="宋体" w:cs="宋体"/>
          <w:b/>
          <w:sz w:val="24"/>
          <w:szCs w:val="24"/>
          <w:lang w:val="en-US" w:eastAsia="zh-CN"/>
        </w:rPr>
      </w:pPr>
      <w:bookmarkStart w:id="444" w:name="_Toc16023"/>
      <w:r>
        <w:rPr>
          <w:rFonts w:hint="eastAsia" w:ascii="宋体" w:hAnsi="宋体" w:eastAsia="宋体" w:cs="宋体"/>
          <w:b/>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六.分项报价表</w:t>
      </w:r>
      <w:bookmarkEnd w:id="444"/>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959"/>
        <w:gridCol w:w="989"/>
        <w:gridCol w:w="1259"/>
        <w:gridCol w:w="1327"/>
        <w:gridCol w:w="983"/>
        <w:gridCol w:w="965"/>
        <w:gridCol w:w="1587"/>
        <w:gridCol w:w="2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772"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1包：森林灭火防护头盔、佩戴式头灯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6" w:hRule="atLeast"/>
          <w:jc w:val="center"/>
        </w:trPr>
        <w:tc>
          <w:tcPr>
            <w:tcW w:w="42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95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98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25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规格型号</w:t>
            </w:r>
          </w:p>
        </w:tc>
        <w:tc>
          <w:tcPr>
            <w:tcW w:w="132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983"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96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58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228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4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95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森林灭火防护头盔</w:t>
            </w:r>
          </w:p>
        </w:tc>
        <w:tc>
          <w:tcPr>
            <w:tcW w:w="98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5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327"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983"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96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58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28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4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95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佩戴式头灯</w:t>
            </w:r>
          </w:p>
        </w:tc>
        <w:tc>
          <w:tcPr>
            <w:tcW w:w="98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5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327"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983"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96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58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28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jc w:val="center"/>
        </w:trPr>
        <w:tc>
          <w:tcPr>
            <w:tcW w:w="8489"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228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bookmarkEnd w:id="442"/>
    <w:bookmarkEnd w:id="443"/>
    <w:p>
      <w:pPr>
        <w:rPr>
          <w:rFonts w:hint="eastAsia" w:ascii="宋体" w:hAnsi="宋体" w:eastAsia="宋体" w:cs="宋体"/>
          <w:b/>
          <w:sz w:val="24"/>
          <w:szCs w:val="24"/>
          <w:lang w:val="en-US" w:eastAsia="zh-CN"/>
        </w:rPr>
      </w:pPr>
      <w:bookmarkStart w:id="445" w:name="_Toc329757322"/>
      <w:bookmarkStart w:id="446" w:name="_Toc476566573"/>
      <w:r>
        <w:rPr>
          <w:rFonts w:hint="eastAsia" w:ascii="宋体" w:hAnsi="宋体" w:eastAsia="宋体" w:cs="宋体"/>
          <w:b/>
          <w:sz w:val="24"/>
          <w:szCs w:val="24"/>
          <w:lang w:val="en-US" w:eastAsia="zh-CN"/>
        </w:rPr>
        <w:t>注：（1）1包投标单位填写此表，非1包投标单位，此表自行删除。</w:t>
      </w:r>
    </w:p>
    <w:p>
      <w:pPr>
        <w:pStyle w:val="41"/>
        <w:outlineLvl w:val="2"/>
        <w:rPr>
          <w:rFonts w:hint="eastAsia" w:ascii="宋体" w:hAnsi="宋体" w:eastAsia="宋体" w:cs="宋体"/>
          <w:b/>
          <w:sz w:val="24"/>
          <w:szCs w:val="24"/>
          <w:lang w:val="en-US" w:eastAsia="zh-CN"/>
        </w:rPr>
      </w:pPr>
      <w:bookmarkStart w:id="447" w:name="_Toc23492"/>
      <w:r>
        <w:rPr>
          <w:rFonts w:hint="eastAsia" w:ascii="宋体" w:hAnsi="宋体" w:eastAsia="宋体" w:cs="宋体"/>
          <w:b/>
          <w:sz w:val="24"/>
          <w:szCs w:val="24"/>
          <w:lang w:val="en-US" w:eastAsia="zh-CN"/>
        </w:rPr>
        <w:t>（2）此表格式不得更改。</w:t>
      </w:r>
      <w:bookmarkEnd w:id="447"/>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pStyle w:val="41"/>
        <w:rPr>
          <w:rFonts w:hint="eastAsia" w:ascii="宋体" w:hAnsi="宋体" w:eastAsia="宋体" w:cs="宋体"/>
          <w:b/>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48" w:name="_Toc17107"/>
      <w:r>
        <w:rPr>
          <w:rFonts w:hint="eastAsia" w:ascii="宋体" w:hAnsi="宋体" w:eastAsia="宋体" w:cs="宋体"/>
          <w:b/>
          <w:sz w:val="24"/>
          <w:szCs w:val="24"/>
          <w:lang w:val="en-US" w:eastAsia="zh-CN"/>
        </w:rPr>
        <w:t>六.分项报价表</w:t>
      </w:r>
      <w:bookmarkEnd w:id="448"/>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729"/>
        <w:gridCol w:w="743"/>
        <w:gridCol w:w="1264"/>
        <w:gridCol w:w="1483"/>
        <w:gridCol w:w="948"/>
        <w:gridCol w:w="1396"/>
        <w:gridCol w:w="1466"/>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772"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2包：森林灭火防护眼镜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6" w:hRule="atLeast"/>
          <w:jc w:val="center"/>
        </w:trPr>
        <w:tc>
          <w:tcPr>
            <w:tcW w:w="65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72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743"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264"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1483"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9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39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46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209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65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森林灭火防护眼镜</w:t>
            </w:r>
          </w:p>
        </w:tc>
        <w:tc>
          <w:tcPr>
            <w:tcW w:w="743"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64"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483"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9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139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6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09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jc w:val="center"/>
        </w:trPr>
        <w:tc>
          <w:tcPr>
            <w:tcW w:w="8679"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2093"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注：（1）2包投标单位填写此表，非2包投标单位，此表自行删除。</w:t>
      </w:r>
    </w:p>
    <w:p>
      <w:pPr>
        <w:pStyle w:val="41"/>
        <w:outlineLvl w:val="2"/>
        <w:rPr>
          <w:rFonts w:hint="eastAsia" w:ascii="宋体" w:hAnsi="宋体" w:eastAsia="宋体" w:cs="宋体"/>
          <w:b/>
          <w:sz w:val="24"/>
          <w:szCs w:val="24"/>
          <w:lang w:val="en-US" w:eastAsia="zh-CN"/>
        </w:rPr>
      </w:pPr>
      <w:bookmarkStart w:id="449" w:name="_Toc1364"/>
      <w:r>
        <w:rPr>
          <w:rFonts w:hint="eastAsia" w:ascii="宋体" w:hAnsi="宋体" w:eastAsia="宋体" w:cs="宋体"/>
          <w:b/>
          <w:sz w:val="24"/>
          <w:szCs w:val="24"/>
          <w:lang w:val="en-US" w:eastAsia="zh-CN"/>
        </w:rPr>
        <w:t>（2）此表格式不得更改。</w:t>
      </w:r>
      <w:bookmarkEnd w:id="449"/>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50" w:name="_Toc31863"/>
      <w:r>
        <w:rPr>
          <w:rFonts w:hint="eastAsia" w:ascii="宋体" w:hAnsi="宋体" w:eastAsia="宋体" w:cs="宋体"/>
          <w:b/>
          <w:sz w:val="24"/>
          <w:szCs w:val="24"/>
          <w:lang w:val="en-US" w:eastAsia="zh-CN"/>
        </w:rPr>
        <w:t>六.分项报价表</w:t>
      </w:r>
      <w:bookmarkEnd w:id="450"/>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084"/>
        <w:gridCol w:w="1380"/>
        <w:gridCol w:w="1120"/>
        <w:gridCol w:w="828"/>
        <w:gridCol w:w="862"/>
        <w:gridCol w:w="1517"/>
        <w:gridCol w:w="1448"/>
        <w:gridCol w:w="1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740"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3包：森林灭火防护头套、森林灭火防护作训帽、森林灭火防护服、森林灭火防护服内胆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4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1084"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138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12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828"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51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08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森林灭火防护头套</w:t>
            </w:r>
          </w:p>
        </w:tc>
        <w:tc>
          <w:tcPr>
            <w:tcW w:w="138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1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28"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151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08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森林灭火防护作训帽</w:t>
            </w:r>
          </w:p>
        </w:tc>
        <w:tc>
          <w:tcPr>
            <w:tcW w:w="138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1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28"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151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08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none"/>
                <w:lang w:val="en-US" w:eastAsia="zh-CN"/>
              </w:rPr>
              <w:t>森林灭火防护服</w:t>
            </w:r>
          </w:p>
        </w:tc>
        <w:tc>
          <w:tcPr>
            <w:tcW w:w="138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1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28"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151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08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none"/>
                <w:lang w:val="en-US" w:eastAsia="zh-CN"/>
              </w:rPr>
              <w:t>森林灭火防护服内胆</w:t>
            </w:r>
          </w:p>
        </w:tc>
        <w:tc>
          <w:tcPr>
            <w:tcW w:w="138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12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28"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151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886"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1854"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注：（1）3包投标单位填写此表，非3包投标单位，此表自行删除。</w:t>
      </w:r>
    </w:p>
    <w:p>
      <w:pPr>
        <w:pStyle w:val="41"/>
        <w:outlineLvl w:val="2"/>
        <w:rPr>
          <w:rFonts w:hint="eastAsia" w:ascii="宋体" w:hAnsi="宋体" w:eastAsia="宋体" w:cs="宋体"/>
          <w:b/>
          <w:sz w:val="24"/>
          <w:szCs w:val="24"/>
          <w:lang w:val="en-US" w:eastAsia="zh-CN"/>
        </w:rPr>
      </w:pPr>
      <w:bookmarkStart w:id="451" w:name="_Toc10760"/>
      <w:r>
        <w:rPr>
          <w:rFonts w:hint="eastAsia" w:ascii="宋体" w:hAnsi="宋体" w:eastAsia="宋体" w:cs="宋体"/>
          <w:b/>
          <w:sz w:val="24"/>
          <w:szCs w:val="24"/>
          <w:lang w:val="en-US" w:eastAsia="zh-CN"/>
        </w:rPr>
        <w:t>（2）此表格式不得更改。</w:t>
      </w:r>
      <w:bookmarkEnd w:id="451"/>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52" w:name="_Toc15253"/>
      <w:r>
        <w:rPr>
          <w:rFonts w:hint="eastAsia" w:ascii="宋体" w:hAnsi="宋体" w:eastAsia="宋体" w:cs="宋体"/>
          <w:b/>
          <w:sz w:val="24"/>
          <w:szCs w:val="24"/>
          <w:lang w:val="en-US" w:eastAsia="zh-CN"/>
        </w:rPr>
        <w:t>六.分项报价表</w:t>
      </w:r>
      <w:bookmarkEnd w:id="452"/>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533"/>
        <w:gridCol w:w="1000"/>
        <w:gridCol w:w="1207"/>
        <w:gridCol w:w="1345"/>
        <w:gridCol w:w="1016"/>
        <w:gridCol w:w="915"/>
        <w:gridCol w:w="1345"/>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740"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4包：森林灭火防护靴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47" w:type="dxa"/>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1533" w:type="dxa"/>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1000" w:type="dxa"/>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207" w:type="dxa"/>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1345" w:type="dxa"/>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101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91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3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p>
        </w:tc>
        <w:tc>
          <w:tcPr>
            <w:tcW w:w="173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647" w:type="dxa"/>
            <w:vAlign w:val="center"/>
          </w:tcPr>
          <w:p>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53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z w:val="24"/>
                <w:szCs w:val="24"/>
                <w:highlight w:val="none"/>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森林灭火防护靴</w:t>
            </w:r>
          </w:p>
        </w:tc>
        <w:tc>
          <w:tcPr>
            <w:tcW w:w="1000" w:type="dxa"/>
            <w:vAlign w:val="center"/>
          </w:tcPr>
          <w:p>
            <w:pPr>
              <w:keepNext w:val="0"/>
              <w:keepLines w:val="0"/>
              <w:widowControl/>
              <w:suppressLineNumbers w:val="0"/>
              <w:jc w:val="center"/>
              <w:textAlignment w:val="center"/>
              <w:rPr>
                <w:rFonts w:hint="eastAsia" w:ascii="宋体" w:hAnsi="宋体" w:eastAsia="宋体" w:cs="宋体"/>
                <w:sz w:val="24"/>
                <w:szCs w:val="24"/>
                <w:highlight w:val="none"/>
              </w:rPr>
            </w:pPr>
          </w:p>
        </w:tc>
        <w:tc>
          <w:tcPr>
            <w:tcW w:w="1207" w:type="dxa"/>
            <w:vAlign w:val="center"/>
          </w:tcPr>
          <w:p>
            <w:pPr>
              <w:keepNext w:val="0"/>
              <w:keepLines w:val="0"/>
              <w:widowControl/>
              <w:suppressLineNumbers w:val="0"/>
              <w:jc w:val="center"/>
              <w:textAlignment w:val="center"/>
              <w:rPr>
                <w:rFonts w:hint="eastAsia" w:ascii="宋体" w:hAnsi="宋体" w:eastAsia="宋体" w:cs="宋体"/>
                <w:sz w:val="24"/>
                <w:szCs w:val="24"/>
                <w:highlight w:val="none"/>
              </w:rPr>
            </w:pPr>
          </w:p>
        </w:tc>
        <w:tc>
          <w:tcPr>
            <w:tcW w:w="1345" w:type="dxa"/>
            <w:noWrap/>
            <w:vAlign w:val="center"/>
          </w:tcPr>
          <w:p>
            <w:pPr>
              <w:keepNext w:val="0"/>
              <w:keepLines w:val="0"/>
              <w:widowControl/>
              <w:suppressLineNumbers w:val="0"/>
              <w:jc w:val="center"/>
              <w:textAlignment w:val="center"/>
              <w:rPr>
                <w:rFonts w:hint="eastAsia" w:ascii="宋体" w:hAnsi="宋体" w:eastAsia="宋体" w:cs="宋体"/>
                <w:sz w:val="24"/>
                <w:szCs w:val="24"/>
                <w:highlight w:val="none"/>
              </w:rPr>
            </w:pPr>
          </w:p>
        </w:tc>
        <w:tc>
          <w:tcPr>
            <w:tcW w:w="101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rPr>
            </w:pPr>
          </w:p>
        </w:tc>
        <w:tc>
          <w:tcPr>
            <w:tcW w:w="91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3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p>
        </w:tc>
        <w:tc>
          <w:tcPr>
            <w:tcW w:w="173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08"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173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注：（1）4包投标单位填写此表，非4包投标单位，此表自行删除。</w:t>
      </w:r>
    </w:p>
    <w:p>
      <w:pPr>
        <w:pStyle w:val="41"/>
        <w:outlineLvl w:val="2"/>
        <w:rPr>
          <w:rFonts w:hint="eastAsia" w:ascii="宋体" w:hAnsi="宋体" w:eastAsia="宋体" w:cs="宋体"/>
          <w:b/>
          <w:sz w:val="24"/>
          <w:szCs w:val="24"/>
          <w:lang w:val="en-US" w:eastAsia="zh-CN"/>
        </w:rPr>
      </w:pPr>
      <w:bookmarkStart w:id="453" w:name="_Toc32416"/>
      <w:r>
        <w:rPr>
          <w:rFonts w:hint="eastAsia" w:ascii="宋体" w:hAnsi="宋体" w:eastAsia="宋体" w:cs="宋体"/>
          <w:b/>
          <w:sz w:val="24"/>
          <w:szCs w:val="24"/>
          <w:lang w:val="en-US" w:eastAsia="zh-CN"/>
        </w:rPr>
        <w:t>（2）此表格式不得更改。</w:t>
      </w:r>
      <w:bookmarkEnd w:id="453"/>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54" w:name="_Toc15126"/>
      <w:r>
        <w:rPr>
          <w:rFonts w:hint="eastAsia" w:ascii="宋体" w:hAnsi="宋体" w:eastAsia="宋体" w:cs="宋体"/>
          <w:b/>
          <w:sz w:val="24"/>
          <w:szCs w:val="24"/>
          <w:lang w:val="en-US" w:eastAsia="zh-CN"/>
        </w:rPr>
        <w:t>六.分项报价表</w:t>
      </w:r>
      <w:bookmarkEnd w:id="454"/>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395"/>
        <w:gridCol w:w="948"/>
        <w:gridCol w:w="1259"/>
        <w:gridCol w:w="1310"/>
        <w:gridCol w:w="896"/>
        <w:gridCol w:w="845"/>
        <w:gridCol w:w="1345"/>
        <w:gridCol w:w="2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0740"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5包：森林灭火防护外腰带、22多功能水壶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4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1395"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948"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259"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131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89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3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2095"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3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森林灭火防护外腰带</w:t>
            </w:r>
          </w:p>
        </w:tc>
        <w:tc>
          <w:tcPr>
            <w:tcW w:w="948"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5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310"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9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8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3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095"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3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22多功能水壶</w:t>
            </w:r>
          </w:p>
        </w:tc>
        <w:tc>
          <w:tcPr>
            <w:tcW w:w="948"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59"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310"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96"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8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34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095"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645"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2095"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注：（1）5包投标单位填写此表，非5包投标单位，此表自行删除。</w:t>
      </w:r>
    </w:p>
    <w:p>
      <w:pPr>
        <w:pStyle w:val="41"/>
        <w:outlineLvl w:val="2"/>
        <w:rPr>
          <w:rFonts w:hint="eastAsia" w:ascii="宋体" w:hAnsi="宋体" w:eastAsia="宋体" w:cs="宋体"/>
          <w:b/>
          <w:sz w:val="24"/>
          <w:szCs w:val="24"/>
          <w:lang w:val="en-US" w:eastAsia="zh-CN"/>
        </w:rPr>
      </w:pPr>
      <w:bookmarkStart w:id="455" w:name="_Toc28387"/>
      <w:r>
        <w:rPr>
          <w:rFonts w:hint="eastAsia" w:ascii="宋体" w:hAnsi="宋体" w:eastAsia="宋体" w:cs="宋体"/>
          <w:b/>
          <w:sz w:val="24"/>
          <w:szCs w:val="24"/>
          <w:lang w:val="en-US" w:eastAsia="zh-CN"/>
        </w:rPr>
        <w:t>（2）此表格式不得更改。</w:t>
      </w:r>
      <w:bookmarkEnd w:id="455"/>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56" w:name="_Toc27168"/>
      <w:r>
        <w:rPr>
          <w:rFonts w:hint="eastAsia" w:ascii="宋体" w:hAnsi="宋体" w:eastAsia="宋体" w:cs="宋体"/>
          <w:b/>
          <w:sz w:val="24"/>
          <w:szCs w:val="24"/>
          <w:lang w:val="en-US" w:eastAsia="zh-CN"/>
        </w:rPr>
        <w:t>六.分项报价表</w:t>
      </w:r>
      <w:bookmarkEnd w:id="456"/>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6"/>
        <w:gridCol w:w="740"/>
        <w:gridCol w:w="1077"/>
        <w:gridCol w:w="2283"/>
        <w:gridCol w:w="862"/>
        <w:gridCol w:w="880"/>
        <w:gridCol w:w="1448"/>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0" w:hRule="atLeast"/>
          <w:jc w:val="center"/>
        </w:trPr>
        <w:tc>
          <w:tcPr>
            <w:tcW w:w="10740"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6包：携行背心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jc w:val="center"/>
        </w:trPr>
        <w:tc>
          <w:tcPr>
            <w:tcW w:w="64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726"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74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07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2283"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80"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207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2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携行背心</w:t>
            </w:r>
          </w:p>
        </w:tc>
        <w:tc>
          <w:tcPr>
            <w:tcW w:w="74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07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2283"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86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880"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448"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07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663"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207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注：（1）6包投标单位填写此表，非6包投标单位，此表自行删除。</w:t>
      </w:r>
    </w:p>
    <w:p>
      <w:pPr>
        <w:pStyle w:val="41"/>
        <w:outlineLvl w:val="2"/>
        <w:rPr>
          <w:rFonts w:hint="eastAsia" w:ascii="宋体" w:hAnsi="宋体" w:eastAsia="宋体" w:cs="宋体"/>
          <w:b/>
          <w:sz w:val="24"/>
          <w:szCs w:val="24"/>
          <w:lang w:val="en-US" w:eastAsia="zh-CN"/>
        </w:rPr>
      </w:pPr>
      <w:bookmarkStart w:id="457" w:name="_Toc32237"/>
      <w:r>
        <w:rPr>
          <w:rFonts w:hint="eastAsia" w:ascii="宋体" w:hAnsi="宋体" w:eastAsia="宋体" w:cs="宋体"/>
          <w:b/>
          <w:sz w:val="24"/>
          <w:szCs w:val="24"/>
          <w:lang w:val="en-US" w:eastAsia="zh-CN"/>
        </w:rPr>
        <w:t>（2）此表格式不得更改。</w:t>
      </w:r>
      <w:bookmarkEnd w:id="457"/>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p>
    <w:p>
      <w:pPr>
        <w:numPr>
          <w:ilvl w:val="0"/>
          <w:numId w:val="0"/>
        </w:numPr>
        <w:spacing w:line="360" w:lineRule="auto"/>
        <w:contextualSpacing/>
        <w:jc w:val="center"/>
        <w:outlineLvl w:val="1"/>
        <w:rPr>
          <w:rFonts w:hint="eastAsia" w:ascii="宋体" w:hAnsi="宋体" w:eastAsia="宋体" w:cs="宋体"/>
          <w:b/>
          <w:sz w:val="24"/>
          <w:szCs w:val="24"/>
          <w:lang w:val="en-US" w:eastAsia="zh-CN"/>
        </w:rPr>
      </w:pPr>
      <w:bookmarkStart w:id="458" w:name="_Toc5543"/>
      <w:r>
        <w:rPr>
          <w:rFonts w:hint="eastAsia" w:ascii="宋体" w:hAnsi="宋体" w:eastAsia="宋体" w:cs="宋体"/>
          <w:b/>
          <w:sz w:val="24"/>
          <w:szCs w:val="24"/>
          <w:lang w:val="en-US" w:eastAsia="zh-CN"/>
        </w:rPr>
        <w:t>六.分项报价表</w:t>
      </w:r>
      <w:bookmarkEnd w:id="458"/>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标段名称：</w:t>
      </w:r>
    </w:p>
    <w:p>
      <w:pPr>
        <w:pStyle w:val="41"/>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标段编号：</w:t>
      </w:r>
    </w:p>
    <w:p>
      <w:pPr>
        <w:pStyle w:val="41"/>
        <w:ind w:left="0" w:leftChars="0" w:firstLine="0" w:firstLineChars="0"/>
        <w:rPr>
          <w:rFonts w:hint="eastAsia" w:ascii="宋体" w:hAnsi="宋体" w:eastAsia="宋体" w:cs="宋体"/>
          <w:sz w:val="24"/>
          <w:szCs w:val="24"/>
          <w:lang w:val="en-US" w:eastAsia="zh-CN"/>
        </w:rPr>
      </w:pPr>
    </w:p>
    <w:tbl>
      <w:tblPr>
        <w:tblStyle w:val="2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360"/>
        <w:gridCol w:w="1000"/>
        <w:gridCol w:w="1207"/>
        <w:gridCol w:w="1552"/>
        <w:gridCol w:w="982"/>
        <w:gridCol w:w="707"/>
        <w:gridCol w:w="1225"/>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10740" w:type="dxa"/>
            <w:gridSpan w:val="9"/>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vertAlign w:val="baseline"/>
                <w:lang w:val="en-US" w:eastAsia="zh-CN"/>
              </w:rPr>
              <w:t>7包：森林灭火防护手套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64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136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货物名称</w:t>
            </w:r>
          </w:p>
        </w:tc>
        <w:tc>
          <w:tcPr>
            <w:tcW w:w="1000"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w:t>
            </w:r>
          </w:p>
        </w:tc>
        <w:tc>
          <w:tcPr>
            <w:tcW w:w="1207"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w:t>
            </w:r>
          </w:p>
        </w:tc>
        <w:tc>
          <w:tcPr>
            <w:tcW w:w="1552"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厂家、产地</w:t>
            </w:r>
          </w:p>
        </w:tc>
        <w:tc>
          <w:tcPr>
            <w:tcW w:w="98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70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单位</w:t>
            </w:r>
          </w:p>
        </w:tc>
        <w:tc>
          <w:tcPr>
            <w:tcW w:w="122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单价（</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p>
        </w:tc>
        <w:tc>
          <w:tcPr>
            <w:tcW w:w="206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合价（</w:t>
            </w:r>
            <w:r>
              <w:rPr>
                <w:rFonts w:hint="eastAsia" w:ascii="宋体" w:hAnsi="宋体" w:eastAsia="宋体" w:cs="宋体"/>
                <w:sz w:val="24"/>
                <w:szCs w:val="24"/>
                <w:highlight w:val="none"/>
                <w:lang w:val="en-US" w:eastAsia="zh-CN"/>
              </w:rPr>
              <w:t>单价*数量</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64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3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vertAlign w:val="baseline"/>
                <w:lang w:val="en-US" w:eastAsia="zh-CN"/>
              </w:rPr>
              <w:t>森林灭火防护手套</w:t>
            </w:r>
          </w:p>
        </w:tc>
        <w:tc>
          <w:tcPr>
            <w:tcW w:w="1000"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207" w:type="dxa"/>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1552" w:type="dxa"/>
            <w:noWrap/>
            <w:vAlign w:val="center"/>
          </w:tcPr>
          <w:p>
            <w:pPr>
              <w:keepNext w:val="0"/>
              <w:keepLines w:val="0"/>
              <w:widowControl/>
              <w:suppressLineNumbers w:val="0"/>
              <w:spacing w:line="240" w:lineRule="auto"/>
              <w:jc w:val="center"/>
              <w:textAlignment w:val="center"/>
              <w:rPr>
                <w:rFonts w:hint="eastAsia" w:ascii="宋体" w:hAnsi="宋体" w:eastAsia="宋体" w:cs="宋体"/>
                <w:sz w:val="24"/>
                <w:szCs w:val="24"/>
                <w:highlight w:val="none"/>
              </w:rPr>
            </w:pPr>
          </w:p>
        </w:tc>
        <w:tc>
          <w:tcPr>
            <w:tcW w:w="982"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p>
        </w:tc>
        <w:tc>
          <w:tcPr>
            <w:tcW w:w="707"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1225" w:type="dxa"/>
            <w:tcBorders>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p>
        </w:tc>
        <w:tc>
          <w:tcPr>
            <w:tcW w:w="206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8680" w:type="dxa"/>
            <w:gridSpan w:val="8"/>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投标总价</w:t>
            </w:r>
          </w:p>
        </w:tc>
        <w:tc>
          <w:tcPr>
            <w:tcW w:w="206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        元  </w:t>
            </w:r>
          </w:p>
        </w:tc>
      </w:tr>
    </w:tbl>
    <w:p>
      <w:pPr>
        <w:widowControl/>
        <w:topLinePunct/>
        <w:spacing w:line="360" w:lineRule="auto"/>
        <w:jc w:val="both"/>
        <w:rPr>
          <w:rFonts w:hint="eastAsia" w:ascii="宋体" w:hAnsi="宋体" w:eastAsia="宋体" w:cs="宋体"/>
          <w:bCs/>
          <w:sz w:val="24"/>
          <w:szCs w:val="24"/>
          <w:lang w:val="en-US" w:eastAsia="zh-CN"/>
        </w:rPr>
      </w:pP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注：（1）7包投标单位填写此表，非7包投标单位，此表自行删除。</w:t>
      </w:r>
    </w:p>
    <w:p>
      <w:pPr>
        <w:pStyle w:val="41"/>
        <w:outlineLvl w:val="2"/>
        <w:rPr>
          <w:rFonts w:hint="eastAsia" w:ascii="宋体" w:hAnsi="宋体" w:eastAsia="宋体" w:cs="宋体"/>
          <w:b/>
          <w:sz w:val="24"/>
          <w:szCs w:val="24"/>
          <w:lang w:val="en-US" w:eastAsia="zh-CN"/>
        </w:rPr>
      </w:pPr>
      <w:bookmarkStart w:id="459" w:name="_Toc27144"/>
      <w:r>
        <w:rPr>
          <w:rFonts w:hint="eastAsia" w:ascii="宋体" w:hAnsi="宋体" w:eastAsia="宋体" w:cs="宋体"/>
          <w:b/>
          <w:sz w:val="24"/>
          <w:szCs w:val="24"/>
          <w:lang w:val="en-US" w:eastAsia="zh-CN"/>
        </w:rPr>
        <w:t>（2）此表格式不得更改。</w:t>
      </w:r>
      <w:bookmarkEnd w:id="459"/>
    </w:p>
    <w:p>
      <w:pPr>
        <w:pStyle w:val="4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（3）此表投标总价为各分项报价合计。须与开标一览表中的投标总价相同。</w:t>
      </w:r>
    </w:p>
    <w:p>
      <w:pPr>
        <w:pStyle w:val="41"/>
        <w:rPr>
          <w:rFonts w:hint="eastAsia" w:ascii="宋体" w:hAnsi="宋体" w:eastAsia="宋体" w:cs="宋体"/>
          <w:b/>
          <w:sz w:val="24"/>
          <w:szCs w:val="24"/>
          <w:lang w:val="en-US" w:eastAsia="zh-CN"/>
        </w:rPr>
      </w:pPr>
    </w:p>
    <w:p>
      <w:pPr>
        <w:pStyle w:val="41"/>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p>
    <w:p>
      <w:pPr>
        <w:spacing w:line="360" w:lineRule="auto"/>
        <w:contextualSpacing/>
        <w:jc w:val="center"/>
        <w:outlineLvl w:val="1"/>
        <w:rPr>
          <w:rFonts w:hint="eastAsia" w:ascii="宋体" w:hAnsi="宋体" w:eastAsia="宋体" w:cs="宋体"/>
          <w:b/>
          <w:sz w:val="24"/>
          <w:szCs w:val="24"/>
          <w:highlight w:val="none"/>
        </w:rPr>
      </w:pPr>
      <w:bookmarkStart w:id="460" w:name="_Toc7016"/>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lang w:eastAsia="zh-CN"/>
        </w:rPr>
        <w:t>项目</w:t>
      </w:r>
      <w:r>
        <w:rPr>
          <w:rFonts w:hint="eastAsia" w:ascii="宋体" w:hAnsi="宋体" w:eastAsia="宋体" w:cs="宋体"/>
          <w:b/>
          <w:sz w:val="24"/>
          <w:szCs w:val="24"/>
          <w:highlight w:val="none"/>
        </w:rPr>
        <w:t>管理</w:t>
      </w:r>
      <w:r>
        <w:rPr>
          <w:rFonts w:hint="eastAsia" w:ascii="宋体" w:hAnsi="宋体" w:eastAsia="宋体" w:cs="宋体"/>
          <w:b/>
          <w:sz w:val="24"/>
          <w:szCs w:val="24"/>
          <w:highlight w:val="none"/>
          <w:lang w:eastAsia="zh-CN"/>
        </w:rPr>
        <w:t>团队</w:t>
      </w:r>
      <w:r>
        <w:rPr>
          <w:rFonts w:hint="eastAsia" w:ascii="宋体" w:hAnsi="宋体" w:eastAsia="宋体" w:cs="宋体"/>
          <w:b/>
          <w:sz w:val="24"/>
          <w:szCs w:val="24"/>
          <w:highlight w:val="none"/>
        </w:rPr>
        <w:t>配置表</w:t>
      </w:r>
      <w:bookmarkEnd w:id="46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1590"/>
        <w:gridCol w:w="1170"/>
        <w:gridCol w:w="1305"/>
        <w:gridCol w:w="1710"/>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7" w:hRule="atLeast"/>
          <w:jc w:val="center"/>
        </w:trPr>
        <w:tc>
          <w:tcPr>
            <w:tcW w:w="902"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590"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1170"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305"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学历</w:t>
            </w:r>
          </w:p>
        </w:tc>
        <w:tc>
          <w:tcPr>
            <w:tcW w:w="1710"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专业</w:t>
            </w:r>
          </w:p>
        </w:tc>
        <w:tc>
          <w:tcPr>
            <w:tcW w:w="2175"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902" w:type="dxa"/>
            <w:vAlign w:val="center"/>
          </w:tcPr>
          <w:p>
            <w:pPr>
              <w:jc w:val="center"/>
              <w:rPr>
                <w:rFonts w:hint="eastAsia" w:ascii="宋体" w:hAnsi="宋体" w:eastAsia="宋体" w:cs="宋体"/>
                <w:color w:val="000000"/>
                <w:sz w:val="24"/>
                <w:szCs w:val="24"/>
              </w:rPr>
            </w:pPr>
          </w:p>
        </w:tc>
        <w:tc>
          <w:tcPr>
            <w:tcW w:w="1590" w:type="dxa"/>
            <w:vAlign w:val="center"/>
          </w:tcPr>
          <w:p>
            <w:pPr>
              <w:jc w:val="center"/>
              <w:rPr>
                <w:rFonts w:hint="eastAsia" w:ascii="宋体" w:hAnsi="宋体" w:eastAsia="宋体" w:cs="宋体"/>
                <w:color w:val="000000"/>
                <w:sz w:val="24"/>
                <w:szCs w:val="24"/>
              </w:rPr>
            </w:pPr>
          </w:p>
        </w:tc>
        <w:tc>
          <w:tcPr>
            <w:tcW w:w="1170" w:type="dxa"/>
            <w:vAlign w:val="center"/>
          </w:tcPr>
          <w:p>
            <w:pPr>
              <w:jc w:val="center"/>
              <w:rPr>
                <w:rFonts w:hint="eastAsia" w:ascii="宋体" w:hAnsi="宋体" w:eastAsia="宋体" w:cs="宋体"/>
                <w:color w:val="000000"/>
                <w:sz w:val="24"/>
                <w:szCs w:val="24"/>
              </w:rPr>
            </w:pPr>
          </w:p>
        </w:tc>
        <w:tc>
          <w:tcPr>
            <w:tcW w:w="1305" w:type="dxa"/>
            <w:vAlign w:val="center"/>
          </w:tcPr>
          <w:p>
            <w:pPr>
              <w:jc w:val="center"/>
              <w:rPr>
                <w:rFonts w:hint="eastAsia" w:ascii="宋体" w:hAnsi="宋体" w:eastAsia="宋体" w:cs="宋体"/>
                <w:color w:val="000000"/>
                <w:sz w:val="24"/>
                <w:szCs w:val="24"/>
              </w:rPr>
            </w:pPr>
          </w:p>
        </w:tc>
        <w:tc>
          <w:tcPr>
            <w:tcW w:w="1710" w:type="dxa"/>
            <w:vAlign w:val="center"/>
          </w:tcPr>
          <w:p>
            <w:pPr>
              <w:jc w:val="center"/>
              <w:rPr>
                <w:rFonts w:hint="eastAsia" w:ascii="宋体" w:hAnsi="宋体" w:eastAsia="宋体" w:cs="宋体"/>
                <w:color w:val="000000"/>
                <w:sz w:val="24"/>
                <w:szCs w:val="24"/>
              </w:rPr>
            </w:pPr>
          </w:p>
        </w:tc>
        <w:tc>
          <w:tcPr>
            <w:tcW w:w="2175" w:type="dxa"/>
            <w:vAlign w:val="center"/>
          </w:tcPr>
          <w:p>
            <w:pPr>
              <w:jc w:val="center"/>
              <w:rPr>
                <w:rFonts w:hint="eastAsia" w:ascii="宋体" w:hAnsi="宋体" w:eastAsia="宋体" w:cs="宋体"/>
                <w:color w:val="000000"/>
                <w:sz w:val="24"/>
                <w:szCs w:val="24"/>
              </w:rPr>
            </w:pPr>
          </w:p>
        </w:tc>
      </w:tr>
    </w:tbl>
    <w:p>
      <w:pPr>
        <w:spacing w:line="360" w:lineRule="auto"/>
        <w:ind w:firstLine="472" w:firstLineChars="196"/>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注：1、投标人需随此表附以上人员的身份证</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lang w:val="en-US" w:eastAsia="zh-CN"/>
        </w:rPr>
        <w:t>社保证明</w:t>
      </w:r>
      <w:r>
        <w:rPr>
          <w:rFonts w:hint="eastAsia" w:ascii="宋体" w:hAnsi="宋体" w:eastAsia="宋体" w:cs="宋体"/>
          <w:b/>
          <w:color w:val="000000"/>
          <w:sz w:val="24"/>
          <w:szCs w:val="24"/>
        </w:rPr>
        <w:t>等相关证件的复印件。</w:t>
      </w:r>
      <w:r>
        <w:rPr>
          <w:rFonts w:hint="eastAsia" w:ascii="宋体" w:hAnsi="宋体" w:eastAsia="宋体" w:cs="宋体"/>
          <w:b/>
          <w:color w:val="000000"/>
          <w:sz w:val="24"/>
          <w:szCs w:val="24"/>
          <w:lang w:val="en-US" w:eastAsia="zh-CN"/>
        </w:rPr>
        <w:t xml:space="preserve"> </w:t>
      </w:r>
    </w:p>
    <w:p>
      <w:pPr>
        <w:spacing w:line="360" w:lineRule="auto"/>
        <w:contextualSpacing/>
        <w:jc w:val="center"/>
        <w:outlineLvl w:val="9"/>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w:t>
      </w:r>
    </w:p>
    <w:p>
      <w:pPr>
        <w:spacing w:line="360" w:lineRule="auto"/>
        <w:contextualSpacing/>
        <w:rPr>
          <w:rFonts w:hint="eastAsia" w:ascii="宋体" w:hAnsi="宋体" w:eastAsia="宋体" w:cs="宋体"/>
          <w:sz w:val="24"/>
          <w:szCs w:val="24"/>
        </w:rPr>
      </w:pPr>
    </w:p>
    <w:p>
      <w:pPr>
        <w:pStyle w:val="12"/>
        <w:spacing w:line="360" w:lineRule="auto"/>
        <w:ind w:firstLine="420"/>
        <w:contextualSpacing/>
        <w:jc w:val="right"/>
        <w:rPr>
          <w:rFonts w:hint="eastAsia" w:ascii="宋体" w:hAnsi="宋体" w:eastAsia="宋体" w:cs="宋体"/>
          <w:sz w:val="24"/>
          <w:szCs w:val="24"/>
          <w:u w:val="single"/>
        </w:rPr>
      </w:pPr>
      <w:r>
        <w:rPr>
          <w:rFonts w:hint="eastAsia" w:ascii="宋体" w:hAnsi="宋体" w:eastAsia="宋体" w:cs="宋体"/>
          <w:sz w:val="24"/>
          <w:szCs w:val="24"/>
        </w:rPr>
        <w:t>投标人名称（单位盖章）：</w:t>
      </w:r>
    </w:p>
    <w:p>
      <w:pPr>
        <w:pStyle w:val="12"/>
        <w:spacing w:line="360" w:lineRule="auto"/>
        <w:ind w:firstLine="420"/>
        <w:contextualSpacing/>
        <w:jc w:val="right"/>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exact"/>
        <w:contextualSpacing/>
        <w:jc w:val="right"/>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rPr>
        <w:t>法定代表人或</w:t>
      </w:r>
      <w:r>
        <w:rPr>
          <w:rFonts w:hint="eastAsia" w:ascii="宋体" w:hAnsi="宋体" w:eastAsia="宋体" w:cs="宋体"/>
          <w:sz w:val="24"/>
          <w:szCs w:val="24"/>
          <w:lang w:val="en-US" w:eastAsia="zh-CN"/>
        </w:rPr>
        <w:t>委托</w:t>
      </w:r>
      <w:r>
        <w:rPr>
          <w:rFonts w:hint="eastAsia" w:ascii="宋体" w:hAnsi="宋体" w:eastAsia="宋体" w:cs="宋体"/>
          <w:sz w:val="24"/>
          <w:szCs w:val="24"/>
        </w:rPr>
        <w:t>代理人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（签字</w:t>
      </w:r>
      <w:r>
        <w:rPr>
          <w:rFonts w:hint="eastAsia" w:ascii="宋体" w:hAnsi="宋体" w:eastAsia="宋体" w:cs="宋体"/>
          <w:color w:val="000000"/>
          <w:sz w:val="24"/>
          <w:szCs w:val="24"/>
          <w:lang w:val="en-US" w:eastAsia="zh-CN"/>
        </w:rPr>
        <w:t>或盖章</w:t>
      </w:r>
      <w:r>
        <w:rPr>
          <w:rFonts w:hint="eastAsia" w:ascii="宋体" w:hAnsi="宋体" w:eastAsia="宋体" w:cs="宋体"/>
          <w:color w:val="000000"/>
          <w:sz w:val="24"/>
          <w:szCs w:val="24"/>
          <w:lang w:eastAsia="zh-CN"/>
        </w:rPr>
        <w:t>）</w:t>
      </w:r>
    </w:p>
    <w:p>
      <w:pPr>
        <w:pStyle w:val="12"/>
        <w:spacing w:line="360" w:lineRule="auto"/>
        <w:ind w:firstLine="420"/>
        <w:contextualSpacing/>
        <w:jc w:val="right"/>
        <w:rPr>
          <w:rFonts w:hint="eastAsia" w:ascii="宋体" w:hAnsi="宋体" w:eastAsia="宋体" w:cs="宋体"/>
          <w:sz w:val="24"/>
          <w:szCs w:val="24"/>
        </w:rPr>
      </w:pPr>
    </w:p>
    <w:p>
      <w:pPr>
        <w:pStyle w:val="12"/>
        <w:spacing w:line="360" w:lineRule="auto"/>
        <w:ind w:firstLine="420"/>
        <w:contextualSpacing/>
        <w:jc w:val="right"/>
        <w:rPr>
          <w:rFonts w:hint="eastAsia" w:ascii="宋体" w:hAnsi="宋体" w:eastAsia="宋体" w:cs="宋体"/>
          <w:sz w:val="24"/>
          <w:szCs w:val="24"/>
        </w:rPr>
      </w:pP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pPr>
        <w:spacing w:line="360" w:lineRule="auto"/>
        <w:contextualSpacing/>
        <w:jc w:val="center"/>
        <w:outlineLvl w:val="9"/>
        <w:rPr>
          <w:rFonts w:hint="eastAsia" w:ascii="宋体" w:hAnsi="宋体" w:eastAsia="宋体" w:cs="宋体"/>
          <w:b/>
          <w:sz w:val="24"/>
          <w:szCs w:val="24"/>
        </w:rPr>
      </w:pPr>
    </w:p>
    <w:p>
      <w:pPr>
        <w:rPr>
          <w:rFonts w:hint="eastAsia" w:ascii="宋体" w:hAnsi="宋体" w:eastAsia="宋体" w:cs="宋体"/>
          <w:b/>
          <w:color w:val="000000"/>
          <w:sz w:val="24"/>
          <w:szCs w:val="24"/>
        </w:rPr>
      </w:pPr>
    </w:p>
    <w:p>
      <w:pPr>
        <w:rPr>
          <w:rFonts w:hint="eastAsia" w:ascii="宋体" w:hAnsi="宋体" w:eastAsia="宋体" w:cs="宋体"/>
          <w:b/>
          <w:sz w:val="24"/>
          <w:szCs w:val="24"/>
          <w:lang w:val="en-US" w:eastAsia="zh-CN"/>
        </w:rPr>
      </w:pPr>
      <w:bookmarkStart w:id="461" w:name="_Toc14381"/>
      <w:r>
        <w:rPr>
          <w:rFonts w:hint="eastAsia" w:ascii="宋体" w:hAnsi="宋体" w:eastAsia="宋体" w:cs="宋体"/>
          <w:b/>
          <w:sz w:val="24"/>
          <w:szCs w:val="24"/>
          <w:lang w:val="en-US" w:eastAsia="zh-CN"/>
        </w:rPr>
        <w:br w:type="page"/>
      </w:r>
    </w:p>
    <w:p>
      <w:pPr>
        <w:spacing w:line="360" w:lineRule="auto"/>
        <w:contextualSpacing/>
        <w:jc w:val="center"/>
        <w:outlineLvl w:val="1"/>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w:t>
      </w:r>
      <w:bookmarkEnd w:id="445"/>
      <w:bookmarkEnd w:id="446"/>
      <w:r>
        <w:rPr>
          <w:rFonts w:hint="eastAsia" w:ascii="宋体" w:hAnsi="宋体" w:eastAsia="宋体" w:cs="宋体"/>
          <w:b/>
          <w:sz w:val="24"/>
          <w:szCs w:val="24"/>
          <w:lang w:eastAsia="zh-CN"/>
        </w:rPr>
        <w:t>技术部分</w:t>
      </w:r>
      <w:bookmarkEnd w:id="461"/>
    </w:p>
    <w:p>
      <w:pPr>
        <w:spacing w:line="360" w:lineRule="auto"/>
        <w:contextualSpacing/>
        <w:rPr>
          <w:rFonts w:hint="eastAsia" w:ascii="宋体" w:hAnsi="宋体" w:eastAsia="宋体" w:cs="宋体"/>
          <w:color w:val="000000"/>
          <w:sz w:val="24"/>
          <w:szCs w:val="24"/>
        </w:rPr>
      </w:pPr>
    </w:p>
    <w:bookmarkEnd w:id="437"/>
    <w:bookmarkEnd w:id="438"/>
    <w:bookmarkEnd w:id="439"/>
    <w:bookmarkEnd w:id="440"/>
    <w:p>
      <w:pPr>
        <w:spacing w:line="360" w:lineRule="auto"/>
        <w:contextualSpacing/>
        <w:rPr>
          <w:rFonts w:hint="eastAsia" w:ascii="宋体" w:hAnsi="宋体" w:eastAsia="宋体" w:cs="宋体"/>
          <w:color w:val="000000"/>
          <w:sz w:val="24"/>
          <w:szCs w:val="24"/>
          <w:lang w:eastAsia="zh-CN"/>
        </w:rPr>
      </w:pPr>
      <w:bookmarkStart w:id="462" w:name="_Toc329757323"/>
      <w:bookmarkStart w:id="463" w:name="_Toc262740158"/>
      <w:bookmarkStart w:id="464" w:name="_Toc238552306"/>
      <w:bookmarkStart w:id="465" w:name="_Toc238797668"/>
      <w:r>
        <w:rPr>
          <w:rFonts w:hint="eastAsia" w:ascii="宋体" w:hAnsi="宋体" w:eastAsia="宋体" w:cs="宋体"/>
          <w:color w:val="000000"/>
          <w:sz w:val="24"/>
          <w:szCs w:val="24"/>
          <w:lang w:eastAsia="zh-CN"/>
        </w:rPr>
        <w:t>参照评审办法技术部分评审要求编制</w:t>
      </w:r>
      <w:r>
        <w:rPr>
          <w:rFonts w:hint="eastAsia" w:ascii="宋体" w:hAnsi="宋体" w:eastAsia="宋体" w:cs="宋体"/>
          <w:color w:val="000000"/>
          <w:sz w:val="24"/>
          <w:szCs w:val="24"/>
          <w:lang w:val="en-US" w:eastAsia="zh-CN"/>
        </w:rPr>
        <w:t>包括但不限于技术指标响应、实施方案、质量保障、售后服务、应急保障等，</w:t>
      </w:r>
      <w:r>
        <w:rPr>
          <w:rFonts w:hint="eastAsia" w:ascii="宋体" w:hAnsi="宋体" w:eastAsia="宋体" w:cs="宋体"/>
          <w:color w:val="000000"/>
          <w:sz w:val="24"/>
          <w:szCs w:val="24"/>
          <w:lang w:eastAsia="zh-CN"/>
        </w:rPr>
        <w:t>格式自拟。</w:t>
      </w:r>
    </w:p>
    <w:p>
      <w:pPr>
        <w:spacing w:line="360" w:lineRule="auto"/>
        <w:contextualSpacing/>
        <w:rPr>
          <w:rFonts w:hint="eastAsia" w:ascii="宋体" w:hAnsi="宋体" w:eastAsia="宋体" w:cs="宋体"/>
          <w:sz w:val="24"/>
          <w:szCs w:val="24"/>
        </w:rPr>
      </w:pPr>
    </w:p>
    <w:p>
      <w:pPr>
        <w:spacing w:line="360" w:lineRule="auto"/>
        <w:ind w:firstLine="480" w:firstLineChars="200"/>
        <w:contextualSpacing/>
        <w:rPr>
          <w:rFonts w:hint="eastAsia" w:ascii="宋体" w:hAnsi="宋体" w:eastAsia="宋体" w:cs="宋体"/>
          <w:color w:val="000000"/>
          <w:sz w:val="24"/>
          <w:szCs w:val="24"/>
        </w:rPr>
      </w:pP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p>
      <w:pPr>
        <w:pStyle w:val="12"/>
        <w:spacing w:line="360" w:lineRule="auto"/>
        <w:contextualSpacing/>
        <w:jc w:val="both"/>
        <w:outlineLvl w:val="1"/>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附1</w:t>
      </w:r>
      <w:bookmarkStart w:id="466" w:name="_Toc27770"/>
      <w:r>
        <w:rPr>
          <w:rFonts w:hint="eastAsia" w:ascii="宋体" w:hAnsi="宋体" w:eastAsia="宋体" w:cs="宋体"/>
          <w:b/>
          <w:bCs/>
          <w:kern w:val="2"/>
          <w:sz w:val="24"/>
          <w:szCs w:val="24"/>
          <w:lang w:val="en-US" w:eastAsia="zh-CN" w:bidi="ar-SA"/>
        </w:rPr>
        <w:t>：</w:t>
      </w:r>
    </w:p>
    <w:p>
      <w:pPr>
        <w:pStyle w:val="12"/>
        <w:spacing w:line="360" w:lineRule="auto"/>
        <w:contextualSpacing/>
        <w:jc w:val="center"/>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采购需求偏离表</w:t>
      </w:r>
      <w:bookmarkEnd w:id="466"/>
      <w:r>
        <w:rPr>
          <w:rFonts w:hint="eastAsia" w:ascii="宋体" w:hAnsi="宋体" w:eastAsia="宋体" w:cs="宋体"/>
          <w:b/>
          <w:bCs/>
          <w:kern w:val="2"/>
          <w:sz w:val="24"/>
          <w:szCs w:val="24"/>
          <w:highlight w:val="none"/>
          <w:lang w:val="en-US" w:eastAsia="zh-CN" w:bidi="ar-SA"/>
        </w:rPr>
        <w:t xml:space="preserve"> </w:t>
      </w:r>
    </w:p>
    <w:p>
      <w:pPr>
        <w:pStyle w:val="64"/>
        <w:spacing w:line="443" w:lineRule="exact"/>
        <w:ind w:left="0" w:right="0"/>
        <w:rPr>
          <w:rFonts w:hint="eastAsia" w:ascii="宋体" w:hAnsi="宋体" w:eastAsia="宋体" w:cs="宋体"/>
          <w:b w:val="0"/>
          <w:bCs w:val="0"/>
          <w:sz w:val="24"/>
          <w:szCs w:val="24"/>
          <w:lang w:val="en-US" w:eastAsia="zh-CN"/>
        </w:rPr>
      </w:pPr>
      <w:bookmarkStart w:id="467" w:name="_Toc31250"/>
      <w:r>
        <w:rPr>
          <w:rFonts w:hint="eastAsia" w:ascii="宋体" w:hAnsi="宋体" w:eastAsia="宋体" w:cs="宋体"/>
          <w:b w:val="0"/>
          <w:bCs w:val="0"/>
          <w:sz w:val="24"/>
          <w:szCs w:val="24"/>
          <w:lang w:val="en-US" w:eastAsia="zh-CN"/>
        </w:rPr>
        <w:t>标段名称：</w:t>
      </w:r>
      <w:bookmarkEnd w:id="467"/>
    </w:p>
    <w:p>
      <w:pPr>
        <w:pStyle w:val="64"/>
        <w:spacing w:line="443" w:lineRule="exact"/>
        <w:ind w:left="0" w:right="0"/>
        <w:rPr>
          <w:rFonts w:hint="eastAsia" w:ascii="宋体" w:hAnsi="宋体" w:eastAsia="宋体" w:cs="宋体"/>
          <w:b w:val="0"/>
          <w:bCs w:val="0"/>
          <w:sz w:val="24"/>
          <w:szCs w:val="24"/>
          <w:lang w:val="en-US" w:eastAsia="zh-CN"/>
        </w:rPr>
      </w:pPr>
      <w:bookmarkStart w:id="468" w:name="_Toc17782"/>
      <w:r>
        <w:rPr>
          <w:rFonts w:hint="eastAsia" w:ascii="宋体" w:hAnsi="宋体" w:eastAsia="宋体" w:cs="宋体"/>
          <w:b w:val="0"/>
          <w:bCs w:val="0"/>
          <w:sz w:val="24"/>
          <w:szCs w:val="24"/>
          <w:lang w:val="en-US" w:eastAsia="zh-CN"/>
        </w:rPr>
        <w:t>标段编号：</w:t>
      </w:r>
      <w:bookmarkEnd w:id="468"/>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2"/>
        <w:gridCol w:w="1903"/>
        <w:gridCol w:w="1903"/>
        <w:gridCol w:w="1903"/>
        <w:gridCol w:w="1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90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序号</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招标文件技术参数</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投标文件技术参数</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偏离</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jc w:val="center"/>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1</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jc w:val="center"/>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2</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jc w:val="center"/>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3</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bl>
    <w:p>
      <w:pPr>
        <w:spacing w:before="260" w:line="241" w:lineRule="auto"/>
        <w:ind w:left="124"/>
        <w:rPr>
          <w:rFonts w:hint="eastAsia" w:ascii="宋体" w:hAnsi="宋体" w:eastAsia="宋体" w:cs="宋体"/>
          <w:b/>
          <w:bCs/>
          <w:sz w:val="24"/>
          <w:szCs w:val="24"/>
        </w:rPr>
      </w:pPr>
      <w:r>
        <w:rPr>
          <w:rFonts w:hint="eastAsia" w:ascii="宋体" w:hAnsi="宋体" w:eastAsia="宋体" w:cs="宋体"/>
          <w:b/>
          <w:bCs/>
          <w:spacing w:val="4"/>
          <w:sz w:val="24"/>
          <w:szCs w:val="24"/>
        </w:rPr>
        <w:t>说明：</w:t>
      </w:r>
    </w:p>
    <w:p>
      <w:pPr>
        <w:spacing w:before="152" w:line="229" w:lineRule="auto"/>
        <w:rPr>
          <w:rFonts w:hint="eastAsia" w:ascii="宋体" w:hAnsi="宋体" w:eastAsia="宋体" w:cs="宋体"/>
          <w:b/>
          <w:bCs/>
          <w:spacing w:val="9"/>
          <w:sz w:val="24"/>
          <w:szCs w:val="24"/>
          <w:highlight w:val="none"/>
          <w:lang w:val="en-US" w:eastAsia="zh-CN"/>
        </w:rPr>
      </w:pPr>
      <w:r>
        <w:rPr>
          <w:rFonts w:hint="eastAsia" w:ascii="宋体" w:hAnsi="宋体" w:eastAsia="宋体" w:cs="宋体"/>
          <w:b/>
          <w:bCs/>
          <w:spacing w:val="9"/>
          <w:sz w:val="24"/>
          <w:szCs w:val="24"/>
          <w:highlight w:val="none"/>
          <w:lang w:val="en-US" w:eastAsia="zh-CN"/>
        </w:rPr>
        <w:t>1.</w:t>
      </w:r>
      <w:r>
        <w:rPr>
          <w:rFonts w:hint="eastAsia" w:cs="宋体"/>
          <w:color w:val="auto"/>
          <w:sz w:val="24"/>
          <w:szCs w:val="24"/>
          <w:lang w:val="en-US" w:eastAsia="zh-CN"/>
        </w:rPr>
        <w:t>招标文件第五章</w:t>
      </w:r>
      <w:r>
        <w:rPr>
          <w:rFonts w:hint="eastAsia" w:ascii="宋体" w:hAnsi="宋体" w:eastAsia="宋体" w:cs="宋体"/>
          <w:color w:val="auto"/>
          <w:sz w:val="24"/>
          <w:szCs w:val="24"/>
        </w:rPr>
        <w:t>《采购需求》</w:t>
      </w:r>
      <w:r>
        <w:rPr>
          <w:rFonts w:hint="eastAsia" w:ascii="宋体" w:hAnsi="宋体" w:eastAsia="宋体" w:cs="宋体"/>
          <w:color w:val="auto"/>
          <w:kern w:val="0"/>
          <w:sz w:val="24"/>
          <w:szCs w:val="24"/>
        </w:rPr>
        <w:t>中★条款要求</w:t>
      </w:r>
      <w:r>
        <w:rPr>
          <w:rFonts w:hint="eastAsia" w:ascii="宋体" w:hAnsi="宋体" w:eastAsia="宋体" w:cs="宋体"/>
          <w:b/>
          <w:bCs/>
          <w:sz w:val="24"/>
          <w:szCs w:val="24"/>
          <w:lang w:val="en-US" w:eastAsia="zh-CN"/>
        </w:rPr>
        <w:t>不得负偏离，必须在</w:t>
      </w:r>
      <w:r>
        <w:rPr>
          <w:rFonts w:hint="eastAsia" w:cs="宋体"/>
          <w:b/>
          <w:bCs/>
          <w:sz w:val="24"/>
          <w:szCs w:val="24"/>
          <w:lang w:val="en-US" w:eastAsia="zh-CN"/>
        </w:rPr>
        <w:t>“</w:t>
      </w:r>
      <w:r>
        <w:rPr>
          <w:rFonts w:hint="eastAsia" w:ascii="宋体" w:hAnsi="宋体" w:eastAsia="宋体" w:cs="宋体"/>
          <w:b/>
          <w:bCs/>
          <w:sz w:val="24"/>
          <w:szCs w:val="24"/>
          <w:lang w:val="en-US" w:eastAsia="zh-CN"/>
        </w:rPr>
        <w:t>采购需求偏离表</w:t>
      </w:r>
      <w:r>
        <w:rPr>
          <w:rFonts w:hint="eastAsia" w:cs="宋体"/>
          <w:b/>
          <w:bCs/>
          <w:sz w:val="24"/>
          <w:szCs w:val="24"/>
          <w:lang w:val="en-US" w:eastAsia="zh-CN"/>
        </w:rPr>
        <w:t>”中</w:t>
      </w:r>
      <w:r>
        <w:rPr>
          <w:rFonts w:hint="eastAsia" w:ascii="宋体" w:hAnsi="宋体" w:eastAsia="宋体" w:cs="宋体"/>
          <w:b/>
          <w:bCs/>
          <w:sz w:val="24"/>
          <w:szCs w:val="24"/>
          <w:lang w:val="en-US" w:eastAsia="zh-CN"/>
        </w:rPr>
        <w:t>逐项响应</w:t>
      </w:r>
      <w:r>
        <w:rPr>
          <w:rFonts w:hint="eastAsia" w:ascii="宋体" w:hAnsi="宋体" w:eastAsia="宋体" w:cs="宋体"/>
          <w:color w:val="auto"/>
          <w:kern w:val="0"/>
          <w:sz w:val="24"/>
          <w:szCs w:val="24"/>
        </w:rPr>
        <w:t>★条款</w:t>
      </w:r>
      <w:r>
        <w:rPr>
          <w:rFonts w:hint="eastAsia" w:ascii="宋体" w:hAnsi="宋体" w:eastAsia="宋体" w:cs="宋体"/>
          <w:b/>
          <w:bCs/>
          <w:sz w:val="24"/>
          <w:szCs w:val="24"/>
          <w:highlight w:val="none"/>
          <w:lang w:val="en-US" w:eastAsia="zh-CN"/>
        </w:rPr>
        <w:t>（如所投包有多个产品的须逐项响应</w:t>
      </w:r>
      <w:r>
        <w:rPr>
          <w:rFonts w:hint="eastAsia" w:cs="宋体"/>
          <w:b/>
          <w:bCs/>
          <w:sz w:val="24"/>
          <w:szCs w:val="24"/>
          <w:highlight w:val="none"/>
          <w:lang w:val="en-US" w:eastAsia="zh-CN"/>
        </w:rPr>
        <w:t>，要求提供承诺书的，对应所投包及相应产品逐条列明承诺书，并按要求签字和盖章，承诺书附在本表后方即可</w:t>
      </w:r>
      <w:r>
        <w:rPr>
          <w:rFonts w:hint="eastAsia" w:ascii="宋体" w:hAnsi="宋体" w:eastAsia="宋体" w:cs="宋体"/>
          <w:b/>
          <w:bCs/>
          <w:sz w:val="24"/>
          <w:szCs w:val="24"/>
          <w:highlight w:val="none"/>
          <w:lang w:val="en-US" w:eastAsia="zh-CN"/>
        </w:rPr>
        <w:t>）</w:t>
      </w:r>
      <w:r>
        <w:rPr>
          <w:rFonts w:hint="eastAsia" w:cs="宋体"/>
          <w:color w:val="auto"/>
          <w:kern w:val="0"/>
          <w:sz w:val="24"/>
          <w:szCs w:val="24"/>
          <w:lang w:eastAsia="zh-CN"/>
        </w:rPr>
        <w:t>。</w:t>
      </w:r>
    </w:p>
    <w:p>
      <w:pPr>
        <w:spacing w:before="152" w:line="229" w:lineRule="auto"/>
        <w:rPr>
          <w:rFonts w:hint="eastAsia" w:ascii="宋体" w:hAnsi="宋体" w:eastAsia="宋体" w:cs="宋体"/>
          <w:b/>
          <w:bCs/>
          <w:sz w:val="24"/>
          <w:szCs w:val="24"/>
          <w:lang w:val="en-US" w:eastAsia="zh-CN"/>
        </w:rPr>
      </w:pPr>
      <w:r>
        <w:rPr>
          <w:rFonts w:hint="eastAsia" w:ascii="宋体" w:hAnsi="宋体" w:eastAsia="宋体" w:cs="宋体"/>
          <w:b/>
          <w:bCs/>
          <w:spacing w:val="9"/>
          <w:sz w:val="24"/>
          <w:szCs w:val="24"/>
          <w:highlight w:val="none"/>
          <w:lang w:val="en-US" w:eastAsia="zh-CN"/>
        </w:rPr>
        <w:t>2.</w:t>
      </w:r>
      <w:r>
        <w:rPr>
          <w:rFonts w:hint="eastAsia" w:cs="宋体"/>
          <w:color w:val="auto"/>
          <w:sz w:val="24"/>
          <w:szCs w:val="24"/>
          <w:lang w:val="en-US" w:eastAsia="zh-CN"/>
        </w:rPr>
        <w:t>招标文件第五章</w:t>
      </w:r>
      <w:r>
        <w:rPr>
          <w:rFonts w:hint="eastAsia" w:ascii="宋体" w:hAnsi="宋体" w:eastAsia="宋体" w:cs="宋体"/>
          <w:color w:val="auto"/>
          <w:sz w:val="24"/>
          <w:szCs w:val="24"/>
        </w:rPr>
        <w:t>《采购需求》</w:t>
      </w:r>
      <w:r>
        <w:rPr>
          <w:rFonts w:hint="eastAsia" w:ascii="宋体" w:hAnsi="宋体" w:eastAsia="宋体" w:cs="宋体"/>
          <w:b/>
          <w:bCs/>
          <w:spacing w:val="9"/>
          <w:sz w:val="24"/>
          <w:szCs w:val="24"/>
          <w:highlight w:val="none"/>
        </w:rPr>
        <w:t>中“</w:t>
      </w:r>
      <w:r>
        <w:rPr>
          <w:rFonts w:hint="eastAsia" w:ascii="宋体" w:hAnsi="宋体" w:eastAsia="宋体" w:cs="宋体"/>
          <w:b/>
          <w:bCs/>
          <w:spacing w:val="9"/>
          <w:sz w:val="24"/>
          <w:szCs w:val="24"/>
          <w:highlight w:val="none"/>
          <w:lang w:val="en-US" w:eastAsia="zh-CN"/>
        </w:rPr>
        <w:t>三、技术要求----</w:t>
      </w:r>
      <w:r>
        <w:rPr>
          <w:rFonts w:hint="eastAsia" w:ascii="宋体" w:hAnsi="宋体" w:eastAsia="宋体" w:cs="宋体"/>
          <w:b/>
          <w:bCs/>
          <w:spacing w:val="9"/>
          <w:sz w:val="24"/>
          <w:szCs w:val="24"/>
          <w:highlight w:val="none"/>
        </w:rPr>
        <w:t>2. 货物技术要求”</w:t>
      </w:r>
      <w:r>
        <w:rPr>
          <w:rFonts w:hint="eastAsia" w:ascii="宋体" w:hAnsi="宋体" w:eastAsia="宋体" w:cs="宋体"/>
          <w:b/>
          <w:bCs/>
          <w:spacing w:val="9"/>
          <w:sz w:val="24"/>
          <w:szCs w:val="24"/>
          <w:highlight w:val="none"/>
          <w:lang w:val="en-US" w:eastAsia="zh-CN"/>
        </w:rPr>
        <w:t>逐条响应（对所投包的货物名称、技术参数、数量逐条响应），均不得负偏离，投标人</w:t>
      </w:r>
      <w:r>
        <w:rPr>
          <w:rFonts w:hint="eastAsia" w:ascii="宋体" w:hAnsi="宋体" w:eastAsia="宋体" w:cs="宋体"/>
          <w:b/>
          <w:bCs/>
          <w:sz w:val="24"/>
          <w:szCs w:val="24"/>
          <w:lang w:val="en-US" w:eastAsia="zh-CN"/>
        </w:rPr>
        <w:t>必须在</w:t>
      </w:r>
      <w:r>
        <w:rPr>
          <w:rFonts w:hint="eastAsia" w:cs="宋体"/>
          <w:b/>
          <w:bCs/>
          <w:sz w:val="24"/>
          <w:szCs w:val="24"/>
          <w:lang w:val="en-US" w:eastAsia="zh-CN"/>
        </w:rPr>
        <w:t>“</w:t>
      </w:r>
      <w:r>
        <w:rPr>
          <w:rFonts w:hint="eastAsia" w:ascii="宋体" w:hAnsi="宋体" w:eastAsia="宋体" w:cs="宋体"/>
          <w:b/>
          <w:bCs/>
          <w:sz w:val="24"/>
          <w:szCs w:val="24"/>
          <w:lang w:val="en-US" w:eastAsia="zh-CN"/>
        </w:rPr>
        <w:t>采购需求偏离表</w:t>
      </w:r>
      <w:r>
        <w:rPr>
          <w:rFonts w:hint="eastAsia" w:cs="宋体"/>
          <w:b/>
          <w:bCs/>
          <w:sz w:val="24"/>
          <w:szCs w:val="24"/>
          <w:lang w:val="en-US" w:eastAsia="zh-CN"/>
        </w:rPr>
        <w:t>”中</w:t>
      </w:r>
      <w:r>
        <w:rPr>
          <w:rFonts w:hint="eastAsia" w:ascii="宋体" w:hAnsi="宋体" w:eastAsia="宋体" w:cs="宋体"/>
          <w:b/>
          <w:bCs/>
          <w:sz w:val="24"/>
          <w:szCs w:val="24"/>
          <w:lang w:val="en-US" w:eastAsia="zh-CN"/>
        </w:rPr>
        <w:t>逐项响应。</w:t>
      </w:r>
    </w:p>
    <w:p>
      <w:pPr>
        <w:spacing w:before="152" w:line="229"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3.本表后附招标文件“</w:t>
      </w:r>
      <w:r>
        <w:rPr>
          <w:rFonts w:hint="eastAsia" w:ascii="宋体" w:hAnsi="宋体" w:eastAsia="宋体" w:cs="宋体"/>
          <w:b/>
          <w:bCs/>
          <w:spacing w:val="9"/>
          <w:sz w:val="24"/>
          <w:szCs w:val="24"/>
          <w:highlight w:val="none"/>
        </w:rPr>
        <w:t>第五章 采购需求</w:t>
      </w:r>
      <w:r>
        <w:rPr>
          <w:rFonts w:hint="eastAsia" w:ascii="宋体" w:hAnsi="宋体" w:eastAsia="宋体" w:cs="宋体"/>
          <w:b/>
          <w:bCs/>
          <w:sz w:val="24"/>
          <w:szCs w:val="24"/>
          <w:highlight w:val="none"/>
          <w:lang w:val="en-US" w:eastAsia="zh-CN"/>
        </w:rPr>
        <w:t>”中要求的承诺书等材料（如所投包有多个产品的须逐项提供所要求的承诺等材料，未提供或提供的承诺书等材料不符合要求的投标无效）。</w:t>
      </w:r>
    </w:p>
    <w:p>
      <w:pPr>
        <w:spacing w:before="139" w:line="369" w:lineRule="auto"/>
        <w:jc w:val="both"/>
        <w:outlineLvl w:val="2"/>
        <w:rPr>
          <w:rFonts w:hint="eastAsia" w:ascii="宋体" w:hAnsi="宋体" w:eastAsia="宋体" w:cs="宋体"/>
          <w:b/>
          <w:bCs/>
          <w:spacing w:val="8"/>
          <w:sz w:val="24"/>
          <w:szCs w:val="24"/>
          <w:highlight w:val="none"/>
          <w:lang w:val="en-US" w:eastAsia="zh-CN"/>
        </w:rPr>
      </w:pPr>
      <w:bookmarkStart w:id="469" w:name="_Toc9334"/>
      <w:r>
        <w:rPr>
          <w:rFonts w:hint="eastAsia" w:ascii="宋体" w:hAnsi="宋体" w:eastAsia="宋体" w:cs="宋体"/>
          <w:b/>
          <w:bCs/>
          <w:spacing w:val="8"/>
          <w:sz w:val="24"/>
          <w:szCs w:val="24"/>
          <w:highlight w:val="none"/>
          <w:lang w:val="en-US" w:eastAsia="zh-CN"/>
        </w:rPr>
        <w:t>4.偏离一栏填写正偏离、负偏离、无偏离。</w:t>
      </w:r>
      <w:bookmarkEnd w:id="469"/>
    </w:p>
    <w:p>
      <w:pPr>
        <w:spacing w:before="139" w:line="369" w:lineRule="auto"/>
        <w:jc w:val="both"/>
        <w:outlineLvl w:val="2"/>
        <w:rPr>
          <w:rFonts w:hint="default"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5.</w:t>
      </w:r>
      <w:r>
        <w:rPr>
          <w:rFonts w:hint="eastAsia" w:ascii="宋体" w:hAnsi="宋体" w:eastAsia="宋体" w:cs="宋体"/>
          <w:b/>
          <w:bCs/>
          <w:spacing w:val="9"/>
          <w:sz w:val="24"/>
          <w:szCs w:val="24"/>
          <w:highlight w:val="none"/>
          <w:lang w:val="en-US" w:eastAsia="zh-CN"/>
        </w:rPr>
        <w:t>投标人必须如实响应上述内容，如缺项漏项、或未响应的视为负偏离，投标无效。</w:t>
      </w:r>
    </w:p>
    <w:p>
      <w:pPr>
        <w:spacing w:before="152" w:line="229" w:lineRule="auto"/>
        <w:rPr>
          <w:rFonts w:hint="eastAsia" w:ascii="宋体" w:hAnsi="宋体" w:eastAsia="宋体" w:cs="宋体"/>
          <w:sz w:val="24"/>
          <w:szCs w:val="24"/>
        </w:rPr>
      </w:pPr>
      <w:r>
        <w:rPr>
          <w:rFonts w:hint="eastAsia" w:ascii="宋体" w:hAnsi="宋体" w:eastAsia="宋体" w:cs="宋体"/>
          <w:b/>
          <w:bCs/>
          <w:spacing w:val="9"/>
          <w:sz w:val="24"/>
          <w:szCs w:val="24"/>
          <w:lang w:val="en-US" w:eastAsia="zh-CN"/>
        </w:rPr>
        <w:t>6</w:t>
      </w:r>
      <w:r>
        <w:rPr>
          <w:rFonts w:hint="eastAsia" w:ascii="宋体" w:hAnsi="宋体" w:eastAsia="宋体" w:cs="宋体"/>
          <w:b/>
          <w:bCs/>
          <w:spacing w:val="9"/>
          <w:sz w:val="24"/>
          <w:szCs w:val="24"/>
        </w:rPr>
        <w:t>.投标人必须据实填写，不得虚假响应，否则取消其投标或中标资格</w:t>
      </w:r>
      <w:r>
        <w:rPr>
          <w:rFonts w:hint="eastAsia" w:ascii="宋体" w:hAnsi="宋体" w:eastAsia="宋体" w:cs="宋体"/>
          <w:b/>
          <w:bCs/>
          <w:spacing w:val="9"/>
          <w:sz w:val="24"/>
          <w:szCs w:val="24"/>
          <w:lang w:val="en-US" w:eastAsia="zh-CN"/>
        </w:rPr>
        <w:t>并承担相应后果</w:t>
      </w:r>
      <w:r>
        <w:rPr>
          <w:rFonts w:hint="eastAsia" w:ascii="宋体" w:hAnsi="宋体" w:eastAsia="宋体" w:cs="宋体"/>
          <w:b/>
          <w:bCs/>
          <w:spacing w:val="9"/>
          <w:sz w:val="24"/>
          <w:szCs w:val="24"/>
        </w:rPr>
        <w:t>。</w:t>
      </w:r>
    </w:p>
    <w:p>
      <w:pPr>
        <w:spacing w:line="360" w:lineRule="auto"/>
        <w:ind w:firstLine="5760" w:firstLineChars="2400"/>
        <w:jc w:val="both"/>
        <w:rPr>
          <w:rFonts w:hint="eastAsia" w:ascii="宋体" w:hAnsi="宋体" w:eastAsia="宋体" w:cs="宋体"/>
          <w:color w:val="000000"/>
          <w:kern w:val="2"/>
          <w:sz w:val="24"/>
          <w:szCs w:val="24"/>
          <w:lang w:eastAsia="zh-CN"/>
        </w:rPr>
      </w:pPr>
    </w:p>
    <w:p>
      <w:pPr>
        <w:pStyle w:val="9"/>
        <w:tabs>
          <w:tab w:val="left" w:pos="3931"/>
        </w:tabs>
        <w:ind w:right="154"/>
        <w:jc w:val="right"/>
        <w:rPr>
          <w:rFonts w:hint="eastAsia" w:ascii="宋体" w:hAnsi="宋体" w:eastAsia="宋体" w:cs="宋体"/>
          <w:sz w:val="24"/>
          <w:szCs w:val="24"/>
          <w:lang w:eastAsia="zh-CN"/>
        </w:rPr>
      </w:pPr>
    </w:p>
    <w:p>
      <w:pPr>
        <w:pStyle w:val="9"/>
        <w:tabs>
          <w:tab w:val="left" w:pos="3931"/>
        </w:tabs>
        <w:ind w:right="154"/>
        <w:jc w:val="right"/>
        <w:rPr>
          <w:rFonts w:hint="eastAsia" w:ascii="宋体" w:hAnsi="宋体" w:eastAsia="宋体" w:cs="宋体"/>
          <w:color w:val="000000"/>
          <w:kern w:val="2"/>
          <w:sz w:val="24"/>
          <w:szCs w:val="24"/>
          <w:lang w:val="en-US" w:eastAsia="zh-CN"/>
        </w:rPr>
      </w:pPr>
      <w:r>
        <w:rPr>
          <w:rFonts w:hint="eastAsia" w:ascii="宋体" w:hAnsi="宋体" w:eastAsia="宋体" w:cs="宋体"/>
          <w:b w:val="0"/>
          <w:bCs/>
          <w:sz w:val="24"/>
          <w:szCs w:val="24"/>
          <w:lang w:eastAsia="zh-CN"/>
        </w:rPr>
        <w:t>投标人名称：</w:t>
      </w:r>
      <w:r>
        <w:rPr>
          <w:rFonts w:hint="eastAsia" w:ascii="宋体" w:hAnsi="宋体" w:eastAsia="宋体" w:cs="宋体"/>
          <w:b w:val="0"/>
          <w:bCs/>
          <w:sz w:val="24"/>
          <w:szCs w:val="24"/>
          <w:u w:val="single"/>
          <w:lang w:eastAsia="zh-CN"/>
        </w:rPr>
        <w:tab/>
      </w:r>
      <w:r>
        <w:rPr>
          <w:rFonts w:hint="eastAsia" w:ascii="宋体" w:hAnsi="宋体" w:eastAsia="宋体" w:cs="宋体"/>
          <w:b w:val="0"/>
          <w:bCs/>
          <w:spacing w:val="-1"/>
          <w:sz w:val="24"/>
          <w:szCs w:val="24"/>
          <w:lang w:eastAsia="zh-CN"/>
        </w:rPr>
        <w:t>（盖单位章）</w:t>
      </w:r>
      <w:r>
        <w:rPr>
          <w:rFonts w:hint="eastAsia" w:ascii="宋体" w:hAnsi="宋体" w:eastAsia="宋体" w:cs="宋体"/>
          <w:color w:val="000000"/>
          <w:kern w:val="2"/>
          <w:sz w:val="24"/>
          <w:szCs w:val="24"/>
          <w:lang w:val="en-US" w:eastAsia="zh-CN"/>
        </w:rPr>
        <w:t xml:space="preserve">         </w:t>
      </w:r>
    </w:p>
    <w:p>
      <w:pPr>
        <w:spacing w:line="360" w:lineRule="auto"/>
        <w:ind w:firstLine="480" w:firstLineChars="200"/>
        <w:jc w:val="right"/>
        <w:rPr>
          <w:rFonts w:hint="eastAsia" w:ascii="宋体" w:hAnsi="宋体" w:eastAsia="宋体" w:cs="宋体"/>
          <w:sz w:val="24"/>
          <w:szCs w:val="24"/>
          <w:lang w:eastAsia="zh-CN"/>
        </w:rPr>
      </w:pPr>
    </w:p>
    <w:p>
      <w:pPr>
        <w:spacing w:line="360" w:lineRule="auto"/>
        <w:ind w:firstLine="480" w:firstLineChars="200"/>
        <w:jc w:val="right"/>
        <w:rPr>
          <w:rFonts w:hint="eastAsia" w:ascii="宋体" w:hAnsi="宋体" w:eastAsia="宋体" w:cs="宋体"/>
          <w:color w:val="000000"/>
          <w:kern w:val="2"/>
          <w:sz w:val="24"/>
          <w:szCs w:val="24"/>
          <w:lang w:eastAsia="zh-CN"/>
        </w:rPr>
      </w:pPr>
      <w:r>
        <w:rPr>
          <w:rFonts w:hint="eastAsia" w:ascii="宋体" w:hAnsi="宋体" w:eastAsia="宋体" w:cs="宋体"/>
          <w:sz w:val="24"/>
          <w:szCs w:val="24"/>
          <w:lang w:eastAsia="zh-CN"/>
        </w:rPr>
        <w:t>法定代表人或委托代理人：</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（签字</w:t>
      </w:r>
      <w:r>
        <w:rPr>
          <w:rFonts w:hint="eastAsia" w:ascii="宋体" w:hAnsi="宋体" w:eastAsia="宋体" w:cs="宋体"/>
          <w:sz w:val="24"/>
          <w:szCs w:val="24"/>
          <w:lang w:val="en-US" w:eastAsia="zh-CN"/>
        </w:rPr>
        <w:t>或盖章</w:t>
      </w:r>
      <w:r>
        <w:rPr>
          <w:rFonts w:hint="eastAsia" w:ascii="宋体" w:hAnsi="宋体" w:eastAsia="宋体" w:cs="宋体"/>
          <w:sz w:val="24"/>
          <w:szCs w:val="24"/>
          <w:lang w:eastAsia="zh-CN"/>
        </w:rPr>
        <w:t>）</w:t>
      </w:r>
    </w:p>
    <w:p>
      <w:pPr>
        <w:spacing w:line="360" w:lineRule="auto"/>
        <w:ind w:firstLine="480" w:firstLineChars="200"/>
        <w:jc w:val="right"/>
        <w:rPr>
          <w:rFonts w:hint="eastAsia" w:ascii="宋体" w:hAnsi="宋体" w:eastAsia="宋体" w:cs="宋体"/>
          <w:color w:val="000000"/>
          <w:kern w:val="2"/>
          <w:sz w:val="24"/>
          <w:szCs w:val="24"/>
          <w:u w:val="single"/>
          <w:lang w:eastAsia="zh-CN"/>
        </w:rPr>
      </w:pPr>
      <w:r>
        <w:rPr>
          <w:rFonts w:hint="eastAsia" w:ascii="宋体" w:hAnsi="宋体" w:eastAsia="宋体" w:cs="宋体"/>
          <w:color w:val="000000"/>
          <w:kern w:val="2"/>
          <w:sz w:val="24"/>
          <w:szCs w:val="24"/>
          <w:lang w:eastAsia="zh-CN"/>
        </w:rPr>
        <w:t xml:space="preserve">时间： </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none"/>
          <w:lang w:eastAsia="zh-CN"/>
        </w:rPr>
        <w:t>年</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none"/>
          <w:lang w:eastAsia="zh-CN"/>
        </w:rPr>
        <w:t>月</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none"/>
          <w:lang w:eastAsia="zh-CN"/>
        </w:rPr>
        <w:t>日</w:t>
      </w:r>
    </w:p>
    <w:p>
      <w:pPr>
        <w:rPr>
          <w:rFonts w:hint="eastAsia" w:ascii="宋体" w:hAnsi="宋体" w:eastAsia="宋体" w:cs="宋体"/>
          <w:b/>
          <w:bCs/>
          <w:color w:val="000000"/>
          <w:sz w:val="24"/>
          <w:szCs w:val="24"/>
          <w:u w:val="single"/>
          <w:lang w:eastAsia="zh-CN"/>
        </w:rPr>
      </w:pPr>
      <w:r>
        <w:rPr>
          <w:rFonts w:hint="eastAsia" w:ascii="宋体" w:hAnsi="宋体" w:eastAsia="宋体" w:cs="宋体"/>
          <w:b/>
          <w:bCs/>
          <w:color w:val="000000"/>
          <w:sz w:val="24"/>
          <w:szCs w:val="24"/>
          <w:u w:val="single"/>
          <w:lang w:eastAsia="zh-CN"/>
        </w:rPr>
        <w:br w:type="page"/>
      </w:r>
    </w:p>
    <w:p>
      <w:pPr>
        <w:widowControl/>
        <w:spacing w:line="360" w:lineRule="auto"/>
        <w:jc w:val="right"/>
        <w:rPr>
          <w:rFonts w:hint="eastAsia" w:ascii="宋体" w:hAnsi="宋体" w:eastAsia="宋体" w:cs="宋体"/>
          <w:b/>
          <w:bCs/>
          <w:color w:val="000000"/>
          <w:sz w:val="24"/>
          <w:szCs w:val="24"/>
          <w:u w:val="single"/>
          <w:lang w:eastAsia="zh-CN"/>
        </w:rPr>
        <w:sectPr>
          <w:pgSz w:w="11906" w:h="16838"/>
          <w:pgMar w:top="1361" w:right="1304" w:bottom="1247" w:left="1304" w:header="720" w:footer="720" w:gutter="0"/>
          <w:pgNumType w:fmt="decimal"/>
          <w:cols w:space="720" w:num="1"/>
          <w:docGrid w:type="lines" w:linePitch="312" w:charSpace="0"/>
        </w:sectPr>
      </w:pPr>
    </w:p>
    <w:p>
      <w:pPr>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附2：</w:t>
      </w:r>
    </w:p>
    <w:p>
      <w:pPr>
        <w:spacing w:line="360" w:lineRule="auto"/>
        <w:outlineLvl w:val="2"/>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按招标文件《第五章 采购需求》中2. 货物技术要求第2.3.3 项要求提供检测报告等。</w:t>
      </w:r>
    </w:p>
    <w:p>
      <w:pP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br w:type="page"/>
      </w:r>
    </w:p>
    <w:p>
      <w:pPr>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附3：</w:t>
      </w:r>
    </w:p>
    <w:p>
      <w:pPr>
        <w:jc w:val="center"/>
        <w:outlineLvl w:val="2"/>
        <w:rPr>
          <w:rFonts w:hint="eastAsia" w:ascii="宋体" w:hAnsi="宋体" w:eastAsia="宋体" w:cs="宋体"/>
          <w:b/>
          <w:bCs/>
          <w:kern w:val="2"/>
          <w:sz w:val="24"/>
          <w:szCs w:val="24"/>
          <w:lang w:val="en-US" w:eastAsia="zh-CN" w:bidi="ar-SA"/>
        </w:rPr>
      </w:pPr>
      <w:bookmarkStart w:id="470" w:name="_Toc23012"/>
      <w:r>
        <w:rPr>
          <w:rFonts w:hint="eastAsia" w:ascii="宋体" w:hAnsi="宋体" w:eastAsia="宋体" w:cs="宋体"/>
          <w:b/>
          <w:bCs/>
          <w:kern w:val="2"/>
          <w:sz w:val="24"/>
          <w:szCs w:val="24"/>
          <w:lang w:val="en-US" w:eastAsia="zh-CN" w:bidi="ar-SA"/>
        </w:rPr>
        <w:t>拟投入本项目设备配置表</w:t>
      </w:r>
      <w:bookmarkEnd w:id="470"/>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612"/>
        <w:gridCol w:w="1727"/>
        <w:gridCol w:w="1341"/>
        <w:gridCol w:w="2258"/>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设备名称</w:t>
            </w: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设备型号</w:t>
            </w: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生产日期</w:t>
            </w: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1</w:t>
            </w: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2</w:t>
            </w: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3</w:t>
            </w: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w:t>
            </w: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4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61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72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34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2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c>
          <w:tcPr>
            <w:tcW w:w="120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rPr>
            </w:pPr>
          </w:p>
        </w:tc>
      </w:tr>
    </w:tbl>
    <w:p>
      <w:pPr>
        <w:pStyle w:val="11"/>
        <w:rPr>
          <w:rFonts w:hint="eastAsia" w:ascii="宋体" w:hAnsi="宋体" w:eastAsia="宋体" w:cs="宋体"/>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ind w:firstLine="480" w:firstLineChars="200"/>
        <w:contextualSpacing/>
        <w:rPr>
          <w:rFonts w:hint="eastAsia" w:ascii="宋体" w:hAnsi="宋体" w:eastAsia="宋体" w:cs="宋体"/>
          <w:color w:val="000000"/>
          <w:sz w:val="24"/>
          <w:szCs w:val="24"/>
        </w:rPr>
      </w:pPr>
    </w:p>
    <w:p>
      <w:pPr>
        <w:spacing w:line="360" w:lineRule="auto"/>
        <w:contextualSpacing/>
        <w:jc w:val="center"/>
        <w:outlineLvl w:val="1"/>
        <w:rPr>
          <w:rFonts w:hint="eastAsia" w:ascii="宋体" w:hAnsi="宋体" w:eastAsia="宋体" w:cs="宋体"/>
          <w:b/>
          <w:sz w:val="24"/>
          <w:szCs w:val="24"/>
          <w:lang w:eastAsia="zh-CN"/>
        </w:rPr>
      </w:pPr>
      <w:bookmarkStart w:id="471" w:name="_Toc476566574"/>
      <w:bookmarkStart w:id="472" w:name="_Toc11418"/>
      <w:r>
        <w:rPr>
          <w:rFonts w:hint="eastAsia" w:ascii="宋体" w:hAnsi="宋体" w:eastAsia="宋体" w:cs="宋体"/>
          <w:b/>
          <w:sz w:val="24"/>
          <w:szCs w:val="24"/>
          <w:lang w:val="en-US" w:eastAsia="zh-CN"/>
        </w:rPr>
        <w:t>九</w:t>
      </w:r>
      <w:r>
        <w:rPr>
          <w:rFonts w:hint="eastAsia" w:ascii="宋体" w:hAnsi="宋体" w:eastAsia="宋体" w:cs="宋体"/>
          <w:b/>
          <w:sz w:val="24"/>
          <w:szCs w:val="24"/>
        </w:rPr>
        <w:t>.资格证明</w:t>
      </w:r>
      <w:bookmarkEnd w:id="462"/>
      <w:bookmarkEnd w:id="471"/>
      <w:r>
        <w:rPr>
          <w:rFonts w:hint="eastAsia" w:ascii="宋体" w:hAnsi="宋体" w:eastAsia="宋体" w:cs="宋体"/>
          <w:b/>
          <w:sz w:val="24"/>
          <w:szCs w:val="24"/>
          <w:lang w:eastAsia="zh-CN"/>
        </w:rPr>
        <w:t>资料</w:t>
      </w:r>
      <w:bookmarkEnd w:id="472"/>
    </w:p>
    <w:bookmarkEnd w:id="463"/>
    <w:bookmarkEnd w:id="464"/>
    <w:bookmarkEnd w:id="465"/>
    <w:p>
      <w:pPr>
        <w:pStyle w:val="5"/>
        <w:spacing w:line="360" w:lineRule="auto"/>
        <w:ind w:firstLine="482"/>
        <w:contextualSpacing/>
        <w:jc w:val="center"/>
        <w:outlineLvl w:val="2"/>
        <w:rPr>
          <w:rFonts w:hint="eastAsia" w:ascii="宋体" w:hAnsi="宋体" w:eastAsia="宋体" w:cs="宋体"/>
          <w:sz w:val="24"/>
          <w:szCs w:val="24"/>
        </w:rPr>
      </w:pPr>
      <w:bookmarkStart w:id="473" w:name="_Toc27929"/>
      <w:r>
        <w:rPr>
          <w:rFonts w:hint="eastAsia" w:ascii="宋体" w:hAnsi="宋体" w:eastAsia="宋体" w:cs="宋体"/>
          <w:sz w:val="24"/>
          <w:szCs w:val="24"/>
        </w:rPr>
        <w:t>（</w:t>
      </w:r>
      <w:r>
        <w:rPr>
          <w:rFonts w:hint="eastAsia" w:ascii="宋体" w:hAnsi="宋体" w:eastAsia="宋体" w:cs="宋体"/>
          <w:sz w:val="24"/>
          <w:szCs w:val="24"/>
          <w:lang w:val="en-US" w:eastAsia="zh-CN"/>
        </w:rPr>
        <w:t>一</w:t>
      </w:r>
      <w:r>
        <w:rPr>
          <w:rFonts w:hint="eastAsia" w:ascii="宋体" w:hAnsi="宋体" w:eastAsia="宋体" w:cs="宋体"/>
          <w:sz w:val="24"/>
          <w:szCs w:val="24"/>
        </w:rPr>
        <w:t>）投标人基本情况表</w:t>
      </w:r>
      <w:bookmarkEnd w:id="473"/>
    </w:p>
    <w:tbl>
      <w:tblPr>
        <w:tblStyle w:val="25"/>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005"/>
        <w:gridCol w:w="1461"/>
        <w:gridCol w:w="2056"/>
        <w:gridCol w:w="1236"/>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rPr>
              <w:t>投标人全称</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法定代表人</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c>
          <w:tcPr>
            <w:tcW w:w="14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成立日期</w:t>
            </w:r>
          </w:p>
        </w:tc>
        <w:tc>
          <w:tcPr>
            <w:tcW w:w="329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企业地址</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c>
          <w:tcPr>
            <w:tcW w:w="14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注册资本</w:t>
            </w:r>
          </w:p>
        </w:tc>
        <w:tc>
          <w:tcPr>
            <w:tcW w:w="329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ind w:firstLine="2160"/>
              <w:contextualSpacing/>
              <w:rPr>
                <w:rFonts w:hint="eastAsia" w:ascii="宋体" w:hAnsi="宋体" w:eastAsia="宋体" w:cs="宋体"/>
                <w:sz w:val="24"/>
                <w:szCs w:val="24"/>
              </w:rPr>
            </w:pPr>
            <w:r>
              <w:rPr>
                <w:rFonts w:hint="eastAsia" w:ascii="宋体" w:hAnsi="宋体" w:eastAsia="宋体" w:cs="宋体"/>
                <w:sz w:val="24"/>
                <w:szCs w:val="24"/>
                <w:lang w:val="zh-CN"/>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285"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经营范围</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职工人数</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c>
          <w:tcPr>
            <w:tcW w:w="351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其中：有中高级以上职称的人数</w:t>
            </w:r>
          </w:p>
        </w:tc>
        <w:tc>
          <w:tcPr>
            <w:tcW w:w="123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资产总计</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ind w:firstLine="1200" w:firstLineChars="500"/>
              <w:contextualSpacing/>
              <w:rPr>
                <w:rFonts w:hint="eastAsia" w:ascii="宋体" w:hAnsi="宋体" w:eastAsia="宋体" w:cs="宋体"/>
                <w:sz w:val="24"/>
                <w:szCs w:val="24"/>
              </w:rPr>
            </w:pPr>
            <w:r>
              <w:rPr>
                <w:rFonts w:hint="eastAsia" w:ascii="宋体" w:hAnsi="宋体" w:eastAsia="宋体" w:cs="宋体"/>
                <w:sz w:val="24"/>
                <w:szCs w:val="24"/>
                <w:lang w:val="zh-CN"/>
              </w:rPr>
              <w:t>万元</w:t>
            </w:r>
          </w:p>
        </w:tc>
        <w:tc>
          <w:tcPr>
            <w:tcW w:w="14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净资产</w:t>
            </w:r>
          </w:p>
        </w:tc>
        <w:tc>
          <w:tcPr>
            <w:tcW w:w="329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 xml:space="preserve">              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股东权益</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ind w:firstLine="1200" w:firstLineChars="500"/>
              <w:contextualSpacing/>
              <w:rPr>
                <w:rFonts w:hint="eastAsia" w:ascii="宋体" w:hAnsi="宋体" w:eastAsia="宋体" w:cs="宋体"/>
                <w:sz w:val="24"/>
                <w:szCs w:val="24"/>
              </w:rPr>
            </w:pPr>
            <w:r>
              <w:rPr>
                <w:rFonts w:hint="eastAsia" w:ascii="宋体" w:hAnsi="宋体" w:eastAsia="宋体" w:cs="宋体"/>
                <w:sz w:val="24"/>
                <w:szCs w:val="24"/>
                <w:lang w:val="zh-CN"/>
              </w:rPr>
              <w:t>万元</w:t>
            </w:r>
          </w:p>
        </w:tc>
        <w:tc>
          <w:tcPr>
            <w:tcW w:w="14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销售收入</w:t>
            </w:r>
          </w:p>
        </w:tc>
        <w:tc>
          <w:tcPr>
            <w:tcW w:w="329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ind w:firstLine="1680" w:firstLineChars="700"/>
              <w:contextualSpacing/>
              <w:rPr>
                <w:rFonts w:hint="eastAsia" w:ascii="宋体" w:hAnsi="宋体" w:eastAsia="宋体" w:cs="宋体"/>
                <w:sz w:val="24"/>
                <w:szCs w:val="24"/>
              </w:rPr>
            </w:pPr>
            <w:r>
              <w:rPr>
                <w:rFonts w:hint="eastAsia" w:ascii="宋体" w:hAnsi="宋体" w:eastAsia="宋体" w:cs="宋体"/>
                <w:sz w:val="24"/>
                <w:szCs w:val="24"/>
                <w:lang w:val="zh-CN"/>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实现利润</w:t>
            </w:r>
          </w:p>
        </w:tc>
        <w:tc>
          <w:tcPr>
            <w:tcW w:w="200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万元</w:t>
            </w:r>
          </w:p>
        </w:tc>
        <w:tc>
          <w:tcPr>
            <w:tcW w:w="146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c>
          <w:tcPr>
            <w:tcW w:w="329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单位优势及特长</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最近3年内在经营过程中受到何种奖励或处分</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（包括财政、工商、税务、物价、技监部门稽查情况和结果）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94"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最近3年内有无被投诉或起诉的情况及说明</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（包括解决方式和结果）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148"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r>
              <w:rPr>
                <w:rFonts w:hint="eastAsia" w:ascii="宋体" w:hAnsi="宋体" w:eastAsia="宋体" w:cs="宋体"/>
                <w:sz w:val="24"/>
                <w:szCs w:val="24"/>
                <w:lang w:val="zh-CN"/>
              </w:rPr>
              <w:t>其他需要说明的情况</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220" w:hRule="atLeast"/>
          <w:jc w:val="center"/>
        </w:trPr>
        <w:tc>
          <w:tcPr>
            <w:tcW w:w="2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lang w:val="zh-CN"/>
              </w:rPr>
            </w:pPr>
            <w:r>
              <w:rPr>
                <w:rFonts w:hint="eastAsia" w:ascii="宋体" w:hAnsi="宋体" w:eastAsia="宋体" w:cs="宋体"/>
                <w:sz w:val="24"/>
                <w:szCs w:val="24"/>
                <w:lang w:val="zh-CN"/>
              </w:rPr>
              <w:t>备注</w:t>
            </w:r>
          </w:p>
        </w:tc>
        <w:tc>
          <w:tcPr>
            <w:tcW w:w="6758"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contextualSpacing/>
              <w:rPr>
                <w:rFonts w:hint="eastAsia" w:ascii="宋体" w:hAnsi="宋体" w:eastAsia="宋体" w:cs="宋体"/>
                <w:sz w:val="24"/>
                <w:szCs w:val="24"/>
              </w:rPr>
            </w:pPr>
          </w:p>
        </w:tc>
      </w:tr>
    </w:tbl>
    <w:p>
      <w:pPr>
        <w:spacing w:line="360" w:lineRule="auto"/>
        <w:contextualSpacing/>
        <w:rPr>
          <w:rFonts w:hint="eastAsia" w:ascii="宋体" w:hAnsi="宋体" w:eastAsia="宋体" w:cs="宋体"/>
          <w:sz w:val="24"/>
          <w:szCs w:val="24"/>
        </w:rPr>
      </w:pPr>
    </w:p>
    <w:p>
      <w:pPr>
        <w:spacing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注：本表应按投标人须知前附表3.5.1项要求附相关证明资料，并加盖投标单位公章。</w:t>
      </w:r>
    </w:p>
    <w:p>
      <w:pPr>
        <w:spacing w:line="360" w:lineRule="auto"/>
        <w:contextualSpacing/>
        <w:rPr>
          <w:rFonts w:hint="eastAsia" w:ascii="宋体" w:hAnsi="宋体" w:eastAsia="宋体" w:cs="宋体"/>
          <w:sz w:val="24"/>
          <w:szCs w:val="24"/>
        </w:rPr>
      </w:pPr>
    </w:p>
    <w:p>
      <w:pPr>
        <w:pStyle w:val="5"/>
        <w:spacing w:line="360" w:lineRule="auto"/>
        <w:ind w:firstLine="482"/>
        <w:contextualSpacing/>
        <w:jc w:val="center"/>
        <w:outlineLvl w:val="2"/>
        <w:rPr>
          <w:rFonts w:hint="eastAsia" w:ascii="宋体" w:hAnsi="宋体" w:eastAsia="宋体" w:cs="宋体"/>
          <w:sz w:val="24"/>
          <w:szCs w:val="24"/>
          <w:lang w:val="en-US" w:eastAsia="zh-CN"/>
        </w:rPr>
      </w:pPr>
      <w:bookmarkStart w:id="474" w:name="_Toc8489"/>
      <w:bookmarkStart w:id="475" w:name="_Toc329757324"/>
      <w:bookmarkStart w:id="476" w:name="_Toc476566575"/>
      <w:r>
        <w:rPr>
          <w:rFonts w:hint="eastAsia" w:ascii="宋体" w:hAnsi="宋体" w:eastAsia="宋体" w:cs="宋体"/>
          <w:sz w:val="24"/>
          <w:szCs w:val="24"/>
        </w:rPr>
        <w:t>（二）</w:t>
      </w:r>
      <w:r>
        <w:rPr>
          <w:rFonts w:hint="eastAsia" w:ascii="宋体" w:hAnsi="宋体" w:eastAsia="宋体" w:cs="宋体"/>
          <w:sz w:val="24"/>
          <w:szCs w:val="24"/>
          <w:lang w:val="en-US" w:eastAsia="zh-CN"/>
        </w:rPr>
        <w:t>近年财务状况</w:t>
      </w:r>
      <w:bookmarkEnd w:id="474"/>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注：投标人近年（2023年度）财务状况良好，提供经会计师事务</w:t>
      </w:r>
      <w:r>
        <w:rPr>
          <w:rFonts w:hint="eastAsia" w:cs="宋体"/>
          <w:bCs/>
          <w:sz w:val="24"/>
          <w:szCs w:val="24"/>
          <w:highlight w:val="none"/>
          <w:lang w:val="en-US" w:eastAsia="zh-CN"/>
        </w:rPr>
        <w:t>所</w:t>
      </w:r>
      <w:r>
        <w:rPr>
          <w:rFonts w:hint="eastAsia" w:ascii="宋体" w:hAnsi="宋体" w:eastAsia="宋体" w:cs="宋体"/>
          <w:bCs/>
          <w:sz w:val="24"/>
          <w:szCs w:val="24"/>
          <w:highlight w:val="none"/>
          <w:lang w:val="en-US" w:eastAsia="zh-CN"/>
        </w:rPr>
        <w:t>或审计机构审计的2023年度的财务审计报告复印件，或开标日前六个月内投标人开户银行出具的资信明）。</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注：1、财务审计报告应当体现投标人（被审计单位）名称、会计师事务所（审计单位）名称、符合招标文件要求的审计年度并提供经审计的财务报表。未体现以上内容的视为无效。</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银行资信证明可提供原件，也可提供复印件。若银行开具的资信证明声明复印无效的，则投标人必须提供原件，否则视为无效。提供复印件的，必须提供银行资信证明所有内容页的齐全的复印件，含首页、声明页等，否则视为无效。</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3、银行出具的存款证明不能替代银行资信证明，存款证明无效。</w:t>
      </w:r>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p>
    <w:p>
      <w:pPr>
        <w:pStyle w:val="48"/>
        <w:spacing w:line="400" w:lineRule="exact"/>
        <w:ind w:left="105" w:leftChars="50" w:right="105" w:rightChars="50"/>
        <w:contextualSpacing/>
        <w:jc w:val="left"/>
        <w:rPr>
          <w:rFonts w:hint="eastAsia" w:ascii="宋体" w:hAnsi="宋体" w:eastAsia="宋体" w:cs="宋体"/>
          <w:b/>
          <w:sz w:val="24"/>
          <w:szCs w:val="24"/>
          <w:lang w:eastAsia="zh-CN"/>
        </w:rPr>
      </w:pPr>
      <w:r>
        <w:rPr>
          <w:rFonts w:hint="eastAsia" w:ascii="宋体" w:hAnsi="宋体" w:eastAsia="宋体" w:cs="宋体"/>
          <w:b/>
          <w:bCs/>
          <w:sz w:val="24"/>
          <w:szCs w:val="24"/>
          <w:lang w:val="en-US" w:eastAsia="zh-CN"/>
        </w:rPr>
        <w:t>提供上述资料复印件并加盖投标单位公章。</w:t>
      </w:r>
      <w:r>
        <w:rPr>
          <w:rFonts w:hint="eastAsia" w:ascii="宋体" w:hAnsi="宋体" w:eastAsia="宋体" w:cs="宋体"/>
          <w:b/>
          <w:sz w:val="24"/>
          <w:szCs w:val="24"/>
          <w:lang w:eastAsia="zh-CN"/>
        </w:rPr>
        <w:br w:type="page"/>
      </w:r>
    </w:p>
    <w:p>
      <w:pPr>
        <w:pStyle w:val="5"/>
        <w:spacing w:line="360" w:lineRule="auto"/>
        <w:ind w:firstLine="482"/>
        <w:contextualSpacing/>
        <w:jc w:val="center"/>
        <w:outlineLvl w:val="2"/>
        <w:rPr>
          <w:rFonts w:hint="eastAsia" w:ascii="宋体" w:hAnsi="宋体" w:eastAsia="宋体" w:cs="宋体"/>
          <w:sz w:val="24"/>
          <w:szCs w:val="24"/>
          <w:lang w:val="en-US" w:eastAsia="zh-CN"/>
        </w:rPr>
      </w:pPr>
      <w:bookmarkStart w:id="477" w:name="_Toc1538"/>
      <w:r>
        <w:rPr>
          <w:rFonts w:hint="eastAsia" w:ascii="宋体" w:hAnsi="宋体" w:eastAsia="宋体" w:cs="宋体"/>
          <w:sz w:val="24"/>
          <w:szCs w:val="24"/>
          <w:lang w:val="en-US" w:eastAsia="zh-CN"/>
        </w:rPr>
        <w:t>（三）具备履行合同所必需的设备和专业技术能力</w:t>
      </w:r>
      <w:bookmarkEnd w:id="477"/>
    </w:p>
    <w:p>
      <w:pPr>
        <w:rPr>
          <w:rFonts w:hint="eastAsia" w:ascii="宋体" w:hAnsi="宋体" w:eastAsia="宋体" w:cs="宋体"/>
          <w:bCs/>
          <w:sz w:val="24"/>
          <w:szCs w:val="24"/>
          <w:highlight w:val="none"/>
          <w:lang w:val="en-US" w:eastAsia="zh-CN"/>
        </w:rPr>
      </w:pP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具备履行合同所必需的设备和专业技术能力。附法定代表人或其委托代理人签字或盖章并加盖投标单位公章的承诺书。格式自拟。</w:t>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r>
    </w:p>
    <w:p>
      <w:pPr>
        <w:jc w:val="center"/>
        <w:outlineLvl w:val="2"/>
        <w:rPr>
          <w:rFonts w:hint="eastAsia" w:ascii="宋体" w:hAnsi="宋体" w:eastAsia="宋体" w:cs="宋体"/>
          <w:b/>
          <w:bCs/>
          <w:kern w:val="2"/>
          <w:sz w:val="24"/>
          <w:szCs w:val="24"/>
          <w:lang w:val="en-US" w:eastAsia="zh-CN" w:bidi="ar-SA"/>
        </w:rPr>
      </w:pPr>
      <w:bookmarkStart w:id="478" w:name="_Toc28490"/>
      <w:r>
        <w:rPr>
          <w:rFonts w:hint="eastAsia" w:ascii="宋体" w:hAnsi="宋体" w:eastAsia="宋体" w:cs="宋体"/>
          <w:b/>
          <w:bCs/>
          <w:kern w:val="2"/>
          <w:sz w:val="24"/>
          <w:szCs w:val="24"/>
          <w:lang w:val="en-US" w:eastAsia="zh-CN" w:bidi="ar-SA"/>
        </w:rPr>
        <w:t>（四）依法缴纳税收证明</w:t>
      </w:r>
      <w:bookmarkEnd w:id="478"/>
    </w:p>
    <w:p>
      <w:pPr>
        <w:pStyle w:val="48"/>
        <w:spacing w:line="400" w:lineRule="exact"/>
        <w:ind w:left="105" w:leftChars="50" w:right="105" w:rightChars="50"/>
        <w:contextualSpacing/>
        <w:jc w:val="left"/>
        <w:rPr>
          <w:rFonts w:hint="eastAsia" w:ascii="宋体" w:hAnsi="宋体" w:eastAsia="宋体" w:cs="宋体"/>
          <w:sz w:val="24"/>
          <w:szCs w:val="24"/>
          <w:lang w:eastAsia="zh-CN"/>
        </w:rPr>
      </w:pPr>
      <w:r>
        <w:rPr>
          <w:rFonts w:hint="eastAsia" w:ascii="宋体" w:hAnsi="宋体" w:eastAsia="宋体" w:cs="宋体"/>
          <w:bCs/>
          <w:sz w:val="24"/>
          <w:szCs w:val="24"/>
          <w:highlight w:val="none"/>
          <w:lang w:val="en-US" w:eastAsia="zh-CN"/>
        </w:rPr>
        <w:t>提供本项目投标截止前六个月内任意月份投标人税务缴纳有效票据凭证或其他有效证明材料；依法免税的，应提供依法免税的相关证明文件。</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pPr>
        <w:jc w:val="center"/>
        <w:outlineLvl w:val="2"/>
        <w:rPr>
          <w:rFonts w:hint="eastAsia" w:ascii="宋体" w:hAnsi="宋体" w:eastAsia="宋体" w:cs="宋体"/>
          <w:b/>
          <w:bCs/>
          <w:kern w:val="2"/>
          <w:sz w:val="24"/>
          <w:szCs w:val="24"/>
          <w:lang w:val="en-US" w:eastAsia="zh-CN" w:bidi="ar-SA"/>
        </w:rPr>
      </w:pPr>
      <w:bookmarkStart w:id="479" w:name="_Toc23341"/>
      <w:r>
        <w:rPr>
          <w:rFonts w:hint="eastAsia" w:ascii="宋体" w:hAnsi="宋体" w:eastAsia="宋体" w:cs="宋体"/>
          <w:b/>
          <w:bCs/>
          <w:kern w:val="2"/>
          <w:sz w:val="24"/>
          <w:szCs w:val="24"/>
          <w:lang w:val="en-US" w:eastAsia="zh-CN" w:bidi="ar-SA"/>
        </w:rPr>
        <w:t>（五）依法缴纳社保的证明</w:t>
      </w:r>
      <w:bookmarkEnd w:id="479"/>
    </w:p>
    <w:p>
      <w:pPr>
        <w:pStyle w:val="48"/>
        <w:spacing w:line="400" w:lineRule="exact"/>
        <w:ind w:left="105" w:leftChars="50" w:right="105" w:rightChars="50"/>
        <w:contextualSpacing/>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提供本项目投标截止前六个月内任意月份投标人社会保障资金缴纳有效票据凭证或其他有效证明材料；依法免缴的，应提供依法免缴的相关证明文件。</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pPr>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（六）参加政府采购活动前三年内，在经营活动中没有重大违法记录。</w:t>
      </w:r>
    </w:p>
    <w:p>
      <w:pPr>
        <w:rPr>
          <w:rFonts w:hint="eastAsia" w:ascii="宋体" w:hAnsi="宋体" w:eastAsia="宋体" w:cs="宋体"/>
          <w:bCs/>
          <w:sz w:val="24"/>
          <w:szCs w:val="24"/>
          <w:highlight w:val="none"/>
          <w:lang w:val="en-US" w:eastAsia="zh-CN"/>
        </w:rPr>
      </w:pPr>
    </w:p>
    <w:p>
      <w:pPr>
        <w:rPr>
          <w:rFonts w:hint="eastAsia" w:ascii="宋体" w:hAnsi="宋体" w:eastAsia="宋体" w:cs="宋体"/>
          <w:sz w:val="24"/>
          <w:szCs w:val="24"/>
          <w:lang w:eastAsia="zh-CN"/>
        </w:rPr>
      </w:pPr>
      <w:r>
        <w:rPr>
          <w:rFonts w:hint="eastAsia" w:ascii="宋体" w:hAnsi="宋体" w:eastAsia="宋体" w:cs="宋体"/>
          <w:bCs/>
          <w:sz w:val="24"/>
          <w:szCs w:val="24"/>
          <w:highlight w:val="none"/>
          <w:lang w:val="en-US" w:eastAsia="zh-CN"/>
        </w:rPr>
        <w:t>参加政府采购活动前三年内，在经营活动中没有重大违法记录。附法定代表人或其委托代理人签字或盖章并加盖投标单位公章的承诺书。格式自拟。</w:t>
      </w:r>
      <w:r>
        <w:rPr>
          <w:rFonts w:hint="eastAsia" w:ascii="宋体" w:hAnsi="宋体" w:eastAsia="宋体" w:cs="宋体"/>
          <w:sz w:val="24"/>
          <w:szCs w:val="24"/>
          <w:lang w:eastAsia="zh-CN"/>
        </w:rPr>
        <w:br w:type="page"/>
      </w:r>
    </w:p>
    <w:p>
      <w:pPr>
        <w:jc w:val="center"/>
        <w:outlineLvl w:val="2"/>
        <w:rPr>
          <w:rFonts w:hint="eastAsia" w:ascii="宋体" w:hAnsi="宋体" w:eastAsia="宋体" w:cs="宋体"/>
          <w:b/>
          <w:bCs/>
          <w:kern w:val="2"/>
          <w:sz w:val="24"/>
          <w:szCs w:val="24"/>
          <w:lang w:val="en-US" w:eastAsia="zh-CN" w:bidi="ar-SA"/>
        </w:rPr>
      </w:pPr>
      <w:bookmarkStart w:id="480" w:name="_Toc4806"/>
      <w:r>
        <w:rPr>
          <w:rFonts w:hint="eastAsia" w:ascii="宋体" w:hAnsi="宋体" w:eastAsia="宋体" w:cs="宋体"/>
          <w:b/>
          <w:bCs/>
          <w:kern w:val="2"/>
          <w:sz w:val="24"/>
          <w:szCs w:val="24"/>
          <w:lang w:val="en-US" w:eastAsia="zh-CN" w:bidi="ar-SA"/>
        </w:rPr>
        <w:t>（七）落实政府采购政策需满足的资格要求</w:t>
      </w:r>
      <w:bookmarkEnd w:id="480"/>
    </w:p>
    <w:p>
      <w:pPr>
        <w:jc w:val="both"/>
        <w:rPr>
          <w:rFonts w:hint="eastAsia" w:ascii="宋体" w:hAnsi="宋体" w:eastAsia="宋体" w:cs="宋体"/>
          <w:b/>
          <w:bCs/>
          <w:kern w:val="2"/>
          <w:sz w:val="24"/>
          <w:szCs w:val="24"/>
          <w:lang w:val="en-US" w:eastAsia="zh-CN" w:bidi="ar-SA"/>
        </w:rPr>
      </w:pPr>
    </w:p>
    <w:p>
      <w:pPr>
        <w:widowControl/>
        <w:jc w:val="center"/>
        <w:outlineLvl w:val="0"/>
        <w:rPr>
          <w:rFonts w:hint="eastAsia" w:ascii="宋体" w:hAnsi="宋体" w:eastAsia="宋体" w:cs="宋体"/>
          <w:b/>
          <w:sz w:val="24"/>
          <w:szCs w:val="24"/>
          <w:lang w:eastAsia="zh-CN"/>
        </w:rPr>
      </w:pPr>
      <w:bookmarkStart w:id="481" w:name="_Toc25316"/>
      <w:r>
        <w:rPr>
          <w:rFonts w:hint="eastAsia" w:ascii="宋体" w:hAnsi="宋体" w:eastAsia="宋体" w:cs="宋体"/>
          <w:b/>
          <w:sz w:val="24"/>
          <w:szCs w:val="24"/>
          <w:lang w:eastAsia="zh-CN"/>
        </w:rPr>
        <w:t>中小企业声明函(货物)（</w:t>
      </w:r>
      <w:r>
        <w:rPr>
          <w:rFonts w:hint="eastAsia" w:ascii="宋体" w:hAnsi="宋体" w:eastAsia="宋体" w:cs="宋体"/>
          <w:b/>
          <w:sz w:val="24"/>
          <w:szCs w:val="24"/>
          <w:lang w:val="en-US" w:eastAsia="zh-CN"/>
        </w:rPr>
        <w:t>如有</w:t>
      </w:r>
      <w:r>
        <w:rPr>
          <w:rFonts w:hint="eastAsia" w:ascii="宋体" w:hAnsi="宋体" w:eastAsia="宋体" w:cs="宋体"/>
          <w:b/>
          <w:sz w:val="24"/>
          <w:szCs w:val="24"/>
          <w:lang w:eastAsia="zh-CN"/>
        </w:rPr>
        <w:t>）</w:t>
      </w:r>
      <w:bookmarkEnd w:id="481"/>
    </w:p>
    <w:p>
      <w:pPr>
        <w:widowControl/>
        <w:rPr>
          <w:rFonts w:hint="eastAsia" w:ascii="宋体" w:hAnsi="宋体" w:eastAsia="宋体" w:cs="宋体"/>
          <w:b/>
          <w:sz w:val="24"/>
          <w:szCs w:val="24"/>
          <w:lang w:eastAsia="zh-CN"/>
        </w:rPr>
      </w:pP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(单位名称)</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采购活动。提供的货物全部由符合政策要求的中小企业制造。相关企业(含联合体中的中小企业、签订分包意向协议的中小企业)的具体情况如下:</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(采购文件中明确的所属行业) </w:t>
      </w:r>
      <w:r>
        <w:rPr>
          <w:rFonts w:hint="eastAsia" w:ascii="宋体" w:hAnsi="宋体" w:eastAsia="宋体" w:cs="宋体"/>
          <w:sz w:val="24"/>
          <w:szCs w:val="24"/>
          <w:lang w:eastAsia="zh-CN"/>
        </w:rPr>
        <w:t>行业；制造商为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(采购文件中明确的所属行业) </w:t>
      </w:r>
      <w:r>
        <w:rPr>
          <w:rFonts w:hint="eastAsia" w:ascii="宋体" w:hAnsi="宋体" w:eastAsia="宋体" w:cs="宋体"/>
          <w:sz w:val="24"/>
          <w:szCs w:val="24"/>
          <w:lang w:eastAsia="zh-CN"/>
        </w:rPr>
        <w:t>行业；制造商为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以上企业，不属于大企业的分支机构，不存在控股股东为大企业的情形，也不存在与大企业的负责人为同一人的情形。</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本企业对上述声明内容的真实性负责。如有虚假，将依法承担相应责任。</w:t>
      </w:r>
    </w:p>
    <w:p>
      <w:pPr>
        <w:spacing w:line="500" w:lineRule="exact"/>
        <w:ind w:firstLine="480" w:firstLineChars="200"/>
        <w:rPr>
          <w:rFonts w:hint="eastAsia" w:ascii="宋体" w:hAnsi="宋体" w:eastAsia="宋体" w:cs="宋体"/>
          <w:sz w:val="24"/>
          <w:szCs w:val="24"/>
          <w:lang w:eastAsia="zh-CN"/>
        </w:rPr>
      </w:pPr>
    </w:p>
    <w:p>
      <w:pPr>
        <w:spacing w:line="500" w:lineRule="exact"/>
        <w:ind w:firstLine="6240" w:firstLineChars="2600"/>
        <w:rPr>
          <w:rFonts w:hint="eastAsia" w:ascii="宋体" w:hAnsi="宋体" w:eastAsia="宋体" w:cs="宋体"/>
          <w:sz w:val="24"/>
          <w:szCs w:val="24"/>
          <w:lang w:eastAsia="zh-CN"/>
        </w:rPr>
      </w:pPr>
      <w:r>
        <w:rPr>
          <w:rFonts w:hint="eastAsia" w:ascii="宋体" w:hAnsi="宋体" w:eastAsia="宋体" w:cs="宋体"/>
          <w:sz w:val="24"/>
          <w:szCs w:val="24"/>
          <w:lang w:eastAsia="zh-CN"/>
        </w:rPr>
        <w:t>企业名称(盖章):</w:t>
      </w:r>
    </w:p>
    <w:p>
      <w:pPr>
        <w:spacing w:line="500" w:lineRule="exact"/>
        <w:ind w:firstLine="6240" w:firstLineChars="2600"/>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p>
    <w:p>
      <w:pPr>
        <w:widowControl/>
        <w:rPr>
          <w:rFonts w:hint="eastAsia" w:ascii="宋体" w:hAnsi="宋体" w:eastAsia="宋体" w:cs="宋体"/>
          <w:b/>
          <w:sz w:val="24"/>
          <w:szCs w:val="24"/>
          <w:lang w:eastAsia="zh-CN"/>
        </w:rPr>
      </w:pP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注：供应商须按以上格式填写中小企业声明函。</w:t>
      </w:r>
    </w:p>
    <w:p>
      <w:pPr>
        <w:spacing w:line="50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本项目中小企业划分标准</w:t>
      </w:r>
      <w:r>
        <w:rPr>
          <w:rFonts w:hint="eastAsia" w:ascii="宋体" w:hAnsi="宋体" w:eastAsia="宋体" w:cs="宋体"/>
          <w:color w:val="000000"/>
          <w:sz w:val="24"/>
          <w:szCs w:val="24"/>
          <w:highlight w:val="none"/>
          <w:lang w:eastAsia="zh-CN"/>
        </w:rPr>
        <w:t>所属行业为：</w:t>
      </w:r>
      <w:r>
        <w:rPr>
          <w:rFonts w:hint="eastAsia" w:ascii="宋体" w:hAnsi="宋体" w:eastAsia="宋体" w:cs="宋体"/>
          <w:b/>
          <w:sz w:val="24"/>
          <w:szCs w:val="24"/>
          <w:highlight w:val="none"/>
          <w:lang w:val="en-US" w:eastAsia="zh-CN"/>
        </w:rPr>
        <w:t>工业</w:t>
      </w:r>
      <w:r>
        <w:rPr>
          <w:rFonts w:hint="eastAsia" w:ascii="宋体" w:hAnsi="宋体" w:eastAsia="宋体" w:cs="宋体"/>
          <w:color w:val="000000"/>
          <w:sz w:val="24"/>
          <w:szCs w:val="24"/>
          <w:highlight w:val="none"/>
          <w:lang w:eastAsia="zh-CN"/>
        </w:rPr>
        <w:t>。</w:t>
      </w:r>
    </w:p>
    <w:p>
      <w:pPr>
        <w:pStyle w:val="9"/>
        <w:rPr>
          <w:rFonts w:hint="eastAsia" w:ascii="宋体" w:hAnsi="宋体" w:eastAsia="宋体" w:cs="宋体"/>
          <w:sz w:val="24"/>
          <w:szCs w:val="24"/>
          <w:lang w:eastAsia="zh-CN"/>
        </w:rPr>
      </w:pPr>
    </w:p>
    <w:p>
      <w:pPr>
        <w:spacing w:line="500" w:lineRule="exact"/>
        <w:ind w:right="420"/>
        <w:rPr>
          <w:rFonts w:hint="eastAsia" w:ascii="宋体" w:hAnsi="宋体" w:eastAsia="宋体" w:cs="宋体"/>
          <w:b/>
          <w:sz w:val="24"/>
          <w:szCs w:val="24"/>
          <w:lang w:eastAsia="zh-CN"/>
        </w:rPr>
      </w:pPr>
      <w:r>
        <w:rPr>
          <w:rFonts w:hint="eastAsia" w:ascii="宋体" w:hAnsi="宋体" w:eastAsia="宋体" w:cs="宋体"/>
          <w:sz w:val="24"/>
          <w:szCs w:val="24"/>
          <w:lang w:eastAsia="zh-CN"/>
        </w:rPr>
        <w:t>从业人员、 营业收入、 资产总额填报上一年度数据，无上一年度数据的新成立企业可不填报。</w:t>
      </w:r>
    </w:p>
    <w:p>
      <w:pPr>
        <w:spacing w:line="500" w:lineRule="exact"/>
        <w:ind w:right="420"/>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spacing w:line="360" w:lineRule="auto"/>
        <w:jc w:val="center"/>
        <w:outlineLvl w:val="0"/>
        <w:rPr>
          <w:rFonts w:hint="eastAsia" w:ascii="宋体" w:hAnsi="宋体" w:eastAsia="宋体" w:cs="宋体"/>
          <w:b/>
          <w:kern w:val="2"/>
          <w:sz w:val="24"/>
          <w:szCs w:val="24"/>
          <w:lang w:eastAsia="zh-CN"/>
        </w:rPr>
      </w:pPr>
      <w:bookmarkStart w:id="482" w:name="_Toc5055"/>
      <w:r>
        <w:rPr>
          <w:rFonts w:hint="eastAsia" w:ascii="宋体" w:hAnsi="宋体" w:eastAsia="宋体" w:cs="宋体"/>
          <w:b/>
          <w:kern w:val="2"/>
          <w:sz w:val="24"/>
          <w:szCs w:val="24"/>
          <w:lang w:eastAsia="zh-CN"/>
        </w:rPr>
        <w:t>残疾人福利性单位声明函（如有）</w:t>
      </w:r>
      <w:bookmarkEnd w:id="482"/>
      <w:r>
        <w:rPr>
          <w:rFonts w:hint="eastAsia" w:ascii="宋体" w:hAnsi="宋体" w:eastAsia="宋体" w:cs="宋体"/>
          <w:b/>
          <w:kern w:val="2"/>
          <w:sz w:val="24"/>
          <w:szCs w:val="24"/>
          <w:lang w:eastAsia="zh-CN"/>
        </w:rPr>
        <w:t xml:space="preserve"> </w:t>
      </w:r>
    </w:p>
    <w:p>
      <w:pPr>
        <w:spacing w:line="360" w:lineRule="auto"/>
        <w:jc w:val="center"/>
        <w:rPr>
          <w:rFonts w:hint="eastAsia" w:ascii="宋体" w:hAnsi="宋体" w:eastAsia="宋体" w:cs="宋体"/>
          <w:b/>
          <w:kern w:val="2"/>
          <w:sz w:val="24"/>
          <w:szCs w:val="24"/>
          <w:lang w:eastAsia="zh-CN"/>
        </w:rPr>
      </w:pPr>
    </w:p>
    <w:p>
      <w:pPr>
        <w:spacing w:line="588" w:lineRule="exact"/>
        <w:jc w:val="both"/>
        <w:rPr>
          <w:rFonts w:hint="eastAsia" w:ascii="宋体" w:hAnsi="宋体" w:eastAsia="宋体" w:cs="宋体"/>
          <w:b/>
          <w:spacing w:val="6"/>
          <w:kern w:val="2"/>
          <w:sz w:val="24"/>
          <w:szCs w:val="24"/>
          <w:lang w:eastAsia="zh-CN"/>
        </w:rPr>
      </w:pPr>
    </w:p>
    <w:p>
      <w:pPr>
        <w:spacing w:line="312"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12"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本单位对上述声明的真实性负责。如有虚假，将依法承担相应责任。</w:t>
      </w:r>
    </w:p>
    <w:p>
      <w:pPr>
        <w:spacing w:line="588" w:lineRule="exact"/>
        <w:ind w:firstLine="504" w:firstLineChars="200"/>
        <w:jc w:val="both"/>
        <w:rPr>
          <w:rFonts w:hint="eastAsia" w:ascii="宋体" w:hAnsi="宋体" w:eastAsia="宋体" w:cs="宋体"/>
          <w:spacing w:val="6"/>
          <w:kern w:val="2"/>
          <w:sz w:val="24"/>
          <w:szCs w:val="24"/>
          <w:lang w:eastAsia="zh-CN"/>
        </w:rPr>
      </w:pPr>
    </w:p>
    <w:p>
      <w:pPr>
        <w:spacing w:line="588" w:lineRule="exact"/>
        <w:ind w:firstLine="504" w:firstLineChars="200"/>
        <w:jc w:val="both"/>
        <w:rPr>
          <w:rFonts w:hint="eastAsia" w:ascii="宋体" w:hAnsi="宋体" w:eastAsia="宋体" w:cs="宋体"/>
          <w:spacing w:val="6"/>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单位名称（盖章）：</w:t>
      </w: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日  期：</w:t>
      </w:r>
    </w:p>
    <w:p>
      <w:pPr>
        <w:jc w:val="both"/>
        <w:rPr>
          <w:rFonts w:hint="eastAsia" w:ascii="宋体" w:hAnsi="宋体" w:eastAsia="宋体" w:cs="宋体"/>
          <w:b/>
          <w:kern w:val="2"/>
          <w:sz w:val="24"/>
          <w:szCs w:val="24"/>
          <w:lang w:eastAsia="zh-CN"/>
        </w:rPr>
      </w:pPr>
    </w:p>
    <w:p>
      <w:pPr>
        <w:spacing w:line="312" w:lineRule="auto"/>
        <w:ind w:firstLine="120" w:firstLineChars="50"/>
        <w:jc w:val="both"/>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　　　</w:t>
      </w: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pStyle w:val="9"/>
        <w:rPr>
          <w:rFonts w:hint="eastAsia" w:ascii="宋体" w:hAnsi="宋体" w:eastAsia="宋体" w:cs="宋体"/>
          <w:sz w:val="24"/>
          <w:szCs w:val="24"/>
          <w:lang w:eastAsia="zh-CN"/>
        </w:rPr>
      </w:pPr>
    </w:p>
    <w:p>
      <w:pP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spacing w:line="360" w:lineRule="auto"/>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 xml:space="preserve">监狱企业的证明文件（如有） </w:t>
      </w:r>
    </w:p>
    <w:p>
      <w:pPr>
        <w:widowControl/>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说明：监狱企业参加政府采购活动时，应当提供由省级以上监狱管理局、戒毒管理局（含新 疆生产建设兵团）出具的属于监狱企业的证明文件。</w:t>
      </w: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pStyle w:val="9"/>
        <w:rPr>
          <w:rFonts w:hint="eastAsia" w:ascii="宋体" w:hAnsi="宋体" w:eastAsia="宋体" w:cs="宋体"/>
          <w:sz w:val="24"/>
          <w:szCs w:val="24"/>
          <w:lang w:eastAsia="zh-CN"/>
        </w:rPr>
      </w:pPr>
    </w:p>
    <w:p>
      <w:pPr>
        <w:spacing w:line="312" w:lineRule="auto"/>
        <w:ind w:firstLine="405"/>
        <w:jc w:val="righ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单位名称（盖章）：</w:t>
      </w: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widowControl/>
        <w:jc w:val="right"/>
        <w:rPr>
          <w:rFonts w:hint="eastAsia" w:ascii="宋体" w:hAnsi="宋体" w:eastAsia="宋体" w:cs="宋体"/>
          <w:b/>
          <w:kern w:val="2"/>
          <w:sz w:val="24"/>
          <w:szCs w:val="24"/>
          <w:lang w:eastAsia="zh-CN"/>
        </w:rPr>
      </w:pPr>
      <w:r>
        <w:rPr>
          <w:rFonts w:hint="eastAsia" w:ascii="宋体" w:hAnsi="宋体" w:eastAsia="宋体" w:cs="宋体"/>
          <w:kern w:val="2"/>
          <w:sz w:val="24"/>
          <w:szCs w:val="24"/>
          <w:lang w:eastAsia="zh-CN"/>
        </w:rPr>
        <w:t xml:space="preserve">                                              日  期：</w:t>
      </w:r>
    </w:p>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pPr>
        <w:pStyle w:val="5"/>
        <w:spacing w:line="360" w:lineRule="auto"/>
        <w:ind w:firstLine="482"/>
        <w:contextualSpacing/>
        <w:jc w:val="center"/>
        <w:outlineLvl w:val="2"/>
        <w:rPr>
          <w:rFonts w:hint="eastAsia" w:ascii="宋体" w:hAnsi="宋体" w:eastAsia="宋体" w:cs="宋体"/>
          <w:sz w:val="24"/>
          <w:szCs w:val="24"/>
          <w:lang w:val="zh-CN" w:eastAsia="zh-CN"/>
        </w:rPr>
      </w:pPr>
      <w:bookmarkStart w:id="483" w:name="_Toc19389"/>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八</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近年发生的诉讼及仲裁情况</w:t>
      </w:r>
      <w:bookmarkEnd w:id="483"/>
    </w:p>
    <w:p>
      <w:pPr>
        <w:autoSpaceDE w:val="0"/>
        <w:autoSpaceDN w:val="0"/>
        <w:adjustRightInd w:val="0"/>
        <w:spacing w:line="400" w:lineRule="exact"/>
        <w:jc w:val="center"/>
        <w:rPr>
          <w:rFonts w:hint="eastAsia" w:ascii="宋体" w:hAnsi="宋体" w:eastAsia="宋体" w:cs="宋体"/>
          <w:sz w:val="24"/>
          <w:szCs w:val="24"/>
        </w:rPr>
      </w:pPr>
    </w:p>
    <w:p>
      <w:pPr>
        <w:autoSpaceDE w:val="0"/>
        <w:autoSpaceDN w:val="0"/>
        <w:adjustRightInd w:val="0"/>
        <w:spacing w:line="400" w:lineRule="exact"/>
        <w:jc w:val="center"/>
        <w:rPr>
          <w:rFonts w:hint="eastAsia" w:ascii="宋体" w:hAnsi="宋体" w:eastAsia="宋体" w:cs="宋体"/>
          <w:sz w:val="24"/>
          <w:szCs w:val="24"/>
        </w:rPr>
      </w:pPr>
      <w:r>
        <w:rPr>
          <w:rFonts w:hint="eastAsia" w:ascii="宋体" w:hAnsi="宋体" w:eastAsia="宋体" w:cs="宋体"/>
          <w:sz w:val="24"/>
          <w:szCs w:val="24"/>
        </w:rPr>
        <w:t>注：投标人应根据投标人须知第3.5.</w:t>
      </w:r>
      <w:r>
        <w:rPr>
          <w:rFonts w:hint="eastAsia" w:ascii="宋体" w:hAnsi="宋体" w:eastAsia="宋体" w:cs="宋体"/>
          <w:sz w:val="24"/>
          <w:szCs w:val="24"/>
          <w:lang w:val="en-US" w:eastAsia="zh-CN"/>
        </w:rPr>
        <w:t>3</w:t>
      </w:r>
      <w:r>
        <w:rPr>
          <w:rFonts w:hint="eastAsia" w:ascii="宋体" w:hAnsi="宋体" w:eastAsia="宋体" w:cs="宋体"/>
          <w:sz w:val="24"/>
          <w:szCs w:val="24"/>
        </w:rPr>
        <w:t>项的要求附相关证明材料。</w:t>
      </w:r>
    </w:p>
    <w:p>
      <w:pPr>
        <w:rPr>
          <w:rFonts w:hint="eastAsia" w:ascii="宋体" w:hAnsi="宋体" w:eastAsia="宋体" w:cs="宋体"/>
          <w:b/>
          <w:sz w:val="24"/>
          <w:szCs w:val="24"/>
          <w:lang w:eastAsia="zh-CN"/>
        </w:rPr>
      </w:pPr>
    </w:p>
    <w:p>
      <w:pPr>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p>
    <w:p>
      <w:pPr>
        <w:jc w:val="center"/>
        <w:outlineLvl w:val="2"/>
        <w:rPr>
          <w:rFonts w:hint="eastAsia" w:ascii="宋体" w:hAnsi="宋体" w:eastAsia="宋体" w:cs="宋体"/>
          <w:b/>
          <w:sz w:val="24"/>
          <w:szCs w:val="24"/>
          <w:lang w:val="en-US" w:eastAsia="zh-CN"/>
        </w:rPr>
      </w:pPr>
      <w:bookmarkStart w:id="484" w:name="_Toc31110"/>
      <w:r>
        <w:rPr>
          <w:rFonts w:hint="eastAsia" w:ascii="宋体" w:hAnsi="宋体" w:eastAsia="宋体" w:cs="宋体"/>
          <w:b/>
          <w:sz w:val="24"/>
          <w:szCs w:val="24"/>
          <w:lang w:val="en-US" w:eastAsia="zh-CN"/>
        </w:rPr>
        <w:t>（九）其他资格审查资料</w:t>
      </w:r>
      <w:bookmarkEnd w:id="484"/>
    </w:p>
    <w:p>
      <w:pPr>
        <w:rPr>
          <w:rFonts w:hint="eastAsia" w:ascii="宋体" w:hAnsi="宋体" w:eastAsia="宋体" w:cs="宋体"/>
          <w:sz w:val="24"/>
          <w:szCs w:val="24"/>
          <w:shd w:val="clear" w:color="auto" w:fill="FFFFFF"/>
        </w:rPr>
      </w:pPr>
    </w:p>
    <w:p>
      <w:pPr>
        <w:rPr>
          <w:rFonts w:hint="eastAsia" w:ascii="宋体" w:hAnsi="宋体" w:eastAsia="宋体" w:cs="宋体"/>
          <w:b/>
          <w:sz w:val="24"/>
          <w:szCs w:val="24"/>
          <w:lang w:eastAsia="zh-CN"/>
        </w:rPr>
      </w:pPr>
      <w:r>
        <w:rPr>
          <w:rFonts w:hint="eastAsia" w:ascii="宋体" w:hAnsi="宋体" w:eastAsia="宋体" w:cs="宋体"/>
          <w:bCs/>
          <w:kern w:val="0"/>
          <w:sz w:val="24"/>
          <w:szCs w:val="24"/>
          <w:highlight w:val="none"/>
          <w:lang w:val="en-US" w:eastAsia="zh-CN" w:bidi="ar-SA"/>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违反这两款规定的，相关投标均无效。（投标文件</w:t>
      </w:r>
      <w:r>
        <w:rPr>
          <w:rFonts w:hint="eastAsia" w:ascii="宋体" w:hAnsi="宋体" w:eastAsia="宋体" w:cs="宋体"/>
          <w:bCs/>
          <w:kern w:val="0"/>
          <w:sz w:val="24"/>
          <w:szCs w:val="24"/>
          <w:highlight w:val="none"/>
          <w:lang w:val="zh-CN" w:eastAsia="zh-CN" w:bidi="ar-SA"/>
        </w:rPr>
        <w:t>内附法定代表人签字</w:t>
      </w:r>
      <w:r>
        <w:rPr>
          <w:rFonts w:hint="eastAsia" w:ascii="宋体" w:hAnsi="宋体" w:eastAsia="宋体" w:cs="宋体"/>
          <w:bCs/>
          <w:kern w:val="0"/>
          <w:sz w:val="24"/>
          <w:szCs w:val="24"/>
          <w:highlight w:val="none"/>
          <w:lang w:val="en-US" w:eastAsia="zh-CN" w:bidi="ar-SA"/>
        </w:rPr>
        <w:t>盖章</w:t>
      </w:r>
      <w:r>
        <w:rPr>
          <w:rFonts w:hint="eastAsia" w:ascii="宋体" w:hAnsi="宋体" w:eastAsia="宋体" w:cs="宋体"/>
          <w:bCs/>
          <w:kern w:val="0"/>
          <w:sz w:val="24"/>
          <w:szCs w:val="24"/>
          <w:highlight w:val="none"/>
          <w:lang w:val="zh-CN" w:eastAsia="zh-CN" w:bidi="ar-SA"/>
        </w:rPr>
        <w:t>并加盖单位公章的承诺书。</w:t>
      </w:r>
      <w:r>
        <w:rPr>
          <w:rFonts w:hint="eastAsia" w:ascii="宋体" w:hAnsi="宋体" w:eastAsia="宋体" w:cs="宋体"/>
          <w:bCs/>
          <w:kern w:val="0"/>
          <w:sz w:val="24"/>
          <w:szCs w:val="24"/>
          <w:highlight w:val="none"/>
          <w:lang w:val="en-US" w:eastAsia="zh-CN" w:bidi="ar-SA"/>
        </w:rPr>
        <w:t>承诺书格式自拟。）</w:t>
      </w:r>
      <w:r>
        <w:rPr>
          <w:rFonts w:hint="eastAsia" w:ascii="宋体" w:hAnsi="宋体" w:eastAsia="宋体" w:cs="宋体"/>
          <w:b/>
          <w:sz w:val="24"/>
          <w:szCs w:val="24"/>
          <w:lang w:eastAsia="zh-CN"/>
        </w:rPr>
        <w:br w:type="page"/>
      </w:r>
    </w:p>
    <w:p>
      <w:pPr>
        <w:pStyle w:val="12"/>
        <w:spacing w:line="360" w:lineRule="auto"/>
        <w:contextualSpacing/>
        <w:jc w:val="center"/>
        <w:outlineLvl w:val="1"/>
        <w:rPr>
          <w:rFonts w:hint="eastAsia" w:ascii="宋体" w:hAnsi="宋体" w:eastAsia="宋体" w:cs="宋体"/>
          <w:b/>
          <w:bCs/>
          <w:kern w:val="2"/>
          <w:sz w:val="24"/>
          <w:szCs w:val="24"/>
          <w:highlight w:val="none"/>
          <w:lang w:val="en-US" w:eastAsia="zh-CN" w:bidi="ar-SA"/>
        </w:rPr>
      </w:pPr>
      <w:bookmarkStart w:id="485" w:name="_Toc3727"/>
      <w:r>
        <w:rPr>
          <w:rFonts w:hint="eastAsia" w:ascii="宋体" w:hAnsi="宋体" w:eastAsia="宋体" w:cs="宋体"/>
          <w:b/>
          <w:bCs/>
          <w:kern w:val="2"/>
          <w:sz w:val="24"/>
          <w:szCs w:val="24"/>
          <w:highlight w:val="none"/>
          <w:lang w:val="en-US" w:eastAsia="zh-CN" w:bidi="ar-SA"/>
        </w:rPr>
        <w:t>十</w:t>
      </w:r>
      <w:r>
        <w:rPr>
          <w:rFonts w:hint="eastAsia" w:hAnsi="宋体" w:cs="宋体"/>
          <w:b/>
          <w:bCs/>
          <w:kern w:val="2"/>
          <w:sz w:val="24"/>
          <w:szCs w:val="24"/>
          <w:highlight w:val="none"/>
          <w:lang w:val="en-US" w:eastAsia="zh-CN" w:bidi="ar-SA"/>
        </w:rPr>
        <w:t>.</w:t>
      </w:r>
      <w:r>
        <w:rPr>
          <w:rFonts w:hint="eastAsia" w:ascii="宋体" w:hAnsi="宋体" w:eastAsia="宋体" w:cs="宋体"/>
          <w:b/>
          <w:bCs/>
          <w:kern w:val="2"/>
          <w:sz w:val="24"/>
          <w:szCs w:val="24"/>
          <w:highlight w:val="none"/>
          <w:lang w:val="en-US" w:eastAsia="zh-CN" w:bidi="ar-SA"/>
        </w:rPr>
        <w:t>投标人已完成类似项目情况（如有）</w:t>
      </w:r>
      <w:bookmarkEnd w:id="485"/>
    </w:p>
    <w:tbl>
      <w:tblPr>
        <w:tblStyle w:val="2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0"/>
        <w:gridCol w:w="2405"/>
        <w:gridCol w:w="2275"/>
        <w:gridCol w:w="1260"/>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720"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620"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合同签订时间</w:t>
            </w:r>
          </w:p>
        </w:tc>
        <w:tc>
          <w:tcPr>
            <w:tcW w:w="2405"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项目概况</w:t>
            </w:r>
          </w:p>
        </w:tc>
        <w:tc>
          <w:tcPr>
            <w:tcW w:w="2275"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业主单位</w:t>
            </w:r>
          </w:p>
        </w:tc>
        <w:tc>
          <w:tcPr>
            <w:tcW w:w="1260"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合同金额</w:t>
            </w:r>
          </w:p>
        </w:tc>
        <w:tc>
          <w:tcPr>
            <w:tcW w:w="1218" w:type="dxa"/>
            <w:vAlign w:val="center"/>
          </w:tcPr>
          <w:p>
            <w:pPr>
              <w:jc w:val="center"/>
              <w:rPr>
                <w:rFonts w:hint="eastAsia" w:ascii="宋体" w:hAnsi="宋体" w:eastAsia="宋体" w:cs="宋体"/>
                <w:sz w:val="24"/>
                <w:szCs w:val="24"/>
              </w:rPr>
            </w:pPr>
            <w:r>
              <w:rPr>
                <w:rFonts w:hint="eastAsia" w:ascii="宋体" w:hAnsi="宋体" w:eastAsia="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20" w:type="dxa"/>
          </w:tcPr>
          <w:p>
            <w:pPr>
              <w:jc w:val="center"/>
              <w:rPr>
                <w:rFonts w:hint="eastAsia" w:ascii="宋体" w:hAnsi="宋体" w:eastAsia="宋体" w:cs="宋体"/>
                <w:sz w:val="24"/>
                <w:szCs w:val="24"/>
              </w:rPr>
            </w:pPr>
          </w:p>
        </w:tc>
        <w:tc>
          <w:tcPr>
            <w:tcW w:w="1620" w:type="dxa"/>
            <w:vAlign w:val="center"/>
          </w:tcPr>
          <w:p>
            <w:pPr>
              <w:jc w:val="center"/>
              <w:rPr>
                <w:rFonts w:hint="eastAsia" w:ascii="宋体" w:hAnsi="宋体" w:eastAsia="宋体" w:cs="宋体"/>
                <w:sz w:val="24"/>
                <w:szCs w:val="24"/>
              </w:rPr>
            </w:pPr>
          </w:p>
        </w:tc>
        <w:tc>
          <w:tcPr>
            <w:tcW w:w="2405" w:type="dxa"/>
            <w:vAlign w:val="center"/>
          </w:tcPr>
          <w:p>
            <w:pPr>
              <w:jc w:val="center"/>
              <w:rPr>
                <w:rFonts w:hint="eastAsia" w:ascii="宋体" w:hAnsi="宋体" w:eastAsia="宋体" w:cs="宋体"/>
                <w:sz w:val="24"/>
                <w:szCs w:val="24"/>
              </w:rPr>
            </w:pPr>
          </w:p>
        </w:tc>
        <w:tc>
          <w:tcPr>
            <w:tcW w:w="2275" w:type="dxa"/>
            <w:vAlign w:val="center"/>
          </w:tcPr>
          <w:p>
            <w:pPr>
              <w:jc w:val="center"/>
              <w:rPr>
                <w:rFonts w:hint="eastAsia" w:ascii="宋体" w:hAnsi="宋体" w:eastAsia="宋体" w:cs="宋体"/>
                <w:sz w:val="24"/>
                <w:szCs w:val="24"/>
              </w:rPr>
            </w:pPr>
          </w:p>
        </w:tc>
        <w:tc>
          <w:tcPr>
            <w:tcW w:w="1260" w:type="dxa"/>
            <w:vAlign w:val="center"/>
          </w:tcPr>
          <w:p>
            <w:pPr>
              <w:jc w:val="center"/>
              <w:rPr>
                <w:rFonts w:hint="eastAsia" w:ascii="宋体" w:hAnsi="宋体" w:eastAsia="宋体" w:cs="宋体"/>
                <w:sz w:val="24"/>
                <w:szCs w:val="24"/>
              </w:rPr>
            </w:pPr>
          </w:p>
        </w:tc>
        <w:tc>
          <w:tcPr>
            <w:tcW w:w="1218" w:type="dxa"/>
            <w:vAlign w:val="center"/>
          </w:tcPr>
          <w:p>
            <w:pPr>
              <w:jc w:val="center"/>
              <w:rPr>
                <w:rFonts w:hint="eastAsia" w:ascii="宋体" w:hAnsi="宋体" w:eastAsia="宋体" w:cs="宋体"/>
                <w:sz w:val="24"/>
                <w:szCs w:val="24"/>
              </w:rPr>
            </w:pPr>
          </w:p>
        </w:tc>
      </w:tr>
    </w:tbl>
    <w:p>
      <w:pPr>
        <w:pStyle w:val="60"/>
        <w:spacing w:beforeLines="50" w:afterLines="50"/>
        <w:ind w:left="473" w:firstLine="482" w:firstLineChars="200"/>
        <w:jc w:val="both"/>
        <w:outlineLvl w:val="2"/>
        <w:rPr>
          <w:rFonts w:hint="eastAsia" w:ascii="宋体" w:hAnsi="宋体" w:eastAsia="宋体" w:cs="宋体"/>
          <w:b/>
          <w:bCs/>
          <w:sz w:val="24"/>
          <w:szCs w:val="24"/>
          <w:highlight w:val="none"/>
          <w:lang w:val="en-US" w:eastAsia="zh-CN"/>
        </w:rPr>
      </w:pPr>
      <w:bookmarkStart w:id="486" w:name="_Toc21818"/>
      <w:r>
        <w:rPr>
          <w:rFonts w:hint="eastAsia" w:ascii="宋体" w:hAnsi="宋体" w:eastAsia="宋体" w:cs="宋体"/>
          <w:b/>
          <w:bCs/>
          <w:sz w:val="24"/>
          <w:szCs w:val="24"/>
          <w:highlight w:val="none"/>
          <w:lang w:val="zh-CN"/>
        </w:rPr>
        <w:t>注：1.业绩有效时间：</w:t>
      </w:r>
      <w:r>
        <w:rPr>
          <w:rFonts w:hint="eastAsia" w:ascii="宋体" w:hAnsi="宋体" w:eastAsia="宋体" w:cs="宋体"/>
          <w:b/>
          <w:bCs/>
          <w:sz w:val="24"/>
          <w:szCs w:val="24"/>
          <w:highlight w:val="none"/>
          <w:lang w:val="en-US" w:eastAsia="zh-CN"/>
        </w:rPr>
        <w:t>详见投标人须知前附表</w:t>
      </w:r>
      <w:bookmarkEnd w:id="486"/>
    </w:p>
    <w:p>
      <w:pPr>
        <w:pStyle w:val="60"/>
        <w:spacing w:beforeLines="50" w:afterLines="50"/>
        <w:ind w:left="473" w:firstLine="482" w:firstLineChars="200"/>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2.按评标办法----详细评审表关于业绩的要求在本表后附相关材料。</w:t>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pPr>
        <w:pStyle w:val="12"/>
        <w:spacing w:line="360" w:lineRule="auto"/>
        <w:contextualSpacing/>
        <w:jc w:val="center"/>
        <w:outlineLvl w:val="1"/>
        <w:rPr>
          <w:rFonts w:hint="eastAsia" w:ascii="宋体" w:hAnsi="宋体" w:eastAsia="宋体" w:cs="宋体"/>
          <w:b/>
          <w:bCs/>
          <w:kern w:val="2"/>
          <w:sz w:val="24"/>
          <w:szCs w:val="24"/>
          <w:highlight w:val="none"/>
          <w:lang w:val="en-US" w:eastAsia="zh-CN" w:bidi="ar-SA"/>
        </w:rPr>
      </w:pPr>
      <w:bookmarkStart w:id="487" w:name="_Toc3351"/>
      <w:r>
        <w:rPr>
          <w:rFonts w:hint="eastAsia" w:ascii="宋体" w:hAnsi="宋体" w:eastAsia="宋体" w:cs="宋体"/>
          <w:b/>
          <w:sz w:val="24"/>
          <w:szCs w:val="24"/>
          <w:lang w:val="en-US" w:eastAsia="zh-CN"/>
        </w:rPr>
        <w:t>十一</w:t>
      </w:r>
      <w:r>
        <w:rPr>
          <w:rFonts w:hint="eastAsia" w:hAnsi="宋体" w:cs="宋体"/>
          <w:b/>
          <w:sz w:val="24"/>
          <w:szCs w:val="24"/>
          <w:lang w:val="en-US" w:eastAsia="zh-CN"/>
        </w:rPr>
        <w:t>.</w:t>
      </w:r>
      <w:r>
        <w:rPr>
          <w:rFonts w:hint="eastAsia" w:ascii="宋体" w:hAnsi="宋体" w:eastAsia="宋体" w:cs="宋体"/>
          <w:b/>
          <w:bCs/>
          <w:kern w:val="2"/>
          <w:sz w:val="24"/>
          <w:szCs w:val="24"/>
          <w:highlight w:val="none"/>
          <w:lang w:val="en-US" w:eastAsia="zh-CN" w:bidi="ar-SA"/>
        </w:rPr>
        <w:t>商务条款偏离表</w:t>
      </w:r>
      <w:bookmarkEnd w:id="487"/>
    </w:p>
    <w:p>
      <w:pPr>
        <w:pStyle w:val="64"/>
        <w:spacing w:line="443" w:lineRule="exact"/>
        <w:ind w:left="0" w:right="0"/>
        <w:rPr>
          <w:rFonts w:hint="eastAsia" w:ascii="宋体" w:hAnsi="宋体" w:eastAsia="宋体" w:cs="宋体"/>
          <w:b w:val="0"/>
          <w:bCs w:val="0"/>
          <w:sz w:val="24"/>
          <w:szCs w:val="24"/>
          <w:lang w:val="en-US" w:eastAsia="zh-CN"/>
        </w:rPr>
      </w:pPr>
      <w:bookmarkStart w:id="488" w:name="_Toc10833"/>
      <w:r>
        <w:rPr>
          <w:rFonts w:hint="eastAsia" w:ascii="宋体" w:hAnsi="宋体" w:eastAsia="宋体" w:cs="宋体"/>
          <w:b w:val="0"/>
          <w:bCs w:val="0"/>
          <w:sz w:val="24"/>
          <w:szCs w:val="24"/>
          <w:lang w:val="en-US" w:eastAsia="zh-CN"/>
        </w:rPr>
        <w:t>标段名称：</w:t>
      </w:r>
      <w:bookmarkEnd w:id="488"/>
    </w:p>
    <w:p>
      <w:pPr>
        <w:pStyle w:val="64"/>
        <w:spacing w:line="443" w:lineRule="exact"/>
        <w:ind w:left="0" w:right="0"/>
        <w:rPr>
          <w:rFonts w:hint="eastAsia" w:ascii="宋体" w:hAnsi="宋体" w:eastAsia="宋体" w:cs="宋体"/>
          <w:b w:val="0"/>
          <w:bCs w:val="0"/>
          <w:sz w:val="24"/>
          <w:szCs w:val="24"/>
          <w:lang w:val="en-US" w:eastAsia="zh-CN"/>
        </w:rPr>
      </w:pPr>
      <w:bookmarkStart w:id="489" w:name="_Toc2782"/>
      <w:r>
        <w:rPr>
          <w:rFonts w:hint="eastAsia" w:ascii="宋体" w:hAnsi="宋体" w:eastAsia="宋体" w:cs="宋体"/>
          <w:b w:val="0"/>
          <w:bCs w:val="0"/>
          <w:sz w:val="24"/>
          <w:szCs w:val="24"/>
          <w:lang w:val="en-US" w:eastAsia="zh-CN"/>
        </w:rPr>
        <w:t>标段编号：</w:t>
      </w:r>
      <w:bookmarkEnd w:id="489"/>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2"/>
        <w:gridCol w:w="1903"/>
        <w:gridCol w:w="1903"/>
        <w:gridCol w:w="1903"/>
        <w:gridCol w:w="1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90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bookmarkStart w:id="490" w:name="_bookmark162"/>
            <w:bookmarkEnd w:id="490"/>
            <w:r>
              <w:rPr>
                <w:rFonts w:hint="eastAsia" w:ascii="宋体" w:hAnsi="宋体" w:eastAsia="宋体" w:cs="宋体"/>
                <w:b/>
                <w:bCs/>
                <w:spacing w:val="4"/>
                <w:sz w:val="24"/>
                <w:szCs w:val="24"/>
                <w:vertAlign w:val="baseline"/>
                <w:lang w:val="en-US" w:eastAsia="zh-CN"/>
              </w:rPr>
              <w:t>序号</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招标文件商务要求</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投标文件商务响应</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偏离</w:t>
            </w:r>
          </w:p>
        </w:tc>
        <w:tc>
          <w:tcPr>
            <w:tcW w:w="190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1</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2</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3</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pPr>
              <w:spacing w:before="260" w:line="241" w:lineRule="auto"/>
              <w:rPr>
                <w:rFonts w:hint="eastAsia" w:ascii="宋体" w:hAnsi="宋体" w:eastAsia="宋体" w:cs="宋体"/>
                <w:b/>
                <w:bCs/>
                <w:spacing w:val="4"/>
                <w:sz w:val="24"/>
                <w:szCs w:val="24"/>
                <w:vertAlign w:val="baseline"/>
                <w:lang w:val="en-US" w:eastAsia="zh-CN"/>
              </w:rPr>
            </w:pPr>
            <w:r>
              <w:rPr>
                <w:rFonts w:hint="eastAsia" w:ascii="宋体" w:hAnsi="宋体" w:eastAsia="宋体" w:cs="宋体"/>
                <w:b/>
                <w:bCs/>
                <w:spacing w:val="4"/>
                <w:sz w:val="24"/>
                <w:szCs w:val="24"/>
                <w:vertAlign w:val="baseline"/>
                <w:lang w:val="en-US" w:eastAsia="zh-CN"/>
              </w:rPr>
              <w:t>...</w:t>
            </w: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c>
          <w:tcPr>
            <w:tcW w:w="1903" w:type="dxa"/>
          </w:tcPr>
          <w:p>
            <w:pPr>
              <w:spacing w:before="260" w:line="241" w:lineRule="auto"/>
              <w:rPr>
                <w:rFonts w:hint="eastAsia" w:ascii="宋体" w:hAnsi="宋体" w:eastAsia="宋体" w:cs="宋体"/>
                <w:b/>
                <w:bCs/>
                <w:spacing w:val="4"/>
                <w:sz w:val="24"/>
                <w:szCs w:val="24"/>
                <w:vertAlign w:val="baseline"/>
              </w:rPr>
            </w:pPr>
          </w:p>
        </w:tc>
      </w:tr>
    </w:tbl>
    <w:p>
      <w:pPr>
        <w:spacing w:before="260" w:line="241" w:lineRule="auto"/>
        <w:ind w:left="124"/>
        <w:rPr>
          <w:rFonts w:hint="eastAsia" w:ascii="宋体" w:hAnsi="宋体" w:eastAsia="宋体" w:cs="宋体"/>
          <w:b/>
          <w:bCs/>
          <w:sz w:val="24"/>
          <w:szCs w:val="24"/>
        </w:rPr>
      </w:pPr>
      <w:r>
        <w:rPr>
          <w:rFonts w:hint="eastAsia" w:ascii="宋体" w:hAnsi="宋体" w:eastAsia="宋体" w:cs="宋体"/>
          <w:b/>
          <w:bCs/>
          <w:spacing w:val="4"/>
          <w:sz w:val="24"/>
          <w:szCs w:val="24"/>
        </w:rPr>
        <w:t>说明：</w:t>
      </w:r>
    </w:p>
    <w:p>
      <w:pPr>
        <w:spacing w:before="139" w:line="369" w:lineRule="auto"/>
        <w:ind w:left="174" w:firstLine="592"/>
        <w:jc w:val="both"/>
        <w:rPr>
          <w:rFonts w:hint="eastAsia" w:ascii="宋体" w:hAnsi="宋体" w:eastAsia="宋体" w:cs="宋体"/>
          <w:b/>
          <w:bCs/>
          <w:spacing w:val="8"/>
          <w:sz w:val="24"/>
          <w:szCs w:val="24"/>
        </w:rPr>
      </w:pPr>
      <w:r>
        <w:rPr>
          <w:rFonts w:hint="eastAsia" w:ascii="宋体" w:hAnsi="宋体" w:eastAsia="宋体" w:cs="宋体"/>
          <w:b/>
          <w:bCs/>
          <w:spacing w:val="10"/>
          <w:sz w:val="24"/>
          <w:szCs w:val="24"/>
        </w:rPr>
        <w:t>1.本表只填写投标文件中与招标文件有偏离的内容，投标文件中商务响应与招标文件</w:t>
      </w:r>
      <w:r>
        <w:rPr>
          <w:rFonts w:hint="eastAsia" w:ascii="宋体" w:hAnsi="宋体" w:eastAsia="宋体" w:cs="宋体"/>
          <w:b/>
          <w:bCs/>
          <w:spacing w:val="10"/>
          <w:sz w:val="24"/>
          <w:szCs w:val="24"/>
          <w:lang w:val="en-US" w:eastAsia="zh-CN"/>
        </w:rPr>
        <w:t>商务</w:t>
      </w:r>
      <w:r>
        <w:rPr>
          <w:rFonts w:hint="eastAsia" w:ascii="宋体" w:hAnsi="宋体" w:eastAsia="宋体" w:cs="宋体"/>
          <w:b/>
          <w:bCs/>
          <w:spacing w:val="10"/>
          <w:sz w:val="24"/>
          <w:szCs w:val="24"/>
        </w:rPr>
        <w:t>要求完全一致的，不用在此表中列出</w:t>
      </w:r>
      <w:r>
        <w:rPr>
          <w:rFonts w:hint="eastAsia" w:ascii="宋体" w:hAnsi="宋体" w:eastAsia="宋体" w:cs="宋体"/>
          <w:b/>
          <w:bCs/>
          <w:spacing w:val="10"/>
          <w:sz w:val="24"/>
          <w:szCs w:val="24"/>
          <w:lang w:eastAsia="zh-CN"/>
        </w:rPr>
        <w:t>，</w:t>
      </w:r>
      <w:r>
        <w:rPr>
          <w:rFonts w:hint="eastAsia" w:ascii="宋体" w:hAnsi="宋体" w:eastAsia="宋体" w:cs="宋体"/>
          <w:b/>
          <w:bCs/>
          <w:spacing w:val="10"/>
          <w:sz w:val="24"/>
          <w:szCs w:val="24"/>
          <w:lang w:val="en-US" w:eastAsia="zh-CN"/>
        </w:rPr>
        <w:t>提交空表即可</w:t>
      </w:r>
      <w:r>
        <w:rPr>
          <w:rFonts w:hint="eastAsia" w:ascii="宋体" w:hAnsi="宋体" w:eastAsia="宋体" w:cs="宋体"/>
          <w:b/>
          <w:bCs/>
          <w:spacing w:val="9"/>
          <w:sz w:val="24"/>
          <w:szCs w:val="24"/>
        </w:rPr>
        <w:t>。如不提供此表</w:t>
      </w:r>
      <w:r>
        <w:rPr>
          <w:rFonts w:hint="eastAsia" w:ascii="宋体" w:hAnsi="宋体" w:eastAsia="宋体" w:cs="宋体"/>
          <w:b/>
          <w:bCs/>
          <w:spacing w:val="9"/>
          <w:sz w:val="24"/>
          <w:szCs w:val="24"/>
          <w:lang w:eastAsia="zh-CN"/>
        </w:rPr>
        <w:t>（</w:t>
      </w:r>
      <w:r>
        <w:rPr>
          <w:rFonts w:hint="eastAsia" w:ascii="宋体" w:hAnsi="宋体" w:eastAsia="宋体" w:cs="宋体"/>
          <w:b/>
          <w:bCs/>
          <w:spacing w:val="9"/>
          <w:sz w:val="24"/>
          <w:szCs w:val="24"/>
          <w:lang w:val="en-US" w:eastAsia="zh-CN"/>
        </w:rPr>
        <w:t>或将此表删除</w:t>
      </w:r>
      <w:r>
        <w:rPr>
          <w:rFonts w:hint="eastAsia" w:ascii="宋体" w:hAnsi="宋体" w:eastAsia="宋体" w:cs="宋体"/>
          <w:b/>
          <w:bCs/>
          <w:spacing w:val="9"/>
          <w:sz w:val="24"/>
          <w:szCs w:val="24"/>
          <w:lang w:eastAsia="zh-CN"/>
        </w:rPr>
        <w:t>）</w:t>
      </w:r>
      <w:r>
        <w:rPr>
          <w:rFonts w:hint="eastAsia" w:ascii="宋体" w:hAnsi="宋体" w:eastAsia="宋体" w:cs="宋体"/>
          <w:b/>
          <w:bCs/>
          <w:spacing w:val="9"/>
          <w:sz w:val="24"/>
          <w:szCs w:val="24"/>
        </w:rPr>
        <w:t>，则视为投标人不满足招标</w:t>
      </w:r>
      <w:r>
        <w:rPr>
          <w:rFonts w:hint="eastAsia" w:ascii="宋体" w:hAnsi="宋体" w:eastAsia="宋体" w:cs="宋体"/>
          <w:b/>
          <w:bCs/>
          <w:spacing w:val="8"/>
          <w:sz w:val="24"/>
          <w:szCs w:val="24"/>
        </w:rPr>
        <w:t>文件所有的商务条款要求，其投标无效。</w:t>
      </w:r>
    </w:p>
    <w:p>
      <w:pPr>
        <w:spacing w:before="139" w:line="369" w:lineRule="auto"/>
        <w:ind w:left="174" w:firstLine="592"/>
        <w:jc w:val="both"/>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2.偏离一栏填写正偏离、负偏离即可。如投标人对所有商务条款无偏离无需填写此表，提交空表即可，落款加盖投标人公章，并按要求签字。</w:t>
      </w:r>
    </w:p>
    <w:p>
      <w:pPr>
        <w:spacing w:before="152" w:line="229" w:lineRule="auto"/>
        <w:ind w:left="790"/>
        <w:rPr>
          <w:rFonts w:hint="eastAsia" w:ascii="宋体" w:hAnsi="宋体" w:eastAsia="宋体" w:cs="宋体"/>
          <w:sz w:val="24"/>
          <w:szCs w:val="24"/>
        </w:rPr>
      </w:pPr>
      <w:r>
        <w:rPr>
          <w:rFonts w:hint="eastAsia" w:ascii="宋体" w:hAnsi="宋体" w:eastAsia="宋体" w:cs="宋体"/>
          <w:b/>
          <w:bCs/>
          <w:spacing w:val="9"/>
          <w:sz w:val="24"/>
          <w:szCs w:val="24"/>
          <w:lang w:val="en-US" w:eastAsia="zh-CN"/>
        </w:rPr>
        <w:t>3</w:t>
      </w:r>
      <w:r>
        <w:rPr>
          <w:rFonts w:hint="eastAsia" w:ascii="宋体" w:hAnsi="宋体" w:eastAsia="宋体" w:cs="宋体"/>
          <w:b/>
          <w:bCs/>
          <w:spacing w:val="9"/>
          <w:sz w:val="24"/>
          <w:szCs w:val="24"/>
        </w:rPr>
        <w:t>.投标人必须据实填写，不得虚假响应，否则取消其投标或中标资格</w:t>
      </w:r>
      <w:r>
        <w:rPr>
          <w:rFonts w:hint="eastAsia" w:ascii="宋体" w:hAnsi="宋体" w:eastAsia="宋体" w:cs="宋体"/>
          <w:b/>
          <w:bCs/>
          <w:spacing w:val="9"/>
          <w:sz w:val="24"/>
          <w:szCs w:val="24"/>
          <w:lang w:val="en-US" w:eastAsia="zh-CN"/>
        </w:rPr>
        <w:t>并承担相应后果</w:t>
      </w:r>
      <w:r>
        <w:rPr>
          <w:rFonts w:hint="eastAsia" w:ascii="宋体" w:hAnsi="宋体" w:eastAsia="宋体" w:cs="宋体"/>
          <w:b/>
          <w:bCs/>
          <w:spacing w:val="9"/>
          <w:sz w:val="24"/>
          <w:szCs w:val="24"/>
        </w:rPr>
        <w:t>。</w:t>
      </w:r>
    </w:p>
    <w:p>
      <w:pPr>
        <w:spacing w:line="360" w:lineRule="auto"/>
        <w:ind w:firstLine="5760" w:firstLineChars="2400"/>
        <w:jc w:val="both"/>
        <w:rPr>
          <w:rFonts w:hint="eastAsia" w:ascii="宋体" w:hAnsi="宋体" w:eastAsia="宋体" w:cs="宋体"/>
          <w:color w:val="000000"/>
          <w:kern w:val="2"/>
          <w:sz w:val="24"/>
          <w:szCs w:val="24"/>
          <w:lang w:eastAsia="zh-CN"/>
        </w:rPr>
      </w:pPr>
    </w:p>
    <w:p>
      <w:pPr>
        <w:pStyle w:val="9"/>
        <w:tabs>
          <w:tab w:val="left" w:pos="3931"/>
        </w:tabs>
        <w:ind w:right="154"/>
        <w:jc w:val="right"/>
        <w:rPr>
          <w:rFonts w:hint="eastAsia" w:ascii="宋体" w:hAnsi="宋体" w:eastAsia="宋体" w:cs="宋体"/>
          <w:sz w:val="24"/>
          <w:szCs w:val="24"/>
          <w:lang w:eastAsia="zh-CN"/>
        </w:rPr>
      </w:pPr>
    </w:p>
    <w:p>
      <w:pPr>
        <w:pStyle w:val="9"/>
        <w:tabs>
          <w:tab w:val="left" w:pos="3931"/>
        </w:tabs>
        <w:ind w:right="154"/>
        <w:jc w:val="right"/>
        <w:rPr>
          <w:rFonts w:hint="eastAsia" w:ascii="宋体" w:hAnsi="宋体" w:eastAsia="宋体" w:cs="宋体"/>
          <w:color w:val="000000"/>
          <w:kern w:val="2"/>
          <w:sz w:val="24"/>
          <w:szCs w:val="24"/>
          <w:lang w:val="en-US" w:eastAsia="zh-CN"/>
        </w:rPr>
      </w:pPr>
      <w:r>
        <w:rPr>
          <w:rFonts w:hint="eastAsia" w:ascii="宋体" w:hAnsi="宋体" w:eastAsia="宋体" w:cs="宋体"/>
          <w:b w:val="0"/>
          <w:bCs/>
          <w:sz w:val="24"/>
          <w:szCs w:val="24"/>
          <w:lang w:eastAsia="zh-CN"/>
        </w:rPr>
        <w:t>投标人名称：</w:t>
      </w:r>
      <w:r>
        <w:rPr>
          <w:rFonts w:hint="eastAsia" w:ascii="宋体" w:hAnsi="宋体" w:eastAsia="宋体" w:cs="宋体"/>
          <w:b w:val="0"/>
          <w:bCs/>
          <w:sz w:val="24"/>
          <w:szCs w:val="24"/>
          <w:u w:val="single"/>
          <w:lang w:eastAsia="zh-CN"/>
        </w:rPr>
        <w:tab/>
      </w:r>
      <w:r>
        <w:rPr>
          <w:rFonts w:hint="eastAsia" w:ascii="宋体" w:hAnsi="宋体" w:eastAsia="宋体" w:cs="宋体"/>
          <w:b w:val="0"/>
          <w:bCs/>
          <w:spacing w:val="-1"/>
          <w:sz w:val="24"/>
          <w:szCs w:val="24"/>
          <w:lang w:eastAsia="zh-CN"/>
        </w:rPr>
        <w:t>（盖单位章）</w:t>
      </w:r>
      <w:r>
        <w:rPr>
          <w:rFonts w:hint="eastAsia" w:ascii="宋体" w:hAnsi="宋体" w:eastAsia="宋体" w:cs="宋体"/>
          <w:color w:val="000000"/>
          <w:kern w:val="2"/>
          <w:sz w:val="24"/>
          <w:szCs w:val="24"/>
          <w:lang w:val="en-US" w:eastAsia="zh-CN"/>
        </w:rPr>
        <w:t xml:space="preserve">         </w:t>
      </w:r>
    </w:p>
    <w:p>
      <w:pPr>
        <w:spacing w:line="360" w:lineRule="auto"/>
        <w:ind w:firstLine="480" w:firstLineChars="200"/>
        <w:jc w:val="right"/>
        <w:rPr>
          <w:rFonts w:hint="eastAsia" w:ascii="宋体" w:hAnsi="宋体" w:eastAsia="宋体" w:cs="宋体"/>
          <w:sz w:val="24"/>
          <w:szCs w:val="24"/>
          <w:lang w:eastAsia="zh-CN"/>
        </w:rPr>
      </w:pPr>
    </w:p>
    <w:p>
      <w:pPr>
        <w:spacing w:line="360" w:lineRule="auto"/>
        <w:ind w:firstLine="480" w:firstLineChars="200"/>
        <w:jc w:val="right"/>
        <w:rPr>
          <w:rFonts w:hint="eastAsia" w:ascii="宋体" w:hAnsi="宋体" w:eastAsia="宋体" w:cs="宋体"/>
          <w:color w:val="000000"/>
          <w:kern w:val="2"/>
          <w:sz w:val="24"/>
          <w:szCs w:val="24"/>
          <w:lang w:eastAsia="zh-CN"/>
        </w:rPr>
      </w:pPr>
      <w:r>
        <w:rPr>
          <w:rFonts w:hint="eastAsia" w:ascii="宋体" w:hAnsi="宋体" w:eastAsia="宋体" w:cs="宋体"/>
          <w:sz w:val="24"/>
          <w:szCs w:val="24"/>
          <w:lang w:eastAsia="zh-CN"/>
        </w:rPr>
        <w:t>法定代表人或委托代理人：</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（签字</w:t>
      </w:r>
      <w:r>
        <w:rPr>
          <w:rFonts w:hint="eastAsia" w:ascii="宋体" w:hAnsi="宋体" w:eastAsia="宋体" w:cs="宋体"/>
          <w:sz w:val="24"/>
          <w:szCs w:val="24"/>
          <w:lang w:val="en-US" w:eastAsia="zh-CN"/>
        </w:rPr>
        <w:t>或盖章</w:t>
      </w:r>
      <w:r>
        <w:rPr>
          <w:rFonts w:hint="eastAsia" w:ascii="宋体" w:hAnsi="宋体" w:eastAsia="宋体" w:cs="宋体"/>
          <w:sz w:val="24"/>
          <w:szCs w:val="24"/>
          <w:lang w:eastAsia="zh-CN"/>
        </w:rPr>
        <w:t>）</w:t>
      </w:r>
    </w:p>
    <w:p>
      <w:pPr>
        <w:spacing w:line="360" w:lineRule="auto"/>
        <w:ind w:firstLine="480" w:firstLineChars="200"/>
        <w:jc w:val="right"/>
        <w:rPr>
          <w:rFonts w:hint="eastAsia" w:ascii="宋体" w:hAnsi="宋体" w:eastAsia="宋体" w:cs="宋体"/>
          <w:color w:val="000000"/>
          <w:kern w:val="2"/>
          <w:sz w:val="24"/>
          <w:szCs w:val="24"/>
          <w:u w:val="single"/>
          <w:lang w:eastAsia="zh-CN"/>
        </w:rPr>
      </w:pPr>
      <w:r>
        <w:rPr>
          <w:rFonts w:hint="eastAsia" w:ascii="宋体" w:hAnsi="宋体" w:eastAsia="宋体" w:cs="宋体"/>
          <w:color w:val="000000"/>
          <w:kern w:val="2"/>
          <w:sz w:val="24"/>
          <w:szCs w:val="24"/>
          <w:lang w:eastAsia="zh-CN"/>
        </w:rPr>
        <w:t xml:space="preserve">时间： </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none"/>
          <w:lang w:eastAsia="zh-CN"/>
        </w:rPr>
        <w:t>年</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none"/>
          <w:lang w:eastAsia="zh-CN"/>
        </w:rPr>
        <w:t>月</w:t>
      </w:r>
      <w:r>
        <w:rPr>
          <w:rFonts w:hint="eastAsia" w:ascii="宋体" w:hAnsi="宋体" w:eastAsia="宋体" w:cs="宋体"/>
          <w:color w:val="000000"/>
          <w:kern w:val="2"/>
          <w:sz w:val="24"/>
          <w:szCs w:val="24"/>
          <w:u w:val="single"/>
          <w:lang w:eastAsia="zh-CN"/>
        </w:rPr>
        <w:t xml:space="preserve">  </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none"/>
          <w:lang w:eastAsia="zh-CN"/>
        </w:rPr>
        <w:t>日</w:t>
      </w:r>
    </w:p>
    <w:p>
      <w:pPr>
        <w:widowControl/>
        <w:spacing w:line="360" w:lineRule="auto"/>
        <w:jc w:val="right"/>
        <w:rPr>
          <w:rFonts w:hint="eastAsia" w:ascii="宋体" w:hAnsi="宋体" w:eastAsia="宋体" w:cs="宋体"/>
          <w:b/>
          <w:bCs/>
          <w:color w:val="000000"/>
          <w:sz w:val="24"/>
          <w:szCs w:val="24"/>
          <w:u w:val="single"/>
          <w:lang w:eastAsia="zh-CN"/>
        </w:rPr>
        <w:sectPr>
          <w:pgSz w:w="11906" w:h="16838"/>
          <w:pgMar w:top="1361" w:right="1304" w:bottom="1247" w:left="1304" w:header="720" w:footer="720" w:gutter="0"/>
          <w:pgNumType w:fmt="decimal"/>
          <w:cols w:space="720" w:num="1"/>
          <w:docGrid w:type="lines" w:linePitch="312" w:charSpace="0"/>
        </w:sectPr>
      </w:pPr>
    </w:p>
    <w:p>
      <w:pPr>
        <w:spacing w:line="360" w:lineRule="auto"/>
        <w:contextualSpacing/>
        <w:jc w:val="center"/>
        <w:outlineLvl w:val="1"/>
        <w:rPr>
          <w:rFonts w:hint="eastAsia" w:ascii="宋体" w:hAnsi="宋体" w:eastAsia="宋体" w:cs="宋体"/>
          <w:b/>
          <w:sz w:val="24"/>
          <w:szCs w:val="24"/>
        </w:rPr>
      </w:pPr>
      <w:bookmarkStart w:id="491" w:name="_Toc10973"/>
      <w:r>
        <w:rPr>
          <w:rFonts w:hint="eastAsia" w:ascii="宋体" w:hAnsi="宋体" w:eastAsia="宋体" w:cs="宋体"/>
          <w:b/>
          <w:sz w:val="24"/>
          <w:szCs w:val="24"/>
          <w:lang w:val="en-US" w:eastAsia="zh-CN"/>
        </w:rPr>
        <w:t>十二</w:t>
      </w:r>
      <w:r>
        <w:rPr>
          <w:rFonts w:hint="eastAsia" w:ascii="宋体" w:hAnsi="宋体" w:eastAsia="宋体" w:cs="宋体"/>
          <w:b/>
          <w:sz w:val="24"/>
          <w:szCs w:val="24"/>
        </w:rPr>
        <w:t>.其它材料</w:t>
      </w:r>
      <w:bookmarkEnd w:id="475"/>
      <w:bookmarkEnd w:id="476"/>
      <w:bookmarkEnd w:id="491"/>
    </w:p>
    <w:p>
      <w:pPr>
        <w:spacing w:line="360" w:lineRule="auto"/>
        <w:ind w:firstLine="435"/>
        <w:contextualSpacing/>
        <w:rPr>
          <w:rFonts w:hint="eastAsia" w:ascii="宋体" w:hAnsi="宋体" w:eastAsia="宋体" w:cs="宋体"/>
          <w:sz w:val="24"/>
          <w:szCs w:val="24"/>
        </w:rPr>
      </w:pPr>
    </w:p>
    <w:p>
      <w:pPr>
        <w:wordWrap w:val="0"/>
        <w:spacing w:line="320" w:lineRule="exact"/>
        <w:ind w:firstLine="480" w:firstLineChars="200"/>
        <w:contextualSpacing/>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注：在此附</w:t>
      </w:r>
      <w:r>
        <w:rPr>
          <w:rFonts w:hint="eastAsia" w:ascii="宋体" w:hAnsi="宋体" w:eastAsia="宋体" w:cs="宋体"/>
          <w:sz w:val="24"/>
          <w:szCs w:val="24"/>
          <w:highlight w:val="none"/>
          <w:lang w:val="zh-CN"/>
        </w:rPr>
        <w:t>招标文件中要求的其他</w:t>
      </w:r>
      <w:r>
        <w:rPr>
          <w:rFonts w:hint="eastAsia" w:ascii="宋体" w:hAnsi="宋体" w:eastAsia="宋体" w:cs="宋体"/>
          <w:sz w:val="24"/>
          <w:szCs w:val="24"/>
          <w:highlight w:val="none"/>
          <w:lang w:val="en-US" w:eastAsia="zh-CN"/>
        </w:rPr>
        <w:t>相关</w:t>
      </w:r>
      <w:r>
        <w:rPr>
          <w:rFonts w:hint="eastAsia" w:ascii="宋体" w:hAnsi="宋体" w:eastAsia="宋体" w:cs="宋体"/>
          <w:sz w:val="24"/>
          <w:szCs w:val="24"/>
          <w:highlight w:val="none"/>
          <w:lang w:val="zh-CN"/>
        </w:rPr>
        <w:t>资料以及投标人认为有必要提供的其他资料</w:t>
      </w:r>
      <w:r>
        <w:rPr>
          <w:rFonts w:hint="eastAsia" w:ascii="宋体" w:hAnsi="宋体" w:eastAsia="宋体" w:cs="宋体"/>
          <w:sz w:val="24"/>
          <w:szCs w:val="24"/>
          <w:highlight w:val="none"/>
          <w:lang w:val="en-US" w:eastAsia="zh-CN"/>
        </w:rPr>
        <w:t>并加盖投标单位公章（如有）</w:t>
      </w:r>
      <w:r>
        <w:rPr>
          <w:rFonts w:hint="eastAsia" w:ascii="宋体" w:hAnsi="宋体" w:eastAsia="宋体" w:cs="宋体"/>
          <w:sz w:val="24"/>
          <w:szCs w:val="24"/>
          <w:highlight w:val="none"/>
          <w:lang w:val="zh-CN"/>
        </w:rPr>
        <w:t>。</w:t>
      </w:r>
    </w:p>
    <w:p>
      <w:pPr>
        <w:rPr>
          <w:rFonts w:hint="eastAsia" w:ascii="宋体" w:hAnsi="宋体" w:eastAsia="宋体" w:cs="宋体"/>
          <w:sz w:val="24"/>
          <w:szCs w:val="24"/>
          <w:lang w:val="zh-CN"/>
        </w:rPr>
      </w:pPr>
      <w:r>
        <w:rPr>
          <w:rFonts w:hint="eastAsia" w:ascii="宋体" w:hAnsi="宋体" w:eastAsia="宋体" w:cs="宋体"/>
          <w:sz w:val="24"/>
          <w:szCs w:val="24"/>
          <w:lang w:val="zh-CN"/>
        </w:rPr>
        <w:br w:type="page"/>
      </w:r>
    </w:p>
    <w:p>
      <w:pPr>
        <w:pStyle w:val="2"/>
        <w:bidi w:val="0"/>
        <w:rPr>
          <w:rFonts w:hint="eastAsia"/>
          <w:lang w:val="en-US" w:eastAsia="zh-CN"/>
        </w:rPr>
      </w:pPr>
      <w:bookmarkStart w:id="492" w:name="_Toc14494"/>
      <w:r>
        <w:rPr>
          <w:rFonts w:hint="eastAsia"/>
          <w:lang w:val="en-US" w:eastAsia="zh-CN"/>
        </w:rPr>
        <w:t>第七章 招标文件附件</w:t>
      </w:r>
      <w:bookmarkEnd w:id="492"/>
    </w:p>
    <w:p>
      <w:pPr>
        <w:widowControl/>
        <w:jc w:val="center"/>
        <w:rPr>
          <w:rFonts w:hint="eastAsia" w:ascii="宋体" w:hAnsi="宋体" w:eastAsia="宋体" w:cs="宋体"/>
          <w:b/>
          <w:bCs/>
          <w:sz w:val="24"/>
          <w:szCs w:val="24"/>
          <w:lang w:val="zh-CN" w:eastAsia="zh-CN"/>
        </w:rPr>
      </w:pPr>
    </w:p>
    <w:p>
      <w:pPr>
        <w:widowControl/>
        <w:jc w:val="center"/>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《关于印发&lt;政府采购促进中小企业发展管理办法&gt;的通知》</w:t>
      </w:r>
    </w:p>
    <w:p>
      <w:pPr>
        <w:widowControl/>
        <w:jc w:val="center"/>
        <w:rPr>
          <w:rFonts w:hint="eastAsia" w:ascii="宋体" w:hAnsi="宋体" w:eastAsia="宋体" w:cs="宋体"/>
          <w:b/>
          <w:sz w:val="24"/>
          <w:szCs w:val="24"/>
          <w:lang w:eastAsia="zh-CN"/>
        </w:rPr>
      </w:pPr>
      <w:r>
        <w:rPr>
          <w:rFonts w:hint="eastAsia" w:ascii="宋体" w:hAnsi="宋体" w:eastAsia="宋体" w:cs="宋体"/>
          <w:b/>
          <w:bCs/>
          <w:sz w:val="24"/>
          <w:szCs w:val="24"/>
          <w:lang w:val="zh-CN" w:eastAsia="zh-CN"/>
        </w:rPr>
        <w:t>(财库〔2020〕46号）</w:t>
      </w:r>
    </w:p>
    <w:p>
      <w:pPr>
        <w:widowControl/>
        <w:jc w:val="center"/>
        <w:outlineLvl w:val="1"/>
        <w:rPr>
          <w:rFonts w:hint="eastAsia" w:ascii="宋体" w:hAnsi="宋体" w:eastAsia="宋体" w:cs="宋体"/>
          <w:sz w:val="24"/>
          <w:szCs w:val="24"/>
          <w:lang w:eastAsia="zh-CN"/>
        </w:rPr>
      </w:pPr>
      <w:bookmarkStart w:id="493" w:name="_Toc19181"/>
      <w:r>
        <w:rPr>
          <w:rFonts w:hint="eastAsia" w:ascii="宋体" w:hAnsi="宋体" w:eastAsia="宋体" w:cs="宋体"/>
          <w:sz w:val="24"/>
          <w:szCs w:val="24"/>
          <w:lang w:eastAsia="zh-CN"/>
        </w:rPr>
        <w:t>政府采购促进中小企业发展管理办法</w:t>
      </w:r>
      <w:bookmarkEnd w:id="493"/>
    </w:p>
    <w:p>
      <w:pPr>
        <w:widowControl/>
        <w:rPr>
          <w:rFonts w:hint="eastAsia" w:ascii="宋体" w:hAnsi="宋体" w:eastAsia="宋体" w:cs="宋体"/>
          <w:sz w:val="24"/>
          <w:szCs w:val="24"/>
          <w:lang w:eastAsia="zh-CN"/>
        </w:rPr>
      </w:pP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第一条　为了发挥政府采购的政策功能，促进中小企业健康发展，根据《中华人民共和国政府采购法》、《中华人民共和国中小企业促进法》等有关法律法规，制定本办法。</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符合中小企业划分标准的个体工商户，在政府采购活动中视同中小企业。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第三条　采购人在政府采购活动中应当通过加强采购需求管理，落实预留采购份额、价格评审优惠、优先采购等措施，提高中小企业在政府采购中的份额，支持中小企业发展。</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第四条　在政府采购活动中，供应商提供的货物、工程或者服务符合下列情形的，享受本办法规定的中小企业扶持政策：</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（一）在货物采购项目中，货物由中小企业制造，即货物由中小企业生产且使用该中小企业商号或者注册商标；</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（二）在工程采购项目中，工程由中小企业承建，即工程施工单位为中小企业；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（三）在服务采购项目中，服务由中小企业承接，即提供服务的人员为中小企业依照《中华人民共和国劳动合同法》订立劳动合同的从业人员。</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在货物采购项目中，供应商提供的货物既有中小企业制造货物，也有大型企业制造货物的，不享受本办法规定的中小企业扶持政策。</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以联合体形式参加政府采购活动，联合体各方均为中小企业的，联合体视同中小企业。其中，联合体各方均为小微企业的，联合体视同小微企业。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符合下列情形之一的，可不专门面向中小企业预留采购份额：</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（一）法律法规和国家有关政策明确规定优先或者应当面向事业单位、社会组织等非企业主体采购的；</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（二）因确需使用不可替代的专利、专有技术，基础设施限制，或者提供特定公共服务等原因，只能从中小企业之外的供应商处采购的；</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（三）按照本办法规定预留采购份额无法确保充分供应、充分竞争，或者存在可能影响政府采购目标实现的情形；</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（四）框架协议采购项目；</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（五）省级以上人民政府财政部门规定的其他情形。</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除上述情形外，其他均为适宜由中小企业提供的情形。</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第七条　采购限额标准以上，200万元以下的货物和服务采购项目、400万元以下的工程采购项目，适宜由中小企业提供的，采购人应当专门面向中小企业采购。</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pPr>
        <w:spacing w:line="360" w:lineRule="auto"/>
        <w:ind w:firstLine="480" w:firstLineChars="200"/>
        <w:textAlignment w:val="center"/>
        <w:outlineLvl w:val="1"/>
        <w:rPr>
          <w:rFonts w:hint="eastAsia" w:ascii="宋体" w:hAnsi="宋体" w:eastAsia="宋体" w:cs="宋体"/>
          <w:kern w:val="2"/>
          <w:sz w:val="24"/>
          <w:szCs w:val="24"/>
          <w:lang w:val="zh-CN" w:eastAsia="zh-CN"/>
        </w:rPr>
      </w:pPr>
      <w:bookmarkStart w:id="494" w:name="_Toc17917"/>
      <w:r>
        <w:rPr>
          <w:rFonts w:hint="eastAsia" w:ascii="宋体" w:hAnsi="宋体" w:eastAsia="宋体" w:cs="宋体"/>
          <w:kern w:val="2"/>
          <w:sz w:val="24"/>
          <w:szCs w:val="24"/>
          <w:lang w:val="zh-CN" w:eastAsia="zh-CN"/>
        </w:rPr>
        <w:t>（一）将采购项目整体或者设置采购包专门面向中小企业采购；</w:t>
      </w:r>
      <w:bookmarkEnd w:id="494"/>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（二）要求供应商以联合体形式参加采购活动，且联合体中中小企业承担的部分达到一定比例；</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（三）要求获得采购合同的供应商将采购项目中的一定比例分包给一家或者多家中小企业。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组成联合体或者接受分包合同的中小企业与联合体内其他企业、分包企业之间不得存在直接控股、管理关系。</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第十二条　采购项目涉及中小企业采购的，招标文件应当明确以下内容：</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（一）预留份额的采购项目或者采购包，明确该项目或相关采购包专门面向中小企业采购，以及相关标的及预算金额；</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（二）要求以联合体形式参加或者合同分包的，明确联合协议或者分包意向协议中中小企业合同金额应当达到的比例，并作为供应商资格条件；</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（三）非预留份额的采购项目或者采购包，明确有关价格扣除比例或者价格分加分比例；</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（四）规定依据本办法规定享受扶持政策获得政府采购合同的，小微企业不得将合同分包给大中型企业，中型企业不得将合同分包给大型企业；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（五）采购人认为具备相关条件的，明确对中小企业在资金支付期限、预付款比例等方面的优惠措施；</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（六）明确采购标的对应的中小企业划分标准所属行业；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（七）法律法规和省级以上人民政府财政部门规定的其他事项。</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第十三条　中标、成交供应商享受本办法规定的中小企业扶持政策的，采购人、采购代理机构应当随中标、成交结果公开中标、成交供应商的《中小企业声明函》。</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适用招标投标法的政府采购工程建设项目，应当在公示中标候选人时公开中标候选人的《中小企业声明函》。</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第十四条</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lang w:val="zh-CN" w:eastAsia="zh-CN"/>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pacing w:line="360" w:lineRule="auto"/>
        <w:ind w:firstLine="480" w:firstLineChars="200"/>
        <w:textAlignment w:val="center"/>
        <w:rPr>
          <w:rFonts w:hint="eastAsia" w:ascii="宋体" w:hAnsi="宋体" w:eastAsia="宋体" w:cs="宋体"/>
          <w:kern w:val="2"/>
          <w:sz w:val="24"/>
          <w:szCs w:val="24"/>
          <w:lang w:val="zh-CN" w:eastAsia="zh-CN"/>
        </w:rPr>
      </w:pP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第十五条　鼓励各地区、各部门在采购活动中允许中小企业引入信用担保手段，为中小企业在投标（响应）保证、履约保证等方面提供专业化服务。鼓励中小企业依法合规通过政府采购合同融资。</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第十六条　政府采购监督检查、投诉处理及政府采购行政处罚中对中小企业的认定，由货物制造商或者工程、服务供应商注册登记所在地的县级以上人民政府中小企业主管部门负责。</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中小企业主管部门应当在收到财政部门或者有关招标投标行政监督部门关于协助开展中小企业认定函后10个工作日内做出书面答复。</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第十七条　各地区、各部门应当对涉及中小企业采购的预算项目实施全过程绩效管理，合理设置绩效目标和指标，落实扶持中小企业有关政策要求，定期开展绩效监控和评价，强化绩效评价结果应用。</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第二十条　供应商按照本办法规定提供声明函内容不实的，属于提供虚假材料谋取中标、成交，依照《中华人民共和国政府采购法》等国家有关规定追究相应责任。</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适用招标投标法的政府采购工程建设项目，投标人按照本办法规定提供声明函内容不实的，属于弄虚作假骗取中标，依照《中华人民共和国招标投标法》等国家有关规定追究相应责任。</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第二十二条　对外援助项目、国家相关资格或者资质管理制度另有规定的项目，不适用本办法。</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第二十三条　关于视同中小企业的其他主体的政府采购扶持政策，由财政部会同有关部门另行规定。</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第二十四条　省级财政部门可以会同中小企业主管部门根据本办法的规定制定具体实施办法。</w:t>
      </w:r>
    </w:p>
    <w:p>
      <w:pPr>
        <w:spacing w:line="360" w:lineRule="auto"/>
        <w:ind w:firstLine="480" w:firstLineChars="200"/>
        <w:textAlignment w:val="center"/>
        <w:rPr>
          <w:rFonts w:hint="eastAsia" w:ascii="宋体" w:hAnsi="宋体" w:eastAsia="宋体" w:cs="宋体"/>
          <w:kern w:val="2"/>
          <w:sz w:val="24"/>
          <w:szCs w:val="24"/>
          <w:lang w:val="zh-CN" w:eastAsia="zh-CN"/>
        </w:rPr>
      </w:pPr>
      <w:r>
        <w:rPr>
          <w:rFonts w:hint="eastAsia" w:ascii="宋体" w:hAnsi="宋体" w:eastAsia="宋体" w:cs="宋体"/>
          <w:kern w:val="2"/>
          <w:sz w:val="24"/>
          <w:szCs w:val="24"/>
          <w:lang w:val="zh-CN" w:eastAsia="zh-CN"/>
        </w:rPr>
        <w:t>第二十五条　本办法自2021年1月1日起施行。《财政部工业和信息化部关于印发〈政府采购促进中小企业发展暂行办法〉的通知》（财库﹝2011﹞181号）同时废止。</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3"/>
        <w:keepNext w:val="0"/>
        <w:keepLines w:val="0"/>
        <w:widowControl/>
        <w:suppressLineNumbers w:val="0"/>
        <w:jc w:val="center"/>
        <w:outlineLvl w:val="2"/>
        <w:rPr>
          <w:rFonts w:hint="eastAsia" w:ascii="宋体" w:hAnsi="宋体" w:eastAsia="宋体" w:cs="宋体"/>
          <w:sz w:val="24"/>
          <w:szCs w:val="24"/>
        </w:rPr>
      </w:pPr>
      <w:bookmarkStart w:id="495" w:name="_Toc18209"/>
      <w:bookmarkStart w:id="496" w:name="_Toc20681"/>
      <w:r>
        <w:rPr>
          <w:rFonts w:hint="eastAsia" w:ascii="宋体" w:hAnsi="宋体" w:eastAsia="宋体" w:cs="宋体"/>
          <w:sz w:val="24"/>
          <w:szCs w:val="24"/>
        </w:rPr>
        <w:t>关于进一步加大政府采购支持中小企业力度的通知</w:t>
      </w:r>
      <w:bookmarkEnd w:id="495"/>
      <w:bookmarkEnd w:id="496"/>
    </w:p>
    <w:p>
      <w:pPr>
        <w:pStyle w:val="21"/>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rPr>
        <w:t>财库〔2022〕19号</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各中央预算单位，各省、自治区、直辖市、计划单列市财政厅（局），新疆生产建设兵团财政局：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为贯彻落实《国务院关于印发扎实稳住经济一揽子政策措施的通知》（国发〔2022〕12号）有关要求，做好财政政策支持中小企业纾困解难工作，助力经济平稳健康发展，现就加大政府采购支持中小企业力度有关事项通知如下：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四、认真做好组织实施。各地区、各部门应当加强组织领导，明确工作责任，细化执行要求，强化监督检查，确保国务院部署落实到位，对通知执行中出现的问题要及时向财政部报告。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本通知自2022年7月1日起执行。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 xml:space="preserve">财  政  部 </w:t>
      </w:r>
    </w:p>
    <w:p>
      <w:pPr>
        <w:keepNext w:val="0"/>
        <w:keepLines w:val="0"/>
        <w:pageBreakBefore w:val="0"/>
        <w:widowControl/>
        <w:kinsoku/>
        <w:wordWrap/>
        <w:overflowPunct/>
        <w:topLinePunct w:val="0"/>
        <w:autoSpaceDE/>
        <w:autoSpaceDN/>
        <w:bidi w:val="0"/>
        <w:adjustRightInd/>
        <w:snapToGrid/>
        <w:spacing w:line="48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2022年5月30日</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3"/>
        <w:keepNext w:val="0"/>
        <w:keepLines w:val="0"/>
        <w:widowControl/>
        <w:suppressLineNumbers w:val="0"/>
        <w:jc w:val="both"/>
        <w:rPr>
          <w:rFonts w:hint="eastAsia" w:ascii="宋体" w:hAnsi="宋体" w:eastAsia="宋体" w:cs="宋体"/>
          <w:sz w:val="24"/>
          <w:szCs w:val="24"/>
        </w:rPr>
      </w:pPr>
      <w:bookmarkStart w:id="497" w:name="_Toc4332"/>
      <w:bookmarkStart w:id="498" w:name="_Toc18079"/>
      <w:r>
        <w:rPr>
          <w:rFonts w:hint="eastAsia" w:ascii="宋体" w:hAnsi="宋体" w:eastAsia="宋体" w:cs="宋体"/>
          <w:sz w:val="24"/>
          <w:szCs w:val="24"/>
        </w:rPr>
        <w:t>关于印发《吉林省强化政府采购政策支持中小企业发展落实举措》的通知</w:t>
      </w:r>
      <w:bookmarkEnd w:id="497"/>
      <w:bookmarkEnd w:id="498"/>
    </w:p>
    <w:p>
      <w:pPr>
        <w:pStyle w:val="3"/>
        <w:keepNext w:val="0"/>
        <w:keepLines w:val="0"/>
        <w:widowControl/>
        <w:suppressLineNumbers w:val="0"/>
        <w:jc w:val="center"/>
        <w:outlineLvl w:val="9"/>
        <w:rPr>
          <w:rFonts w:hint="eastAsia" w:ascii="宋体" w:hAnsi="宋体" w:eastAsia="宋体" w:cs="宋体"/>
          <w:sz w:val="24"/>
          <w:szCs w:val="24"/>
        </w:rPr>
      </w:pPr>
    </w:p>
    <w:p>
      <w:pPr>
        <w:pStyle w:val="21"/>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rPr>
        <w:t xml:space="preserve">吉财采购〔2022〕478号 </w:t>
      </w:r>
    </w:p>
    <w:p>
      <w:pPr>
        <w:pStyle w:val="21"/>
        <w:keepNext w:val="0"/>
        <w:keepLines w:val="0"/>
        <w:widowControl w:val="0"/>
        <w:suppressLineNumbers w:val="0"/>
        <w:spacing w:before="0" w:beforeAutospacing="0" w:after="0" w:afterAutospacing="0"/>
        <w:ind w:left="0" w:right="0"/>
        <w:rPr>
          <w:rFonts w:hint="eastAsia" w:ascii="宋体" w:hAnsi="宋体" w:eastAsia="宋体" w:cs="宋体"/>
          <w:sz w:val="24"/>
          <w:szCs w:val="24"/>
        </w:rPr>
      </w:pPr>
      <w:r>
        <w:rPr>
          <w:rFonts w:hint="eastAsia" w:ascii="宋体" w:hAnsi="宋体" w:eastAsia="宋体" w:cs="宋体"/>
          <w:sz w:val="24"/>
          <w:szCs w:val="24"/>
        </w:rPr>
        <w:t xml:space="preserve">各省级主管预算单位，各市（州）、县（市、区）财政局，长白山管委会、长春新区、中韩（长春）国际合作示范区管委会财政局，各政府采购代理机构： </w:t>
      </w:r>
    </w:p>
    <w:p>
      <w:pPr>
        <w:pStyle w:val="21"/>
        <w:keepNext w:val="0"/>
        <w:keepLines w:val="0"/>
        <w:widowControl w:val="0"/>
        <w:suppressLineNumbers w:val="0"/>
        <w:spacing w:before="0" w:beforeAutospacing="0" w:after="0" w:afterAutospacing="0"/>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现将《吉林省强化政府采购政策支持中小企业发展落实举措》印发给你们，请遵照执行。 </w:t>
      </w:r>
    </w:p>
    <w:p>
      <w:pPr>
        <w:pStyle w:val="21"/>
        <w:keepNext w:val="0"/>
        <w:keepLines w:val="0"/>
        <w:widowControl w:val="0"/>
        <w:suppressLineNumbers w:val="0"/>
        <w:spacing w:before="0" w:beforeAutospacing="0" w:after="0" w:afterAutospacing="0"/>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附件：吉林省强化政府采购政策支持中小企业发展落实举措 </w:t>
      </w:r>
    </w:p>
    <w:p>
      <w:pPr>
        <w:pStyle w:val="21"/>
        <w:keepNext w:val="0"/>
        <w:keepLines w:val="0"/>
        <w:widowControl w:val="0"/>
        <w:suppressLineNumbers w:val="0"/>
        <w:spacing w:before="0" w:beforeAutospacing="0" w:after="0" w:afterAutospacing="0"/>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p>
    <w:p>
      <w:pPr>
        <w:pStyle w:val="21"/>
        <w:keepNext w:val="0"/>
        <w:keepLines w:val="0"/>
        <w:widowControl w:val="0"/>
        <w:suppressLineNumbers w:val="0"/>
        <w:spacing w:before="0" w:beforeAutospacing="0" w:after="0" w:afterAutospacing="0"/>
        <w:ind w:left="0" w:right="0" w:firstLine="480" w:firstLineChars="200"/>
        <w:jc w:val="right"/>
        <w:rPr>
          <w:rFonts w:hint="eastAsia" w:ascii="宋体" w:hAnsi="宋体" w:eastAsia="宋体" w:cs="宋体"/>
          <w:sz w:val="24"/>
          <w:szCs w:val="24"/>
        </w:rPr>
      </w:pPr>
    </w:p>
    <w:p>
      <w:pPr>
        <w:pStyle w:val="21"/>
        <w:keepNext w:val="0"/>
        <w:keepLines w:val="0"/>
        <w:widowControl w:val="0"/>
        <w:suppressLineNumbers w:val="0"/>
        <w:spacing w:before="0" w:beforeAutospacing="0" w:after="0" w:afterAutospacing="0"/>
        <w:ind w:left="0" w:right="0" w:firstLine="480" w:firstLineChars="200"/>
        <w:jc w:val="right"/>
        <w:rPr>
          <w:rFonts w:hint="eastAsia" w:ascii="宋体" w:hAnsi="宋体" w:eastAsia="宋体" w:cs="宋体"/>
          <w:sz w:val="24"/>
          <w:szCs w:val="24"/>
        </w:rPr>
      </w:pPr>
      <w:r>
        <w:rPr>
          <w:rFonts w:hint="eastAsia" w:ascii="宋体" w:hAnsi="宋体" w:eastAsia="宋体" w:cs="宋体"/>
          <w:sz w:val="24"/>
          <w:szCs w:val="24"/>
        </w:rPr>
        <w:t xml:space="preserve">吉林省财政厅 </w:t>
      </w:r>
    </w:p>
    <w:p>
      <w:pPr>
        <w:pStyle w:val="21"/>
        <w:keepNext w:val="0"/>
        <w:keepLines w:val="0"/>
        <w:widowControl w:val="0"/>
        <w:suppressLineNumbers w:val="0"/>
        <w:spacing w:before="0" w:beforeAutospacing="0" w:after="0" w:afterAutospacing="0"/>
        <w:ind w:left="0" w:right="0" w:firstLine="480" w:firstLineChars="200"/>
        <w:jc w:val="right"/>
        <w:rPr>
          <w:rFonts w:hint="eastAsia" w:ascii="宋体" w:hAnsi="宋体" w:eastAsia="宋体" w:cs="宋体"/>
          <w:sz w:val="24"/>
          <w:szCs w:val="24"/>
        </w:rPr>
      </w:pPr>
    </w:p>
    <w:p>
      <w:pPr>
        <w:pStyle w:val="21"/>
        <w:keepNext w:val="0"/>
        <w:keepLines w:val="0"/>
        <w:widowControl w:val="0"/>
        <w:suppressLineNumbers w:val="0"/>
        <w:spacing w:before="0" w:beforeAutospacing="0" w:after="0" w:afterAutospacing="0"/>
        <w:ind w:left="0" w:right="0" w:firstLine="480" w:firstLineChars="200"/>
        <w:jc w:val="right"/>
        <w:rPr>
          <w:rFonts w:hint="eastAsia" w:ascii="宋体" w:hAnsi="宋体" w:eastAsia="宋体" w:cs="宋体"/>
          <w:sz w:val="24"/>
          <w:szCs w:val="24"/>
        </w:rPr>
      </w:pPr>
      <w:r>
        <w:rPr>
          <w:rFonts w:hint="eastAsia" w:ascii="宋体" w:hAnsi="宋体" w:eastAsia="宋体" w:cs="宋体"/>
          <w:sz w:val="24"/>
          <w:szCs w:val="24"/>
        </w:rPr>
        <w:t xml:space="preserve">2022年6月6日 </w:t>
      </w:r>
    </w:p>
    <w:p>
      <w:pPr>
        <w:pStyle w:val="21"/>
        <w:keepNext w:val="0"/>
        <w:keepLines w:val="0"/>
        <w:widowControl w:val="0"/>
        <w:suppressLineNumbers w:val="0"/>
        <w:spacing w:before="0" w:beforeAutospacing="0" w:after="0" w:afterAutospacing="0"/>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附件：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吉林省强化政府采购政策支持中小企业发展落实举措</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为贯彻落实《国务院关于印发扎实稳住经济一揽子政策措施的通知》（国发〔2022〕12号）和省政府《稳定全省经济若干措施》要求，积极应对突发疫情对我省经济社会影响，做好财政政策支持中小企业纾困解难工作，助力全省经济平稳健康发展，按照财政部《关于进一步加大政府采购支持中小企业力度的通知》（财库〔2022〕19号）规定，提出如下落实措施：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499" w:name="_Toc17375"/>
      <w:r>
        <w:rPr>
          <w:rFonts w:hint="eastAsia" w:ascii="宋体" w:hAnsi="宋体" w:eastAsia="宋体" w:cs="宋体"/>
          <w:sz w:val="24"/>
          <w:szCs w:val="24"/>
        </w:rPr>
        <w:t>一、强化政策落实支持中小企业发展</w:t>
      </w:r>
      <w:bookmarkEnd w:id="499"/>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各级预算单位要认真落实《政府采购促进中小企业发展管理办法》（财库〔2020〕46号，以下简称《办法》）的规定，加强采购需求管理，规范资格条件设置，降低中小企业参加政府采购活动门槛 。科学编制政府采购预算，提高中小企业预留份额。结合采购项目的实际情况，灵活采取项目整体预留、合理预留采购包、要求大企业与中小企业组成联合体或向中小企业分包等形式，确保中小企业合同份额。适用招标投标法的政府采购工程项目应严格落实政府采购支持中小企业政策。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500" w:name="_Toc2951"/>
      <w:r>
        <w:rPr>
          <w:rFonts w:hint="eastAsia" w:ascii="宋体" w:hAnsi="宋体" w:eastAsia="宋体" w:cs="宋体"/>
          <w:sz w:val="24"/>
          <w:szCs w:val="24"/>
        </w:rPr>
        <w:t>二、提高政府采购项目价格评审优惠幅度</w:t>
      </w:r>
      <w:bookmarkEnd w:id="500"/>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自2022年7月1日起发布采购公告或者发出采购邀请，未预留份额专门面向中小企业采购的货物、服务项目，给予小微企业的价格扣除优惠由《办法》规定的6%-10%提高至10%-20%；大中型企业与小微企业组成联合体或者大中型企业向小微企业分包的，评审优惠幅度由2%—3%提高至4%—6%。政府采购工程的价格评审优惠按照《办法》的规定执行。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501" w:name="_Toc9034"/>
      <w:r>
        <w:rPr>
          <w:rFonts w:hint="eastAsia" w:ascii="宋体" w:hAnsi="宋体" w:eastAsia="宋体" w:cs="宋体"/>
          <w:sz w:val="24"/>
          <w:szCs w:val="24"/>
        </w:rPr>
        <w:t>三、提高政府采购工程项目预留份额比例</w:t>
      </w:r>
      <w:bookmarkEnd w:id="501"/>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400万元以下的工程采购项目适宜由中小企业提供的，采购人应当专门面向中小企业采购。达到或超过400万元的工程采购项目中适宜由中小企业提供的，在坚持公开、公正、公平竞争和统一质量标准的前提下，2022年下半年面向中小企业的预留份额由30%以上提高至40%以上。省财政厅将协调发改、工信、住建、交通、水利、商务等部门，按照国家相关工程招投标行政监督部门对工程招投标领域落实政府采购支持中小企业的政策要求，及时调整完善工程招投标领域有关标准文本、评标制度等，支持督促各预算单位严格落实政府采购政策。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502" w:name="_Toc18684"/>
      <w:r>
        <w:rPr>
          <w:rFonts w:hint="eastAsia" w:ascii="宋体" w:hAnsi="宋体" w:eastAsia="宋体" w:cs="宋体"/>
          <w:sz w:val="24"/>
          <w:szCs w:val="24"/>
        </w:rPr>
        <w:t>四、降低经营成本提高履约能力</w:t>
      </w:r>
      <w:bookmarkEnd w:id="502"/>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鼓励采购人、采购代理机构在政府采购活动中免收中小企业保证金或降低收取比例。对确需依法收取保证金的，应明确收取标准、缴纳方式和退还时限等要求，允许中小企业自主选择以支票、汇票、本票、保函等非现金形式缴纳或提交，降低经营成本。采购人、采购代理机构应对2022年5月前实施完成的政府采购项目投标（响应）或履约保证金进行核查清理，对符合法定或合同约定退还条件的应及时退还，切实减轻中小企业资金压力。采购人在编制采购文件时可结合项目实际，明确中小企业获得合同后可采取分期付款的方式，最大限度的确定首期预付款比例，并尽量缩短资金支付期限。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503" w:name="_Toc9575"/>
      <w:r>
        <w:rPr>
          <w:rFonts w:hint="eastAsia" w:ascii="宋体" w:hAnsi="宋体" w:eastAsia="宋体" w:cs="宋体"/>
          <w:sz w:val="24"/>
          <w:szCs w:val="24"/>
        </w:rPr>
        <w:t>五、优化政府采购程序推进全流程电子化</w:t>
      </w:r>
      <w:bookmarkEnd w:id="503"/>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中小企业参加政府采购活动，对于出具《中小企业声明函》的，任何单位和个人不得另行要求提供《中小企业声明函》之外的中小企业身份证明文件。对于法人代表已经出具委托书的，不得要求法人代表亲自领购采购文件或者到场参加开标、谈判等。加快推进全省政府采购全流程电子化建设，实现在线发布采购公告、提供采购文件、提交投标（响应）文件，实行电子开标、电子评审，提升中小企业参与政府采购活动的便利度。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outlineLvl w:val="2"/>
        <w:rPr>
          <w:rFonts w:hint="eastAsia" w:ascii="宋体" w:hAnsi="宋体" w:eastAsia="宋体" w:cs="宋体"/>
          <w:sz w:val="24"/>
          <w:szCs w:val="24"/>
        </w:rPr>
      </w:pPr>
      <w:bookmarkStart w:id="504" w:name="_Toc1276"/>
      <w:r>
        <w:rPr>
          <w:rFonts w:hint="eastAsia" w:ascii="宋体" w:hAnsi="宋体" w:eastAsia="宋体" w:cs="宋体"/>
          <w:sz w:val="24"/>
          <w:szCs w:val="24"/>
        </w:rPr>
        <w:t>六、加强项目执行管理提升政府采购透明度</w:t>
      </w:r>
      <w:bookmarkEnd w:id="504"/>
      <w:r>
        <w:rPr>
          <w:rFonts w:hint="eastAsia" w:ascii="宋体" w:hAnsi="宋体" w:eastAsia="宋体" w:cs="宋体"/>
          <w:sz w:val="24"/>
          <w:szCs w:val="24"/>
        </w:rPr>
        <w:t xml:space="preserve"> </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采购人、采购代理机构对投标（响应）文件的格式、形式要求应当简化明确，不得因非实质性的格式、形式问题限制和影响中小企业投标（响应）。实现电子化采购的，采购人、采购代理机构应当免费提供电子采购文件；暂未实现电子化采购的，鼓励采购人、采购代理机构向中小企业免费提供纸质采购文件。各级预算单位在公开政府采购意向时，必须标明是否专门面向中小企业采购，便于中小企业提前做好参与政府采购活动的各项准备工作。未按照规定进行政府采购意向公开的采购项目，原则上不得开展采购活动。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kern w:val="2"/>
          <w:sz w:val="24"/>
          <w:szCs w:val="24"/>
          <w:lang w:eastAsia="zh-CN"/>
        </w:rPr>
      </w:pPr>
      <w:r>
        <w:rPr>
          <w:rFonts w:hint="eastAsia" w:ascii="宋体" w:hAnsi="宋体" w:eastAsia="宋体" w:cs="宋体"/>
          <w:sz w:val="24"/>
          <w:szCs w:val="24"/>
        </w:rPr>
        <w:t>各级主管预算单位要加强对本部门、本系统政府采购项目的统筹把握，明确工作责任，周密安排部署，严格落实预留采购份额和价格评审优惠措施支持中小企业发展。同时，按照六条措施要求，要制定具体工作方案，确保政策执行不走样、显成效。各级财政部门应加强组织领导，结合本地区实际情况明确政策执行要求，加强对采购单位政策执行情况的监督检查，在政策执行中好的经验办法和遇到的问题及时向省财政厅报告。</w:t>
      </w:r>
    </w:p>
    <w:p>
      <w:pP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工业和信息化部 国家统计局  国家发展改革委  财政部</w:t>
      </w:r>
    </w:p>
    <w:p>
      <w:pPr>
        <w:spacing w:line="500" w:lineRule="exact"/>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工信部联企业[2011]300号</w:t>
      </w:r>
    </w:p>
    <w:p>
      <w:pPr>
        <w:spacing w:line="50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关于印发中小企业划型标准规定的通知</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各省、自治区、直辖市人民政府，国务院各部委、各直属机构及有关单位：</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500" w:lineRule="exact"/>
        <w:ind w:firstLine="120" w:firstLineChars="50"/>
        <w:jc w:val="righ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工业和信息化部  国家统计局</w:t>
      </w:r>
    </w:p>
    <w:p>
      <w:pPr>
        <w:spacing w:line="500" w:lineRule="exact"/>
        <w:ind w:firstLine="120" w:firstLineChars="50"/>
        <w:jc w:val="righ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国家发展和改革委员会  财政部</w:t>
      </w:r>
    </w:p>
    <w:p>
      <w:pPr>
        <w:spacing w:line="500" w:lineRule="exact"/>
        <w:ind w:firstLine="120" w:firstLineChars="50"/>
        <w:jc w:val="righ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二○一一年六月十八日</w:t>
      </w:r>
    </w:p>
    <w:p>
      <w:pP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spacing w:line="500" w:lineRule="exact"/>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中小企业划型标准规定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一、根据《中华人民共和国中小企业促进法》和《国务院关于进一步促进中小企业发展的若干意见》(国发〔2009〕36号)，制定本规定。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二、中小企业划分为中型、小型、微型三种类型，具体标准根据企业从业人员、营业收入、资产总额等指标，结合行业特点制定。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500" w:lineRule="exact"/>
        <w:outlineLvl w:val="2"/>
        <w:rPr>
          <w:rFonts w:hint="eastAsia" w:ascii="宋体" w:hAnsi="宋体" w:eastAsia="宋体" w:cs="宋体"/>
          <w:kern w:val="2"/>
          <w:sz w:val="24"/>
          <w:szCs w:val="24"/>
          <w:lang w:eastAsia="zh-CN"/>
        </w:rPr>
      </w:pPr>
      <w:bookmarkStart w:id="505" w:name="_Toc20722"/>
      <w:r>
        <w:rPr>
          <w:rFonts w:hint="eastAsia" w:ascii="宋体" w:hAnsi="宋体" w:eastAsia="宋体" w:cs="宋体"/>
          <w:kern w:val="2"/>
          <w:sz w:val="24"/>
          <w:szCs w:val="24"/>
          <w:lang w:eastAsia="zh-CN"/>
        </w:rPr>
        <w:t>四、各行业划型标准为：</w:t>
      </w:r>
      <w:bookmarkEnd w:id="505"/>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（一）农、林、牧、渔业。营业收入20000万元以下的为中小微型企业。其中，营业收入500万元及以上的为中型企业，营业收入50万元及以上的为小型企业，营业收入50万元以下的为微型企业。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（十六）其他未列明行业。从业人员300人以下的为中小微型企业。其中，从业人员100人及以上的为中型企业；从业人员10人及以上的为小型企业；从业人员10人以下的为微型企业。</w:t>
      </w:r>
    </w:p>
    <w:p>
      <w:pPr>
        <w:spacing w:line="500" w:lineRule="exact"/>
        <w:outlineLvl w:val="2"/>
        <w:rPr>
          <w:rFonts w:hint="eastAsia" w:ascii="宋体" w:hAnsi="宋体" w:eastAsia="宋体" w:cs="宋体"/>
          <w:kern w:val="2"/>
          <w:sz w:val="24"/>
          <w:szCs w:val="24"/>
          <w:lang w:eastAsia="zh-CN"/>
        </w:rPr>
      </w:pPr>
      <w:bookmarkStart w:id="506" w:name="_Toc20635"/>
      <w:r>
        <w:rPr>
          <w:rFonts w:hint="eastAsia" w:ascii="宋体" w:hAnsi="宋体" w:eastAsia="宋体" w:cs="宋体"/>
          <w:kern w:val="2"/>
          <w:sz w:val="24"/>
          <w:szCs w:val="24"/>
          <w:lang w:eastAsia="zh-CN"/>
        </w:rPr>
        <w:t>五、企业类型的划分以统计部门的统计数据为依据。</w:t>
      </w:r>
      <w:bookmarkEnd w:id="506"/>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六、本规定适用于在中华人民共和国境内依法设立的各类所有制和各种组织形式的企业。个体工商户和本规定以外的行业，参照本规定进行划型。</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八、本规定由工业和信息化部、国家统计局会同有关部门根据《国民经济行业分类》修订情况和企业发展变化情况适时修订。</w:t>
      </w:r>
    </w:p>
    <w:p>
      <w:pPr>
        <w:spacing w:line="500" w:lineRule="exact"/>
        <w:outlineLvl w:val="2"/>
        <w:rPr>
          <w:rFonts w:hint="eastAsia" w:ascii="宋体" w:hAnsi="宋体" w:eastAsia="宋体" w:cs="宋体"/>
          <w:kern w:val="2"/>
          <w:sz w:val="24"/>
          <w:szCs w:val="24"/>
          <w:lang w:eastAsia="zh-CN"/>
        </w:rPr>
      </w:pPr>
      <w:bookmarkStart w:id="507" w:name="_Toc178"/>
      <w:r>
        <w:rPr>
          <w:rFonts w:hint="eastAsia" w:ascii="宋体" w:hAnsi="宋体" w:eastAsia="宋体" w:cs="宋体"/>
          <w:kern w:val="2"/>
          <w:sz w:val="24"/>
          <w:szCs w:val="24"/>
          <w:lang w:eastAsia="zh-CN"/>
        </w:rPr>
        <w:t>九、本规定由工业和信息化部、国家统计局会同有关部门负责解释。</w:t>
      </w:r>
      <w:bookmarkEnd w:id="507"/>
    </w:p>
    <w:p>
      <w:pPr>
        <w:spacing w:line="500" w:lineRule="exac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十、本规定自发布之日起执行，原国家经贸委、原国家计委、财政部和国家统计局2003年颁布的《中小企业标准暂行规定》同时废止。</w:t>
      </w:r>
    </w:p>
    <w:p>
      <w:pPr>
        <w:jc w:val="both"/>
        <w:rPr>
          <w:rFonts w:hint="eastAsia" w:ascii="宋体" w:hAnsi="宋体" w:eastAsia="宋体" w:cs="宋体"/>
          <w:kern w:val="2"/>
          <w:sz w:val="24"/>
          <w:szCs w:val="24"/>
          <w:lang w:eastAsia="zh-CN"/>
        </w:rPr>
      </w:pPr>
    </w:p>
    <w:p>
      <w:pPr>
        <w:widowControl/>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widowControl/>
        <w:jc w:val="center"/>
        <w:outlineLvl w:val="0"/>
        <w:rPr>
          <w:rFonts w:hint="eastAsia" w:ascii="宋体" w:hAnsi="宋体" w:eastAsia="宋体" w:cs="宋体"/>
          <w:b/>
          <w:sz w:val="24"/>
          <w:szCs w:val="24"/>
          <w:lang w:eastAsia="zh-CN"/>
        </w:rPr>
      </w:pPr>
      <w:bookmarkStart w:id="508" w:name="_Toc5225"/>
      <w:bookmarkStart w:id="509" w:name="_Toc5676"/>
      <w:bookmarkStart w:id="510" w:name="_Toc31635"/>
      <w:r>
        <w:rPr>
          <w:rFonts w:hint="eastAsia" w:ascii="宋体" w:hAnsi="宋体" w:eastAsia="宋体" w:cs="宋体"/>
          <w:b/>
          <w:sz w:val="24"/>
          <w:szCs w:val="24"/>
          <w:lang w:eastAsia="zh-CN"/>
        </w:rPr>
        <w:t>中小企业声明函(货物)</w:t>
      </w:r>
      <w:bookmarkEnd w:id="508"/>
      <w:bookmarkEnd w:id="509"/>
      <w:bookmarkEnd w:id="510"/>
    </w:p>
    <w:p>
      <w:pPr>
        <w:widowControl/>
        <w:rPr>
          <w:rFonts w:hint="eastAsia" w:ascii="宋体" w:hAnsi="宋体" w:eastAsia="宋体" w:cs="宋体"/>
          <w:b/>
          <w:sz w:val="24"/>
          <w:szCs w:val="24"/>
          <w:lang w:eastAsia="zh-CN"/>
        </w:rPr>
      </w:pP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(单位名称)</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采购活动。提供的货物全部由符合政策要求的中小企业制造。相关企业(含联合体中的中小企业、签订分包意向协议的中小企业)的具体情况如下:</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(采购文件中明确的所属行业) </w:t>
      </w:r>
      <w:r>
        <w:rPr>
          <w:rFonts w:hint="eastAsia" w:ascii="宋体" w:hAnsi="宋体" w:eastAsia="宋体" w:cs="宋体"/>
          <w:sz w:val="24"/>
          <w:szCs w:val="24"/>
          <w:lang w:eastAsia="zh-CN"/>
        </w:rPr>
        <w:t>行业；制造商为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(采购文件中明确的所属行业) </w:t>
      </w:r>
      <w:r>
        <w:rPr>
          <w:rFonts w:hint="eastAsia" w:ascii="宋体" w:hAnsi="宋体" w:eastAsia="宋体" w:cs="宋体"/>
          <w:sz w:val="24"/>
          <w:szCs w:val="24"/>
          <w:lang w:eastAsia="zh-CN"/>
        </w:rPr>
        <w:t>行业；制造商为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以上企业，不属于大企业的分支机构，不存在控股股东为大企业的情形，也不存在与大企业的负责人为同一人的情形。</w:t>
      </w: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本企业对上述声明内容的真实性负责。如有虚假，将依法承担相应责任。</w:t>
      </w:r>
    </w:p>
    <w:p>
      <w:pPr>
        <w:spacing w:line="500" w:lineRule="exact"/>
        <w:ind w:firstLine="480" w:firstLineChars="200"/>
        <w:rPr>
          <w:rFonts w:hint="eastAsia" w:ascii="宋体" w:hAnsi="宋体" w:eastAsia="宋体" w:cs="宋体"/>
          <w:sz w:val="24"/>
          <w:szCs w:val="24"/>
          <w:lang w:eastAsia="zh-CN"/>
        </w:rPr>
      </w:pPr>
    </w:p>
    <w:p>
      <w:pPr>
        <w:spacing w:line="500" w:lineRule="exact"/>
        <w:ind w:firstLine="6240" w:firstLineChars="2600"/>
        <w:rPr>
          <w:rFonts w:hint="eastAsia" w:ascii="宋体" w:hAnsi="宋体" w:eastAsia="宋体" w:cs="宋体"/>
          <w:sz w:val="24"/>
          <w:szCs w:val="24"/>
          <w:lang w:eastAsia="zh-CN"/>
        </w:rPr>
      </w:pPr>
      <w:r>
        <w:rPr>
          <w:rFonts w:hint="eastAsia" w:ascii="宋体" w:hAnsi="宋体" w:eastAsia="宋体" w:cs="宋体"/>
          <w:sz w:val="24"/>
          <w:szCs w:val="24"/>
          <w:lang w:eastAsia="zh-CN"/>
        </w:rPr>
        <w:t>企业名称(盖章):</w:t>
      </w:r>
    </w:p>
    <w:p>
      <w:pPr>
        <w:spacing w:line="500" w:lineRule="exact"/>
        <w:ind w:firstLine="6240" w:firstLineChars="2600"/>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p>
    <w:p>
      <w:pPr>
        <w:widowControl/>
        <w:rPr>
          <w:rFonts w:hint="eastAsia" w:ascii="宋体" w:hAnsi="宋体" w:eastAsia="宋体" w:cs="宋体"/>
          <w:b/>
          <w:sz w:val="24"/>
          <w:szCs w:val="24"/>
          <w:lang w:eastAsia="zh-CN"/>
        </w:rPr>
      </w:pPr>
    </w:p>
    <w:p>
      <w:pPr>
        <w:spacing w:line="5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注：供应商须按以上格式填写中小企业声明函。</w:t>
      </w:r>
    </w:p>
    <w:p>
      <w:pPr>
        <w:spacing w:line="50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本项目中小企业划分标准</w:t>
      </w:r>
      <w:r>
        <w:rPr>
          <w:rFonts w:hint="eastAsia" w:ascii="宋体" w:hAnsi="宋体" w:eastAsia="宋体" w:cs="宋体"/>
          <w:color w:val="000000"/>
          <w:sz w:val="24"/>
          <w:szCs w:val="24"/>
          <w:highlight w:val="none"/>
          <w:lang w:eastAsia="zh-CN"/>
        </w:rPr>
        <w:t>所属行业为：</w:t>
      </w:r>
      <w:r>
        <w:rPr>
          <w:rFonts w:hint="eastAsia" w:ascii="宋体" w:hAnsi="宋体" w:eastAsia="宋体" w:cs="宋体"/>
          <w:b/>
          <w:sz w:val="24"/>
          <w:szCs w:val="24"/>
          <w:highlight w:val="none"/>
          <w:lang w:val="en-US" w:eastAsia="zh-CN"/>
        </w:rPr>
        <w:t>工业</w:t>
      </w:r>
      <w:r>
        <w:rPr>
          <w:rFonts w:hint="eastAsia" w:ascii="宋体" w:hAnsi="宋体" w:eastAsia="宋体" w:cs="宋体"/>
          <w:color w:val="000000"/>
          <w:sz w:val="24"/>
          <w:szCs w:val="24"/>
          <w:highlight w:val="none"/>
          <w:lang w:eastAsia="zh-CN"/>
        </w:rPr>
        <w:t>。</w:t>
      </w:r>
    </w:p>
    <w:p>
      <w:pPr>
        <w:pStyle w:val="9"/>
        <w:rPr>
          <w:rFonts w:hint="eastAsia" w:ascii="宋体" w:hAnsi="宋体" w:eastAsia="宋体" w:cs="宋体"/>
          <w:sz w:val="24"/>
          <w:szCs w:val="24"/>
          <w:lang w:eastAsia="zh-CN"/>
        </w:rPr>
      </w:pPr>
    </w:p>
    <w:p>
      <w:pPr>
        <w:spacing w:line="500" w:lineRule="exact"/>
        <w:ind w:right="420"/>
        <w:rPr>
          <w:rFonts w:hint="eastAsia" w:ascii="宋体" w:hAnsi="宋体" w:eastAsia="宋体" w:cs="宋体"/>
          <w:b/>
          <w:sz w:val="24"/>
          <w:szCs w:val="24"/>
          <w:lang w:eastAsia="zh-CN"/>
        </w:rPr>
      </w:pPr>
      <w:r>
        <w:rPr>
          <w:rFonts w:hint="eastAsia" w:ascii="宋体" w:hAnsi="宋体" w:eastAsia="宋体" w:cs="宋体"/>
          <w:sz w:val="24"/>
          <w:szCs w:val="24"/>
          <w:lang w:eastAsia="zh-CN"/>
        </w:rPr>
        <w:t>从业人员、 营业收入、 资产总额填报上一年度数据，无上一年度数据的新成立企业可不填报。</w:t>
      </w:r>
    </w:p>
    <w:p>
      <w:pPr>
        <w:spacing w:line="500" w:lineRule="exact"/>
        <w:ind w:right="420"/>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spacing w:line="360" w:lineRule="auto"/>
        <w:jc w:val="center"/>
        <w:outlineLvl w:val="0"/>
        <w:rPr>
          <w:rFonts w:hint="eastAsia" w:ascii="宋体" w:hAnsi="宋体" w:eastAsia="宋体" w:cs="宋体"/>
          <w:b/>
          <w:kern w:val="2"/>
          <w:sz w:val="24"/>
          <w:szCs w:val="24"/>
          <w:lang w:eastAsia="zh-CN"/>
        </w:rPr>
      </w:pPr>
      <w:bookmarkStart w:id="511" w:name="_Toc17598"/>
      <w:bookmarkStart w:id="512" w:name="_Toc9929"/>
      <w:bookmarkStart w:id="513" w:name="_Toc2991"/>
      <w:bookmarkStart w:id="514" w:name="_Toc17593"/>
      <w:r>
        <w:rPr>
          <w:rFonts w:hint="eastAsia" w:ascii="宋体" w:hAnsi="宋体" w:eastAsia="宋体" w:cs="宋体"/>
          <w:b/>
          <w:kern w:val="2"/>
          <w:sz w:val="24"/>
          <w:szCs w:val="24"/>
          <w:lang w:eastAsia="zh-CN"/>
        </w:rPr>
        <w:t>残疾人福利性单位声明函（如有）</w:t>
      </w:r>
      <w:bookmarkEnd w:id="511"/>
      <w:bookmarkEnd w:id="512"/>
      <w:bookmarkEnd w:id="513"/>
      <w:bookmarkEnd w:id="514"/>
      <w:r>
        <w:rPr>
          <w:rFonts w:hint="eastAsia" w:ascii="宋体" w:hAnsi="宋体" w:eastAsia="宋体" w:cs="宋体"/>
          <w:b/>
          <w:kern w:val="2"/>
          <w:sz w:val="24"/>
          <w:szCs w:val="24"/>
          <w:lang w:eastAsia="zh-CN"/>
        </w:rPr>
        <w:t xml:space="preserve"> </w:t>
      </w:r>
    </w:p>
    <w:p>
      <w:pPr>
        <w:spacing w:line="360" w:lineRule="auto"/>
        <w:jc w:val="center"/>
        <w:rPr>
          <w:rFonts w:hint="eastAsia" w:ascii="宋体" w:hAnsi="宋体" w:eastAsia="宋体" w:cs="宋体"/>
          <w:b/>
          <w:kern w:val="2"/>
          <w:sz w:val="24"/>
          <w:szCs w:val="24"/>
          <w:lang w:eastAsia="zh-CN"/>
        </w:rPr>
      </w:pPr>
    </w:p>
    <w:p>
      <w:pPr>
        <w:spacing w:line="588" w:lineRule="exact"/>
        <w:jc w:val="both"/>
        <w:rPr>
          <w:rFonts w:hint="eastAsia" w:ascii="宋体" w:hAnsi="宋体" w:eastAsia="宋体" w:cs="宋体"/>
          <w:b/>
          <w:spacing w:val="6"/>
          <w:kern w:val="2"/>
          <w:sz w:val="24"/>
          <w:szCs w:val="24"/>
          <w:lang w:eastAsia="zh-CN"/>
        </w:rPr>
      </w:pPr>
    </w:p>
    <w:p>
      <w:pPr>
        <w:spacing w:line="312"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12"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本单位对上述声明的真实性负责。如有虚假，将依法承担相应责任。</w:t>
      </w:r>
    </w:p>
    <w:p>
      <w:pPr>
        <w:spacing w:line="588" w:lineRule="exact"/>
        <w:ind w:firstLine="504" w:firstLineChars="200"/>
        <w:jc w:val="both"/>
        <w:rPr>
          <w:rFonts w:hint="eastAsia" w:ascii="宋体" w:hAnsi="宋体" w:eastAsia="宋体" w:cs="宋体"/>
          <w:spacing w:val="6"/>
          <w:kern w:val="2"/>
          <w:sz w:val="24"/>
          <w:szCs w:val="24"/>
          <w:lang w:eastAsia="zh-CN"/>
        </w:rPr>
      </w:pPr>
    </w:p>
    <w:p>
      <w:pPr>
        <w:spacing w:line="588" w:lineRule="exact"/>
        <w:ind w:firstLine="504" w:firstLineChars="200"/>
        <w:jc w:val="both"/>
        <w:rPr>
          <w:rFonts w:hint="eastAsia" w:ascii="宋体" w:hAnsi="宋体" w:eastAsia="宋体" w:cs="宋体"/>
          <w:spacing w:val="6"/>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单位名称（盖章）：</w:t>
      </w: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日  期：</w:t>
      </w:r>
    </w:p>
    <w:p>
      <w:pPr>
        <w:jc w:val="both"/>
        <w:rPr>
          <w:rFonts w:hint="eastAsia" w:ascii="宋体" w:hAnsi="宋体" w:eastAsia="宋体" w:cs="宋体"/>
          <w:b/>
          <w:kern w:val="2"/>
          <w:sz w:val="24"/>
          <w:szCs w:val="24"/>
          <w:lang w:eastAsia="zh-CN"/>
        </w:rPr>
      </w:pPr>
    </w:p>
    <w:p>
      <w:pPr>
        <w:spacing w:line="312" w:lineRule="auto"/>
        <w:ind w:firstLine="120" w:firstLineChars="50"/>
        <w:jc w:val="both"/>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　　　</w:t>
      </w: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widowControl/>
        <w:rPr>
          <w:rFonts w:hint="eastAsia" w:ascii="宋体" w:hAnsi="宋体" w:eastAsia="宋体" w:cs="宋体"/>
          <w:b/>
          <w:kern w:val="2"/>
          <w:sz w:val="24"/>
          <w:szCs w:val="24"/>
          <w:lang w:eastAsia="zh-CN"/>
        </w:rPr>
      </w:pPr>
    </w:p>
    <w:p>
      <w:pPr>
        <w:pStyle w:val="9"/>
        <w:rPr>
          <w:rFonts w:hint="eastAsia" w:ascii="宋体" w:hAnsi="宋体" w:eastAsia="宋体" w:cs="宋体"/>
          <w:sz w:val="24"/>
          <w:szCs w:val="24"/>
          <w:lang w:eastAsia="zh-CN"/>
        </w:rPr>
      </w:pPr>
    </w:p>
    <w:p>
      <w:pP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spacing w:line="360" w:lineRule="auto"/>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 xml:space="preserve">监狱企业的证明文件（如有） </w:t>
      </w:r>
    </w:p>
    <w:p>
      <w:pPr>
        <w:widowControl/>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说明：监狱企业参加政府采购活动时，应当提供由省级以上监狱管理局、戒毒管理局（含新 疆生产建设兵团）出具的属于监狱企业的证明文件。</w:t>
      </w: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widowControl/>
        <w:rPr>
          <w:rFonts w:hint="eastAsia" w:ascii="宋体" w:hAnsi="宋体" w:eastAsia="宋体" w:cs="宋体"/>
          <w:kern w:val="2"/>
          <w:sz w:val="24"/>
          <w:szCs w:val="24"/>
          <w:lang w:eastAsia="zh-CN"/>
        </w:rPr>
      </w:pPr>
    </w:p>
    <w:p>
      <w:pPr>
        <w:pStyle w:val="9"/>
        <w:rPr>
          <w:rFonts w:hint="eastAsia" w:ascii="宋体" w:hAnsi="宋体" w:eastAsia="宋体" w:cs="宋体"/>
          <w:sz w:val="24"/>
          <w:szCs w:val="24"/>
          <w:lang w:eastAsia="zh-CN"/>
        </w:rPr>
      </w:pPr>
    </w:p>
    <w:p>
      <w:pPr>
        <w:spacing w:line="312" w:lineRule="auto"/>
        <w:ind w:firstLine="405"/>
        <w:jc w:val="right"/>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单位名称（盖章）：</w:t>
      </w:r>
    </w:p>
    <w:p>
      <w:pPr>
        <w:spacing w:line="312" w:lineRule="auto"/>
        <w:ind w:firstLine="405"/>
        <w:jc w:val="both"/>
        <w:rPr>
          <w:rFonts w:hint="eastAsia" w:ascii="宋体" w:hAnsi="宋体" w:eastAsia="宋体" w:cs="宋体"/>
          <w:kern w:val="2"/>
          <w:sz w:val="24"/>
          <w:szCs w:val="24"/>
          <w:lang w:eastAsia="zh-CN"/>
        </w:rPr>
      </w:pPr>
    </w:p>
    <w:p>
      <w:pPr>
        <w:spacing w:line="312" w:lineRule="auto"/>
        <w:ind w:firstLine="405"/>
        <w:jc w:val="both"/>
        <w:rPr>
          <w:rFonts w:hint="eastAsia" w:ascii="宋体" w:hAnsi="宋体" w:eastAsia="宋体" w:cs="宋体"/>
          <w:kern w:val="2"/>
          <w:sz w:val="24"/>
          <w:szCs w:val="24"/>
          <w:lang w:eastAsia="zh-CN"/>
        </w:rPr>
      </w:pPr>
    </w:p>
    <w:p>
      <w:pPr>
        <w:widowControl/>
        <w:jc w:val="right"/>
        <w:rPr>
          <w:rFonts w:hint="eastAsia" w:ascii="宋体" w:hAnsi="宋体" w:eastAsia="宋体" w:cs="宋体"/>
          <w:b/>
          <w:kern w:val="2"/>
          <w:sz w:val="24"/>
          <w:szCs w:val="24"/>
          <w:lang w:eastAsia="zh-CN"/>
        </w:rPr>
      </w:pPr>
      <w:r>
        <w:rPr>
          <w:rFonts w:hint="eastAsia" w:ascii="宋体" w:hAnsi="宋体" w:eastAsia="宋体" w:cs="宋体"/>
          <w:kern w:val="2"/>
          <w:sz w:val="24"/>
          <w:szCs w:val="24"/>
          <w:lang w:eastAsia="zh-CN"/>
        </w:rPr>
        <w:t xml:space="preserve">                                              日  期：</w:t>
      </w:r>
    </w:p>
    <w:p>
      <w:pPr>
        <w:widowControl/>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br w:type="page"/>
      </w:r>
    </w:p>
    <w:p>
      <w:pPr>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eastAsia="zh-CN"/>
        </w:rPr>
        <w:t>财政部 司法部</w:t>
      </w:r>
    </w:p>
    <w:p>
      <w:pPr>
        <w:jc w:val="center"/>
        <w:outlineLvl w:val="0"/>
        <w:rPr>
          <w:rFonts w:hint="eastAsia" w:ascii="宋体" w:hAnsi="宋体" w:eastAsia="宋体" w:cs="宋体"/>
          <w:b/>
          <w:kern w:val="2"/>
          <w:sz w:val="24"/>
          <w:szCs w:val="24"/>
          <w:lang w:eastAsia="zh-CN"/>
        </w:rPr>
      </w:pPr>
      <w:bookmarkStart w:id="515" w:name="_Toc21446"/>
      <w:r>
        <w:rPr>
          <w:rFonts w:hint="eastAsia" w:ascii="宋体" w:hAnsi="宋体" w:eastAsia="宋体" w:cs="宋体"/>
          <w:b/>
          <w:kern w:val="2"/>
          <w:sz w:val="24"/>
          <w:szCs w:val="24"/>
          <w:lang w:eastAsia="zh-CN"/>
        </w:rPr>
        <w:t>关于政府采购支持监狱企业发展有关问题的通知</w:t>
      </w:r>
      <w:bookmarkEnd w:id="515"/>
    </w:p>
    <w:p>
      <w:pPr>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财库〔2014〕68号</w:t>
      </w:r>
    </w:p>
    <w:p>
      <w:pPr>
        <w:spacing w:line="360" w:lineRule="auto"/>
        <w:ind w:firstLine="480"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精神，发挥政府采购支持监狱企业发展的作用，现就有关事项通知如下:</w:t>
      </w:r>
    </w:p>
    <w:p>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二、在政府采购活动中，监狱企业视同小型、微型企业，享受预留份额、评审中价格扣除等政府采购促进中小企业发展的政府采购政策。向监狱企业采购的金额，计入面向中小企业采购的统计数据。</w:t>
      </w:r>
    </w:p>
    <w:p>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 xml:space="preserve">    四、各地区可以结合本地区实际，对监狱企业生产的办公用品、家具用具、车辆维修和提供的保养服务、消防设备等，提出预留份额等政府采购支持措施，加大对监狱企业产品的采购力度。</w:t>
      </w:r>
    </w:p>
    <w:p>
      <w:pPr>
        <w:pStyle w:val="9"/>
        <w:spacing w:line="360" w:lineRule="auto"/>
        <w:rPr>
          <w:rFonts w:hint="eastAsia" w:ascii="宋体" w:hAnsi="宋体" w:eastAsia="宋体" w:cs="宋体"/>
          <w:b w:val="0"/>
          <w:spacing w:val="0"/>
          <w:kern w:val="2"/>
          <w:sz w:val="24"/>
          <w:szCs w:val="24"/>
          <w:lang w:val="en-US" w:eastAsia="zh-CN" w:bidi="ar-SA"/>
        </w:rPr>
      </w:pPr>
      <w:r>
        <w:rPr>
          <w:rFonts w:hint="eastAsia" w:ascii="宋体" w:hAnsi="宋体" w:eastAsia="宋体" w:cs="宋体"/>
          <w:kern w:val="2"/>
          <w:sz w:val="24"/>
          <w:szCs w:val="24"/>
          <w:lang w:eastAsia="zh-CN"/>
        </w:rPr>
        <w:t xml:space="preserve">  </w:t>
      </w:r>
      <w:r>
        <w:rPr>
          <w:rFonts w:hint="eastAsia" w:ascii="宋体" w:hAnsi="宋体" w:eastAsia="宋体" w:cs="宋体"/>
          <w:b w:val="0"/>
          <w:spacing w:val="0"/>
          <w:kern w:val="2"/>
          <w:sz w:val="24"/>
          <w:szCs w:val="24"/>
          <w:lang w:val="en-US" w:eastAsia="zh-CN" w:bidi="ar-SA"/>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rPr>
          <w:rFonts w:hint="eastAsia" w:ascii="宋体" w:hAnsi="宋体" w:eastAsia="宋体" w:cs="宋体"/>
          <w:b w:val="0"/>
          <w:spacing w:val="0"/>
          <w:kern w:val="2"/>
          <w:sz w:val="24"/>
          <w:szCs w:val="24"/>
          <w:lang w:val="en-US" w:eastAsia="zh-CN" w:bidi="ar-SA"/>
        </w:rPr>
      </w:pPr>
      <w:r>
        <w:rPr>
          <w:rFonts w:hint="eastAsia" w:ascii="宋体" w:hAnsi="宋体" w:eastAsia="宋体" w:cs="宋体"/>
          <w:b w:val="0"/>
          <w:spacing w:val="0"/>
          <w:kern w:val="2"/>
          <w:sz w:val="24"/>
          <w:szCs w:val="24"/>
          <w:lang w:val="en-US" w:eastAsia="zh-CN" w:bidi="ar-SA"/>
        </w:rPr>
        <w:br w:type="page"/>
      </w:r>
    </w:p>
    <w:p>
      <w:pPr>
        <w:widowControl/>
        <w:jc w:val="center"/>
        <w:rPr>
          <w:rFonts w:hint="eastAsia" w:ascii="宋体" w:hAnsi="宋体" w:eastAsia="宋体" w:cs="宋体"/>
          <w:b/>
          <w:bCs/>
          <w:color w:val="000000"/>
          <w:kern w:val="0"/>
          <w:sz w:val="24"/>
          <w:szCs w:val="24"/>
          <w:lang w:eastAsia="zh-CN"/>
        </w:rPr>
      </w:pPr>
      <w:r>
        <w:rPr>
          <w:rFonts w:hint="eastAsia" w:ascii="宋体" w:hAnsi="宋体" w:eastAsia="宋体" w:cs="宋体"/>
          <w:b/>
          <w:bCs/>
          <w:color w:val="000000"/>
          <w:kern w:val="0"/>
          <w:sz w:val="24"/>
          <w:szCs w:val="24"/>
          <w:lang w:eastAsia="zh-CN"/>
        </w:rPr>
        <w:t>政府采购政策</w:t>
      </w:r>
    </w:p>
    <w:p>
      <w:pPr>
        <w:widowControl/>
        <w:jc w:val="center"/>
        <w:rPr>
          <w:rFonts w:hint="eastAsia" w:ascii="宋体" w:hAnsi="宋体" w:eastAsia="宋体" w:cs="宋体"/>
          <w:b/>
          <w:bCs/>
          <w:color w:val="000000"/>
          <w:kern w:val="0"/>
          <w:sz w:val="24"/>
          <w:szCs w:val="24"/>
          <w:lang w:eastAsia="zh-CN"/>
        </w:rPr>
      </w:pPr>
    </w:p>
    <w:p>
      <w:pPr>
        <w:widowControl/>
        <w:jc w:val="center"/>
        <w:rPr>
          <w:rFonts w:hint="eastAsia" w:ascii="宋体" w:hAnsi="宋体" w:eastAsia="宋体" w:cs="宋体"/>
          <w:b/>
          <w:bCs/>
          <w:color w:val="000000"/>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hanging="482" w:hangingChars="200"/>
        <w:jc w:val="left"/>
        <w:textAlignment w:val="auto"/>
        <w:rPr>
          <w:rFonts w:hint="eastAsia" w:ascii="宋体" w:hAnsi="宋体" w:eastAsia="宋体" w:cs="宋体"/>
          <w:sz w:val="24"/>
          <w:szCs w:val="24"/>
          <w:lang w:val="zh-CN"/>
        </w:rPr>
      </w:pPr>
      <w:r>
        <w:rPr>
          <w:rFonts w:hint="eastAsia" w:ascii="宋体" w:hAnsi="宋体" w:eastAsia="宋体" w:cs="宋体"/>
          <w:b/>
          <w:bCs/>
          <w:sz w:val="24"/>
          <w:szCs w:val="24"/>
        </w:rPr>
        <w:t>一、 小型和微型企业产品价格扣除</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依据财政部国库司发布的《政府采购促进中小企业发展政策问答》要求，专门面向中小企业采购的项目或者采购包，不再执行价格评审优惠的扶持政策。根据财政部、工业和信息化部印发的《政府采购促进中小企业发展管理办法》（财库[2020]46 号）</w:t>
      </w:r>
      <w:r>
        <w:rPr>
          <w:rFonts w:hint="eastAsia" w:ascii="宋体" w:hAnsi="宋体" w:eastAsia="宋体" w:cs="宋体"/>
          <w:sz w:val="24"/>
          <w:szCs w:val="24"/>
          <w:lang w:eastAsia="zh-CN"/>
        </w:rPr>
        <w:t>及</w:t>
      </w:r>
      <w:r>
        <w:rPr>
          <w:rFonts w:hint="eastAsia" w:ascii="宋体" w:hAnsi="宋体" w:eastAsia="宋体" w:cs="宋体"/>
          <w:sz w:val="24"/>
          <w:szCs w:val="24"/>
        </w:rPr>
        <w:t>《关于进一步加大政府采购支持中小企业力度的通知》（财库[202</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19</w:t>
      </w:r>
      <w:r>
        <w:rPr>
          <w:rFonts w:hint="eastAsia" w:ascii="宋体" w:hAnsi="宋体" w:eastAsia="宋体" w:cs="宋体"/>
          <w:sz w:val="24"/>
          <w:szCs w:val="24"/>
        </w:rPr>
        <w:t xml:space="preserve"> 号）的规定，货物服务采购项目非专门面向中小企业采购的项目或者采购包可给予小型和微型企业10%—20%的价格扣除优惠。政府采购工程的价格评审优惠按照财库〔2020〕46号文件的规定执行。</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如允许联合体投标，联合体各方都是小型和微型企业的，可给予</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%的价格扣除。 </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%的</w:t>
      </w:r>
      <w:r>
        <w:rPr>
          <w:rFonts w:hint="eastAsia" w:ascii="宋体" w:hAnsi="宋体" w:eastAsia="宋体" w:cs="宋体"/>
          <w:sz w:val="24"/>
          <w:szCs w:val="24"/>
        </w:rPr>
        <w:t>价格</w:t>
      </w:r>
      <w:r>
        <w:rPr>
          <w:rFonts w:hint="eastAsia" w:ascii="宋体" w:hAnsi="宋体" w:eastAsia="宋体" w:cs="宋体"/>
          <w:sz w:val="24"/>
          <w:szCs w:val="24"/>
          <w:lang w:val="zh-CN"/>
        </w:rPr>
        <w:t>扣除，用扣除后的价格参加评审。</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划分标准以《工业和信息化部、国家统计局、国家发展和改革委员会、财政部关于印发中小企业划型标准规定的通知》（工信部联企业[2011]300号）规定的划分标准为准。小型、微型企业提供中型企业制造的货物的，视同为中型企业。在服务采购项目中，服务由中小企业承接，即提供服务的人员为中小企业依照《中华人民共和国劳动合同法》订立劳动合同的从业人员，视为中小企业。以联合体形式参加政府采购活动，联合体各方均为中小企业的，联合体视同中小企业。其中，联合体各方均为小微企业的，联合体视同小微企业。 </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参加政府采购活动的中小企业应当提供《中小企业声明函》。 </w:t>
      </w:r>
    </w:p>
    <w:p>
      <w:pPr>
        <w:keepNext w:val="0"/>
        <w:keepLines w:val="0"/>
        <w:pageBreakBefore w:val="0"/>
        <w:widowControl w:val="0"/>
        <w:kinsoku/>
        <w:wordWrap/>
        <w:overflowPunct/>
        <w:topLinePunct w:val="0"/>
        <w:autoSpaceDE/>
        <w:autoSpaceDN/>
        <w:bidi w:val="0"/>
        <w:adjustRightInd/>
        <w:snapToGrid/>
        <w:spacing w:line="360" w:lineRule="auto"/>
        <w:ind w:left="437" w:leftChars="208" w:firstLine="0" w:firstLineChars="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 xml:space="preserve">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 </w:t>
      </w:r>
    </w:p>
    <w:p>
      <w:pPr>
        <w:keepNext w:val="0"/>
        <w:keepLines w:val="0"/>
        <w:pageBreakBefore w:val="0"/>
        <w:widowControl w:val="0"/>
        <w:kinsoku/>
        <w:wordWrap/>
        <w:overflowPunct/>
        <w:topLinePunct w:val="0"/>
        <w:autoSpaceDE/>
        <w:autoSpaceDN/>
        <w:bidi w:val="0"/>
        <w:adjustRightInd/>
        <w:snapToGrid/>
        <w:spacing w:line="360" w:lineRule="auto"/>
        <w:ind w:left="0" w:hanging="482" w:hangingChars="200"/>
        <w:jc w:val="left"/>
        <w:textAlignment w:val="auto"/>
        <w:rPr>
          <w:rFonts w:hint="eastAsia" w:ascii="宋体" w:hAnsi="宋体" w:eastAsia="宋体" w:cs="宋体"/>
          <w:sz w:val="24"/>
          <w:szCs w:val="24"/>
          <w:lang w:val="zh-CN"/>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 xml:space="preserve">监狱企业产品价格扣除 </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监狱企业视同小型、微型企业，按上述第（一）条款享受评审中价格扣除。 </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2.</w:t>
      </w:r>
      <w:r>
        <w:rPr>
          <w:rFonts w:hint="eastAsia" w:ascii="宋体" w:hAnsi="宋体" w:eastAsia="宋体" w:cs="宋体"/>
          <w:sz w:val="24"/>
          <w:szCs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 xml:space="preserve">3. 监狱企业参加政府采购活动时，应当提供由省级以上监狱管理局、戒毒管理局（含新疆生产建设兵团）出具的属于监狱企业的证明文件，否则不予认可。 </w:t>
      </w:r>
    </w:p>
    <w:p>
      <w:pPr>
        <w:keepNext w:val="0"/>
        <w:keepLines w:val="0"/>
        <w:pageBreakBefore w:val="0"/>
        <w:widowControl w:val="0"/>
        <w:kinsoku/>
        <w:wordWrap/>
        <w:overflowPunct/>
        <w:topLinePunct w:val="0"/>
        <w:autoSpaceDE/>
        <w:autoSpaceDN/>
        <w:bidi w:val="0"/>
        <w:adjustRightInd/>
        <w:snapToGrid/>
        <w:spacing w:line="360" w:lineRule="auto"/>
        <w:ind w:left="0" w:hanging="482" w:hangingChars="200"/>
        <w:jc w:val="left"/>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 xml:space="preserve"> 残疾人福利性单位产品价格扣除</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 xml:space="preserve">1. 残疾人福利性单位视同小型、微型企业，按上述第（一）条款享受评审中价格扣除。 </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cs="宋体"/>
          <w:sz w:val="24"/>
          <w:szCs w:val="24"/>
        </w:rPr>
      </w:pPr>
      <w:r>
        <w:rPr>
          <w:rFonts w:hint="eastAsia" w:ascii="宋体" w:hAnsi="宋体" w:eastAsia="宋体" w:cs="宋体"/>
          <w:sz w:val="24"/>
          <w:szCs w:val="24"/>
        </w:rPr>
        <w:t>2. 根据财政部、民政部、中国残疾人联合会印发的《关于促进残疾人就业政府采购政策的通知》 （财库〔2017〕141号）的规定，符合条件的残疾人福利性单位在参加政府采购活动时，应当提供该通知规定的《残疾人福利性单位声明函》，并对声明的真实性负责。一旦中标将在中标公告中公告其声明函，接受社会监督。投标人提供的《残疾人福利性单位声明函》与事实不符的</w:t>
      </w:r>
      <w:r>
        <w:rPr>
          <w:rFonts w:hint="eastAsia" w:ascii="宋体" w:hAnsi="宋体" w:eastAsia="宋体" w:cs="宋体"/>
          <w:sz w:val="24"/>
          <w:szCs w:val="24"/>
          <w:lang w:eastAsia="zh-CN"/>
        </w:rPr>
        <w:t>，</w:t>
      </w:r>
      <w:r>
        <w:rPr>
          <w:rFonts w:hint="eastAsia" w:ascii="宋体" w:hAnsi="宋体" w:cs="宋体"/>
          <w:sz w:val="24"/>
          <w:szCs w:val="24"/>
        </w:rPr>
        <w:t>依照《中华人民共和国政府采购法》第七十七条第一款的规定追究法律责任。</w:t>
      </w:r>
    </w:p>
    <w:p>
      <w:pPr>
        <w:keepNext w:val="0"/>
        <w:keepLines w:val="0"/>
        <w:pageBreakBefore w:val="0"/>
        <w:widowControl w:val="0"/>
        <w:kinsoku/>
        <w:wordWrap/>
        <w:overflowPunct/>
        <w:topLinePunct w:val="0"/>
        <w:autoSpaceDE/>
        <w:autoSpaceDN/>
        <w:bidi w:val="0"/>
        <w:adjustRightInd/>
        <w:snapToGrid/>
        <w:spacing w:line="360" w:lineRule="auto"/>
        <w:ind w:left="0" w:hanging="480" w:hangingChars="200"/>
        <w:jc w:val="left"/>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hanging="420" w:hangingChars="200"/>
        <w:jc w:val="left"/>
        <w:textAlignment w:val="auto"/>
        <w:rPr>
          <w:rFonts w:hint="eastAsia" w:ascii="宋体" w:hAnsi="宋体" w:cs="宋体"/>
          <w:sz w:val="21"/>
          <w:szCs w:val="21"/>
        </w:rPr>
      </w:pPr>
      <w:r>
        <w:rPr>
          <w:rFonts w:hint="eastAsia" w:ascii="宋体" w:hAnsi="宋体" w:cs="宋体"/>
          <w:sz w:val="21"/>
          <w:szCs w:val="21"/>
        </w:rPr>
        <w:t xml:space="preserve"> </w:t>
      </w:r>
    </w:p>
    <w:p>
      <w:pPr>
        <w:pStyle w:val="9"/>
        <w:spacing w:line="360" w:lineRule="auto"/>
        <w:rPr>
          <w:rFonts w:hint="eastAsia" w:ascii="宋体" w:hAnsi="宋体" w:eastAsia="宋体" w:cs="宋体"/>
          <w:b w:val="0"/>
          <w:spacing w:val="0"/>
          <w:kern w:val="2"/>
          <w:sz w:val="21"/>
          <w:szCs w:val="21"/>
          <w:lang w:val="en-US" w:eastAsia="zh-CN" w:bidi="ar-SA"/>
        </w:rPr>
      </w:pPr>
    </w:p>
    <w:sectPr>
      <w:footerReference r:id="rId23" w:type="default"/>
      <w:pgSz w:w="11906" w:h="16838"/>
      <w:pgMar w:top="1588" w:right="1418" w:bottom="1418" w:left="1418"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方正仿宋简体">
    <w:altName w:val="微软雅黑"/>
    <w:panose1 w:val="00000000000000000000"/>
    <w:charset w:val="00"/>
    <w:family w:val="auto"/>
    <w:pitch w:val="default"/>
    <w:sig w:usb0="00000000" w:usb1="00000000" w:usb2="00000000" w:usb3="00000000" w:csb0="00000000" w:csb1="00000000"/>
  </w:font>
  <w:font w:name="Microsoft JhengHei">
    <w:panose1 w:val="020B0604030504040204"/>
    <w:charset w:val="88"/>
    <w:family w:val="swiss"/>
    <w:pitch w:val="default"/>
    <w:sig w:usb0="000002A7" w:usb1="28CF4400" w:usb2="00000016" w:usb3="00000000" w:csb0="00100009" w:csb1="00000000"/>
  </w:font>
  <w:font w:name="大黑体">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9"/>
      </w:rPr>
    </w:pPr>
    <w:r>
      <w:fldChar w:fldCharType="begin"/>
    </w:r>
    <w:r>
      <w:rPr>
        <w:rStyle w:val="29"/>
      </w:rPr>
      <w:instrText xml:space="preserve">PAGE  </w:instrText>
    </w:r>
    <w:r>
      <w:fldChar w:fldCharType="separate"/>
    </w:r>
    <w:r>
      <w:rPr>
        <w:rStyle w:val="29"/>
      </w:rPr>
      <w:t>1</w:t>
    </w:r>
    <w:r>
      <w:fldChar w:fldCharType="end"/>
    </w:r>
  </w:p>
  <w:p>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75</w:t>
                    </w:r>
                    <w:r>
                      <w:fldChar w:fldCharType="end"/>
                    </w:r>
                  </w:p>
                </w:txbxContent>
              </v:textbox>
            </v:shape>
          </w:pict>
        </mc:Fallback>
      </mc:AlternateContent>
    </w:r>
  </w:p>
  <w:p>
    <w:pPr>
      <w:pStyle w:val="14"/>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none"/>
      <w:pStyle w:val="2"/>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wMDJhMjUyZTdjY2ViZTcwNGVjOTAyYzk0NWEyYjIifQ=="/>
  </w:docVars>
  <w:rsids>
    <w:rsidRoot w:val="368F7F0C"/>
    <w:rsid w:val="00245594"/>
    <w:rsid w:val="00305CE7"/>
    <w:rsid w:val="00411CA3"/>
    <w:rsid w:val="005D281A"/>
    <w:rsid w:val="00610597"/>
    <w:rsid w:val="00627E6B"/>
    <w:rsid w:val="00844285"/>
    <w:rsid w:val="00924D29"/>
    <w:rsid w:val="009C512B"/>
    <w:rsid w:val="00A10993"/>
    <w:rsid w:val="00B5443F"/>
    <w:rsid w:val="00BE1545"/>
    <w:rsid w:val="00C91C98"/>
    <w:rsid w:val="00D42DD2"/>
    <w:rsid w:val="00D9012D"/>
    <w:rsid w:val="00E403B5"/>
    <w:rsid w:val="00ED3BD8"/>
    <w:rsid w:val="00F35685"/>
    <w:rsid w:val="00FD5616"/>
    <w:rsid w:val="012C5CEC"/>
    <w:rsid w:val="013B2364"/>
    <w:rsid w:val="01672749"/>
    <w:rsid w:val="01802C9E"/>
    <w:rsid w:val="01822EC5"/>
    <w:rsid w:val="01826A17"/>
    <w:rsid w:val="01830099"/>
    <w:rsid w:val="0196601E"/>
    <w:rsid w:val="01AD5116"/>
    <w:rsid w:val="01BD7A4F"/>
    <w:rsid w:val="01CF32DE"/>
    <w:rsid w:val="01D628BE"/>
    <w:rsid w:val="01DA5E9C"/>
    <w:rsid w:val="01E054EB"/>
    <w:rsid w:val="022971BA"/>
    <w:rsid w:val="023615AF"/>
    <w:rsid w:val="02426A0E"/>
    <w:rsid w:val="026E3256"/>
    <w:rsid w:val="027B68E4"/>
    <w:rsid w:val="029167E5"/>
    <w:rsid w:val="029D18A6"/>
    <w:rsid w:val="02A824AD"/>
    <w:rsid w:val="02B32C00"/>
    <w:rsid w:val="02C46BBB"/>
    <w:rsid w:val="02CD3CC1"/>
    <w:rsid w:val="02D524CB"/>
    <w:rsid w:val="02EE411E"/>
    <w:rsid w:val="02EF4D98"/>
    <w:rsid w:val="0300427E"/>
    <w:rsid w:val="031B2C7F"/>
    <w:rsid w:val="0321400D"/>
    <w:rsid w:val="03323B24"/>
    <w:rsid w:val="034E6430"/>
    <w:rsid w:val="035D1D34"/>
    <w:rsid w:val="0374238F"/>
    <w:rsid w:val="038A3960"/>
    <w:rsid w:val="03951674"/>
    <w:rsid w:val="03A96934"/>
    <w:rsid w:val="03C070BD"/>
    <w:rsid w:val="040C6A6B"/>
    <w:rsid w:val="04294F27"/>
    <w:rsid w:val="045126D0"/>
    <w:rsid w:val="047563BF"/>
    <w:rsid w:val="048E56D2"/>
    <w:rsid w:val="049820AD"/>
    <w:rsid w:val="04A42800"/>
    <w:rsid w:val="04AC7907"/>
    <w:rsid w:val="04AE367F"/>
    <w:rsid w:val="04B47551"/>
    <w:rsid w:val="04BB76ED"/>
    <w:rsid w:val="04C42EA2"/>
    <w:rsid w:val="04CC1D57"/>
    <w:rsid w:val="04E86B91"/>
    <w:rsid w:val="050414F1"/>
    <w:rsid w:val="050E5684"/>
    <w:rsid w:val="05171E73"/>
    <w:rsid w:val="05177476"/>
    <w:rsid w:val="051B47FF"/>
    <w:rsid w:val="05300538"/>
    <w:rsid w:val="05337CA8"/>
    <w:rsid w:val="05634469"/>
    <w:rsid w:val="0576362C"/>
    <w:rsid w:val="057A20A4"/>
    <w:rsid w:val="057C377D"/>
    <w:rsid w:val="05850883"/>
    <w:rsid w:val="059211F2"/>
    <w:rsid w:val="05923639"/>
    <w:rsid w:val="059E72D3"/>
    <w:rsid w:val="059F58A5"/>
    <w:rsid w:val="05A131E3"/>
    <w:rsid w:val="05B253F0"/>
    <w:rsid w:val="05C926BF"/>
    <w:rsid w:val="05DB66F5"/>
    <w:rsid w:val="05EE467B"/>
    <w:rsid w:val="05FD666C"/>
    <w:rsid w:val="06071298"/>
    <w:rsid w:val="061E65E2"/>
    <w:rsid w:val="062E2CC9"/>
    <w:rsid w:val="06316315"/>
    <w:rsid w:val="0644429B"/>
    <w:rsid w:val="06532730"/>
    <w:rsid w:val="065D35AE"/>
    <w:rsid w:val="065E2E82"/>
    <w:rsid w:val="0661309E"/>
    <w:rsid w:val="06677F89"/>
    <w:rsid w:val="066C374E"/>
    <w:rsid w:val="067D155B"/>
    <w:rsid w:val="068A3C77"/>
    <w:rsid w:val="0696086E"/>
    <w:rsid w:val="06A25465"/>
    <w:rsid w:val="06AE0385"/>
    <w:rsid w:val="06BE2A9A"/>
    <w:rsid w:val="06C27979"/>
    <w:rsid w:val="06D05B2E"/>
    <w:rsid w:val="06E65352"/>
    <w:rsid w:val="06F02FBE"/>
    <w:rsid w:val="06F07F7E"/>
    <w:rsid w:val="06FA0DFD"/>
    <w:rsid w:val="07013F3A"/>
    <w:rsid w:val="072D11D3"/>
    <w:rsid w:val="07320597"/>
    <w:rsid w:val="073562D9"/>
    <w:rsid w:val="07397B77"/>
    <w:rsid w:val="07577FFE"/>
    <w:rsid w:val="07585B24"/>
    <w:rsid w:val="07593D76"/>
    <w:rsid w:val="075E138C"/>
    <w:rsid w:val="07672E8A"/>
    <w:rsid w:val="076D2CD0"/>
    <w:rsid w:val="07724E37"/>
    <w:rsid w:val="07C1191B"/>
    <w:rsid w:val="07C5765D"/>
    <w:rsid w:val="07E55609"/>
    <w:rsid w:val="07ED44BE"/>
    <w:rsid w:val="07F341CA"/>
    <w:rsid w:val="07FB4E2D"/>
    <w:rsid w:val="08114650"/>
    <w:rsid w:val="082A3964"/>
    <w:rsid w:val="0848008D"/>
    <w:rsid w:val="0858227F"/>
    <w:rsid w:val="0858402D"/>
    <w:rsid w:val="08670714"/>
    <w:rsid w:val="08705131"/>
    <w:rsid w:val="08732C15"/>
    <w:rsid w:val="088C017B"/>
    <w:rsid w:val="08B80F70"/>
    <w:rsid w:val="08C47FFD"/>
    <w:rsid w:val="08CE609D"/>
    <w:rsid w:val="08D4742C"/>
    <w:rsid w:val="090247BE"/>
    <w:rsid w:val="09063A89"/>
    <w:rsid w:val="091066B6"/>
    <w:rsid w:val="091837BC"/>
    <w:rsid w:val="092A7248"/>
    <w:rsid w:val="09603ED6"/>
    <w:rsid w:val="096B4234"/>
    <w:rsid w:val="099C43EE"/>
    <w:rsid w:val="09A3577C"/>
    <w:rsid w:val="09A60DC8"/>
    <w:rsid w:val="09A85826"/>
    <w:rsid w:val="09A86432"/>
    <w:rsid w:val="09C000DC"/>
    <w:rsid w:val="09C15C02"/>
    <w:rsid w:val="09D9354D"/>
    <w:rsid w:val="09DE67B4"/>
    <w:rsid w:val="09F07DF3"/>
    <w:rsid w:val="09F14739"/>
    <w:rsid w:val="09F71624"/>
    <w:rsid w:val="0A037FC9"/>
    <w:rsid w:val="0A467B93"/>
    <w:rsid w:val="0A6024B9"/>
    <w:rsid w:val="0A6264D9"/>
    <w:rsid w:val="0A786C09"/>
    <w:rsid w:val="0A83110A"/>
    <w:rsid w:val="0A896930"/>
    <w:rsid w:val="0AC05EBA"/>
    <w:rsid w:val="0AC51722"/>
    <w:rsid w:val="0AC57974"/>
    <w:rsid w:val="0ADF27E4"/>
    <w:rsid w:val="0AF41CF4"/>
    <w:rsid w:val="0AF618DB"/>
    <w:rsid w:val="0AF67FF8"/>
    <w:rsid w:val="0AF81AF7"/>
    <w:rsid w:val="0B052F0A"/>
    <w:rsid w:val="0B13670D"/>
    <w:rsid w:val="0B187AA4"/>
    <w:rsid w:val="0B1F52D6"/>
    <w:rsid w:val="0B254E8B"/>
    <w:rsid w:val="0B2A3888"/>
    <w:rsid w:val="0B4C61F2"/>
    <w:rsid w:val="0B674587"/>
    <w:rsid w:val="0B7078E0"/>
    <w:rsid w:val="0B73117E"/>
    <w:rsid w:val="0B9A6C5B"/>
    <w:rsid w:val="0BA13F3D"/>
    <w:rsid w:val="0BA92DF2"/>
    <w:rsid w:val="0BB05F2E"/>
    <w:rsid w:val="0BDB744F"/>
    <w:rsid w:val="0BDF6613"/>
    <w:rsid w:val="0BE85A5A"/>
    <w:rsid w:val="0BEB6F66"/>
    <w:rsid w:val="0BF64289"/>
    <w:rsid w:val="0C230DF6"/>
    <w:rsid w:val="0C3B6140"/>
    <w:rsid w:val="0C4B5C57"/>
    <w:rsid w:val="0C5114BF"/>
    <w:rsid w:val="0C721436"/>
    <w:rsid w:val="0C8812DB"/>
    <w:rsid w:val="0C994AB9"/>
    <w:rsid w:val="0C9B6BDE"/>
    <w:rsid w:val="0CA27A33"/>
    <w:rsid w:val="0CD12600"/>
    <w:rsid w:val="0CE70A84"/>
    <w:rsid w:val="0CEB1914"/>
    <w:rsid w:val="0CFE2CC9"/>
    <w:rsid w:val="0D004C93"/>
    <w:rsid w:val="0D330BC5"/>
    <w:rsid w:val="0D3A3626"/>
    <w:rsid w:val="0D4479C4"/>
    <w:rsid w:val="0D4C1C87"/>
    <w:rsid w:val="0D63594E"/>
    <w:rsid w:val="0D993CAA"/>
    <w:rsid w:val="0D9D24E2"/>
    <w:rsid w:val="0DA9532B"/>
    <w:rsid w:val="0DB55A7E"/>
    <w:rsid w:val="0DD24882"/>
    <w:rsid w:val="0DDF2AFB"/>
    <w:rsid w:val="0DE34399"/>
    <w:rsid w:val="0DE6032D"/>
    <w:rsid w:val="0DFC36AD"/>
    <w:rsid w:val="0DFE53EF"/>
    <w:rsid w:val="0E364E11"/>
    <w:rsid w:val="0E4D215A"/>
    <w:rsid w:val="0E63220A"/>
    <w:rsid w:val="0E666D78"/>
    <w:rsid w:val="0E7616B1"/>
    <w:rsid w:val="0E794CFD"/>
    <w:rsid w:val="0EAC6E81"/>
    <w:rsid w:val="0ECA37AB"/>
    <w:rsid w:val="0ECA5559"/>
    <w:rsid w:val="0ECF2B6F"/>
    <w:rsid w:val="0ED71A24"/>
    <w:rsid w:val="0EEF3211"/>
    <w:rsid w:val="0EFD76DC"/>
    <w:rsid w:val="0F046CBD"/>
    <w:rsid w:val="0F39623B"/>
    <w:rsid w:val="0F3F1AA3"/>
    <w:rsid w:val="0F440F04"/>
    <w:rsid w:val="0F4D546E"/>
    <w:rsid w:val="0F5B4403"/>
    <w:rsid w:val="0F6A68A1"/>
    <w:rsid w:val="0F7D1C8A"/>
    <w:rsid w:val="0F7F4595"/>
    <w:rsid w:val="0F87344A"/>
    <w:rsid w:val="0FD34E27"/>
    <w:rsid w:val="0FDF5034"/>
    <w:rsid w:val="0FF70CD0"/>
    <w:rsid w:val="0FFA3C1C"/>
    <w:rsid w:val="100C10E7"/>
    <w:rsid w:val="100C5334"/>
    <w:rsid w:val="10222330"/>
    <w:rsid w:val="10437371"/>
    <w:rsid w:val="106317C1"/>
    <w:rsid w:val="10664CB1"/>
    <w:rsid w:val="108856CC"/>
    <w:rsid w:val="1088747A"/>
    <w:rsid w:val="10900F5F"/>
    <w:rsid w:val="1092654A"/>
    <w:rsid w:val="10A122E9"/>
    <w:rsid w:val="10CB7366"/>
    <w:rsid w:val="10D426BF"/>
    <w:rsid w:val="10E87F18"/>
    <w:rsid w:val="10ED1554"/>
    <w:rsid w:val="110A1A09"/>
    <w:rsid w:val="111E1B8C"/>
    <w:rsid w:val="112A6783"/>
    <w:rsid w:val="11407D54"/>
    <w:rsid w:val="114E06C3"/>
    <w:rsid w:val="11672179"/>
    <w:rsid w:val="11731ED8"/>
    <w:rsid w:val="11765524"/>
    <w:rsid w:val="118934A9"/>
    <w:rsid w:val="11B85B3D"/>
    <w:rsid w:val="11CB1D14"/>
    <w:rsid w:val="11F748B7"/>
    <w:rsid w:val="11F76665"/>
    <w:rsid w:val="11FE1E85"/>
    <w:rsid w:val="11FE3E97"/>
    <w:rsid w:val="12047065"/>
    <w:rsid w:val="120E1C01"/>
    <w:rsid w:val="12154D3D"/>
    <w:rsid w:val="1218482D"/>
    <w:rsid w:val="12386C7D"/>
    <w:rsid w:val="12647A72"/>
    <w:rsid w:val="126D6927"/>
    <w:rsid w:val="12A3379B"/>
    <w:rsid w:val="12B125DC"/>
    <w:rsid w:val="12CA4E07"/>
    <w:rsid w:val="12E56E05"/>
    <w:rsid w:val="12F11306"/>
    <w:rsid w:val="12F86B39"/>
    <w:rsid w:val="1300779B"/>
    <w:rsid w:val="1340445F"/>
    <w:rsid w:val="13497394"/>
    <w:rsid w:val="134C29E0"/>
    <w:rsid w:val="135950FD"/>
    <w:rsid w:val="13702B73"/>
    <w:rsid w:val="13854144"/>
    <w:rsid w:val="138B6CBD"/>
    <w:rsid w:val="13B16CE7"/>
    <w:rsid w:val="13B862C8"/>
    <w:rsid w:val="13BA2040"/>
    <w:rsid w:val="13BF7656"/>
    <w:rsid w:val="13DF5603"/>
    <w:rsid w:val="13E470BD"/>
    <w:rsid w:val="13FC57E9"/>
    <w:rsid w:val="13FD1B09"/>
    <w:rsid w:val="143A6CDD"/>
    <w:rsid w:val="144F7142"/>
    <w:rsid w:val="145E6E6F"/>
    <w:rsid w:val="148937C0"/>
    <w:rsid w:val="14A979BF"/>
    <w:rsid w:val="14AB2FC2"/>
    <w:rsid w:val="14BD610E"/>
    <w:rsid w:val="14DE58BA"/>
    <w:rsid w:val="14ED1FA1"/>
    <w:rsid w:val="150317C5"/>
    <w:rsid w:val="15175270"/>
    <w:rsid w:val="15211C4B"/>
    <w:rsid w:val="152217A8"/>
    <w:rsid w:val="155C2C83"/>
    <w:rsid w:val="156009C5"/>
    <w:rsid w:val="15715A47"/>
    <w:rsid w:val="158A77F0"/>
    <w:rsid w:val="15A72150"/>
    <w:rsid w:val="15A85EC8"/>
    <w:rsid w:val="15C72C7C"/>
    <w:rsid w:val="15CE1DD3"/>
    <w:rsid w:val="15D31197"/>
    <w:rsid w:val="15DA02DF"/>
    <w:rsid w:val="15DB629E"/>
    <w:rsid w:val="1615355E"/>
    <w:rsid w:val="16157A01"/>
    <w:rsid w:val="161C5F4F"/>
    <w:rsid w:val="1629525B"/>
    <w:rsid w:val="162D4ED7"/>
    <w:rsid w:val="163065E9"/>
    <w:rsid w:val="165E7E92"/>
    <w:rsid w:val="16781D3E"/>
    <w:rsid w:val="16821C1C"/>
    <w:rsid w:val="168B1A72"/>
    <w:rsid w:val="16936525"/>
    <w:rsid w:val="16AD7C3A"/>
    <w:rsid w:val="16AE5760"/>
    <w:rsid w:val="16B8213B"/>
    <w:rsid w:val="16C136E5"/>
    <w:rsid w:val="16DE4297"/>
    <w:rsid w:val="16EB2510"/>
    <w:rsid w:val="17127A9D"/>
    <w:rsid w:val="17367C2F"/>
    <w:rsid w:val="173C355D"/>
    <w:rsid w:val="174A390E"/>
    <w:rsid w:val="174A7237"/>
    <w:rsid w:val="17552E53"/>
    <w:rsid w:val="179901BE"/>
    <w:rsid w:val="179D1A5D"/>
    <w:rsid w:val="17A0154D"/>
    <w:rsid w:val="17A6430D"/>
    <w:rsid w:val="17AC1CA0"/>
    <w:rsid w:val="17B44FF8"/>
    <w:rsid w:val="17B46967"/>
    <w:rsid w:val="17ED4E73"/>
    <w:rsid w:val="17EE7DBF"/>
    <w:rsid w:val="17F81389"/>
    <w:rsid w:val="17FB49D5"/>
    <w:rsid w:val="17FF44C5"/>
    <w:rsid w:val="18055854"/>
    <w:rsid w:val="180B10BC"/>
    <w:rsid w:val="180E200C"/>
    <w:rsid w:val="18153CE9"/>
    <w:rsid w:val="183A72AB"/>
    <w:rsid w:val="18567E5D"/>
    <w:rsid w:val="18585984"/>
    <w:rsid w:val="18932E60"/>
    <w:rsid w:val="189746FE"/>
    <w:rsid w:val="18982224"/>
    <w:rsid w:val="18AB63FB"/>
    <w:rsid w:val="18AD2173"/>
    <w:rsid w:val="18B43502"/>
    <w:rsid w:val="18DF42F7"/>
    <w:rsid w:val="18E37943"/>
    <w:rsid w:val="18F11FF7"/>
    <w:rsid w:val="190D49C0"/>
    <w:rsid w:val="192835A8"/>
    <w:rsid w:val="192B3098"/>
    <w:rsid w:val="194303E2"/>
    <w:rsid w:val="1953132D"/>
    <w:rsid w:val="195531FA"/>
    <w:rsid w:val="196E7E2F"/>
    <w:rsid w:val="197141EC"/>
    <w:rsid w:val="1985308B"/>
    <w:rsid w:val="19A60971"/>
    <w:rsid w:val="19B47531"/>
    <w:rsid w:val="19B906A4"/>
    <w:rsid w:val="19C92FDD"/>
    <w:rsid w:val="19CE040F"/>
    <w:rsid w:val="19D351D2"/>
    <w:rsid w:val="19D76D7C"/>
    <w:rsid w:val="19D96A26"/>
    <w:rsid w:val="19DD25E4"/>
    <w:rsid w:val="19EA2F53"/>
    <w:rsid w:val="19FB2A6A"/>
    <w:rsid w:val="1A0C4C78"/>
    <w:rsid w:val="1A2253F2"/>
    <w:rsid w:val="1A2553F4"/>
    <w:rsid w:val="1A310B82"/>
    <w:rsid w:val="1A367F46"/>
    <w:rsid w:val="1A43315E"/>
    <w:rsid w:val="1A4563DB"/>
    <w:rsid w:val="1A4A39F2"/>
    <w:rsid w:val="1A4E34E2"/>
    <w:rsid w:val="1A5F56EF"/>
    <w:rsid w:val="1A7A42D7"/>
    <w:rsid w:val="1A8C5DB8"/>
    <w:rsid w:val="1AA749A0"/>
    <w:rsid w:val="1AA94BBC"/>
    <w:rsid w:val="1AB23D4B"/>
    <w:rsid w:val="1AC937FE"/>
    <w:rsid w:val="1AEB2ADF"/>
    <w:rsid w:val="1AEF6A73"/>
    <w:rsid w:val="1AF521B3"/>
    <w:rsid w:val="1AF75928"/>
    <w:rsid w:val="1AFE6CB6"/>
    <w:rsid w:val="1B087B35"/>
    <w:rsid w:val="1B09565B"/>
    <w:rsid w:val="1B18764C"/>
    <w:rsid w:val="1B356450"/>
    <w:rsid w:val="1B43291B"/>
    <w:rsid w:val="1B593EEC"/>
    <w:rsid w:val="1B5C39DD"/>
    <w:rsid w:val="1B6F1962"/>
    <w:rsid w:val="1B6F657C"/>
    <w:rsid w:val="1B8D003A"/>
    <w:rsid w:val="1BA84E74"/>
    <w:rsid w:val="1BAA0BEC"/>
    <w:rsid w:val="1BB40C9A"/>
    <w:rsid w:val="1BC7366A"/>
    <w:rsid w:val="1BCC5ACD"/>
    <w:rsid w:val="1BDB0DA5"/>
    <w:rsid w:val="1BE539D2"/>
    <w:rsid w:val="1BED0AD9"/>
    <w:rsid w:val="1BF9747E"/>
    <w:rsid w:val="1C073948"/>
    <w:rsid w:val="1C0E2F29"/>
    <w:rsid w:val="1C112A19"/>
    <w:rsid w:val="1C3F5784"/>
    <w:rsid w:val="1C5A2916"/>
    <w:rsid w:val="1C6F468F"/>
    <w:rsid w:val="1C730EE6"/>
    <w:rsid w:val="1C8B27CB"/>
    <w:rsid w:val="1C9C6787"/>
    <w:rsid w:val="1C9D42AD"/>
    <w:rsid w:val="1C9F1DD3"/>
    <w:rsid w:val="1CBB5170"/>
    <w:rsid w:val="1CBB772B"/>
    <w:rsid w:val="1CF00D70"/>
    <w:rsid w:val="1D100F23"/>
    <w:rsid w:val="1D230C56"/>
    <w:rsid w:val="1D44297A"/>
    <w:rsid w:val="1D4806BC"/>
    <w:rsid w:val="1D547061"/>
    <w:rsid w:val="1D5C5F16"/>
    <w:rsid w:val="1D813BCE"/>
    <w:rsid w:val="1D886D0B"/>
    <w:rsid w:val="1DBB7D0D"/>
    <w:rsid w:val="1DD7559C"/>
    <w:rsid w:val="1DE63A32"/>
    <w:rsid w:val="1DEF16F6"/>
    <w:rsid w:val="1DF3687A"/>
    <w:rsid w:val="1E262080"/>
    <w:rsid w:val="1E530394"/>
    <w:rsid w:val="1E5922F3"/>
    <w:rsid w:val="1E6757C2"/>
    <w:rsid w:val="1E74103D"/>
    <w:rsid w:val="1E7E1EBC"/>
    <w:rsid w:val="1E875215"/>
    <w:rsid w:val="1E9516DF"/>
    <w:rsid w:val="1EA2250C"/>
    <w:rsid w:val="1EB3600A"/>
    <w:rsid w:val="1EB64CF4"/>
    <w:rsid w:val="1EC30E2C"/>
    <w:rsid w:val="1EC65D3D"/>
    <w:rsid w:val="1ECC77C2"/>
    <w:rsid w:val="1ECE074D"/>
    <w:rsid w:val="1EFF4DAB"/>
    <w:rsid w:val="1F073C5F"/>
    <w:rsid w:val="1F0B3750"/>
    <w:rsid w:val="1F0B7BF4"/>
    <w:rsid w:val="1F3118EC"/>
    <w:rsid w:val="1F4673C3"/>
    <w:rsid w:val="1F6B68E4"/>
    <w:rsid w:val="1F721A21"/>
    <w:rsid w:val="1F83778A"/>
    <w:rsid w:val="1F8F25D3"/>
    <w:rsid w:val="1F9F033C"/>
    <w:rsid w:val="1FAD4167"/>
    <w:rsid w:val="1FC102B2"/>
    <w:rsid w:val="1FC57DA2"/>
    <w:rsid w:val="1FE16BA6"/>
    <w:rsid w:val="1FE56104"/>
    <w:rsid w:val="1FE65F6B"/>
    <w:rsid w:val="200A1C59"/>
    <w:rsid w:val="2011537A"/>
    <w:rsid w:val="202F16C0"/>
    <w:rsid w:val="202F346E"/>
    <w:rsid w:val="2039062A"/>
    <w:rsid w:val="20515ADA"/>
    <w:rsid w:val="20546BA6"/>
    <w:rsid w:val="207601C9"/>
    <w:rsid w:val="20947775"/>
    <w:rsid w:val="20A7394C"/>
    <w:rsid w:val="20B35E4D"/>
    <w:rsid w:val="20C067BC"/>
    <w:rsid w:val="20D504B9"/>
    <w:rsid w:val="20F67F5F"/>
    <w:rsid w:val="20FF1092"/>
    <w:rsid w:val="211014F1"/>
    <w:rsid w:val="211A0349"/>
    <w:rsid w:val="211A0BFC"/>
    <w:rsid w:val="212257CB"/>
    <w:rsid w:val="2144119B"/>
    <w:rsid w:val="214473ED"/>
    <w:rsid w:val="217750CC"/>
    <w:rsid w:val="217D46AD"/>
    <w:rsid w:val="21823A71"/>
    <w:rsid w:val="21867EF3"/>
    <w:rsid w:val="21977533"/>
    <w:rsid w:val="21C1459A"/>
    <w:rsid w:val="21C2623F"/>
    <w:rsid w:val="21E309B4"/>
    <w:rsid w:val="21E62252"/>
    <w:rsid w:val="21E800D1"/>
    <w:rsid w:val="221A1EFC"/>
    <w:rsid w:val="221E19EC"/>
    <w:rsid w:val="22267CA1"/>
    <w:rsid w:val="222C3355"/>
    <w:rsid w:val="223B070E"/>
    <w:rsid w:val="224D22D1"/>
    <w:rsid w:val="224F429B"/>
    <w:rsid w:val="22521696"/>
    <w:rsid w:val="22576CAC"/>
    <w:rsid w:val="22603DB2"/>
    <w:rsid w:val="22745AB0"/>
    <w:rsid w:val="22791318"/>
    <w:rsid w:val="229E0D7F"/>
    <w:rsid w:val="22A7378F"/>
    <w:rsid w:val="22B13805"/>
    <w:rsid w:val="230477BC"/>
    <w:rsid w:val="23076924"/>
    <w:rsid w:val="231177A3"/>
    <w:rsid w:val="231B4A22"/>
    <w:rsid w:val="2322375E"/>
    <w:rsid w:val="232A616E"/>
    <w:rsid w:val="232C1EE7"/>
    <w:rsid w:val="23300248"/>
    <w:rsid w:val="234C4337"/>
    <w:rsid w:val="23696C97"/>
    <w:rsid w:val="2378512C"/>
    <w:rsid w:val="237F470C"/>
    <w:rsid w:val="238D476B"/>
    <w:rsid w:val="239C706C"/>
    <w:rsid w:val="23A91789"/>
    <w:rsid w:val="23AF548E"/>
    <w:rsid w:val="23B73EA6"/>
    <w:rsid w:val="23D031BA"/>
    <w:rsid w:val="23ED1676"/>
    <w:rsid w:val="23F115F1"/>
    <w:rsid w:val="23F24EDE"/>
    <w:rsid w:val="23F30C56"/>
    <w:rsid w:val="241222EE"/>
    <w:rsid w:val="24125580"/>
    <w:rsid w:val="241C26C6"/>
    <w:rsid w:val="24284DA4"/>
    <w:rsid w:val="2432352D"/>
    <w:rsid w:val="24415E66"/>
    <w:rsid w:val="24443260"/>
    <w:rsid w:val="2463402E"/>
    <w:rsid w:val="2475230A"/>
    <w:rsid w:val="24763DC7"/>
    <w:rsid w:val="24765B0F"/>
    <w:rsid w:val="247D50F0"/>
    <w:rsid w:val="24A3267C"/>
    <w:rsid w:val="24AD5CE8"/>
    <w:rsid w:val="24B93C4E"/>
    <w:rsid w:val="24BC54EC"/>
    <w:rsid w:val="24BF5174"/>
    <w:rsid w:val="24CE594B"/>
    <w:rsid w:val="24ED56A6"/>
    <w:rsid w:val="24FA6740"/>
    <w:rsid w:val="25103728"/>
    <w:rsid w:val="252C2672"/>
    <w:rsid w:val="25333A00"/>
    <w:rsid w:val="254A0D4A"/>
    <w:rsid w:val="25551BC9"/>
    <w:rsid w:val="255676EF"/>
    <w:rsid w:val="255B4D05"/>
    <w:rsid w:val="25665C49"/>
    <w:rsid w:val="256C2A6E"/>
    <w:rsid w:val="257007B0"/>
    <w:rsid w:val="25757B75"/>
    <w:rsid w:val="257E6F17"/>
    <w:rsid w:val="25983863"/>
    <w:rsid w:val="25987D07"/>
    <w:rsid w:val="25AB17E9"/>
    <w:rsid w:val="25B83F05"/>
    <w:rsid w:val="25B878C4"/>
    <w:rsid w:val="25D56865"/>
    <w:rsid w:val="25DC5E46"/>
    <w:rsid w:val="25EF474F"/>
    <w:rsid w:val="2601765A"/>
    <w:rsid w:val="26086C3B"/>
    <w:rsid w:val="261B23CA"/>
    <w:rsid w:val="26334B9C"/>
    <w:rsid w:val="264301B2"/>
    <w:rsid w:val="265579A6"/>
    <w:rsid w:val="2657371E"/>
    <w:rsid w:val="26655E3B"/>
    <w:rsid w:val="2688355B"/>
    <w:rsid w:val="268B161A"/>
    <w:rsid w:val="26914E82"/>
    <w:rsid w:val="269632EF"/>
    <w:rsid w:val="26A050C5"/>
    <w:rsid w:val="26C568DA"/>
    <w:rsid w:val="26CD39E1"/>
    <w:rsid w:val="26EF3957"/>
    <w:rsid w:val="27342D13"/>
    <w:rsid w:val="274E5450"/>
    <w:rsid w:val="27693709"/>
    <w:rsid w:val="279120A9"/>
    <w:rsid w:val="27983FEE"/>
    <w:rsid w:val="279B588D"/>
    <w:rsid w:val="27C70430"/>
    <w:rsid w:val="27C72DFA"/>
    <w:rsid w:val="27C93DDE"/>
    <w:rsid w:val="27CE5783"/>
    <w:rsid w:val="27D35027"/>
    <w:rsid w:val="27F922F5"/>
    <w:rsid w:val="28011B94"/>
    <w:rsid w:val="280478D6"/>
    <w:rsid w:val="2807785D"/>
    <w:rsid w:val="283261F1"/>
    <w:rsid w:val="28396DD0"/>
    <w:rsid w:val="283E4B96"/>
    <w:rsid w:val="28516843"/>
    <w:rsid w:val="28550131"/>
    <w:rsid w:val="288E7311"/>
    <w:rsid w:val="28902F18"/>
    <w:rsid w:val="28A349F9"/>
    <w:rsid w:val="28A569C3"/>
    <w:rsid w:val="28A80261"/>
    <w:rsid w:val="28A864B3"/>
    <w:rsid w:val="28F811E9"/>
    <w:rsid w:val="291D29FD"/>
    <w:rsid w:val="291E0717"/>
    <w:rsid w:val="29323FCF"/>
    <w:rsid w:val="29345F99"/>
    <w:rsid w:val="29385A89"/>
    <w:rsid w:val="294D2BB7"/>
    <w:rsid w:val="295757E3"/>
    <w:rsid w:val="295B1778"/>
    <w:rsid w:val="29782526"/>
    <w:rsid w:val="297840D8"/>
    <w:rsid w:val="29915199"/>
    <w:rsid w:val="29A01D51"/>
    <w:rsid w:val="29A053DC"/>
    <w:rsid w:val="29B33362"/>
    <w:rsid w:val="29BD337A"/>
    <w:rsid w:val="29BD7D3C"/>
    <w:rsid w:val="29BF4E42"/>
    <w:rsid w:val="29C56BF1"/>
    <w:rsid w:val="29D15596"/>
    <w:rsid w:val="29D357B2"/>
    <w:rsid w:val="29E259F5"/>
    <w:rsid w:val="29F6324E"/>
    <w:rsid w:val="2A0B3819"/>
    <w:rsid w:val="2A0E0598"/>
    <w:rsid w:val="2A2658E2"/>
    <w:rsid w:val="2A41096D"/>
    <w:rsid w:val="2A570191"/>
    <w:rsid w:val="2A7A3E7F"/>
    <w:rsid w:val="2A8D770F"/>
    <w:rsid w:val="2A8E3487"/>
    <w:rsid w:val="2A91307F"/>
    <w:rsid w:val="2ABA5B52"/>
    <w:rsid w:val="2AC23FB9"/>
    <w:rsid w:val="2AD90BA6"/>
    <w:rsid w:val="2AEA2DB3"/>
    <w:rsid w:val="2AEF2177"/>
    <w:rsid w:val="2AF4778E"/>
    <w:rsid w:val="2AF552B4"/>
    <w:rsid w:val="2B0112D9"/>
    <w:rsid w:val="2B065713"/>
    <w:rsid w:val="2B0B2D29"/>
    <w:rsid w:val="2B0F281A"/>
    <w:rsid w:val="2B353D64"/>
    <w:rsid w:val="2B41674B"/>
    <w:rsid w:val="2B4D6E9E"/>
    <w:rsid w:val="2B576C5C"/>
    <w:rsid w:val="2B6366C1"/>
    <w:rsid w:val="2B6F32B8"/>
    <w:rsid w:val="2B797C93"/>
    <w:rsid w:val="2B844FB6"/>
    <w:rsid w:val="2B9B22FF"/>
    <w:rsid w:val="2BE55328"/>
    <w:rsid w:val="2BFF63EA"/>
    <w:rsid w:val="2C016606"/>
    <w:rsid w:val="2C1E750B"/>
    <w:rsid w:val="2C2A71DF"/>
    <w:rsid w:val="2C2F4DD8"/>
    <w:rsid w:val="2C3D09E9"/>
    <w:rsid w:val="2C4B7881"/>
    <w:rsid w:val="2C55425C"/>
    <w:rsid w:val="2C697D08"/>
    <w:rsid w:val="2CA13945"/>
    <w:rsid w:val="2CCE2260"/>
    <w:rsid w:val="2CD31625"/>
    <w:rsid w:val="2CD74A56"/>
    <w:rsid w:val="2CE35D0C"/>
    <w:rsid w:val="2D012636"/>
    <w:rsid w:val="2D0E7289"/>
    <w:rsid w:val="2D2F0F51"/>
    <w:rsid w:val="2D345D53"/>
    <w:rsid w:val="2D3B78F6"/>
    <w:rsid w:val="2D5138EA"/>
    <w:rsid w:val="2D651070"/>
    <w:rsid w:val="2D652BC5"/>
    <w:rsid w:val="2D8172D3"/>
    <w:rsid w:val="2DA9506A"/>
    <w:rsid w:val="2DAC4350"/>
    <w:rsid w:val="2DCE076A"/>
    <w:rsid w:val="2DD85145"/>
    <w:rsid w:val="2E19750B"/>
    <w:rsid w:val="2E2465DC"/>
    <w:rsid w:val="2E2A34C6"/>
    <w:rsid w:val="2E3A7BAD"/>
    <w:rsid w:val="2E3B3926"/>
    <w:rsid w:val="2E6A04C0"/>
    <w:rsid w:val="2E6E7857"/>
    <w:rsid w:val="2E7F7E01"/>
    <w:rsid w:val="2E8811C8"/>
    <w:rsid w:val="2E8C5F2F"/>
    <w:rsid w:val="2E982B26"/>
    <w:rsid w:val="2EA339A5"/>
    <w:rsid w:val="2EA66FF1"/>
    <w:rsid w:val="2EBC4A66"/>
    <w:rsid w:val="2EC93E50"/>
    <w:rsid w:val="2ECE479A"/>
    <w:rsid w:val="2ED022C0"/>
    <w:rsid w:val="2EE21A82"/>
    <w:rsid w:val="2EEB57ED"/>
    <w:rsid w:val="2F146650"/>
    <w:rsid w:val="2F1523C9"/>
    <w:rsid w:val="2F1626EC"/>
    <w:rsid w:val="2F285C58"/>
    <w:rsid w:val="2F2D03A0"/>
    <w:rsid w:val="2F3445FD"/>
    <w:rsid w:val="2F3E191F"/>
    <w:rsid w:val="2F5922B5"/>
    <w:rsid w:val="2F6614E7"/>
    <w:rsid w:val="2F662C24"/>
    <w:rsid w:val="2F7B66D0"/>
    <w:rsid w:val="2F8451DA"/>
    <w:rsid w:val="2F8C5CCF"/>
    <w:rsid w:val="2F8F5CD7"/>
    <w:rsid w:val="2F9257C7"/>
    <w:rsid w:val="2F950E14"/>
    <w:rsid w:val="2F9E416C"/>
    <w:rsid w:val="2FC516F9"/>
    <w:rsid w:val="300347ED"/>
    <w:rsid w:val="30197C97"/>
    <w:rsid w:val="3025663B"/>
    <w:rsid w:val="3038636F"/>
    <w:rsid w:val="303B7C0D"/>
    <w:rsid w:val="304E7940"/>
    <w:rsid w:val="30562C99"/>
    <w:rsid w:val="30670A02"/>
    <w:rsid w:val="306F78B6"/>
    <w:rsid w:val="30731155"/>
    <w:rsid w:val="30751371"/>
    <w:rsid w:val="30980BBB"/>
    <w:rsid w:val="30B654E5"/>
    <w:rsid w:val="30BB2AFC"/>
    <w:rsid w:val="30D616E4"/>
    <w:rsid w:val="30E72953"/>
    <w:rsid w:val="30F81E2E"/>
    <w:rsid w:val="31012C04"/>
    <w:rsid w:val="3106646D"/>
    <w:rsid w:val="313F54DB"/>
    <w:rsid w:val="31411253"/>
    <w:rsid w:val="317E6003"/>
    <w:rsid w:val="31880C30"/>
    <w:rsid w:val="31892FBB"/>
    <w:rsid w:val="318F6462"/>
    <w:rsid w:val="31C83922"/>
    <w:rsid w:val="31EB11BF"/>
    <w:rsid w:val="31F84007"/>
    <w:rsid w:val="31FD161E"/>
    <w:rsid w:val="3207249C"/>
    <w:rsid w:val="320E29DF"/>
    <w:rsid w:val="3212499D"/>
    <w:rsid w:val="32163B02"/>
    <w:rsid w:val="322E5C7B"/>
    <w:rsid w:val="323041FF"/>
    <w:rsid w:val="32427031"/>
    <w:rsid w:val="325A6A70"/>
    <w:rsid w:val="32785148"/>
    <w:rsid w:val="32807B59"/>
    <w:rsid w:val="329F4FED"/>
    <w:rsid w:val="32B041AF"/>
    <w:rsid w:val="32B120C5"/>
    <w:rsid w:val="32BF68D3"/>
    <w:rsid w:val="32CE6B16"/>
    <w:rsid w:val="32DA370D"/>
    <w:rsid w:val="32ED1692"/>
    <w:rsid w:val="32F72511"/>
    <w:rsid w:val="33233306"/>
    <w:rsid w:val="33245D39"/>
    <w:rsid w:val="332B3F69"/>
    <w:rsid w:val="3353526D"/>
    <w:rsid w:val="33760BDC"/>
    <w:rsid w:val="33925D96"/>
    <w:rsid w:val="33B02D19"/>
    <w:rsid w:val="33B57CD6"/>
    <w:rsid w:val="33CF0EA4"/>
    <w:rsid w:val="33D91C17"/>
    <w:rsid w:val="343432F1"/>
    <w:rsid w:val="34351383"/>
    <w:rsid w:val="34655258"/>
    <w:rsid w:val="34684018"/>
    <w:rsid w:val="347602AA"/>
    <w:rsid w:val="34941842"/>
    <w:rsid w:val="34AA5361"/>
    <w:rsid w:val="34B61F58"/>
    <w:rsid w:val="34BB30CA"/>
    <w:rsid w:val="3502519D"/>
    <w:rsid w:val="35076310"/>
    <w:rsid w:val="351A6043"/>
    <w:rsid w:val="353E4427"/>
    <w:rsid w:val="354E2721"/>
    <w:rsid w:val="355377A7"/>
    <w:rsid w:val="355A0B35"/>
    <w:rsid w:val="3566572C"/>
    <w:rsid w:val="3575771D"/>
    <w:rsid w:val="35831E3A"/>
    <w:rsid w:val="358F4C83"/>
    <w:rsid w:val="359D0C08"/>
    <w:rsid w:val="359F29EC"/>
    <w:rsid w:val="35A46254"/>
    <w:rsid w:val="35A973C7"/>
    <w:rsid w:val="35E054DE"/>
    <w:rsid w:val="35F25212"/>
    <w:rsid w:val="35F920FC"/>
    <w:rsid w:val="36015455"/>
    <w:rsid w:val="364517E5"/>
    <w:rsid w:val="3679323D"/>
    <w:rsid w:val="367F6AB9"/>
    <w:rsid w:val="36820344"/>
    <w:rsid w:val="368F7F0C"/>
    <w:rsid w:val="36914A2B"/>
    <w:rsid w:val="36B35F7A"/>
    <w:rsid w:val="36BD75CE"/>
    <w:rsid w:val="36BE6EA2"/>
    <w:rsid w:val="36C739FB"/>
    <w:rsid w:val="36D97137"/>
    <w:rsid w:val="36DE12F2"/>
    <w:rsid w:val="36F40B16"/>
    <w:rsid w:val="36FA25D0"/>
    <w:rsid w:val="37645C9B"/>
    <w:rsid w:val="377A54BF"/>
    <w:rsid w:val="37841E99"/>
    <w:rsid w:val="379C3687"/>
    <w:rsid w:val="37A4078E"/>
    <w:rsid w:val="37A4126C"/>
    <w:rsid w:val="37B7401D"/>
    <w:rsid w:val="37BE184F"/>
    <w:rsid w:val="37E8067A"/>
    <w:rsid w:val="380A05F1"/>
    <w:rsid w:val="380B25BB"/>
    <w:rsid w:val="38156F95"/>
    <w:rsid w:val="3821593A"/>
    <w:rsid w:val="384C5026"/>
    <w:rsid w:val="385C2E16"/>
    <w:rsid w:val="386D1BB3"/>
    <w:rsid w:val="386D5023"/>
    <w:rsid w:val="387264D4"/>
    <w:rsid w:val="388D1222"/>
    <w:rsid w:val="38A10829"/>
    <w:rsid w:val="38AA1DD4"/>
    <w:rsid w:val="38B546C8"/>
    <w:rsid w:val="38D57CBE"/>
    <w:rsid w:val="38D86941"/>
    <w:rsid w:val="38DB1F8D"/>
    <w:rsid w:val="38E32A4E"/>
    <w:rsid w:val="38EF77E6"/>
    <w:rsid w:val="38FA68B7"/>
    <w:rsid w:val="390E4110"/>
    <w:rsid w:val="39104D22"/>
    <w:rsid w:val="3929719C"/>
    <w:rsid w:val="39444C0F"/>
    <w:rsid w:val="3962445C"/>
    <w:rsid w:val="3983100C"/>
    <w:rsid w:val="39902D77"/>
    <w:rsid w:val="399A3BF6"/>
    <w:rsid w:val="39FE6173"/>
    <w:rsid w:val="3A033549"/>
    <w:rsid w:val="3A4A1178"/>
    <w:rsid w:val="3A4F678F"/>
    <w:rsid w:val="3A5C0EAC"/>
    <w:rsid w:val="3A6C4E35"/>
    <w:rsid w:val="3A804B9A"/>
    <w:rsid w:val="3AA55DB5"/>
    <w:rsid w:val="3AA7481D"/>
    <w:rsid w:val="3AAD202E"/>
    <w:rsid w:val="3AB64A60"/>
    <w:rsid w:val="3ABB02C8"/>
    <w:rsid w:val="3AC415A4"/>
    <w:rsid w:val="3AC52EF5"/>
    <w:rsid w:val="3AC727C9"/>
    <w:rsid w:val="3ACC55F3"/>
    <w:rsid w:val="3AEC0481"/>
    <w:rsid w:val="3B0032BA"/>
    <w:rsid w:val="3B0962DF"/>
    <w:rsid w:val="3B3F0BD5"/>
    <w:rsid w:val="3B4017C3"/>
    <w:rsid w:val="3B53405D"/>
    <w:rsid w:val="3B64270E"/>
    <w:rsid w:val="3B6444BC"/>
    <w:rsid w:val="3B651FE2"/>
    <w:rsid w:val="3B7D1A96"/>
    <w:rsid w:val="3B820DE6"/>
    <w:rsid w:val="3B8763FC"/>
    <w:rsid w:val="3BC27434"/>
    <w:rsid w:val="3BCF11DA"/>
    <w:rsid w:val="3BD94167"/>
    <w:rsid w:val="3BE60C85"/>
    <w:rsid w:val="3C094C0F"/>
    <w:rsid w:val="3C177780"/>
    <w:rsid w:val="3C1D466B"/>
    <w:rsid w:val="3C227C10"/>
    <w:rsid w:val="3C241E9D"/>
    <w:rsid w:val="3C2B5347"/>
    <w:rsid w:val="3C461E13"/>
    <w:rsid w:val="3C5067EE"/>
    <w:rsid w:val="3C5C33E5"/>
    <w:rsid w:val="3C6D73A0"/>
    <w:rsid w:val="3C771FCD"/>
    <w:rsid w:val="3C7B7D0F"/>
    <w:rsid w:val="3C813D80"/>
    <w:rsid w:val="3C90308E"/>
    <w:rsid w:val="3C9E39FD"/>
    <w:rsid w:val="3CA64660"/>
    <w:rsid w:val="3CAB3945"/>
    <w:rsid w:val="3CB13731"/>
    <w:rsid w:val="3CB87FCD"/>
    <w:rsid w:val="3CC66AB0"/>
    <w:rsid w:val="3CC72F54"/>
    <w:rsid w:val="3CCA2A44"/>
    <w:rsid w:val="3CDC4526"/>
    <w:rsid w:val="3CE1179C"/>
    <w:rsid w:val="3CEC29BB"/>
    <w:rsid w:val="3CF655E7"/>
    <w:rsid w:val="3D3466A0"/>
    <w:rsid w:val="3D436353"/>
    <w:rsid w:val="3D4F6AA6"/>
    <w:rsid w:val="3D5926A1"/>
    <w:rsid w:val="3D624A2B"/>
    <w:rsid w:val="3D6D1ABE"/>
    <w:rsid w:val="3D6F0EF6"/>
    <w:rsid w:val="3D7824A0"/>
    <w:rsid w:val="3D8A5D30"/>
    <w:rsid w:val="3DA83F5E"/>
    <w:rsid w:val="3DC11F86"/>
    <w:rsid w:val="3DC41242"/>
    <w:rsid w:val="3DC47494"/>
    <w:rsid w:val="3DE635D3"/>
    <w:rsid w:val="3E063608"/>
    <w:rsid w:val="3E0E4BB3"/>
    <w:rsid w:val="3E133F77"/>
    <w:rsid w:val="3E1D4DF6"/>
    <w:rsid w:val="3E1F1F35"/>
    <w:rsid w:val="3E3839DE"/>
    <w:rsid w:val="3E3D0FF4"/>
    <w:rsid w:val="3E4E4465"/>
    <w:rsid w:val="3E5F71BC"/>
    <w:rsid w:val="3E691DE9"/>
    <w:rsid w:val="3E950E30"/>
    <w:rsid w:val="3EB219E2"/>
    <w:rsid w:val="3ECA417F"/>
    <w:rsid w:val="3EDB4A95"/>
    <w:rsid w:val="3EE84108"/>
    <w:rsid w:val="3EEF0540"/>
    <w:rsid w:val="3EF1250A"/>
    <w:rsid w:val="3EF21DDE"/>
    <w:rsid w:val="3EF23B8C"/>
    <w:rsid w:val="3F0044FB"/>
    <w:rsid w:val="3F1C50AD"/>
    <w:rsid w:val="3F2226C4"/>
    <w:rsid w:val="3F2301EA"/>
    <w:rsid w:val="3F381EE7"/>
    <w:rsid w:val="3F4B6832"/>
    <w:rsid w:val="3F520ACF"/>
    <w:rsid w:val="3F6144D0"/>
    <w:rsid w:val="3F746C97"/>
    <w:rsid w:val="3FBD23EC"/>
    <w:rsid w:val="3FC217B1"/>
    <w:rsid w:val="3FD634AE"/>
    <w:rsid w:val="3FF51A11"/>
    <w:rsid w:val="3FF94A09"/>
    <w:rsid w:val="40095632"/>
    <w:rsid w:val="401B7113"/>
    <w:rsid w:val="40297A82"/>
    <w:rsid w:val="403F0E94"/>
    <w:rsid w:val="40552625"/>
    <w:rsid w:val="4059016B"/>
    <w:rsid w:val="4065149E"/>
    <w:rsid w:val="407056B1"/>
    <w:rsid w:val="40713C8B"/>
    <w:rsid w:val="40907B01"/>
    <w:rsid w:val="40AB0497"/>
    <w:rsid w:val="40D30687"/>
    <w:rsid w:val="40E42BE6"/>
    <w:rsid w:val="40E63BC5"/>
    <w:rsid w:val="40ED4132"/>
    <w:rsid w:val="40F7192E"/>
    <w:rsid w:val="4138620D"/>
    <w:rsid w:val="414601C0"/>
    <w:rsid w:val="414D16F9"/>
    <w:rsid w:val="4162149D"/>
    <w:rsid w:val="41630D72"/>
    <w:rsid w:val="41663E75"/>
    <w:rsid w:val="416B7C26"/>
    <w:rsid w:val="41742F7F"/>
    <w:rsid w:val="41801923"/>
    <w:rsid w:val="4190606F"/>
    <w:rsid w:val="419C3706"/>
    <w:rsid w:val="41A76EB0"/>
    <w:rsid w:val="41AD1645"/>
    <w:rsid w:val="41BE244C"/>
    <w:rsid w:val="41D35EF7"/>
    <w:rsid w:val="41D41C6F"/>
    <w:rsid w:val="41DA54D8"/>
    <w:rsid w:val="41EC0D67"/>
    <w:rsid w:val="421D7172"/>
    <w:rsid w:val="421F0CDD"/>
    <w:rsid w:val="425D1C65"/>
    <w:rsid w:val="42815953"/>
    <w:rsid w:val="42B775C7"/>
    <w:rsid w:val="42C27D1A"/>
    <w:rsid w:val="42FA5706"/>
    <w:rsid w:val="43217136"/>
    <w:rsid w:val="432B1D8D"/>
    <w:rsid w:val="433724B6"/>
    <w:rsid w:val="43642B0F"/>
    <w:rsid w:val="43661FF0"/>
    <w:rsid w:val="436D3E37"/>
    <w:rsid w:val="437C611B"/>
    <w:rsid w:val="439B2A45"/>
    <w:rsid w:val="43BB1C9D"/>
    <w:rsid w:val="43E832DA"/>
    <w:rsid w:val="44071E88"/>
    <w:rsid w:val="44083439"/>
    <w:rsid w:val="440C3942"/>
    <w:rsid w:val="444924A1"/>
    <w:rsid w:val="44496945"/>
    <w:rsid w:val="44782D86"/>
    <w:rsid w:val="448636F5"/>
    <w:rsid w:val="448E25A9"/>
    <w:rsid w:val="449000D0"/>
    <w:rsid w:val="449D459A"/>
    <w:rsid w:val="44A92F3F"/>
    <w:rsid w:val="44B55D88"/>
    <w:rsid w:val="44C91833"/>
    <w:rsid w:val="44D53D34"/>
    <w:rsid w:val="44E73A68"/>
    <w:rsid w:val="44EE3048"/>
    <w:rsid w:val="44FC5765"/>
    <w:rsid w:val="45060392"/>
    <w:rsid w:val="452D1DC2"/>
    <w:rsid w:val="45392515"/>
    <w:rsid w:val="45462E84"/>
    <w:rsid w:val="457F1EF2"/>
    <w:rsid w:val="459C2AA4"/>
    <w:rsid w:val="45A3757D"/>
    <w:rsid w:val="45A8769B"/>
    <w:rsid w:val="45C142B9"/>
    <w:rsid w:val="45C53DA9"/>
    <w:rsid w:val="45C67B21"/>
    <w:rsid w:val="45CE5353"/>
    <w:rsid w:val="45E00BE3"/>
    <w:rsid w:val="45E05087"/>
    <w:rsid w:val="45F36B68"/>
    <w:rsid w:val="460C741A"/>
    <w:rsid w:val="46187565"/>
    <w:rsid w:val="46205483"/>
    <w:rsid w:val="46364CA7"/>
    <w:rsid w:val="463E1982"/>
    <w:rsid w:val="464C55CA"/>
    <w:rsid w:val="4654337F"/>
    <w:rsid w:val="4654512D"/>
    <w:rsid w:val="466435C2"/>
    <w:rsid w:val="467D3B20"/>
    <w:rsid w:val="46A75BA4"/>
    <w:rsid w:val="46AE747D"/>
    <w:rsid w:val="46B362F7"/>
    <w:rsid w:val="46BD0F24"/>
    <w:rsid w:val="46C329DE"/>
    <w:rsid w:val="46C87FF5"/>
    <w:rsid w:val="47022DDB"/>
    <w:rsid w:val="47190850"/>
    <w:rsid w:val="471E7C15"/>
    <w:rsid w:val="47394A1A"/>
    <w:rsid w:val="473F33F0"/>
    <w:rsid w:val="47470193"/>
    <w:rsid w:val="474A7FBD"/>
    <w:rsid w:val="477535AD"/>
    <w:rsid w:val="477B5067"/>
    <w:rsid w:val="477E06B3"/>
    <w:rsid w:val="47A479CC"/>
    <w:rsid w:val="47B02837"/>
    <w:rsid w:val="47B71E17"/>
    <w:rsid w:val="47B73BC5"/>
    <w:rsid w:val="47BB36B5"/>
    <w:rsid w:val="47CD234C"/>
    <w:rsid w:val="47CE4630"/>
    <w:rsid w:val="47FB7F56"/>
    <w:rsid w:val="4820176A"/>
    <w:rsid w:val="48372B88"/>
    <w:rsid w:val="483732BB"/>
    <w:rsid w:val="484F00F8"/>
    <w:rsid w:val="486073FE"/>
    <w:rsid w:val="48657AC5"/>
    <w:rsid w:val="48671147"/>
    <w:rsid w:val="48A26623"/>
    <w:rsid w:val="48AC74A2"/>
    <w:rsid w:val="48B00D40"/>
    <w:rsid w:val="48C7608A"/>
    <w:rsid w:val="48C77E38"/>
    <w:rsid w:val="48EA708C"/>
    <w:rsid w:val="48EB7FCA"/>
    <w:rsid w:val="48F0738F"/>
    <w:rsid w:val="48F1440C"/>
    <w:rsid w:val="49090450"/>
    <w:rsid w:val="49262DB0"/>
    <w:rsid w:val="49325BF9"/>
    <w:rsid w:val="493556E9"/>
    <w:rsid w:val="493C0826"/>
    <w:rsid w:val="494E0559"/>
    <w:rsid w:val="495A0CAC"/>
    <w:rsid w:val="49703BC1"/>
    <w:rsid w:val="499C3073"/>
    <w:rsid w:val="49A308A5"/>
    <w:rsid w:val="49DF7431"/>
    <w:rsid w:val="49E8450A"/>
    <w:rsid w:val="49FB423D"/>
    <w:rsid w:val="4A0B4816"/>
    <w:rsid w:val="4A396B13"/>
    <w:rsid w:val="4A4344BB"/>
    <w:rsid w:val="4A4A21E7"/>
    <w:rsid w:val="4A4F206C"/>
    <w:rsid w:val="4A4F6337"/>
    <w:rsid w:val="4A525E27"/>
    <w:rsid w:val="4A547DF1"/>
    <w:rsid w:val="4A590F64"/>
    <w:rsid w:val="4A712751"/>
    <w:rsid w:val="4A78588E"/>
    <w:rsid w:val="4A7B712C"/>
    <w:rsid w:val="4A9106FD"/>
    <w:rsid w:val="4A935002"/>
    <w:rsid w:val="4ABE0FEA"/>
    <w:rsid w:val="4AC960E9"/>
    <w:rsid w:val="4AE90539"/>
    <w:rsid w:val="4AF173EE"/>
    <w:rsid w:val="4AFD7B20"/>
    <w:rsid w:val="4B0B592B"/>
    <w:rsid w:val="4B180E1F"/>
    <w:rsid w:val="4B1871BC"/>
    <w:rsid w:val="4B221C9D"/>
    <w:rsid w:val="4B337A07"/>
    <w:rsid w:val="4B3A2B43"/>
    <w:rsid w:val="4B417B3B"/>
    <w:rsid w:val="4B49722A"/>
    <w:rsid w:val="4B4C5E94"/>
    <w:rsid w:val="4B560161"/>
    <w:rsid w:val="4B6C4CC7"/>
    <w:rsid w:val="4B9721E7"/>
    <w:rsid w:val="4BB548C0"/>
    <w:rsid w:val="4BBF44B7"/>
    <w:rsid w:val="4BC35D95"/>
    <w:rsid w:val="4BC845F3"/>
    <w:rsid w:val="4BCB7C3F"/>
    <w:rsid w:val="4BD302E8"/>
    <w:rsid w:val="4BDC3BFA"/>
    <w:rsid w:val="4BF76C86"/>
    <w:rsid w:val="4C1710D6"/>
    <w:rsid w:val="4C3457E4"/>
    <w:rsid w:val="4C46376A"/>
    <w:rsid w:val="4C51283A"/>
    <w:rsid w:val="4C5145E8"/>
    <w:rsid w:val="4C991AEB"/>
    <w:rsid w:val="4CB93F3C"/>
    <w:rsid w:val="4CC823D1"/>
    <w:rsid w:val="4CEC2563"/>
    <w:rsid w:val="4CEF5BAF"/>
    <w:rsid w:val="4D0D6D01"/>
    <w:rsid w:val="4D330192"/>
    <w:rsid w:val="4D453A21"/>
    <w:rsid w:val="4D4F5D33"/>
    <w:rsid w:val="4D7D140D"/>
    <w:rsid w:val="4D866514"/>
    <w:rsid w:val="4D9D385D"/>
    <w:rsid w:val="4D9F3DFE"/>
    <w:rsid w:val="4D9F75D5"/>
    <w:rsid w:val="4DA4699A"/>
    <w:rsid w:val="4DAE7818"/>
    <w:rsid w:val="4DBF37D4"/>
    <w:rsid w:val="4DCC7901"/>
    <w:rsid w:val="4DF72F6D"/>
    <w:rsid w:val="4DFF1E22"/>
    <w:rsid w:val="4E067654"/>
    <w:rsid w:val="4E265601"/>
    <w:rsid w:val="4E2D4BE1"/>
    <w:rsid w:val="4E4361B3"/>
    <w:rsid w:val="4E797E26"/>
    <w:rsid w:val="4E7A0970"/>
    <w:rsid w:val="4E902B82"/>
    <w:rsid w:val="4EA4460F"/>
    <w:rsid w:val="4EAA7FE0"/>
    <w:rsid w:val="4EB8094F"/>
    <w:rsid w:val="4EBE3A8B"/>
    <w:rsid w:val="4ECB3EC4"/>
    <w:rsid w:val="4ECF5F09"/>
    <w:rsid w:val="4ED17C62"/>
    <w:rsid w:val="4ED7443A"/>
    <w:rsid w:val="4EDB0029"/>
    <w:rsid w:val="4EDB63EB"/>
    <w:rsid w:val="4EE23C1E"/>
    <w:rsid w:val="4EF61477"/>
    <w:rsid w:val="4F041DE6"/>
    <w:rsid w:val="4F073684"/>
    <w:rsid w:val="4F1B712F"/>
    <w:rsid w:val="4F1E452A"/>
    <w:rsid w:val="4F271C05"/>
    <w:rsid w:val="4F2935FA"/>
    <w:rsid w:val="4F354AF0"/>
    <w:rsid w:val="4F364100"/>
    <w:rsid w:val="4F493C9D"/>
    <w:rsid w:val="4F4A531F"/>
    <w:rsid w:val="4F4C72E9"/>
    <w:rsid w:val="4F4E3061"/>
    <w:rsid w:val="4F5213AA"/>
    <w:rsid w:val="4F5A7C58"/>
    <w:rsid w:val="4F5F701C"/>
    <w:rsid w:val="4F631436"/>
    <w:rsid w:val="4F644633"/>
    <w:rsid w:val="4F6F4D85"/>
    <w:rsid w:val="4FA26F09"/>
    <w:rsid w:val="4FC926E8"/>
    <w:rsid w:val="4FCD7E47"/>
    <w:rsid w:val="4FD07F1A"/>
    <w:rsid w:val="4FE237A9"/>
    <w:rsid w:val="4FE45773"/>
    <w:rsid w:val="4FF37F88"/>
    <w:rsid w:val="50010E75"/>
    <w:rsid w:val="500951DA"/>
    <w:rsid w:val="500B71A4"/>
    <w:rsid w:val="50442F52"/>
    <w:rsid w:val="50504BB7"/>
    <w:rsid w:val="5052092F"/>
    <w:rsid w:val="506E47A1"/>
    <w:rsid w:val="50903205"/>
    <w:rsid w:val="50B138A7"/>
    <w:rsid w:val="50D17AA6"/>
    <w:rsid w:val="50DD28EE"/>
    <w:rsid w:val="50E772C9"/>
    <w:rsid w:val="50F639B0"/>
    <w:rsid w:val="51031C29"/>
    <w:rsid w:val="510C6D30"/>
    <w:rsid w:val="511B51C5"/>
    <w:rsid w:val="51281A97"/>
    <w:rsid w:val="51293FA8"/>
    <w:rsid w:val="513E2C61"/>
    <w:rsid w:val="51735001"/>
    <w:rsid w:val="51840FBC"/>
    <w:rsid w:val="519F5DF6"/>
    <w:rsid w:val="519F7BA4"/>
    <w:rsid w:val="51B034A6"/>
    <w:rsid w:val="51B7313F"/>
    <w:rsid w:val="51F779E0"/>
    <w:rsid w:val="521A1920"/>
    <w:rsid w:val="523C1897"/>
    <w:rsid w:val="52481FEA"/>
    <w:rsid w:val="52641EA1"/>
    <w:rsid w:val="529E3155"/>
    <w:rsid w:val="52A66D10"/>
    <w:rsid w:val="52B23907"/>
    <w:rsid w:val="534A1D91"/>
    <w:rsid w:val="535255DE"/>
    <w:rsid w:val="536C61AC"/>
    <w:rsid w:val="536F7A4A"/>
    <w:rsid w:val="53820C47"/>
    <w:rsid w:val="5382152B"/>
    <w:rsid w:val="5386726D"/>
    <w:rsid w:val="539A4AC7"/>
    <w:rsid w:val="53AC47FA"/>
    <w:rsid w:val="53B813F1"/>
    <w:rsid w:val="53BA0CC5"/>
    <w:rsid w:val="53C71634"/>
    <w:rsid w:val="53C90F08"/>
    <w:rsid w:val="53CA4C80"/>
    <w:rsid w:val="53E2646E"/>
    <w:rsid w:val="53EB5322"/>
    <w:rsid w:val="53FD4EA4"/>
    <w:rsid w:val="54065E4B"/>
    <w:rsid w:val="541D41D7"/>
    <w:rsid w:val="546B1FBF"/>
    <w:rsid w:val="54774E08"/>
    <w:rsid w:val="5481748E"/>
    <w:rsid w:val="548E3F00"/>
    <w:rsid w:val="54D656E7"/>
    <w:rsid w:val="54E3249D"/>
    <w:rsid w:val="55180399"/>
    <w:rsid w:val="55254864"/>
    <w:rsid w:val="552E3F02"/>
    <w:rsid w:val="55570796"/>
    <w:rsid w:val="55651104"/>
    <w:rsid w:val="556970ED"/>
    <w:rsid w:val="556C5FEF"/>
    <w:rsid w:val="557355CF"/>
    <w:rsid w:val="557B0928"/>
    <w:rsid w:val="558744DF"/>
    <w:rsid w:val="5591623E"/>
    <w:rsid w:val="559756F6"/>
    <w:rsid w:val="55A449F9"/>
    <w:rsid w:val="55CE68B2"/>
    <w:rsid w:val="55D342C0"/>
    <w:rsid w:val="55DD6EED"/>
    <w:rsid w:val="55FD133D"/>
    <w:rsid w:val="55FF50B5"/>
    <w:rsid w:val="56170651"/>
    <w:rsid w:val="561D553B"/>
    <w:rsid w:val="567D5FDA"/>
    <w:rsid w:val="56835CE6"/>
    <w:rsid w:val="5696457B"/>
    <w:rsid w:val="569E48CE"/>
    <w:rsid w:val="56B91708"/>
    <w:rsid w:val="56BA0FDC"/>
    <w:rsid w:val="56E46059"/>
    <w:rsid w:val="56FC7846"/>
    <w:rsid w:val="56FF2E93"/>
    <w:rsid w:val="570D3802"/>
    <w:rsid w:val="5726041F"/>
    <w:rsid w:val="57284198"/>
    <w:rsid w:val="574850A8"/>
    <w:rsid w:val="57566F57"/>
    <w:rsid w:val="57631674"/>
    <w:rsid w:val="5769191A"/>
    <w:rsid w:val="57835872"/>
    <w:rsid w:val="579502B5"/>
    <w:rsid w:val="579E445A"/>
    <w:rsid w:val="57A2219C"/>
    <w:rsid w:val="57A5601C"/>
    <w:rsid w:val="57BB500C"/>
    <w:rsid w:val="57C50FD8"/>
    <w:rsid w:val="57D367F9"/>
    <w:rsid w:val="57D8796C"/>
    <w:rsid w:val="57E04A72"/>
    <w:rsid w:val="57EC3417"/>
    <w:rsid w:val="57EE718F"/>
    <w:rsid w:val="580A1AEF"/>
    <w:rsid w:val="580C5867"/>
    <w:rsid w:val="5813309A"/>
    <w:rsid w:val="58262DCD"/>
    <w:rsid w:val="582639A9"/>
    <w:rsid w:val="58462323"/>
    <w:rsid w:val="585005F1"/>
    <w:rsid w:val="5857218C"/>
    <w:rsid w:val="586C60BB"/>
    <w:rsid w:val="586C6306"/>
    <w:rsid w:val="586F074C"/>
    <w:rsid w:val="58773629"/>
    <w:rsid w:val="58863118"/>
    <w:rsid w:val="588875E4"/>
    <w:rsid w:val="58A236C4"/>
    <w:rsid w:val="58A6106F"/>
    <w:rsid w:val="58BB19DA"/>
    <w:rsid w:val="58BD3776"/>
    <w:rsid w:val="58CD4FF7"/>
    <w:rsid w:val="58D04AE7"/>
    <w:rsid w:val="58D354A2"/>
    <w:rsid w:val="58D50A2B"/>
    <w:rsid w:val="58DC348C"/>
    <w:rsid w:val="58E14F46"/>
    <w:rsid w:val="58EB1921"/>
    <w:rsid w:val="58EF5DFE"/>
    <w:rsid w:val="58FA068D"/>
    <w:rsid w:val="59142C25"/>
    <w:rsid w:val="5947420F"/>
    <w:rsid w:val="595079D6"/>
    <w:rsid w:val="59796F2C"/>
    <w:rsid w:val="5988716F"/>
    <w:rsid w:val="598B6C60"/>
    <w:rsid w:val="598F49A2"/>
    <w:rsid w:val="59A211FA"/>
    <w:rsid w:val="59B14918"/>
    <w:rsid w:val="59E545C2"/>
    <w:rsid w:val="59EF71EF"/>
    <w:rsid w:val="59F760A3"/>
    <w:rsid w:val="59FA62BF"/>
    <w:rsid w:val="59FB5B93"/>
    <w:rsid w:val="59FD190B"/>
    <w:rsid w:val="59FD5DAF"/>
    <w:rsid w:val="5A1F24D9"/>
    <w:rsid w:val="5A1F5D26"/>
    <w:rsid w:val="5A252BE9"/>
    <w:rsid w:val="5A2B7ED4"/>
    <w:rsid w:val="5A366BCB"/>
    <w:rsid w:val="5A4E2167"/>
    <w:rsid w:val="5A511C57"/>
    <w:rsid w:val="5A5A0B0C"/>
    <w:rsid w:val="5A7D0C9E"/>
    <w:rsid w:val="5A8913F1"/>
    <w:rsid w:val="5A8E07B6"/>
    <w:rsid w:val="5A990166"/>
    <w:rsid w:val="5A9A53AC"/>
    <w:rsid w:val="5AA601F5"/>
    <w:rsid w:val="5ABB43A0"/>
    <w:rsid w:val="5ABB5323"/>
    <w:rsid w:val="5ADC59C5"/>
    <w:rsid w:val="5AE27510"/>
    <w:rsid w:val="5AE76118"/>
    <w:rsid w:val="5AEF2766"/>
    <w:rsid w:val="5B0D23E6"/>
    <w:rsid w:val="5B1E422F"/>
    <w:rsid w:val="5B1F3B03"/>
    <w:rsid w:val="5B231846"/>
    <w:rsid w:val="5B2D7FCE"/>
    <w:rsid w:val="5B372BFB"/>
    <w:rsid w:val="5B4377F2"/>
    <w:rsid w:val="5B480469"/>
    <w:rsid w:val="5B765E19"/>
    <w:rsid w:val="5B8A2C45"/>
    <w:rsid w:val="5B8B2F47"/>
    <w:rsid w:val="5B977B3E"/>
    <w:rsid w:val="5BAF4E87"/>
    <w:rsid w:val="5BBB1A7E"/>
    <w:rsid w:val="5BC701EB"/>
    <w:rsid w:val="5BD90156"/>
    <w:rsid w:val="5BEA5EBF"/>
    <w:rsid w:val="5BF46D3E"/>
    <w:rsid w:val="5BF63C0C"/>
    <w:rsid w:val="5BFE5E0F"/>
    <w:rsid w:val="5C1B5108"/>
    <w:rsid w:val="5C2259C4"/>
    <w:rsid w:val="5C3D06E5"/>
    <w:rsid w:val="5C451348"/>
    <w:rsid w:val="5C4750C0"/>
    <w:rsid w:val="5C4E28F2"/>
    <w:rsid w:val="5C5679F9"/>
    <w:rsid w:val="5C5B6DBD"/>
    <w:rsid w:val="5C5F065B"/>
    <w:rsid w:val="5C675762"/>
    <w:rsid w:val="5C67780D"/>
    <w:rsid w:val="5C6914DA"/>
    <w:rsid w:val="5C853E3A"/>
    <w:rsid w:val="5CA93FCD"/>
    <w:rsid w:val="5CB85FBE"/>
    <w:rsid w:val="5CD1707F"/>
    <w:rsid w:val="5CE84AF5"/>
    <w:rsid w:val="5CED3EB9"/>
    <w:rsid w:val="5D0730BE"/>
    <w:rsid w:val="5D292A17"/>
    <w:rsid w:val="5D423AD9"/>
    <w:rsid w:val="5D437F7D"/>
    <w:rsid w:val="5D5C103F"/>
    <w:rsid w:val="5D6B74D4"/>
    <w:rsid w:val="5D7A14C5"/>
    <w:rsid w:val="5D8D11F8"/>
    <w:rsid w:val="5D997B9D"/>
    <w:rsid w:val="5D9C58DF"/>
    <w:rsid w:val="5DC866D4"/>
    <w:rsid w:val="5DD46E27"/>
    <w:rsid w:val="5DD75377"/>
    <w:rsid w:val="5DF509FC"/>
    <w:rsid w:val="5E192A8C"/>
    <w:rsid w:val="5E196F30"/>
    <w:rsid w:val="5E2B5598"/>
    <w:rsid w:val="5E347A7F"/>
    <w:rsid w:val="5E361890"/>
    <w:rsid w:val="5E473A9D"/>
    <w:rsid w:val="5E522449"/>
    <w:rsid w:val="5E532442"/>
    <w:rsid w:val="5E624433"/>
    <w:rsid w:val="5E783C56"/>
    <w:rsid w:val="5E8B6E7D"/>
    <w:rsid w:val="5E9D190F"/>
    <w:rsid w:val="5EA26F25"/>
    <w:rsid w:val="5ECA3D86"/>
    <w:rsid w:val="5ECB022A"/>
    <w:rsid w:val="5EEC01A1"/>
    <w:rsid w:val="5EF51958"/>
    <w:rsid w:val="5F002C5F"/>
    <w:rsid w:val="5F0059FA"/>
    <w:rsid w:val="5F0E0117"/>
    <w:rsid w:val="5F17377C"/>
    <w:rsid w:val="5F577D10"/>
    <w:rsid w:val="5F652022"/>
    <w:rsid w:val="5F7F1015"/>
    <w:rsid w:val="5F8B5C0B"/>
    <w:rsid w:val="5F9958C6"/>
    <w:rsid w:val="5FCA0872"/>
    <w:rsid w:val="5FD1301C"/>
    <w:rsid w:val="5FD2383A"/>
    <w:rsid w:val="5FDA1BB8"/>
    <w:rsid w:val="5FDA449D"/>
    <w:rsid w:val="5FF16E5B"/>
    <w:rsid w:val="5FF732A1"/>
    <w:rsid w:val="5FF7504F"/>
    <w:rsid w:val="5FF90DC7"/>
    <w:rsid w:val="60114363"/>
    <w:rsid w:val="601B2AEB"/>
    <w:rsid w:val="602045A6"/>
    <w:rsid w:val="602D281F"/>
    <w:rsid w:val="602F2A3B"/>
    <w:rsid w:val="60433DF0"/>
    <w:rsid w:val="606B4B75"/>
    <w:rsid w:val="60795A64"/>
    <w:rsid w:val="609D0757"/>
    <w:rsid w:val="60A772F7"/>
    <w:rsid w:val="60D40EEC"/>
    <w:rsid w:val="60DD2497"/>
    <w:rsid w:val="60E03D35"/>
    <w:rsid w:val="60E2185B"/>
    <w:rsid w:val="60EA1DB5"/>
    <w:rsid w:val="60F375C4"/>
    <w:rsid w:val="610E43FE"/>
    <w:rsid w:val="611E6CB6"/>
    <w:rsid w:val="611E7364"/>
    <w:rsid w:val="61300818"/>
    <w:rsid w:val="61572249"/>
    <w:rsid w:val="616C7377"/>
    <w:rsid w:val="61720E31"/>
    <w:rsid w:val="617F70AA"/>
    <w:rsid w:val="619743F4"/>
    <w:rsid w:val="61B72CE8"/>
    <w:rsid w:val="61EE5FDE"/>
    <w:rsid w:val="61FA38A4"/>
    <w:rsid w:val="62025C78"/>
    <w:rsid w:val="62051CA5"/>
    <w:rsid w:val="621B3277"/>
    <w:rsid w:val="62285994"/>
    <w:rsid w:val="62312A9A"/>
    <w:rsid w:val="623600B0"/>
    <w:rsid w:val="62382A94"/>
    <w:rsid w:val="624F1172"/>
    <w:rsid w:val="625978FB"/>
    <w:rsid w:val="627209BD"/>
    <w:rsid w:val="62922E0D"/>
    <w:rsid w:val="62B13FEC"/>
    <w:rsid w:val="62C31218"/>
    <w:rsid w:val="62D96C8E"/>
    <w:rsid w:val="631D4DCC"/>
    <w:rsid w:val="632B573B"/>
    <w:rsid w:val="63435BFE"/>
    <w:rsid w:val="63495BC1"/>
    <w:rsid w:val="63514353"/>
    <w:rsid w:val="635B58F5"/>
    <w:rsid w:val="63626C83"/>
    <w:rsid w:val="636B5B38"/>
    <w:rsid w:val="638B7F88"/>
    <w:rsid w:val="638E1826"/>
    <w:rsid w:val="639F3A33"/>
    <w:rsid w:val="63BA6ABF"/>
    <w:rsid w:val="63D01E3F"/>
    <w:rsid w:val="63E17047"/>
    <w:rsid w:val="63FC70D8"/>
    <w:rsid w:val="64090718"/>
    <w:rsid w:val="640E2967"/>
    <w:rsid w:val="644B7E75"/>
    <w:rsid w:val="64502F80"/>
    <w:rsid w:val="64642437"/>
    <w:rsid w:val="646F78AA"/>
    <w:rsid w:val="64754794"/>
    <w:rsid w:val="64966BE4"/>
    <w:rsid w:val="64A77044"/>
    <w:rsid w:val="64AC465A"/>
    <w:rsid w:val="64B74DEC"/>
    <w:rsid w:val="64E073C1"/>
    <w:rsid w:val="64EF4547"/>
    <w:rsid w:val="65006754"/>
    <w:rsid w:val="651915C4"/>
    <w:rsid w:val="6530528B"/>
    <w:rsid w:val="65404DA2"/>
    <w:rsid w:val="65640A91"/>
    <w:rsid w:val="65670581"/>
    <w:rsid w:val="65943D1D"/>
    <w:rsid w:val="65BF03BD"/>
    <w:rsid w:val="65CA7BEF"/>
    <w:rsid w:val="65FE7137"/>
    <w:rsid w:val="660B383D"/>
    <w:rsid w:val="661A3845"/>
    <w:rsid w:val="66641A48"/>
    <w:rsid w:val="66800B44"/>
    <w:rsid w:val="668B029F"/>
    <w:rsid w:val="668B64F1"/>
    <w:rsid w:val="668F5FE1"/>
    <w:rsid w:val="66903B07"/>
    <w:rsid w:val="669728A9"/>
    <w:rsid w:val="66A65DD2"/>
    <w:rsid w:val="66AF0431"/>
    <w:rsid w:val="66AF21DF"/>
    <w:rsid w:val="66C32D2D"/>
    <w:rsid w:val="66D659BE"/>
    <w:rsid w:val="66EC768B"/>
    <w:rsid w:val="66F75934"/>
    <w:rsid w:val="66FC0A94"/>
    <w:rsid w:val="66FE4F15"/>
    <w:rsid w:val="670C5884"/>
    <w:rsid w:val="671604B0"/>
    <w:rsid w:val="6718419B"/>
    <w:rsid w:val="67430B7A"/>
    <w:rsid w:val="674B04DA"/>
    <w:rsid w:val="675E7CBE"/>
    <w:rsid w:val="676F117F"/>
    <w:rsid w:val="67803B7C"/>
    <w:rsid w:val="67A91325"/>
    <w:rsid w:val="67D0065F"/>
    <w:rsid w:val="67EE0AE5"/>
    <w:rsid w:val="67FF0F45"/>
    <w:rsid w:val="67FF2CF3"/>
    <w:rsid w:val="6804655B"/>
    <w:rsid w:val="680731EC"/>
    <w:rsid w:val="68102D20"/>
    <w:rsid w:val="681B7E98"/>
    <w:rsid w:val="682E35D8"/>
    <w:rsid w:val="683E669C"/>
    <w:rsid w:val="685272C6"/>
    <w:rsid w:val="68572B2F"/>
    <w:rsid w:val="6865455A"/>
    <w:rsid w:val="68694610"/>
    <w:rsid w:val="687A05CB"/>
    <w:rsid w:val="688A4CB2"/>
    <w:rsid w:val="689B3FAD"/>
    <w:rsid w:val="68A70E58"/>
    <w:rsid w:val="68AB4C28"/>
    <w:rsid w:val="68C1269E"/>
    <w:rsid w:val="68C35542"/>
    <w:rsid w:val="68CC52CB"/>
    <w:rsid w:val="68E36170"/>
    <w:rsid w:val="68EC5939"/>
    <w:rsid w:val="69012A9A"/>
    <w:rsid w:val="690A37EC"/>
    <w:rsid w:val="69146C72"/>
    <w:rsid w:val="691F0E04"/>
    <w:rsid w:val="6942558D"/>
    <w:rsid w:val="69431305"/>
    <w:rsid w:val="69431EFA"/>
    <w:rsid w:val="6951757E"/>
    <w:rsid w:val="69653029"/>
    <w:rsid w:val="696F3EA8"/>
    <w:rsid w:val="697B0A9F"/>
    <w:rsid w:val="69AE49D0"/>
    <w:rsid w:val="69B55D5F"/>
    <w:rsid w:val="69D21643"/>
    <w:rsid w:val="69F61ED3"/>
    <w:rsid w:val="69FD3262"/>
    <w:rsid w:val="6A070584"/>
    <w:rsid w:val="6A097E59"/>
    <w:rsid w:val="6A1F58CE"/>
    <w:rsid w:val="6A294057"/>
    <w:rsid w:val="6A350C4E"/>
    <w:rsid w:val="6A4811C3"/>
    <w:rsid w:val="6A527A52"/>
    <w:rsid w:val="6A6652AB"/>
    <w:rsid w:val="6A70612A"/>
    <w:rsid w:val="6A86594D"/>
    <w:rsid w:val="6A890F99"/>
    <w:rsid w:val="6A8B4D12"/>
    <w:rsid w:val="6A954981"/>
    <w:rsid w:val="6AA45DD3"/>
    <w:rsid w:val="6AB029CA"/>
    <w:rsid w:val="6AB9187F"/>
    <w:rsid w:val="6ABE6E95"/>
    <w:rsid w:val="6AED5B2E"/>
    <w:rsid w:val="6AF44665"/>
    <w:rsid w:val="6AFB3C45"/>
    <w:rsid w:val="6B07083C"/>
    <w:rsid w:val="6B0F44F0"/>
    <w:rsid w:val="6B250CC2"/>
    <w:rsid w:val="6B2667E8"/>
    <w:rsid w:val="6B2F7D93"/>
    <w:rsid w:val="6B384093"/>
    <w:rsid w:val="6B3E7FD6"/>
    <w:rsid w:val="6B482C03"/>
    <w:rsid w:val="6B4A697B"/>
    <w:rsid w:val="6BB81B36"/>
    <w:rsid w:val="6BC229B5"/>
    <w:rsid w:val="6BE02E3B"/>
    <w:rsid w:val="6BE97164"/>
    <w:rsid w:val="6BF568E6"/>
    <w:rsid w:val="6BFB44F6"/>
    <w:rsid w:val="6C047A0A"/>
    <w:rsid w:val="6C13250C"/>
    <w:rsid w:val="6C2E1DF8"/>
    <w:rsid w:val="6C3311BD"/>
    <w:rsid w:val="6C44161C"/>
    <w:rsid w:val="6C5A2BED"/>
    <w:rsid w:val="6C6C11EE"/>
    <w:rsid w:val="6C7672FB"/>
    <w:rsid w:val="6C944351"/>
    <w:rsid w:val="6C9D1533"/>
    <w:rsid w:val="6CAD21D8"/>
    <w:rsid w:val="6CAE4CE7"/>
    <w:rsid w:val="6CE5766E"/>
    <w:rsid w:val="6CE95D1F"/>
    <w:rsid w:val="6D013069"/>
    <w:rsid w:val="6D0D7C60"/>
    <w:rsid w:val="6D1F7993"/>
    <w:rsid w:val="6D266F73"/>
    <w:rsid w:val="6D32707B"/>
    <w:rsid w:val="6D472E47"/>
    <w:rsid w:val="6D602485"/>
    <w:rsid w:val="6D830EDE"/>
    <w:rsid w:val="6DA02882"/>
    <w:rsid w:val="6DA87C0F"/>
    <w:rsid w:val="6DB834FE"/>
    <w:rsid w:val="6DC9627D"/>
    <w:rsid w:val="6DE2210B"/>
    <w:rsid w:val="6DFF3654"/>
    <w:rsid w:val="6E096679"/>
    <w:rsid w:val="6E184B0E"/>
    <w:rsid w:val="6E4E60D2"/>
    <w:rsid w:val="6E4F6056"/>
    <w:rsid w:val="6E781A51"/>
    <w:rsid w:val="6EA175DF"/>
    <w:rsid w:val="6EA939B8"/>
    <w:rsid w:val="6EAB7EF0"/>
    <w:rsid w:val="6ED760EE"/>
    <w:rsid w:val="6EE61403"/>
    <w:rsid w:val="6EF410D7"/>
    <w:rsid w:val="6EF47F58"/>
    <w:rsid w:val="6F1428B7"/>
    <w:rsid w:val="6F157109"/>
    <w:rsid w:val="6F250D84"/>
    <w:rsid w:val="6F255735"/>
    <w:rsid w:val="6F2C6838"/>
    <w:rsid w:val="6F2F210F"/>
    <w:rsid w:val="6F2F65B3"/>
    <w:rsid w:val="6F3425D5"/>
    <w:rsid w:val="6F3516F0"/>
    <w:rsid w:val="6F573414"/>
    <w:rsid w:val="6F59072F"/>
    <w:rsid w:val="6F743FC6"/>
    <w:rsid w:val="6F791E09"/>
    <w:rsid w:val="6F9E0812"/>
    <w:rsid w:val="6FA348AB"/>
    <w:rsid w:val="6FA80114"/>
    <w:rsid w:val="6FA83C70"/>
    <w:rsid w:val="6FD66A2F"/>
    <w:rsid w:val="6FDB4045"/>
    <w:rsid w:val="702069CF"/>
    <w:rsid w:val="70335578"/>
    <w:rsid w:val="70585696"/>
    <w:rsid w:val="70645DE9"/>
    <w:rsid w:val="70897BFE"/>
    <w:rsid w:val="70B0102E"/>
    <w:rsid w:val="70BE209A"/>
    <w:rsid w:val="70CE307C"/>
    <w:rsid w:val="70E54111"/>
    <w:rsid w:val="70FF3D63"/>
    <w:rsid w:val="714F6A99"/>
    <w:rsid w:val="71551BD5"/>
    <w:rsid w:val="7157594D"/>
    <w:rsid w:val="715D1F38"/>
    <w:rsid w:val="71793B16"/>
    <w:rsid w:val="71A87F57"/>
    <w:rsid w:val="71B92164"/>
    <w:rsid w:val="71BC1C54"/>
    <w:rsid w:val="71C56D5B"/>
    <w:rsid w:val="71CF2F12"/>
    <w:rsid w:val="71E73175"/>
    <w:rsid w:val="71F87130"/>
    <w:rsid w:val="71FD64F5"/>
    <w:rsid w:val="720B7DB3"/>
    <w:rsid w:val="722A3062"/>
    <w:rsid w:val="722E4900"/>
    <w:rsid w:val="72300D2A"/>
    <w:rsid w:val="723D4B43"/>
    <w:rsid w:val="72477770"/>
    <w:rsid w:val="7251239D"/>
    <w:rsid w:val="725849E4"/>
    <w:rsid w:val="729F16E9"/>
    <w:rsid w:val="72B1108D"/>
    <w:rsid w:val="72C139C6"/>
    <w:rsid w:val="72D3334B"/>
    <w:rsid w:val="72E8679E"/>
    <w:rsid w:val="72FF44EF"/>
    <w:rsid w:val="73082F98"/>
    <w:rsid w:val="73091DE9"/>
    <w:rsid w:val="73195CCD"/>
    <w:rsid w:val="733E517F"/>
    <w:rsid w:val="7349576A"/>
    <w:rsid w:val="735A7977"/>
    <w:rsid w:val="73832A2A"/>
    <w:rsid w:val="73836ECE"/>
    <w:rsid w:val="739D4134"/>
    <w:rsid w:val="73AA445A"/>
    <w:rsid w:val="73B057E9"/>
    <w:rsid w:val="73B21561"/>
    <w:rsid w:val="73E21E46"/>
    <w:rsid w:val="73EA4857"/>
    <w:rsid w:val="73F27BAF"/>
    <w:rsid w:val="73FC27DC"/>
    <w:rsid w:val="74082F2F"/>
    <w:rsid w:val="74116287"/>
    <w:rsid w:val="741B2C62"/>
    <w:rsid w:val="74212243"/>
    <w:rsid w:val="742A559B"/>
    <w:rsid w:val="74773F33"/>
    <w:rsid w:val="7499513D"/>
    <w:rsid w:val="74BF3F35"/>
    <w:rsid w:val="74D456DB"/>
    <w:rsid w:val="74E120FE"/>
    <w:rsid w:val="75045DEC"/>
    <w:rsid w:val="75260BD6"/>
    <w:rsid w:val="753366D1"/>
    <w:rsid w:val="753B10E2"/>
    <w:rsid w:val="75442724"/>
    <w:rsid w:val="755A1EB0"/>
    <w:rsid w:val="755B3806"/>
    <w:rsid w:val="755D72AA"/>
    <w:rsid w:val="7561323F"/>
    <w:rsid w:val="75630D65"/>
    <w:rsid w:val="75881389"/>
    <w:rsid w:val="75B01AD0"/>
    <w:rsid w:val="75D67AF0"/>
    <w:rsid w:val="75F23E97"/>
    <w:rsid w:val="76067942"/>
    <w:rsid w:val="76116A13"/>
    <w:rsid w:val="76165DD7"/>
    <w:rsid w:val="761D53B8"/>
    <w:rsid w:val="76206C56"/>
    <w:rsid w:val="76397D18"/>
    <w:rsid w:val="76440B24"/>
    <w:rsid w:val="76452218"/>
    <w:rsid w:val="764F12E9"/>
    <w:rsid w:val="766C59F7"/>
    <w:rsid w:val="76880357"/>
    <w:rsid w:val="769B7323"/>
    <w:rsid w:val="76AD7DBE"/>
    <w:rsid w:val="76B72C22"/>
    <w:rsid w:val="76F51E90"/>
    <w:rsid w:val="76F854DD"/>
    <w:rsid w:val="770E6AAE"/>
    <w:rsid w:val="771D4F43"/>
    <w:rsid w:val="771D53C4"/>
    <w:rsid w:val="772207AC"/>
    <w:rsid w:val="77361253"/>
    <w:rsid w:val="776B3846"/>
    <w:rsid w:val="777A4144"/>
    <w:rsid w:val="779416A9"/>
    <w:rsid w:val="77B21B30"/>
    <w:rsid w:val="77B238DE"/>
    <w:rsid w:val="77C655DB"/>
    <w:rsid w:val="77D50879"/>
    <w:rsid w:val="77E912C9"/>
    <w:rsid w:val="77F55EC0"/>
    <w:rsid w:val="78005169"/>
    <w:rsid w:val="780A196C"/>
    <w:rsid w:val="780F0D30"/>
    <w:rsid w:val="78236589"/>
    <w:rsid w:val="783C764B"/>
    <w:rsid w:val="784529A4"/>
    <w:rsid w:val="7847671C"/>
    <w:rsid w:val="78484242"/>
    <w:rsid w:val="787967AA"/>
    <w:rsid w:val="788D434B"/>
    <w:rsid w:val="78961451"/>
    <w:rsid w:val="78A000BA"/>
    <w:rsid w:val="78B95140"/>
    <w:rsid w:val="78CE2999"/>
    <w:rsid w:val="78E576E0"/>
    <w:rsid w:val="78EF0B61"/>
    <w:rsid w:val="79050385"/>
    <w:rsid w:val="791E0095"/>
    <w:rsid w:val="793547C6"/>
    <w:rsid w:val="793B3DA7"/>
    <w:rsid w:val="79442C5B"/>
    <w:rsid w:val="79BA2F1D"/>
    <w:rsid w:val="79D35156"/>
    <w:rsid w:val="79EB757B"/>
    <w:rsid w:val="7A1249A7"/>
    <w:rsid w:val="7A20571A"/>
    <w:rsid w:val="7A230AC3"/>
    <w:rsid w:val="7A7C6425"/>
    <w:rsid w:val="7A7E3F4B"/>
    <w:rsid w:val="7A813A3B"/>
    <w:rsid w:val="7A9674E6"/>
    <w:rsid w:val="7A9E62BF"/>
    <w:rsid w:val="7AA83C65"/>
    <w:rsid w:val="7AB21FA1"/>
    <w:rsid w:val="7AB4796D"/>
    <w:rsid w:val="7AB5627D"/>
    <w:rsid w:val="7AB83901"/>
    <w:rsid w:val="7ACC115A"/>
    <w:rsid w:val="7ACE4ED2"/>
    <w:rsid w:val="7AD11126"/>
    <w:rsid w:val="7ADC6EC3"/>
    <w:rsid w:val="7ADE49EA"/>
    <w:rsid w:val="7B0B4B36"/>
    <w:rsid w:val="7B130B37"/>
    <w:rsid w:val="7B152B01"/>
    <w:rsid w:val="7B160627"/>
    <w:rsid w:val="7B4110DA"/>
    <w:rsid w:val="7B503B39"/>
    <w:rsid w:val="7B5A49B8"/>
    <w:rsid w:val="7B6E5D6D"/>
    <w:rsid w:val="7B707D38"/>
    <w:rsid w:val="7B8A691F"/>
    <w:rsid w:val="7B8F65E6"/>
    <w:rsid w:val="7B9A1258"/>
    <w:rsid w:val="7B9D5998"/>
    <w:rsid w:val="7BCB459A"/>
    <w:rsid w:val="7BCE0F02"/>
    <w:rsid w:val="7BD866A0"/>
    <w:rsid w:val="7BE75B20"/>
    <w:rsid w:val="7C0E2D00"/>
    <w:rsid w:val="7C105077"/>
    <w:rsid w:val="7C1C4F40"/>
    <w:rsid w:val="7C2154D6"/>
    <w:rsid w:val="7C271099"/>
    <w:rsid w:val="7C405169"/>
    <w:rsid w:val="7C7970C0"/>
    <w:rsid w:val="7C87488F"/>
    <w:rsid w:val="7C8C0936"/>
    <w:rsid w:val="7CA958D6"/>
    <w:rsid w:val="7CAB2FF1"/>
    <w:rsid w:val="7CAE5B6F"/>
    <w:rsid w:val="7CCD11BA"/>
    <w:rsid w:val="7CEC1640"/>
    <w:rsid w:val="7D0F5E99"/>
    <w:rsid w:val="7D140B97"/>
    <w:rsid w:val="7D1C7A4B"/>
    <w:rsid w:val="7D1D7C90"/>
    <w:rsid w:val="7D230DDA"/>
    <w:rsid w:val="7D2A2168"/>
    <w:rsid w:val="7D4B0483"/>
    <w:rsid w:val="7D4D4940"/>
    <w:rsid w:val="7D526BC3"/>
    <w:rsid w:val="7D5675F0"/>
    <w:rsid w:val="7D5947FB"/>
    <w:rsid w:val="7D650510"/>
    <w:rsid w:val="7D692C90"/>
    <w:rsid w:val="7D697134"/>
    <w:rsid w:val="7D891584"/>
    <w:rsid w:val="7D985324"/>
    <w:rsid w:val="7D9D293A"/>
    <w:rsid w:val="7DA0242A"/>
    <w:rsid w:val="7DA06CD3"/>
    <w:rsid w:val="7DA210DA"/>
    <w:rsid w:val="7DA939D5"/>
    <w:rsid w:val="7DC8492D"/>
    <w:rsid w:val="7DD33150"/>
    <w:rsid w:val="7DDA1DE0"/>
    <w:rsid w:val="7DDD71DA"/>
    <w:rsid w:val="7DE844FD"/>
    <w:rsid w:val="7DEC38C1"/>
    <w:rsid w:val="7DF22FC3"/>
    <w:rsid w:val="7E0531ED"/>
    <w:rsid w:val="7E0C0E66"/>
    <w:rsid w:val="7E0D5D12"/>
    <w:rsid w:val="7E186464"/>
    <w:rsid w:val="7E292420"/>
    <w:rsid w:val="7E3314F0"/>
    <w:rsid w:val="7E350DC4"/>
    <w:rsid w:val="7E3F7E95"/>
    <w:rsid w:val="7E6E2528"/>
    <w:rsid w:val="7E8C5F4F"/>
    <w:rsid w:val="7E90249F"/>
    <w:rsid w:val="7EB268B9"/>
    <w:rsid w:val="7EC16AFC"/>
    <w:rsid w:val="7ED95BF4"/>
    <w:rsid w:val="7EDE320A"/>
    <w:rsid w:val="7EEB4EE1"/>
    <w:rsid w:val="7EF70770"/>
    <w:rsid w:val="7F1C1F84"/>
    <w:rsid w:val="7F210E45"/>
    <w:rsid w:val="7F21759B"/>
    <w:rsid w:val="7F364DF4"/>
    <w:rsid w:val="7F385F07"/>
    <w:rsid w:val="7F3C6183"/>
    <w:rsid w:val="7F3D43D5"/>
    <w:rsid w:val="7F4B1859"/>
    <w:rsid w:val="7F5D4A77"/>
    <w:rsid w:val="7F7122D0"/>
    <w:rsid w:val="7F71407E"/>
    <w:rsid w:val="7F785AF7"/>
    <w:rsid w:val="7F840255"/>
    <w:rsid w:val="7F983D01"/>
    <w:rsid w:val="7FA53D28"/>
    <w:rsid w:val="7FB0104A"/>
    <w:rsid w:val="7FB126CD"/>
    <w:rsid w:val="7FBD57A6"/>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nhideWhenUsed="0" w:uiPriority="0" w:semiHidden="0" w:name="heading 3"/>
    <w:lsdException w:qFormat="1" w:uiPriority="99" w:semiHidden="0" w:name="heading 4"/>
    <w:lsdException w:qFormat="1"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9"/>
    <w:pPr>
      <w:keepNext/>
      <w:widowControl/>
      <w:numPr>
        <w:ilvl w:val="0"/>
        <w:numId w:val="1"/>
      </w:numPr>
      <w:jc w:val="center"/>
      <w:outlineLvl w:val="0"/>
    </w:pPr>
    <w:rPr>
      <w:rFonts w:ascii="黑体" w:eastAsia="黑体"/>
      <w:b/>
      <w:sz w:val="52"/>
    </w:rPr>
  </w:style>
  <w:style w:type="paragraph" w:styleId="3">
    <w:name w:val="heading 2"/>
    <w:basedOn w:val="1"/>
    <w:next w:val="1"/>
    <w:autoRedefine/>
    <w:unhideWhenUsed/>
    <w:qFormat/>
    <w:uiPriority w:val="99"/>
    <w:pPr>
      <w:keepNext/>
      <w:keepLines/>
      <w:spacing w:line="416"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beforeLines="0" w:after="260" w:afterLines="0" w:line="416" w:lineRule="auto"/>
      <w:outlineLvl w:val="2"/>
    </w:pPr>
    <w:rPr>
      <w:b/>
      <w:bCs/>
      <w:sz w:val="32"/>
      <w:szCs w:val="32"/>
    </w:rPr>
  </w:style>
  <w:style w:type="paragraph" w:styleId="5">
    <w:name w:val="heading 4"/>
    <w:basedOn w:val="1"/>
    <w:next w:val="1"/>
    <w:autoRedefine/>
    <w:unhideWhenUsed/>
    <w:qFormat/>
    <w:uiPriority w:val="99"/>
    <w:pPr>
      <w:keepNext/>
      <w:keepLines/>
      <w:spacing w:line="500" w:lineRule="exact"/>
      <w:ind w:firstLine="200" w:firstLineChars="200"/>
      <w:jc w:val="left"/>
      <w:outlineLvl w:val="3"/>
    </w:pPr>
    <w:rPr>
      <w:rFonts w:ascii="Arial" w:hAnsi="Arial"/>
      <w:b/>
      <w:bCs/>
      <w:sz w:val="24"/>
      <w:szCs w:val="28"/>
    </w:rPr>
  </w:style>
  <w:style w:type="paragraph" w:styleId="6">
    <w:name w:val="heading 5"/>
    <w:basedOn w:val="1"/>
    <w:next w:val="1"/>
    <w:autoRedefine/>
    <w:unhideWhenUsed/>
    <w:qFormat/>
    <w:uiPriority w:val="99"/>
    <w:pPr>
      <w:keepNext/>
      <w:keepLines/>
      <w:spacing w:line="376" w:lineRule="auto"/>
      <w:outlineLvl w:val="4"/>
    </w:pPr>
    <w:rPr>
      <w:rFonts w:eastAsia="宋体"/>
      <w:b/>
      <w:bCs/>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adjustRightInd w:val="0"/>
      <w:spacing w:line="360" w:lineRule="atLeast"/>
      <w:ind w:firstLine="482"/>
      <w:textAlignment w:val="baseline"/>
    </w:pPr>
    <w:rPr>
      <w:kern w:val="0"/>
      <w:sz w:val="24"/>
      <w:szCs w:val="20"/>
    </w:rPr>
  </w:style>
  <w:style w:type="paragraph" w:styleId="8">
    <w:name w:val="annotation text"/>
    <w:basedOn w:val="1"/>
    <w:autoRedefine/>
    <w:qFormat/>
    <w:uiPriority w:val="0"/>
    <w:pPr>
      <w:jc w:val="left"/>
    </w:pPr>
  </w:style>
  <w:style w:type="paragraph" w:styleId="9">
    <w:name w:val="Body Text"/>
    <w:basedOn w:val="1"/>
    <w:autoRedefine/>
    <w:qFormat/>
    <w:uiPriority w:val="99"/>
    <w:rPr>
      <w:rFonts w:ascii="金山简黑体" w:hAnsi="Courier New" w:eastAsia="金山简黑体" w:cs="Times New Roman"/>
      <w:b/>
      <w:spacing w:val="-8"/>
      <w:sz w:val="44"/>
      <w:szCs w:val="20"/>
    </w:rPr>
  </w:style>
  <w:style w:type="paragraph" w:styleId="10">
    <w:name w:val="Body Text Indent"/>
    <w:basedOn w:val="1"/>
    <w:next w:val="1"/>
    <w:autoRedefine/>
    <w:qFormat/>
    <w:uiPriority w:val="99"/>
    <w:pPr>
      <w:spacing w:line="200" w:lineRule="exact"/>
      <w:ind w:left="200" w:leftChars="200" w:firstLine="301"/>
    </w:pPr>
    <w:rPr>
      <w:rFonts w:ascii="宋体" w:hAnsi="Courier New" w:eastAsia="宋体" w:cs="Times New Roman"/>
      <w:spacing w:val="-4"/>
      <w:szCs w:val="20"/>
    </w:rPr>
  </w:style>
  <w:style w:type="paragraph" w:styleId="11">
    <w:name w:val="List 2"/>
    <w:basedOn w:val="1"/>
    <w:autoRedefine/>
    <w:qFormat/>
    <w:uiPriority w:val="99"/>
    <w:pPr>
      <w:ind w:left="100" w:leftChars="200" w:hanging="200" w:hangingChars="200"/>
      <w:contextualSpacing/>
    </w:pPr>
  </w:style>
  <w:style w:type="paragraph" w:styleId="12">
    <w:name w:val="Plain Text"/>
    <w:basedOn w:val="1"/>
    <w:autoRedefine/>
    <w:qFormat/>
    <w:uiPriority w:val="0"/>
    <w:rPr>
      <w:rFonts w:ascii="宋体" w:hAnsi="Courier New" w:eastAsia="宋体" w:cs="Courier New"/>
      <w:szCs w:val="21"/>
    </w:rPr>
  </w:style>
  <w:style w:type="paragraph" w:styleId="13">
    <w:name w:val="Body Text Indent 2"/>
    <w:basedOn w:val="1"/>
    <w:autoRedefine/>
    <w:qFormat/>
    <w:uiPriority w:val="99"/>
    <w:pPr>
      <w:spacing w:after="120"/>
      <w:ind w:firstLine="1385" w:firstLineChars="171"/>
    </w:pPr>
    <w:rPr>
      <w:rFonts w:ascii="Times New Roman" w:hAnsi="Times New Roman" w:eastAsia="宋体" w:cs="Times New Roman"/>
      <w:sz w:val="81"/>
    </w:rPr>
  </w:style>
  <w:style w:type="paragraph" w:styleId="14">
    <w:name w:val="footer"/>
    <w:basedOn w:val="1"/>
    <w:autoRedefine/>
    <w:qFormat/>
    <w:uiPriority w:val="99"/>
    <w:pPr>
      <w:tabs>
        <w:tab w:val="center" w:pos="4153"/>
        <w:tab w:val="right" w:pos="8306"/>
      </w:tabs>
      <w:snapToGrid w:val="0"/>
      <w:jc w:val="left"/>
    </w:pPr>
    <w:rPr>
      <w:sz w:val="18"/>
      <w:szCs w:val="18"/>
    </w:rPr>
  </w:style>
  <w:style w:type="paragraph" w:styleId="15">
    <w:name w:val="envelope return"/>
    <w:basedOn w:val="1"/>
    <w:autoRedefine/>
    <w:qFormat/>
    <w:uiPriority w:val="0"/>
    <w:pPr>
      <w:snapToGrid w:val="0"/>
    </w:pPr>
    <w:rPr>
      <w:rFonts w:ascii="Arial" w:hAnsi="Arial"/>
    </w:rPr>
  </w:style>
  <w:style w:type="paragraph" w:styleId="16">
    <w:name w:val="header"/>
    <w:basedOn w:val="1"/>
    <w:link w:val="54"/>
    <w:autoRedefine/>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link w:val="55"/>
    <w:autoRedefine/>
    <w:qFormat/>
    <w:uiPriority w:val="0"/>
    <w:pPr>
      <w:jc w:val="left"/>
    </w:pPr>
    <w:rPr>
      <w:b/>
      <w:bCs/>
      <w:caps/>
      <w:sz w:val="20"/>
      <w:szCs w:val="20"/>
    </w:rPr>
  </w:style>
  <w:style w:type="paragraph" w:styleId="18">
    <w:name w:val="Body Text Indent 3"/>
    <w:basedOn w:val="1"/>
    <w:link w:val="56"/>
    <w:autoRedefine/>
    <w:qFormat/>
    <w:uiPriority w:val="99"/>
    <w:pPr>
      <w:spacing w:line="400" w:lineRule="exact"/>
      <w:ind w:left="360"/>
    </w:pPr>
    <w:rPr>
      <w:rFonts w:ascii="Times New Roman" w:hAnsi="Times New Roman" w:eastAsia="宋体" w:cs="Times New Roman"/>
      <w:sz w:val="24"/>
    </w:rPr>
  </w:style>
  <w:style w:type="paragraph" w:styleId="19">
    <w:name w:val="toc 2"/>
    <w:basedOn w:val="1"/>
    <w:next w:val="1"/>
    <w:link w:val="57"/>
    <w:autoRedefine/>
    <w:qFormat/>
    <w:uiPriority w:val="0"/>
    <w:pPr>
      <w:ind w:left="210"/>
      <w:jc w:val="left"/>
    </w:pPr>
    <w:rPr>
      <w:smallCaps/>
      <w:sz w:val="20"/>
      <w:szCs w:val="20"/>
    </w:rPr>
  </w:style>
  <w:style w:type="paragraph" w:styleId="20">
    <w:name w:val="Body Text 2"/>
    <w:basedOn w:val="1"/>
    <w:autoRedefine/>
    <w:qFormat/>
    <w:uiPriority w:val="99"/>
    <w:rPr>
      <w:rFonts w:ascii="仿宋" w:hAnsi="Verdana" w:eastAsia="仿宋" w:cs="Verdana"/>
      <w:sz w:val="28"/>
    </w:rPr>
  </w:style>
  <w:style w:type="paragraph" w:styleId="21">
    <w:name w:val="Normal (Web)"/>
    <w:basedOn w:val="1"/>
    <w:autoRedefine/>
    <w:unhideWhenUsed/>
    <w:qFormat/>
    <w:uiPriority w:val="99"/>
    <w:pPr>
      <w:spacing w:beforeAutospacing="1" w:afterAutospacing="1"/>
    </w:pPr>
    <w:rPr>
      <w:rFonts w:cs="Times New Roman"/>
      <w:sz w:val="24"/>
      <w:lang w:eastAsia="zh-CN"/>
    </w:rPr>
  </w:style>
  <w:style w:type="paragraph" w:styleId="22">
    <w:name w:val="Title"/>
    <w:basedOn w:val="1"/>
    <w:next w:val="1"/>
    <w:autoRedefine/>
    <w:qFormat/>
    <w:uiPriority w:val="10"/>
    <w:pPr>
      <w:adjustRightInd w:val="0"/>
      <w:spacing w:before="240" w:after="60" w:line="420" w:lineRule="atLeast"/>
      <w:jc w:val="center"/>
      <w:textAlignment w:val="baseline"/>
      <w:outlineLvl w:val="0"/>
    </w:pPr>
    <w:rPr>
      <w:rFonts w:ascii="Arial" w:hAnsi="Arial"/>
      <w:b/>
      <w:kern w:val="0"/>
      <w:sz w:val="32"/>
    </w:rPr>
  </w:style>
  <w:style w:type="paragraph" w:styleId="23">
    <w:name w:val="Body Text First Indent"/>
    <w:basedOn w:val="9"/>
    <w:autoRedefine/>
    <w:qFormat/>
    <w:uiPriority w:val="0"/>
    <w:pPr>
      <w:ind w:firstLine="420" w:firstLineChars="100"/>
    </w:pPr>
  </w:style>
  <w:style w:type="paragraph" w:styleId="24">
    <w:name w:val="Body Text First Indent 2"/>
    <w:basedOn w:val="10"/>
    <w:next w:val="1"/>
    <w:autoRedefine/>
    <w:unhideWhenUsed/>
    <w:qFormat/>
    <w:uiPriority w:val="99"/>
    <w:pPr>
      <w:tabs>
        <w:tab w:val="left" w:pos="360"/>
      </w:tabs>
      <w:ind w:firstLine="420"/>
    </w:pPr>
    <w:rPr>
      <w:kern w:val="2"/>
      <w:sz w:val="24"/>
      <w:szCs w:val="20"/>
      <w:lang w:eastAsia="zh-CN"/>
    </w:rPr>
  </w:style>
  <w:style w:type="table" w:styleId="26">
    <w:name w:val="Table Grid"/>
    <w:basedOn w:val="25"/>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autoRedefine/>
    <w:qFormat/>
    <w:uiPriority w:val="0"/>
    <w:rPr>
      <w:b/>
      <w:bCs/>
    </w:rPr>
  </w:style>
  <w:style w:type="character" w:styleId="29">
    <w:name w:val="page number"/>
    <w:basedOn w:val="27"/>
    <w:autoRedefine/>
    <w:qFormat/>
    <w:uiPriority w:val="0"/>
  </w:style>
  <w:style w:type="character" w:styleId="30">
    <w:name w:val="FollowedHyperlink"/>
    <w:basedOn w:val="27"/>
    <w:autoRedefine/>
    <w:qFormat/>
    <w:uiPriority w:val="0"/>
    <w:rPr>
      <w:color w:val="800080"/>
      <w:u w:val="none"/>
    </w:rPr>
  </w:style>
  <w:style w:type="character" w:styleId="31">
    <w:name w:val="Emphasis"/>
    <w:basedOn w:val="27"/>
    <w:autoRedefine/>
    <w:qFormat/>
    <w:uiPriority w:val="0"/>
    <w:rPr>
      <w:b/>
      <w:bCs/>
    </w:rPr>
  </w:style>
  <w:style w:type="character" w:styleId="32">
    <w:name w:val="HTML Definition"/>
    <w:basedOn w:val="27"/>
    <w:autoRedefine/>
    <w:qFormat/>
    <w:uiPriority w:val="0"/>
  </w:style>
  <w:style w:type="character" w:styleId="33">
    <w:name w:val="HTML Typewriter"/>
    <w:basedOn w:val="27"/>
    <w:autoRedefine/>
    <w:qFormat/>
    <w:uiPriority w:val="0"/>
    <w:rPr>
      <w:rFonts w:hint="default" w:ascii="monospace" w:hAnsi="monospace" w:eastAsia="monospace" w:cs="monospace"/>
      <w:sz w:val="20"/>
    </w:rPr>
  </w:style>
  <w:style w:type="character" w:styleId="34">
    <w:name w:val="HTML Acronym"/>
    <w:basedOn w:val="27"/>
    <w:autoRedefine/>
    <w:qFormat/>
    <w:uiPriority w:val="0"/>
  </w:style>
  <w:style w:type="character" w:styleId="35">
    <w:name w:val="HTML Variable"/>
    <w:basedOn w:val="27"/>
    <w:autoRedefine/>
    <w:qFormat/>
    <w:uiPriority w:val="0"/>
  </w:style>
  <w:style w:type="character" w:styleId="36">
    <w:name w:val="Hyperlink"/>
    <w:basedOn w:val="27"/>
    <w:autoRedefine/>
    <w:qFormat/>
    <w:uiPriority w:val="99"/>
    <w:rPr>
      <w:color w:val="0000FF"/>
      <w:u w:val="single"/>
    </w:rPr>
  </w:style>
  <w:style w:type="character" w:styleId="37">
    <w:name w:val="HTML Code"/>
    <w:basedOn w:val="27"/>
    <w:autoRedefine/>
    <w:qFormat/>
    <w:uiPriority w:val="0"/>
    <w:rPr>
      <w:rFonts w:ascii="monospace" w:hAnsi="monospace" w:eastAsia="monospace" w:cs="monospace"/>
      <w:sz w:val="20"/>
    </w:rPr>
  </w:style>
  <w:style w:type="character" w:styleId="38">
    <w:name w:val="HTML Cite"/>
    <w:basedOn w:val="27"/>
    <w:autoRedefine/>
    <w:qFormat/>
    <w:uiPriority w:val="0"/>
  </w:style>
  <w:style w:type="character" w:styleId="39">
    <w:name w:val="HTML Keyboard"/>
    <w:basedOn w:val="27"/>
    <w:autoRedefine/>
    <w:qFormat/>
    <w:uiPriority w:val="0"/>
    <w:rPr>
      <w:rFonts w:hint="default" w:ascii="monospace" w:hAnsi="monospace" w:eastAsia="monospace" w:cs="monospace"/>
      <w:sz w:val="20"/>
    </w:rPr>
  </w:style>
  <w:style w:type="character" w:styleId="40">
    <w:name w:val="HTML Sample"/>
    <w:basedOn w:val="27"/>
    <w:autoRedefine/>
    <w:qFormat/>
    <w:uiPriority w:val="0"/>
    <w:rPr>
      <w:rFonts w:hint="default" w:ascii="monospace" w:hAnsi="monospace" w:eastAsia="monospace" w:cs="monospace"/>
    </w:rPr>
  </w:style>
  <w:style w:type="paragraph" w:customStyle="1" w:styleId="4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样式 样式 左侧:  2 字符 + 左侧:  0.85 厘米 首行缩进:  2 字符1"/>
    <w:basedOn w:val="1"/>
    <w:autoRedefine/>
    <w:qFormat/>
    <w:uiPriority w:val="0"/>
    <w:pPr>
      <w:ind w:left="482" w:firstLine="200" w:firstLineChars="200"/>
    </w:pPr>
    <w:rPr>
      <w:rFonts w:cs="宋体"/>
    </w:rPr>
  </w:style>
  <w:style w:type="paragraph" w:customStyle="1" w:styleId="43">
    <w:name w:val="二级标题"/>
    <w:basedOn w:val="1"/>
    <w:link w:val="44"/>
    <w:autoRedefine/>
    <w:qFormat/>
    <w:uiPriority w:val="0"/>
    <w:pPr>
      <w:spacing w:line="360" w:lineRule="auto"/>
      <w:ind w:firstLine="640" w:firstLineChars="200"/>
    </w:pPr>
    <w:rPr>
      <w:rFonts w:ascii="Calibri" w:hAnsi="Calibri" w:eastAsia="宋体" w:cs="Times New Roman"/>
      <w:b/>
      <w:kern w:val="0"/>
      <w:sz w:val="24"/>
      <w:szCs w:val="20"/>
    </w:rPr>
  </w:style>
  <w:style w:type="character" w:customStyle="1" w:styleId="44">
    <w:name w:val="二级标题 Char"/>
    <w:link w:val="43"/>
    <w:autoRedefine/>
    <w:qFormat/>
    <w:uiPriority w:val="0"/>
    <w:rPr>
      <w:rFonts w:ascii="Calibri" w:hAnsi="Calibri" w:eastAsia="宋体" w:cs="Times New Roman"/>
      <w:b/>
      <w:kern w:val="0"/>
      <w:sz w:val="24"/>
      <w:szCs w:val="20"/>
    </w:rPr>
  </w:style>
  <w:style w:type="paragraph" w:customStyle="1" w:styleId="45">
    <w:name w:val="样式 标题 2 + Times New Roman 四号 非加粗 段前: 5 磅 段后: 0 磅 行距: 固定值 20..."/>
    <w:basedOn w:val="3"/>
    <w:autoRedefine/>
    <w:qFormat/>
    <w:uiPriority w:val="0"/>
    <w:pPr>
      <w:spacing w:line="400" w:lineRule="exact"/>
    </w:pPr>
    <w:rPr>
      <w:rFonts w:ascii="Times New Roman" w:hAnsi="Times New Roman"/>
      <w:b w:val="0"/>
      <w:bCs w:val="0"/>
      <w:sz w:val="28"/>
      <w:szCs w:val="20"/>
    </w:rPr>
  </w:style>
  <w:style w:type="paragraph" w:customStyle="1" w:styleId="46">
    <w:name w:val="表格文字"/>
    <w:basedOn w:val="1"/>
    <w:autoRedefine/>
    <w:qFormat/>
    <w:uiPriority w:val="0"/>
    <w:pPr>
      <w:adjustRightInd w:val="0"/>
      <w:spacing w:line="420" w:lineRule="atLeast"/>
      <w:jc w:val="left"/>
      <w:textAlignment w:val="baseline"/>
    </w:pPr>
    <w:rPr>
      <w:kern w:val="0"/>
      <w:szCs w:val="20"/>
    </w:rPr>
  </w:style>
  <w:style w:type="paragraph" w:customStyle="1" w:styleId="47">
    <w:name w:val="Default"/>
    <w:autoRedefine/>
    <w:qFormat/>
    <w:uiPriority w:val="0"/>
    <w:pPr>
      <w:widowControl w:val="0"/>
      <w:autoSpaceDE w:val="0"/>
      <w:autoSpaceDN w:val="0"/>
      <w:adjustRightInd w:val="0"/>
    </w:pPr>
    <w:rPr>
      <w:rFonts w:ascii="宋体" w:cs="宋体" w:hAnsiTheme="minorHAnsi" w:eastAsiaTheme="minorEastAsia"/>
      <w:color w:val="000000"/>
      <w:sz w:val="24"/>
      <w:szCs w:val="24"/>
      <w:lang w:val="en-US" w:eastAsia="zh-CN" w:bidi="ar-SA"/>
    </w:rPr>
  </w:style>
  <w:style w:type="paragraph" w:customStyle="1" w:styleId="48">
    <w:name w:val="Table Paragraph"/>
    <w:basedOn w:val="1"/>
    <w:autoRedefine/>
    <w:qFormat/>
    <w:uiPriority w:val="1"/>
    <w:pPr>
      <w:jc w:val="left"/>
    </w:pPr>
    <w:rPr>
      <w:rFonts w:ascii="宋体" w:hAnsi="宋体" w:eastAsia="宋体" w:cs="宋体"/>
      <w:kern w:val="0"/>
      <w:sz w:val="22"/>
      <w:szCs w:val="22"/>
      <w:lang w:eastAsia="en-US"/>
    </w:rPr>
  </w:style>
  <w:style w:type="paragraph" w:customStyle="1" w:styleId="49">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table" w:customStyle="1" w:styleId="50">
    <w:name w:val="Table Normal"/>
    <w:autoRedefine/>
    <w:semiHidden/>
    <w:unhideWhenUsed/>
    <w:qFormat/>
    <w:uiPriority w:val="2"/>
    <w:tblPr>
      <w:tblCellMar>
        <w:top w:w="0" w:type="dxa"/>
        <w:left w:w="0" w:type="dxa"/>
        <w:bottom w:w="0" w:type="dxa"/>
        <w:right w:w="0" w:type="dxa"/>
      </w:tblCellMar>
    </w:tblPr>
  </w:style>
  <w:style w:type="paragraph" w:styleId="51">
    <w:name w:val="List Paragraph"/>
    <w:basedOn w:val="1"/>
    <w:autoRedefine/>
    <w:unhideWhenUsed/>
    <w:qFormat/>
    <w:uiPriority w:val="34"/>
    <w:pPr>
      <w:ind w:firstLine="420" w:firstLineChars="200"/>
    </w:pPr>
  </w:style>
  <w:style w:type="character" w:customStyle="1" w:styleId="52">
    <w:name w:val="font11"/>
    <w:basedOn w:val="27"/>
    <w:autoRedefine/>
    <w:qFormat/>
    <w:uiPriority w:val="0"/>
    <w:rPr>
      <w:rFonts w:hint="eastAsia" w:ascii="宋体" w:hAnsi="宋体" w:eastAsia="宋体" w:cs="宋体"/>
      <w:color w:val="000000"/>
      <w:sz w:val="24"/>
      <w:szCs w:val="24"/>
      <w:u w:val="none"/>
    </w:rPr>
  </w:style>
  <w:style w:type="character" w:customStyle="1" w:styleId="53">
    <w:name w:val="font21"/>
    <w:basedOn w:val="27"/>
    <w:autoRedefine/>
    <w:qFormat/>
    <w:uiPriority w:val="0"/>
    <w:rPr>
      <w:rFonts w:hint="eastAsia" w:ascii="宋体" w:hAnsi="宋体" w:eastAsia="宋体" w:cs="宋体"/>
      <w:color w:val="000000"/>
      <w:sz w:val="24"/>
      <w:szCs w:val="24"/>
      <w:u w:val="none"/>
      <w:vertAlign w:val="superscript"/>
    </w:rPr>
  </w:style>
  <w:style w:type="character" w:customStyle="1" w:styleId="54">
    <w:name w:val="页眉 Char"/>
    <w:link w:val="16"/>
    <w:autoRedefine/>
    <w:qFormat/>
    <w:uiPriority w:val="0"/>
    <w:rPr>
      <w:sz w:val="18"/>
      <w:szCs w:val="18"/>
    </w:rPr>
  </w:style>
  <w:style w:type="character" w:customStyle="1" w:styleId="55">
    <w:name w:val="目录 1 Char"/>
    <w:link w:val="17"/>
    <w:autoRedefine/>
    <w:qFormat/>
    <w:uiPriority w:val="0"/>
    <w:rPr>
      <w:b/>
      <w:bCs/>
      <w:caps/>
      <w:sz w:val="20"/>
      <w:szCs w:val="20"/>
    </w:rPr>
  </w:style>
  <w:style w:type="character" w:customStyle="1" w:styleId="56">
    <w:name w:val="正文文本缩进 3 Char"/>
    <w:link w:val="18"/>
    <w:autoRedefine/>
    <w:qFormat/>
    <w:uiPriority w:val="0"/>
    <w:rPr>
      <w:rFonts w:ascii="Times New Roman" w:hAnsi="Times New Roman" w:eastAsia="宋体" w:cs="Times New Roman"/>
      <w:sz w:val="24"/>
    </w:rPr>
  </w:style>
  <w:style w:type="character" w:customStyle="1" w:styleId="57">
    <w:name w:val="目录 2 Char"/>
    <w:link w:val="19"/>
    <w:autoRedefine/>
    <w:qFormat/>
    <w:uiPriority w:val="0"/>
    <w:rPr>
      <w:smallCaps/>
      <w:sz w:val="20"/>
      <w:szCs w:val="20"/>
    </w:rPr>
  </w:style>
  <w:style w:type="paragraph" w:customStyle="1" w:styleId="58">
    <w:name w:val="WPSOffice手动目录 1"/>
    <w:autoRedefine/>
    <w:qFormat/>
    <w:uiPriority w:val="0"/>
    <w:pPr>
      <w:ind w:leftChars="0"/>
    </w:pPr>
    <w:rPr>
      <w:rFonts w:ascii="Times New Roman" w:hAnsi="Times New Roman" w:eastAsia="宋体" w:cs="Times New Roman"/>
      <w:sz w:val="20"/>
      <w:szCs w:val="20"/>
    </w:rPr>
  </w:style>
  <w:style w:type="paragraph" w:customStyle="1" w:styleId="59">
    <w:name w:val="标题 31"/>
    <w:basedOn w:val="1"/>
    <w:autoRedefine/>
    <w:qFormat/>
    <w:uiPriority w:val="1"/>
    <w:pPr>
      <w:ind w:left="237" w:right="102"/>
      <w:outlineLvl w:val="3"/>
    </w:pPr>
    <w:rPr>
      <w:sz w:val="28"/>
      <w:szCs w:val="28"/>
    </w:rPr>
  </w:style>
  <w:style w:type="paragraph" w:customStyle="1" w:styleId="60">
    <w:name w:val="目录"/>
    <w:basedOn w:val="1"/>
    <w:autoRedefine/>
    <w:qFormat/>
    <w:uiPriority w:val="0"/>
    <w:pPr>
      <w:widowControl/>
      <w:jc w:val="center"/>
    </w:pPr>
    <w:rPr>
      <w:rFonts w:ascii="宋体" w:hAnsi="Times New Roman"/>
      <w:kern w:val="0"/>
      <w:sz w:val="36"/>
      <w:szCs w:val="20"/>
    </w:rPr>
  </w:style>
  <w:style w:type="paragraph" w:customStyle="1" w:styleId="61">
    <w:name w:val="Char"/>
    <w:basedOn w:val="1"/>
    <w:autoRedefine/>
    <w:qFormat/>
    <w:uiPriority w:val="0"/>
    <w:pPr>
      <w:spacing w:line="360" w:lineRule="auto"/>
      <w:ind w:firstLine="200" w:firstLineChars="200"/>
    </w:pPr>
    <w:rPr>
      <w:rFonts w:ascii="宋体" w:hAnsi="宋体" w:cs="宋体"/>
      <w:sz w:val="24"/>
    </w:rPr>
  </w:style>
  <w:style w:type="character" w:customStyle="1" w:styleId="62">
    <w:name w:val="font31"/>
    <w:basedOn w:val="27"/>
    <w:autoRedefine/>
    <w:qFormat/>
    <w:uiPriority w:val="0"/>
    <w:rPr>
      <w:rFonts w:hint="default" w:ascii="方正仿宋简体" w:hAnsi="方正仿宋简体" w:eastAsia="方正仿宋简体" w:cs="方正仿宋简体"/>
      <w:color w:val="000000"/>
      <w:sz w:val="22"/>
      <w:szCs w:val="22"/>
      <w:u w:val="none"/>
    </w:rPr>
  </w:style>
  <w:style w:type="character" w:customStyle="1" w:styleId="63">
    <w:name w:val="font41"/>
    <w:basedOn w:val="27"/>
    <w:autoRedefine/>
    <w:qFormat/>
    <w:uiPriority w:val="0"/>
    <w:rPr>
      <w:rFonts w:hint="default" w:ascii="方正仿宋简体" w:hAnsi="方正仿宋简体" w:eastAsia="方正仿宋简体" w:cs="方正仿宋简体"/>
      <w:b/>
      <w:bCs/>
      <w:color w:val="000000"/>
      <w:sz w:val="22"/>
      <w:szCs w:val="22"/>
      <w:u w:val="none"/>
    </w:rPr>
  </w:style>
  <w:style w:type="paragraph" w:customStyle="1" w:styleId="64">
    <w:name w:val="标题 21"/>
    <w:basedOn w:val="1"/>
    <w:autoRedefine/>
    <w:qFormat/>
    <w:uiPriority w:val="1"/>
    <w:pPr>
      <w:ind w:left="100" w:right="102"/>
      <w:outlineLvl w:val="2"/>
    </w:pPr>
    <w:rPr>
      <w:rFonts w:ascii="Microsoft JhengHei" w:hAnsi="Microsoft JhengHei" w:eastAsia="Microsoft JhengHei" w:cs="Microsoft JhengHei"/>
      <w:b/>
      <w:bCs/>
      <w:sz w:val="32"/>
      <w:szCs w:val="32"/>
    </w:rPr>
  </w:style>
  <w:style w:type="paragraph" w:customStyle="1" w:styleId="65">
    <w:name w:val="Table Text"/>
    <w:basedOn w:val="1"/>
    <w:autoRedefine/>
    <w:semiHidden/>
    <w:qFormat/>
    <w:uiPriority w:val="0"/>
    <w:rPr>
      <w:rFonts w:ascii="宋体" w:hAnsi="宋体" w:eastAsia="宋体" w:cs="宋体"/>
      <w:sz w:val="22"/>
      <w:szCs w:val="22"/>
      <w:lang w:val="en-US" w:eastAsia="en-US" w:bidi="ar-SA"/>
    </w:rPr>
  </w:style>
  <w:style w:type="paragraph" w:customStyle="1" w:styleId="66">
    <w:name w:val="WPSOffice手动目录 2"/>
    <w:autoRedefine/>
    <w:qFormat/>
    <w:uiPriority w:val="0"/>
    <w:pPr>
      <w:ind w:leftChars="200"/>
    </w:pPr>
    <w:rPr>
      <w:rFonts w:ascii="Times New Roman" w:hAnsi="Times New Roman" w:eastAsia="宋体" w:cs="Times New Roman"/>
      <w:sz w:val="20"/>
      <w:szCs w:val="20"/>
    </w:rPr>
  </w:style>
  <w:style w:type="paragraph" w:customStyle="1" w:styleId="67">
    <w:name w:val="WPSOffice手动目录 3"/>
    <w:autoRedefine/>
    <w:qFormat/>
    <w:uiPriority w:val="0"/>
    <w:pPr>
      <w:ind w:leftChars="400"/>
    </w:pPr>
    <w:rPr>
      <w:rFonts w:ascii="Times New Roman" w:hAnsi="Times New Roman" w:eastAsia="宋体" w:cs="Times New Roman"/>
      <w:sz w:val="20"/>
      <w:szCs w:val="20"/>
    </w:rPr>
  </w:style>
  <w:style w:type="paragraph" w:customStyle="1" w:styleId="68">
    <w:name w:val="BodyText"/>
    <w:basedOn w:val="1"/>
    <w:next w:val="69"/>
    <w:autoRedefine/>
    <w:qFormat/>
    <w:uiPriority w:val="0"/>
    <w:pPr>
      <w:spacing w:after="120"/>
    </w:pPr>
    <w:rPr>
      <w:color w:val="000000"/>
    </w:rPr>
  </w:style>
  <w:style w:type="paragraph" w:customStyle="1" w:styleId="69">
    <w:name w:val="PlainText"/>
    <w:basedOn w:val="1"/>
    <w:autoRedefine/>
    <w:qFormat/>
    <w:uiPriority w:val="0"/>
    <w:rPr>
      <w:rFonts w:hAnsi="Courier New"/>
      <w:color w:val="000000"/>
      <w:szCs w:val="20"/>
    </w:rPr>
  </w:style>
  <w:style w:type="character" w:customStyle="1" w:styleId="70">
    <w:name w:val="NormalCharacter"/>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150</Pages>
  <Words>66518</Words>
  <Characters>69891</Characters>
  <Lines>0</Lines>
  <Paragraphs>0</Paragraphs>
  <TotalTime>3</TotalTime>
  <ScaleCrop>false</ScaleCrop>
  <LinksUpToDate>false</LinksUpToDate>
  <CharactersWithSpaces>72581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2022-11-27T13:52:00Z</dcterms:created>
  <dc:creator>Administrator</dc:creator>
  <cp:lastModifiedBy>Administrator</cp:lastModifiedBy>
  <cp:lastPrinted>2024-06-13T03:06:00Z</cp:lastPrinted>
  <dcterms:modified xsi:type="dcterms:W3CDTF">2024-06-21T00:39:14Z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382FB5D22FD9495C8FE23958F0B2A53E</vt:lpwstr>
  </property>
</Properties>
</file>