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3"/>
        <w:rPr>
          <w:color w:val="auto"/>
          <w:highlight w:val="none"/>
        </w:rPr>
      </w:pPr>
    </w:p>
    <w:p>
      <w:pPr>
        <w:spacing w:line="360" w:lineRule="atLeast"/>
        <w:ind w:left="1446" w:hanging="1807" w:hangingChars="450"/>
        <w:jc w:val="center"/>
        <w:rPr>
          <w:rFonts w:hint="default" w:cs="宋体"/>
          <w:b/>
          <w:bCs/>
          <w:color w:val="auto"/>
          <w:kern w:val="0"/>
          <w:sz w:val="36"/>
          <w:szCs w:val="36"/>
          <w:highlight w:val="none"/>
          <w:lang w:val="en-US" w:eastAsia="zh-CN"/>
        </w:rPr>
      </w:pPr>
      <w:r>
        <w:rPr>
          <w:rFonts w:hint="eastAsia" w:cs="宋体"/>
          <w:b/>
          <w:bCs/>
          <w:color w:val="auto"/>
          <w:kern w:val="0"/>
          <w:sz w:val="40"/>
          <w:szCs w:val="40"/>
          <w:highlight w:val="none"/>
          <w:lang w:val="en-US" w:eastAsia="zh-CN"/>
        </w:rPr>
        <w:t>新疆消防救援总队昌吉支队“自然灾害应急能力提升工程”装备配备项目（六）</w:t>
      </w:r>
    </w:p>
    <w:p>
      <w:pPr>
        <w:spacing w:line="360" w:lineRule="atLeast"/>
        <w:ind w:left="1446" w:hanging="1446" w:hangingChars="450"/>
        <w:jc w:val="center"/>
        <w:rPr>
          <w:rFonts w:hint="eastAsia" w:hAnsi="宋体" w:cs="宋体"/>
          <w:b/>
          <w:bCs/>
          <w:color w:val="auto"/>
          <w:kern w:val="0"/>
          <w:sz w:val="32"/>
          <w:szCs w:val="32"/>
          <w:highlight w:val="none"/>
        </w:rPr>
      </w:pPr>
    </w:p>
    <w:p>
      <w:pPr>
        <w:spacing w:line="360" w:lineRule="atLeast"/>
        <w:ind w:left="1446" w:hanging="1446" w:hangingChars="450"/>
        <w:jc w:val="center"/>
        <w:rPr>
          <w:rFonts w:hint="eastAsia" w:hAnsi="宋体" w:cs="宋体"/>
          <w:b/>
          <w:bCs/>
          <w:color w:val="auto"/>
          <w:kern w:val="0"/>
          <w:sz w:val="32"/>
          <w:szCs w:val="32"/>
          <w:highlight w:val="none"/>
        </w:rPr>
      </w:pPr>
    </w:p>
    <w:p>
      <w:pPr>
        <w:spacing w:line="360" w:lineRule="atLeast"/>
        <w:ind w:left="1446" w:hanging="1446" w:hangingChars="450"/>
        <w:jc w:val="center"/>
        <w:rPr>
          <w:rFonts w:hint="default"/>
          <w:color w:val="auto"/>
          <w:sz w:val="30"/>
          <w:szCs w:val="30"/>
          <w:highlight w:val="red"/>
          <w:lang w:val="en-US"/>
        </w:rPr>
      </w:pPr>
      <w:r>
        <w:rPr>
          <w:rFonts w:hint="eastAsia" w:hAnsi="宋体" w:cs="宋体"/>
          <w:b/>
          <w:bCs/>
          <w:color w:val="auto"/>
          <w:kern w:val="0"/>
          <w:sz w:val="32"/>
          <w:szCs w:val="32"/>
          <w:highlight w:val="none"/>
        </w:rPr>
        <w:t>项目编号：</w:t>
      </w:r>
      <w:r>
        <w:rPr>
          <w:rFonts w:hint="eastAsia" w:hAnsi="宋体" w:cs="宋体"/>
          <w:b/>
          <w:bCs/>
          <w:color w:val="auto"/>
          <w:kern w:val="0"/>
          <w:sz w:val="32"/>
          <w:szCs w:val="32"/>
          <w:highlight w:val="none"/>
          <w:lang w:eastAsia="zh-CN"/>
        </w:rPr>
        <w:t>XJWB-2024-ZB-10</w:t>
      </w:r>
      <w:r>
        <w:rPr>
          <w:rFonts w:hint="eastAsia" w:hAnsi="宋体" w:cs="宋体"/>
          <w:b/>
          <w:bCs/>
          <w:color w:val="auto"/>
          <w:kern w:val="0"/>
          <w:sz w:val="32"/>
          <w:szCs w:val="32"/>
          <w:highlight w:val="none"/>
          <w:lang w:val="en-US" w:eastAsia="zh-CN"/>
        </w:rPr>
        <w:t>12</w:t>
      </w:r>
    </w:p>
    <w:p>
      <w:pPr>
        <w:spacing w:line="360" w:lineRule="auto"/>
        <w:jc w:val="center"/>
        <w:rPr>
          <w:rFonts w:hint="eastAsia" w:ascii="宋体" w:hAnsi="宋体" w:cs="宋体"/>
          <w:b/>
          <w:bCs/>
          <w:color w:val="auto"/>
          <w:sz w:val="44"/>
          <w:szCs w:val="44"/>
          <w:highlight w:val="none"/>
        </w:rPr>
      </w:pPr>
    </w:p>
    <w:p>
      <w:pPr>
        <w:spacing w:line="360" w:lineRule="auto"/>
        <w:jc w:val="center"/>
        <w:rPr>
          <w:rFonts w:hint="eastAsia" w:ascii="宋体" w:hAnsi="宋体" w:cs="宋体"/>
          <w:b/>
          <w:bCs/>
          <w:color w:val="auto"/>
          <w:sz w:val="44"/>
          <w:szCs w:val="44"/>
          <w:highlight w:val="none"/>
        </w:rPr>
      </w:pPr>
    </w:p>
    <w:p>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rPr>
          <w:rFonts w:ascii="宋体" w:hAnsi="宋体" w:cs="宋体"/>
          <w:color w:val="auto"/>
          <w:sz w:val="30"/>
          <w:szCs w:val="30"/>
          <w:highlight w:val="none"/>
        </w:rPr>
      </w:pPr>
    </w:p>
    <w:p>
      <w:pPr>
        <w:pStyle w:val="6"/>
        <w:rPr>
          <w:color w:val="auto"/>
          <w:highlight w:val="none"/>
        </w:rPr>
      </w:pPr>
    </w:p>
    <w:p>
      <w:pPr>
        <w:spacing w:line="360" w:lineRule="auto"/>
        <w:rPr>
          <w:rFonts w:hint="default" w:ascii="宋体" w:hAnsi="宋体" w:eastAsia="宋体" w:cs="宋体"/>
          <w:b/>
          <w:bCs/>
          <w:color w:val="auto"/>
          <w:sz w:val="30"/>
          <w:szCs w:val="30"/>
          <w:highlight w:val="none"/>
          <w:lang w:val="en-US" w:eastAsia="zh-CN"/>
        </w:rPr>
      </w:pPr>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w:t>
      </w:r>
      <w:r>
        <w:rPr>
          <w:rFonts w:hint="eastAsia" w:ascii="宋体" w:hAnsi="宋体" w:cs="宋体"/>
          <w:b/>
          <w:bCs/>
          <w:color w:val="auto"/>
          <w:sz w:val="30"/>
          <w:szCs w:val="30"/>
          <w:highlight w:val="none"/>
          <w:lang w:val="en-US" w:eastAsia="zh-CN"/>
        </w:rPr>
        <w:t>昌吉回族自治州消防救援支队</w:t>
      </w:r>
    </w:p>
    <w:p>
      <w:pPr>
        <w:spacing w:line="360" w:lineRule="auto"/>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联系人：米娜</w:t>
      </w:r>
      <w:r>
        <w:rPr>
          <w:rFonts w:hint="eastAsia" w:ascii="宋体" w:hAnsi="宋体" w:cs="宋体"/>
          <w:b/>
          <w:bCs/>
          <w:color w:val="auto"/>
          <w:sz w:val="30"/>
          <w:szCs w:val="30"/>
          <w:highlight w:val="none"/>
          <w:lang w:eastAsia="zh-CN"/>
        </w:rPr>
        <w:t>、郭晓宇</w:t>
      </w:r>
    </w:p>
    <w:p>
      <w:pPr>
        <w:spacing w:line="360" w:lineRule="auto"/>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联系电话：13031398090</w:t>
      </w:r>
      <w:r>
        <w:rPr>
          <w:rFonts w:hint="eastAsia" w:ascii="宋体" w:hAnsi="宋体" w:cs="宋体"/>
          <w:b/>
          <w:bCs/>
          <w:color w:val="auto"/>
          <w:sz w:val="30"/>
          <w:szCs w:val="30"/>
          <w:highlight w:val="none"/>
          <w:lang w:eastAsia="zh-CN"/>
        </w:rPr>
        <w:t>、15769051697</w:t>
      </w:r>
    </w:p>
    <w:p>
      <w:pP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601980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pt;margin-top:0pt;height:0pt;width:474pt;z-index:251660288;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fill on="f" focussize="0,0"/>
                <v:stroke weight="1pt" color="#000000" joinstyle="round" dashstyle="1 1"/>
                <v:imagedata o:title=""/>
                <o:lock v:ext="edit" aspectratio="f"/>
              </v:line>
            </w:pict>
          </mc:Fallback>
        </mc:AlternateContent>
      </w:r>
    </w:p>
    <w:p>
      <w:pPr>
        <w:spacing w:line="360" w:lineRule="auto"/>
        <w:rPr>
          <w:rFonts w:hint="eastAsia" w:ascii="宋体" w:hAnsi="宋体" w:cs="宋体"/>
          <w:b/>
          <w:bCs/>
          <w:color w:val="auto"/>
          <w:sz w:val="30"/>
          <w:szCs w:val="30"/>
          <w:highlight w:val="none"/>
          <w:lang w:val="en-US" w:eastAsia="zh-CN"/>
        </w:rPr>
      </w:pPr>
      <w:bookmarkStart w:id="0" w:name="_Toc120614210"/>
      <w:bookmarkStart w:id="1" w:name="_Toc494375077"/>
      <w:bookmarkStart w:id="2" w:name="_Toc523127445"/>
      <w:bookmarkStart w:id="3" w:name="_Toc513029200"/>
      <w:bookmarkStart w:id="4" w:name="_Toc16938516"/>
      <w:bookmarkStart w:id="5" w:name="_Toc20823272"/>
      <w:bookmarkStart w:id="6" w:name="_Toc479757206"/>
      <w:r>
        <w:rPr>
          <w:rFonts w:hint="eastAsia" w:ascii="宋体" w:hAnsi="宋体" w:cs="宋体"/>
          <w:b/>
          <w:bCs/>
          <w:color w:val="auto"/>
          <w:kern w:val="0"/>
          <w:sz w:val="30"/>
          <w:szCs w:val="30"/>
          <w:highlight w:val="none"/>
        </w:rPr>
        <w:t>招标代理机构（盖章）：新疆文博工程项目管理有限公司</w:t>
      </w:r>
    </w:p>
    <w:p>
      <w:pPr>
        <w:spacing w:line="360" w:lineRule="auto"/>
        <w:rPr>
          <w:rFonts w:hint="eastAsia" w:ascii="宋体" w:hAnsi="宋体" w:eastAsia="宋体" w:cs="宋体"/>
          <w:b/>
          <w:bCs/>
          <w:color w:val="000000" w:themeColor="text1"/>
          <w:kern w:val="0"/>
          <w:sz w:val="30"/>
          <w:szCs w:val="30"/>
          <w:highlight w:val="red"/>
          <w:lang w:val="en-US" w:eastAsia="zh-CN"/>
          <w14:textFill>
            <w14:solidFill>
              <w14:schemeClr w14:val="tx1"/>
            </w14:solidFill>
          </w14:textFill>
        </w:rPr>
      </w:pPr>
      <w:r>
        <w:rPr>
          <w:rFonts w:hint="eastAsia" w:ascii="宋体" w:hAnsi="宋体" w:cs="宋体"/>
          <w:b/>
          <w:bCs/>
          <w:color w:val="000000" w:themeColor="text1"/>
          <w:kern w:val="0"/>
          <w:sz w:val="30"/>
          <w:szCs w:val="30"/>
          <w:highlight w:val="none"/>
          <w14:textFill>
            <w14:solidFill>
              <w14:schemeClr w14:val="tx1"/>
            </w14:solidFill>
          </w14:textFill>
        </w:rPr>
        <w:t>法人代表（盖章）：</w:t>
      </w:r>
      <w:r>
        <w:rPr>
          <w:rFonts w:hint="eastAsia" w:ascii="宋体" w:hAnsi="宋体" w:cs="宋体"/>
          <w:b/>
          <w:bCs/>
          <w:color w:val="000000" w:themeColor="text1"/>
          <w:kern w:val="0"/>
          <w:sz w:val="30"/>
          <w:szCs w:val="30"/>
          <w:highlight w:val="none"/>
          <w:lang w:val="en-US" w:eastAsia="zh-CN"/>
          <w14:textFill>
            <w14:solidFill>
              <w14:schemeClr w14:val="tx1"/>
            </w14:solidFill>
          </w14:textFill>
        </w:rPr>
        <w:t>崔文博</w:t>
      </w:r>
    </w:p>
    <w:p>
      <w:pPr>
        <w:spacing w:line="360" w:lineRule="auto"/>
        <w:rPr>
          <w:rFonts w:hint="default"/>
          <w:lang w:val="en-US" w:eastAsia="zh-CN"/>
        </w:rPr>
      </w:pPr>
      <w:r>
        <w:rPr>
          <w:rFonts w:hint="eastAsia" w:ascii="宋体" w:hAnsi="宋体" w:cs="宋体"/>
          <w:b/>
          <w:bCs/>
          <w:color w:val="auto"/>
          <w:kern w:val="0"/>
          <w:sz w:val="30"/>
          <w:szCs w:val="30"/>
          <w:highlight w:val="none"/>
        </w:rPr>
        <w:t>联系人：</w:t>
      </w:r>
      <w:r>
        <w:rPr>
          <w:rFonts w:hint="eastAsia" w:cs="宋体"/>
          <w:b/>
          <w:bCs/>
          <w:color w:val="auto"/>
          <w:sz w:val="30"/>
          <w:szCs w:val="30"/>
          <w:highlight w:val="none"/>
          <w:lang w:val="en-US" w:eastAsia="zh-CN"/>
        </w:rPr>
        <w:t>张鹭、林雨</w:t>
      </w:r>
    </w:p>
    <w:p>
      <w:pPr>
        <w:spacing w:line="360" w:lineRule="auto"/>
        <w:rPr>
          <w:rFonts w:hint="default" w:ascii="宋体" w:hAnsi="宋体" w:eastAsia="宋体" w:cs="宋体"/>
          <w:b/>
          <w:bCs/>
          <w:color w:val="FF0000"/>
          <w:kern w:val="0"/>
          <w:sz w:val="30"/>
          <w:szCs w:val="30"/>
          <w:highlight w:val="none"/>
          <w:lang w:val="en-US" w:eastAsia="zh-CN"/>
        </w:rPr>
        <w:sectPr>
          <w:footerReference r:id="rId4" w:type="default"/>
          <w:headerReference r:id="rId3" w:type="even"/>
          <w:footerReference r:id="rId5" w:type="even"/>
          <w:pgSz w:w="11906" w:h="16838"/>
          <w:pgMar w:top="1418" w:right="1417" w:bottom="1418" w:left="1417" w:header="851" w:footer="907" w:gutter="0"/>
          <w:pgBorders>
            <w:top w:val="none" w:sz="0" w:space="0"/>
            <w:left w:val="none" w:sz="0" w:space="0"/>
            <w:bottom w:val="none" w:sz="0" w:space="0"/>
            <w:right w:val="none" w:sz="0" w:space="0"/>
          </w:pgBorders>
          <w:pgNumType w:start="1"/>
          <w:cols w:space="720" w:num="1"/>
          <w:titlePg/>
          <w:docGrid w:type="lines" w:linePitch="290" w:charSpace="0"/>
        </w:sectPr>
      </w:pPr>
      <w:r>
        <w:rPr>
          <w:rFonts w:hint="eastAsia" w:ascii="宋体" w:hAnsi="宋体" w:cs="宋体"/>
          <w:b/>
          <w:bCs/>
          <w:color w:val="auto"/>
          <w:kern w:val="0"/>
          <w:sz w:val="30"/>
          <w:szCs w:val="30"/>
          <w:highlight w:val="none"/>
        </w:rPr>
        <w:t>联系电话：</w:t>
      </w:r>
      <w:r>
        <w:rPr>
          <w:rFonts w:hint="eastAsia" w:cs="宋体" w:asciiTheme="minorEastAsia" w:hAnsiTheme="minorEastAsia" w:eastAsiaTheme="minorEastAsia"/>
          <w:b/>
          <w:bCs/>
          <w:color w:val="auto"/>
          <w:sz w:val="30"/>
          <w:szCs w:val="30"/>
          <w:highlight w:val="none"/>
          <w:lang w:val="en-US" w:eastAsia="zh-CN"/>
        </w:rPr>
        <w:t>18809059251</w:t>
      </w:r>
      <w:r>
        <w:rPr>
          <w:rFonts w:hint="eastAsia" w:ascii="宋体" w:hAnsi="宋体" w:cs="宋体"/>
          <w:b/>
          <w:bCs/>
          <w:color w:val="auto"/>
          <w:kern w:val="0"/>
          <w:sz w:val="30"/>
          <w:szCs w:val="30"/>
          <w:highlight w:val="none"/>
          <w:lang w:eastAsia="zh-CN"/>
        </w:rPr>
        <w:t>、</w:t>
      </w:r>
      <w:r>
        <w:rPr>
          <w:rFonts w:hint="eastAsia" w:ascii="宋体" w:hAnsi="宋体" w:cs="宋体"/>
          <w:b/>
          <w:bCs/>
          <w:color w:val="auto"/>
          <w:kern w:val="0"/>
          <w:sz w:val="30"/>
          <w:szCs w:val="30"/>
          <w:highlight w:val="none"/>
          <w:lang w:val="en-US" w:eastAsia="zh-CN"/>
        </w:rPr>
        <w:t>17699205520</w:t>
      </w:r>
    </w:p>
    <w:p>
      <w:pPr>
        <w:spacing w:line="360" w:lineRule="auto"/>
        <w:rPr>
          <w:rFonts w:ascii="宋体" w:hAnsi="宋体" w:cs="宋体"/>
          <w:b/>
          <w:bCs/>
          <w:color w:val="auto"/>
          <w:kern w:val="0"/>
          <w:sz w:val="30"/>
          <w:szCs w:val="30"/>
          <w:highlight w:val="none"/>
        </w:rPr>
      </w:pPr>
    </w:p>
    <w:p>
      <w:pPr>
        <w:pStyle w:val="130"/>
        <w:jc w:val="center"/>
        <w:rPr>
          <w:color w:val="auto"/>
          <w:sz w:val="44"/>
          <w:szCs w:val="44"/>
          <w:highlight w:val="none"/>
          <w:lang w:val="zh-CN"/>
        </w:rPr>
      </w:pPr>
      <w:r>
        <w:rPr>
          <w:color w:val="auto"/>
          <w:sz w:val="44"/>
          <w:szCs w:val="44"/>
          <w:highlight w:val="none"/>
          <w:lang w:val="zh-CN"/>
        </w:rPr>
        <w:t>目录</w:t>
      </w:r>
    </w:p>
    <w:p>
      <w:pPr>
        <w:rPr>
          <w:color w:val="auto"/>
          <w:sz w:val="44"/>
          <w:szCs w:val="44"/>
          <w:highlight w:val="none"/>
          <w:lang w:val="zh-CN"/>
        </w:rPr>
      </w:pPr>
    </w:p>
    <w:p>
      <w:pPr>
        <w:pStyle w:val="22"/>
        <w:tabs>
          <w:tab w:val="right" w:leader="dot" w:pos="8306"/>
        </w:tabs>
        <w:rPr>
          <w:sz w:val="36"/>
          <w:szCs w:val="36"/>
        </w:rPr>
      </w:pPr>
      <w:r>
        <w:rPr>
          <w:color w:val="auto"/>
          <w:sz w:val="44"/>
          <w:szCs w:val="44"/>
          <w:highlight w:val="none"/>
        </w:rPr>
        <w:fldChar w:fldCharType="begin"/>
      </w:r>
      <w:r>
        <w:rPr>
          <w:color w:val="auto"/>
          <w:sz w:val="44"/>
          <w:szCs w:val="44"/>
          <w:highlight w:val="none"/>
        </w:rPr>
        <w:instrText xml:space="preserve">TOC \o "1-1" \h \u </w:instrText>
      </w:r>
      <w:r>
        <w:rPr>
          <w:color w:val="auto"/>
          <w:sz w:val="44"/>
          <w:szCs w:val="44"/>
          <w:highlight w:val="none"/>
        </w:rPr>
        <w:fldChar w:fldCharType="separate"/>
      </w:r>
      <w:r>
        <w:rPr>
          <w:color w:val="auto"/>
          <w:sz w:val="36"/>
          <w:szCs w:val="44"/>
          <w:highlight w:val="none"/>
        </w:rPr>
        <w:fldChar w:fldCharType="begin"/>
      </w:r>
      <w:r>
        <w:rPr>
          <w:sz w:val="36"/>
          <w:szCs w:val="44"/>
          <w:highlight w:val="none"/>
        </w:rPr>
        <w:instrText xml:space="preserve"> HYPERLINK \l _Toc5368 </w:instrText>
      </w:r>
      <w:r>
        <w:rPr>
          <w:sz w:val="36"/>
          <w:szCs w:val="44"/>
          <w:highlight w:val="none"/>
        </w:rPr>
        <w:fldChar w:fldCharType="separate"/>
      </w:r>
      <w:r>
        <w:rPr>
          <w:rFonts w:hint="eastAsia"/>
          <w:sz w:val="36"/>
          <w:szCs w:val="36"/>
          <w:highlight w:val="none"/>
        </w:rPr>
        <w:t>须知前附表</w:t>
      </w:r>
      <w:r>
        <w:rPr>
          <w:sz w:val="36"/>
          <w:szCs w:val="36"/>
        </w:rPr>
        <w:tab/>
      </w:r>
      <w:r>
        <w:rPr>
          <w:sz w:val="36"/>
          <w:szCs w:val="36"/>
        </w:rPr>
        <w:fldChar w:fldCharType="begin"/>
      </w:r>
      <w:r>
        <w:rPr>
          <w:sz w:val="36"/>
          <w:szCs w:val="36"/>
        </w:rPr>
        <w:instrText xml:space="preserve"> PAGEREF _Toc5368 \h </w:instrText>
      </w:r>
      <w:r>
        <w:rPr>
          <w:sz w:val="36"/>
          <w:szCs w:val="36"/>
        </w:rPr>
        <w:fldChar w:fldCharType="separate"/>
      </w:r>
      <w:r>
        <w:rPr>
          <w:sz w:val="36"/>
          <w:szCs w:val="36"/>
        </w:rPr>
        <w:t>1</w:t>
      </w:r>
      <w:r>
        <w:rPr>
          <w:sz w:val="36"/>
          <w:szCs w:val="36"/>
        </w:rPr>
        <w:fldChar w:fldCharType="end"/>
      </w:r>
      <w:r>
        <w:rPr>
          <w:color w:val="auto"/>
          <w:sz w:val="36"/>
          <w:szCs w:val="44"/>
          <w:highlight w:val="none"/>
        </w:rPr>
        <w:fldChar w:fldCharType="end"/>
      </w:r>
    </w:p>
    <w:p>
      <w:pPr>
        <w:pStyle w:val="22"/>
        <w:tabs>
          <w:tab w:val="right" w:leader="dot" w:pos="8306"/>
        </w:tabs>
        <w:rPr>
          <w:sz w:val="36"/>
          <w:szCs w:val="36"/>
        </w:rPr>
      </w:pPr>
      <w:r>
        <w:rPr>
          <w:color w:val="auto"/>
          <w:sz w:val="36"/>
          <w:szCs w:val="44"/>
          <w:highlight w:val="none"/>
        </w:rPr>
        <w:fldChar w:fldCharType="begin"/>
      </w:r>
      <w:r>
        <w:rPr>
          <w:sz w:val="36"/>
          <w:szCs w:val="44"/>
          <w:highlight w:val="none"/>
        </w:rPr>
        <w:instrText xml:space="preserve"> HYPERLINK \l _Toc15671 </w:instrText>
      </w:r>
      <w:r>
        <w:rPr>
          <w:sz w:val="36"/>
          <w:szCs w:val="44"/>
          <w:highlight w:val="none"/>
        </w:rPr>
        <w:fldChar w:fldCharType="separate"/>
      </w:r>
      <w:r>
        <w:rPr>
          <w:rFonts w:hint="eastAsia"/>
          <w:sz w:val="36"/>
          <w:szCs w:val="36"/>
          <w:highlight w:val="none"/>
        </w:rPr>
        <w:t>第一章 招标邀请</w:t>
      </w:r>
      <w:r>
        <w:rPr>
          <w:sz w:val="36"/>
          <w:szCs w:val="36"/>
        </w:rPr>
        <w:tab/>
      </w:r>
      <w:r>
        <w:rPr>
          <w:sz w:val="36"/>
          <w:szCs w:val="36"/>
        </w:rPr>
        <w:fldChar w:fldCharType="begin"/>
      </w:r>
      <w:r>
        <w:rPr>
          <w:sz w:val="36"/>
          <w:szCs w:val="36"/>
        </w:rPr>
        <w:instrText xml:space="preserve"> PAGEREF _Toc15671 \h </w:instrText>
      </w:r>
      <w:r>
        <w:rPr>
          <w:sz w:val="36"/>
          <w:szCs w:val="36"/>
        </w:rPr>
        <w:fldChar w:fldCharType="separate"/>
      </w:r>
      <w:r>
        <w:rPr>
          <w:sz w:val="36"/>
          <w:szCs w:val="36"/>
        </w:rPr>
        <w:t>8</w:t>
      </w:r>
      <w:r>
        <w:rPr>
          <w:sz w:val="36"/>
          <w:szCs w:val="36"/>
        </w:rPr>
        <w:fldChar w:fldCharType="end"/>
      </w:r>
      <w:r>
        <w:rPr>
          <w:color w:val="auto"/>
          <w:sz w:val="36"/>
          <w:szCs w:val="44"/>
          <w:highlight w:val="none"/>
        </w:rPr>
        <w:fldChar w:fldCharType="end"/>
      </w:r>
    </w:p>
    <w:p>
      <w:pPr>
        <w:pStyle w:val="22"/>
        <w:tabs>
          <w:tab w:val="right" w:leader="dot" w:pos="8306"/>
        </w:tabs>
        <w:rPr>
          <w:sz w:val="36"/>
          <w:szCs w:val="36"/>
        </w:rPr>
      </w:pPr>
      <w:r>
        <w:rPr>
          <w:color w:val="auto"/>
          <w:sz w:val="36"/>
          <w:szCs w:val="44"/>
          <w:highlight w:val="none"/>
        </w:rPr>
        <w:fldChar w:fldCharType="begin"/>
      </w:r>
      <w:r>
        <w:rPr>
          <w:sz w:val="36"/>
          <w:szCs w:val="44"/>
          <w:highlight w:val="none"/>
        </w:rPr>
        <w:instrText xml:space="preserve"> HYPERLINK \l _Toc25988 </w:instrText>
      </w:r>
      <w:r>
        <w:rPr>
          <w:sz w:val="36"/>
          <w:szCs w:val="44"/>
          <w:highlight w:val="none"/>
        </w:rPr>
        <w:fldChar w:fldCharType="separate"/>
      </w:r>
      <w:r>
        <w:rPr>
          <w:rFonts w:hint="eastAsia"/>
          <w:sz w:val="36"/>
          <w:szCs w:val="36"/>
          <w:highlight w:val="none"/>
        </w:rPr>
        <w:t>第二章 投标人须知</w:t>
      </w:r>
      <w:r>
        <w:rPr>
          <w:sz w:val="36"/>
          <w:szCs w:val="36"/>
        </w:rPr>
        <w:tab/>
      </w:r>
      <w:r>
        <w:rPr>
          <w:sz w:val="36"/>
          <w:szCs w:val="36"/>
        </w:rPr>
        <w:fldChar w:fldCharType="begin"/>
      </w:r>
      <w:r>
        <w:rPr>
          <w:sz w:val="36"/>
          <w:szCs w:val="36"/>
        </w:rPr>
        <w:instrText xml:space="preserve"> PAGEREF _Toc25988 \h </w:instrText>
      </w:r>
      <w:r>
        <w:rPr>
          <w:sz w:val="36"/>
          <w:szCs w:val="36"/>
        </w:rPr>
        <w:fldChar w:fldCharType="separate"/>
      </w:r>
      <w:r>
        <w:rPr>
          <w:sz w:val="36"/>
          <w:szCs w:val="36"/>
        </w:rPr>
        <w:t>14</w:t>
      </w:r>
      <w:r>
        <w:rPr>
          <w:sz w:val="36"/>
          <w:szCs w:val="36"/>
        </w:rPr>
        <w:fldChar w:fldCharType="end"/>
      </w:r>
      <w:r>
        <w:rPr>
          <w:color w:val="auto"/>
          <w:sz w:val="36"/>
          <w:szCs w:val="44"/>
          <w:highlight w:val="none"/>
        </w:rPr>
        <w:fldChar w:fldCharType="end"/>
      </w:r>
    </w:p>
    <w:p>
      <w:pPr>
        <w:pStyle w:val="22"/>
        <w:tabs>
          <w:tab w:val="right" w:leader="dot" w:pos="8306"/>
        </w:tabs>
        <w:rPr>
          <w:sz w:val="36"/>
          <w:szCs w:val="36"/>
        </w:rPr>
      </w:pPr>
      <w:r>
        <w:rPr>
          <w:color w:val="auto"/>
          <w:sz w:val="36"/>
          <w:szCs w:val="44"/>
          <w:highlight w:val="none"/>
        </w:rPr>
        <w:fldChar w:fldCharType="begin"/>
      </w:r>
      <w:r>
        <w:rPr>
          <w:sz w:val="36"/>
          <w:szCs w:val="44"/>
          <w:highlight w:val="none"/>
        </w:rPr>
        <w:instrText xml:space="preserve"> HYPERLINK \l _Toc10671 </w:instrText>
      </w:r>
      <w:r>
        <w:rPr>
          <w:sz w:val="36"/>
          <w:szCs w:val="44"/>
          <w:highlight w:val="none"/>
        </w:rPr>
        <w:fldChar w:fldCharType="separate"/>
      </w:r>
      <w:r>
        <w:rPr>
          <w:rFonts w:hint="eastAsia"/>
          <w:sz w:val="36"/>
          <w:szCs w:val="36"/>
          <w:highlight w:val="none"/>
        </w:rPr>
        <w:t>第三章 评分办法及评分标准</w:t>
      </w:r>
      <w:r>
        <w:rPr>
          <w:sz w:val="36"/>
          <w:szCs w:val="36"/>
        </w:rPr>
        <w:tab/>
      </w:r>
      <w:r>
        <w:rPr>
          <w:sz w:val="36"/>
          <w:szCs w:val="36"/>
        </w:rPr>
        <w:fldChar w:fldCharType="begin"/>
      </w:r>
      <w:r>
        <w:rPr>
          <w:sz w:val="36"/>
          <w:szCs w:val="36"/>
        </w:rPr>
        <w:instrText xml:space="preserve"> PAGEREF _Toc10671 \h </w:instrText>
      </w:r>
      <w:r>
        <w:rPr>
          <w:sz w:val="36"/>
          <w:szCs w:val="36"/>
        </w:rPr>
        <w:fldChar w:fldCharType="separate"/>
      </w:r>
      <w:r>
        <w:rPr>
          <w:sz w:val="36"/>
          <w:szCs w:val="36"/>
        </w:rPr>
        <w:t>29</w:t>
      </w:r>
      <w:r>
        <w:rPr>
          <w:sz w:val="36"/>
          <w:szCs w:val="36"/>
        </w:rPr>
        <w:fldChar w:fldCharType="end"/>
      </w:r>
      <w:r>
        <w:rPr>
          <w:color w:val="auto"/>
          <w:sz w:val="36"/>
          <w:szCs w:val="44"/>
          <w:highlight w:val="none"/>
        </w:rPr>
        <w:fldChar w:fldCharType="end"/>
      </w:r>
    </w:p>
    <w:p>
      <w:pPr>
        <w:pStyle w:val="22"/>
        <w:tabs>
          <w:tab w:val="right" w:leader="dot" w:pos="8306"/>
        </w:tabs>
        <w:rPr>
          <w:sz w:val="36"/>
          <w:szCs w:val="36"/>
        </w:rPr>
      </w:pPr>
      <w:r>
        <w:rPr>
          <w:color w:val="auto"/>
          <w:sz w:val="36"/>
          <w:szCs w:val="44"/>
          <w:highlight w:val="none"/>
        </w:rPr>
        <w:fldChar w:fldCharType="begin"/>
      </w:r>
      <w:r>
        <w:rPr>
          <w:sz w:val="36"/>
          <w:szCs w:val="44"/>
          <w:highlight w:val="none"/>
        </w:rPr>
        <w:instrText xml:space="preserve"> HYPERLINK \l _Toc1385 </w:instrText>
      </w:r>
      <w:r>
        <w:rPr>
          <w:sz w:val="36"/>
          <w:szCs w:val="44"/>
          <w:highlight w:val="none"/>
        </w:rPr>
        <w:fldChar w:fldCharType="separate"/>
      </w:r>
      <w:r>
        <w:rPr>
          <w:rFonts w:hint="eastAsia"/>
          <w:color w:val="000000" w:themeColor="text1"/>
          <w:sz w:val="36"/>
          <w:szCs w:val="36"/>
          <w:highlight w:val="none"/>
          <w14:textFill>
            <w14:solidFill>
              <w14:schemeClr w14:val="tx1"/>
            </w14:solidFill>
          </w14:textFill>
        </w:rPr>
        <w:t>第四章</w:t>
      </w:r>
      <w:r>
        <w:rPr>
          <w:rFonts w:hint="eastAsia"/>
          <w:color w:val="000000" w:themeColor="text1"/>
          <w:sz w:val="36"/>
          <w:szCs w:val="36"/>
          <w:highlight w:val="none"/>
          <w:lang w:val="en-US" w:eastAsia="zh-CN"/>
          <w14:textFill>
            <w14:solidFill>
              <w14:schemeClr w14:val="tx1"/>
            </w14:solidFill>
          </w14:textFill>
        </w:rPr>
        <w:t xml:space="preserve"> </w:t>
      </w:r>
      <w:r>
        <w:rPr>
          <w:rFonts w:hint="eastAsia"/>
          <w:sz w:val="36"/>
          <w:szCs w:val="36"/>
          <w:highlight w:val="none"/>
        </w:rPr>
        <w:t>拟订立的合同样本</w:t>
      </w:r>
      <w:r>
        <w:rPr>
          <w:sz w:val="36"/>
          <w:szCs w:val="36"/>
        </w:rPr>
        <w:tab/>
      </w:r>
      <w:r>
        <w:rPr>
          <w:sz w:val="36"/>
          <w:szCs w:val="36"/>
        </w:rPr>
        <w:fldChar w:fldCharType="begin"/>
      </w:r>
      <w:r>
        <w:rPr>
          <w:sz w:val="36"/>
          <w:szCs w:val="36"/>
        </w:rPr>
        <w:instrText xml:space="preserve"> PAGEREF _Toc1385 \h </w:instrText>
      </w:r>
      <w:r>
        <w:rPr>
          <w:sz w:val="36"/>
          <w:szCs w:val="36"/>
        </w:rPr>
        <w:fldChar w:fldCharType="separate"/>
      </w:r>
      <w:r>
        <w:rPr>
          <w:sz w:val="36"/>
          <w:szCs w:val="36"/>
        </w:rPr>
        <w:t>49</w:t>
      </w:r>
      <w:r>
        <w:rPr>
          <w:sz w:val="36"/>
          <w:szCs w:val="36"/>
        </w:rPr>
        <w:fldChar w:fldCharType="end"/>
      </w:r>
      <w:r>
        <w:rPr>
          <w:color w:val="auto"/>
          <w:sz w:val="36"/>
          <w:szCs w:val="44"/>
          <w:highlight w:val="none"/>
        </w:rPr>
        <w:fldChar w:fldCharType="end"/>
      </w:r>
    </w:p>
    <w:p>
      <w:pPr>
        <w:pStyle w:val="22"/>
        <w:tabs>
          <w:tab w:val="right" w:leader="dot" w:pos="8306"/>
        </w:tabs>
        <w:rPr>
          <w:sz w:val="36"/>
          <w:szCs w:val="36"/>
        </w:rPr>
      </w:pPr>
      <w:r>
        <w:rPr>
          <w:color w:val="auto"/>
          <w:sz w:val="36"/>
          <w:szCs w:val="44"/>
          <w:highlight w:val="none"/>
        </w:rPr>
        <w:fldChar w:fldCharType="begin"/>
      </w:r>
      <w:r>
        <w:rPr>
          <w:sz w:val="36"/>
          <w:szCs w:val="44"/>
          <w:highlight w:val="none"/>
        </w:rPr>
        <w:instrText xml:space="preserve"> HYPERLINK \l _Toc6966 </w:instrText>
      </w:r>
      <w:r>
        <w:rPr>
          <w:sz w:val="36"/>
          <w:szCs w:val="44"/>
          <w:highlight w:val="none"/>
        </w:rPr>
        <w:fldChar w:fldCharType="separate"/>
      </w:r>
      <w:r>
        <w:rPr>
          <w:rFonts w:hint="eastAsia"/>
          <w:sz w:val="36"/>
          <w:szCs w:val="36"/>
          <w:highlight w:val="none"/>
        </w:rPr>
        <w:t>第五章 投标文件格式</w:t>
      </w:r>
      <w:r>
        <w:rPr>
          <w:sz w:val="36"/>
          <w:szCs w:val="36"/>
        </w:rPr>
        <w:tab/>
      </w:r>
      <w:r>
        <w:rPr>
          <w:sz w:val="36"/>
          <w:szCs w:val="36"/>
        </w:rPr>
        <w:fldChar w:fldCharType="begin"/>
      </w:r>
      <w:r>
        <w:rPr>
          <w:sz w:val="36"/>
          <w:szCs w:val="36"/>
        </w:rPr>
        <w:instrText xml:space="preserve"> PAGEREF _Toc6966 \h </w:instrText>
      </w:r>
      <w:r>
        <w:rPr>
          <w:sz w:val="36"/>
          <w:szCs w:val="36"/>
        </w:rPr>
        <w:fldChar w:fldCharType="separate"/>
      </w:r>
      <w:r>
        <w:rPr>
          <w:sz w:val="36"/>
          <w:szCs w:val="36"/>
        </w:rPr>
        <w:t>58</w:t>
      </w:r>
      <w:r>
        <w:rPr>
          <w:sz w:val="36"/>
          <w:szCs w:val="36"/>
        </w:rPr>
        <w:fldChar w:fldCharType="end"/>
      </w:r>
      <w:r>
        <w:rPr>
          <w:color w:val="auto"/>
          <w:sz w:val="36"/>
          <w:szCs w:val="44"/>
          <w:highlight w:val="none"/>
        </w:rPr>
        <w:fldChar w:fldCharType="end"/>
      </w:r>
    </w:p>
    <w:p>
      <w:pPr>
        <w:pStyle w:val="22"/>
        <w:tabs>
          <w:tab w:val="right" w:leader="dot" w:pos="8306"/>
        </w:tabs>
        <w:rPr>
          <w:sz w:val="36"/>
          <w:szCs w:val="36"/>
        </w:rPr>
      </w:pPr>
      <w:r>
        <w:rPr>
          <w:color w:val="auto"/>
          <w:sz w:val="36"/>
          <w:szCs w:val="44"/>
          <w:highlight w:val="none"/>
        </w:rPr>
        <w:fldChar w:fldCharType="begin"/>
      </w:r>
      <w:r>
        <w:rPr>
          <w:sz w:val="36"/>
          <w:szCs w:val="44"/>
          <w:highlight w:val="none"/>
        </w:rPr>
        <w:instrText xml:space="preserve"> HYPERLINK \l _Toc14801 </w:instrText>
      </w:r>
      <w:r>
        <w:rPr>
          <w:sz w:val="36"/>
          <w:szCs w:val="44"/>
          <w:highlight w:val="none"/>
        </w:rPr>
        <w:fldChar w:fldCharType="separate"/>
      </w:r>
      <w:r>
        <w:rPr>
          <w:rFonts w:hint="eastAsia"/>
          <w:sz w:val="36"/>
          <w:szCs w:val="36"/>
          <w:highlight w:val="none"/>
        </w:rPr>
        <w:t>第六章 项目需求</w:t>
      </w:r>
      <w:r>
        <w:rPr>
          <w:sz w:val="36"/>
          <w:szCs w:val="36"/>
        </w:rPr>
        <w:tab/>
      </w:r>
      <w:r>
        <w:rPr>
          <w:sz w:val="36"/>
          <w:szCs w:val="36"/>
        </w:rPr>
        <w:fldChar w:fldCharType="begin"/>
      </w:r>
      <w:r>
        <w:rPr>
          <w:sz w:val="36"/>
          <w:szCs w:val="36"/>
        </w:rPr>
        <w:instrText xml:space="preserve"> PAGEREF _Toc14801 \h </w:instrText>
      </w:r>
      <w:r>
        <w:rPr>
          <w:sz w:val="36"/>
          <w:szCs w:val="36"/>
        </w:rPr>
        <w:fldChar w:fldCharType="separate"/>
      </w:r>
      <w:r>
        <w:rPr>
          <w:sz w:val="36"/>
          <w:szCs w:val="36"/>
        </w:rPr>
        <w:t>81</w:t>
      </w:r>
      <w:r>
        <w:rPr>
          <w:sz w:val="36"/>
          <w:szCs w:val="36"/>
        </w:rPr>
        <w:fldChar w:fldCharType="end"/>
      </w:r>
      <w:r>
        <w:rPr>
          <w:color w:val="auto"/>
          <w:sz w:val="36"/>
          <w:szCs w:val="44"/>
          <w:highlight w:val="none"/>
        </w:rPr>
        <w:fldChar w:fldCharType="end"/>
      </w:r>
    </w:p>
    <w:p>
      <w:pPr>
        <w:rPr>
          <w:color w:val="auto"/>
          <w:highlight w:val="none"/>
        </w:rPr>
      </w:pPr>
      <w:r>
        <w:rPr>
          <w:color w:val="auto"/>
          <w:sz w:val="32"/>
          <w:szCs w:val="44"/>
          <w:highlight w:val="none"/>
        </w:rPr>
        <w:fldChar w:fldCharType="end"/>
      </w:r>
    </w:p>
    <w:p>
      <w:pPr>
        <w:pStyle w:val="5"/>
        <w:rPr>
          <w:color w:val="auto"/>
          <w:highlight w:val="none"/>
        </w:rPr>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7" w:name="_Toc20753"/>
      <w:bookmarkStart w:id="8" w:name="_Toc21554"/>
      <w:bookmarkStart w:id="9" w:name="_Toc534725596"/>
      <w:bookmarkStart w:id="10" w:name="_Toc13808"/>
      <w:bookmarkStart w:id="11" w:name="_Toc22122"/>
    </w:p>
    <w:p>
      <w:pPr>
        <w:pStyle w:val="5"/>
        <w:rPr>
          <w:color w:val="auto"/>
          <w:highlight w:val="none"/>
          <w:lang w:eastAsia="en-US"/>
        </w:rPr>
      </w:pPr>
      <w:bookmarkStart w:id="12" w:name="_Toc5368"/>
      <w:r>
        <w:rPr>
          <w:rFonts w:hint="eastAsia"/>
          <w:color w:val="auto"/>
          <w:highlight w:val="none"/>
        </w:rPr>
        <w:t>须知前附表</w:t>
      </w:r>
      <w:bookmarkEnd w:id="7"/>
      <w:bookmarkEnd w:id="8"/>
      <w:bookmarkEnd w:id="12"/>
    </w:p>
    <w:tbl>
      <w:tblPr>
        <w:tblStyle w:val="38"/>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b/>
                <w:bCs/>
                <w:color w:val="auto"/>
                <w:kern w:val="0"/>
                <w:sz w:val="36"/>
                <w:szCs w:val="36"/>
                <w:highlight w:val="none"/>
              </w:rPr>
            </w:pPr>
            <w:r>
              <w:rPr>
                <w:rFonts w:hint="eastAsia" w:hAnsi="宋体" w:cs="Arial"/>
                <w:bCs/>
                <w:color w:val="auto"/>
                <w:highlight w:val="none"/>
                <w:lang w:val="en-US" w:eastAsia="zh-CN"/>
              </w:rPr>
              <w:t>新疆消防救援总队昌吉支队“自然灾害应急能力提升工程”装备配备项目（六）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color w:val="auto"/>
                <w:highlight w:val="none"/>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pPr>
              <w:pStyle w:val="2"/>
              <w:ind w:left="0" w:leftChars="0" w:firstLine="0" w:firstLineChars="0"/>
              <w:rPr>
                <w:rFonts w:hint="default"/>
                <w:b/>
                <w:bCs w:val="0"/>
                <w:highlight w:val="none"/>
                <w:lang w:val="en-US" w:eastAsia="zh-CN"/>
              </w:rPr>
            </w:pPr>
            <w:r>
              <w:rPr>
                <w:rFonts w:hint="default"/>
                <w:b w:val="0"/>
                <w:bCs/>
                <w:highlight w:val="none"/>
                <w:lang w:val="en-US" w:eastAsia="zh-CN"/>
              </w:rPr>
              <w:t>XJWB-2024-ZB-1012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default" w:hAnsi="宋体" w:eastAsia="宋体" w:cs="Arial"/>
                <w:bCs/>
                <w:color w:val="auto"/>
                <w:highlight w:val="none"/>
                <w:lang w:val="en-US" w:eastAsia="zh-CN"/>
              </w:rPr>
            </w:pPr>
            <w:r>
              <w:rPr>
                <w:rFonts w:hint="default" w:hAnsi="宋体" w:eastAsia="宋体" w:cs="Arial"/>
                <w:bCs/>
                <w:color w:val="auto"/>
                <w:highlight w:val="none"/>
                <w:lang w:val="en-US" w:eastAsia="zh-CN"/>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预算金额</w:t>
            </w:r>
          </w:p>
          <w:p>
            <w:pPr>
              <w:spacing w:line="288" w:lineRule="auto"/>
              <w:jc w:val="center"/>
              <w:rPr>
                <w:color w:val="auto"/>
                <w:highlight w:val="none"/>
              </w:rPr>
            </w:pPr>
            <w:r>
              <w:rPr>
                <w:rFonts w:hint="eastAsia" w:hAnsi="宋体" w:cs="Arial"/>
                <w:bCs/>
                <w:color w:val="auto"/>
                <w:highlight w:val="none"/>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int="eastAsia" w:hAnsi="宋体" w:cs="Arial"/>
                <w:bCs/>
                <w:color w:val="auto"/>
                <w:highlight w:val="none"/>
              </w:rPr>
            </w:pPr>
            <w:r>
              <w:rPr>
                <w:rFonts w:hint="eastAsia" w:hAnsi="宋体" w:cs="Arial"/>
                <w:bCs/>
                <w:color w:val="auto"/>
                <w:highlight w:val="none"/>
              </w:rPr>
              <w:t>预算总金额：</w:t>
            </w:r>
            <w:r>
              <w:rPr>
                <w:rFonts w:hint="eastAsia" w:hAnsi="宋体" w:cs="Arial"/>
                <w:bCs/>
                <w:color w:val="auto"/>
                <w:highlight w:val="none"/>
                <w:lang w:val="en-US" w:eastAsia="zh-CN"/>
              </w:rPr>
              <w:t>662.7150</w:t>
            </w:r>
            <w:r>
              <w:rPr>
                <w:rFonts w:hint="eastAsia" w:hAnsi="宋体" w:cs="Arial"/>
                <w:bCs/>
                <w:color w:val="auto"/>
                <w:highlight w:val="none"/>
              </w:rPr>
              <w:t>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第三十五包：116.1900万元；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第三十六包：158.0100万元；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第三十七包：95.6400万元；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第三十八包：117.4200万元；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第三十九包：69.2000万元；</w:t>
            </w:r>
          </w:p>
          <w:p>
            <w:pPr>
              <w:pStyle w:val="23"/>
              <w:spacing w:line="288" w:lineRule="auto"/>
              <w:jc w:val="left"/>
              <w:rPr>
                <w:rFonts w:hint="eastAsia" w:hAnsi="宋体" w:cs="Arial"/>
                <w:bCs/>
                <w:color w:val="auto"/>
                <w:highlight w:val="none"/>
                <w:lang w:eastAsia="zh-CN"/>
              </w:rPr>
            </w:pPr>
            <w:r>
              <w:rPr>
                <w:rFonts w:hint="eastAsia"/>
                <w:color w:val="auto"/>
                <w:highlight w:val="none"/>
                <w:lang w:val="en-US" w:eastAsia="zh-CN"/>
              </w:rPr>
              <w:t>第四十包：106.2550万元；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int="eastAsia" w:hAnsi="宋体" w:cs="Arial"/>
                <w:bCs/>
                <w:color w:val="auto"/>
                <w:highlight w:val="none"/>
              </w:rPr>
            </w:pPr>
            <w:r>
              <w:rPr>
                <w:rFonts w:hint="eastAsia" w:hAnsi="宋体" w:cs="Arial"/>
                <w:bCs/>
                <w:color w:val="auto"/>
                <w:highlight w:val="none"/>
              </w:rPr>
              <w:t>最高限价：</w:t>
            </w:r>
            <w:r>
              <w:rPr>
                <w:rFonts w:hint="eastAsia" w:hAnsi="宋体" w:cs="Arial"/>
                <w:bCs/>
                <w:color w:val="auto"/>
                <w:highlight w:val="none"/>
                <w:lang w:val="en-US" w:eastAsia="zh-CN"/>
              </w:rPr>
              <w:t>662.7150</w:t>
            </w:r>
            <w:r>
              <w:rPr>
                <w:rFonts w:hint="eastAsia" w:hAnsi="宋体" w:cs="Arial"/>
                <w:bCs/>
                <w:color w:val="auto"/>
                <w:highlight w:val="none"/>
              </w:rPr>
              <w:t>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第三十五包：116.1900万元；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第三十六包：158.0100万元；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第三十七包：95.6400万元；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第三十八包：117.4200万元；</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第三十九包：69.2000万元；</w:t>
            </w:r>
          </w:p>
          <w:p>
            <w:pPr>
              <w:pStyle w:val="23"/>
              <w:spacing w:line="288" w:lineRule="auto"/>
              <w:jc w:val="left"/>
              <w:rPr>
                <w:rFonts w:hint="eastAsia" w:hAnsi="宋体" w:cs="Arial"/>
                <w:bCs/>
                <w:color w:val="auto"/>
                <w:highlight w:val="none"/>
              </w:rPr>
            </w:pPr>
            <w:r>
              <w:rPr>
                <w:rFonts w:hint="eastAsia"/>
                <w:color w:val="auto"/>
                <w:highlight w:val="none"/>
                <w:lang w:val="en-US" w:eastAsia="zh-CN"/>
              </w:rPr>
              <w:t>第四十包：106.2550万元；</w:t>
            </w:r>
          </w:p>
          <w:p>
            <w:pPr>
              <w:pStyle w:val="23"/>
              <w:spacing w:line="288" w:lineRule="auto"/>
              <w:jc w:val="left"/>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（供应商的报价不得超过最高限价，否则其</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lang w:eastAsia="zh-CN"/>
              </w:rPr>
              <w:t>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pPr>
              <w:pStyle w:val="124"/>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lang w:val="en-US" w:eastAsia="zh-CN"/>
              </w:rPr>
              <w:t>供货</w:t>
            </w:r>
            <w:r>
              <w:rPr>
                <w:rFonts w:hint="eastAsia" w:hAnsi="宋体" w:cs="Arial"/>
                <w:bCs/>
                <w:color w:val="auto"/>
                <w:highlight w:val="none"/>
              </w:rPr>
              <w:t>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default" w:hAnsi="宋体" w:eastAsia="宋体" w:cs="宋体"/>
                <w:color w:val="auto"/>
                <w:highlight w:val="none"/>
                <w:lang w:val="en-US" w:eastAsia="zh-CN"/>
              </w:rPr>
            </w:pPr>
            <w:r>
              <w:rPr>
                <w:rFonts w:hint="eastAsia" w:hAnsi="宋体" w:cs="宋体"/>
                <w:color w:val="auto"/>
                <w:highlight w:val="none"/>
                <w:lang w:val="en-US" w:eastAsia="zh-CN"/>
              </w:rPr>
              <w:t>货物交付时限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hAnsi="宋体" w:eastAsia="宋体"/>
                <w:color w:val="auto"/>
                <w:highlight w:val="none"/>
                <w:lang w:val="en-US" w:eastAsia="zh-CN"/>
              </w:rPr>
            </w:pPr>
            <w:r>
              <w:rPr>
                <w:rFonts w:hint="eastAsia" w:hAnsi="宋体"/>
                <w:color w:val="auto"/>
                <w:highlight w:val="none"/>
              </w:rPr>
              <w:t>签订合同后</w:t>
            </w:r>
            <w:r>
              <w:rPr>
                <w:rFonts w:hint="eastAsia" w:hAnsi="宋体"/>
                <w:color w:val="auto"/>
                <w:highlight w:val="none"/>
                <w:lang w:val="en-US" w:eastAsia="zh-CN"/>
              </w:rPr>
              <w:t>45</w:t>
            </w:r>
            <w:r>
              <w:rPr>
                <w:rFonts w:hint="eastAsia" w:hAnsi="宋体"/>
                <w:color w:val="auto"/>
                <w:highlight w:val="none"/>
              </w:rPr>
              <w:t>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hAnsi="宋体" w:cs="宋体"/>
                <w:color w:val="auto"/>
                <w:highlight w:val="none"/>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cs="宋体"/>
                <w:color w:val="auto"/>
                <w:highlight w:val="none"/>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000000" w:themeColor="text1"/>
                <w:highlight w:val="none"/>
                <w:lang w:val="en-US" w:eastAsia="zh-CN"/>
                <w14:textFill>
                  <w14:solidFill>
                    <w14:schemeClr w14:val="tx1"/>
                  </w14:solidFill>
                </w14:textFill>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违约责任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rPr>
              <w:t>消防装备自验收</w:t>
            </w:r>
            <w:r>
              <w:rPr>
                <w:rFonts w:hint="eastAsia"/>
                <w:color w:val="auto"/>
                <w:highlight w:val="none"/>
                <w:lang w:eastAsia="zh-CN"/>
              </w:rPr>
              <w:t>合格</w:t>
            </w:r>
            <w:r>
              <w:rPr>
                <w:rFonts w:hint="eastAsia"/>
                <w:color w:val="auto"/>
                <w:highlight w:val="none"/>
              </w:rPr>
              <w:t>之日起</w:t>
            </w:r>
            <w:r>
              <w:rPr>
                <w:rFonts w:hint="eastAsia"/>
                <w:color w:val="auto"/>
                <w:highlight w:val="none"/>
                <w:lang w:val="en-US" w:eastAsia="zh-CN"/>
              </w:rPr>
              <w:t>1</w:t>
            </w:r>
            <w:r>
              <w:rPr>
                <w:rFonts w:hint="eastAsia"/>
                <w:color w:val="auto"/>
                <w:highlight w:val="none"/>
              </w:rPr>
              <w:t>年</w:t>
            </w:r>
            <w:r>
              <w:rPr>
                <w:rFonts w:hint="eastAsia"/>
                <w:color w:val="auto"/>
                <w:highlight w:val="none"/>
                <w:lang w:eastAsia="zh-CN"/>
              </w:rPr>
              <w:t>，质保期内</w:t>
            </w:r>
            <w:r>
              <w:rPr>
                <w:rFonts w:hint="eastAsia"/>
                <w:color w:val="auto"/>
                <w:highlight w:val="none"/>
              </w:rPr>
              <w:t>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进口产品</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eastAsia="zh-CN"/>
              </w:rPr>
              <w:t>☑</w:t>
            </w:r>
            <w:r>
              <w:rPr>
                <w:rFonts w:hint="eastAsia"/>
                <w:color w:val="auto"/>
                <w:highlight w:val="none"/>
              </w:rPr>
              <w:t>有  □无</w:t>
            </w:r>
            <w:r>
              <w:rPr>
                <w:rFonts w:hint="eastAsia"/>
                <w:color w:val="auto"/>
                <w:highlight w:val="none"/>
                <w:lang w:val="en-US" w:eastAsia="zh-CN"/>
              </w:rPr>
              <w:t xml:space="preserve">  </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第三十五包：</w:t>
            </w:r>
            <w:r>
              <w:rPr>
                <w:rFonts w:hint="eastAsia"/>
                <w:color w:val="auto"/>
                <w:highlight w:val="none"/>
                <w:lang w:eastAsia="zh-CN"/>
              </w:rPr>
              <w:t>☑</w:t>
            </w:r>
            <w:r>
              <w:rPr>
                <w:rFonts w:hint="eastAsia"/>
                <w:color w:val="auto"/>
                <w:highlight w:val="none"/>
              </w:rPr>
              <w:t>有  □无</w:t>
            </w:r>
            <w:r>
              <w:rPr>
                <w:rFonts w:hint="eastAsia"/>
                <w:color w:val="auto"/>
                <w:highlight w:val="none"/>
                <w:lang w:val="en-US" w:eastAsia="zh-CN"/>
              </w:rPr>
              <w:t xml:space="preserve"> 自动止坠器、自动锁定下降器、多功能省力系统、全身吊带；</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第三十六包：</w:t>
            </w:r>
            <w:r>
              <w:rPr>
                <w:rFonts w:hint="eastAsia"/>
                <w:color w:val="auto"/>
                <w:highlight w:val="none"/>
                <w:lang w:eastAsia="zh-CN"/>
              </w:rPr>
              <w:t>☑</w:t>
            </w:r>
            <w:r>
              <w:rPr>
                <w:rFonts w:hint="eastAsia"/>
                <w:color w:val="auto"/>
                <w:highlight w:val="none"/>
              </w:rPr>
              <w:t>有  □无</w:t>
            </w:r>
            <w:r>
              <w:rPr>
                <w:rFonts w:hint="eastAsia"/>
                <w:color w:val="auto"/>
                <w:highlight w:val="none"/>
                <w:lang w:val="en-US" w:eastAsia="zh-CN"/>
              </w:rPr>
              <w:t xml:space="preserve"> 硬质救援艇（冲锋舟）、舷外机（含油箱防护罩）、橡皮艇；</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第三十七包：</w:t>
            </w:r>
            <w:r>
              <w:rPr>
                <w:rFonts w:hint="eastAsia"/>
                <w:color w:val="auto"/>
                <w:highlight w:val="none"/>
                <w:lang w:eastAsia="zh-CN"/>
              </w:rPr>
              <w:t>☑</w:t>
            </w:r>
            <w:r>
              <w:rPr>
                <w:rFonts w:hint="eastAsia"/>
                <w:color w:val="auto"/>
                <w:highlight w:val="none"/>
              </w:rPr>
              <w:t>有  □无</w:t>
            </w:r>
            <w:r>
              <w:rPr>
                <w:rFonts w:hint="eastAsia"/>
                <w:color w:val="auto"/>
                <w:highlight w:val="none"/>
                <w:lang w:val="en-US" w:eastAsia="zh-CN"/>
              </w:rPr>
              <w:t xml:space="preserve"> 轻型防化服、重型防化服、消防员避火防护服；</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第三十八包：</w:t>
            </w:r>
            <w:r>
              <w:rPr>
                <w:rFonts w:hint="eastAsia"/>
                <w:color w:val="auto"/>
                <w:highlight w:val="none"/>
                <w:lang w:eastAsia="zh-CN"/>
              </w:rPr>
              <w:t>☑</w:t>
            </w:r>
            <w:r>
              <w:rPr>
                <w:rFonts w:hint="eastAsia"/>
                <w:color w:val="auto"/>
                <w:highlight w:val="none"/>
              </w:rPr>
              <w:t>有  □无</w:t>
            </w:r>
            <w:r>
              <w:rPr>
                <w:rFonts w:hint="eastAsia"/>
                <w:color w:val="auto"/>
                <w:highlight w:val="none"/>
                <w:lang w:val="en-US" w:eastAsia="zh-CN"/>
              </w:rPr>
              <w:t xml:space="preserve"> 泛光灯、救生照明线、静音发电机；</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第三十九包：</w:t>
            </w:r>
            <w:r>
              <w:rPr>
                <w:rFonts w:hint="eastAsia"/>
                <w:color w:val="auto"/>
                <w:highlight w:val="none"/>
                <w:lang w:eastAsia="zh-CN"/>
              </w:rPr>
              <w:t>☑</w:t>
            </w:r>
            <w:r>
              <w:rPr>
                <w:rFonts w:hint="eastAsia"/>
                <w:color w:val="auto"/>
                <w:highlight w:val="none"/>
              </w:rPr>
              <w:t>有  □无</w:t>
            </w:r>
            <w:r>
              <w:rPr>
                <w:rFonts w:hint="eastAsia"/>
                <w:color w:val="auto"/>
                <w:highlight w:val="none"/>
                <w:lang w:val="en-US" w:eastAsia="zh-CN"/>
              </w:rPr>
              <w:t xml:space="preserve"> AED除颤仪；</w:t>
            </w:r>
          </w:p>
          <w:p>
            <w:pPr>
              <w:pStyle w:val="23"/>
              <w:keepNext w:val="0"/>
              <w:keepLines w:val="0"/>
              <w:pageBreakBefore w:val="0"/>
              <w:kinsoku/>
              <w:wordWrap/>
              <w:overflowPunct/>
              <w:topLinePunct w:val="0"/>
              <w:autoSpaceDE/>
              <w:autoSpaceDN/>
              <w:bidi w:val="0"/>
              <w:adjustRightInd/>
              <w:snapToGrid/>
              <w:spacing w:line="320" w:lineRule="exact"/>
              <w:rPr>
                <w:rFonts w:hint="default" w:eastAsia="宋体"/>
                <w:color w:val="auto"/>
                <w:sz w:val="22"/>
                <w:szCs w:val="22"/>
                <w:highlight w:val="none"/>
                <w:lang w:val="en-US" w:eastAsia="zh-CN"/>
              </w:rPr>
            </w:pPr>
            <w:r>
              <w:rPr>
                <w:rFonts w:hint="eastAsia"/>
                <w:color w:val="auto"/>
                <w:highlight w:val="none"/>
                <w:lang w:val="en-US" w:eastAsia="zh-CN"/>
              </w:rPr>
              <w:t>第四十包：</w:t>
            </w:r>
            <w:r>
              <w:rPr>
                <w:rFonts w:hint="eastAsia"/>
                <w:color w:val="auto"/>
                <w:highlight w:val="none"/>
                <w:lang w:eastAsia="zh-CN"/>
              </w:rPr>
              <w:t>☑</w:t>
            </w:r>
            <w:r>
              <w:rPr>
                <w:rFonts w:hint="eastAsia"/>
                <w:color w:val="auto"/>
                <w:highlight w:val="none"/>
              </w:rPr>
              <w:t>有  □无</w:t>
            </w:r>
            <w:r>
              <w:rPr>
                <w:rFonts w:hint="eastAsia"/>
                <w:color w:val="auto"/>
                <w:highlight w:val="none"/>
                <w:lang w:val="en-US" w:eastAsia="zh-CN"/>
              </w:rPr>
              <w:t xml:space="preserve"> 移动式排烟机；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color w:val="auto"/>
                <w:highlight w:val="none"/>
              </w:rPr>
            </w:pPr>
            <w:r>
              <w:rPr>
                <w:rFonts w:hint="eastAsia" w:hAnsi="宋体" w:cs="Arial"/>
                <w:color w:val="auto"/>
                <w:highlight w:val="none"/>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lang w:val="zh-CN"/>
              </w:rPr>
            </w:pPr>
            <w:r>
              <w:rPr>
                <w:rFonts w:hint="eastAsia"/>
                <w:color w:val="auto"/>
                <w:highlight w:val="none"/>
                <w:lang w:val="zh-CN"/>
              </w:rPr>
              <w:t>1.满足《中华人民共和国政府采购法》第二十二条规定；</w:t>
            </w:r>
          </w:p>
          <w:p>
            <w:pPr>
              <w:spacing w:line="400" w:lineRule="exact"/>
              <w:rPr>
                <w:color w:val="auto"/>
                <w:highlight w:val="none"/>
                <w:lang w:val="zh-CN"/>
              </w:rPr>
            </w:pPr>
            <w:r>
              <w:rPr>
                <w:rFonts w:hint="eastAsia"/>
                <w:color w:val="auto"/>
                <w:highlight w:val="none"/>
                <w:lang w:val="zh-CN"/>
              </w:rPr>
              <w:t>2.落实政府采购政策需满足的资格要求：1）</w:t>
            </w:r>
            <w:r>
              <w:rPr>
                <w:rFonts w:hint="eastAsia"/>
                <w:color w:val="auto"/>
                <w:highlight w:val="none"/>
                <w:lang w:val="zh-CN" w:eastAsia="zh-CN"/>
              </w:rPr>
              <w:t>本项目第</w:t>
            </w:r>
            <w:r>
              <w:rPr>
                <w:rFonts w:hint="eastAsia"/>
                <w:color w:val="auto"/>
                <w:highlight w:val="none"/>
                <w:lang w:val="en-US" w:eastAsia="zh-CN"/>
              </w:rPr>
              <w:t>三十五包</w:t>
            </w:r>
            <w:r>
              <w:rPr>
                <w:rFonts w:hint="eastAsia"/>
                <w:color w:val="auto"/>
                <w:highlight w:val="none"/>
                <w:lang w:val="zh-CN" w:eastAsia="zh-CN"/>
              </w:rPr>
              <w:t>、第</w:t>
            </w:r>
            <w:r>
              <w:rPr>
                <w:rFonts w:hint="eastAsia"/>
                <w:color w:val="auto"/>
                <w:highlight w:val="none"/>
                <w:lang w:val="en-US" w:eastAsia="zh-CN"/>
              </w:rPr>
              <w:t>三十六包</w:t>
            </w:r>
            <w:r>
              <w:rPr>
                <w:rFonts w:hint="eastAsia"/>
                <w:color w:val="auto"/>
                <w:highlight w:val="none"/>
                <w:lang w:val="zh-CN" w:eastAsia="zh-CN"/>
              </w:rPr>
              <w:t>、第</w:t>
            </w:r>
            <w:r>
              <w:rPr>
                <w:rFonts w:hint="eastAsia"/>
                <w:color w:val="auto"/>
                <w:highlight w:val="none"/>
                <w:lang w:val="en-US" w:eastAsia="zh-CN"/>
              </w:rPr>
              <w:t>三十七包</w:t>
            </w:r>
            <w:r>
              <w:rPr>
                <w:rFonts w:hint="eastAsia"/>
                <w:color w:val="auto"/>
                <w:highlight w:val="none"/>
                <w:lang w:val="zh-CN" w:eastAsia="zh-CN"/>
              </w:rPr>
              <w:t>、第</w:t>
            </w:r>
            <w:r>
              <w:rPr>
                <w:rFonts w:hint="eastAsia"/>
                <w:color w:val="auto"/>
                <w:highlight w:val="none"/>
                <w:lang w:val="en-US" w:eastAsia="zh-CN"/>
              </w:rPr>
              <w:t>三十八包</w:t>
            </w:r>
            <w:r>
              <w:rPr>
                <w:rFonts w:hint="eastAsia"/>
                <w:color w:val="auto"/>
                <w:highlight w:val="none"/>
                <w:lang w:val="zh-CN" w:eastAsia="zh-CN"/>
              </w:rPr>
              <w:t>、第</w:t>
            </w:r>
            <w:r>
              <w:rPr>
                <w:rFonts w:hint="eastAsia"/>
                <w:color w:val="auto"/>
                <w:highlight w:val="none"/>
                <w:lang w:val="en-US" w:eastAsia="zh-CN"/>
              </w:rPr>
              <w:t>四十包</w:t>
            </w:r>
            <w:r>
              <w:rPr>
                <w:rFonts w:hint="eastAsia"/>
                <w:color w:val="auto"/>
                <w:highlight w:val="none"/>
                <w:lang w:val="zh-CN"/>
              </w:rPr>
              <w:t>专门面向中小企业采购，价格不再进行财政政策扣除；</w:t>
            </w:r>
            <w:r>
              <w:rPr>
                <w:rFonts w:hint="eastAsia"/>
                <w:color w:val="auto"/>
                <w:highlight w:val="none"/>
                <w:lang w:val="zh-CN" w:eastAsia="zh-CN"/>
              </w:rPr>
              <w:t>第</w:t>
            </w:r>
            <w:r>
              <w:rPr>
                <w:rFonts w:hint="eastAsia"/>
                <w:color w:val="auto"/>
                <w:highlight w:val="none"/>
                <w:lang w:val="en-US" w:eastAsia="zh-CN"/>
              </w:rPr>
              <w:t>三十九包</w:t>
            </w:r>
            <w:r>
              <w:rPr>
                <w:rFonts w:hint="eastAsia"/>
                <w:color w:val="auto"/>
                <w:highlight w:val="none"/>
                <w:lang w:val="zh-CN" w:eastAsia="zh-CN"/>
              </w:rPr>
              <w:t>非</w:t>
            </w:r>
            <w:r>
              <w:rPr>
                <w:rFonts w:hint="eastAsia"/>
                <w:color w:val="auto"/>
                <w:highlight w:val="none"/>
                <w:lang w:val="zh-CN"/>
              </w:rPr>
              <w:t>专门面向中小企业采购，投标人所提供货物的制造商为小型、微型企业的，给予10%的价格扣除； 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288" w:lineRule="auto"/>
              <w:rPr>
                <w:rFonts w:hint="eastAsia"/>
                <w:color w:val="auto"/>
                <w:highlight w:val="none"/>
                <w:lang w:val="zh-CN"/>
              </w:rPr>
            </w:pPr>
            <w:r>
              <w:rPr>
                <w:rFonts w:hint="eastAsia"/>
                <w:color w:val="auto"/>
                <w:highlight w:val="none"/>
              </w:rPr>
              <w:t>3</w:t>
            </w:r>
            <w:r>
              <w:rPr>
                <w:rFonts w:hint="eastAsia"/>
                <w:color w:val="auto"/>
                <w:highlight w:val="none"/>
                <w:lang w:val="zh-CN"/>
              </w:rPr>
              <w:t>.本项目的特定资格要求：</w:t>
            </w:r>
          </w:p>
          <w:p>
            <w:pPr>
              <w:pStyle w:val="2"/>
              <w:ind w:left="0" w:leftChars="0" w:firstLine="0" w:firstLineChars="0"/>
              <w:rPr>
                <w:rFonts w:hint="default" w:eastAsia="宋体"/>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3.1</w:t>
            </w:r>
            <w:r>
              <w:rPr>
                <w:rFonts w:hint="eastAsia"/>
                <w:color w:val="auto"/>
                <w:highlight w:val="none"/>
                <w:lang w:val="en-US" w:eastAsia="zh-CN"/>
              </w:rPr>
              <w:t>本项目第三十九包：AED除颤仪属于第三类医疗器械，根据《医疗器械生产监督办理办法》和《医疗器械经营监督办理办法》规定，生产经营除颤仪应取得第三类医疗器械生产或经营许可证；</w:t>
            </w:r>
          </w:p>
          <w:p>
            <w:pPr>
              <w:spacing w:line="288" w:lineRule="auto"/>
              <w:rPr>
                <w:color w:val="FF0000"/>
                <w:highlight w:val="cyan"/>
              </w:rPr>
            </w:pPr>
            <w:r>
              <w:rPr>
                <w:rFonts w:hint="eastAsia"/>
                <w:color w:val="auto"/>
                <w:highlight w:val="none"/>
              </w:rPr>
              <w:t>3.</w:t>
            </w:r>
            <w:r>
              <w:rPr>
                <w:rFonts w:hint="eastAsia"/>
                <w:color w:val="auto"/>
                <w:highlight w:val="none"/>
                <w:lang w:val="en-US" w:eastAsia="zh-CN"/>
              </w:rPr>
              <w:t>2</w:t>
            </w:r>
            <w:r>
              <w:rPr>
                <w:rFonts w:hint="eastAsia"/>
                <w:color w:val="auto"/>
                <w:highlight w:val="none"/>
              </w:rPr>
              <w:t>与招标人存在利害关系可能影响招标公正性的法人、其他组织或者个人，</w:t>
            </w:r>
            <w:r>
              <w:rPr>
                <w:rFonts w:hint="eastAsia"/>
                <w:color w:val="000000" w:themeColor="text1"/>
                <w:highlight w:val="none"/>
                <w14:textFill>
                  <w14:solidFill>
                    <w14:schemeClr w14:val="tx1"/>
                  </w14:solidFill>
                </w14:textFill>
              </w:rPr>
              <w:t>不得参加同一标段投标或者未划分标段的同一招标项目投标；</w:t>
            </w:r>
          </w:p>
          <w:p>
            <w:pPr>
              <w:spacing w:line="288" w:lineRule="auto"/>
              <w:rPr>
                <w:rFonts w:hint="eastAsia" w:eastAsia="宋体"/>
                <w:color w:val="auto"/>
                <w:highlight w:val="none"/>
                <w:lang w:eastAsia="zh-CN"/>
              </w:rPr>
            </w:pPr>
            <w:r>
              <w:rPr>
                <w:rFonts w:hint="eastAsia"/>
                <w:color w:val="auto"/>
                <w:highlight w:val="none"/>
              </w:rPr>
              <w:t>3.</w:t>
            </w:r>
            <w:r>
              <w:rPr>
                <w:rFonts w:hint="eastAsia"/>
                <w:color w:val="auto"/>
                <w:highlight w:val="none"/>
                <w:lang w:val="en-US" w:eastAsia="zh-CN"/>
              </w:rPr>
              <w:t>3</w:t>
            </w:r>
            <w:r>
              <w:rPr>
                <w:rFonts w:hint="eastAsia"/>
                <w:color w:val="auto"/>
                <w:highlight w:val="none"/>
              </w:rPr>
              <w:t xml:space="preserve"> 投标人负责人为同一人或者存在控股、管理关系的不同单位，不得同时参加本项目的投标</w:t>
            </w:r>
            <w:r>
              <w:rPr>
                <w:rFonts w:hint="eastAsia"/>
                <w:color w:val="auto"/>
                <w:highlight w:val="none"/>
                <w:lang w:eastAsia="zh-CN"/>
              </w:rPr>
              <w:t>；</w:t>
            </w:r>
          </w:p>
          <w:p>
            <w:pPr>
              <w:pStyle w:val="6"/>
              <w:ind w:firstLine="0"/>
              <w:rPr>
                <w:rFonts w:hint="eastAsia"/>
                <w:color w:val="auto"/>
                <w:highlight w:val="none"/>
              </w:rPr>
            </w:pPr>
            <w:r>
              <w:rPr>
                <w:rFonts w:hint="eastAsia"/>
                <w:color w:val="auto"/>
                <w:highlight w:val="none"/>
              </w:rPr>
              <w:t>3.</w:t>
            </w:r>
            <w:r>
              <w:rPr>
                <w:rFonts w:hint="eastAsia"/>
                <w:color w:val="auto"/>
                <w:highlight w:val="none"/>
                <w:lang w:val="en-US" w:eastAsia="zh-CN"/>
              </w:rPr>
              <w:t>4</w:t>
            </w:r>
            <w:r>
              <w:rPr>
                <w:rFonts w:hint="eastAsia"/>
                <w:color w:val="auto"/>
                <w:highlight w:val="none"/>
              </w:rPr>
              <w:t>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numPr>
                <w:ilvl w:val="0"/>
                <w:numId w:val="7"/>
              </w:numPr>
              <w:spacing w:line="288" w:lineRule="auto"/>
              <w:rPr>
                <w:rFonts w:hint="default" w:eastAsia="宋体"/>
                <w:lang w:val="en-US" w:eastAsia="zh-CN"/>
              </w:rPr>
            </w:pPr>
            <w:r>
              <w:rPr>
                <w:rFonts w:hint="eastAsia"/>
                <w:color w:val="auto"/>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14</w:t>
            </w:r>
          </w:p>
        </w:tc>
        <w:tc>
          <w:tcPr>
            <w:tcW w:w="1695"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投标保证金金额：</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第</w:t>
            </w:r>
            <w:r>
              <w:rPr>
                <w:rFonts w:hint="eastAsia" w:cs="Times New Roman"/>
                <w:color w:val="auto"/>
                <w:highlight w:val="none"/>
                <w:lang w:val="en-US" w:eastAsia="zh-CN"/>
              </w:rPr>
              <w:t>三十五包</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11000</w:t>
            </w:r>
            <w:r>
              <w:rPr>
                <w:rFonts w:hint="eastAsia" w:ascii="Times New Roman" w:hAnsi="Times New Roman" w:eastAsia="宋体" w:cs="Times New Roman"/>
                <w:color w:val="auto"/>
                <w:highlight w:val="none"/>
                <w:lang w:val="en-US" w:eastAsia="zh-CN"/>
              </w:rPr>
              <w:t>.00元（大写</w:t>
            </w:r>
            <w:r>
              <w:rPr>
                <w:rFonts w:hint="eastAsia" w:cs="Times New Roman"/>
                <w:color w:val="auto"/>
                <w:highlight w:val="none"/>
                <w:lang w:val="en-US" w:eastAsia="zh-CN"/>
              </w:rPr>
              <w:t>：壹万壹仟</w:t>
            </w:r>
            <w:r>
              <w:rPr>
                <w:rFonts w:hint="eastAsia" w:ascii="Times New Roman" w:hAnsi="Times New Roman" w:eastAsia="宋体" w:cs="Times New Roman"/>
                <w:color w:val="auto"/>
                <w:highlight w:val="none"/>
                <w:lang w:val="en-US" w:eastAsia="zh-CN"/>
              </w:rPr>
              <w:t>元整）</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第</w:t>
            </w:r>
            <w:r>
              <w:rPr>
                <w:rFonts w:hint="eastAsia" w:cs="Times New Roman"/>
                <w:color w:val="auto"/>
                <w:highlight w:val="none"/>
                <w:lang w:val="en-US" w:eastAsia="zh-CN"/>
              </w:rPr>
              <w:t>三十六包</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15000</w:t>
            </w:r>
            <w:r>
              <w:rPr>
                <w:rFonts w:hint="eastAsia" w:ascii="Times New Roman" w:hAnsi="Times New Roman" w:eastAsia="宋体" w:cs="Times New Roman"/>
                <w:color w:val="auto"/>
                <w:highlight w:val="none"/>
                <w:lang w:val="en-US" w:eastAsia="zh-CN"/>
              </w:rPr>
              <w:t>.00元（大写</w:t>
            </w:r>
            <w:r>
              <w:rPr>
                <w:rFonts w:hint="eastAsia" w:cs="Times New Roman"/>
                <w:color w:val="auto"/>
                <w:highlight w:val="none"/>
                <w:lang w:val="en-US" w:eastAsia="zh-CN"/>
              </w:rPr>
              <w:t>：壹万伍仟</w:t>
            </w:r>
            <w:r>
              <w:rPr>
                <w:rFonts w:hint="eastAsia" w:ascii="Times New Roman" w:hAnsi="Times New Roman" w:eastAsia="宋体" w:cs="Times New Roman"/>
                <w:color w:val="auto"/>
                <w:highlight w:val="none"/>
                <w:lang w:val="en-US" w:eastAsia="zh-CN"/>
              </w:rPr>
              <w:t>元整）</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第</w:t>
            </w:r>
            <w:r>
              <w:rPr>
                <w:rFonts w:hint="eastAsia" w:cs="Times New Roman"/>
                <w:color w:val="auto"/>
                <w:highlight w:val="none"/>
                <w:lang w:val="en-US" w:eastAsia="zh-CN"/>
              </w:rPr>
              <w:t>三十七包</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9000</w:t>
            </w:r>
            <w:r>
              <w:rPr>
                <w:rFonts w:hint="eastAsia" w:ascii="Times New Roman" w:hAnsi="Times New Roman" w:eastAsia="宋体" w:cs="Times New Roman"/>
                <w:color w:val="auto"/>
                <w:highlight w:val="none"/>
                <w:lang w:val="en-US" w:eastAsia="zh-CN"/>
              </w:rPr>
              <w:t>.00元（大写</w:t>
            </w:r>
            <w:r>
              <w:rPr>
                <w:rFonts w:hint="eastAsia" w:cs="Times New Roman"/>
                <w:color w:val="auto"/>
                <w:highlight w:val="none"/>
                <w:lang w:val="en-US" w:eastAsia="zh-CN"/>
              </w:rPr>
              <w:t>：玖仟</w:t>
            </w:r>
            <w:r>
              <w:rPr>
                <w:rFonts w:hint="eastAsia" w:ascii="Times New Roman" w:hAnsi="Times New Roman" w:eastAsia="宋体" w:cs="Times New Roman"/>
                <w:color w:val="auto"/>
                <w:highlight w:val="none"/>
                <w:lang w:val="en-US" w:eastAsia="zh-CN"/>
              </w:rPr>
              <w:t>元整）</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第</w:t>
            </w:r>
            <w:r>
              <w:rPr>
                <w:rFonts w:hint="eastAsia" w:cs="Times New Roman"/>
                <w:color w:val="auto"/>
                <w:highlight w:val="none"/>
                <w:lang w:val="en-US" w:eastAsia="zh-CN"/>
              </w:rPr>
              <w:t>三十八包</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11000</w:t>
            </w:r>
            <w:r>
              <w:rPr>
                <w:rFonts w:hint="eastAsia" w:ascii="Times New Roman" w:hAnsi="Times New Roman" w:eastAsia="宋体" w:cs="Times New Roman"/>
                <w:color w:val="auto"/>
                <w:highlight w:val="none"/>
                <w:lang w:val="en-US" w:eastAsia="zh-CN"/>
              </w:rPr>
              <w:t>.00元（大写</w:t>
            </w:r>
            <w:r>
              <w:rPr>
                <w:rFonts w:hint="eastAsia" w:cs="Times New Roman"/>
                <w:color w:val="auto"/>
                <w:highlight w:val="none"/>
                <w:lang w:val="en-US" w:eastAsia="zh-CN"/>
              </w:rPr>
              <w:t>：壹万壹仟</w:t>
            </w:r>
            <w:r>
              <w:rPr>
                <w:rFonts w:hint="eastAsia" w:ascii="Times New Roman" w:hAnsi="Times New Roman" w:eastAsia="宋体" w:cs="Times New Roman"/>
                <w:color w:val="auto"/>
                <w:highlight w:val="none"/>
                <w:lang w:val="en-US" w:eastAsia="zh-CN"/>
              </w:rPr>
              <w:t>元整）</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第</w:t>
            </w:r>
            <w:r>
              <w:rPr>
                <w:rFonts w:hint="eastAsia" w:cs="Times New Roman"/>
                <w:color w:val="auto"/>
                <w:highlight w:val="none"/>
                <w:lang w:val="en-US" w:eastAsia="zh-CN"/>
              </w:rPr>
              <w:t>三十九包</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6000</w:t>
            </w:r>
            <w:r>
              <w:rPr>
                <w:rFonts w:hint="eastAsia" w:ascii="Times New Roman" w:hAnsi="Times New Roman" w:eastAsia="宋体" w:cs="Times New Roman"/>
                <w:color w:val="auto"/>
                <w:highlight w:val="none"/>
                <w:lang w:val="en-US" w:eastAsia="zh-CN"/>
              </w:rPr>
              <w:t>.00元（大写</w:t>
            </w:r>
            <w:r>
              <w:rPr>
                <w:rFonts w:hint="eastAsia" w:cs="Times New Roman"/>
                <w:color w:val="auto"/>
                <w:highlight w:val="none"/>
                <w:lang w:val="en-US" w:eastAsia="zh-CN"/>
              </w:rPr>
              <w:t>：陆仟</w:t>
            </w:r>
            <w:r>
              <w:rPr>
                <w:rFonts w:hint="eastAsia" w:ascii="Times New Roman" w:hAnsi="Times New Roman" w:eastAsia="宋体" w:cs="Times New Roman"/>
                <w:color w:val="auto"/>
                <w:highlight w:val="none"/>
                <w:lang w:val="en-US" w:eastAsia="zh-CN"/>
              </w:rPr>
              <w:t>元整）</w:t>
            </w:r>
          </w:p>
          <w:p>
            <w:pPr>
              <w:numPr>
                <w:ilvl w:val="0"/>
                <w:numId w:val="0"/>
              </w:numPr>
              <w:spacing w:line="288" w:lineRule="auto"/>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第</w:t>
            </w:r>
            <w:r>
              <w:rPr>
                <w:rFonts w:hint="eastAsia" w:cs="Times New Roman"/>
                <w:color w:val="auto"/>
                <w:highlight w:val="none"/>
                <w:lang w:val="en-US" w:eastAsia="zh-CN"/>
              </w:rPr>
              <w:t>四十包</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10000</w:t>
            </w:r>
            <w:r>
              <w:rPr>
                <w:rFonts w:hint="eastAsia" w:ascii="Times New Roman" w:hAnsi="Times New Roman" w:eastAsia="宋体" w:cs="Times New Roman"/>
                <w:color w:val="auto"/>
                <w:highlight w:val="none"/>
                <w:lang w:val="en-US" w:eastAsia="zh-CN"/>
              </w:rPr>
              <w:t>.00元（大写</w:t>
            </w:r>
            <w:r>
              <w:rPr>
                <w:rFonts w:hint="eastAsia" w:cs="Times New Roman"/>
                <w:color w:val="auto"/>
                <w:highlight w:val="none"/>
                <w:lang w:val="en-US" w:eastAsia="zh-CN"/>
              </w:rPr>
              <w:t>：壹万</w:t>
            </w:r>
            <w:r>
              <w:rPr>
                <w:rFonts w:hint="eastAsia" w:ascii="Times New Roman" w:hAnsi="Times New Roman" w:eastAsia="宋体" w:cs="Times New Roman"/>
                <w:color w:val="auto"/>
                <w:highlight w:val="none"/>
                <w:lang w:val="en-US" w:eastAsia="zh-CN"/>
              </w:rPr>
              <w:t>元整）</w:t>
            </w:r>
          </w:p>
          <w:p>
            <w:pPr>
              <w:numPr>
                <w:ilvl w:val="0"/>
                <w:numId w:val="0"/>
              </w:numPr>
              <w:spacing w:line="288" w:lineRule="auto"/>
              <w:jc w:val="left"/>
              <w:rPr>
                <w:rFonts w:hint="eastAsia" w:ascii="Times New Roman" w:hAnsi="Times New Roman" w:eastAsia="宋体" w:cs="Times New Roman"/>
                <w:color w:val="auto"/>
                <w:highlight w:val="none"/>
                <w:lang w:val="zh-CN" w:eastAsia="zh-CN"/>
              </w:rPr>
            </w:pP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lang w:val="zh-CN" w:eastAsia="zh-CN"/>
              </w:rPr>
              <w:t>投标保证金递交截止时间：</w:t>
            </w:r>
            <w:r>
              <w:rPr>
                <w:rFonts w:hint="eastAsia" w:ascii="Times New Roman" w:hAnsi="Times New Roman" w:eastAsia="宋体" w:cs="Times New Roman"/>
                <w:color w:val="auto"/>
                <w:highlight w:val="none"/>
                <w:lang w:val="en-US" w:eastAsia="zh-CN"/>
              </w:rPr>
              <w:t>2024年</w:t>
            </w:r>
            <w:r>
              <w:rPr>
                <w:rFonts w:hint="eastAsia" w:cs="Times New Roman"/>
                <w:color w:val="auto"/>
                <w:highlight w:val="none"/>
                <w:lang w:val="en-US" w:eastAsia="zh-CN"/>
              </w:rPr>
              <w:t>4</w:t>
            </w:r>
            <w:r>
              <w:rPr>
                <w:rFonts w:hint="eastAsia" w:ascii="Times New Roman" w:hAnsi="Times New Roman" w:eastAsia="宋体" w:cs="Times New Roman"/>
                <w:color w:val="auto"/>
                <w:highlight w:val="none"/>
                <w:lang w:val="en-US" w:eastAsia="zh-CN"/>
              </w:rPr>
              <w:t>月</w:t>
            </w:r>
            <w:r>
              <w:rPr>
                <w:rFonts w:hint="eastAsia" w:cs="Times New Roman"/>
                <w:color w:val="auto"/>
                <w:highlight w:val="none"/>
                <w:lang w:val="en-US" w:eastAsia="zh-CN"/>
              </w:rPr>
              <w:t>26</w:t>
            </w:r>
            <w:r>
              <w:rPr>
                <w:rFonts w:hint="eastAsia" w:ascii="Times New Roman" w:hAnsi="Times New Roman" w:eastAsia="宋体" w:cs="Times New Roman"/>
                <w:color w:val="auto"/>
                <w:highlight w:val="none"/>
                <w:lang w:val="en-US" w:eastAsia="zh-CN"/>
              </w:rPr>
              <w:t>日</w:t>
            </w:r>
            <w:r>
              <w:rPr>
                <w:rFonts w:hint="eastAsia" w:cs="Times New Roman"/>
                <w:color w:val="auto"/>
                <w:highlight w:val="none"/>
                <w:lang w:val="en-US" w:eastAsia="zh-CN"/>
              </w:rPr>
              <w:t>10</w:t>
            </w:r>
            <w:r>
              <w:rPr>
                <w:rFonts w:hint="eastAsia" w:ascii="Times New Roman" w:hAnsi="Times New Roman" w:eastAsia="宋体" w:cs="Times New Roman"/>
                <w:color w:val="auto"/>
                <w:highlight w:val="none"/>
                <w:lang w:val="en-US" w:eastAsia="zh-CN"/>
              </w:rPr>
              <w:t>时</w:t>
            </w:r>
            <w:r>
              <w:rPr>
                <w:rFonts w:hint="eastAsia" w:cs="Times New Roman"/>
                <w:color w:val="auto"/>
                <w:highlight w:val="none"/>
                <w:lang w:val="en-US" w:eastAsia="zh-CN"/>
              </w:rPr>
              <w:t>00</w:t>
            </w:r>
            <w:r>
              <w:rPr>
                <w:rFonts w:hint="eastAsia" w:ascii="Times New Roman" w:hAnsi="Times New Roman" w:eastAsia="宋体" w:cs="Times New Roman"/>
                <w:color w:val="auto"/>
                <w:highlight w:val="none"/>
                <w:lang w:val="en-US" w:eastAsia="zh-CN"/>
              </w:rPr>
              <w:t>分</w:t>
            </w:r>
            <w:r>
              <w:rPr>
                <w:rFonts w:hint="eastAsia" w:ascii="Times New Roman" w:hAnsi="Times New Roman" w:eastAsia="宋体" w:cs="Times New Roman"/>
                <w:color w:val="auto"/>
                <w:highlight w:val="none"/>
                <w:lang w:val="zh-CN" w:eastAsia="zh-CN"/>
              </w:rPr>
              <w:t>。</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3.投标保证金缴纳形式：投标保证金应当以支票、汇票、本票或者金融机构、担保机构出具的保函等非现金形式提交，投标人未按照招标文件要求提交投标保证金的，投标无效。</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5.投标保证金递交的开户银行及账号如下：</w:t>
            </w:r>
          </w:p>
          <w:p>
            <w:pPr>
              <w:numPr>
                <w:ilvl w:val="0"/>
                <w:numId w:val="0"/>
              </w:numPr>
              <w:spacing w:line="288" w:lineRule="auto"/>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账户名称：新疆文博工程项目管理有限公司</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账    号：61112101302056088</w:t>
            </w:r>
          </w:p>
          <w:p>
            <w:pPr>
              <w:numPr>
                <w:ilvl w:val="0"/>
                <w:numId w:val="0"/>
              </w:numPr>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开户行名称：昌吉国民村镇银行有限责任公司</w:t>
            </w:r>
          </w:p>
          <w:p>
            <w:pPr>
              <w:numPr>
                <w:ilvl w:val="0"/>
                <w:numId w:val="0"/>
              </w:numPr>
              <w:spacing w:line="288" w:lineRule="auto"/>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行    号：J8850004384401</w:t>
            </w:r>
          </w:p>
          <w:p>
            <w:pPr>
              <w:numPr>
                <w:ilvl w:val="0"/>
                <w:numId w:val="0"/>
              </w:numPr>
              <w:spacing w:line="288" w:lineRule="auto"/>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cs="宋体"/>
                <w:color w:val="auto"/>
                <w:kern w:val="0"/>
                <w:highlight w:val="none"/>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投标文件</w:t>
            </w:r>
          </w:p>
          <w:p>
            <w:pPr>
              <w:spacing w:line="288" w:lineRule="auto"/>
              <w:jc w:val="center"/>
              <w:rPr>
                <w:rFonts w:ascii="宋体" w:hAnsi="宋体" w:cs="Arial"/>
                <w:bCs/>
                <w:color w:val="auto"/>
                <w:highlight w:val="none"/>
              </w:rPr>
            </w:pPr>
            <w:r>
              <w:rPr>
                <w:rFonts w:hint="eastAsia" w:hAnsi="宋体" w:cs="Arial"/>
                <w:bCs/>
                <w:color w:val="auto"/>
                <w:highlight w:val="none"/>
              </w:rPr>
              <w:t>份数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rPr>
              <w:t>1、一份正本、四份副本</w:t>
            </w:r>
            <w:r>
              <w:rPr>
                <w:rFonts w:hint="eastAsia"/>
                <w:b/>
                <w:bCs/>
                <w:color w:val="auto"/>
                <w:highlight w:val="none"/>
              </w:rPr>
              <w:t>（报价文件单独胶装成一册，</w:t>
            </w:r>
            <w:r>
              <w:rPr>
                <w:rFonts w:hint="eastAsia"/>
                <w:b/>
                <w:bCs/>
                <w:color w:val="auto"/>
                <w:highlight w:val="none"/>
                <w:lang w:val="en-US" w:eastAsia="zh-CN"/>
              </w:rPr>
              <w:t>商务技术</w:t>
            </w:r>
            <w:r>
              <w:rPr>
                <w:rFonts w:hint="eastAsia"/>
                <w:b/>
                <w:bCs/>
                <w:color w:val="auto"/>
                <w:highlight w:val="none"/>
              </w:rPr>
              <w:t>文件合并胶装）。</w:t>
            </w:r>
          </w:p>
          <w:p>
            <w:pPr>
              <w:spacing w:line="288" w:lineRule="auto"/>
              <w:rPr>
                <w:rFonts w:ascii="宋体" w:hAnsi="宋体" w:cs="Arial"/>
                <w:bCs/>
                <w:color w:val="auto"/>
                <w:highlight w:val="none"/>
              </w:rPr>
            </w:pPr>
            <w:r>
              <w:rPr>
                <w:rFonts w:hint="eastAsia"/>
                <w:color w:val="auto"/>
                <w:highlight w:val="none"/>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color w:val="auto"/>
                <w:highlight w:val="none"/>
              </w:rPr>
            </w:pPr>
            <w:r>
              <w:rPr>
                <w:rFonts w:hint="eastAsia" w:hAnsi="宋体" w:cs="Arial"/>
                <w:color w:val="auto"/>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rPr>
              <w:t>投标截止时间：</w:t>
            </w:r>
            <w:r>
              <w:rPr>
                <w:rFonts w:hint="eastAsia" w:hAnsi="宋体" w:cs="Arial"/>
                <w:bCs/>
                <w:color w:val="auto"/>
                <w:highlight w:val="none"/>
                <w:lang w:val="en-US" w:eastAsia="zh-CN"/>
              </w:rPr>
              <w:t>2024年4月26日10时00分</w:t>
            </w:r>
          </w:p>
          <w:p>
            <w:pPr>
              <w:spacing w:line="288" w:lineRule="auto"/>
              <w:jc w:val="left"/>
              <w:rPr>
                <w:rFonts w:ascii="宋体" w:hAnsi="宋体" w:cs="Arial"/>
                <w:bCs/>
                <w:color w:val="auto"/>
                <w:highlight w:val="none"/>
              </w:rPr>
            </w:pPr>
            <w:r>
              <w:rPr>
                <w:rFonts w:hint="eastAsia" w:hAnsi="宋体" w:cs="Arial"/>
                <w:bCs/>
                <w:color w:val="auto"/>
                <w:highlight w:val="none"/>
              </w:rPr>
              <w:t>投标地点：昌吉回族自治州政务服务和公共资源交易中心公共资源交易大厅负一楼第</w:t>
            </w:r>
            <w:bookmarkStart w:id="123" w:name="_GoBack"/>
            <w:r>
              <w:rPr>
                <w:rFonts w:hint="eastAsia" w:ascii="宋体" w:hAnsi="宋体" w:eastAsia="宋体" w:cs="Times New Roman"/>
                <w:color w:val="auto"/>
                <w:kern w:val="2"/>
                <w:sz w:val="21"/>
                <w:szCs w:val="20"/>
                <w:lang w:val="en-US" w:eastAsia="zh-CN" w:bidi="ar-SA"/>
              </w:rPr>
              <w:t>2</w:t>
            </w:r>
            <w:r>
              <w:rPr>
                <w:rFonts w:hint="eastAsia" w:hAnsi="宋体" w:cs="Arial"/>
                <w:bCs/>
                <w:color w:val="auto"/>
                <w:highlight w:val="none"/>
              </w:rPr>
              <w:t>开</w:t>
            </w:r>
            <w:bookmarkEnd w:id="123"/>
            <w:r>
              <w:rPr>
                <w:rFonts w:hint="eastAsia" w:hAnsi="宋体" w:cs="Arial"/>
                <w:bCs/>
                <w:color w:val="auto"/>
                <w:highlight w:val="none"/>
              </w:rPr>
              <w:t>标大厅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开标时间</w:t>
            </w:r>
          </w:p>
          <w:p>
            <w:pPr>
              <w:spacing w:line="288" w:lineRule="auto"/>
              <w:jc w:val="center"/>
              <w:rPr>
                <w:rFonts w:ascii="宋体" w:hAnsi="宋体" w:cs="Arial"/>
                <w:bCs/>
                <w:color w:val="auto"/>
                <w:highlight w:val="none"/>
              </w:rPr>
            </w:pPr>
            <w:r>
              <w:rPr>
                <w:rFonts w:hint="eastAsia" w:hAnsi="宋体" w:cs="Arial"/>
                <w:bCs/>
                <w:color w:val="auto"/>
                <w:highlight w:val="none"/>
              </w:rPr>
              <w:t>及地点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ind w:left="1050" w:hanging="1050" w:hangingChars="500"/>
              <w:rPr>
                <w:rFonts w:hAnsi="宋体" w:cs="Arial"/>
                <w:bCs/>
                <w:color w:val="auto"/>
                <w:highlight w:val="none"/>
              </w:rPr>
            </w:pPr>
            <w:r>
              <w:rPr>
                <w:rFonts w:hint="eastAsia" w:hAnsi="宋体" w:cs="Arial"/>
                <w:bCs/>
                <w:color w:val="auto"/>
                <w:highlight w:val="none"/>
              </w:rPr>
              <w:t>开标时间：</w:t>
            </w:r>
            <w:r>
              <w:rPr>
                <w:rFonts w:hint="eastAsia" w:hAnsi="宋体" w:cs="Arial"/>
                <w:bCs/>
                <w:color w:val="auto"/>
                <w:highlight w:val="none"/>
                <w:lang w:val="en-US" w:eastAsia="zh-CN"/>
              </w:rPr>
              <w:t>2024年4月26日10时00分</w:t>
            </w:r>
          </w:p>
          <w:p>
            <w:pPr>
              <w:spacing w:line="288" w:lineRule="auto"/>
              <w:ind w:left="1050" w:hanging="1050" w:hangingChars="500"/>
              <w:jc w:val="left"/>
              <w:rPr>
                <w:rFonts w:ascii="宋体" w:hAnsi="宋体" w:cs="Arial"/>
                <w:bCs/>
                <w:color w:val="auto"/>
                <w:highlight w:val="none"/>
              </w:rPr>
            </w:pPr>
            <w:r>
              <w:rPr>
                <w:rFonts w:hint="eastAsia" w:hAnsi="宋体" w:cs="Arial"/>
                <w:bCs/>
                <w:color w:val="auto"/>
                <w:highlight w:val="none"/>
              </w:rPr>
              <w:t>开标地点：</w:t>
            </w:r>
            <w:r>
              <w:rPr>
                <w:rFonts w:hint="eastAsia" w:hAnsi="宋体" w:cs="Arial"/>
                <w:bCs/>
                <w:color w:val="auto"/>
                <w:highlight w:val="none"/>
                <w:lang w:val="en-US" w:eastAsia="zh-CN"/>
              </w:rPr>
              <w:t>昌吉回族自治州政务服务和公共资源交易中心公共资源交易大厅负一楼第</w:t>
            </w:r>
            <w:r>
              <w:rPr>
                <w:rFonts w:hint="eastAsia" w:ascii="宋体" w:hAnsi="宋体" w:eastAsia="宋体" w:cs="Times New Roman"/>
                <w:color w:val="0000FF"/>
                <w:kern w:val="2"/>
                <w:sz w:val="21"/>
                <w:szCs w:val="20"/>
                <w:lang w:val="en-US" w:eastAsia="zh-CN" w:bidi="ar-SA"/>
              </w:rPr>
              <w:t>2</w:t>
            </w:r>
            <w:r>
              <w:rPr>
                <w:rFonts w:hint="eastAsia" w:hAnsi="宋体" w:cs="Arial"/>
                <w:bCs/>
                <w:color w:val="auto"/>
                <w:highlight w:val="none"/>
                <w:lang w:val="en-US" w:eastAsia="zh-CN"/>
              </w:rPr>
              <w:t>开标大厅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color w:val="auto"/>
                <w:highlight w:val="none"/>
              </w:rPr>
              <w:t>合同签订前，中标</w:t>
            </w:r>
            <w:r>
              <w:rPr>
                <w:rFonts w:hint="eastAsia"/>
                <w:color w:val="auto"/>
                <w:highlight w:val="none"/>
              </w:rPr>
              <w:t>单位</w:t>
            </w:r>
            <w:r>
              <w:rPr>
                <w:color w:val="auto"/>
                <w:highlight w:val="none"/>
              </w:rPr>
              <w:t>按照中标</w:t>
            </w:r>
            <w:r>
              <w:rPr>
                <w:rFonts w:hint="eastAsia"/>
                <w:color w:val="auto"/>
                <w:highlight w:val="none"/>
              </w:rPr>
              <w:t>金额</w:t>
            </w:r>
            <w:r>
              <w:rPr>
                <w:color w:val="auto"/>
                <w:highlight w:val="none"/>
              </w:rPr>
              <w:t>的</w:t>
            </w:r>
            <w:r>
              <w:rPr>
                <w:rFonts w:hint="eastAsia"/>
                <w:color w:val="auto"/>
                <w:highlight w:val="none"/>
              </w:rPr>
              <w:t>5</w:t>
            </w:r>
            <w:r>
              <w:rPr>
                <w:color w:val="auto"/>
                <w:highlight w:val="none"/>
              </w:rPr>
              <w:t>%缴纳履约保证金，</w:t>
            </w:r>
            <w:r>
              <w:rPr>
                <w:rFonts w:hint="eastAsia"/>
                <w:color w:val="auto"/>
                <w:highlight w:val="none"/>
              </w:rPr>
              <w:t>中标单位按合同约定交付全部产品，安装调试完毕，书面验收合格一年后，采购单位无息退还全部履约保证金</w:t>
            </w:r>
            <w:r>
              <w:rPr>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bCs/>
                <w:color w:val="auto"/>
                <w:spacing w:val="-4"/>
                <w:highlight w:val="none"/>
                <w:lang w:val="en-US" w:eastAsia="zh-CN"/>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ascii="宋体" w:hAnsi="宋体" w:cs="宋体"/>
                <w:color w:val="auto"/>
                <w:spacing w:val="-4"/>
                <w:highlight w:val="none"/>
              </w:rPr>
              <w:t>详见本招标文件投标人须知第</w:t>
            </w:r>
            <w:r>
              <w:rPr>
                <w:rFonts w:hint="eastAsia" w:ascii="宋体" w:hAnsi="宋体" w:cs="宋体"/>
                <w:color w:val="auto"/>
                <w:spacing w:val="-4"/>
                <w:highlight w:val="none"/>
                <w:lang w:val="en-US" w:eastAsia="zh-CN"/>
              </w:rPr>
              <w:t>22</w:t>
            </w:r>
            <w:r>
              <w:rPr>
                <w:rFonts w:hint="eastAsia" w:ascii="宋体" w:hAnsi="宋体" w:cs="宋体"/>
                <w:color w:val="auto"/>
                <w:spacing w:val="-4"/>
                <w:highlight w:val="none"/>
              </w:rPr>
              <w:t>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numPr>
                <w:ilvl w:val="0"/>
                <w:numId w:val="8"/>
              </w:numPr>
              <w:tabs>
                <w:tab w:val="left" w:pos="720"/>
                <w:tab w:val="left" w:pos="900"/>
                <w:tab w:val="left" w:pos="1080"/>
                <w:tab w:val="left" w:pos="1260"/>
                <w:tab w:val="left" w:pos="1440"/>
                <w:tab w:val="left" w:pos="1800"/>
                <w:tab w:val="clear" w:pos="312"/>
              </w:tabs>
              <w:spacing w:line="288" w:lineRule="auto"/>
              <w:rPr>
                <w:rFonts w:hint="default"/>
                <w:color w:val="auto"/>
                <w:highlight w:val="none"/>
                <w:lang w:val="en-US" w:eastAsia="zh-CN"/>
              </w:rPr>
            </w:pPr>
            <w:r>
              <w:rPr>
                <w:rFonts w:hint="default"/>
                <w:color w:val="auto"/>
                <w:highlight w:val="none"/>
                <w:lang w:val="en-US" w:eastAsia="zh-CN"/>
              </w:rPr>
              <w:t>根据《国家市场监督管理总局关于发布强制性产品认证目录描述与界定表的公告》（2023年第36号）要求，如本项目采购产品属于《强制性产品认证目录》、《强制性产品认证目录描述与界定表（2023年修订）》范围内产品的，应取得有效期内的强制性认证证书（CCC认证证书），供应商应在投标文件中提供认证证书复印件（加盖公章），否则视为无效投标。</w:t>
            </w:r>
          </w:p>
          <w:p>
            <w:pPr>
              <w:widowControl/>
              <w:numPr>
                <w:ilvl w:val="0"/>
                <w:numId w:val="0"/>
              </w:numPr>
              <w:tabs>
                <w:tab w:val="left" w:pos="720"/>
                <w:tab w:val="left" w:pos="900"/>
                <w:tab w:val="left" w:pos="1080"/>
                <w:tab w:val="left" w:pos="1260"/>
                <w:tab w:val="left" w:pos="1440"/>
                <w:tab w:val="left" w:pos="1800"/>
              </w:tabs>
              <w:spacing w:line="288" w:lineRule="auto"/>
              <w:ind w:leftChars="0"/>
              <w:rPr>
                <w:rFonts w:hint="default"/>
                <w:color w:val="auto"/>
                <w:highlight w:val="none"/>
                <w:lang w:val="en-US" w:eastAsia="zh-CN"/>
              </w:rPr>
            </w:pPr>
            <w:r>
              <w:rPr>
                <w:rFonts w:hint="eastAsia"/>
                <w:color w:val="auto"/>
                <w:highlight w:val="none"/>
                <w:lang w:val="en-US" w:eastAsia="zh-CN"/>
              </w:rPr>
              <w:t>2.</w:t>
            </w:r>
            <w:r>
              <w:rPr>
                <w:rFonts w:hint="default"/>
                <w:color w:val="auto"/>
                <w:highlight w:val="none"/>
                <w:lang w:val="en-US" w:eastAsia="zh-CN"/>
              </w:rPr>
              <w:t>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供应商应在投标文件中提供认证证书复印件（加盖公章），否则视为无效投标。</w:t>
            </w:r>
          </w:p>
          <w:p>
            <w:pPr>
              <w:widowControl/>
              <w:numPr>
                <w:ilvl w:val="0"/>
                <w:numId w:val="0"/>
              </w:numPr>
              <w:tabs>
                <w:tab w:val="left" w:pos="720"/>
                <w:tab w:val="left" w:pos="900"/>
                <w:tab w:val="left" w:pos="1080"/>
                <w:tab w:val="left" w:pos="1260"/>
                <w:tab w:val="left" w:pos="1440"/>
                <w:tab w:val="left" w:pos="1800"/>
              </w:tabs>
              <w:spacing w:line="288" w:lineRule="auto"/>
              <w:ind w:leftChars="0"/>
              <w:rPr>
                <w:color w:val="auto"/>
                <w:highlight w:val="none"/>
              </w:rPr>
            </w:pPr>
            <w:r>
              <w:rPr>
                <w:rFonts w:hint="default"/>
                <w:color w:val="auto"/>
                <w:highlight w:val="none"/>
                <w:lang w:val="en-US" w:eastAsia="zh-CN"/>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投标人须在投标文件中提供认证证书复印件（加盖公章），否则不予认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000000" w:themeColor="text1"/>
                <w:highlight w:val="none"/>
                <w14:textFill>
                  <w14:solidFill>
                    <w14:schemeClr w14:val="tx1"/>
                  </w14:solidFill>
                </w14:textFill>
              </w:rPr>
            </w:pPr>
            <w:r>
              <w:rPr>
                <w:rFonts w:hint="eastAsia" w:ascii="宋体" w:hAnsi="宋体" w:cs="Arial"/>
                <w:bCs/>
                <w:color w:val="000000" w:themeColor="text1"/>
                <w:highlight w:val="none"/>
                <w14:textFill>
                  <w14:solidFill>
                    <w14:schemeClr w14:val="tx1"/>
                  </w14:solidFill>
                </w14:textFill>
              </w:rPr>
              <w:t>参照国家发展改革委员会发改价格【2011】534号、发改办价格【2003】857号文件和国家发展改革委“发改价格”和《招标代理服务收费管理暂行办法》（计价格【2002】1980号）下浮20%收取，由中标单位支付。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cs="Arial"/>
                <w:bCs/>
                <w:color w:val="auto"/>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spacing w:val="-4"/>
                <w:highlight w:val="none"/>
                <w:lang w:val="en-US" w:eastAsia="zh-CN"/>
              </w:rPr>
            </w:pPr>
            <w:r>
              <w:rPr>
                <w:rFonts w:hint="eastAsia" w:ascii="宋体" w:hAnsi="宋体" w:cs="宋体"/>
                <w:spacing w:val="-4"/>
                <w:highlight w:val="none"/>
                <w:lang w:val="en-US" w:eastAsia="zh-CN"/>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spacing w:val="-4"/>
                <w:highlight w:val="none"/>
                <w:lang w:val="en-US" w:eastAsia="zh-CN"/>
              </w:rPr>
            </w:pPr>
            <w:r>
              <w:rPr>
                <w:rFonts w:hint="eastAsia" w:ascii="宋体" w:hAnsi="宋体" w:cs="宋体"/>
                <w:spacing w:val="-4"/>
                <w:highlight w:val="none"/>
                <w:lang w:val="en-US" w:eastAsia="zh-CN"/>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spacing w:val="-4"/>
                <w:highlight w:val="none"/>
                <w:lang w:val="en-US" w:eastAsia="zh-CN"/>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zh-CN" w:eastAsia="zh-CN"/>
              </w:rPr>
            </w:pPr>
            <w:r>
              <w:rPr>
                <w:rFonts w:hint="eastAsia" w:ascii="Times New Roman" w:hAnsi="Times New Roman" w:eastAsia="宋体" w:cs="Times New Roman"/>
                <w:color w:val="auto"/>
                <w:highlight w:val="none"/>
                <w:lang w:val="en-US" w:eastAsia="zh-CN"/>
              </w:rPr>
              <w:t>1.本项目第三十五包、第三十六包、第三十七包、第三十八包、第四十包专门面向中小企业采购，价格不再进行财政政策扣除；第三十九包非专门面向中小企业采购，投标人所提供货物的制造商为小型、微型企业的，给予10%的价格扣除；</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2.残疾人福利性单位、监狱和戒毒企业（简称监狱企业）视同小型、微型企业</w:t>
            </w:r>
            <w:r>
              <w:rPr>
                <w:rFonts w:hint="eastAsia" w:cs="Times New Roman"/>
                <w:color w:val="auto"/>
                <w:highlight w:val="none"/>
                <w:lang w:val="en-US" w:eastAsia="zh-CN"/>
              </w:rPr>
              <w:t>；残疾人福利单位、监狱企业同时属于小型、微型企业的，不重复享受财政政策。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3.根据《政府采购促进中小企业发展管理办法》（财库[2020]46号）和《财政部关于进一步加大政府采购支持中小企业力度的通知》要求，供应商应提供合格的《中小企业声明函》，如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提供的《中小企业声明函》不合格或未提供《中小企业声明函》的，不得享受相关中小微企业扶持政策。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4.根据《关于政府采购支持监狱企业发展有关问题的通知》（财库[2014]68号）和本</w:t>
            </w:r>
            <w:r>
              <w:rPr>
                <w:rFonts w:hint="eastAsia" w:cs="Times New Roman"/>
                <w:color w:val="auto"/>
                <w:highlight w:val="none"/>
                <w:lang w:val="en-US" w:eastAsia="zh-CN"/>
              </w:rPr>
              <w:t>招标文件</w:t>
            </w:r>
            <w:r>
              <w:rPr>
                <w:rFonts w:hint="eastAsia" w:ascii="Times New Roman" w:hAnsi="Times New Roman" w:eastAsia="宋体" w:cs="Times New Roman"/>
                <w:color w:val="auto"/>
                <w:highlight w:val="none"/>
                <w:lang w:val="en-US" w:eastAsia="zh-CN"/>
              </w:rPr>
              <w:t>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应提供合格的《监狱企业声明函》，如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提供的《监狱企业声明函》不合格或未提供《监狱企业声明函》的，不得享受相关中小微企业扶持政策。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color w:val="auto"/>
                <w:highlight w:val="none"/>
                <w:lang w:val="en-US"/>
              </w:rPr>
            </w:pPr>
            <w:r>
              <w:rPr>
                <w:rFonts w:hint="eastAsia" w:ascii="Times New Roman" w:hAnsi="Times New Roman" w:eastAsia="宋体" w:cs="Times New Roman"/>
                <w:color w:val="auto"/>
                <w:highlight w:val="none"/>
                <w:lang w:val="en-US" w:eastAsia="zh-CN"/>
              </w:rPr>
              <w:t>5.根据《关于促进残疾人就业政府采购政策的通知》（财库[2017]141号）要求，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应提供合格的《残疾人福利性单位声明函》，如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宋体" w:cs="Arial"/>
                <w:bCs/>
                <w:color w:val="auto"/>
                <w:highlight w:val="none"/>
                <w:lang w:val="en-US" w:eastAsia="zh-CN"/>
              </w:rPr>
            </w:pPr>
            <w:r>
              <w:rPr>
                <w:rFonts w:hint="eastAsia" w:cs="Arial"/>
                <w:bCs/>
                <w:color w:val="auto"/>
                <w:highlight w:val="none"/>
                <w:lang w:val="en-US" w:eastAsia="zh-CN"/>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numPr>
                <w:ilvl w:val="0"/>
                <w:numId w:val="9"/>
              </w:numPr>
              <w:tabs>
                <w:tab w:val="left" w:pos="720"/>
                <w:tab w:val="left" w:pos="900"/>
                <w:tab w:val="left" w:pos="1080"/>
                <w:tab w:val="left" w:pos="1260"/>
                <w:tab w:val="left" w:pos="1440"/>
                <w:tab w:val="left" w:pos="1800"/>
                <w:tab w:val="clear" w:pos="312"/>
              </w:tabs>
              <w:spacing w:line="288" w:lineRule="auto"/>
              <w:jc w:val="left"/>
              <w:rPr>
                <w:rFonts w:hint="default" w:ascii="宋体" w:hAnsi="宋体" w:cs="宋体"/>
                <w:color w:val="auto"/>
                <w:spacing w:val="-4"/>
                <w:highlight w:val="none"/>
                <w:lang w:val="en-US" w:eastAsia="zh-CN"/>
              </w:rPr>
            </w:pPr>
            <w:r>
              <w:rPr>
                <w:rFonts w:hint="default" w:ascii="宋体" w:hAnsi="宋体" w:cs="宋体"/>
                <w:color w:val="auto"/>
                <w:spacing w:val="-4"/>
                <w:highlight w:val="none"/>
                <w:lang w:val="en-US" w:eastAsia="zh-CN"/>
              </w:rPr>
              <w:t>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widowControl/>
              <w:numPr>
                <w:ilvl w:val="0"/>
                <w:numId w:val="0"/>
              </w:numPr>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lang w:val="en-US" w:eastAsia="zh-CN"/>
              </w:rPr>
              <w:t>2</w:t>
            </w:r>
            <w:r>
              <w:rPr>
                <w:rFonts w:hint="default" w:ascii="宋体" w:hAnsi="宋体" w:cs="宋体"/>
                <w:color w:val="auto"/>
                <w:spacing w:val="-4"/>
                <w:highlight w:val="none"/>
                <w:lang w:val="en-US" w:eastAsia="zh-CN"/>
              </w:rPr>
              <w:t>.无国家或行业标准的产品投标时应提供国家认可的质量检验检测机构出具的检验检测报告（如有）；如投标时未提供，应在产品交付验收时提供国家认可的质量检验检测机构出具的检验检测报告。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30</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eastAsia="宋体" w:cs="宋体"/>
                <w:color w:val="auto"/>
                <w:spacing w:val="-4"/>
                <w:highlight w:val="none"/>
                <w:lang w:val="en-US" w:eastAsia="zh-CN"/>
              </w:rPr>
            </w:pPr>
            <w:r>
              <w:rPr>
                <w:rFonts w:hint="eastAsia" w:ascii="宋体" w:hAnsi="宋体" w:cs="宋体"/>
                <w:color w:val="auto"/>
                <w:spacing w:val="-4"/>
                <w:highlight w:val="none"/>
              </w:rPr>
              <w:t>样品</w:t>
            </w:r>
            <w:r>
              <w:rPr>
                <w:rFonts w:hint="eastAsia" w:ascii="宋体" w:hAnsi="宋体" w:cs="宋体"/>
                <w:color w:val="auto"/>
                <w:spacing w:val="-4"/>
                <w:highlight w:val="none"/>
                <w:lang w:eastAsia="zh-CN"/>
              </w:rPr>
              <w:t>、</w:t>
            </w:r>
            <w:r>
              <w:rPr>
                <w:rFonts w:hint="eastAsia" w:ascii="宋体" w:hAnsi="宋体" w:cs="宋体"/>
                <w:color w:val="auto"/>
                <w:spacing w:val="-4"/>
                <w:highlight w:val="none"/>
                <w:lang w:val="en-US" w:eastAsia="zh-CN"/>
              </w:rPr>
              <w:t>样品讲解视频</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样品</w:t>
            </w:r>
            <w:r>
              <w:rPr>
                <w:rFonts w:hint="eastAsia" w:cs="Times New Roman"/>
                <w:color w:val="auto"/>
                <w:highlight w:val="none"/>
                <w:lang w:val="en-US" w:eastAsia="zh-CN"/>
              </w:rPr>
              <w:t>、样品讲解视频</w:t>
            </w:r>
            <w:r>
              <w:rPr>
                <w:rFonts w:hint="eastAsia" w:ascii="Times New Roman" w:hAnsi="Times New Roman" w:eastAsia="宋体" w:cs="Times New Roman"/>
                <w:color w:val="auto"/>
                <w:highlight w:val="none"/>
                <w:lang w:val="en-US" w:eastAsia="zh-CN"/>
              </w:rPr>
              <w:t>：</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eastAsia="宋体" w:cs="Times New Roman"/>
                <w:color w:val="auto"/>
                <w:highlight w:val="none"/>
                <w:lang w:val="en-US" w:eastAsia="zh-CN"/>
              </w:rPr>
            </w:pPr>
            <w:r>
              <w:rPr>
                <w:rFonts w:hint="eastAsia" w:cs="Times New Roman"/>
                <w:color w:val="auto"/>
                <w:highlight w:val="none"/>
                <w:lang w:val="en-US" w:eastAsia="zh-CN"/>
              </w:rPr>
              <w:t>1.第三十五包：自动止坠器（提供样品，不需提供视频）、自动锁定下降器（提供样品，不需提供视频）、多功能省力系统（提供样品，不需提供视频）、绳索救援套装（提供样品，不需提供视频）；第三十六包：硬质救援艇（冲锋舟）（不提供样品，需提供视频）、干式水域救援服（提供样品，不需提供视频）、湿式潜水衣（提供样品，不需提供视频）；第三十七包：重型防化服（提供样品，不需提供视频）；第三十八包：气柱灯（提供样品，不需提供视频）；第三十九包：AED除颤仪（提供样品，不需提供视频）；第四十包：不需提供，仅凭书面方式不能准确描述采购需求，需要投标人提供样品进行主观判断，以确认是否满足采购需求。</w:t>
            </w:r>
          </w:p>
          <w:p>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00" w:lineRule="exact"/>
              <w:jc w:val="left"/>
              <w:textAlignment w:val="auto"/>
              <w:rPr>
                <w:rFonts w:hint="default" w:cs="Times New Roman"/>
                <w:color w:val="auto"/>
                <w:highlight w:val="none"/>
                <w:shd w:val="clear" w:color="auto" w:fill="auto"/>
                <w:lang w:val="en-US" w:eastAsia="zh-CN"/>
              </w:rPr>
            </w:pPr>
            <w:r>
              <w:rPr>
                <w:rFonts w:hint="eastAsia" w:cs="Times New Roman"/>
                <w:color w:val="auto"/>
                <w:highlight w:val="none"/>
                <w:shd w:val="clear" w:color="auto" w:fill="auto"/>
                <w:lang w:val="en-US" w:eastAsia="zh-CN"/>
              </w:rPr>
              <w:t>2</w:t>
            </w:r>
            <w:r>
              <w:rPr>
                <w:rFonts w:hint="eastAsia" w:ascii="Times New Roman" w:hAnsi="Times New Roman" w:eastAsia="宋体" w:cs="Times New Roman"/>
                <w:color w:val="auto"/>
                <w:highlight w:val="none"/>
                <w:shd w:val="clear" w:color="auto" w:fill="auto"/>
                <w:lang w:val="en-US" w:eastAsia="zh-CN"/>
              </w:rPr>
              <w:t>.</w:t>
            </w:r>
            <w:r>
              <w:rPr>
                <w:rFonts w:hint="eastAsia" w:cs="Times New Roman"/>
                <w:color w:val="auto"/>
                <w:highlight w:val="none"/>
                <w:shd w:val="clear" w:color="auto" w:fill="auto"/>
                <w:lang w:val="en-US" w:eastAsia="zh-CN"/>
              </w:rPr>
              <w:t>（1）样品递交时间和地点：投标文件递交截止时间前2日，投保人应将样品递</w:t>
            </w:r>
            <w:r>
              <w:rPr>
                <w:rFonts w:hint="eastAsia" w:ascii="Times New Roman" w:hAnsi="Times New Roman" w:eastAsia="宋体" w:cs="Times New Roman"/>
                <w:color w:val="auto"/>
                <w:highlight w:val="none"/>
                <w:shd w:val="clear" w:color="auto" w:fill="auto"/>
                <w:lang w:val="en-US" w:eastAsia="zh-CN"/>
              </w:rPr>
              <w:t>交至</w:t>
            </w:r>
            <w:r>
              <w:rPr>
                <w:rFonts w:hint="eastAsia" w:cs="Times New Roman"/>
                <w:color w:val="auto"/>
                <w:highlight w:val="none"/>
                <w:shd w:val="clear" w:color="auto" w:fill="auto"/>
                <w:lang w:val="en-US" w:eastAsia="zh-CN"/>
              </w:rPr>
              <w:t>新疆文博工程项目管理有限公司</w:t>
            </w:r>
            <w:r>
              <w:rPr>
                <w:rFonts w:hint="eastAsia" w:ascii="Times New Roman" w:hAnsi="Times New Roman" w:eastAsia="宋体" w:cs="Times New Roman"/>
                <w:color w:val="auto"/>
                <w:highlight w:val="none"/>
                <w:shd w:val="clear" w:color="auto" w:fill="auto"/>
                <w:lang w:val="en-US" w:eastAsia="zh-CN"/>
              </w:rPr>
              <w:t>（地址：</w:t>
            </w:r>
            <w:r>
              <w:rPr>
                <w:rFonts w:hint="eastAsia" w:cs="Times New Roman"/>
                <w:color w:val="auto"/>
                <w:highlight w:val="none"/>
                <w:shd w:val="clear" w:color="auto" w:fill="auto"/>
                <w:lang w:val="en-US" w:eastAsia="zh-CN"/>
              </w:rPr>
              <w:t>昌吉市和谐国际广场K座21层2107室</w:t>
            </w:r>
            <w:r>
              <w:rPr>
                <w:rFonts w:hint="eastAsia" w:ascii="Times New Roman" w:hAnsi="Times New Roman" w:eastAsia="宋体" w:cs="Times New Roman"/>
                <w:color w:val="auto"/>
                <w:highlight w:val="none"/>
                <w:shd w:val="clear" w:color="auto" w:fill="auto"/>
                <w:lang w:val="en-US" w:eastAsia="zh-CN"/>
              </w:rPr>
              <w:t>）</w:t>
            </w:r>
            <w:r>
              <w:rPr>
                <w:rFonts w:hint="eastAsia" w:ascii="Times New Roman" w:hAnsi="Times New Roman" w:cs="Times New Roman"/>
                <w:color w:val="auto"/>
                <w:highlight w:val="none"/>
                <w:shd w:val="clear" w:color="auto" w:fill="auto"/>
                <w:lang w:val="en-US" w:eastAsia="zh-CN"/>
              </w:rPr>
              <w:t>；如未按上述方式将样品递交至采购代理机构，也可在投标文件递交截止时间前，随投标文件一并现场递交。</w:t>
            </w:r>
          </w:p>
          <w:p>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00" w:lineRule="exact"/>
              <w:jc w:val="left"/>
              <w:textAlignment w:val="auto"/>
              <w:rPr>
                <w:rFonts w:hint="eastAsia" w:ascii="Times New Roman" w:hAnsi="Times New Roman" w:eastAsia="宋体" w:cs="Times New Roman"/>
                <w:color w:val="auto"/>
                <w:highlight w:val="none"/>
                <w:shd w:val="clear" w:color="auto" w:fill="auto"/>
                <w:lang w:val="en-US" w:eastAsia="zh-CN"/>
              </w:rPr>
            </w:pPr>
            <w:r>
              <w:rPr>
                <w:rFonts w:hint="eastAsia" w:cs="Times New Roman"/>
                <w:color w:val="auto"/>
                <w:highlight w:val="none"/>
                <w:shd w:val="clear" w:color="auto" w:fill="auto"/>
                <w:lang w:val="en-US" w:eastAsia="zh-CN"/>
              </w:rPr>
              <w:t>（2）</w:t>
            </w:r>
            <w:r>
              <w:rPr>
                <w:rFonts w:hint="eastAsia" w:ascii="Times New Roman" w:hAnsi="Times New Roman" w:eastAsia="宋体" w:cs="Times New Roman"/>
                <w:color w:val="auto"/>
                <w:highlight w:val="none"/>
                <w:shd w:val="clear" w:color="auto" w:fill="auto"/>
                <w:lang w:val="en-US" w:eastAsia="zh-CN"/>
              </w:rPr>
              <w:t>样品递交截止时间：同投标文件递交截止时间。</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kern w:val="2"/>
                <w:sz w:val="21"/>
                <w:szCs w:val="21"/>
                <w:highlight w:val="none"/>
                <w:shd w:val="clear" w:color="auto" w:fill="auto"/>
                <w:lang w:val="en-US" w:eastAsia="zh-CN" w:bidi="ar-SA"/>
              </w:rPr>
            </w:pP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w:t>
            </w:r>
            <w:r>
              <w:rPr>
                <w:rFonts w:hint="eastAsia" w:cs="Times New Roman"/>
                <w:color w:val="auto"/>
                <w:highlight w:val="none"/>
                <w:shd w:val="clear" w:color="auto" w:fill="auto"/>
                <w:lang w:val="en-US" w:eastAsia="zh-CN"/>
              </w:rPr>
              <w:t>（1）</w:t>
            </w:r>
            <w:r>
              <w:rPr>
                <w:rFonts w:hint="eastAsia" w:ascii="Times New Roman" w:hAnsi="Times New Roman" w:eastAsia="宋体" w:cs="Times New Roman"/>
                <w:color w:val="auto"/>
                <w:highlight w:val="none"/>
                <w:lang w:val="en-US" w:eastAsia="zh-CN"/>
              </w:rPr>
              <w:t>样品制作的标准和要求：按采购文件第六章“项目需求”的要求制作。所递交样品上不得体现投标人或制造商名称或其他标识，相应位置须一律空白。</w:t>
            </w:r>
          </w:p>
          <w:p>
            <w:pPr>
              <w:pStyle w:val="2"/>
              <w:spacing w:line="240" w:lineRule="auto"/>
              <w:ind w:left="0" w:leftChars="0" w:firstLine="0" w:firstLineChars="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shd w:val="clear" w:color="auto" w:fill="auto"/>
                <w:lang w:val="en-US" w:eastAsia="zh-CN"/>
              </w:rPr>
              <w:t>（2）</w:t>
            </w:r>
            <w:r>
              <w:rPr>
                <w:rFonts w:hint="eastAsia" w:ascii="Times New Roman" w:hAnsi="Times New Roman" w:eastAsia="宋体" w:cs="Times New Roman"/>
                <w:color w:val="auto"/>
                <w:kern w:val="2"/>
                <w:sz w:val="21"/>
                <w:szCs w:val="21"/>
                <w:highlight w:val="none"/>
                <w:shd w:val="clear" w:color="auto" w:fill="auto"/>
                <w:lang w:val="en-US" w:eastAsia="zh-CN" w:bidi="ar-SA"/>
              </w:rPr>
              <w:t>样</w:t>
            </w:r>
            <w:r>
              <w:rPr>
                <w:rFonts w:hint="eastAsia" w:ascii="Times New Roman" w:hAnsi="Times New Roman" w:eastAsia="宋体" w:cs="Times New Roman"/>
                <w:color w:val="auto"/>
                <w:kern w:val="2"/>
                <w:sz w:val="21"/>
                <w:szCs w:val="21"/>
                <w:highlight w:val="none"/>
                <w:lang w:val="en-US" w:eastAsia="zh-CN" w:bidi="ar-SA"/>
              </w:rPr>
              <w:t>品讲解视频：样品讲解视频中不得透露品牌型号，视频内容需体现：</w:t>
            </w:r>
            <w:r>
              <w:rPr>
                <w:rFonts w:hint="eastAsia" w:ascii="Times New Roman" w:hAnsi="Times New Roman" w:cs="Times New Roman"/>
                <w:color w:val="auto"/>
                <w:kern w:val="2"/>
                <w:sz w:val="21"/>
                <w:szCs w:val="21"/>
                <w:highlight w:val="none"/>
                <w:lang w:val="en-US" w:eastAsia="zh-CN" w:bidi="ar-SA"/>
              </w:rPr>
              <w:t>①</w:t>
            </w:r>
            <w:r>
              <w:rPr>
                <w:rFonts w:hint="eastAsia" w:ascii="Times New Roman" w:hAnsi="Times New Roman" w:eastAsia="宋体" w:cs="Times New Roman"/>
                <w:color w:val="auto"/>
                <w:kern w:val="2"/>
                <w:sz w:val="21"/>
                <w:szCs w:val="21"/>
                <w:highlight w:val="none"/>
                <w:lang w:val="en-US" w:eastAsia="zh-CN" w:bidi="ar-SA"/>
              </w:rPr>
              <w:t>、</w:t>
            </w:r>
            <w:r>
              <w:rPr>
                <w:rFonts w:hint="eastAsia" w:ascii="Times New Roman" w:hAnsi="Times New Roman" w:cs="Times New Roman"/>
                <w:color w:val="auto"/>
                <w:kern w:val="2"/>
                <w:sz w:val="21"/>
                <w:szCs w:val="21"/>
                <w:highlight w:val="none"/>
                <w:lang w:val="en-US" w:eastAsia="zh-CN" w:bidi="ar-SA"/>
              </w:rPr>
              <w:t>使用</w:t>
            </w:r>
            <w:r>
              <w:rPr>
                <w:rFonts w:hint="eastAsia" w:ascii="Times New Roman" w:hAnsi="Times New Roman" w:eastAsia="宋体" w:cs="Times New Roman"/>
                <w:color w:val="auto"/>
                <w:kern w:val="2"/>
                <w:sz w:val="21"/>
                <w:szCs w:val="21"/>
                <w:highlight w:val="none"/>
                <w:lang w:val="en-US" w:eastAsia="zh-CN" w:bidi="ar-SA"/>
              </w:rPr>
              <w:t>材质；</w:t>
            </w:r>
            <w:r>
              <w:rPr>
                <w:rFonts w:hint="eastAsia" w:ascii="Times New Roman" w:hAnsi="Times New Roman" w:cs="Times New Roman"/>
                <w:color w:val="auto"/>
                <w:kern w:val="2"/>
                <w:sz w:val="21"/>
                <w:szCs w:val="21"/>
                <w:highlight w:val="none"/>
                <w:lang w:val="en-US" w:eastAsia="zh-CN" w:bidi="ar-SA"/>
              </w:rPr>
              <w:t>②</w:t>
            </w:r>
            <w:r>
              <w:rPr>
                <w:rFonts w:hint="eastAsia" w:ascii="Times New Roman" w:hAnsi="Times New Roman" w:eastAsia="宋体" w:cs="Times New Roman"/>
                <w:color w:val="auto"/>
                <w:kern w:val="2"/>
                <w:sz w:val="21"/>
                <w:szCs w:val="21"/>
                <w:highlight w:val="none"/>
                <w:lang w:val="en-US" w:eastAsia="zh-CN" w:bidi="ar-SA"/>
              </w:rPr>
              <w:t>、制作工艺水平；</w:t>
            </w:r>
            <w:r>
              <w:rPr>
                <w:rFonts w:hint="eastAsia" w:ascii="Times New Roman" w:hAnsi="Times New Roman" w:cs="Times New Roman"/>
                <w:color w:val="auto"/>
                <w:kern w:val="2"/>
                <w:sz w:val="21"/>
                <w:szCs w:val="21"/>
                <w:highlight w:val="none"/>
                <w:lang w:val="en-US" w:eastAsia="zh-CN" w:bidi="ar-SA"/>
              </w:rPr>
              <w:t>③使用功能演示；</w:t>
            </w:r>
            <w:r>
              <w:rPr>
                <w:rFonts w:hint="eastAsia" w:ascii="Times New Roman" w:hAnsi="Times New Roman" w:eastAsia="宋体" w:cs="Times New Roman"/>
                <w:color w:val="auto"/>
                <w:kern w:val="2"/>
                <w:sz w:val="21"/>
                <w:szCs w:val="21"/>
                <w:highlight w:val="none"/>
                <w:lang w:val="en-US" w:eastAsia="zh-CN" w:bidi="ar-SA"/>
              </w:rPr>
              <w:t>④有无操作安全隐患。</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4.是否需要随样品提交相关</w:t>
            </w:r>
            <w:r>
              <w:rPr>
                <w:rFonts w:hint="eastAsia" w:ascii="Times New Roman" w:hAnsi="Times New Roman" w:eastAsia="宋体" w:cs="Times New Roman"/>
                <w:color w:val="auto"/>
                <w:highlight w:val="none"/>
                <w:lang w:val="en-US" w:eastAsia="zh-CN"/>
              </w:rPr>
              <w:t>检测报告：相关检测报告无需随样品提交。</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.样品</w:t>
            </w:r>
            <w:r>
              <w:rPr>
                <w:rFonts w:hint="eastAsia" w:cs="Times New Roman"/>
                <w:color w:val="auto"/>
                <w:highlight w:val="none"/>
                <w:lang w:val="en-US" w:eastAsia="zh-CN"/>
              </w:rPr>
              <w:t>或视频</w:t>
            </w:r>
            <w:r>
              <w:rPr>
                <w:rFonts w:hint="eastAsia" w:ascii="Times New Roman" w:hAnsi="Times New Roman" w:eastAsia="宋体" w:cs="Times New Roman"/>
                <w:color w:val="auto"/>
                <w:highlight w:val="none"/>
                <w:lang w:val="en-US" w:eastAsia="zh-CN"/>
              </w:rPr>
              <w:t>的评审方法以及评审标准：详见第三章“评分办法及评分标准”。</w:t>
            </w:r>
          </w:p>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rPr>
            </w:pPr>
            <w:r>
              <w:rPr>
                <w:rFonts w:hint="eastAsia" w:cs="Times New Roman"/>
                <w:color w:val="auto"/>
                <w:highlight w:val="none"/>
                <w:lang w:val="en-US" w:eastAsia="zh-CN"/>
              </w:rPr>
              <w:t>6</w:t>
            </w:r>
            <w:r>
              <w:rPr>
                <w:rFonts w:hint="eastAsia" w:ascii="Times New Roman" w:hAnsi="Times New Roman" w:eastAsia="宋体" w:cs="Times New Roman"/>
                <w:color w:val="auto"/>
                <w:highlight w:val="none"/>
                <w:lang w:val="en-US" w:eastAsia="zh-CN"/>
              </w:rPr>
              <w:t>.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b/>
                <w:bCs/>
                <w:color w:val="auto"/>
                <w:spacing w:val="-4"/>
                <w:highlight w:val="none"/>
                <w:lang w:eastAsia="zh-CN"/>
              </w:rPr>
            </w:pPr>
            <w:r>
              <w:rPr>
                <w:rFonts w:hint="eastAsia" w:ascii="宋体" w:hAnsi="宋体" w:cs="宋体"/>
                <w:b/>
                <w:bCs/>
                <w:color w:val="auto"/>
                <w:spacing w:val="-4"/>
                <w:highlight w:val="none"/>
                <w:lang w:eastAsia="zh-CN"/>
              </w:rPr>
              <w:t>特别说明：</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val="en-US"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1</w:t>
            </w:r>
            <w:r>
              <w:rPr>
                <w:rFonts w:hint="eastAsia" w:ascii="宋体" w:hAnsi="宋体" w:eastAsia="宋体" w:cs="宋体"/>
                <w:color w:val="auto"/>
                <w:spacing w:val="0"/>
                <w:highlight w:val="none"/>
                <w:lang w:eastAsia="zh-CN"/>
              </w:rPr>
              <w:t>）若不满足以上</w:t>
            </w:r>
            <w:r>
              <w:rPr>
                <w:rFonts w:hint="eastAsia" w:ascii="宋体" w:hAnsi="宋体" w:cs="宋体"/>
                <w:color w:val="auto"/>
                <w:spacing w:val="-4"/>
                <w:highlight w:val="none"/>
              </w:rPr>
              <w:t>样品</w:t>
            </w:r>
            <w:r>
              <w:rPr>
                <w:rFonts w:hint="eastAsia" w:ascii="宋体" w:hAnsi="宋体" w:cs="宋体"/>
                <w:color w:val="auto"/>
                <w:spacing w:val="-4"/>
                <w:highlight w:val="none"/>
                <w:lang w:val="en-US" w:eastAsia="zh-CN"/>
              </w:rPr>
              <w:t>或视频</w:t>
            </w:r>
            <w:r>
              <w:rPr>
                <w:rFonts w:hint="eastAsia" w:ascii="宋体" w:hAnsi="宋体" w:eastAsia="宋体" w:cs="宋体"/>
                <w:color w:val="auto"/>
                <w:spacing w:val="0"/>
                <w:highlight w:val="none"/>
                <w:lang w:eastAsia="zh-CN"/>
              </w:rPr>
              <w:t>制作的标准和要求，</w:t>
            </w:r>
            <w:r>
              <w:rPr>
                <w:rFonts w:hint="eastAsia" w:ascii="宋体" w:hAnsi="宋体" w:cs="宋体"/>
                <w:color w:val="auto"/>
                <w:spacing w:val="-4"/>
                <w:highlight w:val="none"/>
              </w:rPr>
              <w:t>样品</w:t>
            </w:r>
            <w:r>
              <w:rPr>
                <w:rFonts w:hint="eastAsia" w:ascii="宋体" w:hAnsi="宋体" w:cs="宋体"/>
                <w:color w:val="auto"/>
                <w:spacing w:val="-4"/>
                <w:highlight w:val="none"/>
                <w:lang w:val="en-US" w:eastAsia="zh-CN"/>
              </w:rPr>
              <w:t>或视频</w:t>
            </w:r>
            <w:r>
              <w:rPr>
                <w:rFonts w:hint="eastAsia" w:ascii="宋体" w:hAnsi="宋体" w:eastAsia="宋体" w:cs="宋体"/>
                <w:color w:val="auto"/>
                <w:spacing w:val="0"/>
                <w:highlight w:val="none"/>
                <w:lang w:eastAsia="zh-CN"/>
              </w:rPr>
              <w:t>评分为</w:t>
            </w:r>
            <w:r>
              <w:rPr>
                <w:rFonts w:hint="eastAsia" w:ascii="宋体" w:hAnsi="宋体" w:eastAsia="宋体" w:cs="宋体"/>
                <w:color w:val="auto"/>
                <w:spacing w:val="0"/>
                <w:highlight w:val="none"/>
                <w:lang w:val="en-US" w:eastAsia="zh-CN"/>
              </w:rPr>
              <w:t>0分。</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2</w:t>
            </w:r>
            <w:r>
              <w:rPr>
                <w:rFonts w:hint="eastAsia" w:ascii="宋体" w:hAnsi="宋体" w:eastAsia="宋体" w:cs="宋体"/>
                <w:color w:val="auto"/>
                <w:spacing w:val="0"/>
                <w:highlight w:val="none"/>
                <w:lang w:eastAsia="zh-CN"/>
              </w:rPr>
              <w:t>）投标人代表须随身携带加盖投标人公章的备用密封条（密封条形式不做要求，每包提供</w:t>
            </w:r>
            <w:r>
              <w:rPr>
                <w:rFonts w:hint="eastAsia" w:ascii="宋体" w:hAnsi="宋体" w:eastAsia="宋体" w:cs="宋体"/>
                <w:color w:val="auto"/>
                <w:spacing w:val="0"/>
                <w:highlight w:val="none"/>
                <w:lang w:val="en-US" w:eastAsia="zh-CN"/>
              </w:rPr>
              <w:t>4个密封条</w:t>
            </w:r>
            <w:r>
              <w:rPr>
                <w:rFonts w:hint="eastAsia" w:ascii="宋体" w:hAnsi="宋体" w:eastAsia="宋体" w:cs="宋体"/>
                <w:color w:val="auto"/>
                <w:spacing w:val="0"/>
                <w:highlight w:val="none"/>
                <w:lang w:eastAsia="zh-CN"/>
              </w:rPr>
              <w:t>）。</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3</w:t>
            </w:r>
            <w:r>
              <w:rPr>
                <w:rFonts w:hint="eastAsia" w:ascii="宋体" w:hAnsi="宋体" w:eastAsia="宋体" w:cs="宋体"/>
                <w:color w:val="auto"/>
                <w:spacing w:val="0"/>
                <w:highlight w:val="none"/>
                <w:lang w:eastAsia="zh-CN"/>
              </w:rPr>
              <w:t>）投标人应具有所投标包样品的所有权，并确保采购人和采购代理机构免于受到第三方基于样品所有权产生的起诉。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4</w:t>
            </w:r>
            <w:r>
              <w:rPr>
                <w:rFonts w:hint="eastAsia" w:ascii="宋体" w:hAnsi="宋体" w:eastAsia="宋体" w:cs="宋体"/>
                <w:color w:val="auto"/>
                <w:spacing w:val="0"/>
                <w:highlight w:val="none"/>
                <w:lang w:eastAsia="zh-CN"/>
              </w:rPr>
              <w:t>）现场根据评标委员会的要求可以对样品进行破坏性测试，采购人及采购代理机构不承担任何责任。</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5</w:t>
            </w:r>
            <w:r>
              <w:rPr>
                <w:rFonts w:hint="eastAsia" w:ascii="宋体" w:hAnsi="宋体" w:eastAsia="宋体" w:cs="宋体"/>
                <w:color w:val="auto"/>
                <w:spacing w:val="0"/>
                <w:highlight w:val="none"/>
                <w:lang w:eastAsia="zh-CN"/>
              </w:rPr>
              <w:t>）评审结束后，中标人的样品经密封封存于指定位置，作为履约验收的参考。未中标人的投标样品应在中标公告发布之日起</w:t>
            </w:r>
            <w:r>
              <w:rPr>
                <w:rFonts w:hint="eastAsia" w:ascii="宋体" w:hAnsi="宋体" w:eastAsia="宋体" w:cs="宋体"/>
                <w:color w:val="auto"/>
                <w:spacing w:val="0"/>
                <w:highlight w:val="none"/>
                <w:lang w:val="en-US" w:eastAsia="zh-CN"/>
              </w:rPr>
              <w:t>7个工作日由投标人自行联系采购代理机构取回，或自行委托采购代理机构邮寄退回，邮寄样品所产生的费用由</w:t>
            </w:r>
            <w:r>
              <w:rPr>
                <w:rFonts w:hint="eastAsia" w:ascii="宋体" w:hAnsi="宋体" w:cs="宋体"/>
                <w:color w:val="auto"/>
                <w:spacing w:val="0"/>
                <w:highlight w:val="none"/>
                <w:lang w:val="en-US" w:eastAsia="zh-CN"/>
              </w:rPr>
              <w:t>投标</w:t>
            </w:r>
            <w:r>
              <w:rPr>
                <w:rFonts w:hint="eastAsia" w:ascii="宋体" w:hAnsi="宋体" w:eastAsia="宋体" w:cs="宋体"/>
                <w:color w:val="auto"/>
                <w:spacing w:val="0"/>
                <w:highlight w:val="none"/>
                <w:lang w:val="en-US" w:eastAsia="zh-CN"/>
              </w:rPr>
              <w:t>人</w:t>
            </w:r>
            <w:r>
              <w:rPr>
                <w:rFonts w:hint="eastAsia" w:ascii="宋体" w:hAnsi="宋体" w:cs="宋体"/>
                <w:color w:val="auto"/>
                <w:spacing w:val="0"/>
                <w:highlight w:val="none"/>
                <w:lang w:val="en-US" w:eastAsia="zh-CN"/>
              </w:rPr>
              <w:t>自行</w:t>
            </w:r>
            <w:r>
              <w:rPr>
                <w:rFonts w:hint="eastAsia" w:ascii="宋体" w:hAnsi="宋体" w:eastAsia="宋体" w:cs="宋体"/>
                <w:color w:val="auto"/>
                <w:spacing w:val="0"/>
                <w:highlight w:val="none"/>
                <w:lang w:val="en-US" w:eastAsia="zh-CN"/>
              </w:rPr>
              <w:t>承担。若未中标人未按时取回样品又拒绝以邮寄方式退回样品，则视为同意采购代理机构有权自行处置相关样品。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宋体" w:cs="Arial"/>
                <w:bCs/>
                <w:color w:val="auto"/>
                <w:highlight w:val="none"/>
                <w:lang w:val="en-US" w:eastAsia="zh-CN"/>
              </w:rPr>
            </w:pPr>
            <w:r>
              <w:rPr>
                <w:rFonts w:hint="eastAsia" w:cs="Arial"/>
                <w:bCs/>
                <w:color w:val="auto"/>
                <w:highlight w:val="none"/>
                <w:lang w:val="en-US" w:eastAsia="zh-CN"/>
              </w:rPr>
              <w:t>31</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cs="宋体"/>
                <w:color w:val="auto"/>
                <w:spacing w:val="-4"/>
                <w:highlight w:val="none"/>
              </w:rPr>
            </w:pPr>
            <w:r>
              <w:rPr>
                <w:rFonts w:hint="eastAsia" w:ascii="宋体" w:hAnsi="宋体" w:cs="宋体"/>
                <w:color w:val="auto"/>
                <w:spacing w:val="-4"/>
                <w:highlight w:val="none"/>
              </w:rPr>
              <w:t>其他</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default"/>
                <w:color w:val="auto"/>
                <w:highlight w:val="none"/>
                <w:lang w:val="en-US" w:eastAsia="zh-CN"/>
              </w:rPr>
            </w:pPr>
            <w:r>
              <w:rPr>
                <w:rFonts w:hint="eastAsia"/>
                <w:color w:val="auto"/>
                <w:highlight w:val="none"/>
                <w:lang w:val="en-US" w:eastAsia="zh-CN"/>
              </w:rPr>
              <w:t>1、根据《国家消防救援局办公室关于推广应用新版消防装备管理系统的通知》要求，中标投标人在交付装备时须附着由“消防装备物资信息采集系统”统一发行的装备物资二维码和RFID。</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color w:val="auto"/>
                <w:highlight w:val="none"/>
                <w:lang w:val="en-US" w:eastAsia="zh-CN"/>
              </w:rPr>
              <w:t>2、</w:t>
            </w: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eastAsia="宋体" w:cs="宋体"/>
                <w:color w:val="auto"/>
                <w:spacing w:val="-4"/>
                <w:highlight w:val="none"/>
                <w:lang w:val="en-US" w:eastAsia="zh-CN"/>
              </w:rPr>
            </w:pPr>
            <w:r>
              <w:rPr>
                <w:rFonts w:hint="eastAsia" w:ascii="宋体" w:hAnsi="宋体" w:cs="宋体"/>
                <w:color w:val="auto"/>
                <w:spacing w:val="-4"/>
                <w:highlight w:val="none"/>
                <w:lang w:val="en-US" w:eastAsia="zh-CN"/>
              </w:rPr>
              <w:t>兼投兼中</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本项目是否允许兼投兼中：</w:t>
            </w:r>
          </w:p>
          <w:p>
            <w:pPr>
              <w:widowControl/>
              <w:tabs>
                <w:tab w:val="left" w:pos="720"/>
                <w:tab w:val="left" w:pos="900"/>
                <w:tab w:val="left" w:pos="1080"/>
                <w:tab w:val="left" w:pos="1260"/>
                <w:tab w:val="left" w:pos="1440"/>
                <w:tab w:val="left" w:pos="1800"/>
              </w:tabs>
              <w:spacing w:line="288" w:lineRule="auto"/>
              <w:ind w:firstLine="210" w:firstLineChars="100"/>
              <w:jc w:val="left"/>
              <w:rPr>
                <w:rFonts w:hint="default"/>
                <w:color w:val="auto"/>
                <w:highlight w:val="none"/>
                <w:lang w:val="en-US" w:eastAsia="zh-CN"/>
              </w:rPr>
            </w:pPr>
            <w:r>
              <w:rPr>
                <w:rFonts w:hint="eastAsia"/>
                <w:color w:val="auto"/>
                <w:highlight w:val="none"/>
                <w:lang w:val="en-US" w:eastAsia="zh-CN"/>
              </w:rPr>
              <w:t>☑允许□不允许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pPr>
        <w:rPr>
          <w:color w:val="auto"/>
          <w:highlight w:val="none"/>
        </w:rPr>
      </w:pPr>
      <w:r>
        <w:rPr>
          <w:rFonts w:hint="eastAsia"/>
          <w:color w:val="auto"/>
          <w:highlight w:val="none"/>
        </w:rPr>
        <w:br w:type="page"/>
      </w:r>
    </w:p>
    <w:p>
      <w:pPr>
        <w:pStyle w:val="5"/>
        <w:rPr>
          <w:color w:val="auto"/>
          <w:highlight w:val="none"/>
        </w:rPr>
      </w:pPr>
      <w:bookmarkStart w:id="13" w:name="_Toc15671"/>
      <w:r>
        <w:rPr>
          <w:rFonts w:hint="eastAsia"/>
          <w:color w:val="auto"/>
          <w:highlight w:val="none"/>
        </w:rPr>
        <w:t xml:space="preserve">第一章 </w:t>
      </w:r>
      <w:bookmarkEnd w:id="0"/>
      <w:bookmarkEnd w:id="1"/>
      <w:bookmarkEnd w:id="9"/>
      <w:r>
        <w:rPr>
          <w:rFonts w:hint="eastAsia"/>
          <w:color w:val="auto"/>
          <w:highlight w:val="none"/>
        </w:rPr>
        <w:t>招标邀请</w:t>
      </w:r>
      <w:bookmarkEnd w:id="10"/>
      <w:bookmarkEnd w:id="11"/>
      <w:bookmarkEnd w:id="13"/>
    </w:p>
    <w:bookmarkEnd w:id="2"/>
    <w:bookmarkEnd w:id="3"/>
    <w:bookmarkEnd w:id="4"/>
    <w:bookmarkEnd w:id="5"/>
    <w:bookmarkEnd w:id="6"/>
    <w:p>
      <w:pPr>
        <w:jc w:val="center"/>
        <w:rPr>
          <w:color w:val="auto"/>
          <w:sz w:val="24"/>
          <w:szCs w:val="24"/>
          <w:highlight w:val="none"/>
        </w:rPr>
      </w:pPr>
      <w:bookmarkStart w:id="14" w:name="_Toc120614211"/>
      <w:bookmarkStart w:id="15" w:name="_Toc534725597"/>
      <w:bookmarkStart w:id="16" w:name="_Toc479757207"/>
      <w:bookmarkStart w:id="17" w:name="_Toc20823314"/>
      <w:bookmarkStart w:id="18" w:name="_Toc120614221"/>
      <w:bookmarkStart w:id="19" w:name="_Toc16938558"/>
      <w:bookmarkStart w:id="20" w:name="_Toc513029242"/>
      <w:bookmarkStart w:id="21" w:name="_Toc494375079"/>
      <w:r>
        <w:rPr>
          <w:rFonts w:hint="eastAsia"/>
          <w:color w:val="auto"/>
          <w:sz w:val="24"/>
          <w:szCs w:val="24"/>
          <w:highlight w:val="none"/>
          <w:lang w:eastAsia="zh-CN"/>
        </w:rPr>
        <w:t>新疆消防救援总队昌吉支队“自然灾害应急能力提升工程”装备配备项目（六）</w:t>
      </w:r>
      <w:r>
        <w:rPr>
          <w:rFonts w:hint="eastAsia"/>
          <w:color w:val="auto"/>
          <w:sz w:val="24"/>
          <w:szCs w:val="24"/>
          <w:highlight w:val="none"/>
        </w:rPr>
        <w:t>公开</w:t>
      </w:r>
      <w:r>
        <w:rPr>
          <w:color w:val="auto"/>
          <w:sz w:val="24"/>
          <w:szCs w:val="24"/>
          <w:highlight w:val="none"/>
        </w:rPr>
        <w:t>招标</w:t>
      </w:r>
      <w:r>
        <w:rPr>
          <w:rFonts w:hint="eastAsia"/>
          <w:color w:val="auto"/>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新疆消防救援总队昌吉支队“自然灾害应急能力提升工程”装备配备项目（六）</w:t>
      </w:r>
      <w:r>
        <w:rPr>
          <w:rFonts w:hint="eastAsia" w:ascii="宋体" w:hAnsi="宋体" w:cs="宋体"/>
          <w:color w:val="auto"/>
          <w:sz w:val="24"/>
          <w:szCs w:val="24"/>
          <w:highlight w:val="none"/>
        </w:rPr>
        <w:t>的潜在</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应在</w:t>
      </w:r>
      <w:r>
        <w:rPr>
          <w:rFonts w:hint="eastAsia" w:ascii="宋体" w:hAnsi="宋体" w:cs="宋体"/>
          <w:color w:val="auto"/>
          <w:sz w:val="24"/>
          <w:szCs w:val="24"/>
          <w:highlight w:val="none"/>
          <w:u w:val="single"/>
          <w:lang w:val="en-US" w:eastAsia="zh-CN"/>
        </w:rPr>
        <w:t>线上</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u w:val="single"/>
          <w:lang w:val="en-US" w:eastAsia="zh-CN"/>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4</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26</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10时00分</w:t>
      </w:r>
      <w:r>
        <w:rPr>
          <w:rFonts w:hint="eastAsia" w:ascii="宋体" w:hAnsi="宋体" w:cs="宋体"/>
          <w:bCs/>
          <w:color w:val="auto"/>
          <w:sz w:val="24"/>
          <w:szCs w:val="24"/>
          <w:highlight w:val="none"/>
        </w:rPr>
        <w:t>（北京时间）前</w:t>
      </w:r>
      <w:r>
        <w:rPr>
          <w:rFonts w:hint="eastAsia" w:ascii="宋体" w:hAnsi="宋体" w:cs="宋体"/>
          <w:bCs/>
          <w:color w:val="auto"/>
          <w:sz w:val="24"/>
          <w:szCs w:val="24"/>
          <w:highlight w:val="none"/>
          <w:lang w:val="en-US" w:eastAsia="zh-CN"/>
        </w:rPr>
        <w:t>递</w:t>
      </w:r>
      <w:r>
        <w:rPr>
          <w:rFonts w:hint="eastAsia" w:ascii="宋体" w:hAnsi="宋体" w:cs="宋体"/>
          <w:bCs/>
          <w:color w:val="auto"/>
          <w:sz w:val="24"/>
          <w:szCs w:val="24"/>
          <w:highlight w:val="none"/>
        </w:rPr>
        <w:t>交投标文件</w:t>
      </w:r>
      <w:r>
        <w:rPr>
          <w:rFonts w:hint="eastAsia" w:ascii="宋体" w:hAnsi="宋体" w:cs="宋体"/>
          <w:color w:val="auto"/>
          <w:sz w:val="24"/>
          <w:szCs w:val="24"/>
          <w:highlight w:val="none"/>
        </w:rPr>
        <w:t>。</w:t>
      </w:r>
    </w:p>
    <w:p>
      <w:pPr>
        <w:pStyle w:val="7"/>
        <w:rPr>
          <w:rFonts w:ascii="宋体" w:hAnsi="宋体" w:cs="宋体"/>
          <w:color w:val="auto"/>
          <w:sz w:val="24"/>
          <w:szCs w:val="24"/>
          <w:highlight w:val="none"/>
        </w:rPr>
      </w:pPr>
      <w:r>
        <w:rPr>
          <w:rFonts w:hint="eastAsia"/>
          <w:color w:val="auto"/>
          <w:highlight w:val="none"/>
        </w:rPr>
        <w:t>一、项目基本情况</w:t>
      </w:r>
    </w:p>
    <w:tbl>
      <w:tblPr>
        <w:tblStyle w:val="39"/>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gridCol w:w="5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600" w:type="dxa"/>
          </w:tcPr>
          <w:p>
            <w:pPr>
              <w:spacing w:line="4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5926" w:type="dxa"/>
          </w:tcPr>
          <w:p>
            <w:pPr>
              <w:spacing w:line="4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XJWB-2024-ZB-10</w:t>
            </w:r>
            <w:r>
              <w:rPr>
                <w:rFonts w:hint="eastAsia" w:ascii="宋体" w:hAnsi="宋体" w:eastAsia="宋体" w:cs="宋体"/>
                <w:color w:val="auto"/>
                <w:sz w:val="24"/>
                <w:szCs w:val="24"/>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600" w:type="dxa"/>
          </w:tcPr>
          <w:p>
            <w:pPr>
              <w:spacing w:line="4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5926" w:type="dxa"/>
          </w:tcPr>
          <w:p>
            <w:pPr>
              <w:spacing w:line="4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新疆消防救援总队昌吉支队“自然灾害应急能力提升工程”装备配备项目（六）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2600" w:type="dxa"/>
          </w:tcPr>
          <w:p>
            <w:pPr>
              <w:spacing w:line="4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采购方式</w:t>
            </w:r>
          </w:p>
        </w:tc>
        <w:tc>
          <w:tcPr>
            <w:tcW w:w="5926" w:type="dxa"/>
          </w:tcPr>
          <w:p>
            <w:pPr>
              <w:spacing w:line="4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Pr>
          <w:p>
            <w:pPr>
              <w:spacing w:line="4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5926" w:type="dxa"/>
          </w:tcPr>
          <w:p>
            <w:pPr>
              <w:spacing w:line="46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662.7150</w:t>
            </w: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00" w:type="dxa"/>
          </w:tcPr>
          <w:p>
            <w:pPr>
              <w:spacing w:line="4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最高限价</w:t>
            </w:r>
          </w:p>
        </w:tc>
        <w:tc>
          <w:tcPr>
            <w:tcW w:w="5926" w:type="dxa"/>
          </w:tcPr>
          <w:p>
            <w:pPr>
              <w:spacing w:line="46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662.7150</w:t>
            </w: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bottom w:val="single" w:color="auto" w:sz="4" w:space="0"/>
            </w:tcBorders>
          </w:tcPr>
          <w:p>
            <w:pPr>
              <w:spacing w:line="460" w:lineRule="exact"/>
              <w:jc w:val="center"/>
              <w:rPr>
                <w:rFonts w:ascii="宋体" w:hAnsi="宋体" w:cs="宋体"/>
                <w:color w:val="auto"/>
                <w:sz w:val="24"/>
                <w:szCs w:val="24"/>
                <w:highlight w:val="none"/>
              </w:rPr>
            </w:pPr>
            <w:r>
              <w:rPr>
                <w:rFonts w:hint="eastAsia" w:cs="宋体"/>
                <w:color w:val="auto"/>
                <w:sz w:val="24"/>
                <w:szCs w:val="24"/>
                <w:highlight w:val="none"/>
              </w:rPr>
              <w:t>资金来源</w:t>
            </w:r>
          </w:p>
        </w:tc>
        <w:tc>
          <w:tcPr>
            <w:tcW w:w="5926" w:type="dxa"/>
            <w:tcBorders>
              <w:bottom w:val="single" w:color="auto" w:sz="4" w:space="0"/>
            </w:tcBorders>
          </w:tcPr>
          <w:p>
            <w:pPr>
              <w:pStyle w:val="2"/>
              <w:spacing w:line="460" w:lineRule="exact"/>
              <w:ind w:firstLine="0" w:firstLineChars="0"/>
              <w:jc w:val="center"/>
              <w:rPr>
                <w:rFonts w:cs="宋体"/>
                <w:color w:val="auto"/>
                <w:sz w:val="24"/>
                <w:szCs w:val="24"/>
                <w:highlight w:val="none"/>
              </w:rPr>
            </w:pPr>
            <w:r>
              <w:rPr>
                <w:rFonts w:hint="eastAsia" w:cs="宋体"/>
                <w:color w:val="auto"/>
                <w:sz w:val="24"/>
                <w:szCs w:val="24"/>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top w:val="single" w:color="auto" w:sz="4" w:space="0"/>
              <w:left w:val="nil"/>
              <w:bottom w:val="nil"/>
              <w:right w:val="nil"/>
            </w:tcBorders>
          </w:tcPr>
          <w:p>
            <w:pPr>
              <w:spacing w:line="460" w:lineRule="exact"/>
              <w:jc w:val="left"/>
              <w:rPr>
                <w:rFonts w:cs="宋体"/>
                <w:color w:val="auto"/>
                <w:sz w:val="24"/>
                <w:szCs w:val="24"/>
                <w:highlight w:val="none"/>
              </w:rPr>
            </w:pPr>
          </w:p>
        </w:tc>
        <w:tc>
          <w:tcPr>
            <w:tcW w:w="5926" w:type="dxa"/>
            <w:tcBorders>
              <w:top w:val="single" w:color="auto" w:sz="4" w:space="0"/>
              <w:left w:val="nil"/>
              <w:bottom w:val="nil"/>
              <w:right w:val="nil"/>
            </w:tcBorders>
          </w:tcPr>
          <w:p>
            <w:pPr>
              <w:pStyle w:val="2"/>
              <w:spacing w:line="460" w:lineRule="exact"/>
              <w:ind w:firstLine="0" w:firstLineChars="0"/>
              <w:jc w:val="left"/>
              <w:rPr>
                <w:rFonts w:cs="宋体"/>
                <w:color w:val="auto"/>
                <w:sz w:val="24"/>
                <w:szCs w:val="24"/>
                <w:highlight w:val="none"/>
              </w:rPr>
            </w:pPr>
          </w:p>
        </w:tc>
      </w:tr>
    </w:tbl>
    <w:p>
      <w:pPr>
        <w:spacing w:line="460" w:lineRule="exact"/>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采购需求：</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7"/>
        <w:gridCol w:w="1547"/>
        <w:gridCol w:w="1410"/>
        <w:gridCol w:w="1410"/>
        <w:gridCol w:w="1412"/>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Align w:val="center"/>
          </w:tcPr>
          <w:p>
            <w:pPr>
              <w:pStyle w:val="2"/>
              <w:ind w:left="0" w:leftChars="0" w:firstLine="210" w:firstLineChars="100"/>
              <w:jc w:val="both"/>
              <w:rPr>
                <w:rFonts w:hint="eastAsia" w:eastAsia="宋体"/>
                <w:vertAlign w:val="baseline"/>
                <w:lang w:val="en-US" w:eastAsia="zh-CN"/>
              </w:rPr>
            </w:pPr>
            <w:r>
              <w:rPr>
                <w:rFonts w:hint="eastAsia"/>
                <w:vertAlign w:val="baseline"/>
                <w:lang w:val="en-US" w:eastAsia="zh-CN"/>
              </w:rPr>
              <w:t>包号</w:t>
            </w:r>
          </w:p>
        </w:tc>
        <w:tc>
          <w:tcPr>
            <w:tcW w:w="1547" w:type="dxa"/>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装备名称</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数量</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单位</w:t>
            </w:r>
          </w:p>
        </w:tc>
        <w:tc>
          <w:tcPr>
            <w:tcW w:w="1412" w:type="dxa"/>
            <w:vAlign w:val="center"/>
          </w:tcPr>
          <w:p>
            <w:pPr>
              <w:pStyle w:val="2"/>
              <w:ind w:left="0" w:leftChars="0" w:firstLine="0" w:firstLineChars="0"/>
              <w:jc w:val="center"/>
              <w:rPr>
                <w:rFonts w:hint="eastAsia" w:eastAsia="宋体"/>
                <w:highlight w:val="none"/>
                <w:vertAlign w:val="baseline"/>
                <w:lang w:val="en-US" w:eastAsia="zh-CN"/>
              </w:rPr>
            </w:pPr>
            <w:r>
              <w:rPr>
                <w:rFonts w:hint="eastAsia"/>
                <w:highlight w:val="none"/>
                <w:vertAlign w:val="baseline"/>
                <w:lang w:val="en-US" w:eastAsia="zh-CN"/>
              </w:rPr>
              <w:t>单价（万元）</w:t>
            </w:r>
          </w:p>
        </w:tc>
        <w:tc>
          <w:tcPr>
            <w:tcW w:w="1476" w:type="dxa"/>
            <w:vAlign w:val="center"/>
          </w:tcPr>
          <w:p>
            <w:pPr>
              <w:pStyle w:val="2"/>
              <w:ind w:left="0" w:leftChars="0" w:firstLine="0" w:firstLineChars="0"/>
              <w:jc w:val="center"/>
              <w:rPr>
                <w:rFonts w:hint="eastAsia"/>
                <w:highlight w:val="none"/>
                <w:vertAlign w:val="baseline"/>
                <w:lang w:val="en-US" w:eastAsia="zh-CN"/>
              </w:rPr>
            </w:pPr>
            <w:r>
              <w:rPr>
                <w:rFonts w:hint="eastAsia"/>
                <w:highlight w:val="none"/>
                <w:vertAlign w:val="baseline"/>
                <w:lang w:val="en-US" w:eastAsia="zh-CN"/>
              </w:rPr>
              <w:t>合计金额</w:t>
            </w:r>
          </w:p>
          <w:p>
            <w:pPr>
              <w:pStyle w:val="2"/>
              <w:ind w:left="0" w:leftChars="0" w:firstLine="0" w:firstLineChars="0"/>
              <w:jc w:val="center"/>
              <w:rPr>
                <w:rFonts w:hint="default" w:eastAsia="宋体"/>
                <w:highlight w:val="none"/>
                <w:vertAlign w:val="baseline"/>
                <w:lang w:val="en-US" w:eastAsia="zh-CN"/>
              </w:rPr>
            </w:pPr>
            <w:r>
              <w:rPr>
                <w:rFonts w:hint="eastAsia"/>
                <w:highlight w:val="none"/>
                <w:vertAlign w:val="baseli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0" w:firstLineChars="100"/>
              <w:jc w:val="left"/>
              <w:rPr>
                <w:rFonts w:hint="default" w:eastAsia="宋体"/>
                <w:vertAlign w:val="baseline"/>
                <w:lang w:val="en-US" w:eastAsia="zh-CN"/>
              </w:rPr>
            </w:pPr>
            <w:r>
              <w:rPr>
                <w:rFonts w:hint="eastAsia"/>
                <w:vertAlign w:val="baseline"/>
                <w:lang w:val="en-US" w:eastAsia="zh-CN"/>
              </w:rPr>
              <w:t>三十五</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卷扬机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0.5300 </w:t>
            </w:r>
          </w:p>
        </w:tc>
        <w:tc>
          <w:tcPr>
            <w:tcW w:w="1476"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116.1900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自动止坠器</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0.2</w:t>
            </w:r>
            <w:r>
              <w:rPr>
                <w:rFonts w:hint="eastAsia" w:cs="Times New Roman"/>
                <w:i w:val="0"/>
                <w:iCs w:val="0"/>
                <w:color w:val="auto"/>
                <w:kern w:val="0"/>
                <w:sz w:val="22"/>
                <w:szCs w:val="22"/>
                <w:u w:val="none"/>
                <w:lang w:val="en-US" w:eastAsia="zh-CN" w:bidi="ar"/>
              </w:rPr>
              <w:t>5</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自动锁定下降器</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25</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多功能省力系统</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0.3</w:t>
            </w:r>
            <w:r>
              <w:rPr>
                <w:rFonts w:hint="eastAsia"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滑轮套装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0.2400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挂钩套装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17</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绳索救援套装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2.5000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锚固装备套装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8</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1.4300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电动卷扬机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cs="Times New Roman"/>
                <w:i w:val="0"/>
                <w:iCs w:val="0"/>
                <w:color w:val="auto"/>
                <w:kern w:val="0"/>
                <w:sz w:val="22"/>
                <w:szCs w:val="22"/>
                <w:u w:val="none"/>
                <w:lang w:val="en-US" w:eastAsia="zh-CN" w:bidi="ar"/>
              </w:rPr>
              <w:t>2</w:t>
            </w:r>
            <w:r>
              <w:rPr>
                <w:rFonts w:hint="default" w:ascii="Times New Roman" w:hAnsi="Times New Roman" w:eastAsia="宋体" w:cs="Times New Roman"/>
                <w:i w:val="0"/>
                <w:iCs w:val="0"/>
                <w:color w:val="auto"/>
                <w:kern w:val="0"/>
                <w:sz w:val="22"/>
                <w:szCs w:val="22"/>
                <w:u w:val="none"/>
                <w:lang w:val="en-US" w:eastAsia="zh-CN" w:bidi="ar"/>
              </w:rPr>
              <w:t xml:space="preserve">.0000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全身吊带</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件</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0.2300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消防用防坠落装备</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26</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0.6000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0" w:firstLineChars="100"/>
              <w:jc w:val="left"/>
              <w:rPr>
                <w:rFonts w:hint="default" w:eastAsia="宋体"/>
                <w:vertAlign w:val="baseline"/>
                <w:lang w:val="en-US" w:eastAsia="zh-CN"/>
              </w:rPr>
            </w:pPr>
            <w:r>
              <w:rPr>
                <w:rFonts w:hint="eastAsia"/>
                <w:vertAlign w:val="baseline"/>
                <w:lang w:val="en-US" w:eastAsia="zh-CN"/>
              </w:rPr>
              <w:t>三十六</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硬质救援艇（冲锋舟）</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艘</w:t>
            </w:r>
          </w:p>
        </w:tc>
        <w:tc>
          <w:tcPr>
            <w:tcW w:w="1412" w:type="dxa"/>
            <w:vAlign w:val="center"/>
          </w:tcPr>
          <w:p>
            <w:pPr>
              <w:keepNext w:val="0"/>
              <w:keepLines w:val="0"/>
              <w:widowControl/>
              <w:suppressLineNumbers w:val="0"/>
              <w:tabs>
                <w:tab w:val="left" w:pos="279"/>
                <w:tab w:val="center" w:pos="712"/>
              </w:tabs>
              <w:jc w:val="left"/>
              <w:textAlignment w:val="center"/>
              <w:rPr>
                <w:rFonts w:hint="eastAsia"/>
                <w:color w:val="auto"/>
                <w:vertAlign w:val="baseline"/>
                <w:lang w:val="zh-CN"/>
              </w:rPr>
            </w:pPr>
            <w:r>
              <w:rPr>
                <w:rFonts w:hint="eastAsia" w:cs="Times New Roman"/>
                <w:i w:val="0"/>
                <w:iCs w:val="0"/>
                <w:color w:val="auto"/>
                <w:kern w:val="0"/>
                <w:sz w:val="22"/>
                <w:szCs w:val="22"/>
                <w:u w:val="none"/>
                <w:lang w:val="en-US" w:eastAsia="zh-CN" w:bidi="ar"/>
              </w:rPr>
              <w:tab/>
            </w: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w:t>
            </w:r>
            <w:r>
              <w:rPr>
                <w:rFonts w:hint="eastAsia" w:cs="Times New Roman"/>
                <w:i w:val="0"/>
                <w:iCs w:val="0"/>
                <w:color w:val="auto"/>
                <w:kern w:val="0"/>
                <w:sz w:val="22"/>
                <w:szCs w:val="22"/>
                <w:u w:val="none"/>
                <w:lang w:val="en-US" w:eastAsia="zh-CN" w:bidi="ar"/>
              </w:rPr>
              <w:t>8</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158.0100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舷外机（含油箱防护罩）</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3.0000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充气救生筏</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5.0000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救援桨板</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副</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0.9300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充气式上浮系统</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2.5000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充气式救生浮板</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5</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橡皮艇</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艘</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5.5000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定位浮标</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18</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水面漂浮救生绳（</w:t>
            </w:r>
            <w:r>
              <w:rPr>
                <w:rFonts w:hint="default" w:ascii="Times New Roman" w:hAnsi="Times New Roman" w:eastAsia="宋体" w:cs="Times New Roman"/>
                <w:i w:val="0"/>
                <w:iCs w:val="0"/>
                <w:color w:val="000000"/>
                <w:kern w:val="0"/>
                <w:sz w:val="22"/>
                <w:szCs w:val="22"/>
                <w:u w:val="none"/>
                <w:lang w:val="en-US" w:eastAsia="zh-CN" w:bidi="ar"/>
              </w:rPr>
              <w:t>200</w:t>
            </w:r>
            <w:r>
              <w:rPr>
                <w:rFonts w:hint="eastAsia" w:ascii="宋体" w:hAnsi="宋体" w:eastAsia="宋体" w:cs="宋体"/>
                <w:i w:val="0"/>
                <w:iCs w:val="0"/>
                <w:color w:val="000000"/>
                <w:kern w:val="0"/>
                <w:sz w:val="22"/>
                <w:szCs w:val="22"/>
                <w:u w:val="none"/>
                <w:lang w:val="en-US" w:eastAsia="zh-CN" w:bidi="ar"/>
              </w:rPr>
              <w:t>米）</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9</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0.4</w:t>
            </w:r>
            <w:r>
              <w:rPr>
                <w:rFonts w:hint="eastAsia" w:cs="Times New Roman"/>
                <w:i w:val="0"/>
                <w:iCs w:val="0"/>
                <w:color w:val="auto"/>
                <w:kern w:val="0"/>
                <w:sz w:val="22"/>
                <w:szCs w:val="22"/>
                <w:u w:val="none"/>
                <w:lang w:val="en-US" w:eastAsia="zh-CN" w:bidi="ar"/>
              </w:rPr>
              <w:t>6</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救生拉杆</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0.8000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滚钩</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24</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0.3</w:t>
            </w:r>
            <w:r>
              <w:rPr>
                <w:rFonts w:hint="eastAsia"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冰面救援滑板</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0.8000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冰面救援服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水域救生套装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30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干式水域救援服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0.8000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湿式水域救援服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0.3500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干式潜水衣</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cs="Times New Roman"/>
                <w:i w:val="0"/>
                <w:iCs w:val="0"/>
                <w:color w:val="auto"/>
                <w:kern w:val="0"/>
                <w:sz w:val="22"/>
                <w:szCs w:val="22"/>
                <w:u w:val="none"/>
                <w:lang w:val="en-US" w:eastAsia="zh-CN" w:bidi="ar"/>
              </w:rPr>
              <w:t>32</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湿式潜水衣</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4600</w:t>
            </w:r>
            <w:r>
              <w:rPr>
                <w:rFonts w:hint="default" w:ascii="Times New Roman" w:hAnsi="Times New Roman" w:eastAsia="宋体" w:cs="Times New Roman"/>
                <w:i w:val="0"/>
                <w:iCs w:val="0"/>
                <w:color w:val="auto"/>
                <w:kern w:val="0"/>
                <w:sz w:val="22"/>
                <w:szCs w:val="22"/>
                <w:u w:val="none"/>
                <w:lang w:val="en-US" w:eastAsia="zh-CN" w:bidi="ar"/>
              </w:rPr>
              <w:t xml:space="preserve">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水域救援套装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潜水装备套装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0.5900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三十七</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防静电服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0.2100 </w:t>
            </w:r>
          </w:p>
        </w:tc>
        <w:tc>
          <w:tcPr>
            <w:tcW w:w="1476"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95.6400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轻型防化服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36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68</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重型防化服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36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电绝缘装具</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0.3</w:t>
            </w:r>
            <w:r>
              <w:rPr>
                <w:rFonts w:hint="eastAsia"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消防员防蜂服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18</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消防员避火防护服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4500</w:t>
            </w:r>
            <w:r>
              <w:rPr>
                <w:rFonts w:hint="default" w:ascii="Times New Roman" w:hAnsi="Times New Roman" w:eastAsia="宋体" w:cs="Times New Roman"/>
                <w:i w:val="0"/>
                <w:iCs w:val="0"/>
                <w:color w:val="auto"/>
                <w:kern w:val="0"/>
                <w:sz w:val="22"/>
                <w:szCs w:val="22"/>
                <w:u w:val="none"/>
                <w:lang w:val="en-US" w:eastAsia="zh-CN" w:bidi="ar"/>
              </w:rPr>
              <w:t xml:space="preserve">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三十八</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小型移动照明灯组</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组</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1.5000 </w:t>
            </w:r>
          </w:p>
        </w:tc>
        <w:tc>
          <w:tcPr>
            <w:tcW w:w="1476"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117.4200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移动照明灯组</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vAlign w:val="center"/>
          </w:tcPr>
          <w:p>
            <w:pPr>
              <w:pStyle w:val="2"/>
              <w:jc w:val="both"/>
              <w:rPr>
                <w:rFonts w:hint="eastAsia"/>
                <w:vertAlign w:val="baseline"/>
                <w:lang w:val="zh-CN"/>
              </w:rPr>
            </w:pPr>
            <w:r>
              <w:rPr>
                <w:rFonts w:hint="eastAsia"/>
                <w:vertAlign w:val="baseline"/>
                <w:lang w:val="en-US" w:eastAsia="zh-CN"/>
              </w:rPr>
              <w:t>组</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2.0000 </w:t>
            </w:r>
          </w:p>
        </w:tc>
        <w:tc>
          <w:tcPr>
            <w:tcW w:w="1476" w:type="dxa"/>
            <w:vMerge w:val="continue"/>
            <w:vAlign w:val="center"/>
          </w:tcPr>
          <w:p>
            <w:pPr>
              <w:pStyle w:val="2"/>
              <w:jc w:val="both"/>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移动照明灯</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0.3500 </w:t>
            </w:r>
          </w:p>
        </w:tc>
        <w:tc>
          <w:tcPr>
            <w:tcW w:w="1476" w:type="dxa"/>
            <w:vMerge w:val="continue"/>
            <w:vAlign w:val="center"/>
          </w:tcPr>
          <w:p>
            <w:pPr>
              <w:pStyle w:val="2"/>
              <w:jc w:val="both"/>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泛光灯</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1410" w:type="dxa"/>
            <w:vAlign w:val="center"/>
          </w:tcPr>
          <w:p>
            <w:pPr>
              <w:pStyle w:val="2"/>
              <w:jc w:val="both"/>
              <w:rPr>
                <w:rFonts w:hint="eastAsia"/>
                <w:vertAlign w:val="baseline"/>
                <w:lang w:val="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eastAsia"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cs="Times New Roman"/>
                <w:i w:val="0"/>
                <w:iCs w:val="0"/>
                <w:color w:val="auto"/>
                <w:kern w:val="0"/>
                <w:sz w:val="22"/>
                <w:szCs w:val="22"/>
                <w:u w:val="none"/>
                <w:lang w:val="en-US" w:eastAsia="zh-CN" w:bidi="ar"/>
              </w:rPr>
              <w:t>835</w:t>
            </w:r>
            <w:r>
              <w:rPr>
                <w:rFonts w:hint="default" w:ascii="Times New Roman" w:hAnsi="Times New Roman" w:eastAsia="宋体" w:cs="Times New Roman"/>
                <w:i w:val="0"/>
                <w:iCs w:val="0"/>
                <w:color w:val="auto"/>
                <w:kern w:val="0"/>
                <w:sz w:val="22"/>
                <w:szCs w:val="22"/>
                <w:u w:val="none"/>
                <w:lang w:val="en-US" w:eastAsia="zh-CN" w:bidi="ar"/>
              </w:rPr>
              <w:t xml:space="preserve">0 </w:t>
            </w:r>
          </w:p>
        </w:tc>
        <w:tc>
          <w:tcPr>
            <w:tcW w:w="1476" w:type="dxa"/>
            <w:vMerge w:val="continue"/>
            <w:vAlign w:val="center"/>
          </w:tcPr>
          <w:p>
            <w:pPr>
              <w:pStyle w:val="2"/>
              <w:jc w:val="both"/>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月球灯</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1410" w:type="dxa"/>
            <w:vAlign w:val="center"/>
          </w:tcPr>
          <w:p>
            <w:pPr>
              <w:pStyle w:val="2"/>
              <w:jc w:val="both"/>
              <w:rPr>
                <w:rFonts w:hint="eastAsia"/>
                <w:vertAlign w:val="baseline"/>
                <w:lang w:val="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eastAsia" w:cs="Times New Roman"/>
                <w:i w:val="0"/>
                <w:iCs w:val="0"/>
                <w:color w:val="auto"/>
                <w:kern w:val="0"/>
                <w:sz w:val="22"/>
                <w:szCs w:val="22"/>
                <w:u w:val="none"/>
                <w:lang w:val="en-US" w:eastAsia="zh-CN" w:bidi="ar"/>
              </w:rPr>
              <w:t>0.9600</w:t>
            </w:r>
            <w:r>
              <w:rPr>
                <w:rFonts w:hint="default" w:ascii="Times New Roman" w:hAnsi="Times New Roman" w:eastAsia="宋体" w:cs="Times New Roman"/>
                <w:i w:val="0"/>
                <w:iCs w:val="0"/>
                <w:color w:val="auto"/>
                <w:kern w:val="0"/>
                <w:sz w:val="22"/>
                <w:szCs w:val="22"/>
                <w:u w:val="none"/>
                <w:lang w:val="en-US" w:eastAsia="zh-CN" w:bidi="ar"/>
              </w:rPr>
              <w:t xml:space="preserve"> </w:t>
            </w:r>
          </w:p>
        </w:tc>
        <w:tc>
          <w:tcPr>
            <w:tcW w:w="1476" w:type="dxa"/>
            <w:vMerge w:val="continue"/>
            <w:vAlign w:val="center"/>
          </w:tcPr>
          <w:p>
            <w:pPr>
              <w:pStyle w:val="2"/>
              <w:jc w:val="both"/>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救生照明线</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17</w:t>
            </w:r>
          </w:p>
        </w:tc>
        <w:tc>
          <w:tcPr>
            <w:tcW w:w="1410" w:type="dxa"/>
            <w:vAlign w:val="center"/>
          </w:tcPr>
          <w:p>
            <w:pPr>
              <w:pStyle w:val="2"/>
              <w:jc w:val="both"/>
              <w:rPr>
                <w:rFonts w:hint="default"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default"/>
                <w:color w:val="auto"/>
                <w:vertAlign w:val="baseline"/>
                <w:lang w:val="en-US"/>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cs="Times New Roman"/>
                <w:i w:val="0"/>
                <w:iCs w:val="0"/>
                <w:color w:val="auto"/>
                <w:kern w:val="0"/>
                <w:sz w:val="22"/>
                <w:szCs w:val="22"/>
                <w:u w:val="none"/>
                <w:lang w:val="en-US" w:eastAsia="zh-CN" w:bidi="ar"/>
              </w:rPr>
              <w:t>2000</w:t>
            </w:r>
          </w:p>
        </w:tc>
        <w:tc>
          <w:tcPr>
            <w:tcW w:w="1476" w:type="dxa"/>
            <w:vMerge w:val="continue"/>
            <w:vAlign w:val="center"/>
          </w:tcPr>
          <w:p>
            <w:pPr>
              <w:pStyle w:val="2"/>
              <w:jc w:val="both"/>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气柱灯</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410" w:type="dxa"/>
            <w:vAlign w:val="center"/>
          </w:tcPr>
          <w:p>
            <w:pPr>
              <w:pStyle w:val="2"/>
              <w:jc w:val="both"/>
              <w:rPr>
                <w:rFonts w:hint="eastAsia"/>
                <w:vertAlign w:val="baseline"/>
                <w:lang w:val="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1.3000 </w:t>
            </w:r>
          </w:p>
        </w:tc>
        <w:tc>
          <w:tcPr>
            <w:tcW w:w="1476" w:type="dxa"/>
            <w:vMerge w:val="continue"/>
            <w:vAlign w:val="center"/>
          </w:tcPr>
          <w:p>
            <w:pPr>
              <w:pStyle w:val="2"/>
              <w:jc w:val="both"/>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静音发电机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11</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1.0000 </w:t>
            </w:r>
          </w:p>
        </w:tc>
        <w:tc>
          <w:tcPr>
            <w:tcW w:w="1476" w:type="dxa"/>
            <w:vMerge w:val="continue"/>
            <w:vAlign w:val="center"/>
          </w:tcPr>
          <w:p>
            <w:pPr>
              <w:pStyle w:val="2"/>
              <w:jc w:val="both"/>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大功率发电机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19</w:t>
            </w:r>
          </w:p>
        </w:tc>
        <w:tc>
          <w:tcPr>
            <w:tcW w:w="1410" w:type="dxa"/>
            <w:vAlign w:val="center"/>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1.2000 </w:t>
            </w:r>
          </w:p>
        </w:tc>
        <w:tc>
          <w:tcPr>
            <w:tcW w:w="1476" w:type="dxa"/>
            <w:vMerge w:val="continue"/>
            <w:vAlign w:val="center"/>
          </w:tcPr>
          <w:p>
            <w:pPr>
              <w:pStyle w:val="2"/>
              <w:jc w:val="both"/>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三十九</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AED</w:t>
            </w:r>
            <w:r>
              <w:rPr>
                <w:rFonts w:hint="eastAsia" w:ascii="宋体" w:hAnsi="宋体" w:eastAsia="宋体" w:cs="宋体"/>
                <w:i w:val="0"/>
                <w:iCs w:val="0"/>
                <w:color w:val="000000"/>
                <w:kern w:val="0"/>
                <w:sz w:val="22"/>
                <w:szCs w:val="22"/>
                <w:u w:val="none"/>
                <w:lang w:val="en-US" w:eastAsia="zh-CN" w:bidi="ar"/>
              </w:rPr>
              <w:t>除颤仪</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28</w:t>
            </w:r>
          </w:p>
        </w:tc>
        <w:tc>
          <w:tcPr>
            <w:tcW w:w="1410" w:type="dxa"/>
            <w:vAlign w:val="center"/>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2.</w:t>
            </w: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69.2000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婴儿呼吸袋</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0.4000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四十</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狭小空间排烟机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vAlign w:val="center"/>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restart"/>
            <w:vAlign w:val="center"/>
          </w:tcPr>
          <w:p>
            <w:pPr>
              <w:pStyle w:val="2"/>
              <w:ind w:left="0" w:leftChars="0" w:firstLine="210" w:firstLineChars="100"/>
              <w:jc w:val="both"/>
              <w:rPr>
                <w:rFonts w:hint="default" w:eastAsia="宋体"/>
                <w:vertAlign w:val="baseline"/>
                <w:lang w:val="en-US" w:eastAsia="zh-CN"/>
              </w:rPr>
            </w:pPr>
            <w:r>
              <w:rPr>
                <w:rFonts w:hint="eastAsia"/>
                <w:vertAlign w:val="baseline"/>
                <w:lang w:val="en-US" w:eastAsia="zh-CN"/>
              </w:rPr>
              <w:t>106.2550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强制送风机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0.3500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水驱动排烟机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w:t>
            </w:r>
            <w:r>
              <w:rPr>
                <w:rFonts w:hint="eastAsia" w:cs="Times New Roman"/>
                <w:i w:val="0"/>
                <w:iCs w:val="0"/>
                <w:color w:val="auto"/>
                <w:kern w:val="0"/>
                <w:sz w:val="22"/>
                <w:szCs w:val="22"/>
                <w:u w:val="none"/>
                <w:lang w:val="en-US" w:eastAsia="zh-CN" w:bidi="ar"/>
              </w:rPr>
              <w:t>8</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移动式排烟机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2.5000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坑道小型空气输送机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585</w:t>
            </w:r>
            <w:r>
              <w:rPr>
                <w:rFonts w:hint="default" w:ascii="Times New Roman" w:hAnsi="Times New Roman" w:eastAsia="宋体" w:cs="Times New Roman"/>
                <w:i w:val="0"/>
                <w:iCs w:val="0"/>
                <w:color w:val="auto"/>
                <w:kern w:val="0"/>
                <w:sz w:val="22"/>
                <w:szCs w:val="22"/>
                <w:u w:val="none"/>
                <w:lang w:val="en-US" w:eastAsia="zh-CN" w:bidi="ar"/>
              </w:rPr>
              <w:t xml:space="preserve">0 </w:t>
            </w:r>
          </w:p>
        </w:tc>
        <w:tc>
          <w:tcPr>
            <w:tcW w:w="1476" w:type="dxa"/>
            <w:vMerge w:val="continue"/>
          </w:tcPr>
          <w:p>
            <w:pPr>
              <w:pStyle w:val="2"/>
              <w:jc w:val="center"/>
              <w:rPr>
                <w:rFonts w:hint="eastAsia"/>
                <w:vertAlign w:val="baseline"/>
                <w:lang w:val="zh-CN"/>
              </w:rPr>
            </w:pPr>
          </w:p>
        </w:tc>
      </w:tr>
    </w:tbl>
    <w:p>
      <w:pPr>
        <w:pStyle w:val="2"/>
        <w:jc w:val="center"/>
        <w:rPr>
          <w:rFonts w:hint="eastAsia"/>
          <w:lang w:val="zh-CN"/>
        </w:rPr>
      </w:pP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供货</w:t>
      </w:r>
      <w:r>
        <w:rPr>
          <w:rFonts w:hint="eastAsia" w:ascii="宋体" w:hAnsi="宋体" w:cs="宋体"/>
          <w:color w:val="auto"/>
          <w:sz w:val="24"/>
          <w:szCs w:val="24"/>
          <w:highlight w:val="none"/>
          <w:lang w:val="zh-CN"/>
        </w:rPr>
        <w:t>地点：</w:t>
      </w:r>
      <w:r>
        <w:rPr>
          <w:rFonts w:hint="eastAsia" w:ascii="宋体" w:hAnsi="宋体" w:cs="宋体"/>
          <w:color w:val="auto"/>
          <w:sz w:val="24"/>
          <w:szCs w:val="24"/>
          <w:highlight w:val="none"/>
        </w:rPr>
        <w:t>招标人指定地点。</w:t>
      </w:r>
    </w:p>
    <w:p>
      <w:pPr>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合同履行期限</w:t>
      </w:r>
      <w:r>
        <w:rPr>
          <w:rFonts w:hint="eastAsia" w:ascii="宋体" w:hAnsi="宋体" w:cs="宋体"/>
          <w:color w:val="auto"/>
          <w:sz w:val="24"/>
          <w:szCs w:val="24"/>
          <w:highlight w:val="none"/>
        </w:rPr>
        <w:t>：签订合同后</w:t>
      </w:r>
      <w:r>
        <w:rPr>
          <w:rFonts w:hint="eastAsia" w:ascii="宋体" w:hAnsi="宋体" w:cs="宋体"/>
          <w:color w:val="auto"/>
          <w:sz w:val="24"/>
          <w:szCs w:val="24"/>
          <w:highlight w:val="none"/>
          <w:u w:val="single"/>
          <w:lang w:val="en-US" w:eastAsia="zh-CN"/>
        </w:rPr>
        <w:t>45</w:t>
      </w:r>
      <w:r>
        <w:rPr>
          <w:rFonts w:hint="eastAsia" w:ascii="宋体" w:hAnsi="宋体" w:cs="宋体"/>
          <w:color w:val="auto"/>
          <w:sz w:val="24"/>
          <w:szCs w:val="24"/>
          <w:highlight w:val="none"/>
        </w:rPr>
        <w:t>日内交付货物</w:t>
      </w:r>
      <w:r>
        <w:rPr>
          <w:rFonts w:hint="eastAsia" w:ascii="宋体" w:hAnsi="宋体" w:cs="宋体"/>
          <w:color w:val="auto"/>
          <w:sz w:val="24"/>
          <w:szCs w:val="24"/>
          <w:highlight w:val="none"/>
          <w:lang w:eastAsia="zh-CN"/>
        </w:rPr>
        <w:t>。</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不接受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联合体投标。</w:t>
      </w:r>
    </w:p>
    <w:p>
      <w:pPr>
        <w:pStyle w:val="7"/>
        <w:rPr>
          <w:color w:val="auto"/>
          <w:highlight w:val="none"/>
        </w:rPr>
      </w:pPr>
      <w:r>
        <w:rPr>
          <w:rFonts w:hint="eastAsia"/>
          <w:color w:val="auto"/>
          <w:highlight w:val="none"/>
        </w:rPr>
        <w:t>二、申请人的资格要求</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w:t>
      </w:r>
      <w:r>
        <w:rPr>
          <w:rFonts w:hint="eastAsia" w:ascii="宋体" w:hAnsi="宋体" w:cs="宋体"/>
          <w:color w:val="auto"/>
          <w:sz w:val="24"/>
          <w:szCs w:val="24"/>
          <w:highlight w:val="none"/>
          <w:lang w:val="en-US" w:eastAsia="zh-CN"/>
        </w:rPr>
        <w:t>1）本项目第三十五包、第三十六包、第三十七包、第三十八包、第四十包专门面向中小企业采购，价格不再进行财政政策扣除；第三十九包非专门面向中小企业采购，投标人所提供货物的制造商为小型、微型企业的，给予10%的价格扣除；</w:t>
      </w:r>
      <w:r>
        <w:rPr>
          <w:rFonts w:hint="eastAsia"/>
          <w:color w:val="auto"/>
          <w:highlight w:val="none"/>
          <w:lang w:val="zh-CN"/>
        </w:rPr>
        <w:t xml:space="preserve"> </w:t>
      </w:r>
      <w:r>
        <w:rPr>
          <w:rFonts w:hint="eastAsia" w:ascii="宋体" w:hAnsi="宋体" w:cs="宋体"/>
          <w:color w:val="auto"/>
          <w:sz w:val="24"/>
          <w:szCs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460" w:lineRule="exact"/>
        <w:ind w:firstLine="480" w:firstLineChars="20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.本项目的特定资格要求：</w:t>
      </w:r>
    </w:p>
    <w:p>
      <w:pPr>
        <w:pStyle w:val="2"/>
        <w:rPr>
          <w:rFonts w:hint="default" w:eastAsia="宋体"/>
          <w:lang w:val="en-US" w:eastAsia="zh-CN"/>
        </w:rPr>
      </w:pPr>
      <w:r>
        <w:rPr>
          <w:rFonts w:hint="eastAsia" w:cs="宋体"/>
          <w:color w:val="auto"/>
          <w:sz w:val="24"/>
          <w:szCs w:val="24"/>
          <w:highlight w:val="none"/>
          <w:lang w:val="en-US" w:eastAsia="zh-CN"/>
        </w:rPr>
        <w:t>3.1本项目第三十九包：AED除颤仪属于第三类医疗器械，根据《医疗器械生产监督办理办法》和《医疗器械经营监督办理办法》规定，生产经营除颤仪应取得第三类医疗器械生产或经营许可证；</w:t>
      </w:r>
    </w:p>
    <w:p>
      <w:pPr>
        <w:spacing w:line="460" w:lineRule="exact"/>
        <w:ind w:firstLine="480" w:firstLineChars="200"/>
        <w:jc w:val="left"/>
        <w:rPr>
          <w:rFonts w:ascii="宋体" w:hAnsi="宋体" w:cs="宋体"/>
          <w:color w:val="auto"/>
          <w:sz w:val="24"/>
          <w:szCs w:val="24"/>
          <w:highlight w:val="cya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与招标人存在利害关系可能影响招标公正性的法人、其他组织或者个人，不得参加同一标段投标或者未划分标段的同一招标项</w:t>
      </w:r>
      <w:r>
        <w:rPr>
          <w:rFonts w:hint="eastAsia" w:ascii="宋体" w:hAnsi="宋体" w:eastAsia="宋体" w:cs="宋体"/>
          <w:color w:val="auto"/>
          <w:sz w:val="24"/>
          <w:szCs w:val="24"/>
          <w:highlight w:val="none"/>
        </w:rPr>
        <w:t>目投标；</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xml:space="preserve"> 投标人负责人为同一人或者存在控股、管理关系的不同单位，不得同时参加本项目的投标；</w:t>
      </w:r>
    </w:p>
    <w:p>
      <w:pPr>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 xml:space="preserve">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r>
        <w:rPr>
          <w:rFonts w:hint="eastAsia" w:ascii="宋体" w:hAnsi="宋体" w:cs="宋体"/>
          <w:color w:val="auto"/>
          <w:sz w:val="24"/>
          <w:szCs w:val="24"/>
          <w:highlight w:val="none"/>
          <w:lang w:eastAsia="zh-CN"/>
        </w:rPr>
        <w:t>。</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4.本项目不接受联合体投标。</w:t>
      </w:r>
    </w:p>
    <w:p>
      <w:pPr>
        <w:pStyle w:val="7"/>
        <w:rPr>
          <w:color w:val="auto"/>
          <w:highlight w:val="none"/>
        </w:rPr>
      </w:pPr>
      <w:r>
        <w:rPr>
          <w:rFonts w:hint="eastAsia"/>
          <w:color w:val="auto"/>
          <w:highlight w:val="none"/>
        </w:rPr>
        <w:t>三、获取招标文件</w:t>
      </w:r>
    </w:p>
    <w:p>
      <w:pPr>
        <w:spacing w:line="460" w:lineRule="exact"/>
        <w:ind w:firstLine="540"/>
        <w:jc w:val="left"/>
        <w:rPr>
          <w:rFonts w:ascii="宋体" w:hAnsi="宋体" w:cs="宋体"/>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2024</w:t>
      </w:r>
      <w:r>
        <w:rPr>
          <w:rFonts w:hint="eastAsia" w:ascii="宋体" w:hAnsi="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rPr>
        <w:t>至</w:t>
      </w:r>
      <w:r>
        <w:rPr>
          <w:rFonts w:hint="eastAsia" w:ascii="宋体" w:hAnsi="宋体" w:cs="宋体"/>
          <w:color w:val="auto"/>
          <w:sz w:val="24"/>
          <w:szCs w:val="24"/>
          <w:highlight w:val="none"/>
          <w:u w:val="single"/>
          <w:lang w:val="en-US" w:eastAsia="zh-CN"/>
        </w:rPr>
        <w:t>2024</w:t>
      </w:r>
      <w:r>
        <w:rPr>
          <w:rFonts w:hint="eastAsia" w:ascii="宋体" w:hAnsi="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9</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rPr>
        <w:t>，每天上午</w:t>
      </w:r>
      <w:r>
        <w:rPr>
          <w:rFonts w:hint="eastAsia" w:ascii="宋体" w:hAnsi="宋体" w:cs="宋体"/>
          <w:color w:val="auto"/>
          <w:sz w:val="24"/>
          <w:szCs w:val="24"/>
          <w:highlight w:val="none"/>
          <w:u w:val="single"/>
          <w:lang w:val="en-US" w:eastAsia="zh-CN"/>
        </w:rPr>
        <w:t>08:00</w:t>
      </w:r>
      <w:r>
        <w:rPr>
          <w:rFonts w:hint="eastAsia" w:ascii="宋体" w:hAnsi="宋体" w:cs="宋体"/>
          <w:color w:val="auto"/>
          <w:sz w:val="24"/>
          <w:szCs w:val="24"/>
          <w:highlight w:val="none"/>
        </w:rPr>
        <w:t>至</w:t>
      </w:r>
      <w:r>
        <w:rPr>
          <w:rFonts w:hint="eastAsia" w:ascii="宋体" w:hAnsi="宋体" w:cs="宋体"/>
          <w:color w:val="auto"/>
          <w:sz w:val="24"/>
          <w:szCs w:val="24"/>
          <w:highlight w:val="none"/>
          <w:u w:val="single"/>
          <w:lang w:val="en-US" w:eastAsia="zh-CN"/>
        </w:rPr>
        <w:t>14:00</w:t>
      </w:r>
      <w:r>
        <w:rPr>
          <w:rFonts w:hint="eastAsia" w:ascii="宋体" w:hAnsi="宋体" w:cs="宋体"/>
          <w:color w:val="auto"/>
          <w:sz w:val="24"/>
          <w:szCs w:val="24"/>
          <w:highlight w:val="none"/>
        </w:rPr>
        <w:t>，下午</w:t>
      </w:r>
      <w:r>
        <w:rPr>
          <w:rFonts w:hint="eastAsia" w:ascii="宋体" w:hAnsi="宋体" w:cs="宋体"/>
          <w:color w:val="auto"/>
          <w:sz w:val="24"/>
          <w:szCs w:val="24"/>
          <w:highlight w:val="none"/>
          <w:u w:val="single"/>
          <w:lang w:val="en-US" w:eastAsia="zh-CN"/>
        </w:rPr>
        <w:t>14:00</w:t>
      </w:r>
      <w:r>
        <w:rPr>
          <w:rFonts w:hint="eastAsia" w:ascii="宋体" w:hAnsi="宋体" w:cs="宋体"/>
          <w:color w:val="auto"/>
          <w:sz w:val="24"/>
          <w:szCs w:val="24"/>
          <w:highlight w:val="none"/>
        </w:rPr>
        <w:t>至</w:t>
      </w:r>
      <w:r>
        <w:rPr>
          <w:rFonts w:hint="eastAsia" w:ascii="宋体" w:hAnsi="宋体" w:cs="宋体"/>
          <w:color w:val="auto"/>
          <w:sz w:val="24"/>
          <w:szCs w:val="24"/>
          <w:highlight w:val="none"/>
          <w:u w:val="single"/>
          <w:lang w:val="en-US" w:eastAsia="zh-CN"/>
        </w:rPr>
        <w:t>21:00</w:t>
      </w:r>
      <w:r>
        <w:rPr>
          <w:rFonts w:hint="eastAsia" w:ascii="宋体" w:hAnsi="宋体" w:cs="宋体"/>
          <w:color w:val="auto"/>
          <w:sz w:val="24"/>
          <w:szCs w:val="24"/>
          <w:highlight w:val="none"/>
        </w:rPr>
        <w:t>（北京时间，法定节假日除外）</w:t>
      </w:r>
    </w:p>
    <w:p>
      <w:pPr>
        <w:spacing w:line="400" w:lineRule="exact"/>
        <w:ind w:firstLine="480" w:firstLineChars="200"/>
        <w:jc w:val="left"/>
        <w:rPr>
          <w:rFonts w:hint="default" w:ascii="仿宋" w:hAnsi="仿宋" w:eastAsia="宋体" w:cs="宋体"/>
          <w:color w:val="0000FF"/>
          <w:kern w:val="0"/>
          <w:sz w:val="24"/>
          <w:szCs w:val="24"/>
          <w:highlight w:val="none"/>
          <w:lang w:val="en-US" w:eastAsia="zh-CN"/>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kern w:val="0"/>
          <w:sz w:val="24"/>
          <w:highlight w:val="none"/>
          <w:lang w:val="en-US" w:eastAsia="zh-CN"/>
          <w14:textFill>
            <w14:solidFill>
              <w14:schemeClr w14:val="tx1"/>
            </w14:solidFill>
          </w14:textFill>
        </w:rPr>
        <w:t>线上</w:t>
      </w:r>
    </w:p>
    <w:p>
      <w:pPr>
        <w:widowControl/>
        <w:spacing w:line="400" w:lineRule="exact"/>
        <w:ind w:firstLine="480" w:firstLineChars="200"/>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方式：</w:t>
      </w:r>
      <w:r>
        <w:rPr>
          <w:rFonts w:hint="eastAsia" w:ascii="Times New Roman" w:hAnsi="Times New Roman" w:cs="Times New Roman"/>
          <w:b w:val="0"/>
          <w:bCs w:val="0"/>
          <w:color w:val="auto"/>
          <w:sz w:val="24"/>
          <w:szCs w:val="24"/>
          <w:highlight w:val="none"/>
          <w:lang w:val="en-US" w:eastAsia="zh-CN"/>
        </w:rPr>
        <w:t>领取招标文件时：需将单位名称、所投项目名称、联系人、联系方式和电子邮箱号书写在一张A4纸上并加盖公章，扫描后发送至指定邮箱761522843@qq.com。</w:t>
      </w:r>
    </w:p>
    <w:p>
      <w:pPr>
        <w:spacing w:line="460" w:lineRule="exact"/>
        <w:ind w:firstLine="480" w:firstLineChars="200"/>
        <w:jc w:val="left"/>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仿宋" w:hAnsi="仿宋" w:cs="宋体"/>
          <w:color w:val="000000" w:themeColor="text1"/>
          <w:kern w:val="0"/>
          <w:sz w:val="24"/>
          <w:szCs w:val="24"/>
          <w:highlight w:val="none"/>
          <w14:textFill>
            <w14:solidFill>
              <w14:schemeClr w14:val="tx1"/>
            </w14:solidFill>
          </w14:textFill>
        </w:rPr>
        <w:t>售价：</w:t>
      </w:r>
      <w:r>
        <w:rPr>
          <w:rFonts w:hint="eastAsia" w:ascii="仿宋" w:hAnsi="仿宋" w:cs="宋体"/>
          <w:color w:val="000000" w:themeColor="text1"/>
          <w:kern w:val="0"/>
          <w:sz w:val="24"/>
          <w:szCs w:val="24"/>
          <w:highlight w:val="none"/>
          <w:lang w:val="en-US"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0.0元，本公告包含的招标文件售价总和</w:t>
      </w:r>
    </w:p>
    <w:p>
      <w:pPr>
        <w:pStyle w:val="7"/>
        <w:rPr>
          <w:rFonts w:hint="default" w:eastAsia="宋体"/>
          <w:color w:val="auto"/>
          <w:highlight w:val="none"/>
          <w:lang w:val="en-US" w:eastAsia="zh-CN"/>
        </w:rPr>
      </w:pPr>
      <w:r>
        <w:rPr>
          <w:rFonts w:hint="eastAsia"/>
          <w:color w:val="auto"/>
          <w:highlight w:val="none"/>
        </w:rPr>
        <w:t>四、提交投标文件</w:t>
      </w:r>
      <w:r>
        <w:rPr>
          <w:rFonts w:hint="eastAsia"/>
          <w:color w:val="auto"/>
          <w:highlight w:val="none"/>
          <w:lang w:val="en-US" w:eastAsia="zh-CN"/>
        </w:rPr>
        <w:t>截止时间、开标时间及地点</w:t>
      </w:r>
    </w:p>
    <w:p>
      <w:pPr>
        <w:spacing w:line="460" w:lineRule="exact"/>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lang w:val="en-US" w:eastAsia="zh-CN"/>
        </w:rPr>
        <w:t>提交投标文件</w:t>
      </w:r>
      <w:r>
        <w:rPr>
          <w:rFonts w:hint="eastAsia" w:ascii="宋体" w:hAnsi="宋体" w:cs="宋体"/>
          <w:color w:val="auto"/>
          <w:sz w:val="24"/>
          <w:szCs w:val="24"/>
          <w:highlight w:val="none"/>
        </w:rPr>
        <w:t>截止时间：</w:t>
      </w:r>
      <w:r>
        <w:rPr>
          <w:rFonts w:hint="eastAsia" w:ascii="宋体" w:hAnsi="宋体" w:cs="宋体"/>
          <w:color w:val="auto"/>
          <w:sz w:val="24"/>
          <w:szCs w:val="24"/>
          <w:highlight w:val="none"/>
          <w:u w:val="single"/>
          <w:lang w:val="en-US" w:eastAsia="zh-CN"/>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4</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26</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00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460" w:lineRule="exact"/>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lang w:val="en-US" w:eastAsia="zh-CN"/>
        </w:rPr>
        <w:t>开标</w:t>
      </w: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lang w:val="en-US" w:eastAsia="zh-CN"/>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4</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26</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00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460" w:lineRule="exact"/>
        <w:ind w:firstLine="480" w:firstLineChars="200"/>
        <w:jc w:val="left"/>
        <w:rPr>
          <w:rFonts w:hint="default" w:ascii="宋体" w:hAnsi="宋体" w:eastAsia="宋体" w:cs="宋体"/>
          <w:bCs/>
          <w:color w:val="auto"/>
          <w:sz w:val="24"/>
          <w:szCs w:val="24"/>
          <w:highlight w:val="none"/>
          <w:u w:val="single"/>
          <w:lang w:val="en-US" w:eastAsia="zh-CN"/>
        </w:rPr>
      </w:pPr>
      <w:r>
        <w:rPr>
          <w:rFonts w:hint="eastAsia" w:ascii="宋体" w:hAnsi="宋体" w:cs="宋体"/>
          <w:color w:val="auto"/>
          <w:sz w:val="24"/>
          <w:szCs w:val="24"/>
          <w:highlight w:val="none"/>
        </w:rPr>
        <w:t>地点：</w:t>
      </w:r>
      <w:r>
        <w:rPr>
          <w:rFonts w:hint="eastAsia" w:ascii="宋体" w:hAnsi="宋体" w:cs="宋体"/>
          <w:bCs/>
          <w:color w:val="auto"/>
          <w:sz w:val="24"/>
          <w:szCs w:val="24"/>
          <w:highlight w:val="none"/>
          <w:lang w:val="en-US" w:eastAsia="zh-CN"/>
        </w:rPr>
        <w:t>昌吉回族自治州政务服务和公共资源交易中心公共资源交易大厅负一楼第2开标大厅</w:t>
      </w:r>
    </w:p>
    <w:p>
      <w:pPr>
        <w:pStyle w:val="7"/>
        <w:rPr>
          <w:color w:val="auto"/>
          <w:highlight w:val="none"/>
        </w:rPr>
      </w:pPr>
      <w:r>
        <w:rPr>
          <w:rFonts w:hint="eastAsia"/>
          <w:color w:val="auto"/>
          <w:highlight w:val="none"/>
          <w:lang w:val="en-US" w:eastAsia="zh-CN"/>
        </w:rPr>
        <w:t>五</w:t>
      </w:r>
      <w:r>
        <w:rPr>
          <w:rFonts w:hint="eastAsia"/>
          <w:color w:val="auto"/>
          <w:highlight w:val="none"/>
        </w:rPr>
        <w:t>、公告期限</w:t>
      </w:r>
    </w:p>
    <w:p>
      <w:pPr>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pPr>
        <w:pStyle w:val="7"/>
        <w:numPr>
          <w:ilvl w:val="0"/>
          <w:numId w:val="0"/>
        </w:numPr>
        <w:rPr>
          <w:color w:val="auto"/>
          <w:highlight w:val="none"/>
        </w:rPr>
      </w:pPr>
      <w:r>
        <w:rPr>
          <w:rFonts w:hint="eastAsia"/>
          <w:color w:val="auto"/>
          <w:highlight w:val="none"/>
          <w:lang w:val="en-US" w:eastAsia="zh-CN"/>
        </w:rPr>
        <w:t>六、</w:t>
      </w:r>
      <w:r>
        <w:rPr>
          <w:rFonts w:hint="eastAsia"/>
          <w:color w:val="auto"/>
          <w:highlight w:val="none"/>
        </w:rPr>
        <w:t>其他补充事宜</w:t>
      </w:r>
    </w:p>
    <w:p>
      <w:pPr>
        <w:pStyle w:val="7"/>
        <w:numPr>
          <w:ilvl w:val="0"/>
          <w:numId w:val="0"/>
        </w:numPr>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无</w:t>
      </w:r>
    </w:p>
    <w:p>
      <w:pPr>
        <w:pStyle w:val="7"/>
        <w:rPr>
          <w:color w:val="auto"/>
          <w:highlight w:val="none"/>
        </w:rPr>
      </w:pPr>
      <w:r>
        <w:rPr>
          <w:rFonts w:hint="eastAsia"/>
          <w:color w:val="auto"/>
          <w:highlight w:val="none"/>
          <w:lang w:val="en-US" w:eastAsia="zh-CN"/>
        </w:rPr>
        <w:t>七、</w:t>
      </w:r>
      <w:r>
        <w:rPr>
          <w:rFonts w:hint="eastAsia"/>
          <w:color w:val="auto"/>
          <w:highlight w:val="none"/>
        </w:rPr>
        <w:t>凡对本次</w:t>
      </w:r>
      <w:r>
        <w:rPr>
          <w:rFonts w:hint="eastAsia"/>
          <w:color w:val="auto"/>
          <w:highlight w:val="none"/>
          <w:lang w:val="en-US" w:eastAsia="zh-CN"/>
        </w:rPr>
        <w:t>招标</w:t>
      </w:r>
      <w:r>
        <w:rPr>
          <w:rFonts w:hint="eastAsia"/>
          <w:color w:val="auto"/>
          <w:highlight w:val="none"/>
        </w:rPr>
        <w:t>提出询问，请按以下方式联系</w:t>
      </w:r>
    </w:p>
    <w:p>
      <w:pPr>
        <w:spacing w:line="50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460" w:lineRule="exact"/>
        <w:ind w:firstLine="720" w:firstLineChars="3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名    称：昌吉回族自治州消防救援支队</w:t>
      </w:r>
      <w:r>
        <w:rPr>
          <w:rFonts w:hint="eastAsia" w:ascii="宋体" w:hAnsi="宋体" w:cs="宋体"/>
          <w:color w:val="auto"/>
          <w:sz w:val="24"/>
          <w:szCs w:val="24"/>
          <w:highlight w:val="none"/>
          <w:u w:val="single"/>
        </w:rPr>
        <w:t xml:space="preserve">   </w:t>
      </w:r>
    </w:p>
    <w:p>
      <w:pPr>
        <w:spacing w:line="46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址：新疆昌吉州昌吉市世纪大道131号</w:t>
      </w:r>
      <w:r>
        <w:rPr>
          <w:rFonts w:hint="eastAsia" w:ascii="宋体" w:hAnsi="宋体" w:cs="宋体"/>
          <w:color w:val="auto"/>
          <w:sz w:val="24"/>
          <w:szCs w:val="24"/>
          <w:highlight w:val="none"/>
          <w:u w:val="single"/>
        </w:rPr>
        <w:t xml:space="preserve">        </w:t>
      </w:r>
    </w:p>
    <w:p>
      <w:pPr>
        <w:spacing w:line="460" w:lineRule="exact"/>
        <w:ind w:firstLine="720" w:firstLineChars="300"/>
        <w:jc w:val="left"/>
        <w:rPr>
          <w:rFonts w:ascii="宋体" w:hAnsi="宋体" w:cs="宋体"/>
          <w:color w:val="auto"/>
          <w:sz w:val="24"/>
          <w:szCs w:val="24"/>
          <w:highlight w:val="none"/>
          <w:u w:val="single"/>
        </w:rPr>
      </w:pPr>
      <w:r>
        <w:rPr>
          <w:rFonts w:hint="eastAsia" w:ascii="宋体" w:hAnsi="宋体" w:cs="宋体"/>
          <w:color w:val="auto"/>
          <w:sz w:val="24"/>
          <w:szCs w:val="24"/>
          <w:highlight w:val="none"/>
          <w:lang w:val="zh-CN"/>
        </w:rPr>
        <w:t>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人：米娜、郭晓宇</w:t>
      </w:r>
    </w:p>
    <w:p>
      <w:pPr>
        <w:pStyle w:val="124"/>
        <w:widowControl w:val="0"/>
        <w:spacing w:line="460" w:lineRule="exact"/>
        <w:ind w:left="0" w:firstLine="720" w:firstLineChars="300"/>
        <w:rPr>
          <w:rFonts w:ascii="宋体" w:hAnsi="宋体" w:cs="宋体"/>
          <w:color w:val="auto"/>
          <w:kern w:val="2"/>
          <w:highlight w:val="none"/>
          <w:u w:val="single"/>
          <w:lang w:eastAsia="zh-CN" w:bidi="ar-SA"/>
        </w:rPr>
      </w:pPr>
      <w:r>
        <w:rPr>
          <w:rFonts w:hint="eastAsia" w:ascii="宋体" w:hAnsi="宋体" w:cs="宋体"/>
          <w:color w:val="auto"/>
          <w:highlight w:val="none"/>
          <w:lang w:eastAsia="zh-CN"/>
        </w:rPr>
        <w:t>联</w:t>
      </w:r>
      <w:r>
        <w:rPr>
          <w:rFonts w:hint="eastAsia" w:ascii="宋体" w:hAnsi="宋体" w:cs="宋体"/>
          <w:color w:val="auto"/>
          <w:kern w:val="2"/>
          <w:highlight w:val="none"/>
          <w:lang w:eastAsia="zh-CN" w:bidi="ar-SA"/>
        </w:rPr>
        <w:t>系方式：13031398090、15769051697</w:t>
      </w:r>
    </w:p>
    <w:p>
      <w:pPr>
        <w:spacing w:line="46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460" w:lineRule="exact"/>
        <w:ind w:firstLine="720" w:firstLineChars="3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称：新疆文博工程项目管理有限公司</w:t>
      </w:r>
    </w:p>
    <w:p>
      <w:pPr>
        <w:spacing w:line="460" w:lineRule="exact"/>
        <w:ind w:left="1798" w:leftChars="342" w:hanging="1080" w:hangingChars="450"/>
        <w:jc w:val="lef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val="en-US" w:eastAsia="zh-CN"/>
        </w:rPr>
        <w:t>昌吉市建国西路和谐国际广场K座21楼2107室</w:t>
      </w:r>
    </w:p>
    <w:p>
      <w:pPr>
        <w:spacing w:line="460" w:lineRule="exact"/>
        <w:ind w:left="1238" w:leftChars="342" w:hanging="520" w:hangingChars="200"/>
        <w:jc w:val="left"/>
        <w:rPr>
          <w:rFonts w:hint="default" w:ascii="宋体" w:hAnsi="宋体" w:eastAsia="宋体" w:cs="宋体"/>
          <w:color w:val="auto"/>
          <w:spacing w:val="10"/>
          <w:sz w:val="24"/>
          <w:szCs w:val="24"/>
          <w:highlight w:val="none"/>
          <w:lang w:val="en-US" w:eastAsia="zh-CN"/>
        </w:rPr>
      </w:pPr>
      <w:r>
        <w:rPr>
          <w:rFonts w:hint="default" w:ascii="宋体" w:hAnsi="宋体" w:eastAsia="宋体" w:cs="宋体"/>
          <w:color w:val="auto"/>
          <w:spacing w:val="10"/>
          <w:sz w:val="24"/>
          <w:szCs w:val="24"/>
          <w:highlight w:val="none"/>
          <w:lang w:val="en-US" w:eastAsia="zh-CN"/>
        </w:rPr>
        <w:t>联系人：张鹭</w:t>
      </w:r>
    </w:p>
    <w:p>
      <w:pPr>
        <w:spacing w:line="460" w:lineRule="exact"/>
        <w:ind w:left="1238" w:leftChars="342" w:hanging="520" w:hangingChars="200"/>
        <w:jc w:val="left"/>
        <w:rPr>
          <w:rFonts w:hint="default" w:ascii="宋体" w:hAnsi="宋体" w:eastAsia="宋体" w:cs="宋体"/>
          <w:color w:val="auto"/>
          <w:spacing w:val="10"/>
          <w:sz w:val="24"/>
          <w:szCs w:val="24"/>
          <w:highlight w:val="none"/>
          <w:lang w:val="en-US" w:eastAsia="zh-CN"/>
        </w:rPr>
      </w:pPr>
      <w:r>
        <w:rPr>
          <w:rFonts w:hint="default" w:ascii="宋体" w:hAnsi="宋体" w:eastAsia="宋体" w:cs="宋体"/>
          <w:color w:val="auto"/>
          <w:spacing w:val="10"/>
          <w:sz w:val="24"/>
          <w:szCs w:val="24"/>
          <w:highlight w:val="none"/>
          <w:lang w:val="en-US" w:eastAsia="zh-CN"/>
        </w:rPr>
        <w:t>联系电话：18809059251</w:t>
      </w:r>
    </w:p>
    <w:p>
      <w:pPr>
        <w:spacing w:line="460" w:lineRule="exact"/>
        <w:ind w:left="1174" w:leftChars="342" w:hanging="456" w:hangingChars="200"/>
        <w:jc w:val="left"/>
        <w:rPr>
          <w:rFonts w:ascii="宋体" w:hAnsi="宋体" w:cs="宋体"/>
          <w:color w:val="auto"/>
          <w:spacing w:val="-6"/>
          <w:sz w:val="24"/>
          <w:szCs w:val="24"/>
          <w:highlight w:val="none"/>
          <w:u w:val="single"/>
        </w:rPr>
      </w:pPr>
    </w:p>
    <w:p>
      <w:pPr>
        <w:pStyle w:val="124"/>
        <w:ind w:left="432" w:right="130"/>
        <w:jc w:val="right"/>
        <w:rPr>
          <w:rFonts w:hint="default" w:ascii="宋体" w:hAnsi="宋体" w:cs="宋体"/>
          <w:color w:val="auto"/>
          <w:spacing w:val="10"/>
          <w:highlight w:val="none"/>
          <w:lang w:val="en-US" w:eastAsia="zh-CN"/>
        </w:rPr>
      </w:pPr>
      <w:r>
        <w:rPr>
          <w:rFonts w:hint="eastAsia" w:ascii="宋体" w:hAnsi="宋体" w:cs="宋体"/>
          <w:color w:val="auto"/>
          <w:spacing w:val="10"/>
          <w:highlight w:val="none"/>
          <w:lang w:val="en-US" w:eastAsia="zh-CN"/>
        </w:rPr>
        <w:t>2024</w:t>
      </w:r>
      <w:r>
        <w:rPr>
          <w:rFonts w:hint="eastAsia" w:ascii="宋体" w:hAnsi="宋体" w:cs="宋体"/>
          <w:color w:val="auto"/>
          <w:spacing w:val="10"/>
          <w:highlight w:val="none"/>
          <w:lang w:eastAsia="zh-CN"/>
        </w:rPr>
        <w:t>年</w:t>
      </w:r>
      <w:r>
        <w:rPr>
          <w:rFonts w:hint="eastAsia" w:ascii="宋体" w:hAnsi="宋体" w:cs="宋体"/>
          <w:color w:val="auto"/>
          <w:spacing w:val="10"/>
          <w:highlight w:val="none"/>
          <w:lang w:val="en-US" w:eastAsia="zh-CN"/>
        </w:rPr>
        <w:t>3</w:t>
      </w:r>
      <w:r>
        <w:rPr>
          <w:rFonts w:hint="eastAsia" w:ascii="宋体" w:hAnsi="宋体" w:cs="宋体"/>
          <w:color w:val="auto"/>
          <w:spacing w:val="10"/>
          <w:highlight w:val="none"/>
          <w:lang w:eastAsia="zh-CN"/>
        </w:rPr>
        <w:t>月</w:t>
      </w:r>
      <w:r>
        <w:rPr>
          <w:rFonts w:hint="eastAsia" w:ascii="宋体" w:hAnsi="宋体" w:cs="宋体"/>
          <w:color w:val="auto"/>
          <w:spacing w:val="10"/>
          <w:highlight w:val="none"/>
          <w:lang w:val="en-US" w:eastAsia="zh-CN"/>
        </w:rPr>
        <w:t>31</w:t>
      </w:r>
    </w:p>
    <w:p>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4"/>
    <w:p>
      <w:pPr>
        <w:pStyle w:val="5"/>
        <w:rPr>
          <w:color w:val="auto"/>
          <w:highlight w:val="none"/>
        </w:rPr>
      </w:pPr>
      <w:bookmarkStart w:id="22" w:name="_Toc20823274"/>
      <w:bookmarkStart w:id="23" w:name="_Toc9359"/>
      <w:bookmarkStart w:id="24" w:name="_Toc513029202"/>
      <w:bookmarkStart w:id="25" w:name="_Toc25988"/>
      <w:bookmarkStart w:id="26" w:name="_Toc16938518"/>
      <w:bookmarkStart w:id="27" w:name="_Toc120614213"/>
      <w:bookmarkStart w:id="28" w:name="_Toc13939"/>
      <w:r>
        <w:rPr>
          <w:rFonts w:hint="eastAsia"/>
          <w:color w:val="auto"/>
          <w:highlight w:val="none"/>
        </w:rPr>
        <w:t>第二章 投标人须知</w:t>
      </w:r>
      <w:bookmarkEnd w:id="15"/>
      <w:bookmarkEnd w:id="22"/>
      <w:bookmarkEnd w:id="23"/>
      <w:bookmarkEnd w:id="24"/>
      <w:bookmarkEnd w:id="25"/>
      <w:bookmarkEnd w:id="26"/>
      <w:bookmarkEnd w:id="27"/>
      <w:bookmarkEnd w:id="28"/>
    </w:p>
    <w:p>
      <w:pPr>
        <w:pStyle w:val="7"/>
        <w:rPr>
          <w:color w:val="auto"/>
          <w:highlight w:val="none"/>
        </w:rPr>
      </w:pPr>
      <w:bookmarkStart w:id="29" w:name="_Toc21065"/>
      <w:bookmarkStart w:id="30" w:name="_Toc19352"/>
      <w:bookmarkStart w:id="31" w:name="_Toc534725606"/>
      <w:r>
        <w:rPr>
          <w:rFonts w:hint="eastAsia"/>
          <w:color w:val="auto"/>
          <w:highlight w:val="none"/>
        </w:rPr>
        <w:t xml:space="preserve">一、总  </w:t>
      </w:r>
      <w:bookmarkStart w:id="32" w:name="_Toc9510635"/>
      <w:r>
        <w:rPr>
          <w:rFonts w:hint="eastAsia"/>
          <w:color w:val="auto"/>
          <w:highlight w:val="none"/>
        </w:rPr>
        <w:t>则</w:t>
      </w:r>
      <w:bookmarkEnd w:id="29"/>
      <w:bookmarkEnd w:id="30"/>
    </w:p>
    <w:p>
      <w:pPr>
        <w:pStyle w:val="8"/>
        <w:rPr>
          <w:color w:val="auto"/>
          <w:highlight w:val="none"/>
        </w:rPr>
      </w:pPr>
      <w:bookmarkStart w:id="33" w:name="_Toc26214"/>
      <w:r>
        <w:rPr>
          <w:rFonts w:hint="eastAsia"/>
          <w:color w:val="auto"/>
          <w:highlight w:val="none"/>
        </w:rPr>
        <w:t>1、适用</w:t>
      </w:r>
      <w:bookmarkEnd w:id="32"/>
      <w:r>
        <w:rPr>
          <w:rFonts w:hint="eastAsia"/>
          <w:color w:val="auto"/>
          <w:highlight w:val="none"/>
        </w:rPr>
        <w:t>范围</w:t>
      </w:r>
      <w:bookmarkEnd w:id="3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pPr>
        <w:pStyle w:val="8"/>
        <w:rPr>
          <w:color w:val="auto"/>
          <w:highlight w:val="none"/>
        </w:rPr>
      </w:pPr>
      <w:bookmarkStart w:id="34" w:name="_Toc24800"/>
      <w:r>
        <w:rPr>
          <w:rFonts w:hint="eastAsia"/>
          <w:color w:val="auto"/>
          <w:highlight w:val="none"/>
        </w:rPr>
        <w:t>2、定义</w:t>
      </w:r>
      <w:bookmarkEnd w:id="34"/>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pPr>
        <w:pStyle w:val="8"/>
        <w:rPr>
          <w:color w:val="auto"/>
          <w:highlight w:val="none"/>
        </w:rPr>
      </w:pPr>
      <w:bookmarkStart w:id="35" w:name="_Toc17392"/>
      <w:r>
        <w:rPr>
          <w:rFonts w:hint="eastAsia"/>
          <w:color w:val="auto"/>
          <w:highlight w:val="none"/>
        </w:rPr>
        <w:t>3、招标方式</w:t>
      </w:r>
      <w:bookmarkEnd w:id="35"/>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pPr>
        <w:pStyle w:val="8"/>
        <w:rPr>
          <w:color w:val="auto"/>
          <w:highlight w:val="none"/>
        </w:rPr>
      </w:pPr>
      <w:bookmarkStart w:id="36" w:name="_Toc32376"/>
      <w:r>
        <w:rPr>
          <w:rFonts w:hint="eastAsia"/>
          <w:color w:val="auto"/>
          <w:highlight w:val="none"/>
        </w:rPr>
        <w:t>4、投标委托</w:t>
      </w:r>
      <w:bookmarkEnd w:id="36"/>
    </w:p>
    <w:p>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pPr>
        <w:pStyle w:val="8"/>
        <w:rPr>
          <w:color w:val="auto"/>
          <w:highlight w:val="none"/>
        </w:rPr>
      </w:pPr>
      <w:bookmarkStart w:id="37" w:name="_Toc21031"/>
      <w:r>
        <w:rPr>
          <w:rFonts w:hint="eastAsia"/>
          <w:color w:val="auto"/>
          <w:highlight w:val="none"/>
        </w:rPr>
        <w:t>5、投标费用</w:t>
      </w:r>
      <w:bookmarkEnd w:id="37"/>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pPr>
        <w:pStyle w:val="8"/>
        <w:rPr>
          <w:color w:val="auto"/>
          <w:highlight w:val="none"/>
        </w:rPr>
      </w:pPr>
      <w:bookmarkStart w:id="38" w:name="_Toc505"/>
      <w:r>
        <w:rPr>
          <w:rFonts w:hint="eastAsia"/>
          <w:color w:val="auto"/>
          <w:highlight w:val="none"/>
        </w:rPr>
        <w:t>6、分包转包</w:t>
      </w:r>
      <w:bookmarkEnd w:id="38"/>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pPr>
        <w:pStyle w:val="8"/>
        <w:rPr>
          <w:color w:val="auto"/>
          <w:highlight w:val="none"/>
        </w:rPr>
      </w:pPr>
      <w:bookmarkStart w:id="39" w:name="_Toc5076"/>
      <w:r>
        <w:rPr>
          <w:rFonts w:hint="eastAsia"/>
          <w:color w:val="auto"/>
          <w:highlight w:val="none"/>
        </w:rPr>
        <w:t>7、提供相同品牌产品处理</w:t>
      </w:r>
      <w:bookmarkEnd w:id="39"/>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8"/>
        <w:rPr>
          <w:color w:val="auto"/>
          <w:highlight w:val="none"/>
        </w:rPr>
      </w:pPr>
      <w:bookmarkStart w:id="40" w:name="_Toc21631"/>
      <w:r>
        <w:rPr>
          <w:rFonts w:hint="eastAsia"/>
          <w:color w:val="auto"/>
          <w:highlight w:val="none"/>
        </w:rPr>
        <w:t>8、特别说明：</w:t>
      </w:r>
      <w:bookmarkEnd w:id="40"/>
    </w:p>
    <w:p>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8"/>
        <w:rPr>
          <w:color w:val="auto"/>
          <w:highlight w:val="none"/>
        </w:rPr>
      </w:pPr>
      <w:bookmarkStart w:id="41" w:name="_Toc24888"/>
      <w:r>
        <w:rPr>
          <w:rFonts w:hint="eastAsia"/>
          <w:color w:val="auto"/>
          <w:highlight w:val="none"/>
        </w:rPr>
        <w:t>9、质疑</w:t>
      </w:r>
      <w:bookmarkEnd w:id="41"/>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lang w:val="en-US" w:eastAsia="zh-CN"/>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pStyle w:val="2"/>
        <w:rPr>
          <w:rFonts w:hint="default" w:eastAsiaTheme="majorEastAsia"/>
          <w:lang w:val="en-US" w:eastAsia="zh-CN"/>
        </w:rPr>
      </w:pPr>
      <w:r>
        <w:rPr>
          <w:rFonts w:hint="eastAsia" w:asciiTheme="majorEastAsia" w:hAnsiTheme="majorEastAsia" w:eastAsiaTheme="majorEastAsia" w:cstheme="majorEastAsia"/>
          <w:bCs/>
          <w:color w:val="auto"/>
          <w:sz w:val="24"/>
          <w:szCs w:val="24"/>
          <w:highlight w:val="none"/>
          <w:lang w:val="en-US" w:eastAsia="zh-CN"/>
        </w:rPr>
        <w:t>9.4 接收方式：电子邮件接收（761522843@qq.com）；接收部门：招标部 ；联系电话：18809059251；通讯地址：昌吉市建国西路和谐国际广场K座2107室。</w:t>
      </w:r>
    </w:p>
    <w:p>
      <w:pPr>
        <w:pStyle w:val="7"/>
        <w:rPr>
          <w:color w:val="auto"/>
          <w:highlight w:val="none"/>
        </w:rPr>
      </w:pPr>
      <w:bookmarkStart w:id="42" w:name="_Toc12925"/>
      <w:bookmarkStart w:id="43" w:name="_Toc31383"/>
      <w:r>
        <w:rPr>
          <w:rFonts w:hint="eastAsia"/>
          <w:color w:val="auto"/>
          <w:highlight w:val="none"/>
        </w:rPr>
        <w:t>二、</w:t>
      </w:r>
      <w:bookmarkEnd w:id="42"/>
      <w:bookmarkEnd w:id="43"/>
      <w:bookmarkStart w:id="44" w:name="_Toc9510636"/>
      <w:r>
        <w:rPr>
          <w:rFonts w:hint="eastAsia"/>
          <w:color w:val="auto"/>
          <w:highlight w:val="none"/>
        </w:rPr>
        <w:t>招标文件</w:t>
      </w:r>
    </w:p>
    <w:p>
      <w:pPr>
        <w:pStyle w:val="8"/>
        <w:rPr>
          <w:color w:val="auto"/>
          <w:highlight w:val="none"/>
        </w:rPr>
      </w:pPr>
      <w:bookmarkStart w:id="45" w:name="_Toc11465"/>
      <w:r>
        <w:rPr>
          <w:rFonts w:hint="eastAsia"/>
          <w:color w:val="auto"/>
          <w:highlight w:val="none"/>
        </w:rPr>
        <w:t>10、</w:t>
      </w:r>
      <w:bookmarkEnd w:id="44"/>
      <w:r>
        <w:rPr>
          <w:rFonts w:hint="eastAsia"/>
          <w:color w:val="auto"/>
          <w:highlight w:val="none"/>
        </w:rPr>
        <w:t>招标文件的构成</w:t>
      </w:r>
      <w:bookmarkEnd w:id="45"/>
      <w:r>
        <w:rPr>
          <w:rFonts w:hint="eastAsia" w:asciiTheme="majorEastAsia" w:hAnsiTheme="majorEastAsia" w:eastAsiaTheme="majorEastAsia" w:cstheme="majorEastAsia"/>
          <w:b w:val="0"/>
          <w:bCs w:val="0"/>
          <w:color w:val="auto"/>
          <w:sz w:val="24"/>
          <w:szCs w:val="24"/>
          <w:highlight w:val="none"/>
        </w:rPr>
        <w:t>（详见本招标文件目录明细）</w:t>
      </w:r>
    </w:p>
    <w:p>
      <w:pPr>
        <w:pStyle w:val="8"/>
        <w:rPr>
          <w:color w:val="auto"/>
          <w:highlight w:val="none"/>
        </w:rPr>
      </w:pPr>
      <w:bookmarkStart w:id="46" w:name="_Toc9329"/>
      <w:r>
        <w:rPr>
          <w:rFonts w:hint="eastAsia"/>
          <w:color w:val="auto"/>
          <w:highlight w:val="none"/>
        </w:rPr>
        <w:t>11、投标人的风险</w:t>
      </w:r>
      <w:bookmarkEnd w:id="4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pPr>
        <w:pStyle w:val="8"/>
        <w:rPr>
          <w:color w:val="auto"/>
          <w:highlight w:val="none"/>
        </w:rPr>
      </w:pPr>
      <w:bookmarkStart w:id="47" w:name="_Toc14128"/>
      <w:r>
        <w:rPr>
          <w:rFonts w:hint="eastAsia"/>
          <w:color w:val="auto"/>
          <w:highlight w:val="none"/>
        </w:rPr>
        <w:t>1</w:t>
      </w:r>
      <w:bookmarkStart w:id="48" w:name="_Toc9510637"/>
      <w:r>
        <w:rPr>
          <w:rFonts w:hint="eastAsia"/>
          <w:color w:val="auto"/>
          <w:highlight w:val="none"/>
        </w:rPr>
        <w:t>2、招标文件的澄清与修改</w:t>
      </w:r>
      <w:bookmarkEnd w:id="47"/>
    </w:p>
    <w:p>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pPr>
        <w:pStyle w:val="7"/>
        <w:rPr>
          <w:color w:val="auto"/>
          <w:highlight w:val="none"/>
        </w:rPr>
      </w:pPr>
      <w:bookmarkStart w:id="49" w:name="_Toc3009"/>
      <w:bookmarkStart w:id="50" w:name="_Toc25731"/>
      <w:r>
        <w:rPr>
          <w:rFonts w:hint="eastAsia"/>
          <w:color w:val="auto"/>
          <w:highlight w:val="none"/>
        </w:rPr>
        <w:t>三、投标文件的编制</w:t>
      </w:r>
      <w:bookmarkEnd w:id="49"/>
      <w:bookmarkEnd w:id="50"/>
    </w:p>
    <w:bookmarkEnd w:id="48"/>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8"/>
        <w:rPr>
          <w:color w:val="auto"/>
          <w:highlight w:val="none"/>
        </w:rPr>
      </w:pPr>
      <w:bookmarkStart w:id="51" w:name="_Toc29638"/>
      <w:r>
        <w:rPr>
          <w:rFonts w:hint="eastAsia"/>
          <w:color w:val="auto"/>
          <w:highlight w:val="none"/>
        </w:rPr>
        <w:t>13、投标文件的组成</w:t>
      </w:r>
      <w:bookmarkEnd w:id="51"/>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投标文件由报价文件、商务技术文件组成，其中报价文件单独装订成一册（正本1份，副本4份）；</w:t>
      </w:r>
      <w:r>
        <w:rPr>
          <w:rFonts w:hint="eastAsia" w:asciiTheme="majorEastAsia" w:hAnsiTheme="majorEastAsia" w:eastAsiaTheme="majorEastAsia" w:cstheme="majorEastAsia"/>
          <w:b/>
          <w:color w:val="auto"/>
          <w:sz w:val="24"/>
          <w:szCs w:val="24"/>
          <w:highlight w:val="none"/>
          <w:lang w:val="en-US" w:eastAsia="zh-CN"/>
        </w:rPr>
        <w:t>商务技术</w:t>
      </w:r>
      <w:r>
        <w:rPr>
          <w:rFonts w:hint="eastAsia" w:asciiTheme="majorEastAsia" w:hAnsiTheme="majorEastAsia" w:eastAsiaTheme="majorEastAsia" w:cstheme="majorEastAsia"/>
          <w:b/>
          <w:color w:val="auto"/>
          <w:sz w:val="24"/>
          <w:szCs w:val="24"/>
          <w:highlight w:val="none"/>
        </w:rPr>
        <w:t>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13.2商务</w:t>
      </w:r>
      <w:r>
        <w:rPr>
          <w:rFonts w:hint="eastAsia" w:asciiTheme="majorEastAsia" w:hAnsiTheme="majorEastAsia" w:eastAsiaTheme="majorEastAsia" w:cstheme="majorEastAsia"/>
          <w:b/>
          <w:color w:val="auto"/>
          <w:sz w:val="24"/>
          <w:szCs w:val="24"/>
          <w:highlight w:val="none"/>
          <w:lang w:eastAsia="zh-CN"/>
        </w:rPr>
        <w:t>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（3）有效的营业执照副本复印件；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2021、2022</w:t>
      </w:r>
      <w:r>
        <w:rPr>
          <w:rFonts w:hint="eastAsia" w:asciiTheme="majorEastAsia" w:hAnsiTheme="majorEastAsia" w:eastAsiaTheme="majorEastAsia" w:cstheme="majorEastAsia"/>
          <w:color w:val="auto"/>
          <w:sz w:val="24"/>
          <w:szCs w:val="24"/>
          <w:highlight w:val="none"/>
        </w:rPr>
        <w:t>年度经审计的财务</w:t>
      </w:r>
      <w:r>
        <w:rPr>
          <w:rFonts w:hint="eastAsia" w:asciiTheme="majorEastAsia" w:hAnsiTheme="majorEastAsia" w:eastAsiaTheme="majorEastAsia" w:cstheme="majorEastAsia"/>
          <w:color w:val="auto"/>
          <w:sz w:val="24"/>
          <w:szCs w:val="24"/>
          <w:highlight w:val="none"/>
          <w:lang w:eastAsia="zh-CN"/>
        </w:rPr>
        <w:t>报告（注册不满</w:t>
      </w:r>
      <w:r>
        <w:rPr>
          <w:rFonts w:hint="eastAsia" w:asciiTheme="majorEastAsia" w:hAnsiTheme="majorEastAsia" w:eastAsiaTheme="majorEastAsia" w:cstheme="majorEastAsia"/>
          <w:color w:val="auto"/>
          <w:sz w:val="24"/>
          <w:szCs w:val="24"/>
          <w:highlight w:val="none"/>
          <w:lang w:val="en-US" w:eastAsia="zh-CN"/>
        </w:rPr>
        <w:t>1年的企业无需提供</w:t>
      </w:r>
      <w:r>
        <w:rPr>
          <w:rFonts w:hint="eastAsia" w:asciiTheme="majorEastAsia" w:hAnsiTheme="majorEastAsia" w:eastAsiaTheme="majorEastAsia" w:cstheme="majorEastAsia"/>
          <w:color w:val="auto"/>
          <w:sz w:val="24"/>
          <w:szCs w:val="24"/>
          <w:highlight w:val="none"/>
          <w:lang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须具有履行合同所必需的设备和专业技术能力，须附相关证明材料或声明；</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）前三年内在经营活动中没有重大违法记录的书面声明（格式见附件）；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未被列入失信被执行人、重大税收违法案件当事人名单、政府采购严重违法失信行为记录名单</w:t>
      </w:r>
      <w:r>
        <w:rPr>
          <w:rFonts w:hint="eastAsia" w:asciiTheme="majorEastAsia" w:hAnsiTheme="majorEastAsia" w:eastAsiaTheme="majorEastAsia" w:cstheme="majorEastAsia"/>
          <w:color w:val="auto"/>
          <w:sz w:val="24"/>
          <w:szCs w:val="24"/>
          <w:highlight w:val="none"/>
          <w:lang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已取得的各种有效认证证书、政府部门（企业）或第三方权威鉴定机构出具的信用等级证书或证明复印件；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lang w:val="en-US" w:eastAsia="zh-CN"/>
        </w:rPr>
        <w:t>2021</w:t>
      </w:r>
      <w:r>
        <w:rPr>
          <w:rFonts w:hint="eastAsia" w:asciiTheme="majorEastAsia" w:hAnsiTheme="majorEastAsia" w:eastAsiaTheme="majorEastAsia" w:cstheme="majorEastAsia"/>
          <w:color w:val="auto"/>
          <w:sz w:val="24"/>
          <w:szCs w:val="24"/>
          <w:highlight w:val="none"/>
          <w:lang w:eastAsia="zh-CN"/>
        </w:rPr>
        <w:t>年</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lang w:eastAsia="zh-CN"/>
        </w:rPr>
        <w:t>月</w:t>
      </w:r>
      <w:r>
        <w:rPr>
          <w:rFonts w:hint="eastAsia" w:asciiTheme="majorEastAsia" w:hAnsiTheme="majorEastAsia" w:eastAsiaTheme="majorEastAsia" w:cstheme="majorEastAsia"/>
          <w:color w:val="auto"/>
          <w:sz w:val="24"/>
          <w:szCs w:val="24"/>
          <w:highlight w:val="none"/>
          <w:lang w:val="en-US" w:eastAsia="zh-CN"/>
        </w:rPr>
        <w:t>1日</w:t>
      </w:r>
      <w:r>
        <w:rPr>
          <w:rFonts w:hint="eastAsia" w:asciiTheme="majorEastAsia" w:hAnsiTheme="majorEastAsia" w:eastAsiaTheme="majorEastAsia" w:cstheme="majorEastAsia"/>
          <w:color w:val="auto"/>
          <w:sz w:val="24"/>
          <w:szCs w:val="24"/>
          <w:highlight w:val="none"/>
          <w:lang w:eastAsia="zh-CN"/>
        </w:rPr>
        <w:t>至今做过与本项目类似的业绩</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政府采购政策扶持证明材料；</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其他证明文件或供应商认为应提交的商务文件（如有）</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w:t>
      </w:r>
      <w:r>
        <w:rPr>
          <w:rFonts w:hint="eastAsia" w:asciiTheme="majorEastAsia" w:hAnsiTheme="majorEastAsia" w:eastAsiaTheme="majorEastAsia" w:cstheme="majorEastAsia"/>
          <w:b/>
          <w:color w:val="auto"/>
          <w:sz w:val="24"/>
          <w:szCs w:val="24"/>
          <w:highlight w:val="none"/>
          <w:lang w:val="en-US" w:eastAsia="zh-CN"/>
        </w:rPr>
        <w:t>3</w:t>
      </w:r>
      <w:r>
        <w:rPr>
          <w:rFonts w:hint="eastAsia" w:asciiTheme="majorEastAsia" w:hAnsiTheme="majorEastAsia" w:eastAsiaTheme="majorEastAsia" w:cstheme="majorEastAsia"/>
          <w:b/>
          <w:color w:val="auto"/>
          <w:sz w:val="24"/>
          <w:szCs w:val="24"/>
          <w:highlight w:val="none"/>
          <w:lang w:eastAsia="zh-CN"/>
        </w:rPr>
        <w:t>技术部分</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（14）技术响应偏离表（格式见附件）；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（15）产品详细技术规格书（包括产品详细配置、技术性能指标等）（格式自拟）；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（16）与产品相关的由国家认可的检测机构出具的检测报告（如有）；</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（17）针对项目的详细组织实施方案：</w:t>
      </w:r>
      <w:r>
        <w:rPr>
          <w:rFonts w:hint="eastAsia" w:asciiTheme="majorEastAsia" w:hAnsiTheme="majorEastAsia" w:eastAsiaTheme="majorEastAsia" w:cstheme="majorEastAsia"/>
          <w:sz w:val="24"/>
          <w:szCs w:val="24"/>
          <w:highlight w:val="none"/>
        </w:rPr>
        <w:t>包括（但不限于）项目人员安排、项目供货方案、质量管控方案、测试（调试）方案等内容（格式自拟）</w:t>
      </w:r>
      <w:r>
        <w:rPr>
          <w:rFonts w:hint="eastAsia" w:asciiTheme="majorEastAsia" w:hAnsiTheme="majorEastAsia" w:eastAsiaTheme="majorEastAsia" w:cstheme="majorEastAsia"/>
          <w:color w:val="auto"/>
          <w:sz w:val="24"/>
          <w:szCs w:val="24"/>
          <w:highlight w:val="none"/>
          <w:lang w:val="en-US"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（18）针对本项目的详细技术培训方案：包括（但不限于）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培训团队人员配置等</w:t>
      </w:r>
      <w:r>
        <w:rPr>
          <w:rFonts w:hint="eastAsia" w:asciiTheme="majorEastAsia" w:hAnsiTheme="majorEastAsia" w:eastAsiaTheme="majorEastAsia" w:cstheme="majorEastAsia"/>
          <w:color w:val="auto"/>
          <w:sz w:val="24"/>
          <w:szCs w:val="24"/>
          <w:highlight w:val="none"/>
          <w:lang w:val="en-US" w:eastAsia="zh-CN"/>
        </w:rPr>
        <w:t>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（19）针对本项目的售后服务方案：包括（但不限于）售后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质保外服务措施等</w:t>
      </w:r>
      <w:r>
        <w:rPr>
          <w:rFonts w:hint="eastAsia" w:asciiTheme="majorEastAsia" w:hAnsiTheme="majorEastAsia" w:eastAsiaTheme="majorEastAsia" w:cstheme="majorEastAsia"/>
          <w:color w:val="auto"/>
          <w:sz w:val="24"/>
          <w:szCs w:val="24"/>
          <w:highlight w:val="none"/>
          <w:lang w:val="en-US" w:eastAsia="zh-CN"/>
        </w:rPr>
        <w:t>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（20）其他优惠条件（如有）：投标人承诺给予采购人的各种优惠条件，包括备品备件、专用耗材等；</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（21）投标人需要提供的其他文件或资料（如有）。</w:t>
      </w:r>
    </w:p>
    <w:p>
      <w:pPr>
        <w:adjustRightInd w:val="0"/>
        <w:snapToGrid w:val="0"/>
        <w:spacing w:line="500" w:lineRule="exact"/>
        <w:ind w:left="479" w:leftChars="228" w:firstLine="0" w:firstLineChars="0"/>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w:t>
      </w:r>
      <w:r>
        <w:rPr>
          <w:rFonts w:hint="eastAsia" w:asciiTheme="majorEastAsia" w:hAnsiTheme="majorEastAsia" w:eastAsiaTheme="majorEastAsia" w:cstheme="majorEastAsia"/>
          <w:b/>
          <w:bCs/>
          <w:color w:val="auto"/>
          <w:sz w:val="24"/>
          <w:szCs w:val="24"/>
          <w:highlight w:val="none"/>
          <w:lang w:val="en-US" w:eastAsia="zh-CN"/>
        </w:rPr>
        <w:t>.</w:t>
      </w:r>
      <w:r>
        <w:rPr>
          <w:rFonts w:hint="eastAsia" w:asciiTheme="majorEastAsia" w:hAnsiTheme="majorEastAsia" w:eastAsiaTheme="majorEastAsia" w:cstheme="majorEastAsia"/>
          <w:b/>
          <w:bCs/>
          <w:color w:val="auto"/>
          <w:sz w:val="24"/>
          <w:szCs w:val="24"/>
          <w:highlight w:val="none"/>
        </w:rPr>
        <w:t>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b.</w:t>
      </w:r>
      <w:r>
        <w:rPr>
          <w:rFonts w:hint="eastAsia" w:asciiTheme="majorEastAsia" w:hAnsiTheme="majorEastAsia" w:eastAsiaTheme="majorEastAsia" w:cstheme="majorEastAsia"/>
          <w:b/>
          <w:bCs/>
          <w:color w:val="auto"/>
          <w:sz w:val="24"/>
          <w:szCs w:val="24"/>
          <w:highlight w:val="none"/>
        </w:rPr>
        <w:t>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c.</w:t>
      </w:r>
      <w:r>
        <w:rPr>
          <w:rFonts w:hint="eastAsia" w:asciiTheme="majorEastAsia" w:hAnsiTheme="majorEastAsia" w:eastAsiaTheme="majorEastAsia" w:cstheme="majorEastAsia"/>
          <w:b/>
          <w:bCs/>
          <w:color w:val="auto"/>
          <w:sz w:val="24"/>
          <w:szCs w:val="24"/>
          <w:highlight w:val="none"/>
        </w:rPr>
        <w:t>《报价文件》单独装订成册，投标供应商须按要求单独递交《报价文件》；投标文件中除《报价文件》外，其他部分不得有任何涉及本次投标报价的信息。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hint="eastAsia" w:eastAsiaTheme="majorEastAsia"/>
          <w:color w:val="auto"/>
          <w:highlight w:val="none"/>
          <w:lang w:eastAsia="zh-CN"/>
        </w:rPr>
      </w:pPr>
      <w:r>
        <w:rPr>
          <w:rFonts w:hint="eastAsia" w:asciiTheme="majorEastAsia" w:hAnsiTheme="majorEastAsia" w:eastAsiaTheme="majorEastAsia" w:cstheme="majorEastAsia"/>
          <w:b/>
          <w:bCs/>
          <w:color w:val="auto"/>
          <w:sz w:val="24"/>
          <w:szCs w:val="24"/>
          <w:highlight w:val="none"/>
          <w:lang w:val="en-US" w:eastAsia="zh-CN"/>
        </w:rPr>
        <w:t>d.</w:t>
      </w:r>
      <w:r>
        <w:rPr>
          <w:rFonts w:hint="eastAsia" w:asciiTheme="majorEastAsia" w:hAnsiTheme="majorEastAsia" w:eastAsiaTheme="majorEastAsia" w:cstheme="majorEastAsia"/>
          <w:b/>
          <w:bCs/>
          <w:color w:val="auto"/>
          <w:sz w:val="24"/>
          <w:szCs w:val="24"/>
          <w:highlight w:val="none"/>
        </w:rPr>
        <w:t>以上材料须加盖单位公章，投标人需将投标文件按上述顺序装订成一整册，请投标人编制投标文件的目录及页码。</w:t>
      </w:r>
    </w:p>
    <w:p>
      <w:pPr>
        <w:pStyle w:val="8"/>
        <w:rPr>
          <w:color w:val="auto"/>
          <w:highlight w:val="none"/>
        </w:rPr>
      </w:pPr>
      <w:bookmarkStart w:id="52" w:name="_Toc26745"/>
      <w:r>
        <w:rPr>
          <w:rFonts w:hint="eastAsia"/>
          <w:color w:val="auto"/>
          <w:highlight w:val="none"/>
        </w:rPr>
        <w:t>14、投标文件的语言及计量</w:t>
      </w:r>
      <w:bookmarkEnd w:id="52"/>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8"/>
        <w:rPr>
          <w:color w:val="auto"/>
          <w:highlight w:val="none"/>
        </w:rPr>
      </w:pPr>
      <w:bookmarkStart w:id="53" w:name="_Toc10847"/>
      <w:r>
        <w:rPr>
          <w:rFonts w:hint="eastAsia"/>
          <w:color w:val="auto"/>
          <w:highlight w:val="none"/>
        </w:rPr>
        <w:t>15、投标报价</w:t>
      </w:r>
      <w:bookmarkEnd w:id="5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color w:val="auto"/>
          <w:sz w:val="24"/>
          <w:szCs w:val="24"/>
          <w:highlight w:val="none"/>
        </w:rPr>
        <w:t>同型号产品参与不同标包投标的，则其报价必须相同，否则视为有选择性报价，按无效标处理</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pPr>
        <w:pStyle w:val="8"/>
        <w:rPr>
          <w:color w:val="auto"/>
          <w:highlight w:val="none"/>
        </w:rPr>
      </w:pPr>
      <w:bookmarkStart w:id="54" w:name="_Toc11872"/>
      <w:r>
        <w:rPr>
          <w:rFonts w:hint="eastAsia"/>
          <w:color w:val="auto"/>
          <w:highlight w:val="none"/>
        </w:rPr>
        <w:t>16、投标文件的有效期</w:t>
      </w:r>
      <w:bookmarkEnd w:id="54"/>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pPr>
        <w:pStyle w:val="8"/>
        <w:rPr>
          <w:color w:val="auto"/>
          <w:highlight w:val="none"/>
        </w:rPr>
      </w:pPr>
      <w:bookmarkStart w:id="55" w:name="_Toc2098"/>
      <w:r>
        <w:rPr>
          <w:rFonts w:hint="eastAsia"/>
          <w:color w:val="auto"/>
          <w:highlight w:val="none"/>
        </w:rPr>
        <w:t>17、投标保证金</w:t>
      </w:r>
      <w:bookmarkEnd w:id="5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（6）其他严重扰乱招投标程序的。</w:t>
      </w:r>
    </w:p>
    <w:p>
      <w:pPr>
        <w:pStyle w:val="8"/>
        <w:rPr>
          <w:rFonts w:asciiTheme="majorEastAsia" w:hAnsiTheme="majorEastAsia" w:eastAsiaTheme="majorEastAsia" w:cstheme="majorEastAsia"/>
          <w:color w:val="auto"/>
          <w:sz w:val="24"/>
          <w:szCs w:val="24"/>
          <w:highlight w:val="none"/>
        </w:rPr>
      </w:pPr>
      <w:bookmarkStart w:id="56" w:name="_Toc16494"/>
      <w:r>
        <w:rPr>
          <w:rFonts w:hint="eastAsia" w:asciiTheme="majorEastAsia" w:hAnsiTheme="majorEastAsia" w:eastAsiaTheme="majorEastAsia" w:cstheme="majorEastAsia"/>
          <w:color w:val="auto"/>
          <w:sz w:val="24"/>
          <w:szCs w:val="24"/>
          <w:highlight w:val="none"/>
        </w:rPr>
        <w:t>18、投标文件</w:t>
      </w:r>
      <w:r>
        <w:rPr>
          <w:rStyle w:val="84"/>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5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57" w:name="_Toc86216991"/>
      <w:bookmarkStart w:id="58" w:name="_Toc233618975"/>
      <w:r>
        <w:rPr>
          <w:rFonts w:hint="eastAsia" w:asciiTheme="majorEastAsia" w:hAnsiTheme="majorEastAsia" w:eastAsiaTheme="majorEastAsia" w:cstheme="majorEastAsia"/>
          <w:b/>
          <w:color w:val="auto"/>
          <w:sz w:val="24"/>
          <w:szCs w:val="24"/>
          <w:highlight w:val="none"/>
        </w:rPr>
        <w:t>U盘和1份电子版光盘中须包含投标文件的全部内容，包括报价文件</w:t>
      </w:r>
      <w:bookmarkStart w:id="59" w:name="_Hlt68073093"/>
      <w:bookmarkEnd w:id="59"/>
      <w:bookmarkStart w:id="60" w:name="_Hlt68403820"/>
      <w:bookmarkEnd w:id="60"/>
      <w:bookmarkStart w:id="61" w:name="_Hlt68072998"/>
      <w:bookmarkEnd w:id="61"/>
      <w:r>
        <w:rPr>
          <w:rFonts w:hint="eastAsia" w:asciiTheme="majorEastAsia" w:hAnsiTheme="majorEastAsia" w:eastAsiaTheme="majorEastAsia" w:cstheme="majorEastAsia"/>
          <w:b/>
          <w:color w:val="auto"/>
          <w:sz w:val="24"/>
          <w:szCs w:val="24"/>
          <w:highlight w:val="none"/>
          <w:lang w:eastAsia="zh-CN"/>
        </w:rPr>
        <w:t>和</w:t>
      </w:r>
      <w:r>
        <w:rPr>
          <w:rFonts w:hint="eastAsia" w:asciiTheme="majorEastAsia" w:hAnsiTheme="majorEastAsia" w:eastAsiaTheme="majorEastAsia" w:cstheme="majorEastAsia"/>
          <w:b/>
          <w:color w:val="auto"/>
          <w:sz w:val="24"/>
          <w:szCs w:val="24"/>
          <w:highlight w:val="none"/>
        </w:rPr>
        <w:t>商务技术文件，格式为WORD版和签章后的投标文件正本扫描件PDF版两种。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光盘上须注明投标人名称及所投标包及内容。光盘上的内容应与投标人纸制投标文件一致。</w:t>
      </w:r>
    </w:p>
    <w:p>
      <w:pPr>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18.7</w:t>
      </w:r>
      <w:r>
        <w:rPr>
          <w:rFonts w:hint="eastAsia" w:asciiTheme="majorEastAsia" w:hAnsiTheme="majorEastAsia" w:eastAsiaTheme="majorEastAsia" w:cstheme="majorEastAsia"/>
          <w:b/>
          <w:color w:val="auto"/>
          <w:sz w:val="24"/>
          <w:szCs w:val="24"/>
          <w:highlight w:val="none"/>
        </w:rPr>
        <w:t>投</w:t>
      </w:r>
      <w:bookmarkEnd w:id="57"/>
      <w:bookmarkEnd w:id="58"/>
      <w:r>
        <w:rPr>
          <w:rFonts w:hint="eastAsia" w:asciiTheme="majorEastAsia" w:hAnsiTheme="majorEastAsia" w:eastAsiaTheme="majorEastAsia" w:cstheme="majorEastAsia"/>
          <w:b/>
          <w:color w:val="auto"/>
          <w:sz w:val="24"/>
          <w:szCs w:val="24"/>
          <w:highlight w:val="none"/>
        </w:rPr>
        <w:t>标人如投多个标包的，应当按照标包编号单独提供每一套投标文件</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
          <w:color w:val="auto"/>
          <w:sz w:val="24"/>
          <w:szCs w:val="24"/>
          <w:highlight w:val="none"/>
        </w:rPr>
        <w:t>商务技术文件装订</w:t>
      </w:r>
      <w:r>
        <w:rPr>
          <w:rFonts w:hint="eastAsia" w:asciiTheme="majorEastAsia" w:hAnsiTheme="majorEastAsia" w:eastAsiaTheme="majorEastAsia" w:cstheme="majorEastAsia"/>
          <w:b/>
          <w:color w:val="auto"/>
          <w:sz w:val="24"/>
          <w:szCs w:val="24"/>
          <w:highlight w:val="none"/>
          <w:lang w:eastAsia="zh-CN"/>
        </w:rPr>
        <w:t>成一册</w:t>
      </w:r>
      <w:r>
        <w:rPr>
          <w:rFonts w:hint="eastAsia" w:asciiTheme="majorEastAsia" w:hAnsiTheme="majorEastAsia" w:eastAsiaTheme="majorEastAsia" w:cstheme="majorEastAsia"/>
          <w:b/>
          <w:color w:val="auto"/>
          <w:sz w:val="24"/>
          <w:szCs w:val="24"/>
          <w:highlight w:val="none"/>
        </w:rPr>
        <w:t>，报价文件单独装订成一册，在投标文件封面上列明标包编号，商务技术文件的书脊处须写明投标单位公司全称。否则按照无效</w:t>
      </w:r>
      <w:r>
        <w:rPr>
          <w:rFonts w:hint="eastAsia" w:asciiTheme="majorEastAsia" w:hAnsiTheme="majorEastAsia" w:eastAsiaTheme="majorEastAsia" w:cstheme="majorEastAsia"/>
          <w:b/>
          <w:color w:val="auto"/>
          <w:sz w:val="24"/>
          <w:szCs w:val="24"/>
          <w:highlight w:val="none"/>
          <w:lang w:eastAsia="zh-CN"/>
        </w:rPr>
        <w:t>响应</w:t>
      </w:r>
      <w:r>
        <w:rPr>
          <w:rFonts w:hint="eastAsia" w:asciiTheme="majorEastAsia" w:hAnsiTheme="majorEastAsia" w:eastAsiaTheme="majorEastAsia" w:cstheme="majorEastAsia"/>
          <w:b/>
          <w:color w:val="auto"/>
          <w:sz w:val="24"/>
          <w:szCs w:val="24"/>
          <w:highlight w:val="none"/>
        </w:rPr>
        <w:t>以处理。</w:t>
      </w:r>
    </w:p>
    <w:p>
      <w:pPr>
        <w:pStyle w:val="8"/>
        <w:rPr>
          <w:color w:val="auto"/>
          <w:highlight w:val="none"/>
        </w:rPr>
      </w:pPr>
      <w:bookmarkStart w:id="62" w:name="_Toc8464"/>
      <w:r>
        <w:rPr>
          <w:rFonts w:hint="eastAsia"/>
          <w:color w:val="auto"/>
          <w:highlight w:val="none"/>
        </w:rPr>
        <w:t>19、投标文件的包装、递交、修改和撤回</w:t>
      </w:r>
      <w:bookmarkEnd w:id="62"/>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hint="eastAsia"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19.2如果</w:t>
      </w:r>
      <w:r>
        <w:rPr>
          <w:rFonts w:hint="eastAsia" w:asciiTheme="majorEastAsia" w:hAnsiTheme="majorEastAsia" w:eastAsiaTheme="majorEastAsia" w:cstheme="majorEastAsia"/>
          <w:color w:val="auto"/>
          <w:kern w:val="2"/>
          <w:sz w:val="24"/>
          <w:szCs w:val="24"/>
          <w:highlight w:val="none"/>
          <w:lang w:eastAsia="zh-CN"/>
        </w:rPr>
        <w:t>投标文件</w:t>
      </w:r>
      <w:r>
        <w:rPr>
          <w:rFonts w:hint="eastAsia" w:asciiTheme="majorEastAsia" w:hAnsiTheme="majorEastAsia" w:eastAsiaTheme="majorEastAsia" w:cstheme="majorEastAsia"/>
          <w:color w:val="auto"/>
          <w:kern w:val="2"/>
          <w:sz w:val="24"/>
          <w:szCs w:val="24"/>
          <w:highlight w:val="none"/>
          <w:lang w:val="en-US" w:eastAsia="zh-CN"/>
        </w:rPr>
        <w:t>的包装</w:t>
      </w:r>
      <w:r>
        <w:rPr>
          <w:rFonts w:hint="eastAsia" w:asciiTheme="majorEastAsia" w:hAnsiTheme="majorEastAsia" w:eastAsiaTheme="majorEastAsia" w:cstheme="majorEastAsia"/>
          <w:color w:val="auto"/>
          <w:kern w:val="2"/>
          <w:sz w:val="24"/>
          <w:szCs w:val="24"/>
          <w:highlight w:val="none"/>
        </w:rPr>
        <w:t>没有按上述规定密封并加写标志，采购人</w:t>
      </w:r>
      <w:r>
        <w:rPr>
          <w:rFonts w:hint="eastAsia" w:asciiTheme="majorEastAsia" w:hAnsiTheme="majorEastAsia" w:eastAsiaTheme="majorEastAsia" w:cstheme="majorEastAsia"/>
          <w:color w:val="auto"/>
          <w:kern w:val="2"/>
          <w:sz w:val="24"/>
          <w:szCs w:val="24"/>
          <w:highlight w:val="none"/>
          <w:lang w:val="en-US" w:eastAsia="zh-CN"/>
        </w:rPr>
        <w:t>或采购代理机构将拒绝接收</w:t>
      </w:r>
      <w:r>
        <w:rPr>
          <w:rFonts w:hint="eastAsia" w:asciiTheme="majorEastAsia" w:hAnsiTheme="majorEastAsia" w:eastAsiaTheme="majorEastAsia" w:cstheme="majorEastAsia"/>
          <w:color w:val="auto"/>
          <w:kern w:val="2"/>
          <w:sz w:val="24"/>
          <w:szCs w:val="24"/>
          <w:highlight w:val="none"/>
        </w:rPr>
        <w:t>。</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19.4.1在投标文件递交截止时间以后送达的投标文件；</w:t>
      </w:r>
    </w:p>
    <w:p>
      <w:pPr>
        <w:pStyle w:val="3"/>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19.4.2投标文件没有密封包装或者由于包装不妥，在递交时严重破损或失散的投标文件；</w:t>
      </w:r>
    </w:p>
    <w:p>
      <w:pPr>
        <w:pStyle w:val="3"/>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19.4.3投标文件未按19.1条款密封包装的；</w:t>
      </w:r>
    </w:p>
    <w:p>
      <w:pPr>
        <w:pStyle w:val="194"/>
        <w:snapToGrid w:val="0"/>
        <w:spacing w:before="0" w:line="500" w:lineRule="exact"/>
        <w:ind w:left="0" w:firstLine="480" w:firstLineChars="200"/>
        <w:rPr>
          <w:rFonts w:hint="eastAsia" w:asciiTheme="majorEastAsia" w:hAnsiTheme="majorEastAsia" w:eastAsiaTheme="majorEastAsia" w:cstheme="majorEastAsia"/>
          <w:color w:val="auto"/>
          <w:kern w:val="2"/>
          <w:sz w:val="24"/>
          <w:szCs w:val="24"/>
          <w:highlight w:val="none"/>
          <w:lang w:eastAsia="zh-CN"/>
        </w:rPr>
      </w:pPr>
      <w:r>
        <w:rPr>
          <w:rFonts w:hint="eastAsia" w:asciiTheme="majorEastAsia" w:hAnsiTheme="majorEastAsia" w:eastAsiaTheme="majorEastAsia" w:cstheme="majorEastAsia"/>
          <w:color w:val="auto"/>
          <w:kern w:val="2"/>
          <w:sz w:val="24"/>
          <w:szCs w:val="24"/>
          <w:highlight w:val="none"/>
        </w:rPr>
        <w:t>19.4.4仅以非纸制文本形式的投标文件</w:t>
      </w:r>
      <w:r>
        <w:rPr>
          <w:rFonts w:hint="eastAsia" w:asciiTheme="majorEastAsia" w:hAnsiTheme="majorEastAsia" w:eastAsiaTheme="majorEastAsia" w:cstheme="majorEastAsia"/>
          <w:color w:val="auto"/>
          <w:kern w:val="2"/>
          <w:sz w:val="24"/>
          <w:szCs w:val="24"/>
          <w:highlight w:val="none"/>
          <w:lang w:eastAsia="zh-CN"/>
        </w:rPr>
        <w:t>。</w:t>
      </w:r>
    </w:p>
    <w:p>
      <w:pPr>
        <w:pStyle w:val="8"/>
        <w:rPr>
          <w:color w:val="auto"/>
          <w:highlight w:val="none"/>
        </w:rPr>
      </w:pPr>
      <w:bookmarkStart w:id="63" w:name="_Toc5085"/>
      <w:r>
        <w:rPr>
          <w:rFonts w:hint="eastAsia"/>
          <w:color w:val="auto"/>
          <w:highlight w:val="none"/>
        </w:rPr>
        <w:t>20、投标截止期</w:t>
      </w:r>
      <w:bookmarkEnd w:id="63"/>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8"/>
        <w:rPr>
          <w:color w:val="auto"/>
          <w:highlight w:val="none"/>
        </w:rPr>
      </w:pPr>
      <w:bookmarkStart w:id="64" w:name="_Toc11084"/>
      <w:r>
        <w:rPr>
          <w:rFonts w:hint="eastAsia"/>
          <w:color w:val="auto"/>
          <w:highlight w:val="none"/>
        </w:rPr>
        <w:t>21、投标无效的情形</w:t>
      </w:r>
      <w:bookmarkEnd w:id="64"/>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w:t>
      </w:r>
      <w:r>
        <w:rPr>
          <w:rFonts w:hint="eastAsia" w:asciiTheme="majorEastAsia" w:hAnsiTheme="majorEastAsia" w:eastAsiaTheme="majorEastAsia" w:cstheme="majorEastAsia"/>
          <w:color w:val="auto"/>
          <w:sz w:val="24"/>
          <w:szCs w:val="24"/>
          <w:highlight w:val="none"/>
          <w:lang w:val="en-US" w:eastAsia="zh-CN"/>
        </w:rPr>
        <w:t>投标人的报价明显低于其他通过符合性审查投标人的报价，有可能影响产品质量或者不能诚信履约的</w:t>
      </w:r>
      <w:r>
        <w:rPr>
          <w:rFonts w:hint="eastAsia" w:asciiTheme="majorEastAsia" w:hAnsiTheme="majorEastAsia" w:eastAsiaTheme="majorEastAsia" w:cstheme="majorEastAsia"/>
          <w:color w:val="auto"/>
          <w:sz w:val="24"/>
          <w:szCs w:val="24"/>
          <w:highlight w:val="none"/>
        </w:rPr>
        <w:t>，投标人又不能在规定时间内作出合理说明或提供相关证明材料；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65" w:name="_Toc12370"/>
      <w:bookmarkStart w:id="66" w:name="_Toc19368"/>
      <w:r>
        <w:rPr>
          <w:rFonts w:hint="eastAsia" w:asciiTheme="majorEastAsia" w:hAnsiTheme="majorEastAsia" w:eastAsiaTheme="majorEastAsia" w:cstheme="majorEastAsia"/>
          <w:color w:val="auto"/>
          <w:sz w:val="24"/>
          <w:szCs w:val="24"/>
          <w:highlight w:val="none"/>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不符合法律、法规和本招标文件明确规定的其他实质性要求的。</w:t>
      </w:r>
    </w:p>
    <w:p>
      <w:pPr>
        <w:pStyle w:val="7"/>
        <w:rPr>
          <w:color w:val="auto"/>
          <w:highlight w:val="none"/>
        </w:rPr>
      </w:pPr>
      <w:r>
        <w:rPr>
          <w:rFonts w:hint="eastAsia"/>
          <w:color w:val="auto"/>
          <w:highlight w:val="none"/>
        </w:rPr>
        <w:t>四、开标</w:t>
      </w:r>
      <w:bookmarkEnd w:id="65"/>
      <w:bookmarkEnd w:id="66"/>
    </w:p>
    <w:p>
      <w:pPr>
        <w:pStyle w:val="8"/>
        <w:rPr>
          <w:color w:val="auto"/>
          <w:highlight w:val="none"/>
        </w:rPr>
      </w:pPr>
      <w:bookmarkStart w:id="67" w:name="_Toc9510638"/>
      <w:bookmarkStart w:id="68" w:name="_Toc21515"/>
      <w:r>
        <w:rPr>
          <w:rFonts w:hint="eastAsia"/>
          <w:color w:val="auto"/>
          <w:highlight w:val="none"/>
        </w:rPr>
        <w:t>22、开</w:t>
      </w:r>
      <w:bookmarkEnd w:id="67"/>
      <w:r>
        <w:rPr>
          <w:rFonts w:hint="eastAsia"/>
          <w:color w:val="auto"/>
          <w:highlight w:val="none"/>
        </w:rPr>
        <w:t>标准备</w:t>
      </w:r>
      <w:bookmarkEnd w:id="68"/>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w:t>
      </w:r>
      <w:r>
        <w:rPr>
          <w:rFonts w:hint="eastAsia" w:asciiTheme="majorEastAsia" w:hAnsiTheme="majorEastAsia" w:eastAsiaTheme="majorEastAsia" w:cstheme="majorEastAsia"/>
          <w:bCs/>
          <w:color w:val="auto"/>
          <w:sz w:val="24"/>
          <w:szCs w:val="24"/>
          <w:highlight w:val="none"/>
          <w:lang w:val="en-US" w:eastAsia="zh-CN"/>
        </w:rPr>
        <w:t>，</w:t>
      </w:r>
      <w:r>
        <w:rPr>
          <w:rFonts w:hint="eastAsia" w:asciiTheme="majorEastAsia" w:hAnsiTheme="majorEastAsia" w:eastAsiaTheme="majorEastAsia" w:cstheme="majorEastAsia"/>
          <w:bCs/>
          <w:color w:val="auto"/>
          <w:sz w:val="24"/>
          <w:szCs w:val="24"/>
          <w:highlight w:val="none"/>
        </w:rPr>
        <w:t>投标人代表未对开标结果签字确认或者拒绝签字确认的，不影响评标过程。</w:t>
      </w:r>
    </w:p>
    <w:p>
      <w:pPr>
        <w:pStyle w:val="8"/>
        <w:rPr>
          <w:color w:val="auto"/>
          <w:highlight w:val="none"/>
        </w:rPr>
      </w:pPr>
      <w:bookmarkStart w:id="69" w:name="_Toc26159"/>
      <w:r>
        <w:rPr>
          <w:rFonts w:hint="eastAsia"/>
          <w:color w:val="auto"/>
          <w:highlight w:val="none"/>
        </w:rPr>
        <w:t>23、开标程序：</w:t>
      </w:r>
      <w:bookmarkEnd w:id="69"/>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0" w:name="_Toc14026"/>
      <w:r>
        <w:rPr>
          <w:rFonts w:hint="eastAsia" w:asciiTheme="majorEastAsia" w:hAnsiTheme="majorEastAsia" w:eastAsiaTheme="majorEastAsia" w:cstheme="majorEastAsia"/>
          <w:bCs/>
          <w:color w:val="auto"/>
          <w:sz w:val="24"/>
          <w:szCs w:val="24"/>
          <w:highlight w:val="none"/>
        </w:rPr>
        <w:t>23.3投标人法定代表人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w:t>
      </w:r>
      <w:r>
        <w:rPr>
          <w:rFonts w:hint="eastAsia" w:asciiTheme="majorEastAsia" w:hAnsiTheme="majorEastAsia" w:eastAsiaTheme="majorEastAsia" w:cstheme="majorEastAsia"/>
          <w:bCs/>
          <w:color w:val="auto"/>
          <w:sz w:val="24"/>
          <w:szCs w:val="24"/>
          <w:highlight w:val="none"/>
          <w:lang w:eastAsia="zh-CN"/>
        </w:rPr>
        <w:t>、公证员</w:t>
      </w:r>
      <w:r>
        <w:rPr>
          <w:rFonts w:hint="eastAsia" w:asciiTheme="majorEastAsia" w:hAnsiTheme="majorEastAsia" w:eastAsiaTheme="majorEastAsia" w:cstheme="majorEastAsia"/>
          <w:bCs/>
          <w:color w:val="auto"/>
          <w:sz w:val="24"/>
          <w:szCs w:val="24"/>
          <w:highlight w:val="none"/>
          <w:lang w:val="en-US" w:eastAsia="zh-CN"/>
        </w:rPr>
        <w:t>/律师（如有）</w:t>
      </w:r>
      <w:r>
        <w:rPr>
          <w:rFonts w:hint="eastAsia" w:asciiTheme="majorEastAsia" w:hAnsiTheme="majorEastAsia" w:eastAsiaTheme="majorEastAsia" w:cstheme="majorEastAsia"/>
          <w:bCs/>
          <w:color w:val="auto"/>
          <w:sz w:val="24"/>
          <w:szCs w:val="24"/>
          <w:highlight w:val="none"/>
        </w:rPr>
        <w:t>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23.4开标时，核对授权代表身份后清点投标文件的正副本及电子文件，然后按递交标书的顺序进行唱标，采购人</w:t>
      </w:r>
      <w:r>
        <w:rPr>
          <w:rFonts w:hint="eastAsia" w:asciiTheme="majorEastAsia" w:hAnsiTheme="majorEastAsia" w:eastAsiaTheme="majorEastAsia" w:cstheme="majorEastAsia"/>
          <w:bCs/>
          <w:color w:val="auto"/>
          <w:sz w:val="24"/>
          <w:szCs w:val="24"/>
          <w:highlight w:val="none"/>
          <w:lang w:eastAsia="zh-CN"/>
        </w:rPr>
        <w:t>或</w:t>
      </w:r>
      <w:r>
        <w:rPr>
          <w:rFonts w:hint="eastAsia" w:asciiTheme="majorEastAsia" w:hAnsiTheme="majorEastAsia" w:eastAsiaTheme="majorEastAsia" w:cstheme="majorEastAsia"/>
          <w:bCs/>
          <w:color w:val="auto"/>
          <w:sz w:val="24"/>
          <w:szCs w:val="24"/>
          <w:highlight w:val="none"/>
        </w:rPr>
        <w:t>采购代理机构工作人员即当众拆封，宣读</w:t>
      </w:r>
      <w:r>
        <w:rPr>
          <w:rFonts w:hint="eastAsia" w:asciiTheme="majorEastAsia" w:hAnsiTheme="majorEastAsia" w:eastAsiaTheme="majorEastAsia" w:cstheme="majorEastAsia"/>
          <w:bCs/>
          <w:color w:val="auto"/>
          <w:sz w:val="24"/>
          <w:szCs w:val="24"/>
          <w:highlight w:val="none"/>
          <w:lang w:eastAsia="zh-CN"/>
        </w:rPr>
        <w:t>《开标一览表》的内容并做记录</w:t>
      </w:r>
      <w:r>
        <w:rPr>
          <w:rFonts w:hint="eastAsia" w:asciiTheme="majorEastAsia" w:hAnsiTheme="majorEastAsia" w:eastAsiaTheme="majorEastAsia" w:cstheme="majorEastAsia"/>
          <w:bCs/>
          <w:color w:val="auto"/>
          <w:sz w:val="24"/>
          <w:szCs w:val="24"/>
          <w:highlight w:val="none"/>
        </w:rPr>
        <w:t>；</w:t>
      </w:r>
    </w:p>
    <w:p>
      <w:pPr>
        <w:pStyle w:val="195"/>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23.6</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需要回避的情形的，应当场提出询问或者回避申请，采购人、采购代理机构将对投标人代表提出的询问或者回避申请及时处理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pPr>
        <w:pStyle w:val="8"/>
        <w:rPr>
          <w:color w:val="auto"/>
          <w:highlight w:val="none"/>
        </w:rPr>
      </w:pPr>
      <w:r>
        <w:rPr>
          <w:rFonts w:hint="eastAsia"/>
          <w:color w:val="auto"/>
          <w:highlight w:val="none"/>
        </w:rPr>
        <w:t>24、资格审查</w:t>
      </w:r>
      <w:bookmarkEnd w:id="70"/>
    </w:p>
    <w:p>
      <w:pPr>
        <w:adjustRightInd w:val="0"/>
        <w:snapToGrid w:val="0"/>
        <w:spacing w:line="500" w:lineRule="exact"/>
        <w:ind w:firstLine="523" w:firstLineChars="218"/>
        <w:rPr>
          <w:rFonts w:hint="eastAsia" w:eastAsia="宋体"/>
          <w:color w:val="auto"/>
          <w:sz w:val="36"/>
          <w:szCs w:val="36"/>
          <w:highlight w:val="none"/>
          <w:lang w:val="en-US" w:eastAsia="zh-CN"/>
        </w:rPr>
      </w:pPr>
      <w:bookmarkStart w:id="71" w:name="_Toc21778"/>
      <w:bookmarkStart w:id="72"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tbl>
      <w:tblPr>
        <w:tblStyle w:val="38"/>
        <w:tblpPr w:leftFromText="180" w:rightFromText="180" w:vertAnchor="text" w:horzAnchor="page" w:tblpX="1698" w:tblpY="208"/>
        <w:tblOverlap w:val="never"/>
        <w:tblW w:w="8696"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89"/>
        <w:gridCol w:w="78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06" w:hRule="atLeast"/>
        </w:trPr>
        <w:tc>
          <w:tcPr>
            <w:tcW w:w="88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7807" w:type="dxa"/>
            <w:tcBorders>
              <w:top w:val="single" w:color="auto" w:sz="8" w:space="0"/>
              <w:left w:val="nil"/>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hint="eastAsia" w:ascii="宋体" w:hAnsi="宋体" w:cs="宋体" w:eastAsia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与采购人存在利害关系可能影响招标公正性的法人、其他组织或者个人，</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不得参加同一标段投标或者未划分标段的同一招标项目投标；</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6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36"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投标单位未被列入失信被执行人、重大税收违法案件当事人名单、政府采购严重违法失信行为记录名单。</w:t>
            </w:r>
          </w:p>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注：开标当天采购代理机构将通过“信用中国”网站（</w:t>
            </w:r>
            <w:r>
              <w:rPr>
                <w:rFonts w:hint="eastAsia" w:asciiTheme="majorEastAsia" w:hAnsiTheme="majorEastAsia" w:eastAsiaTheme="majorEastAsia" w:cstheme="majorEastAsia"/>
                <w:color w:val="auto"/>
                <w:spacing w:val="-34"/>
                <w:sz w:val="24"/>
                <w:szCs w:val="24"/>
                <w:highlight w:val="none"/>
              </w:rPr>
              <w:t>www.creditchina.gov.cn</w:t>
            </w:r>
            <w:r>
              <w:rPr>
                <w:rFonts w:hint="eastAsia" w:asciiTheme="majorEastAsia" w:hAnsiTheme="majorEastAsia" w:eastAsiaTheme="majorEastAsia" w:cstheme="majorEastAsia"/>
                <w:color w:val="auto"/>
                <w:sz w:val="24"/>
                <w:szCs w:val="24"/>
                <w:highlight w:val="none"/>
              </w:rPr>
              <w:t>）和中国政府采购网（</w:t>
            </w:r>
            <w:r>
              <w:rPr>
                <w:rFonts w:hint="eastAsia" w:asciiTheme="majorEastAsia" w:hAnsiTheme="majorEastAsia" w:eastAsiaTheme="majorEastAsia" w:cstheme="majorEastAsia"/>
                <w:color w:val="auto"/>
                <w:spacing w:val="-34"/>
                <w:sz w:val="24"/>
                <w:szCs w:val="24"/>
                <w:highlight w:val="none"/>
              </w:rPr>
              <w:t>www.ccgp.gov.cn</w:t>
            </w:r>
            <w:r>
              <w:rPr>
                <w:rFonts w:hint="eastAsia" w:asciiTheme="majorEastAsia" w:hAnsiTheme="majorEastAsia" w:eastAsiaTheme="majorEastAsia" w:cstheme="majorEastAsia"/>
                <w:color w:val="auto"/>
                <w:sz w:val="24"/>
                <w:szCs w:val="24"/>
                <w:highlight w:val="none"/>
              </w:rPr>
              <w:t>）对投标人的信用信息进行查询，查询截止时间点即投标截止时间。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按招标文件要求缴纳了投标保证金</w:t>
            </w:r>
            <w:r>
              <w:rPr>
                <w:rFonts w:hint="eastAsia" w:ascii="宋体" w:hAnsi="宋体" w:cs="宋体"/>
                <w:color w:val="auto"/>
                <w:sz w:val="24"/>
                <w:szCs w:val="24"/>
                <w:highlight w:val="none"/>
                <w:lang w:eastAsia="zh-CN"/>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6</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第三十九包：AED除颤仪属于第三类医疗器械，根据《医疗器械生产监督办理办法》和《医疗器械经营监督办理办法》规定，生产经营除颤仪应取得第三类医疗器械生产或经营许可证。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80" w:hRule="atLeast"/>
        </w:trPr>
        <w:tc>
          <w:tcPr>
            <w:tcW w:w="8696" w:type="dxa"/>
            <w:gridSpan w:val="2"/>
            <w:tcBorders>
              <w:top w:val="nil"/>
              <w:left w:val="single" w:color="auto" w:sz="8" w:space="0"/>
              <w:bottom w:val="single" w:color="auto" w:sz="8" w:space="0"/>
              <w:right w:val="single" w:color="auto" w:sz="8" w:space="0"/>
            </w:tcBorders>
            <w:tcMar>
              <w:left w:w="108" w:type="dxa"/>
              <w:right w:w="108" w:type="dxa"/>
            </w:tcMar>
            <w:vAlign w:val="center"/>
          </w:tcPr>
          <w:p>
            <w:pPr>
              <w:adjustRightInd w:val="0"/>
              <w:snapToGrid w:val="0"/>
              <w:spacing w:line="400" w:lineRule="exact"/>
              <w:ind w:firstLine="33" w:firstLineChars="14"/>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备注：</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rPr>
                <w:rFonts w:hint="default"/>
                <w:color w:val="auto"/>
                <w:highlight w:val="none"/>
                <w:lang w:val="en-US"/>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合格投标人不足3家的，不得评标。</w:t>
            </w:r>
          </w:p>
        </w:tc>
      </w:tr>
    </w:tbl>
    <w:p>
      <w:pPr>
        <w:pStyle w:val="31"/>
        <w:rPr>
          <w:rFonts w:hint="eastAsia"/>
          <w:color w:val="auto"/>
          <w:highlight w:val="none"/>
        </w:rPr>
      </w:pPr>
    </w:p>
    <w:p>
      <w:pPr>
        <w:pStyle w:val="7"/>
        <w:rPr>
          <w:color w:val="auto"/>
          <w:highlight w:val="none"/>
        </w:rPr>
      </w:pPr>
      <w:r>
        <w:rPr>
          <w:rFonts w:hint="eastAsia"/>
          <w:color w:val="auto"/>
          <w:highlight w:val="none"/>
        </w:rPr>
        <w:t>五、评标</w:t>
      </w:r>
      <w:bookmarkEnd w:id="71"/>
      <w:bookmarkEnd w:id="72"/>
    </w:p>
    <w:p>
      <w:pPr>
        <w:pStyle w:val="8"/>
        <w:rPr>
          <w:color w:val="auto"/>
          <w:highlight w:val="none"/>
        </w:rPr>
      </w:pPr>
      <w:bookmarkStart w:id="73" w:name="_Toc9510639"/>
      <w:bookmarkStart w:id="74" w:name="_Toc6750"/>
      <w:r>
        <w:rPr>
          <w:rFonts w:hint="eastAsia"/>
          <w:color w:val="auto"/>
          <w:highlight w:val="none"/>
        </w:rPr>
        <w:t>25、组</w:t>
      </w:r>
      <w:bookmarkEnd w:id="73"/>
      <w:r>
        <w:rPr>
          <w:rFonts w:hint="eastAsia"/>
          <w:color w:val="auto"/>
          <w:highlight w:val="none"/>
        </w:rPr>
        <w:t>建评标委员会</w:t>
      </w:r>
      <w:bookmarkEnd w:id="74"/>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bookmarkStart w:id="75" w:name="_Toc14527"/>
      <w:r>
        <w:rPr>
          <w:rFonts w:hint="eastAsia" w:asciiTheme="majorEastAsia" w:hAnsiTheme="majorEastAsia" w:eastAsiaTheme="majorEastAsia" w:cstheme="majorEastAsia"/>
          <w:color w:val="auto"/>
          <w:sz w:val="24"/>
          <w:szCs w:val="24"/>
          <w:highlight w:val="none"/>
        </w:rPr>
        <w:t>按《中华人民共和国政府采购法》相关要求，本项目评标委员会由</w:t>
      </w:r>
      <w:r>
        <w:rPr>
          <w:rFonts w:hint="eastAsia" w:asciiTheme="majorEastAsia" w:hAnsiTheme="majorEastAsia" w:eastAsiaTheme="majorEastAsia" w:cstheme="majorEastAsia"/>
          <w:color w:val="auto"/>
          <w:sz w:val="24"/>
          <w:szCs w:val="24"/>
          <w:highlight w:val="none"/>
          <w:lang w:val="en-US" w:eastAsia="zh-CN"/>
        </w:rPr>
        <w:t>新疆政府采购网</w:t>
      </w:r>
      <w:r>
        <w:rPr>
          <w:rFonts w:hint="eastAsia" w:asciiTheme="majorEastAsia" w:hAnsiTheme="majorEastAsia" w:eastAsiaTheme="majorEastAsia" w:cstheme="majorEastAsia"/>
          <w:color w:val="auto"/>
          <w:sz w:val="24"/>
          <w:szCs w:val="24"/>
          <w:highlight w:val="none"/>
        </w:rPr>
        <w:t>专家库随机抽取的5名评审专家和2名采购人代表组成，其中随机抽取专家人数不少于成员总数的三分之二。</w:t>
      </w:r>
    </w:p>
    <w:p>
      <w:pPr>
        <w:pStyle w:val="8"/>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75"/>
    </w:p>
    <w:p>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1</w:t>
      </w:r>
      <w:r>
        <w:rPr>
          <w:rFonts w:hint="eastAsia" w:asciiTheme="majorEastAsia" w:hAnsiTheme="majorEastAsia" w:eastAsiaTheme="majorEastAsia" w:cstheme="majorEastAsia"/>
          <w:b/>
          <w:bCs/>
          <w:color w:val="auto"/>
          <w:sz w:val="24"/>
          <w:szCs w:val="24"/>
          <w:highlight w:val="none"/>
        </w:rPr>
        <w:t>符合性审查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1</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2</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3</w:t>
            </w:r>
          </w:p>
        </w:tc>
        <w:tc>
          <w:tcPr>
            <w:tcW w:w="7832" w:type="dxa"/>
            <w:vAlign w:val="center"/>
          </w:tcPr>
          <w:p>
            <w:pPr>
              <w:adjustRightInd w:val="0"/>
              <w:snapToGrid w:val="0"/>
              <w:spacing w:line="400" w:lineRule="exact"/>
              <w:ind w:firstLine="33" w:firstLineChars="14"/>
              <w:rPr>
                <w:highlight w:val="none"/>
              </w:rPr>
            </w:pPr>
            <w:r>
              <w:rPr>
                <w:rFonts w:hint="eastAsia" w:ascii="宋体" w:hAnsi="宋体" w:cs="宋体"/>
                <w:color w:val="auto"/>
                <w:sz w:val="24"/>
                <w:szCs w:val="24"/>
                <w:highlight w:val="none"/>
                <w:lang w:val="en-US" w:eastAsia="zh-CN"/>
              </w:rPr>
              <w:t>投标人的报价明显低于其他通过符合性审查投标人的报价，有可能影响产品质量或者不能诚信履约的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4</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投标文件必须按招标文件规定格式完整提供，并要盖投标人章、法定代表人</w:t>
            </w:r>
            <w:r>
              <w:rPr>
                <w:rFonts w:hint="eastAsia" w:asciiTheme="majorEastAsia" w:hAnsiTheme="majorEastAsia" w:eastAsiaTheme="majorEastAsia" w:cstheme="majorEastAsia"/>
                <w:color w:val="auto"/>
                <w:sz w:val="24"/>
                <w:szCs w:val="24"/>
                <w:highlight w:val="none"/>
              </w:rPr>
              <w:t>（负责人、自然人）</w:t>
            </w:r>
            <w:r>
              <w:rPr>
                <w:rFonts w:hint="eastAsia" w:ascii="宋体" w:hAnsi="宋体" w:cs="宋体"/>
                <w:color w:val="auto"/>
                <w:sz w:val="24"/>
                <w:szCs w:val="24"/>
                <w:highlight w:val="none"/>
              </w:rPr>
              <w:t>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10</w:t>
            </w:r>
          </w:p>
        </w:tc>
        <w:tc>
          <w:tcPr>
            <w:tcW w:w="7832" w:type="dxa"/>
            <w:vAlign w:val="center"/>
          </w:tcPr>
          <w:p>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11</w:t>
            </w:r>
          </w:p>
        </w:tc>
        <w:tc>
          <w:tcPr>
            <w:tcW w:w="7832" w:type="dxa"/>
            <w:vAlign w:val="center"/>
          </w:tcPr>
          <w:p>
            <w:pPr>
              <w:snapToGrid w:val="0"/>
              <w:spacing w:line="400" w:lineRule="exact"/>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val="en-US" w:eastAsia="zh-CN"/>
              </w:rPr>
              <w:t>“第三十五包、第三十六包、第三十七包、第三十八包、第四十包”提供中小企业声明函。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eastAsia="zh-CN"/>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3"/>
        <w:rPr>
          <w:color w:val="auto"/>
          <w:highlight w:val="none"/>
        </w:rPr>
      </w:pPr>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2</w:t>
      </w:r>
      <w:r>
        <w:rPr>
          <w:rFonts w:hint="eastAsia" w:asciiTheme="majorEastAsia" w:hAnsiTheme="majorEastAsia" w:eastAsiaTheme="majorEastAsia" w:cstheme="majorEastAsia"/>
          <w:b/>
          <w:bCs/>
          <w:color w:val="auto"/>
          <w:sz w:val="24"/>
          <w:szCs w:val="24"/>
          <w:highlight w:val="none"/>
        </w:rPr>
        <w:t xml:space="preserve"> 实质审查与比较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.5评标委员会完成评标后,评委对各部分得分汇总,计算出本项目最终得分等。评标委员会按评标原则推荐中标候选人，同时起草评标报告。</w:t>
      </w:r>
    </w:p>
    <w:p>
      <w:pPr>
        <w:pStyle w:val="8"/>
        <w:rPr>
          <w:color w:val="auto"/>
          <w:highlight w:val="none"/>
        </w:rPr>
      </w:pPr>
      <w:bookmarkStart w:id="76" w:name="_Toc26304"/>
      <w:r>
        <w:rPr>
          <w:rFonts w:hint="eastAsia"/>
          <w:color w:val="auto"/>
          <w:highlight w:val="none"/>
        </w:rPr>
        <w:t>27、澄清问题的形式</w:t>
      </w:r>
      <w:bookmarkEnd w:id="76"/>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8"/>
        <w:rPr>
          <w:color w:val="auto"/>
          <w:highlight w:val="none"/>
        </w:rPr>
      </w:pPr>
      <w:bookmarkStart w:id="77" w:name="_Toc1409"/>
      <w:r>
        <w:rPr>
          <w:rFonts w:hint="eastAsia"/>
          <w:color w:val="auto"/>
          <w:highlight w:val="none"/>
        </w:rPr>
        <w:t>28、错误修正</w:t>
      </w:r>
      <w:bookmarkEnd w:id="77"/>
    </w:p>
    <w:p>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8"/>
        <w:rPr>
          <w:color w:val="auto"/>
          <w:highlight w:val="none"/>
        </w:rPr>
      </w:pPr>
      <w:bookmarkStart w:id="78" w:name="_Toc8797"/>
      <w:r>
        <w:rPr>
          <w:rFonts w:hint="eastAsia"/>
          <w:color w:val="auto"/>
          <w:highlight w:val="none"/>
        </w:rPr>
        <w:t>29、评标原则和评标办法</w:t>
      </w:r>
      <w:bookmarkEnd w:id="78"/>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pPr>
        <w:pStyle w:val="3"/>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pPr>
        <w:pStyle w:val="3"/>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在采购中，出现下列情形之一的，本项目或标包应予废标：</w:t>
      </w:r>
    </w:p>
    <w:p>
      <w:pPr>
        <w:pStyle w:val="3"/>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pPr>
        <w:pStyle w:val="3"/>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pPr>
        <w:pStyle w:val="3"/>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pPr>
        <w:pStyle w:val="7"/>
        <w:rPr>
          <w:color w:val="auto"/>
          <w:highlight w:val="none"/>
        </w:rPr>
      </w:pPr>
      <w:bookmarkStart w:id="79" w:name="_Toc5562"/>
      <w:bookmarkStart w:id="80" w:name="_Toc17951"/>
      <w:r>
        <w:rPr>
          <w:rFonts w:hint="eastAsia"/>
          <w:color w:val="auto"/>
          <w:highlight w:val="none"/>
        </w:rPr>
        <w:t>六、定标及</w:t>
      </w:r>
      <w:bookmarkStart w:id="81" w:name="_Toc9510640"/>
      <w:r>
        <w:rPr>
          <w:rFonts w:hint="eastAsia"/>
          <w:color w:val="auto"/>
          <w:highlight w:val="none"/>
        </w:rPr>
        <w:t>合同授予</w:t>
      </w:r>
      <w:bookmarkEnd w:id="79"/>
      <w:bookmarkEnd w:id="80"/>
    </w:p>
    <w:p>
      <w:pPr>
        <w:pStyle w:val="8"/>
        <w:rPr>
          <w:color w:val="auto"/>
          <w:highlight w:val="none"/>
        </w:rPr>
      </w:pPr>
      <w:bookmarkStart w:id="82" w:name="_Toc31428"/>
      <w:r>
        <w:rPr>
          <w:rFonts w:hint="eastAsia"/>
          <w:color w:val="auto"/>
          <w:highlight w:val="none"/>
        </w:rPr>
        <w:t>30、确</w:t>
      </w:r>
      <w:bookmarkEnd w:id="81"/>
      <w:r>
        <w:rPr>
          <w:rFonts w:hint="eastAsia"/>
          <w:color w:val="auto"/>
          <w:highlight w:val="none"/>
        </w:rPr>
        <w:t>定中标人</w:t>
      </w:r>
      <w:bookmarkEnd w:id="82"/>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30.1本项目由评标委员会推荐每个标包的中标候选人，</w:t>
      </w:r>
      <w:r>
        <w:rPr>
          <w:rFonts w:hint="eastAsia" w:cs="宋体" w:asciiTheme="minorEastAsia" w:hAnsiTheme="minorEastAsia"/>
          <w:color w:val="auto"/>
          <w:kern w:val="0"/>
          <w:sz w:val="24"/>
          <w:szCs w:val="24"/>
          <w:highlight w:val="none"/>
        </w:rPr>
        <w:t>采购代理机构应当自评审结束之日起2个工作日内将评审报告送交采购人。采购人应当自收到评审报告之日起5个工作日内在评审报告推荐的中标候选人中按顺序确定中标供应商。</w:t>
      </w:r>
    </w:p>
    <w:p>
      <w:pPr>
        <w:adjustRightInd w:val="0"/>
        <w:snapToGrid w:val="0"/>
        <w:spacing w:line="500" w:lineRule="exact"/>
        <w:ind w:firstLine="470" w:firstLineChars="196"/>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w:t>
      </w:r>
      <w:r>
        <w:rPr>
          <w:rFonts w:hint="eastAsia" w:cs="宋体" w:asciiTheme="minorEastAsia" w:hAnsiTheme="minorEastAsia"/>
          <w:color w:val="auto"/>
          <w:kern w:val="0"/>
          <w:sz w:val="24"/>
          <w:szCs w:val="24"/>
          <w:highlight w:val="none"/>
        </w:rPr>
        <w:t>采购人或者采购代理机构应当自中标供应商确定之日起2个工作日内，发出中标通知书，并在省级以上人民政府财政部门指定的媒体上公告中标结果</w:t>
      </w:r>
      <w:r>
        <w:rPr>
          <w:rFonts w:hint="eastAsia" w:asciiTheme="majorEastAsia" w:hAnsiTheme="majorEastAsia" w:eastAsiaTheme="majorEastAsia" w:cstheme="majorEastAsia"/>
          <w:color w:val="auto"/>
          <w:sz w:val="24"/>
          <w:szCs w:val="24"/>
          <w:highlight w:val="none"/>
        </w:rPr>
        <w:t>。投标人如对评审结果有质疑的，按照《中华人民共和国政府采购法》、《中华人民共和国政府采购法实施条例》等有关程序办理。</w:t>
      </w:r>
    </w:p>
    <w:p>
      <w:pPr>
        <w:pStyle w:val="8"/>
        <w:rPr>
          <w:color w:val="auto"/>
          <w:highlight w:val="none"/>
        </w:rPr>
      </w:pPr>
      <w:bookmarkStart w:id="83" w:name="_Toc4164"/>
      <w:r>
        <w:rPr>
          <w:rFonts w:hint="eastAsia"/>
          <w:color w:val="auto"/>
          <w:highlight w:val="none"/>
        </w:rPr>
        <w:t>31、签订合同</w:t>
      </w:r>
      <w:bookmarkEnd w:id="83"/>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w:t>
      </w:r>
      <w:r>
        <w:rPr>
          <w:rFonts w:hint="eastAsia" w:asciiTheme="majorEastAsia" w:hAnsiTheme="majorEastAsia" w:eastAsiaTheme="majorEastAsia" w:cstheme="majorEastAsia"/>
          <w:color w:val="auto"/>
          <w:sz w:val="24"/>
          <w:szCs w:val="24"/>
          <w:highlight w:val="none"/>
          <w:lang w:val="en-US" w:eastAsia="zh-CN"/>
        </w:rPr>
        <w:t>中国政府采购网（http://www.ccgp.gov.cn/）上公告</w:t>
      </w:r>
      <w:r>
        <w:rPr>
          <w:rFonts w:hint="eastAsia" w:asciiTheme="majorEastAsia" w:hAnsiTheme="majorEastAsia" w:eastAsiaTheme="majorEastAsia" w:cstheme="majorEastAsia"/>
          <w:color w:val="auto"/>
          <w:sz w:val="24"/>
          <w:szCs w:val="24"/>
          <w:highlight w:val="none"/>
        </w:rPr>
        <w:t>，但政府采购合同中涉及国家秘密、商业秘密的内容除外。</w:t>
      </w:r>
    </w:p>
    <w:p>
      <w:pPr>
        <w:pStyle w:val="2"/>
        <w:rPr>
          <w:rFonts w:hint="default" w:eastAsiaTheme="majorEastAsia"/>
          <w:lang w:val="en-US" w:eastAsia="zh-CN"/>
        </w:rPr>
      </w:pPr>
      <w:r>
        <w:rPr>
          <w:rFonts w:hint="eastAsia" w:asciiTheme="majorEastAsia" w:hAnsiTheme="majorEastAsia" w:eastAsiaTheme="majorEastAsia" w:cstheme="majorEastAsia"/>
          <w:color w:val="auto"/>
          <w:sz w:val="24"/>
          <w:szCs w:val="24"/>
          <w:highlight w:val="none"/>
          <w:lang w:val="en-US" w:eastAsia="zh-CN"/>
        </w:rPr>
        <w:t>31.5政府采购合同履行中，采购人需追加与合同标的相同的货物、工程或者服务的，在不改变合同其他条款的前提下，可以与供应商协商签订补充合同，但所有补充合同的采购金额不得超过原合同采购金额的百分之十。</w:t>
      </w:r>
    </w:p>
    <w:p>
      <w:pPr>
        <w:pStyle w:val="8"/>
        <w:rPr>
          <w:color w:val="auto"/>
          <w:highlight w:val="none"/>
        </w:rPr>
      </w:pPr>
      <w:bookmarkStart w:id="84" w:name="_Toc15336"/>
      <w:r>
        <w:rPr>
          <w:rFonts w:hint="eastAsia"/>
          <w:color w:val="auto"/>
          <w:highlight w:val="none"/>
        </w:rPr>
        <w:t>32、其他说明</w:t>
      </w:r>
      <w:bookmarkEnd w:id="84"/>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pPr>
        <w:pStyle w:val="5"/>
        <w:rPr>
          <w:color w:val="auto"/>
          <w:highlight w:val="none"/>
        </w:rPr>
      </w:pPr>
      <w:bookmarkStart w:id="85" w:name="_Toc8515"/>
      <w:bookmarkStart w:id="86" w:name="_Toc23127"/>
      <w:bookmarkStart w:id="87" w:name="_Toc10671"/>
      <w:r>
        <w:rPr>
          <w:rFonts w:hint="eastAsia"/>
          <w:color w:val="auto"/>
          <w:highlight w:val="none"/>
        </w:rPr>
        <w:t>第三章 评分</w:t>
      </w:r>
      <w:bookmarkEnd w:id="85"/>
      <w:bookmarkEnd w:id="86"/>
      <w:r>
        <w:rPr>
          <w:rFonts w:hint="eastAsia"/>
          <w:color w:val="auto"/>
          <w:highlight w:val="none"/>
        </w:rPr>
        <w:t>办法及评分标准</w:t>
      </w:r>
      <w:bookmarkEnd w:id="87"/>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pPr>
        <w:pStyle w:val="7"/>
        <w:rPr>
          <w:color w:val="auto"/>
          <w:highlight w:val="none"/>
        </w:rPr>
      </w:pPr>
      <w:bookmarkStart w:id="88" w:name="_Toc29264"/>
      <w:bookmarkStart w:id="89" w:name="_Toc32479"/>
      <w:r>
        <w:rPr>
          <w:rFonts w:hint="eastAsia"/>
          <w:color w:val="auto"/>
          <w:highlight w:val="none"/>
        </w:rPr>
        <w:t>一、评标组织</w:t>
      </w:r>
      <w:bookmarkEnd w:id="88"/>
      <w:bookmarkEnd w:id="89"/>
    </w:p>
    <w:p>
      <w:pPr>
        <w:spacing w:line="500" w:lineRule="exact"/>
        <w:ind w:firstLine="480" w:firstLineChars="200"/>
        <w:rPr>
          <w:rFonts w:asciiTheme="minorEastAsia" w:hAnsiTheme="minorEastAsia" w:eastAsiaTheme="minorEastAsia" w:cstheme="minorEastAsia"/>
          <w:color w:val="auto"/>
          <w:sz w:val="24"/>
          <w:szCs w:val="24"/>
          <w:highlight w:val="none"/>
        </w:rPr>
      </w:pPr>
      <w:bookmarkStart w:id="90" w:name="_Toc249760792"/>
      <w:bookmarkStart w:id="91" w:name="_Toc251566663"/>
      <w:bookmarkStart w:id="92" w:name="_Toc405213814"/>
      <w:r>
        <w:rPr>
          <w:rFonts w:hint="eastAsia" w:asciiTheme="minorEastAsia" w:hAnsiTheme="minorEastAsia" w:eastAsiaTheme="minorEastAsia" w:cstheme="minorEastAsia"/>
          <w:color w:val="auto"/>
          <w:sz w:val="24"/>
          <w:szCs w:val="24"/>
          <w:highlight w:val="none"/>
        </w:rPr>
        <w:t>评标工作</w:t>
      </w:r>
      <w:bookmarkEnd w:id="90"/>
      <w:bookmarkEnd w:id="91"/>
      <w:bookmarkEnd w:id="92"/>
      <w:r>
        <w:rPr>
          <w:rFonts w:hint="eastAsia" w:asciiTheme="minorEastAsia" w:hAnsiTheme="minorEastAsia" w:eastAsiaTheme="minorEastAsia" w:cstheme="minorEastAsia"/>
          <w:color w:val="auto"/>
          <w:sz w:val="24"/>
          <w:szCs w:val="24"/>
          <w:highlight w:val="none"/>
        </w:rPr>
        <w:t>由</w:t>
      </w:r>
      <w:bookmarkStart w:id="93" w:name="_Toc405213815"/>
      <w:bookmarkStart w:id="94" w:name="_Toc249760793"/>
      <w:bookmarkStart w:id="95" w:name="_Toc251566664"/>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pPr>
        <w:pStyle w:val="7"/>
        <w:rPr>
          <w:color w:val="auto"/>
          <w:highlight w:val="none"/>
        </w:rPr>
      </w:pPr>
      <w:bookmarkStart w:id="96" w:name="_Toc24221"/>
      <w:bookmarkStart w:id="97" w:name="_Toc3581"/>
      <w:r>
        <w:rPr>
          <w:rFonts w:hint="eastAsia"/>
          <w:color w:val="auto"/>
          <w:highlight w:val="none"/>
        </w:rPr>
        <w:t>二、评标纪律</w:t>
      </w:r>
      <w:bookmarkEnd w:id="96"/>
      <w:bookmarkEnd w:id="97"/>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93"/>
      <w:bookmarkEnd w:id="94"/>
      <w:bookmarkEnd w:id="95"/>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pPr>
        <w:pStyle w:val="7"/>
        <w:rPr>
          <w:color w:val="auto"/>
          <w:highlight w:val="none"/>
        </w:rPr>
      </w:pPr>
      <w:bookmarkStart w:id="98" w:name="_Toc10772"/>
      <w:bookmarkStart w:id="99" w:name="_Toc6124"/>
      <w:r>
        <w:rPr>
          <w:rFonts w:hint="eastAsia"/>
          <w:color w:val="auto"/>
          <w:highlight w:val="none"/>
        </w:rPr>
        <w:t>三、评分标准和细则</w:t>
      </w:r>
      <w:bookmarkEnd w:id="98"/>
      <w:bookmarkEnd w:id="99"/>
    </w:p>
    <w:p>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w:t>
      </w:r>
      <w:r>
        <w:rPr>
          <w:rFonts w:hint="eastAsia" w:asciiTheme="minorEastAsia" w:hAnsiTheme="minorEastAsia" w:eastAsiaTheme="minorEastAsia" w:cstheme="minorEastAsia"/>
          <w:color w:val="auto"/>
          <w:sz w:val="24"/>
          <w:szCs w:val="24"/>
          <w:highlight w:val="none"/>
          <w:lang w:val="en-US" w:eastAsia="zh-CN"/>
        </w:rPr>
        <w:t>各成员独立</w:t>
      </w:r>
      <w:r>
        <w:rPr>
          <w:rFonts w:hint="eastAsia" w:asciiTheme="minorEastAsia" w:hAnsiTheme="minorEastAsia" w:eastAsiaTheme="minorEastAsia" w:cstheme="minorEastAsia"/>
          <w:color w:val="auto"/>
          <w:sz w:val="24"/>
          <w:szCs w:val="24"/>
          <w:highlight w:val="none"/>
        </w:rPr>
        <w:t>根据招标文件对各投标文件技术内容充分审核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评议后，评标委员会</w:t>
      </w:r>
      <w:r>
        <w:rPr>
          <w:rFonts w:hint="eastAsia" w:asciiTheme="minorEastAsia" w:hAnsiTheme="minorEastAsia" w:eastAsiaTheme="minorEastAsia" w:cstheme="minorEastAsia"/>
          <w:color w:val="auto"/>
          <w:sz w:val="24"/>
          <w:szCs w:val="24"/>
          <w:highlight w:val="none"/>
          <w:lang w:val="en-US" w:eastAsia="zh-CN"/>
        </w:rPr>
        <w:t>成员独立</w:t>
      </w:r>
      <w:r>
        <w:rPr>
          <w:rFonts w:hint="eastAsia" w:asciiTheme="minorEastAsia" w:hAnsiTheme="minorEastAsia" w:eastAsiaTheme="minorEastAsia" w:cstheme="minorEastAsia"/>
          <w:color w:val="auto"/>
          <w:sz w:val="24"/>
          <w:szCs w:val="24"/>
          <w:highlight w:val="none"/>
        </w:rPr>
        <w:t>按评分细则，进行评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w:t>
      </w:r>
      <w:r>
        <w:rPr>
          <w:rFonts w:hint="eastAsia" w:asciiTheme="minorEastAsia" w:hAnsiTheme="minorEastAsia" w:eastAsiaTheme="minorEastAsia" w:cstheme="minorEastAsia"/>
          <w:color w:val="auto"/>
          <w:sz w:val="24"/>
          <w:szCs w:val="24"/>
          <w:highlight w:val="none"/>
          <w:lang w:val="en-US" w:eastAsia="zh-CN"/>
        </w:rPr>
        <w:t>独立</w:t>
      </w:r>
      <w:r>
        <w:rPr>
          <w:rFonts w:hint="eastAsia" w:asciiTheme="minorEastAsia" w:hAnsiTheme="minorEastAsia" w:eastAsiaTheme="minorEastAsia" w:cstheme="minorEastAsia"/>
          <w:color w:val="auto"/>
          <w:sz w:val="24"/>
          <w:szCs w:val="24"/>
          <w:highlight w:val="none"/>
        </w:rPr>
        <w:t>按评分细则对各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的最终报价进行统一计算评分，集体统一判定评分。</w:t>
      </w:r>
    </w:p>
    <w:p>
      <w:pPr>
        <w:spacing w:line="500" w:lineRule="exact"/>
        <w:ind w:firstLine="480" w:firstLineChars="200"/>
      </w:pPr>
      <w:r>
        <w:rPr>
          <w:rFonts w:hint="eastAsia" w:asciiTheme="minorEastAsia" w:hAnsiTheme="minorEastAsia" w:eastAsiaTheme="minorEastAsia"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hint="eastAsia" w:ascii="宋体" w:hAnsi="宋体" w:cs="宋体" w:eastAsiaTheme="minorEastAsia"/>
          <w:b/>
          <w:bCs/>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第三十五包</w:t>
      </w:r>
      <w:r>
        <w:rPr>
          <w:rFonts w:hint="eastAsia" w:asciiTheme="minorEastAsia" w:hAnsiTheme="minorEastAsia" w:eastAsiaTheme="minorEastAsia" w:cstheme="minorEastAsia"/>
          <w:b/>
          <w:color w:val="auto"/>
          <w:sz w:val="24"/>
          <w:szCs w:val="24"/>
          <w:highlight w:val="none"/>
        </w:rPr>
        <w:t>评分标准</w:t>
      </w:r>
      <w:r>
        <w:rPr>
          <w:rFonts w:hint="eastAsia" w:asciiTheme="minorEastAsia" w:hAnsiTheme="minorEastAsia" w:eastAsiaTheme="minorEastAsia" w:cstheme="minorEastAsia"/>
          <w:b/>
          <w:color w:val="auto"/>
          <w:sz w:val="24"/>
          <w:szCs w:val="24"/>
          <w:highlight w:val="none"/>
          <w:lang w:eastAsia="zh-CN"/>
        </w:rPr>
        <w:t>：</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小数点保留后四位</w:t>
            </w:r>
            <w:r>
              <w:rPr>
                <w:rFonts w:hint="eastAsia" w:asciiTheme="minorEastAsia" w:hAnsiTheme="minorEastAsia" w:eastAsiaTheme="minorEastAsia" w:cstheme="minorEastAsia"/>
                <w:color w:val="auto"/>
                <w:kern w:val="0"/>
                <w:sz w:val="24"/>
                <w:szCs w:val="24"/>
                <w:highlight w:val="none"/>
                <w:lang w:eastAsia="zh-CN"/>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1.投标人所投产品技术参数完全响应招标文件要求的，得36分；</w:t>
            </w:r>
          </w:p>
          <w:p>
            <w:pPr>
              <w:pStyle w:val="31"/>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kern w:val="0"/>
                <w:sz w:val="24"/>
                <w:szCs w:val="24"/>
                <w:highlight w:val="none"/>
                <w:lang w:val="en-US" w:eastAsia="zh-CN"/>
              </w:rPr>
              <w:t>主要技术参数存在负偏离的（13条），每一条扣1.5分，最多扣19.5分。</w:t>
            </w:r>
          </w:p>
          <w:p>
            <w:pPr>
              <w:pStyle w:val="31"/>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3.一般技术参数存在负偏离的（64条），每一条扣0.5分，最多扣16.5分。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val="en-US" w:eastAsia="zh-CN"/>
              </w:rPr>
              <w:t>2021</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000000" w:themeColor="text1"/>
                <w:sz w:val="24"/>
                <w:szCs w:val="24"/>
                <w:highlight w:val="red"/>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项目组织方案包括但不限于：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000000" w:themeColor="text1"/>
                <w:sz w:val="24"/>
                <w:szCs w:val="24"/>
                <w:highlight w:val="red"/>
                <w:lang w:val="en-US" w:eastAsia="zh-CN"/>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000000" w:themeColor="text1"/>
                <w:kern w:val="0"/>
                <w:sz w:val="24"/>
                <w:szCs w:val="24"/>
                <w:highlight w:val="red"/>
                <w:lang w:val="en-US" w:eastAsia="zh-CN"/>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技术培训方案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000000" w:themeColor="text1"/>
                <w:kern w:val="0"/>
                <w:sz w:val="24"/>
                <w:szCs w:val="24"/>
                <w:highlight w:val="red"/>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000000" w:themeColor="text1"/>
                <w:sz w:val="24"/>
                <w:szCs w:val="24"/>
                <w:highlight w:val="red"/>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lang w:eastAsia="zh-CN"/>
              </w:rPr>
              <w:t>投标</w:t>
            </w:r>
            <w:r>
              <w:rPr>
                <w:rFonts w:hint="eastAsia" w:hAnsi="宋体" w:cs="宋体"/>
                <w:color w:val="auto"/>
                <w:sz w:val="24"/>
                <w:szCs w:val="24"/>
                <w:highlight w:val="none"/>
              </w:rPr>
              <w:t>样品</w:t>
            </w:r>
            <w:r>
              <w:rPr>
                <w:rFonts w:hint="eastAsia" w:hAnsi="宋体" w:cs="宋体"/>
                <w:color w:val="auto"/>
                <w:sz w:val="24"/>
                <w:szCs w:val="24"/>
                <w:highlight w:val="none"/>
                <w:lang w:eastAsia="zh-CN"/>
              </w:rPr>
              <w:t>评价</w:t>
            </w:r>
          </w:p>
        </w:tc>
        <w:tc>
          <w:tcPr>
            <w:tcW w:w="5954" w:type="dxa"/>
            <w:tcMar>
              <w:top w:w="15" w:type="dxa"/>
              <w:left w:w="15" w:type="dxa"/>
              <w:right w:w="15" w:type="dxa"/>
            </w:tcMar>
            <w:vAlign w:val="center"/>
          </w:tcPr>
          <w:p>
            <w:pPr>
              <w:snapToGrid w:val="0"/>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投标人须按照所投标包提供符合采购文件第六章“项目需求”的要求的样品。所递交样品上不得体现投标人或制造商名称或其他标识，相应位置须一律空白。未提供样品或所提供样品不符合招标文件要求的，本项不得分。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napToGrid w:val="0"/>
              <w:spacing w:line="40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4"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合计：100分</w:t>
            </w:r>
          </w:p>
        </w:tc>
      </w:tr>
    </w:tbl>
    <w:p>
      <w:pPr>
        <w:pStyle w:val="6"/>
        <w:ind w:left="0" w:leftChars="0" w:firstLine="0" w:firstLineChars="0"/>
        <w:rPr>
          <w:rFonts w:hint="eastAsia" w:asciiTheme="minorEastAsia" w:hAnsiTheme="minorEastAsia" w:eastAsiaTheme="minorEastAsia" w:cstheme="minorEastAsia"/>
          <w:b/>
          <w:color w:val="auto"/>
          <w:sz w:val="24"/>
          <w:szCs w:val="24"/>
          <w:highlight w:val="none"/>
        </w:rPr>
      </w:pPr>
    </w:p>
    <w:p>
      <w:pPr>
        <w:spacing w:line="400" w:lineRule="exact"/>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第三十六包</w:t>
      </w:r>
      <w:r>
        <w:rPr>
          <w:rFonts w:hint="eastAsia" w:asciiTheme="minorEastAsia" w:hAnsiTheme="minorEastAsia" w:eastAsiaTheme="minorEastAsia" w:cstheme="minorEastAsia"/>
          <w:b/>
          <w:color w:val="auto"/>
          <w:sz w:val="24"/>
          <w:szCs w:val="24"/>
          <w:highlight w:val="none"/>
        </w:rPr>
        <w:t>评分标准</w:t>
      </w:r>
      <w:r>
        <w:rPr>
          <w:rFonts w:hint="eastAsia" w:asciiTheme="minorEastAsia" w:hAnsiTheme="minorEastAsia" w:eastAsiaTheme="minorEastAsia" w:cstheme="minorEastAsia"/>
          <w:b/>
          <w:color w:val="auto"/>
          <w:sz w:val="24"/>
          <w:szCs w:val="24"/>
          <w:highlight w:val="none"/>
          <w:lang w:eastAsia="zh-CN"/>
        </w:rPr>
        <w:t>：</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评分因</w:t>
            </w:r>
          </w:p>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小数点保留后四位</w:t>
            </w:r>
            <w:r>
              <w:rPr>
                <w:rFonts w:hint="eastAsia" w:asciiTheme="minorEastAsia" w:hAnsiTheme="minorEastAsia" w:eastAsiaTheme="minorEastAsia" w:cstheme="minorEastAsia"/>
                <w:color w:val="auto"/>
                <w:kern w:val="0"/>
                <w:sz w:val="24"/>
                <w:szCs w:val="24"/>
                <w:highlight w:val="none"/>
                <w:lang w:eastAsia="zh-CN"/>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1.投标人所投产品技术参数完全响应招标文件要求的，得33分；</w:t>
            </w:r>
          </w:p>
          <w:p>
            <w:pPr>
              <w:pStyle w:val="31"/>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2.核心技术参数存在负偏离的（2条），此项不得分；</w:t>
            </w:r>
          </w:p>
          <w:p>
            <w:pPr>
              <w:pStyle w:val="31"/>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en-US" w:eastAsia="zh-CN"/>
              </w:rPr>
              <w:t>主要技术参数存在负偏离的（20条），每一条扣1分，最多扣20分。</w:t>
            </w:r>
          </w:p>
          <w:p>
            <w:pPr>
              <w:pStyle w:val="31"/>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4.一般技术参数存在负偏离的（83条），每一条扣0.3分，最多扣13分。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val="en-US" w:eastAsia="zh-CN"/>
              </w:rPr>
              <w:t>2021</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000000" w:themeColor="text1"/>
                <w:sz w:val="24"/>
                <w:szCs w:val="24"/>
                <w:highlight w:val="red"/>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项目组织方案包括但不限于：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000000" w:themeColor="text1"/>
                <w:sz w:val="24"/>
                <w:szCs w:val="24"/>
                <w:highlight w:val="red"/>
                <w:lang w:val="en-US" w:eastAsia="zh-CN"/>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000000" w:themeColor="text1"/>
                <w:kern w:val="0"/>
                <w:sz w:val="24"/>
                <w:szCs w:val="24"/>
                <w:highlight w:val="red"/>
                <w:lang w:val="en-US" w:eastAsia="zh-CN"/>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技术培训方案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000000" w:themeColor="text1"/>
                <w:kern w:val="0"/>
                <w:sz w:val="24"/>
                <w:szCs w:val="24"/>
                <w:highlight w:val="red"/>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000000" w:themeColor="text1"/>
                <w:sz w:val="24"/>
                <w:szCs w:val="24"/>
                <w:highlight w:val="red"/>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lang w:eastAsia="zh-CN"/>
              </w:rPr>
              <w:t>投标</w:t>
            </w:r>
            <w:r>
              <w:rPr>
                <w:rFonts w:hint="eastAsia" w:hAnsi="宋体" w:cs="宋体"/>
                <w:color w:val="auto"/>
                <w:sz w:val="24"/>
                <w:szCs w:val="24"/>
                <w:highlight w:val="none"/>
              </w:rPr>
              <w:t>样品</w:t>
            </w:r>
            <w:r>
              <w:rPr>
                <w:rFonts w:hint="eastAsia" w:hAnsi="宋体" w:cs="宋体"/>
                <w:color w:val="auto"/>
                <w:sz w:val="24"/>
                <w:szCs w:val="24"/>
                <w:highlight w:val="none"/>
                <w:lang w:eastAsia="zh-CN"/>
              </w:rPr>
              <w:t>评价</w:t>
            </w:r>
          </w:p>
        </w:tc>
        <w:tc>
          <w:tcPr>
            <w:tcW w:w="5954" w:type="dxa"/>
            <w:tcMar>
              <w:top w:w="15" w:type="dxa"/>
              <w:left w:w="15" w:type="dxa"/>
              <w:right w:w="15" w:type="dxa"/>
            </w:tcMar>
            <w:vAlign w:val="center"/>
          </w:tcPr>
          <w:p>
            <w:pPr>
              <w:snapToGrid w:val="0"/>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投标人须按照所投标包提供符合采购文件第六章“项目需求”的要求的样品。所递交样品上不得体现投标人或制造商名称或其他标识，相应位置须一律空白。未提供样品或所提供样品不符合招标文件要求的，本项不得分。根据投标人提供样品的整体性能进行评审：1.做工优良，内外面料、辅料品质良好；2.外观整体较好，颜色、重量符合参数规定要求；3.隔层材质优，防水、隔热效果佳；4.符合人体设计学，功能实用性能强，贴合灭火救援实战需要。各项性能完备的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分，每有一项存在瑕疵或不符合采购人使用需求的，扣</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分，扣完为止。</w:t>
            </w:r>
          </w:p>
          <w:p>
            <w:pPr>
              <w:snapToGrid w:val="0"/>
              <w:spacing w:line="40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投标样品视频评价</w:t>
            </w:r>
          </w:p>
        </w:tc>
        <w:tc>
          <w:tcPr>
            <w:tcW w:w="5954" w:type="dxa"/>
            <w:tcMar>
              <w:top w:w="15" w:type="dxa"/>
              <w:left w:w="15" w:type="dxa"/>
              <w:right w:w="15" w:type="dxa"/>
            </w:tcMar>
            <w:vAlign w:val="center"/>
          </w:tcPr>
          <w:p>
            <w:pPr>
              <w:snapToGrid w:val="0"/>
              <w:spacing w:line="400" w:lineRule="exact"/>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评标委员会通过观看投标人装备样品视频讲解的方式，考评投标产品的①、使用材质；②、制作工艺水平；③使用功能演示；④有无操作安全隐患。各项性能完备的得</w:t>
            </w:r>
            <w:r>
              <w:rPr>
                <w:rFonts w:hint="eastAsia" w:cs="Times New Roman"/>
                <w:b w:val="0"/>
                <w:bCs w:val="0"/>
                <w:color w:val="auto"/>
                <w:sz w:val="24"/>
                <w:szCs w:val="24"/>
                <w:highlight w:val="none"/>
                <w:lang w:val="en-US" w:eastAsia="zh-CN"/>
              </w:rPr>
              <w:t>4</w:t>
            </w:r>
            <w:r>
              <w:rPr>
                <w:rFonts w:hint="eastAsia" w:ascii="Times New Roman" w:hAnsi="Times New Roman" w:eastAsia="宋体" w:cs="Times New Roman"/>
                <w:b w:val="0"/>
                <w:bCs w:val="0"/>
                <w:color w:val="auto"/>
                <w:sz w:val="24"/>
                <w:szCs w:val="24"/>
                <w:highlight w:val="none"/>
                <w:lang w:val="en-US" w:eastAsia="zh-CN"/>
              </w:rPr>
              <w:t>分，提供的样品视频中每有一项或一处存在瑕疵或不满足技术参数要求或不符合采购人使用需求的扣</w:t>
            </w:r>
            <w:r>
              <w:rPr>
                <w:rFonts w:hint="eastAsia" w:cs="Times New Roman"/>
                <w:b w:val="0"/>
                <w:bCs w:val="0"/>
                <w:color w:val="auto"/>
                <w:sz w:val="24"/>
                <w:szCs w:val="24"/>
                <w:highlight w:val="none"/>
                <w:lang w:val="en-US" w:eastAsia="zh-CN"/>
              </w:rPr>
              <w:t>1</w:t>
            </w:r>
            <w:r>
              <w:rPr>
                <w:rFonts w:hint="eastAsia" w:ascii="Times New Roman" w:hAnsi="Times New Roman" w:eastAsia="宋体" w:cs="Times New Roman"/>
                <w:b w:val="0"/>
                <w:bCs w:val="0"/>
                <w:color w:val="auto"/>
                <w:sz w:val="24"/>
                <w:szCs w:val="24"/>
                <w:highlight w:val="none"/>
                <w:lang w:val="en-US" w:eastAsia="zh-CN"/>
              </w:rPr>
              <w:t>分，扣完为止。</w:t>
            </w:r>
          </w:p>
          <w:p>
            <w:pPr>
              <w:snapToGrid w:val="0"/>
              <w:spacing w:line="40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注：投标人须完全按照采购文件要求递交装备样品讲解视频，凡出现下列情况的得分均为0分：①无讲解视频的；②讲解视频中样品不符合文件要求的；③讲解视频中透露品牌型号的。</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4"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合计：100分</w:t>
            </w:r>
          </w:p>
        </w:tc>
      </w:tr>
    </w:tbl>
    <w:p>
      <w:pPr>
        <w:pStyle w:val="2"/>
        <w:ind w:left="0" w:leftChars="0" w:firstLine="0" w:firstLineChars="0"/>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第三十七包</w:t>
      </w:r>
      <w:r>
        <w:rPr>
          <w:rFonts w:hint="eastAsia" w:asciiTheme="minorEastAsia" w:hAnsiTheme="minorEastAsia" w:eastAsiaTheme="minorEastAsia" w:cstheme="minorEastAsia"/>
          <w:b/>
          <w:color w:val="auto"/>
          <w:sz w:val="24"/>
          <w:szCs w:val="24"/>
          <w:highlight w:val="none"/>
        </w:rPr>
        <w:t>评分标准</w:t>
      </w:r>
      <w:r>
        <w:rPr>
          <w:rFonts w:hint="eastAsia" w:asciiTheme="minorEastAsia" w:hAnsiTheme="minorEastAsia" w:eastAsiaTheme="minorEastAsia" w:cstheme="minorEastAsia"/>
          <w:b/>
          <w:color w:val="auto"/>
          <w:sz w:val="24"/>
          <w:szCs w:val="24"/>
          <w:highlight w:val="none"/>
          <w:lang w:eastAsia="zh-CN"/>
        </w:rPr>
        <w:t>：</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评分因</w:t>
            </w:r>
          </w:p>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小数点保留后四位</w:t>
            </w:r>
            <w:r>
              <w:rPr>
                <w:rFonts w:hint="eastAsia" w:asciiTheme="minorEastAsia" w:hAnsiTheme="minorEastAsia" w:eastAsiaTheme="minorEastAsia" w:cstheme="minorEastAsia"/>
                <w:color w:val="auto"/>
                <w:kern w:val="0"/>
                <w:sz w:val="24"/>
                <w:szCs w:val="24"/>
                <w:highlight w:val="none"/>
                <w:lang w:eastAsia="zh-CN"/>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1.投标人所投产品技术参数完全响应招标文件要求的，得31分；</w:t>
            </w:r>
          </w:p>
          <w:p>
            <w:pPr>
              <w:pStyle w:val="31"/>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kern w:val="0"/>
                <w:sz w:val="24"/>
                <w:szCs w:val="24"/>
                <w:highlight w:val="none"/>
                <w:lang w:val="en-US" w:eastAsia="zh-CN"/>
              </w:rPr>
              <w:t>主要技术参数存在负偏离的（7条），每一条扣2分，最多扣14分。</w:t>
            </w:r>
          </w:p>
          <w:p>
            <w:pPr>
              <w:pStyle w:val="31"/>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3.一般技术参数存在负偏离的（30条），每一条扣1分，最多扣17分。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val="en-US" w:eastAsia="zh-CN"/>
              </w:rPr>
              <w:t>2021</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000000" w:themeColor="text1"/>
                <w:sz w:val="24"/>
                <w:szCs w:val="24"/>
                <w:highlight w:val="red"/>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项目组织方案包括但不限于：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000000" w:themeColor="text1"/>
                <w:sz w:val="24"/>
                <w:szCs w:val="24"/>
                <w:highlight w:val="red"/>
                <w:lang w:val="en-US" w:eastAsia="zh-CN"/>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000000" w:themeColor="text1"/>
                <w:kern w:val="0"/>
                <w:sz w:val="24"/>
                <w:szCs w:val="24"/>
                <w:highlight w:val="red"/>
                <w:lang w:val="en-US" w:eastAsia="zh-CN"/>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技术培训方案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000000" w:themeColor="text1"/>
                <w:kern w:val="0"/>
                <w:sz w:val="24"/>
                <w:szCs w:val="24"/>
                <w:highlight w:val="red"/>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000000" w:themeColor="text1"/>
                <w:sz w:val="24"/>
                <w:szCs w:val="24"/>
                <w:highlight w:val="red"/>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lang w:eastAsia="zh-CN"/>
              </w:rPr>
              <w:t>投标</w:t>
            </w:r>
            <w:r>
              <w:rPr>
                <w:rFonts w:hint="eastAsia" w:hAnsi="宋体" w:cs="宋体"/>
                <w:color w:val="auto"/>
                <w:sz w:val="24"/>
                <w:szCs w:val="24"/>
                <w:highlight w:val="none"/>
              </w:rPr>
              <w:t>样品</w:t>
            </w:r>
            <w:r>
              <w:rPr>
                <w:rFonts w:hint="eastAsia" w:hAnsi="宋体" w:cs="宋体"/>
                <w:color w:val="auto"/>
                <w:sz w:val="24"/>
                <w:szCs w:val="24"/>
                <w:highlight w:val="none"/>
                <w:lang w:eastAsia="zh-CN"/>
              </w:rPr>
              <w:t>评价</w:t>
            </w:r>
          </w:p>
        </w:tc>
        <w:tc>
          <w:tcPr>
            <w:tcW w:w="5954" w:type="dxa"/>
            <w:tcMar>
              <w:top w:w="15" w:type="dxa"/>
              <w:left w:w="15" w:type="dxa"/>
              <w:right w:w="15" w:type="dxa"/>
            </w:tcMar>
            <w:vAlign w:val="center"/>
          </w:tcPr>
          <w:p>
            <w:pPr>
              <w:snapToGrid w:val="0"/>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投标人须按照所投标包提供符合采购文件第六章“项目需求”的要求的样品。所递交样品上不得体现投标人或制造商名称或其他标识，相应位置须一律空白。未提供样品或所提供样品不符合招标文件要求的，本项不得分。根据投标人提供样品的整体性能进行评审：1.做工优良，内外面料、辅料品质良好；2.外观整体较好，颜色、重量符合参数规定要求；3.隔层材质优，防水、隔热效果佳；4.符合人体设计学，功能实用性能强，贴合灭火救援实战需要。各项性能完备的得8分，每有一项存在瑕疵或不符合采购人使用需求的，扣2分，扣完为止。</w:t>
            </w:r>
          </w:p>
          <w:p>
            <w:pPr>
              <w:snapToGrid w:val="0"/>
              <w:spacing w:line="40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4"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合计：100分</w:t>
            </w:r>
          </w:p>
        </w:tc>
      </w:tr>
    </w:tbl>
    <w:p>
      <w:pPr>
        <w:pStyle w:val="2"/>
        <w:ind w:left="0" w:leftChars="0" w:firstLine="0" w:firstLineChars="0"/>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第三十八包</w:t>
      </w:r>
      <w:r>
        <w:rPr>
          <w:rFonts w:hint="eastAsia" w:asciiTheme="minorEastAsia" w:hAnsiTheme="minorEastAsia" w:eastAsiaTheme="minorEastAsia" w:cstheme="minorEastAsia"/>
          <w:b/>
          <w:color w:val="auto"/>
          <w:sz w:val="24"/>
          <w:szCs w:val="24"/>
          <w:highlight w:val="none"/>
        </w:rPr>
        <w:t>评分标准</w:t>
      </w:r>
      <w:r>
        <w:rPr>
          <w:rFonts w:hint="eastAsia" w:asciiTheme="minorEastAsia" w:hAnsiTheme="minorEastAsia" w:eastAsiaTheme="minorEastAsia" w:cstheme="minorEastAsia"/>
          <w:b/>
          <w:color w:val="auto"/>
          <w:sz w:val="24"/>
          <w:szCs w:val="24"/>
          <w:highlight w:val="none"/>
          <w:lang w:eastAsia="zh-CN"/>
        </w:rPr>
        <w:t>：</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评分因</w:t>
            </w:r>
          </w:p>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小数点保留后四位</w:t>
            </w:r>
            <w:r>
              <w:rPr>
                <w:rFonts w:hint="eastAsia" w:asciiTheme="minorEastAsia" w:hAnsiTheme="minorEastAsia" w:eastAsiaTheme="minorEastAsia" w:cstheme="minorEastAsia"/>
                <w:color w:val="auto"/>
                <w:kern w:val="0"/>
                <w:sz w:val="24"/>
                <w:szCs w:val="24"/>
                <w:highlight w:val="none"/>
                <w:lang w:eastAsia="zh-CN"/>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1.投标人所投产品技术参数完全响应招标文件要求的，得34分；</w:t>
            </w:r>
          </w:p>
          <w:p>
            <w:pPr>
              <w:pStyle w:val="31"/>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kern w:val="0"/>
                <w:sz w:val="24"/>
                <w:szCs w:val="24"/>
                <w:highlight w:val="none"/>
                <w:lang w:val="en-US" w:eastAsia="zh-CN"/>
              </w:rPr>
              <w:t>主要技术参数存在负偏离的（29条），每一条扣0.6分，最多扣17.4分。</w:t>
            </w:r>
          </w:p>
          <w:p>
            <w:pPr>
              <w:pStyle w:val="31"/>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3.一般技术参数存在负偏离的（62条），每一条扣0.3分，最多扣16.6分。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val="en-US" w:eastAsia="zh-CN"/>
              </w:rPr>
              <w:t>2021</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000000" w:themeColor="text1"/>
                <w:sz w:val="24"/>
                <w:szCs w:val="24"/>
                <w:highlight w:val="red"/>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项目组织方案包括但不限于：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000000" w:themeColor="text1"/>
                <w:sz w:val="24"/>
                <w:szCs w:val="24"/>
                <w:highlight w:val="red"/>
                <w:lang w:val="en-US" w:eastAsia="zh-CN"/>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000000" w:themeColor="text1"/>
                <w:kern w:val="0"/>
                <w:sz w:val="24"/>
                <w:szCs w:val="24"/>
                <w:highlight w:val="red"/>
                <w:lang w:val="en-US" w:eastAsia="zh-CN"/>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技术培训方案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000000" w:themeColor="text1"/>
                <w:kern w:val="0"/>
                <w:sz w:val="24"/>
                <w:szCs w:val="24"/>
                <w:highlight w:val="red"/>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000000" w:themeColor="text1"/>
                <w:sz w:val="24"/>
                <w:szCs w:val="24"/>
                <w:highlight w:val="red"/>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lang w:eastAsia="zh-CN"/>
              </w:rPr>
              <w:t>投标</w:t>
            </w:r>
            <w:r>
              <w:rPr>
                <w:rFonts w:hint="eastAsia" w:hAnsi="宋体" w:cs="宋体"/>
                <w:color w:val="auto"/>
                <w:sz w:val="24"/>
                <w:szCs w:val="24"/>
                <w:highlight w:val="none"/>
              </w:rPr>
              <w:t>样品</w:t>
            </w:r>
            <w:r>
              <w:rPr>
                <w:rFonts w:hint="eastAsia" w:hAnsi="宋体" w:cs="宋体"/>
                <w:color w:val="auto"/>
                <w:sz w:val="24"/>
                <w:szCs w:val="24"/>
                <w:highlight w:val="none"/>
                <w:lang w:eastAsia="zh-CN"/>
              </w:rPr>
              <w:t>评价</w:t>
            </w:r>
          </w:p>
        </w:tc>
        <w:tc>
          <w:tcPr>
            <w:tcW w:w="5954" w:type="dxa"/>
            <w:tcMar>
              <w:top w:w="15" w:type="dxa"/>
              <w:left w:w="15" w:type="dxa"/>
              <w:right w:w="15" w:type="dxa"/>
            </w:tcMar>
            <w:vAlign w:val="center"/>
          </w:tcPr>
          <w:p>
            <w:pPr>
              <w:snapToGrid w:val="0"/>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投标人须按照所投标包提供符合采购文件第六章“项目需求”的要求的样品。所递交样品上不得体现投标人或制造商名称或其他标识，相应位置须一律空白。未提供样品或所提供样品不符合招标文件要求的，本项不得分。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napToGrid w:val="0"/>
              <w:spacing w:line="40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4"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合计：100分</w:t>
            </w:r>
          </w:p>
        </w:tc>
      </w:tr>
    </w:tbl>
    <w:p>
      <w:pPr>
        <w:rPr>
          <w:rFonts w:hint="eastAsia"/>
          <w:b/>
          <w:bCs/>
          <w:lang w:eastAsia="zh-CN"/>
        </w:rPr>
      </w:pPr>
    </w:p>
    <w:p>
      <w:pPr>
        <w:spacing w:line="240" w:lineRule="auto"/>
        <w:ind w:firstLine="0" w:firstLineChars="0"/>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第三十九包</w:t>
      </w:r>
      <w:r>
        <w:rPr>
          <w:rFonts w:hint="eastAsia" w:asciiTheme="minorEastAsia" w:hAnsiTheme="minorEastAsia" w:eastAsiaTheme="minorEastAsia" w:cstheme="minorEastAsia"/>
          <w:b/>
          <w:color w:val="auto"/>
          <w:sz w:val="24"/>
          <w:szCs w:val="24"/>
          <w:highlight w:val="none"/>
        </w:rPr>
        <w:t>评分标准</w:t>
      </w:r>
      <w:r>
        <w:rPr>
          <w:rFonts w:hint="eastAsia" w:asciiTheme="minorEastAsia" w:hAnsiTheme="minorEastAsia" w:eastAsiaTheme="minorEastAsia" w:cstheme="minorEastAsia"/>
          <w:b/>
          <w:color w:val="auto"/>
          <w:sz w:val="24"/>
          <w:szCs w:val="24"/>
          <w:highlight w:val="none"/>
          <w:lang w:eastAsia="zh-CN"/>
        </w:rPr>
        <w:t>：</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评分因</w:t>
            </w:r>
          </w:p>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小数点保留后四位</w:t>
            </w:r>
            <w:r>
              <w:rPr>
                <w:rFonts w:hint="eastAsia" w:asciiTheme="minorEastAsia" w:hAnsiTheme="minorEastAsia" w:eastAsiaTheme="minorEastAsia" w:cstheme="minorEastAsia"/>
                <w:color w:val="auto"/>
                <w:kern w:val="0"/>
                <w:sz w:val="24"/>
                <w:szCs w:val="24"/>
                <w:highlight w:val="none"/>
                <w:lang w:eastAsia="zh-CN"/>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1.投标人所投产品技术参数完全响应招标文件要求的，得36分；</w:t>
            </w:r>
          </w:p>
          <w:p>
            <w:pPr>
              <w:pStyle w:val="31"/>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kern w:val="0"/>
                <w:sz w:val="24"/>
                <w:szCs w:val="24"/>
                <w:highlight w:val="none"/>
                <w:lang w:val="en-US" w:eastAsia="zh-CN"/>
              </w:rPr>
              <w:t>主要技术参数存在负偏离的（13条），每一条扣2分，最多扣26分。</w:t>
            </w:r>
          </w:p>
          <w:p>
            <w:pPr>
              <w:pStyle w:val="31"/>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3.一般技术参数存在负偏离的（14条），每一条扣1分，最多扣10分。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val="en-US" w:eastAsia="zh-CN"/>
              </w:rPr>
              <w:t>2021</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000000" w:themeColor="text1"/>
                <w:sz w:val="24"/>
                <w:szCs w:val="24"/>
                <w:highlight w:val="red"/>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项目组织方案包括但不限于：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000000" w:themeColor="text1"/>
                <w:sz w:val="24"/>
                <w:szCs w:val="24"/>
                <w:highlight w:val="red"/>
                <w:lang w:val="en-US" w:eastAsia="zh-CN"/>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000000" w:themeColor="text1"/>
                <w:kern w:val="0"/>
                <w:sz w:val="24"/>
                <w:szCs w:val="24"/>
                <w:highlight w:val="red"/>
                <w:lang w:val="en-US" w:eastAsia="zh-CN"/>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技术培训方案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000000" w:themeColor="text1"/>
                <w:kern w:val="0"/>
                <w:sz w:val="24"/>
                <w:szCs w:val="24"/>
                <w:highlight w:val="red"/>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000000" w:themeColor="text1"/>
                <w:sz w:val="24"/>
                <w:szCs w:val="24"/>
                <w:highlight w:val="red"/>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lang w:eastAsia="zh-CN"/>
              </w:rPr>
              <w:t>投标</w:t>
            </w:r>
            <w:r>
              <w:rPr>
                <w:rFonts w:hint="eastAsia" w:hAnsi="宋体" w:cs="宋体"/>
                <w:color w:val="auto"/>
                <w:sz w:val="24"/>
                <w:szCs w:val="24"/>
                <w:highlight w:val="none"/>
              </w:rPr>
              <w:t>样品</w:t>
            </w:r>
            <w:r>
              <w:rPr>
                <w:rFonts w:hint="eastAsia" w:hAnsi="宋体" w:cs="宋体"/>
                <w:color w:val="auto"/>
                <w:sz w:val="24"/>
                <w:szCs w:val="24"/>
                <w:highlight w:val="none"/>
                <w:lang w:eastAsia="zh-CN"/>
              </w:rPr>
              <w:t>评价</w:t>
            </w:r>
          </w:p>
        </w:tc>
        <w:tc>
          <w:tcPr>
            <w:tcW w:w="5954" w:type="dxa"/>
            <w:tcMar>
              <w:top w:w="15" w:type="dxa"/>
              <w:left w:w="15" w:type="dxa"/>
              <w:right w:w="15" w:type="dxa"/>
            </w:tcMar>
            <w:vAlign w:val="center"/>
          </w:tcPr>
          <w:p>
            <w:pPr>
              <w:snapToGrid w:val="0"/>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投标人须按照所投标包提供符合采购文件第六章“项目需求”的要求的样品。所递交样品上不得体现投标人或制造商名称或其他标识，相应位置须一律空白。未提供样品或所提供样品不符合招标文件要求的，本项不得分。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napToGrid w:val="0"/>
              <w:spacing w:line="40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4"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合计：100分</w:t>
            </w:r>
          </w:p>
        </w:tc>
      </w:tr>
    </w:tbl>
    <w:p>
      <w:pPr>
        <w:pStyle w:val="2"/>
        <w:ind w:left="0" w:leftChars="0" w:firstLine="0" w:firstLineChars="0"/>
        <w:rPr>
          <w:rFonts w:hint="eastAsia" w:asciiTheme="minorEastAsia" w:hAnsiTheme="minorEastAsia" w:eastAsiaTheme="minorEastAsia" w:cstheme="minorEastAsia"/>
          <w:b/>
          <w:color w:val="auto"/>
          <w:sz w:val="24"/>
          <w:szCs w:val="24"/>
          <w:highlight w:val="red"/>
          <w:lang w:eastAsia="zh-CN"/>
        </w:rPr>
      </w:pPr>
      <w:r>
        <w:rPr>
          <w:rFonts w:hint="eastAsia" w:asciiTheme="minorEastAsia" w:hAnsiTheme="minorEastAsia" w:eastAsiaTheme="minorEastAsia" w:cstheme="minorEastAsia"/>
          <w:b/>
          <w:color w:val="auto"/>
          <w:sz w:val="24"/>
          <w:szCs w:val="24"/>
          <w:highlight w:val="none"/>
          <w:lang w:val="en-US" w:eastAsia="zh-CN"/>
        </w:rPr>
        <w:t>第四十包</w:t>
      </w:r>
      <w:r>
        <w:rPr>
          <w:rFonts w:hint="eastAsia" w:asciiTheme="minorEastAsia" w:hAnsiTheme="minorEastAsia" w:eastAsiaTheme="minorEastAsia" w:cstheme="minorEastAsia"/>
          <w:b/>
          <w:color w:val="auto"/>
          <w:sz w:val="24"/>
          <w:szCs w:val="24"/>
          <w:highlight w:val="none"/>
        </w:rPr>
        <w:t>评分标准</w:t>
      </w:r>
      <w:r>
        <w:rPr>
          <w:rFonts w:hint="eastAsia" w:asciiTheme="minorEastAsia" w:hAnsiTheme="minorEastAsia" w:eastAsiaTheme="minorEastAsia" w:cstheme="minorEastAsia"/>
          <w:b/>
          <w:color w:val="auto"/>
          <w:sz w:val="24"/>
          <w:szCs w:val="24"/>
          <w:highlight w:val="none"/>
          <w:lang w:eastAsia="zh-CN"/>
        </w:rPr>
        <w:t>：</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小数点保留后四位</w:t>
            </w:r>
            <w:r>
              <w:rPr>
                <w:rFonts w:hint="eastAsia" w:asciiTheme="minorEastAsia" w:hAnsiTheme="minorEastAsia" w:eastAsiaTheme="minorEastAsia" w:cstheme="minorEastAsia"/>
                <w:color w:val="auto"/>
                <w:kern w:val="0"/>
                <w:sz w:val="24"/>
                <w:szCs w:val="24"/>
                <w:highlight w:val="none"/>
                <w:lang w:eastAsia="zh-CN"/>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1.投标人所投产品技术参数完全响应招标文件要求的，得33分；</w:t>
            </w:r>
          </w:p>
          <w:p>
            <w:pPr>
              <w:pStyle w:val="31"/>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kern w:val="0"/>
                <w:sz w:val="24"/>
                <w:szCs w:val="24"/>
                <w:highlight w:val="none"/>
                <w:lang w:val="en-US" w:eastAsia="zh-CN"/>
              </w:rPr>
              <w:t>主要技术参数存在负偏离的（9条），每一条扣2分，最多扣18分。</w:t>
            </w:r>
          </w:p>
          <w:p>
            <w:pPr>
              <w:pStyle w:val="31"/>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3.一般技术参数存在负偏离的（14条），每一条扣1.5分，最多扣15分。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val="en-US" w:eastAsia="zh-CN"/>
              </w:rPr>
              <w:t>2021</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000000" w:themeColor="text1"/>
                <w:sz w:val="24"/>
                <w:szCs w:val="24"/>
                <w:highlight w:val="red"/>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12</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3</w:t>
            </w:r>
            <w:r>
              <w:rPr>
                <w:rFonts w:hint="eastAsia"/>
                <w:b w:val="0"/>
                <w:bCs w:val="0"/>
                <w:color w:val="auto"/>
                <w:sz w:val="24"/>
                <w:szCs w:val="24"/>
                <w:highlight w:val="none"/>
              </w:rPr>
              <w:t>分，扣完为止；未提供项目实施方案的，此项不得分。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000000" w:themeColor="text1"/>
                <w:sz w:val="24"/>
                <w:szCs w:val="24"/>
                <w:highlight w:val="red"/>
                <w:lang w:val="en-US" w:eastAsia="zh-CN"/>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000000" w:themeColor="text1"/>
                <w:kern w:val="0"/>
                <w:sz w:val="24"/>
                <w:szCs w:val="24"/>
                <w:highlight w:val="red"/>
                <w:lang w:val="en-US" w:eastAsia="zh-CN"/>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分，扣完为止；未提供</w:t>
            </w:r>
            <w:r>
              <w:rPr>
                <w:rFonts w:hint="eastAsia" w:ascii="Times New Roman" w:hAnsi="Times New Roman" w:eastAsia="宋体" w:cs="Times New Roman"/>
                <w:color w:val="auto"/>
                <w:sz w:val="24"/>
                <w:szCs w:val="24"/>
                <w:highlight w:val="none"/>
                <w:lang w:eastAsia="zh-CN"/>
              </w:rPr>
              <w:t>项目培训方案</w:t>
            </w:r>
            <w:r>
              <w:rPr>
                <w:rFonts w:hint="eastAsia" w:ascii="Times New Roman" w:hAnsi="Times New Roman" w:eastAsia="宋体" w:cs="Times New Roman"/>
                <w:color w:val="auto"/>
                <w:sz w:val="24"/>
                <w:szCs w:val="24"/>
                <w:highlight w:val="none"/>
                <w:lang w:val="en-US" w:eastAsia="zh-CN"/>
              </w:rPr>
              <w:t>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000000" w:themeColor="text1"/>
                <w:kern w:val="0"/>
                <w:sz w:val="24"/>
                <w:szCs w:val="24"/>
                <w:highlight w:val="red"/>
                <w14:textFill>
                  <w14:solidFill>
                    <w14:schemeClr w14:val="tx1"/>
                  </w14:solidFill>
                </w14:textFill>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000000" w:themeColor="text1"/>
                <w:sz w:val="24"/>
                <w:szCs w:val="24"/>
                <w:highlight w:val="red"/>
                <w14:textFill>
                  <w14:solidFill>
                    <w14:schemeClr w14:val="tx1"/>
                  </w14:solidFill>
                </w14:textFill>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4"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合计：100分</w:t>
            </w:r>
          </w:p>
        </w:tc>
      </w:tr>
    </w:tbl>
    <w:p>
      <w:pPr>
        <w:rPr>
          <w:rFonts w:hint="eastAsia"/>
          <w:lang w:val="en-US" w:eastAsia="zh-CN"/>
        </w:rPr>
      </w:pPr>
    </w:p>
    <w:p>
      <w:pPr>
        <w:pStyle w:val="6"/>
        <w:rPr>
          <w:rFonts w:hint="eastAsia" w:asciiTheme="minorEastAsia" w:hAnsiTheme="minorEastAsia" w:eastAsiaTheme="minorEastAsia" w:cstheme="minorEastAsia"/>
          <w:b/>
          <w:bCs/>
          <w:color w:val="auto"/>
          <w:sz w:val="24"/>
          <w:szCs w:val="24"/>
          <w:highlight w:val="none"/>
        </w:rPr>
      </w:pPr>
    </w:p>
    <w:p>
      <w:pPr>
        <w:pStyle w:val="6"/>
        <w:rPr>
          <w:rFonts w:hint="eastAsia" w:asciiTheme="minorEastAsia" w:hAnsiTheme="minorEastAsia" w:eastAsiaTheme="minorEastAsia" w:cstheme="minorEastAsia"/>
          <w:b/>
          <w:bCs/>
          <w:color w:val="auto"/>
          <w:sz w:val="24"/>
          <w:szCs w:val="24"/>
          <w:highlight w:val="none"/>
        </w:rPr>
      </w:pPr>
    </w:p>
    <w:p>
      <w:pPr>
        <w:pStyle w:val="6"/>
        <w:rPr>
          <w:rFonts w:hint="eastAsia" w:asciiTheme="minorEastAsia" w:hAnsiTheme="minorEastAsia" w:eastAsiaTheme="minorEastAsia" w:cstheme="minorEastAsia"/>
          <w:b/>
          <w:bCs/>
          <w:color w:val="auto"/>
          <w:sz w:val="24"/>
          <w:szCs w:val="24"/>
          <w:highlight w:val="none"/>
        </w:rPr>
      </w:pPr>
    </w:p>
    <w:p>
      <w:pPr>
        <w:pStyle w:val="6"/>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6"/>
    <w:bookmarkEnd w:id="17"/>
    <w:bookmarkEnd w:id="18"/>
    <w:bookmarkEnd w:id="19"/>
    <w:bookmarkEnd w:id="20"/>
    <w:bookmarkEnd w:id="21"/>
    <w:bookmarkEnd w:id="31"/>
    <w:p>
      <w:pPr>
        <w:spacing w:line="400" w:lineRule="exact"/>
        <w:ind w:firstLine="480" w:firstLineChars="200"/>
        <w:rPr>
          <w:rFonts w:asciiTheme="minorEastAsia" w:hAnsiTheme="minorEastAsia" w:eastAsiaTheme="minorEastAsia" w:cstheme="minorEastAsia"/>
          <w:color w:val="auto"/>
          <w:sz w:val="24"/>
          <w:szCs w:val="24"/>
          <w:highlight w:val="none"/>
        </w:rPr>
      </w:pPr>
      <w:bookmarkStart w:id="100" w:name="_Toc26728"/>
      <w:bookmarkStart w:id="101" w:name="_Toc12223"/>
      <w:bookmarkStart w:id="102" w:name="_Toc120614244"/>
      <w:bookmarkStart w:id="103" w:name="_Toc479757211"/>
      <w:bookmarkStart w:id="104" w:name="_Toc20823346"/>
      <w:bookmarkStart w:id="105" w:name="_Toc16938590"/>
      <w:bookmarkStart w:id="106" w:name="_Hlt16619350"/>
      <w:bookmarkStart w:id="107" w:name="_Toc462564139"/>
      <w:bookmarkStart w:id="108" w:name="_Toc31151"/>
      <w:bookmarkStart w:id="109" w:name="_Toc9411"/>
      <w:r>
        <w:rPr>
          <w:rFonts w:hint="eastAsia" w:asciiTheme="minorEastAsia" w:hAnsiTheme="minorEastAsia" w:eastAsiaTheme="minorEastAsia" w:cstheme="minorEastAsia"/>
          <w:color w:val="auto"/>
          <w:sz w:val="24"/>
          <w:szCs w:val="24"/>
          <w:highlight w:val="none"/>
        </w:rPr>
        <w:t>1.小微型企业价格扣除</w:t>
      </w:r>
    </w:p>
    <w:p>
      <w:pPr>
        <w:spacing w:line="400" w:lineRule="exact"/>
        <w:ind w:firstLine="480" w:firstLineChars="200"/>
        <w:rPr>
          <w:rFonts w:hint="eastAsia" w:asciiTheme="minorEastAsia" w:hAnsiTheme="minorEastAsia" w:eastAsiaTheme="minorEastAsia" w:cstheme="minorEastAsia"/>
          <w:color w:val="auto"/>
          <w:sz w:val="24"/>
          <w:szCs w:val="24"/>
          <w:highlight w:val="red"/>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本项目第三十五包、第三十六包、第三十七包、第三十八包、第四十包专门面向中小企业采购，价格不再进行财政政策扣除；第三十九包非专门面向中小企业采购，投标人所提供货物的制造商为小型、微型企业的，给予10%的价格扣除；</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供应商需按照采购文件的要求提供相应的《中小企业声明函》。</w:t>
      </w:r>
    </w:p>
    <w:p>
      <w:pPr>
        <w:spacing w:line="400" w:lineRule="exact"/>
        <w:ind w:firstLine="480" w:firstLineChars="200"/>
        <w:rPr>
          <w:rFonts w:hint="eastAsia"/>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pPr>
        <w:spacing w:line="40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1）本项目第三十五包、第三十六包、第三十七包、第三十八包、第四十包专门面向中小企业采购，价格不再进行财政政策扣除；第三十九包非专门面向中小企业采购，对残疾人福利性单位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pPr>
        <w:spacing w:line="400" w:lineRule="exact"/>
        <w:ind w:firstLine="480" w:firstLineChars="200"/>
        <w:rPr>
          <w:rFonts w:hint="eastAsia" w:asciiTheme="minorEastAsia" w:hAnsiTheme="minorEastAsia" w:eastAsiaTheme="minorEastAsia" w:cstheme="minorEastAsia"/>
          <w:color w:val="auto"/>
          <w:sz w:val="24"/>
          <w:szCs w:val="24"/>
          <w:highlight w:val="red"/>
          <w:lang w:eastAsia="zh-CN"/>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1）本项目第三十五包、第三十六包、第三十七包、第三十八包、第四十包专门面向中小企业采购，价格不再进行财政政策扣除；第三十九包非专门面向中小企业采购，对监狱和戒毒企业（简称监狱企业）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p>
    <w:p>
      <w:pPr>
        <w:pStyle w:val="5"/>
        <w:jc w:val="both"/>
        <w:rPr>
          <w:rFonts w:hint="eastAsia"/>
          <w:color w:val="auto"/>
          <w:highlight w:val="none"/>
        </w:rPr>
      </w:pPr>
      <w:bookmarkStart w:id="110" w:name="_Toc1385"/>
    </w:p>
    <w:p>
      <w:pPr>
        <w:pStyle w:val="5"/>
        <w:rPr>
          <w:rFonts w:hint="eastAsia"/>
          <w:color w:val="auto"/>
          <w:highlight w:val="none"/>
        </w:rPr>
      </w:pPr>
      <w:r>
        <w:rPr>
          <w:rFonts w:hint="eastAsia"/>
          <w:color w:val="auto"/>
          <w:highlight w:val="none"/>
        </w:rPr>
        <w:t>第四章拟订立的合同样本</w:t>
      </w:r>
      <w:bookmarkEnd w:id="100"/>
      <w:bookmarkEnd w:id="101"/>
      <w:bookmarkEnd w:id="110"/>
    </w:p>
    <w:p>
      <w:pPr>
        <w:pStyle w:val="6"/>
        <w:rPr>
          <w:rFonts w:hint="eastAsia"/>
          <w:color w:val="auto"/>
          <w:highlight w:val="none"/>
        </w:rPr>
      </w:pPr>
    </w:p>
    <w:p>
      <w:pPr>
        <w:rPr>
          <w:rFonts w:hint="eastAsia"/>
          <w:color w:val="auto"/>
          <w:highlight w:val="none"/>
        </w:rPr>
      </w:pPr>
    </w:p>
    <w:p>
      <w:pPr>
        <w:pStyle w:val="31"/>
        <w:rPr>
          <w:rFonts w:hint="eastAsia"/>
          <w:color w:val="auto"/>
          <w:highlight w:val="none"/>
        </w:rPr>
      </w:pPr>
    </w:p>
    <w:p>
      <w:pPr>
        <w:pStyle w:val="31"/>
        <w:rPr>
          <w:rFonts w:hint="eastAsia"/>
          <w:color w:val="auto"/>
          <w:highlight w:val="none"/>
        </w:rPr>
      </w:pPr>
    </w:p>
    <w:p>
      <w:pPr>
        <w:pStyle w:val="31"/>
        <w:rPr>
          <w:rFonts w:hint="eastAsia"/>
          <w:color w:val="auto"/>
          <w:highlight w:val="none"/>
        </w:rPr>
      </w:pPr>
    </w:p>
    <w:p>
      <w:pPr>
        <w:pStyle w:val="31"/>
        <w:rPr>
          <w:rFonts w:hint="eastAsia"/>
          <w:color w:val="auto"/>
          <w:highlight w:val="none"/>
        </w:rPr>
      </w:pPr>
    </w:p>
    <w:p>
      <w:pPr>
        <w:pStyle w:val="31"/>
        <w:rPr>
          <w:rFonts w:hint="eastAsia"/>
          <w:color w:val="auto"/>
          <w:highlight w:val="none"/>
        </w:rPr>
      </w:pPr>
    </w:p>
    <w:p>
      <w:pPr>
        <w:pStyle w:val="31"/>
        <w:rPr>
          <w:rFonts w:hint="eastAsia"/>
          <w:color w:val="auto"/>
          <w:highlight w:val="none"/>
        </w:rPr>
      </w:pPr>
    </w:p>
    <w:p>
      <w:pPr>
        <w:pStyle w:val="6"/>
        <w:ind w:firstLine="0"/>
        <w:rPr>
          <w:color w:val="auto"/>
          <w:highlight w:val="none"/>
        </w:rPr>
      </w:pPr>
    </w:p>
    <w:bookmarkEnd w:id="102"/>
    <w:bookmarkEnd w:id="103"/>
    <w:bookmarkEnd w:id="104"/>
    <w:bookmarkEnd w:id="105"/>
    <w:bookmarkEnd w:id="106"/>
    <w:bookmarkEnd w:id="107"/>
    <w:p>
      <w:pPr>
        <w:adjustRightInd w:val="0"/>
        <w:snapToGrid w:val="0"/>
        <w:spacing w:line="360" w:lineRule="auto"/>
        <w:jc w:val="center"/>
        <w:rPr>
          <w:rFonts w:hAnsi="宋体"/>
          <w:b/>
          <w:bCs/>
          <w:color w:val="auto"/>
          <w:sz w:val="44"/>
          <w:szCs w:val="44"/>
          <w:highlight w:val="none"/>
        </w:rPr>
      </w:pPr>
      <w:bookmarkStart w:id="111" w:name="_Toc9510642"/>
      <w:r>
        <w:rPr>
          <w:rFonts w:hint="eastAsia" w:hAnsi="宋体"/>
          <w:b/>
          <w:bCs/>
          <w:color w:val="auto"/>
          <w:sz w:val="36"/>
          <w:szCs w:val="36"/>
          <w:highlight w:val="none"/>
          <w:lang w:eastAsia="zh-CN"/>
        </w:rPr>
        <w:t>新疆消防救援总队昌吉支队“自然灾害应急能力提升工程”装备配备项目（六）</w:t>
      </w:r>
      <w:r>
        <w:rPr>
          <w:rFonts w:hint="eastAsia" w:hAnsi="宋体"/>
          <w:b/>
          <w:bCs/>
          <w:color w:val="auto"/>
          <w:sz w:val="36"/>
          <w:szCs w:val="36"/>
          <w:highlight w:val="none"/>
        </w:rPr>
        <w:t>合同</w:t>
      </w:r>
    </w:p>
    <w:p>
      <w:pPr>
        <w:rPr>
          <w:color w:val="auto"/>
          <w:highlight w:val="none"/>
        </w:rPr>
      </w:pPr>
    </w:p>
    <w:p>
      <w:pPr>
        <w:pStyle w:val="16"/>
        <w:rPr>
          <w:color w:val="auto"/>
          <w:highlight w:val="none"/>
        </w:rPr>
      </w:pPr>
    </w:p>
    <w:p>
      <w:pPr>
        <w:pStyle w:val="6"/>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本合同仅供参考，最终以与采购人实际签订合同为准</w:t>
      </w:r>
    </w:p>
    <w:p>
      <w:pPr>
        <w:pStyle w:val="16"/>
        <w:rPr>
          <w:color w:val="auto"/>
          <w:highlight w:val="none"/>
        </w:rPr>
      </w:pPr>
    </w:p>
    <w:p>
      <w:pPr>
        <w:pStyle w:val="16"/>
        <w:rPr>
          <w:color w:val="auto"/>
          <w:highlight w:val="none"/>
        </w:rPr>
      </w:pPr>
    </w:p>
    <w:p>
      <w:pPr>
        <w:pStyle w:val="16"/>
        <w:rPr>
          <w:color w:val="auto"/>
          <w:highlight w:val="none"/>
        </w:rPr>
      </w:pP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买方（甲方）：</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卖方（乙方）：</w:t>
      </w:r>
    </w:p>
    <w:p>
      <w:pPr>
        <w:snapToGrid w:val="0"/>
        <w:spacing w:line="400" w:lineRule="exact"/>
        <w:rPr>
          <w:rFonts w:ascii="宋体" w:hAnsi="宋体"/>
          <w:color w:val="auto"/>
          <w:sz w:val="24"/>
          <w:highlight w:val="none"/>
        </w:rPr>
      </w:pPr>
      <w:r>
        <w:rPr>
          <w:rFonts w:hint="eastAsia" w:ascii="宋体" w:hAnsi="宋体"/>
          <w:color w:val="auto"/>
          <w:sz w:val="24"/>
          <w:highlight w:val="none"/>
        </w:rPr>
        <w:t>法定代表人：</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pStyle w:val="16"/>
        <w:rPr>
          <w:color w:val="auto"/>
          <w:highlight w:val="none"/>
        </w:rPr>
      </w:pPr>
    </w:p>
    <w:p>
      <w:pPr>
        <w:pStyle w:val="16"/>
        <w:rPr>
          <w:color w:val="auto"/>
          <w:highlight w:val="none"/>
        </w:rPr>
      </w:pPr>
    </w:p>
    <w:p>
      <w:pPr>
        <w:pStyle w:val="35"/>
        <w:snapToGrid w:val="0"/>
        <w:spacing w:before="0" w:beforeAutospacing="0" w:after="0" w:afterAutospacing="0" w:line="400" w:lineRule="exact"/>
        <w:ind w:firstLine="420"/>
        <w:rPr>
          <w:b/>
          <w:bCs/>
          <w:color w:val="auto"/>
          <w:highlight w:val="none"/>
          <w:u w:val="single"/>
        </w:rPr>
      </w:pPr>
      <w:r>
        <w:rPr>
          <w:rFonts w:hint="eastAsia"/>
          <w:color w:val="auto"/>
          <w:highlight w:val="none"/>
        </w:rPr>
        <w:t>买、卖双方本着公平自愿、平等互利、协商一致的原则，就</w:t>
      </w:r>
      <w:r>
        <w:rPr>
          <w:rFonts w:hint="eastAsia"/>
          <w:b/>
          <w:bCs/>
          <w:color w:val="auto"/>
          <w:highlight w:val="none"/>
          <w:u w:val="single"/>
        </w:rPr>
        <w:t>项目</w:t>
      </w:r>
      <w:r>
        <w:rPr>
          <w:rFonts w:hint="eastAsia"/>
          <w:b/>
          <w:bCs/>
          <w:color w:val="auto"/>
          <w:highlight w:val="none"/>
          <w:u w:val="single"/>
          <w:lang w:val="en-US" w:eastAsia="zh-CN"/>
        </w:rPr>
        <w:t>第    包</w:t>
      </w:r>
      <w:r>
        <w:rPr>
          <w:rFonts w:hint="eastAsia"/>
          <w:color w:val="auto"/>
          <w:highlight w:val="none"/>
        </w:rPr>
        <w:t>签订本合同，双方信守执行。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合同文本组成及解释顺序：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第一章：合同协议书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第二章：合同基本条款</w:t>
      </w:r>
    </w:p>
    <w:p>
      <w:pPr>
        <w:widowControl/>
        <w:snapToGrid w:val="0"/>
        <w:spacing w:line="400" w:lineRule="exact"/>
        <w:rPr>
          <w:rFonts w:ascii="宋体" w:hAnsi="宋体"/>
          <w:color w:val="auto"/>
          <w:sz w:val="24"/>
          <w:highlight w:val="none"/>
        </w:rPr>
      </w:pPr>
      <w:r>
        <w:rPr>
          <w:rFonts w:ascii="宋体" w:hAnsi="宋体"/>
          <w:b/>
          <w:bCs/>
          <w:color w:val="auto"/>
          <w:sz w:val="36"/>
          <w:szCs w:val="36"/>
          <w:highlight w:val="none"/>
        </w:rPr>
        <w:br w:type="page"/>
      </w:r>
      <w:r>
        <w:rPr>
          <w:rFonts w:hint="eastAsia" w:ascii="宋体" w:hAnsi="宋体"/>
          <w:b/>
          <w:bCs/>
          <w:color w:val="auto"/>
          <w:sz w:val="36"/>
          <w:szCs w:val="36"/>
          <w:highlight w:val="none"/>
        </w:rPr>
        <w:t>一、  合同协议书</w:t>
      </w:r>
    </w:p>
    <w:p>
      <w:pPr>
        <w:tabs>
          <w:tab w:val="left" w:pos="5940"/>
        </w:tabs>
        <w:snapToGrid w:val="0"/>
        <w:spacing w:line="400" w:lineRule="exact"/>
        <w:ind w:firstLine="480" w:firstLineChars="200"/>
        <w:rPr>
          <w:rFonts w:ascii="宋体" w:hAnsi="宋体"/>
          <w:color w:val="auto"/>
          <w:sz w:val="24"/>
          <w:highlight w:val="none"/>
        </w:rPr>
      </w:pPr>
    </w:p>
    <w:p>
      <w:pPr>
        <w:tabs>
          <w:tab w:val="left" w:pos="5940"/>
        </w:tabs>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  商品名称、规格、型号、单位、数量、单价、金额详见清单。</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rPr>
                <w:rFonts w:ascii="宋体" w:hAnsi="宋体" w:cs="宋体"/>
                <w:color w:val="auto"/>
                <w:kern w:val="0"/>
                <w:sz w:val="22"/>
                <w:szCs w:val="22"/>
                <w:highlight w:val="none"/>
              </w:rPr>
            </w:pPr>
            <w:r>
              <w:rPr>
                <w:rFonts w:hint="eastAsia" w:ascii="宋体" w:hAnsi="宋体" w:cs="宋体"/>
                <w:color w:val="auto"/>
                <w:kern w:val="0"/>
                <w:sz w:val="22"/>
                <w:szCs w:val="22"/>
                <w:highlight w:val="none"/>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xml:space="preserve">履约保证金 </w:t>
            </w:r>
          </w:p>
        </w:tc>
      </w:tr>
      <w:tr>
        <w:tblPrEx>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r>
      <w:tr>
        <w:tblPrEx>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技术参数</w:t>
            </w:r>
          </w:p>
        </w:tc>
      </w:tr>
      <w:tr>
        <w:tblPrEx>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400" w:lineRule="exact"/>
              <w:ind w:firstLine="220" w:firstLineChars="100"/>
              <w:rPr>
                <w:rFonts w:ascii="宋体" w:hAnsi="宋体"/>
                <w:bCs/>
                <w:color w:val="auto"/>
                <w:sz w:val="22"/>
                <w:szCs w:val="22"/>
                <w:highlight w:val="none"/>
              </w:rPr>
            </w:pPr>
          </w:p>
        </w:tc>
      </w:tr>
    </w:tbl>
    <w:p>
      <w:pPr>
        <w:snapToGrid w:val="0"/>
        <w:spacing w:line="400" w:lineRule="exact"/>
        <w:ind w:firstLine="480" w:firstLineChars="200"/>
        <w:rPr>
          <w:rFonts w:ascii="宋体" w:hAnsi="宋体"/>
          <w:color w:val="auto"/>
          <w:sz w:val="24"/>
          <w:highlight w:val="none"/>
        </w:rPr>
      </w:pPr>
    </w:p>
    <w:p>
      <w:pPr>
        <w:numPr>
          <w:ilvl w:val="0"/>
          <w:numId w:val="10"/>
        </w:num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合同价款及结算方式（大写）</w:t>
      </w:r>
      <w:r>
        <w:rPr>
          <w:rFonts w:hint="eastAsia" w:ascii="宋体" w:hAnsi="宋体"/>
          <w:color w:val="auto"/>
          <w:sz w:val="24"/>
          <w:highlight w:val="none"/>
          <w:u w:val="single"/>
        </w:rPr>
        <w:t>元整</w:t>
      </w:r>
      <w:r>
        <w:rPr>
          <w:rFonts w:hint="eastAsia" w:ascii="宋体" w:hAnsi="宋体"/>
          <w:color w:val="auto"/>
          <w:sz w:val="24"/>
          <w:highlight w:val="none"/>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color w:val="auto"/>
          <w:sz w:val="24"/>
          <w:highlight w:val="none"/>
        </w:rPr>
        <w:t>。</w:t>
      </w:r>
    </w:p>
    <w:p>
      <w:pPr>
        <w:numPr>
          <w:ilvl w:val="1"/>
          <w:numId w:val="10"/>
        </w:numPr>
        <w:snapToGri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履约保证金</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2.1.1</w:t>
      </w:r>
      <w:r>
        <w:rPr>
          <w:rFonts w:hint="eastAsia" w:ascii="宋体" w:hAnsi="宋体" w:cs="宋体"/>
          <w:color w:val="auto"/>
          <w:sz w:val="24"/>
          <w:highlight w:val="none"/>
          <w:lang w:val="zh-CN" w:eastAsia="zh-CN"/>
        </w:rPr>
        <w:t>履约保证金金额：签约合同价的</w:t>
      </w:r>
      <w:r>
        <w:rPr>
          <w:rFonts w:hint="eastAsia" w:ascii="宋体" w:hAnsi="宋体" w:cs="宋体"/>
          <w:color w:val="auto"/>
          <w:sz w:val="24"/>
          <w:highlight w:val="none"/>
          <w:lang w:val="en-US" w:eastAsia="zh-CN"/>
        </w:rPr>
        <w:t>5%；</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2.1.2履约保证金缴纳时间：合同签订之前</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2.1.3履约保证金缴纳方式：支票、汇票、本票或者金融机构、担保机构出具的保函等非现金形式。</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2.1.4履约保证金退还时间：</w:t>
      </w:r>
      <w:r>
        <w:rPr>
          <w:rFonts w:hint="eastAsia" w:ascii="宋体" w:hAnsi="宋体" w:cs="宋体"/>
          <w:color w:val="auto"/>
          <w:sz w:val="24"/>
          <w:highlight w:val="none"/>
        </w:rPr>
        <w:t>中标单位按合同约定交付全部产品，安装调试完毕，书面验收合格一年后，采购单位无息退还全部履约保证金。</w:t>
      </w:r>
    </w:p>
    <w:p>
      <w:pPr>
        <w:snapToGrid w:val="0"/>
        <w:spacing w:line="400" w:lineRule="exact"/>
        <w:ind w:firstLine="480" w:firstLineChars="200"/>
        <w:rPr>
          <w:rFonts w:hint="default"/>
          <w:lang w:val="en-US"/>
        </w:rPr>
      </w:pPr>
      <w:r>
        <w:rPr>
          <w:rFonts w:hint="eastAsia" w:ascii="宋体" w:hAnsi="宋体" w:cs="宋体"/>
          <w:color w:val="auto"/>
          <w:sz w:val="24"/>
          <w:highlight w:val="none"/>
          <w:lang w:val="en-US" w:eastAsia="zh-CN"/>
        </w:rPr>
        <w:t>2.1.5履约保证金不予退还的情形：1）成交供应商不履行与招标人订立的合同的，履约保证金不予退还；2）给招标人造成的损失超过履约保证金数额的，还应当对超过部分予以赔偿；3）没有提交履约保证金的，应当对招标人的损失承担赔偿责任。</w:t>
      </w:r>
    </w:p>
    <w:p>
      <w:pPr>
        <w:snapToGrid w:val="0"/>
        <w:spacing w:line="400" w:lineRule="exact"/>
        <w:ind w:left="139" w:leftChars="66" w:firstLine="360" w:firstLineChars="150"/>
        <w:rPr>
          <w:rFonts w:ascii="宋体" w:hAnsi="宋体"/>
          <w:bCs/>
          <w:color w:val="auto"/>
          <w:sz w:val="24"/>
          <w:highlight w:val="none"/>
        </w:rPr>
      </w:pPr>
      <w:r>
        <w:rPr>
          <w:rFonts w:hint="eastAsia" w:ascii="宋体" w:hAnsi="宋体"/>
          <w:bCs/>
          <w:color w:val="auto"/>
          <w:sz w:val="24"/>
          <w:highlight w:val="none"/>
        </w:rPr>
        <w:t>2.2 付款方式：</w:t>
      </w:r>
      <w:r>
        <w:rPr>
          <w:rFonts w:hint="eastAsia" w:ascii="宋体" w:hAnsi="宋体"/>
          <w:bCs/>
          <w:color w:val="auto"/>
          <w:sz w:val="24"/>
          <w:highlight w:val="none"/>
          <w:lang w:val="en-US" w:eastAsia="zh-CN"/>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w:t>
      </w:r>
      <w:r>
        <w:rPr>
          <w:rFonts w:hint="eastAsia" w:ascii="宋体" w:hAnsi="宋体" w:cs="宋体"/>
          <w:bCs/>
          <w:color w:val="auto"/>
          <w:sz w:val="24"/>
          <w:szCs w:val="22"/>
          <w:highlight w:val="none"/>
          <w:lang w:val="en-US" w:eastAsia="zh-CN"/>
        </w:rPr>
        <w:t>参照合同样本第二部分合同基本条款第14条违约责任执行</w:t>
      </w:r>
      <w:r>
        <w:rPr>
          <w:rFonts w:hint="eastAsia" w:ascii="宋体" w:hAnsi="宋体"/>
          <w:bCs/>
          <w:color w:val="auto"/>
          <w:sz w:val="24"/>
          <w:highlight w:val="none"/>
          <w:lang w:val="en-US" w:eastAsia="zh-CN"/>
        </w:rPr>
        <w:t>。</w:t>
      </w:r>
    </w:p>
    <w:p>
      <w:pPr>
        <w:snapToGrid w:val="0"/>
        <w:spacing w:line="400" w:lineRule="exact"/>
        <w:ind w:left="139" w:leftChars="66" w:firstLine="360" w:firstLineChars="150"/>
        <w:rPr>
          <w:rFonts w:ascii="宋体" w:hAnsi="宋体"/>
          <w:b/>
          <w:color w:val="auto"/>
          <w:sz w:val="24"/>
          <w:highlight w:val="none"/>
          <w:u w:val="single"/>
        </w:rPr>
      </w:pPr>
      <w:r>
        <w:rPr>
          <w:rFonts w:hint="eastAsia" w:ascii="宋体" w:hAnsi="宋体"/>
          <w:bCs/>
          <w:color w:val="auto"/>
          <w:sz w:val="24"/>
          <w:highlight w:val="none"/>
        </w:rPr>
        <w:t>3.运输及保险：</w:t>
      </w:r>
      <w:r>
        <w:rPr>
          <w:rFonts w:hint="eastAsia" w:ascii="宋体" w:hAnsi="宋体"/>
          <w:color w:val="auto"/>
          <w:sz w:val="24"/>
          <w:highlight w:val="none"/>
          <w:u w:val="single"/>
        </w:rPr>
        <w:t xml:space="preserve">货物运输方式不限，运输、保险等运输过程中发生的所有费用均由卖方承担  </w:t>
      </w:r>
      <w:r>
        <w:rPr>
          <w:rFonts w:hint="eastAsia" w:ascii="宋体" w:hAnsi="宋体"/>
          <w:color w:val="auto"/>
          <w:sz w:val="24"/>
          <w:highlight w:val="none"/>
        </w:rPr>
        <w:t>。</w:t>
      </w:r>
    </w:p>
    <w:p>
      <w:pPr>
        <w:snapToGrid w:val="0"/>
        <w:spacing w:line="400" w:lineRule="exact"/>
        <w:rPr>
          <w:rFonts w:ascii="宋体" w:hAnsi="宋体"/>
          <w:color w:val="auto"/>
          <w:sz w:val="24"/>
          <w:highlight w:val="none"/>
        </w:rPr>
      </w:pPr>
      <w:r>
        <w:rPr>
          <w:rFonts w:hint="eastAsia" w:ascii="宋体" w:hAnsi="宋体"/>
          <w:color w:val="auto"/>
          <w:sz w:val="24"/>
          <w:highlight w:val="none"/>
        </w:rPr>
        <w:t xml:space="preserve">    4.  包装</w:t>
      </w:r>
    </w:p>
    <w:p>
      <w:pPr>
        <w:snapToGrid w:val="0"/>
        <w:spacing w:line="400" w:lineRule="exact"/>
        <w:ind w:left="244" w:leftChars="116"/>
        <w:rPr>
          <w:rFonts w:ascii="宋体" w:hAnsi="宋体"/>
          <w:b/>
          <w:color w:val="auto"/>
          <w:sz w:val="24"/>
          <w:highlight w:val="none"/>
        </w:rPr>
      </w:pPr>
      <w:r>
        <w:rPr>
          <w:rFonts w:hint="eastAsia" w:ascii="宋体" w:hAnsi="宋体"/>
          <w:color w:val="auto"/>
          <w:sz w:val="24"/>
          <w:highlight w:val="none"/>
        </w:rPr>
        <w:t xml:space="preserve">  4.1  </w:t>
      </w:r>
      <w:r>
        <w:rPr>
          <w:rFonts w:hint="eastAsia" w:ascii="宋体" w:hAnsi="宋体"/>
          <w:b/>
          <w:color w:val="auto"/>
          <w:sz w:val="24"/>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400" w:lineRule="exact"/>
        <w:ind w:firstLine="480"/>
        <w:rPr>
          <w:rFonts w:ascii="宋体" w:hAnsi="宋体"/>
          <w:color w:val="auto"/>
          <w:sz w:val="24"/>
          <w:highlight w:val="none"/>
        </w:rPr>
      </w:pPr>
      <w:r>
        <w:rPr>
          <w:rFonts w:hint="eastAsia" w:ascii="宋体" w:hAnsi="宋体"/>
          <w:color w:val="auto"/>
          <w:sz w:val="24"/>
          <w:highlight w:val="none"/>
        </w:rPr>
        <w:t>4.2  包装物处理：不回收。</w:t>
      </w:r>
    </w:p>
    <w:p>
      <w:pPr>
        <w:tabs>
          <w:tab w:val="left" w:pos="540"/>
        </w:tabs>
        <w:snapToGrid w:val="0"/>
        <w:spacing w:line="400" w:lineRule="exact"/>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5.中标产品样品交付：合同签订后45日内，乙方将中标产品的实物样品（每种产品1件、套）交付给甲方。</w:t>
      </w:r>
    </w:p>
    <w:p>
      <w:pPr>
        <w:snapToGrid w:val="0"/>
        <w:spacing w:line="400" w:lineRule="exact"/>
        <w:ind w:firstLine="480"/>
        <w:rPr>
          <w:rFonts w:hint="eastAsia"/>
          <w:highlight w:val="none"/>
          <w:lang w:val="en-US" w:eastAsia="zh-CN"/>
        </w:rPr>
      </w:pPr>
      <w:r>
        <w:rPr>
          <w:rFonts w:hint="eastAsia" w:ascii="宋体" w:hAnsi="宋体"/>
          <w:color w:val="auto"/>
          <w:sz w:val="24"/>
          <w:highlight w:val="none"/>
          <w:lang w:val="en-US" w:eastAsia="zh-CN"/>
        </w:rPr>
        <w:t>6.根据《国家消防救援局办公室关于推广应用新版消防装备管理系统的通知》要求，中标投标人在交付装备时须附着由“消防装备物资信息采集系统”统一发行的装备物资二维码和RFID。</w:t>
      </w:r>
    </w:p>
    <w:p>
      <w:pPr>
        <w:tabs>
          <w:tab w:val="left" w:pos="540"/>
        </w:tabs>
        <w:snapToGrid w:val="0"/>
        <w:spacing w:line="400" w:lineRule="exact"/>
        <w:ind w:firstLine="480" w:firstLineChars="200"/>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7</w:t>
      </w:r>
      <w:r>
        <w:rPr>
          <w:rFonts w:hint="eastAsia" w:ascii="宋体" w:hAnsi="宋体"/>
          <w:bCs/>
          <w:color w:val="auto"/>
          <w:sz w:val="24"/>
          <w:highlight w:val="none"/>
        </w:rPr>
        <w:t>.交货</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.1交货时间:</w:t>
      </w:r>
      <w:r>
        <w:rPr>
          <w:rFonts w:hint="eastAsia" w:ascii="宋体" w:hAnsi="宋体"/>
          <w:color w:val="auto"/>
          <w:sz w:val="24"/>
          <w:szCs w:val="24"/>
          <w:highlight w:val="none"/>
        </w:rPr>
        <w:t>合同签订后</w:t>
      </w:r>
      <w:r>
        <w:rPr>
          <w:rFonts w:hint="eastAsia" w:ascii="宋体" w:hAnsi="宋体"/>
          <w:color w:val="auto"/>
          <w:sz w:val="24"/>
          <w:szCs w:val="24"/>
          <w:highlight w:val="none"/>
          <w:lang w:val="en-US" w:eastAsia="zh-CN"/>
        </w:rPr>
        <w:t>45</w:t>
      </w:r>
      <w:r>
        <w:rPr>
          <w:rFonts w:hint="eastAsia" w:ascii="宋体" w:hAnsi="宋体"/>
          <w:color w:val="auto"/>
          <w:sz w:val="24"/>
          <w:szCs w:val="24"/>
          <w:highlight w:val="none"/>
        </w:rPr>
        <w:t>日。</w:t>
      </w:r>
    </w:p>
    <w:p>
      <w:pPr>
        <w:snapToGrid w:val="0"/>
        <w:spacing w:line="400" w:lineRule="exact"/>
        <w:ind w:left="2205" w:leftChars="950" w:hanging="210" w:hangingChars="87"/>
        <w:jc w:val="left"/>
        <w:rPr>
          <w:rFonts w:ascii="宋体" w:hAnsi="宋体"/>
          <w:b/>
          <w:bCs/>
          <w:color w:val="auto"/>
          <w:sz w:val="24"/>
          <w:highlight w:val="none"/>
        </w:rPr>
      </w:pPr>
      <w:r>
        <w:rPr>
          <w:rFonts w:hint="eastAsia" w:ascii="宋体" w:hAnsi="宋体"/>
          <w:b/>
          <w:bCs/>
          <w:color w:val="auto"/>
          <w:sz w:val="24"/>
          <w:highlight w:val="none"/>
        </w:rPr>
        <w:t xml:space="preserve"> 卖方须在上述时限之前，一次完成供货并交付验收。</w:t>
      </w:r>
    </w:p>
    <w:p>
      <w:pPr>
        <w:snapToGrid w:val="0"/>
        <w:spacing w:line="400" w:lineRule="exact"/>
        <w:ind w:firstLine="480" w:firstLineChars="200"/>
        <w:rPr>
          <w:rFonts w:ascii="宋体" w:hAnsi="宋体"/>
          <w:b/>
          <w:bCs/>
          <w:color w:val="auto"/>
          <w:sz w:val="24"/>
          <w:highlight w:val="red"/>
        </w:rPr>
      </w:pPr>
      <w:r>
        <w:rPr>
          <w:rFonts w:hint="eastAsia" w:ascii="宋体" w:hAnsi="宋体"/>
          <w:bCs/>
          <w:color w:val="auto"/>
          <w:sz w:val="24"/>
          <w:highlight w:val="none"/>
          <w:lang w:val="en-US" w:eastAsia="zh-CN"/>
        </w:rPr>
        <w:t>7</w:t>
      </w:r>
      <w:r>
        <w:rPr>
          <w:rFonts w:hint="eastAsia" w:ascii="宋体" w:hAnsi="宋体"/>
          <w:bCs/>
          <w:color w:val="auto"/>
          <w:sz w:val="24"/>
          <w:highlight w:val="none"/>
        </w:rPr>
        <w:t>.2交货地点：</w:t>
      </w:r>
      <w:r>
        <w:rPr>
          <w:rFonts w:hint="eastAsia" w:ascii="宋体" w:hAnsi="宋体"/>
          <w:b/>
          <w:bCs/>
          <w:color w:val="auto"/>
          <w:sz w:val="24"/>
          <w:highlight w:val="none"/>
        </w:rPr>
        <w:t>卖方</w:t>
      </w:r>
      <w:r>
        <w:rPr>
          <w:rFonts w:hint="eastAsia" w:ascii="宋体" w:hAnsi="宋体"/>
          <w:b/>
          <w:bCs/>
          <w:color w:val="auto"/>
          <w:sz w:val="24"/>
          <w:highlight w:val="none"/>
          <w:lang w:val="en-US" w:eastAsia="zh-CN"/>
        </w:rPr>
        <w:t>负责</w:t>
      </w:r>
      <w:r>
        <w:rPr>
          <w:rFonts w:hint="eastAsia" w:ascii="宋体" w:hAnsi="宋体"/>
          <w:b/>
          <w:bCs/>
          <w:color w:val="auto"/>
          <w:sz w:val="24"/>
          <w:highlight w:val="none"/>
        </w:rPr>
        <w:t>送货上门并卸货</w:t>
      </w:r>
    </w:p>
    <w:p>
      <w:pPr>
        <w:snapToGrid w:val="0"/>
        <w:spacing w:line="400" w:lineRule="exact"/>
        <w:ind w:firstLine="2168" w:firstLineChars="900"/>
        <w:rPr>
          <w:rFonts w:ascii="宋体" w:hAnsi="宋体"/>
          <w:b/>
          <w:bCs/>
          <w:color w:val="auto"/>
          <w:sz w:val="24"/>
          <w:highlight w:val="none"/>
        </w:rPr>
      </w:pPr>
      <w:r>
        <w:rPr>
          <w:rFonts w:ascii="宋体" w:hAnsi="宋体"/>
          <w:b/>
          <w:bCs/>
          <w:color w:val="auto"/>
          <w:sz w:val="24"/>
          <w:highlight w:val="none"/>
        </w:rPr>
        <w:t>收货联系人：</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.3联系方式：</w:t>
      </w:r>
      <w:r>
        <w:rPr>
          <w:rFonts w:hint="eastAsia" w:ascii="宋体" w:hAnsi="宋体"/>
          <w:b/>
          <w:bCs/>
          <w:color w:val="auto"/>
          <w:sz w:val="24"/>
          <w:highlight w:val="none"/>
          <w:lang w:val="en-US" w:eastAsia="zh-CN"/>
        </w:rPr>
        <w:t>昌吉回族自治州消防救援支队</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姓  名：</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电  话：</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.验收：售后服务内容及履行情况将作为退还余款的必要条件写入合同。</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.1验收标准：依照样品及本合同约定。</w:t>
      </w:r>
    </w:p>
    <w:p>
      <w:pPr>
        <w:snapToGrid w:val="0"/>
        <w:spacing w:line="400" w:lineRule="exact"/>
        <w:ind w:firstLine="600" w:firstLineChars="250"/>
        <w:rPr>
          <w:rFonts w:hint="default" w:ascii="宋体" w:hAnsi="宋体" w:eastAsia="宋体"/>
          <w:b w:val="0"/>
          <w:bCs/>
          <w:color w:val="FF0000"/>
          <w:sz w:val="24"/>
          <w:highlight w:val="none"/>
          <w:lang w:val="en-US" w:eastAsia="zh-CN"/>
        </w:rPr>
      </w:pPr>
      <w:r>
        <w:rPr>
          <w:rFonts w:hint="eastAsia" w:ascii="宋体" w:hAnsi="宋体"/>
          <w:bCs/>
          <w:color w:val="auto"/>
          <w:sz w:val="24"/>
          <w:highlight w:val="none"/>
          <w:lang w:val="en-US" w:eastAsia="zh-CN"/>
        </w:rPr>
        <w:t>8</w:t>
      </w:r>
      <w:r>
        <w:rPr>
          <w:rFonts w:hint="eastAsia" w:ascii="宋体" w:hAnsi="宋体"/>
          <w:bCs/>
          <w:color w:val="auto"/>
          <w:sz w:val="24"/>
          <w:highlight w:val="none"/>
        </w:rPr>
        <w:t>.2验收时间及组织：</w:t>
      </w:r>
      <w:r>
        <w:rPr>
          <w:rFonts w:hint="eastAsia" w:ascii="宋体" w:hAnsi="宋体"/>
          <w:b w:val="0"/>
          <w:bCs/>
          <w:color w:val="auto"/>
          <w:sz w:val="24"/>
          <w:highlight w:val="none"/>
          <w:lang w:val="en-US" w:eastAsia="zh-CN"/>
        </w:rPr>
        <w:t>以合同签订时约定为准。</w:t>
      </w:r>
    </w:p>
    <w:p>
      <w:pPr>
        <w:snapToGrid w:val="0"/>
        <w:spacing w:line="400" w:lineRule="exact"/>
        <w:ind w:firstLine="602" w:firstLineChars="250"/>
        <w:rPr>
          <w:rFonts w:ascii="宋体" w:hAnsi="宋体"/>
          <w:b/>
          <w:bCs/>
          <w:color w:val="auto"/>
          <w:sz w:val="24"/>
          <w:highlight w:val="none"/>
        </w:rPr>
      </w:pPr>
      <w:r>
        <w:rPr>
          <w:rFonts w:hint="eastAsia" w:ascii="宋体" w:hAnsi="宋体"/>
          <w:b/>
          <w:bCs/>
          <w:color w:val="auto"/>
          <w:sz w:val="24"/>
          <w:highlight w:val="none"/>
          <w:lang w:val="en-US" w:eastAsia="zh-CN"/>
        </w:rPr>
        <w:t>8</w:t>
      </w:r>
      <w:r>
        <w:rPr>
          <w:rFonts w:hint="eastAsia" w:ascii="宋体" w:hAnsi="宋体"/>
          <w:b/>
          <w:bCs/>
          <w:color w:val="auto"/>
          <w:sz w:val="24"/>
          <w:highlight w:val="none"/>
        </w:rPr>
        <w:t>.3验收前买方不负责货物的保管，由卖方负责。</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.合同效力</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.1  本合同经买卖双方授权代表签署，并经双方盖章后生效。</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.2  本合同一式肆份，买卖双方各持两份，具有相同的法律效力。</w:t>
      </w:r>
    </w:p>
    <w:p>
      <w:pPr>
        <w:snapToGrid w:val="0"/>
        <w:spacing w:line="400" w:lineRule="exact"/>
        <w:ind w:firstLine="904" w:firstLineChars="250"/>
        <w:jc w:val="center"/>
        <w:rPr>
          <w:rFonts w:ascii="宋体" w:hAnsi="宋体"/>
          <w:b/>
          <w:bCs/>
          <w:color w:val="auto"/>
          <w:sz w:val="36"/>
          <w:szCs w:val="36"/>
          <w:highlight w:val="none"/>
        </w:rPr>
      </w:pPr>
    </w:p>
    <w:p>
      <w:pPr>
        <w:numPr>
          <w:ilvl w:val="0"/>
          <w:numId w:val="11"/>
        </w:numPr>
        <w:snapToGrid w:val="0"/>
        <w:spacing w:line="400" w:lineRule="exact"/>
        <w:ind w:firstLine="904" w:firstLineChars="250"/>
        <w:jc w:val="center"/>
        <w:rPr>
          <w:rFonts w:ascii="宋体" w:hAnsi="宋体"/>
          <w:b/>
          <w:bCs/>
          <w:color w:val="auto"/>
          <w:sz w:val="36"/>
          <w:szCs w:val="36"/>
          <w:highlight w:val="none"/>
        </w:rPr>
      </w:pPr>
      <w:r>
        <w:rPr>
          <w:rFonts w:hint="eastAsia" w:ascii="宋体" w:hAnsi="宋体"/>
          <w:b/>
          <w:bCs/>
          <w:color w:val="auto"/>
          <w:sz w:val="36"/>
          <w:szCs w:val="36"/>
          <w:highlight w:val="none"/>
        </w:rPr>
        <w:br w:type="page"/>
      </w:r>
      <w:r>
        <w:rPr>
          <w:rFonts w:hint="eastAsia" w:ascii="宋体" w:hAnsi="宋体"/>
          <w:b/>
          <w:bCs/>
          <w:color w:val="auto"/>
          <w:sz w:val="36"/>
          <w:szCs w:val="36"/>
          <w:highlight w:val="none"/>
        </w:rPr>
        <w:t>合同基本条款</w:t>
      </w:r>
    </w:p>
    <w:p>
      <w:pPr>
        <w:snapToGrid w:val="0"/>
        <w:spacing w:line="400" w:lineRule="exact"/>
        <w:rPr>
          <w:rFonts w:ascii="宋体" w:hAnsi="宋体"/>
          <w:b/>
          <w:bCs/>
          <w:color w:val="auto"/>
          <w:sz w:val="36"/>
          <w:szCs w:val="36"/>
          <w:highlight w:val="none"/>
        </w:rPr>
      </w:pP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  定义：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本合同有关术语解释：</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1.1  “合同”是指买卖双方签署的用以约定买卖双方买卖事项而达成的协议，包括所有的附件和构成合同的其它文件。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1.2  “合同总价”是指根据本合同约定，卖方在正确地完全履行合同义务后买方应支付给卖方的全部价款。</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1.3  “货物”是指根据合同约定卖方向买方提供的一切设备及相应的配套设施（含备件、工具、操作手册及其他有关技术资料和材料）。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  “服务”是指根据合同约定卖方向买方承担的与供货有关的辅助服务，如运输、保险、安装、调试、技术支持、检验、维修、培训等与购销有关的义务。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1.5  “现场”是指合同项下货物实际所在地。</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1.6  “验收”是指合同双方依据约定的程序和条件对合同标的物的数量、质量、性能等进行确认交接的行为。</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   交货时间是指卖方将本合同内全部产品提交给买方验收的最后时间。卖方分几次供货时，以最后一次提交买方验收时间为交货时间。</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 标准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2.2  本合同货物无特别标注的，计量单位均采用中华人民共和国法定计量单位。</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3. 专利权</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 包装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color w:val="auto"/>
          <w:sz w:val="24"/>
          <w:highlight w:val="none"/>
        </w:rPr>
        <w:t>包装箱的尺寸及重量应考虑货物最终目的地的偏远程度以及在所有转运地点缺乏重型装卸设施的情况。</w:t>
      </w:r>
      <w:r>
        <w:rPr>
          <w:rFonts w:hint="eastAsia" w:ascii="宋体" w:hAnsi="宋体"/>
          <w:color w:val="auto"/>
          <w:sz w:val="24"/>
          <w:highlight w:val="none"/>
        </w:rPr>
        <w:t>对由于包装不善而引起的货物锈蚀、损坏或损失卖方应承担责任。</w:t>
      </w:r>
    </w:p>
    <w:p>
      <w:pPr>
        <w:snapToGrid w:val="0"/>
        <w:spacing w:line="400" w:lineRule="exact"/>
        <w:ind w:firstLine="480" w:firstLineChars="200"/>
        <w:rPr>
          <w:rFonts w:ascii="宋体" w:hAnsi="宋体"/>
          <w:b/>
          <w:color w:val="auto"/>
          <w:sz w:val="24"/>
          <w:highlight w:val="none"/>
        </w:rPr>
      </w:pPr>
      <w:r>
        <w:rPr>
          <w:rFonts w:hint="eastAsia" w:ascii="宋体" w:hAnsi="宋体"/>
          <w:color w:val="auto"/>
          <w:sz w:val="24"/>
          <w:highlight w:val="none"/>
        </w:rPr>
        <w:t xml:space="preserve">4.2  </w:t>
      </w:r>
      <w:r>
        <w:rPr>
          <w:rFonts w:hint="eastAsia" w:ascii="宋体" w:hAnsi="宋体"/>
          <w:bCs/>
          <w:color w:val="auto"/>
          <w:sz w:val="24"/>
          <w:highlight w:val="none"/>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5.  质量</w:t>
      </w:r>
    </w:p>
    <w:p>
      <w:pPr>
        <w:snapToGrid w:val="0"/>
        <w:spacing w:line="400" w:lineRule="exact"/>
        <w:ind w:firstLine="480" w:firstLineChars="200"/>
        <w:rPr>
          <w:rFonts w:ascii="宋体" w:hAnsi="宋体"/>
          <w:bCs/>
          <w:color w:val="auto"/>
          <w:sz w:val="24"/>
          <w:highlight w:val="none"/>
        </w:rPr>
      </w:pPr>
      <w:r>
        <w:rPr>
          <w:rFonts w:hint="eastAsia" w:ascii="宋体" w:hAnsi="宋体"/>
          <w:color w:val="auto"/>
          <w:sz w:val="24"/>
          <w:highlight w:val="none"/>
        </w:rPr>
        <w:t xml:space="preserve">5.1  </w:t>
      </w:r>
      <w:r>
        <w:rPr>
          <w:rFonts w:hint="eastAsia" w:ascii="宋体" w:hAnsi="宋体"/>
          <w:bCs/>
          <w:color w:val="auto"/>
          <w:sz w:val="24"/>
          <w:highlight w:val="none"/>
        </w:rPr>
        <w:t xml:space="preserve">卖方保证所提供的货物是新品。 </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5.2  在货物质保期内，卖方应当对由于设计、工艺、材料和配件的缺陷所产生的不足或故障负责。</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6．交货</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6.1  交货的时间和地点执行本合同《协议书》。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  延期交货</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6.2.1  卖方应按合同规定的时间交货和提供服务。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6.2.3   如果卖方毫无理由拖延交货，将受到扣除履约保证金的制裁或终止合同。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 技术文件和资料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7.1  提供技术文件和资料的种类和数量在本采购文件中已规定，买卖双方可根据需要订立具体的资料交付时间和数量。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7.2  如果买方确认卖方提供的技术文件和资料不完整，或在运输途中丢失，卖方应在收到买方通知后3天内将文件、资料补齐。</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 税费</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8.1  器材装备的投标报价为货到采购人指定地点价格。</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8.2  根据国家现行税法征收的与本合同有关的一切税费均由卖方承担。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8.3  在中国境外发生的与本合同执行有关的一切税费由卖方承担。</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  验收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本合同项下货物验收遵照以下流程和条件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9.1 卖方应在供货合同规定的时间内将装备发送收货地点并提交书面验收申请。</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9.3 买方组成集中采购装备验收小组，对采购的货物进行专门验收，不符合合同规定的，买方将不予验收。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9.4产品验收时，卖方必须要有一名以上厂家技术人员在场，验收完毕后，买方和卖方共同签字确认新疆维吾尔自治区消防救援总队灭火救援车辆装备验收单。买方根据采购验收单按合同支付货款。</w:t>
      </w:r>
    </w:p>
    <w:p>
      <w:pPr>
        <w:adjustRightInd w:val="0"/>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10.  付款：执行本合同《协议书》。</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11.  培训</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12.  售后服务</w:t>
      </w:r>
    </w:p>
    <w:p>
      <w:pPr>
        <w:pStyle w:val="35"/>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rFonts w:hint="eastAsia" w:cs="Times New Roman"/>
          <w:color w:val="auto"/>
          <w:kern w:val="2"/>
          <w:szCs w:val="20"/>
          <w:highlight w:val="none"/>
        </w:rPr>
        <w:t xml:space="preserve">  （以中标方投标承诺为准） </w:t>
      </w:r>
    </w:p>
    <w:p>
      <w:pPr>
        <w:pStyle w:val="35"/>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rFonts w:hint="eastAsia" w:cs="Times New Roman"/>
          <w:color w:val="auto"/>
          <w:kern w:val="2"/>
          <w:szCs w:val="20"/>
          <w:highlight w:val="none"/>
        </w:rPr>
        <w:t>13.  双方责任</w:t>
      </w:r>
    </w:p>
    <w:p>
      <w:pPr>
        <w:pStyle w:val="35"/>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color w:val="auto"/>
          <w:highlight w:val="none"/>
        </w:rPr>
        <w:t>1</w:t>
      </w:r>
      <w:r>
        <w:rPr>
          <w:rFonts w:hint="eastAsia"/>
          <w:color w:val="auto"/>
          <w:highlight w:val="none"/>
        </w:rPr>
        <w:t>3</w:t>
      </w:r>
      <w:r>
        <w:rPr>
          <w:color w:val="auto"/>
          <w:highlight w:val="none"/>
        </w:rPr>
        <w:t xml:space="preserve">.1  </w:t>
      </w:r>
      <w:r>
        <w:rPr>
          <w:rFonts w:hint="eastAsia"/>
          <w:color w:val="auto"/>
          <w:highlight w:val="none"/>
        </w:rPr>
        <w:t>买方责任</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.1.1  </w:t>
      </w:r>
      <w:r>
        <w:rPr>
          <w:rFonts w:hint="eastAsia" w:ascii="宋体" w:hAnsi="宋体"/>
          <w:color w:val="auto"/>
          <w:sz w:val="24"/>
          <w:highlight w:val="none"/>
        </w:rPr>
        <w:t>按合同规定向卖方支付货款。</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.1.2  </w:t>
      </w:r>
      <w:r>
        <w:rPr>
          <w:rFonts w:hint="eastAsia" w:ascii="宋体" w:hAnsi="宋体"/>
          <w:color w:val="auto"/>
          <w:sz w:val="24"/>
          <w:highlight w:val="none"/>
        </w:rPr>
        <w:t>组织对货物的验收。</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  </w:t>
      </w:r>
      <w:r>
        <w:rPr>
          <w:rFonts w:hint="eastAsia" w:ascii="宋体" w:hAnsi="宋体"/>
          <w:color w:val="auto"/>
          <w:sz w:val="24"/>
          <w:highlight w:val="none"/>
        </w:rPr>
        <w:t>卖方责任</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.2.1  </w:t>
      </w:r>
      <w:r>
        <w:rPr>
          <w:rFonts w:hint="eastAsia" w:ascii="宋体" w:hAnsi="宋体"/>
          <w:color w:val="auto"/>
          <w:sz w:val="24"/>
          <w:highlight w:val="none"/>
        </w:rPr>
        <w:t>按合同要求提供货物和服务。</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.2.2  </w:t>
      </w:r>
      <w:r>
        <w:rPr>
          <w:rFonts w:hint="eastAsia" w:ascii="宋体" w:hAnsi="宋体"/>
          <w:color w:val="auto"/>
          <w:sz w:val="24"/>
          <w:highlight w:val="none"/>
        </w:rPr>
        <w:t>对所提供的货物和服务质量问题无条件负责处理。</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.2.3卖方对本合同签订及履行过程中获知的买方信息负有保密义务。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  违约责任</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  交货违约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14.1.3合同生效后，卖方中途解除合同（不可抗力原因除外），应按给买方造成的损失向甲方支付赔偿金，买方有权扣除履约保证金，并由卖方向买方支付合同总金额30%的违约金。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14.1.4卖方违约，还应赔偿买方因此遭受的其他损失，包括为主张权益所支付的律师费、交通费、公证费、鉴定费、评估费、差旅费等全部费用。</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14.1.5卖方违约的，买方有权将相应违约金、赔偿金从履约保证金及应给卖方支付的货款中直接予以扣除。</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14.2  付款违约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买方接收经验收合格的货物后而未能按合同约定时间付款的，推迟付款时间超过</w:t>
      </w:r>
      <w:r>
        <w:rPr>
          <w:rFonts w:hint="eastAsia" w:ascii="宋体" w:hAnsi="宋体"/>
          <w:color w:val="auto"/>
          <w:sz w:val="24"/>
          <w:highlight w:val="none"/>
          <w:u w:val="single"/>
        </w:rPr>
        <w:t>30</w:t>
      </w:r>
      <w:r>
        <w:rPr>
          <w:rFonts w:hint="eastAsia" w:ascii="宋体" w:hAnsi="宋体"/>
          <w:color w:val="auto"/>
          <w:sz w:val="24"/>
          <w:highlight w:val="none"/>
        </w:rPr>
        <w:t>天时，每超过一天按合同总价的</w:t>
      </w:r>
      <w:r>
        <w:rPr>
          <w:rFonts w:hint="eastAsia" w:ascii="宋体" w:hAnsi="宋体"/>
          <w:color w:val="auto"/>
          <w:sz w:val="24"/>
          <w:highlight w:val="none"/>
          <w:u w:val="single"/>
        </w:rPr>
        <w:t>1</w:t>
      </w:r>
      <w:r>
        <w:rPr>
          <w:rFonts w:hint="eastAsia" w:ascii="宋体" w:hAnsi="宋体"/>
          <w:color w:val="auto"/>
          <w:sz w:val="24"/>
          <w:highlight w:val="none"/>
        </w:rPr>
        <w:t>‰向对方支付违约金。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14.3任意一方如提出增减合同数量，变动交货的，应提前通知对方，并征得对方同意，否则应承担与之相关的经济责任。</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14.4卖方违反保密义务或违反禁止转让、分包合同义务或违反本合同其他约定的，除本合同另有约定外，应按照本合同总价款的5%向买方支付违约金。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14.6本合同所称违约金可以累积计算。</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15.  履约保证金</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15.1</w:t>
      </w:r>
      <w:r>
        <w:rPr>
          <w:rFonts w:hint="eastAsia" w:ascii="宋体" w:hAnsi="宋体" w:cs="宋体"/>
          <w:color w:val="auto"/>
          <w:sz w:val="24"/>
          <w:highlight w:val="none"/>
          <w:lang w:val="zh-CN" w:eastAsia="zh-CN"/>
        </w:rPr>
        <w:t>履约保证金金额：签约合同价的</w:t>
      </w:r>
      <w:r>
        <w:rPr>
          <w:rFonts w:hint="eastAsia" w:ascii="宋体" w:hAnsi="宋体" w:cs="宋体"/>
          <w:color w:val="auto"/>
          <w:sz w:val="24"/>
          <w:highlight w:val="none"/>
          <w:lang w:val="en-US" w:eastAsia="zh-CN"/>
        </w:rPr>
        <w:t>5%；</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15.2履约保证金缴纳时间：合同签订之前</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15.3履约保证金缴纳方式：支票、汇票、本票或者金融机构、担保机构出具的保函等非现金形式。</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15.4履约保证金退还时间：</w:t>
      </w:r>
      <w:r>
        <w:rPr>
          <w:rFonts w:hint="eastAsia" w:ascii="宋体" w:hAnsi="宋体" w:cs="宋体"/>
          <w:color w:val="auto"/>
          <w:sz w:val="24"/>
          <w:highlight w:val="none"/>
        </w:rPr>
        <w:t>中标单位按合同约定交付全部产品，安装调试完毕，书面验收合格一年后，采购单位无息退还全部履约保证金。</w:t>
      </w:r>
    </w:p>
    <w:p>
      <w:pPr>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15.5履约保证金不予退还的情形：1）成交供应商不履行与招标人订立的合同的，履约保证金不予退还；2）给招标人造成的损失超过履约保证金数额的，还应当对超过部分予以赔偿；3）没有提交履约保证金的，应当对招标人的损失承担赔偿责任。</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16.  合同终止</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发生下列情况时，买方有权单方终止合同：</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1）卖方未能在合同规定的期限内或买方同意延长的期限内提供全部或部分货物；</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  纠纷解决方式</w:t>
      </w:r>
    </w:p>
    <w:p>
      <w:pPr>
        <w:snapToGrid w:val="0"/>
        <w:spacing w:line="400" w:lineRule="exact"/>
        <w:ind w:firstLine="420"/>
        <w:rPr>
          <w:rFonts w:ascii="宋体" w:hAnsi="宋体"/>
          <w:color w:val="auto"/>
          <w:sz w:val="24"/>
          <w:highlight w:val="none"/>
        </w:rPr>
      </w:pPr>
      <w:r>
        <w:rPr>
          <w:rFonts w:hint="eastAsia" w:ascii="宋体" w:hAnsi="宋体"/>
          <w:color w:val="auto"/>
          <w:sz w:val="24"/>
          <w:highlight w:val="none"/>
        </w:rPr>
        <w:t>本合同在执行中发生纠纷时，双方应友好协商予以解决。如协商解决不成时，双方约定采用第</w:t>
      </w:r>
      <w:r>
        <w:rPr>
          <w:rFonts w:hint="eastAsia" w:ascii="宋体" w:hAnsi="宋体"/>
          <w:color w:val="auto"/>
          <w:sz w:val="24"/>
          <w:highlight w:val="none"/>
          <w:u w:val="single"/>
        </w:rPr>
        <w:t>17.1</w:t>
      </w:r>
      <w:r>
        <w:rPr>
          <w:rFonts w:hint="eastAsia" w:ascii="宋体" w:hAnsi="宋体"/>
          <w:color w:val="auto"/>
          <w:sz w:val="24"/>
          <w:highlight w:val="none"/>
        </w:rPr>
        <w:t>种方式解决。</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17.1  向</w:t>
      </w:r>
      <w:r>
        <w:rPr>
          <w:rFonts w:hint="eastAsia" w:ascii="宋体" w:hAnsi="宋体"/>
          <w:color w:val="auto"/>
          <w:sz w:val="24"/>
          <w:highlight w:val="none"/>
          <w:u w:val="single"/>
        </w:rPr>
        <w:t>合同签订地</w:t>
      </w:r>
      <w:r>
        <w:rPr>
          <w:rFonts w:hint="eastAsia" w:ascii="宋体" w:hAnsi="宋体"/>
          <w:color w:val="auto"/>
          <w:sz w:val="24"/>
          <w:highlight w:val="none"/>
        </w:rPr>
        <w:t>人民法院提出诉讼；</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17.2  申请</w:t>
      </w:r>
      <w:r>
        <w:rPr>
          <w:rFonts w:hint="eastAsia" w:ascii="宋体" w:hAnsi="宋体"/>
          <w:color w:val="auto"/>
          <w:sz w:val="24"/>
          <w:highlight w:val="none"/>
          <w:u w:val="single"/>
        </w:rPr>
        <w:t>合同签订地</w:t>
      </w:r>
      <w:r>
        <w:rPr>
          <w:rFonts w:hint="eastAsia" w:ascii="宋体" w:hAnsi="宋体"/>
          <w:color w:val="auto"/>
          <w:sz w:val="24"/>
          <w:highlight w:val="none"/>
        </w:rPr>
        <w:t>（仲裁机构）进行仲裁。</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18.  转让和分包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卖方不得转让或分包其履行合同的义务。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19.  适用法律</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本合同按照中华人民共和国的法律进行解释。</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20.合同生效及其他</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20.1合同效力执行本合同《协议书》。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400" w:lineRule="exact"/>
        <w:ind w:firstLine="480" w:firstLineChars="200"/>
        <w:rPr>
          <w:rFonts w:ascii="宋体" w:hAnsi="宋体"/>
          <w:color w:val="auto"/>
          <w:sz w:val="24"/>
          <w:highlight w:val="none"/>
          <w:u w:val="single"/>
        </w:rPr>
      </w:pPr>
      <w:r>
        <w:rPr>
          <w:rFonts w:hint="eastAsia" w:ascii="宋体" w:hAnsi="宋体"/>
          <w:color w:val="auto"/>
          <w:sz w:val="24"/>
          <w:highlight w:val="none"/>
        </w:rPr>
        <w:t>20.3 其他约定事项：</w:t>
      </w:r>
      <w:r>
        <w:rPr>
          <w:rFonts w:hint="eastAsia" w:ascii="宋体" w:hAnsi="宋体"/>
          <w:color w:val="auto"/>
          <w:sz w:val="24"/>
          <w:highlight w:val="none"/>
          <w:u w:val="single"/>
        </w:rPr>
        <w:t xml:space="preserve">①合同签订地：       </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20.4 合同有效期：年月日至年月日。</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20.5通知和送达买卖双方就本合同中涉及各类通知、协议等文件以及就合同发生纠纷时相关文件和法律文书送达时的送达地址及法律后果作如下约定：</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20.5.1买卖双方确认有效的地址及联系方式以本合同首部列明的为准。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买方（印章）：                              卖方：（印章）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法定代表人或委托代理人:（签字）           法定代表人或委托代理人:（签字）</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地址：                                      地址：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邮政编码：                                  邮政编码：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电话：                                      电话：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传真：                                      传真：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                                            开户银行及账号：</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日期：      年   月    日                   日 期：    年    月   日</w:t>
      </w: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bookmarkEnd w:id="111"/>
    <w:p>
      <w:pPr>
        <w:pStyle w:val="16"/>
        <w:rPr>
          <w:color w:val="auto"/>
          <w:highlight w:val="none"/>
        </w:rPr>
      </w:pPr>
    </w:p>
    <w:p>
      <w:pPr>
        <w:pStyle w:val="5"/>
        <w:rPr>
          <w:color w:val="auto"/>
          <w:highlight w:val="none"/>
        </w:rPr>
      </w:pPr>
      <w:bookmarkStart w:id="112" w:name="_Toc6966"/>
      <w:r>
        <w:rPr>
          <w:rFonts w:hint="eastAsia"/>
          <w:color w:val="auto"/>
          <w:highlight w:val="none"/>
        </w:rPr>
        <w:t>第</w:t>
      </w:r>
      <w:bookmarkStart w:id="113" w:name="_Toc9510643"/>
      <w:r>
        <w:rPr>
          <w:rFonts w:hint="eastAsia"/>
          <w:color w:val="auto"/>
          <w:highlight w:val="none"/>
        </w:rPr>
        <w:t>五章 投标文件格式</w:t>
      </w:r>
      <w:bookmarkEnd w:id="108"/>
      <w:bookmarkEnd w:id="109"/>
      <w:bookmarkEnd w:id="112"/>
    </w:p>
    <w:p>
      <w:pPr>
        <w:adjustRightInd w:val="0"/>
        <w:snapToGrid w:val="0"/>
        <w:spacing w:line="360" w:lineRule="auto"/>
        <w:rPr>
          <w:rFonts w:ascii="宋体" w:hAnsi="宋体" w:cs="宋体"/>
          <w:color w:val="auto"/>
          <w:szCs w:val="24"/>
          <w:highlight w:val="none"/>
        </w:rPr>
      </w:pP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13"/>
      <w:r>
        <w:rPr>
          <w:rFonts w:hint="eastAsia" w:ascii="宋体" w:hAnsi="宋体" w:cs="宋体"/>
          <w:color w:val="auto"/>
          <w:sz w:val="24"/>
          <w:szCs w:val="24"/>
          <w:highlight w:val="none"/>
        </w:rPr>
        <w:t>标人提交投标文件须知：</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color w:val="auto"/>
          <w:sz w:val="32"/>
          <w:highlight w:val="none"/>
        </w:rPr>
      </w:pPr>
    </w:p>
    <w:p>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napToGrid w:val="0"/>
        <w:spacing w:line="360" w:lineRule="auto"/>
        <w:jc w:val="center"/>
        <w:rPr>
          <w:rFonts w:ascii="宋体" w:hAnsi="宋体" w:cs="宋体"/>
          <w:color w:val="auto"/>
          <w:sz w:val="56"/>
          <w:szCs w:val="20"/>
          <w:highlight w:val="none"/>
        </w:rPr>
      </w:pPr>
    </w:p>
    <w:p>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pPr>
        <w:snapToGrid w:val="0"/>
        <w:spacing w:line="360" w:lineRule="auto"/>
        <w:rPr>
          <w:rFonts w:ascii="宋体" w:hAnsi="宋体" w:cs="宋体"/>
          <w:color w:val="auto"/>
          <w:sz w:val="28"/>
          <w:szCs w:val="20"/>
          <w:highlight w:val="none"/>
        </w:rPr>
      </w:pP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napToGrid w:val="0"/>
        <w:spacing w:line="360" w:lineRule="auto"/>
        <w:rPr>
          <w:rFonts w:ascii="宋体" w:hAnsi="宋体" w:cs="宋体"/>
          <w:color w:val="auto"/>
          <w:sz w:val="20"/>
          <w:szCs w:val="20"/>
          <w:highlight w:val="none"/>
        </w:rPr>
      </w:pPr>
    </w:p>
    <w:p>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w:t>
      </w:r>
      <w:r>
        <w:rPr>
          <w:rFonts w:hint="eastAsia" w:ascii="宋体" w:hAnsi="宋体" w:cs="宋体"/>
          <w:color w:val="auto"/>
          <w:sz w:val="24"/>
          <w:szCs w:val="24"/>
          <w:highlight w:val="none"/>
          <w:lang w:val="en-US" w:eastAsia="zh-CN"/>
        </w:rPr>
        <w:t>62</w:t>
      </w:r>
      <w:r>
        <w:rPr>
          <w:rFonts w:hint="eastAsia" w:ascii="宋体" w:hAnsi="宋体" w:cs="宋体"/>
          <w:color w:val="auto"/>
          <w:sz w:val="24"/>
          <w:szCs w:val="24"/>
          <w:highlight w:val="none"/>
        </w:rPr>
        <w:t>）</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w:t>
      </w:r>
      <w:r>
        <w:rPr>
          <w:rFonts w:hint="eastAsia" w:ascii="宋体" w:hAnsi="宋体" w:cs="宋体"/>
          <w:color w:val="auto"/>
          <w:sz w:val="24"/>
          <w:szCs w:val="24"/>
          <w:highlight w:val="none"/>
          <w:lang w:val="en-US" w:eastAsia="zh-CN"/>
        </w:rPr>
        <w:t>63</w:t>
      </w:r>
      <w:r>
        <w:rPr>
          <w:rFonts w:hint="eastAsia" w:ascii="宋体" w:hAnsi="宋体" w:cs="宋体"/>
          <w:color w:val="auto"/>
          <w:sz w:val="24"/>
          <w:szCs w:val="24"/>
          <w:highlight w:val="none"/>
        </w:rPr>
        <w:t>）</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w:t>
      </w:r>
      <w:r>
        <w:rPr>
          <w:rFonts w:hint="eastAsia" w:ascii="宋体" w:hAnsi="宋体" w:cs="宋体"/>
          <w:color w:val="auto"/>
          <w:sz w:val="24"/>
          <w:szCs w:val="24"/>
          <w:highlight w:val="none"/>
          <w:lang w:val="en-US" w:eastAsia="zh-CN"/>
        </w:rPr>
        <w:t>64</w:t>
      </w:r>
      <w:r>
        <w:rPr>
          <w:rFonts w:hint="eastAsia" w:ascii="宋体" w:hAnsi="宋体" w:cs="宋体"/>
          <w:color w:val="auto"/>
          <w:sz w:val="24"/>
          <w:szCs w:val="24"/>
          <w:highlight w:val="none"/>
        </w:rPr>
        <w:t>）</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w:t>
      </w:r>
      <w:r>
        <w:rPr>
          <w:rFonts w:hint="eastAsia" w:ascii="宋体" w:hAnsi="宋体" w:cs="宋体"/>
          <w:color w:val="auto"/>
          <w:sz w:val="24"/>
          <w:szCs w:val="24"/>
          <w:highlight w:val="none"/>
          <w:lang w:val="en-US" w:eastAsia="zh-CN"/>
        </w:rPr>
        <w:t>64</w:t>
      </w:r>
      <w:r>
        <w:rPr>
          <w:rFonts w:hint="eastAsia" w:ascii="宋体" w:hAnsi="宋体" w:cs="宋体"/>
          <w:color w:val="auto"/>
          <w:sz w:val="24"/>
          <w:szCs w:val="24"/>
          <w:highlight w:val="none"/>
        </w:rPr>
        <w:t>）</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w:t>
      </w:r>
      <w:r>
        <w:rPr>
          <w:rFonts w:hint="eastAsia" w:ascii="宋体" w:hAnsi="宋体" w:cs="宋体"/>
          <w:color w:val="auto"/>
          <w:sz w:val="24"/>
          <w:szCs w:val="24"/>
          <w:highlight w:val="none"/>
          <w:lang w:val="en-US" w:eastAsia="zh-CN"/>
        </w:rPr>
        <w:t>64</w:t>
      </w:r>
      <w:r>
        <w:rPr>
          <w:rFonts w:hint="eastAsia" w:ascii="宋体" w:hAnsi="宋体" w:cs="宋体"/>
          <w:color w:val="auto"/>
          <w:sz w:val="24"/>
          <w:szCs w:val="24"/>
          <w:highlight w:val="none"/>
        </w:rPr>
        <w:t>）</w:t>
      </w:r>
    </w:p>
    <w:p>
      <w:pPr>
        <w:adjustRightInd w:val="0"/>
        <w:snapToGrid w:val="0"/>
        <w:spacing w:line="400" w:lineRule="exact"/>
        <w:rPr>
          <w:rFonts w:ascii="宋体" w:hAnsi="宋体" w:cs="宋体"/>
          <w:color w:val="auto"/>
          <w:sz w:val="24"/>
          <w:szCs w:val="24"/>
          <w:highlight w:val="none"/>
        </w:rPr>
      </w:pPr>
    </w:p>
    <w:p>
      <w:pPr>
        <w:widowControl/>
        <w:jc w:val="left"/>
        <w:rPr>
          <w:rFonts w:ascii="宋体" w:hAnsi="宋体"/>
          <w:b/>
          <w:bCs/>
          <w:color w:val="auto"/>
          <w:sz w:val="32"/>
          <w:szCs w:val="32"/>
          <w:highlight w:val="none"/>
        </w:rPr>
      </w:pPr>
      <w:r>
        <w:rPr>
          <w:color w:val="auto"/>
          <w:highlight w:val="none"/>
        </w:rPr>
        <w:br w:type="page"/>
      </w: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投标文件正本一份、副本份、电子文件份。</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color w:val="auto"/>
          <w:sz w:val="24"/>
          <w:szCs w:val="24"/>
          <w:highlight w:val="none"/>
        </w:rPr>
      </w:pP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投标单位法定代表人（负责人、自然人）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日期：年月日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pPr>
        <w:adjustRightInd w:val="0"/>
        <w:snapToGrid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标包编号及内容：                          单位：</w:t>
      </w:r>
      <w:r>
        <w:rPr>
          <w:rFonts w:hint="eastAsia" w:ascii="宋体" w:hAnsi="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交货时间</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pPr>
        <w:pStyle w:val="6"/>
        <w:rPr>
          <w:color w:val="auto"/>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法定代表人（负责人、自然人）或授权代表（签字）：</w:t>
      </w:r>
    </w:p>
    <w:p>
      <w:pPr>
        <w:adjustRightInd w:val="0"/>
        <w:snapToGri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rPr>
          <w:rFonts w:ascii="宋体" w:hAnsi="宋体" w:cs="宋体"/>
          <w:color w:val="auto"/>
          <w:spacing w:val="20"/>
          <w:sz w:val="24"/>
          <w:szCs w:val="24"/>
          <w:highlight w:val="none"/>
        </w:rPr>
      </w:pP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pPr>
        <w:adjustRightInd w:val="0"/>
        <w:snapToGrid w:val="0"/>
        <w:spacing w:before="50" w:after="50" w:line="400" w:lineRule="exact"/>
        <w:rPr>
          <w:rFonts w:ascii="宋体" w:hAnsi="宋体" w:cs="宋体"/>
          <w:b/>
          <w:color w:val="auto"/>
          <w:sz w:val="24"/>
          <w:szCs w:val="24"/>
          <w:highlight w:val="non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pacing w:line="360" w:lineRule="auto"/>
        <w:rPr>
          <w:rFonts w:ascii="宋体" w:hAnsi="宋体" w:cs="宋体"/>
          <w:color w:val="auto"/>
          <w:sz w:val="20"/>
          <w:szCs w:val="20"/>
          <w:highlight w:val="none"/>
        </w:rPr>
      </w:pPr>
    </w:p>
    <w:p>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一、商务部分</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投标声明书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法定代表人（负责人、自然人）授权书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企业法人营业执照（或登记证书、身份证）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投标人情况介绍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近年财务状况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投标人须具有履行合同所必需的设备和专业技术能力</w:t>
      </w:r>
      <w:r>
        <w:rPr>
          <w:rFonts w:hint="eastAsia" w:ascii="宋体" w:hAnsi="宋体" w:cs="宋体"/>
          <w:color w:val="auto"/>
          <w:sz w:val="24"/>
          <w:szCs w:val="24"/>
          <w:highlight w:val="none"/>
          <w:lang w:eastAsia="zh-CN"/>
        </w:rPr>
        <w:t>证明资料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纳税证明社保证明</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前三年内在经营活动中没有重大违法记录的书面声明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信用记录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其他认证证书等</w:t>
      </w:r>
      <w:r>
        <w:rPr>
          <w:rFonts w:hint="eastAsia" w:ascii="宋体" w:hAnsi="宋体" w:cs="宋体"/>
          <w:color w:val="auto"/>
          <w:sz w:val="24"/>
          <w:highlight w:val="none"/>
        </w:rPr>
        <w:t>………………………………………………………（页码）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类似业绩…………………………………………………………（</w:t>
      </w:r>
      <w:r>
        <w:rPr>
          <w:rFonts w:hint="eastAsia" w:ascii="宋体" w:hAnsi="宋体" w:cs="宋体"/>
          <w:color w:val="auto"/>
          <w:sz w:val="24"/>
          <w:highlight w:val="none"/>
        </w:rPr>
        <w:t>页码</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政府采购政策扶持证明材料…………………………………………（</w:t>
      </w:r>
      <w:r>
        <w:rPr>
          <w:rFonts w:hint="eastAsia" w:ascii="宋体" w:hAnsi="宋体" w:cs="宋体"/>
          <w:color w:val="auto"/>
          <w:sz w:val="24"/>
          <w:highlight w:val="none"/>
        </w:rPr>
        <w:t>页码</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其他证明文件或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认为应提交的商务文件……………………（</w:t>
      </w:r>
      <w:r>
        <w:rPr>
          <w:rFonts w:hint="eastAsia" w:ascii="宋体" w:hAnsi="宋体" w:cs="宋体"/>
          <w:color w:val="auto"/>
          <w:sz w:val="24"/>
          <w:highlight w:val="none"/>
        </w:rPr>
        <w:t>页码</w:t>
      </w:r>
      <w:r>
        <w:rPr>
          <w:rFonts w:hint="eastAsia" w:ascii="宋体" w:hAnsi="宋体" w:eastAsia="宋体" w:cs="宋体"/>
          <w:color w:val="auto"/>
          <w:sz w:val="24"/>
          <w:szCs w:val="24"/>
          <w:highlight w:val="none"/>
        </w:rPr>
        <w:t>）</w:t>
      </w:r>
    </w:p>
    <w:p>
      <w:pPr>
        <w:tabs>
          <w:tab w:val="center" w:pos="4912"/>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二、技术</w:t>
      </w:r>
      <w:r>
        <w:rPr>
          <w:rFonts w:hint="eastAsia" w:ascii="宋体" w:hAnsi="宋体" w:cs="宋体"/>
          <w:color w:val="auto"/>
          <w:sz w:val="24"/>
          <w:szCs w:val="24"/>
          <w:highlight w:val="none"/>
          <w:lang w:val="en-US" w:eastAsia="zh-CN"/>
        </w:rPr>
        <w:t>部分</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.技术响应偏离表</w:t>
      </w:r>
      <w:r>
        <w:rPr>
          <w:rFonts w:hint="eastAsia" w:ascii="宋体" w:hAnsi="宋体" w:cs="宋体"/>
          <w:color w:val="auto"/>
          <w:sz w:val="24"/>
          <w:highlight w:val="none"/>
        </w:rPr>
        <w:t>………………………………………………………（页码）</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产品</w:t>
      </w:r>
      <w:r>
        <w:rPr>
          <w:rFonts w:hint="eastAsia" w:ascii="宋体" w:hAnsi="宋体" w:cs="宋体"/>
          <w:color w:val="auto"/>
          <w:sz w:val="24"/>
          <w:szCs w:val="24"/>
          <w:highlight w:val="none"/>
          <w:lang w:eastAsia="zh-CN"/>
        </w:rPr>
        <w:t>详细技术规格书</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lang w:eastAsia="zh-CN"/>
        </w:rPr>
        <w:t>.产品检测报告</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 xml:space="preserve">针对本项目的详细组织实施方案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针对本项目的</w:t>
      </w:r>
      <w:r>
        <w:rPr>
          <w:rFonts w:hint="eastAsia" w:ascii="宋体" w:hAnsi="宋体" w:cs="宋体"/>
          <w:color w:val="auto"/>
          <w:sz w:val="24"/>
          <w:szCs w:val="24"/>
          <w:highlight w:val="none"/>
          <w:lang w:eastAsia="zh-CN"/>
        </w:rPr>
        <w:t>详细技术培训</w:t>
      </w:r>
      <w:r>
        <w:rPr>
          <w:rFonts w:hint="eastAsia" w:ascii="宋体" w:hAnsi="宋体" w:cs="宋体"/>
          <w:color w:val="auto"/>
          <w:sz w:val="24"/>
          <w:szCs w:val="24"/>
          <w:highlight w:val="none"/>
        </w:rPr>
        <w:t xml:space="preserve">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 xml:space="preserve">针对本项目的售后服务方案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其他优惠条件（如有）</w:t>
      </w:r>
      <w:r>
        <w:rPr>
          <w:rFonts w:hint="eastAsia" w:ascii="宋体" w:hAnsi="宋体" w:cs="宋体"/>
          <w:color w:val="auto"/>
          <w:sz w:val="24"/>
          <w:highlight w:val="none"/>
        </w:rPr>
        <w:t>………………………………………………（页码）</w:t>
      </w:r>
    </w:p>
    <w:p>
      <w:pPr>
        <w:adjustRightInd w:val="0"/>
        <w:snapToGrid w:val="0"/>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认为需要提供的其他技术文件或资料（如有）</w:t>
      </w:r>
      <w:r>
        <w:rPr>
          <w:rFonts w:hint="eastAsia" w:ascii="宋体" w:hAnsi="宋体" w:cs="宋体"/>
          <w:color w:val="auto"/>
          <w:sz w:val="24"/>
          <w:highlight w:val="none"/>
        </w:rPr>
        <w:t>……………（页码）</w:t>
      </w:r>
    </w:p>
    <w:p>
      <w:pPr>
        <w:spacing w:line="360" w:lineRule="auto"/>
        <w:ind w:left="719" w:leftChars="228" w:hanging="240" w:hangingChars="100"/>
        <w:rPr>
          <w:rFonts w:ascii="宋体" w:hAnsi="宋体" w:cs="宋体"/>
          <w:color w:val="auto"/>
          <w:sz w:val="24"/>
          <w:szCs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adjustRightInd w:val="0"/>
        <w:snapToGrid w:val="0"/>
        <w:rPr>
          <w:rFonts w:ascii="宋体" w:hAnsi="宋体" w:cs="宋体"/>
          <w:b/>
          <w:color w:val="auto"/>
          <w:sz w:val="28"/>
          <w:szCs w:val="28"/>
          <w:highlight w:val="none"/>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bl>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我（姓名）系（投标人名称）的法定代表人（负责人），我方愿意参加贵方组织的项目（项目编号：）</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 xml:space="preserve"> 的投标，为便于贵方公正、择优地确定中标人及其投标产品和服务，我方就本次投标有关事项郑重声明如下：</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我（姓名）系（投标人名称）的法定代表人（负责人、自然人），现授权委托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（姓名）以我方的名义参加</w:t>
      </w:r>
      <w:r>
        <w:rPr>
          <w:rFonts w:hint="eastAsia" w:ascii="宋体" w:hAnsi="宋体" w:cs="宋体"/>
          <w:color w:val="auto"/>
          <w:sz w:val="24"/>
          <w:szCs w:val="24"/>
          <w:highlight w:val="none"/>
          <w:u w:val="single"/>
        </w:rPr>
        <w:t xml:space="preserve">     项目（项目编号：        ）标包编号及内容</w:t>
      </w:r>
      <w:r>
        <w:rPr>
          <w:rFonts w:hint="eastAsia" w:ascii="宋体" w:hAnsi="宋体" w:cs="宋体"/>
          <w:color w:val="auto"/>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pPr>
        <w:adjustRightInd w:val="0"/>
        <w:snapToGrid w:val="0"/>
        <w:spacing w:line="360" w:lineRule="auto"/>
        <w:rPr>
          <w:rFonts w:ascii="宋体" w:hAnsi="宋体" w:cs="宋体"/>
          <w:color w:val="auto"/>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pPr>
        <w:adjustRightInd w:val="0"/>
        <w:snapToGrid w:val="0"/>
        <w:spacing w:line="360" w:lineRule="auto"/>
        <w:ind w:right="480"/>
        <w:jc w:val="center"/>
        <w:rPr>
          <w:rFonts w:ascii="宋体" w:hAnsi="宋体" w:cs="宋体"/>
          <w:color w:val="auto"/>
          <w:sz w:val="24"/>
          <w:szCs w:val="24"/>
          <w:highlight w:val="none"/>
        </w:rPr>
      </w:pPr>
    </w:p>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b/>
          <w:color w:val="auto"/>
          <w:sz w:val="24"/>
          <w:szCs w:val="24"/>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3、有效的营业执照副本复印件、税务登记证副本（如有）复印件</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14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left="200" w:leftChars="0" w:hanging="200" w:firstLineChars="0"/>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股权关系</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应提供本单位</w:t>
      </w:r>
      <w:r>
        <w:rPr>
          <w:rFonts w:hint="eastAsia" w:ascii="宋体" w:hAnsi="宋体" w:cs="宋体"/>
          <w:color w:val="auto"/>
          <w:sz w:val="24"/>
          <w:szCs w:val="24"/>
          <w:highlight w:val="none"/>
          <w:lang w:val="en-US" w:eastAsia="zh-CN"/>
        </w:rPr>
        <w:t>2021、2022</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rPr>
        <w:t>经会计师事务所出具的审计报告复印件（报告中须包括资产负债表、利润表、现金流量表及财务报表附注）</w:t>
      </w:r>
      <w:r>
        <w:rPr>
          <w:rFonts w:hint="eastAsia" w:ascii="宋体" w:hAnsi="宋体" w:cs="宋体"/>
          <w:color w:val="auto"/>
          <w:sz w:val="24"/>
          <w:szCs w:val="24"/>
          <w:highlight w:val="none"/>
          <w:lang w:eastAsia="zh-CN"/>
        </w:rPr>
        <w:t>。如供应商注册不满</w:t>
      </w:r>
      <w:r>
        <w:rPr>
          <w:rFonts w:hint="eastAsia" w:ascii="宋体" w:hAnsi="宋体" w:cs="宋体"/>
          <w:color w:val="auto"/>
          <w:sz w:val="24"/>
          <w:szCs w:val="24"/>
          <w:highlight w:val="none"/>
          <w:lang w:val="en-US" w:eastAsia="zh-CN"/>
        </w:rPr>
        <w:t>1年无需提供上述资料。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、依法缴纳税收和社会保障资金的良好记录</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缴纳税收的证明材料，指</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缴纳增值税和企业所得税两种缴纳凭据；本项目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前6个月内（至少提供1个月）缴纳税收的凭据（完税证、缴款书、印花税票、银行代扣（代缴）转账凭证等均可）； </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依法缴纳社会保障资金的证明材料：本项目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 6个月内（至少提供1个月）缴纳社会保险的凭据（专用收据或社会保险交纳清单）； </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为其他组织或自然人的，也需要按此项规定提供缴纳税收的凭据和交纳社会保险的凭据。如</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的社会保险为委托第三方代缴，还需同时提供</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与第三方服务机构签署的服务合同（合同中应明确写明第三方为</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代缴其社会保险）。</w:t>
      </w:r>
    </w:p>
    <w:p>
      <w:pPr>
        <w:pStyle w:val="31"/>
        <w:rPr>
          <w:color w:val="auto"/>
          <w:highlight w:val="none"/>
        </w:rPr>
      </w:pP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、前三年内在经营活动中没有重大违法记录的书面声明：</w:t>
      </w:r>
    </w:p>
    <w:p>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w:t>
      </w:r>
      <w:r>
        <w:rPr>
          <w:rFonts w:hint="eastAsia" w:ascii="宋体" w:hAnsi="宋体" w:cs="宋体"/>
          <w:color w:val="auto"/>
          <w:sz w:val="24"/>
          <w:szCs w:val="24"/>
          <w:highlight w:val="none"/>
          <w:lang w:val="en-US" w:eastAsia="zh-CN"/>
        </w:rPr>
        <w:t>授权代表</w:t>
      </w:r>
      <w:r>
        <w:rPr>
          <w:rFonts w:hint="eastAsia" w:ascii="宋体" w:hAnsi="宋体" w:cs="宋体"/>
          <w:color w:val="auto"/>
          <w:sz w:val="24"/>
          <w:szCs w:val="24"/>
          <w:highlight w:val="none"/>
        </w:rPr>
        <w:t>签字：</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hint="eastAsia"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11</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2021</w:t>
      </w:r>
      <w:r>
        <w:rPr>
          <w:rFonts w:hint="eastAsia" w:ascii="宋体" w:hAnsi="宋体" w:cs="宋体"/>
          <w:b/>
          <w:color w:val="auto"/>
          <w:sz w:val="24"/>
          <w:szCs w:val="24"/>
          <w:highlight w:val="none"/>
          <w:lang w:eastAsia="zh-CN"/>
        </w:rPr>
        <w:t>年</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lang w:eastAsia="zh-CN"/>
        </w:rPr>
        <w:t>月</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rPr>
        <w:t>日以来</w:t>
      </w:r>
      <w:r>
        <w:rPr>
          <w:rFonts w:hint="eastAsia" w:ascii="宋体" w:hAnsi="宋体" w:cs="宋体"/>
          <w:b/>
          <w:color w:val="auto"/>
          <w:sz w:val="24"/>
          <w:szCs w:val="24"/>
          <w:highlight w:val="none"/>
          <w:lang w:val="en-US" w:eastAsia="zh-CN"/>
        </w:rPr>
        <w:t>同类</w:t>
      </w:r>
      <w:r>
        <w:rPr>
          <w:rFonts w:hint="eastAsia" w:ascii="宋体" w:hAnsi="宋体" w:cs="宋体"/>
          <w:b/>
          <w:color w:val="auto"/>
          <w:sz w:val="24"/>
          <w:szCs w:val="24"/>
          <w:highlight w:val="none"/>
        </w:rPr>
        <w:t>业绩</w:t>
      </w:r>
    </w:p>
    <w:p>
      <w:pPr>
        <w:adjustRightInd w:val="0"/>
        <w:snapToGrid w:val="0"/>
        <w:spacing w:line="400" w:lineRule="exact"/>
        <w:ind w:firstLine="470" w:firstLineChars="196"/>
        <w:jc w:val="left"/>
        <w:rPr>
          <w:rFonts w:hint="eastAsia" w:ascii="宋体" w:hAnsi="宋体" w:cs="宋体"/>
          <w:color w:val="auto"/>
          <w:sz w:val="24"/>
          <w:szCs w:val="24"/>
          <w:highlight w:val="none"/>
        </w:rPr>
      </w:pPr>
      <w:r>
        <w:rPr>
          <w:rFonts w:hint="eastAsia" w:ascii="宋体" w:hAnsi="宋体" w:cs="宋体"/>
          <w:sz w:val="24"/>
          <w:szCs w:val="24"/>
        </w:rPr>
        <w:t>以签订合同时间为准，需</w:t>
      </w:r>
      <w:r>
        <w:rPr>
          <w:rFonts w:hint="eastAsia" w:ascii="宋体" w:hAnsi="宋体" w:cs="宋体"/>
          <w:sz w:val="24"/>
          <w:szCs w:val="24"/>
          <w:lang w:val="en-US" w:eastAsia="zh-CN"/>
        </w:rPr>
        <w:t>提供中标（成交）通知书和合同复印件</w:t>
      </w:r>
      <w:r>
        <w:rPr>
          <w:rFonts w:hint="eastAsia" w:ascii="宋体" w:hAnsi="宋体" w:cs="宋体"/>
          <w:sz w:val="24"/>
          <w:szCs w:val="24"/>
        </w:rPr>
        <w:t>，复印件并加盖公章，如出现与事实不符等情况，将根据有关规定以“提供虚假材料谋取中标”予以处罚。</w:t>
      </w: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、政府采购政策扶持证明材料</w:t>
      </w:r>
    </w:p>
    <w:p>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pPr>
        <w:pStyle w:val="23"/>
        <w:snapToGrid w:val="0"/>
        <w:spacing w:before="156" w:after="156"/>
        <w:ind w:firstLine="4800" w:firstLineChars="20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日期：</w:t>
      </w:r>
    </w:p>
    <w:p>
      <w:pPr>
        <w:snapToGrid w:val="0"/>
        <w:spacing w:line="400" w:lineRule="exact"/>
        <w:ind w:firstLine="480" w:firstLineChars="200"/>
        <w:rPr>
          <w:rFonts w:hint="eastAsia" w:ascii="宋体" w:hAnsi="宋体" w:cs="宋体"/>
          <w:color w:val="auto"/>
          <w:sz w:val="24"/>
          <w:highlight w:val="none"/>
        </w:rPr>
      </w:pPr>
    </w:p>
    <w:p>
      <w:pPr>
        <w:snapToGrid w:val="0"/>
        <w:spacing w:line="40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rPr>
          <w:rFonts w:ascii="宋体" w:hAnsi="宋体" w:cs="宋体"/>
          <w:b/>
          <w:color w:val="auto"/>
          <w:sz w:val="24"/>
          <w:szCs w:val="24"/>
          <w:highlight w:val="none"/>
        </w:rPr>
      </w:pPr>
    </w:p>
    <w:p>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pPr>
        <w:snapToGrid w:val="0"/>
        <w:spacing w:line="400" w:lineRule="exact"/>
        <w:ind w:firstLine="4860" w:firstLineChars="2025"/>
        <w:rPr>
          <w:rFonts w:ascii="宋体" w:hAnsi="宋体" w:cs="宋体"/>
          <w:color w:val="auto"/>
          <w:sz w:val="24"/>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pPr>
        <w:pStyle w:val="23"/>
        <w:snapToGrid w:val="0"/>
        <w:spacing w:before="156" w:after="156"/>
        <w:ind w:firstLine="562" w:firstLineChars="200"/>
        <w:jc w:val="left"/>
        <w:rPr>
          <w:rFonts w:hAnsi="宋体" w:cs="宋体"/>
          <w:b/>
          <w:color w:val="auto"/>
          <w:sz w:val="28"/>
          <w:szCs w:val="28"/>
          <w:highlight w:val="none"/>
          <w:lang w:val="zh-CN"/>
        </w:rPr>
      </w:pPr>
    </w:p>
    <w:p>
      <w:pPr>
        <w:pStyle w:val="23"/>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pPr>
        <w:pStyle w:val="23"/>
        <w:snapToGrid w:val="0"/>
        <w:spacing w:before="156" w:after="156"/>
        <w:ind w:firstLine="422" w:firstLineChars="200"/>
        <w:jc w:val="center"/>
        <w:rPr>
          <w:rFonts w:hAnsi="宋体" w:cs="宋体"/>
          <w:b/>
          <w:color w:val="auto"/>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left"/>
        <w:rPr>
          <w:rFonts w:hAnsi="宋体" w:cs="宋体"/>
          <w:b/>
          <w:color w:val="auto"/>
          <w:sz w:val="28"/>
          <w:szCs w:val="28"/>
          <w:highlight w:val="none"/>
          <w:lang w:val="zh-CN"/>
        </w:rPr>
      </w:pPr>
    </w:p>
    <w:p>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4" w:name="OLE_LINK13"/>
      <w:bookmarkStart w:id="115" w:name="OLE_LINK14"/>
      <w:r>
        <w:rPr>
          <w:rFonts w:hint="eastAsia" w:ascii="宋体" w:hAnsi="宋体" w:cs="宋体"/>
          <w:b/>
          <w:color w:val="auto"/>
          <w:sz w:val="24"/>
          <w:szCs w:val="24"/>
          <w:highlight w:val="none"/>
        </w:rPr>
        <w:t>福利性单位声明函</w:t>
      </w:r>
    </w:p>
    <w:p>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4"/>
      <w:bookmarkEnd w:id="115"/>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pPr>
        <w:pStyle w:val="23"/>
        <w:snapToGrid w:val="0"/>
        <w:spacing w:before="156" w:after="156"/>
        <w:ind w:firstLine="444" w:firstLineChars="200"/>
        <w:jc w:val="center"/>
        <w:rPr>
          <w:rFonts w:hAnsi="宋体" w:cs="宋体"/>
          <w:color w:val="auto"/>
          <w:spacing w:val="6"/>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pPr>
        <w:pStyle w:val="198"/>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、其他证明文件或</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认为应提交的商务文件</w:t>
      </w:r>
    </w:p>
    <w:p>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（2）其他</w:t>
      </w:r>
    </w:p>
    <w:p>
      <w:pPr>
        <w:widowControl/>
        <w:snapToGrid w:val="0"/>
        <w:spacing w:line="400" w:lineRule="exact"/>
        <w:jc w:val="left"/>
        <w:rPr>
          <w:rFonts w:hint="eastAsia"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、技术偏离表格式：</w:t>
      </w:r>
    </w:p>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bl>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pStyle w:val="31"/>
        <w:rPr>
          <w:rFonts w:hint="eastAsia"/>
          <w:color w:val="auto"/>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lang w:eastAsia="zh-CN"/>
        </w:rPr>
        <w:t>产品详细技术规格书</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pPr>
        <w:pStyle w:val="31"/>
        <w:rPr>
          <w:rFonts w:hint="eastAsia" w:ascii="宋体" w:hAnsi="宋体" w:cs="宋体"/>
          <w:b/>
          <w:bCs/>
          <w:color w:val="auto"/>
          <w:sz w:val="24"/>
          <w:szCs w:val="24"/>
          <w:highlight w:val="none"/>
        </w:rPr>
      </w:pPr>
    </w:p>
    <w:p>
      <w:pPr>
        <w:widowControl/>
        <w:snapToGrid w:val="0"/>
        <w:spacing w:line="400" w:lineRule="exact"/>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lang w:eastAsia="zh-CN"/>
        </w:rPr>
        <w:t>与产品相关的由国家认可的检测机构出具的检测报告</w:t>
      </w:r>
      <w:r>
        <w:rPr>
          <w:rFonts w:hint="eastAsia" w:ascii="宋体" w:hAnsi="宋体" w:cs="宋体"/>
          <w:b/>
          <w:color w:val="auto"/>
          <w:sz w:val="24"/>
          <w:szCs w:val="24"/>
          <w:highlight w:val="none"/>
          <w:lang w:eastAsia="zh-CN"/>
        </w:rPr>
        <w:t>（如有）。</w:t>
      </w: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18、针对本项目的详细技术培训方案：包括（但不限于）</w:t>
      </w:r>
      <w:r>
        <w:rPr>
          <w:rFonts w:hint="default" w:ascii="宋体" w:hAnsi="宋体" w:eastAsia="宋体" w:cs="宋体"/>
          <w:b/>
          <w:color w:val="auto"/>
          <w:sz w:val="24"/>
          <w:szCs w:val="24"/>
          <w:highlight w:val="none"/>
          <w:lang w:val="en-US" w:eastAsia="zh-CN"/>
        </w:rPr>
        <w:t>培训内容</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培训方式</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培训计划</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培训团队人员配置等</w:t>
      </w:r>
      <w:r>
        <w:rPr>
          <w:rFonts w:hint="eastAsia" w:ascii="宋体" w:hAnsi="宋体" w:eastAsia="宋体" w:cs="宋体"/>
          <w:b/>
          <w:color w:val="auto"/>
          <w:sz w:val="24"/>
          <w:szCs w:val="24"/>
          <w:highlight w:val="none"/>
          <w:lang w:val="en-US" w:eastAsia="zh-CN"/>
        </w:rPr>
        <w:t>内容。</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19、针对本项目的售后服务方案：包括（但不限于）售后</w:t>
      </w:r>
      <w:r>
        <w:rPr>
          <w:rFonts w:hint="default" w:ascii="宋体" w:hAnsi="宋体" w:eastAsia="宋体" w:cs="宋体"/>
          <w:b/>
          <w:color w:val="auto"/>
          <w:sz w:val="24"/>
          <w:szCs w:val="24"/>
          <w:highlight w:val="none"/>
          <w:lang w:val="en-US" w:eastAsia="zh-CN"/>
        </w:rPr>
        <w:t>服务承诺</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服务响应方案</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备件（易耗品）供应方案</w:t>
      </w:r>
      <w:r>
        <w:rPr>
          <w:rFonts w:hint="eastAsia" w:ascii="宋体" w:hAnsi="宋体" w:eastAsia="宋体" w:cs="宋体"/>
          <w:b/>
          <w:color w:val="auto"/>
          <w:sz w:val="24"/>
          <w:szCs w:val="24"/>
          <w:highlight w:val="none"/>
          <w:lang w:val="en-US" w:eastAsia="zh-CN"/>
        </w:rPr>
        <w:t>（含备件价格）、</w:t>
      </w:r>
      <w:r>
        <w:rPr>
          <w:rFonts w:hint="default" w:ascii="宋体" w:hAnsi="宋体" w:eastAsia="宋体" w:cs="宋体"/>
          <w:b/>
          <w:color w:val="auto"/>
          <w:sz w:val="24"/>
          <w:szCs w:val="24"/>
          <w:highlight w:val="none"/>
          <w:lang w:val="en-US" w:eastAsia="zh-CN"/>
        </w:rPr>
        <w:t>服务人员配备</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故障响应</w:t>
      </w:r>
      <w:r>
        <w:rPr>
          <w:rFonts w:hint="eastAsia" w:ascii="宋体" w:hAnsi="宋体" w:eastAsia="宋体" w:cs="宋体"/>
          <w:b/>
          <w:color w:val="auto"/>
          <w:sz w:val="24"/>
          <w:szCs w:val="24"/>
          <w:highlight w:val="none"/>
          <w:lang w:val="en-US" w:eastAsia="zh-CN"/>
        </w:rPr>
        <w:t>措施、</w:t>
      </w:r>
      <w:r>
        <w:rPr>
          <w:rFonts w:hint="default" w:ascii="宋体" w:hAnsi="宋体" w:eastAsia="宋体" w:cs="宋体"/>
          <w:b/>
          <w:color w:val="auto"/>
          <w:sz w:val="24"/>
          <w:szCs w:val="24"/>
          <w:highlight w:val="none"/>
          <w:lang w:val="en-US" w:eastAsia="zh-CN"/>
        </w:rPr>
        <w:t>质保外服务措施等</w:t>
      </w:r>
      <w:r>
        <w:rPr>
          <w:rFonts w:hint="eastAsia" w:ascii="宋体" w:hAnsi="宋体" w:eastAsia="宋体" w:cs="宋体"/>
          <w:b/>
          <w:color w:val="auto"/>
          <w:sz w:val="24"/>
          <w:szCs w:val="24"/>
          <w:highlight w:val="none"/>
          <w:lang w:val="en-US" w:eastAsia="zh-CN"/>
        </w:rPr>
        <w:t>内容。</w:t>
      </w:r>
    </w:p>
    <w:p>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标包编号：</w:t>
      </w:r>
    </w:p>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pPr>
        <w:snapToGrid w:val="0"/>
        <w:spacing w:line="400" w:lineRule="exact"/>
        <w:jc w:val="left"/>
        <w:rPr>
          <w:rFonts w:asciiTheme="minorEastAsia" w:hAnsiTheme="minorEastAsia" w:eastAsiaTheme="minorEastAsia" w:cstheme="minorEastAsia"/>
          <w:color w:val="auto"/>
          <w:kern w:val="0"/>
          <w:sz w:val="24"/>
          <w:szCs w:val="24"/>
          <w:highlight w:val="none"/>
        </w:rPr>
      </w:pPr>
    </w:p>
    <w:p>
      <w:pPr>
        <w:pStyle w:val="196"/>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pStyle w:val="31"/>
        <w:rPr>
          <w:rFonts w:hint="eastAsia" w:ascii="宋体" w:hAnsi="宋体" w:eastAsia="宋体" w:cs="宋体"/>
          <w:b/>
          <w:color w:val="auto"/>
          <w:sz w:val="24"/>
          <w:szCs w:val="24"/>
          <w:highlight w:val="none"/>
          <w:lang w:val="en-US" w:eastAsia="zh-CN"/>
        </w:rPr>
      </w:pPr>
    </w:p>
    <w:p>
      <w:pPr>
        <w:pStyle w:val="31"/>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20、其他优惠条件（如有）：投标人承诺给予采购人的各种优惠条件，包括备品备件、专用耗材等；</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21、投标人需要提供的其他文件或资料（如有）。</w:t>
      </w: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pStyle w:val="19"/>
        <w:spacing w:line="480" w:lineRule="exact"/>
        <w:rPr>
          <w:rFonts w:ascii="仿宋" w:hAnsi="仿宋" w:eastAsia="仿宋" w:cs="仿宋"/>
          <w:b/>
          <w:bCs/>
          <w:color w:val="auto"/>
          <w:kern w:val="0"/>
          <w:sz w:val="24"/>
          <w:szCs w:val="24"/>
          <w:highlight w:val="none"/>
        </w:rPr>
      </w:pPr>
    </w:p>
    <w:p>
      <w:pPr>
        <w:pStyle w:val="19"/>
        <w:spacing w:line="480" w:lineRule="exact"/>
        <w:jc w:val="center"/>
        <w:rPr>
          <w:rFonts w:ascii="仿宋" w:hAnsi="仿宋" w:eastAsia="仿宋" w:cs="仿宋"/>
          <w:b/>
          <w:bCs/>
          <w:color w:val="auto"/>
          <w:kern w:val="0"/>
          <w:sz w:val="24"/>
          <w:szCs w:val="24"/>
          <w:highlight w:val="none"/>
        </w:rPr>
      </w:pPr>
    </w:p>
    <w:p>
      <w:pPr>
        <w:pStyle w:val="2"/>
        <w:ind w:firstLine="0" w:firstLineChars="0"/>
        <w:rPr>
          <w:rFonts w:hint="eastAsia"/>
          <w:color w:val="auto"/>
          <w:sz w:val="24"/>
          <w:szCs w:val="22"/>
          <w:highlight w:val="none"/>
        </w:rPr>
      </w:pPr>
    </w:p>
    <w:p>
      <w:pPr>
        <w:pStyle w:val="2"/>
        <w:ind w:firstLine="0" w:firstLineChars="0"/>
        <w:rPr>
          <w:rFonts w:hint="eastAsia"/>
          <w:color w:val="auto"/>
          <w:sz w:val="24"/>
          <w:szCs w:val="22"/>
          <w:highlight w:val="none"/>
        </w:rPr>
      </w:pPr>
    </w:p>
    <w:p>
      <w:pPr>
        <w:pStyle w:val="2"/>
        <w:ind w:firstLine="0" w:firstLineChars="0"/>
        <w:rPr>
          <w:rFonts w:hint="eastAsia"/>
          <w:color w:val="auto"/>
          <w:sz w:val="24"/>
          <w:szCs w:val="22"/>
          <w:highlight w:val="none"/>
        </w:rPr>
      </w:pPr>
    </w:p>
    <w:p>
      <w:pPr>
        <w:pStyle w:val="2"/>
        <w:ind w:firstLine="0" w:firstLineChars="0"/>
        <w:rPr>
          <w:rFonts w:hint="eastAsia"/>
          <w:color w:val="auto"/>
          <w:sz w:val="24"/>
          <w:szCs w:val="22"/>
          <w:highlight w:val="none"/>
        </w:rPr>
      </w:pPr>
    </w:p>
    <w:p>
      <w:pPr>
        <w:pStyle w:val="2"/>
        <w:ind w:firstLine="0" w:firstLineChars="0"/>
        <w:rPr>
          <w:color w:val="auto"/>
          <w:sz w:val="24"/>
          <w:szCs w:val="22"/>
          <w:highlight w:val="none"/>
        </w:rPr>
      </w:pPr>
      <w:r>
        <w:rPr>
          <w:rFonts w:hint="eastAsia"/>
          <w:color w:val="auto"/>
          <w:sz w:val="24"/>
          <w:szCs w:val="22"/>
          <w:highlight w:val="none"/>
        </w:rPr>
        <w:t>附：</w:t>
      </w:r>
    </w:p>
    <w:p>
      <w:pPr>
        <w:pStyle w:val="2"/>
        <w:ind w:firstLine="0" w:firstLineChars="0"/>
        <w:jc w:val="center"/>
        <w:rPr>
          <w:color w:val="auto"/>
          <w:sz w:val="24"/>
          <w:szCs w:val="22"/>
          <w:highlight w:val="none"/>
        </w:rPr>
      </w:pPr>
      <w:r>
        <w:rPr>
          <w:rFonts w:hint="eastAsia"/>
          <w:color w:val="auto"/>
          <w:sz w:val="24"/>
          <w:szCs w:val="22"/>
          <w:highlight w:val="none"/>
        </w:rPr>
        <w:t>质疑函范本</w:t>
      </w:r>
    </w:p>
    <w:p>
      <w:pPr>
        <w:pStyle w:val="2"/>
        <w:ind w:firstLine="480"/>
        <w:rPr>
          <w:color w:val="auto"/>
          <w:sz w:val="24"/>
          <w:szCs w:val="22"/>
          <w:highlight w:val="none"/>
        </w:rPr>
      </w:pPr>
      <w:r>
        <w:rPr>
          <w:rFonts w:hint="eastAsia"/>
          <w:color w:val="auto"/>
          <w:sz w:val="24"/>
          <w:szCs w:val="22"/>
          <w:highlight w:val="none"/>
        </w:rPr>
        <w:t>一、质疑供应商基本信息</w:t>
      </w:r>
    </w:p>
    <w:p>
      <w:pPr>
        <w:pStyle w:val="2"/>
        <w:ind w:firstLine="480"/>
        <w:rPr>
          <w:color w:val="auto"/>
          <w:sz w:val="24"/>
          <w:szCs w:val="22"/>
          <w:highlight w:val="none"/>
          <w:u w:val="single"/>
        </w:rPr>
      </w:pPr>
      <w:r>
        <w:rPr>
          <w:rFonts w:hint="eastAsia"/>
          <w:color w:val="auto"/>
          <w:sz w:val="24"/>
          <w:szCs w:val="22"/>
          <w:highlight w:val="none"/>
        </w:rPr>
        <w:t xml:space="preserve">质疑供应商：  </w:t>
      </w:r>
    </w:p>
    <w:p>
      <w:pPr>
        <w:pStyle w:val="2"/>
        <w:ind w:firstLine="480"/>
        <w:rPr>
          <w:color w:val="auto"/>
          <w:sz w:val="24"/>
          <w:szCs w:val="22"/>
          <w:highlight w:val="none"/>
        </w:rPr>
      </w:pPr>
      <w:r>
        <w:rPr>
          <w:rFonts w:hint="eastAsia"/>
          <w:color w:val="auto"/>
          <w:sz w:val="24"/>
          <w:szCs w:val="22"/>
          <w:highlight w:val="none"/>
        </w:rPr>
        <w:t xml:space="preserve">地址：                          邮编：                  </w:t>
      </w:r>
    </w:p>
    <w:p>
      <w:pPr>
        <w:pStyle w:val="2"/>
        <w:ind w:firstLine="480"/>
        <w:rPr>
          <w:color w:val="auto"/>
          <w:sz w:val="24"/>
          <w:szCs w:val="22"/>
          <w:highlight w:val="none"/>
        </w:rPr>
      </w:pPr>
      <w:r>
        <w:rPr>
          <w:rFonts w:hint="eastAsia"/>
          <w:color w:val="auto"/>
          <w:sz w:val="24"/>
          <w:szCs w:val="22"/>
          <w:highlight w:val="none"/>
        </w:rPr>
        <w:t xml:space="preserve">联系人：                      联系电话：                 </w:t>
      </w:r>
    </w:p>
    <w:p>
      <w:pPr>
        <w:pStyle w:val="2"/>
        <w:ind w:firstLine="480"/>
        <w:rPr>
          <w:color w:val="auto"/>
          <w:sz w:val="24"/>
          <w:szCs w:val="22"/>
          <w:highlight w:val="none"/>
        </w:rPr>
      </w:pPr>
      <w:r>
        <w:rPr>
          <w:rFonts w:hint="eastAsia"/>
          <w:color w:val="auto"/>
          <w:sz w:val="24"/>
          <w:szCs w:val="22"/>
          <w:highlight w:val="none"/>
        </w:rPr>
        <w:t xml:space="preserve">授权代表：                                          </w:t>
      </w:r>
    </w:p>
    <w:p>
      <w:pPr>
        <w:pStyle w:val="2"/>
        <w:ind w:firstLine="480"/>
        <w:rPr>
          <w:color w:val="auto"/>
          <w:sz w:val="24"/>
          <w:szCs w:val="22"/>
          <w:highlight w:val="none"/>
        </w:rPr>
      </w:pPr>
      <w:r>
        <w:rPr>
          <w:rFonts w:hint="eastAsia"/>
          <w:color w:val="auto"/>
          <w:sz w:val="24"/>
          <w:szCs w:val="22"/>
          <w:highlight w:val="none"/>
        </w:rPr>
        <w:t xml:space="preserve">联系电话：                                            </w:t>
      </w:r>
    </w:p>
    <w:p>
      <w:pPr>
        <w:pStyle w:val="2"/>
        <w:ind w:firstLine="480"/>
        <w:rPr>
          <w:color w:val="auto"/>
          <w:sz w:val="24"/>
          <w:szCs w:val="22"/>
          <w:highlight w:val="none"/>
        </w:rPr>
      </w:pPr>
      <w:r>
        <w:rPr>
          <w:rFonts w:hint="eastAsia"/>
          <w:color w:val="auto"/>
          <w:sz w:val="24"/>
          <w:szCs w:val="22"/>
          <w:highlight w:val="none"/>
        </w:rPr>
        <w:t xml:space="preserve">地址：                         邮编：                    </w:t>
      </w:r>
    </w:p>
    <w:p>
      <w:pPr>
        <w:pStyle w:val="2"/>
        <w:ind w:firstLine="480"/>
        <w:rPr>
          <w:color w:val="auto"/>
          <w:sz w:val="24"/>
          <w:szCs w:val="22"/>
          <w:highlight w:val="none"/>
        </w:rPr>
      </w:pPr>
      <w:r>
        <w:rPr>
          <w:rFonts w:hint="eastAsia"/>
          <w:color w:val="auto"/>
          <w:sz w:val="24"/>
          <w:szCs w:val="22"/>
          <w:highlight w:val="none"/>
        </w:rPr>
        <w:t>二、质疑项目基本情况</w:t>
      </w:r>
    </w:p>
    <w:p>
      <w:pPr>
        <w:pStyle w:val="2"/>
        <w:ind w:firstLine="480"/>
        <w:rPr>
          <w:color w:val="auto"/>
          <w:sz w:val="24"/>
          <w:szCs w:val="22"/>
          <w:highlight w:val="none"/>
        </w:rPr>
      </w:pPr>
      <w:r>
        <w:rPr>
          <w:rFonts w:hint="eastAsia"/>
          <w:color w:val="auto"/>
          <w:sz w:val="24"/>
          <w:szCs w:val="22"/>
          <w:highlight w:val="none"/>
        </w:rPr>
        <w:t xml:space="preserve">质疑项目的名称：                                      </w:t>
      </w:r>
    </w:p>
    <w:p>
      <w:pPr>
        <w:pStyle w:val="2"/>
        <w:ind w:firstLine="480"/>
        <w:rPr>
          <w:color w:val="auto"/>
          <w:sz w:val="24"/>
          <w:szCs w:val="22"/>
          <w:highlight w:val="none"/>
        </w:rPr>
      </w:pPr>
      <w:r>
        <w:rPr>
          <w:rFonts w:hint="eastAsia"/>
          <w:color w:val="auto"/>
          <w:sz w:val="24"/>
          <w:szCs w:val="22"/>
          <w:highlight w:val="none"/>
        </w:rPr>
        <w:t xml:space="preserve">质疑项目的编号：               包号：                 </w:t>
      </w:r>
    </w:p>
    <w:p>
      <w:pPr>
        <w:pStyle w:val="2"/>
        <w:ind w:firstLine="480"/>
        <w:rPr>
          <w:color w:val="auto"/>
          <w:sz w:val="24"/>
          <w:szCs w:val="22"/>
          <w:highlight w:val="none"/>
        </w:rPr>
      </w:pPr>
      <w:r>
        <w:rPr>
          <w:rFonts w:hint="eastAsia"/>
          <w:color w:val="auto"/>
          <w:sz w:val="24"/>
          <w:szCs w:val="22"/>
          <w:highlight w:val="none"/>
        </w:rPr>
        <w:t xml:space="preserve">采购人名称：                                         </w:t>
      </w:r>
    </w:p>
    <w:p>
      <w:pPr>
        <w:pStyle w:val="2"/>
        <w:ind w:firstLine="480"/>
        <w:rPr>
          <w:color w:val="auto"/>
          <w:sz w:val="24"/>
          <w:szCs w:val="22"/>
          <w:highlight w:val="none"/>
        </w:rPr>
      </w:pPr>
      <w:r>
        <w:rPr>
          <w:rFonts w:hint="eastAsia"/>
          <w:color w:val="auto"/>
          <w:sz w:val="24"/>
          <w:szCs w:val="22"/>
          <w:highlight w:val="none"/>
        </w:rPr>
        <w:t xml:space="preserve">招标文件获取日期：                                           </w:t>
      </w:r>
    </w:p>
    <w:p>
      <w:pPr>
        <w:pStyle w:val="2"/>
        <w:ind w:firstLine="480"/>
        <w:rPr>
          <w:color w:val="auto"/>
          <w:sz w:val="24"/>
          <w:szCs w:val="22"/>
          <w:highlight w:val="none"/>
        </w:rPr>
      </w:pPr>
      <w:r>
        <w:rPr>
          <w:rFonts w:hint="eastAsia"/>
          <w:color w:val="auto"/>
          <w:sz w:val="24"/>
          <w:szCs w:val="22"/>
          <w:highlight w:val="none"/>
        </w:rPr>
        <w:t>三、质疑事项具体内容</w:t>
      </w:r>
    </w:p>
    <w:p>
      <w:pPr>
        <w:pStyle w:val="2"/>
        <w:ind w:firstLine="480"/>
        <w:rPr>
          <w:color w:val="auto"/>
          <w:sz w:val="24"/>
          <w:szCs w:val="22"/>
          <w:highlight w:val="none"/>
        </w:rPr>
      </w:pPr>
      <w:r>
        <w:rPr>
          <w:rFonts w:hint="eastAsia"/>
          <w:color w:val="auto"/>
          <w:sz w:val="24"/>
          <w:szCs w:val="22"/>
          <w:highlight w:val="none"/>
        </w:rPr>
        <w:t xml:space="preserve">质疑事项1：                                         </w:t>
      </w:r>
    </w:p>
    <w:p>
      <w:pPr>
        <w:pStyle w:val="2"/>
        <w:ind w:firstLine="480"/>
        <w:rPr>
          <w:color w:val="auto"/>
          <w:sz w:val="24"/>
          <w:szCs w:val="22"/>
          <w:highlight w:val="none"/>
        </w:rPr>
      </w:pPr>
      <w:r>
        <w:rPr>
          <w:rFonts w:hint="eastAsia"/>
          <w:color w:val="auto"/>
          <w:sz w:val="24"/>
          <w:szCs w:val="22"/>
          <w:highlight w:val="none"/>
        </w:rPr>
        <w:t xml:space="preserve">事实依据：                                          </w:t>
      </w:r>
    </w:p>
    <w:p>
      <w:pPr>
        <w:pStyle w:val="2"/>
        <w:ind w:firstLine="480"/>
        <w:rPr>
          <w:color w:val="auto"/>
          <w:sz w:val="24"/>
          <w:szCs w:val="22"/>
          <w:highlight w:val="none"/>
        </w:rPr>
      </w:pPr>
    </w:p>
    <w:p>
      <w:pPr>
        <w:pStyle w:val="2"/>
        <w:ind w:firstLine="480"/>
        <w:rPr>
          <w:color w:val="auto"/>
          <w:sz w:val="24"/>
          <w:szCs w:val="22"/>
          <w:highlight w:val="none"/>
        </w:rPr>
      </w:pPr>
      <w:r>
        <w:rPr>
          <w:rFonts w:hint="eastAsia"/>
          <w:color w:val="auto"/>
          <w:sz w:val="24"/>
          <w:szCs w:val="22"/>
          <w:highlight w:val="none"/>
        </w:rPr>
        <w:t xml:space="preserve">法律依据：                                          </w:t>
      </w:r>
    </w:p>
    <w:p>
      <w:pPr>
        <w:pStyle w:val="2"/>
        <w:ind w:firstLine="480"/>
        <w:rPr>
          <w:color w:val="auto"/>
          <w:sz w:val="24"/>
          <w:szCs w:val="22"/>
          <w:highlight w:val="none"/>
        </w:rPr>
      </w:pPr>
    </w:p>
    <w:p>
      <w:pPr>
        <w:pStyle w:val="2"/>
        <w:ind w:firstLine="480"/>
        <w:rPr>
          <w:color w:val="auto"/>
          <w:sz w:val="24"/>
          <w:szCs w:val="22"/>
          <w:highlight w:val="none"/>
        </w:rPr>
      </w:pPr>
      <w:r>
        <w:rPr>
          <w:rFonts w:hint="eastAsia"/>
          <w:color w:val="auto"/>
          <w:sz w:val="24"/>
          <w:szCs w:val="22"/>
          <w:highlight w:val="none"/>
        </w:rPr>
        <w:t>质疑事项2</w:t>
      </w:r>
    </w:p>
    <w:p>
      <w:pPr>
        <w:pStyle w:val="2"/>
        <w:ind w:firstLine="480"/>
        <w:rPr>
          <w:color w:val="auto"/>
          <w:sz w:val="24"/>
          <w:szCs w:val="22"/>
          <w:highlight w:val="none"/>
        </w:rPr>
      </w:pPr>
      <w:r>
        <w:rPr>
          <w:rFonts w:hint="eastAsia"/>
          <w:color w:val="auto"/>
          <w:sz w:val="24"/>
          <w:szCs w:val="22"/>
          <w:highlight w:val="none"/>
        </w:rPr>
        <w:t>……</w:t>
      </w:r>
    </w:p>
    <w:p>
      <w:pPr>
        <w:pStyle w:val="2"/>
        <w:ind w:firstLine="480"/>
        <w:rPr>
          <w:color w:val="auto"/>
          <w:sz w:val="24"/>
          <w:szCs w:val="22"/>
          <w:highlight w:val="none"/>
        </w:rPr>
      </w:pPr>
      <w:r>
        <w:rPr>
          <w:rFonts w:hint="eastAsia"/>
          <w:color w:val="auto"/>
          <w:sz w:val="24"/>
          <w:szCs w:val="22"/>
          <w:highlight w:val="none"/>
        </w:rPr>
        <w:t>四、与质疑事项相关的质疑请求</w:t>
      </w:r>
    </w:p>
    <w:p>
      <w:pPr>
        <w:pStyle w:val="2"/>
        <w:ind w:firstLine="480"/>
        <w:rPr>
          <w:color w:val="auto"/>
          <w:sz w:val="24"/>
          <w:szCs w:val="22"/>
          <w:highlight w:val="none"/>
        </w:rPr>
      </w:pPr>
      <w:r>
        <w:rPr>
          <w:rFonts w:hint="eastAsia"/>
          <w:color w:val="auto"/>
          <w:sz w:val="24"/>
          <w:szCs w:val="22"/>
          <w:highlight w:val="none"/>
        </w:rPr>
        <w:t xml:space="preserve">请求：                                               </w:t>
      </w:r>
    </w:p>
    <w:p>
      <w:pPr>
        <w:pStyle w:val="2"/>
        <w:ind w:firstLine="480"/>
        <w:rPr>
          <w:color w:val="auto"/>
          <w:sz w:val="24"/>
          <w:szCs w:val="22"/>
          <w:highlight w:val="none"/>
        </w:rPr>
      </w:pPr>
      <w:r>
        <w:rPr>
          <w:rFonts w:hint="eastAsia"/>
          <w:color w:val="auto"/>
          <w:sz w:val="24"/>
          <w:szCs w:val="22"/>
          <w:highlight w:val="none"/>
        </w:rPr>
        <w:t xml:space="preserve">签字(签章)：                   公章：                      </w:t>
      </w:r>
    </w:p>
    <w:p>
      <w:pPr>
        <w:pStyle w:val="2"/>
        <w:ind w:firstLine="480"/>
        <w:rPr>
          <w:color w:val="auto"/>
          <w:sz w:val="24"/>
          <w:szCs w:val="22"/>
          <w:highlight w:val="none"/>
        </w:rPr>
      </w:pPr>
      <w:r>
        <w:rPr>
          <w:rFonts w:hint="eastAsia"/>
          <w:color w:val="auto"/>
          <w:sz w:val="24"/>
          <w:szCs w:val="22"/>
          <w:highlight w:val="none"/>
        </w:rPr>
        <w:t xml:space="preserve">日期：    </w:t>
      </w:r>
    </w:p>
    <w:p>
      <w:pPr>
        <w:rPr>
          <w:color w:val="auto"/>
          <w:sz w:val="24"/>
          <w:szCs w:val="22"/>
          <w:highlight w:val="none"/>
        </w:rPr>
      </w:pPr>
      <w:r>
        <w:rPr>
          <w:rFonts w:hint="eastAsia"/>
          <w:color w:val="auto"/>
          <w:sz w:val="24"/>
          <w:szCs w:val="22"/>
          <w:highlight w:val="none"/>
        </w:rPr>
        <w:br w:type="page"/>
      </w:r>
    </w:p>
    <w:p>
      <w:pPr>
        <w:pStyle w:val="2"/>
        <w:ind w:firstLine="480"/>
        <w:rPr>
          <w:color w:val="auto"/>
          <w:sz w:val="24"/>
          <w:szCs w:val="22"/>
          <w:highlight w:val="none"/>
        </w:rPr>
      </w:pPr>
      <w:r>
        <w:rPr>
          <w:rFonts w:hint="eastAsia"/>
          <w:color w:val="auto"/>
          <w:sz w:val="24"/>
          <w:szCs w:val="22"/>
          <w:highlight w:val="none"/>
        </w:rPr>
        <w:t>质疑函制作说明：</w:t>
      </w:r>
    </w:p>
    <w:p>
      <w:pPr>
        <w:pStyle w:val="2"/>
        <w:ind w:firstLine="480"/>
        <w:rPr>
          <w:color w:val="auto"/>
          <w:sz w:val="24"/>
          <w:szCs w:val="22"/>
          <w:highlight w:val="none"/>
        </w:rPr>
      </w:pPr>
      <w:r>
        <w:rPr>
          <w:rFonts w:hint="eastAsia"/>
          <w:color w:val="auto"/>
          <w:sz w:val="24"/>
          <w:szCs w:val="22"/>
          <w:highlight w:val="none"/>
        </w:rPr>
        <w:t>1.供应商提出质疑时，应提交质疑函和必要的证明材料。</w:t>
      </w:r>
    </w:p>
    <w:p>
      <w:pPr>
        <w:pStyle w:val="2"/>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2"/>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pPr>
        <w:pStyle w:val="2"/>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pPr>
        <w:pStyle w:val="2"/>
        <w:ind w:firstLine="480"/>
        <w:rPr>
          <w:color w:val="auto"/>
          <w:sz w:val="24"/>
          <w:szCs w:val="22"/>
          <w:highlight w:val="none"/>
        </w:rPr>
      </w:pPr>
      <w:r>
        <w:rPr>
          <w:rFonts w:hint="eastAsia"/>
          <w:color w:val="auto"/>
          <w:sz w:val="24"/>
          <w:szCs w:val="22"/>
          <w:highlight w:val="none"/>
        </w:rPr>
        <w:t>5.质疑函的质疑请求应与质疑事项相关。</w:t>
      </w:r>
    </w:p>
    <w:p>
      <w:pPr>
        <w:pStyle w:val="2"/>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pPr>
        <w:rPr>
          <w:rFonts w:hint="eastAsia" w:eastAsia="宋体"/>
          <w:color w:val="auto"/>
          <w:highlight w:val="none"/>
          <w:lang w:eastAsia="zh-CN"/>
        </w:rPr>
        <w:sectPr>
          <w:headerReference r:id="rId8" w:type="default"/>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bookmarkStart w:id="116" w:name="_Toc99731210"/>
      <w:bookmarkStart w:id="117" w:name="_Toc105522757"/>
      <w:bookmarkStart w:id="118" w:name="_Toc99731325"/>
      <w:bookmarkStart w:id="119" w:name="_Toc95234398"/>
      <w:bookmarkStart w:id="120" w:name="_Toc6920"/>
      <w:bookmarkStart w:id="121" w:name="_Toc30959"/>
    </w:p>
    <w:bookmarkEnd w:id="116"/>
    <w:bookmarkEnd w:id="117"/>
    <w:bookmarkEnd w:id="118"/>
    <w:bookmarkEnd w:id="119"/>
    <w:bookmarkEnd w:id="120"/>
    <w:bookmarkEnd w:id="121"/>
    <w:p>
      <w:pPr>
        <w:pStyle w:val="5"/>
        <w:numPr>
          <w:ilvl w:val="0"/>
          <w:numId w:val="14"/>
        </w:numPr>
        <w:rPr>
          <w:rFonts w:hint="eastAsia"/>
          <w:color w:val="auto"/>
          <w:highlight w:val="none"/>
        </w:rPr>
      </w:pPr>
      <w:bookmarkStart w:id="122" w:name="_Toc14801"/>
      <w:r>
        <w:rPr>
          <w:rFonts w:hint="eastAsia"/>
          <w:color w:val="auto"/>
          <w:highlight w:val="none"/>
        </w:rPr>
        <w:t>项目需求</w:t>
      </w:r>
      <w:bookmarkEnd w:id="122"/>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7"/>
        <w:gridCol w:w="1547"/>
        <w:gridCol w:w="1410"/>
        <w:gridCol w:w="1410"/>
        <w:gridCol w:w="1412"/>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Align w:val="center"/>
          </w:tcPr>
          <w:p>
            <w:pPr>
              <w:pStyle w:val="2"/>
              <w:ind w:left="0" w:leftChars="0" w:firstLine="212" w:firstLineChars="100"/>
              <w:jc w:val="both"/>
              <w:rPr>
                <w:rFonts w:hint="eastAsia" w:eastAsia="宋体"/>
                <w:vertAlign w:val="baseline"/>
                <w:lang w:val="en-US" w:eastAsia="zh-CN"/>
              </w:rPr>
            </w:pPr>
            <w:r>
              <w:rPr>
                <w:rFonts w:hint="eastAsia"/>
                <w:vertAlign w:val="baseline"/>
                <w:lang w:val="en-US" w:eastAsia="zh-CN"/>
              </w:rPr>
              <w:t>包号</w:t>
            </w:r>
          </w:p>
        </w:tc>
        <w:tc>
          <w:tcPr>
            <w:tcW w:w="1547" w:type="dxa"/>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装备名称</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数量</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单位</w:t>
            </w:r>
          </w:p>
        </w:tc>
        <w:tc>
          <w:tcPr>
            <w:tcW w:w="1412" w:type="dxa"/>
            <w:vAlign w:val="center"/>
          </w:tcPr>
          <w:p>
            <w:pPr>
              <w:pStyle w:val="2"/>
              <w:ind w:left="0" w:leftChars="0" w:firstLine="0" w:firstLineChars="0"/>
              <w:jc w:val="center"/>
              <w:rPr>
                <w:rFonts w:hint="eastAsia" w:eastAsia="宋体"/>
                <w:highlight w:val="none"/>
                <w:vertAlign w:val="baseline"/>
                <w:lang w:val="en-US" w:eastAsia="zh-CN"/>
              </w:rPr>
            </w:pPr>
            <w:r>
              <w:rPr>
                <w:rFonts w:hint="eastAsia"/>
                <w:highlight w:val="none"/>
                <w:vertAlign w:val="baseline"/>
                <w:lang w:val="en-US" w:eastAsia="zh-CN"/>
              </w:rPr>
              <w:t>单价（万元）</w:t>
            </w:r>
          </w:p>
        </w:tc>
        <w:tc>
          <w:tcPr>
            <w:tcW w:w="1476" w:type="dxa"/>
            <w:vAlign w:val="center"/>
          </w:tcPr>
          <w:p>
            <w:pPr>
              <w:pStyle w:val="2"/>
              <w:ind w:left="0" w:leftChars="0" w:firstLine="0" w:firstLineChars="0"/>
              <w:jc w:val="center"/>
              <w:rPr>
                <w:rFonts w:hint="eastAsia"/>
                <w:highlight w:val="none"/>
                <w:vertAlign w:val="baseline"/>
                <w:lang w:val="en-US" w:eastAsia="zh-CN"/>
              </w:rPr>
            </w:pPr>
            <w:r>
              <w:rPr>
                <w:rFonts w:hint="eastAsia"/>
                <w:highlight w:val="none"/>
                <w:vertAlign w:val="baseline"/>
                <w:lang w:val="en-US" w:eastAsia="zh-CN"/>
              </w:rPr>
              <w:t>合计金额</w:t>
            </w:r>
          </w:p>
          <w:p>
            <w:pPr>
              <w:pStyle w:val="2"/>
              <w:ind w:left="0" w:leftChars="0" w:firstLine="0" w:firstLineChars="0"/>
              <w:jc w:val="center"/>
              <w:rPr>
                <w:rFonts w:hint="default" w:eastAsia="宋体"/>
                <w:highlight w:val="none"/>
                <w:vertAlign w:val="baseline"/>
                <w:lang w:val="en-US" w:eastAsia="zh-CN"/>
              </w:rPr>
            </w:pPr>
            <w:r>
              <w:rPr>
                <w:rFonts w:hint="eastAsia"/>
                <w:highlight w:val="none"/>
                <w:vertAlign w:val="baseli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2" w:firstLineChars="100"/>
              <w:jc w:val="left"/>
              <w:rPr>
                <w:rFonts w:hint="default" w:eastAsia="宋体"/>
                <w:vertAlign w:val="baseline"/>
                <w:lang w:val="en-US" w:eastAsia="zh-CN"/>
              </w:rPr>
            </w:pPr>
            <w:r>
              <w:rPr>
                <w:rFonts w:hint="eastAsia"/>
                <w:vertAlign w:val="baseline"/>
                <w:lang w:val="en-US" w:eastAsia="zh-CN"/>
              </w:rPr>
              <w:t>三十五</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卷扬机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0.5300 </w:t>
            </w:r>
          </w:p>
        </w:tc>
        <w:tc>
          <w:tcPr>
            <w:tcW w:w="1476"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116.1900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自动止坠器</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0.2</w:t>
            </w:r>
            <w:r>
              <w:rPr>
                <w:rFonts w:hint="eastAsia" w:cs="Times New Roman"/>
                <w:i w:val="0"/>
                <w:iCs w:val="0"/>
                <w:color w:val="auto"/>
                <w:kern w:val="0"/>
                <w:sz w:val="22"/>
                <w:szCs w:val="22"/>
                <w:u w:val="none"/>
                <w:lang w:val="en-US" w:eastAsia="zh-CN" w:bidi="ar"/>
              </w:rPr>
              <w:t>5</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自动锁定下降器</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25</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多功能省力系统</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0.3</w:t>
            </w:r>
            <w:r>
              <w:rPr>
                <w:rFonts w:hint="eastAsia"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滑轮套装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0.2400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挂钩套装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17</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绳索救援套装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2.5000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锚固装备套装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8</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1.4300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电动卷扬机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cs="Times New Roman"/>
                <w:i w:val="0"/>
                <w:iCs w:val="0"/>
                <w:color w:val="auto"/>
                <w:kern w:val="0"/>
                <w:sz w:val="22"/>
                <w:szCs w:val="22"/>
                <w:u w:val="none"/>
                <w:lang w:val="en-US" w:eastAsia="zh-CN" w:bidi="ar"/>
              </w:rPr>
              <w:t>2</w:t>
            </w:r>
            <w:r>
              <w:rPr>
                <w:rFonts w:hint="default" w:ascii="Times New Roman" w:hAnsi="Times New Roman" w:eastAsia="宋体" w:cs="Times New Roman"/>
                <w:i w:val="0"/>
                <w:iCs w:val="0"/>
                <w:color w:val="auto"/>
                <w:kern w:val="0"/>
                <w:sz w:val="22"/>
                <w:szCs w:val="22"/>
                <w:u w:val="none"/>
                <w:lang w:val="en-US" w:eastAsia="zh-CN" w:bidi="ar"/>
              </w:rPr>
              <w:t xml:space="preserve">.0000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全身吊带</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件</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0.2300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left"/>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消防用防坠落装备</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26</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0.6000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2" w:firstLineChars="100"/>
              <w:jc w:val="left"/>
              <w:rPr>
                <w:rFonts w:hint="default" w:eastAsia="宋体"/>
                <w:vertAlign w:val="baseline"/>
                <w:lang w:val="en-US" w:eastAsia="zh-CN"/>
              </w:rPr>
            </w:pPr>
            <w:r>
              <w:rPr>
                <w:rFonts w:hint="eastAsia"/>
                <w:vertAlign w:val="baseline"/>
                <w:lang w:val="en-US" w:eastAsia="zh-CN"/>
              </w:rPr>
              <w:t>三十六</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硬质救援艇（冲锋舟）</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艘</w:t>
            </w:r>
          </w:p>
        </w:tc>
        <w:tc>
          <w:tcPr>
            <w:tcW w:w="1412" w:type="dxa"/>
            <w:vAlign w:val="center"/>
          </w:tcPr>
          <w:p>
            <w:pPr>
              <w:keepNext w:val="0"/>
              <w:keepLines w:val="0"/>
              <w:widowControl/>
              <w:suppressLineNumbers w:val="0"/>
              <w:tabs>
                <w:tab w:val="left" w:pos="279"/>
                <w:tab w:val="center" w:pos="712"/>
              </w:tabs>
              <w:jc w:val="left"/>
              <w:textAlignment w:val="center"/>
              <w:rPr>
                <w:rFonts w:hint="eastAsia"/>
                <w:color w:val="auto"/>
                <w:vertAlign w:val="baseline"/>
                <w:lang w:val="zh-CN"/>
              </w:rPr>
            </w:pPr>
            <w:r>
              <w:rPr>
                <w:rFonts w:hint="eastAsia" w:cs="Times New Roman"/>
                <w:i w:val="0"/>
                <w:iCs w:val="0"/>
                <w:color w:val="auto"/>
                <w:kern w:val="0"/>
                <w:sz w:val="22"/>
                <w:szCs w:val="22"/>
                <w:u w:val="none"/>
                <w:lang w:val="en-US" w:eastAsia="zh-CN" w:bidi="ar"/>
              </w:rPr>
              <w:tab/>
            </w: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w:t>
            </w:r>
            <w:r>
              <w:rPr>
                <w:rFonts w:hint="eastAsia" w:cs="Times New Roman"/>
                <w:i w:val="0"/>
                <w:iCs w:val="0"/>
                <w:color w:val="auto"/>
                <w:kern w:val="0"/>
                <w:sz w:val="22"/>
                <w:szCs w:val="22"/>
                <w:u w:val="none"/>
                <w:lang w:val="en-US" w:eastAsia="zh-CN" w:bidi="ar"/>
              </w:rPr>
              <w:t>8</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158.0100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舷外机（含油箱防护罩）</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3.0000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充气救生筏</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5.0000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救援桨板</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副</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0.9300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充气式上浮系统</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2.5000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充气式救生浮板</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部</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5</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橡皮艇</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艘</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5.5000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定位浮标</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18</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水面漂浮救生绳（</w:t>
            </w:r>
            <w:r>
              <w:rPr>
                <w:rFonts w:hint="default" w:ascii="Times New Roman" w:hAnsi="Times New Roman" w:eastAsia="宋体" w:cs="Times New Roman"/>
                <w:i w:val="0"/>
                <w:iCs w:val="0"/>
                <w:color w:val="000000"/>
                <w:kern w:val="0"/>
                <w:sz w:val="22"/>
                <w:szCs w:val="22"/>
                <w:u w:val="none"/>
                <w:lang w:val="en-US" w:eastAsia="zh-CN" w:bidi="ar"/>
              </w:rPr>
              <w:t>200</w:t>
            </w:r>
            <w:r>
              <w:rPr>
                <w:rFonts w:hint="eastAsia" w:ascii="宋体" w:hAnsi="宋体" w:eastAsia="宋体" w:cs="宋体"/>
                <w:i w:val="0"/>
                <w:iCs w:val="0"/>
                <w:color w:val="000000"/>
                <w:kern w:val="0"/>
                <w:sz w:val="22"/>
                <w:szCs w:val="22"/>
                <w:u w:val="none"/>
                <w:lang w:val="en-US" w:eastAsia="zh-CN" w:bidi="ar"/>
              </w:rPr>
              <w:t>米）</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9</w:t>
            </w:r>
          </w:p>
        </w:tc>
        <w:tc>
          <w:tcPr>
            <w:tcW w:w="1410" w:type="dxa"/>
          </w:tcPr>
          <w:p>
            <w:pPr>
              <w:pStyle w:val="2"/>
              <w:jc w:val="both"/>
              <w:rPr>
                <w:rFonts w:hint="default"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0.4</w:t>
            </w:r>
            <w:r>
              <w:rPr>
                <w:rFonts w:hint="eastAsia" w:cs="Times New Roman"/>
                <w:i w:val="0"/>
                <w:iCs w:val="0"/>
                <w:color w:val="auto"/>
                <w:kern w:val="0"/>
                <w:sz w:val="22"/>
                <w:szCs w:val="22"/>
                <w:u w:val="none"/>
                <w:lang w:val="en-US" w:eastAsia="zh-CN" w:bidi="ar"/>
              </w:rPr>
              <w:t>6</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救生拉杆</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0.8000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滚钩</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24</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0.3</w:t>
            </w:r>
            <w:r>
              <w:rPr>
                <w:rFonts w:hint="eastAsia"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冰面救援滑板</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0.8000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冰面救援服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水域救生套装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30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干式水域救援服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0.8000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湿式水域救援服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0.3500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干式潜水衣</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cs="Times New Roman"/>
                <w:i w:val="0"/>
                <w:iCs w:val="0"/>
                <w:color w:val="auto"/>
                <w:kern w:val="0"/>
                <w:sz w:val="22"/>
                <w:szCs w:val="22"/>
                <w:u w:val="none"/>
                <w:lang w:val="en-US" w:eastAsia="zh-CN" w:bidi="ar"/>
              </w:rPr>
              <w:t>32</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湿式潜水衣</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4600</w:t>
            </w:r>
            <w:r>
              <w:rPr>
                <w:rFonts w:hint="default" w:ascii="Times New Roman" w:hAnsi="Times New Roman" w:eastAsia="宋体" w:cs="Times New Roman"/>
                <w:i w:val="0"/>
                <w:iCs w:val="0"/>
                <w:color w:val="auto"/>
                <w:kern w:val="0"/>
                <w:sz w:val="22"/>
                <w:szCs w:val="22"/>
                <w:u w:val="none"/>
                <w:lang w:val="en-US" w:eastAsia="zh-CN" w:bidi="ar"/>
              </w:rPr>
              <w:t xml:space="preserve">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水域救援套装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潜水装备套装</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0.5900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三十七</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防静电服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0.2100 </w:t>
            </w:r>
          </w:p>
        </w:tc>
        <w:tc>
          <w:tcPr>
            <w:tcW w:w="1476"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95.6400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轻型防化服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36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68</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重型防化服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36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电绝缘装具</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0.3</w:t>
            </w:r>
            <w:r>
              <w:rPr>
                <w:rFonts w:hint="eastAsia"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消防员防蜂服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26</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18</w:t>
            </w:r>
            <w:r>
              <w:rPr>
                <w:rFonts w:hint="default" w:ascii="Times New Roman" w:hAnsi="Times New Roman" w:eastAsia="宋体" w:cs="Times New Roman"/>
                <w:i w:val="0"/>
                <w:iCs w:val="0"/>
                <w:color w:val="auto"/>
                <w:kern w:val="0"/>
                <w:sz w:val="22"/>
                <w:szCs w:val="22"/>
                <w:u w:val="none"/>
                <w:lang w:val="en-US" w:eastAsia="zh-CN" w:bidi="ar"/>
              </w:rPr>
              <w:t xml:space="preserve">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消防员避火防护服</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套</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4500</w:t>
            </w:r>
            <w:r>
              <w:rPr>
                <w:rFonts w:hint="default" w:ascii="Times New Roman" w:hAnsi="Times New Roman" w:eastAsia="宋体" w:cs="Times New Roman"/>
                <w:i w:val="0"/>
                <w:iCs w:val="0"/>
                <w:color w:val="auto"/>
                <w:kern w:val="0"/>
                <w:sz w:val="22"/>
                <w:szCs w:val="22"/>
                <w:u w:val="none"/>
                <w:lang w:val="en-US" w:eastAsia="zh-CN" w:bidi="ar"/>
              </w:rPr>
              <w:t xml:space="preserve">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三十八</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小型移动照明灯组</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组</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1.5000 </w:t>
            </w:r>
          </w:p>
        </w:tc>
        <w:tc>
          <w:tcPr>
            <w:tcW w:w="1476"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117.4200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移动照明灯组</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vAlign w:val="center"/>
          </w:tcPr>
          <w:p>
            <w:pPr>
              <w:pStyle w:val="2"/>
              <w:jc w:val="both"/>
              <w:rPr>
                <w:rFonts w:hint="eastAsia"/>
                <w:vertAlign w:val="baseline"/>
                <w:lang w:val="zh-CN"/>
              </w:rPr>
            </w:pPr>
            <w:r>
              <w:rPr>
                <w:rFonts w:hint="eastAsia"/>
                <w:vertAlign w:val="baseline"/>
                <w:lang w:val="en-US" w:eastAsia="zh-CN"/>
              </w:rPr>
              <w:t>组</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2.0000 </w:t>
            </w:r>
          </w:p>
        </w:tc>
        <w:tc>
          <w:tcPr>
            <w:tcW w:w="1476" w:type="dxa"/>
            <w:vMerge w:val="continue"/>
            <w:vAlign w:val="center"/>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移动照明灯</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0.3500 </w:t>
            </w:r>
          </w:p>
        </w:tc>
        <w:tc>
          <w:tcPr>
            <w:tcW w:w="1476" w:type="dxa"/>
            <w:vMerge w:val="continue"/>
            <w:vAlign w:val="center"/>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泛光灯</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1410" w:type="dxa"/>
            <w:vAlign w:val="center"/>
          </w:tcPr>
          <w:p>
            <w:pPr>
              <w:pStyle w:val="2"/>
              <w:jc w:val="both"/>
              <w:rPr>
                <w:rFonts w:hint="eastAsia"/>
                <w:vertAlign w:val="baseline"/>
                <w:lang w:val="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eastAsia"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cs="Times New Roman"/>
                <w:i w:val="0"/>
                <w:iCs w:val="0"/>
                <w:color w:val="auto"/>
                <w:kern w:val="0"/>
                <w:sz w:val="22"/>
                <w:szCs w:val="22"/>
                <w:u w:val="none"/>
                <w:lang w:val="en-US" w:eastAsia="zh-CN" w:bidi="ar"/>
              </w:rPr>
              <w:t>835</w:t>
            </w:r>
            <w:r>
              <w:rPr>
                <w:rFonts w:hint="default" w:ascii="Times New Roman" w:hAnsi="Times New Roman" w:eastAsia="宋体" w:cs="Times New Roman"/>
                <w:i w:val="0"/>
                <w:iCs w:val="0"/>
                <w:color w:val="auto"/>
                <w:kern w:val="0"/>
                <w:sz w:val="22"/>
                <w:szCs w:val="22"/>
                <w:u w:val="none"/>
                <w:lang w:val="en-US" w:eastAsia="zh-CN" w:bidi="ar"/>
              </w:rPr>
              <w:t xml:space="preserve">0 </w:t>
            </w:r>
          </w:p>
        </w:tc>
        <w:tc>
          <w:tcPr>
            <w:tcW w:w="1476" w:type="dxa"/>
            <w:vMerge w:val="continue"/>
            <w:vAlign w:val="center"/>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月球灯</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1410" w:type="dxa"/>
            <w:vAlign w:val="center"/>
          </w:tcPr>
          <w:p>
            <w:pPr>
              <w:pStyle w:val="2"/>
              <w:jc w:val="both"/>
              <w:rPr>
                <w:rFonts w:hint="eastAsia"/>
                <w:vertAlign w:val="baseline"/>
                <w:lang w:val="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eastAsia" w:cs="Times New Roman"/>
                <w:i w:val="0"/>
                <w:iCs w:val="0"/>
                <w:color w:val="auto"/>
                <w:kern w:val="0"/>
                <w:sz w:val="22"/>
                <w:szCs w:val="22"/>
                <w:u w:val="none"/>
                <w:lang w:val="en-US" w:eastAsia="zh-CN" w:bidi="ar"/>
              </w:rPr>
              <w:t>0.9600</w:t>
            </w:r>
            <w:r>
              <w:rPr>
                <w:rFonts w:hint="default" w:ascii="Times New Roman" w:hAnsi="Times New Roman" w:eastAsia="宋体" w:cs="Times New Roman"/>
                <w:i w:val="0"/>
                <w:iCs w:val="0"/>
                <w:color w:val="auto"/>
                <w:kern w:val="0"/>
                <w:sz w:val="22"/>
                <w:szCs w:val="22"/>
                <w:u w:val="none"/>
                <w:lang w:val="en-US" w:eastAsia="zh-CN" w:bidi="ar"/>
              </w:rPr>
              <w:t xml:space="preserve"> </w:t>
            </w:r>
          </w:p>
        </w:tc>
        <w:tc>
          <w:tcPr>
            <w:tcW w:w="1476" w:type="dxa"/>
            <w:vMerge w:val="continue"/>
            <w:vAlign w:val="center"/>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救生照明线</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17</w:t>
            </w:r>
          </w:p>
        </w:tc>
        <w:tc>
          <w:tcPr>
            <w:tcW w:w="1410" w:type="dxa"/>
            <w:vAlign w:val="center"/>
          </w:tcPr>
          <w:p>
            <w:pPr>
              <w:pStyle w:val="2"/>
              <w:jc w:val="both"/>
              <w:rPr>
                <w:rFonts w:hint="default" w:eastAsia="宋体"/>
                <w:vertAlign w:val="baseline"/>
                <w:lang w:val="en-US" w:eastAsia="zh-CN"/>
              </w:rPr>
            </w:pPr>
            <w:r>
              <w:rPr>
                <w:rFonts w:hint="eastAsia"/>
                <w:vertAlign w:val="baseline"/>
                <w:lang w:val="en-US" w:eastAsia="zh-CN"/>
              </w:rPr>
              <w:t>套</w:t>
            </w:r>
          </w:p>
        </w:tc>
        <w:tc>
          <w:tcPr>
            <w:tcW w:w="1412" w:type="dxa"/>
            <w:vAlign w:val="center"/>
          </w:tcPr>
          <w:p>
            <w:pPr>
              <w:keepNext w:val="0"/>
              <w:keepLines w:val="0"/>
              <w:widowControl/>
              <w:suppressLineNumbers w:val="0"/>
              <w:jc w:val="center"/>
              <w:textAlignment w:val="center"/>
              <w:rPr>
                <w:rFonts w:hint="default"/>
                <w:color w:val="auto"/>
                <w:vertAlign w:val="baseline"/>
                <w:lang w:val="en-US"/>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cs="Times New Roman"/>
                <w:i w:val="0"/>
                <w:iCs w:val="0"/>
                <w:color w:val="auto"/>
                <w:kern w:val="0"/>
                <w:sz w:val="22"/>
                <w:szCs w:val="22"/>
                <w:u w:val="none"/>
                <w:lang w:val="en-US" w:eastAsia="zh-CN" w:bidi="ar"/>
              </w:rPr>
              <w:t>2000</w:t>
            </w:r>
          </w:p>
        </w:tc>
        <w:tc>
          <w:tcPr>
            <w:tcW w:w="1476" w:type="dxa"/>
            <w:vMerge w:val="continue"/>
            <w:vAlign w:val="center"/>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气柱灯</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410" w:type="dxa"/>
            <w:vAlign w:val="center"/>
          </w:tcPr>
          <w:p>
            <w:pPr>
              <w:pStyle w:val="2"/>
              <w:jc w:val="both"/>
              <w:rPr>
                <w:rFonts w:hint="eastAsia"/>
                <w:vertAlign w:val="baseline"/>
                <w:lang w:val="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1.3000 </w:t>
            </w:r>
          </w:p>
        </w:tc>
        <w:tc>
          <w:tcPr>
            <w:tcW w:w="1476" w:type="dxa"/>
            <w:vMerge w:val="continue"/>
            <w:vAlign w:val="center"/>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静音发电机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11</w:t>
            </w:r>
          </w:p>
        </w:tc>
        <w:tc>
          <w:tcPr>
            <w:tcW w:w="1410" w:type="dxa"/>
            <w:vAlign w:val="center"/>
          </w:tcPr>
          <w:p>
            <w:pPr>
              <w:pStyle w:val="2"/>
              <w:jc w:val="both"/>
              <w:rPr>
                <w:rFonts w:hint="eastAsia" w:eastAsia="宋体"/>
                <w:vertAlign w:val="baseline"/>
                <w:lang w:val="en-US" w:eastAsia="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1.0000 </w:t>
            </w:r>
          </w:p>
        </w:tc>
        <w:tc>
          <w:tcPr>
            <w:tcW w:w="1476" w:type="dxa"/>
            <w:vMerge w:val="continue"/>
            <w:vAlign w:val="center"/>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pPr>
              <w:pStyle w:val="2"/>
              <w:jc w:val="both"/>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大功率发电机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19</w:t>
            </w:r>
          </w:p>
        </w:tc>
        <w:tc>
          <w:tcPr>
            <w:tcW w:w="1410" w:type="dxa"/>
            <w:vAlign w:val="center"/>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1.2000 </w:t>
            </w:r>
          </w:p>
        </w:tc>
        <w:tc>
          <w:tcPr>
            <w:tcW w:w="1476" w:type="dxa"/>
            <w:vMerge w:val="continue"/>
            <w:vAlign w:val="center"/>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三十九</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AED</w:t>
            </w:r>
            <w:r>
              <w:rPr>
                <w:rFonts w:hint="eastAsia" w:ascii="宋体" w:hAnsi="宋体" w:eastAsia="宋体" w:cs="宋体"/>
                <w:i w:val="0"/>
                <w:iCs w:val="0"/>
                <w:color w:val="000000"/>
                <w:kern w:val="0"/>
                <w:sz w:val="22"/>
                <w:szCs w:val="22"/>
                <w:u w:val="none"/>
                <w:lang w:val="en-US" w:eastAsia="zh-CN" w:bidi="ar"/>
              </w:rPr>
              <w:t>除颤仪</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28</w:t>
            </w:r>
          </w:p>
        </w:tc>
        <w:tc>
          <w:tcPr>
            <w:tcW w:w="1410" w:type="dxa"/>
            <w:vAlign w:val="center"/>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2.</w:t>
            </w: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69.2000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婴儿呼吸袋</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tcPr>
          <w:p>
            <w:pPr>
              <w:pStyle w:val="2"/>
              <w:jc w:val="both"/>
              <w:rPr>
                <w:rFonts w:hint="eastAsia" w:eastAsia="宋体"/>
                <w:vertAlign w:val="baseline"/>
                <w:lang w:val="en-US" w:eastAsia="zh-CN"/>
              </w:rPr>
            </w:pPr>
            <w:r>
              <w:rPr>
                <w:rFonts w:hint="eastAsia"/>
                <w:vertAlign w:val="baseline"/>
                <w:lang w:val="en-US" w:eastAsia="zh-CN"/>
              </w:rPr>
              <w:t>个</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0.4000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pPr>
              <w:pStyle w:val="2"/>
              <w:ind w:left="0" w:leftChars="0" w:firstLine="212" w:firstLineChars="100"/>
              <w:jc w:val="center"/>
              <w:rPr>
                <w:rFonts w:hint="default" w:eastAsia="宋体"/>
                <w:vertAlign w:val="baseline"/>
                <w:lang w:val="en-US" w:eastAsia="zh-CN"/>
              </w:rPr>
            </w:pPr>
            <w:r>
              <w:rPr>
                <w:rFonts w:hint="eastAsia"/>
                <w:vertAlign w:val="baseline"/>
                <w:lang w:val="en-US" w:eastAsia="zh-CN"/>
              </w:rPr>
              <w:t>四十</w:t>
            </w: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狭小空间排烟机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vAlign w:val="center"/>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restart"/>
            <w:vAlign w:val="center"/>
          </w:tcPr>
          <w:p>
            <w:pPr>
              <w:pStyle w:val="2"/>
              <w:ind w:left="0" w:leftChars="0" w:firstLine="212" w:firstLineChars="100"/>
              <w:jc w:val="both"/>
              <w:rPr>
                <w:rFonts w:hint="default" w:eastAsia="宋体"/>
                <w:vertAlign w:val="baseline"/>
                <w:lang w:val="en-US" w:eastAsia="zh-CN"/>
              </w:rPr>
            </w:pPr>
            <w:r>
              <w:rPr>
                <w:rFonts w:hint="eastAsia"/>
                <w:vertAlign w:val="baseline"/>
                <w:lang w:val="en-US" w:eastAsia="zh-CN"/>
              </w:rPr>
              <w:t>106.2550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强制送风机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410" w:type="dxa"/>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0.3500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水驱动排烟机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eastAsia"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w:t>
            </w:r>
            <w:r>
              <w:rPr>
                <w:rFonts w:hint="eastAsia" w:cs="Times New Roman"/>
                <w:i w:val="0"/>
                <w:iCs w:val="0"/>
                <w:color w:val="auto"/>
                <w:kern w:val="0"/>
                <w:sz w:val="22"/>
                <w:szCs w:val="22"/>
                <w:u w:val="none"/>
                <w:lang w:val="en-US" w:eastAsia="zh-CN" w:bidi="ar"/>
              </w:rPr>
              <w:t>8</w:t>
            </w:r>
            <w:r>
              <w:rPr>
                <w:rFonts w:hint="default" w:ascii="Times New Roman" w:hAnsi="Times New Roman" w:eastAsia="宋体" w:cs="Times New Roman"/>
                <w:i w:val="0"/>
                <w:iCs w:val="0"/>
                <w:color w:val="auto"/>
                <w:kern w:val="0"/>
                <w:sz w:val="22"/>
                <w:szCs w:val="22"/>
                <w:u w:val="none"/>
                <w:lang w:val="en-US" w:eastAsia="zh-CN" w:bidi="ar"/>
              </w:rPr>
              <w:t xml:space="preserve">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移动式排烟机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 xml:space="preserve">2.5000 </w:t>
            </w:r>
          </w:p>
        </w:tc>
        <w:tc>
          <w:tcPr>
            <w:tcW w:w="1476" w:type="dxa"/>
            <w:vMerge w:val="continue"/>
          </w:tcPr>
          <w:p>
            <w:pPr>
              <w:pStyle w:val="2"/>
              <w:jc w:val="center"/>
              <w:rPr>
                <w:rFonts w:hint="eastAsia"/>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pPr>
              <w:pStyle w:val="2"/>
              <w:jc w:val="center"/>
              <w:rPr>
                <w:rFonts w:hint="eastAsia"/>
                <w:vertAlign w:val="baseline"/>
                <w:lang w:val="zh-CN"/>
              </w:rPr>
            </w:pPr>
          </w:p>
        </w:tc>
        <w:tc>
          <w:tcPr>
            <w:tcW w:w="1547" w:type="dxa"/>
            <w:vAlign w:val="center"/>
          </w:tcPr>
          <w:p>
            <w:pPr>
              <w:keepNext w:val="0"/>
              <w:keepLines w:val="0"/>
              <w:widowControl/>
              <w:suppressLineNumbers w:val="0"/>
              <w:jc w:val="center"/>
              <w:textAlignment w:val="center"/>
              <w:rPr>
                <w:rFonts w:hint="eastAsia"/>
                <w:vertAlign w:val="baseline"/>
                <w:lang w:val="zh-CN"/>
              </w:rPr>
            </w:pPr>
            <w:r>
              <w:rPr>
                <w:rFonts w:hint="eastAsia" w:ascii="宋体" w:hAnsi="宋体" w:eastAsia="宋体" w:cs="宋体"/>
                <w:i w:val="0"/>
                <w:iCs w:val="0"/>
                <w:color w:val="000000"/>
                <w:kern w:val="0"/>
                <w:sz w:val="22"/>
                <w:szCs w:val="22"/>
                <w:u w:val="none"/>
                <w:lang w:val="en-US" w:eastAsia="zh-CN" w:bidi="ar"/>
              </w:rPr>
              <w:t>坑道小型空气输送机</w:t>
            </w:r>
          </w:p>
        </w:tc>
        <w:tc>
          <w:tcPr>
            <w:tcW w:w="1410" w:type="dxa"/>
            <w:vAlign w:val="center"/>
          </w:tcPr>
          <w:p>
            <w:pPr>
              <w:keepNext w:val="0"/>
              <w:keepLines w:val="0"/>
              <w:widowControl/>
              <w:suppressLineNumbers w:val="0"/>
              <w:jc w:val="center"/>
              <w:textAlignment w:val="center"/>
              <w:rPr>
                <w:rFonts w:hint="eastAsia"/>
                <w:vertAlign w:val="baseline"/>
                <w:lang w:val="zh-CN"/>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1410" w:type="dxa"/>
          </w:tcPr>
          <w:p>
            <w:pPr>
              <w:pStyle w:val="2"/>
              <w:jc w:val="both"/>
              <w:rPr>
                <w:rFonts w:hint="eastAsia"/>
                <w:vertAlign w:val="baseline"/>
                <w:lang w:val="zh-CN"/>
              </w:rPr>
            </w:pPr>
            <w:r>
              <w:rPr>
                <w:rFonts w:hint="eastAsia"/>
                <w:vertAlign w:val="baseline"/>
                <w:lang w:val="en-US" w:eastAsia="zh-CN"/>
              </w:rPr>
              <w:t>台</w:t>
            </w:r>
          </w:p>
        </w:tc>
        <w:tc>
          <w:tcPr>
            <w:tcW w:w="1412" w:type="dxa"/>
            <w:vAlign w:val="center"/>
          </w:tcPr>
          <w:p>
            <w:pPr>
              <w:keepNext w:val="0"/>
              <w:keepLines w:val="0"/>
              <w:widowControl/>
              <w:suppressLineNumbers w:val="0"/>
              <w:jc w:val="center"/>
              <w:textAlignment w:val="center"/>
              <w:rPr>
                <w:rFonts w:hint="eastAsia"/>
                <w:color w:val="auto"/>
                <w:vertAlign w:val="baseline"/>
                <w:lang w:val="zh-CN"/>
              </w:rPr>
            </w:pPr>
            <w:r>
              <w:rPr>
                <w:rFonts w:hint="default" w:ascii="Times New Roman" w:hAnsi="Times New Roman" w:eastAsia="宋体" w:cs="Times New Roman"/>
                <w:i w:val="0"/>
                <w:iCs w:val="0"/>
                <w:color w:val="auto"/>
                <w:kern w:val="0"/>
                <w:sz w:val="22"/>
                <w:szCs w:val="22"/>
                <w:u w:val="none"/>
                <w:lang w:val="en-US" w:eastAsia="zh-CN" w:bidi="ar"/>
              </w:rPr>
              <w:t>0.</w:t>
            </w:r>
            <w:r>
              <w:rPr>
                <w:rFonts w:hint="eastAsia" w:cs="Times New Roman"/>
                <w:i w:val="0"/>
                <w:iCs w:val="0"/>
                <w:color w:val="auto"/>
                <w:kern w:val="0"/>
                <w:sz w:val="22"/>
                <w:szCs w:val="22"/>
                <w:u w:val="none"/>
                <w:lang w:val="en-US" w:eastAsia="zh-CN" w:bidi="ar"/>
              </w:rPr>
              <w:t>585</w:t>
            </w:r>
            <w:r>
              <w:rPr>
                <w:rFonts w:hint="default" w:ascii="Times New Roman" w:hAnsi="Times New Roman" w:eastAsia="宋体" w:cs="Times New Roman"/>
                <w:i w:val="0"/>
                <w:iCs w:val="0"/>
                <w:color w:val="auto"/>
                <w:kern w:val="0"/>
                <w:sz w:val="22"/>
                <w:szCs w:val="22"/>
                <w:u w:val="none"/>
                <w:lang w:val="en-US" w:eastAsia="zh-CN" w:bidi="ar"/>
              </w:rPr>
              <w:t xml:space="preserve">0 </w:t>
            </w:r>
          </w:p>
        </w:tc>
        <w:tc>
          <w:tcPr>
            <w:tcW w:w="1476" w:type="dxa"/>
            <w:vMerge w:val="continue"/>
          </w:tcPr>
          <w:p>
            <w:pPr>
              <w:pStyle w:val="2"/>
              <w:jc w:val="center"/>
              <w:rPr>
                <w:rFonts w:hint="eastAsia"/>
                <w:vertAlign w:val="baseline"/>
                <w:lang w:val="zh-CN"/>
              </w:rPr>
            </w:pPr>
          </w:p>
        </w:tc>
      </w:tr>
    </w:tbl>
    <w:p>
      <w:pPr>
        <w:pStyle w:val="6"/>
        <w:numPr>
          <w:ilvl w:val="0"/>
          <w:numId w:val="0"/>
        </w:numPr>
      </w:pPr>
    </w:p>
    <w:p/>
    <w:p>
      <w:pPr>
        <w:pStyle w:val="2"/>
      </w:pPr>
    </w:p>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default" w:eastAsia="宋体"/>
          <w:lang w:val="en-US" w:eastAsia="zh-CN"/>
        </w:rPr>
      </w:pPr>
      <w:r>
        <w:rPr>
          <w:rFonts w:hint="eastAsia"/>
          <w:lang w:val="en-US" w:eastAsia="zh-CN"/>
        </w:rPr>
        <w:t>技术参数需求：</w:t>
      </w:r>
    </w:p>
    <w:tbl>
      <w:tblPr>
        <w:tblStyle w:val="39"/>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008"/>
        <w:gridCol w:w="3720"/>
        <w:gridCol w:w="684"/>
        <w:gridCol w:w="720"/>
        <w:gridCol w:w="828"/>
        <w:gridCol w:w="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标包号</w:t>
            </w:r>
          </w:p>
        </w:tc>
        <w:tc>
          <w:tcPr>
            <w:tcW w:w="1008" w:type="dxa"/>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装备名称</w:t>
            </w:r>
          </w:p>
        </w:tc>
        <w:tc>
          <w:tcPr>
            <w:tcW w:w="3720" w:type="dxa"/>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技术参数</w:t>
            </w:r>
          </w:p>
        </w:tc>
        <w:tc>
          <w:tcPr>
            <w:tcW w:w="684" w:type="dxa"/>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数量</w:t>
            </w:r>
          </w:p>
        </w:tc>
        <w:tc>
          <w:tcPr>
            <w:tcW w:w="720" w:type="dxa"/>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单位</w:t>
            </w:r>
          </w:p>
        </w:tc>
        <w:tc>
          <w:tcPr>
            <w:tcW w:w="828" w:type="dxa"/>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是否提供样品</w:t>
            </w:r>
          </w:p>
        </w:tc>
        <w:tc>
          <w:tcPr>
            <w:tcW w:w="796" w:type="dxa"/>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是否提供视频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restart"/>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三十五包</w:t>
            </w: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卷扬机</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、操作形式：电动控制，带遥控；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、结构形式：纯铜电动机、齿轮减速器传动，带过载保护，有安装底座，有散热风扇，有加固防脱吊钩，采用防旋转钢丝绳，断电自动刹车；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便携式绞盘工具包（包括卸扣、滑轮组、尼龙吊带、手套锚杆）；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、额定拉力≥1800kg,电机功率≥6kw，钢丝绳最大承受力≥2500kg，滑轮组等级≥4000kg，尼龙绳最大承受能力≥2500kg。</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5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部</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自动止坠器</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、安全绳索通过自动止坠器与安全带的胸部或背部挂点相连，可使救援人员在绳索上升/下降时具备备份保护功能；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、普通使用时，不需要人为干预自动止坠器便可在绳索上并且跟随使用者的移动，如遇坠落冲击或突然加速，自动止坠器将在绳索上制动并制止使用者的下坠；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、自动止坠器必须带有锁定功能，能将设备固定在绳索上降低坠落距离，连接臂能防止通过中间时设备发生掉落；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、绳兼容直径：10-13mm；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、止坠器本体：≤450g，铝合金材质；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、配专用势能吸收器，与止坠器连用，两端配有连接点可使锁扣始终处于正确受力位置并保护扁带免于磨损；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、势能吸收器重量≤300g；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、势能吸收器最大允许长度≤40cm。</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10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自动锁定下降器</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、适合绳索直径：9-12mm；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、下降最大速度：≥2m/s；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、最大工作负荷：≥200kg；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、重量：≤250g；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、具有一键式自锁功能，采用卸扣式与主绳相连；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、提供中文使用说明书。</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20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多功能省力系统</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、具有紧凑的高效双向双滑轮组，提供4:1（含）以上的机械省力系统；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、组成部分：内置滑轮组和绳索系统；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、重量：≤400g；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、工作承重：≥120kg；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、最大承重：≥30kN；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、最大绳子直径：≥6mm；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、最大提升高度：≥100cm；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、提供中文使用说明书。</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6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滑轮套装</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、组成：包含小滑轮1个、单滑轮1个、双滑轮1个、单项滑轮1个；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、小滑轮：材质：铝合金；适用绳索直径：7-11mm；工作效率：≥94%；重量：≤120g；极限负荷：≥22kN；最大工作负荷：≥5kN；滑轮直径：1.5-3cm；具有永久性标志及产品数据标识；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、单滑轮：材质：铝合金；适用绳索直径：8mm—13mm；工作效率：≥94%；重量：≤300g；极限负荷：≥25kN；最大工作负荷：≥5kN；滑轮直径：2.5-5cm；具有永久性标志及产品数据标识；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、双滑轮：兼容绳索直径:7-13mm；滑轮直径15-30mm，滚珠轴承；工作效率≥94%；最大工作负荷≥10kN；断裂强度≥36kN；材质：铝合金；重量：≤500g；具有永久性标志及产品数据标识；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单向滑轮：材质：铝合金；适用绳索直径：8mm—13mm；重量：≤200g；工作效率≥94%；极限负荷：≥15kN；最大工作负荷：≥5kN；单向制停状态最大工作负荷：≥2.5kN；单向制停状态极限负荷：≥7.5kN；滑轮直径：2.5-5cm；具有永久性标志及产品数据标识；</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10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挂钩套装</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、套装配备O型环2个、D型环2个、O型自动锁扣2个、梨形锁扣2个；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、O型环2个：主要功能用途：适合设置保护系统，连接滑轮等；最大拉力：纵向拉力：≥30kN，横向拉力：≥8kN，开门拉力：≥10kN；锁门开口尺寸：≥20mm；材质为高强度铝合金；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、D型环2个：主要功能用途：适合消防、救援、攀登和高空作业；最大拉力：纵向≥45kN，横向≥10kN，开门≥14kN，重量≤230g；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O型自动锁扣2个：主要功能：配有防翻转杆，上锁套筒带有粗糙纹理便于打开锁门，防翻转杆能保持锁扣在正确的位置，锁鼻能防止钩挂，轻松扣取东西；主轴强度：横轴强度≥25kN：开门主轴强度≥8kN：开门宽度≥7kN；高强度铝合金材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、梨形锁扣2个：主要功能：用于登山攀岩拓展，特殊形状更适用于一些特殊场景；纵向拉力≥23kN  横向拉力≥8kN，重量≤100g；高强度合金材质。</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50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绳索救援套装</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由抛绳包、救援人员随身腰包、铝制D型环、铝制锚分配器、救援滑轮、套圈、固定带、橘色铝制D型环、扁带、个人缓降8字环、100米静力绳、五点式安全吊带、防慌乱下降器、止坠器、可调式挽锁、胸式上升器、手持式上升器、脚踏绳、救援绳包、O型安全钩、绳索手套、桶包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五点式安全吊带：超舒适绳索作业安全带；配有胸式上升器，安全带能在上升时，提供更好的舒适性；腹部连接点可打开，以方便装备穿戴（上升器、坐垫等）；半硬式、宽大的腰带和腿环，提供支撑；使用透气泡棉作内衬，以提高悬挂时的舒适度；安全带后背(腰带和腿环之间)带有自锁扣，在使用背部连接点时可以将其调短；安全带能携带和整理工具，配有多个工具挂环和工具挂扣槽及工具包连接点；背部连接点配有坠落指示器，采用自动扣的腿环；腰围可调范围70-93cm，腿围可调范围47-62cm，适合身高165-185cm，重量≤1900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头盔：ABS外壳、内衬为六点式可拆卸内衬，具备头灯导轨，可连接耳罩和护目镜，重量≤490g；颜色：醒目色，提供白、红、黄、橙、荧光黄等多色；适用于头围53-63cm；具有防震功能，透气孔≥12个；内垫完全可拆卸；工作温度范围：–10至+50°C；配备配套的护目镜、头盔遮阳帽檐和头灯（亮度≥300 lm，红光、白光两种模式，300lm模式下照明时长≥2小时，100 lm模式下照明时长≥8小时）；具有永久性标志及产品数据标识</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4、防慌乱下降器：防慌乱自动制停功能，受力时内部凸轮压紧绳索达到悬停功能；下降最大速度：≤2m/s；工作负荷≥5kN；重量≤600g；适合绳索直径：8-13mm；具有永久性标志及产品数据标识</w:t>
            </w:r>
            <w:r>
              <w:rPr>
                <w:rFonts w:hint="eastAsia" w:ascii="宋体" w:hAnsi="宋体" w:cs="宋体"/>
                <w:i w:val="0"/>
                <w:iCs w:val="0"/>
                <w:color w:val="000000"/>
                <w:kern w:val="0"/>
                <w:sz w:val="22"/>
                <w:szCs w:val="22"/>
                <w:u w:val="none"/>
                <w:lang w:val="en-US" w:eastAsia="zh-CN" w:bidi="ar"/>
              </w:rPr>
              <w:t>。</w:t>
            </w:r>
          </w:p>
          <w:p>
            <w:pPr>
              <w:keepNext w:val="0"/>
              <w:keepLines w:val="0"/>
              <w:widowControl/>
              <w:numPr>
                <w:ilvl w:val="0"/>
                <w:numId w:val="15"/>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止坠器：不需要人为干预止坠器可在绳索上自由移动，并且跟随使用者的移动；如遇坠落冲击或突然加速，移动止坠器将在绳索上制动并制止使用者的下坠；内置了锁定功能，降低坠落距离；连接臂能防止通过中间时设备发生掉落；用于10-11.5毫米直径绳索；重量≤500g；配备撕裂式扁带，两端配有织带保护器，长度≥40cm 重量≤250g ，最大负荷≥200kg；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可调式挽锁：可调定位系索，用于固定锚；可快速调节，允许在负载下进行调整；调整范围30cm-100cm可调；可容纳所有尺寸的锁钩，用环形挂接装置连接到线束的连接点；重量≤600g；具有永久性标志及产品数据标识</w:t>
            </w:r>
            <w:r>
              <w:rPr>
                <w:rFonts w:hint="eastAsia" w:ascii="宋体" w:hAnsi="宋体" w:cs="宋体"/>
                <w:i w:val="0"/>
                <w:iCs w:val="0"/>
                <w:color w:val="000000"/>
                <w:kern w:val="0"/>
                <w:sz w:val="22"/>
                <w:szCs w:val="22"/>
                <w:u w:val="none"/>
                <w:lang w:val="en-US" w:eastAsia="zh-CN" w:bidi="ar"/>
              </w:rPr>
              <w:t>。</w:t>
            </w:r>
          </w:p>
          <w:p>
            <w:pPr>
              <w:keepNext w:val="0"/>
              <w:keepLines w:val="0"/>
              <w:widowControl/>
              <w:numPr>
                <w:ilvl w:val="0"/>
                <w:numId w:val="15"/>
              </w:numPr>
              <w:suppressLineNumbers w:val="0"/>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胸式上升器：重量≤200g；工作负荷≥5kN；适合绳索直径：8-13mm；具有永久性标志及产品数据标识。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8、手持式上升器：内置倒齿卡住绳索达到止滑功能，具备防脱绳索设计，人体工程学手柄设计，把手绝缘；左、右手可选；绳索直径：8-13mm；重量：≤200g；工作负荷≥5kN；具有永久性标志及产品数据标识；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9、脚踏绳：材质尼龙，配合上升器使用的可调节脚踏带，长度≥100cm；重量：≤110g；破断强度≥20kN；具有永久性标志及产品数据标识</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10、救援绳包：材质，聚氯乙烯（PVC）夹网布+织物；容量：≥45L；重量：≤1400g；可入200m 直径10.5mm绳；材质：聚氯乙烯夹网（1000D）；坚固耐磨，带有衬垫可调节肩带；袋口锁可实现快速开关，结实耐用袋口有防漏档盖，预防小件漏出；包内备有2个绳头挂点，1个吊包挂点，方便提拉吊运</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11、O型安全钩：材质：铝合金；重量：≤100g；开口闭合状态时，长轴破断强度≥25kN；开口打开状态时，长轴破断强度≥7kN；短轴破断强度≥7kN；具有永久性标志及产品数据标识</w:t>
            </w:r>
            <w:r>
              <w:rPr>
                <w:rFonts w:hint="eastAsia" w:ascii="宋体" w:hAnsi="宋体" w:cs="宋体"/>
                <w:i w:val="0"/>
                <w:iCs w:val="0"/>
                <w:color w:val="000000"/>
                <w:kern w:val="0"/>
                <w:sz w:val="22"/>
                <w:szCs w:val="22"/>
                <w:u w:val="none"/>
                <w:lang w:val="en-US" w:eastAsia="zh-CN" w:bidi="ar"/>
              </w:rPr>
              <w:t>。</w:t>
            </w:r>
          </w:p>
          <w:p>
            <w:pPr>
              <w:keepNext w:val="0"/>
              <w:keepLines w:val="0"/>
              <w:widowControl/>
              <w:numPr>
                <w:ilvl w:val="0"/>
                <w:numId w:val="16"/>
              </w:numPr>
              <w:suppressLineNumbers w:val="0"/>
              <w:ind w:left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绳索手套：用于消防结绳，手套厚度0.6-0.7mm，掌心部采用加强层，超贴手度，素手感觉，打结速度更快；手背采用弹力透气纤维，适用打绳结；超薄0.6-0.7mm无加强层，内里附有碳化硅层, 具有防火、阻燃、耐酸碱、抗油防静电功能；不少于8层指节保护系统，增强指节易损处的耐磨性和防割性，具有防撕裂性能和防穿刺性能</w:t>
            </w:r>
            <w:r>
              <w:rPr>
                <w:rFonts w:hint="eastAsia" w:ascii="宋体" w:hAnsi="宋体" w:cs="宋体"/>
                <w:i w:val="0"/>
                <w:iCs w:val="0"/>
                <w:color w:val="000000"/>
                <w:kern w:val="0"/>
                <w:sz w:val="22"/>
                <w:szCs w:val="22"/>
                <w:u w:val="none"/>
                <w:lang w:val="en-US" w:eastAsia="zh-CN" w:bidi="ar"/>
              </w:rPr>
              <w:t>。</w:t>
            </w:r>
          </w:p>
          <w:p>
            <w:pPr>
              <w:keepNext w:val="0"/>
              <w:keepLines w:val="0"/>
              <w:widowControl/>
              <w:numPr>
                <w:ilvl w:val="0"/>
                <w:numId w:val="0"/>
              </w:numPr>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13、桶包：材质为聚氯乙烯（PVC）夹网布+织物；容量：≥5L；重量：≤300g；可装备于安全吊带腰部两侧使用，可装配于安全带腰部两侧使用，使用特殊的装配组件，安装十分方便，包的外侧有方便放置工具的松紧带环，内测有收纳袋（独立储物袋），可以储存物品。</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16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锚固装备套装</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、由下降器、分力板、机械抓结、扁带环、临时岩石锚点制作套件、钢缆锚点和钢钎等组成；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、分力板：铝合金锚固点,孔径：19±1mm，适合用于救援时设置锚点；孔洞数量≥8；断裂负荷≥45kN；重量≤300g；具有永久性标志及产品数据标识；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、机械抓结：超轻滑轮/抓绳器，设计用于绳索上升、救援和自救等情况下作用；移动侧板用于安装绳索或扁带； 弹簧凸轮可用于上升；滑动锁可以使其成为滑轮；适合洞穴救援； 可以提拉轻物体；可以在潮湿或泥泞的绳索上工作；可以在扁带或绳上调节位置；重量：≤400g，断裂负荷：≥22kN，适用绳索直径：8-13mm，适用扁带宽度：10-16mm；提供使用说明书（中文）、产品合格证</w:t>
            </w:r>
            <w:r>
              <w:rPr>
                <w:rFonts w:hint="eastAsia" w:ascii="宋体" w:hAnsi="宋体" w:cs="宋体"/>
                <w:i w:val="0"/>
                <w:iCs w:val="0"/>
                <w:color w:val="000000"/>
                <w:kern w:val="0"/>
                <w:sz w:val="22"/>
                <w:szCs w:val="22"/>
                <w:u w:val="none"/>
                <w:lang w:val="en-US" w:eastAsia="zh-CN" w:bidi="ar"/>
              </w:rPr>
              <w:t>。</w:t>
            </w:r>
          </w:p>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、扁带环：聚酰胺或同等材质；长度：60、80、120、150、180、240cm；宽度：≥10mm；厚度：≥2mm；断裂极限≥22kN；重量≤30g；具有永久性标志及产品数据标识；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临时岩石锚点制作套件：便携电锤，最大击破效能：400CM/分钟；充电锂电池电锤，电压：≥20V，电池容量：≥5.2Ah；钻头直径与所配备的挂片、膨胀钉相匹配；锂电驱动，除了钻孔外，还有锤击功能；挂片（含膨胀钉）：一套含 30 个挂片和 30 个膨胀钉；挂片为可多方向受力挂片，316不锈钢材质；直径 10mm，最小断裂强度 15kN；膨胀钉为不锈钢材质，尺寸规格 10×90mm，用于所有类型的和硬度的岩石，钻孔直径 10mm，钻孔深度 95mm；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、钢缆锚点：材质为不锈钢、铝、聚氯⼄烯，产品结构为：不锈钢钢缆绳、铝制套环、透明防磨套管；⻓度：≥80mm；纲缆直径：7mm；最⼩断裂强度（MBS）：≥25kN；重量：≤350g；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、钢钎：采用高强度钢材制成；长度：≥0.75m，重量：≤3kg；具有永久性标志及产品数据标识；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下降器：从下降状态可以立即切换到上升状态，无须转移负荷；内置单向滑轮，採用大直径的密封滚珠轴承；用于10.5-11.5毫米直径绳索；可以在不用手柄时自动锁住绳索；一旦锁住，不需触动手柄即可收绳；工作负荷≥250kg；重量≤1.5kg。</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8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电动卷扬机</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、由电机、钢丝绳、卷盘、电池、充电器、滑轮、钢锁等构成;用于上升或提拉物体；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、技术要求：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（1）整机质量(不含电池)≤16kg，电池质量≤ 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（2）提升力≥3t；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（3）使用遥控器应能进行升降机上升或下降方向和速度的控制;升降机的直线遥控距离≥80m；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（4）升降机应具有过载保护功能，工作负荷超过额定负载时能停止工作；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（5）升降机应具有紧急手动下降功能，在电池无电的情况下，电动升降机应能手动下降；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（6）设有紧急停止按钮；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（7）升降机的外露转动部位应设有防护装置；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（8）防护等级不低于： IP65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、其他要求：设备1台 电池2块 说明书1份 合格证1张 充电器1个 安全扣1个 遥控手柄1个。</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2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部</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全身吊带</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、承重织带宽度≥40mm，≤70mm，能调节尺寸大小，吊带的织带边缘通过热封或其它措施来防止织线松脱；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、安全吊带上的带扣和调节装置滑移距离：≤10mm,而且安全吊带不应出现影响其安全性的明显损伤；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、安全带的带扣的边角半径≥6mm；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、缝合接口及缝合末端回缝≥13mm；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、金属部件和金属零件应无棱角、毛刺，不得有裂纹、明显压痕和划伤等缺陷，其边缘应呈弧形；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、有≥5个挂点，具背部、胸部、腹部各一个、腰部D型环两个，并附有工具挂环，胸部配备一体式胸式上升器，与吊带整体连接；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、带有衬垫的肩带、可调节的宽大腿环，能让操作者向上向下调整，腿环配有快速卡扣，腰带下方设有连接点，用于连接定位挽索。</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10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件</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消防用防坠落装备</w:t>
            </w:r>
          </w:p>
        </w:tc>
        <w:tc>
          <w:tcPr>
            <w:tcW w:w="3720" w:type="dxa"/>
            <w:vAlign w:val="center"/>
          </w:tcPr>
          <w:p>
            <w:pPr>
              <w:keepNext w:val="0"/>
              <w:keepLines w:val="0"/>
              <w:widowControl/>
              <w:suppressLineNumbers w:val="0"/>
              <w:jc w:val="left"/>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、主要包含由II型和III型安全吊带、轻型安全钩、通用型安全钩、滑轮装置、上升器、下降器、抓绳器、通用型安全绳、手套、绳包等；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、吊带（II型、III型）：各1根，采用聚酰胺纤维或聚酯纤维和高强度金属件制成；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、轻型安全钩：4个，铝合金材质，在开口闭合状态时，长轴的破断强度≥27kN，在开口打开状态时，长轴破断强度≥7kN；短轴破断强度≥7kN；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、通用型安全钩：2个，铝合金材质，在开口闭合状态时，长轴的破断强度为≥40kN，在开口打开状态时，长轴破断强度≥11kN；短轴破断强度≥11kN</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、滑轮装置：1个，不锈钢材质，适合10～12mm直径的绳索；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、上升器：1对，由手式和脚式上升器组成，上升器主体采用铝合金材质、凸轮为镀铬钢材质、把手为双重密度塑胶材质，适合10～12mm直径的绳索；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、下降器：1对，铝合金材质、凸轮为镀铬钢材质，极限负荷：≥13kN；适合10～12mm直径的绳索；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、抓绳器：1个,铝镁合金材质，适合10～12mm直径的绳索，断裂负荷：≥22kN；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、通用型安全绳：采用高强度、高韧性纤维丝等优质材质，为连续、夹心绳结构，主承重部分由连续纤维制成。最小破断强度为≥22kN，直径10.5mm，长度50m；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、手套：2双，采用外层、防水层、隔热层、衬里组成。面料采用永久性阻燃纤维材料，具备阻燃、防水透气、防静电、舒适等性能；割破力≥15N；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、绳包：1个，可装100m安全绳及装备,有双肩背带,可手提。</w:t>
            </w:r>
          </w:p>
        </w:tc>
        <w:tc>
          <w:tcPr>
            <w:tcW w:w="684"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26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套</w:t>
            </w:r>
          </w:p>
        </w:tc>
        <w:tc>
          <w:tcPr>
            <w:tcW w:w="828"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restart"/>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三十六包</w:t>
            </w: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硬质救援艇（冲锋舟）</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冲锋舟用途：适用于江河、水库、湖泊等内河淡水水域的防汛抢险、水域救援；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舟体外观：舟体内壳为乳白色，外壳为橙色；表面有防滑纹；牵引环吊装环为金属制作，螺丝画有防松线；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挂机垫板为铝制表面有防滑纹与舟体连接无缺陷；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舟体材质：玻璃钢，舟体尺寸：全长≥500cm，设计最大乘员：≥10人，满载吃水深≤30cm，设计最大载重：≥1200kg，设计最大航速：≥60km/h；</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4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艘</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舷外机（含油箱防护罩）</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功率≥44Kw，并配备专用钥匙，启动形式为手启动+电启动；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配备≥24L的油箱、油管、启动绳、螺旋桨防护罩、简易维修包。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可与硬质救援艇（冲锋舟）匹配使用。</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4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部</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充气救生筏</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、由环形柱状气囊和充气底板两部分构成，主体采用PVC合成材质，气囊两端翘起设计，充气底板和气囊之间带有镂空区域；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、气囊4气室设计，带有4个充气阀门和4个自动泄压阀门；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、充气后整体尺寸≥505x128x75cm，气囊直径≥30cm，充气底板尺寸≥241x67x10cm，充气底板带有1个充气阀门，充气底板表面带有EVA凹凸表面防滑区域；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、单侧镂空处长度≥70cm，最宽处≥60cm，气囊内侧≥20个尼龙织带把手，气囊外侧≥4个橡胶把手；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、救生筏两边船舷有≥16个金属环，救生筏两端各1个橡胶把手，救生筏两端各有1个金属环。</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 </w:t>
            </w:r>
          </w:p>
        </w:tc>
        <w:tc>
          <w:tcPr>
            <w:tcW w:w="720" w:type="dxa"/>
            <w:vAlign w:val="top"/>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部</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救援桨板</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、用于水域救援使用；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、正面中部为高强材质， 正面和背面均设有防滑板，浆板尾部有插入式鱼鳍，浆板四周至少分布4个D型环加绑绳设计，可固定救援物品。浆板边缘设计有尼龙提手，帮助救援人员快速施救；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、可配合水上摩托艇等机动救援器材，方便动力牵引救起多名落水人员；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、采用双层高强拉丝PVC材料或优于；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、充气压力不小于0.1MPa，内部高压强的情况下救援板不会变形；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、救援板长度尺寸:≥3000x750x150mm；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、配备:收纳背包1个、划桨1副、高压打气筒1个、安全脚绳1条、稳定鱼鳍1个、修补包(胶水+修补材料)1套；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、整体重量≤20kg，承重:≥150kg；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、水上漂浮载重≥150kg，经向拉伸强度≥2000N，纬向拉伸强度≥2800N；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、板身主体颜色应为消防红，四周具有夜光反光标识，浆板四周至少分布6个D型环加绑绳设计，可固定救援物品，浆板适当位置印有“水域救援"的标识，标识醒目；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、应可用压缩气瓶或专用气筒/泵充气，收纳背包1个、划桨1副、高压打气筒1个、安全脚绳1条、稳定鱼鳍1个、修补包(胶水+修补材料)1套。</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副</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充气式上浮系统</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、浮袋由高强度PVC涂层布制成，强度≥5000N/5cm，PVC涂层布材质无害，工作环境：可用于海水、淡水；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、浮袋为单吊点，吊带、卸扣、吊环等必须有工作强度标示；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、顶部有翻倒绳附着点，配有手拉排气阀，从浮袋下面手动操作打开；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、浮袋安全系数应至少为工作负荷的 5:1；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、充气口为螺纹不锈钢球阀和气瓶快接充气两种方式；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、提升力≥2000kg。</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充气式救生浮板</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、采用EVA泡沫材料或同等质量材质制成，底部光滑、正面有防滑面；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、长度≥190cm，宽度≥90cm，重量≤10kg，水上漂浮载重≥150kg，前端≥3个挂绳孔，配有牵引拉绳。</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部</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橡皮艇</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气囊数≥8个，结构:船底“V”型充气拉丝底板，M型艇底；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橡皮艇按要求配备舷外机挂机板、防水多层胶合板或铝合金板舱底板，橡皮艇主颜色为橙色或红色；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艇边设有船边绳和软体把手，把手数量每侧不少于3个；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橡皮艇在应配备铭牌，用于标明型号、规格、重量、生产日期等信息；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随艇配备电动充气泵、补艇胶、补艇备用皮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舷外机为汽油舷外机，后操作式，功率≥22kw，舷外机应有铭牌，铭牌固定在外壳表面明显处，并用防腐蚀材料制作。</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艘</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定位浮标</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1、能快速容易地在水面或水底抛掷，可用作失物的标记，或在某位置做记号；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2、定位浮标具备耐冲击抗风浪，结构紧凑合理；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3、浮标装有高能见度频闪灯：持续照亮时间3天以上；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4、配有配重铅块和≥40米聚丙稀纤维绳子，浮标印有“消防救援”字样标识，底部有挂孔，可系绳连接潜水员，每套至少6个定位浮标；</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20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水面漂浮救生绳（</w:t>
            </w:r>
            <w:r>
              <w:rPr>
                <w:rFonts w:hint="default" w:ascii="Times New Roman" w:hAnsi="Times New Roman" w:eastAsia="宋体" w:cs="Times New Roman"/>
                <w:i w:val="0"/>
                <w:iCs w:val="0"/>
                <w:color w:val="000000"/>
                <w:kern w:val="0"/>
                <w:sz w:val="22"/>
                <w:szCs w:val="22"/>
                <w:u w:val="none"/>
                <w:lang w:val="en-US" w:eastAsia="zh-CN" w:bidi="ar"/>
              </w:rPr>
              <w:t>200</w:t>
            </w:r>
            <w:r>
              <w:rPr>
                <w:rFonts w:hint="eastAsia" w:ascii="宋体" w:hAnsi="宋体" w:eastAsia="宋体" w:cs="宋体"/>
                <w:i w:val="0"/>
                <w:iCs w:val="0"/>
                <w:color w:val="000000"/>
                <w:kern w:val="0"/>
                <w:sz w:val="22"/>
                <w:szCs w:val="22"/>
                <w:u w:val="none"/>
                <w:lang w:val="en-US" w:eastAsia="zh-CN" w:bidi="ar"/>
              </w:rPr>
              <w:t>米）</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、水面漂浮绳索材料：高强聚乙烯+抗老化剂，水面漂浮绳具有自动发光、反光的功能；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、直径≥8mm;长度200m，破断强力≥18kN，漂浮时间≥48h；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、配防水绳包、手环、金属挂钩；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、绳头设有检验标识、生产日期等信息；</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9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救生拉杆</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1、全套配置包含：三爪钩、弧形套索、浮球、浮力圈；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▲2、整套设备包括救生伸缩杆1根、救生绳1根、工具头便携包1个、伸缩杆便携袋1个、工具头1套（包括浮力球1个、浮力圈1个、挂钩1个、抓钩1个、弹性抓捕器1个、D形扣1个、弧形套勺1个、救生套圈1个）；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3、伸缩杆展开后长≥6m，收缩后长度≤2m；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4、救生绳从头到尾穿过救生伸缩杆；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5、工具头便携包：材料为防水尼龙网，尺寸（长×宽）≥70cm×50cm；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6、伸缩杆便携袋：采用尼龙防水材料，可手提、肩背；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7、浮力球：可与伸缩杆配套使用，塑料泡沫材质，颜色为黄色，浮力≥6kg，重量≤1kg；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8、浮力圈：重量≤1kg；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9、挂钩材质为不锈钢，单钩设计，钩口带有回弯防刮设计，重量≤0.5kg；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10、爪钩材质为不锈钢，三爪结构，重量≤0.7kg；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11、弹性捕获器材质为不锈钢，重量≤0.4kg；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12、D形扣材质为不锈钢，开口尺寸≥5.5cm，重量≤0.8kg；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13、弧形套勺材质为铝合金，重量≤0.5kg；</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4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滚钩</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1、用于搜寻打捞落水失踪者，特备是在一些透明度不十分好的水域，原先只能依赖专业潜水员下潜搜寻落水失踪者；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▲2、该救生滚钩由三角拉杆，不锈钢锁链，三爪锚钩，搭扣连接器，不小于10m双层尼龙编织绳组成；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3、断裂强力(绳)≥22KN;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4、破断强度(链)≥2340N;</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24 </w:t>
            </w:r>
          </w:p>
        </w:tc>
        <w:tc>
          <w:tcPr>
            <w:tcW w:w="720" w:type="dxa"/>
            <w:vAlign w:val="top"/>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冰面救援滑板</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、适用于冰面、水面、湿地工作平台；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、技术参数：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（1）展开尺寸：长≥3m，宽≥1m；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（2）折叠尺寸：长≤1m，宽≤0.5m；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（3）重量≤40kg；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（4）非空心结构，正反板材之间带有支撑连接结构，防止充气后变形；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（5）静态均衡承载浮力≥900kg；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（6）带有充气气筒，也可以通过空气呼吸器充气，充气时间≤3min；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（7）频闪灯，重量≤100g，频闪灯标准续航能力≥30h；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、具有永久性标志及产品数据标识。</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10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冰面救援服</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、整体设计成密封连体服装，手套、靴子和头罩都与服装为一整体，具有防水、防寒功能，可快速穿脱；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、手套为五指，里面有保暖内衬。靴底防滑，里面有厚靴垫。服装里有可拆式透气保暖内衬，做到防水保暖兼具，穿脱便捷；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、技术参数：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（1）适合于-30-0℃温度作业，内部可配置多功能口袋和拉链口袋，口袋拉链防水压胶设计，方便携带救援工具适合于。内背带设计，可将救援服调节至感觉最舒适的位置。配有舒适可拆卸的头罩；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（2）肩部有反光带，膝盖处加配2块护垫保护，厚度：2mm，厚实耐磨，具有更好的护膝作用。全身配有5处反光条和魔术贴，胸部配有全调式安全吊带，可与绳索连接，设置携带冰面 爬行辅助器口袋。大腿部有特殊调整带，腿部宽松设计方便穿脱；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（3）尺寸：均码 适合身高1.5-1.9m；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（4）前胸后背都印有夜光反光标识。整套衣服都为高频热压而成，无车缝拼接，且防水拉链为OEB纯铜水密拉链；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（5）在150N拉伸强度下持续10S，未出现断裂；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（6）耐水色牢度4，pH值5，耐干摩擦色牢度4；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（7）穿着救生衣经受1h浸水后，体温下降≤0.6℃，且能捡起直径9mm的铅笔进行书写；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（8）穿着救援服在静水中1h后，救援服的进水量≤20g，靴底抗刺穿性能≥1300N。</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12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水域救生套装</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、整套装备包括激流救援专用救生衣1套、救援牛尾绳1根、15m水域抛绳包1个、高频口哨1个和配套携行包1个；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激流救援专用救生衣采用背心式设计，浮力≥150N，配备1根多功能腰带（宽度≥5cm，材质为尼龙织带）环绕在胸部，腰带前部设置自救脱困快解装置，腰带后部设置牵引绳连接拉环，正面设置可拆卸式置物袋（数量≥2个），后背设置可拆卸式置物袋（数量≥1个），设计多个与水域割绳刀、定位示位灯、口哨等配套的挂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、救援牛尾绳与救生衣配套使用，用于救生衣PFD上面的牵引绳，带有0型环和三角形连接锁，牵引绳应具有良好的延展效果，紧急情况下PFD救生衣可与该牵引绳快速分离，绳长≥80cm，延展长度≥150cm；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、15m水域抛绳包面料采用优质尼龙布料，颜色为红色或橙色，中部设置网布，顶端设有收紧拉绳，侧面设置魔术贴挂点，可挂闪光棒或荧光棒，配备专用水面荧光漂浮绳，直径≥8mm，长度≥15m；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、高频口哨采用ABS工程塑料材质，音量≥100dB，质量≤15g；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、携行包颜色为橘黄色或红色，具有一定的防水性能，容积≥50L。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耐油：将试样在常温下水平地浸于100mm 压头的柴油中历时24h。试验后该试样无损坏迹象，无皱缩，破裂，账大，分解或机械性质的改变。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属具：配备有自亮浮灯。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标志：救生圈应标明其名称、制造厂名、制造编号、制造日期及批号、检验机构检验标志。 效用试验：救生圈配备了自亮浮灯，无需进行效用试验，自亮浮灯落水后自行打开。</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30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干式水域救援服</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▲1、款式：连体干式救援服整体为高防水设计。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衣领处有反光嵌线及透水网,身体正前方或者背后为横向或斜向防水拉链，袖口、领口魔术贴束紧带设计，（用于调节至舒适度）。领口、袖口均使用全防水密封圈；腰部有弹性松紧带设计，（用于调节至舒适度）小腿部和手臂处设有环状反光条，（提高夜间救援360°可视度）。内置背带可调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肘部、膝盖和臀部有补强，增加耐磨性能；裆部设计高强度防水拉链，（如厕时不用脱下整件服装）腿部两侧配有带盖板的排水孔工具袋，可以储存物品；附带一体的乳胶袜套可以防水，且确保脚部更为保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4、内里缝合处采用先缝制再压胶技术，热熔贴合处理，加固接缝，增强防水性能，每件干衣都进行单独测试；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▲5、技术参数：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保温性能：经保温性能试验后，受试者的体表（手、脚和腰部皮肤表面）温度均未降低≤10℃，体温下降≤0.4℃，且受试者能捡一支直径8mm的铅笔并书写；防渗漏性能：经静水中持续1h的渗透性能试验，消防员水域救援防护服的进水量≤0.25kg；服装质量：≤2kg；携行质量（含消防员水域救援服、保温内衣和携行袋）：≤3kg。</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20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湿式水域救援服</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★1、总体要求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（1）水上或冰上救援作业时的专用防护；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（2）含防护服、水域救援靴、水域救援手套、水域救援头盔及防水灯；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▲2、外观要求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（1）双色或单色立体拼接剪裁，连体式结构，裤脚和袖口设有可调节开口大小的拉链；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（2）在臀部、膝部、肘部敷有用于增强耐磨性的补强材料；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（3）主体采用≥3mm氯丁橡胶材质，具有舒适保暖防寒的性能；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（4）合理位置设有盛放工具的口袋，口袋底部有排水孔；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（5）多处合理设有反光标志带，根据采购人需求适当位置印制反光统型标识；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3、材料要求：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（1）耐磨性：面料经1000次摩擦后试样未被磨穿，补强材料经3000次循环摩擦后试样未被磨穿；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（2）耐静水压性能≥17kPa；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▲4、适用性能：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（1）穿着消防救生衣限制性：无限制；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（2）水域救援防护服穿着时间≤30S；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（3）穿着者可活动性：穿着防护服的人员能行走、爬行、游泳并登上平台；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（4）质量≤2kg；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（5）面料甲醛含量：≤0mg/kg；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（6）异味：无；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（7）耐磨性：试样经过100圈磨损后，无破洞；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5、配备同等材质的五指式水域救援手套；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6、在救援服的显著位置有永久性的标志，其内容为：产品型号、用途、商标（或者生产厂名）、批号以及生产日期等；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7、每套救援服配有独立的保存运输包装袋；</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20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干式潜水衣</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、面料拉伸强力、经向≥1800N, 纬向≥950N；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、每套包括干式潜水衣、干式潜水手套、潜水靴和潜水拉杆箱；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整体采用三层超轻质纤维材料叠加制造。水密封金属拉链，护膝和臀部为高强度高韧性芳纶涂层—凯夫拉补强设计，加厚硬质鞋底，鞋背配魔术贴。有进排气阀门。前胸倾斜拉链，方便潜水员穿脱，有可调节系绳，穿着可任意调节，在体侧分别有2个口袋，配有D型环。干衣内部带有弹性背带，适合不同人体体型，全身多处反光条设计，救援时醒目警示，识别性强，配有潜水服手提包，与充气阀连接的低压管，袖子和领子可以自行拆卸。</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12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湿式潜水衣</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、≥3mm带有钛涂层的氯丁橡胶材质可以在寒冷的温度中提供非常好的热反射性能；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、在肩部、背部和手臂处都采用特殊材质提高灵活性，降低束缚性；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、所有的缝线处都是用暗针缝制，并且都做了加固压胶处理，最大程度的确保保暖和舒适感；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、双向前置拉链和</w:t>
            </w:r>
            <w:r>
              <w:rPr>
                <w:rFonts w:hint="eastAsia" w:ascii="宋体" w:hAnsi="宋体" w:cs="宋体"/>
                <w:i w:val="0"/>
                <w:iCs w:val="0"/>
                <w:color w:val="000000"/>
                <w:kern w:val="0"/>
                <w:sz w:val="22"/>
                <w:szCs w:val="22"/>
                <w:u w:val="none"/>
                <w:lang w:val="en-US" w:eastAsia="zh-CN" w:bidi="ar"/>
              </w:rPr>
              <w:t>手腕处</w:t>
            </w:r>
            <w:r>
              <w:rPr>
                <w:rFonts w:hint="eastAsia" w:ascii="宋体" w:hAnsi="宋体" w:eastAsia="宋体" w:cs="宋体"/>
                <w:i w:val="0"/>
                <w:iCs w:val="0"/>
                <w:color w:val="000000"/>
                <w:kern w:val="0"/>
                <w:sz w:val="22"/>
                <w:szCs w:val="22"/>
                <w:u w:val="none"/>
                <w:lang w:val="en-US" w:eastAsia="zh-CN" w:bidi="ar"/>
              </w:rPr>
              <w:t>、踝部拉链可以使救援者穿、脱装备都非常的迅速和便捷；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、在躯干的两侧部位有大摩擦力区域用于搭配PFD固定使用；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、在膝盖和小腿处都有聚氨酯涂层垫，可以提供额外的保护，手臂和腿部有荧光反射区，并且有RESCUE救援字样，提高了救援者的警示性；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、配备同等材质潜水头套、潜水手套、潜水蛙鞋。</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12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3" w:hRule="atLeast"/>
        </w:trPr>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水域救援套装</w:t>
            </w:r>
          </w:p>
        </w:tc>
        <w:tc>
          <w:tcPr>
            <w:tcW w:w="3720" w:type="dxa"/>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、包含水域救援头盔1顶、防水头灯1个、水域救援手套1双、水域救援鞋1双、水域救援刀1把；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、水域救援头盔1顶：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可调节下颏带，抗拉强度高，延伸长度≥20mm,低重心无帽沿设计，由ABS工程塑料注塑成型盔壳，高冲击强度稳定性好,水域救援头盔色泽鲜艳醒目，保护头及耳部，并在头盔上部留有≥6个排水孔,内层采用发泡棉，能提供良好的缓冲性能,护耳组件外层采用ABS材料制成，固定在头盔两侧，防止遇到冲击对耳部成伤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（2）整体设置要求，头盔顶部和侧部护耳处，应按照宽体脸型设计，头盔对救援人员头顶及太阳穴部位无紧迫感，头盔应设多级调节，最大调节按照头围≥62CM设计，头盔设有头盔灯卡槽和记录仪卡槽；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、防水头灯1个：能与救援头盔预留卡槽适用，多档亮度可调，具有强光、弱光、爆闪功能，防水等级≥IP7，USB一体充电，适用于Type-c充电。最大功率≥10W，亮度≥240流明，射程≥100米；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水域救援手套1双：手套采用高档聚合物和热反射衬里，热合压缝，保证密封性，手套背面有≥2mm氯丁橡胶层和≥2mm的缓冲垫层，提供良好的保暖性和抗冲击性，手心：芳香尼龙纤维的合成皮革，掌心与手指部位采用耐磨合成皮革贴片，手背有醒目的反光区域及3D立体花纹，在手腕处设有魔术贴，可以快速调节和固定，并确保手套不会滑落，增加保暖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、水域救援鞋1双：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（1）系带式高腰鞋 ，且带有可调粘扣,鞋面由合成超轻材料,内里是弹性十足≥5mm 厚的氯丁橡胶加固材料制成，内里弹性材料，内胆为足部提供很好的保暖性和踝部支撑和保护；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（2）靴子内侧设有排水孔，鞋内底厚7mm,鞋底有防滑设计，坚固结实，安全舒适，可适应各种地形，后帮跟部带有止滑凸块，可与蛙鞋稳固结合；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、水域救援刀1把：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（1）钛合金潜水救援刀是极轻、超强韧和高耐腐蚀的结合体；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（2）整刀</w:t>
            </w:r>
            <w:r>
              <w:rPr>
                <w:rFonts w:hint="eastAsia" w:ascii="宋体" w:hAnsi="宋体" w:cs="宋体"/>
                <w:i w:val="0"/>
                <w:iCs w:val="0"/>
                <w:color w:val="000000"/>
                <w:kern w:val="0"/>
                <w:sz w:val="22"/>
                <w:szCs w:val="22"/>
                <w:u w:val="none"/>
                <w:lang w:val="en-US" w:eastAsia="zh-CN" w:bidi="ar"/>
              </w:rPr>
              <w:t>长≥18cm，刃长≥7cm，硬度：≥HRC51；刀鞘（刀鞘材料采用玻璃纤维加强型尼龙）</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20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潜水装备套装</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、符合救援人员水上或水下作业要求；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、技术参数：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（1）潜水头套用于水域救援保暖头套使用，通过包裹头部和耳朵减少在水里身体的热量流失，高弹性氯丁橡胶制成，内层贴合皮肤的内衬，穿着舒适，耐久度高；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（2）面镜：重量轻、紧凑、牢固、硅胶裙边无泄漏的密封效果、可安装光学镜片；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（3）干衣底衣双层防水保暖内衣，搭配干式潜水服使用。轻盈透气具有良好的保暖效果。前拉链设计，两头均可拉合。脚底配蹬带。口袋使用拉链；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（4）脚蹼：蹼片采用聚丙烯材质，鞋托采用柔软的弹性纤维；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（5）蛙鞋：采用≥2mm氯丁橡胶层和缓冲垫层，带排水孔，穿着舒适，底部防滑；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（6）潜水气瓶：防锈及防爆全铝合金瓶身,铜制瓶头,配防爆安全阀,容积：≥11L，配备充气转换接口（与空呼充气泵匹配）。</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12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restart"/>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三十七包</w:t>
            </w: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防静电服</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、由防静电服装和防静电鞋套等组成，可消除衣服及人体静电，具有优良持久的防静电防尘功能；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、衣服损毁长度≤20mm，持续燃烧时间≤10s，阴燃时间≤10s，且不有熔融、滴落现象；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、经、纬线撕破强力≥32N，经、纬线断裂强力≥450N。</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13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轻型防化服</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、化学灾害现场处置挥发性化学固体、液体时的躯体防护；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、款式：连体式结构，全身采用高分子符合膜材料制造。且保证完全覆盖使用者，由化学防护头罩、化学防护服、化学防护手套构成，与外置式正压式消防空气呼吸器配合使用；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 xml:space="preserve">、颜色根据采购人意向提供；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、整体抗水渗漏性能：按规定方法试验20min后无渗漏；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、拉伸强度（kN/m）：≥10；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、撕裂强力（N）：≥100；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、阻燃性能：有焰燃烧时间≤10s，无焰燃烧时间≤10s，损毁长度≤10cm；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、化学防护手套耐刺穿力应不小于25N；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化学防护靴：靴底抗刺穿性能≥2000N，靴面经抗切割试验后，不应被割穿，击穿电压不应小于5000V，且泄露电流应小于3mA，始滑角≥15°，按国家标准要求进行试验后，其间隙高度≥15mm，面料表面应平整，不应有破洞、气泡、脱层、表面漏布、死褶现象。化学防护靴不应有脱齿弹边、脱空、开胶、喷霜、过硫、欠硫现象。化学防护服的外贴条应整齐，不应有部件欠缺，抗化学品渗透性能≥60min，耐寒性：按照规定方法试验后无裂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、每套消防员化学防护服配备一个防腐蚀携行包；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、在未拆封使用情况下，保质期应≥5年，第三年后每年由厂家免费检测其各项性能指标是否符合要求。</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36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重型防化服</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、化学灾害现场处置高浓度、强渗透性气体时或生化恐怖袭击现场处置生化毒剂时的全身防护；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全密封连体式结构，全身采用高分子复合膜材料制造。由带大视窗的连体头罩、化学防护服、正压式消防空气呼吸器背囊、化学防护靴、化学防护手套等组成。同正压式消防空气呼吸器、冷却装备、消防员呼救器及通信器材等设备配合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外层镀铝隔热服性能：外层镀铝隔热服面料采用100%玻璃纤维镀铝材料，具有阻燃隔热性能；外层镀铝隔热服面料经过10000次折叠无脱层和裂纹；续燃小于2秒，损毁长度小于10cm，可防护辐射热、环境热和接触热；内层为全封闭嵌入式气密型防化服；面料材质：采用高阻隔多元共混橡胶材质或高性能多层复合膜材料；抗化学品渗透性能≥60min；全密封连体式结构；整体气密性6min内压强降低≤300Pa，排气阀气密性≥15s；化学防护手套符合《消防员化学防护服装》XF-770的规定，耐刺穿力应不小于25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化学防护靴：靴底抗刺穿性能：≥2000N；靴面经抗切割试验后，不应被割穿；防护靴电绝缘性能：击穿电压不应小于5000V，且泄露电流应小于3mA；胶靴防滑性能：始滑角≥15°；防砸性能：按国家标准要求进行试验后，其间隙高度≥15mm；外观质量：面料表面应平整，不应有破洞、气泡、脱层、表面漏布、死褶现象。化学防护靴不应有脱齿弹边、脱空、开胶、喷霜、过硫、欠硫现象。化学防护服的外贴条应整齐，不应有部件欠缺；耐寒性：按照规定方法试验后无裂纹；每套化学防护服配备一个防腐蚀携行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、在未拆封使用情况下,保质期应≥5年,第三年后每年由厂家免费检测其各项性能指标是否符合要求。</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36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电绝缘装具</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、由上衣、背带裤、手套和靴子等组成；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、主要参数：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（1）整体耐电压性能在7kV、频率50Hz、时间3min实验性无闪络、击穿和发热现象，泄露电流≤5mA；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（2）电绝缘手套：耐电压≥10KV；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（3）电绝缘靴：耐电压≥22KV；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、专用储运箱（盒、包）；中文使用维护保养说明书或光盘；配备绝缘剪，绝缘杆长度≥3m，整体重量≤4.5kg。</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13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消防员防蜂服</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、由不锈钢网面罩、护目镜、手套、靴子、上衣和裤子连体结构式等组成，颜色为红色；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、抗穿刺性能≥0.4N；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、外层面料撕破强力：≥60N，外层面料断裂强力：≥650N；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、在9kPa的压力下，面料2000次不被磨穿；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、手套耐切割性能：≥2N；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、靴帮材料的最大抗穿刺力不应小于35N，靴底始滑角≥15°，靴子经电绝缘性能测试，击穿电压≥5000V时, 泄漏电流＜3mA；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、拉链为非金属材质,型号≥8#；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、头罩视野总保留率≥80%，数目视野保留率≥60%，整套服装重量≤4公斤。</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26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消防员避火防护服</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、由上衣、背带裤、防火手套、防火靴、大视野防紫外线头罩等组成；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、服装面料采用多层复合结构，由外层、防火层、耐火隔热层、防水层、阻燃隔热层、舒适层等组合而成，外层采用永久阻燃高强度耐热面料与铝箔复合材料，具有阻燃、耐高温、柔软、防水等性能；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、各部位缝制应平整，不应有脱线、跳针以及破损等缺陷；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、标志设置应正确，号型标志应准确清晰；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、外层面料阻燃性能损毁长度≤20mm，续燃时间≤1s，阴燃时间≤2s，无熔融、滴落等现象，外层面料撕破强力≥32N；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、整体组合层面料抗辐射热渗透性能在13.6kW/㎡，辐射热源下辐射120s，内表面温升≤25℃，隔热头罩耐高温性能：经过180℃高温5min后，无碳、熔融和滴落现象且视窗无明显变化和损坏现象；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、整体组合层面料的抗火焰性能在温度为1000℃条件下，30s后其人体模型所受的表面温升≤25℃；</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13 </w:t>
            </w:r>
          </w:p>
        </w:tc>
        <w:tc>
          <w:tcPr>
            <w:tcW w:w="720" w:type="dxa"/>
            <w:vAlign w:val="top"/>
          </w:tcPr>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ascii="宋体" w:hAnsi="宋体" w:eastAsia="宋体" w:cs="宋体"/>
                <w:i w:val="0"/>
                <w:iCs w:val="0"/>
                <w:color w:val="000000"/>
                <w:kern w:val="0"/>
                <w:sz w:val="22"/>
                <w:szCs w:val="22"/>
                <w:u w:val="none"/>
                <w:lang w:val="en-US" w:eastAsia="zh-CN" w:bidi="ar"/>
              </w:rPr>
            </w:pPr>
          </w:p>
          <w:p>
            <w:pPr>
              <w:pStyle w:val="2"/>
              <w:ind w:left="0" w:leftChars="0" w:firstLine="0" w:firstLineChars="0"/>
              <w:jc w:val="left"/>
              <w:rPr>
                <w:rFonts w:hint="eastAsia"/>
                <w:color w:val="auto"/>
                <w:highlight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restart"/>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三十八包</w:t>
            </w: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小型移动照明灯组</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 xml:space="preserve">、静音数码发电机，额定电压220V ，发电机功率≥2kW；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 xml:space="preserve">、采用LED灯，灯头≥2个，照明灯功率≥400w,发电机与照明灯一体设计；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 xml:space="preserve">、可拉杆拖拽、手提或背负移动，重量≤35kg，连续工作时间≥5h；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、箱体和灯头防护等级不低于IP65，具有防爆功能。</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13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组</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移动照明灯组</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、配用光源：LED，额定功率：强光≥150W，中光≥60W，弱光≥30W，警示灯≥18W；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、电池额定容量：≥22.2Ah 、额定电压：≥22.2V；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、光源寿命≥100000h；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、灯头光通量≥18000Lm；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、工作时间：强光≥4h，工作光≥7h，弱光≥10h；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、连续放电时间 ≥8h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充电时间 ≤12h（正常使用）/16h（电池耗尽）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电池使用寿命 ≥1000（循环）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重量≤15kg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 xml:space="preserve">、防护等级≥IP66；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、照明装置范围内地面水平照度：1m内≥4500Lx，5m内≥200Lx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、最小高度：照明装置最小升降高度＜1800mm、最大高度：照明装置最大升降高度≥3400mm；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、外形尺寸：长*宽*高≤1050*175*175mm；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、USB输出规格：DC5V/2A；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、灯头采用AL6061材质，表面硬质阳极氧化处理，伸缩管和脚架均采用超轻碳纤维材质，电池隐藏在脚架内；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、照明性能：灯盘由3个≥50WLED灯具组成，可以做水平或俯仰调节，具有360°泛光照明和单方向聚光功能，每个灯具背面具有警示灯；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、照明装置应具有无线遥控功能，遥控距离应≥30m，可通过遥控器开启或关闭强光、中光、弱光和警示灯；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、采用三角支撑结构设计，支撑腿可快速折叠和展开；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、调光过程加入软启动系统，调光柔和不刺眼，光源无频闪；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、升降性能：照明装置采用伸缩杆作为升降调节方式，照明高度可任意调节；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、智能控制：灯具具有强光、中光、弱光、警示灯功能；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19</w:t>
            </w:r>
            <w:r>
              <w:rPr>
                <w:rFonts w:hint="eastAsia" w:ascii="宋体" w:hAnsi="宋体" w:eastAsia="宋体" w:cs="宋体"/>
                <w:i w:val="0"/>
                <w:iCs w:val="0"/>
                <w:color w:val="000000"/>
                <w:kern w:val="0"/>
                <w:sz w:val="22"/>
                <w:szCs w:val="22"/>
                <w:u w:val="none"/>
                <w:lang w:val="en-US" w:eastAsia="zh-CN" w:bidi="ar"/>
              </w:rPr>
              <w:t>、设有WIFI式四段式（25%、50%、75%、100%）电量提示功能；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、应急性能：照明装置应配有定制的专用适配器可以外接AC220应急电源，可实现长时间≥150W恒功率工作；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、照明装置灯头背面设有警示灯，灯具可通过手动开关和遥控器控制灯具照明和警示灯开启和关闭；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、耐高低温性能：照明装置在+55℃±2℃高温环境应能正常工作，且持续时间≥2h；照明装置在-25℃±3℃低温环境应能正常工作，且持续时间≥2h；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、耐恒定湿热性能：照明装置在相对湿度为RH93%,温度为40℃±2℃，持续工作时间≥48h；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、抗风要求：照明装置应在风速≤20.7m/s（即8级风）的环境中工作不应倾覆，各部件不得产生损坏和可见的永久变形；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、抗振动要求： 照明装置应在持续≥30min 承受振幅为≥0.35mm，频率为10~55Hz互相垂直的三个方向上振动的条件下，不应产生损坏和可见的永久变形，并能正常工作。</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13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组</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移动照明灯</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.主要功能：用于救援现场照明。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.技术要求：工作时长≥8h。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.其他要求：不少于聚光和泛光两种模式。</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5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泛光灯</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.应用与石油、化工等易燃易爆场所小范围检修、施工照明；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防爆，</w:t>
            </w:r>
            <w:r>
              <w:rPr>
                <w:rFonts w:hint="eastAsia" w:ascii="宋体" w:hAnsi="宋体" w:eastAsia="宋体" w:cs="宋体"/>
                <w:i w:val="0"/>
                <w:iCs w:val="0"/>
                <w:color w:val="000000"/>
                <w:kern w:val="0"/>
                <w:sz w:val="22"/>
                <w:szCs w:val="22"/>
                <w:u w:val="none"/>
                <w:lang w:val="en-US" w:eastAsia="zh-CN" w:bidi="ar"/>
              </w:rPr>
              <w:t>额定电压≥21.6V，电池容量≥10Ah，额定功率≥50W；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.灯具有聚光、泛光照明功能，灯头背面有红、蓝信号灯功能;具有五段式电量显示功能；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.灯具充满电后，将开关打开，强光≥10小时、工作光≥16小时；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.灯头可进行水平 360°旋转，垂直130°旋转调节照射方向，折叠可作为手提探照灯使用；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.灯具底座应配有两个稳定支架，使用时伸展开，更加稳定，最大升起高度≥1.2米；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.5米中心点照度≥1800lx；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.高温:(55±2)℃、2h,试验后功能应正常;低温:(-25±2)℃、2h,试验后功能应正常；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.重量：≤10kg；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.供货方提供操作使用、安装、维护维修手册（含电子版）：1套。</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6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月球灯</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、灯头可实现大范围360°无阴影、无眩光照明，灯光覆盖半径大于100m；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、可在50米范围内无线控制灯的开启和关闭及升降杆的升起和降落；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、整体由灯球、气缸和发电机组组成。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、额定功率：≥1000W；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、光通量：≥110000lm；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、灯杆升高高度：≥3.5m；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、灯杆升降时间：≤1min；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、抗风力：≥6级；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、发电机类型：空冷4冲程汽油发电机或优于；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、油箱容积：≥15L；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、连续工作时间 ：≥12h；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、整体重量：≤100kg；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、供货方提供操作使用、安装、维护维修手册（含电子版）：1套；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、提供产品合格证及保修卡。</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6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救生照明线</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、常亮工作时间≥8h；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、闪亮工作时间≥16h；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、发光亮度≥100cd/㎡；</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、闪烁频率范围1-2Hz；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、绝缘电阻≥50MΩ；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、拉伸性能≥300N；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、线体长度≥100m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、防尘防水≥IP58；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、采用蓄电池供电：电池容量≥60Ah；也可采用220V交流电；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、重量≤13kg；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 xml:space="preserve">、具有永久性标志及产品数据标识。  </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17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套</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气柱灯</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、灯柱外罩选用高强度阻燃纤维材料，可提供360度全方位立体照明；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、灯柱设有开关互锁与自锁功能，防止开关误操作的问题；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、整灯控制系统设有安全过压保护、欠压保护、过电流、漏电保护功能；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、为防止灯柱倾斜，底部配有四个可调节辅助支撑杆；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、额定电压220V；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、工作高度≥5m；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、led灯，光源功率≥1000w；平均使用寿命≥10000h；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、连续工作时间：市电长时间／发电≥6h；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、照明亮度≥100000LM；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、灯柱展开时间≤15s；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、重量（不含发电机）≤30kg；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、外壳防护等级≥IP65；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、具有永久性标志及产品数据标识。</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4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静音发电机</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、主要功能：为满足安静环境下特殊供电需求；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、技术要求：采用静音数码发电机：额定输出功率≥4kW,直流输出：12v-5.0A，额定电压220V ，噪音(空载--满载)(A)/7m：≤75；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 xml:space="preserve">、工作时间：持续运行时间(额定输出下)(hr) ≥2.5，满燃油（汽油）≥6h，整套设备重量≤40kg；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、配备维修工具1套，移动线盘1套；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、其他要求：低温情况下可正常使用，在环境温度为-40℃下运行时，机组应有低温启动措施；机组应有短路保护装置;设备预留检测口。</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11 </w:t>
            </w:r>
          </w:p>
        </w:tc>
        <w:tc>
          <w:tcPr>
            <w:tcW w:w="720" w:type="dxa"/>
            <w:vAlign w:val="center"/>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台</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大功率发电机</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、主要功能：为满足室外作业更高供电需求；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技术要求：噪音：≤80dB，额定频率：≥50HZ，额定电压：380V，交流输出插座：≥2个，直流输出：12V8.3A，启动方式：手启动装置、电启动装置、遥控启动，重量：≤100kg，额定功率≥6KW，额定电流单项43A、三相20A，额定频率50HZ，额定电压≥220V，电压自动调节，汽油容量40L，噪音 dB（7M）≤70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标准功能：数显表、短路保护、高温保护、过流保护、过载保护、自动电压调节、轮子扶手、免维护电池、缺机油保护</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、加满油持续工作时间：≥10h；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、其他要求：抗寒，能在零下30℃使用；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、配备50m线盘不少于2个4平方；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、具有永久性标志及产品数据标识；</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19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台</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restart"/>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三十九包</w:t>
            </w: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AED</w:t>
            </w:r>
            <w:r>
              <w:rPr>
                <w:rFonts w:hint="eastAsia" w:ascii="宋体" w:hAnsi="宋体" w:eastAsia="宋体" w:cs="宋体"/>
                <w:i w:val="0"/>
                <w:iCs w:val="0"/>
                <w:color w:val="000000"/>
                <w:kern w:val="0"/>
                <w:sz w:val="22"/>
                <w:szCs w:val="22"/>
                <w:u w:val="none"/>
                <w:lang w:val="en-US" w:eastAsia="zh-CN" w:bidi="ar"/>
              </w:rPr>
              <w:t>除颤仪</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w:t>
            </w:r>
            <w:r>
              <w:rPr>
                <w:rFonts w:hint="eastAsia" w:cs="Times New Roman"/>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、整机重量（含电池）</w:t>
            </w:r>
            <w:r>
              <w:rPr>
                <w:rFonts w:hint="default" w:ascii="Times New Roman" w:hAnsi="Times New Roman" w:eastAsia="宋体" w:cs="Times New Roman"/>
                <w:i w:val="0"/>
                <w:iCs w:val="0"/>
                <w:color w:val="000000"/>
                <w:kern w:val="0"/>
                <w:sz w:val="22"/>
                <w:szCs w:val="22"/>
                <w:u w:val="none"/>
                <w:lang w:val="en-US" w:eastAsia="zh-CN" w:bidi="ar"/>
              </w:rPr>
              <w:t>≤3.0kg</w:t>
            </w:r>
            <w:r>
              <w:rPr>
                <w:rFonts w:hint="eastAsia" w:ascii="宋体" w:hAnsi="宋体" w:eastAsia="宋体" w:cs="宋体"/>
                <w:i w:val="0"/>
                <w:iCs w:val="0"/>
                <w:color w:val="000000"/>
                <w:kern w:val="0"/>
                <w:sz w:val="22"/>
                <w:szCs w:val="22"/>
                <w:u w:val="none"/>
                <w:lang w:val="en-US" w:eastAsia="zh-CN" w:bidi="ar"/>
              </w:rPr>
              <w:t>，设备具备便携把手，具备便携性；</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w:t>
            </w:r>
            <w:r>
              <w:rPr>
                <w:rFonts w:hint="eastAsia" w:cs="Times New Roman"/>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、具备良好的抗冲击性能，机器六面均可承受</w:t>
            </w:r>
            <w:r>
              <w:rPr>
                <w:rFonts w:hint="default" w:ascii="Times New Roman" w:hAnsi="Times New Roman" w:eastAsia="宋体" w:cs="Times New Roman"/>
                <w:i w:val="0"/>
                <w:iCs w:val="0"/>
                <w:color w:val="000000"/>
                <w:kern w:val="0"/>
                <w:sz w:val="22"/>
                <w:szCs w:val="22"/>
                <w:u w:val="none"/>
                <w:lang w:val="en-US" w:eastAsia="zh-CN" w:bidi="ar"/>
              </w:rPr>
              <w:t>≥1.5m</w:t>
            </w:r>
            <w:r>
              <w:rPr>
                <w:rFonts w:hint="eastAsia" w:ascii="宋体" w:hAnsi="宋体" w:eastAsia="宋体" w:cs="宋体"/>
                <w:i w:val="0"/>
                <w:iCs w:val="0"/>
                <w:color w:val="000000"/>
                <w:kern w:val="0"/>
                <w:sz w:val="22"/>
                <w:szCs w:val="22"/>
                <w:u w:val="none"/>
                <w:lang w:val="en-US" w:eastAsia="zh-CN" w:bidi="ar"/>
              </w:rPr>
              <w:t>跌落冲击；</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eastAsia" w:cs="Times New Roman"/>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、防护级别</w:t>
            </w:r>
            <w:r>
              <w:rPr>
                <w:rFonts w:hint="default" w:ascii="Times New Roman" w:hAnsi="Times New Roman" w:eastAsia="宋体" w:cs="Times New Roman"/>
                <w:i w:val="0"/>
                <w:iCs w:val="0"/>
                <w:color w:val="000000"/>
                <w:kern w:val="0"/>
                <w:sz w:val="22"/>
                <w:szCs w:val="22"/>
                <w:u w:val="none"/>
                <w:lang w:val="en-US" w:eastAsia="zh-CN" w:bidi="ar"/>
              </w:rPr>
              <w:t>≥IP55</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eastAsia" w:cs="Times New Roman"/>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、工作温度范围至少满足</w:t>
            </w:r>
            <w:r>
              <w:rPr>
                <w:rFonts w:hint="default" w:ascii="Times New Roman" w:hAnsi="Times New Roman" w:eastAsia="宋体" w:cs="Times New Roman"/>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t>50℃</w:t>
            </w:r>
            <w:r>
              <w:rPr>
                <w:rFonts w:hint="eastAsia" w:ascii="宋体" w:hAnsi="宋体" w:eastAsia="宋体" w:cs="宋体"/>
                <w:i w:val="0"/>
                <w:iCs w:val="0"/>
                <w:color w:val="000000"/>
                <w:kern w:val="0"/>
                <w:sz w:val="22"/>
                <w:szCs w:val="22"/>
                <w:u w:val="none"/>
                <w:lang w:val="en-US" w:eastAsia="zh-CN" w:bidi="ar"/>
              </w:rPr>
              <w:t>，工作湿度范围至少满足</w:t>
            </w:r>
            <w:r>
              <w:rPr>
                <w:rFonts w:hint="default" w:ascii="Times New Roman" w:hAnsi="Times New Roman" w:eastAsia="宋体" w:cs="Times New Roman"/>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t>95%</w:t>
            </w:r>
            <w:r>
              <w:rPr>
                <w:rFonts w:hint="eastAsia" w:ascii="宋体" w:hAnsi="宋体" w:eastAsia="宋体" w:cs="宋体"/>
                <w:i w:val="0"/>
                <w:iCs w:val="0"/>
                <w:color w:val="000000"/>
                <w:kern w:val="0"/>
                <w:sz w:val="22"/>
                <w:szCs w:val="22"/>
                <w:u w:val="none"/>
                <w:lang w:val="en-US" w:eastAsia="zh-CN" w:bidi="ar"/>
              </w:rPr>
              <w:t>非冷凝，工作海拔高度范围为</w:t>
            </w:r>
            <w:r>
              <w:rPr>
                <w:rFonts w:hint="default" w:ascii="Times New Roman" w:hAnsi="Times New Roman" w:eastAsia="宋体" w:cs="Times New Roman"/>
                <w:i w:val="0"/>
                <w:iCs w:val="0"/>
                <w:color w:val="000000"/>
                <w:kern w:val="0"/>
                <w:sz w:val="22"/>
                <w:szCs w:val="22"/>
                <w:u w:val="none"/>
                <w:lang w:val="en-US" w:eastAsia="zh-CN" w:bidi="ar"/>
              </w:rPr>
              <w:t>-380m</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t>+4500m</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、采用双相波技术，双相指数截断（</w:t>
            </w:r>
            <w:r>
              <w:rPr>
                <w:rFonts w:hint="default" w:ascii="Times New Roman" w:hAnsi="Times New Roman" w:eastAsia="宋体" w:cs="Times New Roman"/>
                <w:i w:val="0"/>
                <w:iCs w:val="0"/>
                <w:color w:val="000000"/>
                <w:kern w:val="0"/>
                <w:sz w:val="22"/>
                <w:szCs w:val="22"/>
                <w:u w:val="none"/>
                <w:lang w:val="en-US" w:eastAsia="zh-CN" w:bidi="ar"/>
              </w:rPr>
              <w:t>BTE</w:t>
            </w:r>
            <w:r>
              <w:rPr>
                <w:rFonts w:hint="eastAsia" w:ascii="宋体" w:hAnsi="宋体" w:eastAsia="宋体" w:cs="宋体"/>
                <w:i w:val="0"/>
                <w:iCs w:val="0"/>
                <w:color w:val="000000"/>
                <w:kern w:val="0"/>
                <w:sz w:val="22"/>
                <w:szCs w:val="22"/>
                <w:u w:val="none"/>
                <w:lang w:val="en-US" w:eastAsia="zh-CN" w:bidi="ar"/>
              </w:rPr>
              <w:t>）波形，波形参数可根据病人阻抗进行自动补偿；</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eastAsia" w:cs="Times New Roman"/>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、成人最大能量可支持</w:t>
            </w:r>
            <w:r>
              <w:rPr>
                <w:rFonts w:hint="default" w:ascii="Times New Roman" w:hAnsi="Times New Roman" w:eastAsia="宋体" w:cs="Times New Roman"/>
                <w:i w:val="0"/>
                <w:iCs w:val="0"/>
                <w:color w:val="000000"/>
                <w:kern w:val="0"/>
                <w:sz w:val="22"/>
                <w:szCs w:val="22"/>
                <w:u w:val="none"/>
                <w:lang w:val="en-US" w:eastAsia="zh-CN" w:bidi="ar"/>
              </w:rPr>
              <w:t>360J</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w:t>
            </w:r>
            <w:r>
              <w:rPr>
                <w:rFonts w:hint="eastAsia" w:cs="Times New Roman"/>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、从开机到</w:t>
            </w:r>
            <w:r>
              <w:rPr>
                <w:rFonts w:hint="default" w:ascii="Times New Roman" w:hAnsi="Times New Roman" w:eastAsia="宋体" w:cs="Times New Roman"/>
                <w:i w:val="0"/>
                <w:iCs w:val="0"/>
                <w:color w:val="000000"/>
                <w:kern w:val="0"/>
                <w:sz w:val="22"/>
                <w:szCs w:val="22"/>
                <w:u w:val="none"/>
                <w:lang w:val="en-US" w:eastAsia="zh-CN" w:bidi="ar"/>
              </w:rPr>
              <w:t>200J</w:t>
            </w:r>
            <w:r>
              <w:rPr>
                <w:rFonts w:hint="eastAsia" w:ascii="宋体" w:hAnsi="宋体" w:eastAsia="宋体" w:cs="宋体"/>
                <w:i w:val="0"/>
                <w:iCs w:val="0"/>
                <w:color w:val="000000"/>
                <w:kern w:val="0"/>
                <w:sz w:val="22"/>
                <w:szCs w:val="22"/>
                <w:u w:val="none"/>
                <w:lang w:val="en-US" w:eastAsia="zh-CN" w:bidi="ar"/>
              </w:rPr>
              <w:t>放电准备就绪用时</w:t>
            </w:r>
            <w:r>
              <w:rPr>
                <w:rFonts w:hint="default" w:ascii="Times New Roman" w:hAnsi="Times New Roman" w:eastAsia="宋体" w:cs="Times New Roman"/>
                <w:i w:val="0"/>
                <w:iCs w:val="0"/>
                <w:color w:val="000000"/>
                <w:kern w:val="0"/>
                <w:sz w:val="22"/>
                <w:szCs w:val="22"/>
                <w:u w:val="none"/>
                <w:lang w:val="en-US" w:eastAsia="zh-CN" w:bidi="ar"/>
              </w:rPr>
              <w:t>≤7s</w:t>
            </w:r>
            <w:r>
              <w:rPr>
                <w:rFonts w:hint="eastAsia" w:ascii="宋体" w:hAnsi="宋体" w:eastAsia="宋体" w:cs="宋体"/>
                <w:i w:val="0"/>
                <w:iCs w:val="0"/>
                <w:color w:val="000000"/>
                <w:kern w:val="0"/>
                <w:sz w:val="22"/>
                <w:szCs w:val="22"/>
                <w:u w:val="none"/>
                <w:lang w:val="en-US" w:eastAsia="zh-CN" w:bidi="ar"/>
              </w:rPr>
              <w:t>，开始</w:t>
            </w:r>
            <w:r>
              <w:rPr>
                <w:rFonts w:hint="default" w:ascii="Times New Roman" w:hAnsi="Times New Roman" w:eastAsia="宋体" w:cs="Times New Roman"/>
                <w:i w:val="0"/>
                <w:iCs w:val="0"/>
                <w:color w:val="000000"/>
                <w:kern w:val="0"/>
                <w:sz w:val="22"/>
                <w:szCs w:val="22"/>
                <w:u w:val="none"/>
                <w:lang w:val="en-US" w:eastAsia="zh-CN" w:bidi="ar"/>
              </w:rPr>
              <w:t>AED</w:t>
            </w:r>
            <w:r>
              <w:rPr>
                <w:rFonts w:hint="eastAsia" w:ascii="宋体" w:hAnsi="宋体" w:eastAsia="宋体" w:cs="宋体"/>
                <w:i w:val="0"/>
                <w:iCs w:val="0"/>
                <w:color w:val="000000"/>
                <w:kern w:val="0"/>
                <w:sz w:val="22"/>
                <w:szCs w:val="22"/>
                <w:u w:val="none"/>
                <w:lang w:val="en-US" w:eastAsia="zh-CN" w:bidi="ar"/>
              </w:rPr>
              <w:t>分析到</w:t>
            </w:r>
            <w:r>
              <w:rPr>
                <w:rFonts w:hint="default" w:ascii="Times New Roman" w:hAnsi="Times New Roman" w:eastAsia="宋体" w:cs="Times New Roman"/>
                <w:i w:val="0"/>
                <w:iCs w:val="0"/>
                <w:color w:val="000000"/>
                <w:kern w:val="0"/>
                <w:sz w:val="22"/>
                <w:szCs w:val="22"/>
                <w:u w:val="none"/>
                <w:lang w:val="en-US" w:eastAsia="zh-CN" w:bidi="ar"/>
              </w:rPr>
              <w:t>200J</w:t>
            </w:r>
            <w:r>
              <w:rPr>
                <w:rFonts w:hint="eastAsia" w:ascii="宋体" w:hAnsi="宋体" w:eastAsia="宋体" w:cs="宋体"/>
                <w:i w:val="0"/>
                <w:iCs w:val="0"/>
                <w:color w:val="000000"/>
                <w:kern w:val="0"/>
                <w:sz w:val="22"/>
                <w:szCs w:val="22"/>
                <w:u w:val="none"/>
                <w:lang w:val="en-US" w:eastAsia="zh-CN" w:bidi="ar"/>
              </w:rPr>
              <w:t>放电准备就绪时间</w:t>
            </w:r>
            <w:r>
              <w:rPr>
                <w:rFonts w:hint="default" w:ascii="Times New Roman" w:hAnsi="Times New Roman" w:eastAsia="宋体" w:cs="Times New Roman"/>
                <w:i w:val="0"/>
                <w:iCs w:val="0"/>
                <w:color w:val="000000"/>
                <w:kern w:val="0"/>
                <w:sz w:val="22"/>
                <w:szCs w:val="22"/>
                <w:u w:val="none"/>
                <w:lang w:val="en-US" w:eastAsia="zh-CN" w:bidi="ar"/>
              </w:rPr>
              <w:t>≤5s</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w:t>
            </w:r>
            <w:r>
              <w:rPr>
                <w:rFonts w:hint="eastAsia" w:cs="Times New Roman"/>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、电极片与机器配套，有明显的指示粘贴部位标记，粘贴无效时有语音提示。备用状态时电极片不可裸露，取用</w:t>
            </w:r>
            <w:r>
              <w:rPr>
                <w:rFonts w:hint="default" w:ascii="Times New Roman" w:hAnsi="Times New Roman" w:eastAsia="宋体" w:cs="Times New Roman"/>
                <w:i w:val="0"/>
                <w:iCs w:val="0"/>
                <w:color w:val="000000"/>
                <w:kern w:val="0"/>
                <w:sz w:val="22"/>
                <w:szCs w:val="22"/>
                <w:u w:val="none"/>
                <w:lang w:val="en-US" w:eastAsia="zh-CN" w:bidi="ar"/>
              </w:rPr>
              <w:t>AED</w:t>
            </w:r>
            <w:r>
              <w:rPr>
                <w:rFonts w:hint="eastAsia" w:ascii="宋体" w:hAnsi="宋体" w:eastAsia="宋体" w:cs="宋体"/>
                <w:i w:val="0"/>
                <w:iCs w:val="0"/>
                <w:color w:val="000000"/>
                <w:kern w:val="0"/>
                <w:sz w:val="22"/>
                <w:szCs w:val="22"/>
                <w:u w:val="none"/>
                <w:lang w:val="en-US" w:eastAsia="zh-CN" w:bidi="ar"/>
              </w:rPr>
              <w:t>过程中不得散落，电极片有效期</w:t>
            </w:r>
            <w:r>
              <w:rPr>
                <w:rFonts w:hint="default" w:ascii="Times New Roman" w:hAnsi="Times New Roman" w:eastAsia="宋体" w:cs="Times New Roman"/>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年；</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eastAsia" w:cs="Times New Roman"/>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、主机上有电极片粘贴位置动画提示，有电极片有效期自检功能和电极片过期提示；</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、可自动识别成人、小儿电极片，并根据电极片类型自动选择对应的除颤能量，支持成人</w:t>
            </w:r>
            <w:r>
              <w:rPr>
                <w:rFonts w:hint="default" w:ascii="Times New Roman" w:hAnsi="Times New Roman" w:eastAsia="宋体" w:cs="Times New Roman"/>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小儿患者类型快速一键切换，可根据病人类型自动切换提示信息、除颤能量和</w:t>
            </w:r>
            <w:r>
              <w:rPr>
                <w:rFonts w:hint="default" w:ascii="Times New Roman" w:hAnsi="Times New Roman" w:eastAsia="宋体" w:cs="Times New Roman"/>
                <w:i w:val="0"/>
                <w:iCs w:val="0"/>
                <w:color w:val="000000"/>
                <w:kern w:val="0"/>
                <w:sz w:val="22"/>
                <w:szCs w:val="22"/>
                <w:u w:val="none"/>
                <w:lang w:val="en-US" w:eastAsia="zh-CN" w:bidi="ar"/>
              </w:rPr>
              <w:t>CPR</w:t>
            </w:r>
            <w:r>
              <w:rPr>
                <w:rFonts w:hint="eastAsia" w:ascii="宋体" w:hAnsi="宋体" w:eastAsia="宋体" w:cs="宋体"/>
                <w:i w:val="0"/>
                <w:iCs w:val="0"/>
                <w:color w:val="000000"/>
                <w:kern w:val="0"/>
                <w:sz w:val="22"/>
                <w:szCs w:val="22"/>
                <w:u w:val="none"/>
                <w:lang w:val="en-US" w:eastAsia="zh-CN" w:bidi="ar"/>
              </w:rPr>
              <w:t>按压模式；</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、提供智能语音播报。设备根据急救人员响应速度，智能提示急救人员除去病人的衣物、粘贴电极片；</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、至少可支持</w:t>
            </w:r>
            <w:r>
              <w:rPr>
                <w:rFonts w:hint="default" w:ascii="Times New Roman" w:hAnsi="Times New Roman" w:eastAsia="宋体" w:cs="Times New Roman"/>
                <w:i w:val="0"/>
                <w:iCs w:val="0"/>
                <w:color w:val="000000"/>
                <w:kern w:val="0"/>
                <w:sz w:val="22"/>
                <w:szCs w:val="22"/>
                <w:u w:val="none"/>
                <w:lang w:val="en-US" w:eastAsia="zh-CN" w:bidi="ar"/>
              </w:rPr>
              <w:t>350</w:t>
            </w:r>
            <w:r>
              <w:rPr>
                <w:rFonts w:hint="eastAsia" w:ascii="宋体" w:hAnsi="宋体" w:eastAsia="宋体" w:cs="宋体"/>
                <w:i w:val="0"/>
                <w:iCs w:val="0"/>
                <w:color w:val="000000"/>
                <w:kern w:val="0"/>
                <w:sz w:val="22"/>
                <w:szCs w:val="22"/>
                <w:u w:val="none"/>
                <w:lang w:val="en-US" w:eastAsia="zh-CN" w:bidi="ar"/>
              </w:rPr>
              <w:t>次</w:t>
            </w:r>
            <w:r>
              <w:rPr>
                <w:rFonts w:hint="default" w:ascii="Times New Roman" w:hAnsi="Times New Roman" w:eastAsia="宋体" w:cs="Times New Roman"/>
                <w:i w:val="0"/>
                <w:iCs w:val="0"/>
                <w:color w:val="000000"/>
                <w:kern w:val="0"/>
                <w:sz w:val="22"/>
                <w:szCs w:val="22"/>
                <w:u w:val="none"/>
                <w:lang w:val="en-US" w:eastAsia="zh-CN" w:bidi="ar"/>
              </w:rPr>
              <w:t>200J</w:t>
            </w:r>
            <w:r>
              <w:rPr>
                <w:rFonts w:hint="eastAsia" w:ascii="宋体" w:hAnsi="宋体" w:eastAsia="宋体" w:cs="宋体"/>
                <w:i w:val="0"/>
                <w:iCs w:val="0"/>
                <w:color w:val="000000"/>
                <w:kern w:val="0"/>
                <w:sz w:val="22"/>
                <w:szCs w:val="22"/>
                <w:u w:val="none"/>
                <w:lang w:val="en-US" w:eastAsia="zh-CN" w:bidi="ar"/>
              </w:rPr>
              <w:t>除颤治疗或</w:t>
            </w:r>
            <w:r>
              <w:rPr>
                <w:rFonts w:hint="default" w:ascii="Times New Roman" w:hAnsi="Times New Roman" w:eastAsia="宋体" w:cs="Times New Roman"/>
                <w:i w:val="0"/>
                <w:iCs w:val="0"/>
                <w:color w:val="000000"/>
                <w:kern w:val="0"/>
                <w:sz w:val="22"/>
                <w:szCs w:val="22"/>
                <w:u w:val="none"/>
                <w:lang w:val="en-US" w:eastAsia="zh-CN" w:bidi="ar"/>
              </w:rPr>
              <w:t>200</w:t>
            </w:r>
            <w:r>
              <w:rPr>
                <w:rFonts w:hint="eastAsia" w:ascii="宋体" w:hAnsi="宋体" w:eastAsia="宋体" w:cs="宋体"/>
                <w:i w:val="0"/>
                <w:iCs w:val="0"/>
                <w:color w:val="000000"/>
                <w:kern w:val="0"/>
                <w:sz w:val="22"/>
                <w:szCs w:val="22"/>
                <w:u w:val="none"/>
                <w:lang w:val="en-US" w:eastAsia="zh-CN" w:bidi="ar"/>
              </w:rPr>
              <w:t>次</w:t>
            </w:r>
            <w:r>
              <w:rPr>
                <w:rFonts w:hint="default" w:ascii="Times New Roman" w:hAnsi="Times New Roman" w:eastAsia="宋体" w:cs="Times New Roman"/>
                <w:i w:val="0"/>
                <w:iCs w:val="0"/>
                <w:color w:val="000000"/>
                <w:kern w:val="0"/>
                <w:sz w:val="22"/>
                <w:szCs w:val="22"/>
                <w:u w:val="none"/>
                <w:lang w:val="en-US" w:eastAsia="zh-CN" w:bidi="ar"/>
              </w:rPr>
              <w:t>360J</w:t>
            </w:r>
            <w:r>
              <w:rPr>
                <w:rFonts w:hint="eastAsia" w:ascii="宋体" w:hAnsi="宋体" w:eastAsia="宋体" w:cs="宋体"/>
                <w:i w:val="0"/>
                <w:iCs w:val="0"/>
                <w:color w:val="000000"/>
                <w:kern w:val="0"/>
                <w:sz w:val="22"/>
                <w:szCs w:val="22"/>
                <w:u w:val="none"/>
                <w:lang w:val="en-US" w:eastAsia="zh-CN" w:bidi="ar"/>
              </w:rPr>
              <w:t>除颤治疗；</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、可检测电池低电量并给出报警提示；</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、不小于</w:t>
            </w:r>
            <w:r>
              <w:rPr>
                <w:rFonts w:hint="default" w:ascii="Times New Roman" w:hAnsi="Times New Roman" w:eastAsia="宋体" w:cs="Times New Roman"/>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英寸彩色显示屏，分辨率不小于</w:t>
            </w:r>
            <w:r>
              <w:rPr>
                <w:rFonts w:hint="default" w:ascii="Times New Roman" w:hAnsi="Times New Roman" w:eastAsia="宋体" w:cs="Times New Roman"/>
                <w:i w:val="0"/>
                <w:iCs w:val="0"/>
                <w:color w:val="000000"/>
                <w:kern w:val="0"/>
                <w:sz w:val="22"/>
                <w:szCs w:val="22"/>
                <w:u w:val="none"/>
                <w:lang w:val="en-US" w:eastAsia="zh-CN" w:bidi="ar"/>
              </w:rPr>
              <w:t>800×480</w:t>
            </w:r>
            <w:r>
              <w:rPr>
                <w:rFonts w:hint="eastAsia" w:ascii="宋体" w:hAnsi="宋体" w:eastAsia="宋体" w:cs="宋体"/>
                <w:i w:val="0"/>
                <w:iCs w:val="0"/>
                <w:color w:val="000000"/>
                <w:kern w:val="0"/>
                <w:sz w:val="22"/>
                <w:szCs w:val="22"/>
                <w:u w:val="none"/>
                <w:lang w:val="en-US" w:eastAsia="zh-CN" w:bidi="ar"/>
              </w:rPr>
              <w:t>像素，支持显示</w:t>
            </w:r>
            <w:r>
              <w:rPr>
                <w:rFonts w:hint="default" w:ascii="Times New Roman" w:hAnsi="Times New Roman" w:eastAsia="宋体" w:cs="Times New Roman"/>
                <w:i w:val="0"/>
                <w:iCs w:val="0"/>
                <w:color w:val="000000"/>
                <w:kern w:val="0"/>
                <w:sz w:val="22"/>
                <w:szCs w:val="22"/>
                <w:u w:val="none"/>
                <w:lang w:val="en-US" w:eastAsia="zh-CN" w:bidi="ar"/>
              </w:rPr>
              <w:t>ECG</w:t>
            </w:r>
            <w:r>
              <w:rPr>
                <w:rFonts w:hint="eastAsia" w:ascii="宋体" w:hAnsi="宋体" w:eastAsia="宋体" w:cs="宋体"/>
                <w:i w:val="0"/>
                <w:iCs w:val="0"/>
                <w:color w:val="000000"/>
                <w:kern w:val="0"/>
                <w:sz w:val="22"/>
                <w:szCs w:val="22"/>
                <w:u w:val="none"/>
                <w:lang w:val="en-US" w:eastAsia="zh-CN" w:bidi="ar"/>
              </w:rPr>
              <w:t>波形，支持动画指导用户执行急救操作；</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、设备能自动调节屏幕显示亮度，自动调节语音播放音量；</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t>CPR</w:t>
            </w:r>
            <w:r>
              <w:rPr>
                <w:rFonts w:hint="eastAsia" w:ascii="宋体" w:hAnsi="宋体" w:eastAsia="宋体" w:cs="宋体"/>
                <w:i w:val="0"/>
                <w:iCs w:val="0"/>
                <w:color w:val="000000"/>
                <w:kern w:val="0"/>
                <w:sz w:val="22"/>
                <w:szCs w:val="22"/>
                <w:u w:val="none"/>
                <w:lang w:val="en-US" w:eastAsia="zh-CN" w:bidi="ar"/>
              </w:rPr>
              <w:t>按压模式支持配置</w:t>
            </w:r>
            <w:r>
              <w:rPr>
                <w:rFonts w:hint="default" w:ascii="Times New Roman" w:hAnsi="Times New Roman" w:eastAsia="宋体" w:cs="Times New Roman"/>
                <w:i w:val="0"/>
                <w:iCs w:val="0"/>
                <w:color w:val="000000"/>
                <w:kern w:val="0"/>
                <w:sz w:val="22"/>
                <w:szCs w:val="22"/>
                <w:u w:val="none"/>
                <w:lang w:val="en-US" w:eastAsia="zh-CN" w:bidi="ar"/>
              </w:rPr>
              <w:t>30:2</w:t>
            </w:r>
            <w:r>
              <w:rPr>
                <w:rFonts w:hint="eastAsia" w:ascii="宋体" w:hAnsi="宋体" w:eastAsia="宋体" w:cs="宋体"/>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t>15:2</w:t>
            </w:r>
            <w:r>
              <w:rPr>
                <w:rFonts w:hint="eastAsia" w:ascii="宋体" w:hAnsi="宋体" w:eastAsia="宋体" w:cs="宋体"/>
                <w:i w:val="0"/>
                <w:iCs w:val="0"/>
                <w:color w:val="000000"/>
                <w:kern w:val="0"/>
                <w:sz w:val="22"/>
                <w:szCs w:val="22"/>
                <w:u w:val="none"/>
                <w:lang w:val="en-US" w:eastAsia="zh-CN" w:bidi="ar"/>
              </w:rPr>
              <w:t>和仅按压模式，在</w:t>
            </w:r>
            <w:r>
              <w:rPr>
                <w:rFonts w:hint="default" w:ascii="Times New Roman" w:hAnsi="Times New Roman" w:eastAsia="宋体" w:cs="Times New Roman"/>
                <w:i w:val="0"/>
                <w:iCs w:val="0"/>
                <w:color w:val="000000"/>
                <w:kern w:val="0"/>
                <w:sz w:val="22"/>
                <w:szCs w:val="22"/>
                <w:u w:val="none"/>
                <w:lang w:val="en-US" w:eastAsia="zh-CN" w:bidi="ar"/>
              </w:rPr>
              <w:t>CPR</w:t>
            </w:r>
            <w:r>
              <w:rPr>
                <w:rFonts w:hint="eastAsia" w:ascii="宋体" w:hAnsi="宋体" w:eastAsia="宋体" w:cs="宋体"/>
                <w:i w:val="0"/>
                <w:iCs w:val="0"/>
                <w:color w:val="000000"/>
                <w:kern w:val="0"/>
                <w:sz w:val="22"/>
                <w:szCs w:val="22"/>
                <w:u w:val="none"/>
                <w:lang w:val="en-US" w:eastAsia="zh-CN" w:bidi="ar"/>
              </w:rPr>
              <w:t>仅按压过程中持续提供操作指导和剩余按压次数提示。</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、设备的内部存储容量不小于</w:t>
            </w:r>
            <w:r>
              <w:rPr>
                <w:rFonts w:hint="default" w:ascii="Times New Roman" w:hAnsi="Times New Roman" w:eastAsia="宋体" w:cs="Times New Roman"/>
                <w:i w:val="0"/>
                <w:iCs w:val="0"/>
                <w:color w:val="000000"/>
                <w:kern w:val="0"/>
                <w:sz w:val="22"/>
                <w:szCs w:val="22"/>
                <w:u w:val="none"/>
                <w:lang w:val="en-US" w:eastAsia="zh-CN" w:bidi="ar"/>
              </w:rPr>
              <w:t>1GB</w:t>
            </w:r>
            <w:r>
              <w:rPr>
                <w:rFonts w:hint="eastAsia" w:ascii="宋体" w:hAnsi="宋体" w:eastAsia="宋体" w:cs="宋体"/>
                <w:i w:val="0"/>
                <w:iCs w:val="0"/>
                <w:color w:val="000000"/>
                <w:kern w:val="0"/>
                <w:sz w:val="22"/>
                <w:szCs w:val="22"/>
                <w:u w:val="none"/>
                <w:lang w:val="en-US" w:eastAsia="zh-CN" w:bidi="ar"/>
              </w:rPr>
              <w:t>，可存储不少于</w:t>
            </w:r>
            <w:r>
              <w:rPr>
                <w:rFonts w:hint="default" w:ascii="Times New Roman" w:hAnsi="Times New Roman" w:eastAsia="宋体" w:cs="Times New Roman"/>
                <w:i w:val="0"/>
                <w:iCs w:val="0"/>
                <w:color w:val="000000"/>
                <w:kern w:val="0"/>
                <w:sz w:val="22"/>
                <w:szCs w:val="22"/>
                <w:u w:val="none"/>
                <w:lang w:val="en-US" w:eastAsia="zh-CN" w:bidi="ar"/>
              </w:rPr>
              <w:t>1000</w:t>
            </w:r>
            <w:r>
              <w:rPr>
                <w:rFonts w:hint="eastAsia" w:ascii="宋体" w:hAnsi="宋体" w:eastAsia="宋体" w:cs="宋体"/>
                <w:i w:val="0"/>
                <w:iCs w:val="0"/>
                <w:color w:val="000000"/>
                <w:kern w:val="0"/>
                <w:sz w:val="22"/>
                <w:szCs w:val="22"/>
                <w:u w:val="none"/>
                <w:lang w:val="en-US" w:eastAsia="zh-CN" w:bidi="ar"/>
              </w:rPr>
              <w:t>份自检报告；</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cs="Times New Roman"/>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、具备录音功能，可保存不少于</w:t>
            </w:r>
            <w:r>
              <w:rPr>
                <w:rFonts w:hint="default" w:ascii="Times New Roman" w:hAnsi="Times New Roman" w:eastAsia="宋体" w:cs="Times New Roman"/>
                <w:i w:val="0"/>
                <w:iCs w:val="0"/>
                <w:color w:val="000000"/>
                <w:kern w:val="0"/>
                <w:sz w:val="22"/>
                <w:szCs w:val="22"/>
                <w:u w:val="none"/>
                <w:lang w:val="en-US" w:eastAsia="zh-CN" w:bidi="ar"/>
              </w:rPr>
              <w:t>60</w:t>
            </w:r>
            <w:r>
              <w:rPr>
                <w:rFonts w:hint="eastAsia" w:ascii="宋体" w:hAnsi="宋体" w:eastAsia="宋体" w:cs="宋体"/>
                <w:i w:val="0"/>
                <w:iCs w:val="0"/>
                <w:color w:val="000000"/>
                <w:kern w:val="0"/>
                <w:sz w:val="22"/>
                <w:szCs w:val="22"/>
                <w:u w:val="none"/>
                <w:lang w:val="en-US" w:eastAsia="zh-CN" w:bidi="ar"/>
              </w:rPr>
              <w:t>分钟抢救现场录音；</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eastAsia" w:cs="Times New Roman"/>
                <w:i w:val="0"/>
                <w:iCs w:val="0"/>
                <w:color w:val="000000"/>
                <w:kern w:val="0"/>
                <w:sz w:val="22"/>
                <w:szCs w:val="22"/>
                <w:u w:val="none"/>
                <w:lang w:val="en-US" w:eastAsia="zh-CN" w:bidi="ar"/>
              </w:rPr>
              <w:t>19</w:t>
            </w:r>
            <w:r>
              <w:rPr>
                <w:rFonts w:hint="eastAsia" w:ascii="宋体" w:hAnsi="宋体" w:eastAsia="宋体" w:cs="宋体"/>
                <w:i w:val="0"/>
                <w:iCs w:val="0"/>
                <w:color w:val="000000"/>
                <w:kern w:val="0"/>
                <w:sz w:val="22"/>
                <w:szCs w:val="22"/>
                <w:u w:val="none"/>
                <w:lang w:val="en-US" w:eastAsia="zh-CN" w:bidi="ar"/>
              </w:rPr>
              <w:t>、可存储</w:t>
            </w:r>
            <w:r>
              <w:rPr>
                <w:rFonts w:hint="default" w:ascii="Times New Roman" w:hAnsi="Times New Roman" w:eastAsia="宋体" w:cs="Times New Roman"/>
                <w:i w:val="0"/>
                <w:iCs w:val="0"/>
                <w:color w:val="000000"/>
                <w:kern w:val="0"/>
                <w:sz w:val="22"/>
                <w:szCs w:val="22"/>
                <w:u w:val="none"/>
                <w:lang w:val="en-US" w:eastAsia="zh-CN" w:bidi="ar"/>
              </w:rPr>
              <w:t>ECG</w:t>
            </w:r>
            <w:r>
              <w:rPr>
                <w:rFonts w:hint="eastAsia" w:ascii="宋体" w:hAnsi="宋体" w:eastAsia="宋体" w:cs="宋体"/>
                <w:i w:val="0"/>
                <w:iCs w:val="0"/>
                <w:color w:val="000000"/>
                <w:kern w:val="0"/>
                <w:sz w:val="22"/>
                <w:szCs w:val="22"/>
                <w:u w:val="none"/>
                <w:lang w:val="en-US" w:eastAsia="zh-CN" w:bidi="ar"/>
              </w:rPr>
              <w:t>波形数据、事件数据、录音数据、急救数据（须有急救时间、</w:t>
            </w:r>
            <w:r>
              <w:rPr>
                <w:rFonts w:hint="default" w:ascii="Times New Roman" w:hAnsi="Times New Roman" w:eastAsia="宋体" w:cs="Times New Roman"/>
                <w:i w:val="0"/>
                <w:iCs w:val="0"/>
                <w:color w:val="000000"/>
                <w:kern w:val="0"/>
                <w:sz w:val="22"/>
                <w:szCs w:val="22"/>
                <w:u w:val="none"/>
                <w:lang w:val="en-US" w:eastAsia="zh-CN" w:bidi="ar"/>
              </w:rPr>
              <w:t xml:space="preserve">CPR </w:t>
            </w:r>
            <w:r>
              <w:rPr>
                <w:rFonts w:hint="eastAsia" w:ascii="宋体" w:hAnsi="宋体" w:eastAsia="宋体" w:cs="宋体"/>
                <w:i w:val="0"/>
                <w:iCs w:val="0"/>
                <w:color w:val="000000"/>
                <w:kern w:val="0"/>
                <w:sz w:val="22"/>
                <w:szCs w:val="22"/>
                <w:u w:val="none"/>
                <w:lang w:val="en-US" w:eastAsia="zh-CN" w:bidi="ar"/>
              </w:rPr>
              <w:t>持续时间、放电次数等要素）、录音数据等；</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2</w:t>
            </w:r>
            <w:r>
              <w:rPr>
                <w:rFonts w:hint="eastAsia" w:cs="Times New Roman"/>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、支持</w:t>
            </w:r>
            <w:r>
              <w:rPr>
                <w:rFonts w:hint="default" w:ascii="Times New Roman" w:hAnsi="Times New Roman" w:eastAsia="宋体" w:cs="Times New Roman"/>
                <w:i w:val="0"/>
                <w:iCs w:val="0"/>
                <w:color w:val="000000"/>
                <w:kern w:val="0"/>
                <w:sz w:val="22"/>
                <w:szCs w:val="22"/>
                <w:u w:val="none"/>
                <w:lang w:val="en-US" w:eastAsia="zh-CN" w:bidi="ar"/>
              </w:rPr>
              <w:t>USB</w:t>
            </w:r>
            <w:r>
              <w:rPr>
                <w:rFonts w:hint="eastAsia" w:ascii="宋体" w:hAnsi="宋体" w:eastAsia="宋体" w:cs="宋体"/>
                <w:i w:val="0"/>
                <w:iCs w:val="0"/>
                <w:color w:val="000000"/>
                <w:kern w:val="0"/>
                <w:sz w:val="22"/>
                <w:szCs w:val="22"/>
                <w:u w:val="none"/>
                <w:lang w:val="en-US" w:eastAsia="zh-CN" w:bidi="ar"/>
              </w:rPr>
              <w:t>接口，可通过外部</w:t>
            </w:r>
            <w:r>
              <w:rPr>
                <w:rFonts w:hint="default" w:ascii="Times New Roman" w:hAnsi="Times New Roman" w:eastAsia="宋体" w:cs="Times New Roman"/>
                <w:i w:val="0"/>
                <w:iCs w:val="0"/>
                <w:color w:val="000000"/>
                <w:kern w:val="0"/>
                <w:sz w:val="22"/>
                <w:szCs w:val="22"/>
                <w:u w:val="none"/>
                <w:lang w:val="en-US" w:eastAsia="zh-CN" w:bidi="ar"/>
              </w:rPr>
              <w:t>USB</w:t>
            </w:r>
            <w:r>
              <w:rPr>
                <w:rFonts w:hint="eastAsia" w:ascii="宋体" w:hAnsi="宋体" w:eastAsia="宋体" w:cs="宋体"/>
                <w:i w:val="0"/>
                <w:iCs w:val="0"/>
                <w:color w:val="000000"/>
                <w:kern w:val="0"/>
                <w:sz w:val="22"/>
                <w:szCs w:val="22"/>
                <w:u w:val="none"/>
                <w:lang w:val="en-US" w:eastAsia="zh-CN" w:bidi="ar"/>
              </w:rPr>
              <w:t>闪存设备导出抢救记录数据；</w:t>
            </w:r>
            <w:r>
              <w:rPr>
                <w:rFonts w:hint="default" w:ascii="Times New Roman" w:hAnsi="Times New Roman" w:eastAsia="宋体" w:cs="Times New Roman"/>
                <w:i w:val="0"/>
                <w:iCs w:val="0"/>
                <w:color w:val="000000"/>
                <w:kern w:val="0"/>
                <w:sz w:val="22"/>
                <w:szCs w:val="22"/>
                <w:u w:val="none"/>
                <w:lang w:val="en-US" w:eastAsia="zh-CN" w:bidi="ar"/>
              </w:rPr>
              <w:br w:type="textWrapping"/>
            </w:r>
            <w:r>
              <w:rPr>
                <w:rFonts w:hint="default" w:ascii="Times New Roman" w:hAnsi="Times New Roman" w:eastAsia="宋体" w:cs="Times New Roman"/>
                <w:i w:val="0"/>
                <w:iCs w:val="0"/>
                <w:color w:val="000000"/>
                <w:kern w:val="0"/>
                <w:sz w:val="22"/>
                <w:szCs w:val="22"/>
                <w:u w:val="none"/>
                <w:lang w:val="en-US" w:eastAsia="zh-CN" w:bidi="ar"/>
              </w:rPr>
              <w:t>2</w:t>
            </w:r>
            <w:r>
              <w:rPr>
                <w:rFonts w:hint="eastAsia" w:cs="Times New Roman"/>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、配置包含自动体外除颤器、一次性免维护不可充电电池、</w:t>
            </w:r>
            <w:r>
              <w:rPr>
                <w:rFonts w:hint="default" w:ascii="Times New Roman" w:hAnsi="Times New Roman" w:eastAsia="宋体" w:cs="Times New Roman"/>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套一次性电极片、用户手册、快速操作指南；</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28 </w:t>
            </w:r>
          </w:p>
        </w:tc>
        <w:tc>
          <w:tcPr>
            <w:tcW w:w="720" w:type="dxa"/>
            <w:vAlign w:val="center"/>
          </w:tcPr>
          <w:p>
            <w:pPr>
              <w:pStyle w:val="2"/>
              <w:ind w:firstLine="424" w:firstLineChars="200"/>
              <w:jc w:val="left"/>
              <w:rPr>
                <w:rFonts w:hint="eastAsia"/>
                <w:color w:val="auto"/>
                <w:highlight w:val="none"/>
                <w:vertAlign w:val="baseline"/>
                <w:lang w:val="en-US" w:eastAsia="zh-CN"/>
              </w:rPr>
            </w:pPr>
            <w:r>
              <w:rPr>
                <w:rFonts w:hint="eastAsia"/>
                <w:vertAlign w:val="baseline"/>
                <w:lang w:val="en-US" w:eastAsia="zh-CN"/>
              </w:rPr>
              <w:t>台</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婴儿呼吸袋</w:t>
            </w:r>
          </w:p>
        </w:tc>
        <w:tc>
          <w:tcPr>
            <w:tcW w:w="372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、送风量≥45L/min；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 xml:space="preserve">、主要功能：用于保护（3-8 岁）儿童免受有毒化学或者其他有毒气体侵害；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、提供呼吸保护、救助婴儿脱离灾害事故现场；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、全密闭式，设备包括头罩、滤毒罐、电动送风机等；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、技术要求：充电式锂电池，使用时间≥4h；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、尺寸(长*宽）≥65*30cm，额定电压：≥9 VDC。</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5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个</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restart"/>
            <w:vAlign w:val="center"/>
          </w:tcPr>
          <w:p>
            <w:pPr>
              <w:pStyle w:val="23"/>
              <w:jc w:val="center"/>
              <w:rPr>
                <w:rFonts w:hint="default"/>
                <w:color w:val="auto"/>
                <w:highlight w:val="none"/>
                <w:vertAlign w:val="baseline"/>
                <w:lang w:val="en-US" w:eastAsia="zh-CN"/>
              </w:rPr>
            </w:pPr>
            <w:r>
              <w:rPr>
                <w:rFonts w:hint="eastAsia"/>
                <w:color w:val="auto"/>
                <w:highlight w:val="none"/>
                <w:vertAlign w:val="baseline"/>
                <w:lang w:val="en-US" w:eastAsia="zh-CN"/>
              </w:rPr>
              <w:t>四十包</w:t>
            </w: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狭小空间排烟机</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 xml:space="preserve">、适用于罐内、隧道内、地下室，有毒气体以及烟、粉尘等场所送排风；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、电动驱动，驱动电压220V；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、技术要求：使用单相 220V/50Hz 电源，级数≥2级，排风量≥50m³/min，输出功率≥400W，净重≤18kg。送风管道≥20m；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、其他要求：排风量符合常用救灾的要求。可快速转换风筒及内衬风管，可迅速分开转换。</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5 </w:t>
            </w:r>
          </w:p>
        </w:tc>
        <w:tc>
          <w:tcPr>
            <w:tcW w:w="720" w:type="dxa"/>
            <w:vAlign w:val="center"/>
          </w:tcPr>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台</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强制送风机</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、佩戴方式为背负式；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、由静音电动送风呼吸器、全面罩、输送管、背带、滤毒罐等组成；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、配备6个滤毒罐，可防护气体、蒸汽、固体及液体颗粒，过滤精度≤0.4μm，过滤常见有毒气体≥5种，有效期≥5年；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、流量≥150l/min,风压≥380Pa，噪音≤70dB，续航时间≥10h。</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5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台</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水驱动排烟机</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、水驱动排烟机，人力可以搬运，具有方便上下楼梯的星型轮子，轮子具有锁止装置、具有仰俯机构；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、总质量≤85kg；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、水源供水流量≥15L/s，额定工作压力≥1MPa。接口为80mm卡式雄接口；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、额定风力流量≥60000m³/h。</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13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台</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移动式排烟机</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、整机质量（不含烟管）≤55kg；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、吸、排烟管长度≥5m；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、性能指标: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（1）风量性能≤±3%；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（2）额定转速≥2000r/min；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（3）额定风量 ≥8000m³/h；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、额定功率≥1kW；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、连续工作时间≥2h；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、充电时间≤4h；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、防护等级≥IP45；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、可折叠背负；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、具有永久性标志及产品数据标识。</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13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台</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Merge w:val="continue"/>
            <w:vAlign w:val="center"/>
          </w:tcPr>
          <w:p>
            <w:pPr>
              <w:pStyle w:val="23"/>
              <w:jc w:val="center"/>
              <w:rPr>
                <w:rFonts w:hint="eastAsia"/>
                <w:color w:val="auto"/>
                <w:highlight w:val="none"/>
                <w:vertAlign w:val="baseline"/>
                <w:lang w:val="en-US" w:eastAsia="zh-CN"/>
              </w:rPr>
            </w:pPr>
          </w:p>
        </w:tc>
        <w:tc>
          <w:tcPr>
            <w:tcW w:w="100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坑道小型空气输送机</w:t>
            </w:r>
          </w:p>
        </w:tc>
        <w:tc>
          <w:tcPr>
            <w:tcW w:w="3720" w:type="dxa"/>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 xml:space="preserve">、适用于罐内、隧道内、地下室，有毒气体以及烟、粉尘等场所送排风；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、电动驱动，驱动电压：220V，电机功率≥500w，转速≥2800r/min，风量≥3600m³/h，重量≤20kg，风管≥5m（×2）。</w:t>
            </w:r>
          </w:p>
        </w:tc>
        <w:tc>
          <w:tcPr>
            <w:tcW w:w="68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13 </w:t>
            </w:r>
          </w:p>
        </w:tc>
        <w:tc>
          <w:tcPr>
            <w:tcW w:w="720" w:type="dxa"/>
            <w:vAlign w:val="top"/>
          </w:tcPr>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vertAlign w:val="baseline"/>
                <w:lang w:val="en-US" w:eastAsia="zh-CN"/>
              </w:rPr>
            </w:pPr>
          </w:p>
          <w:p>
            <w:pPr>
              <w:pStyle w:val="2"/>
              <w:ind w:left="0" w:leftChars="0" w:firstLine="0" w:firstLineChars="0"/>
              <w:jc w:val="left"/>
              <w:rPr>
                <w:rFonts w:hint="eastAsia"/>
                <w:color w:val="auto"/>
                <w:highlight w:val="none"/>
                <w:vertAlign w:val="baseline"/>
                <w:lang w:val="en-US" w:eastAsia="zh-CN"/>
              </w:rPr>
            </w:pPr>
            <w:r>
              <w:rPr>
                <w:rFonts w:hint="eastAsia"/>
                <w:vertAlign w:val="baseline"/>
                <w:lang w:val="en-US" w:eastAsia="zh-CN"/>
              </w:rPr>
              <w:t>台</w:t>
            </w:r>
          </w:p>
        </w:tc>
        <w:tc>
          <w:tcPr>
            <w:tcW w:w="82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c>
          <w:tcPr>
            <w:tcW w:w="79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否</w:t>
            </w:r>
          </w:p>
        </w:tc>
      </w:tr>
    </w:tbl>
    <w:p>
      <w:pPr>
        <w:pStyle w:val="23"/>
        <w:jc w:val="both"/>
        <w:rPr>
          <w:rFonts w:hint="eastAsia"/>
          <w:color w:val="auto"/>
          <w:highlight w:val="none"/>
          <w:lang w:val="en-US" w:eastAsia="zh-CN"/>
        </w:rPr>
      </w:pPr>
    </w:p>
    <w:sectPr>
      <w:headerReference r:id="rId10" w:type="default"/>
      <w:footerReference r:id="rId11" w:type="default"/>
      <w:pgSz w:w="11906" w:h="16838"/>
      <w:pgMar w:top="1440" w:right="1803" w:bottom="1440" w:left="1803" w:header="851" w:footer="992" w:gutter="0"/>
      <w:pgBorders>
        <w:top w:val="none" w:sz="0" w:space="0"/>
        <w:left w:val="none" w:sz="0" w:space="0"/>
        <w:bottom w:val="none" w:sz="0" w:space="0"/>
        <w:right w:val="none" w:sz="0" w:space="0"/>
      </w:pgBorders>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方正小标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27</w:t>
                    </w:r>
                    <w:r>
                      <w:fldChar w:fldCharType="end"/>
                    </w:r>
                  </w:p>
                </w:txbxContent>
              </v:textbox>
            </v:shape>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F878"/>
    <w:multiLevelType w:val="singleLevel"/>
    <w:tmpl w:val="85CAF878"/>
    <w:lvl w:ilvl="0" w:tentative="0">
      <w:start w:val="2"/>
      <w:numFmt w:val="chineseCounting"/>
      <w:suff w:val="nothing"/>
      <w:lvlText w:val="%1、"/>
      <w:lvlJc w:val="left"/>
      <w:rPr>
        <w:rFonts w:hint="eastAsia"/>
      </w:rPr>
    </w:lvl>
  </w:abstractNum>
  <w:abstractNum w:abstractNumId="1">
    <w:nsid w:val="8F88C717"/>
    <w:multiLevelType w:val="singleLevel"/>
    <w:tmpl w:val="8F88C717"/>
    <w:lvl w:ilvl="0" w:tentative="0">
      <w:start w:val="12"/>
      <w:numFmt w:val="decimal"/>
      <w:suff w:val="nothing"/>
      <w:lvlText w:val="%1、"/>
      <w:lvlJc w:val="left"/>
    </w:lvl>
  </w:abstractNum>
  <w:abstractNum w:abstractNumId="2">
    <w:nsid w:val="9EECEAD0"/>
    <w:multiLevelType w:val="singleLevel"/>
    <w:tmpl w:val="9EECEAD0"/>
    <w:lvl w:ilvl="0" w:tentative="0">
      <w:start w:val="1"/>
      <w:numFmt w:val="decimal"/>
      <w:lvlText w:val="%1."/>
      <w:lvlJc w:val="left"/>
      <w:pPr>
        <w:tabs>
          <w:tab w:val="left" w:pos="312"/>
        </w:tabs>
      </w:pPr>
    </w:lvl>
  </w:abstractNum>
  <w:abstractNum w:abstractNumId="3">
    <w:nsid w:val="D7CDCF59"/>
    <w:multiLevelType w:val="singleLevel"/>
    <w:tmpl w:val="D7CDCF59"/>
    <w:lvl w:ilvl="0" w:tentative="0">
      <w:start w:val="6"/>
      <w:numFmt w:val="chineseCounting"/>
      <w:suff w:val="space"/>
      <w:lvlText w:val="第%1章"/>
      <w:lvlJc w:val="left"/>
      <w:rPr>
        <w:rFonts w:hint="eastAsia"/>
      </w:rPr>
    </w:lvl>
  </w:abstractNum>
  <w:abstractNum w:abstractNumId="4">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5">
    <w:nsid w:val="12627B71"/>
    <w:multiLevelType w:val="singleLevel"/>
    <w:tmpl w:val="12627B71"/>
    <w:lvl w:ilvl="0" w:tentative="0">
      <w:start w:val="4"/>
      <w:numFmt w:val="decimal"/>
      <w:lvlText w:val="%1."/>
      <w:lvlJc w:val="left"/>
      <w:pPr>
        <w:tabs>
          <w:tab w:val="left" w:pos="312"/>
        </w:tabs>
      </w:pPr>
    </w:lvl>
  </w:abstractNum>
  <w:abstractNum w:abstractNumId="6">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2BC170F9"/>
    <w:multiLevelType w:val="multilevel"/>
    <w:tmpl w:val="2BC170F9"/>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3A15682F"/>
    <w:multiLevelType w:val="singleLevel"/>
    <w:tmpl w:val="3A15682F"/>
    <w:lvl w:ilvl="0" w:tentative="0">
      <w:start w:val="0"/>
      <w:numFmt w:val="none"/>
      <w:lvlText w:val=""/>
      <w:lvlJc w:val="left"/>
      <w:pPr>
        <w:tabs>
          <w:tab w:val="left" w:pos="360"/>
        </w:tabs>
      </w:p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416E9FFA"/>
    <w:multiLevelType w:val="singleLevel"/>
    <w:tmpl w:val="416E9FFA"/>
    <w:lvl w:ilvl="0" w:tentative="0">
      <w:start w:val="1"/>
      <w:numFmt w:val="decimal"/>
      <w:lvlText w:val="%1."/>
      <w:lvlJc w:val="left"/>
      <w:pPr>
        <w:tabs>
          <w:tab w:val="left" w:pos="312"/>
        </w:tabs>
      </w:pPr>
    </w:lvl>
  </w:abstractNum>
  <w:abstractNum w:abstractNumId="11">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3">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4">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0"/>
      <w:suff w:val="nothing"/>
      <w:lvlText w:val=""/>
      <w:lvlJc w:val="left"/>
      <w:pPr>
        <w:ind w:left="0" w:firstLine="0"/>
      </w:pPr>
      <w:rPr>
        <w:rFonts w:hint="eastAsia"/>
      </w:rPr>
    </w:lvl>
    <w:lvl w:ilvl="6" w:tentative="0">
      <w:start w:val="1"/>
      <w:numFmt w:val="none"/>
      <w:pStyle w:val="11"/>
      <w:suff w:val="nothing"/>
      <w:lvlText w:val=""/>
      <w:lvlJc w:val="left"/>
      <w:pPr>
        <w:ind w:left="0" w:firstLine="0"/>
      </w:pPr>
      <w:rPr>
        <w:rFonts w:hint="eastAsia"/>
      </w:rPr>
    </w:lvl>
    <w:lvl w:ilvl="7" w:tentative="0">
      <w:start w:val="1"/>
      <w:numFmt w:val="none"/>
      <w:pStyle w:val="12"/>
      <w:suff w:val="nothing"/>
      <w:lvlText w:val=""/>
      <w:lvlJc w:val="left"/>
      <w:pPr>
        <w:ind w:left="0" w:firstLine="0"/>
      </w:pPr>
      <w:rPr>
        <w:rFonts w:hint="eastAsia"/>
      </w:rPr>
    </w:lvl>
    <w:lvl w:ilvl="8" w:tentative="0">
      <w:start w:val="1"/>
      <w:numFmt w:val="none"/>
      <w:pStyle w:val="13"/>
      <w:suff w:val="nothing"/>
      <w:lvlText w:val=""/>
      <w:lvlJc w:val="left"/>
      <w:pPr>
        <w:ind w:left="0" w:firstLine="0"/>
      </w:pPr>
      <w:rPr>
        <w:rFonts w:hint="eastAsia"/>
      </w:rPr>
    </w:lvl>
  </w:abstractNum>
  <w:abstractNum w:abstractNumId="15">
    <w:nsid w:val="64CC05C6"/>
    <w:multiLevelType w:val="singleLevel"/>
    <w:tmpl w:val="64CC05C6"/>
    <w:lvl w:ilvl="0" w:tentative="0">
      <w:start w:val="5"/>
      <w:numFmt w:val="decimal"/>
      <w:suff w:val="nothing"/>
      <w:lvlText w:val="%1、"/>
      <w:lvlJc w:val="left"/>
    </w:lvl>
  </w:abstractNum>
  <w:num w:numId="1">
    <w:abstractNumId w:val="14"/>
  </w:num>
  <w:num w:numId="2">
    <w:abstractNumId w:val="12"/>
  </w:num>
  <w:num w:numId="3">
    <w:abstractNumId w:val="9"/>
  </w:num>
  <w:num w:numId="4">
    <w:abstractNumId w:val="11"/>
  </w:num>
  <w:num w:numId="5">
    <w:abstractNumId w:val="4"/>
  </w:num>
  <w:num w:numId="6">
    <w:abstractNumId w:val="13"/>
  </w:num>
  <w:num w:numId="7">
    <w:abstractNumId w:val="5"/>
  </w:num>
  <w:num w:numId="8">
    <w:abstractNumId w:val="10"/>
  </w:num>
  <w:num w:numId="9">
    <w:abstractNumId w:val="2"/>
  </w:num>
  <w:num w:numId="10">
    <w:abstractNumId w:val="7"/>
  </w:num>
  <w:num w:numId="11">
    <w:abstractNumId w:val="0"/>
  </w:num>
  <w:num w:numId="12">
    <w:abstractNumId w:val="6"/>
  </w:num>
  <w:num w:numId="13">
    <w:abstractNumId w:val="8"/>
  </w:num>
  <w:num w:numId="14">
    <w:abstractNumId w:val="3"/>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4NDQyYzIwODJjNzMzNmUwMjMyNDcxMDFiYTdlMDQ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09D"/>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339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2DA"/>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A6C"/>
    <w:rsid w:val="007B2ECE"/>
    <w:rsid w:val="007B6BE6"/>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82D"/>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79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29EF"/>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3FA"/>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6A2"/>
    <w:rsid w:val="00F40D6E"/>
    <w:rsid w:val="00F4207B"/>
    <w:rsid w:val="00F4475E"/>
    <w:rsid w:val="00F44C48"/>
    <w:rsid w:val="00F44C84"/>
    <w:rsid w:val="00F44EF3"/>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5B03"/>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44FC2"/>
    <w:rsid w:val="01087389"/>
    <w:rsid w:val="01142947"/>
    <w:rsid w:val="01200505"/>
    <w:rsid w:val="0122216F"/>
    <w:rsid w:val="01325A8F"/>
    <w:rsid w:val="013516BE"/>
    <w:rsid w:val="0138266C"/>
    <w:rsid w:val="014A0D22"/>
    <w:rsid w:val="01531751"/>
    <w:rsid w:val="01671BDD"/>
    <w:rsid w:val="01747137"/>
    <w:rsid w:val="017E3632"/>
    <w:rsid w:val="01BB5FED"/>
    <w:rsid w:val="01C012ED"/>
    <w:rsid w:val="01FB1BFF"/>
    <w:rsid w:val="0205056A"/>
    <w:rsid w:val="02190BBE"/>
    <w:rsid w:val="021B0C3E"/>
    <w:rsid w:val="021B6D21"/>
    <w:rsid w:val="02322F28"/>
    <w:rsid w:val="023B08EE"/>
    <w:rsid w:val="023F388C"/>
    <w:rsid w:val="02421CC3"/>
    <w:rsid w:val="024C4884"/>
    <w:rsid w:val="02561DE2"/>
    <w:rsid w:val="02695A35"/>
    <w:rsid w:val="02725E2D"/>
    <w:rsid w:val="027D11A2"/>
    <w:rsid w:val="028227B2"/>
    <w:rsid w:val="0286314D"/>
    <w:rsid w:val="02935814"/>
    <w:rsid w:val="029E5B2D"/>
    <w:rsid w:val="02A0096B"/>
    <w:rsid w:val="02AE013F"/>
    <w:rsid w:val="02B64DFD"/>
    <w:rsid w:val="02C1579F"/>
    <w:rsid w:val="02C32118"/>
    <w:rsid w:val="02CA6108"/>
    <w:rsid w:val="02D60F91"/>
    <w:rsid w:val="02D76984"/>
    <w:rsid w:val="02E40D97"/>
    <w:rsid w:val="02E85072"/>
    <w:rsid w:val="02F333A9"/>
    <w:rsid w:val="02FB21AB"/>
    <w:rsid w:val="02FB7A83"/>
    <w:rsid w:val="02FF1F71"/>
    <w:rsid w:val="030247BA"/>
    <w:rsid w:val="030544FF"/>
    <w:rsid w:val="030D1793"/>
    <w:rsid w:val="030E29BA"/>
    <w:rsid w:val="031831F2"/>
    <w:rsid w:val="032C124E"/>
    <w:rsid w:val="03357038"/>
    <w:rsid w:val="033A0C2B"/>
    <w:rsid w:val="03444023"/>
    <w:rsid w:val="03513633"/>
    <w:rsid w:val="03654039"/>
    <w:rsid w:val="03663018"/>
    <w:rsid w:val="03704A13"/>
    <w:rsid w:val="037D1336"/>
    <w:rsid w:val="038E120F"/>
    <w:rsid w:val="039E1095"/>
    <w:rsid w:val="03A30167"/>
    <w:rsid w:val="03A54CF2"/>
    <w:rsid w:val="03AA04B8"/>
    <w:rsid w:val="03AF714B"/>
    <w:rsid w:val="03B57082"/>
    <w:rsid w:val="03BE7AAE"/>
    <w:rsid w:val="03C345D9"/>
    <w:rsid w:val="03CD305E"/>
    <w:rsid w:val="03D55B09"/>
    <w:rsid w:val="03E80CD8"/>
    <w:rsid w:val="03EE48EF"/>
    <w:rsid w:val="03F11BF1"/>
    <w:rsid w:val="03F24DC9"/>
    <w:rsid w:val="03F34100"/>
    <w:rsid w:val="03F57A66"/>
    <w:rsid w:val="04161F26"/>
    <w:rsid w:val="04170DF7"/>
    <w:rsid w:val="04320854"/>
    <w:rsid w:val="043D5D21"/>
    <w:rsid w:val="04413768"/>
    <w:rsid w:val="04483D61"/>
    <w:rsid w:val="045020EC"/>
    <w:rsid w:val="045E5BEF"/>
    <w:rsid w:val="046A53CB"/>
    <w:rsid w:val="047821E2"/>
    <w:rsid w:val="047900FF"/>
    <w:rsid w:val="04947470"/>
    <w:rsid w:val="04B0125E"/>
    <w:rsid w:val="04C40E62"/>
    <w:rsid w:val="04D66201"/>
    <w:rsid w:val="04DB2929"/>
    <w:rsid w:val="04FC3F5D"/>
    <w:rsid w:val="04FF5314"/>
    <w:rsid w:val="05010644"/>
    <w:rsid w:val="051313AC"/>
    <w:rsid w:val="05144C7F"/>
    <w:rsid w:val="051836A2"/>
    <w:rsid w:val="05282990"/>
    <w:rsid w:val="053013D0"/>
    <w:rsid w:val="05401924"/>
    <w:rsid w:val="0544423B"/>
    <w:rsid w:val="054A5D9D"/>
    <w:rsid w:val="05605A3C"/>
    <w:rsid w:val="056612F2"/>
    <w:rsid w:val="0571302A"/>
    <w:rsid w:val="057B42FE"/>
    <w:rsid w:val="05B37535"/>
    <w:rsid w:val="05C0522F"/>
    <w:rsid w:val="05DC08CF"/>
    <w:rsid w:val="05E31168"/>
    <w:rsid w:val="05E40F06"/>
    <w:rsid w:val="060646BB"/>
    <w:rsid w:val="06096F34"/>
    <w:rsid w:val="061C53B3"/>
    <w:rsid w:val="062276F3"/>
    <w:rsid w:val="062E0F1B"/>
    <w:rsid w:val="063B2D08"/>
    <w:rsid w:val="064017F2"/>
    <w:rsid w:val="064737C1"/>
    <w:rsid w:val="06546BB6"/>
    <w:rsid w:val="065B3392"/>
    <w:rsid w:val="06626E56"/>
    <w:rsid w:val="06636C72"/>
    <w:rsid w:val="0672304F"/>
    <w:rsid w:val="06835943"/>
    <w:rsid w:val="06843843"/>
    <w:rsid w:val="0686299B"/>
    <w:rsid w:val="068A2316"/>
    <w:rsid w:val="068C384C"/>
    <w:rsid w:val="068D21A7"/>
    <w:rsid w:val="069B4513"/>
    <w:rsid w:val="069F2BB4"/>
    <w:rsid w:val="06A17F3E"/>
    <w:rsid w:val="06A20FC1"/>
    <w:rsid w:val="06A833F4"/>
    <w:rsid w:val="06B34496"/>
    <w:rsid w:val="06B66577"/>
    <w:rsid w:val="06B95AC7"/>
    <w:rsid w:val="06C158EB"/>
    <w:rsid w:val="06C74C9F"/>
    <w:rsid w:val="06CC3929"/>
    <w:rsid w:val="06CC7CBA"/>
    <w:rsid w:val="06CF60DB"/>
    <w:rsid w:val="06E82CFE"/>
    <w:rsid w:val="06F313BF"/>
    <w:rsid w:val="071C0C28"/>
    <w:rsid w:val="072A23D5"/>
    <w:rsid w:val="07325D81"/>
    <w:rsid w:val="073B74A1"/>
    <w:rsid w:val="074B379C"/>
    <w:rsid w:val="07561504"/>
    <w:rsid w:val="07565F25"/>
    <w:rsid w:val="075864F0"/>
    <w:rsid w:val="07666159"/>
    <w:rsid w:val="076804EA"/>
    <w:rsid w:val="076C4500"/>
    <w:rsid w:val="07751C03"/>
    <w:rsid w:val="0777098F"/>
    <w:rsid w:val="07841BEF"/>
    <w:rsid w:val="0786398B"/>
    <w:rsid w:val="078932FF"/>
    <w:rsid w:val="079D469A"/>
    <w:rsid w:val="07AA0244"/>
    <w:rsid w:val="07B224B6"/>
    <w:rsid w:val="07B5030F"/>
    <w:rsid w:val="07B75BB0"/>
    <w:rsid w:val="07BE1E2B"/>
    <w:rsid w:val="07BF3D6F"/>
    <w:rsid w:val="07C1233E"/>
    <w:rsid w:val="07D12B5A"/>
    <w:rsid w:val="07DD5D59"/>
    <w:rsid w:val="07E037EB"/>
    <w:rsid w:val="07E71830"/>
    <w:rsid w:val="07F30A42"/>
    <w:rsid w:val="07F53F9D"/>
    <w:rsid w:val="07F615C4"/>
    <w:rsid w:val="07FA0547"/>
    <w:rsid w:val="080571A2"/>
    <w:rsid w:val="08060465"/>
    <w:rsid w:val="080A2255"/>
    <w:rsid w:val="080D777F"/>
    <w:rsid w:val="0814117C"/>
    <w:rsid w:val="0828314D"/>
    <w:rsid w:val="08405FD9"/>
    <w:rsid w:val="08445726"/>
    <w:rsid w:val="084E0BD6"/>
    <w:rsid w:val="08503979"/>
    <w:rsid w:val="085670DA"/>
    <w:rsid w:val="085A158C"/>
    <w:rsid w:val="085D7497"/>
    <w:rsid w:val="086428B3"/>
    <w:rsid w:val="08656BD0"/>
    <w:rsid w:val="087071EE"/>
    <w:rsid w:val="087760D1"/>
    <w:rsid w:val="087B0710"/>
    <w:rsid w:val="08854A3B"/>
    <w:rsid w:val="089D7D7B"/>
    <w:rsid w:val="08B35707"/>
    <w:rsid w:val="08DD6B03"/>
    <w:rsid w:val="08E43B0F"/>
    <w:rsid w:val="08FE129F"/>
    <w:rsid w:val="08FF7DDD"/>
    <w:rsid w:val="090166A2"/>
    <w:rsid w:val="09022534"/>
    <w:rsid w:val="090D5D07"/>
    <w:rsid w:val="0922667C"/>
    <w:rsid w:val="092440B7"/>
    <w:rsid w:val="09275236"/>
    <w:rsid w:val="092B119A"/>
    <w:rsid w:val="0940385B"/>
    <w:rsid w:val="0941465B"/>
    <w:rsid w:val="094F6709"/>
    <w:rsid w:val="0952183D"/>
    <w:rsid w:val="09637930"/>
    <w:rsid w:val="09664528"/>
    <w:rsid w:val="096C5C58"/>
    <w:rsid w:val="096D038B"/>
    <w:rsid w:val="097848B8"/>
    <w:rsid w:val="0983683C"/>
    <w:rsid w:val="09853824"/>
    <w:rsid w:val="09883FA6"/>
    <w:rsid w:val="09985395"/>
    <w:rsid w:val="099F7FEA"/>
    <w:rsid w:val="09B34198"/>
    <w:rsid w:val="09B51037"/>
    <w:rsid w:val="09B65D38"/>
    <w:rsid w:val="09B731D7"/>
    <w:rsid w:val="09C01DFB"/>
    <w:rsid w:val="09CB3C0A"/>
    <w:rsid w:val="09D24C53"/>
    <w:rsid w:val="09D44B93"/>
    <w:rsid w:val="09E022D0"/>
    <w:rsid w:val="09E565A4"/>
    <w:rsid w:val="09EF672A"/>
    <w:rsid w:val="09FA3203"/>
    <w:rsid w:val="09FF7BFE"/>
    <w:rsid w:val="0A256B45"/>
    <w:rsid w:val="0A2F75F7"/>
    <w:rsid w:val="0A3D172D"/>
    <w:rsid w:val="0A3D1A29"/>
    <w:rsid w:val="0A3F5CD9"/>
    <w:rsid w:val="0A5A637B"/>
    <w:rsid w:val="0A60366D"/>
    <w:rsid w:val="0A663B0A"/>
    <w:rsid w:val="0A6E4652"/>
    <w:rsid w:val="0A7C228C"/>
    <w:rsid w:val="0A857CEB"/>
    <w:rsid w:val="0A867835"/>
    <w:rsid w:val="0AA536BF"/>
    <w:rsid w:val="0AA82F3B"/>
    <w:rsid w:val="0AB17D09"/>
    <w:rsid w:val="0AB426B4"/>
    <w:rsid w:val="0AB75001"/>
    <w:rsid w:val="0ACB0F48"/>
    <w:rsid w:val="0AD754CD"/>
    <w:rsid w:val="0AE83ED5"/>
    <w:rsid w:val="0B0634FA"/>
    <w:rsid w:val="0B087721"/>
    <w:rsid w:val="0B097A9F"/>
    <w:rsid w:val="0B0B1729"/>
    <w:rsid w:val="0B0C5CC4"/>
    <w:rsid w:val="0B1612A2"/>
    <w:rsid w:val="0B212588"/>
    <w:rsid w:val="0B217B56"/>
    <w:rsid w:val="0B2C6CAB"/>
    <w:rsid w:val="0B3543DB"/>
    <w:rsid w:val="0B3F2C19"/>
    <w:rsid w:val="0B5012DA"/>
    <w:rsid w:val="0B523A95"/>
    <w:rsid w:val="0B681ED1"/>
    <w:rsid w:val="0B6B22C9"/>
    <w:rsid w:val="0B70168E"/>
    <w:rsid w:val="0B72147D"/>
    <w:rsid w:val="0B7725F4"/>
    <w:rsid w:val="0B7D790E"/>
    <w:rsid w:val="0B8B2703"/>
    <w:rsid w:val="0B8D3F60"/>
    <w:rsid w:val="0B951D43"/>
    <w:rsid w:val="0B9A1F23"/>
    <w:rsid w:val="0B9B6EF1"/>
    <w:rsid w:val="0B9C1C9D"/>
    <w:rsid w:val="0BA706AC"/>
    <w:rsid w:val="0BB02E2A"/>
    <w:rsid w:val="0BB0771E"/>
    <w:rsid w:val="0BB8526F"/>
    <w:rsid w:val="0BC71C64"/>
    <w:rsid w:val="0BC8644B"/>
    <w:rsid w:val="0BDB78F8"/>
    <w:rsid w:val="0BF413EA"/>
    <w:rsid w:val="0BF72442"/>
    <w:rsid w:val="0BFC49CA"/>
    <w:rsid w:val="0BFF7F8F"/>
    <w:rsid w:val="0C1A74BA"/>
    <w:rsid w:val="0C211794"/>
    <w:rsid w:val="0C264442"/>
    <w:rsid w:val="0C2658DC"/>
    <w:rsid w:val="0C3410D8"/>
    <w:rsid w:val="0C410A25"/>
    <w:rsid w:val="0C477D93"/>
    <w:rsid w:val="0C55652A"/>
    <w:rsid w:val="0C5D5223"/>
    <w:rsid w:val="0C5E1BFD"/>
    <w:rsid w:val="0C631F97"/>
    <w:rsid w:val="0C6344DB"/>
    <w:rsid w:val="0C7042B9"/>
    <w:rsid w:val="0C7512C7"/>
    <w:rsid w:val="0C777867"/>
    <w:rsid w:val="0C793191"/>
    <w:rsid w:val="0C7B02EA"/>
    <w:rsid w:val="0C7C47A2"/>
    <w:rsid w:val="0C937576"/>
    <w:rsid w:val="0C992063"/>
    <w:rsid w:val="0C9F6118"/>
    <w:rsid w:val="0CA14B3C"/>
    <w:rsid w:val="0CC04046"/>
    <w:rsid w:val="0CC441C8"/>
    <w:rsid w:val="0CC53C5B"/>
    <w:rsid w:val="0CC91E6E"/>
    <w:rsid w:val="0CCD169F"/>
    <w:rsid w:val="0CCD5722"/>
    <w:rsid w:val="0CD658B5"/>
    <w:rsid w:val="0CDC0754"/>
    <w:rsid w:val="0CE831C7"/>
    <w:rsid w:val="0D0208D3"/>
    <w:rsid w:val="0D033888"/>
    <w:rsid w:val="0D091841"/>
    <w:rsid w:val="0D1A0B50"/>
    <w:rsid w:val="0D1F0F9D"/>
    <w:rsid w:val="0D2C070A"/>
    <w:rsid w:val="0D2C767A"/>
    <w:rsid w:val="0D3247FD"/>
    <w:rsid w:val="0D326B0C"/>
    <w:rsid w:val="0D4B5B1F"/>
    <w:rsid w:val="0D4F346B"/>
    <w:rsid w:val="0D694F5F"/>
    <w:rsid w:val="0D6A79DB"/>
    <w:rsid w:val="0D825CB5"/>
    <w:rsid w:val="0DA6181C"/>
    <w:rsid w:val="0DAE75C1"/>
    <w:rsid w:val="0DAF2A5B"/>
    <w:rsid w:val="0DB00D5C"/>
    <w:rsid w:val="0DB8226D"/>
    <w:rsid w:val="0DB902A0"/>
    <w:rsid w:val="0DC85F26"/>
    <w:rsid w:val="0DD2548D"/>
    <w:rsid w:val="0DDF7BF6"/>
    <w:rsid w:val="0DE133C7"/>
    <w:rsid w:val="0DE657DA"/>
    <w:rsid w:val="0DF03072"/>
    <w:rsid w:val="0DF575E7"/>
    <w:rsid w:val="0E0B0E89"/>
    <w:rsid w:val="0E191823"/>
    <w:rsid w:val="0E227B23"/>
    <w:rsid w:val="0E2E708F"/>
    <w:rsid w:val="0E30434A"/>
    <w:rsid w:val="0E3A292E"/>
    <w:rsid w:val="0E502AAA"/>
    <w:rsid w:val="0E5D364A"/>
    <w:rsid w:val="0E8006AC"/>
    <w:rsid w:val="0EA86FBB"/>
    <w:rsid w:val="0EAF28F7"/>
    <w:rsid w:val="0EB164FC"/>
    <w:rsid w:val="0EC73CBB"/>
    <w:rsid w:val="0EC842D6"/>
    <w:rsid w:val="0ECA1E5F"/>
    <w:rsid w:val="0ED8416C"/>
    <w:rsid w:val="0EE43BCF"/>
    <w:rsid w:val="0EEA02B1"/>
    <w:rsid w:val="0EED0C82"/>
    <w:rsid w:val="0EF42513"/>
    <w:rsid w:val="0EF94317"/>
    <w:rsid w:val="0EFC6C34"/>
    <w:rsid w:val="0F020558"/>
    <w:rsid w:val="0F052A35"/>
    <w:rsid w:val="0F18383B"/>
    <w:rsid w:val="0F196507"/>
    <w:rsid w:val="0F204B19"/>
    <w:rsid w:val="0F2D739E"/>
    <w:rsid w:val="0F2D7847"/>
    <w:rsid w:val="0F343334"/>
    <w:rsid w:val="0F375BC5"/>
    <w:rsid w:val="0F3B242E"/>
    <w:rsid w:val="0F3B3452"/>
    <w:rsid w:val="0F4E2DD2"/>
    <w:rsid w:val="0F5D26D7"/>
    <w:rsid w:val="0F661A9F"/>
    <w:rsid w:val="0F8344AB"/>
    <w:rsid w:val="0F8632D3"/>
    <w:rsid w:val="0F8F1D65"/>
    <w:rsid w:val="0F915FE1"/>
    <w:rsid w:val="0F9C07C7"/>
    <w:rsid w:val="0FD757AD"/>
    <w:rsid w:val="0FE07CC3"/>
    <w:rsid w:val="0FF44CA3"/>
    <w:rsid w:val="100173F2"/>
    <w:rsid w:val="10052B96"/>
    <w:rsid w:val="1005338D"/>
    <w:rsid w:val="100C4023"/>
    <w:rsid w:val="10120F66"/>
    <w:rsid w:val="10132D37"/>
    <w:rsid w:val="102121B6"/>
    <w:rsid w:val="102E22AB"/>
    <w:rsid w:val="103A2F9B"/>
    <w:rsid w:val="103C085C"/>
    <w:rsid w:val="10532861"/>
    <w:rsid w:val="106D3EDC"/>
    <w:rsid w:val="109B3F51"/>
    <w:rsid w:val="10AA3894"/>
    <w:rsid w:val="10AC4127"/>
    <w:rsid w:val="10BE21EF"/>
    <w:rsid w:val="10D01AEC"/>
    <w:rsid w:val="10DC18BD"/>
    <w:rsid w:val="10E45CE2"/>
    <w:rsid w:val="10F15E25"/>
    <w:rsid w:val="11092231"/>
    <w:rsid w:val="110C7F5E"/>
    <w:rsid w:val="110D3D2E"/>
    <w:rsid w:val="111431D1"/>
    <w:rsid w:val="112C3B78"/>
    <w:rsid w:val="113811B9"/>
    <w:rsid w:val="113F131D"/>
    <w:rsid w:val="11402938"/>
    <w:rsid w:val="11512B20"/>
    <w:rsid w:val="115305C3"/>
    <w:rsid w:val="11563AAD"/>
    <w:rsid w:val="11610A29"/>
    <w:rsid w:val="11671A45"/>
    <w:rsid w:val="11682FBD"/>
    <w:rsid w:val="117046DB"/>
    <w:rsid w:val="118350AE"/>
    <w:rsid w:val="118C4973"/>
    <w:rsid w:val="11992D75"/>
    <w:rsid w:val="11A93A6B"/>
    <w:rsid w:val="11A97B89"/>
    <w:rsid w:val="11B54ED8"/>
    <w:rsid w:val="11BC7F85"/>
    <w:rsid w:val="11BD1C00"/>
    <w:rsid w:val="11BF511D"/>
    <w:rsid w:val="11C9491E"/>
    <w:rsid w:val="11CE5425"/>
    <w:rsid w:val="11ED1B8B"/>
    <w:rsid w:val="11F40BF5"/>
    <w:rsid w:val="11FA5A8C"/>
    <w:rsid w:val="11FC73C1"/>
    <w:rsid w:val="121B3B70"/>
    <w:rsid w:val="121C4D18"/>
    <w:rsid w:val="122300F0"/>
    <w:rsid w:val="12377FD1"/>
    <w:rsid w:val="124755D5"/>
    <w:rsid w:val="12495C37"/>
    <w:rsid w:val="124F3FCF"/>
    <w:rsid w:val="125F3732"/>
    <w:rsid w:val="125F3B3E"/>
    <w:rsid w:val="12601EFA"/>
    <w:rsid w:val="126401D3"/>
    <w:rsid w:val="12662A16"/>
    <w:rsid w:val="126863A9"/>
    <w:rsid w:val="12734291"/>
    <w:rsid w:val="127614B6"/>
    <w:rsid w:val="127F42ED"/>
    <w:rsid w:val="12917963"/>
    <w:rsid w:val="129206AA"/>
    <w:rsid w:val="12932067"/>
    <w:rsid w:val="12970D18"/>
    <w:rsid w:val="12A524F3"/>
    <w:rsid w:val="12A7080A"/>
    <w:rsid w:val="12A70C59"/>
    <w:rsid w:val="12B3472F"/>
    <w:rsid w:val="12D13428"/>
    <w:rsid w:val="12D1659E"/>
    <w:rsid w:val="12DD495A"/>
    <w:rsid w:val="12DF77AA"/>
    <w:rsid w:val="12E02E18"/>
    <w:rsid w:val="12E35613"/>
    <w:rsid w:val="13013A04"/>
    <w:rsid w:val="130A2A14"/>
    <w:rsid w:val="130A326B"/>
    <w:rsid w:val="13142C82"/>
    <w:rsid w:val="1320256D"/>
    <w:rsid w:val="132E3653"/>
    <w:rsid w:val="132F4AB0"/>
    <w:rsid w:val="133B323C"/>
    <w:rsid w:val="133E409F"/>
    <w:rsid w:val="134279E1"/>
    <w:rsid w:val="13440B2D"/>
    <w:rsid w:val="13524BCD"/>
    <w:rsid w:val="13541569"/>
    <w:rsid w:val="135610DD"/>
    <w:rsid w:val="135B7BC8"/>
    <w:rsid w:val="135D4BEE"/>
    <w:rsid w:val="13600450"/>
    <w:rsid w:val="13622B29"/>
    <w:rsid w:val="136649CE"/>
    <w:rsid w:val="136A045F"/>
    <w:rsid w:val="136A3CEC"/>
    <w:rsid w:val="136C4A0E"/>
    <w:rsid w:val="137A57A0"/>
    <w:rsid w:val="137D5290"/>
    <w:rsid w:val="137E5CEB"/>
    <w:rsid w:val="13866697"/>
    <w:rsid w:val="13AA53FC"/>
    <w:rsid w:val="13AE5829"/>
    <w:rsid w:val="13C76879"/>
    <w:rsid w:val="13C90091"/>
    <w:rsid w:val="13D562D3"/>
    <w:rsid w:val="13EE3A98"/>
    <w:rsid w:val="13F31769"/>
    <w:rsid w:val="13FF65A9"/>
    <w:rsid w:val="14346D65"/>
    <w:rsid w:val="1440200A"/>
    <w:rsid w:val="14462972"/>
    <w:rsid w:val="1450411B"/>
    <w:rsid w:val="145C7AB8"/>
    <w:rsid w:val="14731246"/>
    <w:rsid w:val="14751C07"/>
    <w:rsid w:val="147B7D72"/>
    <w:rsid w:val="14A2036B"/>
    <w:rsid w:val="14A2550E"/>
    <w:rsid w:val="14A6471E"/>
    <w:rsid w:val="14A81CBB"/>
    <w:rsid w:val="14AE1156"/>
    <w:rsid w:val="14C85974"/>
    <w:rsid w:val="14CB13CC"/>
    <w:rsid w:val="14DC1B42"/>
    <w:rsid w:val="14DD1797"/>
    <w:rsid w:val="14E75735"/>
    <w:rsid w:val="14EC1251"/>
    <w:rsid w:val="14ED2FA2"/>
    <w:rsid w:val="14F678B5"/>
    <w:rsid w:val="1500607F"/>
    <w:rsid w:val="150263BE"/>
    <w:rsid w:val="15036EB4"/>
    <w:rsid w:val="151800FF"/>
    <w:rsid w:val="152A0AFF"/>
    <w:rsid w:val="153B6B97"/>
    <w:rsid w:val="15417FCB"/>
    <w:rsid w:val="1575225E"/>
    <w:rsid w:val="157F3DAD"/>
    <w:rsid w:val="157F5123"/>
    <w:rsid w:val="15810381"/>
    <w:rsid w:val="158F7650"/>
    <w:rsid w:val="159A6830"/>
    <w:rsid w:val="15A4528C"/>
    <w:rsid w:val="15CE69EA"/>
    <w:rsid w:val="15CF75C2"/>
    <w:rsid w:val="15D96B45"/>
    <w:rsid w:val="15DB4E8B"/>
    <w:rsid w:val="15DB629E"/>
    <w:rsid w:val="15DD0BF0"/>
    <w:rsid w:val="16005B4D"/>
    <w:rsid w:val="16023749"/>
    <w:rsid w:val="160D7870"/>
    <w:rsid w:val="16117F11"/>
    <w:rsid w:val="16122D70"/>
    <w:rsid w:val="16282974"/>
    <w:rsid w:val="163500E7"/>
    <w:rsid w:val="16390BF0"/>
    <w:rsid w:val="16394F6A"/>
    <w:rsid w:val="163A5649"/>
    <w:rsid w:val="16511CDE"/>
    <w:rsid w:val="165C63EB"/>
    <w:rsid w:val="166169AF"/>
    <w:rsid w:val="166C4748"/>
    <w:rsid w:val="166D5CF9"/>
    <w:rsid w:val="1679677C"/>
    <w:rsid w:val="16806F5F"/>
    <w:rsid w:val="16891110"/>
    <w:rsid w:val="16961F1D"/>
    <w:rsid w:val="16970417"/>
    <w:rsid w:val="16B200D8"/>
    <w:rsid w:val="16B53E81"/>
    <w:rsid w:val="16C91A60"/>
    <w:rsid w:val="16D30DE4"/>
    <w:rsid w:val="16D53A3A"/>
    <w:rsid w:val="16E16162"/>
    <w:rsid w:val="16EC69F2"/>
    <w:rsid w:val="16F46BD4"/>
    <w:rsid w:val="17011FF5"/>
    <w:rsid w:val="17082077"/>
    <w:rsid w:val="17086A04"/>
    <w:rsid w:val="170C79EF"/>
    <w:rsid w:val="17194DC5"/>
    <w:rsid w:val="1733704F"/>
    <w:rsid w:val="1739584F"/>
    <w:rsid w:val="17594C02"/>
    <w:rsid w:val="175D2140"/>
    <w:rsid w:val="175F1F04"/>
    <w:rsid w:val="17704AAB"/>
    <w:rsid w:val="17731FA9"/>
    <w:rsid w:val="1785028E"/>
    <w:rsid w:val="178F1DC2"/>
    <w:rsid w:val="17943B9C"/>
    <w:rsid w:val="179F445C"/>
    <w:rsid w:val="17A301DE"/>
    <w:rsid w:val="17A36B40"/>
    <w:rsid w:val="17A377C9"/>
    <w:rsid w:val="17A408D6"/>
    <w:rsid w:val="17A974E2"/>
    <w:rsid w:val="17B920AF"/>
    <w:rsid w:val="17BA6CC5"/>
    <w:rsid w:val="17BC7BFC"/>
    <w:rsid w:val="17BE4DD5"/>
    <w:rsid w:val="17D23C27"/>
    <w:rsid w:val="17F0662B"/>
    <w:rsid w:val="18072980"/>
    <w:rsid w:val="180B1639"/>
    <w:rsid w:val="18142066"/>
    <w:rsid w:val="182401DB"/>
    <w:rsid w:val="18242F81"/>
    <w:rsid w:val="18262E06"/>
    <w:rsid w:val="18316485"/>
    <w:rsid w:val="18400164"/>
    <w:rsid w:val="184167D7"/>
    <w:rsid w:val="184344B9"/>
    <w:rsid w:val="184B2CE6"/>
    <w:rsid w:val="185524EF"/>
    <w:rsid w:val="185858F1"/>
    <w:rsid w:val="185D5906"/>
    <w:rsid w:val="186B4D4A"/>
    <w:rsid w:val="188B6D6F"/>
    <w:rsid w:val="188E5E3A"/>
    <w:rsid w:val="188F5CA0"/>
    <w:rsid w:val="189034AD"/>
    <w:rsid w:val="189622E4"/>
    <w:rsid w:val="189D1F36"/>
    <w:rsid w:val="189F5400"/>
    <w:rsid w:val="18A15213"/>
    <w:rsid w:val="18C33FDF"/>
    <w:rsid w:val="18CD25A4"/>
    <w:rsid w:val="18D3152C"/>
    <w:rsid w:val="18D712D8"/>
    <w:rsid w:val="18D82E24"/>
    <w:rsid w:val="18EF0B95"/>
    <w:rsid w:val="18FE3820"/>
    <w:rsid w:val="18FF4E70"/>
    <w:rsid w:val="19130E36"/>
    <w:rsid w:val="191E6BCD"/>
    <w:rsid w:val="19416833"/>
    <w:rsid w:val="194A6668"/>
    <w:rsid w:val="194B1EC4"/>
    <w:rsid w:val="19550C97"/>
    <w:rsid w:val="195F173A"/>
    <w:rsid w:val="1962306A"/>
    <w:rsid w:val="19775154"/>
    <w:rsid w:val="198364F1"/>
    <w:rsid w:val="198D4077"/>
    <w:rsid w:val="19A36B5B"/>
    <w:rsid w:val="19AB225A"/>
    <w:rsid w:val="19AD7F51"/>
    <w:rsid w:val="19B63F45"/>
    <w:rsid w:val="19D278A8"/>
    <w:rsid w:val="19D65577"/>
    <w:rsid w:val="19FB1C97"/>
    <w:rsid w:val="1A0A4ACB"/>
    <w:rsid w:val="1A1846F1"/>
    <w:rsid w:val="1A2062AD"/>
    <w:rsid w:val="1A252036"/>
    <w:rsid w:val="1A3261AF"/>
    <w:rsid w:val="1A352916"/>
    <w:rsid w:val="1A451B07"/>
    <w:rsid w:val="1A606D71"/>
    <w:rsid w:val="1A772E47"/>
    <w:rsid w:val="1A8D27AD"/>
    <w:rsid w:val="1A9021AA"/>
    <w:rsid w:val="1A920900"/>
    <w:rsid w:val="1A9349CE"/>
    <w:rsid w:val="1A942CB7"/>
    <w:rsid w:val="1A9E57EB"/>
    <w:rsid w:val="1AA151CF"/>
    <w:rsid w:val="1AA2653D"/>
    <w:rsid w:val="1AA82093"/>
    <w:rsid w:val="1ABA150A"/>
    <w:rsid w:val="1AD244DF"/>
    <w:rsid w:val="1ADE5342"/>
    <w:rsid w:val="1AF06026"/>
    <w:rsid w:val="1AF41B74"/>
    <w:rsid w:val="1AF54F22"/>
    <w:rsid w:val="1B0811F8"/>
    <w:rsid w:val="1B0B7197"/>
    <w:rsid w:val="1B1738D4"/>
    <w:rsid w:val="1B270D19"/>
    <w:rsid w:val="1B312411"/>
    <w:rsid w:val="1B3157F0"/>
    <w:rsid w:val="1B347B21"/>
    <w:rsid w:val="1B35192A"/>
    <w:rsid w:val="1B4120DC"/>
    <w:rsid w:val="1B473D6A"/>
    <w:rsid w:val="1B4D176D"/>
    <w:rsid w:val="1B50316D"/>
    <w:rsid w:val="1B5230EB"/>
    <w:rsid w:val="1B593292"/>
    <w:rsid w:val="1B5B3A17"/>
    <w:rsid w:val="1B6B1CE4"/>
    <w:rsid w:val="1B6B6F05"/>
    <w:rsid w:val="1B6B7277"/>
    <w:rsid w:val="1B701516"/>
    <w:rsid w:val="1B77374A"/>
    <w:rsid w:val="1B7927FA"/>
    <w:rsid w:val="1B832673"/>
    <w:rsid w:val="1B870F6D"/>
    <w:rsid w:val="1B873604"/>
    <w:rsid w:val="1B884DC4"/>
    <w:rsid w:val="1B9008DD"/>
    <w:rsid w:val="1BAD6F45"/>
    <w:rsid w:val="1BB25C71"/>
    <w:rsid w:val="1BBC2E22"/>
    <w:rsid w:val="1BCC234B"/>
    <w:rsid w:val="1BD85958"/>
    <w:rsid w:val="1BF16305"/>
    <w:rsid w:val="1BF41E67"/>
    <w:rsid w:val="1C014AF7"/>
    <w:rsid w:val="1C0E17F7"/>
    <w:rsid w:val="1C122B82"/>
    <w:rsid w:val="1C153B71"/>
    <w:rsid w:val="1C1952D0"/>
    <w:rsid w:val="1C226D51"/>
    <w:rsid w:val="1C2D27CB"/>
    <w:rsid w:val="1C4A33EE"/>
    <w:rsid w:val="1C4E5356"/>
    <w:rsid w:val="1C5300CD"/>
    <w:rsid w:val="1C784A20"/>
    <w:rsid w:val="1C7E52F6"/>
    <w:rsid w:val="1C7E5910"/>
    <w:rsid w:val="1C8A179F"/>
    <w:rsid w:val="1C9C180B"/>
    <w:rsid w:val="1CAD0CF3"/>
    <w:rsid w:val="1CB560CF"/>
    <w:rsid w:val="1CC00E4E"/>
    <w:rsid w:val="1CC10B52"/>
    <w:rsid w:val="1CC520B2"/>
    <w:rsid w:val="1CCC725F"/>
    <w:rsid w:val="1CD53DBF"/>
    <w:rsid w:val="1CDB373E"/>
    <w:rsid w:val="1CE27F12"/>
    <w:rsid w:val="1CE65EB6"/>
    <w:rsid w:val="1CF00DBA"/>
    <w:rsid w:val="1D06634A"/>
    <w:rsid w:val="1D0807A5"/>
    <w:rsid w:val="1D090ADB"/>
    <w:rsid w:val="1D0B61A0"/>
    <w:rsid w:val="1D0E00EC"/>
    <w:rsid w:val="1D0E3A52"/>
    <w:rsid w:val="1D1939ED"/>
    <w:rsid w:val="1D2101C2"/>
    <w:rsid w:val="1D28798D"/>
    <w:rsid w:val="1D29203C"/>
    <w:rsid w:val="1D294E26"/>
    <w:rsid w:val="1D36023C"/>
    <w:rsid w:val="1D5613CC"/>
    <w:rsid w:val="1D5C74DA"/>
    <w:rsid w:val="1D652F47"/>
    <w:rsid w:val="1D657F1B"/>
    <w:rsid w:val="1D6926C1"/>
    <w:rsid w:val="1D7A117D"/>
    <w:rsid w:val="1D880D96"/>
    <w:rsid w:val="1D9A1B1C"/>
    <w:rsid w:val="1D9B3BF5"/>
    <w:rsid w:val="1D9E241B"/>
    <w:rsid w:val="1DA014B3"/>
    <w:rsid w:val="1DA32338"/>
    <w:rsid w:val="1DB213DC"/>
    <w:rsid w:val="1DBF4C41"/>
    <w:rsid w:val="1DCE7F11"/>
    <w:rsid w:val="1DD0331B"/>
    <w:rsid w:val="1DE420A9"/>
    <w:rsid w:val="1DE86AA5"/>
    <w:rsid w:val="1DFD4F3E"/>
    <w:rsid w:val="1E021E39"/>
    <w:rsid w:val="1E0358BF"/>
    <w:rsid w:val="1E244853"/>
    <w:rsid w:val="1E28091B"/>
    <w:rsid w:val="1E286DFF"/>
    <w:rsid w:val="1E2D10E0"/>
    <w:rsid w:val="1E3D3A5F"/>
    <w:rsid w:val="1E3E15B2"/>
    <w:rsid w:val="1E3E4FF3"/>
    <w:rsid w:val="1E4F234C"/>
    <w:rsid w:val="1E5D2340"/>
    <w:rsid w:val="1E620067"/>
    <w:rsid w:val="1E633DAF"/>
    <w:rsid w:val="1E8079E2"/>
    <w:rsid w:val="1E83060A"/>
    <w:rsid w:val="1E9004FA"/>
    <w:rsid w:val="1E9646FF"/>
    <w:rsid w:val="1E966318"/>
    <w:rsid w:val="1EA11680"/>
    <w:rsid w:val="1EC3007D"/>
    <w:rsid w:val="1ECF054D"/>
    <w:rsid w:val="1ED549E5"/>
    <w:rsid w:val="1ED65DE0"/>
    <w:rsid w:val="1EEF5642"/>
    <w:rsid w:val="1EFA037F"/>
    <w:rsid w:val="1F045F88"/>
    <w:rsid w:val="1F096E66"/>
    <w:rsid w:val="1F104329"/>
    <w:rsid w:val="1F1B5386"/>
    <w:rsid w:val="1F35486A"/>
    <w:rsid w:val="1F3D5A2B"/>
    <w:rsid w:val="1F422AE4"/>
    <w:rsid w:val="1F427627"/>
    <w:rsid w:val="1F434323"/>
    <w:rsid w:val="1F444719"/>
    <w:rsid w:val="1F4E0DE8"/>
    <w:rsid w:val="1F563DD6"/>
    <w:rsid w:val="1F664E52"/>
    <w:rsid w:val="1F6C3517"/>
    <w:rsid w:val="1F77383F"/>
    <w:rsid w:val="1F7E73A9"/>
    <w:rsid w:val="1F83291B"/>
    <w:rsid w:val="1F87452F"/>
    <w:rsid w:val="1F875D46"/>
    <w:rsid w:val="1F896D6A"/>
    <w:rsid w:val="1F8D0180"/>
    <w:rsid w:val="1F8E186D"/>
    <w:rsid w:val="1F95416B"/>
    <w:rsid w:val="1F9A68A7"/>
    <w:rsid w:val="1FB37FF3"/>
    <w:rsid w:val="1FB72D07"/>
    <w:rsid w:val="1FC37E78"/>
    <w:rsid w:val="1FD54EF5"/>
    <w:rsid w:val="1FF52A08"/>
    <w:rsid w:val="1FFD0BB5"/>
    <w:rsid w:val="2003179C"/>
    <w:rsid w:val="2003268C"/>
    <w:rsid w:val="200B5C0B"/>
    <w:rsid w:val="200D1367"/>
    <w:rsid w:val="20150AF2"/>
    <w:rsid w:val="201C4CA7"/>
    <w:rsid w:val="20201E76"/>
    <w:rsid w:val="2033450B"/>
    <w:rsid w:val="20526EB3"/>
    <w:rsid w:val="20611216"/>
    <w:rsid w:val="2064551F"/>
    <w:rsid w:val="206D6F3E"/>
    <w:rsid w:val="207D3B26"/>
    <w:rsid w:val="209369A3"/>
    <w:rsid w:val="209C2B3E"/>
    <w:rsid w:val="20AC54AC"/>
    <w:rsid w:val="20B35BED"/>
    <w:rsid w:val="20B36678"/>
    <w:rsid w:val="20BD4F1E"/>
    <w:rsid w:val="20CA66FD"/>
    <w:rsid w:val="20D13B63"/>
    <w:rsid w:val="20DC6FB9"/>
    <w:rsid w:val="20E85164"/>
    <w:rsid w:val="20ED5FC1"/>
    <w:rsid w:val="20F109A7"/>
    <w:rsid w:val="20F50EA7"/>
    <w:rsid w:val="212B1CCB"/>
    <w:rsid w:val="212D5B2C"/>
    <w:rsid w:val="213F2BAB"/>
    <w:rsid w:val="214E088D"/>
    <w:rsid w:val="215C01B1"/>
    <w:rsid w:val="21603FBE"/>
    <w:rsid w:val="217505C5"/>
    <w:rsid w:val="21781F82"/>
    <w:rsid w:val="2194182A"/>
    <w:rsid w:val="219708D0"/>
    <w:rsid w:val="21A77AE0"/>
    <w:rsid w:val="21A95B62"/>
    <w:rsid w:val="21B667D4"/>
    <w:rsid w:val="21B87BA4"/>
    <w:rsid w:val="21B975EC"/>
    <w:rsid w:val="21C43E7F"/>
    <w:rsid w:val="21D555AC"/>
    <w:rsid w:val="21F04E7F"/>
    <w:rsid w:val="21F305FC"/>
    <w:rsid w:val="220948DE"/>
    <w:rsid w:val="22165C38"/>
    <w:rsid w:val="22194E4C"/>
    <w:rsid w:val="221C2118"/>
    <w:rsid w:val="22224D86"/>
    <w:rsid w:val="22386FD2"/>
    <w:rsid w:val="22410FAB"/>
    <w:rsid w:val="22414157"/>
    <w:rsid w:val="224263F9"/>
    <w:rsid w:val="22440002"/>
    <w:rsid w:val="22481730"/>
    <w:rsid w:val="224C30CF"/>
    <w:rsid w:val="224F2D6A"/>
    <w:rsid w:val="225116B9"/>
    <w:rsid w:val="22547524"/>
    <w:rsid w:val="225F67AC"/>
    <w:rsid w:val="22621291"/>
    <w:rsid w:val="22627F65"/>
    <w:rsid w:val="226E6D66"/>
    <w:rsid w:val="228C0017"/>
    <w:rsid w:val="228F35D6"/>
    <w:rsid w:val="229949E3"/>
    <w:rsid w:val="22B24BDD"/>
    <w:rsid w:val="22C01A09"/>
    <w:rsid w:val="22C17369"/>
    <w:rsid w:val="22C52F66"/>
    <w:rsid w:val="22C708C4"/>
    <w:rsid w:val="22C7230E"/>
    <w:rsid w:val="22D432CA"/>
    <w:rsid w:val="22D842DA"/>
    <w:rsid w:val="22E4223F"/>
    <w:rsid w:val="22E71D38"/>
    <w:rsid w:val="22EA0933"/>
    <w:rsid w:val="22EC07EF"/>
    <w:rsid w:val="22EE7D2D"/>
    <w:rsid w:val="22F10EAE"/>
    <w:rsid w:val="23036601"/>
    <w:rsid w:val="230D48E9"/>
    <w:rsid w:val="23181D99"/>
    <w:rsid w:val="2321231C"/>
    <w:rsid w:val="23331BF5"/>
    <w:rsid w:val="23331DCD"/>
    <w:rsid w:val="233D0BA3"/>
    <w:rsid w:val="23425054"/>
    <w:rsid w:val="234A56F8"/>
    <w:rsid w:val="23501055"/>
    <w:rsid w:val="235B5E01"/>
    <w:rsid w:val="236C5D90"/>
    <w:rsid w:val="236E4580"/>
    <w:rsid w:val="237C6924"/>
    <w:rsid w:val="2390111C"/>
    <w:rsid w:val="23964C98"/>
    <w:rsid w:val="23BD3CBF"/>
    <w:rsid w:val="23CA51A8"/>
    <w:rsid w:val="23CC7174"/>
    <w:rsid w:val="23DF1584"/>
    <w:rsid w:val="23FA639B"/>
    <w:rsid w:val="23FD4981"/>
    <w:rsid w:val="24103B57"/>
    <w:rsid w:val="24131E75"/>
    <w:rsid w:val="241C3500"/>
    <w:rsid w:val="241C3808"/>
    <w:rsid w:val="242530D9"/>
    <w:rsid w:val="243A2CDC"/>
    <w:rsid w:val="24450C8E"/>
    <w:rsid w:val="24505030"/>
    <w:rsid w:val="24544436"/>
    <w:rsid w:val="246254F1"/>
    <w:rsid w:val="246256CC"/>
    <w:rsid w:val="246A5AC3"/>
    <w:rsid w:val="24706571"/>
    <w:rsid w:val="2480376B"/>
    <w:rsid w:val="24803A09"/>
    <w:rsid w:val="24805846"/>
    <w:rsid w:val="2487459B"/>
    <w:rsid w:val="248B003B"/>
    <w:rsid w:val="248C219B"/>
    <w:rsid w:val="24941808"/>
    <w:rsid w:val="249F59AA"/>
    <w:rsid w:val="24A02D30"/>
    <w:rsid w:val="24A77CC7"/>
    <w:rsid w:val="24AA572C"/>
    <w:rsid w:val="24B11A33"/>
    <w:rsid w:val="24BD0D51"/>
    <w:rsid w:val="24F77329"/>
    <w:rsid w:val="24FC6EB5"/>
    <w:rsid w:val="250107BC"/>
    <w:rsid w:val="250170D7"/>
    <w:rsid w:val="250C0222"/>
    <w:rsid w:val="250C1416"/>
    <w:rsid w:val="25215F5B"/>
    <w:rsid w:val="25287EFC"/>
    <w:rsid w:val="25305A8C"/>
    <w:rsid w:val="25314CEF"/>
    <w:rsid w:val="253506B3"/>
    <w:rsid w:val="253F224B"/>
    <w:rsid w:val="254664B9"/>
    <w:rsid w:val="255710E7"/>
    <w:rsid w:val="255B2B29"/>
    <w:rsid w:val="25696F6D"/>
    <w:rsid w:val="258409DC"/>
    <w:rsid w:val="2585705F"/>
    <w:rsid w:val="25876D61"/>
    <w:rsid w:val="25923602"/>
    <w:rsid w:val="259823ED"/>
    <w:rsid w:val="259B3B75"/>
    <w:rsid w:val="25A04D0A"/>
    <w:rsid w:val="25B306C7"/>
    <w:rsid w:val="25CC1B09"/>
    <w:rsid w:val="25CE43CE"/>
    <w:rsid w:val="25DC7BF4"/>
    <w:rsid w:val="25E75370"/>
    <w:rsid w:val="25EF09CC"/>
    <w:rsid w:val="25F018F1"/>
    <w:rsid w:val="26123E85"/>
    <w:rsid w:val="261E1B8F"/>
    <w:rsid w:val="262A682B"/>
    <w:rsid w:val="262E79BC"/>
    <w:rsid w:val="26436B55"/>
    <w:rsid w:val="26454B11"/>
    <w:rsid w:val="264616B2"/>
    <w:rsid w:val="264B5C5F"/>
    <w:rsid w:val="264B7043"/>
    <w:rsid w:val="264F0D93"/>
    <w:rsid w:val="265911BA"/>
    <w:rsid w:val="265E5FBA"/>
    <w:rsid w:val="265F0E23"/>
    <w:rsid w:val="26600667"/>
    <w:rsid w:val="266C74E3"/>
    <w:rsid w:val="266D2F42"/>
    <w:rsid w:val="268A268F"/>
    <w:rsid w:val="26997A56"/>
    <w:rsid w:val="269A4AD7"/>
    <w:rsid w:val="269C4E0B"/>
    <w:rsid w:val="269C55D5"/>
    <w:rsid w:val="26C17B69"/>
    <w:rsid w:val="26C33FFE"/>
    <w:rsid w:val="26C64400"/>
    <w:rsid w:val="26CE36E5"/>
    <w:rsid w:val="26E13166"/>
    <w:rsid w:val="26E31B06"/>
    <w:rsid w:val="26E6217B"/>
    <w:rsid w:val="26EB0BF4"/>
    <w:rsid w:val="26FC7D13"/>
    <w:rsid w:val="26FF6276"/>
    <w:rsid w:val="27037513"/>
    <w:rsid w:val="27117BFF"/>
    <w:rsid w:val="271350D8"/>
    <w:rsid w:val="27203EEB"/>
    <w:rsid w:val="2754129C"/>
    <w:rsid w:val="27566510"/>
    <w:rsid w:val="27603EC1"/>
    <w:rsid w:val="27851A0B"/>
    <w:rsid w:val="27876136"/>
    <w:rsid w:val="279462F5"/>
    <w:rsid w:val="27A06CC5"/>
    <w:rsid w:val="27B34755"/>
    <w:rsid w:val="27B506FD"/>
    <w:rsid w:val="27C112E1"/>
    <w:rsid w:val="27D70CD3"/>
    <w:rsid w:val="27DB14BA"/>
    <w:rsid w:val="27DD5ABF"/>
    <w:rsid w:val="27DD6376"/>
    <w:rsid w:val="27DE6D28"/>
    <w:rsid w:val="27E03D9F"/>
    <w:rsid w:val="27E07DE8"/>
    <w:rsid w:val="27E862A2"/>
    <w:rsid w:val="27EF19B8"/>
    <w:rsid w:val="280334C5"/>
    <w:rsid w:val="2804309E"/>
    <w:rsid w:val="28071DAC"/>
    <w:rsid w:val="28130274"/>
    <w:rsid w:val="281459A7"/>
    <w:rsid w:val="28327F9F"/>
    <w:rsid w:val="2841272B"/>
    <w:rsid w:val="28454B2D"/>
    <w:rsid w:val="285A2C3A"/>
    <w:rsid w:val="28603EB7"/>
    <w:rsid w:val="286930B9"/>
    <w:rsid w:val="286A5D40"/>
    <w:rsid w:val="286F6AEE"/>
    <w:rsid w:val="287967D6"/>
    <w:rsid w:val="28936A03"/>
    <w:rsid w:val="289A4C69"/>
    <w:rsid w:val="28AC4758"/>
    <w:rsid w:val="28AE3251"/>
    <w:rsid w:val="28C04C4C"/>
    <w:rsid w:val="28C82DD8"/>
    <w:rsid w:val="28C913AE"/>
    <w:rsid w:val="28CC0CBD"/>
    <w:rsid w:val="28E07697"/>
    <w:rsid w:val="28E32274"/>
    <w:rsid w:val="28E824C9"/>
    <w:rsid w:val="28E97F28"/>
    <w:rsid w:val="28EC4FBD"/>
    <w:rsid w:val="28EC7622"/>
    <w:rsid w:val="28EE5156"/>
    <w:rsid w:val="291173EA"/>
    <w:rsid w:val="291268CF"/>
    <w:rsid w:val="291470DB"/>
    <w:rsid w:val="292A3D9E"/>
    <w:rsid w:val="292B20A9"/>
    <w:rsid w:val="292E34BD"/>
    <w:rsid w:val="29340781"/>
    <w:rsid w:val="29470E70"/>
    <w:rsid w:val="29482C06"/>
    <w:rsid w:val="296206AF"/>
    <w:rsid w:val="297045CA"/>
    <w:rsid w:val="29714C5D"/>
    <w:rsid w:val="298040D2"/>
    <w:rsid w:val="2982268F"/>
    <w:rsid w:val="298834A6"/>
    <w:rsid w:val="298E1846"/>
    <w:rsid w:val="298F5ED7"/>
    <w:rsid w:val="29A009BF"/>
    <w:rsid w:val="29A03A03"/>
    <w:rsid w:val="29BC6F56"/>
    <w:rsid w:val="29D945FA"/>
    <w:rsid w:val="29DA2DCF"/>
    <w:rsid w:val="29E17A78"/>
    <w:rsid w:val="29E439C2"/>
    <w:rsid w:val="29FB6096"/>
    <w:rsid w:val="2A0F7329"/>
    <w:rsid w:val="2A132508"/>
    <w:rsid w:val="2A1D0B14"/>
    <w:rsid w:val="2A230185"/>
    <w:rsid w:val="2A3A79B3"/>
    <w:rsid w:val="2A40343D"/>
    <w:rsid w:val="2A53353C"/>
    <w:rsid w:val="2A5534B9"/>
    <w:rsid w:val="2A563B18"/>
    <w:rsid w:val="2A57508D"/>
    <w:rsid w:val="2A5D2041"/>
    <w:rsid w:val="2A6F2F5D"/>
    <w:rsid w:val="2A713219"/>
    <w:rsid w:val="2A755211"/>
    <w:rsid w:val="2A7A1212"/>
    <w:rsid w:val="2A8D0991"/>
    <w:rsid w:val="2A915C56"/>
    <w:rsid w:val="2A9B742C"/>
    <w:rsid w:val="2AA06FC4"/>
    <w:rsid w:val="2AA1252A"/>
    <w:rsid w:val="2AAE121F"/>
    <w:rsid w:val="2AAF72FB"/>
    <w:rsid w:val="2AC309F8"/>
    <w:rsid w:val="2AD80D1A"/>
    <w:rsid w:val="2AE863AE"/>
    <w:rsid w:val="2AF156B3"/>
    <w:rsid w:val="2B0158CD"/>
    <w:rsid w:val="2B0450B6"/>
    <w:rsid w:val="2B0A133F"/>
    <w:rsid w:val="2B215094"/>
    <w:rsid w:val="2B4B11F0"/>
    <w:rsid w:val="2B50728E"/>
    <w:rsid w:val="2B520F1D"/>
    <w:rsid w:val="2B687D7B"/>
    <w:rsid w:val="2B694E68"/>
    <w:rsid w:val="2B702E6C"/>
    <w:rsid w:val="2B791766"/>
    <w:rsid w:val="2B7F05AB"/>
    <w:rsid w:val="2B870D73"/>
    <w:rsid w:val="2B924276"/>
    <w:rsid w:val="2BA32F62"/>
    <w:rsid w:val="2BA95F6A"/>
    <w:rsid w:val="2BAD6A07"/>
    <w:rsid w:val="2BB53941"/>
    <w:rsid w:val="2BBE3BE5"/>
    <w:rsid w:val="2BCB64C7"/>
    <w:rsid w:val="2BD114A0"/>
    <w:rsid w:val="2BD149FF"/>
    <w:rsid w:val="2BD92E3F"/>
    <w:rsid w:val="2BD96F73"/>
    <w:rsid w:val="2BDE12CD"/>
    <w:rsid w:val="2BDE7F89"/>
    <w:rsid w:val="2BE25A98"/>
    <w:rsid w:val="2BE86CA8"/>
    <w:rsid w:val="2BEC7697"/>
    <w:rsid w:val="2BF01660"/>
    <w:rsid w:val="2BF2460D"/>
    <w:rsid w:val="2BF56003"/>
    <w:rsid w:val="2C045AC7"/>
    <w:rsid w:val="2C20470A"/>
    <w:rsid w:val="2C34772D"/>
    <w:rsid w:val="2C4A36EA"/>
    <w:rsid w:val="2C550ACB"/>
    <w:rsid w:val="2C571774"/>
    <w:rsid w:val="2C595F36"/>
    <w:rsid w:val="2C676E85"/>
    <w:rsid w:val="2C825C0E"/>
    <w:rsid w:val="2C837851"/>
    <w:rsid w:val="2C8E6260"/>
    <w:rsid w:val="2C9C29DB"/>
    <w:rsid w:val="2C9F41A4"/>
    <w:rsid w:val="2C9F5D41"/>
    <w:rsid w:val="2C9F63A9"/>
    <w:rsid w:val="2CA0428D"/>
    <w:rsid w:val="2CA60204"/>
    <w:rsid w:val="2CAB6D99"/>
    <w:rsid w:val="2CB01DDA"/>
    <w:rsid w:val="2CC122AF"/>
    <w:rsid w:val="2CC62607"/>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A21AC"/>
    <w:rsid w:val="2D4B41B4"/>
    <w:rsid w:val="2D4B565F"/>
    <w:rsid w:val="2D5C7521"/>
    <w:rsid w:val="2D664F53"/>
    <w:rsid w:val="2D7149C3"/>
    <w:rsid w:val="2D747094"/>
    <w:rsid w:val="2D884B6F"/>
    <w:rsid w:val="2D992C03"/>
    <w:rsid w:val="2DA216C6"/>
    <w:rsid w:val="2DA33153"/>
    <w:rsid w:val="2DA83A51"/>
    <w:rsid w:val="2DB50AD8"/>
    <w:rsid w:val="2DB653BC"/>
    <w:rsid w:val="2DC5145A"/>
    <w:rsid w:val="2DFB0C12"/>
    <w:rsid w:val="2E11532A"/>
    <w:rsid w:val="2E2C7B59"/>
    <w:rsid w:val="2E443C08"/>
    <w:rsid w:val="2E4D4329"/>
    <w:rsid w:val="2E512381"/>
    <w:rsid w:val="2E6D0A1B"/>
    <w:rsid w:val="2E72548D"/>
    <w:rsid w:val="2E896136"/>
    <w:rsid w:val="2E904A45"/>
    <w:rsid w:val="2E921142"/>
    <w:rsid w:val="2E9238C2"/>
    <w:rsid w:val="2E972F4E"/>
    <w:rsid w:val="2EBC2DDB"/>
    <w:rsid w:val="2EDE6676"/>
    <w:rsid w:val="2EE00268"/>
    <w:rsid w:val="2EE62071"/>
    <w:rsid w:val="2F181834"/>
    <w:rsid w:val="2F1877C3"/>
    <w:rsid w:val="2F1D3166"/>
    <w:rsid w:val="2F1E4AC6"/>
    <w:rsid w:val="2F3D2575"/>
    <w:rsid w:val="2F5F6DC2"/>
    <w:rsid w:val="2F634EE2"/>
    <w:rsid w:val="2F715E38"/>
    <w:rsid w:val="2F7313FD"/>
    <w:rsid w:val="2F732A13"/>
    <w:rsid w:val="2F941D65"/>
    <w:rsid w:val="2FA43F61"/>
    <w:rsid w:val="2FA96F2B"/>
    <w:rsid w:val="2FB35201"/>
    <w:rsid w:val="2FBD3AD7"/>
    <w:rsid w:val="2FF9240C"/>
    <w:rsid w:val="2FF946AE"/>
    <w:rsid w:val="2FFD2F9F"/>
    <w:rsid w:val="3003538B"/>
    <w:rsid w:val="30120F5C"/>
    <w:rsid w:val="304537EB"/>
    <w:rsid w:val="304D1B6D"/>
    <w:rsid w:val="305059B1"/>
    <w:rsid w:val="305E3A75"/>
    <w:rsid w:val="305E47CA"/>
    <w:rsid w:val="30726515"/>
    <w:rsid w:val="30896F9D"/>
    <w:rsid w:val="308C47E8"/>
    <w:rsid w:val="308D2CDE"/>
    <w:rsid w:val="30972D75"/>
    <w:rsid w:val="309A496D"/>
    <w:rsid w:val="309D728B"/>
    <w:rsid w:val="30A65FA8"/>
    <w:rsid w:val="30BB31C8"/>
    <w:rsid w:val="30C0620D"/>
    <w:rsid w:val="30CF2B57"/>
    <w:rsid w:val="30D34409"/>
    <w:rsid w:val="30DC76BD"/>
    <w:rsid w:val="30E101AD"/>
    <w:rsid w:val="30E43E01"/>
    <w:rsid w:val="30FD59F3"/>
    <w:rsid w:val="30FE700B"/>
    <w:rsid w:val="3120701A"/>
    <w:rsid w:val="31244B45"/>
    <w:rsid w:val="313B489A"/>
    <w:rsid w:val="315238A4"/>
    <w:rsid w:val="315C56BE"/>
    <w:rsid w:val="316546A0"/>
    <w:rsid w:val="316D71E4"/>
    <w:rsid w:val="31802A8F"/>
    <w:rsid w:val="3181495E"/>
    <w:rsid w:val="318870F5"/>
    <w:rsid w:val="318B193E"/>
    <w:rsid w:val="31931ABF"/>
    <w:rsid w:val="31A10BF5"/>
    <w:rsid w:val="31A970A8"/>
    <w:rsid w:val="31AB1E21"/>
    <w:rsid w:val="31B75CB4"/>
    <w:rsid w:val="31BE052E"/>
    <w:rsid w:val="31CA483D"/>
    <w:rsid w:val="31D156FC"/>
    <w:rsid w:val="31EB5CD4"/>
    <w:rsid w:val="320F2803"/>
    <w:rsid w:val="321043B9"/>
    <w:rsid w:val="32164D38"/>
    <w:rsid w:val="321A4780"/>
    <w:rsid w:val="321D3362"/>
    <w:rsid w:val="322713CA"/>
    <w:rsid w:val="322728C2"/>
    <w:rsid w:val="322A670F"/>
    <w:rsid w:val="3237056D"/>
    <w:rsid w:val="32432616"/>
    <w:rsid w:val="3243394A"/>
    <w:rsid w:val="324C6483"/>
    <w:rsid w:val="32522469"/>
    <w:rsid w:val="32776BA9"/>
    <w:rsid w:val="327B2A0D"/>
    <w:rsid w:val="32AA528C"/>
    <w:rsid w:val="32B45676"/>
    <w:rsid w:val="32C5561F"/>
    <w:rsid w:val="32D546BE"/>
    <w:rsid w:val="32DC084A"/>
    <w:rsid w:val="32E12CEE"/>
    <w:rsid w:val="32E34CE2"/>
    <w:rsid w:val="32F669C8"/>
    <w:rsid w:val="33001B7A"/>
    <w:rsid w:val="3306733C"/>
    <w:rsid w:val="331535A7"/>
    <w:rsid w:val="33182DFB"/>
    <w:rsid w:val="331A0CC8"/>
    <w:rsid w:val="331A7AF8"/>
    <w:rsid w:val="3324614F"/>
    <w:rsid w:val="332511E8"/>
    <w:rsid w:val="333A530A"/>
    <w:rsid w:val="33435798"/>
    <w:rsid w:val="33547948"/>
    <w:rsid w:val="335F2062"/>
    <w:rsid w:val="33686602"/>
    <w:rsid w:val="3369637D"/>
    <w:rsid w:val="336A7882"/>
    <w:rsid w:val="339771F4"/>
    <w:rsid w:val="339B1393"/>
    <w:rsid w:val="33B71F93"/>
    <w:rsid w:val="33BF2903"/>
    <w:rsid w:val="33CD6404"/>
    <w:rsid w:val="33D354D0"/>
    <w:rsid w:val="33D46EDF"/>
    <w:rsid w:val="33DB57DA"/>
    <w:rsid w:val="33EA4EE6"/>
    <w:rsid w:val="33EE148C"/>
    <w:rsid w:val="33EF3CEA"/>
    <w:rsid w:val="33F07711"/>
    <w:rsid w:val="33FC203D"/>
    <w:rsid w:val="3406286A"/>
    <w:rsid w:val="340D054C"/>
    <w:rsid w:val="34154FE2"/>
    <w:rsid w:val="34175371"/>
    <w:rsid w:val="34222A44"/>
    <w:rsid w:val="345A43CB"/>
    <w:rsid w:val="3464291B"/>
    <w:rsid w:val="34840E64"/>
    <w:rsid w:val="34877B4B"/>
    <w:rsid w:val="34890588"/>
    <w:rsid w:val="34910F9E"/>
    <w:rsid w:val="34911926"/>
    <w:rsid w:val="34927084"/>
    <w:rsid w:val="34A76BD5"/>
    <w:rsid w:val="34AF3A6D"/>
    <w:rsid w:val="34BD011B"/>
    <w:rsid w:val="34CD4B64"/>
    <w:rsid w:val="34D72B0D"/>
    <w:rsid w:val="34DF5BDE"/>
    <w:rsid w:val="34E34B75"/>
    <w:rsid w:val="34EE06B7"/>
    <w:rsid w:val="34F24CD0"/>
    <w:rsid w:val="34F478AC"/>
    <w:rsid w:val="34FD7410"/>
    <w:rsid w:val="35020CF9"/>
    <w:rsid w:val="35067880"/>
    <w:rsid w:val="351A6043"/>
    <w:rsid w:val="351C0EA2"/>
    <w:rsid w:val="35246877"/>
    <w:rsid w:val="35255512"/>
    <w:rsid w:val="35280DC0"/>
    <w:rsid w:val="3542168B"/>
    <w:rsid w:val="35461EBC"/>
    <w:rsid w:val="354716FF"/>
    <w:rsid w:val="354D5BFB"/>
    <w:rsid w:val="354D7F75"/>
    <w:rsid w:val="354E7EA3"/>
    <w:rsid w:val="35593494"/>
    <w:rsid w:val="355A12E4"/>
    <w:rsid w:val="35605956"/>
    <w:rsid w:val="3569048C"/>
    <w:rsid w:val="35756336"/>
    <w:rsid w:val="357C2430"/>
    <w:rsid w:val="3585603E"/>
    <w:rsid w:val="358D30B5"/>
    <w:rsid w:val="358E6F22"/>
    <w:rsid w:val="358F21E7"/>
    <w:rsid w:val="35914AC1"/>
    <w:rsid w:val="35921F18"/>
    <w:rsid w:val="359706D2"/>
    <w:rsid w:val="35A303EA"/>
    <w:rsid w:val="35A80566"/>
    <w:rsid w:val="35AA4F6C"/>
    <w:rsid w:val="35BE2E72"/>
    <w:rsid w:val="35D95282"/>
    <w:rsid w:val="35F6125B"/>
    <w:rsid w:val="35F73CF2"/>
    <w:rsid w:val="360407DE"/>
    <w:rsid w:val="361836C0"/>
    <w:rsid w:val="361E461E"/>
    <w:rsid w:val="362236CD"/>
    <w:rsid w:val="36237179"/>
    <w:rsid w:val="3635737F"/>
    <w:rsid w:val="364D069A"/>
    <w:rsid w:val="36507137"/>
    <w:rsid w:val="365628C0"/>
    <w:rsid w:val="365E4E53"/>
    <w:rsid w:val="36657792"/>
    <w:rsid w:val="36741C91"/>
    <w:rsid w:val="36745F37"/>
    <w:rsid w:val="368220F2"/>
    <w:rsid w:val="36826C73"/>
    <w:rsid w:val="368C5779"/>
    <w:rsid w:val="36943485"/>
    <w:rsid w:val="369D3512"/>
    <w:rsid w:val="36AD7FE4"/>
    <w:rsid w:val="36B54F4A"/>
    <w:rsid w:val="36B6196C"/>
    <w:rsid w:val="36C4252E"/>
    <w:rsid w:val="36C5575D"/>
    <w:rsid w:val="36D01095"/>
    <w:rsid w:val="36E1641D"/>
    <w:rsid w:val="36E6311A"/>
    <w:rsid w:val="36F13492"/>
    <w:rsid w:val="36FD3CFD"/>
    <w:rsid w:val="37024C59"/>
    <w:rsid w:val="370F2612"/>
    <w:rsid w:val="37101BB1"/>
    <w:rsid w:val="37237B4D"/>
    <w:rsid w:val="3729161C"/>
    <w:rsid w:val="372F0DF2"/>
    <w:rsid w:val="37320456"/>
    <w:rsid w:val="37321280"/>
    <w:rsid w:val="373677D5"/>
    <w:rsid w:val="37433BFB"/>
    <w:rsid w:val="37471BEF"/>
    <w:rsid w:val="376923BA"/>
    <w:rsid w:val="37700458"/>
    <w:rsid w:val="37733813"/>
    <w:rsid w:val="378823DF"/>
    <w:rsid w:val="378E20BB"/>
    <w:rsid w:val="37941218"/>
    <w:rsid w:val="37945822"/>
    <w:rsid w:val="37990A35"/>
    <w:rsid w:val="37A12891"/>
    <w:rsid w:val="37AD65C6"/>
    <w:rsid w:val="37BB0FD8"/>
    <w:rsid w:val="37C35F96"/>
    <w:rsid w:val="37C4673A"/>
    <w:rsid w:val="37CA1A7A"/>
    <w:rsid w:val="37D31ED9"/>
    <w:rsid w:val="37E35871"/>
    <w:rsid w:val="37F5270D"/>
    <w:rsid w:val="37FE10B8"/>
    <w:rsid w:val="37FE7227"/>
    <w:rsid w:val="380B32C6"/>
    <w:rsid w:val="381309C6"/>
    <w:rsid w:val="38140D11"/>
    <w:rsid w:val="3827564E"/>
    <w:rsid w:val="38506E27"/>
    <w:rsid w:val="38620743"/>
    <w:rsid w:val="386211A0"/>
    <w:rsid w:val="386C2990"/>
    <w:rsid w:val="38774AC4"/>
    <w:rsid w:val="387A2AEC"/>
    <w:rsid w:val="387A7C8F"/>
    <w:rsid w:val="38965D0E"/>
    <w:rsid w:val="38980B25"/>
    <w:rsid w:val="38B676A5"/>
    <w:rsid w:val="38B91722"/>
    <w:rsid w:val="38F86829"/>
    <w:rsid w:val="39050DB8"/>
    <w:rsid w:val="39097304"/>
    <w:rsid w:val="39205BF2"/>
    <w:rsid w:val="3922196A"/>
    <w:rsid w:val="392502E5"/>
    <w:rsid w:val="393741B4"/>
    <w:rsid w:val="39531710"/>
    <w:rsid w:val="395D3D25"/>
    <w:rsid w:val="396174C4"/>
    <w:rsid w:val="396804A8"/>
    <w:rsid w:val="397074D5"/>
    <w:rsid w:val="397B405B"/>
    <w:rsid w:val="397C5C00"/>
    <w:rsid w:val="397D525A"/>
    <w:rsid w:val="39921A71"/>
    <w:rsid w:val="39981BEB"/>
    <w:rsid w:val="39AC75EE"/>
    <w:rsid w:val="39B916DF"/>
    <w:rsid w:val="39BB0FFD"/>
    <w:rsid w:val="39DC2DAA"/>
    <w:rsid w:val="39DD0D52"/>
    <w:rsid w:val="39E81252"/>
    <w:rsid w:val="39EB4452"/>
    <w:rsid w:val="39ED01CA"/>
    <w:rsid w:val="39EE69BC"/>
    <w:rsid w:val="39F01DE6"/>
    <w:rsid w:val="39F24125"/>
    <w:rsid w:val="3A00359B"/>
    <w:rsid w:val="3A231125"/>
    <w:rsid w:val="3A24028F"/>
    <w:rsid w:val="3A3718D6"/>
    <w:rsid w:val="3A376690"/>
    <w:rsid w:val="3A401E02"/>
    <w:rsid w:val="3A4660AA"/>
    <w:rsid w:val="3A534797"/>
    <w:rsid w:val="3A5E3659"/>
    <w:rsid w:val="3A64520B"/>
    <w:rsid w:val="3A7D3282"/>
    <w:rsid w:val="3A83468A"/>
    <w:rsid w:val="3A9F77C4"/>
    <w:rsid w:val="3AA178C1"/>
    <w:rsid w:val="3AC519AD"/>
    <w:rsid w:val="3AE8089A"/>
    <w:rsid w:val="3AFB240E"/>
    <w:rsid w:val="3AFD5CD9"/>
    <w:rsid w:val="3B1919AB"/>
    <w:rsid w:val="3B246193"/>
    <w:rsid w:val="3B2C4003"/>
    <w:rsid w:val="3B322AFF"/>
    <w:rsid w:val="3B340B6C"/>
    <w:rsid w:val="3B3836C7"/>
    <w:rsid w:val="3B5E09F6"/>
    <w:rsid w:val="3B6B12B0"/>
    <w:rsid w:val="3B790184"/>
    <w:rsid w:val="3B815E73"/>
    <w:rsid w:val="3B88270F"/>
    <w:rsid w:val="3B8F24B5"/>
    <w:rsid w:val="3BA75597"/>
    <w:rsid w:val="3BAB27D1"/>
    <w:rsid w:val="3BAD7364"/>
    <w:rsid w:val="3BBE60C2"/>
    <w:rsid w:val="3BC34952"/>
    <w:rsid w:val="3BCB0097"/>
    <w:rsid w:val="3BCC785F"/>
    <w:rsid w:val="3BD339EE"/>
    <w:rsid w:val="3BE01FA9"/>
    <w:rsid w:val="3BE720A1"/>
    <w:rsid w:val="3BE7775A"/>
    <w:rsid w:val="3BE82D14"/>
    <w:rsid w:val="3BEA7FE9"/>
    <w:rsid w:val="3BFC2F3F"/>
    <w:rsid w:val="3C05618E"/>
    <w:rsid w:val="3C0C5C53"/>
    <w:rsid w:val="3C144AD8"/>
    <w:rsid w:val="3C25022E"/>
    <w:rsid w:val="3C2C06BD"/>
    <w:rsid w:val="3C343788"/>
    <w:rsid w:val="3C3B7D6A"/>
    <w:rsid w:val="3C3F03D5"/>
    <w:rsid w:val="3C435976"/>
    <w:rsid w:val="3C5B4206"/>
    <w:rsid w:val="3C64645A"/>
    <w:rsid w:val="3C656018"/>
    <w:rsid w:val="3C667DB0"/>
    <w:rsid w:val="3C6C06DF"/>
    <w:rsid w:val="3C7B68BB"/>
    <w:rsid w:val="3C820C38"/>
    <w:rsid w:val="3C946D71"/>
    <w:rsid w:val="3C9F29D3"/>
    <w:rsid w:val="3CAE79D6"/>
    <w:rsid w:val="3CB369E7"/>
    <w:rsid w:val="3CB83945"/>
    <w:rsid w:val="3CC106AE"/>
    <w:rsid w:val="3CCE5337"/>
    <w:rsid w:val="3CD26389"/>
    <w:rsid w:val="3D0A559A"/>
    <w:rsid w:val="3D1E14E7"/>
    <w:rsid w:val="3D255602"/>
    <w:rsid w:val="3D3A558F"/>
    <w:rsid w:val="3D3C3A49"/>
    <w:rsid w:val="3D3D225B"/>
    <w:rsid w:val="3D564BA6"/>
    <w:rsid w:val="3D577E3C"/>
    <w:rsid w:val="3D6C3114"/>
    <w:rsid w:val="3D7A74DC"/>
    <w:rsid w:val="3D7E5C88"/>
    <w:rsid w:val="3D8252C4"/>
    <w:rsid w:val="3D8C2AD7"/>
    <w:rsid w:val="3D996C27"/>
    <w:rsid w:val="3D9B0069"/>
    <w:rsid w:val="3D9D0387"/>
    <w:rsid w:val="3D9E48C4"/>
    <w:rsid w:val="3DAD0472"/>
    <w:rsid w:val="3DD017C1"/>
    <w:rsid w:val="3DDB77FC"/>
    <w:rsid w:val="3DEF7094"/>
    <w:rsid w:val="3DFF3C37"/>
    <w:rsid w:val="3E0445FE"/>
    <w:rsid w:val="3E1A5306"/>
    <w:rsid w:val="3E357F1D"/>
    <w:rsid w:val="3E3B08E6"/>
    <w:rsid w:val="3E3F581A"/>
    <w:rsid w:val="3E50322D"/>
    <w:rsid w:val="3E6C643E"/>
    <w:rsid w:val="3E730D7F"/>
    <w:rsid w:val="3E7919F5"/>
    <w:rsid w:val="3E7964D0"/>
    <w:rsid w:val="3E830253"/>
    <w:rsid w:val="3E8917EA"/>
    <w:rsid w:val="3E8950E5"/>
    <w:rsid w:val="3EA13331"/>
    <w:rsid w:val="3EA23E7B"/>
    <w:rsid w:val="3EAB50B7"/>
    <w:rsid w:val="3EB41A1A"/>
    <w:rsid w:val="3EB55899"/>
    <w:rsid w:val="3EC075D9"/>
    <w:rsid w:val="3EC571FD"/>
    <w:rsid w:val="3ECB1DC0"/>
    <w:rsid w:val="3ECF0CFF"/>
    <w:rsid w:val="3EEB4417"/>
    <w:rsid w:val="3EEC1527"/>
    <w:rsid w:val="3EFA655B"/>
    <w:rsid w:val="3EFC73B7"/>
    <w:rsid w:val="3F070E49"/>
    <w:rsid w:val="3F082623"/>
    <w:rsid w:val="3F304E08"/>
    <w:rsid w:val="3F3D4A3D"/>
    <w:rsid w:val="3F3F4D49"/>
    <w:rsid w:val="3F417C61"/>
    <w:rsid w:val="3F4E2855"/>
    <w:rsid w:val="3F517949"/>
    <w:rsid w:val="3F5973C1"/>
    <w:rsid w:val="3F5F0663"/>
    <w:rsid w:val="3F717DFF"/>
    <w:rsid w:val="3F733AE9"/>
    <w:rsid w:val="3F7722E4"/>
    <w:rsid w:val="3F88009A"/>
    <w:rsid w:val="3F8A5A5C"/>
    <w:rsid w:val="3F976986"/>
    <w:rsid w:val="3F9D725A"/>
    <w:rsid w:val="3F9E25CD"/>
    <w:rsid w:val="3FA708C6"/>
    <w:rsid w:val="3FAC46C9"/>
    <w:rsid w:val="3FBE264C"/>
    <w:rsid w:val="3FC04688"/>
    <w:rsid w:val="3FC35C6C"/>
    <w:rsid w:val="3FCC35A6"/>
    <w:rsid w:val="3FCE355B"/>
    <w:rsid w:val="3FDB2873"/>
    <w:rsid w:val="3FF94E2C"/>
    <w:rsid w:val="40035149"/>
    <w:rsid w:val="400351B4"/>
    <w:rsid w:val="4005743D"/>
    <w:rsid w:val="4010775A"/>
    <w:rsid w:val="40125316"/>
    <w:rsid w:val="4013337A"/>
    <w:rsid w:val="40143DF8"/>
    <w:rsid w:val="40266073"/>
    <w:rsid w:val="40470673"/>
    <w:rsid w:val="404A445A"/>
    <w:rsid w:val="404A52B1"/>
    <w:rsid w:val="405E23E3"/>
    <w:rsid w:val="406E3A13"/>
    <w:rsid w:val="407B450C"/>
    <w:rsid w:val="40863AC3"/>
    <w:rsid w:val="409A1F76"/>
    <w:rsid w:val="40A219AE"/>
    <w:rsid w:val="40B576E7"/>
    <w:rsid w:val="40B70D19"/>
    <w:rsid w:val="40C24133"/>
    <w:rsid w:val="40CA5AEE"/>
    <w:rsid w:val="40DC4E34"/>
    <w:rsid w:val="40E260D9"/>
    <w:rsid w:val="40F461DB"/>
    <w:rsid w:val="4103272C"/>
    <w:rsid w:val="410F300B"/>
    <w:rsid w:val="411C3879"/>
    <w:rsid w:val="4125450E"/>
    <w:rsid w:val="413041F2"/>
    <w:rsid w:val="41421C8D"/>
    <w:rsid w:val="414701BA"/>
    <w:rsid w:val="414755A4"/>
    <w:rsid w:val="415119B9"/>
    <w:rsid w:val="415B6350"/>
    <w:rsid w:val="416C56EA"/>
    <w:rsid w:val="417007D7"/>
    <w:rsid w:val="41713E0B"/>
    <w:rsid w:val="41744B76"/>
    <w:rsid w:val="417F375C"/>
    <w:rsid w:val="418331C2"/>
    <w:rsid w:val="41841F4D"/>
    <w:rsid w:val="41953D1B"/>
    <w:rsid w:val="41BC64D5"/>
    <w:rsid w:val="41D34BD9"/>
    <w:rsid w:val="41DA54BD"/>
    <w:rsid w:val="41E8185E"/>
    <w:rsid w:val="41E82906"/>
    <w:rsid w:val="42084E7C"/>
    <w:rsid w:val="420F79EB"/>
    <w:rsid w:val="421B685C"/>
    <w:rsid w:val="421C4514"/>
    <w:rsid w:val="42212C48"/>
    <w:rsid w:val="42261875"/>
    <w:rsid w:val="42323D88"/>
    <w:rsid w:val="423F1FDD"/>
    <w:rsid w:val="42435B11"/>
    <w:rsid w:val="42584A8A"/>
    <w:rsid w:val="426116DE"/>
    <w:rsid w:val="42786A51"/>
    <w:rsid w:val="42886EC3"/>
    <w:rsid w:val="429163FD"/>
    <w:rsid w:val="42963474"/>
    <w:rsid w:val="42AA0529"/>
    <w:rsid w:val="42AF2E88"/>
    <w:rsid w:val="42B14668"/>
    <w:rsid w:val="42D068DB"/>
    <w:rsid w:val="42DF1B53"/>
    <w:rsid w:val="42DF6B1E"/>
    <w:rsid w:val="42E309D3"/>
    <w:rsid w:val="42E414AE"/>
    <w:rsid w:val="43087E69"/>
    <w:rsid w:val="43171E14"/>
    <w:rsid w:val="431B6658"/>
    <w:rsid w:val="432F53AF"/>
    <w:rsid w:val="434D6868"/>
    <w:rsid w:val="434E5337"/>
    <w:rsid w:val="435E4B64"/>
    <w:rsid w:val="43621354"/>
    <w:rsid w:val="436379C5"/>
    <w:rsid w:val="437A14BF"/>
    <w:rsid w:val="438A50B6"/>
    <w:rsid w:val="4399065B"/>
    <w:rsid w:val="43992916"/>
    <w:rsid w:val="43A0005B"/>
    <w:rsid w:val="43C56BDE"/>
    <w:rsid w:val="43CC5F2C"/>
    <w:rsid w:val="43E234DF"/>
    <w:rsid w:val="43E52CC5"/>
    <w:rsid w:val="43E960F8"/>
    <w:rsid w:val="43EC292D"/>
    <w:rsid w:val="43FC25A4"/>
    <w:rsid w:val="43FF2AD0"/>
    <w:rsid w:val="44052CBA"/>
    <w:rsid w:val="44057D5B"/>
    <w:rsid w:val="440740E3"/>
    <w:rsid w:val="440954ED"/>
    <w:rsid w:val="440C143D"/>
    <w:rsid w:val="44142F49"/>
    <w:rsid w:val="442944F4"/>
    <w:rsid w:val="442C7144"/>
    <w:rsid w:val="443E5A02"/>
    <w:rsid w:val="444A6E63"/>
    <w:rsid w:val="44620E2F"/>
    <w:rsid w:val="44630799"/>
    <w:rsid w:val="44734028"/>
    <w:rsid w:val="4475210F"/>
    <w:rsid w:val="44830EA6"/>
    <w:rsid w:val="4488274F"/>
    <w:rsid w:val="448B22EF"/>
    <w:rsid w:val="449D3C54"/>
    <w:rsid w:val="44BA15F0"/>
    <w:rsid w:val="44CD0DA6"/>
    <w:rsid w:val="44D41F91"/>
    <w:rsid w:val="44D72653"/>
    <w:rsid w:val="44DC2DC4"/>
    <w:rsid w:val="44DD0CDA"/>
    <w:rsid w:val="44DE6390"/>
    <w:rsid w:val="44E87738"/>
    <w:rsid w:val="44ED6B41"/>
    <w:rsid w:val="44EF1CB9"/>
    <w:rsid w:val="44F66110"/>
    <w:rsid w:val="451D4B80"/>
    <w:rsid w:val="4523563D"/>
    <w:rsid w:val="452926E8"/>
    <w:rsid w:val="45340E1B"/>
    <w:rsid w:val="454669E0"/>
    <w:rsid w:val="45512375"/>
    <w:rsid w:val="456C6947"/>
    <w:rsid w:val="45742F08"/>
    <w:rsid w:val="4579370A"/>
    <w:rsid w:val="459365E5"/>
    <w:rsid w:val="459C0CF6"/>
    <w:rsid w:val="459D0F13"/>
    <w:rsid w:val="45A7533B"/>
    <w:rsid w:val="45AE7782"/>
    <w:rsid w:val="45B60A1A"/>
    <w:rsid w:val="45D02B0C"/>
    <w:rsid w:val="45D17124"/>
    <w:rsid w:val="45DB5496"/>
    <w:rsid w:val="45DD1335"/>
    <w:rsid w:val="45E21FE7"/>
    <w:rsid w:val="45ED40E2"/>
    <w:rsid w:val="45ED4FA4"/>
    <w:rsid w:val="45F1221E"/>
    <w:rsid w:val="45F262B7"/>
    <w:rsid w:val="45F865A3"/>
    <w:rsid w:val="460A2471"/>
    <w:rsid w:val="460C19D8"/>
    <w:rsid w:val="46350142"/>
    <w:rsid w:val="464D3810"/>
    <w:rsid w:val="464F15EF"/>
    <w:rsid w:val="465511B3"/>
    <w:rsid w:val="46575EC8"/>
    <w:rsid w:val="46677ABB"/>
    <w:rsid w:val="46737C6F"/>
    <w:rsid w:val="467A2FE6"/>
    <w:rsid w:val="4693603D"/>
    <w:rsid w:val="46946DB1"/>
    <w:rsid w:val="46990F20"/>
    <w:rsid w:val="469B6A1E"/>
    <w:rsid w:val="46A42DF8"/>
    <w:rsid w:val="46AF2439"/>
    <w:rsid w:val="46BE6BCD"/>
    <w:rsid w:val="46C916D3"/>
    <w:rsid w:val="46CB5C37"/>
    <w:rsid w:val="46D05B31"/>
    <w:rsid w:val="46D07046"/>
    <w:rsid w:val="46EE0EDA"/>
    <w:rsid w:val="46F9303C"/>
    <w:rsid w:val="47154453"/>
    <w:rsid w:val="47210AB5"/>
    <w:rsid w:val="47355090"/>
    <w:rsid w:val="47423169"/>
    <w:rsid w:val="474336A4"/>
    <w:rsid w:val="47482A84"/>
    <w:rsid w:val="475048B6"/>
    <w:rsid w:val="47583D74"/>
    <w:rsid w:val="475F36B2"/>
    <w:rsid w:val="47770936"/>
    <w:rsid w:val="479653C5"/>
    <w:rsid w:val="47A26A3C"/>
    <w:rsid w:val="47B72BD9"/>
    <w:rsid w:val="47BE24AA"/>
    <w:rsid w:val="47BF7E31"/>
    <w:rsid w:val="47CA0AC9"/>
    <w:rsid w:val="47D7253A"/>
    <w:rsid w:val="47E2428C"/>
    <w:rsid w:val="47E77A11"/>
    <w:rsid w:val="47E83C04"/>
    <w:rsid w:val="47EE5734"/>
    <w:rsid w:val="480E07D8"/>
    <w:rsid w:val="481C6DA3"/>
    <w:rsid w:val="482B24EA"/>
    <w:rsid w:val="4860425D"/>
    <w:rsid w:val="486924B1"/>
    <w:rsid w:val="487735EE"/>
    <w:rsid w:val="487806ED"/>
    <w:rsid w:val="4878570E"/>
    <w:rsid w:val="487970CD"/>
    <w:rsid w:val="488A2EB7"/>
    <w:rsid w:val="48902B3C"/>
    <w:rsid w:val="48936660"/>
    <w:rsid w:val="48A326ED"/>
    <w:rsid w:val="48AB58C3"/>
    <w:rsid w:val="48AF1997"/>
    <w:rsid w:val="48AF34FD"/>
    <w:rsid w:val="48B013B1"/>
    <w:rsid w:val="48BF0F83"/>
    <w:rsid w:val="48C03C76"/>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486FFF"/>
    <w:rsid w:val="494F46CF"/>
    <w:rsid w:val="49515647"/>
    <w:rsid w:val="4953791E"/>
    <w:rsid w:val="4961011A"/>
    <w:rsid w:val="496B2ADC"/>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F15863"/>
    <w:rsid w:val="49F242C9"/>
    <w:rsid w:val="49F44FF0"/>
    <w:rsid w:val="4A030844"/>
    <w:rsid w:val="4A0D7F42"/>
    <w:rsid w:val="4A130CD4"/>
    <w:rsid w:val="4A1B647C"/>
    <w:rsid w:val="4A2A2D74"/>
    <w:rsid w:val="4A2B6F2D"/>
    <w:rsid w:val="4A3171B8"/>
    <w:rsid w:val="4A541C13"/>
    <w:rsid w:val="4A772445"/>
    <w:rsid w:val="4A791048"/>
    <w:rsid w:val="4A7D7215"/>
    <w:rsid w:val="4A845BD3"/>
    <w:rsid w:val="4A8D52FB"/>
    <w:rsid w:val="4A8D56DE"/>
    <w:rsid w:val="4A976E1B"/>
    <w:rsid w:val="4A9E3173"/>
    <w:rsid w:val="4AB33A2C"/>
    <w:rsid w:val="4AB47A12"/>
    <w:rsid w:val="4AB538C9"/>
    <w:rsid w:val="4ABE260E"/>
    <w:rsid w:val="4AC0647D"/>
    <w:rsid w:val="4ACF0F07"/>
    <w:rsid w:val="4AD66CD6"/>
    <w:rsid w:val="4AD74653"/>
    <w:rsid w:val="4AE07DFB"/>
    <w:rsid w:val="4AE23121"/>
    <w:rsid w:val="4AEC627C"/>
    <w:rsid w:val="4AEE16B8"/>
    <w:rsid w:val="4AEF24ED"/>
    <w:rsid w:val="4AF96CB6"/>
    <w:rsid w:val="4AFD5169"/>
    <w:rsid w:val="4AFF5FAF"/>
    <w:rsid w:val="4B093295"/>
    <w:rsid w:val="4B0C06DC"/>
    <w:rsid w:val="4B184095"/>
    <w:rsid w:val="4B1D06EE"/>
    <w:rsid w:val="4B2043B8"/>
    <w:rsid w:val="4B285F31"/>
    <w:rsid w:val="4B406692"/>
    <w:rsid w:val="4B492A3B"/>
    <w:rsid w:val="4B497029"/>
    <w:rsid w:val="4B5C74E9"/>
    <w:rsid w:val="4B5F3ED9"/>
    <w:rsid w:val="4B605F8F"/>
    <w:rsid w:val="4B634726"/>
    <w:rsid w:val="4B6A1902"/>
    <w:rsid w:val="4B716063"/>
    <w:rsid w:val="4B7D0C82"/>
    <w:rsid w:val="4B8F6E14"/>
    <w:rsid w:val="4B951AD0"/>
    <w:rsid w:val="4B9809FD"/>
    <w:rsid w:val="4BB0472C"/>
    <w:rsid w:val="4BB41CBD"/>
    <w:rsid w:val="4BBB33A6"/>
    <w:rsid w:val="4BBE46DB"/>
    <w:rsid w:val="4BBF66BA"/>
    <w:rsid w:val="4BC472D1"/>
    <w:rsid w:val="4BC54E66"/>
    <w:rsid w:val="4BCD57A7"/>
    <w:rsid w:val="4BCF788F"/>
    <w:rsid w:val="4BD84E75"/>
    <w:rsid w:val="4BDC5224"/>
    <w:rsid w:val="4BE76065"/>
    <w:rsid w:val="4BEA3BEA"/>
    <w:rsid w:val="4BEC4DB3"/>
    <w:rsid w:val="4BF149C3"/>
    <w:rsid w:val="4BF9780B"/>
    <w:rsid w:val="4BFA4125"/>
    <w:rsid w:val="4C020E7B"/>
    <w:rsid w:val="4C100A4F"/>
    <w:rsid w:val="4C23448B"/>
    <w:rsid w:val="4C345224"/>
    <w:rsid w:val="4C432B3A"/>
    <w:rsid w:val="4C4C2771"/>
    <w:rsid w:val="4C543B22"/>
    <w:rsid w:val="4C5566D7"/>
    <w:rsid w:val="4C6016B2"/>
    <w:rsid w:val="4C644E8C"/>
    <w:rsid w:val="4C742D40"/>
    <w:rsid w:val="4C746C1E"/>
    <w:rsid w:val="4C7C48A7"/>
    <w:rsid w:val="4C7C506B"/>
    <w:rsid w:val="4CA87F80"/>
    <w:rsid w:val="4CBB0A14"/>
    <w:rsid w:val="4CCB4740"/>
    <w:rsid w:val="4CCD1A64"/>
    <w:rsid w:val="4CD251A8"/>
    <w:rsid w:val="4CD52E3E"/>
    <w:rsid w:val="4CE57A8E"/>
    <w:rsid w:val="4CFB55CD"/>
    <w:rsid w:val="4D072D79"/>
    <w:rsid w:val="4D145D5B"/>
    <w:rsid w:val="4D17778C"/>
    <w:rsid w:val="4D180FA5"/>
    <w:rsid w:val="4D281D25"/>
    <w:rsid w:val="4D2C015A"/>
    <w:rsid w:val="4D473BE7"/>
    <w:rsid w:val="4D5544C8"/>
    <w:rsid w:val="4D616AAD"/>
    <w:rsid w:val="4D676506"/>
    <w:rsid w:val="4D700D45"/>
    <w:rsid w:val="4D73778C"/>
    <w:rsid w:val="4D745DFC"/>
    <w:rsid w:val="4D8663D0"/>
    <w:rsid w:val="4D8F10BC"/>
    <w:rsid w:val="4D8F631A"/>
    <w:rsid w:val="4D987A0C"/>
    <w:rsid w:val="4DA2170E"/>
    <w:rsid w:val="4DA226DD"/>
    <w:rsid w:val="4DBC6884"/>
    <w:rsid w:val="4DEE07CD"/>
    <w:rsid w:val="4DF010A0"/>
    <w:rsid w:val="4DF52966"/>
    <w:rsid w:val="4DF633EF"/>
    <w:rsid w:val="4E0361F9"/>
    <w:rsid w:val="4E03750E"/>
    <w:rsid w:val="4E096E2C"/>
    <w:rsid w:val="4E0B4471"/>
    <w:rsid w:val="4E131941"/>
    <w:rsid w:val="4E21237F"/>
    <w:rsid w:val="4E3153AC"/>
    <w:rsid w:val="4E34712A"/>
    <w:rsid w:val="4E37534F"/>
    <w:rsid w:val="4E3A1C2D"/>
    <w:rsid w:val="4E463A07"/>
    <w:rsid w:val="4E4F7006"/>
    <w:rsid w:val="4E567965"/>
    <w:rsid w:val="4E5879FD"/>
    <w:rsid w:val="4E5B246B"/>
    <w:rsid w:val="4E6A6162"/>
    <w:rsid w:val="4E6A7AAB"/>
    <w:rsid w:val="4E6F7F3D"/>
    <w:rsid w:val="4E77126F"/>
    <w:rsid w:val="4E870CEC"/>
    <w:rsid w:val="4E932227"/>
    <w:rsid w:val="4E951779"/>
    <w:rsid w:val="4E9D5E6B"/>
    <w:rsid w:val="4EA310EA"/>
    <w:rsid w:val="4EAB5E7F"/>
    <w:rsid w:val="4EAB7B87"/>
    <w:rsid w:val="4EAF1AF8"/>
    <w:rsid w:val="4EB27D68"/>
    <w:rsid w:val="4EBB45BA"/>
    <w:rsid w:val="4ECA4D18"/>
    <w:rsid w:val="4EDD4F23"/>
    <w:rsid w:val="4EDE2A17"/>
    <w:rsid w:val="4EF82C0F"/>
    <w:rsid w:val="4F1705ED"/>
    <w:rsid w:val="4F1B405C"/>
    <w:rsid w:val="4F221450"/>
    <w:rsid w:val="4F26716D"/>
    <w:rsid w:val="4F39547D"/>
    <w:rsid w:val="4F5831BF"/>
    <w:rsid w:val="4F5E50E8"/>
    <w:rsid w:val="4F6065C7"/>
    <w:rsid w:val="4F671F9B"/>
    <w:rsid w:val="4F67737B"/>
    <w:rsid w:val="4F766114"/>
    <w:rsid w:val="4F8113A7"/>
    <w:rsid w:val="4F83463B"/>
    <w:rsid w:val="4F944AF3"/>
    <w:rsid w:val="4F9B48E0"/>
    <w:rsid w:val="4FB547BF"/>
    <w:rsid w:val="4FB576DD"/>
    <w:rsid w:val="4FC83003"/>
    <w:rsid w:val="4FD46E5C"/>
    <w:rsid w:val="4FD518A8"/>
    <w:rsid w:val="4FDA66A3"/>
    <w:rsid w:val="4FDA7262"/>
    <w:rsid w:val="4FDE0ABB"/>
    <w:rsid w:val="4FEA274C"/>
    <w:rsid w:val="4FFB4A12"/>
    <w:rsid w:val="4FFB53F6"/>
    <w:rsid w:val="500B08C0"/>
    <w:rsid w:val="50136893"/>
    <w:rsid w:val="50187BDC"/>
    <w:rsid w:val="501A6B51"/>
    <w:rsid w:val="50201384"/>
    <w:rsid w:val="50271C76"/>
    <w:rsid w:val="503750F7"/>
    <w:rsid w:val="503754C6"/>
    <w:rsid w:val="50435E55"/>
    <w:rsid w:val="50486282"/>
    <w:rsid w:val="50511B72"/>
    <w:rsid w:val="50591CBD"/>
    <w:rsid w:val="506568C1"/>
    <w:rsid w:val="50693BBD"/>
    <w:rsid w:val="506D7E3B"/>
    <w:rsid w:val="50700EA1"/>
    <w:rsid w:val="50795EBC"/>
    <w:rsid w:val="508D1967"/>
    <w:rsid w:val="50B109AF"/>
    <w:rsid w:val="50B9275C"/>
    <w:rsid w:val="50BA54D1"/>
    <w:rsid w:val="50C57353"/>
    <w:rsid w:val="50C9265F"/>
    <w:rsid w:val="50C954CC"/>
    <w:rsid w:val="50D856A5"/>
    <w:rsid w:val="50E20B5E"/>
    <w:rsid w:val="50E91B37"/>
    <w:rsid w:val="50F73ADC"/>
    <w:rsid w:val="511429EF"/>
    <w:rsid w:val="5128530D"/>
    <w:rsid w:val="512C2F2E"/>
    <w:rsid w:val="513A20EB"/>
    <w:rsid w:val="513F7105"/>
    <w:rsid w:val="51475B9B"/>
    <w:rsid w:val="514F764A"/>
    <w:rsid w:val="515446F4"/>
    <w:rsid w:val="515C44D2"/>
    <w:rsid w:val="51607C8A"/>
    <w:rsid w:val="51646F20"/>
    <w:rsid w:val="51694C80"/>
    <w:rsid w:val="5173358C"/>
    <w:rsid w:val="51746538"/>
    <w:rsid w:val="51866838"/>
    <w:rsid w:val="518F457C"/>
    <w:rsid w:val="51917235"/>
    <w:rsid w:val="519E06BD"/>
    <w:rsid w:val="51A61FD4"/>
    <w:rsid w:val="51A94649"/>
    <w:rsid w:val="51AD7117"/>
    <w:rsid w:val="51B71FD1"/>
    <w:rsid w:val="51BA3A7E"/>
    <w:rsid w:val="51CD59F0"/>
    <w:rsid w:val="51D37172"/>
    <w:rsid w:val="51DA6316"/>
    <w:rsid w:val="51E9071F"/>
    <w:rsid w:val="51F778C3"/>
    <w:rsid w:val="51FE1BA6"/>
    <w:rsid w:val="51FF0643"/>
    <w:rsid w:val="52031B4F"/>
    <w:rsid w:val="52115C1C"/>
    <w:rsid w:val="521B198B"/>
    <w:rsid w:val="521E385D"/>
    <w:rsid w:val="521F3230"/>
    <w:rsid w:val="522A6D57"/>
    <w:rsid w:val="522E728D"/>
    <w:rsid w:val="522F077A"/>
    <w:rsid w:val="52306B3C"/>
    <w:rsid w:val="52324D6D"/>
    <w:rsid w:val="524E1C99"/>
    <w:rsid w:val="525700F4"/>
    <w:rsid w:val="525A5EFE"/>
    <w:rsid w:val="526724C9"/>
    <w:rsid w:val="52692625"/>
    <w:rsid w:val="526A1ABF"/>
    <w:rsid w:val="527E1DD7"/>
    <w:rsid w:val="527F727E"/>
    <w:rsid w:val="52860453"/>
    <w:rsid w:val="52983A2D"/>
    <w:rsid w:val="52993E93"/>
    <w:rsid w:val="529E0439"/>
    <w:rsid w:val="52A835F0"/>
    <w:rsid w:val="52AC20F1"/>
    <w:rsid w:val="52BD4667"/>
    <w:rsid w:val="52C4650C"/>
    <w:rsid w:val="52C75BB0"/>
    <w:rsid w:val="52C9432D"/>
    <w:rsid w:val="52D16FF2"/>
    <w:rsid w:val="52DB5A3F"/>
    <w:rsid w:val="52DC0984"/>
    <w:rsid w:val="52DE2C43"/>
    <w:rsid w:val="52E674BE"/>
    <w:rsid w:val="52EC48FA"/>
    <w:rsid w:val="53005A6E"/>
    <w:rsid w:val="530748DF"/>
    <w:rsid w:val="53222E14"/>
    <w:rsid w:val="53300FB6"/>
    <w:rsid w:val="533019DA"/>
    <w:rsid w:val="53475D3A"/>
    <w:rsid w:val="53506D07"/>
    <w:rsid w:val="53566988"/>
    <w:rsid w:val="53655A80"/>
    <w:rsid w:val="536C5B1E"/>
    <w:rsid w:val="53844657"/>
    <w:rsid w:val="538B42DE"/>
    <w:rsid w:val="539E6AA6"/>
    <w:rsid w:val="539F5A31"/>
    <w:rsid w:val="53A60DD5"/>
    <w:rsid w:val="53A87967"/>
    <w:rsid w:val="53C45732"/>
    <w:rsid w:val="53CC5E1A"/>
    <w:rsid w:val="53D127E7"/>
    <w:rsid w:val="53DC7670"/>
    <w:rsid w:val="53E7598C"/>
    <w:rsid w:val="53EC1861"/>
    <w:rsid w:val="53F76048"/>
    <w:rsid w:val="54203828"/>
    <w:rsid w:val="542F35D9"/>
    <w:rsid w:val="542F444C"/>
    <w:rsid w:val="543508C5"/>
    <w:rsid w:val="543876E2"/>
    <w:rsid w:val="543A3C6A"/>
    <w:rsid w:val="543C7CB2"/>
    <w:rsid w:val="54576514"/>
    <w:rsid w:val="545D781B"/>
    <w:rsid w:val="545F6B68"/>
    <w:rsid w:val="54703B76"/>
    <w:rsid w:val="54860504"/>
    <w:rsid w:val="548B08B3"/>
    <w:rsid w:val="54901430"/>
    <w:rsid w:val="54AF37EA"/>
    <w:rsid w:val="54C16897"/>
    <w:rsid w:val="54CC2C09"/>
    <w:rsid w:val="54CD098B"/>
    <w:rsid w:val="54CF1AAB"/>
    <w:rsid w:val="54ED448D"/>
    <w:rsid w:val="54F55A9E"/>
    <w:rsid w:val="55010C6B"/>
    <w:rsid w:val="55025A45"/>
    <w:rsid w:val="55092FAD"/>
    <w:rsid w:val="55194651"/>
    <w:rsid w:val="551E3960"/>
    <w:rsid w:val="551F0E6A"/>
    <w:rsid w:val="55375455"/>
    <w:rsid w:val="553C17B6"/>
    <w:rsid w:val="555016E8"/>
    <w:rsid w:val="556154BA"/>
    <w:rsid w:val="55774129"/>
    <w:rsid w:val="557C61D1"/>
    <w:rsid w:val="5585712D"/>
    <w:rsid w:val="558D4110"/>
    <w:rsid w:val="559912AF"/>
    <w:rsid w:val="559961B4"/>
    <w:rsid w:val="55AA6225"/>
    <w:rsid w:val="55AE6718"/>
    <w:rsid w:val="55E5388D"/>
    <w:rsid w:val="55EC13BA"/>
    <w:rsid w:val="55EE640B"/>
    <w:rsid w:val="55F94F8E"/>
    <w:rsid w:val="56004989"/>
    <w:rsid w:val="56110C10"/>
    <w:rsid w:val="561428C1"/>
    <w:rsid w:val="56150EB3"/>
    <w:rsid w:val="561901FA"/>
    <w:rsid w:val="561E2D2C"/>
    <w:rsid w:val="561E78FB"/>
    <w:rsid w:val="561F3CB6"/>
    <w:rsid w:val="56233904"/>
    <w:rsid w:val="562F26D3"/>
    <w:rsid w:val="56796C5B"/>
    <w:rsid w:val="56803E23"/>
    <w:rsid w:val="568E1D15"/>
    <w:rsid w:val="56955916"/>
    <w:rsid w:val="569A6E40"/>
    <w:rsid w:val="56AE6EA8"/>
    <w:rsid w:val="56B83943"/>
    <w:rsid w:val="56BA113F"/>
    <w:rsid w:val="56C41882"/>
    <w:rsid w:val="56D54E6B"/>
    <w:rsid w:val="56DC53F6"/>
    <w:rsid w:val="56DD6FA5"/>
    <w:rsid w:val="56DF626B"/>
    <w:rsid w:val="56E9086F"/>
    <w:rsid w:val="56EC2D4F"/>
    <w:rsid w:val="56F35327"/>
    <w:rsid w:val="56F3629C"/>
    <w:rsid w:val="56F52014"/>
    <w:rsid w:val="56FA2C14"/>
    <w:rsid w:val="56FB3FF9"/>
    <w:rsid w:val="56FD2198"/>
    <w:rsid w:val="57114899"/>
    <w:rsid w:val="5718099E"/>
    <w:rsid w:val="571F4340"/>
    <w:rsid w:val="572409FC"/>
    <w:rsid w:val="57336EC6"/>
    <w:rsid w:val="57380C37"/>
    <w:rsid w:val="5739626B"/>
    <w:rsid w:val="574717EA"/>
    <w:rsid w:val="574E13AD"/>
    <w:rsid w:val="577522C7"/>
    <w:rsid w:val="57861513"/>
    <w:rsid w:val="5789573D"/>
    <w:rsid w:val="578C704A"/>
    <w:rsid w:val="57981B34"/>
    <w:rsid w:val="579A1FB5"/>
    <w:rsid w:val="579B7EDC"/>
    <w:rsid w:val="57A0645C"/>
    <w:rsid w:val="57A13883"/>
    <w:rsid w:val="57A2525D"/>
    <w:rsid w:val="57B671D8"/>
    <w:rsid w:val="57BF3979"/>
    <w:rsid w:val="57E74CF7"/>
    <w:rsid w:val="57E825D4"/>
    <w:rsid w:val="57F413E2"/>
    <w:rsid w:val="57F70468"/>
    <w:rsid w:val="581329DA"/>
    <w:rsid w:val="581D1822"/>
    <w:rsid w:val="58230D38"/>
    <w:rsid w:val="5837317F"/>
    <w:rsid w:val="58385FF7"/>
    <w:rsid w:val="583B5B3E"/>
    <w:rsid w:val="583B6401"/>
    <w:rsid w:val="584157D2"/>
    <w:rsid w:val="584331DC"/>
    <w:rsid w:val="585C56FA"/>
    <w:rsid w:val="586036A7"/>
    <w:rsid w:val="586D0393"/>
    <w:rsid w:val="587F7ED1"/>
    <w:rsid w:val="588C15CC"/>
    <w:rsid w:val="589D49D4"/>
    <w:rsid w:val="589D5EBC"/>
    <w:rsid w:val="58A04049"/>
    <w:rsid w:val="58A219B7"/>
    <w:rsid w:val="58A2448A"/>
    <w:rsid w:val="58A45E46"/>
    <w:rsid w:val="58C06677"/>
    <w:rsid w:val="58C17993"/>
    <w:rsid w:val="58C215E0"/>
    <w:rsid w:val="58E13609"/>
    <w:rsid w:val="58E93DFA"/>
    <w:rsid w:val="590E7B63"/>
    <w:rsid w:val="5911704A"/>
    <w:rsid w:val="59117084"/>
    <w:rsid w:val="591E31B2"/>
    <w:rsid w:val="592937FA"/>
    <w:rsid w:val="593239B2"/>
    <w:rsid w:val="593D52A0"/>
    <w:rsid w:val="593E5F05"/>
    <w:rsid w:val="594279D7"/>
    <w:rsid w:val="59434133"/>
    <w:rsid w:val="59796DE8"/>
    <w:rsid w:val="597C318D"/>
    <w:rsid w:val="599A30CF"/>
    <w:rsid w:val="59AE331A"/>
    <w:rsid w:val="59B1531E"/>
    <w:rsid w:val="59B31432"/>
    <w:rsid w:val="59B86BB4"/>
    <w:rsid w:val="59BC5BAA"/>
    <w:rsid w:val="59C52172"/>
    <w:rsid w:val="59DC530F"/>
    <w:rsid w:val="59DD0BC9"/>
    <w:rsid w:val="59DE647C"/>
    <w:rsid w:val="59EC35C1"/>
    <w:rsid w:val="59EC3697"/>
    <w:rsid w:val="59EE732A"/>
    <w:rsid w:val="59F24F64"/>
    <w:rsid w:val="59F83A7F"/>
    <w:rsid w:val="5A0268AB"/>
    <w:rsid w:val="5A063D38"/>
    <w:rsid w:val="5A142786"/>
    <w:rsid w:val="5A2B00AB"/>
    <w:rsid w:val="5A3A281E"/>
    <w:rsid w:val="5A3C6AE3"/>
    <w:rsid w:val="5A4C6AB4"/>
    <w:rsid w:val="5A4C6EDF"/>
    <w:rsid w:val="5A517945"/>
    <w:rsid w:val="5A60354C"/>
    <w:rsid w:val="5A64678E"/>
    <w:rsid w:val="5A684474"/>
    <w:rsid w:val="5A807B8B"/>
    <w:rsid w:val="5A8B483A"/>
    <w:rsid w:val="5A9B3CFD"/>
    <w:rsid w:val="5AAD0BDB"/>
    <w:rsid w:val="5AAF0703"/>
    <w:rsid w:val="5AB10E32"/>
    <w:rsid w:val="5AC44599"/>
    <w:rsid w:val="5ADF07E8"/>
    <w:rsid w:val="5AE979C9"/>
    <w:rsid w:val="5AEC6396"/>
    <w:rsid w:val="5B07328E"/>
    <w:rsid w:val="5B132CCC"/>
    <w:rsid w:val="5B376556"/>
    <w:rsid w:val="5B393C4D"/>
    <w:rsid w:val="5B4165B4"/>
    <w:rsid w:val="5B451EA5"/>
    <w:rsid w:val="5B5F159B"/>
    <w:rsid w:val="5B623077"/>
    <w:rsid w:val="5B750D47"/>
    <w:rsid w:val="5B7610DF"/>
    <w:rsid w:val="5B7B1DBC"/>
    <w:rsid w:val="5B820CEA"/>
    <w:rsid w:val="5B830C39"/>
    <w:rsid w:val="5B895319"/>
    <w:rsid w:val="5BB14D3E"/>
    <w:rsid w:val="5BC815A9"/>
    <w:rsid w:val="5BCA019E"/>
    <w:rsid w:val="5BCF6E52"/>
    <w:rsid w:val="5BD84350"/>
    <w:rsid w:val="5BDF10EC"/>
    <w:rsid w:val="5BE11AD0"/>
    <w:rsid w:val="5BEA2363"/>
    <w:rsid w:val="5BF65E4A"/>
    <w:rsid w:val="5BFC5DEF"/>
    <w:rsid w:val="5C031C08"/>
    <w:rsid w:val="5C073493"/>
    <w:rsid w:val="5C0823F5"/>
    <w:rsid w:val="5C08313A"/>
    <w:rsid w:val="5C271679"/>
    <w:rsid w:val="5C277A24"/>
    <w:rsid w:val="5C284D5E"/>
    <w:rsid w:val="5C2C3EF8"/>
    <w:rsid w:val="5C2F6D78"/>
    <w:rsid w:val="5C3071E6"/>
    <w:rsid w:val="5C4707B9"/>
    <w:rsid w:val="5C500299"/>
    <w:rsid w:val="5C526139"/>
    <w:rsid w:val="5C5675E5"/>
    <w:rsid w:val="5C5F5E7F"/>
    <w:rsid w:val="5C646B0E"/>
    <w:rsid w:val="5C65426F"/>
    <w:rsid w:val="5C6E0BD2"/>
    <w:rsid w:val="5C731A7F"/>
    <w:rsid w:val="5C7569AD"/>
    <w:rsid w:val="5C7A4350"/>
    <w:rsid w:val="5CAF2C03"/>
    <w:rsid w:val="5CD062DF"/>
    <w:rsid w:val="5CD15530"/>
    <w:rsid w:val="5CD27D37"/>
    <w:rsid w:val="5CD36B2E"/>
    <w:rsid w:val="5CD4779E"/>
    <w:rsid w:val="5CD677DA"/>
    <w:rsid w:val="5CD821BC"/>
    <w:rsid w:val="5CDE27BC"/>
    <w:rsid w:val="5D137532"/>
    <w:rsid w:val="5D157C88"/>
    <w:rsid w:val="5D1E0ED1"/>
    <w:rsid w:val="5D374EE4"/>
    <w:rsid w:val="5D46181B"/>
    <w:rsid w:val="5D496913"/>
    <w:rsid w:val="5D604E1A"/>
    <w:rsid w:val="5D613ECE"/>
    <w:rsid w:val="5D6A6E55"/>
    <w:rsid w:val="5D6E48CE"/>
    <w:rsid w:val="5D76283E"/>
    <w:rsid w:val="5D8306C9"/>
    <w:rsid w:val="5D842A1D"/>
    <w:rsid w:val="5D8C1D3C"/>
    <w:rsid w:val="5D9C123E"/>
    <w:rsid w:val="5DA37D8E"/>
    <w:rsid w:val="5DB20FCB"/>
    <w:rsid w:val="5DB46785"/>
    <w:rsid w:val="5DB70023"/>
    <w:rsid w:val="5DD0062B"/>
    <w:rsid w:val="5DE062FC"/>
    <w:rsid w:val="5DE51229"/>
    <w:rsid w:val="5DF15A4C"/>
    <w:rsid w:val="5DF31E43"/>
    <w:rsid w:val="5E021953"/>
    <w:rsid w:val="5E036527"/>
    <w:rsid w:val="5E04757B"/>
    <w:rsid w:val="5E087B7C"/>
    <w:rsid w:val="5E0E54E0"/>
    <w:rsid w:val="5E11368B"/>
    <w:rsid w:val="5E207E63"/>
    <w:rsid w:val="5E4565B9"/>
    <w:rsid w:val="5E486860"/>
    <w:rsid w:val="5E4B0A93"/>
    <w:rsid w:val="5E59569C"/>
    <w:rsid w:val="5E7E1766"/>
    <w:rsid w:val="5E847FBB"/>
    <w:rsid w:val="5E8A5676"/>
    <w:rsid w:val="5E8F38D1"/>
    <w:rsid w:val="5E927AEF"/>
    <w:rsid w:val="5EB37363"/>
    <w:rsid w:val="5EBA0DC9"/>
    <w:rsid w:val="5EBA5D65"/>
    <w:rsid w:val="5EBF4211"/>
    <w:rsid w:val="5EC4031F"/>
    <w:rsid w:val="5EC6445F"/>
    <w:rsid w:val="5ED50336"/>
    <w:rsid w:val="5ED65319"/>
    <w:rsid w:val="5EEB5E61"/>
    <w:rsid w:val="5EF1586C"/>
    <w:rsid w:val="5F2141F8"/>
    <w:rsid w:val="5F2E3F07"/>
    <w:rsid w:val="5F41229A"/>
    <w:rsid w:val="5F46047A"/>
    <w:rsid w:val="5F4A68D0"/>
    <w:rsid w:val="5F6A3191"/>
    <w:rsid w:val="5F7A0801"/>
    <w:rsid w:val="5F843E24"/>
    <w:rsid w:val="5F8A21F8"/>
    <w:rsid w:val="5F8D62F8"/>
    <w:rsid w:val="5FA23D09"/>
    <w:rsid w:val="5FAB1660"/>
    <w:rsid w:val="5FAF7865"/>
    <w:rsid w:val="5FB5B2C3"/>
    <w:rsid w:val="5FB73F3B"/>
    <w:rsid w:val="5FC67588"/>
    <w:rsid w:val="5FD046CB"/>
    <w:rsid w:val="5FE73D0E"/>
    <w:rsid w:val="5FE80968"/>
    <w:rsid w:val="60067040"/>
    <w:rsid w:val="6008140F"/>
    <w:rsid w:val="60086F0A"/>
    <w:rsid w:val="601B4A47"/>
    <w:rsid w:val="60217A1A"/>
    <w:rsid w:val="603C0CB4"/>
    <w:rsid w:val="604270E5"/>
    <w:rsid w:val="604D05E2"/>
    <w:rsid w:val="605F20D7"/>
    <w:rsid w:val="60646418"/>
    <w:rsid w:val="60691264"/>
    <w:rsid w:val="606D52A1"/>
    <w:rsid w:val="60761A02"/>
    <w:rsid w:val="607704D1"/>
    <w:rsid w:val="608D24C2"/>
    <w:rsid w:val="60974A83"/>
    <w:rsid w:val="609A3072"/>
    <w:rsid w:val="609E62ED"/>
    <w:rsid w:val="60A76608"/>
    <w:rsid w:val="60A80CA6"/>
    <w:rsid w:val="60B26B24"/>
    <w:rsid w:val="60B322B3"/>
    <w:rsid w:val="60BF1DF9"/>
    <w:rsid w:val="60EE0218"/>
    <w:rsid w:val="60EE7586"/>
    <w:rsid w:val="60FA4B1B"/>
    <w:rsid w:val="60FE7FA1"/>
    <w:rsid w:val="610544EA"/>
    <w:rsid w:val="61091E5D"/>
    <w:rsid w:val="610A7CB7"/>
    <w:rsid w:val="61167757"/>
    <w:rsid w:val="611F56E1"/>
    <w:rsid w:val="61353591"/>
    <w:rsid w:val="6146417D"/>
    <w:rsid w:val="614B40F4"/>
    <w:rsid w:val="614E087A"/>
    <w:rsid w:val="6160227E"/>
    <w:rsid w:val="6162303C"/>
    <w:rsid w:val="61632D51"/>
    <w:rsid w:val="61652BC9"/>
    <w:rsid w:val="616E53C9"/>
    <w:rsid w:val="616F678F"/>
    <w:rsid w:val="61775741"/>
    <w:rsid w:val="61801651"/>
    <w:rsid w:val="618C32E6"/>
    <w:rsid w:val="61942B31"/>
    <w:rsid w:val="61A15FB0"/>
    <w:rsid w:val="61A56CA4"/>
    <w:rsid w:val="61B17E42"/>
    <w:rsid w:val="61BB3420"/>
    <w:rsid w:val="61D17319"/>
    <w:rsid w:val="61D81473"/>
    <w:rsid w:val="61EA683F"/>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10D92"/>
    <w:rsid w:val="62691671"/>
    <w:rsid w:val="62875AAB"/>
    <w:rsid w:val="62BB6D3E"/>
    <w:rsid w:val="62BC0D55"/>
    <w:rsid w:val="62BC6E3C"/>
    <w:rsid w:val="62C3220A"/>
    <w:rsid w:val="62E0150F"/>
    <w:rsid w:val="62E02F60"/>
    <w:rsid w:val="62E82794"/>
    <w:rsid w:val="62F526E7"/>
    <w:rsid w:val="63106D5B"/>
    <w:rsid w:val="6332766D"/>
    <w:rsid w:val="63396158"/>
    <w:rsid w:val="633C5B98"/>
    <w:rsid w:val="63430D2A"/>
    <w:rsid w:val="63473BF7"/>
    <w:rsid w:val="634D61C9"/>
    <w:rsid w:val="63587A04"/>
    <w:rsid w:val="635C4C57"/>
    <w:rsid w:val="635C750D"/>
    <w:rsid w:val="63674CA4"/>
    <w:rsid w:val="63767BB2"/>
    <w:rsid w:val="6378107A"/>
    <w:rsid w:val="63860BC4"/>
    <w:rsid w:val="63A54F06"/>
    <w:rsid w:val="63A64DC2"/>
    <w:rsid w:val="63A712DF"/>
    <w:rsid w:val="63AD6951"/>
    <w:rsid w:val="63B16962"/>
    <w:rsid w:val="63B24700"/>
    <w:rsid w:val="63BA2EDA"/>
    <w:rsid w:val="63C9624A"/>
    <w:rsid w:val="63CC601E"/>
    <w:rsid w:val="63D371B2"/>
    <w:rsid w:val="63D719DB"/>
    <w:rsid w:val="63E00AF9"/>
    <w:rsid w:val="63ED4724"/>
    <w:rsid w:val="63F80D94"/>
    <w:rsid w:val="63FF6FFC"/>
    <w:rsid w:val="64001A81"/>
    <w:rsid w:val="64026854"/>
    <w:rsid w:val="642411E7"/>
    <w:rsid w:val="643D2B73"/>
    <w:rsid w:val="643E4882"/>
    <w:rsid w:val="644857E1"/>
    <w:rsid w:val="644A1BF1"/>
    <w:rsid w:val="644A226C"/>
    <w:rsid w:val="644B68F2"/>
    <w:rsid w:val="64525187"/>
    <w:rsid w:val="64553A5C"/>
    <w:rsid w:val="6462771D"/>
    <w:rsid w:val="646523C6"/>
    <w:rsid w:val="64750A67"/>
    <w:rsid w:val="648F4603"/>
    <w:rsid w:val="64940BBC"/>
    <w:rsid w:val="649413B7"/>
    <w:rsid w:val="649C40B1"/>
    <w:rsid w:val="649D6000"/>
    <w:rsid w:val="64A22D34"/>
    <w:rsid w:val="64A66AB8"/>
    <w:rsid w:val="64B2181C"/>
    <w:rsid w:val="64B96738"/>
    <w:rsid w:val="64BD6D1E"/>
    <w:rsid w:val="64CA3146"/>
    <w:rsid w:val="64CF2FBB"/>
    <w:rsid w:val="64D076D0"/>
    <w:rsid w:val="64D25ADC"/>
    <w:rsid w:val="64D8700C"/>
    <w:rsid w:val="64DA642E"/>
    <w:rsid w:val="64E67379"/>
    <w:rsid w:val="64FB0208"/>
    <w:rsid w:val="64FB1BDE"/>
    <w:rsid w:val="650B1C07"/>
    <w:rsid w:val="651A5F91"/>
    <w:rsid w:val="651A78D9"/>
    <w:rsid w:val="651B5281"/>
    <w:rsid w:val="65230714"/>
    <w:rsid w:val="652A5016"/>
    <w:rsid w:val="652C5EB4"/>
    <w:rsid w:val="654B2836"/>
    <w:rsid w:val="654B3C55"/>
    <w:rsid w:val="6556509D"/>
    <w:rsid w:val="65680726"/>
    <w:rsid w:val="6569775B"/>
    <w:rsid w:val="657F58CB"/>
    <w:rsid w:val="658159DC"/>
    <w:rsid w:val="65830371"/>
    <w:rsid w:val="65864C9C"/>
    <w:rsid w:val="6595571C"/>
    <w:rsid w:val="659E70F4"/>
    <w:rsid w:val="659F72AD"/>
    <w:rsid w:val="65A76DE5"/>
    <w:rsid w:val="65BA079C"/>
    <w:rsid w:val="65DA2049"/>
    <w:rsid w:val="65E17BA8"/>
    <w:rsid w:val="65FA1534"/>
    <w:rsid w:val="65FA5D55"/>
    <w:rsid w:val="66020B60"/>
    <w:rsid w:val="660255FB"/>
    <w:rsid w:val="66123D10"/>
    <w:rsid w:val="66133DAB"/>
    <w:rsid w:val="661A16F1"/>
    <w:rsid w:val="661C75BD"/>
    <w:rsid w:val="663D1055"/>
    <w:rsid w:val="664541E6"/>
    <w:rsid w:val="66474970"/>
    <w:rsid w:val="6648514C"/>
    <w:rsid w:val="664B39FF"/>
    <w:rsid w:val="6663790C"/>
    <w:rsid w:val="66747232"/>
    <w:rsid w:val="667D15A4"/>
    <w:rsid w:val="667D7BC5"/>
    <w:rsid w:val="668215CB"/>
    <w:rsid w:val="66837765"/>
    <w:rsid w:val="668533B4"/>
    <w:rsid w:val="669902AD"/>
    <w:rsid w:val="66A129BA"/>
    <w:rsid w:val="66A93610"/>
    <w:rsid w:val="66AB587F"/>
    <w:rsid w:val="66BB75CA"/>
    <w:rsid w:val="66C07490"/>
    <w:rsid w:val="66DA1819"/>
    <w:rsid w:val="66DC6F2C"/>
    <w:rsid w:val="66E016CA"/>
    <w:rsid w:val="66E83E34"/>
    <w:rsid w:val="66EF52A5"/>
    <w:rsid w:val="66F30D69"/>
    <w:rsid w:val="66FC72F7"/>
    <w:rsid w:val="670B0931"/>
    <w:rsid w:val="67120309"/>
    <w:rsid w:val="671E3B2F"/>
    <w:rsid w:val="672C7F92"/>
    <w:rsid w:val="67443AE9"/>
    <w:rsid w:val="67572F8F"/>
    <w:rsid w:val="675E333F"/>
    <w:rsid w:val="675F7D5B"/>
    <w:rsid w:val="67672ABA"/>
    <w:rsid w:val="6775322B"/>
    <w:rsid w:val="67893596"/>
    <w:rsid w:val="678A0557"/>
    <w:rsid w:val="67B805C4"/>
    <w:rsid w:val="67BF023C"/>
    <w:rsid w:val="67C15DA5"/>
    <w:rsid w:val="67C85C71"/>
    <w:rsid w:val="67CD76A1"/>
    <w:rsid w:val="67CE55FF"/>
    <w:rsid w:val="67D5557E"/>
    <w:rsid w:val="67DA7801"/>
    <w:rsid w:val="67E0047E"/>
    <w:rsid w:val="67F6293B"/>
    <w:rsid w:val="67F97E07"/>
    <w:rsid w:val="67FA187D"/>
    <w:rsid w:val="68142795"/>
    <w:rsid w:val="682C02BF"/>
    <w:rsid w:val="682E22BE"/>
    <w:rsid w:val="68336430"/>
    <w:rsid w:val="684F4B81"/>
    <w:rsid w:val="685149A2"/>
    <w:rsid w:val="68571975"/>
    <w:rsid w:val="685A79FC"/>
    <w:rsid w:val="68611261"/>
    <w:rsid w:val="686A5EB8"/>
    <w:rsid w:val="68890D6D"/>
    <w:rsid w:val="688E4077"/>
    <w:rsid w:val="688F672B"/>
    <w:rsid w:val="688F6F87"/>
    <w:rsid w:val="68923FC4"/>
    <w:rsid w:val="68A17AAF"/>
    <w:rsid w:val="68B027B4"/>
    <w:rsid w:val="68C52C84"/>
    <w:rsid w:val="68D1421D"/>
    <w:rsid w:val="68DA74AF"/>
    <w:rsid w:val="68E05863"/>
    <w:rsid w:val="68EE64F5"/>
    <w:rsid w:val="69030B1E"/>
    <w:rsid w:val="69085C0C"/>
    <w:rsid w:val="691378B0"/>
    <w:rsid w:val="69146C72"/>
    <w:rsid w:val="6920283B"/>
    <w:rsid w:val="692A57BF"/>
    <w:rsid w:val="693B41FE"/>
    <w:rsid w:val="6941314D"/>
    <w:rsid w:val="69507974"/>
    <w:rsid w:val="69521130"/>
    <w:rsid w:val="69580133"/>
    <w:rsid w:val="69586E43"/>
    <w:rsid w:val="69605A13"/>
    <w:rsid w:val="696230D5"/>
    <w:rsid w:val="69662AFA"/>
    <w:rsid w:val="69672C6C"/>
    <w:rsid w:val="696A29B9"/>
    <w:rsid w:val="69766E64"/>
    <w:rsid w:val="69770527"/>
    <w:rsid w:val="698222FD"/>
    <w:rsid w:val="6985069B"/>
    <w:rsid w:val="69911090"/>
    <w:rsid w:val="699B3BB3"/>
    <w:rsid w:val="69A57A2D"/>
    <w:rsid w:val="69AC783D"/>
    <w:rsid w:val="69AD5538"/>
    <w:rsid w:val="69BA1C87"/>
    <w:rsid w:val="69E274C8"/>
    <w:rsid w:val="69E928CE"/>
    <w:rsid w:val="69F4010D"/>
    <w:rsid w:val="69F65D30"/>
    <w:rsid w:val="69F70652"/>
    <w:rsid w:val="6A06154D"/>
    <w:rsid w:val="6A065174"/>
    <w:rsid w:val="6A1073EC"/>
    <w:rsid w:val="6A2004CE"/>
    <w:rsid w:val="6A2F6254"/>
    <w:rsid w:val="6A35394F"/>
    <w:rsid w:val="6A3824EC"/>
    <w:rsid w:val="6A413EE6"/>
    <w:rsid w:val="6A417F71"/>
    <w:rsid w:val="6A4C4802"/>
    <w:rsid w:val="6A5366C7"/>
    <w:rsid w:val="6A5779AC"/>
    <w:rsid w:val="6A6A1708"/>
    <w:rsid w:val="6A6C42F6"/>
    <w:rsid w:val="6A7513A2"/>
    <w:rsid w:val="6A86465B"/>
    <w:rsid w:val="6A8C267C"/>
    <w:rsid w:val="6AA103AC"/>
    <w:rsid w:val="6AA84B5B"/>
    <w:rsid w:val="6AAB3624"/>
    <w:rsid w:val="6AC75641"/>
    <w:rsid w:val="6ACE7ECF"/>
    <w:rsid w:val="6AD55603"/>
    <w:rsid w:val="6ADB14A0"/>
    <w:rsid w:val="6AE22AC5"/>
    <w:rsid w:val="6AE44653"/>
    <w:rsid w:val="6AF42BA2"/>
    <w:rsid w:val="6B02101C"/>
    <w:rsid w:val="6B047FBB"/>
    <w:rsid w:val="6B1430EB"/>
    <w:rsid w:val="6B184B73"/>
    <w:rsid w:val="6B1B3BDE"/>
    <w:rsid w:val="6B2040B3"/>
    <w:rsid w:val="6B2502AA"/>
    <w:rsid w:val="6B3E0DFA"/>
    <w:rsid w:val="6B410AE7"/>
    <w:rsid w:val="6B453FFA"/>
    <w:rsid w:val="6B674FF6"/>
    <w:rsid w:val="6B74202F"/>
    <w:rsid w:val="6B81450D"/>
    <w:rsid w:val="6B8558F1"/>
    <w:rsid w:val="6B8C58BE"/>
    <w:rsid w:val="6B9416DB"/>
    <w:rsid w:val="6B9568EC"/>
    <w:rsid w:val="6BC10D8C"/>
    <w:rsid w:val="6BC71567"/>
    <w:rsid w:val="6BCB1C20"/>
    <w:rsid w:val="6BD10E4A"/>
    <w:rsid w:val="6BD22BED"/>
    <w:rsid w:val="6BE45057"/>
    <w:rsid w:val="6BF62C43"/>
    <w:rsid w:val="6BFB724A"/>
    <w:rsid w:val="6C056342"/>
    <w:rsid w:val="6C162678"/>
    <w:rsid w:val="6C1F12F7"/>
    <w:rsid w:val="6C2235BB"/>
    <w:rsid w:val="6C225202"/>
    <w:rsid w:val="6C2358F3"/>
    <w:rsid w:val="6C285F16"/>
    <w:rsid w:val="6C2B087F"/>
    <w:rsid w:val="6C2E6355"/>
    <w:rsid w:val="6C387BED"/>
    <w:rsid w:val="6C3D08E7"/>
    <w:rsid w:val="6C465394"/>
    <w:rsid w:val="6C477DAC"/>
    <w:rsid w:val="6C5A499B"/>
    <w:rsid w:val="6C6E5018"/>
    <w:rsid w:val="6C743C3C"/>
    <w:rsid w:val="6C781324"/>
    <w:rsid w:val="6C787634"/>
    <w:rsid w:val="6CA20E5D"/>
    <w:rsid w:val="6CA83A9D"/>
    <w:rsid w:val="6CAE0FC7"/>
    <w:rsid w:val="6CB60E58"/>
    <w:rsid w:val="6CB90ABC"/>
    <w:rsid w:val="6CC17C43"/>
    <w:rsid w:val="6CC878AB"/>
    <w:rsid w:val="6CCC1D14"/>
    <w:rsid w:val="6CE1750C"/>
    <w:rsid w:val="6CE32FE9"/>
    <w:rsid w:val="6CE64481"/>
    <w:rsid w:val="6CF50CAC"/>
    <w:rsid w:val="6CF70595"/>
    <w:rsid w:val="6CFA47C3"/>
    <w:rsid w:val="6D013069"/>
    <w:rsid w:val="6D0A4253"/>
    <w:rsid w:val="6D17288C"/>
    <w:rsid w:val="6D206CFF"/>
    <w:rsid w:val="6D234F26"/>
    <w:rsid w:val="6D3A532C"/>
    <w:rsid w:val="6D410C09"/>
    <w:rsid w:val="6D41740F"/>
    <w:rsid w:val="6D5A4924"/>
    <w:rsid w:val="6D5F1476"/>
    <w:rsid w:val="6D6131F6"/>
    <w:rsid w:val="6D6362FF"/>
    <w:rsid w:val="6D6908C9"/>
    <w:rsid w:val="6D891B50"/>
    <w:rsid w:val="6D943EDD"/>
    <w:rsid w:val="6D9D0662"/>
    <w:rsid w:val="6DA0720B"/>
    <w:rsid w:val="6DBA383E"/>
    <w:rsid w:val="6DBC4E4A"/>
    <w:rsid w:val="6DCF2747"/>
    <w:rsid w:val="6DE26E66"/>
    <w:rsid w:val="6DE66F48"/>
    <w:rsid w:val="6DF4133C"/>
    <w:rsid w:val="6DFE0A46"/>
    <w:rsid w:val="6E046D6A"/>
    <w:rsid w:val="6E0A4EE7"/>
    <w:rsid w:val="6E1D77C2"/>
    <w:rsid w:val="6E1D7D06"/>
    <w:rsid w:val="6E275A60"/>
    <w:rsid w:val="6E2D6A2F"/>
    <w:rsid w:val="6E392AF4"/>
    <w:rsid w:val="6E4B7BC4"/>
    <w:rsid w:val="6E530121"/>
    <w:rsid w:val="6E6267FC"/>
    <w:rsid w:val="6E816EBD"/>
    <w:rsid w:val="6E892BF0"/>
    <w:rsid w:val="6E8B2C58"/>
    <w:rsid w:val="6E8E6B7E"/>
    <w:rsid w:val="6E922738"/>
    <w:rsid w:val="6E931C3F"/>
    <w:rsid w:val="6EB0012B"/>
    <w:rsid w:val="6EB849F5"/>
    <w:rsid w:val="6EF50B9F"/>
    <w:rsid w:val="6EF93A79"/>
    <w:rsid w:val="6F017A68"/>
    <w:rsid w:val="6F074C7D"/>
    <w:rsid w:val="6F095F3A"/>
    <w:rsid w:val="6F0B3914"/>
    <w:rsid w:val="6F160073"/>
    <w:rsid w:val="6F282B2F"/>
    <w:rsid w:val="6F35524C"/>
    <w:rsid w:val="6F3732CE"/>
    <w:rsid w:val="6F4266DF"/>
    <w:rsid w:val="6F543924"/>
    <w:rsid w:val="6F7D7946"/>
    <w:rsid w:val="6F856F34"/>
    <w:rsid w:val="6F881695"/>
    <w:rsid w:val="6F8C16B9"/>
    <w:rsid w:val="6F92194C"/>
    <w:rsid w:val="6F997777"/>
    <w:rsid w:val="6FAC2382"/>
    <w:rsid w:val="6FBB39A3"/>
    <w:rsid w:val="6FC13DD2"/>
    <w:rsid w:val="6FCD418C"/>
    <w:rsid w:val="6FE83720"/>
    <w:rsid w:val="6FE93B63"/>
    <w:rsid w:val="6FEF7197"/>
    <w:rsid w:val="6FEF7D8A"/>
    <w:rsid w:val="6FFD2BE7"/>
    <w:rsid w:val="70006A1E"/>
    <w:rsid w:val="70050220"/>
    <w:rsid w:val="70076EA8"/>
    <w:rsid w:val="702C5E4F"/>
    <w:rsid w:val="703062FD"/>
    <w:rsid w:val="703A2C04"/>
    <w:rsid w:val="70486DDE"/>
    <w:rsid w:val="70556940"/>
    <w:rsid w:val="705975BD"/>
    <w:rsid w:val="70677361"/>
    <w:rsid w:val="706A0FD7"/>
    <w:rsid w:val="70762356"/>
    <w:rsid w:val="70827379"/>
    <w:rsid w:val="70846B10"/>
    <w:rsid w:val="708F5CC6"/>
    <w:rsid w:val="709B37D5"/>
    <w:rsid w:val="70A51E7A"/>
    <w:rsid w:val="70A94695"/>
    <w:rsid w:val="70AE1665"/>
    <w:rsid w:val="70C64C13"/>
    <w:rsid w:val="70CE2A7D"/>
    <w:rsid w:val="70EA5C7F"/>
    <w:rsid w:val="70F57258"/>
    <w:rsid w:val="710D2536"/>
    <w:rsid w:val="710D3A95"/>
    <w:rsid w:val="711E3150"/>
    <w:rsid w:val="7123116D"/>
    <w:rsid w:val="712626A7"/>
    <w:rsid w:val="71295015"/>
    <w:rsid w:val="712F4753"/>
    <w:rsid w:val="713C17CB"/>
    <w:rsid w:val="71405C9D"/>
    <w:rsid w:val="71605930"/>
    <w:rsid w:val="716A0E09"/>
    <w:rsid w:val="717402AD"/>
    <w:rsid w:val="717F25F9"/>
    <w:rsid w:val="71861D20"/>
    <w:rsid w:val="7186437F"/>
    <w:rsid w:val="71A45894"/>
    <w:rsid w:val="71BA0287"/>
    <w:rsid w:val="71BE7BEA"/>
    <w:rsid w:val="71C22A1B"/>
    <w:rsid w:val="71C31235"/>
    <w:rsid w:val="71C933A1"/>
    <w:rsid w:val="71CE3BCB"/>
    <w:rsid w:val="71DF2A49"/>
    <w:rsid w:val="71E665E1"/>
    <w:rsid w:val="71E96735"/>
    <w:rsid w:val="71EE2413"/>
    <w:rsid w:val="71F238C8"/>
    <w:rsid w:val="720000E6"/>
    <w:rsid w:val="72034464"/>
    <w:rsid w:val="72081252"/>
    <w:rsid w:val="720C50DD"/>
    <w:rsid w:val="72141A90"/>
    <w:rsid w:val="72191633"/>
    <w:rsid w:val="72302B2F"/>
    <w:rsid w:val="72316E35"/>
    <w:rsid w:val="723D68C6"/>
    <w:rsid w:val="723E1C92"/>
    <w:rsid w:val="724559DB"/>
    <w:rsid w:val="72493B52"/>
    <w:rsid w:val="725B3561"/>
    <w:rsid w:val="726A35DE"/>
    <w:rsid w:val="726C29D6"/>
    <w:rsid w:val="72771F9F"/>
    <w:rsid w:val="72812BB6"/>
    <w:rsid w:val="728269FA"/>
    <w:rsid w:val="72892962"/>
    <w:rsid w:val="728A58AF"/>
    <w:rsid w:val="72934FF3"/>
    <w:rsid w:val="72992DCB"/>
    <w:rsid w:val="729C0A73"/>
    <w:rsid w:val="72A10AC9"/>
    <w:rsid w:val="72B01AB7"/>
    <w:rsid w:val="72BD7A32"/>
    <w:rsid w:val="72BE0926"/>
    <w:rsid w:val="72C405CA"/>
    <w:rsid w:val="72C46B36"/>
    <w:rsid w:val="72E10B87"/>
    <w:rsid w:val="72E17BC5"/>
    <w:rsid w:val="72FB055A"/>
    <w:rsid w:val="72FE1676"/>
    <w:rsid w:val="72FF7DFC"/>
    <w:rsid w:val="73032B23"/>
    <w:rsid w:val="73072696"/>
    <w:rsid w:val="730A4D01"/>
    <w:rsid w:val="731A788A"/>
    <w:rsid w:val="731D44F3"/>
    <w:rsid w:val="731D49AA"/>
    <w:rsid w:val="731E1436"/>
    <w:rsid w:val="73283E0D"/>
    <w:rsid w:val="73297E3C"/>
    <w:rsid w:val="732E26DE"/>
    <w:rsid w:val="7332362C"/>
    <w:rsid w:val="7334325D"/>
    <w:rsid w:val="73350C5E"/>
    <w:rsid w:val="73353A6C"/>
    <w:rsid w:val="734F0FD2"/>
    <w:rsid w:val="73513CCA"/>
    <w:rsid w:val="73532145"/>
    <w:rsid w:val="73574EBF"/>
    <w:rsid w:val="73581579"/>
    <w:rsid w:val="735A1D60"/>
    <w:rsid w:val="735C724B"/>
    <w:rsid w:val="736A2E27"/>
    <w:rsid w:val="73743E64"/>
    <w:rsid w:val="73870659"/>
    <w:rsid w:val="73922C6D"/>
    <w:rsid w:val="73A21C06"/>
    <w:rsid w:val="73AA4C42"/>
    <w:rsid w:val="73B20E59"/>
    <w:rsid w:val="73B60A10"/>
    <w:rsid w:val="73C05B2F"/>
    <w:rsid w:val="73CA2AC9"/>
    <w:rsid w:val="73CC5B9E"/>
    <w:rsid w:val="73D92311"/>
    <w:rsid w:val="73DE05EE"/>
    <w:rsid w:val="73F55504"/>
    <w:rsid w:val="74011DAF"/>
    <w:rsid w:val="74081EAB"/>
    <w:rsid w:val="7415562A"/>
    <w:rsid w:val="741E6CFA"/>
    <w:rsid w:val="74251284"/>
    <w:rsid w:val="742D24D5"/>
    <w:rsid w:val="74355159"/>
    <w:rsid w:val="743B31CD"/>
    <w:rsid w:val="743F3479"/>
    <w:rsid w:val="745049B3"/>
    <w:rsid w:val="74661EF8"/>
    <w:rsid w:val="746F5A57"/>
    <w:rsid w:val="7476433D"/>
    <w:rsid w:val="74795BDB"/>
    <w:rsid w:val="747A3B5C"/>
    <w:rsid w:val="747C0EC2"/>
    <w:rsid w:val="74941B1E"/>
    <w:rsid w:val="74982BC3"/>
    <w:rsid w:val="74A027D8"/>
    <w:rsid w:val="74A369C6"/>
    <w:rsid w:val="74B62C7F"/>
    <w:rsid w:val="74C16CDF"/>
    <w:rsid w:val="74D57FF8"/>
    <w:rsid w:val="74D75E35"/>
    <w:rsid w:val="74EA4EB2"/>
    <w:rsid w:val="74EE691B"/>
    <w:rsid w:val="751050E9"/>
    <w:rsid w:val="75130B97"/>
    <w:rsid w:val="75202B2C"/>
    <w:rsid w:val="752C1FA0"/>
    <w:rsid w:val="754247CE"/>
    <w:rsid w:val="755914E3"/>
    <w:rsid w:val="755D4111"/>
    <w:rsid w:val="75653527"/>
    <w:rsid w:val="75687183"/>
    <w:rsid w:val="756E4E38"/>
    <w:rsid w:val="757F5E29"/>
    <w:rsid w:val="75A5137D"/>
    <w:rsid w:val="75A97B92"/>
    <w:rsid w:val="75B22B1A"/>
    <w:rsid w:val="75BA6035"/>
    <w:rsid w:val="75BE2C13"/>
    <w:rsid w:val="75C867D8"/>
    <w:rsid w:val="75C91681"/>
    <w:rsid w:val="75CC1F36"/>
    <w:rsid w:val="75E834FA"/>
    <w:rsid w:val="75F51EC2"/>
    <w:rsid w:val="75F52AFB"/>
    <w:rsid w:val="76014678"/>
    <w:rsid w:val="760756D8"/>
    <w:rsid w:val="760E676A"/>
    <w:rsid w:val="76226E1B"/>
    <w:rsid w:val="7624764F"/>
    <w:rsid w:val="76277F2F"/>
    <w:rsid w:val="762C0888"/>
    <w:rsid w:val="762F6D25"/>
    <w:rsid w:val="763C555B"/>
    <w:rsid w:val="763E0E8A"/>
    <w:rsid w:val="765C3FDB"/>
    <w:rsid w:val="76672689"/>
    <w:rsid w:val="766C5A33"/>
    <w:rsid w:val="76715FC4"/>
    <w:rsid w:val="767D2360"/>
    <w:rsid w:val="76857FF9"/>
    <w:rsid w:val="768B2490"/>
    <w:rsid w:val="768F2D84"/>
    <w:rsid w:val="768F7938"/>
    <w:rsid w:val="769B20F2"/>
    <w:rsid w:val="76A80580"/>
    <w:rsid w:val="76AD7DBE"/>
    <w:rsid w:val="76B36E87"/>
    <w:rsid w:val="76B65EF5"/>
    <w:rsid w:val="76BF19C6"/>
    <w:rsid w:val="76C86371"/>
    <w:rsid w:val="76D95C53"/>
    <w:rsid w:val="76F679B7"/>
    <w:rsid w:val="76FF643E"/>
    <w:rsid w:val="77027F7F"/>
    <w:rsid w:val="772A380A"/>
    <w:rsid w:val="772B6736"/>
    <w:rsid w:val="7733732D"/>
    <w:rsid w:val="77521091"/>
    <w:rsid w:val="775A0E70"/>
    <w:rsid w:val="775B2B18"/>
    <w:rsid w:val="775D6AA2"/>
    <w:rsid w:val="77601172"/>
    <w:rsid w:val="77603D4F"/>
    <w:rsid w:val="777032C5"/>
    <w:rsid w:val="778E3455"/>
    <w:rsid w:val="778F5D5D"/>
    <w:rsid w:val="7794100B"/>
    <w:rsid w:val="779F63A2"/>
    <w:rsid w:val="77AB6538"/>
    <w:rsid w:val="77B87221"/>
    <w:rsid w:val="77BF2F35"/>
    <w:rsid w:val="77BF46A4"/>
    <w:rsid w:val="77E75E53"/>
    <w:rsid w:val="77E80025"/>
    <w:rsid w:val="77F4039A"/>
    <w:rsid w:val="77FD49BF"/>
    <w:rsid w:val="780329FA"/>
    <w:rsid w:val="780E5553"/>
    <w:rsid w:val="781007D0"/>
    <w:rsid w:val="78284AA1"/>
    <w:rsid w:val="78335932"/>
    <w:rsid w:val="78342BFE"/>
    <w:rsid w:val="78381BDF"/>
    <w:rsid w:val="783C5C12"/>
    <w:rsid w:val="783F561E"/>
    <w:rsid w:val="784811A2"/>
    <w:rsid w:val="784D6313"/>
    <w:rsid w:val="78627D0B"/>
    <w:rsid w:val="78732237"/>
    <w:rsid w:val="78930909"/>
    <w:rsid w:val="78935C12"/>
    <w:rsid w:val="78980533"/>
    <w:rsid w:val="789E4F08"/>
    <w:rsid w:val="789E75C3"/>
    <w:rsid w:val="78AD313F"/>
    <w:rsid w:val="78B01E75"/>
    <w:rsid w:val="78BE05D7"/>
    <w:rsid w:val="78BE5E7F"/>
    <w:rsid w:val="78D5711D"/>
    <w:rsid w:val="78E73DE1"/>
    <w:rsid w:val="78E83B09"/>
    <w:rsid w:val="78EE5162"/>
    <w:rsid w:val="78FA71C1"/>
    <w:rsid w:val="791C5CF1"/>
    <w:rsid w:val="791D12D7"/>
    <w:rsid w:val="79222CE5"/>
    <w:rsid w:val="792339A0"/>
    <w:rsid w:val="79304FC0"/>
    <w:rsid w:val="793150EC"/>
    <w:rsid w:val="79336CA0"/>
    <w:rsid w:val="7936632C"/>
    <w:rsid w:val="794530C2"/>
    <w:rsid w:val="796E77C6"/>
    <w:rsid w:val="79725D75"/>
    <w:rsid w:val="797711F5"/>
    <w:rsid w:val="799202F7"/>
    <w:rsid w:val="79956011"/>
    <w:rsid w:val="799678E9"/>
    <w:rsid w:val="79AD2115"/>
    <w:rsid w:val="79BC1E65"/>
    <w:rsid w:val="79BC5AF1"/>
    <w:rsid w:val="79BC691E"/>
    <w:rsid w:val="79BD636F"/>
    <w:rsid w:val="79C370CC"/>
    <w:rsid w:val="79CB4015"/>
    <w:rsid w:val="79EA7D45"/>
    <w:rsid w:val="79EC2752"/>
    <w:rsid w:val="7A022DAC"/>
    <w:rsid w:val="7A077D86"/>
    <w:rsid w:val="7A0A6217"/>
    <w:rsid w:val="7A0F6AA3"/>
    <w:rsid w:val="7A29027E"/>
    <w:rsid w:val="7A2B4E0B"/>
    <w:rsid w:val="7A2F1E62"/>
    <w:rsid w:val="7A3000FF"/>
    <w:rsid w:val="7A342EE7"/>
    <w:rsid w:val="7A3B1F10"/>
    <w:rsid w:val="7A3C0DD8"/>
    <w:rsid w:val="7A3D4B0E"/>
    <w:rsid w:val="7A492CF3"/>
    <w:rsid w:val="7A524F0D"/>
    <w:rsid w:val="7A561A1A"/>
    <w:rsid w:val="7A7443E6"/>
    <w:rsid w:val="7A8157E9"/>
    <w:rsid w:val="7A820CB5"/>
    <w:rsid w:val="7A856B74"/>
    <w:rsid w:val="7A8A0B42"/>
    <w:rsid w:val="7A8C2B0C"/>
    <w:rsid w:val="7A8D74A2"/>
    <w:rsid w:val="7A9C45C8"/>
    <w:rsid w:val="7AA05F78"/>
    <w:rsid w:val="7AA0686D"/>
    <w:rsid w:val="7AA42764"/>
    <w:rsid w:val="7AB025BE"/>
    <w:rsid w:val="7AB3181F"/>
    <w:rsid w:val="7AB65491"/>
    <w:rsid w:val="7AC048A7"/>
    <w:rsid w:val="7AD141A1"/>
    <w:rsid w:val="7AEF76CB"/>
    <w:rsid w:val="7B056A7F"/>
    <w:rsid w:val="7B082DB3"/>
    <w:rsid w:val="7B0A12D7"/>
    <w:rsid w:val="7B1743C0"/>
    <w:rsid w:val="7B2429F8"/>
    <w:rsid w:val="7B265958"/>
    <w:rsid w:val="7B336BC8"/>
    <w:rsid w:val="7B3E5BD9"/>
    <w:rsid w:val="7B411828"/>
    <w:rsid w:val="7B4229E6"/>
    <w:rsid w:val="7B5810C9"/>
    <w:rsid w:val="7B644F2D"/>
    <w:rsid w:val="7B664919"/>
    <w:rsid w:val="7B666F72"/>
    <w:rsid w:val="7B681541"/>
    <w:rsid w:val="7B6C56D1"/>
    <w:rsid w:val="7B6C7AFA"/>
    <w:rsid w:val="7B753997"/>
    <w:rsid w:val="7B8E13EB"/>
    <w:rsid w:val="7BA1297E"/>
    <w:rsid w:val="7BA44318"/>
    <w:rsid w:val="7BAE2D8D"/>
    <w:rsid w:val="7BBE70D0"/>
    <w:rsid w:val="7BC23CFF"/>
    <w:rsid w:val="7BC70E87"/>
    <w:rsid w:val="7BD44EE3"/>
    <w:rsid w:val="7BDA3589"/>
    <w:rsid w:val="7BDE7643"/>
    <w:rsid w:val="7BE45866"/>
    <w:rsid w:val="7BEE1EEB"/>
    <w:rsid w:val="7BF40907"/>
    <w:rsid w:val="7C194DCB"/>
    <w:rsid w:val="7C2036C5"/>
    <w:rsid w:val="7C21033A"/>
    <w:rsid w:val="7C27425D"/>
    <w:rsid w:val="7C330C76"/>
    <w:rsid w:val="7C4C5FDA"/>
    <w:rsid w:val="7C5062E6"/>
    <w:rsid w:val="7C5E7893"/>
    <w:rsid w:val="7C76130F"/>
    <w:rsid w:val="7C817D22"/>
    <w:rsid w:val="7C82417D"/>
    <w:rsid w:val="7C886DA3"/>
    <w:rsid w:val="7C8F12C6"/>
    <w:rsid w:val="7C904C17"/>
    <w:rsid w:val="7C990F7B"/>
    <w:rsid w:val="7C992D45"/>
    <w:rsid w:val="7C993C6F"/>
    <w:rsid w:val="7CB44F60"/>
    <w:rsid w:val="7CB8413B"/>
    <w:rsid w:val="7CBC3D27"/>
    <w:rsid w:val="7CD5583A"/>
    <w:rsid w:val="7CE53197"/>
    <w:rsid w:val="7CF177AF"/>
    <w:rsid w:val="7D07313D"/>
    <w:rsid w:val="7D0B5714"/>
    <w:rsid w:val="7D1D7B5D"/>
    <w:rsid w:val="7D215B43"/>
    <w:rsid w:val="7D2205E6"/>
    <w:rsid w:val="7D246B41"/>
    <w:rsid w:val="7D292651"/>
    <w:rsid w:val="7D2E2405"/>
    <w:rsid w:val="7D3F7B43"/>
    <w:rsid w:val="7D412929"/>
    <w:rsid w:val="7D4157D8"/>
    <w:rsid w:val="7D4509E9"/>
    <w:rsid w:val="7D474488"/>
    <w:rsid w:val="7D585D08"/>
    <w:rsid w:val="7D6A441D"/>
    <w:rsid w:val="7D742B7F"/>
    <w:rsid w:val="7D79512E"/>
    <w:rsid w:val="7D7B7260"/>
    <w:rsid w:val="7D8557E5"/>
    <w:rsid w:val="7D8B5FF0"/>
    <w:rsid w:val="7D900D66"/>
    <w:rsid w:val="7D9B631F"/>
    <w:rsid w:val="7D9C45E3"/>
    <w:rsid w:val="7D9D2594"/>
    <w:rsid w:val="7D9D5192"/>
    <w:rsid w:val="7DA64309"/>
    <w:rsid w:val="7DB42F90"/>
    <w:rsid w:val="7DCB394B"/>
    <w:rsid w:val="7DD36B30"/>
    <w:rsid w:val="7DD65438"/>
    <w:rsid w:val="7DDC23C7"/>
    <w:rsid w:val="7DE41C45"/>
    <w:rsid w:val="7E1741FF"/>
    <w:rsid w:val="7E183080"/>
    <w:rsid w:val="7E1A6A4C"/>
    <w:rsid w:val="7E1D4BD1"/>
    <w:rsid w:val="7E1E164C"/>
    <w:rsid w:val="7E236558"/>
    <w:rsid w:val="7E2C7424"/>
    <w:rsid w:val="7E2F1CBD"/>
    <w:rsid w:val="7E310BC1"/>
    <w:rsid w:val="7E336A9D"/>
    <w:rsid w:val="7E3C4EA2"/>
    <w:rsid w:val="7E3C56D8"/>
    <w:rsid w:val="7E405738"/>
    <w:rsid w:val="7E510CBD"/>
    <w:rsid w:val="7E5155FB"/>
    <w:rsid w:val="7E54753C"/>
    <w:rsid w:val="7E582E84"/>
    <w:rsid w:val="7E5E609E"/>
    <w:rsid w:val="7E5F5FE3"/>
    <w:rsid w:val="7E6042E6"/>
    <w:rsid w:val="7E6D347C"/>
    <w:rsid w:val="7E6E4981"/>
    <w:rsid w:val="7E7354F5"/>
    <w:rsid w:val="7E736787"/>
    <w:rsid w:val="7E82584A"/>
    <w:rsid w:val="7E943510"/>
    <w:rsid w:val="7E986A37"/>
    <w:rsid w:val="7EDF056C"/>
    <w:rsid w:val="7EEDB6B1"/>
    <w:rsid w:val="7EEF2E28"/>
    <w:rsid w:val="7EF21F47"/>
    <w:rsid w:val="7EF31942"/>
    <w:rsid w:val="7EFB4FD9"/>
    <w:rsid w:val="7EFD2A44"/>
    <w:rsid w:val="7F011AFE"/>
    <w:rsid w:val="7F0C3BD0"/>
    <w:rsid w:val="7F303107"/>
    <w:rsid w:val="7F33157B"/>
    <w:rsid w:val="7F3D1095"/>
    <w:rsid w:val="7F3D3122"/>
    <w:rsid w:val="7F4327F8"/>
    <w:rsid w:val="7F480CEA"/>
    <w:rsid w:val="7F4E4945"/>
    <w:rsid w:val="7F593BCF"/>
    <w:rsid w:val="7F675F78"/>
    <w:rsid w:val="7F727385"/>
    <w:rsid w:val="7F7741D2"/>
    <w:rsid w:val="7F7C2FEC"/>
    <w:rsid w:val="7F801D46"/>
    <w:rsid w:val="7FAC463F"/>
    <w:rsid w:val="7FBC103A"/>
    <w:rsid w:val="7FC37808"/>
    <w:rsid w:val="7FE20B4D"/>
    <w:rsid w:val="7FEC1957"/>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heading 1"/>
    <w:basedOn w:val="1"/>
    <w:next w:val="6"/>
    <w:link w:val="56"/>
    <w:autoRedefine/>
    <w:qFormat/>
    <w:uiPriority w:val="9"/>
    <w:pPr>
      <w:keepNext/>
      <w:jc w:val="center"/>
      <w:outlineLvl w:val="0"/>
    </w:pPr>
    <w:rPr>
      <w:rFonts w:ascii="楷体_GB2312" w:hAnsi="楷体_GB2312"/>
      <w:b/>
      <w:sz w:val="32"/>
      <w:szCs w:val="32"/>
    </w:rPr>
  </w:style>
  <w:style w:type="paragraph" w:styleId="7">
    <w:name w:val="heading 2"/>
    <w:basedOn w:val="1"/>
    <w:next w:val="6"/>
    <w:link w:val="89"/>
    <w:qFormat/>
    <w:uiPriority w:val="0"/>
    <w:pPr>
      <w:keepNext/>
      <w:keepLines/>
      <w:spacing w:before="200" w:after="200" w:line="480" w:lineRule="auto"/>
      <w:jc w:val="left"/>
      <w:outlineLvl w:val="1"/>
    </w:pPr>
    <w:rPr>
      <w:rFonts w:ascii="Arial" w:hAnsi="Arial" w:cs="Arial"/>
      <w:b/>
      <w:bCs/>
      <w:sz w:val="30"/>
      <w:szCs w:val="30"/>
    </w:rPr>
  </w:style>
  <w:style w:type="paragraph" w:styleId="8">
    <w:name w:val="heading 3"/>
    <w:basedOn w:val="1"/>
    <w:next w:val="6"/>
    <w:link w:val="84"/>
    <w:autoRedefine/>
    <w:qFormat/>
    <w:uiPriority w:val="0"/>
    <w:pPr>
      <w:keepNext/>
      <w:keepLines/>
      <w:spacing w:before="200" w:after="100" w:line="480" w:lineRule="auto"/>
      <w:jc w:val="left"/>
      <w:outlineLvl w:val="2"/>
    </w:pPr>
    <w:rPr>
      <w:b/>
      <w:bCs/>
      <w:sz w:val="28"/>
      <w:szCs w:val="32"/>
    </w:rPr>
  </w:style>
  <w:style w:type="paragraph" w:styleId="4">
    <w:name w:val="heading 4"/>
    <w:basedOn w:val="1"/>
    <w:next w:val="1"/>
    <w:link w:val="57"/>
    <w:autoRedefine/>
    <w:qFormat/>
    <w:uiPriority w:val="0"/>
    <w:pPr>
      <w:keepNext/>
      <w:keepLines/>
      <w:ind w:firstLine="420" w:firstLineChars="150"/>
      <w:outlineLvl w:val="3"/>
    </w:pPr>
    <w:rPr>
      <w:rFonts w:ascii="Arial" w:hAnsi="Arial" w:cs="Arial"/>
      <w:b/>
      <w:sz w:val="28"/>
      <w:szCs w:val="28"/>
    </w:rPr>
  </w:style>
  <w:style w:type="paragraph" w:styleId="9">
    <w:name w:val="heading 5"/>
    <w:basedOn w:val="1"/>
    <w:next w:val="6"/>
    <w:link w:val="94"/>
    <w:autoRedefine/>
    <w:qFormat/>
    <w:uiPriority w:val="0"/>
    <w:pPr>
      <w:keepNext/>
      <w:autoSpaceDE w:val="0"/>
      <w:autoSpaceDN w:val="0"/>
      <w:adjustRightInd w:val="0"/>
      <w:outlineLvl w:val="4"/>
    </w:pPr>
    <w:rPr>
      <w:rFonts w:ascii="宋体"/>
      <w:color w:val="000000"/>
      <w:kern w:val="0"/>
      <w:sz w:val="28"/>
      <w:szCs w:val="28"/>
    </w:rPr>
  </w:style>
  <w:style w:type="paragraph" w:styleId="10">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1">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3">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73"/>
    <w:autoRedefine/>
    <w:qFormat/>
    <w:uiPriority w:val="0"/>
    <w:pPr>
      <w:spacing w:line="360" w:lineRule="auto"/>
      <w:ind w:firstLine="420" w:firstLineChars="200"/>
    </w:pPr>
    <w:rPr>
      <w:rFonts w:ascii="宋体" w:hAnsi="宋体" w:eastAsia="宋体"/>
      <w:sz w:val="21"/>
      <w:szCs w:val="20"/>
    </w:rPr>
  </w:style>
  <w:style w:type="paragraph" w:styleId="3">
    <w:name w:val="Body Text Indent"/>
    <w:basedOn w:val="1"/>
    <w:next w:val="4"/>
    <w:link w:val="70"/>
    <w:autoRedefine/>
    <w:qFormat/>
    <w:uiPriority w:val="0"/>
    <w:pPr>
      <w:ind w:firstLine="645"/>
    </w:pPr>
    <w:rPr>
      <w:rFonts w:ascii="楷体_GB2312" w:eastAsia="楷体_GB2312"/>
      <w:sz w:val="32"/>
      <w:szCs w:val="32"/>
    </w:rPr>
  </w:style>
  <w:style w:type="paragraph" w:styleId="6">
    <w:name w:val="Normal Indent"/>
    <w:basedOn w:val="1"/>
    <w:next w:val="1"/>
    <w:link w:val="72"/>
    <w:autoRedefine/>
    <w:qFormat/>
    <w:uiPriority w:val="0"/>
    <w:pPr>
      <w:ind w:firstLine="420"/>
    </w:pPr>
  </w:style>
  <w:style w:type="paragraph" w:styleId="14">
    <w:name w:val="List 3"/>
    <w:basedOn w:val="1"/>
    <w:autoRedefine/>
    <w:qFormat/>
    <w:uiPriority w:val="0"/>
    <w:pPr>
      <w:ind w:left="100" w:leftChars="400" w:hanging="200" w:hangingChars="200"/>
    </w:pPr>
  </w:style>
  <w:style w:type="paragraph" w:styleId="15">
    <w:name w:val="Document Map"/>
    <w:basedOn w:val="1"/>
    <w:link w:val="91"/>
    <w:autoRedefine/>
    <w:semiHidden/>
    <w:qFormat/>
    <w:uiPriority w:val="0"/>
    <w:pPr>
      <w:shd w:val="clear" w:color="auto" w:fill="000080"/>
    </w:pPr>
  </w:style>
  <w:style w:type="paragraph" w:styleId="16">
    <w:name w:val="toa heading"/>
    <w:basedOn w:val="1"/>
    <w:next w:val="1"/>
    <w:autoRedefine/>
    <w:qFormat/>
    <w:uiPriority w:val="0"/>
    <w:pPr>
      <w:spacing w:before="120"/>
    </w:pPr>
    <w:rPr>
      <w:rFonts w:ascii="Cambria" w:hAnsi="Cambria"/>
      <w:sz w:val="24"/>
    </w:rPr>
  </w:style>
  <w:style w:type="paragraph" w:styleId="17">
    <w:name w:val="annotation text"/>
    <w:basedOn w:val="1"/>
    <w:link w:val="205"/>
    <w:autoRedefine/>
    <w:semiHidden/>
    <w:qFormat/>
    <w:uiPriority w:val="0"/>
    <w:pPr>
      <w:jc w:val="left"/>
    </w:pPr>
  </w:style>
  <w:style w:type="paragraph" w:styleId="18">
    <w:name w:val="Body Text 3"/>
    <w:basedOn w:val="1"/>
    <w:link w:val="68"/>
    <w:autoRedefine/>
    <w:qFormat/>
    <w:uiPriority w:val="0"/>
    <w:rPr>
      <w:rFonts w:ascii="仿宋_GB2312" w:hAnsi="Arial" w:eastAsia="仿宋_GB2312"/>
      <w:sz w:val="32"/>
      <w:szCs w:val="32"/>
    </w:rPr>
  </w:style>
  <w:style w:type="paragraph" w:styleId="19">
    <w:name w:val="Body Text"/>
    <w:basedOn w:val="1"/>
    <w:next w:val="1"/>
    <w:link w:val="64"/>
    <w:autoRedefine/>
    <w:qFormat/>
    <w:uiPriority w:val="0"/>
    <w:rPr>
      <w:rFonts w:ascii="楷体_GB2312" w:hAnsi="Arial" w:eastAsia="楷体_GB2312"/>
      <w:sz w:val="28"/>
      <w:szCs w:val="28"/>
    </w:rPr>
  </w:style>
  <w:style w:type="paragraph" w:styleId="20">
    <w:name w:val="List 2"/>
    <w:basedOn w:val="1"/>
    <w:autoRedefine/>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autoRedefine/>
    <w:qFormat/>
    <w:uiPriority w:val="0"/>
    <w:rPr>
      <w:rFonts w:ascii="宋体" w:hAnsi="Courier New" w:cs="Courier New"/>
    </w:rPr>
  </w:style>
  <w:style w:type="paragraph" w:styleId="24">
    <w:name w:val="Date"/>
    <w:basedOn w:val="1"/>
    <w:next w:val="1"/>
    <w:link w:val="76"/>
    <w:autoRedefine/>
    <w:qFormat/>
    <w:uiPriority w:val="0"/>
    <w:rPr>
      <w:sz w:val="24"/>
      <w:szCs w:val="24"/>
    </w:rPr>
  </w:style>
  <w:style w:type="paragraph" w:styleId="25">
    <w:name w:val="Body Text Indent 2"/>
    <w:basedOn w:val="1"/>
    <w:link w:val="71"/>
    <w:autoRedefine/>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footnote text"/>
    <w:basedOn w:val="1"/>
    <w:link w:val="206"/>
    <w:autoRedefine/>
    <w:qFormat/>
    <w:uiPriority w:val="0"/>
    <w:pPr>
      <w:snapToGrid w:val="0"/>
      <w:jc w:val="left"/>
    </w:pPr>
    <w:rPr>
      <w:sz w:val="18"/>
    </w:rPr>
  </w:style>
  <w:style w:type="paragraph" w:styleId="32">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3">
    <w:name w:val="toc 2"/>
    <w:basedOn w:val="22"/>
    <w:next w:val="1"/>
    <w:autoRedefine/>
    <w:qFormat/>
    <w:uiPriority w:val="39"/>
    <w:pPr>
      <w:ind w:left="210"/>
    </w:pPr>
    <w:rPr>
      <w:smallCaps/>
      <w:szCs w:val="24"/>
    </w:rPr>
  </w:style>
  <w:style w:type="paragraph" w:styleId="34">
    <w:name w:val="Body Text 2"/>
    <w:basedOn w:val="1"/>
    <w:link w:val="92"/>
    <w:autoRedefine/>
    <w:qFormat/>
    <w:uiPriority w:val="0"/>
    <w:pPr>
      <w:widowControl/>
      <w:jc w:val="center"/>
    </w:pPr>
    <w:rPr>
      <w:rFonts w:ascii="楷体_GB2312" w:eastAsia="楷体_GB2312"/>
      <w:sz w:val="28"/>
      <w:szCs w:val="28"/>
    </w:rPr>
  </w:style>
  <w:style w:type="paragraph" w:styleId="35">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6">
    <w:name w:val="annotation subject"/>
    <w:basedOn w:val="17"/>
    <w:next w:val="17"/>
    <w:link w:val="88"/>
    <w:autoRedefine/>
    <w:semiHidden/>
    <w:qFormat/>
    <w:uiPriority w:val="0"/>
    <w:rPr>
      <w:b/>
      <w:bCs/>
    </w:rPr>
  </w:style>
  <w:style w:type="paragraph" w:styleId="37">
    <w:name w:val="Body Text First Indent"/>
    <w:basedOn w:val="19"/>
    <w:link w:val="90"/>
    <w:autoRedefine/>
    <w:qFormat/>
    <w:uiPriority w:val="0"/>
    <w:pPr>
      <w:spacing w:line="360" w:lineRule="auto"/>
      <w:ind w:firstLine="200" w:firstLineChars="200"/>
    </w:pPr>
    <w:rPr>
      <w:rFonts w:ascii="仿宋_GB2312" w:eastAsia="仿宋_GB2312"/>
      <w:sz w:val="30"/>
      <w:szCs w:val="3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5"/>
    <w:autoRedefine/>
    <w:qFormat/>
    <w:uiPriority w:val="9"/>
    <w:rPr>
      <w:rFonts w:ascii="楷体_GB2312" w:hAnsi="楷体_GB2312" w:eastAsia="宋体"/>
      <w:b/>
      <w:kern w:val="2"/>
      <w:sz w:val="32"/>
      <w:szCs w:val="32"/>
      <w:lang w:val="en-US" w:eastAsia="zh-CN" w:bidi="ar-SA"/>
    </w:rPr>
  </w:style>
  <w:style w:type="character" w:customStyle="1" w:styleId="57">
    <w:name w:val="标题 4 Char"/>
    <w:link w:val="4"/>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3"/>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9"/>
    <w:autoRedefine/>
    <w:qFormat/>
    <w:uiPriority w:val="0"/>
    <w:rPr>
      <w:rFonts w:ascii="楷体_GB2312" w:hAnsi="Arial" w:eastAsia="楷体_GB2312"/>
      <w:kern w:val="2"/>
      <w:sz w:val="28"/>
      <w:szCs w:val="28"/>
      <w:lang w:val="en-US" w:eastAsia="zh-CN" w:bidi="ar-SA"/>
    </w:rPr>
  </w:style>
  <w:style w:type="character" w:customStyle="1" w:styleId="65">
    <w:name w:val="标题 7 Char"/>
    <w:link w:val="11"/>
    <w:autoRedefine/>
    <w:qFormat/>
    <w:uiPriority w:val="0"/>
    <w:rPr>
      <w:rFonts w:eastAsia="宋体"/>
      <w:b/>
      <w:bCs/>
      <w:kern w:val="2"/>
      <w:sz w:val="24"/>
      <w:szCs w:val="24"/>
      <w:lang w:val="en-US" w:eastAsia="zh-CN" w:bidi="ar-SA"/>
    </w:rPr>
  </w:style>
  <w:style w:type="character" w:customStyle="1" w:styleId="66">
    <w:name w:val="标题 8 Char"/>
    <w:link w:val="12"/>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8"/>
    <w:autoRedefine/>
    <w:qFormat/>
    <w:uiPriority w:val="0"/>
    <w:rPr>
      <w:rFonts w:ascii="仿宋_GB2312" w:hAnsi="Arial" w:eastAsia="仿宋_GB2312"/>
      <w:kern w:val="2"/>
      <w:sz w:val="32"/>
      <w:szCs w:val="32"/>
      <w:lang w:val="en-US" w:eastAsia="zh-CN" w:bidi="ar-SA"/>
    </w:rPr>
  </w:style>
  <w:style w:type="character" w:customStyle="1" w:styleId="69">
    <w:name w:val="页脚 Char"/>
    <w:link w:val="27"/>
    <w:autoRedefine/>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0">
    <w:name w:val="正文文本缩进 Char"/>
    <w:link w:val="3"/>
    <w:autoRedefine/>
    <w:qFormat/>
    <w:uiPriority w:val="0"/>
    <w:rPr>
      <w:rFonts w:ascii="楷体_GB2312" w:eastAsia="楷体_GB2312"/>
      <w:kern w:val="2"/>
      <w:sz w:val="32"/>
      <w:szCs w:val="32"/>
      <w:lang w:val="en-US" w:eastAsia="zh-CN" w:bidi="ar-SA"/>
    </w:rPr>
  </w:style>
  <w:style w:type="character" w:customStyle="1" w:styleId="71">
    <w:name w:val="正文文本缩进 2 Char"/>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6"/>
    <w:autoRedefine/>
    <w:qFormat/>
    <w:uiPriority w:val="0"/>
    <w:rPr>
      <w:rFonts w:eastAsia="宋体"/>
      <w:kern w:val="2"/>
      <w:sz w:val="21"/>
      <w:szCs w:val="21"/>
      <w:lang w:bidi="ar-SA"/>
    </w:rPr>
  </w:style>
  <w:style w:type="character" w:customStyle="1" w:styleId="73">
    <w:name w:val="正文首行缩进 2 Char"/>
    <w:link w:val="2"/>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8"/>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10"/>
    <w:autoRedefine/>
    <w:qFormat/>
    <w:uiPriority w:val="0"/>
    <w:rPr>
      <w:rFonts w:ascii="Arial" w:hAnsi="Arial" w:eastAsia="黑体"/>
      <w:b/>
      <w:bCs/>
      <w:kern w:val="2"/>
      <w:sz w:val="24"/>
      <w:szCs w:val="24"/>
      <w:lang w:val="en-US" w:eastAsia="zh-CN" w:bidi="ar-SA"/>
    </w:rPr>
  </w:style>
  <w:style w:type="character" w:customStyle="1" w:styleId="86">
    <w:name w:val="正文文本缩进 3 Char"/>
    <w:link w:val="32"/>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8"/>
    <w:autoRedefine/>
    <w:qFormat/>
    <w:uiPriority w:val="99"/>
    <w:rPr>
      <w:rFonts w:eastAsia="宋体"/>
      <w:kern w:val="2"/>
      <w:sz w:val="18"/>
      <w:szCs w:val="18"/>
      <w:lang w:val="en-US" w:eastAsia="zh-CN" w:bidi="ar-SA"/>
    </w:rPr>
  </w:style>
  <w:style w:type="character" w:customStyle="1" w:styleId="88">
    <w:name w:val="批注主题 Char"/>
    <w:link w:val="36"/>
    <w:autoRedefine/>
    <w:semiHidden/>
    <w:qFormat/>
    <w:uiPriority w:val="0"/>
    <w:rPr>
      <w:rFonts w:eastAsia="宋体"/>
      <w:b/>
      <w:bCs/>
      <w:kern w:val="2"/>
      <w:sz w:val="21"/>
      <w:szCs w:val="21"/>
      <w:lang w:val="en-US" w:eastAsia="zh-CN" w:bidi="ar-SA"/>
    </w:rPr>
  </w:style>
  <w:style w:type="character" w:customStyle="1" w:styleId="89">
    <w:name w:val="标题 2 Char"/>
    <w:link w:val="7"/>
    <w:autoRedefine/>
    <w:qFormat/>
    <w:uiPriority w:val="0"/>
    <w:rPr>
      <w:rFonts w:ascii="Arial" w:hAnsi="Arial" w:eastAsia="宋体" w:cs="Arial"/>
      <w:b/>
      <w:bCs/>
      <w:kern w:val="2"/>
      <w:sz w:val="30"/>
      <w:szCs w:val="30"/>
      <w:lang w:val="en-US" w:eastAsia="zh-CN" w:bidi="ar-SA"/>
    </w:rPr>
  </w:style>
  <w:style w:type="character" w:customStyle="1" w:styleId="90">
    <w:name w:val="正文首行缩进 Char1"/>
    <w:link w:val="37"/>
    <w:autoRedefine/>
    <w:qFormat/>
    <w:uiPriority w:val="0"/>
    <w:rPr>
      <w:rFonts w:ascii="仿宋_GB2312" w:eastAsia="仿宋_GB2312"/>
      <w:kern w:val="2"/>
      <w:sz w:val="30"/>
      <w:szCs w:val="30"/>
      <w:lang w:val="en-US" w:eastAsia="zh-CN" w:bidi="ar-SA"/>
    </w:rPr>
  </w:style>
  <w:style w:type="character" w:customStyle="1" w:styleId="91">
    <w:name w:val="文档结构图 Char"/>
    <w:link w:val="15"/>
    <w:autoRedefine/>
    <w:semiHidden/>
    <w:qFormat/>
    <w:uiPriority w:val="0"/>
    <w:rPr>
      <w:rFonts w:eastAsia="宋体"/>
      <w:kern w:val="2"/>
      <w:sz w:val="21"/>
      <w:szCs w:val="21"/>
      <w:lang w:bidi="ar-SA"/>
    </w:rPr>
  </w:style>
  <w:style w:type="character" w:customStyle="1" w:styleId="92">
    <w:name w:val="正文文本 2 Char"/>
    <w:link w:val="34"/>
    <w:autoRedefine/>
    <w:qFormat/>
    <w:uiPriority w:val="0"/>
    <w:rPr>
      <w:rFonts w:ascii="楷体_GB2312" w:eastAsia="楷体_GB2312"/>
      <w:kern w:val="2"/>
      <w:sz w:val="28"/>
      <w:szCs w:val="28"/>
      <w:lang w:val="en-US" w:eastAsia="zh-CN" w:bidi="ar-SA"/>
    </w:rPr>
  </w:style>
  <w:style w:type="character" w:customStyle="1" w:styleId="93">
    <w:name w:val="纯文本 Char"/>
    <w:link w:val="23"/>
    <w:autoRedefine/>
    <w:qFormat/>
    <w:uiPriority w:val="0"/>
    <w:rPr>
      <w:rFonts w:ascii="宋体" w:hAnsi="Courier New" w:eastAsia="宋体" w:cs="Courier New"/>
      <w:kern w:val="2"/>
      <w:sz w:val="21"/>
      <w:szCs w:val="21"/>
      <w:lang w:val="en-US" w:eastAsia="zh-CN" w:bidi="ar-SA"/>
    </w:rPr>
  </w:style>
  <w:style w:type="character" w:customStyle="1" w:styleId="94">
    <w:name w:val="标题 5 Char"/>
    <w:link w:val="9"/>
    <w:autoRedefine/>
    <w:qFormat/>
    <w:uiPriority w:val="0"/>
    <w:rPr>
      <w:rFonts w:ascii="宋体" w:eastAsia="宋体"/>
      <w:color w:val="000000"/>
      <w:sz w:val="28"/>
      <w:szCs w:val="28"/>
      <w:lang w:val="en-US" w:eastAsia="zh-CN" w:bidi="ar-SA"/>
    </w:rPr>
  </w:style>
  <w:style w:type="character" w:customStyle="1" w:styleId="95">
    <w:name w:val="批注框文本 Char"/>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5"/>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5"/>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9"/>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5">
    <w:name w:val="Char11"/>
    <w:basedOn w:val="15"/>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5"/>
    <w:autoRedefine/>
    <w:qFormat/>
    <w:uiPriority w:val="0"/>
    <w:pPr>
      <w:shd w:val="clear" w:color="auto" w:fill="auto"/>
      <w:spacing w:line="360" w:lineRule="auto"/>
      <w:jc w:val="left"/>
    </w:pPr>
    <w:rPr>
      <w:kern w:val="0"/>
      <w:sz w:val="20"/>
      <w:szCs w:val="20"/>
    </w:rPr>
  </w:style>
  <w:style w:type="paragraph" w:customStyle="1" w:styleId="128">
    <w:name w:val="4"/>
    <w:basedOn w:val="1"/>
    <w:next w:val="32"/>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5"/>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5"/>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7"/>
    <w:autoRedefine/>
    <w:semiHidden/>
    <w:qFormat/>
    <w:uiPriority w:val="0"/>
    <w:rPr>
      <w:kern w:val="2"/>
      <w:sz w:val="21"/>
      <w:szCs w:val="21"/>
    </w:rPr>
  </w:style>
  <w:style w:type="character" w:customStyle="1" w:styleId="206">
    <w:name w:val="脚注文本 Char"/>
    <w:basedOn w:val="40"/>
    <w:link w:val="31"/>
    <w:autoRedefine/>
    <w:qFormat/>
    <w:uiPriority w:val="0"/>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default" w:ascii="Times New Roman" w:hAnsi="Times New Roman" w:cs="Times New Roman"/>
      <w:color w:val="000000"/>
      <w:sz w:val="22"/>
      <w:szCs w:val="22"/>
      <w:u w:val="none"/>
    </w:rPr>
  </w:style>
  <w:style w:type="character" w:customStyle="1" w:styleId="219">
    <w:name w:val="font112"/>
    <w:basedOn w:val="40"/>
    <w:autoRedefine/>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136</Pages>
  <Words>77440</Words>
  <Characters>82203</Characters>
  <Lines>616</Lines>
  <Paragraphs>173</Paragraphs>
  <TotalTime>18</TotalTime>
  <ScaleCrop>false</ScaleCrop>
  <LinksUpToDate>false</LinksUpToDate>
  <CharactersWithSpaces>85211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娃娃鱼</cp:lastModifiedBy>
  <cp:lastPrinted>2023-10-16T03:58:00Z</cp:lastPrinted>
  <dcterms:modified xsi:type="dcterms:W3CDTF">2024-04-01T08:28:38Z</dcterms:modified>
  <dc:title>招　标　文　件</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7EC89AE4456F49AFA753F41F4F46E4C9_13</vt:lpwstr>
  </property>
</Properties>
</file>