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5FBD6">
      <w:pPr>
        <w:adjustRightInd w:val="0"/>
        <w:snapToGrid w:val="0"/>
        <w:spacing w:after="156" w:afterLines="50" w:line="360" w:lineRule="auto"/>
        <w:jc w:val="center"/>
        <w:outlineLvl w:val="0"/>
        <w:rPr>
          <w:rFonts w:ascii="黑体" w:eastAsia="黑体"/>
          <w:b/>
          <w:kern w:val="44"/>
          <w:sz w:val="48"/>
          <w:szCs w:val="20"/>
        </w:rPr>
      </w:pPr>
      <w:bookmarkStart w:id="0" w:name="_Toc129880039"/>
      <w:bookmarkStart w:id="1" w:name="_Toc512937852"/>
      <w:bookmarkStart w:id="6" w:name="_GoBack"/>
      <w:bookmarkEnd w:id="6"/>
      <w:r>
        <w:rPr>
          <w:rFonts w:hint="eastAsia" w:ascii="宋体" w:hAnsi="宋体"/>
          <w:b/>
          <w:sz w:val="30"/>
          <w:szCs w:val="30"/>
        </w:rPr>
        <w:t>第八部分 采购需求</w:t>
      </w:r>
      <w:bookmarkEnd w:id="0"/>
    </w:p>
    <w:bookmarkEnd w:id="1"/>
    <w:p w14:paraId="119B0BD3">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04215148">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3E02D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7" w:hRule="atLeast"/>
          <w:jc w:val="center"/>
        </w:trPr>
        <w:tc>
          <w:tcPr>
            <w:tcW w:w="1440" w:type="dxa"/>
            <w:vAlign w:val="center"/>
          </w:tcPr>
          <w:p w14:paraId="0D37F068">
            <w:pPr>
              <w:jc w:val="center"/>
              <w:rPr>
                <w:rFonts w:ascii="宋体" w:hAnsi="Bookman Old Style"/>
                <w:sz w:val="24"/>
              </w:rPr>
            </w:pPr>
            <w:r>
              <w:rPr>
                <w:rFonts w:hint="eastAsia" w:ascii="宋体" w:hAnsi="Bookman Old Style"/>
                <w:sz w:val="24"/>
              </w:rPr>
              <w:t>包号</w:t>
            </w:r>
          </w:p>
        </w:tc>
        <w:tc>
          <w:tcPr>
            <w:tcW w:w="2357" w:type="dxa"/>
            <w:vAlign w:val="center"/>
          </w:tcPr>
          <w:p w14:paraId="360E7091">
            <w:pPr>
              <w:jc w:val="center"/>
              <w:rPr>
                <w:rFonts w:ascii="宋体" w:hAnsi="Bookman Old Style"/>
                <w:sz w:val="24"/>
              </w:rPr>
            </w:pPr>
            <w:r>
              <w:rPr>
                <w:rFonts w:hint="eastAsia" w:ascii="宋体" w:hAnsi="Bookman Old Style"/>
                <w:sz w:val="24"/>
              </w:rPr>
              <w:t>货物名称</w:t>
            </w:r>
          </w:p>
        </w:tc>
        <w:tc>
          <w:tcPr>
            <w:tcW w:w="1329" w:type="dxa"/>
            <w:vAlign w:val="center"/>
          </w:tcPr>
          <w:p w14:paraId="630139A6">
            <w:pPr>
              <w:jc w:val="center"/>
              <w:rPr>
                <w:rFonts w:ascii="宋体" w:hAnsi="Bookman Old Style"/>
                <w:sz w:val="24"/>
              </w:rPr>
            </w:pPr>
            <w:r>
              <w:rPr>
                <w:rFonts w:hint="eastAsia" w:ascii="宋体" w:hAnsi="Bookman Old Style"/>
                <w:sz w:val="24"/>
              </w:rPr>
              <w:t>数量</w:t>
            </w:r>
          </w:p>
        </w:tc>
        <w:tc>
          <w:tcPr>
            <w:tcW w:w="2470" w:type="dxa"/>
            <w:vAlign w:val="center"/>
          </w:tcPr>
          <w:p w14:paraId="410D8061">
            <w:pPr>
              <w:jc w:val="center"/>
              <w:rPr>
                <w:rFonts w:ascii="宋体" w:hAnsi="Bookman Old Style"/>
                <w:sz w:val="24"/>
              </w:rPr>
            </w:pPr>
            <w:r>
              <w:rPr>
                <w:rFonts w:hint="eastAsia" w:ascii="宋体" w:hAnsi="Bookman Old Style"/>
                <w:sz w:val="24"/>
              </w:rPr>
              <w:t>是否接受进口</w:t>
            </w:r>
          </w:p>
        </w:tc>
      </w:tr>
      <w:tr w14:paraId="3F4E9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0D4D44C8">
            <w:pPr>
              <w:jc w:val="center"/>
              <w:rPr>
                <w:rFonts w:ascii="宋体"/>
                <w:sz w:val="24"/>
              </w:rPr>
            </w:pPr>
            <w:r>
              <w:rPr>
                <w:rFonts w:hint="eastAsia" w:ascii="宋体"/>
                <w:sz w:val="24"/>
              </w:rPr>
              <w:t>1</w:t>
            </w:r>
          </w:p>
        </w:tc>
        <w:tc>
          <w:tcPr>
            <w:tcW w:w="2357" w:type="dxa"/>
            <w:vAlign w:val="center"/>
          </w:tcPr>
          <w:p w14:paraId="68545DF5">
            <w:pPr>
              <w:jc w:val="center"/>
              <w:rPr>
                <w:rFonts w:ascii="Bookman Old Style" w:hAnsi="Bookman Old Style"/>
                <w:sz w:val="24"/>
              </w:rPr>
            </w:pPr>
            <w:r>
              <w:rPr>
                <w:rFonts w:hint="eastAsia" w:ascii="Bookman Old Style" w:hAnsi="Bookman Old Style"/>
                <w:sz w:val="24"/>
              </w:rPr>
              <w:t>单体同位素比质谱仪联用系统</w:t>
            </w:r>
          </w:p>
        </w:tc>
        <w:tc>
          <w:tcPr>
            <w:tcW w:w="1329" w:type="dxa"/>
            <w:vAlign w:val="center"/>
          </w:tcPr>
          <w:p w14:paraId="07A56DC7">
            <w:pPr>
              <w:jc w:val="center"/>
              <w:rPr>
                <w:rFonts w:ascii="宋体" w:hAnsi="Bookman Old Style"/>
                <w:sz w:val="24"/>
              </w:rPr>
            </w:pPr>
            <w:r>
              <w:rPr>
                <w:rFonts w:hint="eastAsia" w:ascii="宋体" w:hAnsi="Bookman Old Style"/>
                <w:sz w:val="24"/>
              </w:rPr>
              <w:t>1</w:t>
            </w:r>
          </w:p>
        </w:tc>
        <w:tc>
          <w:tcPr>
            <w:tcW w:w="2470" w:type="dxa"/>
            <w:vAlign w:val="center"/>
          </w:tcPr>
          <w:p w14:paraId="707122BD">
            <w:pPr>
              <w:jc w:val="center"/>
              <w:rPr>
                <w:rFonts w:ascii="宋体" w:hAnsi="Bookman Old Style"/>
                <w:sz w:val="24"/>
              </w:rPr>
            </w:pPr>
            <w:r>
              <w:rPr>
                <w:rFonts w:hint="eastAsia" w:ascii="宋体" w:hAnsi="Bookman Old Style"/>
                <w:sz w:val="24"/>
              </w:rPr>
              <w:t>否</w:t>
            </w:r>
          </w:p>
        </w:tc>
      </w:tr>
    </w:tbl>
    <w:p w14:paraId="44EC12D4">
      <w:pPr>
        <w:adjustRightInd w:val="0"/>
        <w:snapToGrid w:val="0"/>
        <w:jc w:val="center"/>
        <w:rPr>
          <w:rFonts w:hint="eastAsia" w:ascii="宋体" w:hAnsi="宋体"/>
          <w:b/>
          <w:sz w:val="30"/>
          <w:szCs w:val="30"/>
        </w:rPr>
      </w:pPr>
    </w:p>
    <w:p w14:paraId="2F9B3811">
      <w:pPr>
        <w:adjustRightInd w:val="0"/>
        <w:snapToGrid w:val="0"/>
        <w:jc w:val="center"/>
        <w:rPr>
          <w:rFonts w:hint="eastAsia" w:ascii="宋体" w:hAnsi="宋体"/>
          <w:b/>
          <w:sz w:val="30"/>
          <w:szCs w:val="30"/>
        </w:rPr>
      </w:pPr>
    </w:p>
    <w:p w14:paraId="70C2B0FA">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780C47A0">
      <w:pPr>
        <w:adjustRightInd w:val="0"/>
        <w:snapToGrid w:val="0"/>
        <w:rPr>
          <w:rFonts w:hint="eastAsia" w:ascii="宋体" w:hAnsi="宋体"/>
          <w:szCs w:val="21"/>
        </w:rPr>
      </w:pPr>
    </w:p>
    <w:p w14:paraId="0A24B90B">
      <w:pPr>
        <w:adjustRightInd w:val="0"/>
        <w:snapToGrid w:val="0"/>
        <w:rPr>
          <w:rFonts w:hint="eastAsia" w:ascii="宋体" w:hAnsi="宋体"/>
          <w:szCs w:val="21"/>
        </w:rPr>
      </w:pPr>
    </w:p>
    <w:p w14:paraId="3DDB8E79">
      <w:pPr>
        <w:adjustRightInd w:val="0"/>
        <w:snapToGrid w:val="0"/>
        <w:rPr>
          <w:rFonts w:hint="eastAsia" w:ascii="宋体" w:hAnsi="宋体"/>
          <w:szCs w:val="21"/>
        </w:rPr>
      </w:pPr>
    </w:p>
    <w:p w14:paraId="2AF589A1">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28ADBEE1">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2C808BF7">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5A864E7B">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D7DB706">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0AE34211">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4B6A3468">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44695665">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182427A7">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3E11E5AB">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FA4AD35">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7B95AD28">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3820CEBE">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5DA82890">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1728F87A">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19D123D5">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07586F1C">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66AB38A5">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1A909FA">
      <w:pPr>
        <w:rPr>
          <w:rFonts w:eastAsia="黑体"/>
          <w:b/>
          <w:bCs/>
          <w:kern w:val="44"/>
          <w:sz w:val="24"/>
        </w:rPr>
      </w:pPr>
    </w:p>
    <w:p w14:paraId="5CF09535">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149906D8">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4DA85839">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4E4D4EAF">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6D07076">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05770D07">
      <w:pPr>
        <w:pStyle w:val="20"/>
        <w:spacing w:line="360" w:lineRule="auto"/>
        <w:ind w:left="410" w:hanging="410" w:hangingChars="170"/>
        <w:rPr>
          <w:rFonts w:hint="eastAsia" w:hAnsi="宋体"/>
          <w:b/>
          <w:sz w:val="24"/>
          <w:szCs w:val="24"/>
        </w:rPr>
      </w:pPr>
    </w:p>
    <w:p w14:paraId="433B74D3">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5AFD8DBB">
      <w:pPr>
        <w:adjustRightInd w:val="0"/>
        <w:snapToGrid w:val="0"/>
        <w:spacing w:line="360" w:lineRule="auto"/>
        <w:rPr>
          <w:rFonts w:hint="eastAsia" w:ascii="宋体" w:hAnsi="宋体"/>
          <w:b/>
          <w:sz w:val="24"/>
        </w:rPr>
      </w:pPr>
    </w:p>
    <w:p w14:paraId="4C3318EC">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5F4FF557">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1984021E">
      <w:pPr>
        <w:jc w:val="center"/>
        <w:rPr>
          <w:b/>
          <w:sz w:val="24"/>
        </w:rPr>
      </w:pPr>
      <w:r>
        <w:rPr>
          <w:rFonts w:hint="eastAsia"/>
          <w:b/>
          <w:sz w:val="24"/>
        </w:rPr>
        <w:t>第1包 单体同位素比质谱仪联用系统</w:t>
      </w:r>
    </w:p>
    <w:p w14:paraId="785207DF">
      <w:pPr>
        <w:rPr>
          <w:b/>
          <w:sz w:val="24"/>
        </w:rPr>
      </w:pPr>
    </w:p>
    <w:p w14:paraId="7E04E115">
      <w:pPr>
        <w:rPr>
          <w:b/>
          <w:sz w:val="24"/>
        </w:rPr>
      </w:pPr>
    </w:p>
    <w:p w14:paraId="1C3BD233">
      <w:pPr>
        <w:rPr>
          <w:b/>
          <w:sz w:val="24"/>
        </w:rPr>
      </w:pPr>
      <w:r>
        <w:rPr>
          <w:rFonts w:hint="eastAsia"/>
          <w:b/>
          <w:sz w:val="24"/>
        </w:rPr>
        <w:t>（一）技术要求：</w:t>
      </w:r>
    </w:p>
    <w:p w14:paraId="3DFBB3D6">
      <w:pPr>
        <w:spacing w:line="360" w:lineRule="auto"/>
        <w:rPr>
          <w:b/>
          <w:sz w:val="24"/>
        </w:rPr>
      </w:pPr>
      <w:r>
        <w:rPr>
          <w:rFonts w:hint="eastAsia"/>
          <w:b/>
          <w:sz w:val="24"/>
        </w:rPr>
        <w:t>1.工作条件：</w:t>
      </w:r>
    </w:p>
    <w:p w14:paraId="7C2EF341">
      <w:pPr>
        <w:adjustRightInd w:val="0"/>
        <w:snapToGrid w:val="0"/>
        <w:spacing w:line="360" w:lineRule="auto"/>
        <w:rPr>
          <w:rFonts w:hint="eastAsia" w:ascii="宋体" w:hAnsi="宋体"/>
          <w:sz w:val="24"/>
          <w:lang w:bidi="ar"/>
        </w:rPr>
      </w:pPr>
      <w:r>
        <w:rPr>
          <w:rFonts w:hint="eastAsia" w:ascii="宋体" w:hAnsi="宋体"/>
          <w:sz w:val="24"/>
          <w:lang w:bidi="ar"/>
        </w:rPr>
        <w:t>1.1 设备应满足招标文件总则规定的基本工作条件，并符合本项目所需的实验室安装、运行和安全使用要求。</w:t>
      </w:r>
    </w:p>
    <w:p w14:paraId="3036EEA3">
      <w:pPr>
        <w:adjustRightInd w:val="0"/>
        <w:snapToGrid w:val="0"/>
        <w:spacing w:line="360" w:lineRule="auto"/>
        <w:rPr>
          <w:rFonts w:hint="eastAsia" w:ascii="宋体" w:hAnsi="宋体"/>
          <w:sz w:val="24"/>
          <w:lang w:bidi="ar"/>
        </w:rPr>
      </w:pPr>
      <w:r>
        <w:rPr>
          <w:rFonts w:hint="eastAsia" w:ascii="宋体" w:hAnsi="宋体"/>
          <w:sz w:val="24"/>
          <w:lang w:bidi="ar"/>
        </w:rPr>
        <w:t>1.2 系统运行所需电源、气源及辅助条件应满足以下要求：</w:t>
      </w:r>
    </w:p>
    <w:p w14:paraId="466DBDF4">
      <w:pPr>
        <w:adjustRightInd w:val="0"/>
        <w:snapToGrid w:val="0"/>
        <w:spacing w:line="360" w:lineRule="auto"/>
        <w:rPr>
          <w:rFonts w:hint="eastAsia" w:ascii="宋体" w:hAnsi="宋体"/>
          <w:sz w:val="24"/>
          <w:lang w:bidi="ar"/>
        </w:rPr>
      </w:pPr>
      <w:r>
        <w:rPr>
          <w:rFonts w:hint="eastAsia" w:ascii="宋体" w:hAnsi="宋体"/>
          <w:sz w:val="24"/>
          <w:lang w:bidi="ar"/>
        </w:rPr>
        <w:t>1.2.1 工作电压：100V—240V。</w:t>
      </w:r>
    </w:p>
    <w:p w14:paraId="7B1D1234">
      <w:pPr>
        <w:adjustRightInd w:val="0"/>
        <w:snapToGrid w:val="0"/>
        <w:spacing w:line="360" w:lineRule="auto"/>
        <w:rPr>
          <w:rFonts w:hint="eastAsia" w:ascii="宋体" w:hAnsi="宋体"/>
          <w:sz w:val="24"/>
          <w:lang w:bidi="ar"/>
        </w:rPr>
      </w:pPr>
      <w:r>
        <w:rPr>
          <w:rFonts w:hint="eastAsia" w:ascii="宋体" w:hAnsi="宋体"/>
          <w:sz w:val="24"/>
          <w:lang w:bidi="ar"/>
        </w:rPr>
        <w:t>1.2.2 氦气纯度：≥99.998%。</w:t>
      </w:r>
    </w:p>
    <w:p w14:paraId="2550498E">
      <w:pPr>
        <w:adjustRightInd w:val="0"/>
        <w:snapToGrid w:val="0"/>
        <w:spacing w:line="360" w:lineRule="auto"/>
        <w:rPr>
          <w:rFonts w:hint="eastAsia" w:ascii="宋体" w:hAnsi="宋体"/>
          <w:sz w:val="24"/>
          <w:lang w:bidi="ar"/>
        </w:rPr>
      </w:pPr>
      <w:r>
        <w:rPr>
          <w:rFonts w:hint="eastAsia" w:ascii="宋体" w:hAnsi="宋体"/>
          <w:sz w:val="24"/>
          <w:lang w:bidi="ar"/>
        </w:rPr>
        <w:t>1.2.3 压缩空气：主机100 psi，GSL 50 psi。</w:t>
      </w:r>
    </w:p>
    <w:p w14:paraId="14229F62">
      <w:pPr>
        <w:adjustRightInd w:val="0"/>
        <w:snapToGrid w:val="0"/>
        <w:spacing w:line="360" w:lineRule="auto"/>
        <w:rPr>
          <w:rFonts w:hint="eastAsia" w:ascii="宋体" w:hAnsi="宋体"/>
          <w:sz w:val="24"/>
          <w:lang w:bidi="ar"/>
        </w:rPr>
      </w:pPr>
      <w:r>
        <w:rPr>
          <w:rFonts w:hint="eastAsia" w:ascii="宋体" w:hAnsi="宋体"/>
          <w:sz w:val="24"/>
          <w:lang w:bidi="ar"/>
        </w:rPr>
        <w:t>1.2.4 氮气、二氧化碳、氢气纯度：≥99.999%。</w:t>
      </w:r>
    </w:p>
    <w:p w14:paraId="0F49416E">
      <w:pPr>
        <w:adjustRightInd w:val="0"/>
        <w:snapToGrid w:val="0"/>
        <w:spacing w:line="360" w:lineRule="auto"/>
        <w:rPr>
          <w:rFonts w:hint="eastAsia" w:ascii="宋体" w:hAnsi="宋体"/>
          <w:sz w:val="24"/>
          <w:lang w:bidi="ar"/>
        </w:rPr>
      </w:pPr>
      <w:r>
        <w:rPr>
          <w:rFonts w:hint="eastAsia" w:ascii="宋体" w:hAnsi="宋体"/>
          <w:sz w:val="24"/>
          <w:lang w:bidi="ar"/>
        </w:rPr>
        <w:t>1.2.5 氧气纯度：≥99.998%。</w:t>
      </w:r>
    </w:p>
    <w:p w14:paraId="085FCFBD">
      <w:pPr>
        <w:adjustRightInd w:val="0"/>
        <w:snapToGrid w:val="0"/>
        <w:spacing w:line="360" w:lineRule="auto"/>
        <w:rPr>
          <w:rFonts w:hint="eastAsia" w:ascii="宋体" w:hAnsi="宋体"/>
          <w:sz w:val="24"/>
          <w:lang w:bidi="ar"/>
        </w:rPr>
      </w:pPr>
      <w:r>
        <w:rPr>
          <w:rFonts w:hint="eastAsia" w:ascii="宋体" w:hAnsi="宋体"/>
          <w:sz w:val="24"/>
          <w:lang w:bidi="ar"/>
        </w:rPr>
        <w:t>1.3 供货方应在安装前确认现场电源、气源、通风、空间布局及其他安装条件，并提出设备安装运行所需的现场条件建议。</w:t>
      </w:r>
    </w:p>
    <w:p w14:paraId="5EB130AB">
      <w:pPr>
        <w:adjustRightInd w:val="0"/>
        <w:snapToGrid w:val="0"/>
        <w:spacing w:line="360" w:lineRule="auto"/>
        <w:ind w:left="360" w:hanging="360"/>
        <w:rPr>
          <w:rFonts w:hint="eastAsia" w:ascii="宋体" w:hAnsi="宋体"/>
          <w:b/>
          <w:sz w:val="24"/>
        </w:rPr>
      </w:pPr>
    </w:p>
    <w:p w14:paraId="4EA4F400">
      <w:pPr>
        <w:adjustRightInd w:val="0"/>
        <w:snapToGrid w:val="0"/>
        <w:spacing w:line="360" w:lineRule="auto"/>
        <w:ind w:left="360" w:hanging="360"/>
        <w:rPr>
          <w:rFonts w:hint="eastAsia" w:ascii="宋体" w:hAnsi="宋体"/>
          <w:b/>
          <w:sz w:val="24"/>
        </w:rPr>
      </w:pPr>
      <w:r>
        <w:rPr>
          <w:rFonts w:hint="eastAsia" w:ascii="宋体" w:hAnsi="宋体" w:cs="宋体"/>
          <w:b/>
          <w:sz w:val="24"/>
          <w:lang w:bidi="ar"/>
        </w:rPr>
        <w:t>2. 设备用途：</w:t>
      </w:r>
    </w:p>
    <w:p w14:paraId="293182B6">
      <w:pPr>
        <w:adjustRightInd w:val="0"/>
        <w:snapToGrid w:val="0"/>
        <w:spacing w:line="360" w:lineRule="auto"/>
        <w:ind w:firstLine="360"/>
        <w:rPr>
          <w:rFonts w:hint="eastAsia" w:ascii="宋体" w:hAnsi="宋体" w:cs="宋体"/>
          <w:sz w:val="24"/>
          <w:lang w:bidi="ar"/>
        </w:rPr>
      </w:pPr>
      <w:r>
        <w:rPr>
          <w:rFonts w:hint="eastAsia" w:ascii="宋体" w:hAnsi="宋体" w:cs="宋体"/>
          <w:sz w:val="24"/>
          <w:lang w:bidi="ar"/>
        </w:rPr>
        <w:t>单体同位素比质谱仪联用系统主要用于有机物单体化合物及复杂环境样品中特定元素稳定同位素组成的高精度测定。</w:t>
      </w:r>
    </w:p>
    <w:p w14:paraId="6B704A5E">
      <w:pPr>
        <w:adjustRightInd w:val="0"/>
        <w:snapToGrid w:val="0"/>
        <w:spacing w:line="360" w:lineRule="auto"/>
        <w:ind w:left="360" w:hanging="360"/>
        <w:rPr>
          <w:rFonts w:hint="eastAsia" w:ascii="宋体" w:hAnsi="宋体"/>
          <w:b/>
          <w:sz w:val="24"/>
        </w:rPr>
      </w:pPr>
    </w:p>
    <w:p w14:paraId="4DE1F893">
      <w:pPr>
        <w:adjustRightInd w:val="0"/>
        <w:snapToGrid w:val="0"/>
        <w:spacing w:line="360" w:lineRule="auto"/>
        <w:ind w:left="360" w:hanging="360"/>
        <w:rPr>
          <w:rFonts w:hint="eastAsia" w:ascii="宋体" w:hAnsi="宋体"/>
          <w:b/>
          <w:sz w:val="24"/>
        </w:rPr>
      </w:pPr>
      <w:r>
        <w:rPr>
          <w:rFonts w:hint="eastAsia" w:ascii="宋体" w:hAnsi="宋体" w:cs="宋体"/>
          <w:b/>
          <w:sz w:val="24"/>
          <w:lang w:bidi="ar"/>
        </w:rPr>
        <w:t>3. 技术规格：</w:t>
      </w:r>
    </w:p>
    <w:p w14:paraId="710A0620">
      <w:pPr>
        <w:adjustRightInd w:val="0"/>
        <w:snapToGrid w:val="0"/>
        <w:spacing w:line="360" w:lineRule="auto"/>
        <w:rPr>
          <w:rFonts w:hint="eastAsia" w:ascii="宋体" w:hAnsi="宋体"/>
          <w:b/>
          <w:bCs/>
          <w:sz w:val="24"/>
          <w:lang w:bidi="ar"/>
        </w:rPr>
      </w:pPr>
      <w:r>
        <w:rPr>
          <w:rFonts w:hint="eastAsia" w:ascii="宋体" w:hAnsi="宋体"/>
          <w:b/>
          <w:bCs/>
          <w:sz w:val="24"/>
          <w:lang w:bidi="ar"/>
        </w:rPr>
        <w:t>3.1 稳定同位素比质谱仪</w:t>
      </w:r>
    </w:p>
    <w:p w14:paraId="2899FAF4">
      <w:pPr>
        <w:adjustRightInd w:val="0"/>
        <w:snapToGrid w:val="0"/>
        <w:spacing w:line="360" w:lineRule="auto"/>
        <w:rPr>
          <w:rFonts w:hint="eastAsia" w:ascii="宋体" w:hAnsi="宋体"/>
          <w:sz w:val="24"/>
          <w:lang w:bidi="ar"/>
        </w:rPr>
      </w:pPr>
      <w:r>
        <w:rPr>
          <w:rFonts w:hint="eastAsia" w:ascii="宋体" w:hAnsi="宋体"/>
          <w:sz w:val="24"/>
          <w:lang w:bidi="ar"/>
        </w:rPr>
        <w:t>3.1.1稳定同位素比质谱仪主机主要由高灵敏电子轰击离子源、电磁铁和法拉第接收器组成，标配的法拉第接收器即可实现13C、15N、34S、18O和2H五元素的同位素比分析。</w:t>
      </w:r>
    </w:p>
    <w:p w14:paraId="363D29E6">
      <w:pPr>
        <w:adjustRightInd w:val="0"/>
        <w:snapToGrid w:val="0"/>
        <w:spacing w:line="360" w:lineRule="auto"/>
        <w:rPr>
          <w:rFonts w:hint="eastAsia" w:ascii="宋体" w:hAnsi="宋体"/>
          <w:sz w:val="24"/>
          <w:lang w:bidi="ar"/>
        </w:rPr>
      </w:pPr>
      <w:r>
        <w:rPr>
          <w:rFonts w:hint="eastAsia" w:ascii="宋体" w:hAnsi="宋体"/>
          <w:sz w:val="24"/>
          <w:lang w:bidi="ar"/>
        </w:rPr>
        <w:t>3.1.2 差动泵真空系统：飞行管及离子源处分别配置一台高压缩比涡轮分子泵，极限真空度可达1×10-8 mbar；飞行管采用全不锈钢结构设计，实现高真空度，无需烘烤即可有效消除记忆效应和本底污染；飞行管配金属垫圈，防止留有隐蔽残留物，提升真空抽气速率。</w:t>
      </w:r>
    </w:p>
    <w:p w14:paraId="637D2C6D">
      <w:pPr>
        <w:adjustRightInd w:val="0"/>
        <w:snapToGrid w:val="0"/>
        <w:spacing w:line="360" w:lineRule="auto"/>
        <w:rPr>
          <w:rFonts w:hint="eastAsia" w:ascii="宋体" w:hAnsi="宋体"/>
          <w:sz w:val="24"/>
          <w:lang w:bidi="ar"/>
        </w:rPr>
      </w:pPr>
      <w:r>
        <w:rPr>
          <w:rFonts w:hint="eastAsia" w:ascii="宋体" w:hAnsi="宋体"/>
          <w:sz w:val="24"/>
          <w:lang w:bidi="ar"/>
        </w:rPr>
        <w:t>3.1.3 高灵敏度Nier型电子轰击源，确保高效电离。长寿命镀钍灯丝，稳定性高，可对O2进行分析。零记忆效应，允许采用二氧化硫气体作为标准气进行分析。</w:t>
      </w:r>
    </w:p>
    <w:p w14:paraId="541E4390">
      <w:pPr>
        <w:adjustRightInd w:val="0"/>
        <w:snapToGrid w:val="0"/>
        <w:spacing w:line="360" w:lineRule="auto"/>
        <w:rPr>
          <w:rFonts w:hint="eastAsia" w:ascii="宋体" w:hAnsi="宋体"/>
          <w:sz w:val="24"/>
          <w:lang w:bidi="ar"/>
        </w:rPr>
      </w:pPr>
      <w:r>
        <w:rPr>
          <w:rFonts w:hint="eastAsia" w:ascii="宋体" w:hAnsi="宋体"/>
          <w:sz w:val="24"/>
          <w:lang w:bidi="ar"/>
        </w:rPr>
        <w:t>#3.1.4 采用双方向聚焦质量分析器，有效色散半径：不小于20cm；m/z 2和3的聚焦点间至少为20厘米。</w:t>
      </w:r>
    </w:p>
    <w:p w14:paraId="2812CFB8">
      <w:pPr>
        <w:adjustRightInd w:val="0"/>
        <w:snapToGrid w:val="0"/>
        <w:spacing w:line="360" w:lineRule="auto"/>
        <w:rPr>
          <w:rFonts w:hint="eastAsia" w:ascii="宋体" w:hAnsi="宋体"/>
          <w:sz w:val="24"/>
          <w:lang w:bidi="ar"/>
        </w:rPr>
      </w:pPr>
      <w:r>
        <w:rPr>
          <w:rFonts w:hint="eastAsia" w:ascii="宋体" w:hAnsi="宋体"/>
          <w:sz w:val="24"/>
          <w:lang w:bidi="ar"/>
        </w:rPr>
        <w:t>3.1.5 质量数范围：2-96amu。</w:t>
      </w:r>
    </w:p>
    <w:p w14:paraId="74B7889A">
      <w:pPr>
        <w:adjustRightInd w:val="0"/>
        <w:snapToGrid w:val="0"/>
        <w:spacing w:line="360" w:lineRule="auto"/>
        <w:rPr>
          <w:rFonts w:hint="eastAsia" w:ascii="宋体" w:hAnsi="宋体"/>
          <w:sz w:val="24"/>
          <w:lang w:bidi="ar"/>
        </w:rPr>
      </w:pPr>
      <w:r>
        <w:rPr>
          <w:rFonts w:hint="eastAsia" w:ascii="宋体" w:hAnsi="宋体"/>
          <w:sz w:val="24"/>
          <w:lang w:bidi="ar"/>
        </w:rPr>
        <w:t>#3.1.6 质量分辨率m/Δm：≥110（N2），10%峰谷。</w:t>
      </w:r>
    </w:p>
    <w:p w14:paraId="40007614">
      <w:pPr>
        <w:adjustRightInd w:val="0"/>
        <w:snapToGrid w:val="0"/>
        <w:spacing w:line="360" w:lineRule="auto"/>
        <w:rPr>
          <w:rFonts w:hint="eastAsia" w:ascii="宋体" w:hAnsi="宋体"/>
          <w:sz w:val="24"/>
          <w:lang w:bidi="ar"/>
        </w:rPr>
      </w:pPr>
      <w:r>
        <w:rPr>
          <w:rFonts w:hint="eastAsia" w:ascii="宋体" w:hAnsi="宋体"/>
          <w:sz w:val="24"/>
          <w:lang w:bidi="ar"/>
        </w:rPr>
        <w:t>3.1.7绝对灵敏度：≤850（连续流），提供证明材料并加盖投标人公章。</w:t>
      </w:r>
    </w:p>
    <w:p w14:paraId="6CBEBA19">
      <w:pPr>
        <w:adjustRightInd w:val="0"/>
        <w:snapToGrid w:val="0"/>
        <w:spacing w:line="360" w:lineRule="auto"/>
        <w:rPr>
          <w:rFonts w:hint="eastAsia" w:ascii="宋体" w:hAnsi="宋体"/>
          <w:sz w:val="24"/>
          <w:lang w:bidi="ar"/>
        </w:rPr>
      </w:pPr>
      <w:r>
        <w:rPr>
          <w:rFonts w:hint="eastAsia" w:ascii="宋体" w:hAnsi="宋体"/>
          <w:sz w:val="24"/>
          <w:lang w:bidi="ar"/>
        </w:rPr>
        <w:t>#3.1.8 质量色散（CNOS）：≥200mm；质量色散（D/H）：≥200mm。</w:t>
      </w:r>
    </w:p>
    <w:p w14:paraId="6BF6534E">
      <w:pPr>
        <w:adjustRightInd w:val="0"/>
        <w:snapToGrid w:val="0"/>
        <w:spacing w:line="360" w:lineRule="auto"/>
        <w:rPr>
          <w:rFonts w:hint="eastAsia" w:ascii="宋体" w:hAnsi="宋体"/>
          <w:sz w:val="24"/>
          <w:lang w:bidi="ar"/>
        </w:rPr>
      </w:pPr>
      <w:r>
        <w:rPr>
          <w:rFonts w:hint="eastAsia" w:ascii="宋体" w:hAnsi="宋体"/>
          <w:sz w:val="24"/>
          <w:lang w:bidi="ar"/>
        </w:rPr>
        <w:t>#3.1.9离子源线性：≤0.02‰/nA。高灵敏度的电子碰撞设计用以保证高电离效率，采用高稳定性的镀钍灯丝。</w:t>
      </w:r>
    </w:p>
    <w:p w14:paraId="63E6CBD9">
      <w:pPr>
        <w:adjustRightInd w:val="0"/>
        <w:snapToGrid w:val="0"/>
        <w:spacing w:line="360" w:lineRule="auto"/>
        <w:rPr>
          <w:rFonts w:hint="eastAsia" w:ascii="宋体" w:hAnsi="宋体"/>
          <w:sz w:val="24"/>
          <w:lang w:bidi="ar"/>
        </w:rPr>
      </w:pPr>
      <w:r>
        <w:rPr>
          <w:rFonts w:hint="eastAsia" w:ascii="宋体" w:hAnsi="宋体"/>
          <w:sz w:val="24"/>
          <w:lang w:bidi="ar"/>
        </w:rPr>
        <w:t>3.1.10 HD专用接收器及放大器，无需静电过滤器和阻滞光栅格即可实现与氦的完全分离。</w:t>
      </w:r>
    </w:p>
    <w:p w14:paraId="28272F0E">
      <w:pPr>
        <w:adjustRightInd w:val="0"/>
        <w:snapToGrid w:val="0"/>
        <w:spacing w:line="360" w:lineRule="auto"/>
        <w:rPr>
          <w:rFonts w:hint="eastAsia" w:ascii="宋体" w:hAnsi="宋体"/>
          <w:sz w:val="24"/>
          <w:lang w:bidi="ar"/>
        </w:rPr>
      </w:pPr>
      <w:r>
        <w:rPr>
          <w:rFonts w:hint="eastAsia" w:ascii="宋体" w:hAnsi="宋体"/>
          <w:sz w:val="24"/>
          <w:lang w:bidi="ar"/>
        </w:rPr>
        <w:t>#3.1.11 H3+因子：≤5ppm/nA。</w:t>
      </w:r>
    </w:p>
    <w:p w14:paraId="02450328">
      <w:pPr>
        <w:adjustRightInd w:val="0"/>
        <w:snapToGrid w:val="0"/>
        <w:spacing w:line="360" w:lineRule="auto"/>
        <w:rPr>
          <w:rFonts w:hint="eastAsia" w:ascii="宋体" w:hAnsi="宋体"/>
          <w:sz w:val="24"/>
          <w:lang w:bidi="ar"/>
        </w:rPr>
      </w:pPr>
      <w:r>
        <w:rPr>
          <w:rFonts w:hint="eastAsia" w:ascii="宋体" w:hAnsi="宋体"/>
          <w:sz w:val="24"/>
          <w:lang w:bidi="ar"/>
        </w:rPr>
        <w:t>#3.1.12 稳定同位素比质谱仪内精度：CO2(13C)：≤0.06‰，CO2 (18O)：≤0.06‰，N2(15N)：≤0.06‰，H2：≤0.4‰。</w:t>
      </w:r>
    </w:p>
    <w:p w14:paraId="2C96CB8E">
      <w:pPr>
        <w:adjustRightInd w:val="0"/>
        <w:snapToGrid w:val="0"/>
        <w:spacing w:line="360" w:lineRule="auto"/>
        <w:rPr>
          <w:rFonts w:hint="eastAsia" w:ascii="宋体" w:hAnsi="宋体"/>
          <w:sz w:val="24"/>
          <w:lang w:bidi="ar"/>
        </w:rPr>
      </w:pPr>
      <w:r>
        <w:rPr>
          <w:rFonts w:hint="eastAsia" w:ascii="宋体" w:hAnsi="宋体"/>
          <w:sz w:val="24"/>
          <w:lang w:bidi="ar"/>
        </w:rPr>
        <w:t>3.1.13 联机功能：连续流接口内置于IRMS主机内，实现全自动控制；可同时连接5个以上外围设备，可与元素分析仪、气相色谱、液相色谱、TOC总有机碳分析仪、水平衡装置、多功能气体富集制备系统等外围设备联机。</w:t>
      </w:r>
    </w:p>
    <w:p w14:paraId="300BDF01">
      <w:pPr>
        <w:adjustRightInd w:val="0"/>
        <w:snapToGrid w:val="0"/>
        <w:spacing w:line="360" w:lineRule="auto"/>
        <w:rPr>
          <w:rFonts w:hint="eastAsia" w:ascii="宋体" w:hAnsi="宋体"/>
          <w:sz w:val="24"/>
          <w:lang w:bidi="ar"/>
        </w:rPr>
      </w:pPr>
      <w:bookmarkStart w:id="2" w:name="_Hlk190097243"/>
      <w:r>
        <w:rPr>
          <w:rFonts w:hint="eastAsia" w:ascii="宋体" w:hAnsi="宋体"/>
          <w:sz w:val="24"/>
          <w:lang w:bidi="ar"/>
        </w:rPr>
        <w:t>3.1.14 采用捕集回路技术，可代替钢瓶或气路进行调谐或Delta值计算，无需在实验室额外添加气瓶或气路。</w:t>
      </w:r>
    </w:p>
    <w:p w14:paraId="527700BB">
      <w:pPr>
        <w:adjustRightInd w:val="0"/>
        <w:snapToGrid w:val="0"/>
        <w:spacing w:line="360" w:lineRule="auto"/>
        <w:rPr>
          <w:rFonts w:hint="eastAsia" w:ascii="宋体" w:hAnsi="宋体"/>
          <w:sz w:val="24"/>
          <w:lang w:bidi="ar"/>
        </w:rPr>
      </w:pPr>
      <w:r>
        <w:rPr>
          <w:rFonts w:hint="eastAsia" w:ascii="宋体" w:hAnsi="宋体"/>
          <w:sz w:val="24"/>
          <w:lang w:bidi="ar"/>
        </w:rPr>
        <w:t>3.1.15 信号接收器：万用法拉第三杯接收器，单独H同位素法拉第杯接收器；可同时接收范围在28、29、30-44、45、46-64、65、66之间的相邻离子，无需调整收集器和放大器。</w:t>
      </w:r>
    </w:p>
    <w:p w14:paraId="3A63D7D5">
      <w:pPr>
        <w:adjustRightInd w:val="0"/>
        <w:snapToGrid w:val="0"/>
        <w:spacing w:line="360" w:lineRule="auto"/>
        <w:rPr>
          <w:rFonts w:hint="eastAsia" w:ascii="宋体" w:hAnsi="宋体"/>
          <w:sz w:val="24"/>
          <w:lang w:bidi="ar"/>
        </w:rPr>
      </w:pPr>
      <w:r>
        <w:rPr>
          <w:rFonts w:hint="eastAsia" w:ascii="宋体" w:hAnsi="宋体"/>
          <w:sz w:val="24"/>
          <w:lang w:bidi="ar"/>
        </w:rPr>
        <w:t>3.1.16 参考气连接：可同时连接3路参考气，用于校准样品峰，至多可扩展至6路参考气体。</w:t>
      </w:r>
    </w:p>
    <w:bookmarkEnd w:id="2"/>
    <w:p w14:paraId="235BCE50">
      <w:pPr>
        <w:adjustRightInd w:val="0"/>
        <w:snapToGrid w:val="0"/>
        <w:spacing w:line="360" w:lineRule="auto"/>
        <w:rPr>
          <w:rFonts w:hint="eastAsia" w:ascii="宋体" w:hAnsi="宋体"/>
          <w:b/>
          <w:bCs/>
          <w:sz w:val="24"/>
          <w:lang w:bidi="ar"/>
        </w:rPr>
      </w:pPr>
      <w:r>
        <w:rPr>
          <w:rFonts w:hint="eastAsia" w:ascii="宋体" w:hAnsi="宋体"/>
          <w:b/>
          <w:bCs/>
          <w:sz w:val="24"/>
          <w:lang w:bidi="ar"/>
        </w:rPr>
        <w:t xml:space="preserve">3.2 </w:t>
      </w:r>
      <w:bookmarkStart w:id="3" w:name="OLE_LINK3"/>
      <w:r>
        <w:rPr>
          <w:rFonts w:hint="eastAsia" w:ascii="宋体" w:hAnsi="宋体"/>
          <w:b/>
          <w:bCs/>
          <w:sz w:val="24"/>
          <w:lang w:bidi="ar"/>
        </w:rPr>
        <w:t>元素分析系统</w:t>
      </w:r>
      <w:bookmarkEnd w:id="3"/>
    </w:p>
    <w:p w14:paraId="140694ED">
      <w:pPr>
        <w:adjustRightInd w:val="0"/>
        <w:snapToGrid w:val="0"/>
        <w:spacing w:line="360" w:lineRule="auto"/>
        <w:rPr>
          <w:rFonts w:hint="eastAsia" w:ascii="宋体" w:hAnsi="宋体"/>
          <w:sz w:val="24"/>
          <w:lang w:bidi="ar"/>
        </w:rPr>
      </w:pPr>
      <w:r>
        <w:rPr>
          <w:rFonts w:hint="eastAsia" w:ascii="宋体" w:hAnsi="宋体"/>
          <w:sz w:val="24"/>
          <w:lang w:bidi="ar"/>
        </w:rPr>
        <w:t>3.2.1全自动进样系统：可同时配备固体和液体自动进样器，实现样品的自动进样分析。单炉体实现氧化与裂解双模式，切换无需改动气路。</w:t>
      </w:r>
    </w:p>
    <w:p w14:paraId="5B8C14F9">
      <w:pPr>
        <w:adjustRightInd w:val="0"/>
        <w:snapToGrid w:val="0"/>
        <w:spacing w:line="360" w:lineRule="auto"/>
        <w:rPr>
          <w:rFonts w:hint="eastAsia" w:ascii="宋体" w:hAnsi="宋体"/>
          <w:sz w:val="24"/>
          <w:lang w:bidi="ar"/>
        </w:rPr>
      </w:pPr>
      <w:r>
        <w:rPr>
          <w:rFonts w:hint="eastAsia" w:ascii="宋体" w:hAnsi="宋体"/>
          <w:sz w:val="24"/>
          <w:lang w:bidi="ar"/>
        </w:rPr>
        <w:t>3.2.2燃烧炉温度范围：室温至1400℃。还原炉温度范围：室温至900℃。</w:t>
      </w:r>
    </w:p>
    <w:p w14:paraId="280D7C3C">
      <w:pPr>
        <w:adjustRightInd w:val="0"/>
        <w:snapToGrid w:val="0"/>
        <w:spacing w:line="360" w:lineRule="auto"/>
        <w:rPr>
          <w:rFonts w:hint="eastAsia" w:ascii="宋体" w:hAnsi="宋体"/>
          <w:sz w:val="24"/>
          <w:lang w:bidi="ar"/>
        </w:rPr>
      </w:pPr>
      <w:r>
        <w:rPr>
          <w:rFonts w:hint="eastAsia" w:ascii="宋体" w:hAnsi="宋体"/>
          <w:sz w:val="24"/>
          <w:lang w:bidi="ar"/>
        </w:rPr>
        <w:t>3.2.3标配不少于50位固体进样器。</w:t>
      </w:r>
    </w:p>
    <w:p w14:paraId="2863D33A">
      <w:pPr>
        <w:adjustRightInd w:val="0"/>
        <w:snapToGrid w:val="0"/>
        <w:spacing w:line="360" w:lineRule="auto"/>
        <w:rPr>
          <w:rFonts w:hint="eastAsia" w:ascii="宋体" w:hAnsi="宋体"/>
          <w:sz w:val="24"/>
          <w:lang w:bidi="ar"/>
        </w:rPr>
      </w:pPr>
      <w:r>
        <w:rPr>
          <w:rFonts w:hint="eastAsia" w:ascii="宋体" w:hAnsi="宋体"/>
          <w:sz w:val="24"/>
          <w:lang w:bidi="ar"/>
        </w:rPr>
        <w:t>3.2.4采用色谱柱对气体进行分离，柱温箱温度范围：室温至140℃。</w:t>
      </w:r>
    </w:p>
    <w:p w14:paraId="18AB3236">
      <w:pPr>
        <w:adjustRightInd w:val="0"/>
        <w:snapToGrid w:val="0"/>
        <w:spacing w:line="360" w:lineRule="auto"/>
        <w:rPr>
          <w:rFonts w:hint="eastAsia" w:ascii="宋体" w:hAnsi="宋体"/>
          <w:sz w:val="24"/>
          <w:lang w:bidi="ar"/>
        </w:rPr>
      </w:pPr>
      <w:r>
        <w:rPr>
          <w:rFonts w:hint="eastAsia" w:ascii="宋体" w:hAnsi="宋体"/>
          <w:sz w:val="24"/>
          <w:lang w:bidi="ar"/>
        </w:rPr>
        <w:t>3.2.5分析周期：≤4分钟/样 (15N)，≤7分钟/样 (15N和13C同时检测)，≤4分钟/样（CO2气体样品）。</w:t>
      </w:r>
    </w:p>
    <w:p w14:paraId="7AB208CC">
      <w:pPr>
        <w:adjustRightInd w:val="0"/>
        <w:snapToGrid w:val="0"/>
        <w:spacing w:line="360" w:lineRule="auto"/>
        <w:rPr>
          <w:rFonts w:hint="eastAsia" w:ascii="宋体" w:hAnsi="宋体"/>
          <w:sz w:val="24"/>
          <w:lang w:bidi="ar"/>
        </w:rPr>
      </w:pPr>
      <w:r>
        <w:rPr>
          <w:rFonts w:hint="eastAsia" w:ascii="宋体" w:hAnsi="宋体"/>
          <w:sz w:val="24"/>
          <w:lang w:bidi="ar"/>
        </w:rPr>
        <w:t>#3.2.</w:t>
      </w:r>
      <w:bookmarkStart w:id="4" w:name="_Hlk85116055"/>
      <w:r>
        <w:rPr>
          <w:rFonts w:hint="eastAsia" w:ascii="宋体" w:hAnsi="宋体"/>
          <w:sz w:val="24"/>
          <w:lang w:bidi="ar"/>
        </w:rPr>
        <w:t>6同位素质谱仪外接EA精度：CO2 (13C)：≤0.1‰，CO2 (18O)：≤0.2‰，N2 (15N)：≤0.15‰，H2 (2H)：≤1.0‰。</w:t>
      </w:r>
    </w:p>
    <w:bookmarkEnd w:id="4"/>
    <w:p w14:paraId="1B086961">
      <w:pPr>
        <w:adjustRightInd w:val="0"/>
        <w:snapToGrid w:val="0"/>
        <w:spacing w:line="360" w:lineRule="auto"/>
        <w:rPr>
          <w:rFonts w:hint="eastAsia" w:ascii="宋体" w:hAnsi="宋体"/>
          <w:b/>
          <w:bCs/>
          <w:sz w:val="24"/>
          <w:lang w:bidi="ar"/>
        </w:rPr>
      </w:pPr>
      <w:bookmarkStart w:id="5" w:name="_Hlk85114475"/>
      <w:bookmarkEnd w:id="5"/>
      <w:r>
        <w:rPr>
          <w:rFonts w:hint="eastAsia" w:ascii="宋体" w:hAnsi="宋体"/>
          <w:b/>
          <w:bCs/>
          <w:sz w:val="24"/>
          <w:lang w:bidi="ar"/>
        </w:rPr>
        <w:t>3.3气相高温转化单元</w:t>
      </w:r>
    </w:p>
    <w:p w14:paraId="2CBF7E0A">
      <w:pPr>
        <w:adjustRightInd w:val="0"/>
        <w:snapToGrid w:val="0"/>
        <w:spacing w:line="360" w:lineRule="auto"/>
        <w:rPr>
          <w:rFonts w:hint="eastAsia" w:ascii="宋体" w:hAnsi="宋体"/>
          <w:sz w:val="24"/>
          <w:lang w:bidi="ar"/>
        </w:rPr>
      </w:pPr>
      <w:r>
        <w:rPr>
          <w:rFonts w:hint="eastAsia" w:ascii="宋体" w:hAnsi="宋体"/>
          <w:sz w:val="24"/>
          <w:lang w:bidi="ar"/>
        </w:rPr>
        <w:t>3.3.1系统用于挥发性有机物单体的13C、15N、2H、18O、34S分析</w:t>
      </w:r>
    </w:p>
    <w:p w14:paraId="49530A44">
      <w:pPr>
        <w:adjustRightInd w:val="0"/>
        <w:snapToGrid w:val="0"/>
        <w:spacing w:line="360" w:lineRule="auto"/>
        <w:rPr>
          <w:rFonts w:hint="eastAsia" w:ascii="宋体" w:hAnsi="宋体"/>
          <w:sz w:val="24"/>
          <w:lang w:bidi="ar"/>
        </w:rPr>
      </w:pPr>
      <w:r>
        <w:rPr>
          <w:rFonts w:hint="eastAsia" w:ascii="宋体" w:hAnsi="宋体"/>
          <w:sz w:val="24"/>
          <w:lang w:bidi="ar"/>
        </w:rPr>
        <w:t>3.3.2 气相色谱与稳定同位素接口采用燃烧/裂解炉一体化设计，无需切换即可完成燃烧和裂解反应，温度范围：室温至1400℃。</w:t>
      </w:r>
    </w:p>
    <w:p w14:paraId="11BDBB3B">
      <w:pPr>
        <w:adjustRightInd w:val="0"/>
        <w:snapToGrid w:val="0"/>
        <w:spacing w:line="360" w:lineRule="auto"/>
        <w:rPr>
          <w:rFonts w:hint="eastAsia" w:ascii="宋体" w:hAnsi="宋体"/>
          <w:sz w:val="24"/>
          <w:lang w:bidi="ar"/>
        </w:rPr>
      </w:pPr>
      <w:r>
        <w:rPr>
          <w:rFonts w:hint="eastAsia" w:ascii="宋体" w:hAnsi="宋体"/>
          <w:sz w:val="24"/>
          <w:lang w:bidi="ar"/>
        </w:rPr>
        <w:t>3.3.3采用低死体积动态膜脱水方式对样品进行脱水净化。</w:t>
      </w:r>
    </w:p>
    <w:p w14:paraId="36C488D2">
      <w:pPr>
        <w:adjustRightInd w:val="0"/>
        <w:snapToGrid w:val="0"/>
        <w:spacing w:line="360" w:lineRule="auto"/>
        <w:rPr>
          <w:rFonts w:hint="eastAsia" w:ascii="宋体" w:hAnsi="宋体"/>
          <w:sz w:val="24"/>
          <w:lang w:bidi="ar"/>
        </w:rPr>
      </w:pPr>
      <w:r>
        <w:rPr>
          <w:rFonts w:hint="eastAsia" w:ascii="宋体" w:hAnsi="宋体"/>
          <w:sz w:val="24"/>
          <w:lang w:bidi="ar"/>
        </w:rPr>
        <w:t>3.3.4氧化剂再生系统内置，无需额外的阀或者反吹。</w:t>
      </w:r>
    </w:p>
    <w:p w14:paraId="2CC1B795">
      <w:pPr>
        <w:adjustRightInd w:val="0"/>
        <w:snapToGrid w:val="0"/>
        <w:spacing w:line="360" w:lineRule="auto"/>
        <w:rPr>
          <w:rFonts w:hint="eastAsia" w:ascii="宋体" w:hAnsi="宋体"/>
          <w:sz w:val="24"/>
          <w:lang w:bidi="ar"/>
        </w:rPr>
      </w:pPr>
      <w:r>
        <w:rPr>
          <w:rFonts w:hint="eastAsia" w:ascii="宋体" w:hAnsi="宋体"/>
          <w:sz w:val="24"/>
          <w:lang w:bidi="ar"/>
        </w:rPr>
        <w:t>3.3.5可配备还原炉，自动在线完成15N的分析。</w:t>
      </w:r>
    </w:p>
    <w:p w14:paraId="1EAC9A0F">
      <w:pPr>
        <w:adjustRightInd w:val="0"/>
        <w:snapToGrid w:val="0"/>
        <w:spacing w:line="360" w:lineRule="auto"/>
        <w:rPr>
          <w:rFonts w:hint="eastAsia" w:ascii="宋体" w:hAnsi="宋体"/>
          <w:sz w:val="24"/>
          <w:lang w:bidi="ar"/>
        </w:rPr>
      </w:pPr>
      <w:r>
        <w:rPr>
          <w:rFonts w:hint="eastAsia" w:ascii="宋体" w:hAnsi="宋体"/>
          <w:sz w:val="24"/>
          <w:lang w:bidi="ar"/>
        </w:rPr>
        <w:t>3.3.6内置氧气再生管线，轻松实现燃烧化学物质的再氧化，避免使用额外的阀门和“反吹”,可长序列连续过夜测量；</w:t>
      </w:r>
    </w:p>
    <w:p w14:paraId="5E9EFD80">
      <w:pPr>
        <w:adjustRightInd w:val="0"/>
        <w:snapToGrid w:val="0"/>
        <w:spacing w:line="360" w:lineRule="auto"/>
        <w:rPr>
          <w:rFonts w:hint="eastAsia" w:ascii="宋体" w:hAnsi="宋体"/>
          <w:sz w:val="24"/>
          <w:lang w:bidi="ar"/>
        </w:rPr>
      </w:pPr>
      <w:r>
        <w:rPr>
          <w:rFonts w:hint="eastAsia" w:ascii="宋体" w:hAnsi="宋体"/>
          <w:sz w:val="24"/>
          <w:lang w:bidi="ar"/>
        </w:rPr>
        <w:t>3.3.7同位素比质谱和FID之间自动切换。</w:t>
      </w:r>
    </w:p>
    <w:p w14:paraId="146FFF5B">
      <w:pPr>
        <w:adjustRightInd w:val="0"/>
        <w:snapToGrid w:val="0"/>
        <w:spacing w:line="360" w:lineRule="auto"/>
        <w:rPr>
          <w:rFonts w:hint="eastAsia" w:ascii="宋体" w:hAnsi="宋体"/>
          <w:sz w:val="24"/>
          <w:lang w:bidi="ar"/>
        </w:rPr>
      </w:pPr>
      <w:r>
        <w:rPr>
          <w:rFonts w:hint="eastAsia" w:ascii="宋体" w:hAnsi="宋体"/>
          <w:sz w:val="24"/>
          <w:lang w:bidi="ar"/>
        </w:rPr>
        <w:t>#3.3.8 气相色谱仪与稳定同位素比质谱仪联用外精度：CO2 (13C)：≤0.2‰，CO2 (18O)：≤0.4‰，N2 (15N)：≤0.5‰，H2 (2H)：≤3.0‰。</w:t>
      </w:r>
    </w:p>
    <w:p w14:paraId="27A3F018">
      <w:pPr>
        <w:adjustRightInd w:val="0"/>
        <w:snapToGrid w:val="0"/>
        <w:spacing w:line="360" w:lineRule="auto"/>
        <w:rPr>
          <w:rFonts w:hint="eastAsia" w:ascii="宋体" w:hAnsi="宋体"/>
          <w:b/>
          <w:bCs/>
          <w:sz w:val="24"/>
          <w:lang w:bidi="ar"/>
        </w:rPr>
      </w:pPr>
      <w:r>
        <w:rPr>
          <w:rFonts w:hint="eastAsia" w:ascii="宋体" w:hAnsi="宋体"/>
          <w:b/>
          <w:bCs/>
          <w:sz w:val="24"/>
          <w:lang w:bidi="ar"/>
        </w:rPr>
        <w:t>3.4气相色谱质谱模块</w:t>
      </w:r>
    </w:p>
    <w:p w14:paraId="573E9EBC">
      <w:pPr>
        <w:adjustRightInd w:val="0"/>
        <w:snapToGrid w:val="0"/>
        <w:spacing w:line="360" w:lineRule="auto"/>
        <w:rPr>
          <w:rFonts w:hint="eastAsia" w:ascii="宋体" w:hAnsi="宋体"/>
          <w:sz w:val="24"/>
          <w:lang w:bidi="ar"/>
        </w:rPr>
      </w:pPr>
      <w:r>
        <w:rPr>
          <w:rFonts w:hint="eastAsia" w:ascii="宋体" w:hAnsi="宋体"/>
          <w:sz w:val="24"/>
          <w:lang w:bidi="ar"/>
        </w:rPr>
        <w:t xml:space="preserve">3.4.1气相进样口压力范围0-150psi，全量程范围内压力分辨率≤0.001psi </w:t>
      </w:r>
    </w:p>
    <w:p w14:paraId="185C8038">
      <w:pPr>
        <w:adjustRightInd w:val="0"/>
        <w:snapToGrid w:val="0"/>
        <w:spacing w:line="360" w:lineRule="auto"/>
        <w:rPr>
          <w:rFonts w:hint="eastAsia" w:ascii="宋体" w:hAnsi="宋体"/>
          <w:sz w:val="24"/>
          <w:lang w:bidi="ar"/>
        </w:rPr>
      </w:pPr>
      <w:r>
        <w:rPr>
          <w:rFonts w:hint="eastAsia" w:ascii="宋体" w:hAnsi="宋体"/>
          <w:sz w:val="24"/>
          <w:lang w:bidi="ar"/>
        </w:rPr>
        <w:t>#3.4.2氢火焰检测器FID的火焰喷嘴具有耐腐蚀的陶瓷，FID检测限≤1x10-12 g/s，采集频率≥600Hz。</w:t>
      </w:r>
    </w:p>
    <w:p w14:paraId="2FAFA9BB">
      <w:pPr>
        <w:adjustRightInd w:val="0"/>
        <w:snapToGrid w:val="0"/>
        <w:spacing w:line="360" w:lineRule="auto"/>
        <w:rPr>
          <w:rFonts w:hint="eastAsia" w:ascii="宋体" w:hAnsi="宋体"/>
          <w:sz w:val="24"/>
          <w:lang w:bidi="ar"/>
        </w:rPr>
      </w:pPr>
      <w:r>
        <w:rPr>
          <w:rFonts w:hint="eastAsia" w:ascii="宋体" w:hAnsi="宋体"/>
          <w:sz w:val="24"/>
          <w:lang w:bidi="ar"/>
        </w:rPr>
        <w:t>3.4.3 EI灵敏度：1 pg，OFN S/N≥1500:1，GCMS检出限≤10 fg（八氟萘）。</w:t>
      </w:r>
    </w:p>
    <w:p w14:paraId="010F260E">
      <w:pPr>
        <w:adjustRightInd w:val="0"/>
        <w:snapToGrid w:val="0"/>
        <w:spacing w:line="360" w:lineRule="auto"/>
        <w:rPr>
          <w:rFonts w:hint="eastAsia" w:ascii="宋体" w:hAnsi="宋体"/>
          <w:sz w:val="24"/>
          <w:lang w:bidi="ar"/>
        </w:rPr>
      </w:pPr>
      <w:r>
        <w:rPr>
          <w:rFonts w:hint="eastAsia" w:ascii="宋体" w:hAnsi="宋体"/>
          <w:sz w:val="24"/>
          <w:lang w:bidi="ar"/>
        </w:rPr>
        <w:t>#3.4.4质量分析器带预四极的高精度金属四极杆，质量范围：1.5-1250 amu。</w:t>
      </w:r>
    </w:p>
    <w:p w14:paraId="3D33A6A0">
      <w:pPr>
        <w:adjustRightInd w:val="0"/>
        <w:snapToGrid w:val="0"/>
        <w:spacing w:line="360" w:lineRule="auto"/>
        <w:rPr>
          <w:rFonts w:hint="eastAsia" w:ascii="宋体" w:hAnsi="宋体"/>
          <w:sz w:val="24"/>
          <w:lang w:bidi="ar"/>
        </w:rPr>
      </w:pPr>
      <w:r>
        <w:rPr>
          <w:rFonts w:hint="eastAsia" w:ascii="宋体" w:hAnsi="宋体"/>
          <w:sz w:val="24"/>
          <w:lang w:bidi="ar"/>
        </w:rPr>
        <w:t>3.4.5质量分析器扫描方式具有SCAN、SIM、同步扫描、交替扫描功能。</w:t>
      </w:r>
    </w:p>
    <w:p w14:paraId="018C232B">
      <w:pPr>
        <w:adjustRightInd w:val="0"/>
        <w:snapToGrid w:val="0"/>
        <w:spacing w:line="360" w:lineRule="auto"/>
        <w:rPr>
          <w:rFonts w:hint="eastAsia" w:ascii="宋体" w:hAnsi="宋体"/>
          <w:sz w:val="24"/>
          <w:lang w:bidi="ar"/>
        </w:rPr>
      </w:pPr>
      <w:r>
        <w:rPr>
          <w:rFonts w:hint="eastAsia" w:ascii="宋体" w:hAnsi="宋体"/>
          <w:sz w:val="24"/>
          <w:lang w:bidi="ar"/>
        </w:rPr>
        <w:t>3.4.6仪器具备双进样口双检测器（FID，MS），配置毛细管分流装置。</w:t>
      </w:r>
    </w:p>
    <w:p w14:paraId="782DDBCB">
      <w:pPr>
        <w:adjustRightInd w:val="0"/>
        <w:snapToGrid w:val="0"/>
        <w:spacing w:line="360" w:lineRule="auto"/>
        <w:rPr>
          <w:rFonts w:hint="eastAsia" w:ascii="宋体" w:hAnsi="宋体"/>
          <w:b/>
          <w:bCs/>
          <w:sz w:val="24"/>
          <w:lang w:bidi="ar"/>
        </w:rPr>
      </w:pPr>
      <w:r>
        <w:rPr>
          <w:rFonts w:hint="eastAsia" w:ascii="宋体" w:hAnsi="宋体"/>
          <w:b/>
          <w:bCs/>
          <w:sz w:val="24"/>
          <w:lang w:bidi="ar"/>
        </w:rPr>
        <w:t>3.5高温裂解模块</w:t>
      </w:r>
    </w:p>
    <w:p w14:paraId="1255FD47">
      <w:pPr>
        <w:adjustRightInd w:val="0"/>
        <w:snapToGrid w:val="0"/>
        <w:spacing w:line="360" w:lineRule="auto"/>
        <w:rPr>
          <w:rFonts w:hint="eastAsia" w:ascii="宋体" w:hAnsi="宋体"/>
          <w:sz w:val="24"/>
          <w:lang w:bidi="ar"/>
        </w:rPr>
      </w:pPr>
      <w:r>
        <w:rPr>
          <w:rFonts w:hint="eastAsia" w:ascii="宋体" w:hAnsi="宋体"/>
          <w:sz w:val="24"/>
          <w:lang w:bidi="ar"/>
        </w:rPr>
        <w:t>#3.5.1裂解温度: 裂解炉温度范围：室温+10℃-1100℃（步长≤1℃），温度精度：±0.1℃。</w:t>
      </w:r>
    </w:p>
    <w:p w14:paraId="07E2357C">
      <w:pPr>
        <w:adjustRightInd w:val="0"/>
        <w:snapToGrid w:val="0"/>
        <w:spacing w:line="360" w:lineRule="auto"/>
        <w:rPr>
          <w:rFonts w:hint="eastAsia" w:ascii="宋体" w:hAnsi="宋体"/>
          <w:sz w:val="24"/>
          <w:lang w:bidi="ar"/>
        </w:rPr>
      </w:pPr>
      <w:r>
        <w:rPr>
          <w:rFonts w:hint="eastAsia" w:ascii="宋体" w:hAnsi="宋体"/>
          <w:sz w:val="24"/>
          <w:lang w:bidi="ar"/>
        </w:rPr>
        <w:t>3.5.2 序升温：裂解炉升温阶数≥20阶，可对同一样品实现程序升温裂解，完全程序化控制。</w:t>
      </w:r>
    </w:p>
    <w:p w14:paraId="0C2A7B5D">
      <w:pPr>
        <w:adjustRightInd w:val="0"/>
        <w:snapToGrid w:val="0"/>
        <w:spacing w:line="360" w:lineRule="auto"/>
        <w:rPr>
          <w:rFonts w:hint="eastAsia" w:ascii="宋体" w:hAnsi="宋体"/>
          <w:sz w:val="24"/>
          <w:lang w:bidi="ar"/>
        </w:rPr>
      </w:pPr>
      <w:r>
        <w:rPr>
          <w:rFonts w:hint="eastAsia" w:ascii="宋体" w:hAnsi="宋体"/>
          <w:sz w:val="24"/>
          <w:lang w:bidi="ar"/>
        </w:rPr>
        <w:t>3.5.3进样方式：样品直接盛于≥120 μL的样品杯内，自由落体进入裂解炉内，无需提前涂粘或包裹样品。</w:t>
      </w:r>
    </w:p>
    <w:p w14:paraId="54CB63CB">
      <w:pPr>
        <w:adjustRightInd w:val="0"/>
        <w:snapToGrid w:val="0"/>
        <w:spacing w:line="360" w:lineRule="auto"/>
        <w:rPr>
          <w:rFonts w:hint="eastAsia" w:ascii="宋体" w:hAnsi="宋体"/>
          <w:sz w:val="24"/>
          <w:lang w:bidi="ar"/>
        </w:rPr>
      </w:pPr>
      <w:r>
        <w:rPr>
          <w:rFonts w:hint="eastAsia" w:ascii="宋体" w:hAnsi="宋体"/>
          <w:sz w:val="24"/>
          <w:lang w:bidi="ar"/>
        </w:rPr>
        <w:t>3.5.4 功能模式：具有逸出气体分析（EGA）, 高温裂解（Py）, 高温裂解/热脱附（Py/TD）等功能模式。</w:t>
      </w:r>
    </w:p>
    <w:p w14:paraId="19C047C1">
      <w:pPr>
        <w:adjustRightInd w:val="0"/>
        <w:snapToGrid w:val="0"/>
        <w:spacing w:line="360" w:lineRule="auto"/>
        <w:rPr>
          <w:rFonts w:hint="eastAsia" w:ascii="宋体" w:hAnsi="宋体"/>
          <w:sz w:val="24"/>
          <w:lang w:bidi="ar"/>
        </w:rPr>
      </w:pPr>
      <w:r>
        <w:rPr>
          <w:rFonts w:hint="eastAsia" w:ascii="宋体" w:hAnsi="宋体"/>
          <w:sz w:val="24"/>
          <w:lang w:bidi="ar"/>
        </w:rPr>
        <w:t>3.5.5具备裂解腔、接口和进样器壳体温度的超温自动保护功能</w:t>
      </w:r>
    </w:p>
    <w:p w14:paraId="008D64E6">
      <w:pPr>
        <w:adjustRightInd w:val="0"/>
        <w:snapToGrid w:val="0"/>
        <w:spacing w:line="360" w:lineRule="auto"/>
        <w:rPr>
          <w:rFonts w:hint="eastAsia" w:ascii="宋体" w:hAnsi="宋体"/>
          <w:sz w:val="24"/>
          <w:lang w:bidi="ar"/>
        </w:rPr>
      </w:pPr>
      <w:r>
        <w:rPr>
          <w:rFonts w:hint="eastAsia" w:ascii="宋体" w:hAnsi="宋体"/>
          <w:sz w:val="24"/>
          <w:lang w:bidi="ar"/>
        </w:rPr>
        <w:t>3.5.6具备微塑料数据库。</w:t>
      </w:r>
    </w:p>
    <w:p w14:paraId="4B647E5B">
      <w:pPr>
        <w:adjustRightInd w:val="0"/>
        <w:snapToGrid w:val="0"/>
        <w:spacing w:line="360" w:lineRule="auto"/>
        <w:rPr>
          <w:rFonts w:hint="eastAsia" w:ascii="宋体" w:hAnsi="宋体"/>
          <w:b/>
          <w:bCs/>
          <w:sz w:val="24"/>
          <w:lang w:bidi="ar"/>
        </w:rPr>
      </w:pPr>
      <w:r>
        <w:rPr>
          <w:rFonts w:hint="eastAsia" w:ascii="宋体" w:hAnsi="宋体"/>
          <w:b/>
          <w:bCs/>
          <w:sz w:val="24"/>
          <w:lang w:bidi="ar"/>
        </w:rPr>
        <w:t>3.6工作站软件</w:t>
      </w:r>
    </w:p>
    <w:p w14:paraId="695048BE">
      <w:pPr>
        <w:adjustRightInd w:val="0"/>
        <w:snapToGrid w:val="0"/>
        <w:spacing w:line="360" w:lineRule="auto"/>
        <w:rPr>
          <w:rFonts w:hint="eastAsia" w:ascii="宋体" w:hAnsi="宋体"/>
          <w:sz w:val="24"/>
          <w:lang w:bidi="ar"/>
        </w:rPr>
      </w:pPr>
      <w:r>
        <w:rPr>
          <w:rFonts w:hint="eastAsia" w:ascii="宋体" w:hAnsi="宋体"/>
          <w:sz w:val="24"/>
          <w:lang w:bidi="ar"/>
        </w:rPr>
        <w:t>3.6.1专用工作站软件可对仪器各部分进行实时反控。</w:t>
      </w:r>
    </w:p>
    <w:p w14:paraId="4803849A">
      <w:pPr>
        <w:adjustRightInd w:val="0"/>
        <w:snapToGrid w:val="0"/>
        <w:spacing w:line="360" w:lineRule="auto"/>
        <w:rPr>
          <w:rFonts w:hint="eastAsia" w:ascii="宋体" w:hAnsi="宋体"/>
          <w:sz w:val="24"/>
          <w:lang w:bidi="ar"/>
        </w:rPr>
      </w:pPr>
      <w:r>
        <w:rPr>
          <w:rFonts w:hint="eastAsia" w:ascii="宋体" w:hAnsi="宋体"/>
          <w:sz w:val="24"/>
          <w:lang w:bidi="ar"/>
        </w:rPr>
        <w:t>3.6.2图形化界面设置，实时显示工作状态。</w:t>
      </w:r>
    </w:p>
    <w:p w14:paraId="4A02F125">
      <w:pPr>
        <w:adjustRightInd w:val="0"/>
        <w:snapToGrid w:val="0"/>
        <w:spacing w:line="360" w:lineRule="auto"/>
        <w:rPr>
          <w:rFonts w:hint="eastAsia" w:ascii="宋体" w:hAnsi="宋体"/>
          <w:sz w:val="24"/>
          <w:lang w:bidi="ar"/>
        </w:rPr>
      </w:pPr>
      <w:r>
        <w:rPr>
          <w:rFonts w:hint="eastAsia" w:ascii="宋体" w:hAnsi="宋体"/>
          <w:sz w:val="24"/>
          <w:lang w:bidi="ar"/>
        </w:rPr>
        <w:t>3.6.3可在线控制和修改所有参数，满足突发情况的实验需求，方便查看实验进行步骤。</w:t>
      </w:r>
    </w:p>
    <w:p w14:paraId="6DE9F32D">
      <w:pPr>
        <w:adjustRightInd w:val="0"/>
        <w:snapToGrid w:val="0"/>
        <w:spacing w:line="360" w:lineRule="auto"/>
        <w:rPr>
          <w:rFonts w:hint="eastAsia" w:ascii="宋体" w:hAnsi="宋体"/>
          <w:sz w:val="24"/>
          <w:lang w:bidi="ar"/>
        </w:rPr>
      </w:pPr>
      <w:r>
        <w:rPr>
          <w:rFonts w:hint="eastAsia" w:ascii="宋体" w:hAnsi="宋体"/>
          <w:sz w:val="24"/>
          <w:lang w:bidi="ar"/>
        </w:rPr>
        <w:t>3.6.4 工作站Windows10 64 位专业版系统、≥8GB 内存、≥256GB NVMe 协议 M.2 固态硬盘、≥24 英寸显示器</w:t>
      </w:r>
    </w:p>
    <w:p w14:paraId="43230447">
      <w:pPr>
        <w:adjustRightInd w:val="0"/>
        <w:snapToGrid w:val="0"/>
        <w:spacing w:line="360" w:lineRule="auto"/>
        <w:rPr>
          <w:rFonts w:hint="eastAsia" w:ascii="宋体" w:hAnsi="宋体"/>
          <w:b/>
          <w:sz w:val="24"/>
        </w:rPr>
      </w:pPr>
    </w:p>
    <w:p w14:paraId="3167E63E">
      <w:pPr>
        <w:adjustRightInd w:val="0"/>
        <w:snapToGrid w:val="0"/>
        <w:spacing w:line="360" w:lineRule="auto"/>
        <w:rPr>
          <w:rFonts w:hint="eastAsia" w:ascii="宋体" w:hAnsi="宋体"/>
          <w:b/>
          <w:sz w:val="24"/>
        </w:rPr>
      </w:pPr>
      <w:r>
        <w:rPr>
          <w:rFonts w:hint="eastAsia" w:ascii="宋体" w:hAnsi="宋体" w:cs="宋体"/>
          <w:b/>
          <w:sz w:val="24"/>
          <w:lang w:bidi="ar"/>
        </w:rPr>
        <w:t>4. 产品配置要求</w:t>
      </w:r>
    </w:p>
    <w:p w14:paraId="79F8B92D">
      <w:pPr>
        <w:adjustRightInd w:val="0"/>
        <w:snapToGrid w:val="0"/>
        <w:spacing w:line="360" w:lineRule="auto"/>
        <w:rPr>
          <w:rFonts w:hint="eastAsia" w:ascii="宋体" w:hAnsi="宋体"/>
          <w:sz w:val="24"/>
          <w:lang w:bidi="ar"/>
        </w:rPr>
      </w:pPr>
      <w:r>
        <w:rPr>
          <w:rFonts w:hint="eastAsia" w:ascii="宋体" w:hAnsi="宋体"/>
          <w:sz w:val="24"/>
          <w:lang w:bidi="ar"/>
        </w:rPr>
        <w:t>4.1 产品主体部分说明</w:t>
      </w:r>
    </w:p>
    <w:p w14:paraId="55E4FFB0">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4.1.1 高灵敏度稳定同位素比质谱分析主机1套。</w:t>
      </w:r>
    </w:p>
    <w:p w14:paraId="4D31E505">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4.1.2 连续流同位素分析接口系统1套。</w:t>
      </w:r>
    </w:p>
    <w:p w14:paraId="0E2BC1BE">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4.1.3 自动进样系统1套（不少于50位）。</w:t>
      </w:r>
    </w:p>
    <w:p w14:paraId="3FB45018">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4.1.4 元素分析仪或元素分析模块1套。</w:t>
      </w:r>
    </w:p>
    <w:p w14:paraId="037179CC">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4.1.5 气相高温转化单元1套。</w:t>
      </w:r>
    </w:p>
    <w:p w14:paraId="335A28C1">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4.1.6 气相色谱质谱模块1套（色谱柱2根、FID检测器1个 柱温箱1个 MS检测器1个）。</w:t>
      </w:r>
    </w:p>
    <w:p w14:paraId="24DA3CF2">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4.1.7 高温裂解模块含不少于50位自动进样器1套。</w:t>
      </w:r>
    </w:p>
    <w:p w14:paraId="6360D8AB">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4.1.8 真空系统、离子源系统及信号接收系统各1套。</w:t>
      </w:r>
    </w:p>
    <w:p w14:paraId="15650046">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4.1.9 仪器控制、数据采集与数据处理软件1套。</w:t>
      </w:r>
    </w:p>
    <w:p w14:paraId="5EC84356">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4.1.10 专用计算机工作站1台，显示器2台。</w:t>
      </w:r>
    </w:p>
    <w:p w14:paraId="43CC2624">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4.1.11 冷却循环水装置或满足系统运行要求的冷却装置1套。</w:t>
      </w:r>
    </w:p>
    <w:p w14:paraId="09DFFC23">
      <w:pPr>
        <w:adjustRightInd w:val="0"/>
        <w:snapToGrid w:val="0"/>
        <w:spacing w:line="360" w:lineRule="auto"/>
        <w:rPr>
          <w:rFonts w:hint="eastAsia" w:ascii="宋体" w:hAnsi="宋体"/>
          <w:sz w:val="24"/>
          <w:lang w:bidi="ar"/>
        </w:rPr>
      </w:pPr>
      <w:r>
        <w:rPr>
          <w:rFonts w:hint="eastAsia" w:ascii="宋体" w:hAnsi="宋体"/>
          <w:sz w:val="24"/>
          <w:lang w:bidi="ar"/>
        </w:rPr>
        <w:t>4.2 要求的附件、专用工具和消耗品</w:t>
      </w:r>
    </w:p>
    <w:p w14:paraId="70D88202">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4.2.1 提供仪器安装、调试、验收和正常运行所需的附件、专用工具和连接组件1套。</w:t>
      </w:r>
    </w:p>
    <w:p w14:paraId="3D0088E1">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4.2.2 提供质谱主机、气相色谱、连续流接口、元素分析模块和高温热裂解/转化模块正常运行所需的常用耗材包1套。</w:t>
      </w:r>
    </w:p>
    <w:p w14:paraId="588FE6D8">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4.2.3 提供CNOHS元素分析耗材包1套。</w:t>
      </w:r>
    </w:p>
    <w:p w14:paraId="2397D4C5">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4.2.4 提供系统启动包1套。</w:t>
      </w:r>
    </w:p>
    <w:p w14:paraId="12CA5D6A">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4.2.5 提供系统调试和验收所需的标准物质、参考材料或校准材料1套。</w:t>
      </w:r>
    </w:p>
    <w:p w14:paraId="786E68CC">
      <w:pPr>
        <w:adjustRightInd w:val="0"/>
        <w:snapToGrid w:val="0"/>
        <w:spacing w:line="360" w:lineRule="auto"/>
        <w:ind w:left="210" w:leftChars="100"/>
        <w:rPr>
          <w:rFonts w:hint="eastAsia" w:ascii="宋体" w:hAnsi="宋体"/>
          <w:sz w:val="24"/>
          <w:lang w:bidi="ar"/>
        </w:rPr>
      </w:pPr>
      <w:r>
        <w:rPr>
          <w:rFonts w:hint="eastAsia" w:ascii="宋体" w:hAnsi="宋体"/>
          <w:sz w:val="24"/>
          <w:lang w:bidi="ar"/>
        </w:rPr>
        <w:t>4.2.6 工作站应预装仪器控制、数据采集、数据处理及必要的正版软件。</w:t>
      </w:r>
    </w:p>
    <w:p w14:paraId="3EB74A47">
      <w:pPr>
        <w:tabs>
          <w:tab w:val="left" w:pos="540"/>
        </w:tabs>
        <w:adjustRightInd w:val="0"/>
        <w:snapToGrid w:val="0"/>
        <w:spacing w:line="360" w:lineRule="auto"/>
        <w:rPr>
          <w:rFonts w:hint="eastAsia" w:ascii="宋体" w:hAnsi="宋体"/>
          <w:b/>
          <w:sz w:val="24"/>
        </w:rPr>
      </w:pPr>
    </w:p>
    <w:p w14:paraId="18A95C7D">
      <w:pPr>
        <w:tabs>
          <w:tab w:val="left" w:pos="540"/>
        </w:tabs>
        <w:adjustRightInd w:val="0"/>
        <w:snapToGrid w:val="0"/>
        <w:spacing w:line="360" w:lineRule="auto"/>
        <w:rPr>
          <w:rFonts w:hint="eastAsia" w:ascii="宋体" w:hAnsi="宋体"/>
          <w:b/>
          <w:sz w:val="24"/>
        </w:rPr>
      </w:pPr>
      <w:r>
        <w:rPr>
          <w:rFonts w:hint="eastAsia" w:ascii="宋体" w:hAnsi="宋体" w:cs="宋体"/>
          <w:b/>
          <w:sz w:val="24"/>
          <w:lang w:bidi="ar"/>
        </w:rPr>
        <w:t>5. 技术文件：</w:t>
      </w:r>
    </w:p>
    <w:p w14:paraId="344DE0F5">
      <w:pPr>
        <w:adjustRightInd w:val="0"/>
        <w:snapToGrid w:val="0"/>
        <w:spacing w:line="360" w:lineRule="auto"/>
        <w:rPr>
          <w:rFonts w:hint="eastAsia" w:ascii="宋体" w:hAnsi="宋体" w:cs="宋体"/>
          <w:sz w:val="24"/>
          <w:lang w:bidi="ar"/>
        </w:rPr>
      </w:pPr>
      <w:r>
        <w:rPr>
          <w:rFonts w:hint="eastAsia" w:ascii="宋体" w:hAnsi="宋体" w:cs="宋体"/>
          <w:sz w:val="24"/>
          <w:lang w:bidi="ar"/>
        </w:rPr>
        <w:t>5.1 合格证1套。</w:t>
      </w:r>
    </w:p>
    <w:p w14:paraId="2ABBDDAA">
      <w:pPr>
        <w:adjustRightInd w:val="0"/>
        <w:snapToGrid w:val="0"/>
        <w:spacing w:line="360" w:lineRule="auto"/>
        <w:rPr>
          <w:rFonts w:hint="eastAsia" w:ascii="宋体" w:hAnsi="宋体" w:cs="宋体"/>
          <w:sz w:val="24"/>
          <w:lang w:bidi="ar"/>
        </w:rPr>
      </w:pPr>
      <w:r>
        <w:rPr>
          <w:rFonts w:hint="eastAsia" w:ascii="宋体" w:hAnsi="宋体" w:cs="宋体"/>
          <w:sz w:val="24"/>
          <w:lang w:bidi="ar"/>
        </w:rPr>
        <w:t>5.2 设备使用说明书1套。</w:t>
      </w:r>
    </w:p>
    <w:p w14:paraId="04338141">
      <w:pPr>
        <w:adjustRightInd w:val="0"/>
        <w:snapToGrid w:val="0"/>
        <w:spacing w:line="360" w:lineRule="auto"/>
        <w:rPr>
          <w:rFonts w:hint="eastAsia" w:ascii="宋体" w:hAnsi="宋体" w:cs="宋体"/>
          <w:sz w:val="24"/>
          <w:lang w:bidi="ar"/>
        </w:rPr>
      </w:pPr>
      <w:r>
        <w:rPr>
          <w:rFonts w:hint="eastAsia" w:ascii="宋体" w:hAnsi="宋体" w:cs="宋体"/>
          <w:sz w:val="24"/>
          <w:lang w:bidi="ar"/>
        </w:rPr>
        <w:t>5.3 保修证书1套。</w:t>
      </w:r>
    </w:p>
    <w:p w14:paraId="46F23A75">
      <w:pPr>
        <w:adjustRightInd w:val="0"/>
        <w:snapToGrid w:val="0"/>
        <w:spacing w:line="360" w:lineRule="auto"/>
        <w:rPr>
          <w:rFonts w:hint="eastAsia" w:ascii="宋体" w:hAnsi="宋体" w:cs="宋体"/>
          <w:sz w:val="24"/>
          <w:lang w:bidi="ar"/>
        </w:rPr>
      </w:pPr>
      <w:r>
        <w:rPr>
          <w:rFonts w:hint="eastAsia" w:ascii="宋体" w:hAnsi="宋体" w:cs="宋体"/>
          <w:sz w:val="24"/>
          <w:lang w:bidi="ar"/>
        </w:rPr>
        <w:t>5.4 操作手册和维护手册1套。</w:t>
      </w:r>
    </w:p>
    <w:p w14:paraId="55B97BE9">
      <w:pPr>
        <w:adjustRightInd w:val="0"/>
        <w:snapToGrid w:val="0"/>
        <w:spacing w:line="360" w:lineRule="auto"/>
        <w:rPr>
          <w:rFonts w:hint="eastAsia" w:ascii="宋体" w:hAnsi="宋体" w:cs="宋体"/>
          <w:sz w:val="24"/>
          <w:lang w:bidi="ar"/>
        </w:rPr>
      </w:pPr>
      <w:r>
        <w:rPr>
          <w:rFonts w:hint="eastAsia" w:ascii="宋体" w:hAnsi="宋体" w:cs="宋体"/>
          <w:sz w:val="24"/>
          <w:lang w:bidi="ar"/>
        </w:rPr>
        <w:t>5.5 软件操作说明书1套。</w:t>
      </w:r>
    </w:p>
    <w:p w14:paraId="47D37894">
      <w:pPr>
        <w:adjustRightInd w:val="0"/>
        <w:snapToGrid w:val="0"/>
        <w:spacing w:line="360" w:lineRule="auto"/>
        <w:rPr>
          <w:rFonts w:hint="eastAsia" w:ascii="宋体" w:hAnsi="宋体" w:cs="宋体"/>
          <w:sz w:val="24"/>
          <w:lang w:bidi="ar"/>
        </w:rPr>
      </w:pPr>
      <w:r>
        <w:rPr>
          <w:rFonts w:hint="eastAsia" w:ascii="宋体" w:hAnsi="宋体" w:cs="宋体"/>
          <w:sz w:val="24"/>
          <w:lang w:bidi="ar"/>
        </w:rPr>
        <w:t>5.6 安装调试报告1套。</w:t>
      </w:r>
    </w:p>
    <w:p w14:paraId="16C5A4ED">
      <w:pPr>
        <w:adjustRightInd w:val="0"/>
        <w:snapToGrid w:val="0"/>
        <w:spacing w:line="360" w:lineRule="auto"/>
        <w:rPr>
          <w:rFonts w:hint="eastAsia" w:ascii="宋体" w:hAnsi="宋体" w:cs="宋体"/>
          <w:sz w:val="24"/>
          <w:lang w:bidi="ar"/>
        </w:rPr>
      </w:pPr>
      <w:r>
        <w:rPr>
          <w:rFonts w:hint="eastAsia" w:ascii="宋体" w:hAnsi="宋体" w:cs="宋体"/>
          <w:sz w:val="24"/>
          <w:lang w:bidi="ar"/>
        </w:rPr>
        <w:t>5.7 验收测试报告1套。</w:t>
      </w:r>
    </w:p>
    <w:p w14:paraId="3754E5CD">
      <w:pPr>
        <w:adjustRightInd w:val="0"/>
        <w:snapToGrid w:val="0"/>
        <w:spacing w:line="360" w:lineRule="auto"/>
        <w:rPr>
          <w:rFonts w:hint="eastAsia" w:ascii="宋体" w:hAnsi="宋体" w:cs="宋体"/>
          <w:sz w:val="24"/>
          <w:lang w:bidi="ar"/>
        </w:rPr>
      </w:pPr>
      <w:r>
        <w:rPr>
          <w:rFonts w:hint="eastAsia" w:ascii="宋体" w:hAnsi="宋体" w:cs="宋体"/>
          <w:sz w:val="24"/>
          <w:lang w:bidi="ar"/>
        </w:rPr>
        <w:t>5.8 装箱单、附件清单和耗材清单1套。</w:t>
      </w:r>
    </w:p>
    <w:p w14:paraId="4F00AACF">
      <w:pPr>
        <w:adjustRightInd w:val="0"/>
        <w:snapToGrid w:val="0"/>
        <w:spacing w:line="360" w:lineRule="auto"/>
        <w:rPr>
          <w:rFonts w:hint="eastAsia" w:ascii="宋体" w:hAnsi="宋体" w:cs="宋体"/>
          <w:sz w:val="24"/>
          <w:lang w:bidi="ar"/>
        </w:rPr>
      </w:pPr>
      <w:r>
        <w:rPr>
          <w:rFonts w:hint="eastAsia" w:ascii="宋体" w:hAnsi="宋体" w:cs="宋体"/>
          <w:sz w:val="24"/>
          <w:lang w:bidi="ar"/>
        </w:rPr>
        <w:t>5.9 出厂检测报告或性能测试文件1套。</w:t>
      </w:r>
    </w:p>
    <w:p w14:paraId="67A5B006">
      <w:pPr>
        <w:adjustRightInd w:val="0"/>
        <w:snapToGrid w:val="0"/>
        <w:spacing w:line="360" w:lineRule="auto"/>
        <w:rPr>
          <w:rFonts w:hint="eastAsia" w:ascii="宋体" w:hAnsi="宋体" w:cs="宋体"/>
          <w:sz w:val="24"/>
          <w:lang w:bidi="ar"/>
        </w:rPr>
      </w:pPr>
      <w:r>
        <w:rPr>
          <w:rFonts w:hint="eastAsia" w:ascii="宋体" w:hAnsi="宋体" w:cs="宋体"/>
          <w:sz w:val="24"/>
          <w:lang w:bidi="ar"/>
        </w:rPr>
        <w:t>5.10 售后服务承诺书1套。</w:t>
      </w:r>
    </w:p>
    <w:p w14:paraId="5A5EB470">
      <w:pPr>
        <w:adjustRightInd w:val="0"/>
        <w:snapToGrid w:val="0"/>
        <w:spacing w:line="360" w:lineRule="auto"/>
        <w:rPr>
          <w:rFonts w:hint="eastAsia" w:ascii="宋体" w:hAnsi="宋体" w:cs="宋体"/>
          <w:sz w:val="24"/>
          <w:lang w:bidi="ar"/>
        </w:rPr>
      </w:pPr>
      <w:r>
        <w:rPr>
          <w:rFonts w:hint="eastAsia" w:ascii="宋体" w:hAnsi="宋体" w:cs="宋体"/>
          <w:sz w:val="24"/>
          <w:lang w:bidi="ar"/>
        </w:rPr>
        <w:t>5.11 主要仪器模块、软件、附件、耗材及系统启动包清单1套。</w:t>
      </w:r>
    </w:p>
    <w:p w14:paraId="7E3D19DB">
      <w:pPr>
        <w:adjustRightInd w:val="0"/>
        <w:snapToGrid w:val="0"/>
        <w:spacing w:line="360" w:lineRule="auto"/>
        <w:rPr>
          <w:rFonts w:hint="eastAsia" w:ascii="宋体" w:hAnsi="宋体"/>
          <w:sz w:val="24"/>
        </w:rPr>
      </w:pPr>
    </w:p>
    <w:p w14:paraId="0915D95A">
      <w:pPr>
        <w:adjustRightInd w:val="0"/>
        <w:snapToGrid w:val="0"/>
        <w:spacing w:line="360" w:lineRule="auto"/>
        <w:rPr>
          <w:rFonts w:hint="eastAsia" w:ascii="宋体" w:hAnsi="宋体"/>
          <w:b/>
          <w:sz w:val="24"/>
        </w:rPr>
      </w:pPr>
      <w:r>
        <w:rPr>
          <w:rFonts w:hint="eastAsia" w:ascii="宋体" w:hAnsi="宋体" w:cs="宋体"/>
          <w:b/>
          <w:sz w:val="24"/>
          <w:lang w:bidi="ar"/>
        </w:rPr>
        <w:t>（二）质保及售后服务：</w:t>
      </w:r>
    </w:p>
    <w:p w14:paraId="26400FAA">
      <w:pPr>
        <w:adjustRightInd w:val="0"/>
        <w:snapToGrid w:val="0"/>
        <w:spacing w:line="360" w:lineRule="auto"/>
        <w:rPr>
          <w:rFonts w:hint="eastAsia" w:ascii="宋体" w:hAnsi="宋体"/>
          <w:b/>
          <w:bCs/>
          <w:sz w:val="24"/>
        </w:rPr>
      </w:pPr>
      <w:r>
        <w:rPr>
          <w:rFonts w:hint="eastAsia" w:ascii="宋体" w:hAnsi="宋体"/>
          <w:b/>
          <w:bCs/>
          <w:sz w:val="24"/>
        </w:rPr>
        <w:t>1. 设备安装调试：</w:t>
      </w:r>
    </w:p>
    <w:p w14:paraId="02A5A88E">
      <w:pPr>
        <w:adjustRightInd w:val="0"/>
        <w:snapToGrid w:val="0"/>
        <w:spacing w:line="360" w:lineRule="auto"/>
        <w:ind w:firstLine="480" w:firstLineChars="200"/>
        <w:rPr>
          <w:rFonts w:hint="eastAsia" w:ascii="宋体" w:hAnsi="宋体"/>
          <w:sz w:val="24"/>
        </w:rPr>
      </w:pPr>
      <w:r>
        <w:rPr>
          <w:rFonts w:hint="eastAsia" w:ascii="宋体" w:hAnsi="宋体"/>
          <w:sz w:val="24"/>
        </w:rPr>
        <w:t>仪器到货后，接到用户通知后一周内，由供货方联系专职工程师进行安装、调试、验收，全部免费。</w:t>
      </w:r>
    </w:p>
    <w:p w14:paraId="2840011E">
      <w:pPr>
        <w:adjustRightInd w:val="0"/>
        <w:snapToGrid w:val="0"/>
        <w:spacing w:line="360" w:lineRule="auto"/>
        <w:rPr>
          <w:rFonts w:hint="eastAsia" w:ascii="宋体" w:hAnsi="宋体"/>
          <w:b/>
          <w:bCs/>
          <w:sz w:val="24"/>
        </w:rPr>
      </w:pPr>
      <w:r>
        <w:rPr>
          <w:rFonts w:hint="eastAsia" w:ascii="宋体" w:hAnsi="宋体"/>
          <w:b/>
          <w:bCs/>
          <w:sz w:val="24"/>
        </w:rPr>
        <w:t>2. 技术培训：</w:t>
      </w:r>
    </w:p>
    <w:p w14:paraId="3A7791DA">
      <w:pPr>
        <w:adjustRightInd w:val="0"/>
        <w:snapToGrid w:val="0"/>
        <w:spacing w:line="360" w:lineRule="auto"/>
        <w:ind w:firstLine="480"/>
        <w:rPr>
          <w:rFonts w:hint="eastAsia" w:ascii="宋体" w:hAnsi="宋体"/>
          <w:bCs/>
          <w:sz w:val="24"/>
        </w:rPr>
      </w:pPr>
      <w:r>
        <w:rPr>
          <w:rFonts w:hint="eastAsia" w:ascii="宋体" w:hAnsi="宋体"/>
          <w:bCs/>
          <w:sz w:val="24"/>
        </w:rPr>
        <w:t>工程师上门培训，</w:t>
      </w:r>
      <w:r>
        <w:rPr>
          <w:rFonts w:ascii="宋体" w:hAnsi="宋体"/>
          <w:bCs/>
          <w:sz w:val="24"/>
        </w:rPr>
        <w:t>进行不少于3天的技术培训，协助</w:t>
      </w:r>
      <w:r>
        <w:rPr>
          <w:rFonts w:hint="eastAsia" w:ascii="宋体" w:hAnsi="宋体"/>
          <w:bCs/>
          <w:sz w:val="24"/>
        </w:rPr>
        <w:t>用户进行</w:t>
      </w:r>
      <w:r>
        <w:rPr>
          <w:rFonts w:ascii="宋体" w:hAnsi="宋体"/>
          <w:bCs/>
          <w:sz w:val="24"/>
        </w:rPr>
        <w:t>溶液单颗粒分析及生物元素成像</w:t>
      </w:r>
      <w:r>
        <w:rPr>
          <w:rFonts w:hint="eastAsia" w:ascii="宋体" w:hAnsi="宋体"/>
          <w:bCs/>
          <w:sz w:val="24"/>
        </w:rPr>
        <w:t>、激光联</w:t>
      </w:r>
      <w:r>
        <w:rPr>
          <w:rFonts w:ascii="宋体" w:hAnsi="宋体"/>
          <w:bCs/>
          <w:sz w:val="24"/>
        </w:rPr>
        <w:t>等分析方法的建立和开发。</w:t>
      </w:r>
    </w:p>
    <w:p w14:paraId="18231A49">
      <w:pPr>
        <w:adjustRightInd w:val="0"/>
        <w:snapToGrid w:val="0"/>
        <w:spacing w:line="360" w:lineRule="auto"/>
        <w:rPr>
          <w:rFonts w:hint="eastAsia" w:ascii="宋体" w:hAnsi="宋体"/>
          <w:b/>
          <w:bCs/>
          <w:sz w:val="24"/>
        </w:rPr>
      </w:pPr>
      <w:r>
        <w:rPr>
          <w:rFonts w:hint="eastAsia" w:ascii="宋体" w:hAnsi="宋体"/>
          <w:b/>
          <w:bCs/>
          <w:sz w:val="24"/>
        </w:rPr>
        <w:t>3. 保修期：</w:t>
      </w:r>
    </w:p>
    <w:p w14:paraId="15B41DF1">
      <w:pPr>
        <w:adjustRightInd w:val="0"/>
        <w:snapToGrid w:val="0"/>
        <w:spacing w:line="360" w:lineRule="auto"/>
        <w:ind w:firstLine="480"/>
        <w:rPr>
          <w:rFonts w:hint="eastAsia" w:ascii="宋体" w:hAnsi="宋体"/>
          <w:bCs/>
          <w:sz w:val="24"/>
        </w:rPr>
      </w:pPr>
      <w:r>
        <w:rPr>
          <w:rFonts w:hint="eastAsia" w:ascii="宋体" w:hAnsi="宋体"/>
          <w:bCs/>
          <w:sz w:val="24"/>
        </w:rPr>
        <w:t>单体同位素比质谱仪联用系统免费质保两</w:t>
      </w:r>
      <w:r>
        <w:rPr>
          <w:rFonts w:ascii="宋体" w:hAnsi="宋体"/>
          <w:bCs/>
          <w:sz w:val="24"/>
        </w:rPr>
        <w:t>年（从设备技术指标验收合格起算）</w:t>
      </w:r>
    </w:p>
    <w:p w14:paraId="39ED5B9A">
      <w:pPr>
        <w:adjustRightInd w:val="0"/>
        <w:snapToGrid w:val="0"/>
        <w:spacing w:line="360" w:lineRule="auto"/>
        <w:rPr>
          <w:rFonts w:hint="eastAsia" w:ascii="宋体" w:hAnsi="宋体"/>
          <w:b/>
          <w:bCs/>
          <w:sz w:val="24"/>
        </w:rPr>
      </w:pPr>
      <w:r>
        <w:rPr>
          <w:rFonts w:hint="eastAsia" w:ascii="宋体" w:hAnsi="宋体"/>
          <w:b/>
          <w:bCs/>
          <w:sz w:val="24"/>
        </w:rPr>
        <w:t>4. 维修响应时间：</w:t>
      </w:r>
    </w:p>
    <w:p w14:paraId="61DFED7F">
      <w:pPr>
        <w:adjustRightInd w:val="0"/>
        <w:snapToGrid w:val="0"/>
        <w:spacing w:line="360" w:lineRule="auto"/>
        <w:ind w:firstLine="480" w:firstLineChars="200"/>
        <w:rPr>
          <w:rFonts w:hint="eastAsia" w:ascii="宋体" w:hAnsi="宋体"/>
          <w:bCs/>
          <w:sz w:val="24"/>
        </w:rPr>
      </w:pPr>
      <w:r>
        <w:rPr>
          <w:rFonts w:hint="eastAsia" w:ascii="宋体" w:hAnsi="宋体"/>
          <w:bCs/>
          <w:sz w:val="24"/>
        </w:rPr>
        <w:t>7</w:t>
      </w:r>
      <w:r>
        <w:rPr>
          <w:rFonts w:hint="eastAsia" w:ascii="宋体" w:hAnsi="宋体" w:cs="Segoe UI Symbol"/>
          <w:bCs/>
          <w:sz w:val="24"/>
        </w:rPr>
        <w:t>×</w:t>
      </w:r>
      <w:r>
        <w:rPr>
          <w:rFonts w:hint="eastAsia" w:ascii="Segoe UI Symbol" w:hAnsi="Segoe UI Symbol" w:cs="Segoe UI Symbol"/>
          <w:bCs/>
          <w:sz w:val="24"/>
        </w:rPr>
        <w:t>24电话技术支持，到达</w:t>
      </w:r>
      <w:r>
        <w:rPr>
          <w:rFonts w:ascii="宋体" w:hAnsi="宋体"/>
          <w:bCs/>
          <w:sz w:val="24"/>
        </w:rPr>
        <w:t>维修</w:t>
      </w:r>
      <w:r>
        <w:rPr>
          <w:rFonts w:hint="eastAsia" w:ascii="宋体" w:hAnsi="宋体"/>
          <w:bCs/>
          <w:sz w:val="24"/>
        </w:rPr>
        <w:t>现场时间</w:t>
      </w:r>
      <w:r>
        <w:rPr>
          <w:rFonts w:ascii="宋体" w:hAnsi="宋体"/>
          <w:bCs/>
          <w:sz w:val="24"/>
        </w:rPr>
        <w:t>不超过48小时</w:t>
      </w:r>
      <w:r>
        <w:rPr>
          <w:rFonts w:hint="eastAsia" w:ascii="宋体" w:hAnsi="宋体"/>
          <w:bCs/>
          <w:sz w:val="24"/>
        </w:rPr>
        <w:t>。</w:t>
      </w:r>
    </w:p>
    <w:p w14:paraId="66A71712">
      <w:pPr>
        <w:adjustRightInd w:val="0"/>
        <w:snapToGrid w:val="0"/>
        <w:spacing w:line="360" w:lineRule="auto"/>
        <w:rPr>
          <w:rFonts w:hint="eastAsia" w:ascii="宋体" w:hAnsi="宋体"/>
          <w:b/>
          <w:bCs/>
          <w:sz w:val="24"/>
        </w:rPr>
      </w:pPr>
      <w:r>
        <w:rPr>
          <w:rFonts w:hint="eastAsia" w:ascii="宋体" w:hAnsi="宋体"/>
          <w:b/>
          <w:bCs/>
          <w:sz w:val="24"/>
        </w:rPr>
        <w:t>5. 要求卖方提供的其它技术服务内容：</w:t>
      </w:r>
    </w:p>
    <w:p w14:paraId="332D09FF">
      <w:pPr>
        <w:adjustRightInd w:val="0"/>
        <w:snapToGrid w:val="0"/>
        <w:spacing w:line="360" w:lineRule="auto"/>
        <w:ind w:firstLine="420"/>
        <w:rPr>
          <w:rFonts w:hint="eastAsia" w:ascii="宋体" w:hAnsi="宋体"/>
          <w:b/>
          <w:sz w:val="24"/>
        </w:rPr>
      </w:pPr>
      <w:r>
        <w:rPr>
          <w:rFonts w:ascii="宋体" w:hAnsi="宋体"/>
          <w:bCs/>
          <w:sz w:val="24"/>
        </w:rPr>
        <w:t>提供软件终生</w:t>
      </w:r>
      <w:r>
        <w:rPr>
          <w:rFonts w:hint="eastAsia" w:ascii="宋体" w:hAnsi="宋体"/>
          <w:bCs/>
          <w:sz w:val="24"/>
        </w:rPr>
        <w:t>免费</w:t>
      </w:r>
      <w:r>
        <w:rPr>
          <w:rFonts w:ascii="宋体" w:hAnsi="宋体"/>
          <w:bCs/>
          <w:sz w:val="24"/>
        </w:rPr>
        <w:t>升级服务。</w:t>
      </w:r>
    </w:p>
    <w:p w14:paraId="61E54A29">
      <w:pPr>
        <w:adjustRightInd w:val="0"/>
        <w:snapToGrid w:val="0"/>
        <w:spacing w:line="360" w:lineRule="auto"/>
        <w:rPr>
          <w:rFonts w:hint="eastAsia" w:ascii="宋体" w:hAnsi="宋体"/>
          <w:b/>
          <w:sz w:val="24"/>
        </w:rPr>
      </w:pPr>
    </w:p>
    <w:p w14:paraId="345AEE85">
      <w:pPr>
        <w:adjustRightInd w:val="0"/>
        <w:snapToGrid w:val="0"/>
        <w:spacing w:line="360" w:lineRule="auto"/>
        <w:rPr>
          <w:rFonts w:hint="eastAsia" w:ascii="宋体" w:hAnsi="宋体"/>
          <w:b/>
          <w:sz w:val="24"/>
        </w:rPr>
      </w:pPr>
      <w:r>
        <w:rPr>
          <w:rFonts w:hint="eastAsia" w:ascii="宋体" w:hAnsi="宋体"/>
          <w:b/>
          <w:sz w:val="24"/>
        </w:rPr>
        <w:t>（三） 订货数量：</w:t>
      </w:r>
    </w:p>
    <w:p w14:paraId="1F7D462D">
      <w:pPr>
        <w:adjustRightInd w:val="0"/>
        <w:snapToGrid w:val="0"/>
        <w:spacing w:line="360" w:lineRule="auto"/>
        <w:ind w:firstLine="480" w:firstLineChars="200"/>
        <w:rPr>
          <w:rFonts w:hint="eastAsia" w:ascii="宋体" w:hAnsi="宋体"/>
          <w:sz w:val="24"/>
        </w:rPr>
      </w:pPr>
      <w:r>
        <w:rPr>
          <w:rFonts w:hint="eastAsia" w:ascii="宋体" w:hAnsi="宋体"/>
          <w:sz w:val="24"/>
        </w:rPr>
        <w:t>1台</w:t>
      </w:r>
    </w:p>
    <w:p w14:paraId="23F9E85E">
      <w:pPr>
        <w:adjustRightInd w:val="0"/>
        <w:snapToGrid w:val="0"/>
        <w:spacing w:line="360" w:lineRule="auto"/>
        <w:rPr>
          <w:rFonts w:hint="eastAsia" w:ascii="宋体" w:hAnsi="宋体"/>
          <w:sz w:val="24"/>
        </w:rPr>
      </w:pPr>
    </w:p>
    <w:p w14:paraId="45542495">
      <w:pPr>
        <w:adjustRightInd w:val="0"/>
        <w:snapToGrid w:val="0"/>
        <w:spacing w:line="360" w:lineRule="auto"/>
        <w:rPr>
          <w:rFonts w:hint="eastAsia" w:ascii="宋体" w:hAnsi="宋体"/>
          <w:b/>
          <w:sz w:val="24"/>
        </w:rPr>
      </w:pPr>
      <w:r>
        <w:rPr>
          <w:rFonts w:hint="eastAsia" w:ascii="宋体" w:hAnsi="宋体"/>
          <w:b/>
          <w:sz w:val="24"/>
        </w:rPr>
        <w:t>（四）交货日期和交货地点（项目现场）：</w:t>
      </w:r>
    </w:p>
    <w:p w14:paraId="480C3814">
      <w:pPr>
        <w:adjustRightInd w:val="0"/>
        <w:snapToGrid w:val="0"/>
        <w:spacing w:line="360" w:lineRule="auto"/>
        <w:ind w:firstLine="420"/>
        <w:rPr>
          <w:rFonts w:hint="eastAsia" w:ascii="宋体" w:hAnsi="宋体"/>
          <w:sz w:val="24"/>
        </w:rPr>
      </w:pPr>
      <w:r>
        <w:rPr>
          <w:rFonts w:hint="eastAsia" w:ascii="宋体" w:hAnsi="宋体"/>
          <w:sz w:val="24"/>
        </w:rPr>
        <w:t>交货日期：合同签订后90天</w:t>
      </w:r>
    </w:p>
    <w:p w14:paraId="17D029D7">
      <w:pPr>
        <w:adjustRightInd w:val="0"/>
        <w:snapToGrid w:val="0"/>
        <w:spacing w:line="360" w:lineRule="auto"/>
        <w:ind w:firstLine="420"/>
        <w:rPr>
          <w:rFonts w:hint="eastAsia" w:ascii="宋体" w:hAnsi="宋体"/>
          <w:sz w:val="24"/>
        </w:rPr>
      </w:pPr>
      <w:r>
        <w:rPr>
          <w:rFonts w:hint="eastAsia" w:ascii="宋体" w:hAnsi="宋体"/>
          <w:sz w:val="24"/>
        </w:rPr>
        <w:t>交货地点：用户指定地点</w:t>
      </w:r>
    </w:p>
    <w:p w14:paraId="27E1D707">
      <w:pPr>
        <w:adjustRightInd w:val="0"/>
        <w:snapToGrid w:val="0"/>
        <w:spacing w:line="360" w:lineRule="auto"/>
        <w:rPr>
          <w:rFonts w:hint="eastAsia" w:ascii="宋体" w:hAnsi="宋体"/>
          <w:sz w:val="24"/>
        </w:rPr>
      </w:pPr>
    </w:p>
    <w:p w14:paraId="1E02EAAE">
      <w:pPr>
        <w:adjustRightInd w:val="0"/>
        <w:snapToGrid w:val="0"/>
        <w:spacing w:line="360" w:lineRule="auto"/>
        <w:rPr>
          <w:rFonts w:hint="eastAsia" w:ascii="宋体" w:hAnsi="宋体"/>
          <w:sz w:val="24"/>
        </w:rPr>
      </w:pPr>
      <w:r>
        <w:rPr>
          <w:rFonts w:hint="eastAsia" w:ascii="宋体" w:hAnsi="宋体"/>
          <w:b/>
          <w:bCs/>
          <w:sz w:val="24"/>
        </w:rPr>
        <w:t>（五）付款方式：</w:t>
      </w:r>
    </w:p>
    <w:p w14:paraId="70F1E575">
      <w:pPr>
        <w:adjustRightInd w:val="0"/>
        <w:snapToGrid w:val="0"/>
        <w:spacing w:line="360" w:lineRule="auto"/>
        <w:ind w:firstLine="420"/>
        <w:rPr>
          <w:rFonts w:hint="eastAsia" w:ascii="宋体" w:hAnsi="宋体"/>
          <w:sz w:val="24"/>
        </w:rPr>
      </w:pPr>
      <w:r>
        <w:rPr>
          <w:rFonts w:ascii="宋体" w:hAnsi="宋体"/>
          <w:bCs/>
          <w:color w:val="000000" w:themeColor="text1"/>
          <w:sz w:val="24"/>
          <w14:textFill>
            <w14:solidFill>
              <w14:schemeClr w14:val="tx1"/>
            </w14:solidFill>
          </w14:textFill>
        </w:rPr>
        <w:t>合同签订后，甲方向乙方支付合同金额的</w:t>
      </w:r>
      <w:r>
        <w:rPr>
          <w:rFonts w:hint="eastAsia" w:ascii="宋体" w:hAnsi="宋体"/>
          <w:bCs/>
          <w:color w:val="000000" w:themeColor="text1"/>
          <w:sz w:val="24"/>
          <w14:textFill>
            <w14:solidFill>
              <w14:schemeClr w14:val="tx1"/>
            </w14:solidFill>
          </w14:textFill>
        </w:rPr>
        <w:t>6</w:t>
      </w:r>
      <w:r>
        <w:rPr>
          <w:rFonts w:ascii="宋体" w:hAnsi="宋体"/>
          <w:bCs/>
          <w:color w:val="000000" w:themeColor="text1"/>
          <w:sz w:val="24"/>
          <w14:textFill>
            <w14:solidFill>
              <w14:schemeClr w14:val="tx1"/>
            </w14:solidFill>
          </w14:textFill>
        </w:rPr>
        <w:t>0%（需乙方向甲方提供相应金额银行保函</w:t>
      </w:r>
      <w:r>
        <w:rPr>
          <w:rFonts w:hint="eastAsia" w:ascii="宋体" w:hAnsi="宋体"/>
          <w:bCs/>
          <w:color w:val="000000" w:themeColor="text1"/>
          <w:sz w:val="24"/>
          <w14:textFill>
            <w14:solidFill>
              <w14:schemeClr w14:val="tx1"/>
            </w14:solidFill>
          </w14:textFill>
        </w:rPr>
        <w:t>,验收合格后退还</w:t>
      </w:r>
      <w:r>
        <w:rPr>
          <w:rFonts w:ascii="宋体" w:hAnsi="宋体"/>
          <w:bCs/>
          <w:color w:val="000000" w:themeColor="text1"/>
          <w:sz w:val="24"/>
          <w14:textFill>
            <w14:solidFill>
              <w14:schemeClr w14:val="tx1"/>
            </w14:solidFill>
          </w14:textFill>
        </w:rPr>
        <w:t>），安装调试完成后，乙方提交合同总额10%的质保金或等额质保函，凭采购人代表签字并加盖单位公章后的验收报告，乙方开具增值税专票，甲方向乙方支付合同金额的</w:t>
      </w:r>
      <w:r>
        <w:rPr>
          <w:rFonts w:hint="eastAsia" w:ascii="宋体" w:hAnsi="宋体"/>
          <w:bCs/>
          <w:color w:val="000000" w:themeColor="text1"/>
          <w:sz w:val="24"/>
          <w14:textFill>
            <w14:solidFill>
              <w14:schemeClr w14:val="tx1"/>
            </w14:solidFill>
          </w14:textFill>
        </w:rPr>
        <w:t>4</w:t>
      </w:r>
      <w:r>
        <w:rPr>
          <w:rFonts w:ascii="宋体" w:hAnsi="宋体"/>
          <w:bCs/>
          <w:color w:val="000000" w:themeColor="text1"/>
          <w:sz w:val="24"/>
          <w14:textFill>
            <w14:solidFill>
              <w14:schemeClr w14:val="tx1"/>
            </w14:solidFill>
          </w14:textFill>
        </w:rPr>
        <w:t>0%。质保金两年后解除</w:t>
      </w:r>
      <w:r>
        <w:rPr>
          <w:rFonts w:hint="eastAsia" w:ascii="宋体" w:hAnsi="宋体"/>
          <w:bCs/>
          <w:color w:val="000000" w:themeColor="text1"/>
          <w:sz w:val="24"/>
          <w14:textFill>
            <w14:solidFill>
              <w14:schemeClr w14:val="tx1"/>
            </w14:solidFill>
          </w14:textFill>
        </w:rPr>
        <w:t>，</w:t>
      </w:r>
      <w:r>
        <w:rPr>
          <w:rFonts w:ascii="宋体" w:hAnsi="宋体"/>
          <w:bCs/>
          <w:color w:val="000000" w:themeColor="text1"/>
          <w:sz w:val="24"/>
          <w14:textFill>
            <w14:solidFill>
              <w14:schemeClr w14:val="tx1"/>
            </w14:solidFill>
          </w14:textFill>
        </w:rPr>
        <w:t>无质量问题后无息返还质保金或解除保函。</w:t>
      </w:r>
    </w:p>
    <w:p w14:paraId="0AFCA7F4">
      <w:pPr>
        <w:adjustRightInd w:val="0"/>
        <w:snapToGrid w:val="0"/>
        <w:spacing w:line="360" w:lineRule="auto"/>
        <w:rPr>
          <w:rFonts w:hint="eastAsia" w:ascii="宋体" w:hAnsi="宋体"/>
          <w:sz w:val="24"/>
        </w:rPr>
      </w:pPr>
    </w:p>
    <w:p w14:paraId="19C3E53A">
      <w:pPr>
        <w:adjustRightInd w:val="0"/>
        <w:snapToGrid w:val="0"/>
        <w:spacing w:line="360" w:lineRule="auto"/>
        <w:rPr>
          <w:rFonts w:hint="eastAsia" w:ascii="宋体" w:hAnsi="宋体"/>
          <w:b/>
          <w:sz w:val="24"/>
        </w:rPr>
      </w:pPr>
      <w:r>
        <w:rPr>
          <w:rFonts w:hint="eastAsia" w:ascii="宋体" w:hAnsi="宋体"/>
          <w:b/>
          <w:sz w:val="24"/>
        </w:rPr>
        <w:t>（六）执行的相关标准</w:t>
      </w:r>
    </w:p>
    <w:p w14:paraId="0B3DB4A5">
      <w:pPr>
        <w:adjustRightInd w:val="0"/>
        <w:snapToGrid w:val="0"/>
        <w:spacing w:line="360" w:lineRule="auto"/>
        <w:rPr>
          <w:rFonts w:hint="eastAsia" w:ascii="宋体" w:hAnsi="宋体"/>
          <w:kern w:val="0"/>
          <w:sz w:val="24"/>
        </w:rPr>
      </w:pPr>
      <w:r>
        <w:rPr>
          <w:rFonts w:hint="eastAsia" w:ascii="宋体" w:hAnsi="宋体"/>
          <w:kern w:val="0"/>
          <w:sz w:val="24"/>
        </w:rPr>
        <w:t xml:space="preserve">   例如：产品应满足相关国家标准及行业标准。或具体列举出执行的国家相关标准、行业标准、地方标准或者其他标准、规范</w:t>
      </w:r>
    </w:p>
    <w:p w14:paraId="5947D7DC">
      <w:pPr>
        <w:adjustRightInd w:val="0"/>
        <w:snapToGrid w:val="0"/>
        <w:spacing w:line="360" w:lineRule="auto"/>
        <w:rPr>
          <w:rFonts w:hint="eastAsia" w:ascii="宋体" w:hAnsi="宋体"/>
          <w:kern w:val="0"/>
          <w:sz w:val="24"/>
        </w:rPr>
      </w:pPr>
    </w:p>
    <w:p w14:paraId="3430FC6C">
      <w:pPr>
        <w:adjustRightInd w:val="0"/>
        <w:snapToGrid w:val="0"/>
        <w:spacing w:line="360" w:lineRule="auto"/>
        <w:rPr>
          <w:rFonts w:hint="eastAsia" w:ascii="宋体" w:hAnsi="宋体"/>
          <w:b/>
          <w:sz w:val="24"/>
        </w:rPr>
      </w:pPr>
      <w:r>
        <w:rPr>
          <w:rFonts w:hint="eastAsia" w:ascii="宋体" w:hAnsi="宋体"/>
          <w:b/>
          <w:sz w:val="24"/>
        </w:rPr>
        <w:t>（七）验收要求：</w:t>
      </w:r>
    </w:p>
    <w:p w14:paraId="56508B7B">
      <w:pPr>
        <w:adjustRightInd w:val="0"/>
        <w:snapToGrid w:val="0"/>
        <w:spacing w:line="360" w:lineRule="auto"/>
        <w:rPr>
          <w:rFonts w:hint="eastAsia" w:ascii="宋体" w:hAnsi="宋体"/>
          <w:sz w:val="24"/>
        </w:rPr>
      </w:pPr>
      <w:r>
        <w:rPr>
          <w:rFonts w:hint="eastAsia" w:ascii="宋体" w:hAnsi="宋体"/>
          <w:sz w:val="24"/>
        </w:rPr>
        <w:t>★1.设备的配置、功能和技术实质性指标必须满足招标文件要求，所有技术指标必须能够现场验收或提供第三方机构的证明材料，投标商需在投标文件中提供完备的现场验收方案，</w:t>
      </w:r>
      <w:r>
        <w:rPr>
          <w:rFonts w:hint="eastAsia" w:ascii="宋体" w:hAnsi="宋体"/>
          <w:b/>
          <w:bCs/>
          <w:sz w:val="24"/>
        </w:rPr>
        <w:t>未提交现场验收方案将作为废标处理。</w:t>
      </w:r>
    </w:p>
    <w:p w14:paraId="6B03DC20">
      <w:pPr>
        <w:widowControl/>
        <w:adjustRightInd w:val="0"/>
        <w:snapToGrid w:val="0"/>
        <w:spacing w:line="360" w:lineRule="auto"/>
        <w:rPr>
          <w:rFonts w:hint="eastAsia" w:ascii="宋体" w:hAnsi="宋体"/>
          <w:sz w:val="24"/>
        </w:rPr>
      </w:pPr>
      <w:r>
        <w:rPr>
          <w:rFonts w:hint="eastAsia" w:ascii="宋体" w:hAnsi="宋体"/>
          <w:sz w:val="24"/>
        </w:rPr>
        <w:t>2.技术指标现场验收方案科学、合理，具有可行性。</w:t>
      </w:r>
    </w:p>
    <w:p w14:paraId="0E20ADCA">
      <w:pPr>
        <w:widowControl/>
        <w:adjustRightInd w:val="0"/>
        <w:snapToGrid w:val="0"/>
        <w:spacing w:line="360" w:lineRule="auto"/>
        <w:rPr>
          <w:rFonts w:hint="eastAsia" w:ascii="宋体" w:hAnsi="宋体"/>
          <w:sz w:val="24"/>
        </w:rPr>
      </w:pPr>
      <w:r>
        <w:rPr>
          <w:rFonts w:hint="eastAsia" w:ascii="宋体" w:hAnsi="宋体"/>
          <w:sz w:val="24"/>
        </w:rPr>
        <w:t>★3.如经检测验收所供货设备无法通过验收，技术指标、参数指标等不符合招标文件及/或采购合同约定标准的，视为根本违约，招标人除有权解除合同外，中标人应向招标人承担合同总金额30%的违约金，用以弥补招标人的损失。</w:t>
      </w:r>
    </w:p>
    <w:p w14:paraId="16B7E318">
      <w:pPr>
        <w:widowControl/>
        <w:spacing w:line="360" w:lineRule="atLeast"/>
        <w:rPr>
          <w:rFonts w:hint="eastAsia" w:ascii="宋体" w:hAnsi="宋体"/>
          <w:b/>
          <w:sz w:val="30"/>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宋体"/>
    <w:panose1 w:val="00000000000000000000"/>
    <w:charset w:val="86"/>
    <w:family w:val="auto"/>
    <w:pitch w:val="default"/>
    <w:sig w:usb0="00000000" w:usb1="00000000" w:usb2="00082016" w:usb3="00000000" w:csb0="00040001" w:csb1="00000000"/>
  </w:font>
  <w:font w:name="DejaVuSans-Bold">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imesNewRomanPSMT">
    <w:altName w:val="等线"/>
    <w:panose1 w:val="00000000000000000000"/>
    <w:charset w:val="00"/>
    <w:family w:val="roman"/>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642C9">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AEA99">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2D19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07B62"/>
    <w:rsid w:val="00017CDA"/>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0867"/>
    <w:rsid w:val="001235CA"/>
    <w:rsid w:val="00130EDF"/>
    <w:rsid w:val="00136F3B"/>
    <w:rsid w:val="0013752F"/>
    <w:rsid w:val="00137D93"/>
    <w:rsid w:val="00141D35"/>
    <w:rsid w:val="001437EA"/>
    <w:rsid w:val="001444BD"/>
    <w:rsid w:val="00144505"/>
    <w:rsid w:val="00144DDA"/>
    <w:rsid w:val="0014761F"/>
    <w:rsid w:val="00153F11"/>
    <w:rsid w:val="00154444"/>
    <w:rsid w:val="00154F47"/>
    <w:rsid w:val="00155A34"/>
    <w:rsid w:val="00164E27"/>
    <w:rsid w:val="00176311"/>
    <w:rsid w:val="00181940"/>
    <w:rsid w:val="0018672D"/>
    <w:rsid w:val="001921CA"/>
    <w:rsid w:val="00194900"/>
    <w:rsid w:val="001A0E56"/>
    <w:rsid w:val="001A6E63"/>
    <w:rsid w:val="001B195C"/>
    <w:rsid w:val="001B62CC"/>
    <w:rsid w:val="001B66E1"/>
    <w:rsid w:val="001B6E57"/>
    <w:rsid w:val="001C22AC"/>
    <w:rsid w:val="001C2F11"/>
    <w:rsid w:val="001D7301"/>
    <w:rsid w:val="001E0A29"/>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E7B"/>
    <w:rsid w:val="00245574"/>
    <w:rsid w:val="00247ED0"/>
    <w:rsid w:val="00251DB7"/>
    <w:rsid w:val="002630C9"/>
    <w:rsid w:val="002672D1"/>
    <w:rsid w:val="00275598"/>
    <w:rsid w:val="002761A3"/>
    <w:rsid w:val="0028124D"/>
    <w:rsid w:val="00282A80"/>
    <w:rsid w:val="00282F14"/>
    <w:rsid w:val="00283FB9"/>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13314"/>
    <w:rsid w:val="00322611"/>
    <w:rsid w:val="003248D5"/>
    <w:rsid w:val="00326D72"/>
    <w:rsid w:val="0033189B"/>
    <w:rsid w:val="00334AA9"/>
    <w:rsid w:val="003442AE"/>
    <w:rsid w:val="0034443A"/>
    <w:rsid w:val="003474B8"/>
    <w:rsid w:val="00351CB8"/>
    <w:rsid w:val="00353E66"/>
    <w:rsid w:val="00357C16"/>
    <w:rsid w:val="003637C6"/>
    <w:rsid w:val="003732CC"/>
    <w:rsid w:val="003732DE"/>
    <w:rsid w:val="00373B63"/>
    <w:rsid w:val="00374F9A"/>
    <w:rsid w:val="00382C0C"/>
    <w:rsid w:val="003944C7"/>
    <w:rsid w:val="00397F24"/>
    <w:rsid w:val="003A20E3"/>
    <w:rsid w:val="003A298A"/>
    <w:rsid w:val="003B4F45"/>
    <w:rsid w:val="003B6193"/>
    <w:rsid w:val="003C172D"/>
    <w:rsid w:val="003C4E84"/>
    <w:rsid w:val="003C7092"/>
    <w:rsid w:val="003C785A"/>
    <w:rsid w:val="003D2B81"/>
    <w:rsid w:val="003F5F7A"/>
    <w:rsid w:val="004043A2"/>
    <w:rsid w:val="00404EA5"/>
    <w:rsid w:val="00415144"/>
    <w:rsid w:val="00420D92"/>
    <w:rsid w:val="00421F2C"/>
    <w:rsid w:val="0042297A"/>
    <w:rsid w:val="00432545"/>
    <w:rsid w:val="00433C0B"/>
    <w:rsid w:val="004362C7"/>
    <w:rsid w:val="0044106E"/>
    <w:rsid w:val="00446E68"/>
    <w:rsid w:val="00447503"/>
    <w:rsid w:val="0045171A"/>
    <w:rsid w:val="00457522"/>
    <w:rsid w:val="0046038A"/>
    <w:rsid w:val="00471176"/>
    <w:rsid w:val="00484028"/>
    <w:rsid w:val="00484FF8"/>
    <w:rsid w:val="004A0EB1"/>
    <w:rsid w:val="004A3B49"/>
    <w:rsid w:val="004A5C14"/>
    <w:rsid w:val="004B3476"/>
    <w:rsid w:val="004B36B8"/>
    <w:rsid w:val="004C387C"/>
    <w:rsid w:val="004D0AB9"/>
    <w:rsid w:val="004E042A"/>
    <w:rsid w:val="004E4504"/>
    <w:rsid w:val="004E4D2E"/>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2602"/>
    <w:rsid w:val="0056304A"/>
    <w:rsid w:val="0057066D"/>
    <w:rsid w:val="00572671"/>
    <w:rsid w:val="00591688"/>
    <w:rsid w:val="005916DF"/>
    <w:rsid w:val="00595627"/>
    <w:rsid w:val="00595D3F"/>
    <w:rsid w:val="00595EAC"/>
    <w:rsid w:val="0059697A"/>
    <w:rsid w:val="005A2F5B"/>
    <w:rsid w:val="005A52D6"/>
    <w:rsid w:val="005B7873"/>
    <w:rsid w:val="005C574A"/>
    <w:rsid w:val="005D09A0"/>
    <w:rsid w:val="005D479D"/>
    <w:rsid w:val="005E416B"/>
    <w:rsid w:val="005E7A21"/>
    <w:rsid w:val="005F19BD"/>
    <w:rsid w:val="005F24B2"/>
    <w:rsid w:val="0060103A"/>
    <w:rsid w:val="00602911"/>
    <w:rsid w:val="00602A7A"/>
    <w:rsid w:val="0060509A"/>
    <w:rsid w:val="006125F5"/>
    <w:rsid w:val="00612A9B"/>
    <w:rsid w:val="00614D00"/>
    <w:rsid w:val="0061681D"/>
    <w:rsid w:val="006225E2"/>
    <w:rsid w:val="0062676A"/>
    <w:rsid w:val="00640DB1"/>
    <w:rsid w:val="006416E9"/>
    <w:rsid w:val="00643089"/>
    <w:rsid w:val="0064545D"/>
    <w:rsid w:val="00646C82"/>
    <w:rsid w:val="00647CD5"/>
    <w:rsid w:val="006548A6"/>
    <w:rsid w:val="00655478"/>
    <w:rsid w:val="00664D7F"/>
    <w:rsid w:val="00673641"/>
    <w:rsid w:val="006858B6"/>
    <w:rsid w:val="00696A35"/>
    <w:rsid w:val="0069730F"/>
    <w:rsid w:val="006A377B"/>
    <w:rsid w:val="006B0930"/>
    <w:rsid w:val="006C4384"/>
    <w:rsid w:val="006C5135"/>
    <w:rsid w:val="006C546E"/>
    <w:rsid w:val="006D29F2"/>
    <w:rsid w:val="006E2DE0"/>
    <w:rsid w:val="006E5A8E"/>
    <w:rsid w:val="006F7EF8"/>
    <w:rsid w:val="0070081C"/>
    <w:rsid w:val="0071653B"/>
    <w:rsid w:val="00721985"/>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A5C4D"/>
    <w:rsid w:val="007B6DFC"/>
    <w:rsid w:val="007C2696"/>
    <w:rsid w:val="007C4C31"/>
    <w:rsid w:val="007C5EA5"/>
    <w:rsid w:val="007D381E"/>
    <w:rsid w:val="007D3EE2"/>
    <w:rsid w:val="007E03CA"/>
    <w:rsid w:val="007E6193"/>
    <w:rsid w:val="007F2F97"/>
    <w:rsid w:val="007F30CC"/>
    <w:rsid w:val="007F387D"/>
    <w:rsid w:val="007F7152"/>
    <w:rsid w:val="0080631D"/>
    <w:rsid w:val="008156CB"/>
    <w:rsid w:val="008203E6"/>
    <w:rsid w:val="00822633"/>
    <w:rsid w:val="00827856"/>
    <w:rsid w:val="00830107"/>
    <w:rsid w:val="00831B02"/>
    <w:rsid w:val="00833174"/>
    <w:rsid w:val="00835158"/>
    <w:rsid w:val="00846609"/>
    <w:rsid w:val="00852958"/>
    <w:rsid w:val="0085467F"/>
    <w:rsid w:val="00864F77"/>
    <w:rsid w:val="008661F8"/>
    <w:rsid w:val="008712FA"/>
    <w:rsid w:val="00876AA9"/>
    <w:rsid w:val="00876EFF"/>
    <w:rsid w:val="00882892"/>
    <w:rsid w:val="00883574"/>
    <w:rsid w:val="00883AB2"/>
    <w:rsid w:val="008861B2"/>
    <w:rsid w:val="00887A5A"/>
    <w:rsid w:val="00896377"/>
    <w:rsid w:val="008A09F5"/>
    <w:rsid w:val="008A4B18"/>
    <w:rsid w:val="008A738C"/>
    <w:rsid w:val="008B2645"/>
    <w:rsid w:val="008C20FE"/>
    <w:rsid w:val="008C36D3"/>
    <w:rsid w:val="008C5830"/>
    <w:rsid w:val="008D0675"/>
    <w:rsid w:val="008D1425"/>
    <w:rsid w:val="008D2736"/>
    <w:rsid w:val="008D3BC8"/>
    <w:rsid w:val="008D6F23"/>
    <w:rsid w:val="008E5EB5"/>
    <w:rsid w:val="008F04C7"/>
    <w:rsid w:val="008F21A5"/>
    <w:rsid w:val="008F2440"/>
    <w:rsid w:val="008F5E9C"/>
    <w:rsid w:val="00914619"/>
    <w:rsid w:val="009202C8"/>
    <w:rsid w:val="009246BA"/>
    <w:rsid w:val="00930CDE"/>
    <w:rsid w:val="00935AA1"/>
    <w:rsid w:val="009451DC"/>
    <w:rsid w:val="009467F2"/>
    <w:rsid w:val="009506E6"/>
    <w:rsid w:val="0095655E"/>
    <w:rsid w:val="00956752"/>
    <w:rsid w:val="00962D35"/>
    <w:rsid w:val="00966DE4"/>
    <w:rsid w:val="009718ED"/>
    <w:rsid w:val="0097297B"/>
    <w:rsid w:val="0098154C"/>
    <w:rsid w:val="0098549E"/>
    <w:rsid w:val="009857EF"/>
    <w:rsid w:val="009941D8"/>
    <w:rsid w:val="009A2C18"/>
    <w:rsid w:val="009B36A1"/>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14987"/>
    <w:rsid w:val="00A2064F"/>
    <w:rsid w:val="00A21886"/>
    <w:rsid w:val="00A25682"/>
    <w:rsid w:val="00A2638C"/>
    <w:rsid w:val="00A27417"/>
    <w:rsid w:val="00A27AFD"/>
    <w:rsid w:val="00A354A8"/>
    <w:rsid w:val="00A4031E"/>
    <w:rsid w:val="00A44A2B"/>
    <w:rsid w:val="00A46F60"/>
    <w:rsid w:val="00A53234"/>
    <w:rsid w:val="00A56F9C"/>
    <w:rsid w:val="00A57F47"/>
    <w:rsid w:val="00A7461A"/>
    <w:rsid w:val="00A8225A"/>
    <w:rsid w:val="00AA029F"/>
    <w:rsid w:val="00AA7A0D"/>
    <w:rsid w:val="00AB00CF"/>
    <w:rsid w:val="00AB113B"/>
    <w:rsid w:val="00AC1C54"/>
    <w:rsid w:val="00AD2FD2"/>
    <w:rsid w:val="00AD41E6"/>
    <w:rsid w:val="00AD4ECF"/>
    <w:rsid w:val="00AD70C8"/>
    <w:rsid w:val="00AE094D"/>
    <w:rsid w:val="00AF0316"/>
    <w:rsid w:val="00AF6067"/>
    <w:rsid w:val="00B04039"/>
    <w:rsid w:val="00B07AAD"/>
    <w:rsid w:val="00B124B9"/>
    <w:rsid w:val="00B15273"/>
    <w:rsid w:val="00B16887"/>
    <w:rsid w:val="00B17299"/>
    <w:rsid w:val="00B1746F"/>
    <w:rsid w:val="00B27A2B"/>
    <w:rsid w:val="00B31F00"/>
    <w:rsid w:val="00B351A2"/>
    <w:rsid w:val="00B41959"/>
    <w:rsid w:val="00B42C18"/>
    <w:rsid w:val="00B43CF7"/>
    <w:rsid w:val="00B44327"/>
    <w:rsid w:val="00B53944"/>
    <w:rsid w:val="00B61FDD"/>
    <w:rsid w:val="00B758E7"/>
    <w:rsid w:val="00B75B80"/>
    <w:rsid w:val="00B81149"/>
    <w:rsid w:val="00B81B10"/>
    <w:rsid w:val="00B8672D"/>
    <w:rsid w:val="00B94FB1"/>
    <w:rsid w:val="00BA2432"/>
    <w:rsid w:val="00BC7FBC"/>
    <w:rsid w:val="00BD11D6"/>
    <w:rsid w:val="00BD2A3B"/>
    <w:rsid w:val="00BD646D"/>
    <w:rsid w:val="00BD6A33"/>
    <w:rsid w:val="00BD7ED0"/>
    <w:rsid w:val="00BE5E06"/>
    <w:rsid w:val="00BE643E"/>
    <w:rsid w:val="00BE7CED"/>
    <w:rsid w:val="00BF59BF"/>
    <w:rsid w:val="00C056A4"/>
    <w:rsid w:val="00C056B5"/>
    <w:rsid w:val="00C10630"/>
    <w:rsid w:val="00C12939"/>
    <w:rsid w:val="00C14E3B"/>
    <w:rsid w:val="00C15632"/>
    <w:rsid w:val="00C23BA4"/>
    <w:rsid w:val="00C241B2"/>
    <w:rsid w:val="00C24609"/>
    <w:rsid w:val="00C27A10"/>
    <w:rsid w:val="00C34485"/>
    <w:rsid w:val="00C40AB3"/>
    <w:rsid w:val="00C43805"/>
    <w:rsid w:val="00C43E24"/>
    <w:rsid w:val="00C45235"/>
    <w:rsid w:val="00C50E44"/>
    <w:rsid w:val="00C54174"/>
    <w:rsid w:val="00C60EF2"/>
    <w:rsid w:val="00C615B2"/>
    <w:rsid w:val="00C61C7F"/>
    <w:rsid w:val="00C62F95"/>
    <w:rsid w:val="00C702F0"/>
    <w:rsid w:val="00C74553"/>
    <w:rsid w:val="00C772CE"/>
    <w:rsid w:val="00C8112C"/>
    <w:rsid w:val="00C84C38"/>
    <w:rsid w:val="00C87EF4"/>
    <w:rsid w:val="00CA0EA5"/>
    <w:rsid w:val="00CA623E"/>
    <w:rsid w:val="00CA630F"/>
    <w:rsid w:val="00CB4EB2"/>
    <w:rsid w:val="00CB7A41"/>
    <w:rsid w:val="00CC50EC"/>
    <w:rsid w:val="00CC7A0B"/>
    <w:rsid w:val="00CC7D4A"/>
    <w:rsid w:val="00CD0A52"/>
    <w:rsid w:val="00CD0EEF"/>
    <w:rsid w:val="00CD4AC3"/>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60794"/>
    <w:rsid w:val="00D612B5"/>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E7D02"/>
    <w:rsid w:val="00DF2449"/>
    <w:rsid w:val="00DF7ACF"/>
    <w:rsid w:val="00E004CA"/>
    <w:rsid w:val="00E03391"/>
    <w:rsid w:val="00E0373B"/>
    <w:rsid w:val="00E07308"/>
    <w:rsid w:val="00E14474"/>
    <w:rsid w:val="00E14869"/>
    <w:rsid w:val="00E179B5"/>
    <w:rsid w:val="00E26286"/>
    <w:rsid w:val="00E30AC2"/>
    <w:rsid w:val="00E33D84"/>
    <w:rsid w:val="00E34813"/>
    <w:rsid w:val="00E356D2"/>
    <w:rsid w:val="00E401B3"/>
    <w:rsid w:val="00E458DA"/>
    <w:rsid w:val="00E51585"/>
    <w:rsid w:val="00E54523"/>
    <w:rsid w:val="00E5687E"/>
    <w:rsid w:val="00E639CC"/>
    <w:rsid w:val="00E63D5B"/>
    <w:rsid w:val="00E671AD"/>
    <w:rsid w:val="00E83E40"/>
    <w:rsid w:val="00E857B8"/>
    <w:rsid w:val="00E907E5"/>
    <w:rsid w:val="00E943B8"/>
    <w:rsid w:val="00EA0DCC"/>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B5D79"/>
    <w:rsid w:val="00FE3D91"/>
    <w:rsid w:val="00FE55D2"/>
    <w:rsid w:val="00FF34D8"/>
    <w:rsid w:val="00FF5179"/>
    <w:rsid w:val="00FF728E"/>
    <w:rsid w:val="020B291A"/>
    <w:rsid w:val="04C74740"/>
    <w:rsid w:val="051B3A05"/>
    <w:rsid w:val="053E2C54"/>
    <w:rsid w:val="06F02823"/>
    <w:rsid w:val="0762073E"/>
    <w:rsid w:val="09120680"/>
    <w:rsid w:val="09A45050"/>
    <w:rsid w:val="09FA1199"/>
    <w:rsid w:val="0A5B05D9"/>
    <w:rsid w:val="0ADF594B"/>
    <w:rsid w:val="0AE0030A"/>
    <w:rsid w:val="0BA90827"/>
    <w:rsid w:val="0C396F1E"/>
    <w:rsid w:val="0C721436"/>
    <w:rsid w:val="0D515D8F"/>
    <w:rsid w:val="0D6B0DE4"/>
    <w:rsid w:val="0D8A6F81"/>
    <w:rsid w:val="0E39045D"/>
    <w:rsid w:val="0E936CC2"/>
    <w:rsid w:val="0EE967FA"/>
    <w:rsid w:val="0F4075C9"/>
    <w:rsid w:val="0F4672D5"/>
    <w:rsid w:val="0F4E40DD"/>
    <w:rsid w:val="0F6F4465"/>
    <w:rsid w:val="10246519"/>
    <w:rsid w:val="10E279BE"/>
    <w:rsid w:val="110D3EBD"/>
    <w:rsid w:val="122264FF"/>
    <w:rsid w:val="122E6778"/>
    <w:rsid w:val="124949E7"/>
    <w:rsid w:val="128B5428"/>
    <w:rsid w:val="13285904"/>
    <w:rsid w:val="13465DF0"/>
    <w:rsid w:val="139D57EB"/>
    <w:rsid w:val="15225C46"/>
    <w:rsid w:val="15D708BB"/>
    <w:rsid w:val="15F52619"/>
    <w:rsid w:val="17CB6513"/>
    <w:rsid w:val="17E30CEE"/>
    <w:rsid w:val="185D6BC0"/>
    <w:rsid w:val="199030D2"/>
    <w:rsid w:val="19AE7309"/>
    <w:rsid w:val="1A18361C"/>
    <w:rsid w:val="1A301239"/>
    <w:rsid w:val="1A902BB0"/>
    <w:rsid w:val="1B9E3D36"/>
    <w:rsid w:val="1BBA3A2F"/>
    <w:rsid w:val="1C686EB5"/>
    <w:rsid w:val="1C746B04"/>
    <w:rsid w:val="1C8F2A04"/>
    <w:rsid w:val="1D8B6157"/>
    <w:rsid w:val="1EBD04A1"/>
    <w:rsid w:val="20365C75"/>
    <w:rsid w:val="20863AF3"/>
    <w:rsid w:val="20FD3BD3"/>
    <w:rsid w:val="21447C5E"/>
    <w:rsid w:val="218B2C39"/>
    <w:rsid w:val="22597BF6"/>
    <w:rsid w:val="227819CB"/>
    <w:rsid w:val="23256975"/>
    <w:rsid w:val="23423424"/>
    <w:rsid w:val="23EA6B2E"/>
    <w:rsid w:val="240C4724"/>
    <w:rsid w:val="243F7370"/>
    <w:rsid w:val="24E93CA3"/>
    <w:rsid w:val="26025347"/>
    <w:rsid w:val="26053E04"/>
    <w:rsid w:val="26DD3CEE"/>
    <w:rsid w:val="27F05BD9"/>
    <w:rsid w:val="282B32BD"/>
    <w:rsid w:val="285745BD"/>
    <w:rsid w:val="288C023E"/>
    <w:rsid w:val="2A8E004C"/>
    <w:rsid w:val="2AE658D7"/>
    <w:rsid w:val="2B6A1BE2"/>
    <w:rsid w:val="2B84531B"/>
    <w:rsid w:val="2C083F8D"/>
    <w:rsid w:val="2CB90995"/>
    <w:rsid w:val="2D5179CF"/>
    <w:rsid w:val="2E5B7B24"/>
    <w:rsid w:val="2ED5581D"/>
    <w:rsid w:val="2F25260C"/>
    <w:rsid w:val="308A097E"/>
    <w:rsid w:val="319039E6"/>
    <w:rsid w:val="32085AE3"/>
    <w:rsid w:val="327F0D3B"/>
    <w:rsid w:val="32E25230"/>
    <w:rsid w:val="331A4758"/>
    <w:rsid w:val="3369385E"/>
    <w:rsid w:val="33CA23C6"/>
    <w:rsid w:val="351101A8"/>
    <w:rsid w:val="35C0542C"/>
    <w:rsid w:val="372B2789"/>
    <w:rsid w:val="37CE32A7"/>
    <w:rsid w:val="384F06F9"/>
    <w:rsid w:val="395026E3"/>
    <w:rsid w:val="39A43A9C"/>
    <w:rsid w:val="3AC54CA3"/>
    <w:rsid w:val="3AE72E6B"/>
    <w:rsid w:val="3AFF33E8"/>
    <w:rsid w:val="3B172043"/>
    <w:rsid w:val="3C2D3B80"/>
    <w:rsid w:val="3D476359"/>
    <w:rsid w:val="3D806ACF"/>
    <w:rsid w:val="3D9A658C"/>
    <w:rsid w:val="3DE10046"/>
    <w:rsid w:val="3DEE1D80"/>
    <w:rsid w:val="3DF338D5"/>
    <w:rsid w:val="3EA378DA"/>
    <w:rsid w:val="3EF73899"/>
    <w:rsid w:val="3F651E10"/>
    <w:rsid w:val="3F6F78D3"/>
    <w:rsid w:val="426C16E4"/>
    <w:rsid w:val="43D85920"/>
    <w:rsid w:val="442F62DC"/>
    <w:rsid w:val="443B5FD6"/>
    <w:rsid w:val="459220B9"/>
    <w:rsid w:val="46DB7A17"/>
    <w:rsid w:val="48333FF5"/>
    <w:rsid w:val="485E6BC5"/>
    <w:rsid w:val="48E62910"/>
    <w:rsid w:val="49FA5FEB"/>
    <w:rsid w:val="4A3E0C6F"/>
    <w:rsid w:val="4B914BF5"/>
    <w:rsid w:val="4BAB7C31"/>
    <w:rsid w:val="4C0139C5"/>
    <w:rsid w:val="4C7D3400"/>
    <w:rsid w:val="4CB230FF"/>
    <w:rsid w:val="4D413CB4"/>
    <w:rsid w:val="4EE564B0"/>
    <w:rsid w:val="4F3512E0"/>
    <w:rsid w:val="4F8D414D"/>
    <w:rsid w:val="4FFC159D"/>
    <w:rsid w:val="51CD3614"/>
    <w:rsid w:val="522400A9"/>
    <w:rsid w:val="531539E5"/>
    <w:rsid w:val="53D55AFF"/>
    <w:rsid w:val="53FC6986"/>
    <w:rsid w:val="54A60BE9"/>
    <w:rsid w:val="559A7000"/>
    <w:rsid w:val="5628185A"/>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F236DE7"/>
    <w:rsid w:val="5FEE7E35"/>
    <w:rsid w:val="608E3660"/>
    <w:rsid w:val="614C50B2"/>
    <w:rsid w:val="617B7B59"/>
    <w:rsid w:val="620B4DE2"/>
    <w:rsid w:val="621505DC"/>
    <w:rsid w:val="625D22A8"/>
    <w:rsid w:val="62914838"/>
    <w:rsid w:val="63025693"/>
    <w:rsid w:val="634B1F60"/>
    <w:rsid w:val="64187FBF"/>
    <w:rsid w:val="648D7D30"/>
    <w:rsid w:val="657340D8"/>
    <w:rsid w:val="65C0401D"/>
    <w:rsid w:val="662648F8"/>
    <w:rsid w:val="665F1537"/>
    <w:rsid w:val="67D85B6C"/>
    <w:rsid w:val="68ED6A71"/>
    <w:rsid w:val="69317B0A"/>
    <w:rsid w:val="69F67FAD"/>
    <w:rsid w:val="6A9734A6"/>
    <w:rsid w:val="6BFA67BA"/>
    <w:rsid w:val="6C67192F"/>
    <w:rsid w:val="6CE60189"/>
    <w:rsid w:val="6D6A4279"/>
    <w:rsid w:val="6E04301E"/>
    <w:rsid w:val="6F135C55"/>
    <w:rsid w:val="6F215C44"/>
    <w:rsid w:val="6F5A2F04"/>
    <w:rsid w:val="6FDA0E9E"/>
    <w:rsid w:val="71126315"/>
    <w:rsid w:val="732820F7"/>
    <w:rsid w:val="734D446A"/>
    <w:rsid w:val="740972B4"/>
    <w:rsid w:val="746B0D64"/>
    <w:rsid w:val="74C80B12"/>
    <w:rsid w:val="759B0467"/>
    <w:rsid w:val="774A1FD3"/>
    <w:rsid w:val="77FE4FE3"/>
    <w:rsid w:val="78C830A0"/>
    <w:rsid w:val="78D36201"/>
    <w:rsid w:val="792F1A3C"/>
    <w:rsid w:val="793270FF"/>
    <w:rsid w:val="794E4B15"/>
    <w:rsid w:val="79B5177D"/>
    <w:rsid w:val="79CD520C"/>
    <w:rsid w:val="7A463EB9"/>
    <w:rsid w:val="7A8377B3"/>
    <w:rsid w:val="7AB91175"/>
    <w:rsid w:val="7B16744E"/>
    <w:rsid w:val="7CD608CD"/>
    <w:rsid w:val="7D387BFF"/>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3">
    <w:name w:val="修订1"/>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FEF06-0474-494C-8B79-82A5A5E424D6}">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9</Pages>
  <Words>22972</Words>
  <Characters>24448</Characters>
  <Lines>1510</Lines>
  <Paragraphs>1460</Paragraphs>
  <TotalTime>8</TotalTime>
  <ScaleCrop>false</ScaleCrop>
  <LinksUpToDate>false</LinksUpToDate>
  <CharactersWithSpaces>25096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C.X.F</cp:lastModifiedBy>
  <cp:lastPrinted>2009-04-21T09:03:00Z</cp:lastPrinted>
  <dcterms:modified xsi:type="dcterms:W3CDTF">2026-08-13T11:16:31Z</dcterms:modified>
  <dc:title>北 京 市 政 府 采 购</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474450B2E35E4882B52C54AA1BBF7A1A_13</vt:lpwstr>
  </property>
  <property fmtid="{D5CDD505-2E9C-101B-9397-08002B2CF9AE}" pid="4" name="KSOTemplateDocerSaveRecord">
    <vt:lpwstr>eyJoZGlkIjoiMjg3MTY3Njg1YTYzNTg5NmFiY2UwNjI5N2Q3MTcyY2MiLCJ1c2VySWQiOiI3MTgzNDAyNjIifQ==</vt:lpwstr>
  </property>
</Properties>
</file>