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135BD0">
      <w:pPr>
        <w:rPr>
          <w:rFonts w:hint="eastAsia" w:cs="宋体"/>
          <w:color w:val="auto"/>
        </w:rPr>
      </w:pPr>
      <w:bookmarkStart w:id="0" w:name="OLE_LINK1"/>
    </w:p>
    <w:p w14:paraId="23B600FF">
      <w:pPr>
        <w:ind w:firstLine="0" w:firstLineChars="0"/>
        <w:rPr>
          <w:rFonts w:hint="eastAsia" w:cs="宋体"/>
          <w:color w:val="auto"/>
        </w:rPr>
      </w:pPr>
    </w:p>
    <w:p w14:paraId="18510697">
      <w:pPr>
        <w:ind w:firstLine="0" w:firstLineChars="0"/>
        <w:jc w:val="center"/>
        <w:rPr>
          <w:rFonts w:hint="eastAsia" w:eastAsia="宋体" w:cs="宋体"/>
          <w:b/>
          <w:bCs/>
          <w:color w:val="auto"/>
          <w:sz w:val="44"/>
          <w:szCs w:val="44"/>
          <w:lang w:eastAsia="zh-CN"/>
        </w:rPr>
      </w:pPr>
      <w:r>
        <w:rPr>
          <w:rFonts w:hint="eastAsia" w:cs="宋体"/>
          <w:b/>
          <w:bCs/>
          <w:color w:val="auto"/>
          <w:sz w:val="44"/>
          <w:szCs w:val="44"/>
          <w:lang w:eastAsia="zh-CN"/>
        </w:rPr>
        <w:t>永德县教育体育局2025-2026学年农村义务教育学校食用油及干货调味料采购项目</w:t>
      </w:r>
    </w:p>
    <w:p w14:paraId="29E1C966">
      <w:pPr>
        <w:ind w:firstLine="0" w:firstLineChars="0"/>
        <w:jc w:val="center"/>
        <w:rPr>
          <w:rFonts w:hint="eastAsia" w:cs="宋体"/>
          <w:b/>
          <w:bCs/>
          <w:color w:val="auto"/>
          <w:sz w:val="44"/>
          <w:szCs w:val="44"/>
        </w:rPr>
      </w:pPr>
    </w:p>
    <w:p w14:paraId="40612932">
      <w:pPr>
        <w:ind w:firstLine="0" w:firstLineChars="0"/>
        <w:jc w:val="center"/>
        <w:rPr>
          <w:rFonts w:hint="eastAsia" w:cs="宋体"/>
          <w:b/>
          <w:bCs/>
          <w:color w:val="auto"/>
          <w:sz w:val="44"/>
          <w:szCs w:val="44"/>
        </w:rPr>
      </w:pPr>
    </w:p>
    <w:p w14:paraId="175BF519">
      <w:pPr>
        <w:rPr>
          <w:rFonts w:hint="eastAsia" w:cs="宋体"/>
          <w:color w:val="auto"/>
        </w:rPr>
      </w:pPr>
      <w:bookmarkStart w:id="1" w:name="OLE_LINK47"/>
      <w:bookmarkStart w:id="2" w:name="OLE_LINK48"/>
    </w:p>
    <w:bookmarkEnd w:id="1"/>
    <w:bookmarkEnd w:id="2"/>
    <w:p w14:paraId="3DD6834B">
      <w:pPr>
        <w:rPr>
          <w:rFonts w:hint="eastAsia" w:cs="宋体"/>
          <w:color w:val="auto"/>
        </w:rPr>
      </w:pPr>
    </w:p>
    <w:p w14:paraId="7637DAEE">
      <w:pPr>
        <w:ind w:firstLine="0" w:firstLineChars="0"/>
        <w:jc w:val="center"/>
        <w:rPr>
          <w:rFonts w:hint="eastAsia" w:cs="宋体"/>
          <w:b/>
          <w:bCs/>
          <w:color w:val="auto"/>
          <w:sz w:val="96"/>
          <w:szCs w:val="20"/>
        </w:rPr>
      </w:pPr>
      <w:r>
        <w:rPr>
          <w:rFonts w:hint="eastAsia" w:cs="宋体"/>
          <w:b/>
          <w:bCs/>
          <w:color w:val="auto"/>
          <w:sz w:val="96"/>
          <w:szCs w:val="20"/>
        </w:rPr>
        <w:t>招 标 文 件</w:t>
      </w:r>
    </w:p>
    <w:p w14:paraId="57D6D6BE">
      <w:pPr>
        <w:ind w:firstLine="0" w:firstLineChars="0"/>
        <w:jc w:val="center"/>
        <w:rPr>
          <w:rFonts w:hint="eastAsia" w:eastAsia="宋体" w:cs="宋体"/>
          <w:b/>
          <w:bCs/>
          <w:color w:val="auto"/>
          <w:w w:val="95"/>
          <w:sz w:val="36"/>
          <w:szCs w:val="36"/>
          <w:lang w:eastAsia="zh-CN"/>
        </w:rPr>
      </w:pPr>
      <w:bookmarkStart w:id="3" w:name="_Hlk172020422"/>
      <w:r>
        <w:rPr>
          <w:rFonts w:hint="eastAsia" w:cs="宋体"/>
          <w:b/>
          <w:bCs/>
          <w:color w:val="auto"/>
          <w:w w:val="95"/>
          <w:sz w:val="36"/>
          <w:szCs w:val="36"/>
          <w:lang w:eastAsia="zh-CN"/>
        </w:rPr>
        <w:t>项目编号：</w:t>
      </w:r>
      <w:bookmarkStart w:id="934" w:name="_GoBack"/>
      <w:bookmarkEnd w:id="934"/>
      <w:r>
        <w:rPr>
          <w:rFonts w:hint="eastAsia" w:cs="宋体"/>
          <w:b/>
          <w:bCs/>
          <w:color w:val="auto"/>
          <w:w w:val="95"/>
          <w:sz w:val="36"/>
          <w:szCs w:val="36"/>
          <w:lang w:eastAsia="zh-CN"/>
        </w:rPr>
        <w:t>LCZC2025-G1-00576-YNLC-0008</w:t>
      </w:r>
      <w:r>
        <w:rPr>
          <w:rFonts w:hint="eastAsia" w:cs="宋体"/>
          <w:b/>
          <w:bCs/>
          <w:color w:val="auto"/>
          <w:w w:val="95"/>
          <w:sz w:val="36"/>
          <w:szCs w:val="36"/>
          <w:lang w:val="en-US" w:eastAsia="zh-CN"/>
        </w:rPr>
        <w:t xml:space="preserve"> </w:t>
      </w:r>
    </w:p>
    <w:bookmarkEnd w:id="3"/>
    <w:p w14:paraId="67F921A5">
      <w:pPr>
        <w:pStyle w:val="10"/>
        <w:ind w:firstLine="480"/>
        <w:rPr>
          <w:rFonts w:hint="eastAsia"/>
          <w:color w:val="auto"/>
        </w:rPr>
      </w:pPr>
    </w:p>
    <w:p w14:paraId="5B8CA2FD">
      <w:pPr>
        <w:rPr>
          <w:rFonts w:hint="eastAsia" w:cs="宋体"/>
          <w:color w:val="auto"/>
        </w:rPr>
      </w:pPr>
    </w:p>
    <w:p w14:paraId="3D559AE7">
      <w:pPr>
        <w:rPr>
          <w:rFonts w:hint="eastAsia" w:cs="宋体"/>
          <w:color w:val="auto"/>
        </w:rPr>
      </w:pPr>
    </w:p>
    <w:p w14:paraId="18246557">
      <w:pPr>
        <w:spacing w:before="120" w:after="120"/>
        <w:rPr>
          <w:rFonts w:hint="eastAsia" w:cs="宋体"/>
          <w:color w:val="auto"/>
        </w:rPr>
      </w:pPr>
    </w:p>
    <w:p w14:paraId="475070C7">
      <w:pPr>
        <w:rPr>
          <w:rFonts w:hint="eastAsia" w:cs="宋体"/>
          <w:color w:val="auto"/>
        </w:rPr>
      </w:pPr>
    </w:p>
    <w:p w14:paraId="740368A4">
      <w:pPr>
        <w:ind w:firstLine="0" w:firstLineChars="0"/>
        <w:jc w:val="center"/>
        <w:rPr>
          <w:rFonts w:hint="eastAsia" w:cs="宋体"/>
          <w:b/>
          <w:bCs/>
          <w:color w:val="auto"/>
          <w:w w:val="95"/>
          <w:sz w:val="36"/>
        </w:rPr>
      </w:pPr>
      <w:r>
        <w:rPr>
          <w:rFonts w:hint="eastAsia" w:cs="宋体"/>
          <w:b/>
          <w:bCs/>
          <w:color w:val="auto"/>
          <w:w w:val="95"/>
          <w:sz w:val="36"/>
        </w:rPr>
        <w:t>采购人：永德县教育体育局</w:t>
      </w:r>
    </w:p>
    <w:p w14:paraId="41D2606D">
      <w:pPr>
        <w:ind w:firstLine="0" w:firstLineChars="0"/>
        <w:jc w:val="center"/>
        <w:rPr>
          <w:rFonts w:hint="eastAsia" w:eastAsia="宋体" w:cs="宋体"/>
          <w:b/>
          <w:bCs/>
          <w:color w:val="auto"/>
          <w:w w:val="95"/>
          <w:sz w:val="36"/>
          <w:lang w:eastAsia="zh-CN"/>
        </w:rPr>
      </w:pPr>
      <w:r>
        <w:rPr>
          <w:rFonts w:hint="eastAsia" w:cs="宋体"/>
          <w:b/>
          <w:bCs/>
          <w:color w:val="auto"/>
          <w:w w:val="95"/>
          <w:sz w:val="36"/>
        </w:rPr>
        <w:t>采购代理机构：</w:t>
      </w:r>
      <w:r>
        <w:rPr>
          <w:rFonts w:hint="eastAsia" w:cs="宋体"/>
          <w:b/>
          <w:bCs/>
          <w:color w:val="auto"/>
          <w:w w:val="95"/>
          <w:sz w:val="36"/>
          <w:lang w:eastAsia="zh-CN"/>
        </w:rPr>
        <w:t>云南联沧项目管理有限公司</w:t>
      </w:r>
    </w:p>
    <w:p w14:paraId="3ECA1163">
      <w:pPr>
        <w:ind w:firstLine="0" w:firstLineChars="0"/>
        <w:jc w:val="center"/>
        <w:rPr>
          <w:rFonts w:hint="eastAsia" w:cs="宋体"/>
          <w:b/>
          <w:bCs/>
          <w:color w:val="auto"/>
          <w:w w:val="95"/>
          <w:sz w:val="36"/>
        </w:rPr>
      </w:pPr>
      <w:r>
        <w:rPr>
          <w:rFonts w:hint="eastAsia" w:cs="宋体"/>
          <w:b/>
          <w:bCs/>
          <w:color w:val="auto"/>
          <w:w w:val="95"/>
          <w:sz w:val="36"/>
        </w:rPr>
        <w:t>日期：二○二</w:t>
      </w:r>
      <w:r>
        <w:rPr>
          <w:rFonts w:hint="eastAsia" w:cs="宋体"/>
          <w:b/>
          <w:bCs/>
          <w:color w:val="auto"/>
          <w:w w:val="95"/>
          <w:sz w:val="36"/>
          <w:lang w:val="en-US" w:eastAsia="zh-CN"/>
        </w:rPr>
        <w:t>五年八</w:t>
      </w:r>
      <w:r>
        <w:rPr>
          <w:rFonts w:hint="eastAsia" w:cs="宋体"/>
          <w:b/>
          <w:bCs/>
          <w:color w:val="auto"/>
          <w:w w:val="95"/>
          <w:sz w:val="36"/>
        </w:rPr>
        <w:t>月</w:t>
      </w:r>
      <w:bookmarkEnd w:id="0"/>
    </w:p>
    <w:p w14:paraId="4760D77B">
      <w:pPr>
        <w:ind w:firstLine="0" w:firstLineChars="0"/>
        <w:jc w:val="center"/>
        <w:rPr>
          <w:rFonts w:hint="eastAsia" w:cs="宋体"/>
          <w:b/>
          <w:bCs/>
          <w:color w:val="auto"/>
          <w:w w:val="95"/>
          <w:sz w:val="32"/>
          <w:lang w:val="zh-CN"/>
        </w:rPr>
        <w:sectPr>
          <w:headerReference r:id="rId6" w:type="first"/>
          <w:footerReference r:id="rId8" w:type="first"/>
          <w:headerReference r:id="rId5" w:type="default"/>
          <w:footerReference r:id="rId7" w:type="default"/>
          <w:pgSz w:w="11900" w:h="16838"/>
          <w:pgMar w:top="1417" w:right="1417" w:bottom="1417" w:left="1417" w:header="850" w:footer="850" w:gutter="0"/>
          <w:pgNumType w:fmt="upperRoman" w:start="1"/>
          <w:cols w:space="0" w:num="1"/>
          <w:titlePg/>
          <w:docGrid w:linePitch="360" w:charSpace="0"/>
        </w:sectPr>
      </w:pPr>
    </w:p>
    <w:p w14:paraId="3B3F2E0F">
      <w:pPr>
        <w:ind w:firstLine="0" w:firstLineChars="0"/>
        <w:jc w:val="center"/>
        <w:rPr>
          <w:rFonts w:hint="eastAsia" w:cs="宋体"/>
          <w:b/>
          <w:color w:val="auto"/>
          <w:sz w:val="28"/>
          <w:szCs w:val="28"/>
          <w:lang w:val="zh-CN"/>
        </w:rPr>
      </w:pPr>
      <w:r>
        <w:rPr>
          <w:rFonts w:hint="eastAsia" w:cs="宋体"/>
          <w:b/>
          <w:bCs/>
          <w:color w:val="auto"/>
          <w:w w:val="95"/>
          <w:sz w:val="32"/>
          <w:lang w:val="zh-CN"/>
        </w:rPr>
        <w:t>目录</w:t>
      </w:r>
    </w:p>
    <w:sdt>
      <w:sdtPr>
        <w:rPr>
          <w:rFonts w:hint="eastAsia" w:cs="宋体"/>
          <w:color w:val="auto"/>
          <w:lang w:val="zh-CN"/>
        </w:rPr>
        <w:id w:val="1495067897"/>
        <w:docPartObj>
          <w:docPartGallery w:val="Table of Contents"/>
          <w:docPartUnique/>
        </w:docPartObj>
      </w:sdtPr>
      <w:sdtEndPr>
        <w:rPr>
          <w:rFonts w:hint="eastAsia" w:cs="宋体"/>
          <w:b/>
          <w:bCs/>
          <w:color w:val="auto"/>
          <w:lang w:val="zh-CN"/>
        </w:rPr>
      </w:sdtEndPr>
      <w:sdtContent>
        <w:p w14:paraId="5294149D">
          <w:pPr>
            <w:pStyle w:val="20"/>
            <w:tabs>
              <w:tab w:val="right" w:leader="dot" w:pos="9056"/>
            </w:tabs>
            <w:ind w:firstLine="0" w:firstLineChars="0"/>
            <w:rPr>
              <w:rFonts w:hint="eastAsia" w:ascii="宋体" w:hAnsi="宋体" w:eastAsia="宋体" w:cs="宋体"/>
              <w:color w:val="auto"/>
              <w:kern w:val="2"/>
              <w:sz w:val="21"/>
              <w:szCs w:val="21"/>
              <w:lang w:val="zh-CN" w:eastAsia="zh-CN" w:bidi="ar-SA"/>
            </w:rPr>
          </w:pPr>
          <w:bookmarkStart w:id="4" w:name="_Toc35700975"/>
          <w:bookmarkStart w:id="5" w:name="_Toc35701761"/>
          <w:bookmarkStart w:id="6" w:name="_Toc35700904"/>
          <w:r>
            <w:rPr>
              <w:rFonts w:hint="eastAsia" w:cs="宋体"/>
              <w:color w:val="auto"/>
              <w:lang w:val="zh-CN"/>
            </w:rPr>
            <w:fldChar w:fldCharType="begin"/>
          </w:r>
          <w:r>
            <w:rPr>
              <w:rFonts w:hint="eastAsia" w:cs="宋体"/>
              <w:color w:val="auto"/>
              <w:lang w:val="zh-CN"/>
            </w:rPr>
            <w:instrText xml:space="preserve"> TOC \o "1-3" \h \z \u </w:instrText>
          </w:r>
          <w:r>
            <w:rPr>
              <w:rFonts w:hint="eastAsia" w:cs="宋体"/>
              <w:color w:val="auto"/>
              <w:lang w:val="zh-CN"/>
            </w:rPr>
            <w:fldChar w:fldCharType="separate"/>
          </w:r>
        </w:p>
        <w:p w14:paraId="4507A18A">
          <w:pPr>
            <w:pStyle w:val="20"/>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_Toc9692 </w:instrText>
          </w:r>
          <w:r>
            <w:rPr>
              <w:rFonts w:hint="eastAsia" w:cs="宋体"/>
              <w:color w:val="auto"/>
              <w:lang w:val="zh-CN"/>
            </w:rPr>
            <w:fldChar w:fldCharType="separate"/>
          </w:r>
          <w:r>
            <w:rPr>
              <w:rFonts w:hint="eastAsia" w:ascii="宋体" w:hAnsi="宋体" w:eastAsia="宋体" w:cs="宋体"/>
              <w:color w:val="auto"/>
              <w:szCs w:val="18"/>
            </w:rPr>
            <w:t>第一章 招标公告</w:t>
          </w:r>
          <w:r>
            <w:rPr>
              <w:color w:val="auto"/>
            </w:rPr>
            <w:tab/>
          </w:r>
          <w:r>
            <w:rPr>
              <w:color w:val="auto"/>
            </w:rPr>
            <w:fldChar w:fldCharType="begin"/>
          </w:r>
          <w:r>
            <w:rPr>
              <w:color w:val="auto"/>
            </w:rPr>
            <w:instrText xml:space="preserve"> PAGEREF _Toc9692 \h </w:instrText>
          </w:r>
          <w:r>
            <w:rPr>
              <w:color w:val="auto"/>
            </w:rPr>
            <w:fldChar w:fldCharType="separate"/>
          </w:r>
          <w:r>
            <w:rPr>
              <w:color w:val="auto"/>
            </w:rPr>
            <w:t>1</w:t>
          </w:r>
          <w:r>
            <w:rPr>
              <w:color w:val="auto"/>
            </w:rPr>
            <w:fldChar w:fldCharType="end"/>
          </w:r>
          <w:r>
            <w:rPr>
              <w:rFonts w:hint="eastAsia" w:cs="宋体"/>
              <w:color w:val="auto"/>
              <w:lang w:val="zh-CN"/>
            </w:rPr>
            <w:fldChar w:fldCharType="end"/>
          </w:r>
        </w:p>
        <w:p w14:paraId="48929B5E">
          <w:pPr>
            <w:pStyle w:val="24"/>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_Toc26729 </w:instrText>
          </w:r>
          <w:r>
            <w:rPr>
              <w:rFonts w:hint="eastAsia" w:cs="宋体"/>
              <w:color w:val="auto"/>
              <w:lang w:val="zh-CN"/>
            </w:rPr>
            <w:fldChar w:fldCharType="separate"/>
          </w:r>
          <w:r>
            <w:rPr>
              <w:rFonts w:hint="eastAsia" w:cs="宋体"/>
              <w:bCs/>
              <w:color w:val="auto"/>
              <w:kern w:val="0"/>
            </w:rPr>
            <w:t>项目概况</w:t>
          </w:r>
          <w:r>
            <w:rPr>
              <w:color w:val="auto"/>
            </w:rPr>
            <w:tab/>
          </w:r>
          <w:r>
            <w:rPr>
              <w:color w:val="auto"/>
            </w:rPr>
            <w:fldChar w:fldCharType="begin"/>
          </w:r>
          <w:r>
            <w:rPr>
              <w:color w:val="auto"/>
            </w:rPr>
            <w:instrText xml:space="preserve"> PAGEREF _Toc26729 \h </w:instrText>
          </w:r>
          <w:r>
            <w:rPr>
              <w:color w:val="auto"/>
            </w:rPr>
            <w:fldChar w:fldCharType="separate"/>
          </w:r>
          <w:r>
            <w:rPr>
              <w:color w:val="auto"/>
            </w:rPr>
            <w:t>1</w:t>
          </w:r>
          <w:r>
            <w:rPr>
              <w:color w:val="auto"/>
            </w:rPr>
            <w:fldChar w:fldCharType="end"/>
          </w:r>
          <w:r>
            <w:rPr>
              <w:rFonts w:hint="eastAsia" w:cs="宋体"/>
              <w:color w:val="auto"/>
              <w:lang w:val="zh-CN"/>
            </w:rPr>
            <w:fldChar w:fldCharType="end"/>
          </w:r>
        </w:p>
        <w:p w14:paraId="4397A61A">
          <w:pPr>
            <w:pStyle w:val="24"/>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_Toc12320 </w:instrText>
          </w:r>
          <w:r>
            <w:rPr>
              <w:rFonts w:hint="eastAsia" w:cs="宋体"/>
              <w:color w:val="auto"/>
              <w:lang w:val="zh-CN"/>
            </w:rPr>
            <w:fldChar w:fldCharType="separate"/>
          </w:r>
          <w:r>
            <w:rPr>
              <w:rFonts w:hint="eastAsia" w:ascii="宋体" w:hAnsi="宋体" w:eastAsia="宋体" w:cs="宋体"/>
              <w:color w:val="auto"/>
              <w:szCs w:val="24"/>
              <w:lang w:val="en-US" w:eastAsia="zh-CN"/>
            </w:rPr>
            <w:t>一、项目基本情况</w:t>
          </w:r>
          <w:r>
            <w:rPr>
              <w:color w:val="auto"/>
            </w:rPr>
            <w:tab/>
          </w:r>
          <w:r>
            <w:rPr>
              <w:color w:val="auto"/>
            </w:rPr>
            <w:fldChar w:fldCharType="begin"/>
          </w:r>
          <w:r>
            <w:rPr>
              <w:color w:val="auto"/>
            </w:rPr>
            <w:instrText xml:space="preserve"> PAGEREF _Toc12320 \h </w:instrText>
          </w:r>
          <w:r>
            <w:rPr>
              <w:color w:val="auto"/>
            </w:rPr>
            <w:fldChar w:fldCharType="separate"/>
          </w:r>
          <w:r>
            <w:rPr>
              <w:color w:val="auto"/>
            </w:rPr>
            <w:t>1</w:t>
          </w:r>
          <w:r>
            <w:rPr>
              <w:color w:val="auto"/>
            </w:rPr>
            <w:fldChar w:fldCharType="end"/>
          </w:r>
          <w:r>
            <w:rPr>
              <w:rFonts w:hint="eastAsia" w:cs="宋体"/>
              <w:color w:val="auto"/>
              <w:lang w:val="zh-CN"/>
            </w:rPr>
            <w:fldChar w:fldCharType="end"/>
          </w:r>
        </w:p>
        <w:p w14:paraId="170E4CD4">
          <w:pPr>
            <w:pStyle w:val="24"/>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_Toc29651 </w:instrText>
          </w:r>
          <w:r>
            <w:rPr>
              <w:rFonts w:hint="eastAsia" w:cs="宋体"/>
              <w:color w:val="auto"/>
              <w:lang w:val="zh-CN"/>
            </w:rPr>
            <w:fldChar w:fldCharType="separate"/>
          </w:r>
          <w:r>
            <w:rPr>
              <w:rFonts w:hint="eastAsia" w:ascii="宋体" w:hAnsi="宋体" w:eastAsia="宋体" w:cs="宋体"/>
              <w:color w:val="auto"/>
              <w:szCs w:val="24"/>
              <w:lang w:val="en-US" w:eastAsia="zh-CN"/>
            </w:rPr>
            <w:t>二、申请人的资格要求</w:t>
          </w:r>
          <w:r>
            <w:rPr>
              <w:color w:val="auto"/>
            </w:rPr>
            <w:tab/>
          </w:r>
          <w:r>
            <w:rPr>
              <w:color w:val="auto"/>
            </w:rPr>
            <w:fldChar w:fldCharType="begin"/>
          </w:r>
          <w:r>
            <w:rPr>
              <w:color w:val="auto"/>
            </w:rPr>
            <w:instrText xml:space="preserve"> PAGEREF _Toc29651 \h </w:instrText>
          </w:r>
          <w:r>
            <w:rPr>
              <w:color w:val="auto"/>
            </w:rPr>
            <w:fldChar w:fldCharType="separate"/>
          </w:r>
          <w:r>
            <w:rPr>
              <w:color w:val="auto"/>
            </w:rPr>
            <w:t>2</w:t>
          </w:r>
          <w:r>
            <w:rPr>
              <w:color w:val="auto"/>
            </w:rPr>
            <w:fldChar w:fldCharType="end"/>
          </w:r>
          <w:r>
            <w:rPr>
              <w:rFonts w:hint="eastAsia" w:cs="宋体"/>
              <w:color w:val="auto"/>
              <w:lang w:val="zh-CN"/>
            </w:rPr>
            <w:fldChar w:fldCharType="end"/>
          </w:r>
        </w:p>
        <w:p w14:paraId="620BF01D">
          <w:pPr>
            <w:pStyle w:val="24"/>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_Toc15715 </w:instrText>
          </w:r>
          <w:r>
            <w:rPr>
              <w:rFonts w:hint="eastAsia" w:cs="宋体"/>
              <w:color w:val="auto"/>
              <w:lang w:val="zh-CN"/>
            </w:rPr>
            <w:fldChar w:fldCharType="separate"/>
          </w:r>
          <w:r>
            <w:rPr>
              <w:rFonts w:hint="eastAsia" w:ascii="宋体" w:hAnsi="宋体" w:eastAsia="宋体" w:cs="宋体"/>
              <w:color w:val="auto"/>
              <w:szCs w:val="24"/>
              <w:lang w:val="en-US" w:eastAsia="zh-CN"/>
            </w:rPr>
            <w:t>三、获取招标文件</w:t>
          </w:r>
          <w:r>
            <w:rPr>
              <w:color w:val="auto"/>
            </w:rPr>
            <w:tab/>
          </w:r>
          <w:r>
            <w:rPr>
              <w:color w:val="auto"/>
            </w:rPr>
            <w:fldChar w:fldCharType="begin"/>
          </w:r>
          <w:r>
            <w:rPr>
              <w:color w:val="auto"/>
            </w:rPr>
            <w:instrText xml:space="preserve"> PAGEREF _Toc15715 \h </w:instrText>
          </w:r>
          <w:r>
            <w:rPr>
              <w:color w:val="auto"/>
            </w:rPr>
            <w:fldChar w:fldCharType="separate"/>
          </w:r>
          <w:r>
            <w:rPr>
              <w:color w:val="auto"/>
            </w:rPr>
            <w:t>3</w:t>
          </w:r>
          <w:r>
            <w:rPr>
              <w:color w:val="auto"/>
            </w:rPr>
            <w:fldChar w:fldCharType="end"/>
          </w:r>
          <w:r>
            <w:rPr>
              <w:rFonts w:hint="eastAsia" w:cs="宋体"/>
              <w:color w:val="auto"/>
              <w:lang w:val="zh-CN"/>
            </w:rPr>
            <w:fldChar w:fldCharType="end"/>
          </w:r>
        </w:p>
        <w:p w14:paraId="710C65C3">
          <w:pPr>
            <w:pStyle w:val="24"/>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_Toc13094 </w:instrText>
          </w:r>
          <w:r>
            <w:rPr>
              <w:rFonts w:hint="eastAsia" w:cs="宋体"/>
              <w:color w:val="auto"/>
              <w:lang w:val="zh-CN"/>
            </w:rPr>
            <w:fldChar w:fldCharType="separate"/>
          </w:r>
          <w:r>
            <w:rPr>
              <w:rFonts w:hint="eastAsia" w:ascii="宋体" w:hAnsi="宋体" w:eastAsia="宋体" w:cs="宋体"/>
              <w:color w:val="auto"/>
              <w:szCs w:val="24"/>
              <w:lang w:val="en-US" w:eastAsia="zh-CN"/>
            </w:rPr>
            <w:t>四、提交投标文件截止时间、开标时间和地点</w:t>
          </w:r>
          <w:r>
            <w:rPr>
              <w:color w:val="auto"/>
            </w:rPr>
            <w:tab/>
          </w:r>
          <w:r>
            <w:rPr>
              <w:color w:val="auto"/>
            </w:rPr>
            <w:fldChar w:fldCharType="begin"/>
          </w:r>
          <w:r>
            <w:rPr>
              <w:color w:val="auto"/>
            </w:rPr>
            <w:instrText xml:space="preserve"> PAGEREF _Toc13094 \h </w:instrText>
          </w:r>
          <w:r>
            <w:rPr>
              <w:color w:val="auto"/>
            </w:rPr>
            <w:fldChar w:fldCharType="separate"/>
          </w:r>
          <w:r>
            <w:rPr>
              <w:color w:val="auto"/>
            </w:rPr>
            <w:t>3</w:t>
          </w:r>
          <w:r>
            <w:rPr>
              <w:color w:val="auto"/>
            </w:rPr>
            <w:fldChar w:fldCharType="end"/>
          </w:r>
          <w:r>
            <w:rPr>
              <w:rFonts w:hint="eastAsia" w:cs="宋体"/>
              <w:color w:val="auto"/>
              <w:lang w:val="zh-CN"/>
            </w:rPr>
            <w:fldChar w:fldCharType="end"/>
          </w:r>
        </w:p>
        <w:p w14:paraId="595BD02C">
          <w:pPr>
            <w:pStyle w:val="24"/>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_Toc26930 </w:instrText>
          </w:r>
          <w:r>
            <w:rPr>
              <w:rFonts w:hint="eastAsia" w:cs="宋体"/>
              <w:color w:val="auto"/>
              <w:lang w:val="zh-CN"/>
            </w:rPr>
            <w:fldChar w:fldCharType="separate"/>
          </w:r>
          <w:r>
            <w:rPr>
              <w:rFonts w:hint="eastAsia" w:ascii="宋体" w:hAnsi="宋体" w:eastAsia="宋体" w:cs="宋体"/>
              <w:color w:val="auto"/>
              <w:szCs w:val="24"/>
              <w:lang w:val="en-US" w:eastAsia="zh-CN"/>
            </w:rPr>
            <w:t>五、公告期限</w:t>
          </w:r>
          <w:r>
            <w:rPr>
              <w:color w:val="auto"/>
            </w:rPr>
            <w:tab/>
          </w:r>
          <w:r>
            <w:rPr>
              <w:color w:val="auto"/>
            </w:rPr>
            <w:fldChar w:fldCharType="begin"/>
          </w:r>
          <w:r>
            <w:rPr>
              <w:color w:val="auto"/>
            </w:rPr>
            <w:instrText xml:space="preserve"> PAGEREF _Toc26930 \h </w:instrText>
          </w:r>
          <w:r>
            <w:rPr>
              <w:color w:val="auto"/>
            </w:rPr>
            <w:fldChar w:fldCharType="separate"/>
          </w:r>
          <w:r>
            <w:rPr>
              <w:color w:val="auto"/>
            </w:rPr>
            <w:t>3</w:t>
          </w:r>
          <w:r>
            <w:rPr>
              <w:color w:val="auto"/>
            </w:rPr>
            <w:fldChar w:fldCharType="end"/>
          </w:r>
          <w:r>
            <w:rPr>
              <w:rFonts w:hint="eastAsia" w:cs="宋体"/>
              <w:color w:val="auto"/>
              <w:lang w:val="zh-CN"/>
            </w:rPr>
            <w:fldChar w:fldCharType="end"/>
          </w:r>
        </w:p>
        <w:p w14:paraId="17CCBEA1">
          <w:pPr>
            <w:pStyle w:val="24"/>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_Toc5379 </w:instrText>
          </w:r>
          <w:r>
            <w:rPr>
              <w:rFonts w:hint="eastAsia" w:cs="宋体"/>
              <w:color w:val="auto"/>
              <w:lang w:val="zh-CN"/>
            </w:rPr>
            <w:fldChar w:fldCharType="separate"/>
          </w:r>
          <w:r>
            <w:rPr>
              <w:rFonts w:hint="eastAsia" w:ascii="宋体" w:hAnsi="宋体" w:eastAsia="宋体" w:cs="宋体"/>
              <w:color w:val="auto"/>
              <w:szCs w:val="24"/>
              <w:lang w:val="en-US" w:eastAsia="zh-CN"/>
            </w:rPr>
            <w:t>六、其他补充事宜</w:t>
          </w:r>
          <w:r>
            <w:rPr>
              <w:color w:val="auto"/>
            </w:rPr>
            <w:tab/>
          </w:r>
          <w:r>
            <w:rPr>
              <w:color w:val="auto"/>
            </w:rPr>
            <w:fldChar w:fldCharType="begin"/>
          </w:r>
          <w:r>
            <w:rPr>
              <w:color w:val="auto"/>
            </w:rPr>
            <w:instrText xml:space="preserve"> PAGEREF _Toc5379 \h </w:instrText>
          </w:r>
          <w:r>
            <w:rPr>
              <w:color w:val="auto"/>
            </w:rPr>
            <w:fldChar w:fldCharType="separate"/>
          </w:r>
          <w:r>
            <w:rPr>
              <w:color w:val="auto"/>
            </w:rPr>
            <w:t>3</w:t>
          </w:r>
          <w:r>
            <w:rPr>
              <w:color w:val="auto"/>
            </w:rPr>
            <w:fldChar w:fldCharType="end"/>
          </w:r>
          <w:r>
            <w:rPr>
              <w:rFonts w:hint="eastAsia" w:cs="宋体"/>
              <w:color w:val="auto"/>
              <w:lang w:val="zh-CN"/>
            </w:rPr>
            <w:fldChar w:fldCharType="end"/>
          </w:r>
        </w:p>
        <w:p w14:paraId="22CEBDFD">
          <w:pPr>
            <w:pStyle w:val="24"/>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_Toc11238 </w:instrText>
          </w:r>
          <w:r>
            <w:rPr>
              <w:rFonts w:hint="eastAsia" w:cs="宋体"/>
              <w:color w:val="auto"/>
              <w:lang w:val="zh-CN"/>
            </w:rPr>
            <w:fldChar w:fldCharType="separate"/>
          </w:r>
          <w:r>
            <w:rPr>
              <w:rFonts w:hint="eastAsia" w:ascii="宋体" w:hAnsi="宋体" w:eastAsia="宋体" w:cs="宋体"/>
              <w:color w:val="auto"/>
              <w:szCs w:val="24"/>
              <w:lang w:val="en-US" w:eastAsia="zh-CN"/>
            </w:rPr>
            <w:t>七、公告发布媒介</w:t>
          </w:r>
          <w:r>
            <w:rPr>
              <w:color w:val="auto"/>
            </w:rPr>
            <w:tab/>
          </w:r>
          <w:r>
            <w:rPr>
              <w:color w:val="auto"/>
            </w:rPr>
            <w:fldChar w:fldCharType="begin"/>
          </w:r>
          <w:r>
            <w:rPr>
              <w:color w:val="auto"/>
            </w:rPr>
            <w:instrText xml:space="preserve"> PAGEREF _Toc11238 \h </w:instrText>
          </w:r>
          <w:r>
            <w:rPr>
              <w:color w:val="auto"/>
            </w:rPr>
            <w:fldChar w:fldCharType="separate"/>
          </w:r>
          <w:r>
            <w:rPr>
              <w:color w:val="auto"/>
            </w:rPr>
            <w:t>4</w:t>
          </w:r>
          <w:r>
            <w:rPr>
              <w:color w:val="auto"/>
            </w:rPr>
            <w:fldChar w:fldCharType="end"/>
          </w:r>
          <w:r>
            <w:rPr>
              <w:rFonts w:hint="eastAsia" w:cs="宋体"/>
              <w:color w:val="auto"/>
              <w:lang w:val="zh-CN"/>
            </w:rPr>
            <w:fldChar w:fldCharType="end"/>
          </w:r>
        </w:p>
        <w:p w14:paraId="3C93F664">
          <w:pPr>
            <w:pStyle w:val="24"/>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_Toc19370 </w:instrText>
          </w:r>
          <w:r>
            <w:rPr>
              <w:rFonts w:hint="eastAsia" w:cs="宋体"/>
              <w:color w:val="auto"/>
              <w:lang w:val="zh-CN"/>
            </w:rPr>
            <w:fldChar w:fldCharType="separate"/>
          </w:r>
          <w:r>
            <w:rPr>
              <w:rFonts w:hint="eastAsia" w:ascii="宋体" w:hAnsi="宋体" w:eastAsia="宋体" w:cs="宋体"/>
              <w:color w:val="auto"/>
              <w:szCs w:val="24"/>
              <w:lang w:val="en-US" w:eastAsia="zh-CN"/>
            </w:rPr>
            <w:t>八、联系方式</w:t>
          </w:r>
          <w:r>
            <w:rPr>
              <w:color w:val="auto"/>
            </w:rPr>
            <w:tab/>
          </w:r>
          <w:r>
            <w:rPr>
              <w:color w:val="auto"/>
            </w:rPr>
            <w:fldChar w:fldCharType="begin"/>
          </w:r>
          <w:r>
            <w:rPr>
              <w:color w:val="auto"/>
            </w:rPr>
            <w:instrText xml:space="preserve"> PAGEREF _Toc19370 \h </w:instrText>
          </w:r>
          <w:r>
            <w:rPr>
              <w:color w:val="auto"/>
            </w:rPr>
            <w:fldChar w:fldCharType="separate"/>
          </w:r>
          <w:r>
            <w:rPr>
              <w:color w:val="auto"/>
            </w:rPr>
            <w:t>4</w:t>
          </w:r>
          <w:r>
            <w:rPr>
              <w:color w:val="auto"/>
            </w:rPr>
            <w:fldChar w:fldCharType="end"/>
          </w:r>
          <w:r>
            <w:rPr>
              <w:rFonts w:hint="eastAsia" w:cs="宋体"/>
              <w:color w:val="auto"/>
              <w:lang w:val="zh-CN"/>
            </w:rPr>
            <w:fldChar w:fldCharType="end"/>
          </w:r>
        </w:p>
        <w:p w14:paraId="4C12D970">
          <w:pPr>
            <w:pStyle w:val="20"/>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_Toc25796 </w:instrText>
          </w:r>
          <w:r>
            <w:rPr>
              <w:rFonts w:hint="eastAsia" w:cs="宋体"/>
              <w:color w:val="auto"/>
              <w:lang w:val="zh-CN"/>
            </w:rPr>
            <w:fldChar w:fldCharType="separate"/>
          </w:r>
          <w:r>
            <w:rPr>
              <w:rFonts w:hint="eastAsia" w:ascii="宋体" w:hAnsi="宋体" w:eastAsia="宋体" w:cs="宋体"/>
              <w:color w:val="auto"/>
              <w:szCs w:val="18"/>
            </w:rPr>
            <w:t>第二章 投标人须知</w:t>
          </w:r>
          <w:r>
            <w:rPr>
              <w:color w:val="auto"/>
            </w:rPr>
            <w:tab/>
          </w:r>
          <w:r>
            <w:rPr>
              <w:color w:val="auto"/>
            </w:rPr>
            <w:fldChar w:fldCharType="begin"/>
          </w:r>
          <w:r>
            <w:rPr>
              <w:color w:val="auto"/>
            </w:rPr>
            <w:instrText xml:space="preserve"> PAGEREF _Toc25796 \h </w:instrText>
          </w:r>
          <w:r>
            <w:rPr>
              <w:color w:val="auto"/>
            </w:rPr>
            <w:fldChar w:fldCharType="separate"/>
          </w:r>
          <w:r>
            <w:rPr>
              <w:color w:val="auto"/>
            </w:rPr>
            <w:t>5</w:t>
          </w:r>
          <w:r>
            <w:rPr>
              <w:color w:val="auto"/>
            </w:rPr>
            <w:fldChar w:fldCharType="end"/>
          </w:r>
          <w:r>
            <w:rPr>
              <w:rFonts w:hint="eastAsia" w:cs="宋体"/>
              <w:color w:val="auto"/>
              <w:lang w:val="zh-CN"/>
            </w:rPr>
            <w:fldChar w:fldCharType="end"/>
          </w:r>
        </w:p>
        <w:p w14:paraId="2CDB77C1">
          <w:pPr>
            <w:pStyle w:val="24"/>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_Toc32563 </w:instrText>
          </w:r>
          <w:r>
            <w:rPr>
              <w:rFonts w:hint="eastAsia" w:cs="宋体"/>
              <w:color w:val="auto"/>
              <w:lang w:val="zh-CN"/>
            </w:rPr>
            <w:fldChar w:fldCharType="separate"/>
          </w:r>
          <w:r>
            <w:rPr>
              <w:rFonts w:hint="eastAsia" w:eastAsia="宋体" w:cs="宋体"/>
              <w:color w:val="auto"/>
            </w:rPr>
            <w:t>投标人须知前附表</w:t>
          </w:r>
          <w:r>
            <w:rPr>
              <w:color w:val="auto"/>
            </w:rPr>
            <w:tab/>
          </w:r>
          <w:r>
            <w:rPr>
              <w:color w:val="auto"/>
            </w:rPr>
            <w:fldChar w:fldCharType="begin"/>
          </w:r>
          <w:r>
            <w:rPr>
              <w:color w:val="auto"/>
            </w:rPr>
            <w:instrText xml:space="preserve"> PAGEREF _Toc32563 \h </w:instrText>
          </w:r>
          <w:r>
            <w:rPr>
              <w:color w:val="auto"/>
            </w:rPr>
            <w:fldChar w:fldCharType="separate"/>
          </w:r>
          <w:r>
            <w:rPr>
              <w:color w:val="auto"/>
            </w:rPr>
            <w:t>5</w:t>
          </w:r>
          <w:r>
            <w:rPr>
              <w:color w:val="auto"/>
            </w:rPr>
            <w:fldChar w:fldCharType="end"/>
          </w:r>
          <w:r>
            <w:rPr>
              <w:rFonts w:hint="eastAsia" w:cs="宋体"/>
              <w:color w:val="auto"/>
              <w:lang w:val="zh-CN"/>
            </w:rPr>
            <w:fldChar w:fldCharType="end"/>
          </w:r>
        </w:p>
        <w:p w14:paraId="3935BAC6">
          <w:pPr>
            <w:pStyle w:val="24"/>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_Toc20964 </w:instrText>
          </w:r>
          <w:r>
            <w:rPr>
              <w:rFonts w:hint="eastAsia" w:cs="宋体"/>
              <w:color w:val="auto"/>
              <w:lang w:val="zh-CN"/>
            </w:rPr>
            <w:fldChar w:fldCharType="separate"/>
          </w:r>
          <w:r>
            <w:rPr>
              <w:rFonts w:hint="eastAsia" w:eastAsia="宋体" w:cs="宋体"/>
              <w:color w:val="auto"/>
            </w:rPr>
            <w:t>一、总则</w:t>
          </w:r>
          <w:r>
            <w:rPr>
              <w:color w:val="auto"/>
            </w:rPr>
            <w:tab/>
          </w:r>
          <w:r>
            <w:rPr>
              <w:color w:val="auto"/>
            </w:rPr>
            <w:fldChar w:fldCharType="begin"/>
          </w:r>
          <w:r>
            <w:rPr>
              <w:color w:val="auto"/>
            </w:rPr>
            <w:instrText xml:space="preserve"> PAGEREF _Toc20964 \h </w:instrText>
          </w:r>
          <w:r>
            <w:rPr>
              <w:color w:val="auto"/>
            </w:rPr>
            <w:fldChar w:fldCharType="separate"/>
          </w:r>
          <w:r>
            <w:rPr>
              <w:color w:val="auto"/>
            </w:rPr>
            <w:t>11</w:t>
          </w:r>
          <w:r>
            <w:rPr>
              <w:color w:val="auto"/>
            </w:rPr>
            <w:fldChar w:fldCharType="end"/>
          </w:r>
          <w:r>
            <w:rPr>
              <w:rFonts w:hint="eastAsia" w:cs="宋体"/>
              <w:color w:val="auto"/>
              <w:lang w:val="zh-CN"/>
            </w:rPr>
            <w:fldChar w:fldCharType="end"/>
          </w:r>
        </w:p>
        <w:p w14:paraId="23A43315">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_Toc14917 </w:instrText>
          </w:r>
          <w:r>
            <w:rPr>
              <w:rFonts w:hint="eastAsia" w:cs="宋体"/>
              <w:color w:val="auto"/>
              <w:lang w:val="zh-CN"/>
            </w:rPr>
            <w:fldChar w:fldCharType="separate"/>
          </w:r>
          <w:r>
            <w:rPr>
              <w:rFonts w:hint="eastAsia" w:hAnsi="宋体" w:eastAsia="宋体" w:cs="宋体"/>
              <w:color w:val="auto"/>
            </w:rPr>
            <w:t>1.项目概况</w:t>
          </w:r>
          <w:r>
            <w:rPr>
              <w:color w:val="auto"/>
            </w:rPr>
            <w:tab/>
          </w:r>
          <w:r>
            <w:rPr>
              <w:color w:val="auto"/>
            </w:rPr>
            <w:fldChar w:fldCharType="begin"/>
          </w:r>
          <w:r>
            <w:rPr>
              <w:color w:val="auto"/>
            </w:rPr>
            <w:instrText xml:space="preserve"> PAGEREF _Toc14917 \h </w:instrText>
          </w:r>
          <w:r>
            <w:rPr>
              <w:color w:val="auto"/>
            </w:rPr>
            <w:fldChar w:fldCharType="separate"/>
          </w:r>
          <w:r>
            <w:rPr>
              <w:color w:val="auto"/>
            </w:rPr>
            <w:t>11</w:t>
          </w:r>
          <w:r>
            <w:rPr>
              <w:color w:val="auto"/>
            </w:rPr>
            <w:fldChar w:fldCharType="end"/>
          </w:r>
          <w:r>
            <w:rPr>
              <w:rFonts w:hint="eastAsia" w:cs="宋体"/>
              <w:color w:val="auto"/>
              <w:lang w:val="zh-CN"/>
            </w:rPr>
            <w:fldChar w:fldCharType="end"/>
          </w:r>
        </w:p>
        <w:p w14:paraId="4E7347FF">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_Toc19576 </w:instrText>
          </w:r>
          <w:r>
            <w:rPr>
              <w:rFonts w:hint="eastAsia" w:cs="宋体"/>
              <w:color w:val="auto"/>
              <w:lang w:val="zh-CN"/>
            </w:rPr>
            <w:fldChar w:fldCharType="separate"/>
          </w:r>
          <w:r>
            <w:rPr>
              <w:rFonts w:hint="eastAsia" w:hAnsi="宋体" w:eastAsia="宋体" w:cs="宋体"/>
              <w:color w:val="auto"/>
            </w:rPr>
            <w:t>2.预算资金</w:t>
          </w:r>
          <w:r>
            <w:rPr>
              <w:color w:val="auto"/>
            </w:rPr>
            <w:tab/>
          </w:r>
          <w:r>
            <w:rPr>
              <w:color w:val="auto"/>
            </w:rPr>
            <w:fldChar w:fldCharType="begin"/>
          </w:r>
          <w:r>
            <w:rPr>
              <w:color w:val="auto"/>
            </w:rPr>
            <w:instrText xml:space="preserve"> PAGEREF _Toc19576 \h </w:instrText>
          </w:r>
          <w:r>
            <w:rPr>
              <w:color w:val="auto"/>
            </w:rPr>
            <w:fldChar w:fldCharType="separate"/>
          </w:r>
          <w:r>
            <w:rPr>
              <w:color w:val="auto"/>
            </w:rPr>
            <w:t>11</w:t>
          </w:r>
          <w:r>
            <w:rPr>
              <w:color w:val="auto"/>
            </w:rPr>
            <w:fldChar w:fldCharType="end"/>
          </w:r>
          <w:r>
            <w:rPr>
              <w:rFonts w:hint="eastAsia" w:cs="宋体"/>
              <w:color w:val="auto"/>
              <w:lang w:val="zh-CN"/>
            </w:rPr>
            <w:fldChar w:fldCharType="end"/>
          </w:r>
        </w:p>
        <w:p w14:paraId="30B3D72A">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_Toc11726 </w:instrText>
          </w:r>
          <w:r>
            <w:rPr>
              <w:rFonts w:hint="eastAsia" w:cs="宋体"/>
              <w:color w:val="auto"/>
              <w:lang w:val="zh-CN"/>
            </w:rPr>
            <w:fldChar w:fldCharType="separate"/>
          </w:r>
          <w:r>
            <w:rPr>
              <w:rFonts w:hint="eastAsia" w:hAnsi="宋体" w:eastAsia="宋体" w:cs="宋体"/>
              <w:color w:val="auto"/>
            </w:rPr>
            <w:t>3.采购需求及合同履行期限、配送地点</w:t>
          </w:r>
          <w:r>
            <w:rPr>
              <w:color w:val="auto"/>
            </w:rPr>
            <w:tab/>
          </w:r>
          <w:r>
            <w:rPr>
              <w:color w:val="auto"/>
            </w:rPr>
            <w:fldChar w:fldCharType="begin"/>
          </w:r>
          <w:r>
            <w:rPr>
              <w:color w:val="auto"/>
            </w:rPr>
            <w:instrText xml:space="preserve"> PAGEREF _Toc11726 \h </w:instrText>
          </w:r>
          <w:r>
            <w:rPr>
              <w:color w:val="auto"/>
            </w:rPr>
            <w:fldChar w:fldCharType="separate"/>
          </w:r>
          <w:r>
            <w:rPr>
              <w:color w:val="auto"/>
            </w:rPr>
            <w:t>11</w:t>
          </w:r>
          <w:r>
            <w:rPr>
              <w:color w:val="auto"/>
            </w:rPr>
            <w:fldChar w:fldCharType="end"/>
          </w:r>
          <w:r>
            <w:rPr>
              <w:rFonts w:hint="eastAsia" w:cs="宋体"/>
              <w:color w:val="auto"/>
              <w:lang w:val="zh-CN"/>
            </w:rPr>
            <w:fldChar w:fldCharType="end"/>
          </w:r>
        </w:p>
        <w:p w14:paraId="28655DB5">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_Toc5166 </w:instrText>
          </w:r>
          <w:r>
            <w:rPr>
              <w:rFonts w:hint="eastAsia" w:cs="宋体"/>
              <w:color w:val="auto"/>
              <w:lang w:val="zh-CN"/>
            </w:rPr>
            <w:fldChar w:fldCharType="separate"/>
          </w:r>
          <w:r>
            <w:rPr>
              <w:rFonts w:hint="eastAsia" w:hAnsi="宋体" w:eastAsia="宋体" w:cs="宋体"/>
              <w:color w:val="auto"/>
            </w:rPr>
            <w:t>4.申请人资格要求</w:t>
          </w:r>
          <w:r>
            <w:rPr>
              <w:color w:val="auto"/>
            </w:rPr>
            <w:tab/>
          </w:r>
          <w:r>
            <w:rPr>
              <w:color w:val="auto"/>
            </w:rPr>
            <w:fldChar w:fldCharType="begin"/>
          </w:r>
          <w:r>
            <w:rPr>
              <w:color w:val="auto"/>
            </w:rPr>
            <w:instrText xml:space="preserve"> PAGEREF _Toc5166 \h </w:instrText>
          </w:r>
          <w:r>
            <w:rPr>
              <w:color w:val="auto"/>
            </w:rPr>
            <w:fldChar w:fldCharType="separate"/>
          </w:r>
          <w:r>
            <w:rPr>
              <w:color w:val="auto"/>
            </w:rPr>
            <w:t>11</w:t>
          </w:r>
          <w:r>
            <w:rPr>
              <w:color w:val="auto"/>
            </w:rPr>
            <w:fldChar w:fldCharType="end"/>
          </w:r>
          <w:r>
            <w:rPr>
              <w:rFonts w:hint="eastAsia" w:cs="宋体"/>
              <w:color w:val="auto"/>
              <w:lang w:val="zh-CN"/>
            </w:rPr>
            <w:fldChar w:fldCharType="end"/>
          </w:r>
        </w:p>
        <w:p w14:paraId="2B378B5B">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_Toc2900 </w:instrText>
          </w:r>
          <w:r>
            <w:rPr>
              <w:rFonts w:hint="eastAsia" w:cs="宋体"/>
              <w:color w:val="auto"/>
              <w:lang w:val="zh-CN"/>
            </w:rPr>
            <w:fldChar w:fldCharType="separate"/>
          </w:r>
          <w:r>
            <w:rPr>
              <w:rFonts w:hint="eastAsia" w:hAnsi="宋体" w:eastAsia="宋体" w:cs="宋体"/>
              <w:color w:val="auto"/>
            </w:rPr>
            <w:t>5.费用承担</w:t>
          </w:r>
          <w:r>
            <w:rPr>
              <w:color w:val="auto"/>
            </w:rPr>
            <w:tab/>
          </w:r>
          <w:r>
            <w:rPr>
              <w:color w:val="auto"/>
            </w:rPr>
            <w:fldChar w:fldCharType="begin"/>
          </w:r>
          <w:r>
            <w:rPr>
              <w:color w:val="auto"/>
            </w:rPr>
            <w:instrText xml:space="preserve"> PAGEREF _Toc2900 \h </w:instrText>
          </w:r>
          <w:r>
            <w:rPr>
              <w:color w:val="auto"/>
            </w:rPr>
            <w:fldChar w:fldCharType="separate"/>
          </w:r>
          <w:r>
            <w:rPr>
              <w:color w:val="auto"/>
            </w:rPr>
            <w:t>11</w:t>
          </w:r>
          <w:r>
            <w:rPr>
              <w:color w:val="auto"/>
            </w:rPr>
            <w:fldChar w:fldCharType="end"/>
          </w:r>
          <w:r>
            <w:rPr>
              <w:rFonts w:hint="eastAsia" w:cs="宋体"/>
              <w:color w:val="auto"/>
              <w:lang w:val="zh-CN"/>
            </w:rPr>
            <w:fldChar w:fldCharType="end"/>
          </w:r>
        </w:p>
        <w:p w14:paraId="3490373D">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_Toc2754 </w:instrText>
          </w:r>
          <w:r>
            <w:rPr>
              <w:rFonts w:hint="eastAsia" w:cs="宋体"/>
              <w:color w:val="auto"/>
              <w:lang w:val="zh-CN"/>
            </w:rPr>
            <w:fldChar w:fldCharType="separate"/>
          </w:r>
          <w:r>
            <w:rPr>
              <w:rFonts w:hint="eastAsia" w:hAnsi="宋体" w:eastAsia="宋体" w:cs="宋体"/>
              <w:color w:val="auto"/>
            </w:rPr>
            <w:t>6.踏勘现场</w:t>
          </w:r>
          <w:r>
            <w:rPr>
              <w:color w:val="auto"/>
            </w:rPr>
            <w:tab/>
          </w:r>
          <w:r>
            <w:rPr>
              <w:color w:val="auto"/>
            </w:rPr>
            <w:fldChar w:fldCharType="begin"/>
          </w:r>
          <w:r>
            <w:rPr>
              <w:color w:val="auto"/>
            </w:rPr>
            <w:instrText xml:space="preserve"> PAGEREF _Toc2754 \h </w:instrText>
          </w:r>
          <w:r>
            <w:rPr>
              <w:color w:val="auto"/>
            </w:rPr>
            <w:fldChar w:fldCharType="separate"/>
          </w:r>
          <w:r>
            <w:rPr>
              <w:color w:val="auto"/>
            </w:rPr>
            <w:t>11</w:t>
          </w:r>
          <w:r>
            <w:rPr>
              <w:color w:val="auto"/>
            </w:rPr>
            <w:fldChar w:fldCharType="end"/>
          </w:r>
          <w:r>
            <w:rPr>
              <w:rFonts w:hint="eastAsia" w:cs="宋体"/>
              <w:color w:val="auto"/>
              <w:lang w:val="zh-CN"/>
            </w:rPr>
            <w:fldChar w:fldCharType="end"/>
          </w:r>
        </w:p>
        <w:p w14:paraId="1A42AB02">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_Toc29384 </w:instrText>
          </w:r>
          <w:r>
            <w:rPr>
              <w:rFonts w:hint="eastAsia" w:cs="宋体"/>
              <w:color w:val="auto"/>
              <w:lang w:val="zh-CN"/>
            </w:rPr>
            <w:fldChar w:fldCharType="separate"/>
          </w:r>
          <w:r>
            <w:rPr>
              <w:rFonts w:hint="eastAsia" w:hAnsi="宋体" w:eastAsia="宋体" w:cs="宋体"/>
              <w:color w:val="auto"/>
            </w:rPr>
            <w:t>7.开标前答疑会</w:t>
          </w:r>
          <w:r>
            <w:rPr>
              <w:color w:val="auto"/>
            </w:rPr>
            <w:tab/>
          </w:r>
          <w:r>
            <w:rPr>
              <w:color w:val="auto"/>
            </w:rPr>
            <w:fldChar w:fldCharType="begin"/>
          </w:r>
          <w:r>
            <w:rPr>
              <w:color w:val="auto"/>
            </w:rPr>
            <w:instrText xml:space="preserve"> PAGEREF _Toc29384 \h </w:instrText>
          </w:r>
          <w:r>
            <w:rPr>
              <w:color w:val="auto"/>
            </w:rPr>
            <w:fldChar w:fldCharType="separate"/>
          </w:r>
          <w:r>
            <w:rPr>
              <w:color w:val="auto"/>
            </w:rPr>
            <w:t>12</w:t>
          </w:r>
          <w:r>
            <w:rPr>
              <w:color w:val="auto"/>
            </w:rPr>
            <w:fldChar w:fldCharType="end"/>
          </w:r>
          <w:r>
            <w:rPr>
              <w:rFonts w:hint="eastAsia" w:cs="宋体"/>
              <w:color w:val="auto"/>
              <w:lang w:val="zh-CN"/>
            </w:rPr>
            <w:fldChar w:fldCharType="end"/>
          </w:r>
        </w:p>
        <w:p w14:paraId="3DACB230">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_Toc2297 </w:instrText>
          </w:r>
          <w:r>
            <w:rPr>
              <w:rFonts w:hint="eastAsia" w:cs="宋体"/>
              <w:color w:val="auto"/>
              <w:lang w:val="zh-CN"/>
            </w:rPr>
            <w:fldChar w:fldCharType="separate"/>
          </w:r>
          <w:r>
            <w:rPr>
              <w:rFonts w:hint="eastAsia" w:hAnsi="宋体" w:eastAsia="宋体" w:cs="宋体"/>
              <w:color w:val="auto"/>
            </w:rPr>
            <w:t>8.质疑</w:t>
          </w:r>
          <w:r>
            <w:rPr>
              <w:color w:val="auto"/>
            </w:rPr>
            <w:tab/>
          </w:r>
          <w:r>
            <w:rPr>
              <w:color w:val="auto"/>
            </w:rPr>
            <w:fldChar w:fldCharType="begin"/>
          </w:r>
          <w:r>
            <w:rPr>
              <w:color w:val="auto"/>
            </w:rPr>
            <w:instrText xml:space="preserve"> PAGEREF _Toc2297 \h </w:instrText>
          </w:r>
          <w:r>
            <w:rPr>
              <w:color w:val="auto"/>
            </w:rPr>
            <w:fldChar w:fldCharType="separate"/>
          </w:r>
          <w:r>
            <w:rPr>
              <w:color w:val="auto"/>
            </w:rPr>
            <w:t>12</w:t>
          </w:r>
          <w:r>
            <w:rPr>
              <w:color w:val="auto"/>
            </w:rPr>
            <w:fldChar w:fldCharType="end"/>
          </w:r>
          <w:r>
            <w:rPr>
              <w:rFonts w:hint="eastAsia" w:cs="宋体"/>
              <w:color w:val="auto"/>
              <w:lang w:val="zh-CN"/>
            </w:rPr>
            <w:fldChar w:fldCharType="end"/>
          </w:r>
        </w:p>
        <w:p w14:paraId="0CD50155">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_Toc6154 </w:instrText>
          </w:r>
          <w:r>
            <w:rPr>
              <w:rFonts w:hint="eastAsia" w:cs="宋体"/>
              <w:color w:val="auto"/>
              <w:lang w:val="zh-CN"/>
            </w:rPr>
            <w:fldChar w:fldCharType="separate"/>
          </w:r>
          <w:r>
            <w:rPr>
              <w:rFonts w:hint="eastAsia" w:hAnsi="宋体" w:eastAsia="宋体" w:cs="宋体"/>
              <w:color w:val="auto"/>
            </w:rPr>
            <w:t>9.投诉</w:t>
          </w:r>
          <w:r>
            <w:rPr>
              <w:color w:val="auto"/>
            </w:rPr>
            <w:tab/>
          </w:r>
          <w:r>
            <w:rPr>
              <w:color w:val="auto"/>
            </w:rPr>
            <w:fldChar w:fldCharType="begin"/>
          </w:r>
          <w:r>
            <w:rPr>
              <w:color w:val="auto"/>
            </w:rPr>
            <w:instrText xml:space="preserve"> PAGEREF _Toc6154 \h </w:instrText>
          </w:r>
          <w:r>
            <w:rPr>
              <w:color w:val="auto"/>
            </w:rPr>
            <w:fldChar w:fldCharType="separate"/>
          </w:r>
          <w:r>
            <w:rPr>
              <w:color w:val="auto"/>
            </w:rPr>
            <w:t>13</w:t>
          </w:r>
          <w:r>
            <w:rPr>
              <w:color w:val="auto"/>
            </w:rPr>
            <w:fldChar w:fldCharType="end"/>
          </w:r>
          <w:r>
            <w:rPr>
              <w:rFonts w:hint="eastAsia" w:cs="宋体"/>
              <w:color w:val="auto"/>
              <w:lang w:val="zh-CN"/>
            </w:rPr>
            <w:fldChar w:fldCharType="end"/>
          </w:r>
        </w:p>
        <w:p w14:paraId="2CBE0D29">
          <w:pPr>
            <w:pStyle w:val="24"/>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_Toc156 </w:instrText>
          </w:r>
          <w:r>
            <w:rPr>
              <w:rFonts w:hint="eastAsia" w:cs="宋体"/>
              <w:color w:val="auto"/>
              <w:lang w:val="zh-CN"/>
            </w:rPr>
            <w:fldChar w:fldCharType="separate"/>
          </w:r>
          <w:r>
            <w:rPr>
              <w:rFonts w:hint="eastAsia" w:eastAsia="宋体" w:cs="宋体"/>
              <w:color w:val="auto"/>
            </w:rPr>
            <w:t>二、招标文件</w:t>
          </w:r>
          <w:r>
            <w:rPr>
              <w:color w:val="auto"/>
            </w:rPr>
            <w:tab/>
          </w:r>
          <w:r>
            <w:rPr>
              <w:color w:val="auto"/>
            </w:rPr>
            <w:fldChar w:fldCharType="begin"/>
          </w:r>
          <w:r>
            <w:rPr>
              <w:color w:val="auto"/>
            </w:rPr>
            <w:instrText xml:space="preserve"> PAGEREF _Toc156 \h </w:instrText>
          </w:r>
          <w:r>
            <w:rPr>
              <w:color w:val="auto"/>
            </w:rPr>
            <w:fldChar w:fldCharType="separate"/>
          </w:r>
          <w:r>
            <w:rPr>
              <w:color w:val="auto"/>
            </w:rPr>
            <w:t>13</w:t>
          </w:r>
          <w:r>
            <w:rPr>
              <w:color w:val="auto"/>
            </w:rPr>
            <w:fldChar w:fldCharType="end"/>
          </w:r>
          <w:r>
            <w:rPr>
              <w:rFonts w:hint="eastAsia" w:cs="宋体"/>
              <w:color w:val="auto"/>
              <w:lang w:val="zh-CN"/>
            </w:rPr>
            <w:fldChar w:fldCharType="end"/>
          </w:r>
        </w:p>
        <w:p w14:paraId="065F5D64">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_Toc9602 </w:instrText>
          </w:r>
          <w:r>
            <w:rPr>
              <w:rFonts w:hint="eastAsia" w:cs="宋体"/>
              <w:color w:val="auto"/>
              <w:lang w:val="zh-CN"/>
            </w:rPr>
            <w:fldChar w:fldCharType="separate"/>
          </w:r>
          <w:r>
            <w:rPr>
              <w:rFonts w:hint="eastAsia" w:hAnsi="宋体" w:eastAsia="宋体" w:cs="宋体"/>
              <w:color w:val="auto"/>
            </w:rPr>
            <w:t>10.招标文件的组成</w:t>
          </w:r>
          <w:r>
            <w:rPr>
              <w:color w:val="auto"/>
            </w:rPr>
            <w:tab/>
          </w:r>
          <w:r>
            <w:rPr>
              <w:color w:val="auto"/>
            </w:rPr>
            <w:fldChar w:fldCharType="begin"/>
          </w:r>
          <w:r>
            <w:rPr>
              <w:color w:val="auto"/>
            </w:rPr>
            <w:instrText xml:space="preserve"> PAGEREF _Toc9602 \h </w:instrText>
          </w:r>
          <w:r>
            <w:rPr>
              <w:color w:val="auto"/>
            </w:rPr>
            <w:fldChar w:fldCharType="separate"/>
          </w:r>
          <w:r>
            <w:rPr>
              <w:color w:val="auto"/>
            </w:rPr>
            <w:t>13</w:t>
          </w:r>
          <w:r>
            <w:rPr>
              <w:color w:val="auto"/>
            </w:rPr>
            <w:fldChar w:fldCharType="end"/>
          </w:r>
          <w:r>
            <w:rPr>
              <w:rFonts w:hint="eastAsia" w:cs="宋体"/>
              <w:color w:val="auto"/>
              <w:lang w:val="zh-CN"/>
            </w:rPr>
            <w:fldChar w:fldCharType="end"/>
          </w:r>
        </w:p>
        <w:p w14:paraId="034BC8E8">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_Toc31537 </w:instrText>
          </w:r>
          <w:r>
            <w:rPr>
              <w:rFonts w:hint="eastAsia" w:cs="宋体"/>
              <w:color w:val="auto"/>
              <w:lang w:val="zh-CN"/>
            </w:rPr>
            <w:fldChar w:fldCharType="separate"/>
          </w:r>
          <w:r>
            <w:rPr>
              <w:rFonts w:hint="eastAsia" w:hAnsi="宋体" w:eastAsia="宋体" w:cs="宋体"/>
              <w:color w:val="auto"/>
            </w:rPr>
            <w:t>11.招标文件的询问、澄清、修改</w:t>
          </w:r>
          <w:r>
            <w:rPr>
              <w:color w:val="auto"/>
            </w:rPr>
            <w:tab/>
          </w:r>
          <w:r>
            <w:rPr>
              <w:color w:val="auto"/>
            </w:rPr>
            <w:fldChar w:fldCharType="begin"/>
          </w:r>
          <w:r>
            <w:rPr>
              <w:color w:val="auto"/>
            </w:rPr>
            <w:instrText xml:space="preserve"> PAGEREF _Toc31537 \h </w:instrText>
          </w:r>
          <w:r>
            <w:rPr>
              <w:color w:val="auto"/>
            </w:rPr>
            <w:fldChar w:fldCharType="separate"/>
          </w:r>
          <w:r>
            <w:rPr>
              <w:color w:val="auto"/>
            </w:rPr>
            <w:t>13</w:t>
          </w:r>
          <w:r>
            <w:rPr>
              <w:color w:val="auto"/>
            </w:rPr>
            <w:fldChar w:fldCharType="end"/>
          </w:r>
          <w:r>
            <w:rPr>
              <w:rFonts w:hint="eastAsia" w:cs="宋体"/>
              <w:color w:val="auto"/>
              <w:lang w:val="zh-CN"/>
            </w:rPr>
            <w:fldChar w:fldCharType="end"/>
          </w:r>
        </w:p>
        <w:p w14:paraId="52B751AE">
          <w:pPr>
            <w:pStyle w:val="24"/>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_Toc19569 </w:instrText>
          </w:r>
          <w:r>
            <w:rPr>
              <w:rFonts w:hint="eastAsia" w:cs="宋体"/>
              <w:color w:val="auto"/>
              <w:lang w:val="zh-CN"/>
            </w:rPr>
            <w:fldChar w:fldCharType="separate"/>
          </w:r>
          <w:r>
            <w:rPr>
              <w:rFonts w:hint="eastAsia" w:eastAsia="宋体" w:cs="宋体"/>
              <w:color w:val="auto"/>
            </w:rPr>
            <w:t>三、投标文件</w:t>
          </w:r>
          <w:r>
            <w:rPr>
              <w:color w:val="auto"/>
            </w:rPr>
            <w:tab/>
          </w:r>
          <w:r>
            <w:rPr>
              <w:color w:val="auto"/>
            </w:rPr>
            <w:fldChar w:fldCharType="begin"/>
          </w:r>
          <w:r>
            <w:rPr>
              <w:color w:val="auto"/>
            </w:rPr>
            <w:instrText xml:space="preserve"> PAGEREF _Toc19569 \h </w:instrText>
          </w:r>
          <w:r>
            <w:rPr>
              <w:color w:val="auto"/>
            </w:rPr>
            <w:fldChar w:fldCharType="separate"/>
          </w:r>
          <w:r>
            <w:rPr>
              <w:color w:val="auto"/>
            </w:rPr>
            <w:t>14</w:t>
          </w:r>
          <w:r>
            <w:rPr>
              <w:color w:val="auto"/>
            </w:rPr>
            <w:fldChar w:fldCharType="end"/>
          </w:r>
          <w:r>
            <w:rPr>
              <w:rFonts w:hint="eastAsia" w:cs="宋体"/>
              <w:color w:val="auto"/>
              <w:lang w:val="zh-CN"/>
            </w:rPr>
            <w:fldChar w:fldCharType="end"/>
          </w:r>
        </w:p>
        <w:p w14:paraId="7BCBA884">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_Toc17275 </w:instrText>
          </w:r>
          <w:r>
            <w:rPr>
              <w:rFonts w:hint="eastAsia" w:cs="宋体"/>
              <w:color w:val="auto"/>
              <w:lang w:val="zh-CN"/>
            </w:rPr>
            <w:fldChar w:fldCharType="separate"/>
          </w:r>
          <w:r>
            <w:rPr>
              <w:rFonts w:hint="eastAsia" w:hAnsi="宋体" w:eastAsia="宋体" w:cs="宋体"/>
              <w:color w:val="auto"/>
            </w:rPr>
            <w:t>12.投标文件编写注意事项</w:t>
          </w:r>
          <w:r>
            <w:rPr>
              <w:color w:val="auto"/>
            </w:rPr>
            <w:tab/>
          </w:r>
          <w:r>
            <w:rPr>
              <w:color w:val="auto"/>
            </w:rPr>
            <w:fldChar w:fldCharType="begin"/>
          </w:r>
          <w:r>
            <w:rPr>
              <w:color w:val="auto"/>
            </w:rPr>
            <w:instrText xml:space="preserve"> PAGEREF _Toc17275 \h </w:instrText>
          </w:r>
          <w:r>
            <w:rPr>
              <w:color w:val="auto"/>
            </w:rPr>
            <w:fldChar w:fldCharType="separate"/>
          </w:r>
          <w:r>
            <w:rPr>
              <w:color w:val="auto"/>
            </w:rPr>
            <w:t>14</w:t>
          </w:r>
          <w:r>
            <w:rPr>
              <w:color w:val="auto"/>
            </w:rPr>
            <w:fldChar w:fldCharType="end"/>
          </w:r>
          <w:r>
            <w:rPr>
              <w:rFonts w:hint="eastAsia" w:cs="宋体"/>
              <w:color w:val="auto"/>
              <w:lang w:val="zh-CN"/>
            </w:rPr>
            <w:fldChar w:fldCharType="end"/>
          </w:r>
        </w:p>
        <w:p w14:paraId="08E7F91A">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_Toc14574 </w:instrText>
          </w:r>
          <w:r>
            <w:rPr>
              <w:rFonts w:hint="eastAsia" w:cs="宋体"/>
              <w:color w:val="auto"/>
              <w:lang w:val="zh-CN"/>
            </w:rPr>
            <w:fldChar w:fldCharType="separate"/>
          </w:r>
          <w:r>
            <w:rPr>
              <w:rFonts w:hint="eastAsia" w:hAnsi="宋体" w:eastAsia="宋体" w:cs="宋体"/>
              <w:color w:val="auto"/>
            </w:rPr>
            <w:t>13.语言文字</w:t>
          </w:r>
          <w:r>
            <w:rPr>
              <w:color w:val="auto"/>
            </w:rPr>
            <w:tab/>
          </w:r>
          <w:r>
            <w:rPr>
              <w:color w:val="auto"/>
            </w:rPr>
            <w:fldChar w:fldCharType="begin"/>
          </w:r>
          <w:r>
            <w:rPr>
              <w:color w:val="auto"/>
            </w:rPr>
            <w:instrText xml:space="preserve"> PAGEREF _Toc14574 \h </w:instrText>
          </w:r>
          <w:r>
            <w:rPr>
              <w:color w:val="auto"/>
            </w:rPr>
            <w:fldChar w:fldCharType="separate"/>
          </w:r>
          <w:r>
            <w:rPr>
              <w:color w:val="auto"/>
            </w:rPr>
            <w:t>14</w:t>
          </w:r>
          <w:r>
            <w:rPr>
              <w:color w:val="auto"/>
            </w:rPr>
            <w:fldChar w:fldCharType="end"/>
          </w:r>
          <w:r>
            <w:rPr>
              <w:rFonts w:hint="eastAsia" w:cs="宋体"/>
              <w:color w:val="auto"/>
              <w:lang w:val="zh-CN"/>
            </w:rPr>
            <w:fldChar w:fldCharType="end"/>
          </w:r>
        </w:p>
        <w:p w14:paraId="0C2663B9">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_Toc14352 </w:instrText>
          </w:r>
          <w:r>
            <w:rPr>
              <w:rFonts w:hint="eastAsia" w:cs="宋体"/>
              <w:color w:val="auto"/>
              <w:lang w:val="zh-CN"/>
            </w:rPr>
            <w:fldChar w:fldCharType="separate"/>
          </w:r>
          <w:r>
            <w:rPr>
              <w:rFonts w:hint="eastAsia" w:hAnsi="宋体" w:eastAsia="宋体" w:cs="宋体"/>
              <w:color w:val="auto"/>
            </w:rPr>
            <w:t>14.计量单位</w:t>
          </w:r>
          <w:r>
            <w:rPr>
              <w:color w:val="auto"/>
            </w:rPr>
            <w:tab/>
          </w:r>
          <w:r>
            <w:rPr>
              <w:color w:val="auto"/>
            </w:rPr>
            <w:fldChar w:fldCharType="begin"/>
          </w:r>
          <w:r>
            <w:rPr>
              <w:color w:val="auto"/>
            </w:rPr>
            <w:instrText xml:space="preserve"> PAGEREF _Toc14352 \h </w:instrText>
          </w:r>
          <w:r>
            <w:rPr>
              <w:color w:val="auto"/>
            </w:rPr>
            <w:fldChar w:fldCharType="separate"/>
          </w:r>
          <w:r>
            <w:rPr>
              <w:color w:val="auto"/>
            </w:rPr>
            <w:t>14</w:t>
          </w:r>
          <w:r>
            <w:rPr>
              <w:color w:val="auto"/>
            </w:rPr>
            <w:fldChar w:fldCharType="end"/>
          </w:r>
          <w:r>
            <w:rPr>
              <w:rFonts w:hint="eastAsia" w:cs="宋体"/>
              <w:color w:val="auto"/>
              <w:lang w:val="zh-CN"/>
            </w:rPr>
            <w:fldChar w:fldCharType="end"/>
          </w:r>
        </w:p>
        <w:p w14:paraId="5D0B1D9F">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_Toc3755 </w:instrText>
          </w:r>
          <w:r>
            <w:rPr>
              <w:rFonts w:hint="eastAsia" w:cs="宋体"/>
              <w:color w:val="auto"/>
              <w:lang w:val="zh-CN"/>
            </w:rPr>
            <w:fldChar w:fldCharType="separate"/>
          </w:r>
          <w:r>
            <w:rPr>
              <w:rFonts w:hint="eastAsia" w:hAnsi="宋体" w:eastAsia="宋体" w:cs="宋体"/>
              <w:color w:val="auto"/>
            </w:rPr>
            <w:t>15.投标文件的组成</w:t>
          </w:r>
          <w:r>
            <w:rPr>
              <w:color w:val="auto"/>
            </w:rPr>
            <w:tab/>
          </w:r>
          <w:r>
            <w:rPr>
              <w:color w:val="auto"/>
            </w:rPr>
            <w:fldChar w:fldCharType="begin"/>
          </w:r>
          <w:r>
            <w:rPr>
              <w:color w:val="auto"/>
            </w:rPr>
            <w:instrText xml:space="preserve"> PAGEREF _Toc3755 \h </w:instrText>
          </w:r>
          <w:r>
            <w:rPr>
              <w:color w:val="auto"/>
            </w:rPr>
            <w:fldChar w:fldCharType="separate"/>
          </w:r>
          <w:r>
            <w:rPr>
              <w:color w:val="auto"/>
            </w:rPr>
            <w:t>14</w:t>
          </w:r>
          <w:r>
            <w:rPr>
              <w:color w:val="auto"/>
            </w:rPr>
            <w:fldChar w:fldCharType="end"/>
          </w:r>
          <w:r>
            <w:rPr>
              <w:rFonts w:hint="eastAsia" w:cs="宋体"/>
              <w:color w:val="auto"/>
              <w:lang w:val="zh-CN"/>
            </w:rPr>
            <w:fldChar w:fldCharType="end"/>
          </w:r>
        </w:p>
        <w:p w14:paraId="11C55B82">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_Toc30594 </w:instrText>
          </w:r>
          <w:r>
            <w:rPr>
              <w:rFonts w:hint="eastAsia" w:cs="宋体"/>
              <w:color w:val="auto"/>
              <w:lang w:val="zh-CN"/>
            </w:rPr>
            <w:fldChar w:fldCharType="separate"/>
          </w:r>
          <w:r>
            <w:rPr>
              <w:rFonts w:hint="eastAsia" w:hAnsi="宋体" w:eastAsia="宋体" w:cs="宋体"/>
              <w:color w:val="auto"/>
            </w:rPr>
            <w:t>16.投标文件的格式要求</w:t>
          </w:r>
          <w:r>
            <w:rPr>
              <w:color w:val="auto"/>
            </w:rPr>
            <w:tab/>
          </w:r>
          <w:r>
            <w:rPr>
              <w:color w:val="auto"/>
            </w:rPr>
            <w:fldChar w:fldCharType="begin"/>
          </w:r>
          <w:r>
            <w:rPr>
              <w:color w:val="auto"/>
            </w:rPr>
            <w:instrText xml:space="preserve"> PAGEREF _Toc30594 \h </w:instrText>
          </w:r>
          <w:r>
            <w:rPr>
              <w:color w:val="auto"/>
            </w:rPr>
            <w:fldChar w:fldCharType="separate"/>
          </w:r>
          <w:r>
            <w:rPr>
              <w:color w:val="auto"/>
            </w:rPr>
            <w:t>14</w:t>
          </w:r>
          <w:r>
            <w:rPr>
              <w:color w:val="auto"/>
            </w:rPr>
            <w:fldChar w:fldCharType="end"/>
          </w:r>
          <w:r>
            <w:rPr>
              <w:rFonts w:hint="eastAsia" w:cs="宋体"/>
              <w:color w:val="auto"/>
              <w:lang w:val="zh-CN"/>
            </w:rPr>
            <w:fldChar w:fldCharType="end"/>
          </w:r>
        </w:p>
        <w:p w14:paraId="036A12A2">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_Toc31987 </w:instrText>
          </w:r>
          <w:r>
            <w:rPr>
              <w:rFonts w:hint="eastAsia" w:cs="宋体"/>
              <w:color w:val="auto"/>
              <w:lang w:val="zh-CN"/>
            </w:rPr>
            <w:fldChar w:fldCharType="separate"/>
          </w:r>
          <w:r>
            <w:rPr>
              <w:rFonts w:hint="eastAsia" w:hAnsi="宋体" w:eastAsia="宋体" w:cs="宋体"/>
              <w:color w:val="auto"/>
            </w:rPr>
            <w:t>17.投标有效期</w:t>
          </w:r>
          <w:r>
            <w:rPr>
              <w:color w:val="auto"/>
            </w:rPr>
            <w:tab/>
          </w:r>
          <w:r>
            <w:rPr>
              <w:color w:val="auto"/>
            </w:rPr>
            <w:fldChar w:fldCharType="begin"/>
          </w:r>
          <w:r>
            <w:rPr>
              <w:color w:val="auto"/>
            </w:rPr>
            <w:instrText xml:space="preserve"> PAGEREF _Toc31987 \h </w:instrText>
          </w:r>
          <w:r>
            <w:rPr>
              <w:color w:val="auto"/>
            </w:rPr>
            <w:fldChar w:fldCharType="separate"/>
          </w:r>
          <w:r>
            <w:rPr>
              <w:color w:val="auto"/>
            </w:rPr>
            <w:t>14</w:t>
          </w:r>
          <w:r>
            <w:rPr>
              <w:color w:val="auto"/>
            </w:rPr>
            <w:fldChar w:fldCharType="end"/>
          </w:r>
          <w:r>
            <w:rPr>
              <w:rFonts w:hint="eastAsia" w:cs="宋体"/>
              <w:color w:val="auto"/>
              <w:lang w:val="zh-CN"/>
            </w:rPr>
            <w:fldChar w:fldCharType="end"/>
          </w:r>
        </w:p>
        <w:p w14:paraId="013A91E2">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_Toc23280 </w:instrText>
          </w:r>
          <w:r>
            <w:rPr>
              <w:rFonts w:hint="eastAsia" w:cs="宋体"/>
              <w:color w:val="auto"/>
              <w:lang w:val="zh-CN"/>
            </w:rPr>
            <w:fldChar w:fldCharType="separate"/>
          </w:r>
          <w:r>
            <w:rPr>
              <w:rFonts w:hint="eastAsia" w:ascii="宋体" w:hAnsi="宋体" w:eastAsia="宋体" w:cs="宋体"/>
              <w:color w:val="auto"/>
            </w:rPr>
            <w:t>18.投标保证金</w:t>
          </w:r>
          <w:r>
            <w:rPr>
              <w:color w:val="auto"/>
            </w:rPr>
            <w:tab/>
          </w:r>
          <w:r>
            <w:rPr>
              <w:color w:val="auto"/>
            </w:rPr>
            <w:fldChar w:fldCharType="begin"/>
          </w:r>
          <w:r>
            <w:rPr>
              <w:color w:val="auto"/>
            </w:rPr>
            <w:instrText xml:space="preserve"> PAGEREF _Toc23280 \h </w:instrText>
          </w:r>
          <w:r>
            <w:rPr>
              <w:color w:val="auto"/>
            </w:rPr>
            <w:fldChar w:fldCharType="separate"/>
          </w:r>
          <w:r>
            <w:rPr>
              <w:color w:val="auto"/>
            </w:rPr>
            <w:t>15</w:t>
          </w:r>
          <w:r>
            <w:rPr>
              <w:color w:val="auto"/>
            </w:rPr>
            <w:fldChar w:fldCharType="end"/>
          </w:r>
          <w:r>
            <w:rPr>
              <w:rFonts w:hint="eastAsia" w:cs="宋体"/>
              <w:color w:val="auto"/>
              <w:lang w:val="zh-CN"/>
            </w:rPr>
            <w:fldChar w:fldCharType="end"/>
          </w:r>
        </w:p>
        <w:p w14:paraId="5004FF49">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_Toc11134 </w:instrText>
          </w:r>
          <w:r>
            <w:rPr>
              <w:rFonts w:hint="eastAsia" w:cs="宋体"/>
              <w:color w:val="auto"/>
              <w:lang w:val="zh-CN"/>
            </w:rPr>
            <w:fldChar w:fldCharType="separate"/>
          </w:r>
          <w:r>
            <w:rPr>
              <w:rFonts w:hint="eastAsia" w:hAnsi="宋体" w:eastAsia="宋体" w:cs="宋体"/>
              <w:color w:val="auto"/>
            </w:rPr>
            <w:t>19.投标文件的编制</w:t>
          </w:r>
          <w:r>
            <w:rPr>
              <w:color w:val="auto"/>
            </w:rPr>
            <w:tab/>
          </w:r>
          <w:r>
            <w:rPr>
              <w:color w:val="auto"/>
            </w:rPr>
            <w:fldChar w:fldCharType="begin"/>
          </w:r>
          <w:r>
            <w:rPr>
              <w:color w:val="auto"/>
            </w:rPr>
            <w:instrText xml:space="preserve"> PAGEREF _Toc11134 \h </w:instrText>
          </w:r>
          <w:r>
            <w:rPr>
              <w:color w:val="auto"/>
            </w:rPr>
            <w:fldChar w:fldCharType="separate"/>
          </w:r>
          <w:r>
            <w:rPr>
              <w:color w:val="auto"/>
            </w:rPr>
            <w:t>15</w:t>
          </w:r>
          <w:r>
            <w:rPr>
              <w:color w:val="auto"/>
            </w:rPr>
            <w:fldChar w:fldCharType="end"/>
          </w:r>
          <w:r>
            <w:rPr>
              <w:rFonts w:hint="eastAsia" w:cs="宋体"/>
              <w:color w:val="auto"/>
              <w:lang w:val="zh-CN"/>
            </w:rPr>
            <w:fldChar w:fldCharType="end"/>
          </w:r>
        </w:p>
        <w:p w14:paraId="50F9E537">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_Toc6646 </w:instrText>
          </w:r>
          <w:r>
            <w:rPr>
              <w:rFonts w:hint="eastAsia" w:cs="宋体"/>
              <w:color w:val="auto"/>
              <w:lang w:val="zh-CN"/>
            </w:rPr>
            <w:fldChar w:fldCharType="separate"/>
          </w:r>
          <w:r>
            <w:rPr>
              <w:rFonts w:hint="eastAsia" w:hAnsi="宋体" w:eastAsia="宋体" w:cs="宋体"/>
              <w:color w:val="auto"/>
            </w:rPr>
            <w:t>20.投标报价和报价货币</w:t>
          </w:r>
          <w:r>
            <w:rPr>
              <w:color w:val="auto"/>
            </w:rPr>
            <w:tab/>
          </w:r>
          <w:r>
            <w:rPr>
              <w:color w:val="auto"/>
            </w:rPr>
            <w:fldChar w:fldCharType="begin"/>
          </w:r>
          <w:r>
            <w:rPr>
              <w:color w:val="auto"/>
            </w:rPr>
            <w:instrText xml:space="preserve"> PAGEREF _Toc6646 \h </w:instrText>
          </w:r>
          <w:r>
            <w:rPr>
              <w:color w:val="auto"/>
            </w:rPr>
            <w:fldChar w:fldCharType="separate"/>
          </w:r>
          <w:r>
            <w:rPr>
              <w:color w:val="auto"/>
            </w:rPr>
            <w:t>16</w:t>
          </w:r>
          <w:r>
            <w:rPr>
              <w:color w:val="auto"/>
            </w:rPr>
            <w:fldChar w:fldCharType="end"/>
          </w:r>
          <w:r>
            <w:rPr>
              <w:rFonts w:hint="eastAsia" w:cs="宋体"/>
              <w:color w:val="auto"/>
              <w:lang w:val="zh-CN"/>
            </w:rPr>
            <w:fldChar w:fldCharType="end"/>
          </w:r>
        </w:p>
        <w:p w14:paraId="5D09BA30">
          <w:pPr>
            <w:pStyle w:val="24"/>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_Toc3859 </w:instrText>
          </w:r>
          <w:r>
            <w:rPr>
              <w:rFonts w:hint="eastAsia" w:cs="宋体"/>
              <w:color w:val="auto"/>
              <w:lang w:val="zh-CN"/>
            </w:rPr>
            <w:fldChar w:fldCharType="separate"/>
          </w:r>
          <w:r>
            <w:rPr>
              <w:rFonts w:hint="eastAsia" w:eastAsia="宋体" w:cs="宋体"/>
              <w:color w:val="auto"/>
            </w:rPr>
            <w:t>四、投标</w:t>
          </w:r>
          <w:r>
            <w:rPr>
              <w:color w:val="auto"/>
            </w:rPr>
            <w:tab/>
          </w:r>
          <w:r>
            <w:rPr>
              <w:color w:val="auto"/>
            </w:rPr>
            <w:fldChar w:fldCharType="begin"/>
          </w:r>
          <w:r>
            <w:rPr>
              <w:color w:val="auto"/>
            </w:rPr>
            <w:instrText xml:space="preserve"> PAGEREF _Toc3859 \h </w:instrText>
          </w:r>
          <w:r>
            <w:rPr>
              <w:color w:val="auto"/>
            </w:rPr>
            <w:fldChar w:fldCharType="separate"/>
          </w:r>
          <w:r>
            <w:rPr>
              <w:color w:val="auto"/>
            </w:rPr>
            <w:t>16</w:t>
          </w:r>
          <w:r>
            <w:rPr>
              <w:color w:val="auto"/>
            </w:rPr>
            <w:fldChar w:fldCharType="end"/>
          </w:r>
          <w:r>
            <w:rPr>
              <w:rFonts w:hint="eastAsia" w:cs="宋体"/>
              <w:color w:val="auto"/>
              <w:lang w:val="zh-CN"/>
            </w:rPr>
            <w:fldChar w:fldCharType="end"/>
          </w:r>
        </w:p>
        <w:p w14:paraId="485B03B2">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_Toc2909 </w:instrText>
          </w:r>
          <w:r>
            <w:rPr>
              <w:rFonts w:hint="eastAsia" w:cs="宋体"/>
              <w:color w:val="auto"/>
              <w:lang w:val="zh-CN"/>
            </w:rPr>
            <w:fldChar w:fldCharType="separate"/>
          </w:r>
          <w:r>
            <w:rPr>
              <w:rFonts w:hint="eastAsia" w:hAnsi="宋体" w:eastAsia="宋体" w:cs="宋体"/>
              <w:color w:val="auto"/>
            </w:rPr>
            <w:t>21. 投标文件的密封和标记</w:t>
          </w:r>
          <w:r>
            <w:rPr>
              <w:color w:val="auto"/>
            </w:rPr>
            <w:tab/>
          </w:r>
          <w:r>
            <w:rPr>
              <w:color w:val="auto"/>
            </w:rPr>
            <w:fldChar w:fldCharType="begin"/>
          </w:r>
          <w:r>
            <w:rPr>
              <w:color w:val="auto"/>
            </w:rPr>
            <w:instrText xml:space="preserve"> PAGEREF _Toc2909 \h </w:instrText>
          </w:r>
          <w:r>
            <w:rPr>
              <w:color w:val="auto"/>
            </w:rPr>
            <w:fldChar w:fldCharType="separate"/>
          </w:r>
          <w:r>
            <w:rPr>
              <w:color w:val="auto"/>
            </w:rPr>
            <w:t>16</w:t>
          </w:r>
          <w:r>
            <w:rPr>
              <w:color w:val="auto"/>
            </w:rPr>
            <w:fldChar w:fldCharType="end"/>
          </w:r>
          <w:r>
            <w:rPr>
              <w:rFonts w:hint="eastAsia" w:cs="宋体"/>
              <w:color w:val="auto"/>
              <w:lang w:val="zh-CN"/>
            </w:rPr>
            <w:fldChar w:fldCharType="end"/>
          </w:r>
        </w:p>
        <w:p w14:paraId="702EF9C9">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_Toc27664 </w:instrText>
          </w:r>
          <w:r>
            <w:rPr>
              <w:rFonts w:hint="eastAsia" w:cs="宋体"/>
              <w:color w:val="auto"/>
              <w:lang w:val="zh-CN"/>
            </w:rPr>
            <w:fldChar w:fldCharType="separate"/>
          </w:r>
          <w:r>
            <w:rPr>
              <w:rFonts w:hint="eastAsia" w:ascii="宋体" w:hAnsi="宋体" w:eastAsia="宋体" w:cs="宋体"/>
              <w:color w:val="auto"/>
              <w:kern w:val="2"/>
              <w:szCs w:val="21"/>
              <w:lang w:val="en-US" w:eastAsia="zh-CN" w:bidi="ar-SA"/>
            </w:rPr>
            <w:t>21.3为确保网上操作合法、有效和安全，投标人应当在投标文件提交截止时间前完成在“政府采购云平台”的身份认证，确保在电子交易过程中能够对相关数据电文进行加密和使用电子签名。</w:t>
          </w:r>
          <w:r>
            <w:rPr>
              <w:color w:val="auto"/>
            </w:rPr>
            <w:tab/>
          </w:r>
          <w:r>
            <w:rPr>
              <w:color w:val="auto"/>
            </w:rPr>
            <w:fldChar w:fldCharType="begin"/>
          </w:r>
          <w:r>
            <w:rPr>
              <w:color w:val="auto"/>
            </w:rPr>
            <w:instrText xml:space="preserve"> PAGEREF _Toc27664 \h </w:instrText>
          </w:r>
          <w:r>
            <w:rPr>
              <w:color w:val="auto"/>
            </w:rPr>
            <w:fldChar w:fldCharType="separate"/>
          </w:r>
          <w:r>
            <w:rPr>
              <w:color w:val="auto"/>
            </w:rPr>
            <w:t>16</w:t>
          </w:r>
          <w:r>
            <w:rPr>
              <w:color w:val="auto"/>
            </w:rPr>
            <w:fldChar w:fldCharType="end"/>
          </w:r>
          <w:r>
            <w:rPr>
              <w:rFonts w:hint="eastAsia" w:cs="宋体"/>
              <w:color w:val="auto"/>
              <w:lang w:val="zh-CN"/>
            </w:rPr>
            <w:fldChar w:fldCharType="end"/>
          </w:r>
        </w:p>
        <w:p w14:paraId="10A49401">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_Toc20467 </w:instrText>
          </w:r>
          <w:r>
            <w:rPr>
              <w:rFonts w:hint="eastAsia" w:cs="宋体"/>
              <w:color w:val="auto"/>
              <w:lang w:val="zh-CN"/>
            </w:rPr>
            <w:fldChar w:fldCharType="separate"/>
          </w:r>
          <w:r>
            <w:rPr>
              <w:rFonts w:hint="eastAsia" w:hAnsi="宋体" w:eastAsia="宋体" w:cs="宋体"/>
              <w:color w:val="auto"/>
            </w:rPr>
            <w:t>22.投标文件的提交</w:t>
          </w:r>
          <w:r>
            <w:rPr>
              <w:color w:val="auto"/>
            </w:rPr>
            <w:tab/>
          </w:r>
          <w:r>
            <w:rPr>
              <w:color w:val="auto"/>
            </w:rPr>
            <w:fldChar w:fldCharType="begin"/>
          </w:r>
          <w:r>
            <w:rPr>
              <w:color w:val="auto"/>
            </w:rPr>
            <w:instrText xml:space="preserve"> PAGEREF _Toc20467 \h </w:instrText>
          </w:r>
          <w:r>
            <w:rPr>
              <w:color w:val="auto"/>
            </w:rPr>
            <w:fldChar w:fldCharType="separate"/>
          </w:r>
          <w:r>
            <w:rPr>
              <w:color w:val="auto"/>
            </w:rPr>
            <w:t>16</w:t>
          </w:r>
          <w:r>
            <w:rPr>
              <w:color w:val="auto"/>
            </w:rPr>
            <w:fldChar w:fldCharType="end"/>
          </w:r>
          <w:r>
            <w:rPr>
              <w:rFonts w:hint="eastAsia" w:cs="宋体"/>
              <w:color w:val="auto"/>
              <w:lang w:val="zh-CN"/>
            </w:rPr>
            <w:fldChar w:fldCharType="end"/>
          </w:r>
        </w:p>
        <w:p w14:paraId="34275D0C">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_Toc15947 </w:instrText>
          </w:r>
          <w:r>
            <w:rPr>
              <w:rFonts w:hint="eastAsia" w:cs="宋体"/>
              <w:color w:val="auto"/>
              <w:lang w:val="zh-CN"/>
            </w:rPr>
            <w:fldChar w:fldCharType="separate"/>
          </w:r>
          <w:r>
            <w:rPr>
              <w:rFonts w:hint="eastAsia" w:hAnsi="宋体" w:eastAsia="宋体" w:cs="宋体"/>
              <w:color w:val="auto"/>
            </w:rPr>
            <w:t>23.投标文件的补充、修改或者撤回</w:t>
          </w:r>
          <w:r>
            <w:rPr>
              <w:color w:val="auto"/>
            </w:rPr>
            <w:tab/>
          </w:r>
          <w:r>
            <w:rPr>
              <w:color w:val="auto"/>
            </w:rPr>
            <w:fldChar w:fldCharType="begin"/>
          </w:r>
          <w:r>
            <w:rPr>
              <w:color w:val="auto"/>
            </w:rPr>
            <w:instrText xml:space="preserve"> PAGEREF _Toc15947 \h </w:instrText>
          </w:r>
          <w:r>
            <w:rPr>
              <w:color w:val="auto"/>
            </w:rPr>
            <w:fldChar w:fldCharType="separate"/>
          </w:r>
          <w:r>
            <w:rPr>
              <w:color w:val="auto"/>
            </w:rPr>
            <w:t>16</w:t>
          </w:r>
          <w:r>
            <w:rPr>
              <w:color w:val="auto"/>
            </w:rPr>
            <w:fldChar w:fldCharType="end"/>
          </w:r>
          <w:r>
            <w:rPr>
              <w:rFonts w:hint="eastAsia" w:cs="宋体"/>
              <w:color w:val="auto"/>
              <w:lang w:val="zh-CN"/>
            </w:rPr>
            <w:fldChar w:fldCharType="end"/>
          </w:r>
        </w:p>
        <w:p w14:paraId="01842D4A">
          <w:pPr>
            <w:pStyle w:val="24"/>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_Toc24943 </w:instrText>
          </w:r>
          <w:r>
            <w:rPr>
              <w:rFonts w:hint="eastAsia" w:cs="宋体"/>
              <w:color w:val="auto"/>
              <w:lang w:val="zh-CN"/>
            </w:rPr>
            <w:fldChar w:fldCharType="separate"/>
          </w:r>
          <w:r>
            <w:rPr>
              <w:rFonts w:hint="eastAsia" w:eastAsia="宋体" w:cs="宋体"/>
              <w:color w:val="auto"/>
            </w:rPr>
            <w:t>五、开标</w:t>
          </w:r>
          <w:r>
            <w:rPr>
              <w:color w:val="auto"/>
            </w:rPr>
            <w:tab/>
          </w:r>
          <w:r>
            <w:rPr>
              <w:color w:val="auto"/>
            </w:rPr>
            <w:fldChar w:fldCharType="begin"/>
          </w:r>
          <w:r>
            <w:rPr>
              <w:color w:val="auto"/>
            </w:rPr>
            <w:instrText xml:space="preserve"> PAGEREF _Toc24943 \h </w:instrText>
          </w:r>
          <w:r>
            <w:rPr>
              <w:color w:val="auto"/>
            </w:rPr>
            <w:fldChar w:fldCharType="separate"/>
          </w:r>
          <w:r>
            <w:rPr>
              <w:color w:val="auto"/>
            </w:rPr>
            <w:t>16</w:t>
          </w:r>
          <w:r>
            <w:rPr>
              <w:color w:val="auto"/>
            </w:rPr>
            <w:fldChar w:fldCharType="end"/>
          </w:r>
          <w:r>
            <w:rPr>
              <w:rFonts w:hint="eastAsia" w:cs="宋体"/>
              <w:color w:val="auto"/>
              <w:lang w:val="zh-CN"/>
            </w:rPr>
            <w:fldChar w:fldCharType="end"/>
          </w:r>
        </w:p>
        <w:p w14:paraId="6E78A17B">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_Toc3421 </w:instrText>
          </w:r>
          <w:r>
            <w:rPr>
              <w:rFonts w:hint="eastAsia" w:cs="宋体"/>
              <w:color w:val="auto"/>
              <w:lang w:val="zh-CN"/>
            </w:rPr>
            <w:fldChar w:fldCharType="separate"/>
          </w:r>
          <w:r>
            <w:rPr>
              <w:rFonts w:hint="eastAsia" w:hAnsi="宋体" w:eastAsia="宋体" w:cs="宋体"/>
              <w:color w:val="auto"/>
            </w:rPr>
            <w:t>24.开标</w:t>
          </w:r>
          <w:r>
            <w:rPr>
              <w:color w:val="auto"/>
            </w:rPr>
            <w:tab/>
          </w:r>
          <w:r>
            <w:rPr>
              <w:color w:val="auto"/>
            </w:rPr>
            <w:fldChar w:fldCharType="begin"/>
          </w:r>
          <w:r>
            <w:rPr>
              <w:color w:val="auto"/>
            </w:rPr>
            <w:instrText xml:space="preserve"> PAGEREF _Toc3421 \h </w:instrText>
          </w:r>
          <w:r>
            <w:rPr>
              <w:color w:val="auto"/>
            </w:rPr>
            <w:fldChar w:fldCharType="separate"/>
          </w:r>
          <w:r>
            <w:rPr>
              <w:color w:val="auto"/>
            </w:rPr>
            <w:t>16</w:t>
          </w:r>
          <w:r>
            <w:rPr>
              <w:color w:val="auto"/>
            </w:rPr>
            <w:fldChar w:fldCharType="end"/>
          </w:r>
          <w:r>
            <w:rPr>
              <w:rFonts w:hint="eastAsia" w:cs="宋体"/>
              <w:color w:val="auto"/>
              <w:lang w:val="zh-CN"/>
            </w:rPr>
            <w:fldChar w:fldCharType="end"/>
          </w:r>
        </w:p>
        <w:p w14:paraId="3425FF42">
          <w:pPr>
            <w:pStyle w:val="24"/>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_Toc26170 </w:instrText>
          </w:r>
          <w:r>
            <w:rPr>
              <w:rFonts w:hint="eastAsia" w:cs="宋体"/>
              <w:color w:val="auto"/>
              <w:lang w:val="zh-CN"/>
            </w:rPr>
            <w:fldChar w:fldCharType="separate"/>
          </w:r>
          <w:r>
            <w:rPr>
              <w:rFonts w:hint="eastAsia" w:eastAsia="宋体" w:cs="宋体"/>
              <w:color w:val="auto"/>
            </w:rPr>
            <w:t>六、资格审查及评标</w:t>
          </w:r>
          <w:r>
            <w:rPr>
              <w:color w:val="auto"/>
            </w:rPr>
            <w:tab/>
          </w:r>
          <w:r>
            <w:rPr>
              <w:color w:val="auto"/>
            </w:rPr>
            <w:fldChar w:fldCharType="begin"/>
          </w:r>
          <w:r>
            <w:rPr>
              <w:color w:val="auto"/>
            </w:rPr>
            <w:instrText xml:space="preserve"> PAGEREF _Toc26170 \h </w:instrText>
          </w:r>
          <w:r>
            <w:rPr>
              <w:color w:val="auto"/>
            </w:rPr>
            <w:fldChar w:fldCharType="separate"/>
          </w:r>
          <w:r>
            <w:rPr>
              <w:color w:val="auto"/>
            </w:rPr>
            <w:t>17</w:t>
          </w:r>
          <w:r>
            <w:rPr>
              <w:color w:val="auto"/>
            </w:rPr>
            <w:fldChar w:fldCharType="end"/>
          </w:r>
          <w:r>
            <w:rPr>
              <w:rFonts w:hint="eastAsia" w:cs="宋体"/>
              <w:color w:val="auto"/>
              <w:lang w:val="zh-CN"/>
            </w:rPr>
            <w:fldChar w:fldCharType="end"/>
          </w:r>
        </w:p>
        <w:p w14:paraId="0DE1B8FD">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_Toc25686 </w:instrText>
          </w:r>
          <w:r>
            <w:rPr>
              <w:rFonts w:hint="eastAsia" w:cs="宋体"/>
              <w:color w:val="auto"/>
              <w:lang w:val="zh-CN"/>
            </w:rPr>
            <w:fldChar w:fldCharType="separate"/>
          </w:r>
          <w:r>
            <w:rPr>
              <w:rFonts w:hint="eastAsia" w:hAnsi="宋体" w:eastAsia="宋体" w:cs="宋体"/>
              <w:color w:val="auto"/>
            </w:rPr>
            <w:t>25.资格审查</w:t>
          </w:r>
          <w:r>
            <w:rPr>
              <w:color w:val="auto"/>
            </w:rPr>
            <w:tab/>
          </w:r>
          <w:r>
            <w:rPr>
              <w:color w:val="auto"/>
            </w:rPr>
            <w:fldChar w:fldCharType="begin"/>
          </w:r>
          <w:r>
            <w:rPr>
              <w:color w:val="auto"/>
            </w:rPr>
            <w:instrText xml:space="preserve"> PAGEREF _Toc25686 \h </w:instrText>
          </w:r>
          <w:r>
            <w:rPr>
              <w:color w:val="auto"/>
            </w:rPr>
            <w:fldChar w:fldCharType="separate"/>
          </w:r>
          <w:r>
            <w:rPr>
              <w:color w:val="auto"/>
            </w:rPr>
            <w:t>17</w:t>
          </w:r>
          <w:r>
            <w:rPr>
              <w:color w:val="auto"/>
            </w:rPr>
            <w:fldChar w:fldCharType="end"/>
          </w:r>
          <w:r>
            <w:rPr>
              <w:rFonts w:hint="eastAsia" w:cs="宋体"/>
              <w:color w:val="auto"/>
              <w:lang w:val="zh-CN"/>
            </w:rPr>
            <w:fldChar w:fldCharType="end"/>
          </w:r>
        </w:p>
        <w:p w14:paraId="69AB78E0">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_Toc28243 </w:instrText>
          </w:r>
          <w:r>
            <w:rPr>
              <w:rFonts w:hint="eastAsia" w:cs="宋体"/>
              <w:color w:val="auto"/>
              <w:lang w:val="zh-CN"/>
            </w:rPr>
            <w:fldChar w:fldCharType="separate"/>
          </w:r>
          <w:r>
            <w:rPr>
              <w:rFonts w:hint="eastAsia" w:hAnsi="宋体" w:eastAsia="宋体" w:cs="宋体"/>
              <w:color w:val="auto"/>
            </w:rPr>
            <w:t>26.评标</w:t>
          </w:r>
          <w:r>
            <w:rPr>
              <w:color w:val="auto"/>
            </w:rPr>
            <w:tab/>
          </w:r>
          <w:r>
            <w:rPr>
              <w:color w:val="auto"/>
            </w:rPr>
            <w:fldChar w:fldCharType="begin"/>
          </w:r>
          <w:r>
            <w:rPr>
              <w:color w:val="auto"/>
            </w:rPr>
            <w:instrText xml:space="preserve"> PAGEREF _Toc28243 \h </w:instrText>
          </w:r>
          <w:r>
            <w:rPr>
              <w:color w:val="auto"/>
            </w:rPr>
            <w:fldChar w:fldCharType="separate"/>
          </w:r>
          <w:r>
            <w:rPr>
              <w:color w:val="auto"/>
            </w:rPr>
            <w:t>17</w:t>
          </w:r>
          <w:r>
            <w:rPr>
              <w:color w:val="auto"/>
            </w:rPr>
            <w:fldChar w:fldCharType="end"/>
          </w:r>
          <w:r>
            <w:rPr>
              <w:rFonts w:hint="eastAsia" w:cs="宋体"/>
              <w:color w:val="auto"/>
              <w:lang w:val="zh-CN"/>
            </w:rPr>
            <w:fldChar w:fldCharType="end"/>
          </w:r>
        </w:p>
        <w:p w14:paraId="48BFEA8F">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_Toc10264 </w:instrText>
          </w:r>
          <w:r>
            <w:rPr>
              <w:rFonts w:hint="eastAsia" w:cs="宋体"/>
              <w:color w:val="auto"/>
              <w:lang w:val="zh-CN"/>
            </w:rPr>
            <w:fldChar w:fldCharType="separate"/>
          </w:r>
          <w:r>
            <w:rPr>
              <w:rFonts w:hint="eastAsia" w:hAnsi="宋体" w:eastAsia="宋体" w:cs="宋体"/>
              <w:color w:val="auto"/>
            </w:rPr>
            <w:t>27.有下列情形之一的，视为投标人串通投标，其投标无效</w:t>
          </w:r>
          <w:r>
            <w:rPr>
              <w:color w:val="auto"/>
            </w:rPr>
            <w:tab/>
          </w:r>
          <w:r>
            <w:rPr>
              <w:color w:val="auto"/>
            </w:rPr>
            <w:fldChar w:fldCharType="begin"/>
          </w:r>
          <w:r>
            <w:rPr>
              <w:color w:val="auto"/>
            </w:rPr>
            <w:instrText xml:space="preserve"> PAGEREF _Toc10264 \h </w:instrText>
          </w:r>
          <w:r>
            <w:rPr>
              <w:color w:val="auto"/>
            </w:rPr>
            <w:fldChar w:fldCharType="separate"/>
          </w:r>
          <w:r>
            <w:rPr>
              <w:color w:val="auto"/>
            </w:rPr>
            <w:t>18</w:t>
          </w:r>
          <w:r>
            <w:rPr>
              <w:color w:val="auto"/>
            </w:rPr>
            <w:fldChar w:fldCharType="end"/>
          </w:r>
          <w:r>
            <w:rPr>
              <w:rFonts w:hint="eastAsia" w:cs="宋体"/>
              <w:color w:val="auto"/>
              <w:lang w:val="zh-CN"/>
            </w:rPr>
            <w:fldChar w:fldCharType="end"/>
          </w:r>
        </w:p>
        <w:p w14:paraId="0699E947">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_Toc1414 </w:instrText>
          </w:r>
          <w:r>
            <w:rPr>
              <w:rFonts w:hint="eastAsia" w:cs="宋体"/>
              <w:color w:val="auto"/>
              <w:lang w:val="zh-CN"/>
            </w:rPr>
            <w:fldChar w:fldCharType="separate"/>
          </w:r>
          <w:r>
            <w:rPr>
              <w:rFonts w:hint="eastAsia" w:hAnsi="宋体" w:eastAsia="宋体" w:cs="宋体"/>
              <w:color w:val="auto"/>
            </w:rPr>
            <w:t>28.投标人存在下列情况之一的，投标无效</w:t>
          </w:r>
          <w:r>
            <w:rPr>
              <w:color w:val="auto"/>
            </w:rPr>
            <w:tab/>
          </w:r>
          <w:r>
            <w:rPr>
              <w:color w:val="auto"/>
            </w:rPr>
            <w:fldChar w:fldCharType="begin"/>
          </w:r>
          <w:r>
            <w:rPr>
              <w:color w:val="auto"/>
            </w:rPr>
            <w:instrText xml:space="preserve"> PAGEREF _Toc1414 \h </w:instrText>
          </w:r>
          <w:r>
            <w:rPr>
              <w:color w:val="auto"/>
            </w:rPr>
            <w:fldChar w:fldCharType="separate"/>
          </w:r>
          <w:r>
            <w:rPr>
              <w:color w:val="auto"/>
            </w:rPr>
            <w:t>18</w:t>
          </w:r>
          <w:r>
            <w:rPr>
              <w:color w:val="auto"/>
            </w:rPr>
            <w:fldChar w:fldCharType="end"/>
          </w:r>
          <w:r>
            <w:rPr>
              <w:rFonts w:hint="eastAsia" w:cs="宋体"/>
              <w:color w:val="auto"/>
              <w:lang w:val="zh-CN"/>
            </w:rPr>
            <w:fldChar w:fldCharType="end"/>
          </w:r>
        </w:p>
        <w:p w14:paraId="78B91D1C">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_Toc22327 </w:instrText>
          </w:r>
          <w:r>
            <w:rPr>
              <w:rFonts w:hint="eastAsia" w:cs="宋体"/>
              <w:color w:val="auto"/>
              <w:lang w:val="zh-CN"/>
            </w:rPr>
            <w:fldChar w:fldCharType="separate"/>
          </w:r>
          <w:r>
            <w:rPr>
              <w:rFonts w:hint="eastAsia" w:hAnsi="宋体" w:eastAsia="宋体" w:cs="宋体"/>
              <w:color w:val="auto"/>
            </w:rPr>
            <w:t>29.在招标采购中，出现下列情形之一的，应予废标</w:t>
          </w:r>
          <w:r>
            <w:rPr>
              <w:color w:val="auto"/>
            </w:rPr>
            <w:tab/>
          </w:r>
          <w:r>
            <w:rPr>
              <w:color w:val="auto"/>
            </w:rPr>
            <w:fldChar w:fldCharType="begin"/>
          </w:r>
          <w:r>
            <w:rPr>
              <w:color w:val="auto"/>
            </w:rPr>
            <w:instrText xml:space="preserve"> PAGEREF _Toc22327 \h </w:instrText>
          </w:r>
          <w:r>
            <w:rPr>
              <w:color w:val="auto"/>
            </w:rPr>
            <w:fldChar w:fldCharType="separate"/>
          </w:r>
          <w:r>
            <w:rPr>
              <w:color w:val="auto"/>
            </w:rPr>
            <w:t>18</w:t>
          </w:r>
          <w:r>
            <w:rPr>
              <w:color w:val="auto"/>
            </w:rPr>
            <w:fldChar w:fldCharType="end"/>
          </w:r>
          <w:r>
            <w:rPr>
              <w:rFonts w:hint="eastAsia" w:cs="宋体"/>
              <w:color w:val="auto"/>
              <w:lang w:val="zh-CN"/>
            </w:rPr>
            <w:fldChar w:fldCharType="end"/>
          </w:r>
        </w:p>
        <w:p w14:paraId="2F7CA8E8">
          <w:pPr>
            <w:pStyle w:val="24"/>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_Toc17832 </w:instrText>
          </w:r>
          <w:r>
            <w:rPr>
              <w:rFonts w:hint="eastAsia" w:cs="宋体"/>
              <w:color w:val="auto"/>
              <w:lang w:val="zh-CN"/>
            </w:rPr>
            <w:fldChar w:fldCharType="separate"/>
          </w:r>
          <w:r>
            <w:rPr>
              <w:rFonts w:hint="eastAsia" w:eastAsia="宋体" w:cs="宋体"/>
              <w:color w:val="auto"/>
            </w:rPr>
            <w:t>七、中标结果</w:t>
          </w:r>
          <w:r>
            <w:rPr>
              <w:color w:val="auto"/>
            </w:rPr>
            <w:tab/>
          </w:r>
          <w:r>
            <w:rPr>
              <w:color w:val="auto"/>
            </w:rPr>
            <w:fldChar w:fldCharType="begin"/>
          </w:r>
          <w:r>
            <w:rPr>
              <w:color w:val="auto"/>
            </w:rPr>
            <w:instrText xml:space="preserve"> PAGEREF _Toc17832 \h </w:instrText>
          </w:r>
          <w:r>
            <w:rPr>
              <w:color w:val="auto"/>
            </w:rPr>
            <w:fldChar w:fldCharType="separate"/>
          </w:r>
          <w:r>
            <w:rPr>
              <w:color w:val="auto"/>
            </w:rPr>
            <w:t>18</w:t>
          </w:r>
          <w:r>
            <w:rPr>
              <w:color w:val="auto"/>
            </w:rPr>
            <w:fldChar w:fldCharType="end"/>
          </w:r>
          <w:r>
            <w:rPr>
              <w:rFonts w:hint="eastAsia" w:cs="宋体"/>
              <w:color w:val="auto"/>
              <w:lang w:val="zh-CN"/>
            </w:rPr>
            <w:fldChar w:fldCharType="end"/>
          </w:r>
        </w:p>
        <w:p w14:paraId="0DC7988E">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_Toc11132 </w:instrText>
          </w:r>
          <w:r>
            <w:rPr>
              <w:rFonts w:hint="eastAsia" w:cs="宋体"/>
              <w:color w:val="auto"/>
              <w:lang w:val="zh-CN"/>
            </w:rPr>
            <w:fldChar w:fldCharType="separate"/>
          </w:r>
          <w:r>
            <w:rPr>
              <w:rFonts w:hint="eastAsia" w:hAnsi="宋体" w:eastAsia="宋体" w:cs="宋体"/>
              <w:color w:val="auto"/>
            </w:rPr>
            <w:t>30.中标人的确定</w:t>
          </w:r>
          <w:r>
            <w:rPr>
              <w:color w:val="auto"/>
            </w:rPr>
            <w:tab/>
          </w:r>
          <w:r>
            <w:rPr>
              <w:color w:val="auto"/>
            </w:rPr>
            <w:fldChar w:fldCharType="begin"/>
          </w:r>
          <w:r>
            <w:rPr>
              <w:color w:val="auto"/>
            </w:rPr>
            <w:instrText xml:space="preserve"> PAGEREF _Toc11132 \h </w:instrText>
          </w:r>
          <w:r>
            <w:rPr>
              <w:color w:val="auto"/>
            </w:rPr>
            <w:fldChar w:fldCharType="separate"/>
          </w:r>
          <w:r>
            <w:rPr>
              <w:color w:val="auto"/>
            </w:rPr>
            <w:t>18</w:t>
          </w:r>
          <w:r>
            <w:rPr>
              <w:color w:val="auto"/>
            </w:rPr>
            <w:fldChar w:fldCharType="end"/>
          </w:r>
          <w:r>
            <w:rPr>
              <w:rFonts w:hint="eastAsia" w:cs="宋体"/>
              <w:color w:val="auto"/>
              <w:lang w:val="zh-CN"/>
            </w:rPr>
            <w:fldChar w:fldCharType="end"/>
          </w:r>
        </w:p>
        <w:p w14:paraId="42743D0D">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_Toc4988 </w:instrText>
          </w:r>
          <w:r>
            <w:rPr>
              <w:rFonts w:hint="eastAsia" w:cs="宋体"/>
              <w:color w:val="auto"/>
              <w:lang w:val="zh-CN"/>
            </w:rPr>
            <w:fldChar w:fldCharType="separate"/>
          </w:r>
          <w:r>
            <w:rPr>
              <w:rFonts w:hint="eastAsia" w:hAnsi="宋体" w:eastAsia="宋体" w:cs="宋体"/>
              <w:color w:val="auto"/>
            </w:rPr>
            <w:t>31.中标通知书</w:t>
          </w:r>
          <w:r>
            <w:rPr>
              <w:color w:val="auto"/>
            </w:rPr>
            <w:tab/>
          </w:r>
          <w:r>
            <w:rPr>
              <w:color w:val="auto"/>
            </w:rPr>
            <w:fldChar w:fldCharType="begin"/>
          </w:r>
          <w:r>
            <w:rPr>
              <w:color w:val="auto"/>
            </w:rPr>
            <w:instrText xml:space="preserve"> PAGEREF _Toc4988 \h </w:instrText>
          </w:r>
          <w:r>
            <w:rPr>
              <w:color w:val="auto"/>
            </w:rPr>
            <w:fldChar w:fldCharType="separate"/>
          </w:r>
          <w:r>
            <w:rPr>
              <w:color w:val="auto"/>
            </w:rPr>
            <w:t>19</w:t>
          </w:r>
          <w:r>
            <w:rPr>
              <w:color w:val="auto"/>
            </w:rPr>
            <w:fldChar w:fldCharType="end"/>
          </w:r>
          <w:r>
            <w:rPr>
              <w:rFonts w:hint="eastAsia" w:cs="宋体"/>
              <w:color w:val="auto"/>
              <w:lang w:val="zh-CN"/>
            </w:rPr>
            <w:fldChar w:fldCharType="end"/>
          </w:r>
        </w:p>
        <w:p w14:paraId="530CBC2B">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_Toc18487 </w:instrText>
          </w:r>
          <w:r>
            <w:rPr>
              <w:rFonts w:hint="eastAsia" w:cs="宋体"/>
              <w:color w:val="auto"/>
              <w:lang w:val="zh-CN"/>
            </w:rPr>
            <w:fldChar w:fldCharType="separate"/>
          </w:r>
          <w:r>
            <w:rPr>
              <w:rFonts w:hint="eastAsia" w:hAnsi="宋体" w:eastAsia="宋体" w:cs="宋体"/>
              <w:color w:val="auto"/>
            </w:rPr>
            <w:t>32.签订合同</w:t>
          </w:r>
          <w:r>
            <w:rPr>
              <w:color w:val="auto"/>
            </w:rPr>
            <w:tab/>
          </w:r>
          <w:r>
            <w:rPr>
              <w:color w:val="auto"/>
            </w:rPr>
            <w:fldChar w:fldCharType="begin"/>
          </w:r>
          <w:r>
            <w:rPr>
              <w:color w:val="auto"/>
            </w:rPr>
            <w:instrText xml:space="preserve"> PAGEREF _Toc18487 \h </w:instrText>
          </w:r>
          <w:r>
            <w:rPr>
              <w:color w:val="auto"/>
            </w:rPr>
            <w:fldChar w:fldCharType="separate"/>
          </w:r>
          <w:r>
            <w:rPr>
              <w:color w:val="auto"/>
            </w:rPr>
            <w:t>19</w:t>
          </w:r>
          <w:r>
            <w:rPr>
              <w:color w:val="auto"/>
            </w:rPr>
            <w:fldChar w:fldCharType="end"/>
          </w:r>
          <w:r>
            <w:rPr>
              <w:rFonts w:hint="eastAsia" w:cs="宋体"/>
              <w:color w:val="auto"/>
              <w:lang w:val="zh-CN"/>
            </w:rPr>
            <w:fldChar w:fldCharType="end"/>
          </w:r>
        </w:p>
        <w:p w14:paraId="0EAE63C0">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_Toc30791 </w:instrText>
          </w:r>
          <w:r>
            <w:rPr>
              <w:rFonts w:hint="eastAsia" w:cs="宋体"/>
              <w:color w:val="auto"/>
              <w:lang w:val="zh-CN"/>
            </w:rPr>
            <w:fldChar w:fldCharType="separate"/>
          </w:r>
          <w:r>
            <w:rPr>
              <w:rFonts w:hint="eastAsia" w:hAnsi="宋体" w:eastAsia="宋体" w:cs="宋体"/>
              <w:color w:val="auto"/>
            </w:rPr>
            <w:t>33.履约保证金</w:t>
          </w:r>
          <w:r>
            <w:rPr>
              <w:color w:val="auto"/>
            </w:rPr>
            <w:tab/>
          </w:r>
          <w:r>
            <w:rPr>
              <w:color w:val="auto"/>
            </w:rPr>
            <w:fldChar w:fldCharType="begin"/>
          </w:r>
          <w:r>
            <w:rPr>
              <w:color w:val="auto"/>
            </w:rPr>
            <w:instrText xml:space="preserve"> PAGEREF _Toc30791 \h </w:instrText>
          </w:r>
          <w:r>
            <w:rPr>
              <w:color w:val="auto"/>
            </w:rPr>
            <w:fldChar w:fldCharType="separate"/>
          </w:r>
          <w:r>
            <w:rPr>
              <w:color w:val="auto"/>
            </w:rPr>
            <w:t>19</w:t>
          </w:r>
          <w:r>
            <w:rPr>
              <w:color w:val="auto"/>
            </w:rPr>
            <w:fldChar w:fldCharType="end"/>
          </w:r>
          <w:r>
            <w:rPr>
              <w:rFonts w:hint="eastAsia" w:cs="宋体"/>
              <w:color w:val="auto"/>
              <w:lang w:val="zh-CN"/>
            </w:rPr>
            <w:fldChar w:fldCharType="end"/>
          </w:r>
        </w:p>
        <w:p w14:paraId="0FCC8FB3">
          <w:pPr>
            <w:pStyle w:val="24"/>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_Toc3 </w:instrText>
          </w:r>
          <w:r>
            <w:rPr>
              <w:rFonts w:hint="eastAsia" w:cs="宋体"/>
              <w:color w:val="auto"/>
              <w:lang w:val="zh-CN"/>
            </w:rPr>
            <w:fldChar w:fldCharType="separate"/>
          </w:r>
          <w:r>
            <w:rPr>
              <w:rFonts w:hint="eastAsia" w:eastAsia="宋体" w:cs="宋体"/>
              <w:color w:val="auto"/>
            </w:rPr>
            <w:t>八、其他事项</w:t>
          </w:r>
          <w:r>
            <w:rPr>
              <w:color w:val="auto"/>
            </w:rPr>
            <w:tab/>
          </w:r>
          <w:r>
            <w:rPr>
              <w:color w:val="auto"/>
            </w:rPr>
            <w:fldChar w:fldCharType="begin"/>
          </w:r>
          <w:r>
            <w:rPr>
              <w:color w:val="auto"/>
            </w:rPr>
            <w:instrText xml:space="preserve"> PAGEREF _Toc3 \h </w:instrText>
          </w:r>
          <w:r>
            <w:rPr>
              <w:color w:val="auto"/>
            </w:rPr>
            <w:fldChar w:fldCharType="separate"/>
          </w:r>
          <w:r>
            <w:rPr>
              <w:color w:val="auto"/>
            </w:rPr>
            <w:t>19</w:t>
          </w:r>
          <w:r>
            <w:rPr>
              <w:color w:val="auto"/>
            </w:rPr>
            <w:fldChar w:fldCharType="end"/>
          </w:r>
          <w:r>
            <w:rPr>
              <w:rFonts w:hint="eastAsia" w:cs="宋体"/>
              <w:color w:val="auto"/>
              <w:lang w:val="zh-CN"/>
            </w:rPr>
            <w:fldChar w:fldCharType="end"/>
          </w:r>
        </w:p>
        <w:p w14:paraId="09F12D11">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_Toc22774 </w:instrText>
          </w:r>
          <w:r>
            <w:rPr>
              <w:rFonts w:hint="eastAsia" w:cs="宋体"/>
              <w:color w:val="auto"/>
              <w:lang w:val="zh-CN"/>
            </w:rPr>
            <w:fldChar w:fldCharType="separate"/>
          </w:r>
          <w:r>
            <w:rPr>
              <w:rFonts w:hint="eastAsia" w:hAnsi="宋体" w:eastAsia="宋体" w:cs="宋体"/>
              <w:color w:val="auto"/>
            </w:rPr>
            <w:t>34.招标服务费</w:t>
          </w:r>
          <w:r>
            <w:rPr>
              <w:color w:val="auto"/>
            </w:rPr>
            <w:tab/>
          </w:r>
          <w:r>
            <w:rPr>
              <w:color w:val="auto"/>
            </w:rPr>
            <w:fldChar w:fldCharType="begin"/>
          </w:r>
          <w:r>
            <w:rPr>
              <w:color w:val="auto"/>
            </w:rPr>
            <w:instrText xml:space="preserve"> PAGEREF _Toc22774 \h </w:instrText>
          </w:r>
          <w:r>
            <w:rPr>
              <w:color w:val="auto"/>
            </w:rPr>
            <w:fldChar w:fldCharType="separate"/>
          </w:r>
          <w:r>
            <w:rPr>
              <w:color w:val="auto"/>
            </w:rPr>
            <w:t>19</w:t>
          </w:r>
          <w:r>
            <w:rPr>
              <w:color w:val="auto"/>
            </w:rPr>
            <w:fldChar w:fldCharType="end"/>
          </w:r>
          <w:r>
            <w:rPr>
              <w:rFonts w:hint="eastAsia" w:cs="宋体"/>
              <w:color w:val="auto"/>
              <w:lang w:val="zh-CN"/>
            </w:rPr>
            <w:fldChar w:fldCharType="end"/>
          </w:r>
        </w:p>
        <w:p w14:paraId="2632A44C">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_Toc5589 </w:instrText>
          </w:r>
          <w:r>
            <w:rPr>
              <w:rFonts w:hint="eastAsia" w:cs="宋体"/>
              <w:color w:val="auto"/>
              <w:lang w:val="zh-CN"/>
            </w:rPr>
            <w:fldChar w:fldCharType="separate"/>
          </w:r>
          <w:r>
            <w:rPr>
              <w:rFonts w:hint="eastAsia" w:hAnsi="宋体" w:eastAsia="宋体" w:cs="宋体"/>
              <w:color w:val="auto"/>
            </w:rPr>
            <w:t>35.招标文件编制依据</w:t>
          </w:r>
          <w:r>
            <w:rPr>
              <w:color w:val="auto"/>
            </w:rPr>
            <w:tab/>
          </w:r>
          <w:r>
            <w:rPr>
              <w:color w:val="auto"/>
            </w:rPr>
            <w:fldChar w:fldCharType="begin"/>
          </w:r>
          <w:r>
            <w:rPr>
              <w:color w:val="auto"/>
            </w:rPr>
            <w:instrText xml:space="preserve"> PAGEREF _Toc5589 \h </w:instrText>
          </w:r>
          <w:r>
            <w:rPr>
              <w:color w:val="auto"/>
            </w:rPr>
            <w:fldChar w:fldCharType="separate"/>
          </w:r>
          <w:r>
            <w:rPr>
              <w:color w:val="auto"/>
            </w:rPr>
            <w:t>19</w:t>
          </w:r>
          <w:r>
            <w:rPr>
              <w:color w:val="auto"/>
            </w:rPr>
            <w:fldChar w:fldCharType="end"/>
          </w:r>
          <w:r>
            <w:rPr>
              <w:rFonts w:hint="eastAsia" w:cs="宋体"/>
              <w:color w:val="auto"/>
              <w:lang w:val="zh-CN"/>
            </w:rPr>
            <w:fldChar w:fldCharType="end"/>
          </w:r>
        </w:p>
        <w:p w14:paraId="08A28A2E">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_Toc32644 </w:instrText>
          </w:r>
          <w:r>
            <w:rPr>
              <w:rFonts w:hint="eastAsia" w:cs="宋体"/>
              <w:color w:val="auto"/>
              <w:lang w:val="zh-CN"/>
            </w:rPr>
            <w:fldChar w:fldCharType="separate"/>
          </w:r>
          <w:r>
            <w:rPr>
              <w:rFonts w:hint="eastAsia" w:hAnsi="宋体" w:eastAsia="宋体" w:cs="宋体"/>
              <w:color w:val="auto"/>
            </w:rPr>
            <w:t>36.需要补充的其他内容</w:t>
          </w:r>
          <w:r>
            <w:rPr>
              <w:color w:val="auto"/>
            </w:rPr>
            <w:tab/>
          </w:r>
          <w:r>
            <w:rPr>
              <w:color w:val="auto"/>
            </w:rPr>
            <w:fldChar w:fldCharType="begin"/>
          </w:r>
          <w:r>
            <w:rPr>
              <w:color w:val="auto"/>
            </w:rPr>
            <w:instrText xml:space="preserve"> PAGEREF _Toc32644 \h </w:instrText>
          </w:r>
          <w:r>
            <w:rPr>
              <w:color w:val="auto"/>
            </w:rPr>
            <w:fldChar w:fldCharType="separate"/>
          </w:r>
          <w:r>
            <w:rPr>
              <w:color w:val="auto"/>
            </w:rPr>
            <w:t>20</w:t>
          </w:r>
          <w:r>
            <w:rPr>
              <w:color w:val="auto"/>
            </w:rPr>
            <w:fldChar w:fldCharType="end"/>
          </w:r>
          <w:r>
            <w:rPr>
              <w:rFonts w:hint="eastAsia" w:cs="宋体"/>
              <w:color w:val="auto"/>
              <w:lang w:val="zh-CN"/>
            </w:rPr>
            <w:fldChar w:fldCharType="end"/>
          </w:r>
        </w:p>
        <w:p w14:paraId="65CB9651">
          <w:pPr>
            <w:pStyle w:val="20"/>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_Toc15173 </w:instrText>
          </w:r>
          <w:r>
            <w:rPr>
              <w:rFonts w:hint="eastAsia" w:cs="宋体"/>
              <w:color w:val="auto"/>
              <w:lang w:val="zh-CN"/>
            </w:rPr>
            <w:fldChar w:fldCharType="separate"/>
          </w:r>
          <w:r>
            <w:rPr>
              <w:rFonts w:hint="eastAsia" w:ascii="宋体" w:hAnsi="宋体" w:eastAsia="宋体" w:cs="宋体"/>
              <w:color w:val="auto"/>
              <w:szCs w:val="18"/>
            </w:rPr>
            <w:t>第三章 合同书样式及主要条款</w:t>
          </w:r>
          <w:r>
            <w:rPr>
              <w:color w:val="auto"/>
            </w:rPr>
            <w:tab/>
          </w:r>
          <w:r>
            <w:rPr>
              <w:color w:val="auto"/>
            </w:rPr>
            <w:fldChar w:fldCharType="begin"/>
          </w:r>
          <w:r>
            <w:rPr>
              <w:color w:val="auto"/>
            </w:rPr>
            <w:instrText xml:space="preserve"> PAGEREF _Toc15173 \h </w:instrText>
          </w:r>
          <w:r>
            <w:rPr>
              <w:color w:val="auto"/>
            </w:rPr>
            <w:fldChar w:fldCharType="separate"/>
          </w:r>
          <w:r>
            <w:rPr>
              <w:color w:val="auto"/>
            </w:rPr>
            <w:t>21</w:t>
          </w:r>
          <w:r>
            <w:rPr>
              <w:color w:val="auto"/>
            </w:rPr>
            <w:fldChar w:fldCharType="end"/>
          </w:r>
          <w:r>
            <w:rPr>
              <w:rFonts w:hint="eastAsia" w:cs="宋体"/>
              <w:color w:val="auto"/>
              <w:lang w:val="zh-CN"/>
            </w:rPr>
            <w:fldChar w:fldCharType="end"/>
          </w:r>
        </w:p>
        <w:p w14:paraId="7DC2AD36">
          <w:pPr>
            <w:pStyle w:val="24"/>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_Toc20610 </w:instrText>
          </w:r>
          <w:r>
            <w:rPr>
              <w:rFonts w:hint="eastAsia" w:cs="宋体"/>
              <w:color w:val="auto"/>
              <w:lang w:val="zh-CN"/>
            </w:rPr>
            <w:fldChar w:fldCharType="separate"/>
          </w:r>
          <w:r>
            <w:rPr>
              <w:rFonts w:hint="eastAsia" w:ascii="黑体" w:hAnsi="黑体" w:eastAsia="黑体"/>
              <w:bCs w:val="0"/>
              <w:color w:val="auto"/>
              <w:szCs w:val="21"/>
            </w:rPr>
            <w:t xml:space="preserve">第一节 </w:t>
          </w:r>
          <w:r>
            <w:rPr>
              <w:rFonts w:hint="eastAsia" w:ascii="黑体" w:hAnsi="华文中宋" w:eastAsia="黑体"/>
              <w:bCs w:val="0"/>
              <w:color w:val="auto"/>
              <w:szCs w:val="21"/>
            </w:rPr>
            <w:t>政府采购合同协议书</w:t>
          </w:r>
          <w:r>
            <w:rPr>
              <w:color w:val="auto"/>
            </w:rPr>
            <w:tab/>
          </w:r>
          <w:r>
            <w:rPr>
              <w:color w:val="auto"/>
            </w:rPr>
            <w:fldChar w:fldCharType="begin"/>
          </w:r>
          <w:r>
            <w:rPr>
              <w:color w:val="auto"/>
            </w:rPr>
            <w:instrText xml:space="preserve"> PAGEREF _Toc20610 \h </w:instrText>
          </w:r>
          <w:r>
            <w:rPr>
              <w:color w:val="auto"/>
            </w:rPr>
            <w:fldChar w:fldCharType="separate"/>
          </w:r>
          <w:r>
            <w:rPr>
              <w:color w:val="auto"/>
            </w:rPr>
            <w:t>23</w:t>
          </w:r>
          <w:r>
            <w:rPr>
              <w:color w:val="auto"/>
            </w:rPr>
            <w:fldChar w:fldCharType="end"/>
          </w:r>
          <w:r>
            <w:rPr>
              <w:rFonts w:hint="eastAsia" w:cs="宋体"/>
              <w:color w:val="auto"/>
              <w:lang w:val="zh-CN"/>
            </w:rPr>
            <w:fldChar w:fldCharType="end"/>
          </w:r>
        </w:p>
        <w:p w14:paraId="388D5222">
          <w:pPr>
            <w:pStyle w:val="24"/>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_Toc24188 </w:instrText>
          </w:r>
          <w:r>
            <w:rPr>
              <w:rFonts w:hint="eastAsia" w:cs="宋体"/>
              <w:color w:val="auto"/>
              <w:lang w:val="zh-CN"/>
            </w:rPr>
            <w:fldChar w:fldCharType="separate"/>
          </w:r>
          <w:r>
            <w:rPr>
              <w:rFonts w:hint="eastAsia" w:ascii="黑体" w:hAnsi="黑体" w:eastAsia="黑体"/>
              <w:bCs w:val="0"/>
              <w:color w:val="auto"/>
              <w:szCs w:val="21"/>
            </w:rPr>
            <w:t>第二节 政府采购合同通用条款</w:t>
          </w:r>
          <w:r>
            <w:rPr>
              <w:color w:val="auto"/>
            </w:rPr>
            <w:tab/>
          </w:r>
          <w:r>
            <w:rPr>
              <w:color w:val="auto"/>
            </w:rPr>
            <w:fldChar w:fldCharType="begin"/>
          </w:r>
          <w:r>
            <w:rPr>
              <w:color w:val="auto"/>
            </w:rPr>
            <w:instrText xml:space="preserve"> PAGEREF _Toc24188 \h </w:instrText>
          </w:r>
          <w:r>
            <w:rPr>
              <w:color w:val="auto"/>
            </w:rPr>
            <w:fldChar w:fldCharType="separate"/>
          </w:r>
          <w:r>
            <w:rPr>
              <w:color w:val="auto"/>
            </w:rPr>
            <w:t>28</w:t>
          </w:r>
          <w:r>
            <w:rPr>
              <w:color w:val="auto"/>
            </w:rPr>
            <w:fldChar w:fldCharType="end"/>
          </w:r>
          <w:r>
            <w:rPr>
              <w:rFonts w:hint="eastAsia" w:cs="宋体"/>
              <w:color w:val="auto"/>
              <w:lang w:val="zh-CN"/>
            </w:rPr>
            <w:fldChar w:fldCharType="end"/>
          </w:r>
        </w:p>
        <w:p w14:paraId="701E4EA1">
          <w:pPr>
            <w:pStyle w:val="24"/>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_Toc5614 </w:instrText>
          </w:r>
          <w:r>
            <w:rPr>
              <w:rFonts w:hint="eastAsia" w:cs="宋体"/>
              <w:color w:val="auto"/>
              <w:lang w:val="zh-CN"/>
            </w:rPr>
            <w:fldChar w:fldCharType="separate"/>
          </w:r>
          <w:r>
            <w:rPr>
              <w:rFonts w:hint="eastAsia" w:ascii="黑体" w:hAnsi="华文中宋" w:eastAsia="黑体"/>
              <w:bCs w:val="0"/>
              <w:color w:val="auto"/>
              <w:szCs w:val="21"/>
            </w:rPr>
            <w:t>第三节 政府采购合同专用条款</w:t>
          </w:r>
          <w:r>
            <w:rPr>
              <w:color w:val="auto"/>
            </w:rPr>
            <w:tab/>
          </w:r>
          <w:r>
            <w:rPr>
              <w:color w:val="auto"/>
            </w:rPr>
            <w:fldChar w:fldCharType="begin"/>
          </w:r>
          <w:r>
            <w:rPr>
              <w:color w:val="auto"/>
            </w:rPr>
            <w:instrText xml:space="preserve"> PAGEREF _Toc5614 \h </w:instrText>
          </w:r>
          <w:r>
            <w:rPr>
              <w:color w:val="auto"/>
            </w:rPr>
            <w:fldChar w:fldCharType="separate"/>
          </w:r>
          <w:r>
            <w:rPr>
              <w:color w:val="auto"/>
            </w:rPr>
            <w:t>35</w:t>
          </w:r>
          <w:r>
            <w:rPr>
              <w:color w:val="auto"/>
            </w:rPr>
            <w:fldChar w:fldCharType="end"/>
          </w:r>
          <w:r>
            <w:rPr>
              <w:rFonts w:hint="eastAsia" w:cs="宋体"/>
              <w:color w:val="auto"/>
              <w:lang w:val="zh-CN"/>
            </w:rPr>
            <w:fldChar w:fldCharType="end"/>
          </w:r>
        </w:p>
        <w:p w14:paraId="3757A46C">
          <w:pPr>
            <w:pStyle w:val="20"/>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_Toc11303 </w:instrText>
          </w:r>
          <w:r>
            <w:rPr>
              <w:rFonts w:hint="eastAsia" w:cs="宋体"/>
              <w:color w:val="auto"/>
              <w:lang w:val="zh-CN"/>
            </w:rPr>
            <w:fldChar w:fldCharType="separate"/>
          </w:r>
          <w:r>
            <w:rPr>
              <w:rFonts w:hint="eastAsia" w:ascii="宋体" w:hAnsi="宋体" w:eastAsia="宋体" w:cs="宋体"/>
              <w:color w:val="auto"/>
              <w:szCs w:val="18"/>
            </w:rPr>
            <w:t>第四章 投标文件格式</w:t>
          </w:r>
          <w:r>
            <w:rPr>
              <w:color w:val="auto"/>
            </w:rPr>
            <w:tab/>
          </w:r>
          <w:r>
            <w:rPr>
              <w:color w:val="auto"/>
            </w:rPr>
            <w:fldChar w:fldCharType="begin"/>
          </w:r>
          <w:r>
            <w:rPr>
              <w:color w:val="auto"/>
            </w:rPr>
            <w:instrText xml:space="preserve"> PAGEREF _Toc11303 \h </w:instrText>
          </w:r>
          <w:r>
            <w:rPr>
              <w:color w:val="auto"/>
            </w:rPr>
            <w:fldChar w:fldCharType="separate"/>
          </w:r>
          <w:r>
            <w:rPr>
              <w:color w:val="auto"/>
            </w:rPr>
            <w:t>38</w:t>
          </w:r>
          <w:r>
            <w:rPr>
              <w:color w:val="auto"/>
            </w:rPr>
            <w:fldChar w:fldCharType="end"/>
          </w:r>
          <w:r>
            <w:rPr>
              <w:rFonts w:hint="eastAsia" w:cs="宋体"/>
              <w:color w:val="auto"/>
              <w:lang w:val="zh-CN"/>
            </w:rPr>
            <w:fldChar w:fldCharType="end"/>
          </w:r>
        </w:p>
        <w:p w14:paraId="57A97C51">
          <w:pPr>
            <w:pStyle w:val="24"/>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_Toc20928 </w:instrText>
          </w:r>
          <w:r>
            <w:rPr>
              <w:rFonts w:hint="eastAsia" w:cs="宋体"/>
              <w:color w:val="auto"/>
              <w:lang w:val="zh-CN"/>
            </w:rPr>
            <w:fldChar w:fldCharType="separate"/>
          </w:r>
          <w:r>
            <w:rPr>
              <w:rFonts w:hint="eastAsia" w:eastAsia="宋体" w:cs="宋体"/>
              <w:bCs w:val="0"/>
              <w:color w:val="auto"/>
              <w:szCs w:val="36"/>
            </w:rPr>
            <w:t>一、封面</w:t>
          </w:r>
          <w:r>
            <w:rPr>
              <w:color w:val="auto"/>
            </w:rPr>
            <w:tab/>
          </w:r>
          <w:r>
            <w:rPr>
              <w:color w:val="auto"/>
            </w:rPr>
            <w:fldChar w:fldCharType="begin"/>
          </w:r>
          <w:r>
            <w:rPr>
              <w:color w:val="auto"/>
            </w:rPr>
            <w:instrText xml:space="preserve"> PAGEREF _Toc20928 \h </w:instrText>
          </w:r>
          <w:r>
            <w:rPr>
              <w:color w:val="auto"/>
            </w:rPr>
            <w:fldChar w:fldCharType="separate"/>
          </w:r>
          <w:r>
            <w:rPr>
              <w:color w:val="auto"/>
            </w:rPr>
            <w:t>38</w:t>
          </w:r>
          <w:r>
            <w:rPr>
              <w:color w:val="auto"/>
            </w:rPr>
            <w:fldChar w:fldCharType="end"/>
          </w:r>
          <w:r>
            <w:rPr>
              <w:rFonts w:hint="eastAsia" w:cs="宋体"/>
              <w:color w:val="auto"/>
              <w:lang w:val="zh-CN"/>
            </w:rPr>
            <w:fldChar w:fldCharType="end"/>
          </w:r>
        </w:p>
        <w:p w14:paraId="43697C72">
          <w:pPr>
            <w:pStyle w:val="24"/>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_Toc3672 </w:instrText>
          </w:r>
          <w:r>
            <w:rPr>
              <w:rFonts w:hint="eastAsia" w:cs="宋体"/>
              <w:color w:val="auto"/>
              <w:lang w:val="zh-CN"/>
            </w:rPr>
            <w:fldChar w:fldCharType="separate"/>
          </w:r>
          <w:r>
            <w:rPr>
              <w:rFonts w:hint="eastAsia" w:eastAsia="宋体" w:cs="宋体"/>
              <w:bCs w:val="0"/>
              <w:color w:val="auto"/>
              <w:szCs w:val="36"/>
            </w:rPr>
            <w:t>二、资格文件部分</w:t>
          </w:r>
          <w:r>
            <w:rPr>
              <w:color w:val="auto"/>
            </w:rPr>
            <w:tab/>
          </w:r>
          <w:r>
            <w:rPr>
              <w:color w:val="auto"/>
            </w:rPr>
            <w:fldChar w:fldCharType="begin"/>
          </w:r>
          <w:r>
            <w:rPr>
              <w:color w:val="auto"/>
            </w:rPr>
            <w:instrText xml:space="preserve"> PAGEREF _Toc3672 \h </w:instrText>
          </w:r>
          <w:r>
            <w:rPr>
              <w:color w:val="auto"/>
            </w:rPr>
            <w:fldChar w:fldCharType="separate"/>
          </w:r>
          <w:r>
            <w:rPr>
              <w:color w:val="auto"/>
            </w:rPr>
            <w:t>39</w:t>
          </w:r>
          <w:r>
            <w:rPr>
              <w:color w:val="auto"/>
            </w:rPr>
            <w:fldChar w:fldCharType="end"/>
          </w:r>
          <w:r>
            <w:rPr>
              <w:rFonts w:hint="eastAsia" w:cs="宋体"/>
              <w:color w:val="auto"/>
              <w:lang w:val="zh-CN"/>
            </w:rPr>
            <w:fldChar w:fldCharType="end"/>
          </w:r>
        </w:p>
        <w:p w14:paraId="59D91B1A">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_Toc24018 </w:instrText>
          </w:r>
          <w:r>
            <w:rPr>
              <w:rFonts w:hint="eastAsia" w:cs="宋体"/>
              <w:color w:val="auto"/>
              <w:lang w:val="zh-CN"/>
            </w:rPr>
            <w:fldChar w:fldCharType="separate"/>
          </w:r>
          <w:r>
            <w:rPr>
              <w:rFonts w:hint="eastAsia" w:cs="宋体"/>
              <w:color w:val="auto"/>
              <w:szCs w:val="30"/>
            </w:rPr>
            <w:t>（一）营业执照等资格证明材料</w:t>
          </w:r>
          <w:r>
            <w:rPr>
              <w:color w:val="auto"/>
            </w:rPr>
            <w:tab/>
          </w:r>
          <w:r>
            <w:rPr>
              <w:color w:val="auto"/>
            </w:rPr>
            <w:fldChar w:fldCharType="begin"/>
          </w:r>
          <w:r>
            <w:rPr>
              <w:color w:val="auto"/>
            </w:rPr>
            <w:instrText xml:space="preserve"> PAGEREF _Toc24018 \h </w:instrText>
          </w:r>
          <w:r>
            <w:rPr>
              <w:color w:val="auto"/>
            </w:rPr>
            <w:fldChar w:fldCharType="separate"/>
          </w:r>
          <w:r>
            <w:rPr>
              <w:color w:val="auto"/>
            </w:rPr>
            <w:t>39</w:t>
          </w:r>
          <w:r>
            <w:rPr>
              <w:color w:val="auto"/>
            </w:rPr>
            <w:fldChar w:fldCharType="end"/>
          </w:r>
          <w:r>
            <w:rPr>
              <w:rFonts w:hint="eastAsia" w:cs="宋体"/>
              <w:color w:val="auto"/>
              <w:lang w:val="zh-CN"/>
            </w:rPr>
            <w:fldChar w:fldCharType="end"/>
          </w:r>
        </w:p>
        <w:p w14:paraId="3281A695">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_Toc30543 </w:instrText>
          </w:r>
          <w:r>
            <w:rPr>
              <w:rFonts w:hint="eastAsia" w:cs="宋体"/>
              <w:color w:val="auto"/>
              <w:lang w:val="zh-CN"/>
            </w:rPr>
            <w:fldChar w:fldCharType="separate"/>
          </w:r>
          <w:r>
            <w:rPr>
              <w:rFonts w:hint="eastAsia" w:cs="宋体"/>
              <w:color w:val="auto"/>
              <w:szCs w:val="30"/>
            </w:rPr>
            <w:t>（二）投标人具备参加政府采购活动条件承诺书</w:t>
          </w:r>
          <w:r>
            <w:rPr>
              <w:color w:val="auto"/>
            </w:rPr>
            <w:tab/>
          </w:r>
          <w:r>
            <w:rPr>
              <w:color w:val="auto"/>
            </w:rPr>
            <w:fldChar w:fldCharType="begin"/>
          </w:r>
          <w:r>
            <w:rPr>
              <w:color w:val="auto"/>
            </w:rPr>
            <w:instrText xml:space="preserve"> PAGEREF _Toc30543 \h </w:instrText>
          </w:r>
          <w:r>
            <w:rPr>
              <w:color w:val="auto"/>
            </w:rPr>
            <w:fldChar w:fldCharType="separate"/>
          </w:r>
          <w:r>
            <w:rPr>
              <w:color w:val="auto"/>
            </w:rPr>
            <w:t>40</w:t>
          </w:r>
          <w:r>
            <w:rPr>
              <w:color w:val="auto"/>
            </w:rPr>
            <w:fldChar w:fldCharType="end"/>
          </w:r>
          <w:r>
            <w:rPr>
              <w:rFonts w:hint="eastAsia" w:cs="宋体"/>
              <w:color w:val="auto"/>
              <w:lang w:val="zh-CN"/>
            </w:rPr>
            <w:fldChar w:fldCharType="end"/>
          </w:r>
        </w:p>
        <w:p w14:paraId="16F2BFEE">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_Toc3084 </w:instrText>
          </w:r>
          <w:r>
            <w:rPr>
              <w:rFonts w:hint="eastAsia" w:cs="宋体"/>
              <w:color w:val="auto"/>
              <w:lang w:val="zh-CN"/>
            </w:rPr>
            <w:fldChar w:fldCharType="separate"/>
          </w:r>
          <w:r>
            <w:rPr>
              <w:rFonts w:hint="eastAsia" w:cs="宋体"/>
              <w:color w:val="auto"/>
              <w:szCs w:val="30"/>
            </w:rPr>
            <w:t>（三）供应商满足招标文件其他资格条件的声明函</w:t>
          </w:r>
          <w:r>
            <w:rPr>
              <w:color w:val="auto"/>
            </w:rPr>
            <w:tab/>
          </w:r>
          <w:r>
            <w:rPr>
              <w:color w:val="auto"/>
            </w:rPr>
            <w:fldChar w:fldCharType="begin"/>
          </w:r>
          <w:r>
            <w:rPr>
              <w:color w:val="auto"/>
            </w:rPr>
            <w:instrText xml:space="preserve"> PAGEREF _Toc3084 \h </w:instrText>
          </w:r>
          <w:r>
            <w:rPr>
              <w:color w:val="auto"/>
            </w:rPr>
            <w:fldChar w:fldCharType="separate"/>
          </w:r>
          <w:r>
            <w:rPr>
              <w:color w:val="auto"/>
            </w:rPr>
            <w:t>41</w:t>
          </w:r>
          <w:r>
            <w:rPr>
              <w:color w:val="auto"/>
            </w:rPr>
            <w:fldChar w:fldCharType="end"/>
          </w:r>
          <w:r>
            <w:rPr>
              <w:rFonts w:hint="eastAsia" w:cs="宋体"/>
              <w:color w:val="auto"/>
              <w:lang w:val="zh-CN"/>
            </w:rPr>
            <w:fldChar w:fldCharType="end"/>
          </w:r>
        </w:p>
        <w:p w14:paraId="1F57B1F4">
          <w:pPr>
            <w:pStyle w:val="24"/>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_Toc32618 </w:instrText>
          </w:r>
          <w:r>
            <w:rPr>
              <w:rFonts w:hint="eastAsia" w:cs="宋体"/>
              <w:color w:val="auto"/>
              <w:lang w:val="zh-CN"/>
            </w:rPr>
            <w:fldChar w:fldCharType="separate"/>
          </w:r>
          <w:r>
            <w:rPr>
              <w:rFonts w:hint="eastAsia" w:eastAsia="宋体" w:cs="宋体"/>
              <w:bCs w:val="0"/>
              <w:color w:val="auto"/>
              <w:szCs w:val="36"/>
            </w:rPr>
            <w:t>三、商务文件部分</w:t>
          </w:r>
          <w:r>
            <w:rPr>
              <w:color w:val="auto"/>
            </w:rPr>
            <w:tab/>
          </w:r>
          <w:r>
            <w:rPr>
              <w:color w:val="auto"/>
            </w:rPr>
            <w:fldChar w:fldCharType="begin"/>
          </w:r>
          <w:r>
            <w:rPr>
              <w:color w:val="auto"/>
            </w:rPr>
            <w:instrText xml:space="preserve"> PAGEREF _Toc32618 \h </w:instrText>
          </w:r>
          <w:r>
            <w:rPr>
              <w:color w:val="auto"/>
            </w:rPr>
            <w:fldChar w:fldCharType="separate"/>
          </w:r>
          <w:r>
            <w:rPr>
              <w:color w:val="auto"/>
            </w:rPr>
            <w:t>42</w:t>
          </w:r>
          <w:r>
            <w:rPr>
              <w:color w:val="auto"/>
            </w:rPr>
            <w:fldChar w:fldCharType="end"/>
          </w:r>
          <w:r>
            <w:rPr>
              <w:rFonts w:hint="eastAsia" w:cs="宋体"/>
              <w:color w:val="auto"/>
              <w:lang w:val="zh-CN"/>
            </w:rPr>
            <w:fldChar w:fldCharType="end"/>
          </w:r>
        </w:p>
        <w:p w14:paraId="4F921C82">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_Toc20737 </w:instrText>
          </w:r>
          <w:r>
            <w:rPr>
              <w:rFonts w:hint="eastAsia" w:cs="宋体"/>
              <w:color w:val="auto"/>
              <w:lang w:val="zh-CN"/>
            </w:rPr>
            <w:fldChar w:fldCharType="separate"/>
          </w:r>
          <w:r>
            <w:rPr>
              <w:rFonts w:hint="eastAsia" w:cs="宋体"/>
              <w:color w:val="auto"/>
              <w:szCs w:val="30"/>
            </w:rPr>
            <w:t>（一）法定代表人身份证明书</w:t>
          </w:r>
          <w:r>
            <w:rPr>
              <w:color w:val="auto"/>
            </w:rPr>
            <w:tab/>
          </w:r>
          <w:r>
            <w:rPr>
              <w:color w:val="auto"/>
            </w:rPr>
            <w:fldChar w:fldCharType="begin"/>
          </w:r>
          <w:r>
            <w:rPr>
              <w:color w:val="auto"/>
            </w:rPr>
            <w:instrText xml:space="preserve"> PAGEREF _Toc20737 \h </w:instrText>
          </w:r>
          <w:r>
            <w:rPr>
              <w:color w:val="auto"/>
            </w:rPr>
            <w:fldChar w:fldCharType="separate"/>
          </w:r>
          <w:r>
            <w:rPr>
              <w:color w:val="auto"/>
            </w:rPr>
            <w:t>42</w:t>
          </w:r>
          <w:r>
            <w:rPr>
              <w:color w:val="auto"/>
            </w:rPr>
            <w:fldChar w:fldCharType="end"/>
          </w:r>
          <w:r>
            <w:rPr>
              <w:rFonts w:hint="eastAsia" w:cs="宋体"/>
              <w:color w:val="auto"/>
              <w:lang w:val="zh-CN"/>
            </w:rPr>
            <w:fldChar w:fldCharType="end"/>
          </w:r>
        </w:p>
        <w:p w14:paraId="39872776">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_Toc22491 </w:instrText>
          </w:r>
          <w:r>
            <w:rPr>
              <w:rFonts w:hint="eastAsia" w:cs="宋体"/>
              <w:color w:val="auto"/>
              <w:lang w:val="zh-CN"/>
            </w:rPr>
            <w:fldChar w:fldCharType="separate"/>
          </w:r>
          <w:r>
            <w:rPr>
              <w:rFonts w:hint="eastAsia" w:cs="宋体"/>
              <w:color w:val="auto"/>
              <w:szCs w:val="30"/>
            </w:rPr>
            <w:t>（二）法定代表人授权委托书</w:t>
          </w:r>
          <w:r>
            <w:rPr>
              <w:color w:val="auto"/>
            </w:rPr>
            <w:tab/>
          </w:r>
          <w:r>
            <w:rPr>
              <w:color w:val="auto"/>
            </w:rPr>
            <w:fldChar w:fldCharType="begin"/>
          </w:r>
          <w:r>
            <w:rPr>
              <w:color w:val="auto"/>
            </w:rPr>
            <w:instrText xml:space="preserve"> PAGEREF _Toc22491 \h </w:instrText>
          </w:r>
          <w:r>
            <w:rPr>
              <w:color w:val="auto"/>
            </w:rPr>
            <w:fldChar w:fldCharType="separate"/>
          </w:r>
          <w:r>
            <w:rPr>
              <w:color w:val="auto"/>
            </w:rPr>
            <w:t>43</w:t>
          </w:r>
          <w:r>
            <w:rPr>
              <w:color w:val="auto"/>
            </w:rPr>
            <w:fldChar w:fldCharType="end"/>
          </w:r>
          <w:r>
            <w:rPr>
              <w:rFonts w:hint="eastAsia" w:cs="宋体"/>
              <w:color w:val="auto"/>
              <w:lang w:val="zh-CN"/>
            </w:rPr>
            <w:fldChar w:fldCharType="end"/>
          </w:r>
        </w:p>
        <w:p w14:paraId="651A4AAB">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_Toc5213 </w:instrText>
          </w:r>
          <w:r>
            <w:rPr>
              <w:rFonts w:hint="eastAsia" w:cs="宋体"/>
              <w:color w:val="auto"/>
              <w:lang w:val="zh-CN"/>
            </w:rPr>
            <w:fldChar w:fldCharType="separate"/>
          </w:r>
          <w:r>
            <w:rPr>
              <w:rFonts w:hint="eastAsia" w:cs="宋体"/>
              <w:color w:val="auto"/>
              <w:szCs w:val="30"/>
            </w:rPr>
            <w:t>（三）开标一览表</w:t>
          </w:r>
          <w:r>
            <w:rPr>
              <w:color w:val="auto"/>
            </w:rPr>
            <w:tab/>
          </w:r>
          <w:r>
            <w:rPr>
              <w:color w:val="auto"/>
            </w:rPr>
            <w:fldChar w:fldCharType="begin"/>
          </w:r>
          <w:r>
            <w:rPr>
              <w:color w:val="auto"/>
            </w:rPr>
            <w:instrText xml:space="preserve"> PAGEREF _Toc5213 \h </w:instrText>
          </w:r>
          <w:r>
            <w:rPr>
              <w:color w:val="auto"/>
            </w:rPr>
            <w:fldChar w:fldCharType="separate"/>
          </w:r>
          <w:r>
            <w:rPr>
              <w:color w:val="auto"/>
            </w:rPr>
            <w:t>44</w:t>
          </w:r>
          <w:r>
            <w:rPr>
              <w:color w:val="auto"/>
            </w:rPr>
            <w:fldChar w:fldCharType="end"/>
          </w:r>
          <w:r>
            <w:rPr>
              <w:rFonts w:hint="eastAsia" w:cs="宋体"/>
              <w:color w:val="auto"/>
              <w:lang w:val="zh-CN"/>
            </w:rPr>
            <w:fldChar w:fldCharType="end"/>
          </w:r>
        </w:p>
        <w:p w14:paraId="0BEB5931">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_Toc24535 </w:instrText>
          </w:r>
          <w:r>
            <w:rPr>
              <w:rFonts w:hint="eastAsia" w:cs="宋体"/>
              <w:color w:val="auto"/>
              <w:lang w:val="zh-CN"/>
            </w:rPr>
            <w:fldChar w:fldCharType="separate"/>
          </w:r>
          <w:r>
            <w:rPr>
              <w:rFonts w:hint="eastAsia" w:cs="宋体"/>
              <w:color w:val="auto"/>
              <w:szCs w:val="30"/>
            </w:rPr>
            <w:t>（四）投标函</w:t>
          </w:r>
          <w:r>
            <w:rPr>
              <w:color w:val="auto"/>
            </w:rPr>
            <w:tab/>
          </w:r>
          <w:r>
            <w:rPr>
              <w:color w:val="auto"/>
            </w:rPr>
            <w:fldChar w:fldCharType="begin"/>
          </w:r>
          <w:r>
            <w:rPr>
              <w:color w:val="auto"/>
            </w:rPr>
            <w:instrText xml:space="preserve"> PAGEREF _Toc24535 \h </w:instrText>
          </w:r>
          <w:r>
            <w:rPr>
              <w:color w:val="auto"/>
            </w:rPr>
            <w:fldChar w:fldCharType="separate"/>
          </w:r>
          <w:r>
            <w:rPr>
              <w:color w:val="auto"/>
            </w:rPr>
            <w:t>46</w:t>
          </w:r>
          <w:r>
            <w:rPr>
              <w:color w:val="auto"/>
            </w:rPr>
            <w:fldChar w:fldCharType="end"/>
          </w:r>
          <w:r>
            <w:rPr>
              <w:rFonts w:hint="eastAsia" w:cs="宋体"/>
              <w:color w:val="auto"/>
              <w:lang w:val="zh-CN"/>
            </w:rPr>
            <w:fldChar w:fldCharType="end"/>
          </w:r>
        </w:p>
        <w:p w14:paraId="55FB4218">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_Toc24019 </w:instrText>
          </w:r>
          <w:r>
            <w:rPr>
              <w:rFonts w:hint="eastAsia" w:cs="宋体"/>
              <w:color w:val="auto"/>
              <w:lang w:val="zh-CN"/>
            </w:rPr>
            <w:fldChar w:fldCharType="separate"/>
          </w:r>
          <w:r>
            <w:rPr>
              <w:rFonts w:hint="eastAsia" w:cs="宋体"/>
              <w:color w:val="auto"/>
              <w:szCs w:val="30"/>
            </w:rPr>
            <w:t>（五）投标人应提供及认为有必要提供的其他材料</w:t>
          </w:r>
          <w:r>
            <w:rPr>
              <w:color w:val="auto"/>
            </w:rPr>
            <w:tab/>
          </w:r>
          <w:r>
            <w:rPr>
              <w:color w:val="auto"/>
            </w:rPr>
            <w:fldChar w:fldCharType="begin"/>
          </w:r>
          <w:r>
            <w:rPr>
              <w:color w:val="auto"/>
            </w:rPr>
            <w:instrText xml:space="preserve"> PAGEREF _Toc24019 \h </w:instrText>
          </w:r>
          <w:r>
            <w:rPr>
              <w:color w:val="auto"/>
            </w:rPr>
            <w:fldChar w:fldCharType="separate"/>
          </w:r>
          <w:r>
            <w:rPr>
              <w:color w:val="auto"/>
            </w:rPr>
            <w:t>47</w:t>
          </w:r>
          <w:r>
            <w:rPr>
              <w:color w:val="auto"/>
            </w:rPr>
            <w:fldChar w:fldCharType="end"/>
          </w:r>
          <w:r>
            <w:rPr>
              <w:rFonts w:hint="eastAsia" w:cs="宋体"/>
              <w:color w:val="auto"/>
              <w:lang w:val="zh-CN"/>
            </w:rPr>
            <w:fldChar w:fldCharType="end"/>
          </w:r>
        </w:p>
        <w:p w14:paraId="47019036">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_Toc22610 </w:instrText>
          </w:r>
          <w:r>
            <w:rPr>
              <w:rFonts w:hint="eastAsia" w:cs="宋体"/>
              <w:color w:val="auto"/>
              <w:lang w:val="zh-CN"/>
            </w:rPr>
            <w:fldChar w:fldCharType="separate"/>
          </w:r>
          <w:r>
            <w:rPr>
              <w:rFonts w:hint="eastAsia" w:cs="宋体"/>
              <w:color w:val="auto"/>
              <w:szCs w:val="30"/>
            </w:rPr>
            <w:t>（六）中小企业声明函（货物）</w:t>
          </w:r>
          <w:r>
            <w:rPr>
              <w:color w:val="auto"/>
            </w:rPr>
            <w:tab/>
          </w:r>
          <w:r>
            <w:rPr>
              <w:color w:val="auto"/>
            </w:rPr>
            <w:fldChar w:fldCharType="begin"/>
          </w:r>
          <w:r>
            <w:rPr>
              <w:color w:val="auto"/>
            </w:rPr>
            <w:instrText xml:space="preserve"> PAGEREF _Toc22610 \h </w:instrText>
          </w:r>
          <w:r>
            <w:rPr>
              <w:color w:val="auto"/>
            </w:rPr>
            <w:fldChar w:fldCharType="separate"/>
          </w:r>
          <w:r>
            <w:rPr>
              <w:color w:val="auto"/>
            </w:rPr>
            <w:t>48</w:t>
          </w:r>
          <w:r>
            <w:rPr>
              <w:color w:val="auto"/>
            </w:rPr>
            <w:fldChar w:fldCharType="end"/>
          </w:r>
          <w:r>
            <w:rPr>
              <w:rFonts w:hint="eastAsia" w:cs="宋体"/>
              <w:color w:val="auto"/>
              <w:lang w:val="zh-CN"/>
            </w:rPr>
            <w:fldChar w:fldCharType="end"/>
          </w:r>
        </w:p>
        <w:p w14:paraId="63A82C83">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_Toc2669 </w:instrText>
          </w:r>
          <w:r>
            <w:rPr>
              <w:rFonts w:hint="eastAsia" w:cs="宋体"/>
              <w:color w:val="auto"/>
              <w:lang w:val="zh-CN"/>
            </w:rPr>
            <w:fldChar w:fldCharType="separate"/>
          </w:r>
          <w:r>
            <w:rPr>
              <w:rFonts w:hint="eastAsia" w:cs="宋体"/>
              <w:color w:val="auto"/>
              <w:szCs w:val="30"/>
            </w:rPr>
            <w:t>（七）监狱企业证明文件</w:t>
          </w:r>
          <w:r>
            <w:rPr>
              <w:color w:val="auto"/>
            </w:rPr>
            <w:tab/>
          </w:r>
          <w:r>
            <w:rPr>
              <w:color w:val="auto"/>
            </w:rPr>
            <w:fldChar w:fldCharType="begin"/>
          </w:r>
          <w:r>
            <w:rPr>
              <w:color w:val="auto"/>
            </w:rPr>
            <w:instrText xml:space="preserve"> PAGEREF _Toc2669 \h </w:instrText>
          </w:r>
          <w:r>
            <w:rPr>
              <w:color w:val="auto"/>
            </w:rPr>
            <w:fldChar w:fldCharType="separate"/>
          </w:r>
          <w:r>
            <w:rPr>
              <w:color w:val="auto"/>
            </w:rPr>
            <w:t>49</w:t>
          </w:r>
          <w:r>
            <w:rPr>
              <w:color w:val="auto"/>
            </w:rPr>
            <w:fldChar w:fldCharType="end"/>
          </w:r>
          <w:r>
            <w:rPr>
              <w:rFonts w:hint="eastAsia" w:cs="宋体"/>
              <w:color w:val="auto"/>
              <w:lang w:val="zh-CN"/>
            </w:rPr>
            <w:fldChar w:fldCharType="end"/>
          </w:r>
        </w:p>
        <w:p w14:paraId="554329D7">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_Toc21126 </w:instrText>
          </w:r>
          <w:r>
            <w:rPr>
              <w:rFonts w:hint="eastAsia" w:cs="宋体"/>
              <w:color w:val="auto"/>
              <w:lang w:val="zh-CN"/>
            </w:rPr>
            <w:fldChar w:fldCharType="separate"/>
          </w:r>
          <w:r>
            <w:rPr>
              <w:rFonts w:hint="eastAsia" w:cs="宋体"/>
              <w:color w:val="auto"/>
              <w:szCs w:val="30"/>
            </w:rPr>
            <w:t>（八）残疾人福利性单位声明函</w:t>
          </w:r>
          <w:r>
            <w:rPr>
              <w:color w:val="auto"/>
            </w:rPr>
            <w:tab/>
          </w:r>
          <w:r>
            <w:rPr>
              <w:color w:val="auto"/>
            </w:rPr>
            <w:fldChar w:fldCharType="begin"/>
          </w:r>
          <w:r>
            <w:rPr>
              <w:color w:val="auto"/>
            </w:rPr>
            <w:instrText xml:space="preserve"> PAGEREF _Toc21126 \h </w:instrText>
          </w:r>
          <w:r>
            <w:rPr>
              <w:color w:val="auto"/>
            </w:rPr>
            <w:fldChar w:fldCharType="separate"/>
          </w:r>
          <w:r>
            <w:rPr>
              <w:color w:val="auto"/>
            </w:rPr>
            <w:t>50</w:t>
          </w:r>
          <w:r>
            <w:rPr>
              <w:color w:val="auto"/>
            </w:rPr>
            <w:fldChar w:fldCharType="end"/>
          </w:r>
          <w:r>
            <w:rPr>
              <w:rFonts w:hint="eastAsia" w:cs="宋体"/>
              <w:color w:val="auto"/>
              <w:lang w:val="zh-CN"/>
            </w:rPr>
            <w:fldChar w:fldCharType="end"/>
          </w:r>
        </w:p>
        <w:p w14:paraId="785D9D35">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_Toc21868 </w:instrText>
          </w:r>
          <w:r>
            <w:rPr>
              <w:rFonts w:hint="eastAsia" w:cs="宋体"/>
              <w:color w:val="auto"/>
              <w:lang w:val="zh-CN"/>
            </w:rPr>
            <w:fldChar w:fldCharType="separate"/>
          </w:r>
          <w:r>
            <w:rPr>
              <w:rFonts w:hint="eastAsia" w:cs="宋体"/>
              <w:color w:val="auto"/>
              <w:szCs w:val="30"/>
            </w:rPr>
            <w:t>（九）商务条款偏离表</w:t>
          </w:r>
          <w:r>
            <w:rPr>
              <w:color w:val="auto"/>
            </w:rPr>
            <w:tab/>
          </w:r>
          <w:r>
            <w:rPr>
              <w:color w:val="auto"/>
            </w:rPr>
            <w:fldChar w:fldCharType="begin"/>
          </w:r>
          <w:r>
            <w:rPr>
              <w:color w:val="auto"/>
            </w:rPr>
            <w:instrText xml:space="preserve"> PAGEREF _Toc21868 \h </w:instrText>
          </w:r>
          <w:r>
            <w:rPr>
              <w:color w:val="auto"/>
            </w:rPr>
            <w:fldChar w:fldCharType="separate"/>
          </w:r>
          <w:r>
            <w:rPr>
              <w:color w:val="auto"/>
            </w:rPr>
            <w:t>51</w:t>
          </w:r>
          <w:r>
            <w:rPr>
              <w:color w:val="auto"/>
            </w:rPr>
            <w:fldChar w:fldCharType="end"/>
          </w:r>
          <w:r>
            <w:rPr>
              <w:rFonts w:hint="eastAsia" w:cs="宋体"/>
              <w:color w:val="auto"/>
              <w:lang w:val="zh-CN"/>
            </w:rPr>
            <w:fldChar w:fldCharType="end"/>
          </w:r>
        </w:p>
        <w:p w14:paraId="791B9171">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_Toc6106 </w:instrText>
          </w:r>
          <w:r>
            <w:rPr>
              <w:rFonts w:hint="eastAsia" w:cs="宋体"/>
              <w:color w:val="auto"/>
              <w:lang w:val="zh-CN"/>
            </w:rPr>
            <w:fldChar w:fldCharType="separate"/>
          </w:r>
          <w:r>
            <w:rPr>
              <w:rFonts w:hint="eastAsia" w:cs="宋体"/>
              <w:color w:val="auto"/>
              <w:szCs w:val="30"/>
            </w:rPr>
            <w:t>（十）配送车辆及车辆日常管理措施</w:t>
          </w:r>
          <w:r>
            <w:rPr>
              <w:color w:val="auto"/>
            </w:rPr>
            <w:tab/>
          </w:r>
          <w:r>
            <w:rPr>
              <w:color w:val="auto"/>
            </w:rPr>
            <w:fldChar w:fldCharType="begin"/>
          </w:r>
          <w:r>
            <w:rPr>
              <w:color w:val="auto"/>
            </w:rPr>
            <w:instrText xml:space="preserve"> PAGEREF _Toc6106 \h </w:instrText>
          </w:r>
          <w:r>
            <w:rPr>
              <w:color w:val="auto"/>
            </w:rPr>
            <w:fldChar w:fldCharType="separate"/>
          </w:r>
          <w:r>
            <w:rPr>
              <w:color w:val="auto"/>
            </w:rPr>
            <w:t>52</w:t>
          </w:r>
          <w:r>
            <w:rPr>
              <w:color w:val="auto"/>
            </w:rPr>
            <w:fldChar w:fldCharType="end"/>
          </w:r>
          <w:r>
            <w:rPr>
              <w:rFonts w:hint="eastAsia" w:cs="宋体"/>
              <w:color w:val="auto"/>
              <w:lang w:val="zh-CN"/>
            </w:rPr>
            <w:fldChar w:fldCharType="end"/>
          </w:r>
        </w:p>
        <w:p w14:paraId="527E9820">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_Toc6427 </w:instrText>
          </w:r>
          <w:r>
            <w:rPr>
              <w:rFonts w:hint="eastAsia" w:cs="宋体"/>
              <w:color w:val="auto"/>
              <w:lang w:val="zh-CN"/>
            </w:rPr>
            <w:fldChar w:fldCharType="separate"/>
          </w:r>
          <w:r>
            <w:rPr>
              <w:rFonts w:hint="eastAsia" w:cs="宋体"/>
              <w:color w:val="auto"/>
              <w:szCs w:val="30"/>
            </w:rPr>
            <w:t>（十一）拟派本项目人员配置</w:t>
          </w:r>
          <w:r>
            <w:rPr>
              <w:color w:val="auto"/>
            </w:rPr>
            <w:tab/>
          </w:r>
          <w:r>
            <w:rPr>
              <w:color w:val="auto"/>
            </w:rPr>
            <w:fldChar w:fldCharType="begin"/>
          </w:r>
          <w:r>
            <w:rPr>
              <w:color w:val="auto"/>
            </w:rPr>
            <w:instrText xml:space="preserve"> PAGEREF _Toc6427 \h </w:instrText>
          </w:r>
          <w:r>
            <w:rPr>
              <w:color w:val="auto"/>
            </w:rPr>
            <w:fldChar w:fldCharType="separate"/>
          </w:r>
          <w:r>
            <w:rPr>
              <w:color w:val="auto"/>
            </w:rPr>
            <w:t>52</w:t>
          </w:r>
          <w:r>
            <w:rPr>
              <w:color w:val="auto"/>
            </w:rPr>
            <w:fldChar w:fldCharType="end"/>
          </w:r>
          <w:r>
            <w:rPr>
              <w:rFonts w:hint="eastAsia" w:cs="宋体"/>
              <w:color w:val="auto"/>
              <w:lang w:val="zh-CN"/>
            </w:rPr>
            <w:fldChar w:fldCharType="end"/>
          </w:r>
        </w:p>
        <w:p w14:paraId="172D1DD1">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_Toc32233 </w:instrText>
          </w:r>
          <w:r>
            <w:rPr>
              <w:rFonts w:hint="eastAsia" w:cs="宋体"/>
              <w:color w:val="auto"/>
              <w:lang w:val="zh-CN"/>
            </w:rPr>
            <w:fldChar w:fldCharType="separate"/>
          </w:r>
          <w:r>
            <w:rPr>
              <w:rFonts w:hint="eastAsia" w:ascii="宋体" w:hAnsi="宋体" w:eastAsia="宋体" w:cs="宋体"/>
              <w:color w:val="auto"/>
              <w:szCs w:val="30"/>
              <w:lang w:eastAsia="zh-CN"/>
            </w:rPr>
            <w:t xml:space="preserve">（十二） </w:t>
          </w:r>
          <w:r>
            <w:rPr>
              <w:rFonts w:hint="eastAsia" w:ascii="宋体" w:hAnsi="宋体" w:eastAsia="宋体" w:cs="宋体"/>
              <w:color w:val="auto"/>
              <w:szCs w:val="30"/>
              <w:highlight w:val="none"/>
              <w:lang w:eastAsia="zh-CN"/>
            </w:rPr>
            <w:t>投标保证金</w:t>
          </w:r>
          <w:r>
            <w:rPr>
              <w:color w:val="auto"/>
            </w:rPr>
            <w:tab/>
          </w:r>
          <w:r>
            <w:rPr>
              <w:color w:val="auto"/>
            </w:rPr>
            <w:fldChar w:fldCharType="begin"/>
          </w:r>
          <w:r>
            <w:rPr>
              <w:color w:val="auto"/>
            </w:rPr>
            <w:instrText xml:space="preserve"> PAGEREF _Toc32233 \h </w:instrText>
          </w:r>
          <w:r>
            <w:rPr>
              <w:color w:val="auto"/>
            </w:rPr>
            <w:fldChar w:fldCharType="separate"/>
          </w:r>
          <w:r>
            <w:rPr>
              <w:color w:val="auto"/>
            </w:rPr>
            <w:t>53</w:t>
          </w:r>
          <w:r>
            <w:rPr>
              <w:color w:val="auto"/>
            </w:rPr>
            <w:fldChar w:fldCharType="end"/>
          </w:r>
          <w:r>
            <w:rPr>
              <w:rFonts w:hint="eastAsia" w:cs="宋体"/>
              <w:color w:val="auto"/>
              <w:lang w:val="zh-CN"/>
            </w:rPr>
            <w:fldChar w:fldCharType="end"/>
          </w:r>
        </w:p>
        <w:p w14:paraId="33BF8833">
          <w:pPr>
            <w:pStyle w:val="24"/>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_Toc3902 </w:instrText>
          </w:r>
          <w:r>
            <w:rPr>
              <w:rFonts w:hint="eastAsia" w:cs="宋体"/>
              <w:color w:val="auto"/>
              <w:lang w:val="zh-CN"/>
            </w:rPr>
            <w:fldChar w:fldCharType="separate"/>
          </w:r>
          <w:r>
            <w:rPr>
              <w:rFonts w:hint="eastAsia" w:eastAsia="宋体" w:cs="宋体"/>
              <w:bCs w:val="0"/>
              <w:color w:val="auto"/>
              <w:szCs w:val="36"/>
            </w:rPr>
            <w:t>四、技术文件部分</w:t>
          </w:r>
          <w:r>
            <w:rPr>
              <w:color w:val="auto"/>
            </w:rPr>
            <w:tab/>
          </w:r>
          <w:r>
            <w:rPr>
              <w:color w:val="auto"/>
            </w:rPr>
            <w:fldChar w:fldCharType="begin"/>
          </w:r>
          <w:r>
            <w:rPr>
              <w:color w:val="auto"/>
            </w:rPr>
            <w:instrText xml:space="preserve"> PAGEREF _Toc3902 \h </w:instrText>
          </w:r>
          <w:r>
            <w:rPr>
              <w:color w:val="auto"/>
            </w:rPr>
            <w:fldChar w:fldCharType="separate"/>
          </w:r>
          <w:r>
            <w:rPr>
              <w:color w:val="auto"/>
            </w:rPr>
            <w:t>54</w:t>
          </w:r>
          <w:r>
            <w:rPr>
              <w:color w:val="auto"/>
            </w:rPr>
            <w:fldChar w:fldCharType="end"/>
          </w:r>
          <w:r>
            <w:rPr>
              <w:rFonts w:hint="eastAsia" w:cs="宋体"/>
              <w:color w:val="auto"/>
              <w:lang w:val="zh-CN"/>
            </w:rPr>
            <w:fldChar w:fldCharType="end"/>
          </w:r>
        </w:p>
        <w:p w14:paraId="1CEFDA5F">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_Toc28588 </w:instrText>
          </w:r>
          <w:r>
            <w:rPr>
              <w:rFonts w:hint="eastAsia" w:cs="宋体"/>
              <w:color w:val="auto"/>
              <w:lang w:val="zh-CN"/>
            </w:rPr>
            <w:fldChar w:fldCharType="separate"/>
          </w:r>
          <w:r>
            <w:rPr>
              <w:rFonts w:hint="eastAsia" w:cs="宋体"/>
              <w:color w:val="auto"/>
              <w:szCs w:val="30"/>
            </w:rPr>
            <w:t>（一）技术条款偏离表</w:t>
          </w:r>
          <w:r>
            <w:rPr>
              <w:color w:val="auto"/>
            </w:rPr>
            <w:tab/>
          </w:r>
          <w:r>
            <w:rPr>
              <w:color w:val="auto"/>
            </w:rPr>
            <w:fldChar w:fldCharType="begin"/>
          </w:r>
          <w:r>
            <w:rPr>
              <w:color w:val="auto"/>
            </w:rPr>
            <w:instrText xml:space="preserve"> PAGEREF _Toc28588 \h </w:instrText>
          </w:r>
          <w:r>
            <w:rPr>
              <w:color w:val="auto"/>
            </w:rPr>
            <w:fldChar w:fldCharType="separate"/>
          </w:r>
          <w:r>
            <w:rPr>
              <w:color w:val="auto"/>
            </w:rPr>
            <w:t>54</w:t>
          </w:r>
          <w:r>
            <w:rPr>
              <w:color w:val="auto"/>
            </w:rPr>
            <w:fldChar w:fldCharType="end"/>
          </w:r>
          <w:r>
            <w:rPr>
              <w:rFonts w:hint="eastAsia" w:cs="宋体"/>
              <w:color w:val="auto"/>
              <w:lang w:val="zh-CN"/>
            </w:rPr>
            <w:fldChar w:fldCharType="end"/>
          </w:r>
        </w:p>
        <w:p w14:paraId="20D4F24B">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_Toc22029 </w:instrText>
          </w:r>
          <w:r>
            <w:rPr>
              <w:rFonts w:hint="eastAsia" w:cs="宋体"/>
              <w:color w:val="auto"/>
              <w:lang w:val="zh-CN"/>
            </w:rPr>
            <w:fldChar w:fldCharType="separate"/>
          </w:r>
          <w:r>
            <w:rPr>
              <w:rFonts w:hint="eastAsia" w:cs="宋体"/>
              <w:color w:val="auto"/>
              <w:szCs w:val="30"/>
            </w:rPr>
            <w:t>（二）产品技术证明资料</w:t>
          </w:r>
          <w:r>
            <w:rPr>
              <w:color w:val="auto"/>
            </w:rPr>
            <w:tab/>
          </w:r>
          <w:r>
            <w:rPr>
              <w:color w:val="auto"/>
            </w:rPr>
            <w:fldChar w:fldCharType="begin"/>
          </w:r>
          <w:r>
            <w:rPr>
              <w:color w:val="auto"/>
            </w:rPr>
            <w:instrText xml:space="preserve"> PAGEREF _Toc22029 \h </w:instrText>
          </w:r>
          <w:r>
            <w:rPr>
              <w:color w:val="auto"/>
            </w:rPr>
            <w:fldChar w:fldCharType="separate"/>
          </w:r>
          <w:r>
            <w:rPr>
              <w:color w:val="auto"/>
            </w:rPr>
            <w:t>55</w:t>
          </w:r>
          <w:r>
            <w:rPr>
              <w:color w:val="auto"/>
            </w:rPr>
            <w:fldChar w:fldCharType="end"/>
          </w:r>
          <w:r>
            <w:rPr>
              <w:rFonts w:hint="eastAsia" w:cs="宋体"/>
              <w:color w:val="auto"/>
              <w:lang w:val="zh-CN"/>
            </w:rPr>
            <w:fldChar w:fldCharType="end"/>
          </w:r>
        </w:p>
        <w:p w14:paraId="715614AA">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_Toc32027 </w:instrText>
          </w:r>
          <w:r>
            <w:rPr>
              <w:rFonts w:hint="eastAsia" w:cs="宋体"/>
              <w:color w:val="auto"/>
              <w:lang w:val="zh-CN"/>
            </w:rPr>
            <w:fldChar w:fldCharType="separate"/>
          </w:r>
          <w:r>
            <w:rPr>
              <w:rFonts w:hint="eastAsia" w:cs="宋体"/>
              <w:color w:val="auto"/>
              <w:szCs w:val="30"/>
            </w:rPr>
            <w:t>（三）产品质量保证措施</w:t>
          </w:r>
          <w:r>
            <w:rPr>
              <w:color w:val="auto"/>
            </w:rPr>
            <w:tab/>
          </w:r>
          <w:r>
            <w:rPr>
              <w:color w:val="auto"/>
            </w:rPr>
            <w:fldChar w:fldCharType="begin"/>
          </w:r>
          <w:r>
            <w:rPr>
              <w:color w:val="auto"/>
            </w:rPr>
            <w:instrText xml:space="preserve"> PAGEREF _Toc32027 \h </w:instrText>
          </w:r>
          <w:r>
            <w:rPr>
              <w:color w:val="auto"/>
            </w:rPr>
            <w:fldChar w:fldCharType="separate"/>
          </w:r>
          <w:r>
            <w:rPr>
              <w:color w:val="auto"/>
            </w:rPr>
            <w:t>55</w:t>
          </w:r>
          <w:r>
            <w:rPr>
              <w:color w:val="auto"/>
            </w:rPr>
            <w:fldChar w:fldCharType="end"/>
          </w:r>
          <w:r>
            <w:rPr>
              <w:rFonts w:hint="eastAsia" w:cs="宋体"/>
              <w:color w:val="auto"/>
              <w:lang w:val="zh-CN"/>
            </w:rPr>
            <w:fldChar w:fldCharType="end"/>
          </w:r>
        </w:p>
        <w:p w14:paraId="190F5E43">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_Toc26063 </w:instrText>
          </w:r>
          <w:r>
            <w:rPr>
              <w:rFonts w:hint="eastAsia" w:cs="宋体"/>
              <w:color w:val="auto"/>
              <w:lang w:val="zh-CN"/>
            </w:rPr>
            <w:fldChar w:fldCharType="separate"/>
          </w:r>
          <w:r>
            <w:rPr>
              <w:rFonts w:hint="eastAsia" w:cs="宋体"/>
              <w:color w:val="auto"/>
              <w:szCs w:val="30"/>
            </w:rPr>
            <w:t>（四）针对本项目配送服务方案</w:t>
          </w:r>
          <w:r>
            <w:rPr>
              <w:color w:val="auto"/>
            </w:rPr>
            <w:tab/>
          </w:r>
          <w:r>
            <w:rPr>
              <w:color w:val="auto"/>
            </w:rPr>
            <w:fldChar w:fldCharType="begin"/>
          </w:r>
          <w:r>
            <w:rPr>
              <w:color w:val="auto"/>
            </w:rPr>
            <w:instrText xml:space="preserve"> PAGEREF _Toc26063 \h </w:instrText>
          </w:r>
          <w:r>
            <w:rPr>
              <w:color w:val="auto"/>
            </w:rPr>
            <w:fldChar w:fldCharType="separate"/>
          </w:r>
          <w:r>
            <w:rPr>
              <w:color w:val="auto"/>
            </w:rPr>
            <w:t>55</w:t>
          </w:r>
          <w:r>
            <w:rPr>
              <w:color w:val="auto"/>
            </w:rPr>
            <w:fldChar w:fldCharType="end"/>
          </w:r>
          <w:r>
            <w:rPr>
              <w:rFonts w:hint="eastAsia" w:cs="宋体"/>
              <w:color w:val="auto"/>
              <w:lang w:val="zh-CN"/>
            </w:rPr>
            <w:fldChar w:fldCharType="end"/>
          </w:r>
        </w:p>
        <w:p w14:paraId="55F96FE3">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_Toc3270 </w:instrText>
          </w:r>
          <w:r>
            <w:rPr>
              <w:rFonts w:hint="eastAsia" w:cs="宋体"/>
              <w:color w:val="auto"/>
              <w:lang w:val="zh-CN"/>
            </w:rPr>
            <w:fldChar w:fldCharType="separate"/>
          </w:r>
          <w:r>
            <w:rPr>
              <w:rFonts w:hint="eastAsia" w:cs="宋体"/>
              <w:color w:val="auto"/>
              <w:szCs w:val="30"/>
            </w:rPr>
            <w:t>（五）售后处理方案及承诺</w:t>
          </w:r>
          <w:r>
            <w:rPr>
              <w:color w:val="auto"/>
            </w:rPr>
            <w:tab/>
          </w:r>
          <w:r>
            <w:rPr>
              <w:color w:val="auto"/>
            </w:rPr>
            <w:fldChar w:fldCharType="begin"/>
          </w:r>
          <w:r>
            <w:rPr>
              <w:color w:val="auto"/>
            </w:rPr>
            <w:instrText xml:space="preserve"> PAGEREF _Toc3270 \h </w:instrText>
          </w:r>
          <w:r>
            <w:rPr>
              <w:color w:val="auto"/>
            </w:rPr>
            <w:fldChar w:fldCharType="separate"/>
          </w:r>
          <w:r>
            <w:rPr>
              <w:color w:val="auto"/>
            </w:rPr>
            <w:t>55</w:t>
          </w:r>
          <w:r>
            <w:rPr>
              <w:color w:val="auto"/>
            </w:rPr>
            <w:fldChar w:fldCharType="end"/>
          </w:r>
          <w:r>
            <w:rPr>
              <w:rFonts w:hint="eastAsia" w:cs="宋体"/>
              <w:color w:val="auto"/>
              <w:lang w:val="zh-CN"/>
            </w:rPr>
            <w:fldChar w:fldCharType="end"/>
          </w:r>
        </w:p>
        <w:p w14:paraId="63064BA1">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_Toc17561 </w:instrText>
          </w:r>
          <w:r>
            <w:rPr>
              <w:rFonts w:hint="eastAsia" w:cs="宋体"/>
              <w:color w:val="auto"/>
              <w:lang w:val="zh-CN"/>
            </w:rPr>
            <w:fldChar w:fldCharType="separate"/>
          </w:r>
          <w:r>
            <w:rPr>
              <w:rFonts w:hint="eastAsia" w:cs="宋体"/>
              <w:color w:val="auto"/>
              <w:szCs w:val="30"/>
            </w:rPr>
            <w:t>（六）食品卫生安全承诺及保证措施</w:t>
          </w:r>
          <w:r>
            <w:rPr>
              <w:color w:val="auto"/>
            </w:rPr>
            <w:tab/>
          </w:r>
          <w:r>
            <w:rPr>
              <w:color w:val="auto"/>
            </w:rPr>
            <w:fldChar w:fldCharType="begin"/>
          </w:r>
          <w:r>
            <w:rPr>
              <w:color w:val="auto"/>
            </w:rPr>
            <w:instrText xml:space="preserve"> PAGEREF _Toc17561 \h </w:instrText>
          </w:r>
          <w:r>
            <w:rPr>
              <w:color w:val="auto"/>
            </w:rPr>
            <w:fldChar w:fldCharType="separate"/>
          </w:r>
          <w:r>
            <w:rPr>
              <w:color w:val="auto"/>
            </w:rPr>
            <w:t>55</w:t>
          </w:r>
          <w:r>
            <w:rPr>
              <w:color w:val="auto"/>
            </w:rPr>
            <w:fldChar w:fldCharType="end"/>
          </w:r>
          <w:r>
            <w:rPr>
              <w:rFonts w:hint="eastAsia" w:cs="宋体"/>
              <w:color w:val="auto"/>
              <w:lang w:val="zh-CN"/>
            </w:rPr>
            <w:fldChar w:fldCharType="end"/>
          </w:r>
        </w:p>
        <w:p w14:paraId="205EE835">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_Toc26412 </w:instrText>
          </w:r>
          <w:r>
            <w:rPr>
              <w:rFonts w:hint="eastAsia" w:cs="宋体"/>
              <w:color w:val="auto"/>
              <w:lang w:val="zh-CN"/>
            </w:rPr>
            <w:fldChar w:fldCharType="separate"/>
          </w:r>
          <w:r>
            <w:rPr>
              <w:rFonts w:hint="eastAsia" w:cs="宋体"/>
              <w:color w:val="auto"/>
              <w:szCs w:val="30"/>
            </w:rPr>
            <w:t>（七）应急预案</w:t>
          </w:r>
          <w:r>
            <w:rPr>
              <w:color w:val="auto"/>
            </w:rPr>
            <w:tab/>
          </w:r>
          <w:r>
            <w:rPr>
              <w:color w:val="auto"/>
            </w:rPr>
            <w:fldChar w:fldCharType="begin"/>
          </w:r>
          <w:r>
            <w:rPr>
              <w:color w:val="auto"/>
            </w:rPr>
            <w:instrText xml:space="preserve"> PAGEREF _Toc26412 \h </w:instrText>
          </w:r>
          <w:r>
            <w:rPr>
              <w:color w:val="auto"/>
            </w:rPr>
            <w:fldChar w:fldCharType="separate"/>
          </w:r>
          <w:r>
            <w:rPr>
              <w:color w:val="auto"/>
            </w:rPr>
            <w:t>55</w:t>
          </w:r>
          <w:r>
            <w:rPr>
              <w:color w:val="auto"/>
            </w:rPr>
            <w:fldChar w:fldCharType="end"/>
          </w:r>
          <w:r>
            <w:rPr>
              <w:rFonts w:hint="eastAsia" w:cs="宋体"/>
              <w:color w:val="auto"/>
              <w:lang w:val="zh-CN"/>
            </w:rPr>
            <w:fldChar w:fldCharType="end"/>
          </w:r>
        </w:p>
        <w:p w14:paraId="212C8889">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_Toc28861 </w:instrText>
          </w:r>
          <w:r>
            <w:rPr>
              <w:rFonts w:hint="eastAsia" w:cs="宋体"/>
              <w:color w:val="auto"/>
              <w:lang w:val="zh-CN"/>
            </w:rPr>
            <w:fldChar w:fldCharType="separate"/>
          </w:r>
          <w:r>
            <w:rPr>
              <w:rFonts w:hint="eastAsia" w:cs="宋体"/>
              <w:color w:val="auto"/>
              <w:szCs w:val="30"/>
            </w:rPr>
            <w:t>（八）违约责任承诺</w:t>
          </w:r>
          <w:r>
            <w:rPr>
              <w:color w:val="auto"/>
            </w:rPr>
            <w:tab/>
          </w:r>
          <w:r>
            <w:rPr>
              <w:color w:val="auto"/>
            </w:rPr>
            <w:fldChar w:fldCharType="begin"/>
          </w:r>
          <w:r>
            <w:rPr>
              <w:color w:val="auto"/>
            </w:rPr>
            <w:instrText xml:space="preserve"> PAGEREF _Toc28861 \h </w:instrText>
          </w:r>
          <w:r>
            <w:rPr>
              <w:color w:val="auto"/>
            </w:rPr>
            <w:fldChar w:fldCharType="separate"/>
          </w:r>
          <w:r>
            <w:rPr>
              <w:color w:val="auto"/>
            </w:rPr>
            <w:t>55</w:t>
          </w:r>
          <w:r>
            <w:rPr>
              <w:color w:val="auto"/>
            </w:rPr>
            <w:fldChar w:fldCharType="end"/>
          </w:r>
          <w:r>
            <w:rPr>
              <w:rFonts w:hint="eastAsia" w:cs="宋体"/>
              <w:color w:val="auto"/>
              <w:lang w:val="zh-CN"/>
            </w:rPr>
            <w:fldChar w:fldCharType="end"/>
          </w:r>
        </w:p>
        <w:p w14:paraId="76F0CEFD">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_Toc20959 </w:instrText>
          </w:r>
          <w:r>
            <w:rPr>
              <w:rFonts w:hint="eastAsia" w:cs="宋体"/>
              <w:color w:val="auto"/>
              <w:lang w:val="zh-CN"/>
            </w:rPr>
            <w:fldChar w:fldCharType="separate"/>
          </w:r>
          <w:r>
            <w:rPr>
              <w:rFonts w:hint="eastAsia" w:cs="宋体"/>
              <w:color w:val="auto"/>
              <w:szCs w:val="30"/>
            </w:rPr>
            <w:t>（九）招标文件要求及投标人认为有必要提供的其它资料。</w:t>
          </w:r>
          <w:r>
            <w:rPr>
              <w:color w:val="auto"/>
            </w:rPr>
            <w:tab/>
          </w:r>
          <w:r>
            <w:rPr>
              <w:color w:val="auto"/>
            </w:rPr>
            <w:fldChar w:fldCharType="begin"/>
          </w:r>
          <w:r>
            <w:rPr>
              <w:color w:val="auto"/>
            </w:rPr>
            <w:instrText xml:space="preserve"> PAGEREF _Toc20959 \h </w:instrText>
          </w:r>
          <w:r>
            <w:rPr>
              <w:color w:val="auto"/>
            </w:rPr>
            <w:fldChar w:fldCharType="separate"/>
          </w:r>
          <w:r>
            <w:rPr>
              <w:color w:val="auto"/>
            </w:rPr>
            <w:t>55</w:t>
          </w:r>
          <w:r>
            <w:rPr>
              <w:color w:val="auto"/>
            </w:rPr>
            <w:fldChar w:fldCharType="end"/>
          </w:r>
          <w:r>
            <w:rPr>
              <w:rFonts w:hint="eastAsia" w:cs="宋体"/>
              <w:color w:val="auto"/>
              <w:lang w:val="zh-CN"/>
            </w:rPr>
            <w:fldChar w:fldCharType="end"/>
          </w:r>
        </w:p>
        <w:p w14:paraId="7FAF7610">
          <w:pPr>
            <w:pStyle w:val="20"/>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_Toc32742 </w:instrText>
          </w:r>
          <w:r>
            <w:rPr>
              <w:rFonts w:hint="eastAsia" w:cs="宋体"/>
              <w:color w:val="auto"/>
              <w:lang w:val="zh-CN"/>
            </w:rPr>
            <w:fldChar w:fldCharType="separate"/>
          </w:r>
          <w:r>
            <w:rPr>
              <w:rFonts w:hint="eastAsia" w:ascii="宋体" w:hAnsi="宋体" w:eastAsia="宋体" w:cs="宋体"/>
              <w:color w:val="auto"/>
              <w:szCs w:val="18"/>
            </w:rPr>
            <w:t>第五章 采购需求</w:t>
          </w:r>
          <w:r>
            <w:rPr>
              <w:color w:val="auto"/>
            </w:rPr>
            <w:tab/>
          </w:r>
          <w:r>
            <w:rPr>
              <w:color w:val="auto"/>
            </w:rPr>
            <w:fldChar w:fldCharType="begin"/>
          </w:r>
          <w:r>
            <w:rPr>
              <w:color w:val="auto"/>
            </w:rPr>
            <w:instrText xml:space="preserve"> PAGEREF _Toc32742 \h </w:instrText>
          </w:r>
          <w:r>
            <w:rPr>
              <w:color w:val="auto"/>
            </w:rPr>
            <w:fldChar w:fldCharType="separate"/>
          </w:r>
          <w:r>
            <w:rPr>
              <w:color w:val="auto"/>
            </w:rPr>
            <w:t>56</w:t>
          </w:r>
          <w:r>
            <w:rPr>
              <w:color w:val="auto"/>
            </w:rPr>
            <w:fldChar w:fldCharType="end"/>
          </w:r>
          <w:r>
            <w:rPr>
              <w:rFonts w:hint="eastAsia" w:cs="宋体"/>
              <w:color w:val="auto"/>
              <w:lang w:val="zh-CN"/>
            </w:rPr>
            <w:fldChar w:fldCharType="end"/>
          </w:r>
        </w:p>
        <w:p w14:paraId="37D00F60">
          <w:pPr>
            <w:pStyle w:val="20"/>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_Toc24761 </w:instrText>
          </w:r>
          <w:r>
            <w:rPr>
              <w:rFonts w:hint="eastAsia" w:cs="宋体"/>
              <w:color w:val="auto"/>
              <w:lang w:val="zh-CN"/>
            </w:rPr>
            <w:fldChar w:fldCharType="separate"/>
          </w:r>
          <w:r>
            <w:rPr>
              <w:rFonts w:hint="eastAsia" w:ascii="宋体" w:hAnsi="宋体" w:eastAsia="宋体" w:cs="宋体"/>
              <w:color w:val="auto"/>
              <w:szCs w:val="18"/>
            </w:rPr>
            <w:t>第六章 资格审查</w:t>
          </w:r>
          <w:r>
            <w:rPr>
              <w:color w:val="auto"/>
            </w:rPr>
            <w:tab/>
          </w:r>
          <w:r>
            <w:rPr>
              <w:color w:val="auto"/>
            </w:rPr>
            <w:fldChar w:fldCharType="begin"/>
          </w:r>
          <w:r>
            <w:rPr>
              <w:color w:val="auto"/>
            </w:rPr>
            <w:instrText xml:space="preserve"> PAGEREF _Toc24761 \h </w:instrText>
          </w:r>
          <w:r>
            <w:rPr>
              <w:color w:val="auto"/>
            </w:rPr>
            <w:fldChar w:fldCharType="separate"/>
          </w:r>
          <w:r>
            <w:rPr>
              <w:color w:val="auto"/>
            </w:rPr>
            <w:t>101</w:t>
          </w:r>
          <w:r>
            <w:rPr>
              <w:color w:val="auto"/>
            </w:rPr>
            <w:fldChar w:fldCharType="end"/>
          </w:r>
          <w:r>
            <w:rPr>
              <w:rFonts w:hint="eastAsia" w:cs="宋体"/>
              <w:color w:val="auto"/>
              <w:lang w:val="zh-CN"/>
            </w:rPr>
            <w:fldChar w:fldCharType="end"/>
          </w:r>
        </w:p>
        <w:p w14:paraId="0117F5A1">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_Toc8191 </w:instrText>
          </w:r>
          <w:r>
            <w:rPr>
              <w:rFonts w:hint="eastAsia" w:cs="宋体"/>
              <w:color w:val="auto"/>
              <w:lang w:val="zh-CN"/>
            </w:rPr>
            <w:fldChar w:fldCharType="separate"/>
          </w:r>
          <w:r>
            <w:rPr>
              <w:rFonts w:hint="eastAsia" w:hAnsi="宋体" w:eastAsia="宋体" w:cs="宋体"/>
              <w:color w:val="auto"/>
            </w:rPr>
            <w:t>资格审查前附表</w:t>
          </w:r>
          <w:r>
            <w:rPr>
              <w:color w:val="auto"/>
            </w:rPr>
            <w:tab/>
          </w:r>
          <w:r>
            <w:rPr>
              <w:color w:val="auto"/>
            </w:rPr>
            <w:fldChar w:fldCharType="begin"/>
          </w:r>
          <w:r>
            <w:rPr>
              <w:color w:val="auto"/>
            </w:rPr>
            <w:instrText xml:space="preserve"> PAGEREF _Toc8191 \h </w:instrText>
          </w:r>
          <w:r>
            <w:rPr>
              <w:color w:val="auto"/>
            </w:rPr>
            <w:fldChar w:fldCharType="separate"/>
          </w:r>
          <w:r>
            <w:rPr>
              <w:color w:val="auto"/>
            </w:rPr>
            <w:t>101</w:t>
          </w:r>
          <w:r>
            <w:rPr>
              <w:color w:val="auto"/>
            </w:rPr>
            <w:fldChar w:fldCharType="end"/>
          </w:r>
          <w:r>
            <w:rPr>
              <w:rFonts w:hint="eastAsia" w:cs="宋体"/>
              <w:color w:val="auto"/>
              <w:lang w:val="zh-CN"/>
            </w:rPr>
            <w:fldChar w:fldCharType="end"/>
          </w:r>
        </w:p>
        <w:p w14:paraId="72F8057F">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_Toc5536 </w:instrText>
          </w:r>
          <w:r>
            <w:rPr>
              <w:rFonts w:hint="eastAsia" w:cs="宋体"/>
              <w:color w:val="auto"/>
              <w:lang w:val="zh-CN"/>
            </w:rPr>
            <w:fldChar w:fldCharType="separate"/>
          </w:r>
          <w:r>
            <w:rPr>
              <w:rFonts w:hint="eastAsia" w:hAnsi="宋体" w:eastAsia="宋体" w:cs="宋体"/>
              <w:color w:val="auto"/>
            </w:rPr>
            <w:t>1.资格审查</w:t>
          </w:r>
          <w:r>
            <w:rPr>
              <w:color w:val="auto"/>
            </w:rPr>
            <w:tab/>
          </w:r>
          <w:r>
            <w:rPr>
              <w:color w:val="auto"/>
            </w:rPr>
            <w:fldChar w:fldCharType="begin"/>
          </w:r>
          <w:r>
            <w:rPr>
              <w:color w:val="auto"/>
            </w:rPr>
            <w:instrText xml:space="preserve"> PAGEREF _Toc5536 \h </w:instrText>
          </w:r>
          <w:r>
            <w:rPr>
              <w:color w:val="auto"/>
            </w:rPr>
            <w:fldChar w:fldCharType="separate"/>
          </w:r>
          <w:r>
            <w:rPr>
              <w:color w:val="auto"/>
            </w:rPr>
            <w:t>102</w:t>
          </w:r>
          <w:r>
            <w:rPr>
              <w:color w:val="auto"/>
            </w:rPr>
            <w:fldChar w:fldCharType="end"/>
          </w:r>
          <w:r>
            <w:rPr>
              <w:rFonts w:hint="eastAsia" w:cs="宋体"/>
              <w:color w:val="auto"/>
              <w:lang w:val="zh-CN"/>
            </w:rPr>
            <w:fldChar w:fldCharType="end"/>
          </w:r>
        </w:p>
        <w:p w14:paraId="12642C93">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_Toc20558 </w:instrText>
          </w:r>
          <w:r>
            <w:rPr>
              <w:rFonts w:hint="eastAsia" w:cs="宋体"/>
              <w:color w:val="auto"/>
              <w:lang w:val="zh-CN"/>
            </w:rPr>
            <w:fldChar w:fldCharType="separate"/>
          </w:r>
          <w:r>
            <w:rPr>
              <w:rFonts w:hint="eastAsia" w:hAnsi="宋体" w:eastAsia="宋体" w:cs="宋体"/>
              <w:color w:val="auto"/>
            </w:rPr>
            <w:t>2.资格审查报告</w:t>
          </w:r>
          <w:r>
            <w:rPr>
              <w:color w:val="auto"/>
            </w:rPr>
            <w:tab/>
          </w:r>
          <w:r>
            <w:rPr>
              <w:color w:val="auto"/>
            </w:rPr>
            <w:fldChar w:fldCharType="begin"/>
          </w:r>
          <w:r>
            <w:rPr>
              <w:color w:val="auto"/>
            </w:rPr>
            <w:instrText xml:space="preserve"> PAGEREF _Toc20558 \h </w:instrText>
          </w:r>
          <w:r>
            <w:rPr>
              <w:color w:val="auto"/>
            </w:rPr>
            <w:fldChar w:fldCharType="separate"/>
          </w:r>
          <w:r>
            <w:rPr>
              <w:color w:val="auto"/>
            </w:rPr>
            <w:t>102</w:t>
          </w:r>
          <w:r>
            <w:rPr>
              <w:color w:val="auto"/>
            </w:rPr>
            <w:fldChar w:fldCharType="end"/>
          </w:r>
          <w:r>
            <w:rPr>
              <w:rFonts w:hint="eastAsia" w:cs="宋体"/>
              <w:color w:val="auto"/>
              <w:lang w:val="zh-CN"/>
            </w:rPr>
            <w:fldChar w:fldCharType="end"/>
          </w:r>
        </w:p>
        <w:p w14:paraId="4834120F">
          <w:pPr>
            <w:pStyle w:val="20"/>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_Toc27583 </w:instrText>
          </w:r>
          <w:r>
            <w:rPr>
              <w:rFonts w:hint="eastAsia" w:cs="宋体"/>
              <w:color w:val="auto"/>
              <w:lang w:val="zh-CN"/>
            </w:rPr>
            <w:fldChar w:fldCharType="separate"/>
          </w:r>
          <w:r>
            <w:rPr>
              <w:rFonts w:hint="eastAsia" w:ascii="宋体" w:hAnsi="宋体" w:eastAsia="宋体" w:cs="宋体"/>
              <w:color w:val="auto"/>
              <w:szCs w:val="18"/>
            </w:rPr>
            <w:t>第七章 评标方法（综合评分法）</w:t>
          </w:r>
          <w:r>
            <w:rPr>
              <w:color w:val="auto"/>
            </w:rPr>
            <w:tab/>
          </w:r>
          <w:r>
            <w:rPr>
              <w:color w:val="auto"/>
            </w:rPr>
            <w:fldChar w:fldCharType="begin"/>
          </w:r>
          <w:r>
            <w:rPr>
              <w:color w:val="auto"/>
            </w:rPr>
            <w:instrText xml:space="preserve"> PAGEREF _Toc27583 \h </w:instrText>
          </w:r>
          <w:r>
            <w:rPr>
              <w:color w:val="auto"/>
            </w:rPr>
            <w:fldChar w:fldCharType="separate"/>
          </w:r>
          <w:r>
            <w:rPr>
              <w:color w:val="auto"/>
            </w:rPr>
            <w:t>103</w:t>
          </w:r>
          <w:r>
            <w:rPr>
              <w:color w:val="auto"/>
            </w:rPr>
            <w:fldChar w:fldCharType="end"/>
          </w:r>
          <w:r>
            <w:rPr>
              <w:rFonts w:hint="eastAsia" w:cs="宋体"/>
              <w:color w:val="auto"/>
              <w:lang w:val="zh-CN"/>
            </w:rPr>
            <w:fldChar w:fldCharType="end"/>
          </w:r>
        </w:p>
        <w:p w14:paraId="0EDF4E97">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_Toc7277 </w:instrText>
          </w:r>
          <w:r>
            <w:rPr>
              <w:rFonts w:hint="eastAsia" w:cs="宋体"/>
              <w:color w:val="auto"/>
              <w:lang w:val="zh-CN"/>
            </w:rPr>
            <w:fldChar w:fldCharType="separate"/>
          </w:r>
          <w:r>
            <w:rPr>
              <w:rFonts w:hint="eastAsia" w:hAnsi="宋体" w:eastAsia="宋体" w:cs="宋体"/>
              <w:color w:val="auto"/>
            </w:rPr>
            <w:t>评标方法前附表</w:t>
          </w:r>
          <w:r>
            <w:rPr>
              <w:color w:val="auto"/>
            </w:rPr>
            <w:tab/>
          </w:r>
          <w:r>
            <w:rPr>
              <w:color w:val="auto"/>
            </w:rPr>
            <w:fldChar w:fldCharType="begin"/>
          </w:r>
          <w:r>
            <w:rPr>
              <w:color w:val="auto"/>
            </w:rPr>
            <w:instrText xml:space="preserve"> PAGEREF _Toc7277 \h </w:instrText>
          </w:r>
          <w:r>
            <w:rPr>
              <w:color w:val="auto"/>
            </w:rPr>
            <w:fldChar w:fldCharType="separate"/>
          </w:r>
          <w:r>
            <w:rPr>
              <w:color w:val="auto"/>
            </w:rPr>
            <w:t>103</w:t>
          </w:r>
          <w:r>
            <w:rPr>
              <w:color w:val="auto"/>
            </w:rPr>
            <w:fldChar w:fldCharType="end"/>
          </w:r>
          <w:r>
            <w:rPr>
              <w:rFonts w:hint="eastAsia" w:cs="宋体"/>
              <w:color w:val="auto"/>
              <w:lang w:val="zh-CN"/>
            </w:rPr>
            <w:fldChar w:fldCharType="end"/>
          </w:r>
        </w:p>
        <w:p w14:paraId="56E97887">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_Toc4369 </w:instrText>
          </w:r>
          <w:r>
            <w:rPr>
              <w:rFonts w:hint="eastAsia" w:cs="宋体"/>
              <w:color w:val="auto"/>
              <w:lang w:val="zh-CN"/>
            </w:rPr>
            <w:fldChar w:fldCharType="separate"/>
          </w:r>
          <w:r>
            <w:rPr>
              <w:rFonts w:hint="eastAsia" w:cs="宋体"/>
              <w:bCs/>
              <w:color w:val="auto"/>
              <w:kern w:val="0"/>
              <w:szCs w:val="20"/>
            </w:rPr>
            <w:t>一、</w:t>
          </w:r>
          <w:r>
            <w:rPr>
              <w:rFonts w:hint="eastAsia" w:cs="宋体"/>
              <w:color w:val="auto"/>
              <w:kern w:val="0"/>
              <w:szCs w:val="28"/>
            </w:rPr>
            <w:t>评标方法</w:t>
          </w:r>
          <w:r>
            <w:rPr>
              <w:color w:val="auto"/>
            </w:rPr>
            <w:tab/>
          </w:r>
          <w:r>
            <w:rPr>
              <w:color w:val="auto"/>
            </w:rPr>
            <w:fldChar w:fldCharType="begin"/>
          </w:r>
          <w:r>
            <w:rPr>
              <w:color w:val="auto"/>
            </w:rPr>
            <w:instrText xml:space="preserve"> PAGEREF _Toc4369 \h </w:instrText>
          </w:r>
          <w:r>
            <w:rPr>
              <w:color w:val="auto"/>
            </w:rPr>
            <w:fldChar w:fldCharType="separate"/>
          </w:r>
          <w:r>
            <w:rPr>
              <w:color w:val="auto"/>
            </w:rPr>
            <w:t>108</w:t>
          </w:r>
          <w:r>
            <w:rPr>
              <w:color w:val="auto"/>
            </w:rPr>
            <w:fldChar w:fldCharType="end"/>
          </w:r>
          <w:r>
            <w:rPr>
              <w:rFonts w:hint="eastAsia" w:cs="宋体"/>
              <w:color w:val="auto"/>
              <w:lang w:val="zh-CN"/>
            </w:rPr>
            <w:fldChar w:fldCharType="end"/>
          </w:r>
        </w:p>
        <w:p w14:paraId="7F92E021">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_Toc12295 </w:instrText>
          </w:r>
          <w:r>
            <w:rPr>
              <w:rFonts w:hint="eastAsia" w:cs="宋体"/>
              <w:color w:val="auto"/>
              <w:lang w:val="zh-CN"/>
            </w:rPr>
            <w:fldChar w:fldCharType="separate"/>
          </w:r>
          <w:r>
            <w:rPr>
              <w:rFonts w:hint="eastAsia" w:cs="宋体"/>
              <w:color w:val="auto"/>
              <w:kern w:val="0"/>
              <w:szCs w:val="28"/>
            </w:rPr>
            <w:t>二、评审标准</w:t>
          </w:r>
          <w:r>
            <w:rPr>
              <w:color w:val="auto"/>
            </w:rPr>
            <w:tab/>
          </w:r>
          <w:r>
            <w:rPr>
              <w:color w:val="auto"/>
            </w:rPr>
            <w:fldChar w:fldCharType="begin"/>
          </w:r>
          <w:r>
            <w:rPr>
              <w:color w:val="auto"/>
            </w:rPr>
            <w:instrText xml:space="preserve"> PAGEREF _Toc12295 \h </w:instrText>
          </w:r>
          <w:r>
            <w:rPr>
              <w:color w:val="auto"/>
            </w:rPr>
            <w:fldChar w:fldCharType="separate"/>
          </w:r>
          <w:r>
            <w:rPr>
              <w:color w:val="auto"/>
            </w:rPr>
            <w:t>108</w:t>
          </w:r>
          <w:r>
            <w:rPr>
              <w:color w:val="auto"/>
            </w:rPr>
            <w:fldChar w:fldCharType="end"/>
          </w:r>
          <w:r>
            <w:rPr>
              <w:rFonts w:hint="eastAsia" w:cs="宋体"/>
              <w:color w:val="auto"/>
              <w:lang w:val="zh-CN"/>
            </w:rPr>
            <w:fldChar w:fldCharType="end"/>
          </w:r>
        </w:p>
        <w:p w14:paraId="5DA1385A">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_Toc27056 </w:instrText>
          </w:r>
          <w:r>
            <w:rPr>
              <w:rFonts w:hint="eastAsia" w:cs="宋体"/>
              <w:color w:val="auto"/>
              <w:lang w:val="zh-CN"/>
            </w:rPr>
            <w:fldChar w:fldCharType="separate"/>
          </w:r>
          <w:r>
            <w:rPr>
              <w:rFonts w:hint="eastAsia" w:cs="宋体"/>
              <w:color w:val="auto"/>
              <w:kern w:val="0"/>
              <w:szCs w:val="28"/>
            </w:rPr>
            <w:t>三、评标程序</w:t>
          </w:r>
          <w:r>
            <w:rPr>
              <w:color w:val="auto"/>
            </w:rPr>
            <w:tab/>
          </w:r>
          <w:r>
            <w:rPr>
              <w:color w:val="auto"/>
            </w:rPr>
            <w:fldChar w:fldCharType="begin"/>
          </w:r>
          <w:r>
            <w:rPr>
              <w:color w:val="auto"/>
            </w:rPr>
            <w:instrText xml:space="preserve"> PAGEREF _Toc27056 \h </w:instrText>
          </w:r>
          <w:r>
            <w:rPr>
              <w:color w:val="auto"/>
            </w:rPr>
            <w:fldChar w:fldCharType="separate"/>
          </w:r>
          <w:r>
            <w:rPr>
              <w:color w:val="auto"/>
            </w:rPr>
            <w:t>109</w:t>
          </w:r>
          <w:r>
            <w:rPr>
              <w:color w:val="auto"/>
            </w:rPr>
            <w:fldChar w:fldCharType="end"/>
          </w:r>
          <w:r>
            <w:rPr>
              <w:rFonts w:hint="eastAsia" w:cs="宋体"/>
              <w:color w:val="auto"/>
              <w:lang w:val="zh-CN"/>
            </w:rPr>
            <w:fldChar w:fldCharType="end"/>
          </w:r>
        </w:p>
        <w:p w14:paraId="7943B2EE">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_Toc4483 </w:instrText>
          </w:r>
          <w:r>
            <w:rPr>
              <w:rFonts w:hint="eastAsia" w:cs="宋体"/>
              <w:color w:val="auto"/>
              <w:lang w:val="zh-CN"/>
            </w:rPr>
            <w:fldChar w:fldCharType="separate"/>
          </w:r>
          <w:r>
            <w:rPr>
              <w:rFonts w:hint="eastAsia" w:cs="宋体"/>
              <w:color w:val="auto"/>
              <w:kern w:val="0"/>
              <w:szCs w:val="28"/>
            </w:rPr>
            <w:t>四、其它</w:t>
          </w:r>
          <w:r>
            <w:rPr>
              <w:color w:val="auto"/>
            </w:rPr>
            <w:tab/>
          </w:r>
          <w:r>
            <w:rPr>
              <w:color w:val="auto"/>
            </w:rPr>
            <w:fldChar w:fldCharType="begin"/>
          </w:r>
          <w:r>
            <w:rPr>
              <w:color w:val="auto"/>
            </w:rPr>
            <w:instrText xml:space="preserve"> PAGEREF _Toc4483 \h </w:instrText>
          </w:r>
          <w:r>
            <w:rPr>
              <w:color w:val="auto"/>
            </w:rPr>
            <w:fldChar w:fldCharType="separate"/>
          </w:r>
          <w:r>
            <w:rPr>
              <w:color w:val="auto"/>
            </w:rPr>
            <w:t>110</w:t>
          </w:r>
          <w:r>
            <w:rPr>
              <w:color w:val="auto"/>
            </w:rPr>
            <w:fldChar w:fldCharType="end"/>
          </w:r>
          <w:r>
            <w:rPr>
              <w:rFonts w:hint="eastAsia" w:cs="宋体"/>
              <w:color w:val="auto"/>
              <w:lang w:val="zh-CN"/>
            </w:rPr>
            <w:fldChar w:fldCharType="end"/>
          </w:r>
        </w:p>
        <w:p w14:paraId="055678AB">
          <w:pPr>
            <w:pStyle w:val="20"/>
            <w:tabs>
              <w:tab w:val="right" w:leader="dot" w:pos="9060"/>
            </w:tabs>
            <w:ind w:firstLine="0" w:firstLineChars="0"/>
            <w:rPr>
              <w:rFonts w:hint="eastAsia"/>
              <w:color w:val="auto"/>
            </w:rPr>
          </w:pPr>
          <w:r>
            <w:rPr>
              <w:rFonts w:hint="eastAsia" w:cs="宋体"/>
              <w:color w:val="auto"/>
              <w:lang w:val="zh-CN"/>
            </w:rPr>
            <w:fldChar w:fldCharType="end"/>
          </w:r>
        </w:p>
      </w:sdtContent>
    </w:sdt>
    <w:p w14:paraId="7A57F46D">
      <w:pPr>
        <w:pStyle w:val="3"/>
        <w:spacing w:before="120" w:after="120"/>
        <w:ind w:firstLine="803"/>
        <w:rPr>
          <w:rFonts w:hint="eastAsia" w:ascii="宋体" w:hAnsi="宋体" w:eastAsia="宋体" w:cs="宋体"/>
          <w:color w:val="auto"/>
        </w:rPr>
        <w:sectPr>
          <w:pgSz w:w="11900" w:h="16838"/>
          <w:pgMar w:top="1417" w:right="1417" w:bottom="1417" w:left="1417" w:header="850" w:footer="850" w:gutter="0"/>
          <w:pgNumType w:fmt="upperRoman"/>
          <w:cols w:space="0" w:num="1"/>
          <w:titlePg/>
          <w:docGrid w:linePitch="360" w:charSpace="0"/>
        </w:sectPr>
      </w:pPr>
      <w:bookmarkStart w:id="7" w:name="_Toc81"/>
      <w:bookmarkStart w:id="8" w:name="_Toc36116030"/>
    </w:p>
    <w:bookmarkEnd w:id="4"/>
    <w:bookmarkEnd w:id="5"/>
    <w:bookmarkEnd w:id="6"/>
    <w:bookmarkEnd w:id="7"/>
    <w:bookmarkEnd w:id="8"/>
    <w:p w14:paraId="3B814A81">
      <w:pPr>
        <w:pStyle w:val="3"/>
        <w:spacing w:before="120" w:after="120"/>
        <w:ind w:firstLine="723"/>
        <w:rPr>
          <w:rFonts w:ascii="宋体" w:hAnsi="宋体" w:eastAsia="宋体" w:cs="宋体"/>
          <w:color w:val="auto"/>
          <w:sz w:val="32"/>
          <w:szCs w:val="18"/>
        </w:rPr>
      </w:pPr>
      <w:bookmarkStart w:id="9" w:name="_Toc174628153"/>
      <w:bookmarkStart w:id="10" w:name="_Toc9692"/>
      <w:bookmarkStart w:id="11" w:name="_Toc482610877"/>
      <w:bookmarkStart w:id="12" w:name="_Toc498512113"/>
      <w:bookmarkStart w:id="13" w:name="_Toc35701769"/>
      <w:bookmarkStart w:id="14" w:name="_Toc35700912"/>
      <w:bookmarkStart w:id="15" w:name="_Toc35700983"/>
      <w:bookmarkStart w:id="16" w:name="_Toc36116038"/>
      <w:bookmarkStart w:id="17" w:name="_Toc25060"/>
      <w:r>
        <w:rPr>
          <w:rFonts w:hint="eastAsia" w:ascii="宋体" w:hAnsi="宋体" w:eastAsia="宋体" w:cs="宋体"/>
          <w:color w:val="auto"/>
          <w:sz w:val="32"/>
          <w:szCs w:val="18"/>
        </w:rPr>
        <w:t>第一章 招标公告</w:t>
      </w:r>
      <w:bookmarkEnd w:id="9"/>
      <w:bookmarkEnd w:id="10"/>
    </w:p>
    <w:tbl>
      <w:tblPr>
        <w:tblStyle w:val="7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9282"/>
      </w:tblGrid>
      <w:tr w14:paraId="3915CE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5000" w:type="pct"/>
          </w:tcPr>
          <w:p w14:paraId="6A140C94">
            <w:pPr>
              <w:keepNext/>
              <w:keepLines/>
              <w:ind w:firstLine="0" w:firstLineChars="0"/>
              <w:outlineLvl w:val="1"/>
              <w:rPr>
                <w:rFonts w:cs="宋体"/>
                <w:b/>
                <w:bCs/>
                <w:color w:val="auto"/>
                <w:kern w:val="0"/>
              </w:rPr>
            </w:pPr>
            <w:bookmarkStart w:id="18" w:name="_Toc26729"/>
            <w:bookmarkStart w:id="19" w:name="_Toc44576552"/>
            <w:bookmarkStart w:id="20" w:name="_Toc174628154"/>
            <w:bookmarkStart w:id="21" w:name="_Toc25949"/>
            <w:r>
              <w:rPr>
                <w:rFonts w:hint="eastAsia" w:cs="宋体"/>
                <w:b/>
                <w:bCs/>
                <w:color w:val="auto"/>
                <w:kern w:val="0"/>
              </w:rPr>
              <w:t>项目概况</w:t>
            </w:r>
            <w:bookmarkEnd w:id="18"/>
            <w:bookmarkEnd w:id="19"/>
            <w:bookmarkEnd w:id="20"/>
            <w:bookmarkEnd w:id="21"/>
          </w:p>
          <w:p w14:paraId="1E33822E">
            <w:pPr>
              <w:ind w:firstLine="422"/>
              <w:rPr>
                <w:rFonts w:cs="宋体"/>
                <w:color w:val="auto"/>
                <w:kern w:val="0"/>
              </w:rPr>
            </w:pPr>
            <w:r>
              <w:rPr>
                <w:rFonts w:hint="eastAsia" w:cs="宋体"/>
                <w:b w:val="0"/>
                <w:bCs w:val="0"/>
                <w:color w:val="auto"/>
                <w:kern w:val="0"/>
                <w:u w:val="single"/>
                <w:lang w:eastAsia="zh-CN"/>
              </w:rPr>
              <w:t>永德县教育体育局2025-2026学年农村义务教育学校食用油及干货调味料采购项目</w:t>
            </w:r>
            <w:r>
              <w:rPr>
                <w:rFonts w:hint="eastAsia" w:cs="宋体"/>
                <w:color w:val="auto"/>
                <w:kern w:val="0"/>
              </w:rPr>
              <w:t>的潜在投标人应在</w:t>
            </w:r>
            <w:r>
              <w:rPr>
                <w:rFonts w:hint="eastAsia" w:cs="宋体"/>
                <w:color w:val="auto"/>
                <w:kern w:val="0"/>
                <w:u w:val="single"/>
                <w:lang w:eastAsia="zh-CN"/>
              </w:rPr>
              <w:t>政采云平台（https://www.zcygov.cn/）</w:t>
            </w:r>
            <w:r>
              <w:rPr>
                <w:rFonts w:hint="eastAsia" w:cs="宋体"/>
                <w:color w:val="auto"/>
                <w:kern w:val="0"/>
              </w:rPr>
              <w:t>获取招标文件，并于</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2025年</w:t>
            </w:r>
            <w:r>
              <w:rPr>
                <w:rFonts w:hint="eastAsia" w:cs="宋体"/>
                <w:color w:val="auto"/>
                <w:sz w:val="21"/>
                <w:szCs w:val="21"/>
                <w:u w:val="single"/>
                <w:lang w:val="en-US" w:eastAsia="zh-CN"/>
              </w:rPr>
              <w:t>09</w:t>
            </w:r>
            <w:r>
              <w:rPr>
                <w:rFonts w:hint="eastAsia" w:ascii="宋体" w:hAnsi="宋体" w:eastAsia="宋体" w:cs="宋体"/>
                <w:color w:val="auto"/>
                <w:sz w:val="21"/>
                <w:szCs w:val="21"/>
                <w:u w:val="single"/>
                <w:lang w:val="en-US" w:eastAsia="zh-CN"/>
              </w:rPr>
              <w:t>月</w:t>
            </w:r>
            <w:r>
              <w:rPr>
                <w:rFonts w:hint="eastAsia" w:cs="宋体"/>
                <w:color w:val="auto"/>
                <w:sz w:val="21"/>
                <w:szCs w:val="21"/>
                <w:u w:val="single"/>
                <w:lang w:val="en-US" w:eastAsia="zh-CN"/>
              </w:rPr>
              <w:t>03</w:t>
            </w:r>
            <w:r>
              <w:rPr>
                <w:rFonts w:hint="eastAsia" w:ascii="宋体" w:hAnsi="宋体" w:eastAsia="宋体" w:cs="宋体"/>
                <w:color w:val="auto"/>
                <w:sz w:val="21"/>
                <w:szCs w:val="21"/>
                <w:u w:val="single"/>
                <w:lang w:val="en-US" w:eastAsia="zh-CN"/>
              </w:rPr>
              <w:t>日</w:t>
            </w:r>
            <w:r>
              <w:rPr>
                <w:rFonts w:hint="eastAsia" w:cs="宋体"/>
                <w:color w:val="auto"/>
                <w:sz w:val="21"/>
                <w:szCs w:val="21"/>
                <w:u w:val="single"/>
                <w:lang w:val="en-US" w:eastAsia="zh-CN"/>
              </w:rPr>
              <w:t>14</w:t>
            </w:r>
            <w:r>
              <w:rPr>
                <w:rFonts w:hint="eastAsia" w:ascii="宋体" w:hAnsi="宋体" w:eastAsia="宋体" w:cs="宋体"/>
                <w:color w:val="auto"/>
                <w:sz w:val="21"/>
                <w:szCs w:val="21"/>
                <w:u w:val="single"/>
                <w:lang w:val="en-US" w:eastAsia="zh-CN"/>
              </w:rPr>
              <w:t>点00分</w:t>
            </w:r>
            <w:r>
              <w:rPr>
                <w:rFonts w:hint="eastAsia" w:cs="宋体"/>
                <w:color w:val="auto"/>
                <w:kern w:val="0"/>
              </w:rPr>
              <w:t>（北京时间）前递交投标文件。</w:t>
            </w:r>
          </w:p>
        </w:tc>
      </w:tr>
    </w:tbl>
    <w:p w14:paraId="1494F3F7">
      <w:pPr>
        <w:pStyle w:val="44"/>
        <w:spacing w:line="360" w:lineRule="auto"/>
        <w:jc w:val="left"/>
        <w:rPr>
          <w:rFonts w:hint="eastAsia" w:ascii="宋体" w:hAnsi="宋体" w:eastAsia="宋体" w:cs="宋体"/>
          <w:color w:val="auto"/>
          <w:sz w:val="24"/>
          <w:szCs w:val="24"/>
          <w:lang w:val="en-US" w:eastAsia="zh-CN"/>
        </w:rPr>
      </w:pPr>
      <w:bookmarkStart w:id="22" w:name="_Toc28359002"/>
      <w:bookmarkStart w:id="23" w:name="_Toc44576553"/>
      <w:bookmarkStart w:id="24" w:name="_Toc28359079"/>
      <w:bookmarkStart w:id="25" w:name="_Toc2883"/>
      <w:bookmarkStart w:id="26" w:name="_Toc35393621"/>
      <w:bookmarkStart w:id="27" w:name="_Toc35393790"/>
      <w:bookmarkStart w:id="28" w:name="_Toc174628155"/>
      <w:bookmarkStart w:id="29" w:name="_Toc12320"/>
      <w:bookmarkStart w:id="30" w:name="_Hlk24379207"/>
      <w:r>
        <w:rPr>
          <w:rFonts w:hint="eastAsia" w:ascii="宋体" w:hAnsi="宋体" w:eastAsia="宋体" w:cs="宋体"/>
          <w:color w:val="auto"/>
          <w:sz w:val="24"/>
          <w:szCs w:val="24"/>
          <w:lang w:val="en-US" w:eastAsia="zh-CN"/>
        </w:rPr>
        <w:t>一、项目基本情况</w:t>
      </w:r>
      <w:bookmarkEnd w:id="22"/>
      <w:bookmarkEnd w:id="23"/>
      <w:bookmarkEnd w:id="24"/>
      <w:bookmarkEnd w:id="25"/>
      <w:bookmarkEnd w:id="26"/>
      <w:bookmarkEnd w:id="27"/>
      <w:bookmarkEnd w:id="28"/>
      <w:bookmarkEnd w:id="29"/>
    </w:p>
    <w:p w14:paraId="3160185B">
      <w:pPr>
        <w:ind w:firstLine="422"/>
        <w:rPr>
          <w:rFonts w:cs="宋体"/>
          <w:color w:val="auto"/>
          <w:u w:val="single"/>
        </w:rPr>
      </w:pPr>
      <w:r>
        <w:rPr>
          <w:rFonts w:hint="eastAsia" w:cs="宋体"/>
          <w:b/>
          <w:bCs/>
          <w:color w:val="auto"/>
        </w:rPr>
        <w:t>1.项目编号：</w:t>
      </w:r>
      <w:r>
        <w:rPr>
          <w:rFonts w:hint="eastAsia" w:cs="宋体"/>
          <w:b/>
          <w:bCs/>
          <w:color w:val="auto"/>
          <w:lang w:eastAsia="zh-CN"/>
        </w:rPr>
        <w:t>LCZC2025-G1-00576-YNLC-0008</w:t>
      </w:r>
      <w:r>
        <w:rPr>
          <w:rFonts w:hint="eastAsia" w:cs="宋体"/>
          <w:color w:val="auto"/>
        </w:rPr>
        <w:t>；</w:t>
      </w:r>
    </w:p>
    <w:p w14:paraId="4E933BCA">
      <w:pPr>
        <w:ind w:firstLine="422"/>
        <w:rPr>
          <w:rFonts w:hint="eastAsia" w:cs="宋体"/>
          <w:color w:val="auto"/>
        </w:rPr>
      </w:pPr>
      <w:r>
        <w:rPr>
          <w:rFonts w:hint="eastAsia" w:cs="宋体"/>
          <w:b/>
          <w:bCs/>
          <w:color w:val="auto"/>
        </w:rPr>
        <w:t>2.项目名称</w:t>
      </w:r>
      <w:r>
        <w:rPr>
          <w:rFonts w:hint="eastAsia" w:cs="宋体"/>
          <w:color w:val="auto"/>
        </w:rPr>
        <w:t>：</w:t>
      </w:r>
      <w:r>
        <w:rPr>
          <w:rFonts w:hint="eastAsia" w:cs="宋体"/>
          <w:color w:val="auto"/>
          <w:lang w:eastAsia="zh-CN"/>
        </w:rPr>
        <w:t>永德县教育体育局2025-2026学年农村义务教育学校食用油及干货调味料采购项目</w:t>
      </w:r>
      <w:r>
        <w:rPr>
          <w:rFonts w:hint="eastAsia" w:cs="宋体"/>
          <w:color w:val="auto"/>
        </w:rPr>
        <w:t>；</w:t>
      </w:r>
    </w:p>
    <w:p w14:paraId="28BA8158">
      <w:pPr>
        <w:pStyle w:val="10"/>
        <w:rPr>
          <w:rFonts w:hint="eastAsia" w:cs="宋体"/>
          <w:color w:val="auto"/>
          <w:sz w:val="21"/>
          <w:szCs w:val="21"/>
          <w:lang w:val="en-US" w:eastAsia="zh-CN"/>
        </w:rPr>
      </w:pPr>
      <w:r>
        <w:rPr>
          <w:rFonts w:hint="eastAsia" w:cs="宋体"/>
          <w:b/>
          <w:bCs/>
          <w:color w:val="auto"/>
          <w:sz w:val="21"/>
          <w:szCs w:val="21"/>
          <w:lang w:val="en-US" w:eastAsia="zh-CN"/>
        </w:rPr>
        <w:t>3.标包划分：</w:t>
      </w:r>
      <w:r>
        <w:rPr>
          <w:rFonts w:hint="eastAsia" w:cs="宋体"/>
          <w:color w:val="auto"/>
          <w:sz w:val="21"/>
          <w:szCs w:val="21"/>
          <w:lang w:val="en-US" w:eastAsia="zh-CN"/>
        </w:rPr>
        <w:t>本项目共一个标段。</w:t>
      </w:r>
    </w:p>
    <w:bookmarkEnd w:id="30"/>
    <w:p w14:paraId="0169A155">
      <w:pPr>
        <w:ind w:firstLine="422"/>
        <w:rPr>
          <w:rFonts w:hint="eastAsia" w:eastAsia="宋体" w:cs="宋体"/>
          <w:color w:val="auto"/>
          <w:lang w:eastAsia="zh-CN"/>
        </w:rPr>
      </w:pPr>
      <w:r>
        <w:rPr>
          <w:rFonts w:hint="eastAsia" w:cs="宋体"/>
          <w:b/>
          <w:bCs/>
          <w:color w:val="auto"/>
          <w:lang w:val="en-US" w:eastAsia="zh-CN"/>
        </w:rPr>
        <w:t>4</w:t>
      </w:r>
      <w:r>
        <w:rPr>
          <w:rFonts w:hint="eastAsia" w:cs="宋体"/>
          <w:b/>
          <w:bCs/>
          <w:color w:val="auto"/>
        </w:rPr>
        <w:t>.预算金额</w:t>
      </w:r>
      <w:r>
        <w:rPr>
          <w:rFonts w:hint="eastAsia" w:cs="宋体"/>
          <w:color w:val="auto"/>
        </w:rPr>
        <w:t>：6004216.12元</w:t>
      </w:r>
      <w:r>
        <w:rPr>
          <w:rFonts w:hint="eastAsia" w:cs="宋体"/>
          <w:color w:val="auto"/>
          <w:lang w:eastAsia="zh-CN"/>
        </w:rPr>
        <w:t>。</w:t>
      </w:r>
    </w:p>
    <w:p w14:paraId="025879E3">
      <w:pPr>
        <w:pStyle w:val="10"/>
        <w:ind w:firstLine="480"/>
        <w:rPr>
          <w:color w:val="auto"/>
          <w:sz w:val="21"/>
          <w:szCs w:val="21"/>
        </w:rPr>
      </w:pPr>
      <w:r>
        <w:rPr>
          <w:rFonts w:hint="eastAsia" w:cs="宋体"/>
          <w:b/>
          <w:bCs/>
          <w:color w:val="auto"/>
          <w:lang w:val="en-US" w:eastAsia="zh-CN"/>
        </w:rPr>
        <w:t>5</w:t>
      </w:r>
      <w:r>
        <w:rPr>
          <w:rFonts w:hint="eastAsia" w:cs="宋体"/>
          <w:b/>
          <w:bCs/>
          <w:color w:val="auto"/>
        </w:rPr>
        <w:t>.采购需求</w:t>
      </w:r>
      <w:r>
        <w:rPr>
          <w:rFonts w:hint="eastAsia" w:cs="宋体"/>
          <w:color w:val="auto"/>
        </w:rPr>
        <w:t>：</w:t>
      </w:r>
    </w:p>
    <w:tbl>
      <w:tblPr>
        <w:tblStyle w:val="30"/>
        <w:tblW w:w="471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539"/>
        <w:gridCol w:w="1662"/>
        <w:gridCol w:w="638"/>
        <w:gridCol w:w="1264"/>
        <w:gridCol w:w="735"/>
        <w:gridCol w:w="1478"/>
        <w:gridCol w:w="735"/>
        <w:gridCol w:w="638"/>
        <w:gridCol w:w="642"/>
      </w:tblGrid>
      <w:tr w14:paraId="7E962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243" w:type="pct"/>
            <w:shd w:val="clear" w:color="auto" w:fill="auto"/>
            <w:vAlign w:val="center"/>
          </w:tcPr>
          <w:p w14:paraId="1748AD8B">
            <w:pPr>
              <w:widowControl/>
              <w:spacing w:line="240" w:lineRule="auto"/>
              <w:ind w:firstLine="0" w:firstLineChars="0"/>
              <w:jc w:val="center"/>
              <w:rPr>
                <w:rFonts w:cs="宋体"/>
                <w:color w:val="auto"/>
                <w:kern w:val="0"/>
              </w:rPr>
            </w:pPr>
            <w:r>
              <w:rPr>
                <w:rFonts w:hint="eastAsia" w:cs="宋体"/>
                <w:color w:val="auto"/>
                <w:kern w:val="0"/>
              </w:rPr>
              <w:t>序号</w:t>
            </w:r>
          </w:p>
        </w:tc>
        <w:tc>
          <w:tcPr>
            <w:tcW w:w="308" w:type="pct"/>
            <w:shd w:val="clear" w:color="auto" w:fill="auto"/>
            <w:vAlign w:val="center"/>
          </w:tcPr>
          <w:p w14:paraId="7494A939">
            <w:pPr>
              <w:widowControl/>
              <w:spacing w:line="240" w:lineRule="auto"/>
              <w:ind w:firstLine="0" w:firstLineChars="0"/>
              <w:jc w:val="center"/>
              <w:rPr>
                <w:rFonts w:cs="宋体"/>
                <w:color w:val="auto"/>
                <w:kern w:val="0"/>
              </w:rPr>
            </w:pPr>
            <w:r>
              <w:rPr>
                <w:rFonts w:hint="eastAsia" w:cs="宋体"/>
                <w:color w:val="auto"/>
                <w:kern w:val="0"/>
              </w:rPr>
              <w:t>是否进口</w:t>
            </w:r>
          </w:p>
        </w:tc>
        <w:tc>
          <w:tcPr>
            <w:tcW w:w="948" w:type="pct"/>
            <w:shd w:val="clear" w:color="auto" w:fill="auto"/>
            <w:vAlign w:val="center"/>
          </w:tcPr>
          <w:p w14:paraId="062CDE3B">
            <w:pPr>
              <w:widowControl/>
              <w:spacing w:line="240" w:lineRule="auto"/>
              <w:ind w:firstLine="0" w:firstLineChars="0"/>
              <w:jc w:val="center"/>
              <w:rPr>
                <w:rFonts w:cs="宋体"/>
                <w:color w:val="auto"/>
                <w:kern w:val="0"/>
              </w:rPr>
            </w:pPr>
            <w:r>
              <w:rPr>
                <w:rFonts w:hint="eastAsia" w:cs="宋体"/>
                <w:color w:val="auto"/>
                <w:kern w:val="0"/>
              </w:rPr>
              <w:t>采购需求概况</w:t>
            </w:r>
          </w:p>
        </w:tc>
        <w:tc>
          <w:tcPr>
            <w:tcW w:w="364" w:type="pct"/>
            <w:shd w:val="clear" w:color="auto" w:fill="auto"/>
            <w:vAlign w:val="center"/>
          </w:tcPr>
          <w:p w14:paraId="02562DEB">
            <w:pPr>
              <w:widowControl/>
              <w:spacing w:line="240" w:lineRule="auto"/>
              <w:ind w:firstLine="0" w:firstLineChars="0"/>
              <w:jc w:val="center"/>
              <w:rPr>
                <w:rFonts w:cs="宋体"/>
                <w:color w:val="auto"/>
                <w:kern w:val="0"/>
              </w:rPr>
            </w:pPr>
            <w:r>
              <w:rPr>
                <w:rFonts w:hint="eastAsia" w:cs="宋体"/>
                <w:color w:val="auto"/>
                <w:kern w:val="0"/>
              </w:rPr>
              <w:t>计量单位</w:t>
            </w:r>
          </w:p>
        </w:tc>
        <w:tc>
          <w:tcPr>
            <w:tcW w:w="721" w:type="pct"/>
            <w:shd w:val="clear" w:color="auto" w:fill="auto"/>
            <w:vAlign w:val="center"/>
          </w:tcPr>
          <w:p w14:paraId="3F2C317D">
            <w:pPr>
              <w:widowControl/>
              <w:spacing w:line="240" w:lineRule="auto"/>
              <w:ind w:firstLine="0" w:firstLineChars="0"/>
              <w:jc w:val="center"/>
              <w:rPr>
                <w:rFonts w:cs="宋体"/>
                <w:color w:val="auto"/>
                <w:kern w:val="0"/>
              </w:rPr>
            </w:pPr>
            <w:r>
              <w:rPr>
                <w:rFonts w:hint="eastAsia" w:cs="宋体"/>
                <w:color w:val="auto"/>
                <w:kern w:val="0"/>
              </w:rPr>
              <w:t>预计采购数量</w:t>
            </w:r>
          </w:p>
        </w:tc>
        <w:tc>
          <w:tcPr>
            <w:tcW w:w="419" w:type="pct"/>
            <w:shd w:val="clear" w:color="auto" w:fill="auto"/>
            <w:vAlign w:val="center"/>
          </w:tcPr>
          <w:p w14:paraId="1D736D32">
            <w:pPr>
              <w:widowControl/>
              <w:spacing w:line="240" w:lineRule="auto"/>
              <w:ind w:firstLine="0" w:firstLineChars="0"/>
              <w:jc w:val="center"/>
              <w:rPr>
                <w:rFonts w:cs="宋体"/>
                <w:color w:val="auto"/>
                <w:kern w:val="0"/>
              </w:rPr>
            </w:pPr>
            <w:r>
              <w:rPr>
                <w:rFonts w:hint="eastAsia" w:cs="宋体"/>
                <w:color w:val="auto"/>
                <w:kern w:val="0"/>
              </w:rPr>
              <w:t>单价上限价</w:t>
            </w:r>
          </w:p>
        </w:tc>
        <w:tc>
          <w:tcPr>
            <w:tcW w:w="843" w:type="pct"/>
            <w:shd w:val="clear" w:color="auto" w:fill="auto"/>
            <w:vAlign w:val="center"/>
          </w:tcPr>
          <w:p w14:paraId="7030C70A">
            <w:pPr>
              <w:widowControl/>
              <w:spacing w:line="240" w:lineRule="auto"/>
              <w:ind w:firstLine="0" w:firstLineChars="0"/>
              <w:jc w:val="center"/>
              <w:rPr>
                <w:rFonts w:cs="宋体"/>
                <w:color w:val="auto"/>
                <w:kern w:val="0"/>
              </w:rPr>
            </w:pPr>
            <w:r>
              <w:rPr>
                <w:rFonts w:hint="eastAsia" w:cs="宋体"/>
                <w:color w:val="auto"/>
                <w:kern w:val="0"/>
              </w:rPr>
              <w:t>预算资金</w:t>
            </w:r>
            <w:r>
              <w:rPr>
                <w:rFonts w:hint="eastAsia" w:cs="宋体"/>
                <w:color w:val="auto"/>
                <w:kern w:val="0"/>
              </w:rPr>
              <w:br w:type="textWrapping"/>
            </w:r>
            <w:r>
              <w:rPr>
                <w:rFonts w:hint="eastAsia" w:cs="宋体"/>
                <w:color w:val="auto"/>
                <w:kern w:val="0"/>
              </w:rPr>
              <w:t>（元）</w:t>
            </w:r>
          </w:p>
        </w:tc>
        <w:tc>
          <w:tcPr>
            <w:tcW w:w="419" w:type="pct"/>
            <w:shd w:val="clear" w:color="auto" w:fill="auto"/>
            <w:vAlign w:val="center"/>
          </w:tcPr>
          <w:p w14:paraId="1A50CD76">
            <w:pPr>
              <w:widowControl/>
              <w:spacing w:line="240" w:lineRule="auto"/>
              <w:ind w:firstLine="0" w:firstLineChars="0"/>
              <w:jc w:val="center"/>
              <w:rPr>
                <w:rFonts w:cs="宋体"/>
                <w:color w:val="auto"/>
                <w:kern w:val="0"/>
              </w:rPr>
            </w:pPr>
            <w:r>
              <w:rPr>
                <w:rFonts w:hint="eastAsia" w:cs="宋体"/>
                <w:color w:val="auto"/>
                <w:kern w:val="0"/>
              </w:rPr>
              <w:t>组织形式</w:t>
            </w:r>
          </w:p>
        </w:tc>
        <w:tc>
          <w:tcPr>
            <w:tcW w:w="364" w:type="pct"/>
            <w:shd w:val="clear" w:color="auto" w:fill="auto"/>
            <w:vAlign w:val="center"/>
          </w:tcPr>
          <w:p w14:paraId="28E6E10A">
            <w:pPr>
              <w:widowControl/>
              <w:spacing w:line="240" w:lineRule="auto"/>
              <w:ind w:firstLine="0" w:firstLineChars="0"/>
              <w:jc w:val="center"/>
              <w:rPr>
                <w:rFonts w:cs="宋体"/>
                <w:color w:val="auto"/>
                <w:kern w:val="0"/>
              </w:rPr>
            </w:pPr>
            <w:r>
              <w:rPr>
                <w:rFonts w:hint="eastAsia" w:cs="宋体"/>
                <w:color w:val="auto"/>
                <w:kern w:val="0"/>
              </w:rPr>
              <w:t>采购方式</w:t>
            </w:r>
          </w:p>
        </w:tc>
        <w:tc>
          <w:tcPr>
            <w:tcW w:w="366" w:type="pct"/>
            <w:shd w:val="clear" w:color="auto" w:fill="auto"/>
            <w:vAlign w:val="center"/>
          </w:tcPr>
          <w:p w14:paraId="3C5406D0">
            <w:pPr>
              <w:widowControl/>
              <w:spacing w:line="240" w:lineRule="auto"/>
              <w:ind w:firstLine="0" w:firstLineChars="0"/>
              <w:jc w:val="center"/>
              <w:rPr>
                <w:rFonts w:cs="宋体"/>
                <w:color w:val="auto"/>
                <w:kern w:val="0"/>
              </w:rPr>
            </w:pPr>
            <w:r>
              <w:rPr>
                <w:rFonts w:hint="eastAsia" w:cs="宋体"/>
                <w:color w:val="auto"/>
                <w:kern w:val="0"/>
              </w:rPr>
              <w:t>交货地点</w:t>
            </w:r>
          </w:p>
        </w:tc>
      </w:tr>
      <w:tr w14:paraId="2660D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0" w:hRule="atLeast"/>
        </w:trPr>
        <w:tc>
          <w:tcPr>
            <w:tcW w:w="243" w:type="pct"/>
            <w:shd w:val="clear" w:color="auto" w:fill="auto"/>
            <w:vAlign w:val="center"/>
          </w:tcPr>
          <w:p w14:paraId="623C13BA">
            <w:pPr>
              <w:widowControl/>
              <w:spacing w:line="240" w:lineRule="auto"/>
              <w:ind w:firstLine="0" w:firstLineChars="0"/>
              <w:jc w:val="center"/>
              <w:rPr>
                <w:rFonts w:hint="eastAsia" w:eastAsia="宋体" w:cs="宋体"/>
                <w:color w:val="auto"/>
                <w:kern w:val="0"/>
                <w:lang w:eastAsia="zh-CN"/>
              </w:rPr>
            </w:pPr>
            <w:r>
              <w:rPr>
                <w:rFonts w:hint="eastAsia" w:cs="宋体"/>
                <w:color w:val="auto"/>
                <w:kern w:val="0"/>
                <w:lang w:val="en-US" w:eastAsia="zh-CN"/>
              </w:rPr>
              <w:t>1</w:t>
            </w:r>
          </w:p>
        </w:tc>
        <w:tc>
          <w:tcPr>
            <w:tcW w:w="308" w:type="pct"/>
            <w:shd w:val="clear" w:color="auto" w:fill="auto"/>
            <w:vAlign w:val="center"/>
          </w:tcPr>
          <w:p w14:paraId="3055825D">
            <w:pPr>
              <w:widowControl/>
              <w:spacing w:line="240" w:lineRule="auto"/>
              <w:ind w:firstLine="0" w:firstLineChars="0"/>
              <w:jc w:val="center"/>
              <w:rPr>
                <w:rFonts w:cs="宋体"/>
                <w:color w:val="auto"/>
                <w:kern w:val="0"/>
              </w:rPr>
            </w:pPr>
            <w:r>
              <w:rPr>
                <w:rFonts w:hint="eastAsia" w:cs="宋体"/>
                <w:color w:val="auto"/>
                <w:kern w:val="0"/>
              </w:rPr>
              <w:t>否</w:t>
            </w:r>
          </w:p>
        </w:tc>
        <w:tc>
          <w:tcPr>
            <w:tcW w:w="948" w:type="pct"/>
            <w:shd w:val="clear" w:color="auto" w:fill="auto"/>
            <w:vAlign w:val="center"/>
          </w:tcPr>
          <w:p w14:paraId="5B76FF94">
            <w:pPr>
              <w:widowControl/>
              <w:spacing w:line="240" w:lineRule="auto"/>
              <w:ind w:firstLine="0" w:firstLineChars="0"/>
              <w:jc w:val="left"/>
              <w:rPr>
                <w:rFonts w:hint="eastAsia" w:eastAsia="宋体" w:cs="宋体"/>
                <w:color w:val="auto"/>
                <w:kern w:val="0"/>
                <w:lang w:eastAsia="zh-CN"/>
              </w:rPr>
            </w:pPr>
            <w:r>
              <w:rPr>
                <w:rFonts w:hint="eastAsia" w:cs="宋体"/>
                <w:color w:val="auto"/>
                <w:kern w:val="0"/>
                <w:lang w:val="en-US" w:eastAsia="zh-CN"/>
              </w:rPr>
              <w:t>永</w:t>
            </w:r>
            <w:r>
              <w:rPr>
                <w:rFonts w:hint="eastAsia" w:cs="宋体"/>
                <w:color w:val="auto"/>
                <w:kern w:val="0"/>
              </w:rPr>
              <w:t>德县教育体育局202</w:t>
            </w:r>
            <w:r>
              <w:rPr>
                <w:rFonts w:hint="eastAsia" w:cs="宋体"/>
                <w:color w:val="auto"/>
                <w:kern w:val="0"/>
                <w:lang w:val="en-US" w:eastAsia="zh-CN"/>
              </w:rPr>
              <w:t>5</w:t>
            </w:r>
            <w:r>
              <w:rPr>
                <w:rFonts w:hint="eastAsia" w:cs="宋体"/>
                <w:color w:val="auto"/>
                <w:kern w:val="0"/>
              </w:rPr>
              <w:t>-202</w:t>
            </w:r>
            <w:r>
              <w:rPr>
                <w:rFonts w:hint="eastAsia" w:cs="宋体"/>
                <w:color w:val="auto"/>
                <w:kern w:val="0"/>
                <w:lang w:val="en-US" w:eastAsia="zh-CN"/>
              </w:rPr>
              <w:t>6</w:t>
            </w:r>
            <w:r>
              <w:rPr>
                <w:rFonts w:hint="eastAsia" w:cs="宋体"/>
                <w:color w:val="auto"/>
                <w:kern w:val="0"/>
              </w:rPr>
              <w:t>学年食用油</w:t>
            </w:r>
            <w:r>
              <w:rPr>
                <w:rFonts w:hint="eastAsia" w:cs="宋体"/>
                <w:color w:val="auto"/>
                <w:kern w:val="0"/>
                <w:lang w:val="en-US" w:eastAsia="zh-CN"/>
              </w:rPr>
              <w:t>及</w:t>
            </w:r>
            <w:r>
              <w:rPr>
                <w:rFonts w:hint="eastAsia" w:cs="宋体"/>
                <w:color w:val="auto"/>
                <w:u w:val="none"/>
              </w:rPr>
              <w:t>干货调味料</w:t>
            </w:r>
            <w:r>
              <w:rPr>
                <w:rFonts w:hint="eastAsia" w:cs="宋体"/>
                <w:color w:val="auto"/>
                <w:kern w:val="0"/>
              </w:rPr>
              <w:t>采购</w:t>
            </w:r>
            <w:r>
              <w:rPr>
                <w:rFonts w:hint="eastAsia" w:cs="宋体"/>
                <w:color w:val="auto"/>
                <w:kern w:val="0"/>
                <w:lang w:val="en-US" w:eastAsia="zh-CN"/>
              </w:rPr>
              <w:t>。</w:t>
            </w:r>
          </w:p>
        </w:tc>
        <w:tc>
          <w:tcPr>
            <w:tcW w:w="364" w:type="pct"/>
            <w:shd w:val="clear" w:color="auto" w:fill="auto"/>
            <w:vAlign w:val="center"/>
          </w:tcPr>
          <w:p w14:paraId="7F37A9C7">
            <w:pPr>
              <w:widowControl/>
              <w:spacing w:line="240" w:lineRule="auto"/>
              <w:ind w:firstLine="0" w:firstLineChars="0"/>
              <w:jc w:val="center"/>
              <w:rPr>
                <w:rFonts w:cs="宋体"/>
                <w:color w:val="auto"/>
                <w:kern w:val="0"/>
              </w:rPr>
            </w:pPr>
            <w:r>
              <w:rPr>
                <w:rFonts w:hint="eastAsia" w:cs="宋体"/>
                <w:color w:val="auto"/>
                <w:kern w:val="0"/>
                <w:lang w:val="en-US" w:eastAsia="zh-CN"/>
              </w:rPr>
              <w:t>批</w:t>
            </w:r>
          </w:p>
        </w:tc>
        <w:tc>
          <w:tcPr>
            <w:tcW w:w="721" w:type="pct"/>
            <w:shd w:val="clear" w:color="auto" w:fill="auto"/>
            <w:vAlign w:val="center"/>
          </w:tcPr>
          <w:p w14:paraId="15792F68">
            <w:pPr>
              <w:widowControl/>
              <w:spacing w:line="240" w:lineRule="auto"/>
              <w:ind w:firstLine="0" w:firstLineChars="0"/>
              <w:jc w:val="center"/>
              <w:rPr>
                <w:rFonts w:hint="default" w:eastAsia="宋体" w:cs="宋体"/>
                <w:color w:val="auto"/>
                <w:kern w:val="0"/>
                <w:lang w:val="en-US" w:eastAsia="zh-CN"/>
              </w:rPr>
            </w:pPr>
            <w:r>
              <w:rPr>
                <w:rFonts w:hint="eastAsia" w:cs="宋体"/>
                <w:color w:val="auto"/>
                <w:kern w:val="0"/>
                <w:lang w:val="en-US" w:eastAsia="zh-CN"/>
              </w:rPr>
              <w:t>若干</w:t>
            </w:r>
          </w:p>
        </w:tc>
        <w:tc>
          <w:tcPr>
            <w:tcW w:w="419" w:type="pct"/>
            <w:shd w:val="clear" w:color="auto" w:fill="auto"/>
            <w:vAlign w:val="center"/>
          </w:tcPr>
          <w:p w14:paraId="651C62D9">
            <w:pPr>
              <w:widowControl/>
              <w:spacing w:line="240" w:lineRule="auto"/>
              <w:ind w:firstLine="0" w:firstLineChars="0"/>
              <w:jc w:val="center"/>
              <w:rPr>
                <w:rFonts w:hint="default" w:eastAsia="宋体" w:cs="宋体"/>
                <w:color w:val="auto"/>
                <w:kern w:val="0"/>
                <w:lang w:val="en-US" w:eastAsia="zh-CN"/>
              </w:rPr>
            </w:pPr>
            <w:r>
              <w:rPr>
                <w:rFonts w:hint="eastAsia" w:cs="宋体"/>
                <w:color w:val="auto"/>
                <w:kern w:val="0"/>
                <w:lang w:val="en-US" w:eastAsia="zh-CN"/>
              </w:rPr>
              <w:t>详见采购清单</w:t>
            </w:r>
          </w:p>
        </w:tc>
        <w:tc>
          <w:tcPr>
            <w:tcW w:w="843" w:type="pct"/>
            <w:shd w:val="clear" w:color="auto" w:fill="auto"/>
            <w:vAlign w:val="center"/>
          </w:tcPr>
          <w:p w14:paraId="0D091645">
            <w:pPr>
              <w:widowControl/>
              <w:spacing w:line="240" w:lineRule="auto"/>
              <w:ind w:firstLine="0" w:firstLineChars="0"/>
              <w:jc w:val="center"/>
              <w:rPr>
                <w:rFonts w:hint="eastAsia" w:ascii="宋体" w:hAnsi="宋体" w:eastAsia="宋体" w:cs="宋体"/>
                <w:b/>
                <w:bCs/>
                <w:i w:val="0"/>
                <w:iCs w:val="0"/>
                <w:color w:val="auto"/>
                <w:kern w:val="2"/>
                <w:sz w:val="24"/>
                <w:szCs w:val="24"/>
                <w:u w:val="none"/>
                <w:lang w:val="en-US" w:eastAsia="zh-CN" w:bidi="ar-SA"/>
              </w:rPr>
            </w:pPr>
            <w:r>
              <w:rPr>
                <w:rFonts w:hint="eastAsia" w:cs="宋体"/>
                <w:color w:val="auto"/>
              </w:rPr>
              <w:t>6004216.12</w:t>
            </w:r>
          </w:p>
        </w:tc>
        <w:tc>
          <w:tcPr>
            <w:tcW w:w="419" w:type="pct"/>
            <w:shd w:val="clear" w:color="000000" w:fill="FFFFFF"/>
            <w:vAlign w:val="center"/>
          </w:tcPr>
          <w:p w14:paraId="30A81D13">
            <w:pPr>
              <w:widowControl/>
              <w:spacing w:line="240" w:lineRule="auto"/>
              <w:ind w:firstLine="0" w:firstLineChars="0"/>
              <w:jc w:val="center"/>
              <w:rPr>
                <w:rFonts w:cs="宋体"/>
                <w:color w:val="auto"/>
                <w:kern w:val="0"/>
              </w:rPr>
            </w:pPr>
            <w:r>
              <w:rPr>
                <w:rFonts w:hint="eastAsia" w:cs="宋体"/>
                <w:color w:val="auto"/>
                <w:kern w:val="0"/>
              </w:rPr>
              <w:t>分散采购</w:t>
            </w:r>
          </w:p>
        </w:tc>
        <w:tc>
          <w:tcPr>
            <w:tcW w:w="364" w:type="pct"/>
            <w:shd w:val="clear" w:color="000000" w:fill="FFFFFF"/>
            <w:vAlign w:val="center"/>
          </w:tcPr>
          <w:p w14:paraId="3C702ABC">
            <w:pPr>
              <w:widowControl/>
              <w:spacing w:line="240" w:lineRule="auto"/>
              <w:ind w:firstLine="0" w:firstLineChars="0"/>
              <w:jc w:val="center"/>
              <w:rPr>
                <w:rFonts w:cs="宋体"/>
                <w:color w:val="auto"/>
                <w:kern w:val="0"/>
              </w:rPr>
            </w:pPr>
            <w:r>
              <w:rPr>
                <w:rFonts w:hint="eastAsia" w:cs="宋体"/>
                <w:color w:val="auto"/>
                <w:kern w:val="0"/>
              </w:rPr>
              <w:t>公开招标</w:t>
            </w:r>
          </w:p>
        </w:tc>
        <w:tc>
          <w:tcPr>
            <w:tcW w:w="366" w:type="pct"/>
            <w:shd w:val="clear" w:color="000000" w:fill="FFFFFF"/>
            <w:vAlign w:val="center"/>
          </w:tcPr>
          <w:p w14:paraId="3624370E">
            <w:pPr>
              <w:widowControl/>
              <w:spacing w:line="240" w:lineRule="auto"/>
              <w:ind w:firstLine="0" w:firstLineChars="0"/>
              <w:jc w:val="center"/>
              <w:rPr>
                <w:rFonts w:cs="宋体"/>
                <w:color w:val="auto"/>
                <w:kern w:val="0"/>
              </w:rPr>
            </w:pPr>
            <w:r>
              <w:rPr>
                <w:rFonts w:hint="eastAsia" w:cs="宋体"/>
                <w:color w:val="auto"/>
                <w:kern w:val="0"/>
              </w:rPr>
              <w:t>各学校</w:t>
            </w:r>
          </w:p>
        </w:tc>
      </w:tr>
    </w:tbl>
    <w:p w14:paraId="7F0AE7C1">
      <w:pPr>
        <w:ind w:firstLine="422"/>
        <w:rPr>
          <w:rFonts w:cs="宋体"/>
          <w:color w:val="auto"/>
        </w:rPr>
      </w:pPr>
      <w:r>
        <w:rPr>
          <w:rFonts w:hint="eastAsia" w:cs="宋体"/>
          <w:b/>
          <w:bCs/>
          <w:color w:val="auto"/>
          <w:lang w:val="en-US" w:eastAsia="zh-CN"/>
        </w:rPr>
        <w:t>6</w:t>
      </w:r>
      <w:r>
        <w:rPr>
          <w:rFonts w:hint="eastAsia" w:cs="宋体"/>
          <w:b/>
          <w:bCs/>
          <w:color w:val="auto"/>
        </w:rPr>
        <w:t>.合同履行期限</w:t>
      </w:r>
      <w:r>
        <w:rPr>
          <w:rFonts w:hint="eastAsia" w:cs="宋体"/>
          <w:color w:val="auto"/>
        </w:rPr>
        <w:t>：</w:t>
      </w:r>
      <w:r>
        <w:rPr>
          <w:rFonts w:hint="eastAsia" w:cs="宋体"/>
          <w:color w:val="auto"/>
          <w:u w:val="single"/>
          <w:lang w:eastAsia="zh-CN"/>
        </w:rPr>
        <w:t>采购合同按学年签订，履行期限1年。</w:t>
      </w:r>
      <w:r>
        <w:rPr>
          <w:rFonts w:hint="eastAsia" w:cs="宋体"/>
          <w:color w:val="auto"/>
        </w:rPr>
        <w:t>；</w:t>
      </w:r>
    </w:p>
    <w:p w14:paraId="6069DB0F">
      <w:pPr>
        <w:ind w:firstLine="422"/>
        <w:rPr>
          <w:rFonts w:hint="eastAsia" w:cs="宋体"/>
          <w:color w:val="auto"/>
        </w:rPr>
      </w:pPr>
      <w:r>
        <w:rPr>
          <w:rFonts w:hint="eastAsia" w:cs="宋体"/>
          <w:b/>
          <w:bCs/>
          <w:color w:val="auto"/>
          <w:lang w:val="en-US" w:eastAsia="zh-CN"/>
        </w:rPr>
        <w:t>7</w:t>
      </w:r>
      <w:r>
        <w:rPr>
          <w:rFonts w:hint="eastAsia" w:cs="宋体"/>
          <w:b/>
          <w:bCs/>
          <w:color w:val="auto"/>
        </w:rPr>
        <w:t>.配送地点</w:t>
      </w:r>
      <w:r>
        <w:rPr>
          <w:rFonts w:hint="eastAsia" w:cs="宋体"/>
          <w:bCs/>
          <w:color w:val="auto"/>
        </w:rPr>
        <w:t>：</w:t>
      </w:r>
      <w:r>
        <w:rPr>
          <w:rFonts w:hint="eastAsia" w:cs="宋体"/>
          <w:bCs/>
          <w:color w:val="auto"/>
          <w:lang w:val="en-US" w:eastAsia="zh-CN"/>
        </w:rPr>
        <w:t>本项目为联合采购项目，各学校与中标人分别签订合同，按合同约定按时配送到各学校指定地点</w:t>
      </w:r>
      <w:r>
        <w:rPr>
          <w:rFonts w:hint="eastAsia" w:cs="宋体"/>
          <w:color w:val="auto"/>
        </w:rPr>
        <w:t>；</w:t>
      </w:r>
    </w:p>
    <w:p w14:paraId="1C68DD83">
      <w:pPr>
        <w:pStyle w:val="10"/>
        <w:rPr>
          <w:rFonts w:hint="eastAsia" w:ascii="宋体" w:hAnsi="宋体" w:eastAsia="宋体" w:cs="宋体"/>
          <w:color w:val="auto"/>
          <w:sz w:val="21"/>
          <w:szCs w:val="21"/>
          <w:lang w:val="en-US" w:eastAsia="zh-CN"/>
        </w:rPr>
      </w:pPr>
      <w:bookmarkStart w:id="31" w:name="_Toc35393791"/>
      <w:bookmarkStart w:id="32" w:name="_Toc28359003"/>
      <w:bookmarkStart w:id="33" w:name="_Toc174628156"/>
      <w:bookmarkStart w:id="34" w:name="_Toc18339"/>
      <w:bookmarkStart w:id="35" w:name="_Toc28359080"/>
      <w:bookmarkStart w:id="36" w:name="_Toc44576554"/>
      <w:bookmarkStart w:id="37" w:name="_Toc35393622"/>
      <w:r>
        <w:rPr>
          <w:rFonts w:hint="eastAsia" w:ascii="宋体" w:hAnsi="宋体" w:eastAsia="宋体" w:cs="宋体"/>
          <w:color w:val="auto"/>
          <w:sz w:val="21"/>
          <w:szCs w:val="21"/>
          <w:lang w:val="en-US" w:eastAsia="zh-CN"/>
        </w:rPr>
        <w:t>8.</w:t>
      </w:r>
      <w:r>
        <w:rPr>
          <w:rFonts w:hint="eastAsia" w:ascii="宋体" w:hAnsi="宋体" w:eastAsia="宋体" w:cs="宋体"/>
          <w:color w:val="auto"/>
          <w:sz w:val="21"/>
          <w:szCs w:val="21"/>
          <w:highlight w:val="none"/>
          <w:lang w:val="en-US" w:eastAsia="zh-CN"/>
        </w:rPr>
        <w:t>本项目为联合采购项目，牵头采购单位为永德县教育体育局，成员单位为：</w:t>
      </w:r>
      <w:r>
        <w:rPr>
          <w:rFonts w:hint="eastAsia" w:cs="宋体"/>
          <w:color w:val="auto"/>
          <w:sz w:val="21"/>
          <w:szCs w:val="21"/>
          <w:highlight w:val="none"/>
          <w:lang w:val="en-US" w:eastAsia="zh-CN"/>
        </w:rPr>
        <w:t>永德县</w:t>
      </w:r>
      <w:r>
        <w:rPr>
          <w:rFonts w:hint="eastAsia" w:ascii="宋体" w:hAnsi="宋体" w:eastAsia="宋体" w:cs="宋体"/>
          <w:color w:val="auto"/>
          <w:sz w:val="21"/>
          <w:szCs w:val="21"/>
          <w:highlight w:val="none"/>
          <w:lang w:val="en-US" w:eastAsia="zh-CN"/>
        </w:rPr>
        <w:t>德党镇中心校</w:t>
      </w:r>
      <w:r>
        <w:rPr>
          <w:rFonts w:hint="eastAsia"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永康镇中心校</w:t>
      </w:r>
      <w:r>
        <w:rPr>
          <w:rFonts w:hint="eastAsia"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小勐统镇中心校、大山乡中心校、崇岗乡中心校、大雪山彝族拉祜族傣族乡中心校、亚练乡中心校、班卡乡中心校、乌木龙彝族乡中心校、勐板乡中心校、勐汞中学、明朗中学、红旗山中学、小勐统中学、永甸九年一贯制学校、大山中学、崇岗中学、天生桥中学、大雪山中学、亚练中学、班卡中学、乌木龙中学、勐板中学、永德县第一完全中学、永德县第二完全中学、永德县特殊教育学校。</w:t>
      </w:r>
    </w:p>
    <w:p w14:paraId="5805C9B5">
      <w:pPr>
        <w:pStyle w:val="44"/>
        <w:spacing w:line="360" w:lineRule="auto"/>
        <w:jc w:val="left"/>
        <w:rPr>
          <w:rFonts w:hint="eastAsia" w:ascii="宋体" w:hAnsi="宋体" w:eastAsia="宋体" w:cs="宋体"/>
          <w:color w:val="auto"/>
          <w:sz w:val="24"/>
          <w:szCs w:val="24"/>
          <w:lang w:val="en-US" w:eastAsia="zh-CN"/>
        </w:rPr>
      </w:pPr>
      <w:bookmarkStart w:id="38" w:name="_Toc29651"/>
      <w:r>
        <w:rPr>
          <w:rFonts w:hint="eastAsia" w:ascii="宋体" w:hAnsi="宋体" w:eastAsia="宋体" w:cs="宋体"/>
          <w:color w:val="auto"/>
          <w:sz w:val="24"/>
          <w:szCs w:val="24"/>
          <w:lang w:val="en-US" w:eastAsia="zh-CN"/>
        </w:rPr>
        <w:t>二、申请人的资格要求</w:t>
      </w:r>
      <w:bookmarkEnd w:id="31"/>
      <w:bookmarkEnd w:id="32"/>
      <w:bookmarkEnd w:id="33"/>
      <w:bookmarkEnd w:id="34"/>
      <w:bookmarkEnd w:id="35"/>
      <w:bookmarkEnd w:id="36"/>
      <w:bookmarkEnd w:id="37"/>
      <w:bookmarkEnd w:id="38"/>
    </w:p>
    <w:p w14:paraId="7117F6DF">
      <w:pPr>
        <w:ind w:firstLine="422"/>
        <w:rPr>
          <w:rFonts w:cs="宋体"/>
          <w:color w:val="auto"/>
        </w:rPr>
      </w:pPr>
      <w:bookmarkStart w:id="39" w:name="_Toc28359081"/>
      <w:bookmarkStart w:id="40" w:name="_Toc28359004"/>
      <w:r>
        <w:rPr>
          <w:rFonts w:hint="eastAsia" w:cs="宋体"/>
          <w:b/>
          <w:bCs/>
          <w:color w:val="auto"/>
        </w:rPr>
        <w:t>1.满足《中华人民共和国政府采购法》第二十二条规定</w:t>
      </w:r>
      <w:r>
        <w:rPr>
          <w:rFonts w:hint="eastAsia" w:cs="宋体"/>
          <w:color w:val="auto"/>
        </w:rPr>
        <w:t>，具体要求如下：</w:t>
      </w:r>
    </w:p>
    <w:p w14:paraId="3F66CC36">
      <w:pPr>
        <w:ind w:firstLine="422"/>
        <w:rPr>
          <w:rFonts w:cs="宋体"/>
          <w:color w:val="auto"/>
        </w:rPr>
      </w:pPr>
      <w:r>
        <w:rPr>
          <w:rFonts w:hint="eastAsia" w:cs="宋体"/>
          <w:b/>
          <w:bCs/>
          <w:color w:val="auto"/>
        </w:rPr>
        <w:t>1.1具有独立承担民事责任的能力</w:t>
      </w:r>
      <w:r>
        <w:rPr>
          <w:rFonts w:hint="eastAsia" w:cs="宋体"/>
          <w:color w:val="auto"/>
        </w:rPr>
        <w:t>：投标人须在中华人民共和国境内注册，具有独立承担民事责任能力的法人、其他组织或者自然人；</w:t>
      </w:r>
      <w:r>
        <w:rPr>
          <w:rFonts w:hint="eastAsia" w:cs="宋体"/>
          <w:b/>
          <w:bCs/>
          <w:color w:val="auto"/>
        </w:rPr>
        <w:t>（提供市场监督管理部门核发的有效的三证合一营业执照或民办非企业登记证书或社会团体登记证或自然人身份证明。）</w:t>
      </w:r>
    </w:p>
    <w:p w14:paraId="65B50F8D">
      <w:pPr>
        <w:ind w:firstLine="422"/>
        <w:rPr>
          <w:rFonts w:cs="宋体"/>
          <w:b/>
          <w:bCs/>
          <w:color w:val="auto"/>
        </w:rPr>
      </w:pPr>
      <w:r>
        <w:rPr>
          <w:rFonts w:hint="eastAsia" w:cs="宋体"/>
          <w:b/>
          <w:bCs/>
          <w:color w:val="auto"/>
        </w:rPr>
        <w:t>1.2具有良好的商业信誉和健全的财务会计制度：</w:t>
      </w:r>
    </w:p>
    <w:p w14:paraId="6E228F8D">
      <w:pPr>
        <w:ind w:firstLine="422"/>
        <w:rPr>
          <w:rFonts w:cs="宋体"/>
          <w:b/>
          <w:bCs/>
          <w:color w:val="auto"/>
        </w:rPr>
      </w:pPr>
      <w:r>
        <w:rPr>
          <w:rFonts w:hint="eastAsia" w:cs="宋体"/>
          <w:b/>
          <w:bCs/>
          <w:color w:val="auto"/>
        </w:rPr>
        <w:t>1.2.1良好的商业信誉</w:t>
      </w:r>
      <w:r>
        <w:rPr>
          <w:rFonts w:hint="eastAsia" w:cs="宋体"/>
          <w:color w:val="auto"/>
        </w:rPr>
        <w:t>：根据《财政部关于在政府采购活动中查询及使用信用记录有关问题的通知-财库〔2016〕125号》相关要求，对被列入失信被执行人、重大税收违法失信主体、政府采购严重违法失信行为记录名单之一的投标人拒绝其参与本次政府采购活动。（查询结果以采购人、采购代理机构查询结果为准，采购人或采购代理机构在投标文件提交截止时间后将通过“信用中国”网站(www.creditchina.gov.cn)和中国政府采购网（www.ccgp.gov.cn）查询投标人信用记录，上述网站信用信息查询结果的网页截图或网页打印稿作为证据留存）；</w:t>
      </w:r>
      <w:r>
        <w:rPr>
          <w:rFonts w:hint="eastAsia" w:cs="宋体"/>
          <w:b/>
          <w:bCs/>
          <w:color w:val="auto"/>
        </w:rPr>
        <w:t>（此部分不需要投标人提供证明材料。）</w:t>
      </w:r>
    </w:p>
    <w:p w14:paraId="3EEA13AD">
      <w:pPr>
        <w:ind w:firstLine="422"/>
        <w:rPr>
          <w:rFonts w:cs="宋体"/>
          <w:color w:val="auto"/>
        </w:rPr>
      </w:pPr>
      <w:r>
        <w:rPr>
          <w:rFonts w:hint="eastAsia" w:cs="宋体"/>
          <w:b/>
          <w:bCs/>
          <w:color w:val="auto"/>
        </w:rPr>
        <w:t>1.2.2健全的财务会计制度</w:t>
      </w:r>
      <w:r>
        <w:rPr>
          <w:rFonts w:hint="eastAsia" w:cs="宋体"/>
          <w:color w:val="auto"/>
        </w:rPr>
        <w:t>:提供202</w:t>
      </w:r>
      <w:r>
        <w:rPr>
          <w:rFonts w:hint="eastAsia" w:cs="宋体"/>
          <w:color w:val="auto"/>
          <w:lang w:val="en-US" w:eastAsia="zh-CN"/>
        </w:rPr>
        <w:t>3</w:t>
      </w:r>
      <w:r>
        <w:rPr>
          <w:rFonts w:hint="eastAsia" w:cs="宋体"/>
          <w:color w:val="auto"/>
        </w:rPr>
        <w:t>年度或202</w:t>
      </w:r>
      <w:r>
        <w:rPr>
          <w:rFonts w:hint="eastAsia" w:cs="宋体"/>
          <w:color w:val="auto"/>
          <w:lang w:val="en-US" w:eastAsia="zh-CN"/>
        </w:rPr>
        <w:t>4</w:t>
      </w:r>
      <w:r>
        <w:rPr>
          <w:rFonts w:hint="eastAsia" w:cs="宋体"/>
          <w:color w:val="auto"/>
        </w:rPr>
        <w:t>年度的财务报表资料，包括资产负债表、利润表、现金流量表(注：202</w:t>
      </w:r>
      <w:r>
        <w:rPr>
          <w:rFonts w:hint="eastAsia" w:cs="宋体"/>
          <w:color w:val="auto"/>
          <w:lang w:val="en-US" w:eastAsia="zh-CN"/>
        </w:rPr>
        <w:t>5</w:t>
      </w:r>
      <w:r>
        <w:rPr>
          <w:rFonts w:hint="eastAsia" w:cs="宋体"/>
          <w:color w:val="auto"/>
        </w:rPr>
        <w:t>年成立的，提供满足招标文件要求的资信证明或投标担保函或自身出具的情况说明)；或可提供自投标文件提交截止时间前三个月内开户银行出具的资信证明；或可提供财政部门认可的政府采购专业担保机构对投标人进行资信审查后出具的投标担保函。备注：投标人可根据自身情况提供上述任意一种证明材料)。</w:t>
      </w:r>
      <w:r>
        <w:rPr>
          <w:rFonts w:hint="eastAsia" w:cs="宋体"/>
          <w:b/>
          <w:bCs/>
          <w:color w:val="auto"/>
        </w:rPr>
        <w:t>（提供扫描件。）</w:t>
      </w:r>
    </w:p>
    <w:p w14:paraId="3501ACA4">
      <w:pPr>
        <w:ind w:firstLine="422"/>
        <w:rPr>
          <w:rFonts w:cs="宋体"/>
          <w:b/>
          <w:bCs/>
          <w:color w:val="auto"/>
        </w:rPr>
      </w:pPr>
      <w:r>
        <w:rPr>
          <w:rFonts w:hint="eastAsia" w:cs="宋体"/>
          <w:b/>
          <w:bCs/>
          <w:color w:val="auto"/>
        </w:rPr>
        <w:t>1.3具有履行合同所必需的设备和专业技术能力</w:t>
      </w:r>
      <w:r>
        <w:rPr>
          <w:rFonts w:hint="eastAsia" w:cs="宋体"/>
          <w:color w:val="auto"/>
        </w:rPr>
        <w:t>：提供投标人具有履行合同所必需的设备和专业技术能力证明材料或承诺书；</w:t>
      </w:r>
      <w:r>
        <w:rPr>
          <w:rFonts w:hint="eastAsia" w:cs="宋体"/>
          <w:b/>
          <w:bCs/>
          <w:color w:val="auto"/>
        </w:rPr>
        <w:t>（格式自拟。）</w:t>
      </w:r>
    </w:p>
    <w:p w14:paraId="2FD71198">
      <w:pPr>
        <w:ind w:firstLine="422"/>
        <w:rPr>
          <w:rFonts w:hint="eastAsia" w:eastAsia="宋体" w:cs="宋体"/>
          <w:color w:val="auto"/>
          <w:lang w:eastAsia="zh-CN"/>
        </w:rPr>
      </w:pPr>
      <w:r>
        <w:rPr>
          <w:rFonts w:hint="eastAsia" w:cs="宋体"/>
          <w:b/>
          <w:bCs/>
          <w:color w:val="auto"/>
        </w:rPr>
        <w:t>1.4具有依法缴纳税收和社会保障资金的良好记录：</w:t>
      </w:r>
      <w:r>
        <w:rPr>
          <w:rFonts w:hint="eastAsia" w:cs="宋体"/>
          <w:color w:val="auto"/>
          <w:lang w:eastAsia="zh-CN"/>
        </w:rPr>
        <w:t>提供本项目投标文件递交截止时间前任意时间段的纳税证明材料和社会保障资金证明材料；若依法免缴或暂缓缴纳或新成立企业的，可提供声明函或承诺函并加盖电子签章。</w:t>
      </w:r>
    </w:p>
    <w:p w14:paraId="44C92438">
      <w:pPr>
        <w:ind w:firstLine="422"/>
        <w:rPr>
          <w:rFonts w:cs="宋体"/>
          <w:color w:val="auto"/>
        </w:rPr>
      </w:pPr>
      <w:r>
        <w:rPr>
          <w:rFonts w:hint="eastAsia" w:cs="宋体"/>
          <w:b/>
          <w:bCs/>
          <w:color w:val="auto"/>
        </w:rPr>
        <w:t>1.5参加政府采购活动前三年内，在经营活动中没有重大违法记录</w:t>
      </w:r>
      <w:r>
        <w:rPr>
          <w:rFonts w:hint="eastAsia" w:cs="宋体"/>
          <w:color w:val="auto"/>
        </w:rPr>
        <w:t>：提供投标人参加政府采购活动前三年内，在经营活动中没有重大违法记录（重大违法记录，是指投标人因违法经营受到刑事处罚或者责令停产停业、吊销许可证或者执照、较大数额罚款等行政处罚）的承诺书；</w:t>
      </w:r>
      <w:r>
        <w:rPr>
          <w:rFonts w:hint="eastAsia" w:cs="宋体"/>
          <w:b/>
          <w:bCs/>
          <w:color w:val="auto"/>
        </w:rPr>
        <w:t>（格式自拟）</w:t>
      </w:r>
    </w:p>
    <w:p w14:paraId="737F5840">
      <w:pPr>
        <w:rPr>
          <w:rFonts w:cs="宋体"/>
          <w:color w:val="auto"/>
        </w:rPr>
      </w:pPr>
      <w:r>
        <w:rPr>
          <w:rFonts w:hint="eastAsia" w:cs="宋体"/>
          <w:color w:val="auto"/>
        </w:rPr>
        <w:t>1.6法律、行政法规规定的其他条件：无；</w:t>
      </w:r>
    </w:p>
    <w:p w14:paraId="77697C45">
      <w:pPr>
        <w:ind w:firstLine="422"/>
        <w:rPr>
          <w:rFonts w:cs="宋体"/>
          <w:color w:val="auto"/>
        </w:rPr>
      </w:pPr>
      <w:r>
        <w:rPr>
          <w:rFonts w:hint="eastAsia" w:cs="宋体"/>
          <w:b/>
          <w:bCs/>
          <w:color w:val="auto"/>
        </w:rPr>
        <w:t>2.落实政府采购政策需满足的资格要求</w:t>
      </w:r>
      <w:r>
        <w:rPr>
          <w:rFonts w:hint="eastAsia" w:cs="宋体"/>
          <w:color w:val="auto"/>
        </w:rPr>
        <w:t>：</w:t>
      </w:r>
      <w:r>
        <w:rPr>
          <w:rFonts w:hint="eastAsia" w:ascii="宋体" w:hAnsi="宋体" w:eastAsia="宋体" w:cs="宋体"/>
          <w:color w:val="auto"/>
          <w:sz w:val="21"/>
          <w:szCs w:val="21"/>
          <w:u w:val="single"/>
          <w:lang w:val="en-US" w:eastAsia="zh-CN"/>
        </w:rPr>
        <w:t>本项目非专门面向中小企业采购，小微企业价格扣除优惠比例：10%，用扣除后的价格参与评审，监狱企业、残疾人福利性单位视同小型、微型企业，其报价在评审时给予相同的价格扣除。</w:t>
      </w:r>
      <w:r>
        <w:rPr>
          <w:rFonts w:hint="eastAsia" w:cs="宋体"/>
          <w:color w:val="auto"/>
        </w:rPr>
        <w:t>；</w:t>
      </w:r>
    </w:p>
    <w:p w14:paraId="24D147FF">
      <w:pPr>
        <w:ind w:firstLine="422"/>
        <w:rPr>
          <w:rFonts w:cs="宋体"/>
          <w:b/>
          <w:bCs/>
          <w:color w:val="auto"/>
        </w:rPr>
      </w:pPr>
      <w:r>
        <w:rPr>
          <w:rFonts w:hint="eastAsia" w:cs="宋体"/>
          <w:b/>
          <w:bCs/>
          <w:color w:val="auto"/>
        </w:rPr>
        <w:t>3.本项目的特定资格要求：</w:t>
      </w:r>
    </w:p>
    <w:p w14:paraId="0BC3CEE4">
      <w:pPr>
        <w:ind w:firstLine="422"/>
        <w:rPr>
          <w:rFonts w:hint="eastAsia" w:cs="宋体"/>
          <w:b/>
          <w:bCs/>
          <w:color w:val="auto"/>
        </w:rPr>
      </w:pPr>
      <w:r>
        <w:rPr>
          <w:rFonts w:hint="eastAsia" w:cs="宋体"/>
          <w:b/>
          <w:bCs/>
          <w:color w:val="auto"/>
        </w:rPr>
        <w:t>3.1投标人须具有食品生产许可证或食品经营许可证或食品生产经营许可证或食品安全监督管理部门备案证明材料</w:t>
      </w:r>
      <w:r>
        <w:rPr>
          <w:rFonts w:hint="eastAsia" w:cs="宋体"/>
          <w:b/>
          <w:bCs/>
          <w:color w:val="auto"/>
          <w:lang w:eastAsia="zh-CN"/>
        </w:rPr>
        <w:t>（</w:t>
      </w:r>
      <w:r>
        <w:rPr>
          <w:rFonts w:hint="eastAsia" w:cs="宋体"/>
          <w:b/>
          <w:bCs/>
          <w:color w:val="auto"/>
          <w:lang w:val="en-US" w:eastAsia="zh-CN"/>
        </w:rPr>
        <w:t>提供扫描件</w:t>
      </w:r>
      <w:r>
        <w:rPr>
          <w:rFonts w:hint="eastAsia" w:cs="宋体"/>
          <w:b/>
          <w:bCs/>
          <w:color w:val="auto"/>
          <w:lang w:eastAsia="zh-CN"/>
        </w:rPr>
        <w:t>）</w:t>
      </w:r>
      <w:r>
        <w:rPr>
          <w:rFonts w:hint="eastAsia" w:cs="宋体"/>
          <w:b/>
          <w:bCs/>
          <w:color w:val="auto"/>
        </w:rPr>
        <w:t>。</w:t>
      </w:r>
    </w:p>
    <w:p w14:paraId="6C1F7013">
      <w:pPr>
        <w:pStyle w:val="10"/>
        <w:rPr>
          <w:color w:val="auto"/>
          <w:sz w:val="21"/>
          <w:szCs w:val="21"/>
        </w:rPr>
      </w:pPr>
      <w:r>
        <w:rPr>
          <w:rFonts w:hint="eastAsia"/>
          <w:color w:val="auto"/>
          <w:sz w:val="21"/>
          <w:szCs w:val="21"/>
          <w:lang w:val="en-US" w:eastAsia="zh-CN"/>
        </w:rPr>
        <w:t>3.2根据《中华人民共和国政府采购法实施条例》第十八条规定，单位负责人为同一人或者存在直接控股、管理关系的不同投标人，不得参加同一合同项下的政府采购活动。</w:t>
      </w:r>
    </w:p>
    <w:p w14:paraId="71E4BEB7">
      <w:pPr>
        <w:rPr>
          <w:rFonts w:cs="宋体"/>
          <w:color w:val="auto"/>
        </w:rPr>
      </w:pPr>
      <w:r>
        <w:rPr>
          <w:rFonts w:hint="eastAsia" w:cs="宋体"/>
          <w:color w:val="auto"/>
        </w:rPr>
        <w:t>3.</w:t>
      </w:r>
      <w:r>
        <w:rPr>
          <w:rFonts w:hint="eastAsia" w:cs="宋体"/>
          <w:color w:val="auto"/>
          <w:lang w:val="en-US" w:eastAsia="zh-CN"/>
        </w:rPr>
        <w:t>3</w:t>
      </w:r>
      <w:r>
        <w:rPr>
          <w:rFonts w:hint="eastAsia" w:cs="宋体"/>
          <w:color w:val="auto"/>
        </w:rPr>
        <w:t>本采购项目不</w:t>
      </w:r>
      <w:r>
        <w:rPr>
          <w:rFonts w:hint="eastAsia" w:cs="宋体"/>
          <w:b/>
          <w:bCs/>
          <w:color w:val="auto"/>
        </w:rPr>
        <w:t>接受</w:t>
      </w:r>
      <w:r>
        <w:rPr>
          <w:rFonts w:hint="eastAsia" w:cs="宋体"/>
          <w:color w:val="auto"/>
        </w:rPr>
        <w:t>联合体投标。</w:t>
      </w:r>
    </w:p>
    <w:p w14:paraId="6F757407">
      <w:pPr>
        <w:pStyle w:val="44"/>
        <w:spacing w:line="360" w:lineRule="auto"/>
        <w:jc w:val="left"/>
        <w:rPr>
          <w:rFonts w:hint="eastAsia" w:ascii="宋体" w:hAnsi="宋体" w:eastAsia="宋体" w:cs="宋体"/>
          <w:color w:val="auto"/>
          <w:sz w:val="24"/>
          <w:szCs w:val="24"/>
          <w:lang w:val="en-US" w:eastAsia="zh-CN"/>
        </w:rPr>
      </w:pPr>
      <w:bookmarkStart w:id="41" w:name="_Toc16568"/>
      <w:bookmarkStart w:id="42" w:name="_Toc35393623"/>
      <w:bookmarkStart w:id="43" w:name="_Toc174628157"/>
      <w:bookmarkStart w:id="44" w:name="_Toc44576555"/>
      <w:bookmarkStart w:id="45" w:name="_Toc35393792"/>
      <w:bookmarkStart w:id="46" w:name="_Toc15715"/>
      <w:r>
        <w:rPr>
          <w:rFonts w:hint="eastAsia" w:ascii="宋体" w:hAnsi="宋体" w:eastAsia="宋体" w:cs="宋体"/>
          <w:color w:val="auto"/>
          <w:sz w:val="24"/>
          <w:szCs w:val="24"/>
          <w:lang w:val="en-US" w:eastAsia="zh-CN"/>
        </w:rPr>
        <w:t>三、获取招标文件</w:t>
      </w:r>
      <w:bookmarkEnd w:id="39"/>
      <w:bookmarkEnd w:id="40"/>
      <w:bookmarkEnd w:id="41"/>
      <w:bookmarkEnd w:id="42"/>
      <w:bookmarkEnd w:id="43"/>
      <w:bookmarkEnd w:id="44"/>
      <w:bookmarkEnd w:id="45"/>
      <w:bookmarkEnd w:id="46"/>
    </w:p>
    <w:p w14:paraId="027338C5">
      <w:pPr>
        <w:keepNext w:val="0"/>
        <w:keepLines w:val="0"/>
        <w:pageBreakBefore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color w:val="auto"/>
          <w:spacing w:val="10"/>
          <w:sz w:val="21"/>
          <w:szCs w:val="21"/>
          <w:lang w:eastAsia="zh-CN"/>
        </w:rPr>
      </w:pPr>
      <w:bookmarkStart w:id="47" w:name="_Toc28359082"/>
      <w:bookmarkStart w:id="48" w:name="_Toc28359005"/>
      <w:bookmarkStart w:id="49" w:name="_Toc35393624"/>
      <w:bookmarkStart w:id="50" w:name="_Toc24968"/>
      <w:bookmarkStart w:id="51" w:name="_Toc44576556"/>
      <w:bookmarkStart w:id="52" w:name="_Toc35393793"/>
      <w:bookmarkStart w:id="53" w:name="_Toc174628158"/>
      <w:r>
        <w:rPr>
          <w:rFonts w:hint="eastAsia" w:ascii="宋体" w:hAnsi="宋体" w:eastAsia="宋体" w:cs="宋体"/>
          <w:color w:val="auto"/>
          <w:spacing w:val="10"/>
          <w:sz w:val="21"/>
          <w:szCs w:val="21"/>
          <w:lang w:val="en-US" w:eastAsia="zh-CN"/>
        </w:rPr>
        <w:t>1.</w:t>
      </w:r>
      <w:r>
        <w:rPr>
          <w:rFonts w:hint="eastAsia" w:ascii="宋体" w:hAnsi="宋体" w:eastAsia="宋体" w:cs="宋体"/>
          <w:color w:val="auto"/>
          <w:spacing w:val="10"/>
          <w:sz w:val="21"/>
          <w:szCs w:val="21"/>
        </w:rPr>
        <w:t>时间：</w:t>
      </w:r>
      <w:r>
        <w:rPr>
          <w:rFonts w:hint="eastAsia" w:ascii="宋体" w:hAnsi="宋体" w:eastAsia="宋体" w:cs="宋体"/>
          <w:color w:val="auto"/>
          <w:spacing w:val="10"/>
          <w:sz w:val="21"/>
          <w:szCs w:val="21"/>
          <w:u w:val="single"/>
        </w:rPr>
        <w:t xml:space="preserve"> 202</w:t>
      </w:r>
      <w:r>
        <w:rPr>
          <w:rFonts w:hint="eastAsia" w:ascii="宋体" w:hAnsi="宋体" w:eastAsia="宋体" w:cs="宋体"/>
          <w:color w:val="auto"/>
          <w:spacing w:val="10"/>
          <w:sz w:val="21"/>
          <w:szCs w:val="21"/>
          <w:u w:val="single"/>
          <w:lang w:val="en-US" w:eastAsia="zh-CN"/>
        </w:rPr>
        <w:t>5</w:t>
      </w:r>
      <w:r>
        <w:rPr>
          <w:rFonts w:hint="eastAsia" w:ascii="宋体" w:hAnsi="宋体" w:eastAsia="宋体" w:cs="宋体"/>
          <w:color w:val="auto"/>
          <w:spacing w:val="10"/>
          <w:sz w:val="21"/>
          <w:szCs w:val="21"/>
          <w:u w:val="single"/>
        </w:rPr>
        <w:t xml:space="preserve"> </w:t>
      </w:r>
      <w:r>
        <w:rPr>
          <w:rFonts w:hint="eastAsia" w:ascii="宋体" w:hAnsi="宋体" w:eastAsia="宋体" w:cs="宋体"/>
          <w:color w:val="auto"/>
          <w:spacing w:val="10"/>
          <w:sz w:val="21"/>
          <w:szCs w:val="21"/>
        </w:rPr>
        <w:t>年</w:t>
      </w:r>
      <w:r>
        <w:rPr>
          <w:rFonts w:hint="eastAsia" w:cs="宋体"/>
          <w:color w:val="auto"/>
          <w:spacing w:val="10"/>
          <w:sz w:val="21"/>
          <w:szCs w:val="21"/>
          <w:u w:val="single"/>
          <w:lang w:val="en-US" w:eastAsia="zh-CN"/>
        </w:rPr>
        <w:t>08</w:t>
      </w:r>
      <w:r>
        <w:rPr>
          <w:rFonts w:hint="eastAsia" w:ascii="宋体" w:hAnsi="宋体" w:eastAsia="宋体" w:cs="宋体"/>
          <w:color w:val="auto"/>
          <w:spacing w:val="10"/>
          <w:sz w:val="21"/>
          <w:szCs w:val="21"/>
        </w:rPr>
        <w:t>月</w:t>
      </w:r>
      <w:r>
        <w:rPr>
          <w:rFonts w:hint="eastAsia" w:cs="宋体"/>
          <w:color w:val="auto"/>
          <w:spacing w:val="10"/>
          <w:sz w:val="21"/>
          <w:szCs w:val="21"/>
          <w:u w:val="single"/>
          <w:lang w:val="en-US" w:eastAsia="zh-CN"/>
        </w:rPr>
        <w:t>11</w:t>
      </w:r>
      <w:r>
        <w:rPr>
          <w:rFonts w:hint="eastAsia" w:ascii="宋体" w:hAnsi="宋体" w:eastAsia="宋体" w:cs="宋体"/>
          <w:color w:val="auto"/>
          <w:spacing w:val="10"/>
          <w:sz w:val="21"/>
          <w:szCs w:val="21"/>
        </w:rPr>
        <w:t>日</w:t>
      </w:r>
      <w:r>
        <w:rPr>
          <w:rFonts w:hint="eastAsia" w:ascii="宋体" w:hAnsi="宋体" w:eastAsia="宋体" w:cs="宋体"/>
          <w:color w:val="auto"/>
          <w:spacing w:val="10"/>
          <w:sz w:val="21"/>
          <w:szCs w:val="21"/>
          <w:u w:val="single"/>
        </w:rPr>
        <w:t xml:space="preserve"> 0</w:t>
      </w:r>
      <w:r>
        <w:rPr>
          <w:rFonts w:hint="eastAsia" w:cs="宋体"/>
          <w:color w:val="auto"/>
          <w:spacing w:val="10"/>
          <w:sz w:val="21"/>
          <w:szCs w:val="21"/>
          <w:u w:val="single"/>
          <w:lang w:val="en-US" w:eastAsia="zh-CN"/>
        </w:rPr>
        <w:t>6</w:t>
      </w:r>
      <w:r>
        <w:rPr>
          <w:rFonts w:hint="eastAsia" w:ascii="宋体" w:hAnsi="宋体" w:eastAsia="宋体" w:cs="宋体"/>
          <w:color w:val="auto"/>
          <w:spacing w:val="10"/>
          <w:sz w:val="21"/>
          <w:szCs w:val="21"/>
          <w:u w:val="single"/>
        </w:rPr>
        <w:t xml:space="preserve"> </w:t>
      </w:r>
      <w:r>
        <w:rPr>
          <w:rFonts w:hint="eastAsia" w:ascii="宋体" w:hAnsi="宋体" w:eastAsia="宋体" w:cs="宋体"/>
          <w:color w:val="auto"/>
          <w:spacing w:val="10"/>
          <w:sz w:val="21"/>
          <w:szCs w:val="21"/>
        </w:rPr>
        <w:t>点</w:t>
      </w:r>
      <w:r>
        <w:rPr>
          <w:rFonts w:hint="eastAsia" w:ascii="宋体" w:hAnsi="宋体" w:eastAsia="宋体" w:cs="宋体"/>
          <w:color w:val="auto"/>
          <w:spacing w:val="10"/>
          <w:sz w:val="21"/>
          <w:szCs w:val="21"/>
          <w:u w:val="single"/>
          <w:lang w:val="en-US" w:eastAsia="zh-CN"/>
        </w:rPr>
        <w:t xml:space="preserve"> </w:t>
      </w:r>
      <w:r>
        <w:rPr>
          <w:rFonts w:hint="eastAsia" w:cs="宋体"/>
          <w:color w:val="auto"/>
          <w:spacing w:val="10"/>
          <w:sz w:val="21"/>
          <w:szCs w:val="21"/>
          <w:u w:val="single"/>
          <w:lang w:val="en-US" w:eastAsia="zh-CN"/>
        </w:rPr>
        <w:t>0</w:t>
      </w:r>
      <w:r>
        <w:rPr>
          <w:rFonts w:hint="eastAsia" w:ascii="宋体" w:hAnsi="宋体" w:eastAsia="宋体" w:cs="宋体"/>
          <w:color w:val="auto"/>
          <w:spacing w:val="10"/>
          <w:sz w:val="21"/>
          <w:szCs w:val="21"/>
          <w:u w:val="single"/>
        </w:rPr>
        <w:t>0</w:t>
      </w:r>
      <w:r>
        <w:rPr>
          <w:rFonts w:hint="eastAsia" w:ascii="宋体" w:hAnsi="宋体" w:eastAsia="宋体" w:cs="宋体"/>
          <w:color w:val="auto"/>
          <w:spacing w:val="10"/>
          <w:sz w:val="21"/>
          <w:szCs w:val="21"/>
        </w:rPr>
        <w:t>分至</w:t>
      </w:r>
      <w:r>
        <w:rPr>
          <w:rFonts w:hint="eastAsia" w:ascii="宋体" w:hAnsi="宋体" w:eastAsia="宋体" w:cs="宋体"/>
          <w:color w:val="auto"/>
          <w:spacing w:val="10"/>
          <w:sz w:val="21"/>
          <w:szCs w:val="21"/>
          <w:u w:val="single"/>
        </w:rPr>
        <w:t xml:space="preserve"> 202</w:t>
      </w:r>
      <w:r>
        <w:rPr>
          <w:rFonts w:hint="eastAsia" w:ascii="宋体" w:hAnsi="宋体" w:eastAsia="宋体" w:cs="宋体"/>
          <w:color w:val="auto"/>
          <w:spacing w:val="10"/>
          <w:sz w:val="21"/>
          <w:szCs w:val="21"/>
          <w:u w:val="single"/>
          <w:lang w:val="en-US" w:eastAsia="zh-CN"/>
        </w:rPr>
        <w:t>5</w:t>
      </w:r>
      <w:r>
        <w:rPr>
          <w:rFonts w:hint="eastAsia" w:ascii="宋体" w:hAnsi="宋体" w:eastAsia="宋体" w:cs="宋体"/>
          <w:color w:val="auto"/>
          <w:spacing w:val="10"/>
          <w:sz w:val="21"/>
          <w:szCs w:val="21"/>
          <w:u w:val="single"/>
        </w:rPr>
        <w:t xml:space="preserve"> </w:t>
      </w:r>
      <w:r>
        <w:rPr>
          <w:rFonts w:hint="eastAsia" w:ascii="宋体" w:hAnsi="宋体" w:eastAsia="宋体" w:cs="宋体"/>
          <w:color w:val="auto"/>
          <w:spacing w:val="10"/>
          <w:sz w:val="21"/>
          <w:szCs w:val="21"/>
        </w:rPr>
        <w:t>年</w:t>
      </w:r>
      <w:r>
        <w:rPr>
          <w:rFonts w:hint="eastAsia" w:cs="宋体"/>
          <w:color w:val="auto"/>
          <w:spacing w:val="10"/>
          <w:sz w:val="21"/>
          <w:szCs w:val="21"/>
          <w:u w:val="single"/>
          <w:lang w:val="en-US" w:eastAsia="zh-CN"/>
        </w:rPr>
        <w:t>08</w:t>
      </w:r>
      <w:r>
        <w:rPr>
          <w:rFonts w:hint="eastAsia" w:ascii="宋体" w:hAnsi="宋体" w:eastAsia="宋体" w:cs="宋体"/>
          <w:color w:val="auto"/>
          <w:spacing w:val="10"/>
          <w:sz w:val="21"/>
          <w:szCs w:val="21"/>
        </w:rPr>
        <w:t>月</w:t>
      </w:r>
      <w:r>
        <w:rPr>
          <w:rFonts w:hint="eastAsia" w:cs="宋体"/>
          <w:color w:val="auto"/>
          <w:spacing w:val="10"/>
          <w:sz w:val="21"/>
          <w:szCs w:val="21"/>
          <w:u w:val="single"/>
          <w:lang w:val="en-US" w:eastAsia="zh-CN"/>
        </w:rPr>
        <w:t>18</w:t>
      </w:r>
      <w:r>
        <w:rPr>
          <w:rFonts w:hint="eastAsia" w:ascii="宋体" w:hAnsi="宋体" w:eastAsia="宋体" w:cs="宋体"/>
          <w:color w:val="auto"/>
          <w:spacing w:val="10"/>
          <w:sz w:val="21"/>
          <w:szCs w:val="21"/>
        </w:rPr>
        <w:t>日</w:t>
      </w:r>
      <w:r>
        <w:rPr>
          <w:rFonts w:hint="eastAsia" w:cs="宋体"/>
          <w:color w:val="auto"/>
          <w:spacing w:val="10"/>
          <w:sz w:val="21"/>
          <w:szCs w:val="21"/>
          <w:u w:val="single"/>
          <w:lang w:val="en-US" w:eastAsia="zh-CN"/>
        </w:rPr>
        <w:t>23</w:t>
      </w:r>
      <w:r>
        <w:rPr>
          <w:rFonts w:hint="eastAsia" w:ascii="宋体" w:hAnsi="宋体" w:eastAsia="宋体" w:cs="宋体"/>
          <w:color w:val="auto"/>
          <w:spacing w:val="10"/>
          <w:sz w:val="21"/>
          <w:szCs w:val="21"/>
        </w:rPr>
        <w:t>点</w:t>
      </w:r>
      <w:r>
        <w:rPr>
          <w:rFonts w:hint="eastAsia" w:cs="宋体"/>
          <w:color w:val="auto"/>
          <w:spacing w:val="10"/>
          <w:sz w:val="21"/>
          <w:szCs w:val="21"/>
          <w:u w:val="single"/>
          <w:lang w:val="en-US" w:eastAsia="zh-CN"/>
        </w:rPr>
        <w:t>59</w:t>
      </w:r>
      <w:r>
        <w:rPr>
          <w:rFonts w:hint="eastAsia" w:ascii="宋体" w:hAnsi="宋体" w:eastAsia="宋体" w:cs="宋体"/>
          <w:color w:val="auto"/>
          <w:spacing w:val="10"/>
          <w:sz w:val="21"/>
          <w:szCs w:val="21"/>
        </w:rPr>
        <w:t>分</w:t>
      </w:r>
      <w:r>
        <w:rPr>
          <w:rFonts w:hint="eastAsia" w:ascii="宋体" w:hAnsi="宋体" w:eastAsia="宋体" w:cs="宋体"/>
          <w:color w:val="auto"/>
          <w:spacing w:val="10"/>
          <w:sz w:val="21"/>
          <w:szCs w:val="21"/>
          <w:lang w:eastAsia="zh-CN"/>
        </w:rPr>
        <w:t>。</w:t>
      </w:r>
    </w:p>
    <w:p w14:paraId="7B860F79">
      <w:pPr>
        <w:keepNext w:val="0"/>
        <w:keepLines w:val="0"/>
        <w:pageBreakBefore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color w:val="auto"/>
          <w:spacing w:val="10"/>
          <w:sz w:val="21"/>
          <w:szCs w:val="21"/>
          <w:lang w:eastAsia="zh-CN"/>
        </w:rPr>
      </w:pPr>
      <w:r>
        <w:rPr>
          <w:rFonts w:hint="eastAsia" w:ascii="宋体" w:hAnsi="宋体" w:cs="宋体"/>
          <w:color w:val="auto"/>
          <w:spacing w:val="10"/>
          <w:sz w:val="21"/>
          <w:szCs w:val="21"/>
          <w:lang w:val="en-US" w:eastAsia="zh-CN"/>
        </w:rPr>
        <w:t>2.</w:t>
      </w:r>
      <w:r>
        <w:rPr>
          <w:rFonts w:hint="eastAsia" w:ascii="宋体" w:hAnsi="宋体" w:cs="宋体"/>
          <w:color w:val="auto"/>
          <w:spacing w:val="10"/>
          <w:sz w:val="21"/>
          <w:szCs w:val="21"/>
        </w:rPr>
        <w:t>地点：</w:t>
      </w:r>
      <w:r>
        <w:rPr>
          <w:rFonts w:hint="eastAsia" w:ascii="宋体" w:hAnsi="宋体" w:cs="宋体"/>
          <w:color w:val="auto"/>
          <w:spacing w:val="10"/>
          <w:sz w:val="21"/>
          <w:szCs w:val="21"/>
          <w:lang w:val="en-US" w:eastAsia="zh-CN"/>
        </w:rPr>
        <w:t>登录政采云平台（网址：http://www.zcygov.cn）</w:t>
      </w:r>
    </w:p>
    <w:p w14:paraId="018D4447">
      <w:pPr>
        <w:keepNext w:val="0"/>
        <w:keepLines w:val="0"/>
        <w:pageBreakBefore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color w:val="auto"/>
          <w:spacing w:val="10"/>
          <w:sz w:val="21"/>
          <w:szCs w:val="21"/>
          <w:lang w:eastAsia="zh-CN"/>
        </w:rPr>
      </w:pPr>
      <w:r>
        <w:rPr>
          <w:rFonts w:hint="eastAsia" w:ascii="宋体" w:hAnsi="宋体" w:cs="宋体"/>
          <w:color w:val="auto"/>
          <w:spacing w:val="10"/>
          <w:sz w:val="21"/>
          <w:szCs w:val="21"/>
          <w:lang w:val="en-US" w:eastAsia="zh-CN"/>
        </w:rPr>
        <w:t>3.</w:t>
      </w:r>
      <w:r>
        <w:rPr>
          <w:rFonts w:hint="eastAsia" w:ascii="宋体" w:hAnsi="宋体" w:cs="宋体"/>
          <w:color w:val="auto"/>
          <w:spacing w:val="10"/>
          <w:sz w:val="21"/>
          <w:szCs w:val="21"/>
        </w:rPr>
        <w:t>方式：线上获取</w:t>
      </w:r>
      <w:r>
        <w:rPr>
          <w:rFonts w:hint="eastAsia" w:ascii="宋体" w:hAnsi="宋体" w:cs="宋体"/>
          <w:color w:val="auto"/>
          <w:spacing w:val="10"/>
          <w:sz w:val="21"/>
          <w:szCs w:val="21"/>
          <w:lang w:eastAsia="zh-CN"/>
        </w:rPr>
        <w:t>，（</w:t>
      </w:r>
      <w:r>
        <w:rPr>
          <w:rFonts w:hint="eastAsia" w:ascii="宋体" w:hAnsi="宋体" w:cs="宋体"/>
          <w:color w:val="auto"/>
          <w:spacing w:val="10"/>
          <w:sz w:val="21"/>
          <w:szCs w:val="21"/>
          <w:lang w:val="en-US" w:eastAsia="zh-CN"/>
        </w:rPr>
        <w:t>1</w:t>
      </w:r>
      <w:r>
        <w:rPr>
          <w:rFonts w:hint="eastAsia" w:ascii="宋体" w:hAnsi="宋体" w:cs="宋体"/>
          <w:color w:val="auto"/>
          <w:spacing w:val="10"/>
          <w:sz w:val="21"/>
          <w:szCs w:val="21"/>
          <w:lang w:eastAsia="zh-CN"/>
        </w:rPr>
        <w:t>）凡有意参加投标者，须在政采云平台办理数字证书（CA），并在政采云绑定数字证书（CA）后线上获取采购文件及其它采购资料。CA申领链接：https://middle.zcygov.cn/ca/apply/list?_app_=zcy.sys，CA申领后需登陆政采云平台完成数字证书（CA）绑定才可以使用，数字证书（CA）详见其办理流程。（</w:t>
      </w:r>
      <w:r>
        <w:rPr>
          <w:rFonts w:hint="eastAsia" w:ascii="宋体" w:hAnsi="宋体" w:cs="宋体"/>
          <w:color w:val="auto"/>
          <w:spacing w:val="10"/>
          <w:sz w:val="21"/>
          <w:szCs w:val="21"/>
          <w:lang w:val="en-US" w:eastAsia="zh-CN"/>
        </w:rPr>
        <w:t>2</w:t>
      </w:r>
      <w:r>
        <w:rPr>
          <w:rFonts w:hint="eastAsia" w:ascii="宋体" w:hAnsi="宋体" w:cs="宋体"/>
          <w:color w:val="auto"/>
          <w:spacing w:val="10"/>
          <w:sz w:val="21"/>
          <w:szCs w:val="21"/>
          <w:lang w:eastAsia="zh-CN"/>
        </w:rPr>
        <w:t>）按上述要求获取文件的</w:t>
      </w:r>
      <w:r>
        <w:rPr>
          <w:rFonts w:hint="eastAsia" w:ascii="宋体" w:hAnsi="宋体" w:cs="宋体"/>
          <w:color w:val="auto"/>
          <w:spacing w:val="10"/>
          <w:sz w:val="21"/>
          <w:szCs w:val="21"/>
          <w:lang w:val="en-US" w:eastAsia="zh-CN"/>
        </w:rPr>
        <w:t>供应商</w:t>
      </w:r>
      <w:r>
        <w:rPr>
          <w:rFonts w:hint="eastAsia" w:ascii="宋体" w:hAnsi="宋体" w:cs="宋体"/>
          <w:color w:val="auto"/>
          <w:spacing w:val="10"/>
          <w:sz w:val="21"/>
          <w:szCs w:val="21"/>
          <w:lang w:eastAsia="zh-CN"/>
        </w:rPr>
        <w:t>视为合法获取了本项目</w:t>
      </w:r>
      <w:r>
        <w:rPr>
          <w:rFonts w:hint="eastAsia" w:ascii="宋体" w:hAnsi="宋体" w:cs="宋体"/>
          <w:color w:val="auto"/>
          <w:spacing w:val="10"/>
          <w:sz w:val="21"/>
          <w:szCs w:val="21"/>
          <w:lang w:val="en-US" w:eastAsia="zh-CN"/>
        </w:rPr>
        <w:t>招标</w:t>
      </w:r>
      <w:r>
        <w:rPr>
          <w:rFonts w:hint="eastAsia" w:ascii="宋体" w:hAnsi="宋体" w:cs="宋体"/>
          <w:color w:val="auto"/>
          <w:spacing w:val="10"/>
          <w:sz w:val="21"/>
          <w:szCs w:val="21"/>
          <w:lang w:eastAsia="zh-CN"/>
        </w:rPr>
        <w:t>文件，具备本项目的投标资格。</w:t>
      </w:r>
    </w:p>
    <w:p w14:paraId="463F9F42">
      <w:pPr>
        <w:keepNext w:val="0"/>
        <w:keepLines w:val="0"/>
        <w:pageBreakBefore w:val="0"/>
        <w:kinsoku/>
        <w:wordWrap/>
        <w:overflowPunct/>
        <w:topLinePunct w:val="0"/>
        <w:autoSpaceDE/>
        <w:autoSpaceDN/>
        <w:bidi w:val="0"/>
        <w:adjustRightInd/>
        <w:snapToGrid/>
        <w:spacing w:line="360" w:lineRule="auto"/>
        <w:ind w:firstLine="460" w:firstLineChars="200"/>
        <w:textAlignment w:val="auto"/>
        <w:rPr>
          <w:rFonts w:hint="eastAsia" w:ascii="宋体" w:hAnsi="宋体" w:cs="宋体"/>
          <w:color w:val="auto"/>
          <w:spacing w:val="10"/>
          <w:sz w:val="21"/>
          <w:szCs w:val="21"/>
          <w:lang w:val="en-US" w:eastAsia="zh-CN"/>
        </w:rPr>
      </w:pPr>
      <w:r>
        <w:rPr>
          <w:rFonts w:hint="eastAsia" w:ascii="宋体" w:hAnsi="宋体" w:cs="宋体"/>
          <w:color w:val="auto"/>
          <w:spacing w:val="10"/>
          <w:sz w:val="21"/>
          <w:szCs w:val="21"/>
          <w:lang w:val="en-US" w:eastAsia="zh-CN"/>
        </w:rPr>
        <w:t>4.售价：0.00元。</w:t>
      </w:r>
    </w:p>
    <w:p w14:paraId="505F80E7">
      <w:pPr>
        <w:pStyle w:val="44"/>
        <w:spacing w:line="360" w:lineRule="auto"/>
        <w:jc w:val="left"/>
        <w:rPr>
          <w:rFonts w:hint="eastAsia" w:ascii="宋体" w:hAnsi="宋体" w:eastAsia="宋体" w:cs="宋体"/>
          <w:color w:val="auto"/>
          <w:sz w:val="24"/>
          <w:szCs w:val="24"/>
          <w:lang w:val="en-US" w:eastAsia="zh-CN"/>
        </w:rPr>
      </w:pPr>
      <w:bookmarkStart w:id="54" w:name="_Toc13094"/>
      <w:r>
        <w:rPr>
          <w:rFonts w:hint="eastAsia" w:ascii="宋体" w:hAnsi="宋体" w:eastAsia="宋体" w:cs="宋体"/>
          <w:color w:val="auto"/>
          <w:sz w:val="24"/>
          <w:szCs w:val="24"/>
          <w:lang w:val="en-US" w:eastAsia="zh-CN"/>
        </w:rPr>
        <w:t>四、提交投标文件</w:t>
      </w:r>
      <w:bookmarkEnd w:id="47"/>
      <w:bookmarkEnd w:id="48"/>
      <w:r>
        <w:rPr>
          <w:rFonts w:hint="eastAsia" w:ascii="宋体" w:hAnsi="宋体" w:eastAsia="宋体" w:cs="宋体"/>
          <w:color w:val="auto"/>
          <w:sz w:val="24"/>
          <w:szCs w:val="24"/>
          <w:lang w:val="en-US" w:eastAsia="zh-CN"/>
        </w:rPr>
        <w:t>截止时间、开标时间和地点</w:t>
      </w:r>
      <w:bookmarkEnd w:id="49"/>
      <w:bookmarkEnd w:id="50"/>
      <w:bookmarkEnd w:id="51"/>
      <w:bookmarkEnd w:id="52"/>
      <w:bookmarkEnd w:id="53"/>
      <w:bookmarkEnd w:id="54"/>
    </w:p>
    <w:p w14:paraId="743CAC84">
      <w:pPr>
        <w:keepNext w:val="0"/>
        <w:keepLines w:val="0"/>
        <w:pageBreakBefore w:val="0"/>
        <w:kinsoku/>
        <w:wordWrap/>
        <w:overflowPunct/>
        <w:topLinePunct w:val="0"/>
        <w:autoSpaceDE/>
        <w:autoSpaceDN/>
        <w:bidi w:val="0"/>
        <w:adjustRightInd/>
        <w:snapToGrid/>
        <w:spacing w:line="360" w:lineRule="auto"/>
        <w:ind w:left="479" w:leftChars="228" w:firstLine="0" w:firstLineChars="0"/>
        <w:textAlignment w:val="auto"/>
        <w:rPr>
          <w:rFonts w:hint="eastAsia" w:ascii="宋体" w:hAnsi="宋体" w:cs="宋体"/>
          <w:b/>
          <w:bCs/>
          <w:color w:val="auto"/>
          <w:sz w:val="21"/>
          <w:szCs w:val="21"/>
        </w:rPr>
      </w:pPr>
      <w:bookmarkStart w:id="55" w:name="_Toc44576557"/>
      <w:bookmarkStart w:id="56" w:name="_Toc28359084"/>
      <w:bookmarkStart w:id="57" w:name="_Toc28359007"/>
      <w:bookmarkStart w:id="58" w:name="_Toc35393794"/>
      <w:bookmarkStart w:id="59" w:name="_Toc35393625"/>
      <w:bookmarkStart w:id="60" w:name="_Toc174628159"/>
      <w:bookmarkStart w:id="61" w:name="_Toc22238"/>
      <w:r>
        <w:rPr>
          <w:rFonts w:hint="eastAsia" w:ascii="宋体" w:hAnsi="宋体" w:cs="宋体"/>
          <w:color w:val="auto"/>
          <w:sz w:val="21"/>
          <w:szCs w:val="21"/>
          <w:lang w:val="en-US" w:eastAsia="zh-CN"/>
        </w:rPr>
        <w:t>1.截止</w:t>
      </w:r>
      <w:r>
        <w:rPr>
          <w:rFonts w:hint="eastAsia" w:ascii="宋体" w:hAnsi="宋体" w:cs="宋体"/>
          <w:color w:val="auto"/>
          <w:sz w:val="21"/>
          <w:szCs w:val="21"/>
        </w:rPr>
        <w:t>时间</w:t>
      </w:r>
      <w:r>
        <w:rPr>
          <w:rFonts w:hint="eastAsia" w:ascii="宋体" w:hAnsi="宋体" w:cs="宋体"/>
          <w:color w:val="auto"/>
          <w:sz w:val="21"/>
          <w:szCs w:val="21"/>
          <w:lang w:val="en-US" w:eastAsia="zh-CN"/>
        </w:rPr>
        <w:t>及开标时间</w:t>
      </w:r>
      <w:r>
        <w:rPr>
          <w:rFonts w:hint="eastAsia" w:ascii="宋体" w:hAnsi="宋体" w:cs="宋体"/>
          <w:color w:val="auto"/>
          <w:sz w:val="21"/>
          <w:szCs w:val="21"/>
        </w:rPr>
        <w:t>：</w:t>
      </w:r>
      <w:r>
        <w:rPr>
          <w:rFonts w:hint="eastAsia" w:ascii="宋体" w:hAnsi="宋体" w:eastAsia="宋体" w:cs="宋体"/>
          <w:color w:val="auto"/>
          <w:sz w:val="21"/>
          <w:szCs w:val="21"/>
          <w:u w:val="single"/>
          <w:lang w:val="en-US" w:eastAsia="zh-CN"/>
        </w:rPr>
        <w:t>2025年</w:t>
      </w:r>
      <w:r>
        <w:rPr>
          <w:rFonts w:hint="eastAsia" w:cs="宋体"/>
          <w:color w:val="auto"/>
          <w:sz w:val="21"/>
          <w:szCs w:val="21"/>
          <w:u w:val="single"/>
          <w:lang w:val="en-US" w:eastAsia="zh-CN"/>
        </w:rPr>
        <w:t>09</w:t>
      </w:r>
      <w:r>
        <w:rPr>
          <w:rFonts w:hint="eastAsia" w:ascii="宋体" w:hAnsi="宋体" w:eastAsia="宋体" w:cs="宋体"/>
          <w:color w:val="auto"/>
          <w:sz w:val="21"/>
          <w:szCs w:val="21"/>
          <w:u w:val="single"/>
          <w:lang w:val="en-US" w:eastAsia="zh-CN"/>
        </w:rPr>
        <w:t>月</w:t>
      </w:r>
      <w:r>
        <w:rPr>
          <w:rFonts w:hint="eastAsia" w:cs="宋体"/>
          <w:color w:val="auto"/>
          <w:sz w:val="21"/>
          <w:szCs w:val="21"/>
          <w:u w:val="single"/>
          <w:lang w:val="en-US" w:eastAsia="zh-CN"/>
        </w:rPr>
        <w:t>03</w:t>
      </w:r>
      <w:r>
        <w:rPr>
          <w:rFonts w:hint="eastAsia" w:ascii="宋体" w:hAnsi="宋体" w:eastAsia="宋体" w:cs="宋体"/>
          <w:color w:val="auto"/>
          <w:sz w:val="21"/>
          <w:szCs w:val="21"/>
          <w:u w:val="single"/>
          <w:lang w:val="en-US" w:eastAsia="zh-CN"/>
        </w:rPr>
        <w:t>日</w:t>
      </w:r>
      <w:r>
        <w:rPr>
          <w:rFonts w:hint="eastAsia" w:cs="宋体"/>
          <w:color w:val="auto"/>
          <w:sz w:val="21"/>
          <w:szCs w:val="21"/>
          <w:u w:val="single"/>
          <w:lang w:val="en-US" w:eastAsia="zh-CN"/>
        </w:rPr>
        <w:t>14</w:t>
      </w:r>
      <w:r>
        <w:rPr>
          <w:rFonts w:hint="eastAsia" w:ascii="宋体" w:hAnsi="宋体" w:eastAsia="宋体" w:cs="宋体"/>
          <w:color w:val="auto"/>
          <w:sz w:val="21"/>
          <w:szCs w:val="21"/>
          <w:u w:val="single"/>
          <w:lang w:val="en-US" w:eastAsia="zh-CN"/>
        </w:rPr>
        <w:t>点00分</w:t>
      </w:r>
      <w:r>
        <w:rPr>
          <w:rFonts w:hint="eastAsia" w:ascii="宋体" w:hAnsi="宋体" w:cs="宋体"/>
          <w:color w:val="auto"/>
          <w:sz w:val="21"/>
          <w:szCs w:val="21"/>
        </w:rPr>
        <w:t>（北京时间）</w:t>
      </w:r>
      <w:r>
        <w:rPr>
          <w:rFonts w:hint="eastAsia" w:ascii="宋体" w:hAnsi="宋体" w:cs="宋体"/>
          <w:color w:val="auto"/>
          <w:sz w:val="21"/>
          <w:szCs w:val="21"/>
          <w:lang w:eastAsia="zh-CN"/>
        </w:rPr>
        <w:t>。</w:t>
      </w:r>
    </w:p>
    <w:p w14:paraId="5C9B65B3">
      <w:pPr>
        <w:pStyle w:val="10"/>
        <w:keepNext w:val="0"/>
        <w:keepLines w:val="0"/>
        <w:pageBreakBefore w:val="0"/>
        <w:widowControl w:val="0"/>
        <w:kinsoku/>
        <w:wordWrap/>
        <w:overflowPunct/>
        <w:topLinePunct w:val="0"/>
        <w:autoSpaceDE w:val="0"/>
        <w:autoSpaceDN w:val="0"/>
        <w:bidi w:val="0"/>
        <w:adjustRightInd/>
        <w:snapToGrid/>
        <w:spacing w:before="0" w:after="0" w:line="360" w:lineRule="auto"/>
        <w:ind w:left="0" w:leftChars="0" w:right="0" w:rightChars="0" w:firstLine="420" w:firstLineChars="200"/>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highlight w:val="none"/>
        </w:rPr>
        <w:t>开标地点：政府采购云平台开标大厅“政采云”平台（https://www.zcygov.cn/）</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rPr>
        <w:t>应按照本项目</w:t>
      </w:r>
      <w:r>
        <w:rPr>
          <w:rFonts w:hint="eastAsia" w:ascii="宋体" w:hAnsi="宋体" w:eastAsia="宋体" w:cs="宋体"/>
          <w:color w:val="auto"/>
          <w:sz w:val="21"/>
          <w:szCs w:val="21"/>
          <w:highlight w:val="none"/>
          <w:lang w:val="en-US" w:eastAsia="zh-CN"/>
        </w:rPr>
        <w:t>招标</w:t>
      </w:r>
      <w:r>
        <w:rPr>
          <w:rFonts w:hint="eastAsia" w:ascii="宋体" w:hAnsi="宋体" w:eastAsia="宋体" w:cs="宋体"/>
          <w:color w:val="auto"/>
          <w:sz w:val="21"/>
          <w:szCs w:val="21"/>
          <w:highlight w:val="none"/>
        </w:rPr>
        <w:t>文件和</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政采云</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平台的要求编制、加密后在</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rPr>
        <w:t>文件提交截止时间前上传至"政采云"平台，</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rPr>
        <w:t>文件提交截止时间前未完成</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rPr>
        <w:t>文件上传的，视为撤回</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rPr>
        <w:t>文件。</w:t>
      </w: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rPr>
        <w:t>在"政采云"平台提交电子版</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rPr>
        <w:t>文件时，请填写参加远程采购活动经办人联系方式</w:t>
      </w:r>
      <w:r>
        <w:rPr>
          <w:rFonts w:hint="eastAsia" w:ascii="宋体" w:hAnsi="宋体" w:cs="宋体"/>
          <w:color w:val="auto"/>
          <w:sz w:val="21"/>
          <w:szCs w:val="21"/>
          <w:highlight w:val="none"/>
          <w:lang w:eastAsia="zh-CN"/>
        </w:rPr>
        <w:t>。</w:t>
      </w:r>
    </w:p>
    <w:p w14:paraId="2C2F21EC">
      <w:pPr>
        <w:pStyle w:val="44"/>
        <w:spacing w:line="360" w:lineRule="auto"/>
        <w:jc w:val="left"/>
        <w:rPr>
          <w:rFonts w:hint="eastAsia" w:ascii="宋体" w:hAnsi="宋体" w:eastAsia="宋体" w:cs="宋体"/>
          <w:color w:val="auto"/>
          <w:sz w:val="24"/>
          <w:szCs w:val="24"/>
          <w:lang w:val="en-US" w:eastAsia="zh-CN"/>
        </w:rPr>
      </w:pPr>
      <w:bookmarkStart w:id="62" w:name="_Toc26930"/>
      <w:r>
        <w:rPr>
          <w:rFonts w:hint="eastAsia" w:ascii="宋体" w:hAnsi="宋体" w:eastAsia="宋体" w:cs="宋体"/>
          <w:color w:val="auto"/>
          <w:sz w:val="24"/>
          <w:szCs w:val="24"/>
          <w:lang w:val="en-US" w:eastAsia="zh-CN"/>
        </w:rPr>
        <w:t>五、公告期限</w:t>
      </w:r>
      <w:bookmarkEnd w:id="55"/>
      <w:bookmarkEnd w:id="56"/>
      <w:bookmarkEnd w:id="57"/>
      <w:bookmarkEnd w:id="58"/>
      <w:bookmarkEnd w:id="59"/>
      <w:bookmarkEnd w:id="60"/>
      <w:bookmarkEnd w:id="61"/>
      <w:bookmarkEnd w:id="62"/>
    </w:p>
    <w:p w14:paraId="27352F68">
      <w:pPr>
        <w:rPr>
          <w:rFonts w:cs="宋体"/>
          <w:color w:val="auto"/>
          <w:kern w:val="0"/>
        </w:rPr>
      </w:pPr>
      <w:r>
        <w:rPr>
          <w:rFonts w:hint="eastAsia" w:cs="宋体"/>
          <w:color w:val="auto"/>
          <w:kern w:val="0"/>
        </w:rPr>
        <w:t>自本公告发布之日起</w:t>
      </w:r>
      <w:r>
        <w:rPr>
          <w:rFonts w:hint="eastAsia" w:cs="宋体"/>
          <w:color w:val="auto"/>
          <w:kern w:val="0"/>
          <w:lang w:val="en-US" w:eastAsia="zh-CN"/>
        </w:rPr>
        <w:t>6</w:t>
      </w:r>
      <w:r>
        <w:rPr>
          <w:rFonts w:hint="eastAsia" w:cs="宋体"/>
          <w:color w:val="auto"/>
          <w:kern w:val="0"/>
        </w:rPr>
        <w:t>个工作日。</w:t>
      </w:r>
    </w:p>
    <w:p w14:paraId="3E686600">
      <w:pPr>
        <w:pStyle w:val="44"/>
        <w:spacing w:line="360" w:lineRule="auto"/>
        <w:jc w:val="left"/>
        <w:rPr>
          <w:rFonts w:hint="eastAsia" w:ascii="宋体" w:hAnsi="宋体" w:eastAsia="宋体" w:cs="宋体"/>
          <w:color w:val="auto"/>
          <w:sz w:val="24"/>
          <w:szCs w:val="24"/>
          <w:lang w:val="en-US" w:eastAsia="zh-CN"/>
        </w:rPr>
      </w:pPr>
      <w:bookmarkStart w:id="63" w:name="_Toc174628160"/>
      <w:bookmarkStart w:id="64" w:name="_Toc35393626"/>
      <w:bookmarkStart w:id="65" w:name="_Toc5379"/>
      <w:bookmarkStart w:id="66" w:name="_Toc44576558"/>
      <w:bookmarkStart w:id="67" w:name="_Toc35393795"/>
      <w:bookmarkStart w:id="68" w:name="_Toc6642"/>
      <w:r>
        <w:rPr>
          <w:rFonts w:hint="eastAsia" w:ascii="宋体" w:hAnsi="宋体" w:eastAsia="宋体" w:cs="宋体"/>
          <w:color w:val="auto"/>
          <w:sz w:val="24"/>
          <w:szCs w:val="24"/>
          <w:lang w:val="en-US" w:eastAsia="zh-CN"/>
        </w:rPr>
        <w:t>六、其他补充事宜</w:t>
      </w:r>
      <w:bookmarkEnd w:id="63"/>
      <w:bookmarkEnd w:id="64"/>
      <w:bookmarkEnd w:id="65"/>
      <w:bookmarkEnd w:id="66"/>
      <w:bookmarkEnd w:id="67"/>
      <w:bookmarkEnd w:id="68"/>
    </w:p>
    <w:p w14:paraId="2DCC309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bCs/>
          <w:color w:val="auto"/>
          <w:sz w:val="21"/>
          <w:szCs w:val="21"/>
          <w:lang w:val="en-US" w:eastAsia="zh-CN"/>
        </w:rPr>
      </w:pPr>
      <w:bookmarkStart w:id="69" w:name="_Toc44576559"/>
      <w:bookmarkStart w:id="70" w:name="_Toc174628161"/>
      <w:bookmarkStart w:id="71" w:name="_Toc1680"/>
      <w:bookmarkStart w:id="72" w:name="_Toc35393796"/>
      <w:bookmarkStart w:id="73" w:name="_Toc28359008"/>
      <w:bookmarkStart w:id="74" w:name="_Toc35393627"/>
      <w:bookmarkStart w:id="75" w:name="_Toc28359085"/>
      <w:r>
        <w:rPr>
          <w:rFonts w:hint="eastAsia" w:ascii="宋体" w:hAnsi="宋体" w:cs="宋体"/>
          <w:bCs/>
          <w:color w:val="auto"/>
          <w:sz w:val="21"/>
          <w:szCs w:val="21"/>
          <w:lang w:val="en-US" w:eastAsia="zh-CN"/>
        </w:rPr>
        <w:t>1.开标方式：网上开标</w:t>
      </w:r>
    </w:p>
    <w:p w14:paraId="26A579A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bCs/>
          <w:color w:val="auto"/>
          <w:sz w:val="21"/>
          <w:szCs w:val="21"/>
          <w:lang w:val="en-US" w:eastAsia="zh-CN"/>
        </w:rPr>
      </w:pPr>
      <w:r>
        <w:rPr>
          <w:rFonts w:hint="eastAsia" w:ascii="宋体" w:hAnsi="宋体" w:cs="宋体"/>
          <w:bCs/>
          <w:color w:val="auto"/>
          <w:sz w:val="21"/>
          <w:szCs w:val="21"/>
          <w:lang w:val="en-US" w:eastAsia="zh-CN"/>
        </w:rPr>
        <w:t>2.是否需要缴纳投标保证金：</w:t>
      </w:r>
      <w:r>
        <w:rPr>
          <w:rFonts w:hint="eastAsia" w:cs="宋体"/>
          <w:bCs/>
          <w:color w:val="auto"/>
          <w:sz w:val="21"/>
          <w:szCs w:val="21"/>
          <w:lang w:val="en-US" w:eastAsia="zh-CN"/>
        </w:rPr>
        <w:t>是</w:t>
      </w:r>
    </w:p>
    <w:p w14:paraId="10F44C1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bCs/>
          <w:color w:val="auto"/>
          <w:sz w:val="21"/>
          <w:szCs w:val="21"/>
          <w:lang w:val="en-US" w:eastAsia="zh-CN"/>
        </w:rPr>
      </w:pPr>
      <w:r>
        <w:rPr>
          <w:rFonts w:hint="eastAsia" w:ascii="宋体" w:hAnsi="宋体" w:cs="宋体"/>
          <w:bCs/>
          <w:color w:val="auto"/>
          <w:sz w:val="21"/>
          <w:szCs w:val="21"/>
          <w:lang w:val="en-US" w:eastAsia="zh-CN"/>
        </w:rPr>
        <w:t>3.其他：本项目招标公告在“云南省政府采购网（http://www.yngp.com）”上发布，请供应商在递交投标文件前随时查看，以获取最新信息。因供应商不留意网站公告，导致的结果由其自行负责，采购人及采购代理机构不承担任何责任，采购人及采购代理机构对其他网站发布的同类信息不承担任何责任。</w:t>
      </w:r>
    </w:p>
    <w:p w14:paraId="4F161E2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bCs/>
          <w:color w:val="auto"/>
          <w:sz w:val="21"/>
          <w:szCs w:val="21"/>
        </w:rPr>
      </w:pPr>
      <w:r>
        <w:rPr>
          <w:rFonts w:hint="eastAsia" w:ascii="宋体" w:hAnsi="宋体" w:cs="宋体"/>
          <w:bCs/>
          <w:color w:val="auto"/>
          <w:sz w:val="21"/>
          <w:szCs w:val="21"/>
          <w:lang w:val="en-US" w:eastAsia="zh-CN"/>
        </w:rPr>
        <w:t>4</w:t>
      </w:r>
      <w:r>
        <w:rPr>
          <w:rFonts w:hint="eastAsia" w:ascii="宋体" w:hAnsi="宋体" w:cs="宋体"/>
          <w:bCs/>
          <w:color w:val="auto"/>
          <w:sz w:val="21"/>
          <w:szCs w:val="21"/>
        </w:rPr>
        <w:t>.本项目采用全流程电子化采购方式，请</w:t>
      </w:r>
      <w:r>
        <w:rPr>
          <w:rFonts w:hint="eastAsia" w:ascii="宋体" w:hAnsi="宋体" w:cs="宋体"/>
          <w:bCs/>
          <w:color w:val="auto"/>
          <w:sz w:val="21"/>
          <w:szCs w:val="21"/>
          <w:lang w:eastAsia="zh-CN"/>
        </w:rPr>
        <w:t>供应商</w:t>
      </w:r>
      <w:r>
        <w:rPr>
          <w:rFonts w:hint="eastAsia" w:ascii="宋体" w:hAnsi="宋体" w:cs="宋体"/>
          <w:bCs/>
          <w:color w:val="auto"/>
          <w:sz w:val="21"/>
          <w:szCs w:val="21"/>
        </w:rPr>
        <w:t>认真学习云南省省级政府采购电子交易平台发布的相关操作手册（</w:t>
      </w:r>
      <w:r>
        <w:rPr>
          <w:rFonts w:hint="eastAsia" w:ascii="宋体" w:hAnsi="宋体" w:cs="宋体"/>
          <w:bCs/>
          <w:color w:val="auto"/>
          <w:sz w:val="21"/>
          <w:szCs w:val="21"/>
          <w:lang w:eastAsia="zh-CN"/>
        </w:rPr>
        <w:t>供应商</w:t>
      </w:r>
      <w:r>
        <w:rPr>
          <w:rFonts w:hint="eastAsia" w:ascii="宋体" w:hAnsi="宋体" w:cs="宋体"/>
          <w:bCs/>
          <w:color w:val="auto"/>
          <w:sz w:val="21"/>
          <w:szCs w:val="21"/>
        </w:rPr>
        <w:t>可在交易平台下载相关手册），办理CA数字证书、进行云南省省级政府采购电子交易平台注册绑定，并认真核实CA数字证书确认是否符合本项目电子化采购流程要求。</w:t>
      </w:r>
    </w:p>
    <w:p w14:paraId="583D805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bCs/>
          <w:color w:val="auto"/>
          <w:sz w:val="21"/>
          <w:szCs w:val="21"/>
        </w:rPr>
      </w:pPr>
      <w:r>
        <w:rPr>
          <w:rFonts w:hint="eastAsia" w:ascii="宋体" w:hAnsi="宋体" w:cs="宋体"/>
          <w:bCs/>
          <w:color w:val="auto"/>
          <w:sz w:val="21"/>
          <w:szCs w:val="21"/>
          <w:lang w:val="en-US" w:eastAsia="zh-CN"/>
        </w:rPr>
        <w:t>5</w:t>
      </w:r>
      <w:r>
        <w:rPr>
          <w:rFonts w:hint="eastAsia" w:ascii="宋体" w:hAnsi="宋体" w:cs="宋体"/>
          <w:bCs/>
          <w:color w:val="auto"/>
          <w:sz w:val="21"/>
          <w:szCs w:val="21"/>
        </w:rPr>
        <w:t>.</w:t>
      </w:r>
      <w:r>
        <w:rPr>
          <w:rFonts w:hint="eastAsia" w:ascii="宋体" w:hAnsi="宋体" w:cs="宋体"/>
          <w:bCs/>
          <w:color w:val="auto"/>
          <w:sz w:val="21"/>
          <w:szCs w:val="21"/>
          <w:lang w:eastAsia="zh-CN"/>
        </w:rPr>
        <w:t>供应商</w:t>
      </w:r>
      <w:r>
        <w:rPr>
          <w:rFonts w:hint="eastAsia" w:ascii="宋体" w:hAnsi="宋体" w:cs="宋体"/>
          <w:bCs/>
          <w:color w:val="auto"/>
          <w:sz w:val="21"/>
          <w:szCs w:val="21"/>
        </w:rPr>
        <w:t>应在开标前确保成为政采云平台</w:t>
      </w:r>
      <w:r>
        <w:rPr>
          <w:rFonts w:hint="eastAsia" w:ascii="宋体" w:hAnsi="宋体" w:cs="宋体"/>
          <w:bCs/>
          <w:color w:val="auto"/>
          <w:sz w:val="21"/>
          <w:szCs w:val="21"/>
          <w:lang w:eastAsia="zh-CN"/>
        </w:rPr>
        <w:t>供应商</w:t>
      </w:r>
      <w:r>
        <w:rPr>
          <w:rFonts w:hint="eastAsia" w:ascii="宋体" w:hAnsi="宋体" w:cs="宋体"/>
          <w:bCs/>
          <w:color w:val="auto"/>
          <w:sz w:val="21"/>
          <w:szCs w:val="21"/>
        </w:rPr>
        <w:t>，并完成CA数字证书申领。因未注册入库、未办理CA数字证书等原因造成无法投标或投标失败等后果由</w:t>
      </w:r>
      <w:r>
        <w:rPr>
          <w:rFonts w:hint="eastAsia" w:ascii="宋体" w:hAnsi="宋体" w:cs="宋体"/>
          <w:bCs/>
          <w:color w:val="auto"/>
          <w:sz w:val="21"/>
          <w:szCs w:val="21"/>
          <w:lang w:eastAsia="zh-CN"/>
        </w:rPr>
        <w:t>供应商</w:t>
      </w:r>
      <w:r>
        <w:rPr>
          <w:rFonts w:hint="eastAsia" w:ascii="宋体" w:hAnsi="宋体" w:cs="宋体"/>
          <w:bCs/>
          <w:color w:val="auto"/>
          <w:sz w:val="21"/>
          <w:szCs w:val="21"/>
        </w:rPr>
        <w:t>自行承担。凡有意参加的</w:t>
      </w:r>
      <w:r>
        <w:rPr>
          <w:rFonts w:hint="eastAsia" w:ascii="宋体" w:hAnsi="宋体" w:cs="宋体"/>
          <w:bCs/>
          <w:color w:val="auto"/>
          <w:sz w:val="21"/>
          <w:szCs w:val="21"/>
          <w:lang w:eastAsia="zh-CN"/>
        </w:rPr>
        <w:t>供应商</w:t>
      </w:r>
      <w:r>
        <w:rPr>
          <w:rFonts w:hint="eastAsia" w:ascii="宋体" w:hAnsi="宋体" w:cs="宋体"/>
          <w:bCs/>
          <w:color w:val="auto"/>
          <w:sz w:val="21"/>
          <w:szCs w:val="21"/>
        </w:rPr>
        <w:t>，须在政采云平台办理数字证书（CA）CA申领链接：https://middle.zcygov.cn/ca/apply/list?_app_=zcy.sys，并通过政采云绑定数字证书（CA）后在网上获取</w:t>
      </w:r>
      <w:r>
        <w:rPr>
          <w:rFonts w:hint="eastAsia" w:ascii="宋体" w:hAnsi="宋体" w:cs="宋体"/>
          <w:bCs/>
          <w:color w:val="auto"/>
          <w:sz w:val="21"/>
          <w:szCs w:val="21"/>
          <w:lang w:val="en-US" w:eastAsia="zh-CN"/>
        </w:rPr>
        <w:t>招标</w:t>
      </w:r>
      <w:r>
        <w:rPr>
          <w:rFonts w:hint="eastAsia" w:ascii="宋体" w:hAnsi="宋体" w:cs="宋体"/>
          <w:bCs/>
          <w:color w:val="auto"/>
          <w:sz w:val="21"/>
          <w:szCs w:val="21"/>
        </w:rPr>
        <w:t>文件及其它采购资料，数字证书（CA）详见其办理流程。</w:t>
      </w:r>
    </w:p>
    <w:p w14:paraId="20EBA7C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bCs/>
          <w:color w:val="auto"/>
          <w:sz w:val="21"/>
          <w:szCs w:val="21"/>
        </w:rPr>
      </w:pPr>
      <w:r>
        <w:rPr>
          <w:rFonts w:hint="eastAsia" w:ascii="宋体" w:hAnsi="宋体" w:cs="宋体"/>
          <w:bCs/>
          <w:color w:val="auto"/>
          <w:sz w:val="21"/>
          <w:szCs w:val="21"/>
          <w:lang w:val="en-US" w:eastAsia="zh-CN"/>
        </w:rPr>
        <w:t>6</w:t>
      </w:r>
      <w:r>
        <w:rPr>
          <w:rFonts w:hint="eastAsia" w:ascii="宋体" w:hAnsi="宋体" w:cs="宋体"/>
          <w:bCs/>
          <w:color w:val="auto"/>
          <w:sz w:val="21"/>
          <w:szCs w:val="21"/>
        </w:rPr>
        <w:t>.</w:t>
      </w:r>
      <w:r>
        <w:rPr>
          <w:rFonts w:hint="eastAsia" w:ascii="宋体" w:hAnsi="宋体" w:cs="宋体"/>
          <w:bCs/>
          <w:color w:val="auto"/>
          <w:sz w:val="21"/>
          <w:szCs w:val="21"/>
          <w:lang w:eastAsia="zh-CN"/>
        </w:rPr>
        <w:t>供应商</w:t>
      </w:r>
      <w:r>
        <w:rPr>
          <w:rFonts w:hint="eastAsia" w:ascii="宋体" w:hAnsi="宋体" w:cs="宋体"/>
          <w:bCs/>
          <w:color w:val="auto"/>
          <w:sz w:val="21"/>
          <w:szCs w:val="21"/>
        </w:rPr>
        <w:t>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400-881-7190进行咨询以及云南CA操作问题：请致电云南CA，4006727666，如因</w:t>
      </w:r>
      <w:r>
        <w:rPr>
          <w:rFonts w:hint="eastAsia" w:ascii="宋体" w:hAnsi="宋体" w:cs="宋体"/>
          <w:bCs/>
          <w:color w:val="auto"/>
          <w:sz w:val="21"/>
          <w:szCs w:val="21"/>
          <w:lang w:eastAsia="zh-CN"/>
        </w:rPr>
        <w:t>供应商</w:t>
      </w:r>
      <w:r>
        <w:rPr>
          <w:rFonts w:hint="eastAsia" w:ascii="宋体" w:hAnsi="宋体" w:cs="宋体"/>
          <w:bCs/>
          <w:color w:val="auto"/>
          <w:sz w:val="21"/>
          <w:szCs w:val="21"/>
        </w:rPr>
        <w:t>自身原因导致在规定时间内无法正常解密的（如：浏览器故障、未安装相关驱动、网络故障、加密CA与解密CA不一致等），代理机构不予异常处理，视为</w:t>
      </w:r>
      <w:r>
        <w:rPr>
          <w:rFonts w:hint="eastAsia" w:ascii="宋体" w:hAnsi="宋体" w:cs="宋体"/>
          <w:bCs/>
          <w:color w:val="auto"/>
          <w:sz w:val="21"/>
          <w:szCs w:val="21"/>
          <w:lang w:eastAsia="zh-CN"/>
        </w:rPr>
        <w:t>供应商</w:t>
      </w:r>
      <w:r>
        <w:rPr>
          <w:rFonts w:hint="eastAsia" w:ascii="宋体" w:hAnsi="宋体" w:cs="宋体"/>
          <w:bCs/>
          <w:color w:val="auto"/>
          <w:sz w:val="21"/>
          <w:szCs w:val="21"/>
        </w:rPr>
        <w:t>自动弃标。</w:t>
      </w:r>
    </w:p>
    <w:p w14:paraId="5C0E24A3">
      <w:pPr>
        <w:pStyle w:val="44"/>
        <w:spacing w:line="360" w:lineRule="auto"/>
        <w:jc w:val="left"/>
        <w:rPr>
          <w:rFonts w:hint="eastAsia" w:ascii="宋体" w:hAnsi="宋体" w:eastAsia="宋体" w:cs="宋体"/>
          <w:color w:val="auto"/>
          <w:sz w:val="24"/>
          <w:szCs w:val="24"/>
          <w:lang w:val="en-US" w:eastAsia="zh-CN"/>
        </w:rPr>
      </w:pPr>
      <w:bookmarkStart w:id="76" w:name="_Toc11238"/>
      <w:bookmarkStart w:id="77" w:name="_Toc4803"/>
      <w:bookmarkStart w:id="78" w:name="_Toc6420"/>
      <w:r>
        <w:rPr>
          <w:rFonts w:hint="eastAsia" w:ascii="宋体" w:hAnsi="宋体" w:eastAsia="宋体" w:cs="宋体"/>
          <w:color w:val="auto"/>
          <w:sz w:val="24"/>
          <w:szCs w:val="24"/>
          <w:lang w:val="en-US" w:eastAsia="zh-CN"/>
        </w:rPr>
        <w:t>七、公告发布媒介</w:t>
      </w:r>
      <w:bookmarkEnd w:id="76"/>
      <w:bookmarkEnd w:id="77"/>
      <w:bookmarkEnd w:id="78"/>
    </w:p>
    <w:p w14:paraId="2B6BA11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rPr>
        <w:t>本次</w:t>
      </w:r>
      <w:r>
        <w:rPr>
          <w:rFonts w:hint="eastAsia" w:ascii="宋体" w:hAnsi="宋体" w:eastAsia="宋体" w:cs="宋体"/>
          <w:bCs/>
          <w:color w:val="auto"/>
          <w:sz w:val="21"/>
          <w:szCs w:val="21"/>
          <w:lang w:val="en-US" w:eastAsia="zh-CN"/>
        </w:rPr>
        <w:t>招标</w:t>
      </w:r>
      <w:r>
        <w:rPr>
          <w:rFonts w:hint="eastAsia" w:ascii="宋体" w:hAnsi="宋体" w:eastAsia="宋体" w:cs="宋体"/>
          <w:bCs/>
          <w:color w:val="auto"/>
          <w:sz w:val="21"/>
          <w:szCs w:val="21"/>
        </w:rPr>
        <w:t>公告在云南省政府采购网（http://www.cebpubservice.com/）</w:t>
      </w:r>
      <w:r>
        <w:rPr>
          <w:rFonts w:hint="eastAsia" w:ascii="宋体" w:hAnsi="宋体" w:eastAsia="宋体" w:cs="宋体"/>
          <w:bCs/>
          <w:color w:val="auto"/>
          <w:sz w:val="21"/>
          <w:szCs w:val="21"/>
          <w:lang w:eastAsia="zh-CN"/>
        </w:rPr>
        <w:t>、“政采云”平台（https://www.zcygov.cn/）</w:t>
      </w:r>
      <w:r>
        <w:rPr>
          <w:rFonts w:hint="eastAsia" w:ascii="宋体" w:hAnsi="宋体" w:eastAsia="宋体" w:cs="宋体"/>
          <w:bCs/>
          <w:color w:val="auto"/>
          <w:sz w:val="21"/>
          <w:szCs w:val="21"/>
        </w:rPr>
        <w:t>上发布，我公司对其他网站或媒体转载的公告及公告内容不承担任何责任</w:t>
      </w:r>
      <w:r>
        <w:rPr>
          <w:rFonts w:hint="eastAsia" w:ascii="宋体" w:hAnsi="宋体" w:eastAsia="宋体" w:cs="宋体"/>
          <w:bCs/>
          <w:color w:val="auto"/>
          <w:sz w:val="21"/>
          <w:szCs w:val="21"/>
          <w:lang w:val="en-US" w:eastAsia="zh-CN"/>
        </w:rPr>
        <w:t>。</w:t>
      </w:r>
    </w:p>
    <w:p w14:paraId="12C89900">
      <w:pPr>
        <w:pStyle w:val="44"/>
        <w:spacing w:line="360" w:lineRule="auto"/>
        <w:jc w:val="left"/>
        <w:rPr>
          <w:rFonts w:hint="default" w:ascii="宋体" w:hAnsi="宋体" w:eastAsia="宋体" w:cs="宋体"/>
          <w:color w:val="auto"/>
          <w:sz w:val="24"/>
          <w:szCs w:val="24"/>
          <w:lang w:val="en-US" w:eastAsia="zh-CN"/>
        </w:rPr>
      </w:pPr>
      <w:bookmarkStart w:id="79" w:name="_Toc19370"/>
      <w:r>
        <w:rPr>
          <w:rFonts w:hint="eastAsia" w:ascii="宋体" w:hAnsi="宋体" w:eastAsia="宋体" w:cs="宋体"/>
          <w:color w:val="auto"/>
          <w:sz w:val="24"/>
          <w:szCs w:val="24"/>
          <w:lang w:val="en-US" w:eastAsia="zh-CN"/>
        </w:rPr>
        <w:t>八、</w:t>
      </w:r>
      <w:bookmarkEnd w:id="69"/>
      <w:bookmarkEnd w:id="70"/>
      <w:bookmarkEnd w:id="71"/>
      <w:bookmarkEnd w:id="72"/>
      <w:bookmarkEnd w:id="73"/>
      <w:bookmarkEnd w:id="74"/>
      <w:bookmarkEnd w:id="75"/>
      <w:r>
        <w:rPr>
          <w:rFonts w:hint="eastAsia" w:ascii="宋体" w:hAnsi="宋体" w:eastAsia="宋体" w:cs="宋体"/>
          <w:color w:val="auto"/>
          <w:sz w:val="24"/>
          <w:szCs w:val="24"/>
          <w:lang w:val="en-US" w:eastAsia="zh-CN"/>
        </w:rPr>
        <w:t>联系方式</w:t>
      </w:r>
      <w:bookmarkEnd w:id="79"/>
    </w:p>
    <w:p w14:paraId="34A25CA2">
      <w:pPr>
        <w:ind w:firstLine="422"/>
        <w:rPr>
          <w:rFonts w:cs="宋体"/>
          <w:b/>
          <w:bCs/>
          <w:color w:val="auto"/>
        </w:rPr>
      </w:pPr>
      <w:bookmarkStart w:id="80" w:name="_Toc28359087"/>
      <w:bookmarkStart w:id="81" w:name="_Toc28359010"/>
      <w:r>
        <w:rPr>
          <w:rFonts w:hint="eastAsia" w:cs="宋体"/>
          <w:b/>
          <w:bCs/>
          <w:color w:val="auto"/>
        </w:rPr>
        <w:t xml:space="preserve">1.采购人信息 </w:t>
      </w:r>
    </w:p>
    <w:p w14:paraId="53C87F34">
      <w:pPr>
        <w:rPr>
          <w:rFonts w:cs="宋体"/>
          <w:color w:val="auto"/>
        </w:rPr>
      </w:pPr>
      <w:r>
        <w:rPr>
          <w:rFonts w:hint="eastAsia" w:cs="宋体"/>
          <w:color w:val="auto"/>
        </w:rPr>
        <w:t>名称：永德县教育体育局</w:t>
      </w:r>
    </w:p>
    <w:p w14:paraId="4DC4CB40">
      <w:pPr>
        <w:rPr>
          <w:rFonts w:cs="宋体"/>
          <w:color w:val="auto"/>
        </w:rPr>
      </w:pPr>
      <w:r>
        <w:rPr>
          <w:rFonts w:hint="eastAsia" w:cs="宋体"/>
          <w:color w:val="auto"/>
        </w:rPr>
        <w:t>地</w:t>
      </w:r>
      <w:r>
        <w:rPr>
          <w:rFonts w:cs="宋体"/>
          <w:color w:val="auto"/>
        </w:rPr>
        <w:t xml:space="preserve">址：永德县德党镇德民路2号                </w:t>
      </w:r>
    </w:p>
    <w:p w14:paraId="11B63C88">
      <w:pPr>
        <w:rPr>
          <w:rFonts w:cs="宋体"/>
          <w:color w:val="auto"/>
        </w:rPr>
      </w:pPr>
      <w:r>
        <w:rPr>
          <w:rFonts w:hint="eastAsia" w:cs="宋体"/>
          <w:color w:val="auto"/>
        </w:rPr>
        <w:t>联系人：</w:t>
      </w:r>
      <w:r>
        <w:rPr>
          <w:rFonts w:hint="eastAsia" w:cs="宋体"/>
          <w:color w:val="auto"/>
          <w:lang w:eastAsia="zh-CN"/>
        </w:rPr>
        <w:t>王老师</w:t>
      </w:r>
    </w:p>
    <w:p w14:paraId="173CDE90">
      <w:pPr>
        <w:rPr>
          <w:rFonts w:cs="宋体"/>
          <w:color w:val="auto"/>
        </w:rPr>
      </w:pPr>
      <w:r>
        <w:rPr>
          <w:rFonts w:hint="eastAsia" w:cs="宋体"/>
          <w:color w:val="auto"/>
        </w:rPr>
        <w:t>联系电话：</w:t>
      </w:r>
      <w:r>
        <w:rPr>
          <w:rFonts w:cs="宋体"/>
          <w:color w:val="auto"/>
        </w:rPr>
        <w:t>0883-5213291</w:t>
      </w:r>
    </w:p>
    <w:p w14:paraId="1532F3C9">
      <w:pPr>
        <w:ind w:firstLine="422"/>
        <w:rPr>
          <w:rFonts w:cs="宋体"/>
          <w:b/>
          <w:bCs/>
          <w:color w:val="auto"/>
        </w:rPr>
      </w:pPr>
      <w:r>
        <w:rPr>
          <w:rFonts w:hint="eastAsia" w:cs="宋体"/>
          <w:b/>
          <w:bCs/>
          <w:color w:val="auto"/>
        </w:rPr>
        <w:t>2.采购代理机构信息</w:t>
      </w:r>
    </w:p>
    <w:p w14:paraId="5EBF25B5">
      <w:pPr>
        <w:rPr>
          <w:rFonts w:hint="eastAsia" w:eastAsia="宋体" w:cs="宋体"/>
          <w:color w:val="auto"/>
          <w:lang w:eastAsia="zh-CN"/>
        </w:rPr>
      </w:pPr>
      <w:r>
        <w:rPr>
          <w:rFonts w:hint="eastAsia" w:cs="宋体"/>
          <w:color w:val="auto"/>
        </w:rPr>
        <w:t>名称：</w:t>
      </w:r>
      <w:r>
        <w:rPr>
          <w:rFonts w:hint="eastAsia" w:cs="宋体"/>
          <w:color w:val="auto"/>
          <w:lang w:eastAsia="zh-CN"/>
        </w:rPr>
        <w:t>云南联沧项目管理有限公司</w:t>
      </w:r>
    </w:p>
    <w:p w14:paraId="661679BA">
      <w:pPr>
        <w:rPr>
          <w:rFonts w:cs="宋体"/>
          <w:color w:val="auto"/>
        </w:rPr>
      </w:pPr>
      <w:r>
        <w:rPr>
          <w:rFonts w:hint="eastAsia" w:cs="宋体"/>
          <w:color w:val="auto"/>
        </w:rPr>
        <w:t>地址：</w:t>
      </w:r>
      <w:r>
        <w:rPr>
          <w:rFonts w:hint="eastAsia" w:cs="宋体"/>
          <w:color w:val="auto"/>
          <w:lang w:val="en-US" w:eastAsia="zh-CN"/>
        </w:rPr>
        <w:t>云南省昆明市盘龙区金辰街道云波社区羊肠小村新村二期42栋6号二层</w:t>
      </w:r>
    </w:p>
    <w:p w14:paraId="0748C0C5">
      <w:pPr>
        <w:rPr>
          <w:rFonts w:hint="default" w:eastAsia="宋体" w:cs="宋体"/>
          <w:color w:val="auto"/>
          <w:lang w:val="en-US" w:eastAsia="zh-CN"/>
        </w:rPr>
      </w:pPr>
      <w:r>
        <w:rPr>
          <w:rFonts w:hint="eastAsia" w:cs="宋体"/>
          <w:color w:val="auto"/>
        </w:rPr>
        <w:t>联系方式：</w:t>
      </w:r>
      <w:r>
        <w:rPr>
          <w:rFonts w:hint="eastAsia" w:cs="宋体"/>
          <w:color w:val="auto"/>
          <w:lang w:val="en-US" w:eastAsia="zh-CN"/>
        </w:rPr>
        <w:t>陆一娇  李杨志  15912599580  13577038917</w:t>
      </w:r>
    </w:p>
    <w:p w14:paraId="0D180423">
      <w:pPr>
        <w:ind w:firstLine="422"/>
        <w:rPr>
          <w:rFonts w:cs="宋体"/>
          <w:b/>
          <w:bCs/>
          <w:color w:val="auto"/>
          <w:u w:val="single"/>
        </w:rPr>
      </w:pPr>
      <w:r>
        <w:rPr>
          <w:rFonts w:hint="eastAsia" w:cs="宋体"/>
          <w:b/>
          <w:bCs/>
          <w:color w:val="auto"/>
        </w:rPr>
        <w:t>3.项目联系方式</w:t>
      </w:r>
      <w:bookmarkEnd w:id="80"/>
      <w:bookmarkEnd w:id="81"/>
    </w:p>
    <w:p w14:paraId="6D635986">
      <w:pPr>
        <w:rPr>
          <w:rFonts w:cs="宋体"/>
          <w:color w:val="auto"/>
        </w:rPr>
      </w:pPr>
      <w:r>
        <w:rPr>
          <w:rFonts w:hint="eastAsia" w:cs="宋体"/>
          <w:color w:val="auto"/>
        </w:rPr>
        <w:t>项目联系人：</w:t>
      </w:r>
      <w:r>
        <w:rPr>
          <w:rFonts w:hint="eastAsia" w:cs="宋体"/>
          <w:color w:val="auto"/>
          <w:lang w:val="en-US" w:eastAsia="zh-CN"/>
        </w:rPr>
        <w:t xml:space="preserve">陆一娇  李杨志  </w:t>
      </w:r>
    </w:p>
    <w:p w14:paraId="176E6D55">
      <w:pPr>
        <w:rPr>
          <w:rFonts w:cs="宋体"/>
          <w:color w:val="auto"/>
        </w:rPr>
      </w:pPr>
      <w:r>
        <w:rPr>
          <w:rFonts w:hint="eastAsia" w:cs="宋体"/>
          <w:color w:val="auto"/>
        </w:rPr>
        <w:t>电话：</w:t>
      </w:r>
      <w:r>
        <w:rPr>
          <w:rFonts w:hint="eastAsia" w:cs="宋体"/>
          <w:color w:val="auto"/>
          <w:lang w:val="en-US" w:eastAsia="zh-CN"/>
        </w:rPr>
        <w:t>15912599580  13577038917</w:t>
      </w:r>
    </w:p>
    <w:p w14:paraId="536EEAB5">
      <w:pPr>
        <w:rPr>
          <w:rFonts w:hint="eastAsia" w:cs="宋体"/>
          <w:color w:val="auto"/>
        </w:rPr>
      </w:pPr>
    </w:p>
    <w:p w14:paraId="66F790A7">
      <w:pPr>
        <w:rPr>
          <w:rFonts w:hint="eastAsia" w:cs="宋体"/>
          <w:color w:val="auto"/>
          <w:u w:val="single"/>
        </w:rPr>
      </w:pPr>
    </w:p>
    <w:bookmarkEnd w:id="11"/>
    <w:bookmarkEnd w:id="12"/>
    <w:p w14:paraId="529F3863">
      <w:pPr>
        <w:pStyle w:val="3"/>
        <w:spacing w:before="120" w:after="120"/>
        <w:ind w:firstLine="803"/>
        <w:rPr>
          <w:rFonts w:hint="eastAsia" w:ascii="宋体" w:hAnsi="宋体" w:eastAsia="宋体" w:cs="宋体"/>
          <w:color w:val="auto"/>
        </w:rPr>
        <w:sectPr>
          <w:footerReference r:id="rId10" w:type="first"/>
          <w:footerReference r:id="rId9" w:type="default"/>
          <w:pgSz w:w="11900" w:h="16838"/>
          <w:pgMar w:top="1417" w:right="1417" w:bottom="1417" w:left="1417" w:header="850" w:footer="850" w:gutter="0"/>
          <w:pgNumType w:start="1"/>
          <w:cols w:space="0" w:num="1"/>
          <w:titlePg/>
          <w:docGrid w:linePitch="360" w:charSpace="0"/>
        </w:sectPr>
      </w:pPr>
    </w:p>
    <w:p w14:paraId="51F42535">
      <w:pPr>
        <w:pStyle w:val="3"/>
        <w:spacing w:before="120" w:after="120"/>
        <w:ind w:firstLine="723"/>
        <w:rPr>
          <w:rFonts w:hint="eastAsia" w:ascii="宋体" w:hAnsi="宋体" w:eastAsia="宋体" w:cs="宋体"/>
          <w:color w:val="auto"/>
          <w:sz w:val="32"/>
          <w:szCs w:val="18"/>
        </w:rPr>
      </w:pPr>
      <w:bookmarkStart w:id="82" w:name="_Toc25796"/>
      <w:r>
        <w:rPr>
          <w:rFonts w:hint="eastAsia" w:ascii="宋体" w:hAnsi="宋体" w:eastAsia="宋体" w:cs="宋体"/>
          <w:color w:val="auto"/>
          <w:sz w:val="32"/>
          <w:szCs w:val="18"/>
        </w:rPr>
        <w:t>第二章 投标人须知</w:t>
      </w:r>
      <w:bookmarkEnd w:id="13"/>
      <w:bookmarkEnd w:id="14"/>
      <w:bookmarkEnd w:id="15"/>
      <w:bookmarkEnd w:id="16"/>
      <w:bookmarkEnd w:id="17"/>
      <w:bookmarkEnd w:id="82"/>
    </w:p>
    <w:p w14:paraId="1E443E31">
      <w:pPr>
        <w:pStyle w:val="44"/>
        <w:rPr>
          <w:rFonts w:hint="eastAsia" w:eastAsia="宋体" w:cs="宋体"/>
          <w:color w:val="auto"/>
        </w:rPr>
      </w:pPr>
      <w:bookmarkStart w:id="83" w:name="_Toc2932"/>
      <w:bookmarkStart w:id="84" w:name="_Toc32563"/>
      <w:bookmarkStart w:id="85" w:name="_Toc36116039"/>
      <w:bookmarkStart w:id="86" w:name="_Toc12595"/>
      <w:bookmarkStart w:id="87" w:name="_Toc480817642"/>
      <w:bookmarkStart w:id="88" w:name="_Toc378239168"/>
      <w:bookmarkStart w:id="89" w:name="_Toc35701770"/>
      <w:bookmarkStart w:id="90" w:name="_Toc489145702"/>
      <w:bookmarkStart w:id="91" w:name="_Toc488633603"/>
      <w:bookmarkStart w:id="92" w:name="_Toc35700984"/>
      <w:bookmarkStart w:id="93" w:name="_Toc378239349"/>
      <w:bookmarkStart w:id="94" w:name="_Toc35700913"/>
      <w:bookmarkStart w:id="95" w:name="_Toc378239076"/>
      <w:bookmarkStart w:id="96" w:name="_Toc1935"/>
      <w:bookmarkStart w:id="97" w:name="_Toc401342132"/>
      <w:r>
        <w:rPr>
          <w:rFonts w:hint="eastAsia" w:eastAsia="宋体" w:cs="宋体"/>
          <w:color w:val="auto"/>
        </w:rPr>
        <w:t>投标人须知前附表</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p>
    <w:tbl>
      <w:tblPr>
        <w:tblStyle w:val="30"/>
        <w:tblW w:w="4996"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994"/>
        <w:gridCol w:w="1992"/>
        <w:gridCol w:w="6289"/>
      </w:tblGrid>
      <w:tr w14:paraId="52CE94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72" w:hRule="atLeast"/>
          <w:jc w:val="center"/>
        </w:trPr>
        <w:tc>
          <w:tcPr>
            <w:tcW w:w="536" w:type="pct"/>
            <w:vAlign w:val="center"/>
          </w:tcPr>
          <w:p w14:paraId="3B12B2C5">
            <w:pPr>
              <w:ind w:firstLine="0" w:firstLineChars="0"/>
              <w:jc w:val="center"/>
              <w:rPr>
                <w:rFonts w:hint="eastAsia" w:cs="宋体"/>
                <w:b/>
                <w:color w:val="auto"/>
              </w:rPr>
            </w:pPr>
            <w:r>
              <w:rPr>
                <w:rFonts w:hint="eastAsia" w:cs="宋体"/>
                <w:b/>
                <w:color w:val="auto"/>
              </w:rPr>
              <w:t>条款号</w:t>
            </w:r>
          </w:p>
        </w:tc>
        <w:tc>
          <w:tcPr>
            <w:tcW w:w="1074" w:type="pct"/>
            <w:vAlign w:val="center"/>
          </w:tcPr>
          <w:p w14:paraId="576108A8">
            <w:pPr>
              <w:ind w:firstLine="0" w:firstLineChars="0"/>
              <w:jc w:val="center"/>
              <w:rPr>
                <w:rFonts w:hint="eastAsia" w:cs="宋体"/>
                <w:b/>
                <w:color w:val="auto"/>
              </w:rPr>
            </w:pPr>
            <w:r>
              <w:rPr>
                <w:rFonts w:hint="eastAsia" w:cs="宋体"/>
                <w:b/>
                <w:color w:val="auto"/>
              </w:rPr>
              <w:t>条款名称</w:t>
            </w:r>
          </w:p>
        </w:tc>
        <w:tc>
          <w:tcPr>
            <w:tcW w:w="3390" w:type="pct"/>
            <w:vAlign w:val="center"/>
          </w:tcPr>
          <w:p w14:paraId="4095EDBF">
            <w:pPr>
              <w:ind w:firstLine="0" w:firstLineChars="0"/>
              <w:jc w:val="center"/>
              <w:rPr>
                <w:rFonts w:hint="eastAsia" w:cs="宋体"/>
                <w:b/>
                <w:color w:val="auto"/>
              </w:rPr>
            </w:pPr>
            <w:r>
              <w:rPr>
                <w:rFonts w:hint="eastAsia" w:cs="宋体"/>
                <w:b/>
                <w:color w:val="auto"/>
              </w:rPr>
              <w:t>编列内容</w:t>
            </w:r>
          </w:p>
        </w:tc>
      </w:tr>
      <w:tr w14:paraId="0029F1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9" w:hRule="atLeast"/>
          <w:jc w:val="center"/>
        </w:trPr>
        <w:tc>
          <w:tcPr>
            <w:tcW w:w="536" w:type="pct"/>
            <w:vAlign w:val="center"/>
          </w:tcPr>
          <w:p w14:paraId="5A28889A">
            <w:pPr>
              <w:ind w:firstLine="0" w:firstLineChars="0"/>
              <w:jc w:val="center"/>
              <w:rPr>
                <w:rFonts w:hint="eastAsia" w:cs="宋体"/>
                <w:color w:val="auto"/>
              </w:rPr>
            </w:pPr>
            <w:r>
              <w:rPr>
                <w:rFonts w:hint="eastAsia" w:cs="宋体"/>
                <w:color w:val="auto"/>
              </w:rPr>
              <w:t>1.2</w:t>
            </w:r>
          </w:p>
        </w:tc>
        <w:tc>
          <w:tcPr>
            <w:tcW w:w="1074" w:type="pct"/>
            <w:vAlign w:val="center"/>
          </w:tcPr>
          <w:p w14:paraId="600D6AEA">
            <w:pPr>
              <w:ind w:firstLine="0" w:firstLineChars="0"/>
              <w:jc w:val="center"/>
              <w:rPr>
                <w:rFonts w:hint="eastAsia" w:cs="宋体"/>
                <w:color w:val="auto"/>
              </w:rPr>
            </w:pPr>
            <w:r>
              <w:rPr>
                <w:rFonts w:hint="eastAsia" w:cs="宋体"/>
                <w:color w:val="auto"/>
              </w:rPr>
              <w:t>采购人</w:t>
            </w:r>
          </w:p>
        </w:tc>
        <w:tc>
          <w:tcPr>
            <w:tcW w:w="3390" w:type="pct"/>
            <w:vAlign w:val="center"/>
          </w:tcPr>
          <w:p w14:paraId="7DCB6D38">
            <w:pPr>
              <w:ind w:firstLine="0" w:firstLineChars="0"/>
              <w:rPr>
                <w:rFonts w:hint="eastAsia" w:cs="宋体"/>
                <w:color w:val="auto"/>
              </w:rPr>
            </w:pPr>
            <w:r>
              <w:rPr>
                <w:rFonts w:hint="eastAsia" w:cs="宋体"/>
                <w:color w:val="auto"/>
              </w:rPr>
              <w:t>永德县教育体育局</w:t>
            </w:r>
          </w:p>
        </w:tc>
      </w:tr>
      <w:tr w14:paraId="3A909B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3" w:hRule="atLeast"/>
          <w:jc w:val="center"/>
        </w:trPr>
        <w:tc>
          <w:tcPr>
            <w:tcW w:w="536" w:type="pct"/>
            <w:vAlign w:val="center"/>
          </w:tcPr>
          <w:p w14:paraId="643049C7">
            <w:pPr>
              <w:ind w:firstLine="0" w:firstLineChars="0"/>
              <w:jc w:val="center"/>
              <w:rPr>
                <w:rFonts w:hint="eastAsia" w:cs="宋体"/>
                <w:color w:val="auto"/>
              </w:rPr>
            </w:pPr>
            <w:r>
              <w:rPr>
                <w:rFonts w:hint="eastAsia" w:cs="宋体"/>
                <w:color w:val="auto"/>
              </w:rPr>
              <w:t>1.3</w:t>
            </w:r>
          </w:p>
        </w:tc>
        <w:tc>
          <w:tcPr>
            <w:tcW w:w="1074" w:type="pct"/>
            <w:vAlign w:val="center"/>
          </w:tcPr>
          <w:p w14:paraId="2B8B54BA">
            <w:pPr>
              <w:ind w:firstLine="0" w:firstLineChars="0"/>
              <w:jc w:val="center"/>
              <w:rPr>
                <w:rFonts w:hint="eastAsia" w:cs="宋体"/>
                <w:color w:val="auto"/>
              </w:rPr>
            </w:pPr>
            <w:r>
              <w:rPr>
                <w:rFonts w:hint="eastAsia" w:cs="宋体"/>
                <w:color w:val="auto"/>
              </w:rPr>
              <w:t>采购代理机构</w:t>
            </w:r>
          </w:p>
        </w:tc>
        <w:tc>
          <w:tcPr>
            <w:tcW w:w="3390" w:type="pct"/>
            <w:vAlign w:val="center"/>
          </w:tcPr>
          <w:p w14:paraId="1B3E27FB">
            <w:pPr>
              <w:ind w:firstLine="0" w:firstLineChars="0"/>
              <w:rPr>
                <w:rFonts w:hint="eastAsia" w:eastAsia="宋体" w:cs="宋体"/>
                <w:color w:val="auto"/>
                <w:lang w:eastAsia="zh-CN"/>
              </w:rPr>
            </w:pPr>
            <w:r>
              <w:rPr>
                <w:rFonts w:hint="eastAsia" w:cs="宋体"/>
                <w:color w:val="auto"/>
                <w:lang w:eastAsia="zh-CN"/>
              </w:rPr>
              <w:t>云南联沧项目管理有限公司</w:t>
            </w:r>
          </w:p>
        </w:tc>
      </w:tr>
      <w:tr w14:paraId="792AAB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58B5FC96">
            <w:pPr>
              <w:ind w:firstLine="0" w:firstLineChars="0"/>
              <w:jc w:val="center"/>
              <w:rPr>
                <w:rFonts w:hint="eastAsia" w:cs="宋体"/>
                <w:color w:val="auto"/>
              </w:rPr>
            </w:pPr>
            <w:r>
              <w:rPr>
                <w:rFonts w:hint="eastAsia" w:cs="宋体"/>
                <w:color w:val="auto"/>
              </w:rPr>
              <w:t>1.4</w:t>
            </w:r>
          </w:p>
        </w:tc>
        <w:tc>
          <w:tcPr>
            <w:tcW w:w="1074" w:type="pct"/>
            <w:vAlign w:val="center"/>
          </w:tcPr>
          <w:p w14:paraId="58A7DCA9">
            <w:pPr>
              <w:ind w:firstLine="0" w:firstLineChars="0"/>
              <w:jc w:val="center"/>
              <w:rPr>
                <w:rFonts w:hint="eastAsia" w:cs="宋体"/>
                <w:color w:val="auto"/>
              </w:rPr>
            </w:pPr>
            <w:r>
              <w:rPr>
                <w:rFonts w:hint="eastAsia" w:cs="宋体"/>
                <w:color w:val="auto"/>
              </w:rPr>
              <w:t>项目名称及项目编号</w:t>
            </w:r>
          </w:p>
        </w:tc>
        <w:tc>
          <w:tcPr>
            <w:tcW w:w="3390" w:type="pct"/>
            <w:vAlign w:val="center"/>
          </w:tcPr>
          <w:p w14:paraId="3AC914E3">
            <w:pPr>
              <w:ind w:firstLine="0" w:firstLineChars="0"/>
              <w:rPr>
                <w:rFonts w:hint="eastAsia" w:eastAsia="宋体" w:cs="宋体"/>
                <w:color w:val="auto"/>
                <w:lang w:eastAsia="zh-CN"/>
              </w:rPr>
            </w:pPr>
            <w:r>
              <w:rPr>
                <w:rFonts w:hint="eastAsia" w:cs="宋体"/>
                <w:color w:val="auto"/>
              </w:rPr>
              <w:t>项目名称：</w:t>
            </w:r>
            <w:r>
              <w:rPr>
                <w:rFonts w:hint="eastAsia" w:cs="宋体"/>
                <w:color w:val="auto"/>
                <w:lang w:eastAsia="zh-CN"/>
              </w:rPr>
              <w:t>永德县教育体育局2025-2026学年农村义务教育学校食用油及干货调味料采购项目</w:t>
            </w:r>
          </w:p>
          <w:p w14:paraId="4F332BF8">
            <w:pPr>
              <w:ind w:firstLine="0" w:firstLineChars="0"/>
              <w:rPr>
                <w:rFonts w:hint="eastAsia" w:eastAsia="宋体" w:cs="宋体"/>
                <w:color w:val="auto"/>
                <w:lang w:eastAsia="zh-CN"/>
              </w:rPr>
            </w:pPr>
            <w:r>
              <w:rPr>
                <w:rFonts w:hint="eastAsia" w:cs="宋体"/>
                <w:color w:val="auto"/>
                <w:lang w:eastAsia="zh-CN"/>
              </w:rPr>
              <w:t>项目编号：LCZC2025-G1-00576-YNLC-0008</w:t>
            </w:r>
            <w:r>
              <w:rPr>
                <w:rFonts w:hint="eastAsia" w:cs="宋体"/>
                <w:color w:val="auto"/>
                <w:lang w:val="en-US" w:eastAsia="zh-CN"/>
              </w:rPr>
              <w:t xml:space="preserve"> </w:t>
            </w:r>
          </w:p>
        </w:tc>
      </w:tr>
      <w:tr w14:paraId="33FF69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4" w:hRule="atLeast"/>
          <w:jc w:val="center"/>
        </w:trPr>
        <w:tc>
          <w:tcPr>
            <w:tcW w:w="536" w:type="pct"/>
            <w:vAlign w:val="center"/>
          </w:tcPr>
          <w:p w14:paraId="74FB6E02">
            <w:pPr>
              <w:ind w:firstLine="0" w:firstLineChars="0"/>
              <w:jc w:val="center"/>
              <w:rPr>
                <w:rFonts w:hint="eastAsia" w:cs="宋体"/>
                <w:color w:val="auto"/>
              </w:rPr>
            </w:pPr>
            <w:r>
              <w:rPr>
                <w:rFonts w:hint="eastAsia" w:cs="宋体"/>
                <w:color w:val="auto"/>
              </w:rPr>
              <w:t>2.1</w:t>
            </w:r>
          </w:p>
        </w:tc>
        <w:tc>
          <w:tcPr>
            <w:tcW w:w="1074" w:type="pct"/>
            <w:vAlign w:val="center"/>
          </w:tcPr>
          <w:p w14:paraId="6CB8416E">
            <w:pPr>
              <w:ind w:firstLine="0" w:firstLineChars="0"/>
              <w:jc w:val="center"/>
              <w:rPr>
                <w:rFonts w:hint="eastAsia" w:cs="宋体"/>
                <w:color w:val="auto"/>
              </w:rPr>
            </w:pPr>
            <w:r>
              <w:rPr>
                <w:rFonts w:hint="eastAsia" w:cs="宋体"/>
                <w:color w:val="auto"/>
              </w:rPr>
              <w:t>预算金额</w:t>
            </w:r>
          </w:p>
        </w:tc>
        <w:tc>
          <w:tcPr>
            <w:tcW w:w="3390" w:type="pct"/>
            <w:vAlign w:val="center"/>
          </w:tcPr>
          <w:p w14:paraId="73B2F8CB">
            <w:pPr>
              <w:ind w:firstLine="0" w:firstLineChars="0"/>
              <w:rPr>
                <w:rFonts w:hint="eastAsia" w:cs="宋体"/>
                <w:color w:val="auto"/>
              </w:rPr>
            </w:pPr>
            <w:r>
              <w:rPr>
                <w:rFonts w:hint="eastAsia" w:cs="宋体"/>
                <w:color w:val="auto"/>
              </w:rPr>
              <w:t>详见招标文件第一章《招标公告》“一、项目基本情况”</w:t>
            </w:r>
          </w:p>
        </w:tc>
      </w:tr>
      <w:tr w14:paraId="228D58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688D8007">
            <w:pPr>
              <w:ind w:firstLine="0" w:firstLineChars="0"/>
              <w:jc w:val="center"/>
              <w:rPr>
                <w:rFonts w:hint="eastAsia" w:cs="宋体"/>
                <w:color w:val="auto"/>
              </w:rPr>
            </w:pPr>
            <w:r>
              <w:rPr>
                <w:rFonts w:hint="eastAsia" w:cs="宋体"/>
                <w:color w:val="auto"/>
              </w:rPr>
              <w:t>3.1</w:t>
            </w:r>
          </w:p>
        </w:tc>
        <w:tc>
          <w:tcPr>
            <w:tcW w:w="1074" w:type="pct"/>
            <w:vAlign w:val="center"/>
          </w:tcPr>
          <w:p w14:paraId="17757B97">
            <w:pPr>
              <w:ind w:firstLine="0" w:firstLineChars="0"/>
              <w:jc w:val="center"/>
              <w:rPr>
                <w:rFonts w:hint="eastAsia" w:cs="宋体"/>
                <w:color w:val="auto"/>
              </w:rPr>
            </w:pPr>
            <w:r>
              <w:rPr>
                <w:rFonts w:hint="eastAsia" w:cs="宋体"/>
                <w:color w:val="auto"/>
              </w:rPr>
              <w:t>采购需求</w:t>
            </w:r>
          </w:p>
        </w:tc>
        <w:tc>
          <w:tcPr>
            <w:tcW w:w="3390" w:type="pct"/>
            <w:vAlign w:val="center"/>
          </w:tcPr>
          <w:p w14:paraId="11130AAD">
            <w:pPr>
              <w:ind w:firstLine="0" w:firstLineChars="0"/>
              <w:rPr>
                <w:rFonts w:hint="eastAsia" w:cs="宋体"/>
                <w:color w:val="auto"/>
                <w:kern w:val="0"/>
              </w:rPr>
            </w:pPr>
            <w:r>
              <w:rPr>
                <w:rFonts w:hint="eastAsia" w:cs="宋体"/>
                <w:color w:val="auto"/>
              </w:rPr>
              <w:t>详见招标文件第一章《招标公告》“一、项目基本情况”，具体要求等详见本招标文件第五章《采购需求》。</w:t>
            </w:r>
          </w:p>
        </w:tc>
      </w:tr>
      <w:tr w14:paraId="325413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239774E6">
            <w:pPr>
              <w:ind w:firstLine="0" w:firstLineChars="0"/>
              <w:jc w:val="center"/>
              <w:rPr>
                <w:rFonts w:hint="eastAsia" w:cs="宋体"/>
                <w:color w:val="auto"/>
              </w:rPr>
            </w:pPr>
            <w:r>
              <w:rPr>
                <w:rFonts w:hint="eastAsia" w:cs="宋体"/>
                <w:color w:val="auto"/>
              </w:rPr>
              <w:t>3.2</w:t>
            </w:r>
          </w:p>
        </w:tc>
        <w:tc>
          <w:tcPr>
            <w:tcW w:w="1074" w:type="pct"/>
            <w:vAlign w:val="center"/>
          </w:tcPr>
          <w:p w14:paraId="046C6823">
            <w:pPr>
              <w:ind w:firstLine="0" w:firstLineChars="0"/>
              <w:jc w:val="center"/>
              <w:rPr>
                <w:rFonts w:hint="eastAsia" w:cs="宋体"/>
                <w:color w:val="auto"/>
              </w:rPr>
            </w:pPr>
            <w:r>
              <w:rPr>
                <w:rFonts w:hint="eastAsia" w:cs="宋体"/>
                <w:color w:val="auto"/>
              </w:rPr>
              <w:t>合同履行期限、配送地点</w:t>
            </w:r>
          </w:p>
        </w:tc>
        <w:tc>
          <w:tcPr>
            <w:tcW w:w="3390" w:type="pct"/>
            <w:vAlign w:val="center"/>
          </w:tcPr>
          <w:p w14:paraId="4DE3AC41">
            <w:pPr>
              <w:ind w:firstLine="0" w:firstLineChars="0"/>
              <w:rPr>
                <w:rFonts w:hint="eastAsia" w:cs="宋体"/>
                <w:color w:val="auto"/>
              </w:rPr>
            </w:pPr>
            <w:r>
              <w:rPr>
                <w:rFonts w:hint="eastAsia" w:cs="宋体"/>
                <w:color w:val="auto"/>
              </w:rPr>
              <w:t>详见招标文件第一章《招标公告》“一、项目基本情况”</w:t>
            </w:r>
          </w:p>
        </w:tc>
      </w:tr>
      <w:tr w14:paraId="19ECB3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3" w:hRule="atLeast"/>
          <w:jc w:val="center"/>
        </w:trPr>
        <w:tc>
          <w:tcPr>
            <w:tcW w:w="536" w:type="pct"/>
            <w:vAlign w:val="center"/>
          </w:tcPr>
          <w:p w14:paraId="5E7DFAAE">
            <w:pPr>
              <w:ind w:firstLine="0" w:firstLineChars="0"/>
              <w:jc w:val="center"/>
              <w:rPr>
                <w:rFonts w:hint="eastAsia" w:cs="宋体"/>
                <w:color w:val="auto"/>
              </w:rPr>
            </w:pPr>
            <w:r>
              <w:rPr>
                <w:rFonts w:hint="eastAsia" w:cs="宋体"/>
                <w:color w:val="auto"/>
              </w:rPr>
              <w:t>4.1</w:t>
            </w:r>
          </w:p>
        </w:tc>
        <w:tc>
          <w:tcPr>
            <w:tcW w:w="1074" w:type="pct"/>
            <w:vAlign w:val="center"/>
          </w:tcPr>
          <w:p w14:paraId="2206E0D8">
            <w:pPr>
              <w:ind w:firstLine="0" w:firstLineChars="0"/>
              <w:jc w:val="center"/>
              <w:rPr>
                <w:rFonts w:hint="eastAsia" w:cs="宋体"/>
                <w:color w:val="auto"/>
              </w:rPr>
            </w:pPr>
            <w:r>
              <w:rPr>
                <w:rFonts w:hint="eastAsia" w:cs="宋体"/>
                <w:color w:val="auto"/>
              </w:rPr>
              <w:t>申请人资格要求</w:t>
            </w:r>
          </w:p>
        </w:tc>
        <w:tc>
          <w:tcPr>
            <w:tcW w:w="3390" w:type="pct"/>
            <w:vAlign w:val="center"/>
          </w:tcPr>
          <w:p w14:paraId="7CEC8D11">
            <w:pPr>
              <w:ind w:firstLine="0" w:firstLineChars="0"/>
              <w:rPr>
                <w:rFonts w:hint="eastAsia" w:cs="宋体"/>
                <w:color w:val="auto"/>
              </w:rPr>
            </w:pPr>
            <w:r>
              <w:rPr>
                <w:rFonts w:hint="eastAsia" w:cs="宋体"/>
                <w:color w:val="auto"/>
              </w:rPr>
              <w:t>详见招标文件第一章《招标公告》“二、申请人的资格要求”</w:t>
            </w:r>
          </w:p>
        </w:tc>
      </w:tr>
      <w:tr w14:paraId="119360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28B96A4E">
            <w:pPr>
              <w:ind w:firstLine="0" w:firstLineChars="0"/>
              <w:jc w:val="center"/>
              <w:rPr>
                <w:rFonts w:hint="eastAsia" w:cs="宋体"/>
                <w:color w:val="auto"/>
              </w:rPr>
            </w:pPr>
            <w:r>
              <w:rPr>
                <w:rFonts w:hint="eastAsia" w:cs="宋体"/>
                <w:color w:val="auto"/>
              </w:rPr>
              <w:t>4.5</w:t>
            </w:r>
          </w:p>
        </w:tc>
        <w:tc>
          <w:tcPr>
            <w:tcW w:w="1074" w:type="pct"/>
            <w:vAlign w:val="center"/>
          </w:tcPr>
          <w:p w14:paraId="6C2FEEBA">
            <w:pPr>
              <w:ind w:firstLine="0" w:firstLineChars="0"/>
              <w:jc w:val="center"/>
              <w:rPr>
                <w:rFonts w:hint="eastAsia" w:cs="宋体"/>
                <w:color w:val="auto"/>
              </w:rPr>
            </w:pPr>
            <w:r>
              <w:rPr>
                <w:rFonts w:hint="eastAsia" w:cs="宋体"/>
                <w:color w:val="auto"/>
              </w:rPr>
              <w:t>是否接受联合体参加</w:t>
            </w:r>
          </w:p>
        </w:tc>
        <w:tc>
          <w:tcPr>
            <w:tcW w:w="3390" w:type="pct"/>
            <w:vAlign w:val="center"/>
          </w:tcPr>
          <w:p w14:paraId="05E63ED9">
            <w:pPr>
              <w:ind w:firstLine="0" w:firstLineChars="0"/>
              <w:rPr>
                <w:rFonts w:hint="eastAsia" w:cs="宋体"/>
                <w:color w:val="auto"/>
              </w:rPr>
            </w:pPr>
            <w:r>
              <w:rPr>
                <w:rFonts w:hint="eastAsia" w:cs="宋体"/>
                <w:color w:val="auto"/>
              </w:rPr>
              <w:t>■不接受</w:t>
            </w:r>
          </w:p>
          <w:p w14:paraId="6D05C63F">
            <w:pPr>
              <w:ind w:firstLine="0" w:firstLineChars="0"/>
              <w:rPr>
                <w:rFonts w:hint="eastAsia" w:cs="宋体"/>
                <w:color w:val="auto"/>
              </w:rPr>
            </w:pPr>
            <w:r>
              <w:rPr>
                <w:rFonts w:hint="eastAsia" w:cs="宋体"/>
                <w:color w:val="auto"/>
              </w:rPr>
              <w:t>□接受</w:t>
            </w:r>
          </w:p>
        </w:tc>
      </w:tr>
      <w:tr w14:paraId="45A55E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5DF0244F">
            <w:pPr>
              <w:ind w:firstLine="0" w:firstLineChars="0"/>
              <w:jc w:val="center"/>
              <w:rPr>
                <w:rFonts w:hint="eastAsia" w:cs="宋体"/>
                <w:color w:val="auto"/>
              </w:rPr>
            </w:pPr>
            <w:r>
              <w:rPr>
                <w:rFonts w:hint="eastAsia" w:cs="宋体"/>
                <w:color w:val="auto"/>
              </w:rPr>
              <w:t>6.1</w:t>
            </w:r>
          </w:p>
        </w:tc>
        <w:tc>
          <w:tcPr>
            <w:tcW w:w="1074" w:type="pct"/>
            <w:vAlign w:val="center"/>
          </w:tcPr>
          <w:p w14:paraId="60ADE0A2">
            <w:pPr>
              <w:ind w:firstLine="0" w:firstLineChars="0"/>
              <w:jc w:val="center"/>
              <w:rPr>
                <w:rFonts w:hint="eastAsia" w:cs="宋体"/>
                <w:color w:val="auto"/>
              </w:rPr>
            </w:pPr>
            <w:r>
              <w:rPr>
                <w:rFonts w:hint="eastAsia" w:cs="宋体"/>
                <w:color w:val="auto"/>
              </w:rPr>
              <w:t>踏勘现场</w:t>
            </w:r>
          </w:p>
        </w:tc>
        <w:tc>
          <w:tcPr>
            <w:tcW w:w="3390" w:type="pct"/>
            <w:vAlign w:val="center"/>
          </w:tcPr>
          <w:p w14:paraId="098FA350">
            <w:pPr>
              <w:ind w:firstLine="0" w:firstLineChars="0"/>
              <w:rPr>
                <w:rFonts w:hint="eastAsia" w:cs="宋体"/>
                <w:color w:val="auto"/>
              </w:rPr>
            </w:pPr>
            <w:r>
              <w:rPr>
                <w:rFonts w:hint="eastAsia" w:cs="宋体"/>
                <w:color w:val="auto"/>
              </w:rPr>
              <w:t>■不组织</w:t>
            </w:r>
          </w:p>
          <w:p w14:paraId="6678DC39">
            <w:pPr>
              <w:ind w:firstLine="0" w:firstLineChars="0"/>
              <w:rPr>
                <w:rFonts w:hint="eastAsia" w:cs="宋体"/>
                <w:color w:val="auto"/>
              </w:rPr>
            </w:pPr>
            <w:r>
              <w:rPr>
                <w:rFonts w:hint="eastAsia" w:cs="宋体"/>
                <w:color w:val="auto"/>
              </w:rPr>
              <w:t>组织</w:t>
            </w:r>
          </w:p>
        </w:tc>
      </w:tr>
      <w:tr w14:paraId="017CD7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7420C4BB">
            <w:pPr>
              <w:ind w:firstLine="0" w:firstLineChars="0"/>
              <w:jc w:val="center"/>
              <w:rPr>
                <w:rFonts w:hint="eastAsia" w:cs="宋体"/>
                <w:color w:val="auto"/>
              </w:rPr>
            </w:pPr>
            <w:r>
              <w:rPr>
                <w:rFonts w:hint="eastAsia" w:cs="宋体"/>
                <w:color w:val="auto"/>
              </w:rPr>
              <w:t>7.1</w:t>
            </w:r>
          </w:p>
        </w:tc>
        <w:tc>
          <w:tcPr>
            <w:tcW w:w="1074" w:type="pct"/>
            <w:vAlign w:val="center"/>
          </w:tcPr>
          <w:p w14:paraId="282842AE">
            <w:pPr>
              <w:ind w:firstLine="0" w:firstLineChars="0"/>
              <w:jc w:val="center"/>
              <w:rPr>
                <w:rFonts w:hint="eastAsia" w:cs="宋体"/>
                <w:color w:val="auto"/>
              </w:rPr>
            </w:pPr>
            <w:r>
              <w:rPr>
                <w:rFonts w:hint="eastAsia" w:cs="宋体"/>
                <w:color w:val="auto"/>
              </w:rPr>
              <w:t>开标前答疑会</w:t>
            </w:r>
          </w:p>
        </w:tc>
        <w:tc>
          <w:tcPr>
            <w:tcW w:w="3390" w:type="pct"/>
            <w:vAlign w:val="center"/>
          </w:tcPr>
          <w:p w14:paraId="2B92D3B8">
            <w:pPr>
              <w:ind w:firstLine="0" w:firstLineChars="0"/>
              <w:rPr>
                <w:rFonts w:hint="eastAsia" w:cs="宋体"/>
                <w:color w:val="auto"/>
              </w:rPr>
            </w:pPr>
            <w:r>
              <w:rPr>
                <w:rFonts w:hint="eastAsia" w:cs="宋体"/>
                <w:color w:val="auto"/>
              </w:rPr>
              <w:t>■不组织</w:t>
            </w:r>
          </w:p>
          <w:p w14:paraId="3AD110C3">
            <w:pPr>
              <w:ind w:firstLine="0" w:firstLineChars="0"/>
              <w:rPr>
                <w:rFonts w:hint="eastAsia" w:cs="宋体"/>
                <w:color w:val="auto"/>
              </w:rPr>
            </w:pPr>
            <w:r>
              <w:rPr>
                <w:rFonts w:hint="eastAsia" w:cs="宋体"/>
                <w:color w:val="auto"/>
              </w:rPr>
              <w:t>组织</w:t>
            </w:r>
          </w:p>
        </w:tc>
      </w:tr>
      <w:tr w14:paraId="2576BC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95" w:hRule="atLeast"/>
          <w:jc w:val="center"/>
        </w:trPr>
        <w:tc>
          <w:tcPr>
            <w:tcW w:w="536" w:type="pct"/>
            <w:vAlign w:val="center"/>
          </w:tcPr>
          <w:p w14:paraId="2D5C128B">
            <w:pPr>
              <w:ind w:firstLine="0" w:firstLineChars="0"/>
              <w:jc w:val="center"/>
              <w:rPr>
                <w:rFonts w:hint="eastAsia" w:cs="宋体"/>
                <w:color w:val="auto"/>
              </w:rPr>
            </w:pPr>
            <w:r>
              <w:rPr>
                <w:rFonts w:hint="eastAsia" w:cs="宋体"/>
                <w:color w:val="auto"/>
              </w:rPr>
              <w:t>11.1</w:t>
            </w:r>
          </w:p>
        </w:tc>
        <w:tc>
          <w:tcPr>
            <w:tcW w:w="1074" w:type="pct"/>
            <w:vAlign w:val="center"/>
          </w:tcPr>
          <w:p w14:paraId="40401E1D">
            <w:pPr>
              <w:ind w:firstLine="0" w:firstLineChars="0"/>
              <w:jc w:val="center"/>
              <w:rPr>
                <w:rFonts w:hint="eastAsia" w:cs="宋体"/>
                <w:color w:val="auto"/>
              </w:rPr>
            </w:pPr>
            <w:r>
              <w:rPr>
                <w:rFonts w:hint="eastAsia" w:cs="宋体"/>
                <w:color w:val="auto"/>
              </w:rPr>
              <w:t>招标文件的询问时间</w:t>
            </w:r>
          </w:p>
        </w:tc>
        <w:tc>
          <w:tcPr>
            <w:tcW w:w="3390" w:type="pct"/>
            <w:vAlign w:val="center"/>
          </w:tcPr>
          <w:p w14:paraId="5581BAA1">
            <w:pPr>
              <w:ind w:firstLine="0" w:firstLineChars="0"/>
              <w:rPr>
                <w:rFonts w:cs="宋体"/>
                <w:color w:val="auto"/>
              </w:rPr>
            </w:pPr>
            <w:r>
              <w:rPr>
                <w:rFonts w:hint="eastAsia" w:cs="宋体"/>
                <w:color w:val="auto"/>
              </w:rPr>
              <w:t>（1）投标人应仔细阅读和检查招标文件的全部内容。如发现缺页或附件不全，应在</w:t>
            </w:r>
            <w:r>
              <w:rPr>
                <w:rFonts w:hint="eastAsia" w:cs="宋体"/>
                <w:color w:val="auto"/>
                <w:lang w:val="en-US" w:eastAsia="zh-CN"/>
              </w:rPr>
              <w:t>投标文件递交截止时间至少10日前</w:t>
            </w:r>
            <w:r>
              <w:rPr>
                <w:rFonts w:hint="eastAsia" w:cs="宋体"/>
                <w:color w:val="auto"/>
              </w:rPr>
              <w:t>向采购人提出询问，以便采购人补齐。</w:t>
            </w:r>
          </w:p>
          <w:p w14:paraId="575F9084">
            <w:pPr>
              <w:ind w:firstLine="0" w:firstLineChars="0"/>
              <w:rPr>
                <w:rFonts w:hint="eastAsia" w:cs="宋体"/>
                <w:color w:val="auto"/>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所有获取了招标文件的潜在投标人应认真阅读招标文件，如有疑问的，投标人可在</w:t>
            </w:r>
            <w:r>
              <w:rPr>
                <w:rFonts w:hint="eastAsia" w:ascii="宋体" w:hAnsi="宋体" w:cs="宋体"/>
                <w:color w:val="auto"/>
                <w:sz w:val="21"/>
                <w:szCs w:val="21"/>
                <w:highlight w:val="none"/>
                <w:lang w:val="en-US" w:eastAsia="zh-CN"/>
              </w:rPr>
              <w:t>投标文件递交截止时间至少10日前以书面形式</w:t>
            </w:r>
            <w:r>
              <w:rPr>
                <w:rFonts w:hint="eastAsia" w:ascii="宋体" w:hAnsi="宋体" w:cs="宋体"/>
                <w:color w:val="auto"/>
                <w:sz w:val="21"/>
                <w:szCs w:val="21"/>
                <w:highlight w:val="none"/>
              </w:rPr>
              <w:t>向采购人或采购代理机构进行询问、质疑。采购人或者采购代理机构在接到询问后的3个工作日内对投标人依法提出的询问作出答复,但答复的内容不涉及商业秘密。</w:t>
            </w:r>
          </w:p>
        </w:tc>
      </w:tr>
      <w:tr w14:paraId="12C705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5734ECBE">
            <w:pPr>
              <w:ind w:firstLine="0" w:firstLineChars="0"/>
              <w:jc w:val="center"/>
              <w:rPr>
                <w:rFonts w:hint="eastAsia" w:cs="宋体"/>
                <w:color w:val="auto"/>
              </w:rPr>
            </w:pPr>
            <w:r>
              <w:rPr>
                <w:rFonts w:hint="eastAsia" w:cs="宋体"/>
                <w:color w:val="auto"/>
              </w:rPr>
              <w:t>11.2</w:t>
            </w:r>
          </w:p>
        </w:tc>
        <w:tc>
          <w:tcPr>
            <w:tcW w:w="1074" w:type="pct"/>
            <w:vAlign w:val="center"/>
          </w:tcPr>
          <w:p w14:paraId="246B15AF">
            <w:pPr>
              <w:ind w:firstLine="0" w:firstLineChars="0"/>
              <w:jc w:val="center"/>
              <w:rPr>
                <w:rFonts w:hint="eastAsia" w:cs="宋体"/>
                <w:color w:val="auto"/>
              </w:rPr>
            </w:pPr>
            <w:r>
              <w:rPr>
                <w:rFonts w:hint="eastAsia" w:cs="宋体"/>
                <w:color w:val="auto"/>
              </w:rPr>
              <w:t>招标文件询问联系方式</w:t>
            </w:r>
          </w:p>
        </w:tc>
        <w:tc>
          <w:tcPr>
            <w:tcW w:w="3390" w:type="pct"/>
            <w:vAlign w:val="center"/>
          </w:tcPr>
          <w:p w14:paraId="3B2B9A30">
            <w:pPr>
              <w:ind w:firstLine="0" w:firstLineChars="0"/>
              <w:rPr>
                <w:rFonts w:hint="eastAsia" w:cs="宋体"/>
                <w:color w:val="auto"/>
              </w:rPr>
            </w:pPr>
            <w:r>
              <w:rPr>
                <w:rFonts w:hint="eastAsia" w:cs="宋体"/>
                <w:color w:val="auto"/>
              </w:rPr>
              <w:t>详见招标文件第一章《招标公告》</w:t>
            </w:r>
          </w:p>
        </w:tc>
      </w:tr>
      <w:tr w14:paraId="4B9219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7828B05D">
            <w:pPr>
              <w:ind w:firstLine="0" w:firstLineChars="0"/>
              <w:jc w:val="center"/>
              <w:rPr>
                <w:rFonts w:hint="eastAsia" w:cs="宋体"/>
                <w:color w:val="auto"/>
              </w:rPr>
            </w:pPr>
            <w:r>
              <w:rPr>
                <w:rFonts w:hint="eastAsia" w:cs="宋体"/>
                <w:color w:val="auto"/>
              </w:rPr>
              <w:t>11.5</w:t>
            </w:r>
          </w:p>
        </w:tc>
        <w:tc>
          <w:tcPr>
            <w:tcW w:w="1074" w:type="pct"/>
            <w:vAlign w:val="center"/>
          </w:tcPr>
          <w:p w14:paraId="4C02EAB4">
            <w:pPr>
              <w:ind w:firstLine="0" w:firstLineChars="0"/>
              <w:jc w:val="center"/>
              <w:rPr>
                <w:rFonts w:hint="eastAsia" w:cs="宋体"/>
                <w:color w:val="auto"/>
              </w:rPr>
            </w:pPr>
            <w:r>
              <w:rPr>
                <w:rFonts w:hint="eastAsia" w:cs="宋体"/>
                <w:color w:val="auto"/>
              </w:rPr>
              <w:t>招标文件澄清、修改时间</w:t>
            </w:r>
          </w:p>
        </w:tc>
        <w:tc>
          <w:tcPr>
            <w:tcW w:w="3390" w:type="pct"/>
            <w:vAlign w:val="center"/>
          </w:tcPr>
          <w:p w14:paraId="6B3B5F48">
            <w:pPr>
              <w:widowControl w:val="0"/>
              <w:numPr>
                <w:ilvl w:val="0"/>
                <w:numId w:val="1"/>
              </w:numPr>
              <w:spacing w:before="72" w:beforeLines="30"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采购人、采购代理机构可以对已发出的招标文件进行必要的澄清或者修改，并在原公告发布媒体上发布澄清公告，澄清或者修改的内容作为招标文件的组成部分。澄清或者修改的内容可能影响投标文件编制的，采购人或者采购代理机构在提交投标文件截止时间至少15日前，以书面形式通知所有获取招标文件的潜在投标人；不足15日的，采购人或者采购代理机构将顺延提交投标文件的截止时间。</w:t>
            </w:r>
          </w:p>
          <w:p w14:paraId="5C1361FD">
            <w:pPr>
              <w:pStyle w:val="10"/>
              <w:numPr>
                <w:ilvl w:val="0"/>
                <w:numId w:val="1"/>
              </w:numPr>
              <w:spacing w:line="240" w:lineRule="auto"/>
              <w:rPr>
                <w:color w:val="auto"/>
                <w:sz w:val="21"/>
                <w:szCs w:val="21"/>
              </w:rPr>
            </w:pPr>
            <w:r>
              <w:rPr>
                <w:rFonts w:hint="eastAsia"/>
                <w:color w:val="auto"/>
                <w:sz w:val="21"/>
                <w:szCs w:val="21"/>
              </w:rPr>
              <w:t>采购人对招标文件中的涉及评标办法、评审项目等重要评审内容做出变更，将同时发布补遗文件进行说明，以保证各投标人都能重新下载并用于编制电子投标文件。</w:t>
            </w:r>
            <w:r>
              <w:rPr>
                <w:rFonts w:hint="eastAsia"/>
                <w:color w:val="auto"/>
                <w:sz w:val="21"/>
                <w:szCs w:val="21"/>
                <w:lang w:eastAsia="zh-CN"/>
              </w:rPr>
              <w:t>采购人</w:t>
            </w:r>
            <w:r>
              <w:rPr>
                <w:rFonts w:hint="eastAsia"/>
                <w:color w:val="auto"/>
                <w:sz w:val="21"/>
                <w:szCs w:val="21"/>
              </w:rPr>
              <w:t>无论对评标办法、评审项目等重要评审内容作何种变更，都要重新制作电子招标文件，同时发布补遗文件进行说明以保证各投标人都能重新下载最新的电子招标文件用于编制电子投标文件。招标文件的修改将在“云南省政府采购网</w:t>
            </w:r>
            <w:r>
              <w:rPr>
                <w:rFonts w:hint="eastAsia"/>
                <w:color w:val="auto"/>
                <w:sz w:val="21"/>
                <w:szCs w:val="21"/>
                <w:lang w:eastAsia="zh-CN"/>
              </w:rPr>
              <w:t>”</w:t>
            </w:r>
            <w:r>
              <w:rPr>
                <w:rFonts w:hint="eastAsia"/>
                <w:color w:val="auto"/>
                <w:sz w:val="21"/>
                <w:szCs w:val="21"/>
                <w:lang w:val="en-US" w:eastAsia="zh-CN"/>
              </w:rPr>
              <w:t>发布</w:t>
            </w:r>
            <w:r>
              <w:rPr>
                <w:rFonts w:hint="eastAsia"/>
                <w:color w:val="auto"/>
                <w:sz w:val="21"/>
                <w:szCs w:val="21"/>
              </w:rPr>
              <w:t>，招标文件的修改作为招标文件的组成部分，并具有约束力。</w:t>
            </w:r>
          </w:p>
          <w:p w14:paraId="52206CCC">
            <w:pPr>
              <w:pStyle w:val="10"/>
              <w:numPr>
                <w:ilvl w:val="0"/>
                <w:numId w:val="1"/>
              </w:numPr>
              <w:spacing w:line="240" w:lineRule="auto"/>
              <w:rPr>
                <w:color w:val="auto"/>
                <w:sz w:val="21"/>
                <w:szCs w:val="21"/>
              </w:rPr>
            </w:pPr>
            <w:r>
              <w:rPr>
                <w:rFonts w:hint="eastAsia"/>
                <w:color w:val="auto"/>
                <w:sz w:val="21"/>
                <w:szCs w:val="21"/>
              </w:rPr>
              <w:t>投标人应在投标截止时间前及时登录“云南省政府采购网</w:t>
            </w:r>
            <w:r>
              <w:rPr>
                <w:rFonts w:hint="eastAsia"/>
                <w:color w:val="auto"/>
                <w:sz w:val="21"/>
                <w:szCs w:val="21"/>
                <w:lang w:eastAsia="zh-CN"/>
              </w:rPr>
              <w:t>”</w:t>
            </w:r>
            <w:r>
              <w:rPr>
                <w:rFonts w:hint="eastAsia"/>
                <w:color w:val="auto"/>
                <w:sz w:val="21"/>
                <w:szCs w:val="21"/>
              </w:rPr>
              <w:t>中查看有关该项目招标文件的答疑、补遗内容。否则，后果自负。</w:t>
            </w:r>
          </w:p>
          <w:p w14:paraId="7B7846A6">
            <w:pPr>
              <w:ind w:firstLine="0" w:firstLineChars="0"/>
              <w:rPr>
                <w:rFonts w:hint="eastAsia" w:cs="宋体"/>
                <w:color w:val="auto"/>
              </w:rPr>
            </w:pPr>
            <w:r>
              <w:rPr>
                <w:rFonts w:hint="eastAsia"/>
                <w:color w:val="auto"/>
                <w:sz w:val="21"/>
                <w:szCs w:val="21"/>
              </w:rPr>
              <w:t>招标文件澄清、招标文件修改文件内容均以网上电子文件为准，当招标文件、招标文件澄清、招标文件修改文件内容后前相互矛盾时，以最新发布的招标文件为准。</w:t>
            </w:r>
          </w:p>
        </w:tc>
      </w:tr>
      <w:tr w14:paraId="39ED53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3EEDE452">
            <w:pPr>
              <w:ind w:firstLine="0" w:firstLineChars="0"/>
              <w:jc w:val="center"/>
              <w:rPr>
                <w:rFonts w:hint="eastAsia" w:cs="宋体"/>
                <w:color w:val="auto"/>
              </w:rPr>
            </w:pPr>
            <w:r>
              <w:rPr>
                <w:rFonts w:hint="eastAsia" w:cs="宋体"/>
                <w:color w:val="auto"/>
              </w:rPr>
              <w:t>17.1</w:t>
            </w:r>
          </w:p>
        </w:tc>
        <w:tc>
          <w:tcPr>
            <w:tcW w:w="1074" w:type="pct"/>
            <w:vAlign w:val="center"/>
          </w:tcPr>
          <w:p w14:paraId="475CE56C">
            <w:pPr>
              <w:ind w:firstLine="0" w:firstLineChars="0"/>
              <w:jc w:val="center"/>
              <w:rPr>
                <w:rFonts w:hint="eastAsia" w:cs="宋体"/>
                <w:color w:val="auto"/>
              </w:rPr>
            </w:pPr>
            <w:r>
              <w:rPr>
                <w:rFonts w:hint="eastAsia" w:cs="宋体"/>
                <w:color w:val="auto"/>
              </w:rPr>
              <w:t>投标有效期</w:t>
            </w:r>
          </w:p>
        </w:tc>
        <w:tc>
          <w:tcPr>
            <w:tcW w:w="3390" w:type="pct"/>
            <w:vAlign w:val="center"/>
          </w:tcPr>
          <w:p w14:paraId="51DA2C96">
            <w:pPr>
              <w:ind w:firstLine="0" w:firstLineChars="0"/>
              <w:rPr>
                <w:rFonts w:hint="eastAsia" w:cs="宋体"/>
                <w:bCs/>
                <w:color w:val="auto"/>
              </w:rPr>
            </w:pPr>
            <w:r>
              <w:rPr>
                <w:rFonts w:hint="eastAsia" w:cs="宋体"/>
                <w:bCs/>
                <w:color w:val="auto"/>
              </w:rPr>
              <w:t>从提交投标文件截止之日起90日历天。</w:t>
            </w:r>
          </w:p>
        </w:tc>
      </w:tr>
      <w:tr w14:paraId="4B0CA1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60B6B879">
            <w:pPr>
              <w:ind w:firstLine="0" w:firstLineChars="0"/>
              <w:jc w:val="center"/>
              <w:rPr>
                <w:rFonts w:hint="eastAsia" w:cs="宋体"/>
                <w:color w:val="auto"/>
              </w:rPr>
            </w:pPr>
            <w:r>
              <w:rPr>
                <w:rFonts w:hint="eastAsia" w:cs="宋体"/>
                <w:color w:val="auto"/>
              </w:rPr>
              <w:t>18.1</w:t>
            </w:r>
          </w:p>
        </w:tc>
        <w:tc>
          <w:tcPr>
            <w:tcW w:w="1074" w:type="pct"/>
            <w:vAlign w:val="center"/>
          </w:tcPr>
          <w:p w14:paraId="5CCFD179">
            <w:pPr>
              <w:ind w:firstLine="0" w:firstLineChars="0"/>
              <w:jc w:val="center"/>
              <w:rPr>
                <w:rFonts w:hint="eastAsia" w:cs="宋体"/>
                <w:color w:val="auto"/>
              </w:rPr>
            </w:pPr>
            <w:r>
              <w:rPr>
                <w:rFonts w:hint="eastAsia" w:cs="宋体"/>
                <w:color w:val="auto"/>
              </w:rPr>
              <w:t>投标保证金</w:t>
            </w:r>
          </w:p>
        </w:tc>
        <w:tc>
          <w:tcPr>
            <w:tcW w:w="3390" w:type="pct"/>
            <w:vAlign w:val="center"/>
          </w:tcPr>
          <w:p w14:paraId="281A0F4F">
            <w:pPr>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一、投标保证金形式：支票、汇票、本票、保函、网银、电汇、转账、保证保险等非现金形式提交，投标人可根据实际情况，选择保证金的提供或缴纳方式。</w:t>
            </w:r>
          </w:p>
          <w:p w14:paraId="212AC644">
            <w:pPr>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二、投标保证金金额：￥</w:t>
            </w:r>
            <w:r>
              <w:rPr>
                <w:rFonts w:hint="eastAsia" w:cs="宋体"/>
                <w:color w:val="auto"/>
                <w:sz w:val="21"/>
                <w:szCs w:val="21"/>
                <w:highlight w:val="none"/>
                <w:u w:val="single"/>
                <w:lang w:val="en-US" w:eastAsia="zh-CN"/>
              </w:rPr>
              <w:t>30000.00</w:t>
            </w:r>
            <w:r>
              <w:rPr>
                <w:rFonts w:hint="eastAsia" w:ascii="宋体" w:hAnsi="宋体" w:eastAsia="宋体" w:cs="宋体"/>
                <w:color w:val="auto"/>
                <w:sz w:val="21"/>
                <w:szCs w:val="21"/>
                <w:highlight w:val="none"/>
                <w:lang w:val="en-US" w:eastAsia="zh-CN"/>
              </w:rPr>
              <w:t>元（大写：</w:t>
            </w:r>
            <w:r>
              <w:rPr>
                <w:rFonts w:hint="eastAsia" w:cs="宋体"/>
                <w:color w:val="auto"/>
                <w:sz w:val="21"/>
                <w:szCs w:val="21"/>
                <w:highlight w:val="none"/>
                <w:u w:val="single"/>
                <w:lang w:val="en-US" w:eastAsia="zh-CN"/>
              </w:rPr>
              <w:t>叁万元整</w:t>
            </w:r>
            <w:r>
              <w:rPr>
                <w:rFonts w:hint="eastAsia" w:ascii="宋体" w:hAnsi="宋体" w:eastAsia="宋体" w:cs="宋体"/>
                <w:color w:val="auto"/>
                <w:sz w:val="21"/>
                <w:szCs w:val="21"/>
                <w:highlight w:val="none"/>
                <w:lang w:val="en-US" w:eastAsia="zh-CN"/>
              </w:rPr>
              <w:t>）。</w:t>
            </w:r>
          </w:p>
          <w:p w14:paraId="5CF613E8">
            <w:pPr>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三、投标保证金办理程序</w:t>
            </w:r>
          </w:p>
          <w:p w14:paraId="6A3358C8">
            <w:pPr>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1.银行转账：投标（交易）保证金应以投标人自身的名义提交，并且必须一次性汇入或转入采购人指定的账户，不得以分支机构其他名义提交（按照规定，投标人可以为自然人的项目除外）。</w:t>
            </w:r>
          </w:p>
          <w:p w14:paraId="6D4BDDAA">
            <w:pPr>
              <w:ind w:firstLine="0" w:firstLineChars="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投标保证金缴纳至如下账户：</w:t>
            </w:r>
          </w:p>
          <w:p w14:paraId="0CB68CF8">
            <w:pPr>
              <w:ind w:firstLine="0" w:firstLineChars="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（1）开户名称：云南联沧项目管理有限公司</w:t>
            </w:r>
          </w:p>
          <w:p w14:paraId="0CE09677">
            <w:pPr>
              <w:ind w:firstLine="0" w:firstLineChars="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（2）账号：2502 0603 1902 4501 519</w:t>
            </w:r>
          </w:p>
          <w:p w14:paraId="62AB3F4E">
            <w:pPr>
              <w:ind w:firstLine="0" w:firstLineChars="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（3）开户银行：中国工商银行昆明金源支行</w:t>
            </w:r>
          </w:p>
          <w:p w14:paraId="7F8013F8">
            <w:pPr>
              <w:ind w:firstLine="0" w:firstLineChars="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（4）财务联系人：肖女士</w:t>
            </w:r>
          </w:p>
          <w:p w14:paraId="7D5900D6">
            <w:pPr>
              <w:ind w:firstLine="0" w:firstLineChars="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（5）财务联系电话：13988328032</w:t>
            </w:r>
          </w:p>
          <w:p w14:paraId="77FF73B2">
            <w:pPr>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2.保证保险：</w:t>
            </w:r>
          </w:p>
          <w:p w14:paraId="2E935188">
            <w:pPr>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（1）当投标人未能按照招投标文件要求履行投标义务而导致采购人受到损失时，由保险公司按照保险合同对采购人的损失承担赔偿责任。</w:t>
            </w:r>
          </w:p>
          <w:p w14:paraId="1E85C27A">
            <w:pPr>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（2）投标人在支付投标保证金保险费时，必须使用基本账号资金支付购买，未从基本账户转出支付保费造成经济纠纷的应由企业自行承担。</w:t>
            </w:r>
          </w:p>
          <w:p w14:paraId="36A47B11">
            <w:pPr>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（3）在投标保证保险中，投标人为投保人，采购人为被保险人。</w:t>
            </w:r>
          </w:p>
          <w:p w14:paraId="3623051A">
            <w:pPr>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3.银行保函：</w:t>
            </w:r>
          </w:p>
          <w:p w14:paraId="1DFB27A0">
            <w:pPr>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（1）当投标人未能按照招投标文件要求履行投标义务而导致采购人受到损失时，由担保银行按照要求对采购人的损失承担代偿责任。</w:t>
            </w:r>
          </w:p>
          <w:p w14:paraId="6A331E90">
            <w:pPr>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（2）在投标担保中，投标人为被担保人，采购人为受益人。</w:t>
            </w:r>
          </w:p>
          <w:p w14:paraId="4EC85B7D">
            <w:pPr>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四、投标保证金有效期同投标有效期，需符合本表10.1条规定。</w:t>
            </w:r>
          </w:p>
          <w:p w14:paraId="5743DC86">
            <w:pPr>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五、提交投标保证金的截止时间为：同投标截止时间。</w:t>
            </w:r>
          </w:p>
          <w:p w14:paraId="1A9CB9CD">
            <w:pPr>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六、保证金退还</w:t>
            </w:r>
          </w:p>
          <w:p w14:paraId="7AAC1F78">
            <w:pPr>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1.以银行转账、网银、电汇缴纳的保证金，以网银对公转账的方式退还到投标人打款账户；</w:t>
            </w:r>
          </w:p>
          <w:p w14:paraId="05C2B751">
            <w:pPr>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2.以支票、汇票及本票等票据方式缴纳的保证金，经财务查账确认后以对公转账的方式退还到投标人开户账户；</w:t>
            </w:r>
          </w:p>
          <w:p w14:paraId="687950EF">
            <w:pPr>
              <w:ind w:firstLine="0" w:firstLineChars="0"/>
              <w:rPr>
                <w:rFonts w:hint="eastAsia" w:cs="宋体"/>
                <w:bCs/>
                <w:color w:val="auto"/>
              </w:rPr>
            </w:pPr>
            <w:r>
              <w:rPr>
                <w:rFonts w:hint="eastAsia" w:ascii="宋体" w:hAnsi="宋体" w:eastAsia="宋体" w:cs="宋体"/>
                <w:color w:val="auto"/>
                <w:sz w:val="21"/>
                <w:szCs w:val="21"/>
                <w:highlight w:val="none"/>
                <w:lang w:val="en-US" w:eastAsia="zh-CN"/>
              </w:rPr>
              <w:t>3.以银行保函或者保证保险方式缴纳的保证金由投标人自行联系出函机构。</w:t>
            </w:r>
          </w:p>
        </w:tc>
      </w:tr>
      <w:tr w14:paraId="49AD32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3E9A084D">
            <w:pPr>
              <w:ind w:firstLine="0" w:firstLineChars="0"/>
              <w:jc w:val="center"/>
              <w:rPr>
                <w:rFonts w:hint="eastAsia" w:cs="宋体"/>
                <w:color w:val="auto"/>
              </w:rPr>
            </w:pPr>
            <w:r>
              <w:rPr>
                <w:rFonts w:hint="eastAsia" w:cs="宋体"/>
                <w:color w:val="auto"/>
              </w:rPr>
              <w:t>19.4</w:t>
            </w:r>
          </w:p>
        </w:tc>
        <w:tc>
          <w:tcPr>
            <w:tcW w:w="1074" w:type="pct"/>
            <w:vAlign w:val="center"/>
          </w:tcPr>
          <w:p w14:paraId="363D37CF">
            <w:pPr>
              <w:ind w:firstLine="0" w:firstLineChars="0"/>
              <w:jc w:val="center"/>
              <w:rPr>
                <w:rFonts w:hint="eastAsia" w:cs="宋体"/>
                <w:color w:val="auto"/>
              </w:rPr>
            </w:pPr>
            <w:r>
              <w:rPr>
                <w:rFonts w:hint="eastAsia" w:cs="宋体"/>
                <w:color w:val="auto"/>
              </w:rPr>
              <w:t>电子投标文件（光盘）份数</w:t>
            </w:r>
          </w:p>
        </w:tc>
        <w:tc>
          <w:tcPr>
            <w:tcW w:w="3390" w:type="pct"/>
            <w:vAlign w:val="center"/>
          </w:tcPr>
          <w:p w14:paraId="6592BEC3">
            <w:pPr>
              <w:ind w:firstLine="0" w:firstLineChars="0"/>
              <w:rPr>
                <w:rFonts w:hint="eastAsia" w:cs="宋体"/>
                <w:color w:val="auto"/>
              </w:rPr>
            </w:pPr>
            <w:r>
              <w:rPr>
                <w:rFonts w:hint="eastAsia" w:cs="宋体"/>
                <w:color w:val="auto"/>
              </w:rPr>
              <w:t>本项目不需要提交电子投标文件（光盘），招标文件中要求如有不一致，以此处要求为准。</w:t>
            </w:r>
          </w:p>
        </w:tc>
      </w:tr>
      <w:tr w14:paraId="22489E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14729087">
            <w:pPr>
              <w:ind w:firstLine="0" w:firstLineChars="0"/>
              <w:jc w:val="center"/>
              <w:rPr>
                <w:rFonts w:hint="eastAsia" w:cs="宋体"/>
                <w:color w:val="auto"/>
              </w:rPr>
            </w:pPr>
            <w:r>
              <w:rPr>
                <w:rFonts w:hint="eastAsia" w:cs="宋体"/>
                <w:color w:val="auto"/>
              </w:rPr>
              <w:t>20.1</w:t>
            </w:r>
          </w:p>
        </w:tc>
        <w:tc>
          <w:tcPr>
            <w:tcW w:w="1074" w:type="pct"/>
            <w:vAlign w:val="center"/>
          </w:tcPr>
          <w:p w14:paraId="0A1F43FE">
            <w:pPr>
              <w:ind w:firstLine="0" w:firstLineChars="0"/>
              <w:jc w:val="center"/>
              <w:rPr>
                <w:rFonts w:hint="eastAsia" w:cs="宋体"/>
                <w:color w:val="auto"/>
              </w:rPr>
            </w:pPr>
            <w:r>
              <w:rPr>
                <w:rFonts w:hint="eastAsia" w:cs="宋体"/>
                <w:color w:val="auto"/>
              </w:rPr>
              <w:t>投标报价</w:t>
            </w:r>
          </w:p>
        </w:tc>
        <w:tc>
          <w:tcPr>
            <w:tcW w:w="3390" w:type="pct"/>
            <w:vAlign w:val="center"/>
          </w:tcPr>
          <w:p w14:paraId="734E6A15">
            <w:pPr>
              <w:ind w:firstLine="0" w:firstLineChars="0"/>
              <w:rPr>
                <w:rFonts w:hint="eastAsia" w:cs="宋体"/>
                <w:color w:val="auto"/>
              </w:rPr>
            </w:pPr>
            <w:r>
              <w:rPr>
                <w:rFonts w:hint="eastAsia"/>
                <w:color w:val="auto"/>
                <w:lang w:val="en-US" w:eastAsia="zh-CN"/>
              </w:rPr>
              <w:t>采用</w:t>
            </w:r>
            <w:r>
              <w:rPr>
                <w:rFonts w:hint="eastAsia" w:cs="宋体"/>
                <w:color w:val="auto"/>
              </w:rPr>
              <w:t>固定单价报价，最终按照实际采购数量乘以中标单价结算。</w:t>
            </w:r>
          </w:p>
        </w:tc>
      </w:tr>
      <w:tr w14:paraId="2187E9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57055770">
            <w:pPr>
              <w:ind w:firstLine="0" w:firstLineChars="0"/>
              <w:jc w:val="center"/>
              <w:rPr>
                <w:rFonts w:hint="eastAsia" w:cs="宋体"/>
                <w:color w:val="auto"/>
              </w:rPr>
            </w:pPr>
            <w:r>
              <w:rPr>
                <w:rFonts w:hint="eastAsia" w:cs="宋体"/>
                <w:color w:val="auto"/>
              </w:rPr>
              <w:t>21.1</w:t>
            </w:r>
          </w:p>
        </w:tc>
        <w:tc>
          <w:tcPr>
            <w:tcW w:w="1074" w:type="pct"/>
            <w:vAlign w:val="center"/>
          </w:tcPr>
          <w:p w14:paraId="02F85B21">
            <w:pPr>
              <w:ind w:firstLine="0" w:firstLineChars="0"/>
              <w:jc w:val="center"/>
              <w:rPr>
                <w:rFonts w:hint="eastAsia" w:cs="宋体"/>
                <w:color w:val="auto"/>
              </w:rPr>
            </w:pPr>
            <w:r>
              <w:rPr>
                <w:rFonts w:hint="eastAsia" w:cs="宋体"/>
                <w:color w:val="auto"/>
              </w:rPr>
              <w:t>投标文件的密封</w:t>
            </w:r>
          </w:p>
        </w:tc>
        <w:tc>
          <w:tcPr>
            <w:tcW w:w="3390" w:type="pct"/>
            <w:vAlign w:val="center"/>
          </w:tcPr>
          <w:p w14:paraId="6186F8BA">
            <w:pPr>
              <w:ind w:firstLine="0" w:firstLineChars="0"/>
              <w:rPr>
                <w:rFonts w:hint="eastAsia" w:ascii="宋体" w:hAnsi="宋体" w:eastAsia="宋体" w:cs="宋体"/>
                <w:color w:val="auto"/>
              </w:rPr>
            </w:pPr>
            <w:r>
              <w:rPr>
                <w:rFonts w:hint="eastAsia" w:ascii="宋体" w:hAnsi="宋体" w:eastAsia="宋体" w:cs="宋体"/>
                <w:color w:val="auto"/>
                <w:lang w:val="en-US" w:eastAsia="zh-CN"/>
              </w:rPr>
              <w:t>1、投标人</w:t>
            </w:r>
            <w:r>
              <w:rPr>
                <w:rFonts w:hint="eastAsia" w:ascii="宋体" w:hAnsi="宋体" w:eastAsia="宋体" w:cs="宋体"/>
                <w:color w:val="auto"/>
              </w:rPr>
              <w:t>进行电子交易应安装客户端软件—“政采云电子交易客户端”，并按照</w:t>
            </w:r>
            <w:r>
              <w:rPr>
                <w:rFonts w:hint="eastAsia" w:ascii="宋体" w:hAnsi="宋体" w:eastAsia="宋体" w:cs="宋体"/>
                <w:color w:val="auto"/>
                <w:lang w:val="en-US" w:eastAsia="zh-CN"/>
              </w:rPr>
              <w:t>招标</w:t>
            </w:r>
            <w:r>
              <w:rPr>
                <w:rFonts w:hint="eastAsia" w:ascii="宋体" w:hAnsi="宋体" w:eastAsia="宋体" w:cs="宋体"/>
                <w:color w:val="auto"/>
              </w:rPr>
              <w:t>文件和电子交易平台的要求编制并加密</w:t>
            </w:r>
            <w:r>
              <w:rPr>
                <w:rFonts w:hint="eastAsia" w:ascii="宋体" w:hAnsi="宋体" w:eastAsia="宋体" w:cs="宋体"/>
                <w:color w:val="auto"/>
                <w:lang w:val="en-US" w:eastAsia="zh-CN"/>
              </w:rPr>
              <w:t>投标</w:t>
            </w:r>
            <w:r>
              <w:rPr>
                <w:rFonts w:hint="eastAsia" w:ascii="宋体" w:hAnsi="宋体" w:eastAsia="宋体" w:cs="宋体"/>
                <w:color w:val="auto"/>
              </w:rPr>
              <w:t>文件。</w:t>
            </w:r>
            <w:r>
              <w:rPr>
                <w:rFonts w:hint="eastAsia" w:ascii="宋体" w:hAnsi="宋体" w:eastAsia="宋体" w:cs="宋体"/>
                <w:color w:val="auto"/>
                <w:lang w:val="en-US" w:eastAsia="zh-CN"/>
              </w:rPr>
              <w:t>投标人</w:t>
            </w:r>
            <w:r>
              <w:rPr>
                <w:rFonts w:hint="eastAsia" w:ascii="宋体" w:hAnsi="宋体" w:eastAsia="宋体" w:cs="宋体"/>
                <w:color w:val="auto"/>
              </w:rPr>
              <w:t>未按规定加密的</w:t>
            </w:r>
            <w:r>
              <w:rPr>
                <w:rFonts w:hint="eastAsia" w:ascii="宋体" w:hAnsi="宋体" w:eastAsia="宋体" w:cs="宋体"/>
                <w:color w:val="auto"/>
                <w:lang w:val="en-US" w:eastAsia="zh-CN"/>
              </w:rPr>
              <w:t>投标</w:t>
            </w:r>
            <w:r>
              <w:rPr>
                <w:rFonts w:hint="eastAsia" w:ascii="宋体" w:hAnsi="宋体" w:eastAsia="宋体" w:cs="宋体"/>
                <w:color w:val="auto"/>
              </w:rPr>
              <w:t>文件，电子交易平台将拒收并提示。</w:t>
            </w:r>
          </w:p>
          <w:p w14:paraId="26A489D1">
            <w:pPr>
              <w:ind w:firstLine="0" w:firstLineChars="0"/>
              <w:rPr>
                <w:rFonts w:hint="eastAsia" w:ascii="宋体" w:hAnsi="宋体" w:eastAsia="宋体" w:cs="宋体"/>
                <w:color w:val="auto"/>
                <w:lang w:eastAsia="zh-CN"/>
              </w:rPr>
            </w:pPr>
            <w:r>
              <w:rPr>
                <w:rFonts w:hint="eastAsia" w:ascii="宋体" w:hAnsi="宋体" w:eastAsia="宋体" w:cs="宋体"/>
                <w:color w:val="auto"/>
                <w:lang w:val="en-US" w:eastAsia="zh-CN"/>
              </w:rPr>
              <w:t>2、</w:t>
            </w:r>
            <w:r>
              <w:rPr>
                <w:rFonts w:hint="eastAsia" w:ascii="宋体" w:hAnsi="宋体" w:eastAsia="宋体" w:cs="宋体"/>
                <w:color w:val="auto"/>
              </w:rPr>
              <w:t>使用“政采云投标客户端”需要提前申领</w:t>
            </w:r>
            <w:r>
              <w:rPr>
                <w:rFonts w:hint="eastAsia" w:ascii="宋体" w:hAnsi="宋体" w:eastAsia="宋体" w:cs="宋体"/>
                <w:color w:val="auto"/>
                <w:lang w:val="en-US" w:eastAsia="zh-CN"/>
              </w:rPr>
              <w:t>数字证书（CA）</w:t>
            </w:r>
            <w:r>
              <w:rPr>
                <w:rFonts w:hint="eastAsia" w:ascii="宋体" w:hAnsi="宋体" w:eastAsia="宋体" w:cs="宋体"/>
                <w:color w:val="auto"/>
              </w:rPr>
              <w:t>，申领流程见该项目采购公告附件</w:t>
            </w:r>
            <w:r>
              <w:rPr>
                <w:rFonts w:hint="eastAsia" w:ascii="宋体" w:hAnsi="宋体" w:eastAsia="宋体" w:cs="宋体"/>
                <w:color w:val="auto"/>
                <w:lang w:eastAsia="zh-CN"/>
              </w:rPr>
              <w:t>“</w:t>
            </w:r>
            <w:r>
              <w:rPr>
                <w:rFonts w:hint="eastAsia" w:ascii="宋体" w:hAnsi="宋体" w:eastAsia="宋体" w:cs="宋体"/>
                <w:color w:val="auto"/>
                <w:lang w:val="en-US" w:eastAsia="zh-CN"/>
              </w:rPr>
              <w:t>温馨提示</w:t>
            </w:r>
            <w:r>
              <w:rPr>
                <w:rFonts w:hint="eastAsia" w:ascii="宋体" w:hAnsi="宋体" w:eastAsia="宋体" w:cs="宋体"/>
                <w:color w:val="auto"/>
                <w:lang w:eastAsia="zh-CN"/>
              </w:rPr>
              <w:t>”。</w:t>
            </w:r>
          </w:p>
          <w:p w14:paraId="3DE3F537">
            <w:pPr>
              <w:ind w:firstLine="0" w:firstLineChars="0"/>
              <w:rPr>
                <w:rFonts w:hint="eastAsia" w:cs="宋体"/>
                <w:color w:val="auto"/>
              </w:rPr>
            </w:pPr>
            <w:r>
              <w:rPr>
                <w:rFonts w:hint="eastAsia" w:ascii="宋体" w:hAnsi="宋体" w:eastAsia="宋体" w:cs="宋体"/>
                <w:color w:val="auto"/>
                <w:lang w:val="en-US" w:eastAsia="zh-CN"/>
              </w:rPr>
              <w:t>3、为确保网上操作合法、有效和安全，投标人应当在投标文件提交截止时间前完成在“政府采购云平台”的身份认证，确保在电子交易过程中能够对相关数据电文进行加密和使用电子签名。</w:t>
            </w:r>
          </w:p>
        </w:tc>
      </w:tr>
      <w:tr w14:paraId="4E1B18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761CBE52">
            <w:pPr>
              <w:ind w:firstLine="0" w:firstLineChars="0"/>
              <w:jc w:val="center"/>
              <w:rPr>
                <w:rFonts w:hint="eastAsia" w:cs="宋体"/>
                <w:color w:val="auto"/>
              </w:rPr>
            </w:pPr>
            <w:r>
              <w:rPr>
                <w:rFonts w:hint="eastAsia" w:cs="宋体"/>
                <w:color w:val="auto"/>
              </w:rPr>
              <w:t>22.1</w:t>
            </w:r>
          </w:p>
        </w:tc>
        <w:tc>
          <w:tcPr>
            <w:tcW w:w="1074" w:type="pct"/>
            <w:vAlign w:val="center"/>
          </w:tcPr>
          <w:p w14:paraId="47BE45FD">
            <w:pPr>
              <w:ind w:firstLine="0" w:firstLineChars="0"/>
              <w:jc w:val="center"/>
              <w:rPr>
                <w:rFonts w:hint="eastAsia" w:cs="宋体"/>
                <w:color w:val="auto"/>
              </w:rPr>
            </w:pPr>
            <w:r>
              <w:rPr>
                <w:rFonts w:hint="eastAsia" w:cs="宋体"/>
                <w:color w:val="auto"/>
              </w:rPr>
              <w:t>提交投标文件截止时间、提交投标文件的地点</w:t>
            </w:r>
          </w:p>
        </w:tc>
        <w:tc>
          <w:tcPr>
            <w:tcW w:w="3390" w:type="pct"/>
            <w:vAlign w:val="center"/>
          </w:tcPr>
          <w:p w14:paraId="698FD63F">
            <w:pPr>
              <w:ind w:firstLine="0" w:firstLineChars="0"/>
              <w:rPr>
                <w:rFonts w:hint="eastAsia" w:cs="宋体"/>
                <w:color w:val="auto"/>
              </w:rPr>
            </w:pPr>
            <w:r>
              <w:rPr>
                <w:rFonts w:hint="eastAsia" w:cs="宋体"/>
                <w:color w:val="auto"/>
              </w:rPr>
              <w:t>详见第一章《招标公告》</w:t>
            </w:r>
          </w:p>
        </w:tc>
      </w:tr>
      <w:tr w14:paraId="3A3E30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00949D71">
            <w:pPr>
              <w:ind w:firstLine="0" w:firstLineChars="0"/>
              <w:jc w:val="center"/>
              <w:rPr>
                <w:rFonts w:hint="eastAsia" w:cs="宋体"/>
                <w:color w:val="auto"/>
              </w:rPr>
            </w:pPr>
            <w:r>
              <w:rPr>
                <w:rFonts w:hint="eastAsia" w:cs="宋体"/>
                <w:color w:val="auto"/>
              </w:rPr>
              <w:t>24.1</w:t>
            </w:r>
          </w:p>
        </w:tc>
        <w:tc>
          <w:tcPr>
            <w:tcW w:w="1074" w:type="pct"/>
            <w:vAlign w:val="center"/>
          </w:tcPr>
          <w:p w14:paraId="6068A767">
            <w:pPr>
              <w:pStyle w:val="14"/>
              <w:ind w:firstLine="0" w:firstLineChars="0"/>
              <w:jc w:val="center"/>
              <w:rPr>
                <w:rFonts w:hint="eastAsia" w:hAnsi="宋体" w:cs="宋体"/>
                <w:color w:val="auto"/>
              </w:rPr>
            </w:pPr>
            <w:r>
              <w:rPr>
                <w:rFonts w:hint="eastAsia" w:hAnsi="宋体" w:cs="宋体"/>
                <w:color w:val="auto"/>
              </w:rPr>
              <w:t>开标时间和地点</w:t>
            </w:r>
          </w:p>
        </w:tc>
        <w:tc>
          <w:tcPr>
            <w:tcW w:w="3390" w:type="pct"/>
            <w:vAlign w:val="center"/>
          </w:tcPr>
          <w:p w14:paraId="29EB12D5">
            <w:pPr>
              <w:ind w:firstLine="0" w:firstLineChars="0"/>
              <w:rPr>
                <w:rFonts w:hint="eastAsia" w:cs="宋体"/>
                <w:color w:val="auto"/>
                <w:u w:val="single"/>
              </w:rPr>
            </w:pPr>
            <w:r>
              <w:rPr>
                <w:rFonts w:hint="eastAsia" w:cs="宋体"/>
                <w:color w:val="auto"/>
              </w:rPr>
              <w:t>详见第一章《招标公告》</w:t>
            </w:r>
          </w:p>
        </w:tc>
      </w:tr>
      <w:tr w14:paraId="573AC7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7ED19E4B">
            <w:pPr>
              <w:ind w:firstLine="0" w:firstLineChars="0"/>
              <w:jc w:val="center"/>
              <w:rPr>
                <w:rFonts w:hint="eastAsia" w:cs="宋体"/>
                <w:color w:val="auto"/>
              </w:rPr>
            </w:pPr>
            <w:r>
              <w:rPr>
                <w:rFonts w:hint="eastAsia" w:cs="宋体"/>
                <w:color w:val="auto"/>
              </w:rPr>
              <w:t>26.2</w:t>
            </w:r>
          </w:p>
        </w:tc>
        <w:tc>
          <w:tcPr>
            <w:tcW w:w="1074" w:type="pct"/>
            <w:vAlign w:val="center"/>
          </w:tcPr>
          <w:p w14:paraId="4AB2ACE4">
            <w:pPr>
              <w:ind w:firstLine="0" w:firstLineChars="0"/>
              <w:jc w:val="center"/>
              <w:rPr>
                <w:rFonts w:hint="eastAsia" w:cs="宋体"/>
                <w:color w:val="auto"/>
              </w:rPr>
            </w:pPr>
            <w:r>
              <w:rPr>
                <w:rFonts w:hint="eastAsia" w:cs="宋体"/>
                <w:color w:val="auto"/>
              </w:rPr>
              <w:t>评标委员会</w:t>
            </w:r>
          </w:p>
        </w:tc>
        <w:tc>
          <w:tcPr>
            <w:tcW w:w="3390" w:type="pct"/>
            <w:vAlign w:val="center"/>
          </w:tcPr>
          <w:p w14:paraId="439F743B">
            <w:pPr>
              <w:ind w:firstLine="0" w:firstLineChars="0"/>
              <w:rPr>
                <w:rFonts w:hint="eastAsia" w:cs="宋体"/>
                <w:color w:val="auto"/>
              </w:rPr>
            </w:pPr>
            <w:r>
              <w:rPr>
                <w:rFonts w:hint="eastAsia" w:cs="宋体"/>
                <w:color w:val="auto"/>
              </w:rPr>
              <w:t>从云南省政府采购专家库中随机抽取评审专家，成员人数为</w:t>
            </w:r>
            <w:r>
              <w:rPr>
                <w:rFonts w:hint="eastAsia" w:cs="宋体"/>
                <w:color w:val="auto"/>
                <w:u w:val="single"/>
                <w:lang w:val="en-US" w:eastAsia="zh-CN"/>
              </w:rPr>
              <w:t>7</w:t>
            </w:r>
            <w:r>
              <w:rPr>
                <w:rFonts w:hint="eastAsia" w:cs="宋体"/>
                <w:color w:val="auto"/>
              </w:rPr>
              <w:t>人以上单数，其中评审专家不得少于成员总数的三分之二。</w:t>
            </w:r>
          </w:p>
        </w:tc>
      </w:tr>
      <w:tr w14:paraId="076E44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5" w:hRule="atLeast"/>
          <w:jc w:val="center"/>
        </w:trPr>
        <w:tc>
          <w:tcPr>
            <w:tcW w:w="536" w:type="pct"/>
            <w:vAlign w:val="center"/>
          </w:tcPr>
          <w:p w14:paraId="04FB284A">
            <w:pPr>
              <w:ind w:firstLine="0" w:firstLineChars="0"/>
              <w:jc w:val="center"/>
              <w:rPr>
                <w:rFonts w:hint="eastAsia" w:cs="宋体"/>
                <w:color w:val="auto"/>
              </w:rPr>
            </w:pPr>
            <w:r>
              <w:rPr>
                <w:rFonts w:hint="eastAsia" w:cs="宋体"/>
                <w:color w:val="auto"/>
              </w:rPr>
              <w:t>26.4</w:t>
            </w:r>
          </w:p>
        </w:tc>
        <w:tc>
          <w:tcPr>
            <w:tcW w:w="1074" w:type="pct"/>
            <w:vAlign w:val="center"/>
          </w:tcPr>
          <w:p w14:paraId="32455548">
            <w:pPr>
              <w:ind w:firstLine="0" w:firstLineChars="0"/>
              <w:jc w:val="center"/>
              <w:rPr>
                <w:rFonts w:hint="eastAsia" w:cs="宋体"/>
                <w:color w:val="auto"/>
              </w:rPr>
            </w:pPr>
            <w:r>
              <w:rPr>
                <w:rFonts w:hint="eastAsia" w:cs="宋体"/>
                <w:color w:val="auto"/>
              </w:rPr>
              <w:t>评标方法</w:t>
            </w:r>
          </w:p>
        </w:tc>
        <w:tc>
          <w:tcPr>
            <w:tcW w:w="3390" w:type="pct"/>
            <w:vAlign w:val="center"/>
          </w:tcPr>
          <w:p w14:paraId="28E5800D">
            <w:pPr>
              <w:ind w:firstLine="0" w:firstLineChars="0"/>
              <w:rPr>
                <w:rFonts w:hint="eastAsia" w:cs="宋体"/>
                <w:color w:val="auto"/>
              </w:rPr>
            </w:pPr>
            <w:r>
              <w:rPr>
                <w:rFonts w:hint="eastAsia" w:cs="宋体"/>
                <w:color w:val="auto"/>
              </w:rPr>
              <w:t>综合评分法，是指投标文件满足招标文件全部实质性要求，且按照评审因素的量化指标评审得分最高的投标人为中标候选人的评标方法。</w:t>
            </w:r>
          </w:p>
        </w:tc>
      </w:tr>
      <w:tr w14:paraId="417819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2C53EF4E">
            <w:pPr>
              <w:ind w:firstLine="0" w:firstLineChars="0"/>
              <w:jc w:val="center"/>
              <w:rPr>
                <w:rFonts w:hint="eastAsia" w:cs="宋体"/>
                <w:color w:val="auto"/>
              </w:rPr>
            </w:pPr>
            <w:r>
              <w:rPr>
                <w:rFonts w:hint="eastAsia" w:cs="宋体"/>
                <w:color w:val="auto"/>
              </w:rPr>
              <w:t>33.1</w:t>
            </w:r>
          </w:p>
        </w:tc>
        <w:tc>
          <w:tcPr>
            <w:tcW w:w="1074" w:type="pct"/>
            <w:vAlign w:val="center"/>
          </w:tcPr>
          <w:p w14:paraId="2B105F33">
            <w:pPr>
              <w:ind w:firstLine="0" w:firstLineChars="0"/>
              <w:jc w:val="center"/>
              <w:rPr>
                <w:rFonts w:hint="eastAsia" w:cs="宋体"/>
                <w:color w:val="auto"/>
              </w:rPr>
            </w:pPr>
            <w:r>
              <w:rPr>
                <w:rFonts w:hint="eastAsia" w:cs="宋体"/>
                <w:color w:val="auto"/>
              </w:rPr>
              <w:t>履约保证金</w:t>
            </w:r>
          </w:p>
        </w:tc>
        <w:tc>
          <w:tcPr>
            <w:tcW w:w="3390" w:type="pct"/>
            <w:vAlign w:val="center"/>
          </w:tcPr>
          <w:p w14:paraId="34F3C9A4">
            <w:pPr>
              <w:ind w:firstLine="0" w:firstLineChars="0"/>
              <w:rPr>
                <w:rFonts w:hint="default" w:eastAsia="宋体" w:cs="宋体"/>
                <w:color w:val="auto"/>
                <w:lang w:val="en-US" w:eastAsia="zh-CN"/>
              </w:rPr>
            </w:pPr>
            <w:r>
              <w:rPr>
                <w:rFonts w:hint="eastAsia" w:cs="宋体"/>
                <w:color w:val="auto"/>
                <w:lang w:val="en-US" w:eastAsia="zh-CN"/>
              </w:rPr>
              <w:t>本项目不收取履约保证金。</w:t>
            </w:r>
          </w:p>
        </w:tc>
      </w:tr>
      <w:tr w14:paraId="252FF2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376DAAF4">
            <w:pPr>
              <w:ind w:firstLine="0" w:firstLineChars="0"/>
              <w:jc w:val="center"/>
              <w:rPr>
                <w:rFonts w:hint="eastAsia" w:cs="宋体"/>
                <w:color w:val="auto"/>
              </w:rPr>
            </w:pPr>
            <w:r>
              <w:rPr>
                <w:rFonts w:hint="eastAsia" w:cs="宋体"/>
                <w:color w:val="auto"/>
              </w:rPr>
              <w:t>34.1</w:t>
            </w:r>
          </w:p>
        </w:tc>
        <w:tc>
          <w:tcPr>
            <w:tcW w:w="1074" w:type="pct"/>
            <w:vAlign w:val="center"/>
          </w:tcPr>
          <w:p w14:paraId="05443267">
            <w:pPr>
              <w:ind w:firstLine="0" w:firstLineChars="0"/>
              <w:jc w:val="center"/>
              <w:rPr>
                <w:rFonts w:hint="eastAsia" w:cs="宋体"/>
                <w:color w:val="auto"/>
              </w:rPr>
            </w:pPr>
            <w:r>
              <w:rPr>
                <w:rFonts w:hint="eastAsia" w:cs="宋体"/>
                <w:color w:val="auto"/>
                <w:lang w:val="en-US" w:eastAsia="zh-CN"/>
              </w:rPr>
              <w:t>采购代理</w:t>
            </w:r>
            <w:r>
              <w:rPr>
                <w:rFonts w:hint="eastAsia" w:cs="宋体"/>
                <w:color w:val="auto"/>
              </w:rPr>
              <w:t>服务费</w:t>
            </w:r>
          </w:p>
        </w:tc>
        <w:tc>
          <w:tcPr>
            <w:tcW w:w="3390" w:type="pct"/>
          </w:tcPr>
          <w:p w14:paraId="2DF06204">
            <w:pPr>
              <w:numPr>
                <w:ilvl w:val="0"/>
                <w:numId w:val="2"/>
              </w:numPr>
              <w:ind w:firstLine="0" w:firstLineChars="0"/>
              <w:rPr>
                <w:rFonts w:hint="eastAsia" w:cs="宋体"/>
                <w:b/>
                <w:bCs/>
                <w:color w:val="auto"/>
              </w:rPr>
            </w:pPr>
            <w:r>
              <w:rPr>
                <w:rFonts w:hint="eastAsia" w:ascii="宋体" w:hAnsi="宋体" w:eastAsia="宋体"/>
                <w:color w:val="auto"/>
                <w:lang w:val="en-US" w:eastAsia="zh-CN"/>
              </w:rPr>
              <w:t>按照“《云南省建设工程招标代理服务收费参考意见》的通知云建招协〔2024〕58号”文件规定下浮68%收取，由中标人在领取中标通知书前一次性支付给采购代理机构（参照货物收费标准，计算基准价为本</w:t>
            </w:r>
            <w:r>
              <w:rPr>
                <w:rFonts w:hint="eastAsia"/>
                <w:color w:val="auto"/>
                <w:lang w:val="en-US" w:eastAsia="zh-CN"/>
              </w:rPr>
              <w:t>项目</w:t>
            </w:r>
            <w:r>
              <w:rPr>
                <w:rFonts w:hint="eastAsia" w:ascii="宋体" w:hAnsi="宋体" w:eastAsia="宋体"/>
                <w:color w:val="auto"/>
                <w:lang w:val="en-US" w:eastAsia="zh-CN"/>
              </w:rPr>
              <w:t>采购预算金额）。</w:t>
            </w:r>
          </w:p>
          <w:p w14:paraId="08076D54">
            <w:pPr>
              <w:ind w:firstLine="0" w:firstLineChars="0"/>
              <w:rPr>
                <w:rFonts w:hint="eastAsia" w:cs="宋体"/>
                <w:color w:val="auto"/>
              </w:rPr>
            </w:pPr>
            <w:r>
              <w:rPr>
                <w:rFonts w:hint="eastAsia" w:cs="宋体"/>
                <w:color w:val="auto"/>
              </w:rPr>
              <w:t>2.请各投标人在投标报价时充分考虑此部分费用，该项费用综合包含在投标报价中但不单独列项。</w:t>
            </w:r>
          </w:p>
        </w:tc>
      </w:tr>
      <w:tr w14:paraId="1D3406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2" w:hRule="atLeast"/>
          <w:jc w:val="center"/>
        </w:trPr>
        <w:tc>
          <w:tcPr>
            <w:tcW w:w="536" w:type="pct"/>
            <w:vAlign w:val="center"/>
          </w:tcPr>
          <w:p w14:paraId="3B649258">
            <w:pPr>
              <w:ind w:firstLine="0" w:firstLineChars="0"/>
              <w:jc w:val="center"/>
              <w:rPr>
                <w:rFonts w:hint="eastAsia" w:cs="宋体"/>
                <w:color w:val="auto"/>
              </w:rPr>
            </w:pPr>
            <w:r>
              <w:rPr>
                <w:rFonts w:hint="eastAsia" w:cs="宋体"/>
                <w:color w:val="auto"/>
              </w:rPr>
              <w:t>36</w:t>
            </w:r>
          </w:p>
        </w:tc>
        <w:tc>
          <w:tcPr>
            <w:tcW w:w="4464" w:type="pct"/>
            <w:gridSpan w:val="2"/>
            <w:vAlign w:val="center"/>
          </w:tcPr>
          <w:p w14:paraId="1C4EFC5C">
            <w:pPr>
              <w:ind w:firstLine="0" w:firstLineChars="0"/>
              <w:jc w:val="center"/>
              <w:rPr>
                <w:rFonts w:hint="eastAsia" w:cs="宋体"/>
                <w:color w:val="auto"/>
              </w:rPr>
            </w:pPr>
            <w:r>
              <w:rPr>
                <w:rFonts w:hint="eastAsia" w:cs="宋体"/>
                <w:color w:val="auto"/>
              </w:rPr>
              <w:t>需要补充的其他内容</w:t>
            </w:r>
          </w:p>
        </w:tc>
      </w:tr>
      <w:tr w14:paraId="3C9471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994" w:type="dxa"/>
            <w:vAlign w:val="center"/>
          </w:tcPr>
          <w:p w14:paraId="6FE4759F">
            <w:pPr>
              <w:spacing w:line="360" w:lineRule="auto"/>
              <w:ind w:left="0" w:leftChars="0" w:firstLine="0" w:firstLineChars="0"/>
              <w:jc w:val="center"/>
              <w:rPr>
                <w:rFonts w:hint="eastAsia" w:cs="宋体"/>
                <w:b/>
                <w:color w:val="auto"/>
              </w:rPr>
            </w:pPr>
            <w:r>
              <w:rPr>
                <w:rFonts w:hint="eastAsia" w:ascii="宋体" w:hAnsi="宋体"/>
                <w:color w:val="auto"/>
                <w:sz w:val="21"/>
                <w:szCs w:val="21"/>
                <w:highlight w:val="none"/>
                <w:lang w:val="en-US" w:eastAsia="zh-CN"/>
              </w:rPr>
              <w:t>36.1</w:t>
            </w:r>
          </w:p>
        </w:tc>
        <w:tc>
          <w:tcPr>
            <w:tcW w:w="8281" w:type="dxa"/>
            <w:gridSpan w:val="2"/>
            <w:vAlign w:val="center"/>
          </w:tcPr>
          <w:p w14:paraId="463AB059">
            <w:pPr>
              <w:pStyle w:val="84"/>
              <w:widowControl w:val="0"/>
              <w:spacing w:line="360" w:lineRule="auto"/>
              <w:ind w:firstLine="25" w:firstLineChars="12"/>
              <w:jc w:val="both"/>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政府采购政策：</w:t>
            </w:r>
          </w:p>
          <w:p w14:paraId="613753F0">
            <w:pPr>
              <w:pStyle w:val="84"/>
              <w:widowControl w:val="0"/>
              <w:spacing w:line="360" w:lineRule="auto"/>
              <w:ind w:firstLine="25" w:firstLineChars="12"/>
              <w:jc w:val="both"/>
              <w:rPr>
                <w:rFonts w:ascii="宋体" w:hAnsi="宋体" w:cs="宋体"/>
                <w:b/>
                <w:bCs/>
                <w:color w:val="auto"/>
                <w:sz w:val="21"/>
                <w:szCs w:val="21"/>
                <w:highlight w:val="none"/>
              </w:rPr>
            </w:pPr>
            <w:r>
              <w:rPr>
                <w:rFonts w:hint="eastAsia" w:ascii="宋体" w:hAnsi="宋体" w:cs="宋体"/>
                <w:b/>
                <w:bCs/>
                <w:color w:val="auto"/>
                <w:sz w:val="21"/>
                <w:szCs w:val="21"/>
                <w:highlight w:val="none"/>
              </w:rPr>
              <w:t>一、小微企业应考虑的优先条件和价格折扣</w:t>
            </w:r>
          </w:p>
          <w:p w14:paraId="2A23A36B">
            <w:pPr>
              <w:pStyle w:val="84"/>
              <w:widowControl w:val="0"/>
              <w:spacing w:line="360" w:lineRule="auto"/>
              <w:ind w:firstLine="25" w:firstLineChars="12"/>
              <w:jc w:val="both"/>
              <w:rPr>
                <w:rFonts w:ascii="宋体" w:hAnsi="宋体" w:cs="宋体"/>
                <w:color w:val="auto"/>
                <w:sz w:val="21"/>
                <w:szCs w:val="21"/>
                <w:highlight w:val="none"/>
              </w:rPr>
            </w:pPr>
            <w:r>
              <w:rPr>
                <w:rFonts w:hint="eastAsia" w:ascii="宋体" w:hAnsi="宋体" w:cs="宋体"/>
                <w:color w:val="auto"/>
                <w:sz w:val="21"/>
                <w:szCs w:val="21"/>
                <w:highlight w:val="none"/>
              </w:rPr>
              <w:t>（1）根据《关于印发《政府采购促进中小企业发展管理办法》的通知》（财库〔2020〕46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03BE50A0">
            <w:pPr>
              <w:pStyle w:val="84"/>
              <w:widowControl w:val="0"/>
              <w:spacing w:line="360" w:lineRule="auto"/>
              <w:ind w:firstLine="25" w:firstLineChars="12"/>
              <w:jc w:val="both"/>
              <w:rPr>
                <w:rFonts w:ascii="宋体" w:hAnsi="宋体" w:cs="宋体"/>
                <w:color w:val="auto"/>
                <w:sz w:val="21"/>
                <w:szCs w:val="21"/>
                <w:highlight w:val="none"/>
              </w:rPr>
            </w:pPr>
            <w:r>
              <w:rPr>
                <w:rFonts w:hint="eastAsia" w:ascii="宋体" w:hAnsi="宋体" w:cs="宋体"/>
                <w:color w:val="auto"/>
                <w:sz w:val="21"/>
                <w:szCs w:val="21"/>
                <w:highlight w:val="none"/>
              </w:rPr>
              <w:t>在政府采购活动中，投标人提供的货物、工程或者服务符合下列情形的，享受中小企业扶持政策：</w:t>
            </w:r>
          </w:p>
          <w:p w14:paraId="5A1D7386">
            <w:pPr>
              <w:pStyle w:val="84"/>
              <w:widowControl w:val="0"/>
              <w:spacing w:line="360" w:lineRule="auto"/>
              <w:ind w:firstLine="25" w:firstLineChars="12"/>
              <w:jc w:val="both"/>
              <w:rPr>
                <w:rFonts w:ascii="宋体" w:hAnsi="宋体" w:cs="宋体"/>
                <w:color w:val="auto"/>
                <w:sz w:val="21"/>
                <w:szCs w:val="21"/>
                <w:highlight w:val="none"/>
              </w:rPr>
            </w:pPr>
            <w:r>
              <w:rPr>
                <w:rFonts w:hint="eastAsia" w:ascii="宋体" w:hAnsi="宋体" w:cs="宋体"/>
                <w:color w:val="auto"/>
                <w:sz w:val="21"/>
                <w:szCs w:val="21"/>
                <w:highlight w:val="none"/>
              </w:rPr>
              <w:t>（1）在货物采购项目中，货物由中小企业制造，即货物由中小企业生产且使用该中小企业商号或者注册商标；</w:t>
            </w:r>
          </w:p>
          <w:p w14:paraId="13450799">
            <w:pPr>
              <w:pStyle w:val="84"/>
              <w:widowControl w:val="0"/>
              <w:spacing w:line="360" w:lineRule="auto"/>
              <w:ind w:firstLine="25" w:firstLineChars="12"/>
              <w:jc w:val="both"/>
              <w:rPr>
                <w:rFonts w:ascii="宋体" w:hAnsi="宋体" w:cs="宋体"/>
                <w:color w:val="auto"/>
                <w:sz w:val="21"/>
                <w:szCs w:val="21"/>
                <w:highlight w:val="none"/>
              </w:rPr>
            </w:pPr>
            <w:r>
              <w:rPr>
                <w:rFonts w:hint="eastAsia" w:ascii="宋体" w:hAnsi="宋体" w:cs="宋体"/>
                <w:color w:val="auto"/>
                <w:sz w:val="21"/>
                <w:szCs w:val="21"/>
                <w:highlight w:val="none"/>
              </w:rPr>
              <w:t>（2）在工程采购项目中，工程由中小企业承建，即工程施工单位为中小企业；</w:t>
            </w:r>
          </w:p>
          <w:p w14:paraId="2236BB3B">
            <w:pPr>
              <w:pStyle w:val="84"/>
              <w:widowControl w:val="0"/>
              <w:spacing w:line="360" w:lineRule="auto"/>
              <w:ind w:firstLine="25" w:firstLineChars="12"/>
              <w:jc w:val="both"/>
              <w:rPr>
                <w:rFonts w:ascii="宋体" w:hAnsi="宋体" w:cs="宋体"/>
                <w:color w:val="auto"/>
                <w:sz w:val="21"/>
                <w:szCs w:val="21"/>
                <w:highlight w:val="none"/>
              </w:rPr>
            </w:pPr>
            <w:r>
              <w:rPr>
                <w:rFonts w:hint="eastAsia" w:ascii="宋体" w:hAnsi="宋体" w:cs="宋体"/>
                <w:color w:val="auto"/>
                <w:sz w:val="21"/>
                <w:szCs w:val="21"/>
                <w:highlight w:val="none"/>
              </w:rPr>
              <w:t>（3）在服务采购项目中，服务由中小企业承接，即提供服务的人员为中小企业依照《中华人民共和国劳动合同法》订立劳动合同的从业人员。</w:t>
            </w:r>
          </w:p>
          <w:p w14:paraId="34DB1F95">
            <w:pPr>
              <w:pStyle w:val="84"/>
              <w:widowControl w:val="0"/>
              <w:spacing w:line="360" w:lineRule="auto"/>
              <w:ind w:firstLine="25" w:firstLineChars="12"/>
              <w:jc w:val="both"/>
              <w:rPr>
                <w:rFonts w:ascii="宋体" w:hAnsi="宋体" w:cs="宋体"/>
                <w:color w:val="auto"/>
                <w:sz w:val="21"/>
                <w:szCs w:val="21"/>
                <w:highlight w:val="none"/>
              </w:rPr>
            </w:pPr>
            <w:r>
              <w:rPr>
                <w:rFonts w:hint="eastAsia" w:ascii="宋体" w:hAnsi="宋体" w:cs="宋体"/>
                <w:color w:val="auto"/>
                <w:sz w:val="21"/>
                <w:szCs w:val="21"/>
                <w:highlight w:val="none"/>
              </w:rPr>
              <w:t>在货物采购项目中，投标人提供的货物既有中小企业制造货物，也有大型企业制造货物的，不享受中小企业扶持政策。</w:t>
            </w:r>
          </w:p>
          <w:p w14:paraId="311E5D97">
            <w:pPr>
              <w:pStyle w:val="84"/>
              <w:widowControl w:val="0"/>
              <w:spacing w:line="360" w:lineRule="auto"/>
              <w:ind w:firstLine="25" w:firstLineChars="12"/>
              <w:jc w:val="both"/>
              <w:rPr>
                <w:rFonts w:ascii="宋体" w:hAnsi="宋体" w:cs="宋体"/>
                <w:color w:val="auto"/>
                <w:sz w:val="21"/>
                <w:szCs w:val="21"/>
                <w:highlight w:val="none"/>
              </w:rPr>
            </w:pPr>
            <w:r>
              <w:rPr>
                <w:rFonts w:hint="eastAsia" w:ascii="宋体" w:hAnsi="宋体" w:cs="宋体"/>
                <w:color w:val="auto"/>
                <w:sz w:val="21"/>
                <w:szCs w:val="21"/>
                <w:highlight w:val="none"/>
              </w:rPr>
              <w:t>以联合体形式参加政府采购活动，联合体各方均为中小企业的，联合体视同中小企业。其中，联合体各方均为小微企业的，联合体视同小微企业。</w:t>
            </w:r>
          </w:p>
          <w:p w14:paraId="741BEBF2">
            <w:pPr>
              <w:pStyle w:val="84"/>
              <w:widowControl w:val="0"/>
              <w:spacing w:line="360" w:lineRule="auto"/>
              <w:ind w:firstLine="25" w:firstLineChars="12"/>
              <w:jc w:val="both"/>
              <w:rPr>
                <w:rFonts w:ascii="宋体" w:hAnsi="宋体" w:cs="宋体"/>
                <w:color w:val="auto"/>
                <w:sz w:val="21"/>
                <w:szCs w:val="21"/>
                <w:highlight w:val="none"/>
              </w:rPr>
            </w:pPr>
            <w:r>
              <w:rPr>
                <w:rFonts w:hint="eastAsia" w:ascii="宋体" w:hAnsi="宋体" w:cs="宋体"/>
                <w:color w:val="auto"/>
                <w:sz w:val="21"/>
                <w:szCs w:val="21"/>
                <w:highlight w:val="none"/>
              </w:rPr>
              <w:t>组成联合体或者接受分包合同的中小企业与联合体内其他企业、分包企业之间不得存在直接控股、管理关系。</w:t>
            </w:r>
          </w:p>
          <w:p w14:paraId="22C602D9">
            <w:pPr>
              <w:pStyle w:val="84"/>
              <w:widowControl w:val="0"/>
              <w:spacing w:line="360" w:lineRule="auto"/>
              <w:ind w:firstLine="25" w:firstLineChars="12"/>
              <w:jc w:val="both"/>
              <w:rPr>
                <w:rFonts w:ascii="宋体" w:hAnsi="宋体" w:cs="宋体"/>
                <w:color w:val="auto"/>
                <w:sz w:val="21"/>
                <w:szCs w:val="21"/>
                <w:highlight w:val="none"/>
              </w:rPr>
            </w:pPr>
            <w:r>
              <w:rPr>
                <w:rFonts w:hint="eastAsia" w:ascii="宋体" w:hAnsi="宋体" w:cs="宋体"/>
                <w:color w:val="auto"/>
                <w:sz w:val="21"/>
                <w:szCs w:val="21"/>
                <w:highlight w:val="none"/>
              </w:rPr>
              <w:t>2、中小企业参加政府采购活动，应当出具文件中规定的《中小企业声明函》，否则不得享受相关中小企业扶持政策。</w:t>
            </w:r>
          </w:p>
          <w:p w14:paraId="47856AD8">
            <w:pPr>
              <w:pStyle w:val="84"/>
              <w:widowControl w:val="0"/>
              <w:spacing w:line="360" w:lineRule="auto"/>
              <w:ind w:firstLine="25" w:firstLineChars="12"/>
              <w:jc w:val="both"/>
              <w:rPr>
                <w:rFonts w:ascii="宋体" w:hAnsi="宋体" w:cs="宋体"/>
                <w:color w:val="auto"/>
                <w:sz w:val="21"/>
                <w:szCs w:val="21"/>
                <w:highlight w:val="none"/>
              </w:rPr>
            </w:pPr>
            <w:r>
              <w:rPr>
                <w:rFonts w:hint="eastAsia" w:ascii="宋体" w:hAnsi="宋体" w:cs="宋体"/>
                <w:color w:val="auto"/>
                <w:sz w:val="21"/>
                <w:szCs w:val="21"/>
                <w:highlight w:val="none"/>
              </w:rPr>
              <w:t>3、依据规定享受扶持政策获得政府采购合同的，小微企业不得将合同分包给大中型企业，中型企业不得将合同分包给大型企业。</w:t>
            </w:r>
          </w:p>
          <w:p w14:paraId="001FAEEB">
            <w:pPr>
              <w:pStyle w:val="84"/>
              <w:widowControl w:val="0"/>
              <w:spacing w:line="360" w:lineRule="auto"/>
              <w:ind w:firstLine="25" w:firstLineChars="12"/>
              <w:jc w:val="both"/>
              <w:rPr>
                <w:rFonts w:ascii="宋体" w:hAnsi="宋体" w:cs="宋体"/>
                <w:color w:val="auto"/>
                <w:sz w:val="21"/>
                <w:szCs w:val="21"/>
                <w:highlight w:val="none"/>
              </w:rPr>
            </w:pPr>
            <w:r>
              <w:rPr>
                <w:rFonts w:hint="eastAsia" w:ascii="宋体" w:hAnsi="宋体" w:cs="宋体"/>
                <w:color w:val="auto"/>
                <w:sz w:val="21"/>
                <w:szCs w:val="21"/>
                <w:highlight w:val="none"/>
              </w:rPr>
              <w:t>对符合条件的小型和微型</w:t>
            </w:r>
            <w:r>
              <w:rPr>
                <w:rFonts w:hint="eastAsia" w:ascii="宋体" w:hAnsi="宋体" w:cs="宋体"/>
                <w:color w:val="auto"/>
                <w:sz w:val="21"/>
                <w:szCs w:val="21"/>
                <w:highlight w:val="none"/>
                <w:lang w:eastAsia="zh-CN"/>
              </w:rPr>
              <w:t>投标人</w:t>
            </w:r>
            <w:r>
              <w:rPr>
                <w:rFonts w:hint="eastAsia" w:ascii="宋体" w:hAnsi="宋体" w:cs="宋体"/>
                <w:color w:val="auto"/>
                <w:sz w:val="21"/>
                <w:szCs w:val="21"/>
                <w:highlight w:val="none"/>
              </w:rPr>
              <w:t>，对其报价给予10%的扣除，用扣除后的价格进行排序。请</w:t>
            </w:r>
            <w:r>
              <w:rPr>
                <w:rFonts w:hint="eastAsia" w:ascii="宋体" w:hAnsi="宋体" w:cs="宋体"/>
                <w:color w:val="auto"/>
                <w:sz w:val="21"/>
                <w:szCs w:val="21"/>
                <w:highlight w:val="none"/>
                <w:lang w:eastAsia="zh-CN"/>
              </w:rPr>
              <w:t>投标人</w:t>
            </w:r>
            <w:r>
              <w:rPr>
                <w:rFonts w:hint="eastAsia" w:ascii="宋体" w:hAnsi="宋体" w:cs="宋体"/>
                <w:color w:val="auto"/>
                <w:sz w:val="21"/>
                <w:szCs w:val="21"/>
                <w:highlight w:val="none"/>
              </w:rPr>
              <w:t>根据自身情况提供声明函，无声明函的在报价时不予扣除。</w:t>
            </w:r>
          </w:p>
          <w:p w14:paraId="4611896B">
            <w:pPr>
              <w:pStyle w:val="84"/>
              <w:widowControl w:val="0"/>
              <w:spacing w:line="360" w:lineRule="auto"/>
              <w:ind w:firstLine="25" w:firstLineChars="12"/>
              <w:jc w:val="both"/>
              <w:rPr>
                <w:rFonts w:ascii="宋体" w:hAnsi="宋体" w:cs="宋体"/>
                <w:b/>
                <w:bCs/>
                <w:color w:val="auto"/>
                <w:sz w:val="21"/>
                <w:szCs w:val="21"/>
                <w:highlight w:val="none"/>
              </w:rPr>
            </w:pPr>
            <w:r>
              <w:rPr>
                <w:rFonts w:hint="eastAsia" w:ascii="宋体" w:hAnsi="宋体" w:cs="宋体"/>
                <w:b/>
                <w:bCs/>
                <w:color w:val="auto"/>
                <w:sz w:val="21"/>
                <w:szCs w:val="21"/>
                <w:highlight w:val="none"/>
              </w:rPr>
              <w:t>二、关于监狱企业、残疾人福利性单位：</w:t>
            </w:r>
          </w:p>
          <w:p w14:paraId="602077F1">
            <w:pPr>
              <w:pStyle w:val="84"/>
              <w:widowControl w:val="0"/>
              <w:spacing w:line="360" w:lineRule="auto"/>
              <w:ind w:firstLine="25" w:firstLineChars="12"/>
              <w:jc w:val="both"/>
              <w:rPr>
                <w:rFonts w:ascii="宋体" w:hAnsi="宋体" w:cs="宋体"/>
                <w:color w:val="auto"/>
                <w:sz w:val="21"/>
                <w:szCs w:val="21"/>
                <w:highlight w:val="none"/>
              </w:rPr>
            </w:pPr>
            <w:r>
              <w:rPr>
                <w:rFonts w:hint="eastAsia" w:ascii="宋体" w:hAnsi="宋体" w:cs="宋体"/>
                <w:color w:val="auto"/>
                <w:sz w:val="21"/>
                <w:szCs w:val="21"/>
                <w:highlight w:val="none"/>
              </w:rPr>
              <w:t>1、监狱企业：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64660B19">
            <w:pPr>
              <w:pStyle w:val="84"/>
              <w:widowControl w:val="0"/>
              <w:spacing w:line="360" w:lineRule="auto"/>
              <w:ind w:firstLine="25" w:firstLineChars="12"/>
              <w:jc w:val="both"/>
              <w:rPr>
                <w:rFonts w:ascii="宋体" w:hAnsi="宋体" w:cs="宋体"/>
                <w:color w:val="auto"/>
                <w:sz w:val="21"/>
                <w:szCs w:val="21"/>
                <w:highlight w:val="none"/>
              </w:rPr>
            </w:pPr>
            <w:r>
              <w:rPr>
                <w:rFonts w:hint="eastAsia" w:ascii="宋体" w:hAnsi="宋体" w:cs="宋体"/>
                <w:color w:val="auto"/>
                <w:sz w:val="21"/>
                <w:szCs w:val="21"/>
                <w:highlight w:val="none"/>
              </w:rPr>
              <w:t>2、残疾人福利性单位：根据财政部《关于促进残疾人就业政府采购政策》的通知财库〔2017〕141号的规定，符合条件的残疾人福利性单位在参加政府采购活动时，应当提供《残疾人福利性单位声明函》，并对声明的真实性负责。任何单位或者个人在政府采购活动中均不得要求残疾人福利性单位提供其他证明声明函内容的材料。中标、成交</w:t>
            </w:r>
            <w:r>
              <w:rPr>
                <w:rFonts w:hint="eastAsia" w:ascii="宋体" w:hAnsi="宋体" w:cs="宋体"/>
                <w:color w:val="auto"/>
                <w:sz w:val="21"/>
                <w:szCs w:val="21"/>
                <w:highlight w:val="none"/>
                <w:lang w:eastAsia="zh-CN"/>
              </w:rPr>
              <w:t>投标人</w:t>
            </w:r>
            <w:r>
              <w:rPr>
                <w:rFonts w:hint="eastAsia" w:ascii="宋体" w:hAnsi="宋体" w:cs="宋体"/>
                <w:color w:val="auto"/>
                <w:sz w:val="21"/>
                <w:szCs w:val="21"/>
                <w:highlight w:val="none"/>
              </w:rPr>
              <w:t>为残疾人福利性单位的，采购人或者其委托的采购代理机构应当随中标、成交结果同时公告其《残疾人福利性单位声明函》，接受社会监督。</w:t>
            </w:r>
            <w:r>
              <w:rPr>
                <w:rFonts w:hint="eastAsia" w:ascii="宋体" w:hAnsi="宋体" w:cs="宋体"/>
                <w:color w:val="auto"/>
                <w:sz w:val="21"/>
                <w:szCs w:val="21"/>
                <w:highlight w:val="none"/>
                <w:lang w:eastAsia="zh-CN"/>
              </w:rPr>
              <w:t>投标人</w:t>
            </w:r>
            <w:r>
              <w:rPr>
                <w:rFonts w:hint="eastAsia" w:ascii="宋体" w:hAnsi="宋体" w:cs="宋体"/>
                <w:color w:val="auto"/>
                <w:sz w:val="21"/>
                <w:szCs w:val="21"/>
                <w:highlight w:val="none"/>
              </w:rPr>
              <w:t>提供的《残疾人福利性单位声明函》与事实不符的，依照《政府采购法》第七十七条第一款的规定追究法律责任。</w:t>
            </w:r>
          </w:p>
          <w:p w14:paraId="0021C921">
            <w:pPr>
              <w:pStyle w:val="84"/>
              <w:widowControl w:val="0"/>
              <w:spacing w:line="360" w:lineRule="auto"/>
              <w:ind w:firstLine="25" w:firstLineChars="12"/>
              <w:jc w:val="both"/>
              <w:rPr>
                <w:rFonts w:hint="eastAsia" w:cs="宋体"/>
                <w:color w:val="auto"/>
              </w:rPr>
            </w:pPr>
            <w:r>
              <w:rPr>
                <w:rFonts w:hint="eastAsia" w:ascii="宋体" w:hAnsi="宋体" w:cs="宋体"/>
                <w:color w:val="auto"/>
                <w:sz w:val="21"/>
                <w:szCs w:val="21"/>
                <w:highlight w:val="none"/>
              </w:rPr>
              <w:t>注：对符合条件的监狱企业、残疾人福利性单位</w:t>
            </w:r>
            <w:r>
              <w:rPr>
                <w:rFonts w:hint="eastAsia" w:ascii="宋体" w:hAnsi="宋体" w:cs="宋体"/>
                <w:color w:val="auto"/>
                <w:sz w:val="21"/>
                <w:szCs w:val="21"/>
                <w:highlight w:val="none"/>
                <w:lang w:eastAsia="zh-CN"/>
              </w:rPr>
              <w:t>投标人</w:t>
            </w:r>
            <w:r>
              <w:rPr>
                <w:rFonts w:hint="eastAsia" w:ascii="宋体" w:hAnsi="宋体" w:cs="宋体"/>
                <w:color w:val="auto"/>
                <w:sz w:val="21"/>
                <w:szCs w:val="21"/>
                <w:highlight w:val="none"/>
              </w:rPr>
              <w:t>，对其报价给予10%的扣除，用扣除后的价格进行排序（不重复享受政策）。</w:t>
            </w:r>
          </w:p>
        </w:tc>
      </w:tr>
      <w:tr w14:paraId="314C2A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994" w:type="dxa"/>
            <w:vAlign w:val="center"/>
          </w:tcPr>
          <w:p w14:paraId="25CA61CC">
            <w:pPr>
              <w:ind w:firstLine="0" w:firstLineChars="0"/>
              <w:jc w:val="center"/>
              <w:rPr>
                <w:rFonts w:hint="eastAsia" w:cs="宋体"/>
                <w:color w:val="auto"/>
              </w:rPr>
            </w:pPr>
            <w:r>
              <w:rPr>
                <w:rFonts w:hint="eastAsia" w:cs="宋体"/>
                <w:color w:val="auto"/>
              </w:rPr>
              <w:t>36.1</w:t>
            </w:r>
          </w:p>
        </w:tc>
        <w:tc>
          <w:tcPr>
            <w:tcW w:w="8281" w:type="dxa"/>
            <w:gridSpan w:val="2"/>
            <w:vAlign w:val="center"/>
          </w:tcPr>
          <w:p w14:paraId="257FC242">
            <w:pPr>
              <w:ind w:firstLine="0" w:firstLineChars="0"/>
              <w:rPr>
                <w:rFonts w:hint="eastAsia" w:cs="宋体"/>
                <w:b/>
                <w:bCs/>
                <w:color w:val="auto"/>
                <w:kern w:val="0"/>
              </w:rPr>
            </w:pPr>
            <w:r>
              <w:rPr>
                <w:rFonts w:hint="eastAsia" w:cs="宋体"/>
                <w:color w:val="auto"/>
              </w:rPr>
              <w:t>知识产权：构成本采购文件各个组成部分的文件，未经采购人书面同意，投标人不得擅自复印和用于非本采购项目所需的其他目的。采购人全部或者部分使用未成交人响应文件中的技术成果或技术方案时，需征得其书面同意，并不得擅自复印或提供给第三人。</w:t>
            </w:r>
          </w:p>
        </w:tc>
      </w:tr>
      <w:tr w14:paraId="0C0188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994" w:type="dxa"/>
            <w:vAlign w:val="center"/>
          </w:tcPr>
          <w:p w14:paraId="7EF174E3">
            <w:pPr>
              <w:ind w:firstLine="0" w:firstLineChars="0"/>
              <w:jc w:val="center"/>
              <w:rPr>
                <w:rFonts w:hint="eastAsia" w:cs="宋体"/>
                <w:color w:val="auto"/>
              </w:rPr>
            </w:pPr>
            <w:r>
              <w:rPr>
                <w:rFonts w:hint="eastAsia" w:cs="宋体"/>
                <w:color w:val="auto"/>
              </w:rPr>
              <w:t>36.2</w:t>
            </w:r>
          </w:p>
        </w:tc>
        <w:tc>
          <w:tcPr>
            <w:tcW w:w="8281" w:type="dxa"/>
            <w:gridSpan w:val="2"/>
            <w:vAlign w:val="center"/>
          </w:tcPr>
          <w:p w14:paraId="06E9F8AC">
            <w:pPr>
              <w:ind w:firstLine="0" w:firstLineChars="0"/>
              <w:rPr>
                <w:rFonts w:cs="宋体"/>
                <w:color w:val="auto"/>
              </w:rPr>
            </w:pPr>
            <w:r>
              <w:rPr>
                <w:rFonts w:hint="eastAsia" w:cs="宋体"/>
                <w:color w:val="auto"/>
              </w:rPr>
              <w:t>解释权：1.构成本招标文件的各个组成文件应互为解释，互为说明；如有不明确或不一致，构成合同文件组成内容的，以合同文件约定内容为准，且以合同条款约定的合同文件优先顺序解释；除招标文件中有特别规定外，仅适用于采购阶段的规定，按招标公告、投标人须知、合同书样式及主要条款、投标文件格式、采购需求、资格审查、评审办法的先后顺序解释；同一组成文件中就同一事项的规定或约定不一致的，以编排顺序在后者为准；同一组成文件不同版本之间有不一致的，以形成时间在后者为准。按本款前述规定仍不能形成结论的，由采购人或采购代理机构负责解释。</w:t>
            </w:r>
          </w:p>
          <w:p w14:paraId="4DE629BE">
            <w:pPr>
              <w:ind w:firstLine="0" w:firstLineChars="0"/>
              <w:rPr>
                <w:rFonts w:cs="宋体"/>
                <w:color w:val="auto"/>
              </w:rPr>
            </w:pPr>
            <w:r>
              <w:rPr>
                <w:rFonts w:hint="eastAsia" w:cs="宋体"/>
                <w:color w:val="auto"/>
              </w:rPr>
              <w:t>2.招标文件中引用某一供应商的技术规格或要求，只是为了准确或清楚地说明拟采购范围的技术规格，未含有倾向或者排斥潜在投标人的意思，投标人所投内容的技术标准可优于或相当于此采购范围的技术要求。</w:t>
            </w:r>
          </w:p>
          <w:p w14:paraId="6976A6DD">
            <w:pPr>
              <w:ind w:firstLine="0" w:firstLineChars="0"/>
              <w:rPr>
                <w:rFonts w:hint="eastAsia" w:cs="宋体"/>
                <w:bCs/>
                <w:color w:val="auto"/>
              </w:rPr>
            </w:pPr>
            <w:r>
              <w:rPr>
                <w:rFonts w:hint="eastAsia" w:cs="宋体"/>
                <w:bCs/>
                <w:color w:val="auto"/>
              </w:rPr>
              <w:t>3.投标人须知正文内容如与本前附表不一致的，以本前附表为准。</w:t>
            </w:r>
          </w:p>
        </w:tc>
      </w:tr>
      <w:tr w14:paraId="7066B7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994" w:type="dxa"/>
            <w:vAlign w:val="center"/>
          </w:tcPr>
          <w:p w14:paraId="77324F40">
            <w:pPr>
              <w:ind w:firstLine="0" w:firstLineChars="0"/>
              <w:jc w:val="center"/>
              <w:rPr>
                <w:rFonts w:hint="eastAsia" w:cs="宋体"/>
                <w:color w:val="auto"/>
              </w:rPr>
            </w:pPr>
            <w:r>
              <w:rPr>
                <w:rFonts w:hint="eastAsia" w:ascii="宋体" w:hAnsi="宋体" w:eastAsia="宋体" w:cs="宋体"/>
                <w:color w:val="auto"/>
                <w:lang w:val="en-US" w:eastAsia="zh-CN"/>
              </w:rPr>
              <w:t>36.3</w:t>
            </w:r>
          </w:p>
        </w:tc>
        <w:tc>
          <w:tcPr>
            <w:tcW w:w="8281" w:type="dxa"/>
            <w:gridSpan w:val="2"/>
            <w:vAlign w:val="center"/>
          </w:tcPr>
          <w:p w14:paraId="4A0D1082">
            <w:pPr>
              <w:ind w:firstLine="0" w:firstLineChars="0"/>
              <w:rPr>
                <w:rFonts w:hint="eastAsia" w:cs="宋体"/>
                <w:bCs/>
                <w:color w:val="auto"/>
              </w:rPr>
            </w:pPr>
            <w:r>
              <w:rPr>
                <w:rFonts w:hint="eastAsia" w:ascii="宋体" w:hAnsi="宋体" w:eastAsia="宋体" w:cs="宋体"/>
                <w:color w:val="auto"/>
              </w:rPr>
              <w:t>投标文件的解密：</w:t>
            </w:r>
            <w:r>
              <w:rPr>
                <w:rFonts w:hint="eastAsia" w:ascii="宋体" w:hAnsi="宋体" w:eastAsia="宋体" w:cs="宋体"/>
                <w:color w:val="auto"/>
                <w:lang w:eastAsia="zh-CN"/>
              </w:rPr>
              <w:t>采购代理机构</w:t>
            </w:r>
            <w:r>
              <w:rPr>
                <w:rFonts w:hint="eastAsia" w:ascii="宋体" w:hAnsi="宋体" w:eastAsia="宋体" w:cs="宋体"/>
                <w:color w:val="auto"/>
              </w:rPr>
              <w:t>将依托电子交易平台发起开始解密指令，</w:t>
            </w:r>
            <w:r>
              <w:rPr>
                <w:rFonts w:hint="eastAsia" w:ascii="宋体" w:hAnsi="宋体" w:eastAsia="宋体" w:cs="宋体"/>
                <w:color w:val="auto"/>
                <w:lang w:val="en-US" w:eastAsia="zh-CN"/>
              </w:rPr>
              <w:t>供应商</w:t>
            </w:r>
            <w:r>
              <w:rPr>
                <w:rFonts w:hint="eastAsia" w:ascii="宋体" w:hAnsi="宋体" w:eastAsia="宋体" w:cs="宋体"/>
                <w:color w:val="auto"/>
              </w:rPr>
              <w:t>的法定代表人或其委托代理人须携带加密时所用的CA锁按平台提示和</w:t>
            </w:r>
            <w:r>
              <w:rPr>
                <w:rFonts w:hint="eastAsia" w:ascii="宋体" w:hAnsi="宋体" w:eastAsia="宋体" w:cs="宋体"/>
                <w:color w:val="auto"/>
                <w:lang w:val="en-US" w:eastAsia="zh-CN"/>
              </w:rPr>
              <w:t>招标</w:t>
            </w:r>
            <w:r>
              <w:rPr>
                <w:rFonts w:hint="eastAsia" w:ascii="宋体" w:hAnsi="宋体" w:eastAsia="宋体" w:cs="宋体"/>
                <w:color w:val="auto"/>
              </w:rPr>
              <w:t>文件的规定登录到“政采云”平台电子开标大厅签到并在发起解密指令之时起</w:t>
            </w:r>
            <w:r>
              <w:rPr>
                <w:rFonts w:hint="eastAsia" w:ascii="宋体" w:hAnsi="宋体" w:eastAsia="宋体" w:cs="宋体"/>
                <w:color w:val="auto"/>
                <w:lang w:val="en-US" w:eastAsia="zh-CN"/>
              </w:rPr>
              <w:t>30</w:t>
            </w:r>
            <w:r>
              <w:rPr>
                <w:rFonts w:hint="eastAsia" w:ascii="宋体" w:hAnsi="宋体" w:eastAsia="宋体" w:cs="宋体"/>
                <w:color w:val="auto"/>
              </w:rPr>
              <w:t>分钟内完成对电子投标文件在线解密。投标文件未按时解密的，视为投标文件无效。</w:t>
            </w:r>
          </w:p>
        </w:tc>
      </w:tr>
      <w:tr w14:paraId="1A44C2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994" w:type="dxa"/>
            <w:vAlign w:val="center"/>
          </w:tcPr>
          <w:p w14:paraId="410F9339">
            <w:pPr>
              <w:ind w:firstLine="0" w:firstLineChars="0"/>
              <w:jc w:val="center"/>
              <w:rPr>
                <w:rFonts w:hint="eastAsia" w:cs="宋体"/>
                <w:color w:val="auto"/>
              </w:rPr>
            </w:pPr>
            <w:r>
              <w:rPr>
                <w:rFonts w:hint="eastAsia" w:ascii="宋体" w:hAnsi="宋体" w:eastAsia="宋体" w:cs="宋体"/>
                <w:color w:val="auto"/>
                <w:lang w:val="en-US" w:eastAsia="zh-CN"/>
              </w:rPr>
              <w:t>36.4</w:t>
            </w:r>
          </w:p>
        </w:tc>
        <w:tc>
          <w:tcPr>
            <w:tcW w:w="8281" w:type="dxa"/>
            <w:gridSpan w:val="2"/>
            <w:vAlign w:val="center"/>
          </w:tcPr>
          <w:p w14:paraId="1E0840FE">
            <w:pPr>
              <w:ind w:firstLine="0" w:firstLineChars="0"/>
              <w:rPr>
                <w:rFonts w:hint="eastAsia" w:cs="宋体"/>
                <w:bCs/>
                <w:color w:val="auto"/>
              </w:rPr>
            </w:pPr>
            <w:r>
              <w:rPr>
                <w:rFonts w:hint="eastAsia" w:ascii="宋体" w:hAnsi="宋体" w:eastAsia="宋体" w:cs="宋体"/>
                <w:color w:val="auto"/>
              </w:rPr>
              <w:t>本项目</w:t>
            </w:r>
            <w:r>
              <w:rPr>
                <w:rFonts w:hint="eastAsia" w:ascii="宋体" w:hAnsi="宋体" w:eastAsia="宋体" w:cs="宋体"/>
                <w:color w:val="auto"/>
                <w:lang w:val="en-US" w:eastAsia="zh-CN"/>
              </w:rPr>
              <w:t>供应商</w:t>
            </w:r>
            <w:r>
              <w:rPr>
                <w:rFonts w:hint="eastAsia" w:ascii="宋体" w:hAnsi="宋体" w:eastAsia="宋体" w:cs="宋体"/>
                <w:color w:val="auto"/>
              </w:rPr>
              <w:t>不需提供纸质版响应文件，</w:t>
            </w:r>
            <w:r>
              <w:rPr>
                <w:rFonts w:hint="eastAsia" w:ascii="宋体" w:hAnsi="宋体" w:eastAsia="宋体" w:cs="宋体"/>
                <w:color w:val="auto"/>
                <w:lang w:val="en-US" w:eastAsia="zh-CN"/>
              </w:rPr>
              <w:t>中标</w:t>
            </w:r>
            <w:r>
              <w:rPr>
                <w:rFonts w:hint="eastAsia" w:ascii="宋体" w:hAnsi="宋体" w:eastAsia="宋体" w:cs="宋体"/>
                <w:color w:val="auto"/>
              </w:rPr>
              <w:t>人须在签订合同前向</w:t>
            </w:r>
            <w:r>
              <w:rPr>
                <w:rFonts w:hint="eastAsia" w:ascii="宋体" w:hAnsi="宋体" w:eastAsia="宋体" w:cs="宋体"/>
                <w:color w:val="auto"/>
                <w:lang w:val="en-US" w:eastAsia="zh-CN"/>
              </w:rPr>
              <w:t>采购人</w:t>
            </w:r>
            <w:r>
              <w:rPr>
                <w:rFonts w:hint="eastAsia" w:ascii="宋体" w:hAnsi="宋体" w:eastAsia="宋体" w:cs="宋体"/>
                <w:color w:val="auto"/>
              </w:rPr>
              <w:t>补充一式二份纸质响应文件，且纸质响应文件须与电子响应文件一致。</w:t>
            </w:r>
          </w:p>
        </w:tc>
      </w:tr>
      <w:tr w14:paraId="6AF667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994" w:type="dxa"/>
            <w:vAlign w:val="center"/>
          </w:tcPr>
          <w:p w14:paraId="5214D4F8">
            <w:pPr>
              <w:ind w:firstLine="0" w:firstLineChars="0"/>
              <w:jc w:val="center"/>
              <w:rPr>
                <w:rFonts w:hint="eastAsia" w:cs="宋体"/>
                <w:color w:val="auto"/>
              </w:rPr>
            </w:pPr>
            <w:r>
              <w:rPr>
                <w:rFonts w:hint="eastAsia" w:cs="宋体"/>
                <w:color w:val="auto"/>
              </w:rPr>
              <w:t>37</w:t>
            </w:r>
          </w:p>
        </w:tc>
        <w:tc>
          <w:tcPr>
            <w:tcW w:w="8281" w:type="dxa"/>
            <w:gridSpan w:val="2"/>
            <w:vAlign w:val="center"/>
          </w:tcPr>
          <w:p w14:paraId="043B1DE4">
            <w:pPr>
              <w:ind w:firstLine="0" w:firstLineChars="0"/>
              <w:rPr>
                <w:rFonts w:hint="eastAsia" w:cs="宋体"/>
                <w:bCs/>
                <w:color w:val="auto"/>
              </w:rPr>
            </w:pPr>
            <w:r>
              <w:rPr>
                <w:rFonts w:hint="eastAsia" w:cs="宋体"/>
                <w:b/>
                <w:bCs/>
                <w:color w:val="auto"/>
              </w:rPr>
              <w:t>本项目不收取</w:t>
            </w:r>
            <w:r>
              <w:rPr>
                <w:rFonts w:hint="eastAsia" w:cs="宋体"/>
                <w:b/>
                <w:bCs/>
                <w:color w:val="auto"/>
                <w:lang w:val="en-US" w:eastAsia="zh-CN"/>
              </w:rPr>
              <w:t>履约保证金</w:t>
            </w:r>
            <w:r>
              <w:rPr>
                <w:rFonts w:hint="eastAsia" w:cs="宋体"/>
                <w:b/>
                <w:bCs/>
                <w:color w:val="auto"/>
              </w:rPr>
              <w:t>，招标文件中关于</w:t>
            </w:r>
            <w:r>
              <w:rPr>
                <w:rFonts w:hint="eastAsia" w:cs="宋体"/>
                <w:b/>
                <w:bCs/>
                <w:color w:val="auto"/>
                <w:lang w:val="en-US" w:eastAsia="zh-CN"/>
              </w:rPr>
              <w:t>履约保证金</w:t>
            </w:r>
            <w:r>
              <w:rPr>
                <w:rFonts w:hint="eastAsia" w:cs="宋体"/>
                <w:b/>
                <w:bCs/>
                <w:color w:val="auto"/>
              </w:rPr>
              <w:t>的条款为法律法规固定条款，本项目均不涉及。</w:t>
            </w:r>
          </w:p>
        </w:tc>
      </w:tr>
    </w:tbl>
    <w:p w14:paraId="12D3BA85">
      <w:pPr>
        <w:rPr>
          <w:rFonts w:hint="eastAsia" w:cs="宋体"/>
          <w:color w:val="auto"/>
        </w:rPr>
      </w:pPr>
    </w:p>
    <w:p w14:paraId="0DDBE6D5">
      <w:pPr>
        <w:rPr>
          <w:rFonts w:hint="eastAsia" w:cs="宋体"/>
          <w:color w:val="auto"/>
        </w:rPr>
      </w:pPr>
      <w:r>
        <w:rPr>
          <w:rFonts w:hint="eastAsia" w:cs="宋体"/>
          <w:color w:val="auto"/>
        </w:rPr>
        <w:br w:type="page"/>
      </w:r>
    </w:p>
    <w:p w14:paraId="7E95471C">
      <w:pPr>
        <w:pStyle w:val="44"/>
        <w:rPr>
          <w:rFonts w:hint="eastAsia" w:eastAsia="宋体" w:cs="宋体"/>
          <w:color w:val="auto"/>
        </w:rPr>
        <w:sectPr>
          <w:pgSz w:w="11900" w:h="16838"/>
          <w:pgMar w:top="1417" w:right="1417" w:bottom="1417" w:left="1417" w:header="850" w:footer="850" w:gutter="0"/>
          <w:cols w:space="0" w:num="1"/>
          <w:titlePg/>
          <w:docGrid w:linePitch="360" w:charSpace="0"/>
        </w:sectPr>
      </w:pPr>
      <w:bookmarkStart w:id="98" w:name="_Toc10516"/>
      <w:bookmarkStart w:id="99" w:name="_Toc35701771"/>
      <w:bookmarkStart w:id="100" w:name="_Toc32285"/>
      <w:bookmarkStart w:id="101" w:name="_Toc36116040"/>
      <w:bookmarkStart w:id="102" w:name="_Toc24069"/>
      <w:bookmarkStart w:id="103" w:name="_Toc35700914"/>
      <w:bookmarkStart w:id="104" w:name="_Toc35700985"/>
    </w:p>
    <w:p w14:paraId="6EDF38A2">
      <w:pPr>
        <w:pStyle w:val="44"/>
        <w:rPr>
          <w:rFonts w:hint="eastAsia" w:eastAsia="宋体" w:cs="宋体"/>
          <w:color w:val="auto"/>
        </w:rPr>
      </w:pPr>
      <w:bookmarkStart w:id="105" w:name="_Toc20964"/>
      <w:r>
        <w:rPr>
          <w:rFonts w:hint="eastAsia" w:eastAsia="宋体" w:cs="宋体"/>
          <w:color w:val="auto"/>
        </w:rPr>
        <w:t>一、总则</w:t>
      </w:r>
      <w:bookmarkEnd w:id="98"/>
      <w:bookmarkEnd w:id="99"/>
      <w:bookmarkEnd w:id="100"/>
      <w:bookmarkEnd w:id="101"/>
      <w:bookmarkEnd w:id="102"/>
      <w:bookmarkEnd w:id="103"/>
      <w:bookmarkEnd w:id="104"/>
      <w:bookmarkEnd w:id="105"/>
    </w:p>
    <w:p w14:paraId="048C8C40">
      <w:pPr>
        <w:pStyle w:val="5"/>
        <w:rPr>
          <w:rFonts w:hint="eastAsia" w:hAnsi="宋体" w:eastAsia="宋体" w:cs="宋体"/>
          <w:color w:val="auto"/>
        </w:rPr>
      </w:pPr>
      <w:bookmarkStart w:id="106" w:name="_Toc152045530"/>
      <w:bookmarkStart w:id="107" w:name="_Toc179632547"/>
      <w:bookmarkStart w:id="108" w:name="_Toc35700986"/>
      <w:bookmarkStart w:id="109" w:name="_Toc14917"/>
      <w:bookmarkStart w:id="110" w:name="_Toc144974498"/>
      <w:bookmarkStart w:id="111" w:name="_Toc30964"/>
      <w:bookmarkStart w:id="112" w:name="_Toc35701772"/>
      <w:bookmarkStart w:id="113" w:name="_Toc489197808"/>
      <w:bookmarkStart w:id="114" w:name="_Toc23684"/>
      <w:bookmarkStart w:id="115" w:name="_Toc489145704"/>
      <w:bookmarkStart w:id="116" w:name="_Toc35700915"/>
      <w:bookmarkStart w:id="117" w:name="_Toc296602421"/>
      <w:bookmarkStart w:id="118" w:name="_Toc18319"/>
      <w:bookmarkStart w:id="119" w:name="_Toc36116041"/>
      <w:bookmarkStart w:id="120" w:name="_Toc247085690"/>
      <w:bookmarkStart w:id="121" w:name="_Toc246996919"/>
      <w:bookmarkStart w:id="122" w:name="_Toc152042306"/>
      <w:bookmarkStart w:id="123" w:name="_Toc246996176"/>
      <w:r>
        <w:rPr>
          <w:rFonts w:hint="eastAsia" w:hAnsi="宋体" w:eastAsia="宋体" w:cs="宋体"/>
          <w:color w:val="auto"/>
        </w:rPr>
        <w:t>1.项目概况</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p>
    <w:p w14:paraId="1EED2E39">
      <w:pPr>
        <w:rPr>
          <w:rFonts w:hint="eastAsia" w:cs="宋体"/>
          <w:color w:val="auto"/>
        </w:rPr>
      </w:pPr>
      <w:r>
        <w:rPr>
          <w:rFonts w:hint="eastAsia" w:cs="宋体"/>
          <w:color w:val="auto"/>
        </w:rPr>
        <w:t>1.1根据《中华人民共和国政府采购法》、《中华人民共和国政府采购法实施条例》、《政府采购货物和服务招标投标管理办法》（财政部令第87号）等有关法律、法规的规定，本项目已具备招标条件，现对本项目进行公开招标。</w:t>
      </w:r>
    </w:p>
    <w:p w14:paraId="0C12F250">
      <w:pPr>
        <w:rPr>
          <w:rFonts w:hint="eastAsia" w:cs="宋体"/>
          <w:color w:val="auto"/>
        </w:rPr>
      </w:pPr>
      <w:r>
        <w:rPr>
          <w:rFonts w:hint="eastAsia" w:cs="宋体"/>
          <w:color w:val="auto"/>
        </w:rPr>
        <w:t>1.2 本项目采购人：详见《投标人须知前附表》。</w:t>
      </w:r>
    </w:p>
    <w:p w14:paraId="4DE6A3FB">
      <w:pPr>
        <w:rPr>
          <w:rFonts w:hint="eastAsia" w:cs="宋体"/>
          <w:color w:val="auto"/>
        </w:rPr>
      </w:pPr>
      <w:r>
        <w:rPr>
          <w:rFonts w:hint="eastAsia" w:cs="宋体"/>
          <w:color w:val="auto"/>
        </w:rPr>
        <w:t>1.3 本项目采购代理机构：详见《投标人须知前附表》。</w:t>
      </w:r>
    </w:p>
    <w:p w14:paraId="242DA183">
      <w:pPr>
        <w:rPr>
          <w:rFonts w:hint="eastAsia" w:cs="宋体"/>
          <w:color w:val="auto"/>
        </w:rPr>
      </w:pPr>
      <w:r>
        <w:rPr>
          <w:rFonts w:hint="eastAsia" w:cs="宋体"/>
          <w:color w:val="auto"/>
        </w:rPr>
        <w:t>1.4 本项目名称及项目编号：详见《投标人须知前附表》。</w:t>
      </w:r>
    </w:p>
    <w:p w14:paraId="0599E374">
      <w:pPr>
        <w:pStyle w:val="5"/>
        <w:rPr>
          <w:rFonts w:hint="eastAsia" w:hAnsi="宋体" w:eastAsia="宋体" w:cs="宋体"/>
          <w:color w:val="auto"/>
        </w:rPr>
      </w:pPr>
      <w:bookmarkStart w:id="124" w:name="_Toc35700916"/>
      <w:bookmarkStart w:id="125" w:name="_Toc489145705"/>
      <w:bookmarkStart w:id="126" w:name="_Toc489197809"/>
      <w:bookmarkStart w:id="127" w:name="_Toc296602422"/>
      <w:bookmarkStart w:id="128" w:name="_Toc247085691"/>
      <w:bookmarkStart w:id="129" w:name="_Toc14439"/>
      <w:bookmarkStart w:id="130" w:name="_Toc152045531"/>
      <w:bookmarkStart w:id="131" w:name="_Toc6139"/>
      <w:bookmarkStart w:id="132" w:name="_Toc144974499"/>
      <w:bookmarkStart w:id="133" w:name="_Toc35701773"/>
      <w:bookmarkStart w:id="134" w:name="_Toc36116042"/>
      <w:bookmarkStart w:id="135" w:name="_Toc246996920"/>
      <w:bookmarkStart w:id="136" w:name="_Toc246996177"/>
      <w:bookmarkStart w:id="137" w:name="_Toc179632548"/>
      <w:bookmarkStart w:id="138" w:name="_Toc152042307"/>
      <w:bookmarkStart w:id="139" w:name="_Toc35700987"/>
      <w:bookmarkStart w:id="140" w:name="_Toc12071"/>
      <w:bookmarkStart w:id="141" w:name="_Toc19576"/>
      <w:r>
        <w:rPr>
          <w:rFonts w:hint="eastAsia" w:hAnsi="宋体" w:eastAsia="宋体" w:cs="宋体"/>
          <w:color w:val="auto"/>
        </w:rPr>
        <w:t>2.</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r>
        <w:rPr>
          <w:rFonts w:hint="eastAsia" w:hAnsi="宋体" w:eastAsia="宋体" w:cs="宋体"/>
          <w:color w:val="auto"/>
        </w:rPr>
        <w:t>预算资金</w:t>
      </w:r>
      <w:bookmarkEnd w:id="140"/>
      <w:bookmarkEnd w:id="141"/>
    </w:p>
    <w:p w14:paraId="7BB789D7">
      <w:pPr>
        <w:rPr>
          <w:rFonts w:hint="eastAsia" w:cs="宋体"/>
          <w:color w:val="auto"/>
        </w:rPr>
      </w:pPr>
      <w:r>
        <w:rPr>
          <w:rFonts w:hint="eastAsia" w:cs="宋体"/>
          <w:color w:val="auto"/>
        </w:rPr>
        <w:t>2.1预算金额：详见《投标人须知前附表》。</w:t>
      </w:r>
      <w:bookmarkStart w:id="142" w:name="_Toc144974500"/>
      <w:bookmarkStart w:id="143" w:name="_Toc246996921"/>
      <w:bookmarkStart w:id="144" w:name="_Toc247085692"/>
      <w:bookmarkStart w:id="145" w:name="_Toc152045532"/>
      <w:bookmarkStart w:id="146" w:name="_Toc179632549"/>
      <w:bookmarkStart w:id="147" w:name="_Toc246996178"/>
      <w:bookmarkStart w:id="148" w:name="_Toc296602423"/>
      <w:bookmarkStart w:id="149" w:name="_Toc152042308"/>
    </w:p>
    <w:p w14:paraId="4B2FFFDB">
      <w:pPr>
        <w:pStyle w:val="5"/>
        <w:rPr>
          <w:rFonts w:hint="eastAsia" w:hAnsi="宋体" w:eastAsia="宋体" w:cs="宋体"/>
          <w:color w:val="auto"/>
        </w:rPr>
      </w:pPr>
      <w:bookmarkStart w:id="150" w:name="_Toc489145706"/>
      <w:bookmarkStart w:id="151" w:name="_Toc489197810"/>
      <w:bookmarkStart w:id="152" w:name="_Toc23459"/>
      <w:bookmarkStart w:id="153" w:name="_Toc11600"/>
      <w:bookmarkStart w:id="154" w:name="_Toc4540"/>
      <w:bookmarkStart w:id="155" w:name="_Toc35700917"/>
      <w:bookmarkStart w:id="156" w:name="_Toc35701774"/>
      <w:bookmarkStart w:id="157" w:name="_Toc36116043"/>
      <w:bookmarkStart w:id="158" w:name="_Toc35700988"/>
      <w:bookmarkStart w:id="159" w:name="_Toc11726"/>
      <w:r>
        <w:rPr>
          <w:rFonts w:hint="eastAsia" w:hAnsi="宋体" w:eastAsia="宋体" w:cs="宋体"/>
          <w:color w:val="auto"/>
        </w:rPr>
        <w:t>3.</w:t>
      </w:r>
      <w:bookmarkEnd w:id="142"/>
      <w:bookmarkEnd w:id="143"/>
      <w:bookmarkEnd w:id="144"/>
      <w:bookmarkEnd w:id="145"/>
      <w:bookmarkEnd w:id="146"/>
      <w:bookmarkEnd w:id="147"/>
      <w:bookmarkEnd w:id="148"/>
      <w:bookmarkEnd w:id="149"/>
      <w:bookmarkStart w:id="160" w:name="_Toc427056451"/>
      <w:bookmarkStart w:id="161" w:name="_Toc421541057"/>
      <w:bookmarkStart w:id="162" w:name="_Toc427056529"/>
      <w:r>
        <w:rPr>
          <w:rFonts w:hint="eastAsia" w:hAnsi="宋体" w:eastAsia="宋体" w:cs="宋体"/>
          <w:color w:val="auto"/>
        </w:rPr>
        <w:t>采购需求及</w:t>
      </w:r>
      <w:bookmarkEnd w:id="150"/>
      <w:bookmarkEnd w:id="151"/>
      <w:bookmarkEnd w:id="152"/>
      <w:bookmarkEnd w:id="153"/>
      <w:bookmarkEnd w:id="160"/>
      <w:bookmarkEnd w:id="161"/>
      <w:bookmarkEnd w:id="162"/>
      <w:r>
        <w:rPr>
          <w:rFonts w:hint="eastAsia" w:hAnsi="宋体" w:eastAsia="宋体" w:cs="宋体"/>
          <w:color w:val="auto"/>
        </w:rPr>
        <w:t>合同履行期限、</w:t>
      </w:r>
      <w:bookmarkEnd w:id="154"/>
      <w:bookmarkEnd w:id="155"/>
      <w:bookmarkEnd w:id="156"/>
      <w:bookmarkEnd w:id="157"/>
      <w:bookmarkEnd w:id="158"/>
      <w:r>
        <w:rPr>
          <w:rFonts w:hint="eastAsia" w:hAnsi="宋体" w:eastAsia="宋体" w:cs="宋体"/>
          <w:color w:val="auto"/>
        </w:rPr>
        <w:t>配送地点</w:t>
      </w:r>
      <w:bookmarkEnd w:id="159"/>
    </w:p>
    <w:p w14:paraId="0B774D0D">
      <w:pPr>
        <w:rPr>
          <w:rFonts w:hint="eastAsia" w:cs="宋体"/>
          <w:color w:val="auto"/>
        </w:rPr>
      </w:pPr>
      <w:r>
        <w:rPr>
          <w:rFonts w:hint="eastAsia" w:cs="宋体"/>
          <w:color w:val="auto"/>
        </w:rPr>
        <w:t>3.1本项目采购需求：详见《投标人须知前附表》。</w:t>
      </w:r>
    </w:p>
    <w:p w14:paraId="7AD3B30D">
      <w:pPr>
        <w:rPr>
          <w:rFonts w:hint="eastAsia" w:cs="宋体"/>
          <w:color w:val="auto"/>
        </w:rPr>
      </w:pPr>
      <w:r>
        <w:rPr>
          <w:rFonts w:hint="eastAsia" w:cs="宋体"/>
          <w:color w:val="auto"/>
        </w:rPr>
        <w:t>3.2本项目合同履行期限、配送地点：详见《投标人须知前附表》。</w:t>
      </w:r>
    </w:p>
    <w:p w14:paraId="2688F6EE">
      <w:pPr>
        <w:pStyle w:val="5"/>
        <w:rPr>
          <w:rFonts w:hint="eastAsia" w:hAnsi="宋体" w:eastAsia="宋体" w:cs="宋体"/>
          <w:color w:val="auto"/>
        </w:rPr>
      </w:pPr>
      <w:bookmarkStart w:id="163" w:name="_Toc152045534"/>
      <w:bookmarkStart w:id="164" w:name="_Toc246996922"/>
      <w:bookmarkStart w:id="165" w:name="_Toc152042310"/>
      <w:bookmarkStart w:id="166" w:name="_Toc35700918"/>
      <w:bookmarkStart w:id="167" w:name="_Toc246996179"/>
      <w:bookmarkStart w:id="168" w:name="_Toc489145707"/>
      <w:bookmarkStart w:id="169" w:name="_Toc35701775"/>
      <w:bookmarkStart w:id="170" w:name="_Toc489197811"/>
      <w:bookmarkStart w:id="171" w:name="_Toc31477"/>
      <w:bookmarkStart w:id="172" w:name="_Toc19428"/>
      <w:bookmarkStart w:id="173" w:name="_Toc35700989"/>
      <w:bookmarkStart w:id="174" w:name="_Toc5166"/>
      <w:bookmarkStart w:id="175" w:name="_Toc144974502"/>
      <w:bookmarkStart w:id="176" w:name="_Toc14516"/>
      <w:bookmarkStart w:id="177" w:name="_Toc179632551"/>
      <w:bookmarkStart w:id="178" w:name="_Toc36116044"/>
      <w:bookmarkStart w:id="179" w:name="_Toc247085693"/>
      <w:bookmarkStart w:id="180" w:name="_Toc296602424"/>
      <w:r>
        <w:rPr>
          <w:rFonts w:hint="eastAsia" w:hAnsi="宋体" w:eastAsia="宋体" w:cs="宋体"/>
          <w:color w:val="auto"/>
        </w:rPr>
        <w:t>4.申请人资格要求</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r>
        <w:rPr>
          <w:rFonts w:hint="eastAsia" w:hAnsi="宋体" w:eastAsia="宋体" w:cs="宋体"/>
          <w:color w:val="auto"/>
        </w:rPr>
        <w:t xml:space="preserve"> </w:t>
      </w:r>
    </w:p>
    <w:p w14:paraId="6F75D004">
      <w:pPr>
        <w:rPr>
          <w:rFonts w:hint="eastAsia" w:cs="宋体"/>
          <w:color w:val="auto"/>
        </w:rPr>
      </w:pPr>
      <w:bookmarkStart w:id="181" w:name="_Toc246996923"/>
      <w:bookmarkStart w:id="182" w:name="_Toc179632552"/>
      <w:bookmarkStart w:id="183" w:name="_Toc246996180"/>
      <w:bookmarkStart w:id="184" w:name="_Toc144974503"/>
      <w:bookmarkStart w:id="185" w:name="_Toc152042311"/>
      <w:bookmarkStart w:id="186" w:name="_Toc296602425"/>
      <w:bookmarkStart w:id="187" w:name="_Toc152045535"/>
      <w:bookmarkStart w:id="188" w:name="_Toc247085694"/>
      <w:r>
        <w:rPr>
          <w:rFonts w:hint="eastAsia" w:cs="宋体"/>
          <w:color w:val="auto"/>
        </w:rPr>
        <w:t>4.1申请人资格要求：详见《投标人须知前附表》。</w:t>
      </w:r>
    </w:p>
    <w:p w14:paraId="15BA1534">
      <w:pPr>
        <w:rPr>
          <w:rFonts w:hint="eastAsia" w:cs="宋体"/>
          <w:color w:val="auto"/>
        </w:rPr>
      </w:pPr>
      <w:r>
        <w:rPr>
          <w:rFonts w:hint="eastAsia" w:cs="宋体"/>
          <w:color w:val="auto"/>
        </w:rPr>
        <w:t>4.2单位负责人为同一人或者存在直接控股、管理关系的不同投标人，不得参加同一合同项下的政府采购活动。</w:t>
      </w:r>
    </w:p>
    <w:p w14:paraId="1ECC2729">
      <w:pPr>
        <w:rPr>
          <w:rFonts w:hint="eastAsia" w:cs="宋体"/>
          <w:color w:val="auto"/>
        </w:rPr>
      </w:pPr>
      <w:r>
        <w:rPr>
          <w:rFonts w:hint="eastAsia" w:cs="宋体"/>
          <w:color w:val="auto"/>
        </w:rPr>
        <w:t>4.3与采购人存在利害关系可能影响采购公正性的法人、其他组织或者个人，不得参加投标。</w:t>
      </w:r>
    </w:p>
    <w:p w14:paraId="19071D60">
      <w:pPr>
        <w:rPr>
          <w:rFonts w:hint="eastAsia" w:cs="宋体"/>
          <w:color w:val="auto"/>
        </w:rPr>
      </w:pPr>
      <w:r>
        <w:rPr>
          <w:rFonts w:hint="eastAsia" w:cs="宋体"/>
          <w:color w:val="auto"/>
        </w:rPr>
        <w:t>4.4为采购项目提供整体设计、规范编制和项目管理、监理、检测等服务的投标人：详见《投标人须知前附表》；为本采购项目提供整体设计、规范编制和项目管理、监理、检测等服务的投标人，不得再参加本采购项目的其他采购活动。</w:t>
      </w:r>
    </w:p>
    <w:p w14:paraId="40FE984F">
      <w:pPr>
        <w:jc w:val="left"/>
        <w:rPr>
          <w:rFonts w:hint="eastAsia" w:cs="宋体"/>
          <w:color w:val="auto"/>
        </w:rPr>
      </w:pPr>
      <w:r>
        <w:rPr>
          <w:rFonts w:hint="eastAsia" w:cs="宋体"/>
          <w:color w:val="auto"/>
        </w:rPr>
        <w:t>4.5《投标人须知前附表》规定接受联合体投标的，除应符合本章第4.1-4.4项和《投标人须知前附表》的要求外，还应遵守以下规定：</w:t>
      </w:r>
    </w:p>
    <w:p w14:paraId="0225DD87">
      <w:pPr>
        <w:jc w:val="left"/>
        <w:rPr>
          <w:rFonts w:hint="eastAsia" w:cs="宋体"/>
          <w:color w:val="auto"/>
        </w:rPr>
      </w:pPr>
      <w:r>
        <w:rPr>
          <w:rFonts w:hint="eastAsia" w:cs="宋体"/>
          <w:color w:val="auto"/>
        </w:rPr>
        <w:t>(1)采购人根据采购项目的特殊要求规定投标人特定条件的，联合体各方中至少应有一方符合采购人规定的特定条件；</w:t>
      </w:r>
    </w:p>
    <w:p w14:paraId="01B03AD2">
      <w:pPr>
        <w:jc w:val="left"/>
        <w:rPr>
          <w:rFonts w:hint="eastAsia" w:cs="宋体"/>
          <w:color w:val="auto"/>
        </w:rPr>
      </w:pPr>
      <w:r>
        <w:rPr>
          <w:rFonts w:hint="eastAsia" w:cs="宋体"/>
          <w:color w:val="auto"/>
        </w:rPr>
        <w:t>(2)联合体各方之间应当签订共同投标协议，明确约定联合体各方承担的工作和相应的责任；</w:t>
      </w:r>
    </w:p>
    <w:p w14:paraId="60CD354C">
      <w:pPr>
        <w:rPr>
          <w:rFonts w:hint="eastAsia" w:cs="宋体"/>
          <w:color w:val="auto"/>
        </w:rPr>
      </w:pPr>
      <w:r>
        <w:rPr>
          <w:rFonts w:hint="eastAsia" w:cs="宋体"/>
          <w:color w:val="auto"/>
        </w:rPr>
        <w:t>(3)联合体各方不得再以自己名义单独或参加其他联合体在同一项目中投标。</w:t>
      </w:r>
    </w:p>
    <w:p w14:paraId="3B829F7D">
      <w:pPr>
        <w:rPr>
          <w:rFonts w:hint="eastAsia" w:cs="宋体"/>
          <w:color w:val="auto"/>
        </w:rPr>
      </w:pPr>
      <w:r>
        <w:rPr>
          <w:rFonts w:hint="eastAsia" w:cs="宋体"/>
          <w:color w:val="auto"/>
        </w:rPr>
        <w:t>4.6如投标人为满足投标人资格要求提供虚假材料，一经查实，视为未实质性响应招标文件，投标人投标文件将按无效处理。</w:t>
      </w:r>
    </w:p>
    <w:p w14:paraId="1D2D4C6A">
      <w:pPr>
        <w:pStyle w:val="5"/>
        <w:rPr>
          <w:rFonts w:hint="eastAsia" w:hAnsi="宋体" w:eastAsia="宋体" w:cs="宋体"/>
          <w:color w:val="auto"/>
        </w:rPr>
      </w:pPr>
      <w:bookmarkStart w:id="189" w:name="_Toc35700990"/>
      <w:bookmarkStart w:id="190" w:name="_Toc36116045"/>
      <w:bookmarkStart w:id="191" w:name="_Toc19174"/>
      <w:bookmarkStart w:id="192" w:name="_Toc2900"/>
      <w:bookmarkStart w:id="193" w:name="_Toc35701776"/>
      <w:bookmarkStart w:id="194" w:name="_Toc489145708"/>
      <w:bookmarkStart w:id="195" w:name="_Toc25447"/>
      <w:bookmarkStart w:id="196" w:name="_Toc35700919"/>
      <w:bookmarkStart w:id="197" w:name="_Toc489197812"/>
      <w:bookmarkStart w:id="198" w:name="_Toc17613"/>
      <w:r>
        <w:rPr>
          <w:rFonts w:hint="eastAsia" w:hAnsi="宋体" w:eastAsia="宋体" w:cs="宋体"/>
          <w:color w:val="auto"/>
        </w:rPr>
        <w:t>5.费用承担</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14:paraId="6DD9355A">
      <w:pPr>
        <w:rPr>
          <w:rFonts w:hint="eastAsia" w:cs="宋体"/>
          <w:color w:val="auto"/>
        </w:rPr>
      </w:pPr>
      <w:r>
        <w:rPr>
          <w:rFonts w:hint="eastAsia" w:cs="宋体"/>
          <w:color w:val="auto"/>
        </w:rPr>
        <w:t>5.1不论投标结果如何，投标人均应自行承担所有与准备和参加投标活动有关的全部费用。</w:t>
      </w:r>
    </w:p>
    <w:p w14:paraId="40E0BC66">
      <w:pPr>
        <w:pStyle w:val="5"/>
        <w:rPr>
          <w:rFonts w:hint="eastAsia" w:hAnsi="宋体" w:eastAsia="宋体" w:cs="宋体"/>
          <w:color w:val="auto"/>
        </w:rPr>
      </w:pPr>
      <w:bookmarkStart w:id="199" w:name="_Toc18399"/>
      <w:bookmarkStart w:id="200" w:name="_Toc31712"/>
      <w:bookmarkStart w:id="201" w:name="_Toc35700920"/>
      <w:bookmarkStart w:id="202" w:name="_Toc36116046"/>
      <w:bookmarkStart w:id="203" w:name="_Toc2754"/>
      <w:bookmarkStart w:id="204" w:name="_Toc35700991"/>
      <w:bookmarkStart w:id="205" w:name="_Toc35701777"/>
      <w:bookmarkStart w:id="206" w:name="_Toc489197813"/>
      <w:bookmarkStart w:id="207" w:name="_Toc24335"/>
      <w:bookmarkStart w:id="208" w:name="_Toc489145709"/>
      <w:r>
        <w:rPr>
          <w:rFonts w:hint="eastAsia" w:hAnsi="宋体" w:eastAsia="宋体" w:cs="宋体"/>
          <w:color w:val="auto"/>
        </w:rPr>
        <w:t>6.踏勘现场</w:t>
      </w:r>
      <w:bookmarkEnd w:id="199"/>
      <w:bookmarkEnd w:id="200"/>
      <w:bookmarkEnd w:id="201"/>
      <w:bookmarkEnd w:id="202"/>
      <w:bookmarkEnd w:id="203"/>
      <w:bookmarkEnd w:id="204"/>
      <w:bookmarkEnd w:id="205"/>
      <w:bookmarkEnd w:id="206"/>
      <w:bookmarkEnd w:id="207"/>
      <w:bookmarkEnd w:id="208"/>
    </w:p>
    <w:p w14:paraId="08A874E4">
      <w:pPr>
        <w:rPr>
          <w:rFonts w:hint="eastAsia" w:cs="宋体"/>
          <w:color w:val="auto"/>
        </w:rPr>
      </w:pPr>
      <w:r>
        <w:rPr>
          <w:rFonts w:hint="eastAsia" w:cs="宋体"/>
          <w:color w:val="auto"/>
        </w:rPr>
        <w:t>6.1投标人须知前附表规定组织现场考察的，采购人按《投标人须知前附表》规定的时间、集中地点组织潜在投标人进行现场考察。</w:t>
      </w:r>
    </w:p>
    <w:p w14:paraId="41990E84">
      <w:pPr>
        <w:rPr>
          <w:rFonts w:hint="eastAsia" w:cs="宋体"/>
          <w:color w:val="auto"/>
        </w:rPr>
      </w:pPr>
      <w:r>
        <w:rPr>
          <w:rFonts w:hint="eastAsia" w:cs="宋体"/>
          <w:color w:val="auto"/>
        </w:rPr>
        <w:t>6.2投标人踏勘现场发生的费用自理。</w:t>
      </w:r>
    </w:p>
    <w:p w14:paraId="27CEC6EE">
      <w:pPr>
        <w:rPr>
          <w:rFonts w:hint="eastAsia" w:cs="宋体"/>
          <w:color w:val="auto"/>
        </w:rPr>
      </w:pPr>
      <w:r>
        <w:rPr>
          <w:rFonts w:hint="eastAsia" w:cs="宋体"/>
          <w:color w:val="auto"/>
        </w:rPr>
        <w:t>6.3投标人自行负责在踏勘现场中所发生的人员伤亡和财产损失。</w:t>
      </w:r>
    </w:p>
    <w:p w14:paraId="42B25E4B">
      <w:pPr>
        <w:rPr>
          <w:rFonts w:hint="eastAsia" w:cs="宋体"/>
          <w:color w:val="auto"/>
        </w:rPr>
      </w:pPr>
      <w:r>
        <w:rPr>
          <w:rFonts w:hint="eastAsia" w:cs="宋体"/>
          <w:color w:val="auto"/>
        </w:rPr>
        <w:t xml:space="preserve">6.4招标人在踏勘现场中介绍的工程场地和相关的周边环境情况，供投标人在编制投标文件时参考，招标人不对投标人据此作出的判断和决策负责。 </w:t>
      </w:r>
    </w:p>
    <w:p w14:paraId="4FD8482D">
      <w:pPr>
        <w:pStyle w:val="5"/>
        <w:rPr>
          <w:rFonts w:hint="eastAsia" w:hAnsi="宋体" w:eastAsia="宋体" w:cs="宋体"/>
          <w:color w:val="auto"/>
        </w:rPr>
      </w:pPr>
      <w:bookmarkStart w:id="209" w:name="_Toc35701778"/>
      <w:bookmarkStart w:id="210" w:name="_Toc489197814"/>
      <w:bookmarkStart w:id="211" w:name="_Toc35700921"/>
      <w:bookmarkStart w:id="212" w:name="_Toc489145710"/>
      <w:bookmarkStart w:id="213" w:name="_Toc25253"/>
      <w:bookmarkStart w:id="214" w:name="_Toc11650"/>
      <w:bookmarkStart w:id="215" w:name="_Toc35700992"/>
      <w:bookmarkStart w:id="216" w:name="_Toc29384"/>
      <w:bookmarkStart w:id="217" w:name="_Toc20993"/>
      <w:bookmarkStart w:id="218" w:name="_Toc36116047"/>
      <w:r>
        <w:rPr>
          <w:rFonts w:hint="eastAsia" w:hAnsi="宋体" w:eastAsia="宋体" w:cs="宋体"/>
          <w:color w:val="auto"/>
        </w:rPr>
        <w:t>7.开标前答疑会</w:t>
      </w:r>
      <w:bookmarkEnd w:id="209"/>
      <w:bookmarkEnd w:id="210"/>
      <w:bookmarkEnd w:id="211"/>
      <w:bookmarkEnd w:id="212"/>
      <w:bookmarkEnd w:id="213"/>
      <w:bookmarkEnd w:id="214"/>
      <w:bookmarkEnd w:id="215"/>
      <w:bookmarkEnd w:id="216"/>
      <w:bookmarkEnd w:id="217"/>
      <w:bookmarkEnd w:id="218"/>
    </w:p>
    <w:p w14:paraId="3755B386">
      <w:pPr>
        <w:rPr>
          <w:rFonts w:hint="eastAsia" w:cs="宋体"/>
          <w:color w:val="auto"/>
        </w:rPr>
      </w:pPr>
      <w:r>
        <w:rPr>
          <w:rFonts w:hint="eastAsia" w:cs="宋体"/>
          <w:color w:val="auto"/>
        </w:rPr>
        <w:t>7.1投标人须知前附表规定召开开标前答疑会的，采购人按《投标人须知前附表》规定的时间和地点召开开标前答疑会，书面澄清潜在投标人提出的问题。</w:t>
      </w:r>
    </w:p>
    <w:p w14:paraId="6DD4F8F7">
      <w:pPr>
        <w:pStyle w:val="5"/>
        <w:rPr>
          <w:rFonts w:hint="eastAsia" w:hAnsi="宋体" w:eastAsia="宋体" w:cs="宋体"/>
          <w:color w:val="auto"/>
        </w:rPr>
      </w:pPr>
      <w:bookmarkStart w:id="219" w:name="_Toc35701779"/>
      <w:bookmarkStart w:id="220" w:name="_Toc8147"/>
      <w:bookmarkStart w:id="221" w:name="_Toc2297"/>
      <w:bookmarkStart w:id="222" w:name="_Toc35700993"/>
      <w:bookmarkStart w:id="223" w:name="_Toc36116048"/>
      <w:bookmarkStart w:id="224" w:name="_Toc35700922"/>
      <w:bookmarkStart w:id="225" w:name="_Toc7736"/>
      <w:bookmarkStart w:id="226" w:name="_Toc29182"/>
      <w:bookmarkStart w:id="227" w:name="_Toc489145711"/>
      <w:bookmarkStart w:id="228" w:name="_Toc489197815"/>
      <w:r>
        <w:rPr>
          <w:rFonts w:hint="eastAsia" w:hAnsi="宋体" w:eastAsia="宋体" w:cs="宋体"/>
          <w:color w:val="auto"/>
        </w:rPr>
        <w:t>8.质疑</w:t>
      </w:r>
      <w:bookmarkEnd w:id="219"/>
      <w:bookmarkEnd w:id="220"/>
      <w:bookmarkEnd w:id="221"/>
      <w:bookmarkEnd w:id="222"/>
      <w:bookmarkEnd w:id="223"/>
      <w:bookmarkEnd w:id="224"/>
      <w:bookmarkEnd w:id="225"/>
      <w:bookmarkEnd w:id="226"/>
      <w:bookmarkEnd w:id="227"/>
      <w:bookmarkEnd w:id="228"/>
    </w:p>
    <w:p w14:paraId="1E5FFB0B">
      <w:pPr>
        <w:rPr>
          <w:rFonts w:hint="eastAsia" w:cs="宋体"/>
          <w:color w:val="auto"/>
        </w:rPr>
      </w:pPr>
      <w:r>
        <w:rPr>
          <w:rFonts w:hint="eastAsia" w:cs="宋体"/>
          <w:color w:val="auto"/>
        </w:rPr>
        <w:t>8.1投标人认为招标文件、采购过程、中标结果使自己的权益受到损害的，可以在知道或者应知其权益受到损害之日起7个工作日内，以书面形式向采购人、采购代理机构提出质疑。投标人应在法定质疑期内一次性提出针对同一采购程序环节的质疑，否则采购人、采购代理机构有权拒收。</w:t>
      </w:r>
    </w:p>
    <w:p w14:paraId="632E8A45">
      <w:pPr>
        <w:rPr>
          <w:rFonts w:hint="eastAsia" w:cs="宋体"/>
          <w:color w:val="auto"/>
        </w:rPr>
      </w:pPr>
      <w:r>
        <w:rPr>
          <w:rFonts w:hint="eastAsia" w:cs="宋体"/>
          <w:color w:val="auto"/>
        </w:rPr>
        <w:t>8.2招标文件第二章《投标人须知》8.1条中“知道或者应知其权益受到损害之日”是指：</w:t>
      </w:r>
    </w:p>
    <w:p w14:paraId="0B7B5887">
      <w:pPr>
        <w:rPr>
          <w:rFonts w:hint="eastAsia" w:cs="宋体"/>
          <w:color w:val="auto"/>
        </w:rPr>
      </w:pPr>
      <w:r>
        <w:rPr>
          <w:rFonts w:hint="eastAsia" w:cs="宋体"/>
          <w:color w:val="auto"/>
        </w:rPr>
        <w:t>（一）对可以质疑的采购文件提出质疑的，为收到采购文件之日或者采购文件公告期限届满之日；</w:t>
      </w:r>
    </w:p>
    <w:p w14:paraId="15FFF642">
      <w:pPr>
        <w:rPr>
          <w:rFonts w:hint="eastAsia" w:cs="宋体"/>
          <w:color w:val="auto"/>
        </w:rPr>
      </w:pPr>
      <w:r>
        <w:rPr>
          <w:rFonts w:hint="eastAsia" w:cs="宋体"/>
          <w:color w:val="auto"/>
        </w:rPr>
        <w:t>（二）对采购过程提出质疑的，为各采购程序环节结束之日；</w:t>
      </w:r>
    </w:p>
    <w:p w14:paraId="1796F2D5">
      <w:pPr>
        <w:rPr>
          <w:rFonts w:hint="eastAsia" w:cs="宋体"/>
          <w:color w:val="auto"/>
        </w:rPr>
      </w:pPr>
      <w:r>
        <w:rPr>
          <w:rFonts w:hint="eastAsia" w:cs="宋体"/>
          <w:color w:val="auto"/>
        </w:rPr>
        <w:t>（三）对中标或者成交结果提出质疑的，为中标或者成交结果公告期限届满之日。</w:t>
      </w:r>
    </w:p>
    <w:p w14:paraId="14EE9958">
      <w:pPr>
        <w:rPr>
          <w:rFonts w:hint="eastAsia" w:cs="宋体"/>
          <w:color w:val="auto"/>
        </w:rPr>
      </w:pPr>
      <w:r>
        <w:rPr>
          <w:rFonts w:hint="eastAsia" w:cs="宋体"/>
          <w:color w:val="auto"/>
        </w:rPr>
        <w:t>8.3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投标人签署的授权委托书。</w:t>
      </w:r>
    </w:p>
    <w:p w14:paraId="207D6EC8">
      <w:pPr>
        <w:rPr>
          <w:rFonts w:hint="eastAsia" w:cs="宋体"/>
          <w:color w:val="auto"/>
        </w:rPr>
      </w:pPr>
      <w:r>
        <w:rPr>
          <w:rFonts w:hint="eastAsia" w:cs="宋体"/>
          <w:color w:val="auto"/>
        </w:rPr>
        <w:t>提出质疑的投标人应当是参与所质疑项目采购活动的投标人。</w:t>
      </w:r>
    </w:p>
    <w:p w14:paraId="070FAFC6">
      <w:pPr>
        <w:rPr>
          <w:rFonts w:hint="eastAsia" w:cs="宋体"/>
          <w:color w:val="auto"/>
        </w:rPr>
      </w:pPr>
      <w:r>
        <w:rPr>
          <w:rFonts w:hint="eastAsia" w:cs="宋体"/>
          <w:color w:val="auto"/>
        </w:rPr>
        <w:t>8.4投标人提出质疑应符合《政府采购质疑和投诉办法》（中华人民共和国财政部令第94号）和财政部《政府采购投标人质疑函范本》的规定。投标人提出质疑应当提交质疑函和必要的证明材料。质疑函应当包括下列内容：</w:t>
      </w:r>
    </w:p>
    <w:p w14:paraId="7FD6EC7C">
      <w:pPr>
        <w:rPr>
          <w:rFonts w:hint="eastAsia" w:cs="宋体"/>
          <w:color w:val="auto"/>
        </w:rPr>
      </w:pPr>
      <w:r>
        <w:rPr>
          <w:rFonts w:hint="eastAsia" w:cs="宋体"/>
          <w:color w:val="auto"/>
        </w:rPr>
        <w:t>（一）投标人的姓名或者名称、地址、邮编、联系人及联系方式；</w:t>
      </w:r>
    </w:p>
    <w:p w14:paraId="733B3BAB">
      <w:pPr>
        <w:rPr>
          <w:rFonts w:hint="eastAsia" w:cs="宋体"/>
          <w:color w:val="auto"/>
        </w:rPr>
      </w:pPr>
      <w:r>
        <w:rPr>
          <w:rFonts w:hint="eastAsia" w:cs="宋体"/>
          <w:color w:val="auto"/>
        </w:rPr>
        <w:t>（二）质疑项目的名称、编号；</w:t>
      </w:r>
    </w:p>
    <w:p w14:paraId="426CFB3E">
      <w:pPr>
        <w:rPr>
          <w:rFonts w:hint="eastAsia" w:cs="宋体"/>
          <w:color w:val="auto"/>
        </w:rPr>
      </w:pPr>
      <w:r>
        <w:rPr>
          <w:rFonts w:hint="eastAsia" w:cs="宋体"/>
          <w:color w:val="auto"/>
        </w:rPr>
        <w:t>（三）具体、明确的质疑事项和与质疑事项相关的请求；</w:t>
      </w:r>
    </w:p>
    <w:p w14:paraId="69EF578E">
      <w:pPr>
        <w:rPr>
          <w:rFonts w:hint="eastAsia" w:cs="宋体"/>
          <w:color w:val="auto"/>
        </w:rPr>
      </w:pPr>
      <w:r>
        <w:rPr>
          <w:rFonts w:hint="eastAsia" w:cs="宋体"/>
          <w:color w:val="auto"/>
        </w:rPr>
        <w:t>（四）事实依据；</w:t>
      </w:r>
    </w:p>
    <w:p w14:paraId="1DFEE138">
      <w:pPr>
        <w:rPr>
          <w:rFonts w:hint="eastAsia" w:cs="宋体"/>
          <w:color w:val="auto"/>
        </w:rPr>
      </w:pPr>
      <w:r>
        <w:rPr>
          <w:rFonts w:hint="eastAsia" w:cs="宋体"/>
          <w:color w:val="auto"/>
        </w:rPr>
        <w:t>（五）必要的法律依据；</w:t>
      </w:r>
    </w:p>
    <w:p w14:paraId="5612D3C5">
      <w:pPr>
        <w:rPr>
          <w:rFonts w:hint="eastAsia" w:cs="宋体"/>
          <w:color w:val="auto"/>
        </w:rPr>
      </w:pPr>
      <w:r>
        <w:rPr>
          <w:rFonts w:hint="eastAsia" w:cs="宋体"/>
          <w:color w:val="auto"/>
        </w:rPr>
        <w:t>（六）提出质疑的日期。</w:t>
      </w:r>
    </w:p>
    <w:p w14:paraId="2B530FC6">
      <w:pPr>
        <w:rPr>
          <w:rFonts w:hint="eastAsia" w:cs="宋体"/>
          <w:color w:val="auto"/>
        </w:rPr>
      </w:pPr>
      <w:r>
        <w:rPr>
          <w:rFonts w:hint="eastAsia" w:cs="宋体"/>
          <w:color w:val="auto"/>
        </w:rPr>
        <w:t>投标人为自然人的，应当由本人签字；投标人为法人或者其他组织的，应当由法定代表人、主要负责人，或者其授权代表签字或者盖章，并加盖公章。</w:t>
      </w:r>
    </w:p>
    <w:p w14:paraId="2C90E54A">
      <w:pPr>
        <w:rPr>
          <w:rFonts w:hint="eastAsia" w:cs="宋体"/>
          <w:color w:val="auto"/>
        </w:rPr>
      </w:pPr>
      <w:r>
        <w:rPr>
          <w:rFonts w:hint="eastAsia" w:cs="宋体"/>
          <w:color w:val="auto"/>
        </w:rPr>
        <w:t>8.5投标人不得捏造事实、提供虚假材料或者以非法手段取得证明材料。</w:t>
      </w:r>
    </w:p>
    <w:p w14:paraId="4DB910DD">
      <w:pPr>
        <w:rPr>
          <w:rFonts w:hint="eastAsia" w:cs="宋体"/>
          <w:color w:val="auto"/>
        </w:rPr>
      </w:pPr>
      <w:r>
        <w:rPr>
          <w:rFonts w:hint="eastAsia" w:cs="宋体"/>
          <w:color w:val="auto"/>
        </w:rPr>
        <w:t>8.6质疑函应当使用中文。相关当事人提供外文书证或者外国语视听资料的，应当附有中文译本，由翻译机构盖章或者翻译人员签名。</w:t>
      </w:r>
    </w:p>
    <w:p w14:paraId="4FC8C4FA">
      <w:pPr>
        <w:rPr>
          <w:rFonts w:hint="eastAsia" w:cs="宋体"/>
          <w:color w:val="auto"/>
        </w:rPr>
      </w:pPr>
      <w:r>
        <w:rPr>
          <w:rFonts w:hint="eastAsia" w:cs="宋体"/>
          <w:color w:val="auto"/>
        </w:rPr>
        <w:t>8.7采购人、采购代理机构将在收到投标人质疑函后七个工作日内作出答复，但质疑答复的内容不涉及商业秘密。</w:t>
      </w:r>
    </w:p>
    <w:p w14:paraId="64398ABA">
      <w:pPr>
        <w:rPr>
          <w:rFonts w:hint="eastAsia" w:cs="宋体"/>
          <w:color w:val="auto"/>
        </w:rPr>
      </w:pPr>
      <w:r>
        <w:rPr>
          <w:rFonts w:hint="eastAsia" w:cs="宋体"/>
          <w:color w:val="auto"/>
        </w:rPr>
        <w:t>8.8投标人对评审过程、中标结果提出质疑的，采购人、采购代理机构可以组织原评标委员会协助答复质疑。质疑答复导致中标结果改变的，采购人或者采购代理机构会将有关情况书面报告本级财政部门。</w:t>
      </w:r>
    </w:p>
    <w:p w14:paraId="0E8BEE98">
      <w:pPr>
        <w:rPr>
          <w:rFonts w:hint="eastAsia" w:cs="宋体"/>
          <w:color w:val="auto"/>
        </w:rPr>
      </w:pPr>
      <w:r>
        <w:rPr>
          <w:rFonts w:hint="eastAsia" w:cs="宋体"/>
          <w:color w:val="auto"/>
        </w:rPr>
        <w:t>8.9接收质疑函的方式：书面方式；接收质疑函的部门：</w:t>
      </w:r>
      <w:r>
        <w:rPr>
          <w:rFonts w:hint="eastAsia" w:cs="宋体"/>
          <w:color w:val="auto"/>
          <w:lang w:eastAsia="zh-CN"/>
        </w:rPr>
        <w:t>云南联沧项目管理有限公司</w:t>
      </w:r>
      <w:r>
        <w:rPr>
          <w:rFonts w:hint="eastAsia" w:cs="宋体"/>
          <w:color w:val="auto"/>
        </w:rPr>
        <w:t>；联系人、联系方式：</w:t>
      </w:r>
      <w:r>
        <w:rPr>
          <w:rFonts w:hint="eastAsia" w:cs="宋体"/>
          <w:color w:val="auto"/>
          <w:lang w:val="en-US" w:eastAsia="zh-CN"/>
        </w:rPr>
        <w:t>陆一娇  15912599580</w:t>
      </w:r>
      <w:r>
        <w:rPr>
          <w:rFonts w:hint="eastAsia" w:cs="宋体"/>
          <w:color w:val="auto"/>
        </w:rPr>
        <w:t>；通讯地址：</w:t>
      </w:r>
      <w:r>
        <w:rPr>
          <w:rFonts w:hint="eastAsia" w:cs="宋体"/>
          <w:color w:val="auto"/>
          <w:lang w:val="en-US" w:eastAsia="zh-CN"/>
        </w:rPr>
        <w:t>云南省昆明市盘龙区金辰街道云波社区羊肠小村新村二期42栋6号二层</w:t>
      </w:r>
      <w:r>
        <w:rPr>
          <w:rFonts w:hint="eastAsia" w:cs="宋体"/>
          <w:color w:val="auto"/>
        </w:rPr>
        <w:t>。</w:t>
      </w:r>
    </w:p>
    <w:p w14:paraId="294CFBB6">
      <w:pPr>
        <w:pStyle w:val="5"/>
        <w:rPr>
          <w:rFonts w:hint="eastAsia" w:hAnsi="宋体" w:eastAsia="宋体" w:cs="宋体"/>
          <w:color w:val="auto"/>
        </w:rPr>
      </w:pPr>
      <w:bookmarkStart w:id="229" w:name="_Toc489197816"/>
      <w:bookmarkStart w:id="230" w:name="_Toc489145712"/>
      <w:bookmarkStart w:id="231" w:name="_Toc36116049"/>
      <w:bookmarkStart w:id="232" w:name="_Toc35700994"/>
      <w:bookmarkStart w:id="233" w:name="_Toc35700923"/>
      <w:bookmarkStart w:id="234" w:name="_Toc23168"/>
      <w:bookmarkStart w:id="235" w:name="_Toc29843"/>
      <w:bookmarkStart w:id="236" w:name="_Toc6154"/>
      <w:bookmarkStart w:id="237" w:name="_Toc11669"/>
      <w:bookmarkStart w:id="238" w:name="_Toc35701780"/>
      <w:r>
        <w:rPr>
          <w:rFonts w:hint="eastAsia" w:hAnsi="宋体" w:eastAsia="宋体" w:cs="宋体"/>
          <w:color w:val="auto"/>
        </w:rPr>
        <w:t>9.投诉</w:t>
      </w:r>
      <w:bookmarkEnd w:id="229"/>
      <w:bookmarkEnd w:id="230"/>
      <w:bookmarkEnd w:id="231"/>
      <w:bookmarkEnd w:id="232"/>
      <w:bookmarkEnd w:id="233"/>
      <w:bookmarkEnd w:id="234"/>
      <w:bookmarkEnd w:id="235"/>
      <w:bookmarkEnd w:id="236"/>
      <w:bookmarkEnd w:id="237"/>
      <w:bookmarkEnd w:id="238"/>
    </w:p>
    <w:p w14:paraId="09613B54">
      <w:pPr>
        <w:rPr>
          <w:rFonts w:hint="eastAsia" w:cs="宋体"/>
          <w:color w:val="auto"/>
        </w:rPr>
      </w:pPr>
      <w:r>
        <w:rPr>
          <w:rFonts w:hint="eastAsia" w:cs="宋体"/>
          <w:color w:val="auto"/>
        </w:rPr>
        <w:t>9.1投诉必须首先经过质疑程序。质疑投标人对采购人、采购代理机构的答复不满意，或者采购人、采购代理机构未在规定时间内作出答复的，可以在答复期满后十五个工作日内书面向财政部门提起投诉。</w:t>
      </w:r>
    </w:p>
    <w:p w14:paraId="722DC08E">
      <w:pPr>
        <w:pStyle w:val="44"/>
        <w:rPr>
          <w:rFonts w:hint="eastAsia" w:eastAsia="宋体" w:cs="宋体"/>
          <w:color w:val="auto"/>
        </w:rPr>
      </w:pPr>
      <w:bookmarkStart w:id="239" w:name="_Toc35700924"/>
      <w:bookmarkStart w:id="240" w:name="_Toc246996930"/>
      <w:bookmarkStart w:id="241" w:name="_Toc489197817"/>
      <w:bookmarkStart w:id="242" w:name="_Toc179632560"/>
      <w:bookmarkStart w:id="243" w:name="_Toc24723"/>
      <w:bookmarkStart w:id="244" w:name="_Toc24600"/>
      <w:bookmarkStart w:id="245" w:name="_Toc378239079"/>
      <w:bookmarkStart w:id="246" w:name="_Toc247085701"/>
      <w:bookmarkStart w:id="247" w:name="_Toc35700995"/>
      <w:bookmarkStart w:id="248" w:name="_Toc152045542"/>
      <w:bookmarkStart w:id="249" w:name="_Toc144974510"/>
      <w:bookmarkStart w:id="250" w:name="_Toc25898"/>
      <w:bookmarkStart w:id="251" w:name="_Toc480817644"/>
      <w:bookmarkStart w:id="252" w:name="_Toc246996187"/>
      <w:bookmarkStart w:id="253" w:name="_Toc378239171"/>
      <w:bookmarkStart w:id="254" w:name="_Toc36116050"/>
      <w:bookmarkStart w:id="255" w:name="_Toc296602432"/>
      <w:bookmarkStart w:id="256" w:name="_Toc488633605"/>
      <w:bookmarkStart w:id="257" w:name="_Toc152042318"/>
      <w:bookmarkStart w:id="258" w:name="_Toc489145713"/>
      <w:bookmarkStart w:id="259" w:name="_Toc378239352"/>
      <w:bookmarkStart w:id="260" w:name="_Toc156"/>
      <w:bookmarkStart w:id="261" w:name="_Toc35701781"/>
      <w:bookmarkStart w:id="262" w:name="_Toc401342135"/>
      <w:bookmarkStart w:id="263" w:name="_Toc17348"/>
      <w:r>
        <w:rPr>
          <w:rFonts w:hint="eastAsia" w:eastAsia="宋体" w:cs="宋体"/>
          <w:color w:val="auto"/>
        </w:rPr>
        <w:t>二、招标文件</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14:paraId="60410CE2">
      <w:pPr>
        <w:pStyle w:val="5"/>
        <w:rPr>
          <w:rFonts w:hint="eastAsia" w:hAnsi="宋体" w:eastAsia="宋体" w:cs="宋体"/>
          <w:color w:val="auto"/>
        </w:rPr>
      </w:pPr>
      <w:bookmarkStart w:id="264" w:name="_Toc489145714"/>
      <w:bookmarkStart w:id="265" w:name="_Toc246996931"/>
      <w:bookmarkStart w:id="266" w:name="_Toc489197818"/>
      <w:bookmarkStart w:id="267" w:name="_Toc246996188"/>
      <w:bookmarkStart w:id="268" w:name="_Toc152042319"/>
      <w:bookmarkStart w:id="269" w:name="_Toc247085702"/>
      <w:bookmarkStart w:id="270" w:name="_Toc179632561"/>
      <w:bookmarkStart w:id="271" w:name="_Toc144974511"/>
      <w:bookmarkStart w:id="272" w:name="_Toc152045543"/>
      <w:bookmarkStart w:id="273" w:name="_Toc296602433"/>
      <w:bookmarkStart w:id="274" w:name="_Toc12519"/>
      <w:bookmarkStart w:id="275" w:name="_Toc12566"/>
      <w:bookmarkStart w:id="276" w:name="_Toc9602"/>
      <w:bookmarkStart w:id="277" w:name="_Toc17860"/>
      <w:bookmarkStart w:id="278" w:name="_Toc36116051"/>
      <w:bookmarkStart w:id="279" w:name="_Toc35701782"/>
      <w:bookmarkStart w:id="280" w:name="_Toc35700996"/>
      <w:bookmarkStart w:id="281" w:name="_Toc35700925"/>
      <w:r>
        <w:rPr>
          <w:rFonts w:hint="eastAsia" w:hAnsi="宋体" w:eastAsia="宋体" w:cs="宋体"/>
          <w:color w:val="auto"/>
        </w:rPr>
        <w:t>10.</w:t>
      </w:r>
      <w:bookmarkEnd w:id="264"/>
      <w:bookmarkEnd w:id="265"/>
      <w:bookmarkEnd w:id="266"/>
      <w:bookmarkEnd w:id="267"/>
      <w:bookmarkEnd w:id="268"/>
      <w:bookmarkEnd w:id="269"/>
      <w:bookmarkEnd w:id="270"/>
      <w:bookmarkEnd w:id="271"/>
      <w:bookmarkEnd w:id="272"/>
      <w:bookmarkEnd w:id="273"/>
      <w:bookmarkStart w:id="282" w:name="_Toc489197819"/>
      <w:bookmarkStart w:id="283" w:name="_Toc489145715"/>
      <w:r>
        <w:rPr>
          <w:rFonts w:hint="eastAsia" w:hAnsi="宋体" w:eastAsia="宋体" w:cs="宋体"/>
          <w:color w:val="auto"/>
        </w:rPr>
        <w:t>招标文件的组成</w:t>
      </w:r>
      <w:bookmarkEnd w:id="274"/>
      <w:bookmarkEnd w:id="275"/>
      <w:bookmarkEnd w:id="276"/>
      <w:bookmarkEnd w:id="277"/>
      <w:bookmarkEnd w:id="278"/>
      <w:bookmarkEnd w:id="279"/>
      <w:bookmarkEnd w:id="280"/>
      <w:bookmarkEnd w:id="281"/>
      <w:bookmarkEnd w:id="282"/>
      <w:bookmarkEnd w:id="283"/>
    </w:p>
    <w:p w14:paraId="3A981956">
      <w:pPr>
        <w:rPr>
          <w:rFonts w:hint="eastAsia" w:cs="宋体"/>
          <w:color w:val="auto"/>
        </w:rPr>
      </w:pPr>
      <w:r>
        <w:rPr>
          <w:rFonts w:hint="eastAsia" w:cs="宋体"/>
          <w:color w:val="auto"/>
        </w:rPr>
        <w:t>10.</w:t>
      </w:r>
      <w:bookmarkStart w:id="284" w:name="_Toc152042320"/>
      <w:bookmarkStart w:id="285" w:name="_Toc246996189"/>
      <w:bookmarkStart w:id="286" w:name="_Toc179632562"/>
      <w:bookmarkStart w:id="287" w:name="_Toc152045544"/>
      <w:bookmarkStart w:id="288" w:name="_Toc489197820"/>
      <w:bookmarkStart w:id="289" w:name="_Toc296602434"/>
      <w:bookmarkStart w:id="290" w:name="_Toc246996932"/>
      <w:bookmarkStart w:id="291" w:name="_Toc247085703"/>
      <w:bookmarkStart w:id="292" w:name="_Toc144974512"/>
      <w:bookmarkStart w:id="293" w:name="_Toc489145716"/>
      <w:r>
        <w:rPr>
          <w:rFonts w:hint="eastAsia" w:cs="宋体"/>
          <w:color w:val="auto"/>
        </w:rPr>
        <w:t>1采购人要求提供的采购标的、采购过程及合同条款在招标文件中均有说明，招标文件共七章，各章的内容如下：</w:t>
      </w:r>
    </w:p>
    <w:p w14:paraId="7810CCE8">
      <w:pPr>
        <w:rPr>
          <w:rFonts w:hint="eastAsia" w:cs="宋体"/>
          <w:color w:val="auto"/>
        </w:rPr>
      </w:pPr>
      <w:r>
        <w:rPr>
          <w:rFonts w:hint="eastAsia" w:cs="宋体"/>
          <w:color w:val="auto"/>
        </w:rPr>
        <w:t>第一章  招标公告</w:t>
      </w:r>
    </w:p>
    <w:p w14:paraId="3791EA3A">
      <w:pPr>
        <w:rPr>
          <w:rFonts w:hint="eastAsia" w:cs="宋体"/>
          <w:color w:val="auto"/>
        </w:rPr>
      </w:pPr>
      <w:r>
        <w:rPr>
          <w:rFonts w:hint="eastAsia" w:cs="宋体"/>
          <w:color w:val="auto"/>
        </w:rPr>
        <w:t>第二章  投标人须知</w:t>
      </w:r>
    </w:p>
    <w:p w14:paraId="73D375FA">
      <w:pPr>
        <w:rPr>
          <w:rFonts w:hint="eastAsia" w:cs="宋体"/>
          <w:color w:val="auto"/>
        </w:rPr>
      </w:pPr>
      <w:r>
        <w:rPr>
          <w:rFonts w:hint="eastAsia" w:cs="宋体"/>
          <w:color w:val="auto"/>
        </w:rPr>
        <w:t>第三章  合同书样式及主要条款</w:t>
      </w:r>
    </w:p>
    <w:p w14:paraId="1261FFE5">
      <w:pPr>
        <w:rPr>
          <w:rFonts w:hint="eastAsia" w:cs="宋体"/>
          <w:color w:val="auto"/>
        </w:rPr>
      </w:pPr>
      <w:r>
        <w:rPr>
          <w:rFonts w:hint="eastAsia" w:cs="宋体"/>
          <w:color w:val="auto"/>
        </w:rPr>
        <w:t>第四章  投标文件格式</w:t>
      </w:r>
    </w:p>
    <w:p w14:paraId="54A2A245">
      <w:pPr>
        <w:rPr>
          <w:rFonts w:hint="eastAsia" w:cs="宋体"/>
          <w:color w:val="auto"/>
        </w:rPr>
      </w:pPr>
      <w:r>
        <w:rPr>
          <w:rFonts w:hint="eastAsia" w:cs="宋体"/>
          <w:color w:val="auto"/>
        </w:rPr>
        <w:t>第五章  采购需求</w:t>
      </w:r>
    </w:p>
    <w:p w14:paraId="7E38261A">
      <w:pPr>
        <w:rPr>
          <w:rFonts w:hint="eastAsia" w:cs="宋体"/>
          <w:color w:val="auto"/>
        </w:rPr>
      </w:pPr>
      <w:r>
        <w:rPr>
          <w:rFonts w:hint="eastAsia" w:cs="宋体"/>
          <w:color w:val="auto"/>
        </w:rPr>
        <w:t>第六章  资格审查</w:t>
      </w:r>
    </w:p>
    <w:p w14:paraId="4B1AA902">
      <w:pPr>
        <w:rPr>
          <w:rFonts w:hint="eastAsia" w:cs="宋体"/>
          <w:color w:val="auto"/>
        </w:rPr>
      </w:pPr>
      <w:r>
        <w:rPr>
          <w:rFonts w:hint="eastAsia" w:cs="宋体"/>
          <w:color w:val="auto"/>
        </w:rPr>
        <w:t>第七章  评标方法（综合评分法）</w:t>
      </w:r>
    </w:p>
    <w:p w14:paraId="58D28B6A">
      <w:pPr>
        <w:rPr>
          <w:rFonts w:hint="eastAsia" w:cs="宋体"/>
          <w:color w:val="auto"/>
        </w:rPr>
      </w:pPr>
      <w:r>
        <w:rPr>
          <w:rFonts w:hint="eastAsia" w:cs="宋体"/>
          <w:color w:val="auto"/>
        </w:rPr>
        <w:t>10.2 根据本章第11款对招标文件所作的澄清、修改，构成招标文件的组成部分。</w:t>
      </w:r>
    </w:p>
    <w:p w14:paraId="203B4B9C">
      <w:pPr>
        <w:pStyle w:val="5"/>
        <w:rPr>
          <w:rFonts w:hint="eastAsia" w:hAnsi="宋体" w:eastAsia="宋体" w:cs="宋体"/>
          <w:color w:val="auto"/>
        </w:rPr>
      </w:pPr>
      <w:bookmarkStart w:id="294" w:name="_Toc36116052"/>
      <w:bookmarkStart w:id="295" w:name="_Toc30125"/>
      <w:bookmarkStart w:id="296" w:name="_Toc35701783"/>
      <w:bookmarkStart w:id="297" w:name="_Toc35700926"/>
      <w:bookmarkStart w:id="298" w:name="_Toc31972"/>
      <w:bookmarkStart w:id="299" w:name="_Toc30559"/>
      <w:bookmarkStart w:id="300" w:name="_Toc31537"/>
      <w:bookmarkStart w:id="301" w:name="_Toc35700997"/>
      <w:r>
        <w:rPr>
          <w:rFonts w:hint="eastAsia" w:hAnsi="宋体" w:eastAsia="宋体" w:cs="宋体"/>
          <w:color w:val="auto"/>
        </w:rPr>
        <w:t>11.招标文件的询问、澄清、修改</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p w14:paraId="783CC8B3">
      <w:pPr>
        <w:rPr>
          <w:rFonts w:cs="宋体"/>
          <w:color w:val="auto"/>
        </w:rPr>
      </w:pPr>
      <w:bookmarkStart w:id="302" w:name="_Toc36116053"/>
      <w:bookmarkStart w:id="303" w:name="_Toc179632564"/>
      <w:bookmarkStart w:id="304" w:name="_Toc378239353"/>
      <w:bookmarkStart w:id="305" w:name="_Toc27271"/>
      <w:bookmarkStart w:id="306" w:name="_Toc480817645"/>
      <w:bookmarkStart w:id="307" w:name="_Toc14174"/>
      <w:bookmarkStart w:id="308" w:name="_Toc296602436"/>
      <w:bookmarkStart w:id="309" w:name="_Toc378239080"/>
      <w:bookmarkStart w:id="310" w:name="_Toc152045546"/>
      <w:bookmarkStart w:id="311" w:name="_Toc35700998"/>
      <w:bookmarkStart w:id="312" w:name="_Toc489145717"/>
      <w:bookmarkStart w:id="313" w:name="_Toc401342136"/>
      <w:bookmarkStart w:id="314" w:name="_Toc35700927"/>
      <w:bookmarkStart w:id="315" w:name="_Toc489197821"/>
      <w:bookmarkStart w:id="316" w:name="_Toc29509"/>
      <w:bookmarkStart w:id="317" w:name="_Toc488633606"/>
      <w:bookmarkStart w:id="318" w:name="_Toc10419"/>
      <w:bookmarkStart w:id="319" w:name="_Toc246996934"/>
      <w:bookmarkStart w:id="320" w:name="_Toc378239172"/>
      <w:bookmarkStart w:id="321" w:name="_Toc246996191"/>
      <w:bookmarkStart w:id="322" w:name="_Toc247085705"/>
      <w:bookmarkStart w:id="323" w:name="_Toc35701784"/>
      <w:bookmarkStart w:id="324" w:name="_Toc152042322"/>
      <w:bookmarkStart w:id="325" w:name="_Toc144974514"/>
      <w:r>
        <w:rPr>
          <w:rFonts w:hint="eastAsia" w:cs="宋体"/>
          <w:color w:val="auto"/>
        </w:rPr>
        <w:t>11.1</w:t>
      </w:r>
      <w:r>
        <w:rPr>
          <w:rFonts w:hint="eastAsia" w:ascii="宋体" w:hAnsi="宋体" w:cs="宋体"/>
          <w:color w:val="auto"/>
          <w:sz w:val="21"/>
          <w:szCs w:val="21"/>
          <w:highlight w:val="none"/>
        </w:rPr>
        <w:t>投标人应认真阅读招标文件，如有疑问的，投标人可以向采购人或采购代理机构提出询问，采购人或者采购代理机构在接到询问后的3个工作日内对投标人依法提出的询问作出答复，但答复的内容不涉及商业秘密。</w:t>
      </w:r>
    </w:p>
    <w:p w14:paraId="4EEC84BF">
      <w:pPr>
        <w:rPr>
          <w:rFonts w:cs="宋体"/>
          <w:color w:val="auto"/>
        </w:rPr>
      </w:pPr>
      <w:r>
        <w:rPr>
          <w:rFonts w:hint="eastAsia" w:cs="宋体"/>
          <w:color w:val="auto"/>
        </w:rPr>
        <w:t>11.2招标文件询问联系方式：详见《投标人须知前附表》。</w:t>
      </w:r>
    </w:p>
    <w:p w14:paraId="62AD67D4">
      <w:pPr>
        <w:rPr>
          <w:rFonts w:cs="宋体"/>
          <w:color w:val="auto"/>
        </w:rPr>
      </w:pPr>
      <w:r>
        <w:rPr>
          <w:rFonts w:hint="eastAsia" w:cs="宋体"/>
          <w:color w:val="auto"/>
        </w:rPr>
        <w:t>11.3投标人应仔细阅读和检查招标文件的全部内容。如发现缺页或附件不全，应及时向</w:t>
      </w:r>
      <w:r>
        <w:rPr>
          <w:rFonts w:hint="eastAsia" w:cs="宋体"/>
          <w:color w:val="auto"/>
          <w:lang w:eastAsia="zh-CN"/>
        </w:rPr>
        <w:t>采购人</w:t>
      </w:r>
      <w:r>
        <w:rPr>
          <w:rFonts w:hint="eastAsia" w:cs="宋体"/>
          <w:color w:val="auto"/>
        </w:rPr>
        <w:t>提出，以便补齐。投标人还应认真审核招标文件中的采购需求，如发现表中技术有误或不合理的，应要求</w:t>
      </w:r>
      <w:r>
        <w:rPr>
          <w:rFonts w:hint="eastAsia" w:cs="宋体"/>
          <w:color w:val="auto"/>
          <w:lang w:eastAsia="zh-CN"/>
        </w:rPr>
        <w:t>采购人</w:t>
      </w:r>
      <w:r>
        <w:rPr>
          <w:rFonts w:hint="eastAsia" w:cs="宋体"/>
          <w:color w:val="auto"/>
        </w:rPr>
        <w:t>对采购文件予以澄清，否则，由此产生的后果由投标人负责。招标澄清和补遗全部通过网络送达，请投标人在开标截止日前，务必查询网站信息，投标人自行登录</w:t>
      </w:r>
      <w:r>
        <w:rPr>
          <w:rFonts w:hint="eastAsia" w:ascii="宋体" w:hAnsi="宋体" w:cs="宋体"/>
          <w:color w:val="auto"/>
          <w:sz w:val="21"/>
          <w:szCs w:val="21"/>
          <w:highlight w:val="none"/>
        </w:rPr>
        <w:t>云南省政府采购网（网址：http://www.yngp.com/）</w:t>
      </w:r>
      <w:r>
        <w:rPr>
          <w:rFonts w:hint="eastAsia" w:cs="宋体"/>
          <w:color w:val="auto"/>
        </w:rPr>
        <w:t>获取澄清。</w:t>
      </w:r>
    </w:p>
    <w:p w14:paraId="3175250E">
      <w:pPr>
        <w:rPr>
          <w:rFonts w:cs="宋体"/>
          <w:color w:val="auto"/>
        </w:rPr>
      </w:pPr>
      <w:r>
        <w:rPr>
          <w:rFonts w:hint="eastAsia" w:cs="宋体"/>
          <w:color w:val="auto"/>
        </w:rPr>
        <w:t>11.4采购代理机构对已发出的招标文件进行必要澄清或者修改的，在指定采购信息发布媒体（发布媒体详见招标公告）上发布澄清公告。该澄清或者修改的内容为招标文件的组成部分。</w:t>
      </w:r>
    </w:p>
    <w:p w14:paraId="761B5948">
      <w:pPr>
        <w:rPr>
          <w:rFonts w:cs="宋体"/>
          <w:color w:val="auto"/>
        </w:rPr>
      </w:pPr>
      <w:r>
        <w:rPr>
          <w:rFonts w:hint="eastAsia" w:cs="宋体"/>
          <w:color w:val="auto"/>
        </w:rPr>
        <w:t>11.5澄清或者修改的内容可能影响投标文件编制的，采购代理机构于投标截止时间15日前，以书面形式通知所有获取招标文件的潜在投标人；不足15日的，顺延提交投标文件的截止时间。具体内容详见《投标人须知前附表》。</w:t>
      </w:r>
    </w:p>
    <w:p w14:paraId="123D1F23">
      <w:pPr>
        <w:rPr>
          <w:rFonts w:cs="宋体"/>
          <w:color w:val="auto"/>
        </w:rPr>
      </w:pPr>
      <w:r>
        <w:rPr>
          <w:rFonts w:hint="eastAsia" w:cs="宋体"/>
          <w:color w:val="auto"/>
        </w:rPr>
        <w:t>11.6采购代理机构对招标文件中的涉及评标办法、评审项目等重要评审内容做出变更，将同时发布补遗文件进行说明以保证各投标人都能重新下载并用于编制电子投标文件。</w:t>
      </w:r>
    </w:p>
    <w:p w14:paraId="4DE03E7B">
      <w:pPr>
        <w:rPr>
          <w:rFonts w:cs="宋体"/>
          <w:color w:val="auto"/>
        </w:rPr>
      </w:pPr>
      <w:r>
        <w:rPr>
          <w:rFonts w:hint="eastAsia" w:cs="宋体"/>
          <w:color w:val="auto"/>
        </w:rPr>
        <w:t>11.7投标人应在截标时间前随时查看指定采购信息发布媒体（发布媒体详见招标公告）中有关该项目招标文件的答疑、补遗内容。否则，后果自负。</w:t>
      </w:r>
    </w:p>
    <w:p w14:paraId="2EC9DA70">
      <w:pPr>
        <w:rPr>
          <w:rFonts w:cs="宋体"/>
          <w:color w:val="auto"/>
        </w:rPr>
      </w:pPr>
      <w:r>
        <w:rPr>
          <w:rFonts w:hint="eastAsia" w:cs="宋体"/>
          <w:color w:val="auto"/>
        </w:rPr>
        <w:t>11.8招标文件澄清、招标文件修改文件内容均以网上发布的文件为准，当招标文件、招标文件澄清、招标文件修改文件内容前后相互矛盾时，以最后发出的为准。</w:t>
      </w:r>
    </w:p>
    <w:p w14:paraId="5F9C9695">
      <w:pPr>
        <w:pStyle w:val="44"/>
        <w:rPr>
          <w:rFonts w:hint="eastAsia" w:eastAsia="宋体" w:cs="宋体"/>
          <w:color w:val="auto"/>
        </w:rPr>
      </w:pPr>
      <w:bookmarkStart w:id="326" w:name="_Toc19569"/>
      <w:r>
        <w:rPr>
          <w:rFonts w:hint="eastAsia" w:eastAsia="宋体" w:cs="宋体"/>
          <w:color w:val="auto"/>
        </w:rPr>
        <w:t>三、投标文件</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14:paraId="1549AAEC">
      <w:pPr>
        <w:pStyle w:val="5"/>
        <w:rPr>
          <w:rFonts w:hint="eastAsia" w:hAnsi="宋体" w:eastAsia="宋体" w:cs="宋体"/>
          <w:color w:val="auto"/>
        </w:rPr>
      </w:pPr>
      <w:bookmarkStart w:id="327" w:name="_Toc489197822"/>
      <w:bookmarkStart w:id="328" w:name="_Toc35700999"/>
      <w:bookmarkStart w:id="329" w:name="_Toc489145718"/>
      <w:bookmarkStart w:id="330" w:name="_Toc35700928"/>
      <w:bookmarkStart w:id="331" w:name="_Toc35701785"/>
      <w:bookmarkStart w:id="332" w:name="_Toc17725"/>
      <w:bookmarkStart w:id="333" w:name="_Toc36116054"/>
      <w:bookmarkStart w:id="334" w:name="_Toc24463"/>
      <w:bookmarkStart w:id="335" w:name="_Toc17275"/>
      <w:bookmarkStart w:id="336" w:name="_Toc20749"/>
      <w:r>
        <w:rPr>
          <w:rFonts w:hint="eastAsia" w:hAnsi="宋体" w:eastAsia="宋体" w:cs="宋体"/>
          <w:color w:val="auto"/>
        </w:rPr>
        <w:t>12.投标文件编写注意事项</w:t>
      </w:r>
      <w:bookmarkEnd w:id="327"/>
      <w:bookmarkEnd w:id="328"/>
      <w:bookmarkEnd w:id="329"/>
      <w:bookmarkEnd w:id="330"/>
      <w:bookmarkEnd w:id="331"/>
      <w:bookmarkEnd w:id="332"/>
      <w:bookmarkEnd w:id="333"/>
      <w:bookmarkEnd w:id="334"/>
      <w:bookmarkEnd w:id="335"/>
      <w:bookmarkEnd w:id="336"/>
    </w:p>
    <w:p w14:paraId="462EDC93">
      <w:pPr>
        <w:rPr>
          <w:rFonts w:hint="eastAsia" w:cs="宋体"/>
          <w:color w:val="auto"/>
        </w:rPr>
      </w:pPr>
      <w:r>
        <w:rPr>
          <w:rFonts w:hint="eastAsia" w:cs="宋体"/>
          <w:color w:val="auto"/>
        </w:rPr>
        <w:t>12.1 投标人应仔细阅读招标文件，在完全了解采购内容、技术性能要求和商务条件后，根据招标文件要求编写投标文件。</w:t>
      </w:r>
    </w:p>
    <w:p w14:paraId="0ED0E020">
      <w:pPr>
        <w:rPr>
          <w:rFonts w:hint="eastAsia" w:cs="宋体"/>
          <w:color w:val="auto"/>
        </w:rPr>
      </w:pPr>
      <w:r>
        <w:rPr>
          <w:rFonts w:hint="eastAsia" w:cs="宋体"/>
          <w:color w:val="auto"/>
        </w:rPr>
        <w:t>12.2 对招标文件提出的实质性要求和条件作出响应是指投标人的投标文件必须对招标文件中规定的实质性要求和条件作出满足或者优于原要求和条件的承诺，并提供相应的证明材料，否则按无效处理。</w:t>
      </w:r>
    </w:p>
    <w:p w14:paraId="7E32F49A">
      <w:pPr>
        <w:pStyle w:val="5"/>
        <w:rPr>
          <w:rFonts w:hint="eastAsia" w:hAnsi="宋体" w:eastAsia="宋体" w:cs="宋体"/>
          <w:color w:val="auto"/>
        </w:rPr>
      </w:pPr>
      <w:bookmarkStart w:id="337" w:name="_Toc489197823"/>
      <w:bookmarkStart w:id="338" w:name="_Toc489145719"/>
      <w:bookmarkStart w:id="339" w:name="_Toc1869"/>
      <w:bookmarkStart w:id="340" w:name="_Toc26478"/>
      <w:bookmarkStart w:id="341" w:name="_Toc35701000"/>
      <w:bookmarkStart w:id="342" w:name="_Toc35700929"/>
      <w:bookmarkStart w:id="343" w:name="_Toc35701786"/>
      <w:bookmarkStart w:id="344" w:name="_Toc5443"/>
      <w:bookmarkStart w:id="345" w:name="_Toc14574"/>
      <w:bookmarkStart w:id="346" w:name="_Toc36116055"/>
      <w:r>
        <w:rPr>
          <w:rFonts w:hint="eastAsia" w:hAnsi="宋体" w:eastAsia="宋体" w:cs="宋体"/>
          <w:color w:val="auto"/>
        </w:rPr>
        <w:t>13.语言文字</w:t>
      </w:r>
      <w:bookmarkEnd w:id="337"/>
      <w:bookmarkEnd w:id="338"/>
      <w:bookmarkEnd w:id="339"/>
      <w:bookmarkEnd w:id="340"/>
      <w:bookmarkEnd w:id="341"/>
      <w:bookmarkEnd w:id="342"/>
      <w:bookmarkEnd w:id="343"/>
      <w:bookmarkEnd w:id="344"/>
      <w:bookmarkEnd w:id="345"/>
      <w:bookmarkEnd w:id="346"/>
    </w:p>
    <w:p w14:paraId="03DEB501">
      <w:pPr>
        <w:rPr>
          <w:rFonts w:hint="eastAsia" w:cs="宋体"/>
          <w:color w:val="auto"/>
        </w:rPr>
      </w:pPr>
      <w:r>
        <w:rPr>
          <w:rFonts w:hint="eastAsia" w:cs="宋体"/>
          <w:color w:val="auto"/>
        </w:rPr>
        <w:t>13.1投标人的投标文件以及投标人与采购代理机构就有关投标的所有来往函电统一使用中文（特别规定除外）。</w:t>
      </w:r>
    </w:p>
    <w:p w14:paraId="11D2A0FC">
      <w:pPr>
        <w:pStyle w:val="5"/>
        <w:rPr>
          <w:rFonts w:hint="eastAsia" w:hAnsi="宋体" w:eastAsia="宋体" w:cs="宋体"/>
          <w:color w:val="auto"/>
        </w:rPr>
      </w:pPr>
      <w:bookmarkStart w:id="347" w:name="_Toc35701787"/>
      <w:bookmarkStart w:id="348" w:name="_Toc31124"/>
      <w:bookmarkStart w:id="349" w:name="_Toc489145720"/>
      <w:bookmarkStart w:id="350" w:name="_Toc15075"/>
      <w:bookmarkStart w:id="351" w:name="_Toc36116056"/>
      <w:bookmarkStart w:id="352" w:name="_Toc35701001"/>
      <w:bookmarkStart w:id="353" w:name="_Toc14352"/>
      <w:bookmarkStart w:id="354" w:name="_Toc20149"/>
      <w:bookmarkStart w:id="355" w:name="_Toc489197824"/>
      <w:bookmarkStart w:id="356" w:name="_Toc35700930"/>
      <w:r>
        <w:rPr>
          <w:rFonts w:hint="eastAsia" w:hAnsi="宋体" w:eastAsia="宋体" w:cs="宋体"/>
          <w:color w:val="auto"/>
        </w:rPr>
        <w:t>14.计量单位</w:t>
      </w:r>
      <w:bookmarkEnd w:id="347"/>
      <w:bookmarkEnd w:id="348"/>
      <w:bookmarkEnd w:id="349"/>
      <w:bookmarkEnd w:id="350"/>
      <w:bookmarkEnd w:id="351"/>
      <w:bookmarkEnd w:id="352"/>
      <w:bookmarkEnd w:id="353"/>
      <w:bookmarkEnd w:id="354"/>
      <w:bookmarkEnd w:id="355"/>
      <w:bookmarkEnd w:id="356"/>
    </w:p>
    <w:p w14:paraId="5876B12C">
      <w:pPr>
        <w:rPr>
          <w:rFonts w:hint="eastAsia" w:cs="宋体"/>
          <w:color w:val="auto"/>
        </w:rPr>
      </w:pPr>
      <w:r>
        <w:rPr>
          <w:rFonts w:hint="eastAsia" w:cs="宋体"/>
          <w:color w:val="auto"/>
        </w:rPr>
        <w:t>14.1投标文件中使用的计量单位除招标文件中有特殊规定外，一律使用中国法定计量单位。</w:t>
      </w:r>
    </w:p>
    <w:p w14:paraId="5C77C5B7">
      <w:pPr>
        <w:pStyle w:val="5"/>
        <w:rPr>
          <w:rFonts w:hint="eastAsia" w:hAnsi="宋体" w:eastAsia="宋体" w:cs="宋体"/>
          <w:color w:val="auto"/>
        </w:rPr>
      </w:pPr>
      <w:bookmarkStart w:id="357" w:name="_Toc152045547"/>
      <w:bookmarkStart w:id="358" w:name="_Toc24424"/>
      <w:bookmarkStart w:id="359" w:name="_Toc35701002"/>
      <w:bookmarkStart w:id="360" w:name="_Toc18157"/>
      <w:bookmarkStart w:id="361" w:name="_Toc36116057"/>
      <w:bookmarkStart w:id="362" w:name="_Toc3755"/>
      <w:bookmarkStart w:id="363" w:name="_Toc144974515"/>
      <w:bookmarkStart w:id="364" w:name="_Toc247085706"/>
      <w:bookmarkStart w:id="365" w:name="_Toc35700931"/>
      <w:bookmarkStart w:id="366" w:name="_Toc179632565"/>
      <w:bookmarkStart w:id="367" w:name="_Toc246996935"/>
      <w:bookmarkStart w:id="368" w:name="_Toc152042323"/>
      <w:bookmarkStart w:id="369" w:name="_Toc35701788"/>
      <w:bookmarkStart w:id="370" w:name="_Toc489197825"/>
      <w:bookmarkStart w:id="371" w:name="_Toc296602437"/>
      <w:bookmarkStart w:id="372" w:name="_Toc489145721"/>
      <w:bookmarkStart w:id="373" w:name="_Toc5760"/>
      <w:bookmarkStart w:id="374" w:name="_Toc246996192"/>
      <w:r>
        <w:rPr>
          <w:rFonts w:hint="eastAsia" w:hAnsi="宋体" w:eastAsia="宋体" w:cs="宋体"/>
          <w:color w:val="auto"/>
        </w:rPr>
        <w:t>15.投标文件的组成</w:t>
      </w:r>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14:paraId="79E8EA6C">
      <w:pPr>
        <w:rPr>
          <w:rFonts w:hint="eastAsia" w:cs="宋体"/>
          <w:color w:val="auto"/>
        </w:rPr>
      </w:pPr>
      <w:r>
        <w:rPr>
          <w:rFonts w:hint="eastAsia" w:cs="宋体"/>
          <w:color w:val="auto"/>
        </w:rPr>
        <w:t>15.1投标人应按招标文件第四章“投标文件格式”要求编制投标文件。</w:t>
      </w:r>
    </w:p>
    <w:p w14:paraId="7776357B">
      <w:pPr>
        <w:rPr>
          <w:rFonts w:hint="eastAsia" w:cs="宋体"/>
          <w:color w:val="auto"/>
        </w:rPr>
      </w:pPr>
      <w:r>
        <w:rPr>
          <w:rFonts w:hint="eastAsia" w:cs="宋体"/>
          <w:color w:val="auto"/>
        </w:rPr>
        <w:t>15.2投标人同时投多个标段（若分标段时）的，投标文件应按标段分别编制。</w:t>
      </w:r>
    </w:p>
    <w:p w14:paraId="0CEEA074">
      <w:pPr>
        <w:pStyle w:val="5"/>
        <w:rPr>
          <w:rFonts w:hint="eastAsia" w:hAnsi="宋体" w:eastAsia="宋体" w:cs="宋体"/>
          <w:color w:val="auto"/>
        </w:rPr>
      </w:pPr>
      <w:bookmarkStart w:id="375" w:name="_Toc36116058"/>
      <w:bookmarkStart w:id="376" w:name="_Toc35700932"/>
      <w:bookmarkStart w:id="377" w:name="_Toc20649"/>
      <w:bookmarkStart w:id="378" w:name="_Toc35701003"/>
      <w:bookmarkStart w:id="379" w:name="_Toc489145722"/>
      <w:bookmarkStart w:id="380" w:name="_Toc35701789"/>
      <w:bookmarkStart w:id="381" w:name="_Toc489197826"/>
      <w:bookmarkStart w:id="382" w:name="_Toc4167"/>
      <w:bookmarkStart w:id="383" w:name="_Toc11547"/>
      <w:bookmarkStart w:id="384" w:name="_Toc30594"/>
      <w:r>
        <w:rPr>
          <w:rFonts w:hint="eastAsia" w:hAnsi="宋体" w:eastAsia="宋体" w:cs="宋体"/>
          <w:color w:val="auto"/>
        </w:rPr>
        <w:t>16.投标文件的格式要求</w:t>
      </w:r>
      <w:bookmarkEnd w:id="375"/>
      <w:bookmarkEnd w:id="376"/>
      <w:bookmarkEnd w:id="377"/>
      <w:bookmarkEnd w:id="378"/>
      <w:bookmarkEnd w:id="379"/>
      <w:bookmarkEnd w:id="380"/>
      <w:bookmarkEnd w:id="381"/>
      <w:bookmarkEnd w:id="382"/>
      <w:bookmarkEnd w:id="383"/>
      <w:bookmarkEnd w:id="384"/>
    </w:p>
    <w:p w14:paraId="398E43DA">
      <w:pPr>
        <w:rPr>
          <w:rFonts w:hint="eastAsia" w:cs="宋体"/>
          <w:color w:val="auto"/>
        </w:rPr>
      </w:pPr>
      <w:r>
        <w:rPr>
          <w:rFonts w:hint="eastAsia" w:cs="宋体"/>
          <w:color w:val="auto"/>
        </w:rPr>
        <w:t>16.1投标人应按第四章《投标文件格式》提供的格式完整地填写，未提供格式的各投标人自拟。</w:t>
      </w:r>
    </w:p>
    <w:p w14:paraId="21CDE780">
      <w:pPr>
        <w:pStyle w:val="5"/>
        <w:rPr>
          <w:rFonts w:hint="eastAsia" w:hAnsi="宋体" w:eastAsia="宋体" w:cs="宋体"/>
          <w:color w:val="auto"/>
        </w:rPr>
      </w:pPr>
      <w:bookmarkStart w:id="385" w:name="_Toc36116059"/>
      <w:bookmarkStart w:id="386" w:name="_Toc489197827"/>
      <w:bookmarkStart w:id="387" w:name="_Toc35700933"/>
      <w:bookmarkStart w:id="388" w:name="_Toc35701790"/>
      <w:bookmarkStart w:id="389" w:name="_Toc1597"/>
      <w:bookmarkStart w:id="390" w:name="_Toc2672"/>
      <w:bookmarkStart w:id="391" w:name="_Toc25542"/>
      <w:bookmarkStart w:id="392" w:name="_Toc489145723"/>
      <w:bookmarkStart w:id="393" w:name="_Toc31987"/>
      <w:bookmarkStart w:id="394" w:name="_Toc35701004"/>
      <w:r>
        <w:rPr>
          <w:rFonts w:hint="eastAsia" w:hAnsi="宋体" w:eastAsia="宋体" w:cs="宋体"/>
          <w:color w:val="auto"/>
        </w:rPr>
        <w:t>17.投标有效期</w:t>
      </w:r>
      <w:bookmarkEnd w:id="385"/>
      <w:bookmarkEnd w:id="386"/>
      <w:bookmarkEnd w:id="387"/>
      <w:bookmarkEnd w:id="388"/>
      <w:bookmarkEnd w:id="389"/>
      <w:bookmarkEnd w:id="390"/>
      <w:bookmarkEnd w:id="391"/>
      <w:bookmarkEnd w:id="392"/>
      <w:bookmarkEnd w:id="393"/>
      <w:bookmarkEnd w:id="394"/>
    </w:p>
    <w:p w14:paraId="7336E327">
      <w:pPr>
        <w:rPr>
          <w:rFonts w:hint="eastAsia" w:cs="宋体"/>
          <w:color w:val="auto"/>
        </w:rPr>
      </w:pPr>
      <w:bookmarkStart w:id="395" w:name="_Toc246996194"/>
      <w:bookmarkStart w:id="396" w:name="_Toc179632567"/>
      <w:bookmarkStart w:id="397" w:name="_Toc144974517"/>
      <w:bookmarkStart w:id="398" w:name="_Toc152045549"/>
      <w:bookmarkStart w:id="399" w:name="_Toc246996937"/>
      <w:bookmarkStart w:id="400" w:name="_Toc296602439"/>
      <w:bookmarkStart w:id="401" w:name="_Toc152042325"/>
      <w:bookmarkStart w:id="402" w:name="_Toc247085708"/>
      <w:r>
        <w:rPr>
          <w:rFonts w:hint="eastAsia" w:cs="宋体"/>
          <w:color w:val="auto"/>
        </w:rPr>
        <w:t>17.1在《投标</w:t>
      </w:r>
      <w:bookmarkEnd w:id="395"/>
      <w:bookmarkEnd w:id="396"/>
      <w:bookmarkEnd w:id="397"/>
      <w:bookmarkEnd w:id="398"/>
      <w:bookmarkEnd w:id="399"/>
      <w:bookmarkEnd w:id="400"/>
      <w:bookmarkEnd w:id="401"/>
      <w:bookmarkEnd w:id="402"/>
      <w:r>
        <w:rPr>
          <w:rFonts w:hint="eastAsia" w:cs="宋体"/>
          <w:color w:val="auto"/>
        </w:rPr>
        <w:t>人须知前附表》规定的有效期内，投标人不得要求撤销或修改其投标文件。</w:t>
      </w:r>
    </w:p>
    <w:p w14:paraId="1BB53E37">
      <w:pPr>
        <w:rPr>
          <w:rFonts w:hint="eastAsia" w:cs="宋体"/>
          <w:color w:val="auto"/>
        </w:rPr>
      </w:pPr>
      <w:r>
        <w:rPr>
          <w:rFonts w:hint="eastAsia" w:cs="宋体"/>
          <w:color w:val="auto"/>
        </w:rPr>
        <w:t>17.2 因特殊情况需要延长投标文件有效期的，采购代理机构以书面形式通知所有投标人延长有效期。投标人同意延长的，应相应延长其投标文件中所有内容及投标保证金的有效期，但不得要求或被允许修改或撤销其投标文件；投标人拒绝延长的，其投标文件失效，但投标人有权收回其投标保证金。</w:t>
      </w:r>
    </w:p>
    <w:p w14:paraId="7D8143DD">
      <w:pPr>
        <w:pStyle w:val="5"/>
        <w:rPr>
          <w:rFonts w:hint="eastAsia" w:ascii="宋体" w:hAnsi="宋体" w:eastAsia="宋体" w:cs="宋体"/>
          <w:color w:val="auto"/>
        </w:rPr>
      </w:pPr>
      <w:bookmarkStart w:id="403" w:name="_Toc489197828"/>
      <w:bookmarkStart w:id="404" w:name="_Toc23280"/>
      <w:bookmarkStart w:id="405" w:name="_Toc35701791"/>
      <w:bookmarkStart w:id="406" w:name="_Toc174628184"/>
      <w:bookmarkStart w:id="407" w:name="_Toc489145724"/>
      <w:bookmarkStart w:id="408" w:name="_Toc35701005"/>
      <w:bookmarkStart w:id="409" w:name="_Toc35700934"/>
      <w:bookmarkStart w:id="410" w:name="_Toc15292"/>
      <w:bookmarkStart w:id="411" w:name="_Toc30355"/>
      <w:bookmarkStart w:id="412" w:name="_Toc36116060"/>
      <w:bookmarkStart w:id="413" w:name="_Toc17171"/>
      <w:bookmarkStart w:id="414" w:name="_Toc35700935"/>
      <w:bookmarkStart w:id="415" w:name="_Toc746"/>
      <w:bookmarkStart w:id="416" w:name="_Toc27848"/>
      <w:bookmarkStart w:id="417" w:name="_Toc35701006"/>
      <w:bookmarkStart w:id="418" w:name="_Toc489197829"/>
      <w:bookmarkStart w:id="419" w:name="_Toc489145725"/>
      <w:bookmarkStart w:id="420" w:name="_Toc36116061"/>
      <w:bookmarkStart w:id="421" w:name="_Toc35701792"/>
      <w:bookmarkStart w:id="422" w:name="_Toc24436"/>
      <w:r>
        <w:rPr>
          <w:rFonts w:hint="eastAsia" w:ascii="宋体" w:hAnsi="宋体" w:eastAsia="宋体" w:cs="宋体"/>
          <w:color w:val="auto"/>
        </w:rPr>
        <w:t>18.投标保证金</w:t>
      </w:r>
      <w:bookmarkEnd w:id="403"/>
      <w:bookmarkEnd w:id="404"/>
      <w:bookmarkEnd w:id="405"/>
      <w:bookmarkEnd w:id="406"/>
      <w:bookmarkEnd w:id="407"/>
      <w:bookmarkEnd w:id="408"/>
      <w:bookmarkEnd w:id="409"/>
      <w:bookmarkEnd w:id="410"/>
      <w:bookmarkEnd w:id="411"/>
      <w:bookmarkEnd w:id="412"/>
      <w:bookmarkEnd w:id="413"/>
    </w:p>
    <w:p w14:paraId="53C0DE14">
      <w:pPr>
        <w:rPr>
          <w:rFonts w:hint="eastAsia" w:ascii="宋体" w:hAnsi="宋体" w:eastAsia="宋体" w:cs="宋体"/>
          <w:color w:val="auto"/>
        </w:rPr>
      </w:pPr>
      <w:r>
        <w:rPr>
          <w:rFonts w:hint="eastAsia" w:ascii="宋体" w:hAnsi="宋体" w:eastAsia="宋体" w:cs="宋体"/>
          <w:color w:val="auto"/>
          <w:lang w:val="en-US" w:eastAsia="zh-CN"/>
        </w:rPr>
        <w:t>18</w:t>
      </w:r>
      <w:r>
        <w:rPr>
          <w:rFonts w:hint="eastAsia" w:ascii="宋体" w:hAnsi="宋体" w:eastAsia="宋体" w:cs="宋体"/>
          <w:color w:val="auto"/>
        </w:rPr>
        <w:t>.1</w:t>
      </w:r>
      <w:r>
        <w:rPr>
          <w:rFonts w:hint="eastAsia" w:ascii="宋体" w:hAnsi="宋体" w:eastAsia="宋体" w:cs="宋体"/>
          <w:color w:val="auto"/>
          <w:lang w:eastAsia="zh-CN"/>
        </w:rPr>
        <w:t>投标人</w:t>
      </w:r>
      <w:r>
        <w:rPr>
          <w:rFonts w:hint="eastAsia" w:ascii="宋体" w:hAnsi="宋体" w:eastAsia="宋体" w:cs="宋体"/>
          <w:color w:val="auto"/>
        </w:rPr>
        <w:t>在递交</w:t>
      </w:r>
      <w:r>
        <w:rPr>
          <w:rFonts w:hint="eastAsia" w:ascii="宋体" w:hAnsi="宋体" w:eastAsia="宋体" w:cs="宋体"/>
          <w:color w:val="auto"/>
          <w:lang w:eastAsia="zh-CN"/>
        </w:rPr>
        <w:t>投标文件</w:t>
      </w:r>
      <w:r>
        <w:rPr>
          <w:rFonts w:hint="eastAsia" w:ascii="宋体" w:hAnsi="宋体" w:eastAsia="宋体" w:cs="宋体"/>
          <w:color w:val="auto"/>
        </w:rPr>
        <w:t>的同时，应按</w:t>
      </w:r>
      <w:r>
        <w:rPr>
          <w:rFonts w:hint="eastAsia" w:ascii="宋体" w:hAnsi="宋体" w:eastAsia="宋体" w:cs="宋体"/>
          <w:color w:val="auto"/>
          <w:lang w:eastAsia="zh-CN"/>
        </w:rPr>
        <w:t>投标人</w:t>
      </w:r>
      <w:r>
        <w:rPr>
          <w:rFonts w:hint="eastAsia" w:ascii="宋体" w:hAnsi="宋体" w:eastAsia="宋体" w:cs="宋体"/>
          <w:color w:val="auto"/>
        </w:rPr>
        <w:t>须知前附表规定的金额、时限、担保形式递交</w:t>
      </w:r>
      <w:r>
        <w:rPr>
          <w:rFonts w:hint="eastAsia" w:ascii="宋体" w:hAnsi="宋体" w:eastAsia="宋体" w:cs="宋体"/>
          <w:color w:val="auto"/>
          <w:lang w:eastAsia="zh-CN"/>
        </w:rPr>
        <w:t>投标保证金</w:t>
      </w:r>
      <w:r>
        <w:rPr>
          <w:rFonts w:hint="eastAsia" w:ascii="宋体" w:hAnsi="宋体" w:eastAsia="宋体" w:cs="宋体"/>
          <w:color w:val="auto"/>
        </w:rPr>
        <w:t>，并作为其</w:t>
      </w:r>
      <w:r>
        <w:rPr>
          <w:rFonts w:hint="eastAsia" w:ascii="宋体" w:hAnsi="宋体" w:eastAsia="宋体" w:cs="宋体"/>
          <w:color w:val="auto"/>
          <w:lang w:eastAsia="zh-CN"/>
        </w:rPr>
        <w:t>投标文件</w:t>
      </w:r>
      <w:r>
        <w:rPr>
          <w:rFonts w:hint="eastAsia" w:ascii="宋体" w:hAnsi="宋体" w:eastAsia="宋体" w:cs="宋体"/>
          <w:color w:val="auto"/>
        </w:rPr>
        <w:t>的组成部分，保证金的有效期应符合</w:t>
      </w:r>
      <w:r>
        <w:rPr>
          <w:rFonts w:hint="eastAsia" w:ascii="宋体" w:hAnsi="宋体" w:eastAsia="宋体" w:cs="宋体"/>
          <w:color w:val="auto"/>
          <w:lang w:eastAsia="zh-CN"/>
        </w:rPr>
        <w:t>招标文件</w:t>
      </w:r>
      <w:r>
        <w:rPr>
          <w:rFonts w:hint="eastAsia" w:ascii="宋体" w:hAnsi="宋体" w:eastAsia="宋体" w:cs="宋体"/>
          <w:color w:val="auto"/>
        </w:rPr>
        <w:t>规定并在</w:t>
      </w:r>
      <w:r>
        <w:rPr>
          <w:rFonts w:hint="eastAsia" w:ascii="宋体" w:hAnsi="宋体" w:eastAsia="宋体" w:cs="宋体"/>
          <w:color w:val="auto"/>
          <w:lang w:eastAsia="zh-CN"/>
        </w:rPr>
        <w:t>投标文件</w:t>
      </w:r>
      <w:r>
        <w:rPr>
          <w:rFonts w:hint="eastAsia" w:ascii="宋体" w:hAnsi="宋体" w:eastAsia="宋体" w:cs="宋体"/>
          <w:color w:val="auto"/>
        </w:rPr>
        <w:t>中提供保证金交纳凭据的</w:t>
      </w:r>
      <w:r>
        <w:rPr>
          <w:rFonts w:hint="eastAsia" w:ascii="宋体" w:hAnsi="宋体" w:eastAsia="宋体" w:cs="宋体"/>
          <w:color w:val="auto"/>
          <w:lang w:eastAsia="zh-CN"/>
        </w:rPr>
        <w:t>扫描</w:t>
      </w:r>
      <w:r>
        <w:rPr>
          <w:rFonts w:hint="eastAsia" w:ascii="宋体" w:hAnsi="宋体" w:eastAsia="宋体" w:cs="宋体"/>
          <w:color w:val="auto"/>
        </w:rPr>
        <w:t>件，否则为无效保证金。</w:t>
      </w:r>
    </w:p>
    <w:p w14:paraId="2EF0A1ED">
      <w:pPr>
        <w:rPr>
          <w:rFonts w:hint="eastAsia" w:ascii="宋体" w:hAnsi="宋体" w:eastAsia="宋体" w:cs="宋体"/>
          <w:color w:val="auto"/>
        </w:rPr>
      </w:pPr>
      <w:r>
        <w:rPr>
          <w:rFonts w:hint="eastAsia" w:ascii="宋体" w:hAnsi="宋体" w:eastAsia="宋体" w:cs="宋体"/>
          <w:color w:val="auto"/>
          <w:lang w:val="en-US" w:eastAsia="zh-CN"/>
        </w:rPr>
        <w:t>18</w:t>
      </w:r>
      <w:r>
        <w:rPr>
          <w:rFonts w:hint="eastAsia" w:ascii="宋体" w:hAnsi="宋体" w:eastAsia="宋体" w:cs="宋体"/>
          <w:color w:val="auto"/>
        </w:rPr>
        <w:t>.2 办理保证金手续时，请务必在银行进账单或电汇单的用途栏或空白栏上注明项目</w:t>
      </w:r>
      <w:r>
        <w:rPr>
          <w:rFonts w:hint="eastAsia" w:ascii="宋体" w:hAnsi="宋体" w:eastAsia="宋体" w:cs="宋体"/>
          <w:color w:val="auto"/>
          <w:lang w:val="en-US" w:eastAsia="zh-CN"/>
        </w:rPr>
        <w:t>名称</w:t>
      </w:r>
      <w:r>
        <w:rPr>
          <w:rFonts w:hint="eastAsia" w:ascii="宋体" w:hAnsi="宋体" w:eastAsia="宋体" w:cs="宋体"/>
          <w:color w:val="auto"/>
          <w:lang w:eastAsia="zh-CN"/>
        </w:rPr>
        <w:t>（可简写）</w:t>
      </w:r>
      <w:r>
        <w:rPr>
          <w:rFonts w:hint="eastAsia" w:ascii="宋体" w:hAnsi="宋体" w:eastAsia="宋体" w:cs="宋体"/>
          <w:color w:val="auto"/>
        </w:rPr>
        <w:t>。</w:t>
      </w:r>
    </w:p>
    <w:p w14:paraId="7521FAA5">
      <w:pPr>
        <w:rPr>
          <w:rFonts w:hint="eastAsia" w:ascii="宋体" w:hAnsi="宋体" w:eastAsia="宋体" w:cs="宋体"/>
          <w:color w:val="auto"/>
        </w:rPr>
      </w:pPr>
      <w:r>
        <w:rPr>
          <w:rFonts w:hint="eastAsia" w:ascii="宋体" w:hAnsi="宋体" w:eastAsia="宋体" w:cs="宋体"/>
          <w:color w:val="auto"/>
          <w:lang w:val="en-US" w:eastAsia="zh-CN"/>
        </w:rPr>
        <w:t>18</w:t>
      </w:r>
      <w:r>
        <w:rPr>
          <w:rFonts w:hint="eastAsia" w:ascii="宋体" w:hAnsi="宋体" w:eastAsia="宋体" w:cs="宋体"/>
          <w:color w:val="auto"/>
        </w:rPr>
        <w:t xml:space="preserve">.3 </w:t>
      </w:r>
      <w:r>
        <w:rPr>
          <w:rFonts w:hint="eastAsia" w:ascii="宋体" w:hAnsi="宋体" w:eastAsia="宋体" w:cs="宋体"/>
          <w:color w:val="auto"/>
          <w:lang w:eastAsia="zh-CN"/>
        </w:rPr>
        <w:t>投标人</w:t>
      </w:r>
      <w:r>
        <w:rPr>
          <w:rFonts w:hint="eastAsia" w:ascii="宋体" w:hAnsi="宋体" w:eastAsia="宋体" w:cs="宋体"/>
          <w:color w:val="auto"/>
        </w:rPr>
        <w:t>应</w:t>
      </w:r>
      <w:r>
        <w:rPr>
          <w:rFonts w:hint="eastAsia" w:ascii="宋体" w:hAnsi="宋体" w:eastAsia="宋体" w:cs="宋体"/>
          <w:color w:val="auto"/>
          <w:lang w:eastAsia="zh-CN"/>
        </w:rPr>
        <w:t>将保证金缴纳</w:t>
      </w:r>
      <w:r>
        <w:rPr>
          <w:rFonts w:hint="eastAsia" w:ascii="宋体" w:hAnsi="宋体" w:eastAsia="宋体" w:cs="宋体"/>
          <w:color w:val="auto"/>
          <w:lang w:val="en-US" w:eastAsia="zh-CN"/>
        </w:rPr>
        <w:t>凭证</w:t>
      </w:r>
      <w:r>
        <w:rPr>
          <w:rFonts w:hint="eastAsia" w:ascii="宋体" w:hAnsi="宋体" w:eastAsia="宋体" w:cs="宋体"/>
          <w:color w:val="auto"/>
          <w:lang w:eastAsia="zh-CN"/>
        </w:rPr>
        <w:t>放于投标文件对应格式</w:t>
      </w:r>
      <w:r>
        <w:rPr>
          <w:rFonts w:hint="eastAsia" w:ascii="宋体" w:hAnsi="宋体" w:eastAsia="宋体" w:cs="宋体"/>
          <w:color w:val="auto"/>
        </w:rPr>
        <w:t>。</w:t>
      </w:r>
    </w:p>
    <w:p w14:paraId="2FE5451E">
      <w:pPr>
        <w:rPr>
          <w:rFonts w:hint="eastAsia" w:ascii="宋体" w:hAnsi="宋体" w:eastAsia="宋体" w:cs="宋体"/>
          <w:color w:val="auto"/>
        </w:rPr>
      </w:pPr>
      <w:r>
        <w:rPr>
          <w:rFonts w:hint="eastAsia" w:ascii="宋体" w:hAnsi="宋体" w:eastAsia="宋体" w:cs="宋体"/>
          <w:color w:val="auto"/>
          <w:lang w:val="en-US" w:eastAsia="zh-CN"/>
        </w:rPr>
        <w:t>18</w:t>
      </w:r>
      <w:r>
        <w:rPr>
          <w:rFonts w:hint="eastAsia" w:ascii="宋体" w:hAnsi="宋体" w:eastAsia="宋体" w:cs="宋体"/>
          <w:color w:val="auto"/>
        </w:rPr>
        <w:t>.4未成交的</w:t>
      </w:r>
      <w:r>
        <w:rPr>
          <w:rFonts w:hint="eastAsia" w:ascii="宋体" w:hAnsi="宋体" w:eastAsia="宋体" w:cs="宋体"/>
          <w:color w:val="auto"/>
          <w:lang w:eastAsia="zh-CN"/>
        </w:rPr>
        <w:t>投标人</w:t>
      </w:r>
      <w:r>
        <w:rPr>
          <w:rFonts w:hint="eastAsia" w:ascii="宋体" w:hAnsi="宋体" w:eastAsia="宋体" w:cs="宋体"/>
          <w:color w:val="auto"/>
        </w:rPr>
        <w:t>保证金将在成交通知书发出后5个工作日内退还；</w:t>
      </w:r>
      <w:r>
        <w:rPr>
          <w:rFonts w:hint="eastAsia" w:ascii="宋体" w:hAnsi="宋体" w:eastAsia="宋体" w:cs="宋体"/>
          <w:color w:val="auto"/>
          <w:lang w:eastAsia="zh-CN"/>
        </w:rPr>
        <w:t>中标人</w:t>
      </w:r>
      <w:r>
        <w:rPr>
          <w:rFonts w:hint="eastAsia" w:ascii="宋体" w:hAnsi="宋体" w:eastAsia="宋体" w:cs="宋体"/>
          <w:color w:val="auto"/>
        </w:rPr>
        <w:t>的保证金，在签订合同后5个工作日内退还。</w:t>
      </w:r>
    </w:p>
    <w:p w14:paraId="07940A13">
      <w:pPr>
        <w:rPr>
          <w:rFonts w:hint="eastAsia" w:ascii="宋体" w:hAnsi="宋体" w:eastAsia="宋体" w:cs="宋体"/>
          <w:color w:val="auto"/>
          <w:lang w:eastAsia="zh-CN"/>
        </w:rPr>
      </w:pPr>
      <w:r>
        <w:rPr>
          <w:rFonts w:hint="eastAsia" w:ascii="宋体" w:hAnsi="宋体" w:eastAsia="宋体" w:cs="宋体"/>
          <w:color w:val="auto"/>
          <w:lang w:val="en-US" w:eastAsia="zh-CN"/>
        </w:rPr>
        <w:t>18</w:t>
      </w:r>
      <w:r>
        <w:rPr>
          <w:rFonts w:hint="eastAsia" w:ascii="宋体" w:hAnsi="宋体" w:eastAsia="宋体" w:cs="宋体"/>
          <w:color w:val="auto"/>
          <w:lang w:eastAsia="zh-CN"/>
        </w:rPr>
        <w:t>.</w:t>
      </w:r>
      <w:r>
        <w:rPr>
          <w:rFonts w:hint="eastAsia" w:ascii="宋体" w:hAnsi="宋体" w:eastAsia="宋体" w:cs="宋体"/>
          <w:color w:val="auto"/>
          <w:lang w:val="en-US" w:eastAsia="zh-CN"/>
        </w:rPr>
        <w:t>5</w:t>
      </w:r>
      <w:r>
        <w:rPr>
          <w:rFonts w:hint="eastAsia" w:ascii="宋体" w:hAnsi="宋体" w:eastAsia="宋体" w:cs="宋体"/>
          <w:color w:val="auto"/>
          <w:lang w:eastAsia="zh-CN"/>
        </w:rPr>
        <w:t>保证金的退回方式：1）以银行转账、网银、电汇缴纳的保证金，以网银对公转账的方式退还到供应商打款账户；2）以支票、汇票及本票等票据方式缴纳的保证金，经财务查账确认后以对公转账的方式退还到供应商开户账户；3）以银行保函或者保证保险方式缴纳的保证金由供应商自行联系出函机构。</w:t>
      </w:r>
    </w:p>
    <w:p w14:paraId="5537AE23">
      <w:pPr>
        <w:rPr>
          <w:rFonts w:hint="eastAsia" w:ascii="宋体" w:hAnsi="宋体" w:eastAsia="宋体" w:cs="宋体"/>
          <w:color w:val="auto"/>
          <w:lang w:eastAsia="zh-CN"/>
        </w:rPr>
      </w:pPr>
      <w:r>
        <w:rPr>
          <w:rFonts w:hint="eastAsia" w:ascii="宋体" w:hAnsi="宋体" w:eastAsia="宋体" w:cs="宋体"/>
          <w:color w:val="auto"/>
          <w:lang w:val="en-US" w:eastAsia="zh-CN"/>
        </w:rPr>
        <w:t>18</w:t>
      </w:r>
      <w:r>
        <w:rPr>
          <w:rFonts w:hint="eastAsia" w:ascii="宋体" w:hAnsi="宋体" w:eastAsia="宋体" w:cs="宋体"/>
          <w:color w:val="auto"/>
          <w:lang w:eastAsia="zh-CN"/>
        </w:rPr>
        <w:t>.</w:t>
      </w:r>
      <w:r>
        <w:rPr>
          <w:rFonts w:hint="eastAsia" w:ascii="宋体" w:hAnsi="宋体" w:eastAsia="宋体" w:cs="宋体"/>
          <w:color w:val="auto"/>
          <w:lang w:val="en-US" w:eastAsia="zh-CN"/>
        </w:rPr>
        <w:t>6采购代理机构逾期退还投标保证金的，除退还投标保证金本金外，还将按中国人民银行同期贷款基准利率支付超期资金占用费，但因供应商自身原因导致无法及时退还的除外。</w:t>
      </w:r>
    </w:p>
    <w:p w14:paraId="12C901EA">
      <w:pPr>
        <w:rPr>
          <w:rFonts w:hint="eastAsia" w:ascii="宋体" w:hAnsi="宋体" w:eastAsia="宋体" w:cs="宋体"/>
          <w:color w:val="auto"/>
          <w:lang w:eastAsia="zh-CN"/>
        </w:rPr>
      </w:pPr>
      <w:r>
        <w:rPr>
          <w:rFonts w:hint="eastAsia" w:ascii="宋体" w:hAnsi="宋体" w:eastAsia="宋体" w:cs="宋体"/>
          <w:color w:val="auto"/>
          <w:lang w:val="en-US" w:eastAsia="zh-CN"/>
        </w:rPr>
        <w:t>18</w:t>
      </w:r>
      <w:r>
        <w:rPr>
          <w:rFonts w:hint="eastAsia" w:ascii="宋体" w:hAnsi="宋体" w:eastAsia="宋体" w:cs="宋体"/>
          <w:color w:val="auto"/>
          <w:lang w:eastAsia="zh-CN"/>
        </w:rPr>
        <w:t>.</w:t>
      </w:r>
      <w:r>
        <w:rPr>
          <w:rFonts w:hint="eastAsia" w:ascii="宋体" w:hAnsi="宋体" w:eastAsia="宋体" w:cs="宋体"/>
          <w:color w:val="auto"/>
          <w:lang w:val="en-US" w:eastAsia="zh-CN"/>
        </w:rPr>
        <w:t>7</w:t>
      </w:r>
      <w:r>
        <w:rPr>
          <w:rFonts w:hint="eastAsia" w:ascii="宋体" w:hAnsi="宋体" w:eastAsia="宋体" w:cs="宋体"/>
          <w:color w:val="auto"/>
          <w:lang w:eastAsia="zh-CN"/>
        </w:rPr>
        <w:t xml:space="preserve"> 下列情况发生时，保证金</w:t>
      </w:r>
      <w:r>
        <w:rPr>
          <w:rFonts w:hint="eastAsia" w:ascii="宋体" w:hAnsi="宋体" w:eastAsia="宋体" w:cs="宋体"/>
          <w:color w:val="auto"/>
          <w:lang w:val="en-US" w:eastAsia="zh-CN"/>
        </w:rPr>
        <w:t>将</w:t>
      </w:r>
      <w:r>
        <w:rPr>
          <w:rFonts w:hint="eastAsia" w:ascii="宋体" w:hAnsi="宋体" w:eastAsia="宋体" w:cs="宋体"/>
          <w:color w:val="auto"/>
          <w:lang w:eastAsia="zh-CN"/>
        </w:rPr>
        <w:t>不予退还：</w:t>
      </w:r>
    </w:p>
    <w:p w14:paraId="1762E532">
      <w:pPr>
        <w:rPr>
          <w:rFonts w:hint="eastAsia" w:ascii="宋体" w:hAnsi="宋体" w:eastAsia="宋体" w:cs="宋体"/>
          <w:color w:val="auto"/>
          <w:lang w:eastAsia="zh-CN"/>
        </w:rPr>
      </w:pPr>
      <w:r>
        <w:rPr>
          <w:rFonts w:hint="eastAsia" w:ascii="宋体" w:hAnsi="宋体" w:eastAsia="宋体" w:cs="宋体"/>
          <w:color w:val="auto"/>
          <w:lang w:eastAsia="zh-CN"/>
        </w:rPr>
        <w:t>（1）投标人在提交</w:t>
      </w:r>
      <w:r>
        <w:rPr>
          <w:rFonts w:hint="eastAsia" w:ascii="宋体" w:hAnsi="宋体" w:eastAsia="宋体" w:cs="宋体"/>
          <w:color w:val="auto"/>
          <w:lang w:val="en-US" w:eastAsia="zh-CN"/>
        </w:rPr>
        <w:t>投标</w:t>
      </w:r>
      <w:r>
        <w:rPr>
          <w:rFonts w:hint="eastAsia" w:ascii="宋体" w:hAnsi="宋体" w:eastAsia="宋体" w:cs="宋体"/>
          <w:color w:val="auto"/>
          <w:lang w:eastAsia="zh-CN"/>
        </w:rPr>
        <w:t>文件截止时间后撤回</w:t>
      </w:r>
      <w:r>
        <w:rPr>
          <w:rFonts w:hint="eastAsia" w:ascii="宋体" w:hAnsi="宋体" w:eastAsia="宋体" w:cs="宋体"/>
          <w:color w:val="auto"/>
          <w:lang w:val="en-US" w:eastAsia="zh-CN"/>
        </w:rPr>
        <w:t>投标</w:t>
      </w:r>
      <w:r>
        <w:rPr>
          <w:rFonts w:hint="eastAsia" w:ascii="宋体" w:hAnsi="宋体" w:eastAsia="宋体" w:cs="宋体"/>
          <w:color w:val="auto"/>
          <w:lang w:eastAsia="zh-CN"/>
        </w:rPr>
        <w:t>文件的；</w:t>
      </w:r>
    </w:p>
    <w:p w14:paraId="36AF73AD">
      <w:pPr>
        <w:rPr>
          <w:rFonts w:hint="eastAsia" w:ascii="宋体" w:hAnsi="宋体" w:eastAsia="宋体" w:cs="宋体"/>
          <w:color w:val="auto"/>
          <w:lang w:eastAsia="zh-CN"/>
        </w:rPr>
      </w:pPr>
      <w:r>
        <w:rPr>
          <w:rFonts w:hint="eastAsia" w:ascii="宋体" w:hAnsi="宋体" w:eastAsia="宋体" w:cs="宋体"/>
          <w:color w:val="auto"/>
          <w:lang w:eastAsia="zh-CN"/>
        </w:rPr>
        <w:t>（2）投标人在投标文件中提供虚假材料的；</w:t>
      </w:r>
    </w:p>
    <w:p w14:paraId="46086F96">
      <w:pPr>
        <w:rPr>
          <w:rFonts w:hint="eastAsia" w:ascii="宋体" w:hAnsi="宋体" w:eastAsia="宋体" w:cs="宋体"/>
          <w:color w:val="auto"/>
          <w:lang w:eastAsia="zh-CN"/>
        </w:rPr>
      </w:pPr>
      <w:r>
        <w:rPr>
          <w:rFonts w:hint="eastAsia" w:ascii="宋体" w:hAnsi="宋体" w:eastAsia="宋体" w:cs="宋体"/>
          <w:color w:val="auto"/>
          <w:lang w:eastAsia="zh-CN"/>
        </w:rPr>
        <w:t>（3）除因不可抗力或</w:t>
      </w:r>
      <w:r>
        <w:rPr>
          <w:rFonts w:hint="eastAsia" w:ascii="宋体" w:hAnsi="宋体" w:eastAsia="宋体" w:cs="宋体"/>
          <w:color w:val="auto"/>
          <w:lang w:val="en-US" w:eastAsia="zh-CN"/>
        </w:rPr>
        <w:t>招标</w:t>
      </w:r>
      <w:r>
        <w:rPr>
          <w:rFonts w:hint="eastAsia" w:ascii="宋体" w:hAnsi="宋体" w:eastAsia="宋体" w:cs="宋体"/>
          <w:color w:val="auto"/>
          <w:lang w:eastAsia="zh-CN"/>
        </w:rPr>
        <w:t>文件认可的情形以外，成交</w:t>
      </w:r>
      <w:r>
        <w:rPr>
          <w:rFonts w:hint="eastAsia" w:ascii="宋体" w:hAnsi="宋体" w:eastAsia="宋体" w:cs="宋体"/>
          <w:color w:val="auto"/>
          <w:lang w:val="en-US" w:eastAsia="zh-CN"/>
        </w:rPr>
        <w:t>供应商</w:t>
      </w:r>
      <w:r>
        <w:rPr>
          <w:rFonts w:hint="eastAsia" w:ascii="宋体" w:hAnsi="宋体" w:eastAsia="宋体" w:cs="宋体"/>
          <w:color w:val="auto"/>
          <w:lang w:eastAsia="zh-CN"/>
        </w:rPr>
        <w:t>不与采购人签订合同的；</w:t>
      </w:r>
    </w:p>
    <w:p w14:paraId="29362D9A">
      <w:pPr>
        <w:rPr>
          <w:rFonts w:hint="eastAsia" w:ascii="宋体" w:hAnsi="宋体" w:eastAsia="宋体" w:cs="宋体"/>
          <w:color w:val="auto"/>
          <w:lang w:eastAsia="zh-CN"/>
        </w:rPr>
      </w:pPr>
      <w:r>
        <w:rPr>
          <w:rFonts w:hint="eastAsia" w:ascii="宋体" w:hAnsi="宋体" w:eastAsia="宋体" w:cs="宋体"/>
          <w:color w:val="auto"/>
          <w:lang w:eastAsia="zh-CN"/>
        </w:rPr>
        <w:t>（4）投标人与采购人、其他供应商或者采购代理机构恶意串通的；</w:t>
      </w:r>
    </w:p>
    <w:p w14:paraId="3CEE3FEE">
      <w:pPr>
        <w:rPr>
          <w:rFonts w:hint="eastAsia" w:ascii="宋体" w:hAnsi="宋体" w:eastAsia="宋体" w:cs="宋体"/>
          <w:color w:val="auto"/>
          <w:lang w:eastAsia="zh-CN"/>
        </w:rPr>
      </w:pPr>
      <w:r>
        <w:rPr>
          <w:rFonts w:hint="eastAsia" w:ascii="宋体" w:hAnsi="宋体" w:eastAsia="宋体" w:cs="宋体"/>
          <w:color w:val="auto"/>
          <w:lang w:eastAsia="zh-CN"/>
        </w:rPr>
        <w:t>（5）由于投标人的原因未按规定的时间、地点与采购人签订合同的。</w:t>
      </w:r>
    </w:p>
    <w:p w14:paraId="6367468B">
      <w:pPr>
        <w:rPr>
          <w:rFonts w:hint="eastAsia"/>
          <w:color w:val="auto"/>
        </w:rPr>
      </w:pPr>
      <w:r>
        <w:rPr>
          <w:rFonts w:hint="eastAsia" w:ascii="宋体" w:hAnsi="宋体" w:eastAsia="宋体" w:cs="宋体"/>
          <w:color w:val="auto"/>
          <w:lang w:eastAsia="zh-CN"/>
        </w:rPr>
        <w:t>（6）</w:t>
      </w:r>
      <w:r>
        <w:rPr>
          <w:rFonts w:hint="eastAsia" w:ascii="宋体" w:hAnsi="宋体" w:eastAsia="宋体" w:cs="宋体"/>
          <w:color w:val="auto"/>
          <w:lang w:val="en-US" w:eastAsia="zh-CN"/>
        </w:rPr>
        <w:t>招标</w:t>
      </w:r>
      <w:r>
        <w:rPr>
          <w:rFonts w:hint="eastAsia" w:ascii="宋体" w:hAnsi="宋体" w:eastAsia="宋体" w:cs="宋体"/>
          <w:color w:val="auto"/>
          <w:lang w:eastAsia="zh-CN"/>
        </w:rPr>
        <w:t>文件规定的其他情形。</w:t>
      </w:r>
    </w:p>
    <w:p w14:paraId="60B3083E">
      <w:pPr>
        <w:pStyle w:val="5"/>
        <w:rPr>
          <w:rFonts w:hint="eastAsia" w:hAnsi="宋体" w:eastAsia="宋体" w:cs="宋体"/>
          <w:color w:val="auto"/>
        </w:rPr>
      </w:pPr>
      <w:bookmarkStart w:id="423" w:name="_Toc11134"/>
      <w:r>
        <w:rPr>
          <w:rFonts w:hint="eastAsia" w:hAnsi="宋体" w:eastAsia="宋体" w:cs="宋体"/>
          <w:color w:val="auto"/>
        </w:rPr>
        <w:t>19.投标文件的编制</w:t>
      </w:r>
      <w:bookmarkEnd w:id="414"/>
      <w:bookmarkEnd w:id="415"/>
      <w:bookmarkEnd w:id="416"/>
      <w:bookmarkEnd w:id="417"/>
      <w:bookmarkEnd w:id="418"/>
      <w:bookmarkEnd w:id="419"/>
      <w:bookmarkEnd w:id="420"/>
      <w:bookmarkEnd w:id="421"/>
      <w:bookmarkEnd w:id="422"/>
      <w:bookmarkEnd w:id="423"/>
      <w:bookmarkStart w:id="424" w:name="_Toc296602442"/>
    </w:p>
    <w:bookmarkEnd w:id="424"/>
    <w:p w14:paraId="54BE8763">
      <w:pPr>
        <w:rPr>
          <w:rFonts w:hint="eastAsia" w:ascii="宋体" w:hAnsi="宋体" w:eastAsia="宋体" w:cs="宋体"/>
          <w:color w:val="auto"/>
        </w:rPr>
      </w:pPr>
      <w:bookmarkStart w:id="425" w:name="_Toc29470"/>
      <w:bookmarkStart w:id="426" w:name="_Toc35700936"/>
      <w:bookmarkStart w:id="427" w:name="_Toc489197830"/>
      <w:bookmarkStart w:id="428" w:name="_Toc36116062"/>
      <w:bookmarkStart w:id="429" w:name="_Toc35701007"/>
      <w:bookmarkStart w:id="430" w:name="_Toc35701793"/>
      <w:bookmarkStart w:id="431" w:name="_Toc12265"/>
      <w:bookmarkStart w:id="432" w:name="_Toc489145726"/>
      <w:bookmarkStart w:id="433" w:name="_Toc24058"/>
      <w:r>
        <w:rPr>
          <w:rFonts w:hint="eastAsia" w:ascii="宋体" w:hAnsi="宋体" w:eastAsia="宋体" w:cs="宋体"/>
          <w:color w:val="auto"/>
          <w:lang w:val="en-US" w:eastAsia="zh-CN"/>
        </w:rPr>
        <w:t>19.1</w:t>
      </w:r>
      <w:r>
        <w:rPr>
          <w:rFonts w:hint="eastAsia" w:ascii="宋体" w:hAnsi="宋体" w:eastAsia="宋体" w:cs="宋体"/>
          <w:color w:val="auto"/>
        </w:rPr>
        <w:t>投标文件应按第</w:t>
      </w:r>
      <w:r>
        <w:rPr>
          <w:rFonts w:hint="eastAsia" w:ascii="宋体" w:hAnsi="宋体" w:eastAsia="宋体" w:cs="宋体"/>
          <w:color w:val="auto"/>
          <w:lang w:val="en-US" w:eastAsia="zh-CN"/>
        </w:rPr>
        <w:t>四</w:t>
      </w:r>
      <w:r>
        <w:rPr>
          <w:rFonts w:hint="eastAsia" w:ascii="宋体" w:hAnsi="宋体" w:eastAsia="宋体" w:cs="宋体"/>
          <w:color w:val="auto"/>
        </w:rPr>
        <w:t>章“投标文件格式”进行编写，如有必要，可以增加附页，作为投标文件的组成部分。其中，投标函附录在满足招标文件实质性要求的基础上，可以提出比招标文件要求更有利于采购人的承诺。</w:t>
      </w:r>
    </w:p>
    <w:p w14:paraId="679E83FD">
      <w:pPr>
        <w:rPr>
          <w:rFonts w:hint="eastAsia" w:ascii="宋体" w:hAnsi="宋体" w:eastAsia="宋体" w:cs="宋体"/>
          <w:color w:val="auto"/>
        </w:rPr>
      </w:pPr>
      <w:r>
        <w:rPr>
          <w:rFonts w:hint="eastAsia" w:ascii="宋体" w:hAnsi="宋体" w:eastAsia="宋体" w:cs="宋体"/>
          <w:color w:val="auto"/>
          <w:lang w:val="en-US" w:eastAsia="zh-CN"/>
        </w:rPr>
        <w:t>19.2</w:t>
      </w:r>
      <w:r>
        <w:rPr>
          <w:rFonts w:hint="eastAsia" w:ascii="宋体" w:hAnsi="宋体" w:eastAsia="宋体" w:cs="宋体"/>
          <w:color w:val="auto"/>
        </w:rPr>
        <w:t>投标文件应当对招标文件有关合同履</w:t>
      </w:r>
      <w:r>
        <w:rPr>
          <w:rFonts w:hint="eastAsia" w:ascii="宋体" w:hAnsi="宋体" w:eastAsia="宋体" w:cs="宋体"/>
          <w:color w:val="auto"/>
          <w:lang w:val="en-US" w:eastAsia="zh-CN"/>
        </w:rPr>
        <w:t>约</w:t>
      </w:r>
      <w:r>
        <w:rPr>
          <w:rFonts w:hint="eastAsia" w:ascii="宋体" w:hAnsi="宋体" w:eastAsia="宋体" w:cs="宋体"/>
          <w:color w:val="auto"/>
        </w:rPr>
        <w:t>期限、投标有效期、采购范围等实质性内容作出响应。</w:t>
      </w:r>
    </w:p>
    <w:p w14:paraId="4AF1D21E">
      <w:pPr>
        <w:rPr>
          <w:rFonts w:hint="eastAsia" w:cs="宋体"/>
          <w:color w:val="auto"/>
        </w:rPr>
      </w:pPr>
      <w:r>
        <w:rPr>
          <w:rFonts w:hint="eastAsia" w:cs="宋体"/>
          <w:color w:val="auto"/>
        </w:rPr>
        <w:t>19.</w:t>
      </w:r>
      <w:r>
        <w:rPr>
          <w:rFonts w:hint="eastAsia" w:cs="宋体"/>
          <w:color w:val="auto"/>
          <w:lang w:val="en-US" w:eastAsia="zh-CN"/>
        </w:rPr>
        <w:t>3</w:t>
      </w:r>
      <w:r>
        <w:rPr>
          <w:rFonts w:hint="eastAsia" w:cs="宋体"/>
          <w:color w:val="auto"/>
        </w:rPr>
        <w:t>投标文件中提供的资料（包括扫描件）、关键内容必须清晰可辨，若出现字迹潦草、表达不清、未按要求填写而导致非唯一理解，视为未实质性响应招标文件，投标人投标文件将按无效处理。</w:t>
      </w:r>
    </w:p>
    <w:p w14:paraId="3A16A151">
      <w:pPr>
        <w:pStyle w:val="5"/>
        <w:rPr>
          <w:rFonts w:hint="eastAsia" w:hAnsi="宋体" w:eastAsia="宋体" w:cs="宋体"/>
          <w:color w:val="auto"/>
        </w:rPr>
      </w:pPr>
      <w:bookmarkStart w:id="434" w:name="_Toc6646"/>
      <w:r>
        <w:rPr>
          <w:rFonts w:hint="eastAsia" w:hAnsi="宋体" w:eastAsia="宋体" w:cs="宋体"/>
          <w:color w:val="auto"/>
        </w:rPr>
        <w:t>20.投标报价和报价货币</w:t>
      </w:r>
      <w:bookmarkEnd w:id="425"/>
      <w:bookmarkEnd w:id="426"/>
      <w:bookmarkEnd w:id="427"/>
      <w:bookmarkEnd w:id="428"/>
      <w:bookmarkEnd w:id="429"/>
      <w:bookmarkEnd w:id="430"/>
      <w:bookmarkEnd w:id="431"/>
      <w:bookmarkEnd w:id="432"/>
      <w:bookmarkEnd w:id="433"/>
      <w:bookmarkEnd w:id="434"/>
      <w:bookmarkStart w:id="435" w:name="_Toc432194837"/>
      <w:bookmarkStart w:id="436" w:name="_Toc329810197"/>
      <w:bookmarkStart w:id="437" w:name="_Toc470507051"/>
      <w:bookmarkStart w:id="438" w:name="_Toc383175287"/>
      <w:bookmarkStart w:id="439" w:name="_Toc86124056"/>
      <w:bookmarkStart w:id="440" w:name="_Toc432106486"/>
      <w:bookmarkStart w:id="441" w:name="_Toc383175485"/>
      <w:bookmarkStart w:id="442" w:name="_Toc383175063"/>
      <w:bookmarkStart w:id="443" w:name="_Toc482343737"/>
    </w:p>
    <w:bookmarkEnd w:id="435"/>
    <w:bookmarkEnd w:id="436"/>
    <w:bookmarkEnd w:id="437"/>
    <w:bookmarkEnd w:id="438"/>
    <w:bookmarkEnd w:id="439"/>
    <w:bookmarkEnd w:id="440"/>
    <w:bookmarkEnd w:id="441"/>
    <w:bookmarkEnd w:id="442"/>
    <w:bookmarkEnd w:id="443"/>
    <w:p w14:paraId="113760CB">
      <w:pPr>
        <w:rPr>
          <w:rFonts w:hint="eastAsia" w:cs="宋体"/>
          <w:color w:val="auto"/>
        </w:rPr>
      </w:pPr>
      <w:bookmarkStart w:id="444" w:name="_Toc488633607"/>
      <w:bookmarkStart w:id="445" w:name="_Toc489145727"/>
      <w:bookmarkStart w:id="446" w:name="_Toc9329"/>
      <w:bookmarkStart w:id="447" w:name="_Toc489197831"/>
      <w:r>
        <w:rPr>
          <w:rFonts w:hint="eastAsia" w:cs="宋体"/>
          <w:color w:val="auto"/>
        </w:rPr>
        <w:t>20.1投标报价要求：详见《投标人须知前附表》。</w:t>
      </w:r>
    </w:p>
    <w:p w14:paraId="14890059">
      <w:pPr>
        <w:rPr>
          <w:rFonts w:hint="eastAsia" w:cs="宋体"/>
          <w:color w:val="auto"/>
        </w:rPr>
      </w:pPr>
      <w:r>
        <w:rPr>
          <w:rFonts w:hint="eastAsia" w:cs="宋体"/>
          <w:color w:val="auto"/>
        </w:rPr>
        <w:t>20.6报价货币为人民币。</w:t>
      </w:r>
    </w:p>
    <w:p w14:paraId="66DF1D70">
      <w:pPr>
        <w:pStyle w:val="44"/>
        <w:rPr>
          <w:rFonts w:hint="eastAsia" w:eastAsia="宋体" w:cs="宋体"/>
          <w:color w:val="auto"/>
        </w:rPr>
      </w:pPr>
      <w:bookmarkStart w:id="448" w:name="_Toc21144"/>
      <w:bookmarkStart w:id="449" w:name="_Toc35701008"/>
      <w:bookmarkStart w:id="450" w:name="_Toc35700937"/>
      <w:bookmarkStart w:id="451" w:name="_Toc30860"/>
      <w:bookmarkStart w:id="452" w:name="_Toc35701794"/>
      <w:bookmarkStart w:id="453" w:name="_Toc3859"/>
      <w:bookmarkStart w:id="454" w:name="_Toc36116063"/>
      <w:r>
        <w:rPr>
          <w:rFonts w:hint="eastAsia" w:eastAsia="宋体" w:cs="宋体"/>
          <w:color w:val="auto"/>
        </w:rPr>
        <w:t>四、投标</w:t>
      </w:r>
      <w:bookmarkEnd w:id="444"/>
      <w:bookmarkEnd w:id="445"/>
      <w:bookmarkEnd w:id="446"/>
      <w:bookmarkEnd w:id="447"/>
      <w:bookmarkEnd w:id="448"/>
      <w:bookmarkEnd w:id="449"/>
      <w:bookmarkEnd w:id="450"/>
      <w:bookmarkEnd w:id="451"/>
      <w:bookmarkEnd w:id="452"/>
      <w:bookmarkEnd w:id="453"/>
      <w:bookmarkEnd w:id="454"/>
    </w:p>
    <w:p w14:paraId="187939FE">
      <w:pPr>
        <w:pStyle w:val="5"/>
        <w:rPr>
          <w:rFonts w:hint="eastAsia" w:hAnsi="宋体" w:eastAsia="宋体" w:cs="宋体"/>
          <w:color w:val="auto"/>
        </w:rPr>
      </w:pPr>
      <w:bookmarkStart w:id="455" w:name="_Toc489145728"/>
      <w:bookmarkStart w:id="456" w:name="_Toc35700938"/>
      <w:bookmarkStart w:id="457" w:name="_Toc489197832"/>
      <w:bookmarkStart w:id="458" w:name="_Toc16273"/>
      <w:bookmarkStart w:id="459" w:name="_Toc35701795"/>
      <w:bookmarkStart w:id="460" w:name="_Toc23694"/>
      <w:bookmarkStart w:id="461" w:name="_Toc35701009"/>
      <w:bookmarkStart w:id="462" w:name="_Toc36116064"/>
      <w:bookmarkStart w:id="463" w:name="_Toc30358"/>
      <w:bookmarkStart w:id="464" w:name="_Toc2909"/>
      <w:r>
        <w:rPr>
          <w:rFonts w:hint="eastAsia" w:hAnsi="宋体" w:eastAsia="宋体" w:cs="宋体"/>
          <w:color w:val="auto"/>
        </w:rPr>
        <w:t>21. 投标文</w:t>
      </w:r>
      <w:bookmarkStart w:id="465" w:name="_Toc378239173"/>
      <w:bookmarkStart w:id="466" w:name="_Toc378239354"/>
      <w:bookmarkStart w:id="467" w:name="_Toc4707"/>
      <w:bookmarkStart w:id="468" w:name="_Toc296602443"/>
      <w:bookmarkStart w:id="469" w:name="_Toc378239081"/>
      <w:bookmarkStart w:id="470" w:name="_Toc480817646"/>
      <w:bookmarkStart w:id="471" w:name="_Toc401342137"/>
      <w:r>
        <w:rPr>
          <w:rFonts w:hint="eastAsia" w:hAnsi="宋体" w:eastAsia="宋体" w:cs="宋体"/>
          <w:color w:val="auto"/>
        </w:rPr>
        <w:t>件</w:t>
      </w:r>
      <w:bookmarkEnd w:id="455"/>
      <w:bookmarkEnd w:id="456"/>
      <w:bookmarkEnd w:id="457"/>
      <w:bookmarkEnd w:id="458"/>
      <w:bookmarkEnd w:id="459"/>
      <w:bookmarkEnd w:id="460"/>
      <w:bookmarkEnd w:id="461"/>
      <w:bookmarkEnd w:id="462"/>
      <w:bookmarkEnd w:id="465"/>
      <w:bookmarkEnd w:id="466"/>
      <w:bookmarkEnd w:id="467"/>
      <w:bookmarkEnd w:id="468"/>
      <w:bookmarkEnd w:id="469"/>
      <w:bookmarkEnd w:id="470"/>
      <w:bookmarkEnd w:id="471"/>
      <w:bookmarkStart w:id="472" w:name="_Toc247085714"/>
      <w:bookmarkStart w:id="473" w:name="_Toc246996943"/>
      <w:bookmarkStart w:id="474" w:name="_Toc246996200"/>
      <w:bookmarkStart w:id="475" w:name="_Toc152045556"/>
      <w:bookmarkStart w:id="476" w:name="_Toc179632574"/>
      <w:bookmarkStart w:id="477" w:name="_Toc296602444"/>
      <w:bookmarkStart w:id="478" w:name="_Toc144974524"/>
      <w:bookmarkStart w:id="479" w:name="_Toc152042332"/>
      <w:r>
        <w:rPr>
          <w:rFonts w:hint="eastAsia" w:hAnsi="宋体" w:eastAsia="宋体" w:cs="宋体"/>
          <w:color w:val="auto"/>
        </w:rPr>
        <w:t>的密封和标记</w:t>
      </w:r>
      <w:bookmarkEnd w:id="463"/>
      <w:bookmarkEnd w:id="464"/>
    </w:p>
    <w:bookmarkEnd w:id="472"/>
    <w:bookmarkEnd w:id="473"/>
    <w:bookmarkEnd w:id="474"/>
    <w:bookmarkEnd w:id="475"/>
    <w:bookmarkEnd w:id="476"/>
    <w:bookmarkEnd w:id="477"/>
    <w:bookmarkEnd w:id="478"/>
    <w:bookmarkEnd w:id="479"/>
    <w:p w14:paraId="2F073079">
      <w:pPr>
        <w:rPr>
          <w:rFonts w:hint="eastAsia" w:ascii="宋体" w:hAnsi="宋体" w:eastAsia="宋体" w:cs="宋体"/>
          <w:color w:val="auto"/>
        </w:rPr>
      </w:pPr>
      <w:bookmarkStart w:id="480" w:name="_Toc489197833"/>
      <w:bookmarkStart w:id="481" w:name="_Toc35701796"/>
      <w:bookmarkStart w:id="482" w:name="_Toc35700939"/>
      <w:bookmarkStart w:id="483" w:name="_Toc24619"/>
      <w:bookmarkStart w:id="484" w:name="_Toc35701010"/>
      <w:bookmarkStart w:id="485" w:name="_Toc489145729"/>
      <w:bookmarkStart w:id="486" w:name="_Toc17592"/>
      <w:bookmarkStart w:id="487" w:name="_Toc36116065"/>
      <w:bookmarkStart w:id="488" w:name="_Toc1516"/>
      <w:bookmarkStart w:id="489" w:name="_Toc246996944"/>
      <w:bookmarkStart w:id="490" w:name="_Toc152045557"/>
      <w:bookmarkStart w:id="491" w:name="_Toc246996201"/>
      <w:bookmarkStart w:id="492" w:name="_Toc144974525"/>
      <w:bookmarkStart w:id="493" w:name="_Toc152042333"/>
      <w:bookmarkStart w:id="494" w:name="_Toc247085715"/>
      <w:bookmarkStart w:id="495" w:name="_Toc179632575"/>
      <w:r>
        <w:rPr>
          <w:rFonts w:hint="eastAsia" w:ascii="宋体" w:hAnsi="宋体" w:eastAsia="宋体" w:cs="宋体"/>
          <w:color w:val="auto"/>
          <w:lang w:val="en-US" w:eastAsia="zh-CN"/>
        </w:rPr>
        <w:t>21</w:t>
      </w:r>
      <w:r>
        <w:rPr>
          <w:rFonts w:hint="eastAsia" w:ascii="宋体" w:hAnsi="宋体" w:eastAsia="宋体" w:cs="宋体"/>
          <w:color w:val="auto"/>
        </w:rPr>
        <w:t>.1</w:t>
      </w:r>
      <w:r>
        <w:rPr>
          <w:rFonts w:hint="eastAsia" w:ascii="宋体" w:hAnsi="宋体" w:eastAsia="宋体" w:cs="宋体"/>
          <w:color w:val="auto"/>
          <w:lang w:val="en-US" w:eastAsia="zh-CN"/>
        </w:rPr>
        <w:t>投标人</w:t>
      </w:r>
      <w:r>
        <w:rPr>
          <w:rFonts w:hint="eastAsia" w:ascii="宋体" w:hAnsi="宋体" w:eastAsia="宋体" w:cs="宋体"/>
          <w:color w:val="auto"/>
        </w:rPr>
        <w:t>进行电子交易应安装客户端软件—“政采云电子交易客户端”，并按照</w:t>
      </w:r>
      <w:r>
        <w:rPr>
          <w:rFonts w:hint="eastAsia" w:ascii="宋体" w:hAnsi="宋体" w:eastAsia="宋体" w:cs="宋体"/>
          <w:color w:val="auto"/>
          <w:lang w:val="en-US" w:eastAsia="zh-CN"/>
        </w:rPr>
        <w:t>招标</w:t>
      </w:r>
      <w:r>
        <w:rPr>
          <w:rFonts w:hint="eastAsia" w:ascii="宋体" w:hAnsi="宋体" w:eastAsia="宋体" w:cs="宋体"/>
          <w:color w:val="auto"/>
        </w:rPr>
        <w:t>文件和电子交易平台的要求编制并加密</w:t>
      </w:r>
      <w:r>
        <w:rPr>
          <w:rFonts w:hint="eastAsia" w:ascii="宋体" w:hAnsi="宋体" w:eastAsia="宋体" w:cs="宋体"/>
          <w:color w:val="auto"/>
          <w:lang w:val="en-US" w:eastAsia="zh-CN"/>
        </w:rPr>
        <w:t>投标</w:t>
      </w:r>
      <w:r>
        <w:rPr>
          <w:rFonts w:hint="eastAsia" w:ascii="宋体" w:hAnsi="宋体" w:eastAsia="宋体" w:cs="宋体"/>
          <w:color w:val="auto"/>
        </w:rPr>
        <w:t>文件。</w:t>
      </w:r>
      <w:r>
        <w:rPr>
          <w:rFonts w:hint="eastAsia" w:ascii="宋体" w:hAnsi="宋体" w:eastAsia="宋体" w:cs="宋体"/>
          <w:color w:val="auto"/>
          <w:lang w:val="en-US" w:eastAsia="zh-CN"/>
        </w:rPr>
        <w:t>投标人</w:t>
      </w:r>
      <w:r>
        <w:rPr>
          <w:rFonts w:hint="eastAsia" w:ascii="宋体" w:hAnsi="宋体" w:eastAsia="宋体" w:cs="宋体"/>
          <w:color w:val="auto"/>
        </w:rPr>
        <w:t>未按规定加密的</w:t>
      </w:r>
      <w:r>
        <w:rPr>
          <w:rFonts w:hint="eastAsia" w:ascii="宋体" w:hAnsi="宋体" w:eastAsia="宋体" w:cs="宋体"/>
          <w:color w:val="auto"/>
          <w:lang w:val="en-US" w:eastAsia="zh-CN"/>
        </w:rPr>
        <w:t>投标</w:t>
      </w:r>
      <w:r>
        <w:rPr>
          <w:rFonts w:hint="eastAsia" w:ascii="宋体" w:hAnsi="宋体" w:eastAsia="宋体" w:cs="宋体"/>
          <w:color w:val="auto"/>
        </w:rPr>
        <w:t>文件，电子交易平台将拒收并提示。</w:t>
      </w:r>
    </w:p>
    <w:p w14:paraId="6C018F94">
      <w:pPr>
        <w:rPr>
          <w:rFonts w:hint="eastAsia" w:ascii="宋体" w:hAnsi="宋体" w:eastAsia="宋体" w:cs="宋体"/>
          <w:color w:val="auto"/>
          <w:lang w:eastAsia="zh-CN"/>
        </w:rPr>
      </w:pPr>
      <w:r>
        <w:rPr>
          <w:rFonts w:hint="eastAsia" w:ascii="宋体" w:hAnsi="宋体" w:eastAsia="宋体" w:cs="宋体"/>
          <w:color w:val="auto"/>
          <w:lang w:val="en-US" w:eastAsia="zh-CN"/>
        </w:rPr>
        <w:t>21.2</w:t>
      </w:r>
      <w:r>
        <w:rPr>
          <w:rFonts w:hint="eastAsia" w:ascii="宋体" w:hAnsi="宋体" w:eastAsia="宋体" w:cs="宋体"/>
          <w:color w:val="auto"/>
        </w:rPr>
        <w:t>使用“政采云投标客户端”需要提前申领</w:t>
      </w:r>
      <w:r>
        <w:rPr>
          <w:rFonts w:hint="eastAsia" w:ascii="宋体" w:hAnsi="宋体" w:eastAsia="宋体" w:cs="宋体"/>
          <w:color w:val="auto"/>
          <w:lang w:val="en-US" w:eastAsia="zh-CN"/>
        </w:rPr>
        <w:t>数字证书（CA）</w:t>
      </w:r>
      <w:r>
        <w:rPr>
          <w:rFonts w:hint="eastAsia" w:ascii="宋体" w:hAnsi="宋体" w:eastAsia="宋体" w:cs="宋体"/>
          <w:color w:val="auto"/>
        </w:rPr>
        <w:t>，申领流程见该项目采购公告附件</w:t>
      </w:r>
      <w:r>
        <w:rPr>
          <w:rFonts w:hint="eastAsia" w:ascii="宋体" w:hAnsi="宋体" w:eastAsia="宋体" w:cs="宋体"/>
          <w:color w:val="auto"/>
          <w:lang w:eastAsia="zh-CN"/>
        </w:rPr>
        <w:t>“</w:t>
      </w:r>
      <w:r>
        <w:rPr>
          <w:rFonts w:hint="eastAsia" w:ascii="宋体" w:hAnsi="宋体" w:eastAsia="宋体" w:cs="宋体"/>
          <w:color w:val="auto"/>
          <w:lang w:val="en-US" w:eastAsia="zh-CN"/>
        </w:rPr>
        <w:t>温馨提示</w:t>
      </w:r>
      <w:r>
        <w:rPr>
          <w:rFonts w:hint="eastAsia" w:ascii="宋体" w:hAnsi="宋体" w:eastAsia="宋体" w:cs="宋体"/>
          <w:color w:val="auto"/>
          <w:lang w:eastAsia="zh-CN"/>
        </w:rPr>
        <w:t>”。</w:t>
      </w:r>
    </w:p>
    <w:p w14:paraId="3C8780CA">
      <w:pPr>
        <w:pStyle w:val="5"/>
        <w:rPr>
          <w:rFonts w:hint="eastAsia" w:ascii="宋体" w:hAnsi="宋体" w:eastAsia="宋体" w:cs="宋体"/>
          <w:color w:val="auto"/>
          <w:lang w:val="en-US" w:eastAsia="zh-CN"/>
        </w:rPr>
      </w:pPr>
      <w:bookmarkStart w:id="496" w:name="_Toc27664"/>
      <w:r>
        <w:rPr>
          <w:rFonts w:hint="eastAsia" w:ascii="宋体" w:hAnsi="宋体" w:eastAsia="宋体" w:cs="宋体"/>
          <w:b w:val="0"/>
          <w:color w:val="auto"/>
          <w:kern w:val="2"/>
          <w:sz w:val="21"/>
          <w:szCs w:val="21"/>
          <w:lang w:val="en-US" w:eastAsia="zh-CN" w:bidi="ar-SA"/>
        </w:rPr>
        <w:t>21.3为确保网上操作合法、有效和安全，投标人应当在投标文件提交截止时间前完成在“政府采购云平台”的身份认证，确保在电子交易过程中能够对相关数据电文进行加密和使用电子签名。</w:t>
      </w:r>
      <w:bookmarkEnd w:id="496"/>
      <w:r>
        <w:rPr>
          <w:rFonts w:hint="eastAsia" w:ascii="宋体" w:hAnsi="宋体" w:eastAsia="宋体" w:cs="宋体"/>
          <w:b w:val="0"/>
          <w:color w:val="auto"/>
          <w:kern w:val="2"/>
          <w:sz w:val="21"/>
          <w:szCs w:val="21"/>
          <w:lang w:val="en-US" w:eastAsia="zh-CN" w:bidi="ar-SA"/>
        </w:rPr>
        <w:t xml:space="preserve"> </w:t>
      </w:r>
      <w:r>
        <w:rPr>
          <w:rFonts w:hint="eastAsia" w:ascii="宋体" w:hAnsi="宋体" w:eastAsia="宋体" w:cs="宋体"/>
          <w:color w:val="auto"/>
          <w:lang w:val="en-US" w:eastAsia="zh-CN"/>
        </w:rPr>
        <w:t xml:space="preserve">     </w:t>
      </w:r>
    </w:p>
    <w:p w14:paraId="2B5A0486">
      <w:pPr>
        <w:pStyle w:val="5"/>
        <w:rPr>
          <w:rFonts w:hint="eastAsia" w:hAnsi="宋体" w:eastAsia="宋体" w:cs="宋体"/>
          <w:color w:val="auto"/>
        </w:rPr>
      </w:pPr>
      <w:bookmarkStart w:id="497" w:name="_Toc20467"/>
      <w:r>
        <w:rPr>
          <w:rFonts w:hint="eastAsia" w:hAnsi="宋体" w:eastAsia="宋体" w:cs="宋体"/>
          <w:color w:val="auto"/>
        </w:rPr>
        <w:t>22.投标文件的提交</w:t>
      </w:r>
      <w:bookmarkEnd w:id="480"/>
      <w:bookmarkEnd w:id="481"/>
      <w:bookmarkEnd w:id="482"/>
      <w:bookmarkEnd w:id="483"/>
      <w:bookmarkEnd w:id="484"/>
      <w:bookmarkEnd w:id="485"/>
      <w:bookmarkEnd w:id="486"/>
      <w:bookmarkEnd w:id="487"/>
      <w:bookmarkEnd w:id="488"/>
      <w:bookmarkEnd w:id="497"/>
    </w:p>
    <w:bookmarkEnd w:id="489"/>
    <w:bookmarkEnd w:id="490"/>
    <w:bookmarkEnd w:id="491"/>
    <w:bookmarkEnd w:id="492"/>
    <w:bookmarkEnd w:id="493"/>
    <w:bookmarkEnd w:id="494"/>
    <w:bookmarkEnd w:id="495"/>
    <w:p w14:paraId="23F15DB6">
      <w:pPr>
        <w:keepNext/>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olor w:val="auto"/>
          <w:sz w:val="21"/>
          <w:szCs w:val="21"/>
          <w:highlight w:val="none"/>
        </w:rPr>
      </w:pPr>
      <w:bookmarkStart w:id="498" w:name="_Toc35701797"/>
      <w:bookmarkStart w:id="499" w:name="_Toc489145730"/>
      <w:bookmarkStart w:id="500" w:name="_Toc35701011"/>
      <w:bookmarkStart w:id="501" w:name="_Toc489197834"/>
      <w:bookmarkStart w:id="502" w:name="_Toc36116066"/>
      <w:bookmarkStart w:id="503" w:name="_Toc30721"/>
      <w:bookmarkStart w:id="504" w:name="_Toc3136"/>
      <w:bookmarkStart w:id="505" w:name="_Toc35700940"/>
      <w:bookmarkStart w:id="506" w:name="_Toc12192"/>
      <w:r>
        <w:rPr>
          <w:rFonts w:hint="eastAsia" w:ascii="宋体" w:hAnsi="宋体"/>
          <w:color w:val="auto"/>
          <w:sz w:val="21"/>
          <w:szCs w:val="21"/>
          <w:highlight w:val="none"/>
          <w:lang w:val="en-US" w:eastAsia="zh-CN"/>
        </w:rPr>
        <w:t>22</w:t>
      </w:r>
      <w:r>
        <w:rPr>
          <w:rFonts w:ascii="宋体" w:hAnsi="宋体"/>
          <w:color w:val="auto"/>
          <w:sz w:val="21"/>
          <w:szCs w:val="21"/>
          <w:highlight w:val="none"/>
        </w:rPr>
        <w:t>.1</w:t>
      </w:r>
      <w:r>
        <w:rPr>
          <w:rFonts w:hint="eastAsia" w:ascii="宋体" w:hAnsi="宋体"/>
          <w:color w:val="auto"/>
          <w:sz w:val="21"/>
          <w:szCs w:val="21"/>
          <w:highlight w:val="none"/>
          <w:lang w:val="en-US" w:eastAsia="zh-CN"/>
        </w:rPr>
        <w:t>投标人</w:t>
      </w:r>
      <w:r>
        <w:rPr>
          <w:rFonts w:hint="eastAsia" w:ascii="宋体" w:hAnsi="宋体"/>
          <w:color w:val="auto"/>
          <w:sz w:val="21"/>
          <w:szCs w:val="21"/>
          <w:highlight w:val="none"/>
        </w:rPr>
        <w:t>应在</w:t>
      </w:r>
      <w:r>
        <w:rPr>
          <w:rFonts w:hint="eastAsia" w:ascii="宋体" w:hAnsi="宋体"/>
          <w:color w:val="auto"/>
          <w:sz w:val="21"/>
          <w:szCs w:val="21"/>
          <w:highlight w:val="none"/>
          <w:lang w:val="en-US" w:eastAsia="zh-CN"/>
        </w:rPr>
        <w:t>投标人</w:t>
      </w:r>
      <w:r>
        <w:rPr>
          <w:rFonts w:hint="eastAsia" w:ascii="宋体" w:hAnsi="宋体"/>
          <w:color w:val="auto"/>
          <w:sz w:val="21"/>
          <w:szCs w:val="21"/>
          <w:highlight w:val="none"/>
        </w:rPr>
        <w:t>须知前附表第</w:t>
      </w:r>
      <w:r>
        <w:rPr>
          <w:rFonts w:hint="eastAsia" w:ascii="宋体" w:hAnsi="宋体"/>
          <w:color w:val="auto"/>
          <w:sz w:val="21"/>
          <w:szCs w:val="21"/>
          <w:highlight w:val="none"/>
          <w:lang w:val="en-US" w:eastAsia="zh-CN"/>
        </w:rPr>
        <w:t>4.2.1</w:t>
      </w:r>
      <w:r>
        <w:rPr>
          <w:rFonts w:hint="eastAsia" w:ascii="宋体" w:hAnsi="宋体"/>
          <w:color w:val="auto"/>
          <w:sz w:val="21"/>
          <w:szCs w:val="21"/>
          <w:highlight w:val="none"/>
        </w:rPr>
        <w:t>项“提交投标文件的截止时间及地点”的规定前递交响应文件。</w:t>
      </w:r>
    </w:p>
    <w:p w14:paraId="7F978169">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同时，投标人应自行下载已上传成功的投标文件，并进行查看、解密和核验投标文件，以确保上传投标文件的正确性。</w:t>
      </w:r>
    </w:p>
    <w:p w14:paraId="5426CEB9">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hint="eastAsia"/>
          <w:color w:val="auto"/>
          <w:sz w:val="21"/>
          <w:szCs w:val="21"/>
          <w:highlight w:val="none"/>
        </w:rPr>
      </w:pPr>
      <w:r>
        <w:rPr>
          <w:rFonts w:hint="eastAsia" w:ascii="宋体" w:hAnsi="宋体"/>
          <w:color w:val="auto"/>
          <w:sz w:val="21"/>
          <w:szCs w:val="21"/>
          <w:highlight w:val="none"/>
          <w:lang w:val="en-US" w:eastAsia="zh-CN"/>
        </w:rPr>
        <w:t>22</w:t>
      </w:r>
      <w:r>
        <w:rPr>
          <w:rFonts w:ascii="宋体" w:hAnsi="宋体"/>
          <w:color w:val="auto"/>
          <w:sz w:val="21"/>
          <w:szCs w:val="21"/>
          <w:highlight w:val="none"/>
        </w:rPr>
        <w:t>.2</w:t>
      </w:r>
      <w:r>
        <w:rPr>
          <w:rFonts w:hint="eastAsia"/>
          <w:color w:val="auto"/>
          <w:sz w:val="21"/>
          <w:szCs w:val="21"/>
          <w:highlight w:val="none"/>
        </w:rPr>
        <w:t>逾期</w:t>
      </w:r>
    </w:p>
    <w:p w14:paraId="601990D7">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olor w:val="auto"/>
          <w:sz w:val="21"/>
          <w:szCs w:val="21"/>
          <w:highlight w:val="none"/>
        </w:rPr>
      </w:pPr>
      <w:r>
        <w:rPr>
          <w:rFonts w:hint="eastAsia"/>
          <w:color w:val="auto"/>
          <w:sz w:val="21"/>
          <w:szCs w:val="21"/>
          <w:highlight w:val="none"/>
        </w:rPr>
        <w:t>送达的或者未送达指定地点的</w:t>
      </w:r>
      <w:r>
        <w:rPr>
          <w:rFonts w:hint="eastAsia"/>
          <w:color w:val="auto"/>
          <w:sz w:val="21"/>
          <w:szCs w:val="21"/>
          <w:highlight w:val="none"/>
          <w:lang w:val="en-US" w:eastAsia="zh-CN"/>
        </w:rPr>
        <w:t>投标</w:t>
      </w:r>
      <w:r>
        <w:rPr>
          <w:rFonts w:hint="eastAsia"/>
          <w:color w:val="auto"/>
          <w:sz w:val="21"/>
          <w:szCs w:val="21"/>
          <w:highlight w:val="none"/>
        </w:rPr>
        <w:t>文件，采购人不予受理</w:t>
      </w:r>
      <w:r>
        <w:rPr>
          <w:rFonts w:hint="eastAsia" w:ascii="宋体" w:hAnsi="宋体"/>
          <w:color w:val="auto"/>
          <w:sz w:val="21"/>
          <w:szCs w:val="21"/>
          <w:highlight w:val="none"/>
        </w:rPr>
        <w:t>。</w:t>
      </w:r>
    </w:p>
    <w:p w14:paraId="056676A6">
      <w:pPr>
        <w:pStyle w:val="5"/>
        <w:rPr>
          <w:rFonts w:hint="eastAsia" w:hAnsi="宋体" w:eastAsia="宋体" w:cs="宋体"/>
          <w:color w:val="auto"/>
        </w:rPr>
      </w:pPr>
      <w:bookmarkStart w:id="507" w:name="_Toc15947"/>
      <w:r>
        <w:rPr>
          <w:rFonts w:hint="eastAsia" w:hAnsi="宋体" w:eastAsia="宋体" w:cs="宋体"/>
          <w:color w:val="auto"/>
        </w:rPr>
        <w:t>23.投标文件的补充、</w:t>
      </w:r>
      <w:bookmarkStart w:id="508" w:name="_Toc247085716"/>
      <w:bookmarkStart w:id="509" w:name="_Toc246996202"/>
      <w:bookmarkStart w:id="510" w:name="_Toc296602446"/>
      <w:bookmarkStart w:id="511" w:name="_Toc152045558"/>
      <w:bookmarkStart w:id="512" w:name="_Toc179632576"/>
      <w:bookmarkStart w:id="513" w:name="_Toc246996945"/>
      <w:bookmarkStart w:id="514" w:name="_Toc152042334"/>
      <w:bookmarkStart w:id="515" w:name="_Toc144974526"/>
      <w:r>
        <w:rPr>
          <w:rFonts w:hint="eastAsia" w:hAnsi="宋体" w:eastAsia="宋体" w:cs="宋体"/>
          <w:color w:val="auto"/>
        </w:rPr>
        <w:t>修改或者撤回</w:t>
      </w:r>
      <w:bookmarkEnd w:id="498"/>
      <w:bookmarkEnd w:id="499"/>
      <w:bookmarkEnd w:id="500"/>
      <w:bookmarkEnd w:id="501"/>
      <w:bookmarkEnd w:id="502"/>
      <w:bookmarkEnd w:id="503"/>
      <w:bookmarkEnd w:id="504"/>
      <w:bookmarkEnd w:id="505"/>
      <w:bookmarkEnd w:id="506"/>
      <w:bookmarkEnd w:id="507"/>
    </w:p>
    <w:bookmarkEnd w:id="508"/>
    <w:bookmarkEnd w:id="509"/>
    <w:bookmarkEnd w:id="510"/>
    <w:bookmarkEnd w:id="511"/>
    <w:bookmarkEnd w:id="512"/>
    <w:bookmarkEnd w:id="513"/>
    <w:bookmarkEnd w:id="514"/>
    <w:bookmarkEnd w:id="515"/>
    <w:p w14:paraId="3930C4BE">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olor w:val="auto"/>
          <w:sz w:val="21"/>
          <w:szCs w:val="21"/>
          <w:highlight w:val="none"/>
        </w:rPr>
      </w:pPr>
      <w:bookmarkStart w:id="516" w:name="_Toc35701012"/>
      <w:bookmarkStart w:id="517" w:name="_Toc20918"/>
      <w:bookmarkStart w:id="518" w:name="_Toc489197835"/>
      <w:bookmarkStart w:id="519" w:name="_Toc488633608"/>
      <w:bookmarkStart w:id="520" w:name="_Toc17923"/>
      <w:bookmarkStart w:id="521" w:name="_Toc35700941"/>
      <w:bookmarkStart w:id="522" w:name="_Toc489145731"/>
      <w:bookmarkStart w:id="523" w:name="_Toc19302"/>
      <w:bookmarkStart w:id="524" w:name="_Toc36116067"/>
      <w:bookmarkStart w:id="525" w:name="_Toc35701798"/>
      <w:r>
        <w:rPr>
          <w:rFonts w:hint="eastAsia" w:ascii="宋体" w:hAnsi="宋体" w:eastAsia="宋体"/>
          <w:color w:val="auto"/>
          <w:sz w:val="21"/>
          <w:szCs w:val="21"/>
          <w:highlight w:val="none"/>
          <w:lang w:val="en-US" w:eastAsia="zh-CN"/>
        </w:rPr>
        <w:t>23</w:t>
      </w:r>
      <w:r>
        <w:rPr>
          <w:rFonts w:hint="eastAsia" w:ascii="宋体" w:hAnsi="宋体" w:eastAsia="宋体"/>
          <w:color w:val="auto"/>
          <w:sz w:val="21"/>
          <w:szCs w:val="21"/>
          <w:highlight w:val="none"/>
        </w:rPr>
        <w:t>.1在投标截止时间前，投标人可以撤回在网上已递交的投标文件，修改后重新递交，无须书面形式通知采购人。</w:t>
      </w:r>
    </w:p>
    <w:p w14:paraId="3B1BDE8E">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23</w:t>
      </w: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eastAsia="zh-CN"/>
        </w:rPr>
        <w:t>2</w:t>
      </w:r>
      <w:r>
        <w:rPr>
          <w:rFonts w:hint="eastAsia" w:ascii="宋体" w:hAnsi="宋体" w:eastAsia="宋体"/>
          <w:color w:val="auto"/>
          <w:sz w:val="21"/>
          <w:szCs w:val="21"/>
          <w:highlight w:val="none"/>
        </w:rPr>
        <w:t>修改的投标文件应按照本章第</w:t>
      </w:r>
      <w:r>
        <w:rPr>
          <w:rFonts w:hint="eastAsia" w:ascii="宋体" w:hAnsi="宋体" w:eastAsia="宋体"/>
          <w:color w:val="auto"/>
          <w:sz w:val="21"/>
          <w:szCs w:val="21"/>
          <w:highlight w:val="none"/>
          <w:lang w:val="en-US" w:eastAsia="zh-CN"/>
        </w:rPr>
        <w:t>21</w:t>
      </w:r>
      <w:r>
        <w:rPr>
          <w:rFonts w:hint="eastAsia" w:ascii="宋体" w:hAnsi="宋体" w:eastAsia="宋体"/>
          <w:color w:val="auto"/>
          <w:sz w:val="21"/>
          <w:szCs w:val="21"/>
          <w:highlight w:val="none"/>
        </w:rPr>
        <w:t>条规定进行编制、加密和递交。</w:t>
      </w:r>
    </w:p>
    <w:p w14:paraId="250C65A9">
      <w:pPr>
        <w:pStyle w:val="44"/>
        <w:rPr>
          <w:rFonts w:hint="eastAsia" w:eastAsia="宋体" w:cs="宋体"/>
          <w:color w:val="auto"/>
        </w:rPr>
      </w:pPr>
      <w:bookmarkStart w:id="526" w:name="_Toc24943"/>
      <w:r>
        <w:rPr>
          <w:rFonts w:hint="eastAsia" w:eastAsia="宋体" w:cs="宋体"/>
          <w:color w:val="auto"/>
        </w:rPr>
        <w:t>五、开标</w:t>
      </w:r>
      <w:bookmarkEnd w:id="516"/>
      <w:bookmarkEnd w:id="517"/>
      <w:bookmarkEnd w:id="518"/>
      <w:bookmarkEnd w:id="519"/>
      <w:bookmarkEnd w:id="520"/>
      <w:bookmarkEnd w:id="521"/>
      <w:bookmarkEnd w:id="522"/>
      <w:bookmarkEnd w:id="523"/>
      <w:bookmarkEnd w:id="524"/>
      <w:bookmarkEnd w:id="525"/>
      <w:bookmarkEnd w:id="526"/>
    </w:p>
    <w:p w14:paraId="67A4BE50">
      <w:pPr>
        <w:pStyle w:val="5"/>
        <w:rPr>
          <w:rFonts w:hint="eastAsia" w:hAnsi="宋体" w:eastAsia="宋体" w:cs="宋体"/>
          <w:color w:val="auto"/>
        </w:rPr>
      </w:pPr>
      <w:bookmarkStart w:id="527" w:name="_Toc489145732"/>
      <w:bookmarkStart w:id="528" w:name="_Toc35701799"/>
      <w:bookmarkStart w:id="529" w:name="_Toc36116068"/>
      <w:bookmarkStart w:id="530" w:name="_Toc22434"/>
      <w:bookmarkStart w:id="531" w:name="_Toc35701013"/>
      <w:bookmarkStart w:id="532" w:name="_Toc489197836"/>
      <w:bookmarkStart w:id="533" w:name="_Toc35700942"/>
      <w:bookmarkStart w:id="534" w:name="_Toc3421"/>
      <w:bookmarkStart w:id="535" w:name="_Toc14273"/>
      <w:bookmarkStart w:id="536" w:name="_Toc27380"/>
      <w:r>
        <w:rPr>
          <w:rFonts w:hint="eastAsia" w:hAnsi="宋体" w:eastAsia="宋体" w:cs="宋体"/>
          <w:color w:val="auto"/>
        </w:rPr>
        <w:t>24.开标</w:t>
      </w:r>
      <w:bookmarkEnd w:id="527"/>
      <w:bookmarkEnd w:id="528"/>
      <w:bookmarkEnd w:id="529"/>
      <w:bookmarkEnd w:id="530"/>
      <w:bookmarkEnd w:id="531"/>
      <w:bookmarkEnd w:id="532"/>
      <w:bookmarkEnd w:id="533"/>
      <w:bookmarkEnd w:id="534"/>
      <w:bookmarkEnd w:id="535"/>
      <w:bookmarkEnd w:id="536"/>
    </w:p>
    <w:p w14:paraId="0D39B25B">
      <w:pPr>
        <w:spacing w:line="360" w:lineRule="auto"/>
        <w:rPr>
          <w:rFonts w:ascii="宋体" w:hAnsi="宋体"/>
          <w:color w:val="auto"/>
          <w:sz w:val="21"/>
          <w:szCs w:val="21"/>
        </w:rPr>
      </w:pPr>
      <w:bookmarkStart w:id="537" w:name="_Toc26790"/>
      <w:bookmarkStart w:id="538" w:name="_Toc35700943"/>
      <w:bookmarkStart w:id="539" w:name="_Toc35701800"/>
      <w:bookmarkStart w:id="540" w:name="_Toc35701014"/>
      <w:bookmarkStart w:id="541" w:name="_Toc15234"/>
      <w:bookmarkStart w:id="542" w:name="_Toc21698"/>
      <w:bookmarkStart w:id="543" w:name="_Toc36116069"/>
      <w:r>
        <w:rPr>
          <w:rFonts w:hint="eastAsia" w:ascii="宋体" w:hAnsi="宋体"/>
          <w:color w:val="auto"/>
          <w:sz w:val="21"/>
          <w:szCs w:val="21"/>
        </w:rPr>
        <w:t>2</w:t>
      </w:r>
      <w:r>
        <w:rPr>
          <w:rFonts w:ascii="宋体" w:hAnsi="宋体"/>
          <w:color w:val="auto"/>
          <w:sz w:val="21"/>
          <w:szCs w:val="21"/>
        </w:rPr>
        <w:t>4</w:t>
      </w:r>
      <w:r>
        <w:rPr>
          <w:rFonts w:hint="eastAsia" w:ascii="宋体" w:hAnsi="宋体"/>
          <w:color w:val="auto"/>
          <w:sz w:val="21"/>
          <w:szCs w:val="21"/>
        </w:rPr>
        <w:t>.1</w:t>
      </w:r>
      <w:r>
        <w:rPr>
          <w:rFonts w:hint="eastAsia" w:ascii="宋体" w:hAnsi="宋体"/>
          <w:color w:val="auto"/>
          <w:sz w:val="21"/>
          <w:szCs w:val="21"/>
          <w:lang w:eastAsia="zh-CN"/>
        </w:rPr>
        <w:t>采购代理机构</w:t>
      </w:r>
      <w:r>
        <w:rPr>
          <w:rFonts w:hint="eastAsia" w:ascii="宋体" w:hAnsi="宋体"/>
          <w:color w:val="auto"/>
          <w:sz w:val="21"/>
          <w:szCs w:val="21"/>
        </w:rPr>
        <w:t>将在“</w:t>
      </w:r>
      <w:r>
        <w:rPr>
          <w:rFonts w:hint="eastAsia" w:ascii="宋体" w:hAnsi="宋体"/>
          <w:color w:val="auto"/>
          <w:sz w:val="21"/>
          <w:szCs w:val="21"/>
          <w:lang w:eastAsia="zh-CN"/>
        </w:rPr>
        <w:t>供应商</w:t>
      </w:r>
      <w:r>
        <w:rPr>
          <w:rFonts w:hint="eastAsia" w:ascii="宋体" w:hAnsi="宋体"/>
          <w:color w:val="auto"/>
          <w:sz w:val="21"/>
          <w:szCs w:val="21"/>
        </w:rPr>
        <w:t>须知前附表”规定的时间和地点进行开标，请各</w:t>
      </w:r>
      <w:r>
        <w:rPr>
          <w:rFonts w:hint="eastAsia" w:ascii="宋体" w:hAnsi="宋体"/>
          <w:color w:val="auto"/>
          <w:sz w:val="21"/>
          <w:szCs w:val="21"/>
          <w:lang w:eastAsia="zh-CN"/>
        </w:rPr>
        <w:t>供应商</w:t>
      </w:r>
      <w:r>
        <w:rPr>
          <w:rFonts w:hint="eastAsia" w:ascii="宋体" w:hAnsi="宋体"/>
          <w:color w:val="auto"/>
          <w:sz w:val="21"/>
          <w:szCs w:val="21"/>
        </w:rPr>
        <w:t>代表准时参加线上开标会。</w:t>
      </w:r>
      <w:r>
        <w:rPr>
          <w:rFonts w:hint="eastAsia" w:ascii="宋体" w:hAnsi="宋体"/>
          <w:b/>
          <w:bCs/>
          <w:color w:val="auto"/>
          <w:sz w:val="21"/>
          <w:szCs w:val="21"/>
        </w:rPr>
        <w:t>如</w:t>
      </w:r>
      <w:r>
        <w:rPr>
          <w:rFonts w:hint="eastAsia" w:ascii="宋体" w:hAnsi="宋体"/>
          <w:b/>
          <w:bCs/>
          <w:color w:val="auto"/>
          <w:sz w:val="21"/>
          <w:szCs w:val="21"/>
          <w:lang w:eastAsia="zh-CN"/>
        </w:rPr>
        <w:t>供应商</w:t>
      </w:r>
      <w:r>
        <w:rPr>
          <w:rFonts w:hint="eastAsia" w:ascii="宋体" w:hAnsi="宋体"/>
          <w:b/>
          <w:bCs/>
          <w:color w:val="auto"/>
          <w:sz w:val="21"/>
          <w:szCs w:val="21"/>
        </w:rPr>
        <w:t>未参加开标的，视同认可开标结果</w:t>
      </w:r>
      <w:r>
        <w:rPr>
          <w:rFonts w:hint="eastAsia" w:ascii="宋体" w:hAnsi="宋体"/>
          <w:color w:val="auto"/>
          <w:sz w:val="21"/>
          <w:szCs w:val="21"/>
        </w:rPr>
        <w:t>。</w:t>
      </w:r>
    </w:p>
    <w:p w14:paraId="41EA5FC7">
      <w:pPr>
        <w:spacing w:line="360" w:lineRule="auto"/>
        <w:jc w:val="left"/>
        <w:rPr>
          <w:rFonts w:ascii="宋体" w:hAnsi="宋体"/>
          <w:color w:val="auto"/>
          <w:sz w:val="21"/>
          <w:szCs w:val="21"/>
        </w:rPr>
      </w:pPr>
      <w:r>
        <w:rPr>
          <w:rFonts w:hint="eastAsia" w:ascii="宋体" w:hAnsi="宋体"/>
          <w:color w:val="auto"/>
          <w:sz w:val="21"/>
          <w:szCs w:val="21"/>
        </w:rPr>
        <w:t>2</w:t>
      </w:r>
      <w:r>
        <w:rPr>
          <w:rFonts w:ascii="宋体" w:hAnsi="宋体"/>
          <w:color w:val="auto"/>
          <w:sz w:val="21"/>
          <w:szCs w:val="21"/>
        </w:rPr>
        <w:t>4</w:t>
      </w:r>
      <w:r>
        <w:rPr>
          <w:rFonts w:hint="eastAsia" w:ascii="宋体" w:hAnsi="宋体"/>
          <w:color w:val="auto"/>
          <w:sz w:val="21"/>
          <w:szCs w:val="21"/>
        </w:rPr>
        <w:t>.2投标截止后</w:t>
      </w:r>
      <w:r>
        <w:rPr>
          <w:rFonts w:hint="eastAsia" w:ascii="宋体" w:hAnsi="宋体"/>
          <w:color w:val="auto"/>
          <w:sz w:val="21"/>
          <w:szCs w:val="21"/>
          <w:lang w:eastAsia="zh-CN"/>
        </w:rPr>
        <w:t>供应商</w:t>
      </w:r>
      <w:r>
        <w:rPr>
          <w:rFonts w:hint="eastAsia" w:ascii="宋体" w:hAnsi="宋体"/>
          <w:color w:val="auto"/>
          <w:sz w:val="21"/>
          <w:szCs w:val="21"/>
        </w:rPr>
        <w:t>不足3家的，不得开标。</w:t>
      </w:r>
    </w:p>
    <w:p w14:paraId="6A64A277">
      <w:pPr>
        <w:spacing w:line="360" w:lineRule="auto"/>
        <w:ind w:left="2"/>
        <w:jc w:val="left"/>
        <w:rPr>
          <w:rFonts w:ascii="宋体" w:hAnsi="宋体"/>
          <w:color w:val="auto"/>
          <w:sz w:val="21"/>
          <w:szCs w:val="21"/>
        </w:rPr>
      </w:pPr>
      <w:r>
        <w:rPr>
          <w:rFonts w:hint="eastAsia" w:ascii="宋体" w:hAnsi="宋体"/>
          <w:color w:val="auto"/>
          <w:sz w:val="21"/>
          <w:szCs w:val="21"/>
        </w:rPr>
        <w:t>24.3开标会：开标会由</w:t>
      </w:r>
      <w:r>
        <w:rPr>
          <w:rFonts w:hint="eastAsia" w:ascii="宋体" w:hAnsi="宋体"/>
          <w:color w:val="auto"/>
          <w:sz w:val="21"/>
          <w:szCs w:val="21"/>
          <w:lang w:eastAsia="zh-CN"/>
        </w:rPr>
        <w:t>采购代理机构</w:t>
      </w:r>
      <w:r>
        <w:rPr>
          <w:rFonts w:hint="eastAsia" w:ascii="宋体" w:hAnsi="宋体"/>
          <w:color w:val="auto"/>
          <w:sz w:val="21"/>
          <w:szCs w:val="21"/>
        </w:rPr>
        <w:t>主持，具体流程如下：</w:t>
      </w:r>
    </w:p>
    <w:p w14:paraId="509C18A4">
      <w:pPr>
        <w:spacing w:line="360" w:lineRule="auto"/>
        <w:ind w:left="2"/>
        <w:jc w:val="left"/>
        <w:rPr>
          <w:rFonts w:ascii="宋体" w:hAnsi="宋体"/>
          <w:color w:val="auto"/>
          <w:sz w:val="21"/>
          <w:szCs w:val="21"/>
        </w:rPr>
      </w:pPr>
      <w:r>
        <w:rPr>
          <w:rFonts w:hint="eastAsia" w:ascii="宋体" w:hAnsi="宋体"/>
          <w:color w:val="auto"/>
          <w:sz w:val="21"/>
          <w:szCs w:val="21"/>
        </w:rPr>
        <w:t>（1）</w:t>
      </w:r>
      <w:r>
        <w:rPr>
          <w:rFonts w:hint="eastAsia" w:ascii="宋体" w:hAnsi="宋体"/>
          <w:color w:val="auto"/>
          <w:sz w:val="21"/>
          <w:szCs w:val="21"/>
          <w:lang w:eastAsia="zh-CN"/>
        </w:rPr>
        <w:t>采购代理机构</w:t>
      </w:r>
      <w:r>
        <w:rPr>
          <w:rFonts w:hint="eastAsia" w:ascii="宋体" w:hAnsi="宋体"/>
          <w:color w:val="auto"/>
          <w:sz w:val="21"/>
          <w:szCs w:val="21"/>
        </w:rPr>
        <w:t>依托电子交易平台发起开始解密指令，</w:t>
      </w:r>
      <w:r>
        <w:rPr>
          <w:rFonts w:hint="eastAsia" w:ascii="宋体" w:hAnsi="宋体"/>
          <w:color w:val="auto"/>
          <w:sz w:val="21"/>
          <w:szCs w:val="21"/>
          <w:lang w:eastAsia="zh-CN"/>
        </w:rPr>
        <w:t>供应商</w:t>
      </w:r>
      <w:r>
        <w:rPr>
          <w:rFonts w:hint="eastAsia" w:ascii="宋体" w:hAnsi="宋体"/>
          <w:color w:val="auto"/>
          <w:sz w:val="21"/>
          <w:szCs w:val="21"/>
        </w:rPr>
        <w:t xml:space="preserve">须使用加密时所用的 CA 锁按平台提示和招标文件的规定登录到“政采云”平台电子开标大厅签到，并在发起解密指令之时起 </w:t>
      </w:r>
      <w:r>
        <w:rPr>
          <w:rFonts w:hint="eastAsia" w:ascii="宋体" w:hAnsi="宋体"/>
          <w:color w:val="auto"/>
          <w:sz w:val="21"/>
          <w:szCs w:val="21"/>
          <w:lang w:val="en-US" w:eastAsia="zh-CN"/>
        </w:rPr>
        <w:t>30</w:t>
      </w:r>
      <w:r>
        <w:rPr>
          <w:rFonts w:hint="eastAsia" w:ascii="宋体" w:hAnsi="宋体"/>
          <w:color w:val="auto"/>
          <w:sz w:val="21"/>
          <w:szCs w:val="21"/>
        </w:rPr>
        <w:t>分钟内完成对电子投标文件在线解密。</w:t>
      </w:r>
    </w:p>
    <w:p w14:paraId="6B6CBF62">
      <w:pPr>
        <w:spacing w:line="360" w:lineRule="auto"/>
        <w:ind w:left="2"/>
        <w:jc w:val="left"/>
        <w:rPr>
          <w:rFonts w:ascii="宋体" w:hAnsi="宋体"/>
          <w:color w:val="auto"/>
          <w:sz w:val="21"/>
          <w:szCs w:val="21"/>
        </w:rPr>
      </w:pPr>
      <w:r>
        <w:rPr>
          <w:rFonts w:hint="eastAsia" w:ascii="宋体" w:hAnsi="宋体"/>
          <w:color w:val="auto"/>
          <w:sz w:val="21"/>
          <w:szCs w:val="21"/>
        </w:rPr>
        <w:t>（2）发起解密指令之时起5分钟内</w:t>
      </w:r>
      <w:r>
        <w:rPr>
          <w:rFonts w:hint="eastAsia" w:ascii="宋体" w:hAnsi="宋体"/>
          <w:color w:val="auto"/>
          <w:sz w:val="21"/>
          <w:szCs w:val="21"/>
          <w:lang w:eastAsia="zh-CN"/>
        </w:rPr>
        <w:t>供应商</w:t>
      </w:r>
      <w:r>
        <w:rPr>
          <w:rFonts w:hint="eastAsia" w:ascii="宋体" w:hAnsi="宋体"/>
          <w:color w:val="auto"/>
          <w:sz w:val="21"/>
          <w:szCs w:val="21"/>
        </w:rPr>
        <w:t>还未进行解密的，代理机构可通知</w:t>
      </w:r>
      <w:r>
        <w:rPr>
          <w:rFonts w:hint="eastAsia" w:ascii="宋体" w:hAnsi="宋体"/>
          <w:color w:val="auto"/>
          <w:sz w:val="21"/>
          <w:szCs w:val="21"/>
          <w:lang w:eastAsia="zh-CN"/>
        </w:rPr>
        <w:t>供应商</w:t>
      </w:r>
      <w:r>
        <w:rPr>
          <w:rFonts w:hint="eastAsia" w:ascii="宋体" w:hAnsi="宋体"/>
          <w:color w:val="auto"/>
          <w:sz w:val="21"/>
          <w:szCs w:val="21"/>
        </w:rPr>
        <w:t>，</w:t>
      </w:r>
      <w:r>
        <w:rPr>
          <w:rFonts w:hint="eastAsia" w:ascii="宋体" w:hAnsi="宋体"/>
          <w:color w:val="auto"/>
          <w:sz w:val="21"/>
          <w:szCs w:val="21"/>
          <w:lang w:eastAsia="zh-CN"/>
        </w:rPr>
        <w:t>供应商</w:t>
      </w:r>
      <w:r>
        <w:rPr>
          <w:rFonts w:hint="eastAsia" w:ascii="宋体" w:hAnsi="宋体"/>
          <w:color w:val="auto"/>
          <w:sz w:val="21"/>
          <w:szCs w:val="21"/>
        </w:rPr>
        <w:t>未预留联系方式或预留联系方式无效，导致代理机构无法联系到</w:t>
      </w:r>
      <w:r>
        <w:rPr>
          <w:rFonts w:hint="eastAsia" w:ascii="宋体" w:hAnsi="宋体"/>
          <w:color w:val="auto"/>
          <w:sz w:val="21"/>
          <w:szCs w:val="21"/>
          <w:lang w:eastAsia="zh-CN"/>
        </w:rPr>
        <w:t>供应商</w:t>
      </w:r>
      <w:r>
        <w:rPr>
          <w:rFonts w:hint="eastAsia" w:ascii="宋体" w:hAnsi="宋体"/>
          <w:color w:val="auto"/>
          <w:sz w:val="21"/>
          <w:szCs w:val="21"/>
        </w:rPr>
        <w:t>进行解密的，视为撤回投标文件。</w:t>
      </w:r>
    </w:p>
    <w:p w14:paraId="7193A73C">
      <w:pPr>
        <w:spacing w:line="360" w:lineRule="auto"/>
        <w:ind w:left="2"/>
        <w:jc w:val="left"/>
        <w:rPr>
          <w:rFonts w:ascii="宋体" w:hAnsi="宋体"/>
          <w:color w:val="auto"/>
          <w:sz w:val="21"/>
          <w:szCs w:val="21"/>
        </w:rPr>
      </w:pPr>
      <w:r>
        <w:rPr>
          <w:rFonts w:hint="eastAsia" w:ascii="宋体" w:hAnsi="宋体"/>
          <w:color w:val="auto"/>
          <w:sz w:val="21"/>
          <w:szCs w:val="21"/>
        </w:rPr>
        <w:t>（解密异常情况处理：详见本章 27.2电子交易活动的中止） 如</w:t>
      </w:r>
      <w:r>
        <w:rPr>
          <w:rFonts w:hint="eastAsia" w:ascii="宋体" w:hAnsi="宋体"/>
          <w:color w:val="auto"/>
          <w:sz w:val="21"/>
          <w:szCs w:val="21"/>
          <w:lang w:eastAsia="zh-CN"/>
        </w:rPr>
        <w:t>供应商</w:t>
      </w:r>
      <w:r>
        <w:rPr>
          <w:rFonts w:hint="eastAsia" w:ascii="宋体" w:hAnsi="宋体"/>
          <w:color w:val="auto"/>
          <w:sz w:val="21"/>
          <w:szCs w:val="21"/>
        </w:rPr>
        <w:t>成功解密投标文件，但未在“政采云”电子开标大厅参加开标的，视同认可开标过程和结果，由此产生的后果由</w:t>
      </w:r>
      <w:r>
        <w:rPr>
          <w:rFonts w:hint="eastAsia" w:ascii="宋体" w:hAnsi="宋体"/>
          <w:color w:val="auto"/>
          <w:sz w:val="21"/>
          <w:szCs w:val="21"/>
          <w:lang w:eastAsia="zh-CN"/>
        </w:rPr>
        <w:t>供应商</w:t>
      </w:r>
      <w:r>
        <w:rPr>
          <w:rFonts w:hint="eastAsia" w:ascii="宋体" w:hAnsi="宋体"/>
          <w:color w:val="auto"/>
          <w:sz w:val="21"/>
          <w:szCs w:val="21"/>
        </w:rPr>
        <w:t>自行负责。</w:t>
      </w:r>
    </w:p>
    <w:p w14:paraId="3162D5EE">
      <w:pPr>
        <w:spacing w:line="360" w:lineRule="auto"/>
        <w:ind w:left="2"/>
        <w:jc w:val="left"/>
        <w:rPr>
          <w:rFonts w:ascii="宋体" w:hAnsi="宋体"/>
          <w:color w:val="auto"/>
          <w:sz w:val="21"/>
          <w:szCs w:val="21"/>
        </w:rPr>
      </w:pPr>
      <w:r>
        <w:rPr>
          <w:rFonts w:hint="eastAsia" w:ascii="宋体" w:hAnsi="宋体"/>
          <w:color w:val="auto"/>
          <w:sz w:val="21"/>
          <w:szCs w:val="21"/>
        </w:rPr>
        <w:t>24.4 开标工作人员将做开标记录。</w:t>
      </w:r>
    </w:p>
    <w:p w14:paraId="2378856E">
      <w:pPr>
        <w:pStyle w:val="14"/>
        <w:spacing w:line="360" w:lineRule="auto"/>
        <w:ind w:left="2"/>
        <w:jc w:val="left"/>
        <w:rPr>
          <w:rFonts w:hAnsi="宋体"/>
          <w:color w:val="auto"/>
          <w:sz w:val="21"/>
          <w:szCs w:val="21"/>
        </w:rPr>
      </w:pPr>
      <w:r>
        <w:rPr>
          <w:rFonts w:hint="eastAsia" w:ascii="Times New Roman" w:hAnsi="宋体"/>
          <w:color w:val="auto"/>
          <w:sz w:val="21"/>
          <w:szCs w:val="21"/>
        </w:rPr>
        <w:t xml:space="preserve">24.5 </w:t>
      </w:r>
      <w:r>
        <w:rPr>
          <w:rFonts w:hint="eastAsia" w:ascii="Times New Roman" w:hAnsi="宋体"/>
          <w:color w:val="auto"/>
          <w:sz w:val="21"/>
          <w:szCs w:val="21"/>
          <w:lang w:eastAsia="zh-CN"/>
        </w:rPr>
        <w:t>供应商</w:t>
      </w:r>
      <w:r>
        <w:rPr>
          <w:rFonts w:hint="eastAsia" w:ascii="Times New Roman" w:hAnsi="宋体"/>
          <w:color w:val="auto"/>
          <w:sz w:val="21"/>
          <w:szCs w:val="21"/>
        </w:rPr>
        <w:t>代表对开标过程和开标记录有疑义，以及认为</w:t>
      </w:r>
      <w:r>
        <w:rPr>
          <w:rFonts w:hint="eastAsia" w:ascii="Times New Roman" w:hAnsi="宋体"/>
          <w:color w:val="auto"/>
          <w:sz w:val="21"/>
          <w:szCs w:val="21"/>
          <w:lang w:eastAsia="zh-CN"/>
        </w:rPr>
        <w:t>采购人</w:t>
      </w:r>
      <w:r>
        <w:rPr>
          <w:rFonts w:hint="eastAsia" w:ascii="Times New Roman" w:hAnsi="宋体"/>
          <w:color w:val="auto"/>
          <w:sz w:val="21"/>
          <w:szCs w:val="21"/>
        </w:rPr>
        <w:t>、</w:t>
      </w:r>
      <w:r>
        <w:rPr>
          <w:rFonts w:hint="eastAsia" w:ascii="Times New Roman" w:hAnsi="宋体"/>
          <w:color w:val="auto"/>
          <w:sz w:val="21"/>
          <w:szCs w:val="21"/>
          <w:lang w:eastAsia="zh-CN"/>
        </w:rPr>
        <w:t>采购代理机构</w:t>
      </w:r>
      <w:r>
        <w:rPr>
          <w:rFonts w:hint="eastAsia" w:ascii="Times New Roman" w:hAnsi="宋体"/>
          <w:color w:val="auto"/>
          <w:sz w:val="21"/>
          <w:szCs w:val="21"/>
        </w:rPr>
        <w:t>相关工作人员有需要回避的情形的，应在线提出询问或者回避申请。</w:t>
      </w:r>
      <w:r>
        <w:rPr>
          <w:rFonts w:hint="eastAsia" w:ascii="Times New Roman" w:hAnsi="宋体"/>
          <w:color w:val="auto"/>
          <w:sz w:val="21"/>
          <w:szCs w:val="21"/>
          <w:lang w:eastAsia="zh-CN"/>
        </w:rPr>
        <w:t>采购人</w:t>
      </w:r>
      <w:r>
        <w:rPr>
          <w:rFonts w:hint="eastAsia" w:ascii="Times New Roman" w:hAnsi="宋体"/>
          <w:color w:val="auto"/>
          <w:sz w:val="21"/>
          <w:szCs w:val="21"/>
        </w:rPr>
        <w:t>、</w:t>
      </w:r>
      <w:r>
        <w:rPr>
          <w:rFonts w:hint="eastAsia" w:ascii="Times New Roman" w:hAnsi="宋体"/>
          <w:color w:val="auto"/>
          <w:sz w:val="21"/>
          <w:szCs w:val="21"/>
          <w:lang w:eastAsia="zh-CN"/>
        </w:rPr>
        <w:t>采购代理机构</w:t>
      </w:r>
      <w:r>
        <w:rPr>
          <w:rFonts w:hint="eastAsia" w:ascii="Times New Roman" w:hAnsi="宋体"/>
          <w:color w:val="auto"/>
          <w:sz w:val="21"/>
          <w:szCs w:val="21"/>
        </w:rPr>
        <w:t>对</w:t>
      </w:r>
      <w:r>
        <w:rPr>
          <w:rFonts w:hint="eastAsia" w:ascii="Times New Roman" w:hAnsi="宋体"/>
          <w:color w:val="auto"/>
          <w:sz w:val="21"/>
          <w:szCs w:val="21"/>
          <w:lang w:eastAsia="zh-CN"/>
        </w:rPr>
        <w:t>供应商</w:t>
      </w:r>
      <w:r>
        <w:rPr>
          <w:rFonts w:hint="eastAsia" w:ascii="Times New Roman" w:hAnsi="宋体"/>
          <w:color w:val="auto"/>
          <w:sz w:val="21"/>
          <w:szCs w:val="21"/>
        </w:rPr>
        <w:t>代表提出的询问或者回避申请应当及时处理。</w:t>
      </w:r>
    </w:p>
    <w:p w14:paraId="0CF52B17">
      <w:pPr>
        <w:pStyle w:val="44"/>
        <w:rPr>
          <w:rFonts w:hint="eastAsia" w:eastAsia="宋体" w:cs="宋体"/>
          <w:color w:val="auto"/>
        </w:rPr>
      </w:pPr>
      <w:bookmarkStart w:id="544" w:name="_Toc26170"/>
      <w:r>
        <w:rPr>
          <w:rFonts w:hint="eastAsia" w:eastAsia="宋体" w:cs="宋体"/>
          <w:color w:val="auto"/>
        </w:rPr>
        <w:t>六、资格审查及评标</w:t>
      </w:r>
      <w:bookmarkEnd w:id="537"/>
      <w:bookmarkEnd w:id="538"/>
      <w:bookmarkEnd w:id="539"/>
      <w:bookmarkEnd w:id="540"/>
      <w:bookmarkEnd w:id="541"/>
      <w:bookmarkEnd w:id="542"/>
      <w:bookmarkEnd w:id="543"/>
      <w:bookmarkEnd w:id="544"/>
      <w:bookmarkStart w:id="545" w:name="_Toc489145734"/>
      <w:bookmarkStart w:id="546" w:name="_Toc489197838"/>
    </w:p>
    <w:p w14:paraId="3482C249">
      <w:pPr>
        <w:pStyle w:val="5"/>
        <w:rPr>
          <w:rFonts w:hint="eastAsia" w:hAnsi="宋体" w:eastAsia="宋体" w:cs="宋体"/>
          <w:color w:val="auto"/>
        </w:rPr>
      </w:pPr>
      <w:bookmarkStart w:id="547" w:name="_Toc7221"/>
      <w:bookmarkStart w:id="548" w:name="_Toc36116070"/>
      <w:bookmarkStart w:id="549" w:name="_Toc22132"/>
      <w:bookmarkStart w:id="550" w:name="_Toc25763"/>
      <w:bookmarkStart w:id="551" w:name="_Toc35700944"/>
      <w:bookmarkStart w:id="552" w:name="_Toc35701801"/>
      <w:bookmarkStart w:id="553" w:name="_Toc35701015"/>
      <w:bookmarkStart w:id="554" w:name="_Toc25686"/>
      <w:r>
        <w:rPr>
          <w:rFonts w:hint="eastAsia" w:hAnsi="宋体" w:eastAsia="宋体" w:cs="宋体"/>
          <w:color w:val="auto"/>
        </w:rPr>
        <w:t>25.</w:t>
      </w:r>
      <w:bookmarkEnd w:id="545"/>
      <w:bookmarkEnd w:id="546"/>
      <w:r>
        <w:rPr>
          <w:rFonts w:hint="eastAsia" w:hAnsi="宋体" w:eastAsia="宋体" w:cs="宋体"/>
          <w:color w:val="auto"/>
        </w:rPr>
        <w:t>资格审查</w:t>
      </w:r>
      <w:bookmarkEnd w:id="547"/>
      <w:bookmarkEnd w:id="548"/>
      <w:bookmarkEnd w:id="549"/>
      <w:bookmarkEnd w:id="550"/>
      <w:bookmarkEnd w:id="551"/>
      <w:bookmarkEnd w:id="552"/>
      <w:bookmarkEnd w:id="553"/>
      <w:bookmarkEnd w:id="554"/>
      <w:bookmarkStart w:id="555" w:name="_Toc378239083"/>
      <w:bookmarkStart w:id="556" w:name="_Toc246996949"/>
      <w:bookmarkStart w:id="557" w:name="_Toc378239175"/>
      <w:bookmarkStart w:id="558" w:name="_Toc378239356"/>
      <w:bookmarkStart w:id="559" w:name="_Toc296602451"/>
      <w:bookmarkStart w:id="560" w:name="_Toc480817648"/>
      <w:bookmarkStart w:id="561" w:name="_Toc1045"/>
      <w:bookmarkStart w:id="562" w:name="_Toc179632580"/>
      <w:bookmarkStart w:id="563" w:name="_Toc152042338"/>
      <w:bookmarkStart w:id="564" w:name="_Toc247085720"/>
      <w:bookmarkStart w:id="565" w:name="_Toc144974530"/>
      <w:bookmarkStart w:id="566" w:name="_Toc246996206"/>
      <w:bookmarkStart w:id="567" w:name="_Toc152045562"/>
      <w:bookmarkStart w:id="568" w:name="_Toc401342139"/>
    </w:p>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p w14:paraId="17643573">
      <w:pPr>
        <w:rPr>
          <w:rFonts w:hint="eastAsia" w:cs="宋体"/>
          <w:color w:val="auto"/>
        </w:rPr>
      </w:pPr>
      <w:bookmarkStart w:id="569" w:name="_Toc19982"/>
      <w:bookmarkStart w:id="570" w:name="_Toc8422"/>
      <w:bookmarkStart w:id="571" w:name="_Toc35701016"/>
      <w:bookmarkStart w:id="572" w:name="_Toc35701802"/>
      <w:bookmarkStart w:id="573" w:name="_Toc2666"/>
      <w:bookmarkStart w:id="574" w:name="_Toc36116071"/>
      <w:bookmarkStart w:id="575" w:name="_Toc35700945"/>
      <w:bookmarkStart w:id="576" w:name="_Toc489145735"/>
      <w:bookmarkStart w:id="577" w:name="_Toc489197839"/>
      <w:r>
        <w:rPr>
          <w:rFonts w:hint="eastAsia" w:cs="宋体"/>
          <w:color w:val="auto"/>
        </w:rPr>
        <w:t>25.1开标结束后，采购人或者采购代理机构将依法对投标人的资格进行审查。合格投标人不足3家的，不得评标。</w:t>
      </w:r>
    </w:p>
    <w:p w14:paraId="7A6348D4">
      <w:pPr>
        <w:rPr>
          <w:rFonts w:hint="eastAsia" w:cs="宋体"/>
          <w:color w:val="auto"/>
        </w:rPr>
      </w:pPr>
      <w:r>
        <w:rPr>
          <w:rFonts w:hint="eastAsia" w:cs="宋体"/>
          <w:color w:val="auto"/>
        </w:rPr>
        <w:t>25.2采购人或者采购代理机构按照招标文件的规定对投标人投标文件中资格证明文件及采购人、采购代理机构通过互联网或者相关信息系统的查询结果进行审查。</w:t>
      </w:r>
    </w:p>
    <w:p w14:paraId="4DEDD4DE">
      <w:pPr>
        <w:pStyle w:val="5"/>
        <w:rPr>
          <w:rFonts w:hint="eastAsia" w:hAnsi="宋体" w:eastAsia="宋体" w:cs="宋体"/>
          <w:color w:val="auto"/>
        </w:rPr>
      </w:pPr>
      <w:bookmarkStart w:id="578" w:name="_Toc28243"/>
      <w:r>
        <w:rPr>
          <w:rFonts w:hint="eastAsia" w:hAnsi="宋体" w:eastAsia="宋体" w:cs="宋体"/>
          <w:color w:val="auto"/>
        </w:rPr>
        <w:t>26.评标</w:t>
      </w:r>
      <w:bookmarkEnd w:id="569"/>
      <w:bookmarkEnd w:id="570"/>
      <w:bookmarkEnd w:id="571"/>
      <w:bookmarkEnd w:id="572"/>
      <w:bookmarkEnd w:id="573"/>
      <w:bookmarkEnd w:id="574"/>
      <w:bookmarkEnd w:id="575"/>
      <w:bookmarkEnd w:id="578"/>
    </w:p>
    <w:p w14:paraId="380C1932">
      <w:pPr>
        <w:rPr>
          <w:rFonts w:hint="eastAsia" w:cs="宋体"/>
          <w:color w:val="auto"/>
        </w:rPr>
      </w:pPr>
      <w:r>
        <w:rPr>
          <w:rFonts w:hint="eastAsia" w:cs="宋体"/>
          <w:color w:val="auto"/>
        </w:rPr>
        <w:t>26.1评标委员会负责具体评标事务，并独立履行下列职责：</w:t>
      </w:r>
    </w:p>
    <w:p w14:paraId="432F771E">
      <w:pPr>
        <w:rPr>
          <w:rFonts w:hint="eastAsia" w:cs="宋体"/>
          <w:color w:val="auto"/>
        </w:rPr>
      </w:pPr>
      <w:r>
        <w:rPr>
          <w:rFonts w:hint="eastAsia" w:cs="宋体"/>
          <w:color w:val="auto"/>
        </w:rPr>
        <w:t>（一）审查、评价投标文件是否符合招标文件的商务、技术等实质性要求；</w:t>
      </w:r>
    </w:p>
    <w:p w14:paraId="0EF99F94">
      <w:pPr>
        <w:rPr>
          <w:rFonts w:hint="eastAsia" w:cs="宋体"/>
          <w:color w:val="auto"/>
        </w:rPr>
      </w:pPr>
      <w:r>
        <w:rPr>
          <w:rFonts w:hint="eastAsia" w:cs="宋体"/>
          <w:color w:val="auto"/>
        </w:rPr>
        <w:t>（二）要求投标人对投标文件有关事项作出澄清或者说明；</w:t>
      </w:r>
    </w:p>
    <w:p w14:paraId="196BB6E7">
      <w:pPr>
        <w:rPr>
          <w:rFonts w:hint="eastAsia" w:cs="宋体"/>
          <w:color w:val="auto"/>
        </w:rPr>
      </w:pPr>
      <w:r>
        <w:rPr>
          <w:rFonts w:hint="eastAsia" w:cs="宋体"/>
          <w:color w:val="auto"/>
        </w:rPr>
        <w:t>（三）对投标文件进行比较和评价；</w:t>
      </w:r>
    </w:p>
    <w:p w14:paraId="54546FFE">
      <w:pPr>
        <w:rPr>
          <w:rFonts w:hint="eastAsia" w:cs="宋体"/>
          <w:color w:val="auto"/>
        </w:rPr>
      </w:pPr>
      <w:r>
        <w:rPr>
          <w:rFonts w:hint="eastAsia" w:cs="宋体"/>
          <w:color w:val="auto"/>
        </w:rPr>
        <w:t>（四）确定中标候选人名单，以及根据采购人委托直接确定中标人；</w:t>
      </w:r>
    </w:p>
    <w:p w14:paraId="46594654">
      <w:pPr>
        <w:rPr>
          <w:rFonts w:hint="eastAsia" w:cs="宋体"/>
          <w:color w:val="auto"/>
        </w:rPr>
      </w:pPr>
      <w:r>
        <w:rPr>
          <w:rFonts w:hint="eastAsia" w:cs="宋体"/>
          <w:color w:val="auto"/>
        </w:rPr>
        <w:t>（五）向采购人、采购代理机构或者有关部门报告评标中发现的违法行为。</w:t>
      </w:r>
    </w:p>
    <w:p w14:paraId="69EBE34C">
      <w:pPr>
        <w:rPr>
          <w:rFonts w:hint="eastAsia" w:cs="宋体"/>
          <w:color w:val="auto"/>
        </w:rPr>
      </w:pPr>
      <w:r>
        <w:rPr>
          <w:rFonts w:hint="eastAsia" w:cs="宋体"/>
          <w:color w:val="auto"/>
        </w:rPr>
        <w:t>26.2评标委员会成员人数详见投标人须知前附表。</w:t>
      </w:r>
    </w:p>
    <w:p w14:paraId="197BD233">
      <w:pPr>
        <w:rPr>
          <w:rFonts w:hint="eastAsia" w:cs="宋体"/>
          <w:color w:val="auto"/>
        </w:rPr>
      </w:pPr>
      <w:r>
        <w:rPr>
          <w:rFonts w:hint="eastAsia" w:cs="宋体"/>
          <w:color w:val="auto"/>
        </w:rPr>
        <w:t>26.3评标活动遵循公平、公正、科学和择优的原则。</w:t>
      </w:r>
    </w:p>
    <w:p w14:paraId="3E3B9E1B">
      <w:pPr>
        <w:rPr>
          <w:rFonts w:hint="eastAsia" w:cs="宋体"/>
          <w:color w:val="auto"/>
        </w:rPr>
      </w:pPr>
      <w:r>
        <w:rPr>
          <w:rFonts w:hint="eastAsia" w:cs="宋体"/>
          <w:color w:val="auto"/>
        </w:rPr>
        <w:t>26.4本项目评标方法采用综合评分法，是指投标文件满足招标文件全部实质性要求，且按照评审因素的量化指标评审得分最高的投标人为中标候选人的评标方法。</w:t>
      </w:r>
    </w:p>
    <w:p w14:paraId="102D58C3">
      <w:pPr>
        <w:rPr>
          <w:rFonts w:hint="eastAsia" w:cs="宋体"/>
          <w:color w:val="auto"/>
        </w:rPr>
      </w:pPr>
      <w:r>
        <w:rPr>
          <w:rFonts w:hint="eastAsia" w:cs="宋体"/>
          <w:color w:val="auto"/>
        </w:rPr>
        <w:t>26.5评标过程的保密</w:t>
      </w:r>
    </w:p>
    <w:p w14:paraId="36B2FA58">
      <w:pPr>
        <w:rPr>
          <w:rFonts w:hint="eastAsia" w:cs="宋体"/>
          <w:color w:val="auto"/>
        </w:rPr>
      </w:pPr>
      <w:r>
        <w:rPr>
          <w:rFonts w:hint="eastAsia" w:cs="宋体"/>
          <w:color w:val="auto"/>
        </w:rPr>
        <w:t>26.5.1评标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0B3AE314">
      <w:pPr>
        <w:rPr>
          <w:rFonts w:hint="eastAsia" w:cs="宋体"/>
          <w:color w:val="auto"/>
        </w:rPr>
      </w:pPr>
      <w:r>
        <w:rPr>
          <w:rFonts w:hint="eastAsia" w:cs="宋体"/>
          <w:color w:val="auto"/>
        </w:rPr>
        <w:t>26.5.2任何单位和个人不得非法干预、影响评审工作。采购人、采购代理机构和评审委员会在评审工作中，依法相互监督和制约，并自觉接受财政部门的监督。对非法干预评审工作等违法违规行为，将及时向财政部门报告。</w:t>
      </w:r>
    </w:p>
    <w:p w14:paraId="6D263953">
      <w:pPr>
        <w:pStyle w:val="5"/>
        <w:rPr>
          <w:rFonts w:hint="eastAsia" w:hAnsi="宋体" w:eastAsia="宋体" w:cs="宋体"/>
          <w:color w:val="auto"/>
        </w:rPr>
      </w:pPr>
      <w:bookmarkStart w:id="579" w:name="_Toc36116072"/>
      <w:bookmarkStart w:id="580" w:name="_Toc981"/>
      <w:bookmarkStart w:id="581" w:name="_Toc14808"/>
      <w:bookmarkStart w:id="582" w:name="_Toc35701803"/>
      <w:bookmarkStart w:id="583" w:name="_Toc35701017"/>
      <w:bookmarkStart w:id="584" w:name="_Toc10264"/>
      <w:bookmarkStart w:id="585" w:name="_Toc35700946"/>
      <w:bookmarkStart w:id="586" w:name="_Toc31526"/>
      <w:r>
        <w:rPr>
          <w:rFonts w:hint="eastAsia" w:hAnsi="宋体" w:eastAsia="宋体" w:cs="宋体"/>
          <w:color w:val="auto"/>
        </w:rPr>
        <w:t>27.有下列情形之一的，视为投标人串通投标，其投标无效</w:t>
      </w:r>
      <w:bookmarkEnd w:id="576"/>
      <w:bookmarkEnd w:id="577"/>
      <w:bookmarkEnd w:id="579"/>
      <w:bookmarkEnd w:id="580"/>
      <w:bookmarkEnd w:id="581"/>
      <w:bookmarkEnd w:id="582"/>
      <w:bookmarkEnd w:id="583"/>
      <w:bookmarkEnd w:id="584"/>
      <w:bookmarkEnd w:id="585"/>
      <w:bookmarkEnd w:id="586"/>
    </w:p>
    <w:p w14:paraId="6E7214CB">
      <w:pPr>
        <w:rPr>
          <w:rFonts w:hint="eastAsia" w:cs="宋体"/>
          <w:color w:val="auto"/>
        </w:rPr>
      </w:pPr>
      <w:r>
        <w:rPr>
          <w:rFonts w:hint="eastAsia" w:cs="宋体"/>
          <w:color w:val="auto"/>
        </w:rPr>
        <w:t>（一）不同投标人的投标文件由同一单位或者个人编制；</w:t>
      </w:r>
    </w:p>
    <w:p w14:paraId="2994A277">
      <w:pPr>
        <w:rPr>
          <w:rFonts w:hint="eastAsia" w:cs="宋体"/>
          <w:color w:val="auto"/>
        </w:rPr>
      </w:pPr>
      <w:r>
        <w:rPr>
          <w:rFonts w:hint="eastAsia" w:cs="宋体"/>
          <w:color w:val="auto"/>
        </w:rPr>
        <w:t>（二）不同投标人委托同一单位或者个人办理投标事宜；</w:t>
      </w:r>
    </w:p>
    <w:p w14:paraId="4629664D">
      <w:pPr>
        <w:rPr>
          <w:rFonts w:hint="eastAsia" w:cs="宋体"/>
          <w:color w:val="auto"/>
        </w:rPr>
      </w:pPr>
      <w:r>
        <w:rPr>
          <w:rFonts w:hint="eastAsia" w:cs="宋体"/>
          <w:color w:val="auto"/>
        </w:rPr>
        <w:t>（三）不同投标人的投标文件载明的项目管理成员或者联系人员为同一人；</w:t>
      </w:r>
    </w:p>
    <w:p w14:paraId="3D468538">
      <w:pPr>
        <w:rPr>
          <w:rFonts w:hint="eastAsia" w:cs="宋体"/>
          <w:color w:val="auto"/>
        </w:rPr>
      </w:pPr>
      <w:r>
        <w:rPr>
          <w:rFonts w:hint="eastAsia" w:cs="宋体"/>
          <w:color w:val="auto"/>
        </w:rPr>
        <w:t>（四）不同投标人的投标文件异常一致或者投标报价呈规律性差异；</w:t>
      </w:r>
    </w:p>
    <w:p w14:paraId="557188BD">
      <w:pPr>
        <w:rPr>
          <w:rFonts w:hint="eastAsia" w:cs="宋体"/>
          <w:color w:val="auto"/>
        </w:rPr>
      </w:pPr>
      <w:r>
        <w:rPr>
          <w:rFonts w:hint="eastAsia" w:cs="宋体"/>
          <w:color w:val="auto"/>
        </w:rPr>
        <w:t>（五）不同投标人的投标文件相互混装；</w:t>
      </w:r>
    </w:p>
    <w:p w14:paraId="7F979ADD">
      <w:pPr>
        <w:rPr>
          <w:rFonts w:hint="eastAsia" w:cs="宋体"/>
          <w:color w:val="auto"/>
        </w:rPr>
      </w:pPr>
      <w:r>
        <w:rPr>
          <w:rFonts w:hint="eastAsia" w:cs="宋体"/>
          <w:color w:val="auto"/>
        </w:rPr>
        <w:t>（六）不同投标人的投标保证金从同一单位或者个人的账户转出。</w:t>
      </w:r>
    </w:p>
    <w:p w14:paraId="761D192D">
      <w:pPr>
        <w:rPr>
          <w:rFonts w:hint="eastAsia" w:cs="宋体"/>
          <w:color w:val="auto"/>
        </w:rPr>
      </w:pPr>
      <w:r>
        <w:rPr>
          <w:rFonts w:hint="eastAsia" w:cs="宋体"/>
          <w:color w:val="auto"/>
        </w:rPr>
        <w:t>投标人应当遵循公平竞争的原则，不得恶意串通，不得妨碍其他投标人的竞争行为，不得损害采购人或者其他投标人的合法权益。</w:t>
      </w:r>
    </w:p>
    <w:p w14:paraId="555BCE27">
      <w:pPr>
        <w:rPr>
          <w:rFonts w:hint="eastAsia" w:cs="宋体"/>
          <w:color w:val="auto"/>
        </w:rPr>
      </w:pPr>
      <w:r>
        <w:rPr>
          <w:rFonts w:hint="eastAsia" w:cs="宋体"/>
          <w:color w:val="auto"/>
        </w:rPr>
        <w:t>在评标过程中发现投标人有上述情形的，评标委员会应当认定其投标无效，并书面报告本级财政部门。</w:t>
      </w:r>
    </w:p>
    <w:p w14:paraId="3E00A348">
      <w:pPr>
        <w:pStyle w:val="5"/>
        <w:rPr>
          <w:rFonts w:hint="eastAsia" w:hAnsi="宋体" w:eastAsia="宋体" w:cs="宋体"/>
          <w:color w:val="auto"/>
        </w:rPr>
      </w:pPr>
      <w:bookmarkStart w:id="587" w:name="_Toc9808"/>
      <w:bookmarkStart w:id="588" w:name="_Toc489145736"/>
      <w:bookmarkStart w:id="589" w:name="_Toc35701018"/>
      <w:bookmarkStart w:id="590" w:name="_Toc35700947"/>
      <w:bookmarkStart w:id="591" w:name="_Toc489197840"/>
      <w:bookmarkStart w:id="592" w:name="_Toc27418"/>
      <w:bookmarkStart w:id="593" w:name="_Toc8221"/>
      <w:bookmarkStart w:id="594" w:name="_Toc35701804"/>
      <w:bookmarkStart w:id="595" w:name="_Toc1414"/>
      <w:bookmarkStart w:id="596" w:name="_Toc36116073"/>
      <w:r>
        <w:rPr>
          <w:rFonts w:hint="eastAsia" w:hAnsi="宋体" w:eastAsia="宋体" w:cs="宋体"/>
          <w:color w:val="auto"/>
        </w:rPr>
        <w:t>28.投标人存在下列情</w:t>
      </w:r>
      <w:bookmarkStart w:id="597" w:name="_Toc417913977"/>
      <w:r>
        <w:rPr>
          <w:rFonts w:hint="eastAsia" w:hAnsi="宋体" w:eastAsia="宋体" w:cs="宋体"/>
          <w:color w:val="auto"/>
        </w:rPr>
        <w:t>况之一的，投标无效</w:t>
      </w:r>
      <w:bookmarkEnd w:id="587"/>
      <w:bookmarkEnd w:id="588"/>
      <w:bookmarkEnd w:id="589"/>
      <w:bookmarkEnd w:id="590"/>
      <w:bookmarkEnd w:id="591"/>
      <w:bookmarkEnd w:id="592"/>
      <w:bookmarkEnd w:id="593"/>
      <w:bookmarkEnd w:id="594"/>
      <w:bookmarkEnd w:id="595"/>
      <w:bookmarkEnd w:id="596"/>
    </w:p>
    <w:p w14:paraId="3984D753">
      <w:pPr>
        <w:rPr>
          <w:rFonts w:hint="eastAsia" w:cs="宋体"/>
          <w:color w:val="auto"/>
        </w:rPr>
      </w:pPr>
      <w:r>
        <w:rPr>
          <w:rFonts w:hint="eastAsia" w:cs="宋体"/>
          <w:color w:val="auto"/>
        </w:rPr>
        <w:t>（一）未按照招标文件的</w:t>
      </w:r>
      <w:bookmarkEnd w:id="597"/>
      <w:r>
        <w:rPr>
          <w:rFonts w:hint="eastAsia" w:cs="宋体"/>
          <w:color w:val="auto"/>
        </w:rPr>
        <w:t>规定提交投标保证金的；</w:t>
      </w:r>
    </w:p>
    <w:p w14:paraId="384560A5">
      <w:pPr>
        <w:rPr>
          <w:rFonts w:hint="eastAsia" w:cs="宋体"/>
          <w:color w:val="auto"/>
        </w:rPr>
      </w:pPr>
      <w:r>
        <w:rPr>
          <w:rFonts w:hint="eastAsia" w:cs="宋体"/>
          <w:color w:val="auto"/>
        </w:rPr>
        <w:t>（二）投标文件未按招标文件格式要求签署、盖章的；</w:t>
      </w:r>
    </w:p>
    <w:p w14:paraId="58997D72">
      <w:pPr>
        <w:rPr>
          <w:rFonts w:hint="eastAsia" w:cs="宋体"/>
          <w:color w:val="auto"/>
        </w:rPr>
      </w:pPr>
      <w:r>
        <w:rPr>
          <w:rFonts w:hint="eastAsia" w:cs="宋体"/>
          <w:color w:val="auto"/>
        </w:rPr>
        <w:t>（三）不具备招标文件中规定的资格要求的；</w:t>
      </w:r>
    </w:p>
    <w:p w14:paraId="136E60A6">
      <w:pPr>
        <w:rPr>
          <w:rFonts w:hint="eastAsia" w:cs="宋体"/>
          <w:color w:val="auto"/>
        </w:rPr>
      </w:pPr>
      <w:r>
        <w:rPr>
          <w:rFonts w:hint="eastAsia" w:cs="宋体"/>
          <w:color w:val="auto"/>
        </w:rPr>
        <w:t>（四）报价超过招标文件中规定的预算金额或者最高限价的；</w:t>
      </w:r>
    </w:p>
    <w:p w14:paraId="0C7E78CE">
      <w:pPr>
        <w:rPr>
          <w:rFonts w:hint="eastAsia" w:cs="宋体"/>
          <w:color w:val="auto"/>
        </w:rPr>
      </w:pPr>
      <w:r>
        <w:rPr>
          <w:rFonts w:hint="eastAsia" w:cs="宋体"/>
          <w:color w:val="auto"/>
        </w:rPr>
        <w:t>（五）投标文件含有采购人不能接受的附加条件的;</w:t>
      </w:r>
    </w:p>
    <w:p w14:paraId="6AED28A9">
      <w:pPr>
        <w:rPr>
          <w:rFonts w:hint="eastAsia" w:cs="宋体"/>
          <w:color w:val="auto"/>
        </w:rPr>
      </w:pPr>
      <w:r>
        <w:rPr>
          <w:rFonts w:hint="eastAsia" w:cs="宋体"/>
          <w:color w:val="auto"/>
        </w:rPr>
        <w:t>（六）法律、法规和招标文件规定的其他无效情形。</w:t>
      </w:r>
    </w:p>
    <w:p w14:paraId="273DD395">
      <w:pPr>
        <w:pStyle w:val="5"/>
        <w:rPr>
          <w:rFonts w:hint="eastAsia" w:hAnsi="宋体" w:eastAsia="宋体" w:cs="宋体"/>
          <w:color w:val="auto"/>
        </w:rPr>
      </w:pPr>
      <w:bookmarkStart w:id="598" w:name="_Toc22327"/>
      <w:bookmarkStart w:id="599" w:name="_Toc6803"/>
      <w:bookmarkStart w:id="600" w:name="_Toc16242"/>
      <w:bookmarkStart w:id="601" w:name="_Toc489145737"/>
      <w:bookmarkStart w:id="602" w:name="_Toc35700948"/>
      <w:bookmarkStart w:id="603" w:name="_Toc35701019"/>
      <w:bookmarkStart w:id="604" w:name="_Toc35701805"/>
      <w:bookmarkStart w:id="605" w:name="_Toc4103"/>
      <w:bookmarkStart w:id="606" w:name="_Toc489197841"/>
      <w:bookmarkStart w:id="607" w:name="_Toc36116074"/>
      <w:r>
        <w:rPr>
          <w:rFonts w:hint="eastAsia" w:hAnsi="宋体" w:eastAsia="宋体" w:cs="宋体"/>
          <w:color w:val="auto"/>
        </w:rPr>
        <w:t>29.在招标采购中，出现下列情形之一的，应予废标</w:t>
      </w:r>
      <w:bookmarkEnd w:id="598"/>
      <w:bookmarkEnd w:id="599"/>
      <w:bookmarkEnd w:id="600"/>
      <w:bookmarkEnd w:id="601"/>
      <w:bookmarkEnd w:id="602"/>
      <w:bookmarkEnd w:id="603"/>
      <w:bookmarkEnd w:id="604"/>
      <w:bookmarkEnd w:id="605"/>
      <w:bookmarkEnd w:id="606"/>
      <w:bookmarkEnd w:id="607"/>
    </w:p>
    <w:p w14:paraId="09EABC18">
      <w:pPr>
        <w:rPr>
          <w:rFonts w:hint="eastAsia" w:cs="宋体"/>
          <w:color w:val="auto"/>
        </w:rPr>
      </w:pPr>
      <w:r>
        <w:rPr>
          <w:rFonts w:hint="eastAsia" w:cs="宋体"/>
          <w:color w:val="auto"/>
        </w:rPr>
        <w:t>（一）符合专业条件的投标人或者对招标文件作实质响应的投标人不足三家的；</w:t>
      </w:r>
    </w:p>
    <w:p w14:paraId="0D3EAAB5">
      <w:pPr>
        <w:rPr>
          <w:rFonts w:hint="eastAsia" w:cs="宋体"/>
          <w:color w:val="auto"/>
        </w:rPr>
      </w:pPr>
      <w:r>
        <w:rPr>
          <w:rFonts w:hint="eastAsia" w:cs="宋体"/>
          <w:color w:val="auto"/>
        </w:rPr>
        <w:t>（二）出现影响采购公正的违法、违规行为的；</w:t>
      </w:r>
    </w:p>
    <w:p w14:paraId="382787E5">
      <w:pPr>
        <w:rPr>
          <w:rFonts w:hint="eastAsia" w:cs="宋体"/>
          <w:color w:val="auto"/>
        </w:rPr>
      </w:pPr>
      <w:r>
        <w:rPr>
          <w:rFonts w:hint="eastAsia" w:cs="宋体"/>
          <w:color w:val="auto"/>
        </w:rPr>
        <w:t>（三）投标人的报价均超过了采购预算，采购人不能支付的；</w:t>
      </w:r>
    </w:p>
    <w:p w14:paraId="5F952120">
      <w:pPr>
        <w:rPr>
          <w:rFonts w:hint="eastAsia" w:cs="宋体"/>
          <w:color w:val="auto"/>
        </w:rPr>
      </w:pPr>
      <w:r>
        <w:rPr>
          <w:rFonts w:hint="eastAsia" w:cs="宋体"/>
          <w:color w:val="auto"/>
        </w:rPr>
        <w:t>（四）因重大变故，采购任务取消的。</w:t>
      </w:r>
    </w:p>
    <w:p w14:paraId="7724A6A8">
      <w:pPr>
        <w:rPr>
          <w:rFonts w:hint="eastAsia" w:cs="宋体"/>
          <w:color w:val="auto"/>
        </w:rPr>
      </w:pPr>
      <w:r>
        <w:rPr>
          <w:rFonts w:hint="eastAsia" w:cs="宋体"/>
          <w:color w:val="auto"/>
        </w:rPr>
        <w:t>废标后，采购人应当将废标理由通知所有投标人。</w:t>
      </w:r>
    </w:p>
    <w:p w14:paraId="541A79A9">
      <w:pPr>
        <w:pStyle w:val="44"/>
        <w:rPr>
          <w:rFonts w:hint="eastAsia" w:eastAsia="宋体" w:cs="宋体"/>
          <w:color w:val="auto"/>
        </w:rPr>
      </w:pPr>
      <w:bookmarkStart w:id="608" w:name="_Toc488633610"/>
      <w:bookmarkStart w:id="609" w:name="_Toc30220"/>
      <w:bookmarkStart w:id="610" w:name="_Toc35701806"/>
      <w:bookmarkStart w:id="611" w:name="_Toc21241"/>
      <w:bookmarkStart w:id="612" w:name="_Toc17832"/>
      <w:bookmarkStart w:id="613" w:name="_Toc35701020"/>
      <w:bookmarkStart w:id="614" w:name="_Toc489197842"/>
      <w:bookmarkStart w:id="615" w:name="_Toc489145738"/>
      <w:bookmarkStart w:id="616" w:name="_Toc30755"/>
      <w:bookmarkStart w:id="617" w:name="_Toc36116075"/>
      <w:bookmarkStart w:id="618" w:name="_Toc35700949"/>
      <w:r>
        <w:rPr>
          <w:rFonts w:hint="eastAsia" w:eastAsia="宋体" w:cs="宋体"/>
          <w:color w:val="auto"/>
        </w:rPr>
        <w:t>七、中标结果</w:t>
      </w:r>
      <w:bookmarkEnd w:id="608"/>
      <w:bookmarkEnd w:id="609"/>
      <w:bookmarkEnd w:id="610"/>
      <w:bookmarkEnd w:id="611"/>
      <w:bookmarkEnd w:id="612"/>
      <w:bookmarkEnd w:id="613"/>
      <w:bookmarkEnd w:id="614"/>
      <w:bookmarkEnd w:id="615"/>
      <w:bookmarkEnd w:id="616"/>
      <w:bookmarkEnd w:id="617"/>
      <w:bookmarkEnd w:id="618"/>
    </w:p>
    <w:p w14:paraId="16BA2156">
      <w:pPr>
        <w:pStyle w:val="5"/>
        <w:rPr>
          <w:rFonts w:hint="eastAsia" w:hAnsi="宋体" w:eastAsia="宋体" w:cs="宋体"/>
          <w:color w:val="auto"/>
        </w:rPr>
      </w:pPr>
      <w:bookmarkStart w:id="619" w:name="_Toc489197843"/>
      <w:bookmarkStart w:id="620" w:name="_Toc35701021"/>
      <w:bookmarkStart w:id="621" w:name="_Toc28755"/>
      <w:bookmarkStart w:id="622" w:name="_Toc35701807"/>
      <w:bookmarkStart w:id="623" w:name="_Toc27681"/>
      <w:bookmarkStart w:id="624" w:name="_Toc35700950"/>
      <w:bookmarkStart w:id="625" w:name="_Toc25510"/>
      <w:bookmarkStart w:id="626" w:name="_Toc11132"/>
      <w:bookmarkStart w:id="627" w:name="_Toc36116076"/>
      <w:bookmarkStart w:id="628" w:name="_Toc489145739"/>
      <w:r>
        <w:rPr>
          <w:rFonts w:hint="eastAsia" w:hAnsi="宋体" w:eastAsia="宋体" w:cs="宋体"/>
          <w:color w:val="auto"/>
        </w:rPr>
        <w:t>30.中</w:t>
      </w:r>
      <w:bookmarkStart w:id="629" w:name="_Toc247085724"/>
      <w:bookmarkStart w:id="630" w:name="_Toc378239357"/>
      <w:bookmarkStart w:id="631" w:name="_Toc378239176"/>
      <w:bookmarkStart w:id="632" w:name="_Toc179632584"/>
      <w:bookmarkStart w:id="633" w:name="_Toc152045566"/>
      <w:bookmarkStart w:id="634" w:name="_Toc378239084"/>
      <w:bookmarkStart w:id="635" w:name="_Toc401342140"/>
      <w:bookmarkStart w:id="636" w:name="_Toc296602455"/>
      <w:bookmarkStart w:id="637" w:name="_Toc246996210"/>
      <w:bookmarkStart w:id="638" w:name="_Toc246996953"/>
      <w:bookmarkStart w:id="639" w:name="_Toc152042342"/>
      <w:bookmarkStart w:id="640" w:name="_Toc144974534"/>
      <w:bookmarkStart w:id="641" w:name="_Toc480817649"/>
      <w:bookmarkStart w:id="642" w:name="_Toc13517"/>
      <w:r>
        <w:rPr>
          <w:rFonts w:hint="eastAsia" w:hAnsi="宋体" w:eastAsia="宋体" w:cs="宋体"/>
          <w:color w:val="auto"/>
        </w:rPr>
        <w:t>标</w:t>
      </w:r>
      <w:bookmarkEnd w:id="629"/>
      <w:bookmarkEnd w:id="630"/>
      <w:bookmarkEnd w:id="631"/>
      <w:bookmarkEnd w:id="632"/>
      <w:bookmarkEnd w:id="633"/>
      <w:bookmarkEnd w:id="634"/>
      <w:bookmarkEnd w:id="635"/>
      <w:bookmarkEnd w:id="636"/>
      <w:bookmarkEnd w:id="637"/>
      <w:bookmarkEnd w:id="638"/>
      <w:bookmarkEnd w:id="639"/>
      <w:bookmarkEnd w:id="640"/>
      <w:r>
        <w:rPr>
          <w:rFonts w:hint="eastAsia" w:hAnsi="宋体" w:eastAsia="宋体" w:cs="宋体"/>
          <w:color w:val="auto"/>
        </w:rPr>
        <w:t>人的</w:t>
      </w:r>
      <w:bookmarkEnd w:id="641"/>
      <w:bookmarkEnd w:id="642"/>
      <w:r>
        <w:rPr>
          <w:rFonts w:hint="eastAsia" w:hAnsi="宋体" w:eastAsia="宋体" w:cs="宋体"/>
          <w:color w:val="auto"/>
        </w:rPr>
        <w:t>确</w:t>
      </w:r>
      <w:bookmarkStart w:id="643" w:name="_Toc246996211"/>
      <w:bookmarkStart w:id="644" w:name="_Toc152042343"/>
      <w:bookmarkStart w:id="645" w:name="_Toc179632585"/>
      <w:bookmarkStart w:id="646" w:name="_Toc246996954"/>
      <w:bookmarkStart w:id="647" w:name="_Toc247085725"/>
      <w:bookmarkStart w:id="648" w:name="_Toc152045567"/>
      <w:bookmarkStart w:id="649" w:name="_Toc144974535"/>
      <w:bookmarkStart w:id="650" w:name="_Toc296602456"/>
      <w:r>
        <w:rPr>
          <w:rFonts w:hint="eastAsia" w:hAnsi="宋体" w:eastAsia="宋体" w:cs="宋体"/>
          <w:color w:val="auto"/>
        </w:rPr>
        <w:t>定</w:t>
      </w:r>
      <w:bookmarkEnd w:id="619"/>
      <w:bookmarkEnd w:id="620"/>
      <w:bookmarkEnd w:id="621"/>
      <w:bookmarkEnd w:id="622"/>
      <w:bookmarkEnd w:id="623"/>
      <w:bookmarkEnd w:id="624"/>
      <w:bookmarkEnd w:id="625"/>
      <w:bookmarkEnd w:id="626"/>
      <w:bookmarkEnd w:id="627"/>
      <w:bookmarkEnd w:id="628"/>
    </w:p>
    <w:p w14:paraId="7D9DAB04">
      <w:pPr>
        <w:rPr>
          <w:rFonts w:hint="eastAsia" w:cs="宋体"/>
          <w:color w:val="auto"/>
        </w:rPr>
      </w:pPr>
      <w:bookmarkStart w:id="651" w:name="_Toc417913979"/>
      <w:r>
        <w:rPr>
          <w:rFonts w:hint="eastAsia" w:cs="宋体"/>
          <w:color w:val="auto"/>
        </w:rPr>
        <w:t>30.1采购代理机构应</w:t>
      </w:r>
      <w:bookmarkEnd w:id="643"/>
      <w:bookmarkEnd w:id="644"/>
      <w:bookmarkEnd w:id="645"/>
      <w:bookmarkEnd w:id="646"/>
      <w:bookmarkEnd w:id="647"/>
      <w:bookmarkEnd w:id="648"/>
      <w:bookmarkEnd w:id="649"/>
      <w:bookmarkEnd w:id="650"/>
      <w:bookmarkEnd w:id="651"/>
      <w:r>
        <w:rPr>
          <w:rFonts w:hint="eastAsia" w:cs="宋体"/>
          <w:color w:val="auto"/>
        </w:rPr>
        <w:t>当在评标结束后2个工作日内将评标报告送采购人。</w:t>
      </w:r>
    </w:p>
    <w:p w14:paraId="24B6C34C">
      <w:pPr>
        <w:rPr>
          <w:rFonts w:hint="eastAsia" w:cs="宋体"/>
          <w:color w:val="auto"/>
        </w:rPr>
      </w:pPr>
      <w:r>
        <w:rPr>
          <w:rFonts w:hint="eastAsia" w:cs="宋体"/>
          <w:color w:val="auto"/>
        </w:rPr>
        <w:t>30.2采购人应当自收到评标报告之日起5个工作日内，在评标报告确定的中标候选人名单中按顺序确定中标人。</w:t>
      </w:r>
      <w:bookmarkStart w:id="652" w:name="_Hlk117501744"/>
      <w:r>
        <w:rPr>
          <w:rFonts w:hint="eastAsia" w:cs="宋体"/>
          <w:color w:val="auto"/>
        </w:rPr>
        <w:t>中标候选人并列的，由采购人按照招标文件规定的方式确定中标人，招标文件未规定的，采取随机抽取的方式确定。</w:t>
      </w:r>
      <w:bookmarkEnd w:id="652"/>
    </w:p>
    <w:p w14:paraId="126F046B">
      <w:pPr>
        <w:pStyle w:val="5"/>
        <w:rPr>
          <w:rFonts w:hint="eastAsia" w:hAnsi="宋体" w:eastAsia="宋体" w:cs="宋体"/>
          <w:color w:val="auto"/>
        </w:rPr>
      </w:pPr>
      <w:bookmarkStart w:id="653" w:name="_Toc4988"/>
      <w:bookmarkStart w:id="654" w:name="_Toc36116077"/>
      <w:bookmarkStart w:id="655" w:name="_Toc35701808"/>
      <w:bookmarkStart w:id="656" w:name="_Toc35700951"/>
      <w:bookmarkStart w:id="657" w:name="_Toc35701022"/>
      <w:bookmarkStart w:id="658" w:name="_Toc5805"/>
      <w:bookmarkStart w:id="659" w:name="_Toc489145740"/>
      <w:bookmarkStart w:id="660" w:name="_Toc22444"/>
      <w:bookmarkStart w:id="661" w:name="_Toc489197844"/>
      <w:bookmarkStart w:id="662" w:name="_Toc29988"/>
      <w:r>
        <w:rPr>
          <w:rFonts w:hint="eastAsia" w:hAnsi="宋体" w:eastAsia="宋体" w:cs="宋体"/>
          <w:color w:val="auto"/>
        </w:rPr>
        <w:t>31.中标通知书</w:t>
      </w:r>
      <w:bookmarkEnd w:id="653"/>
      <w:bookmarkEnd w:id="654"/>
      <w:bookmarkEnd w:id="655"/>
      <w:bookmarkEnd w:id="656"/>
      <w:bookmarkEnd w:id="657"/>
      <w:bookmarkEnd w:id="658"/>
      <w:bookmarkEnd w:id="659"/>
      <w:bookmarkEnd w:id="660"/>
      <w:bookmarkEnd w:id="661"/>
      <w:bookmarkEnd w:id="662"/>
    </w:p>
    <w:p w14:paraId="48092D20">
      <w:pPr>
        <w:rPr>
          <w:rFonts w:hint="eastAsia" w:cs="宋体"/>
          <w:color w:val="auto"/>
        </w:rPr>
      </w:pPr>
      <w:bookmarkStart w:id="663" w:name="_Toc296602458"/>
      <w:bookmarkStart w:id="664" w:name="_Toc152042344"/>
      <w:bookmarkStart w:id="665" w:name="_Toc144974536"/>
      <w:bookmarkStart w:id="666" w:name="_Toc247085726"/>
      <w:bookmarkStart w:id="667" w:name="_Toc246996955"/>
      <w:bookmarkStart w:id="668" w:name="_Toc246996212"/>
      <w:bookmarkStart w:id="669" w:name="_Toc179632586"/>
      <w:bookmarkStart w:id="670" w:name="_Toc152045568"/>
      <w:r>
        <w:rPr>
          <w:rFonts w:hint="eastAsia" w:cs="宋体"/>
          <w:color w:val="auto"/>
        </w:rPr>
        <w:t>31.1中标人确定之</w:t>
      </w:r>
      <w:bookmarkEnd w:id="663"/>
      <w:bookmarkEnd w:id="664"/>
      <w:bookmarkEnd w:id="665"/>
      <w:bookmarkEnd w:id="666"/>
      <w:bookmarkEnd w:id="667"/>
      <w:bookmarkEnd w:id="668"/>
      <w:bookmarkEnd w:id="669"/>
      <w:bookmarkEnd w:id="670"/>
      <w:r>
        <w:rPr>
          <w:rFonts w:hint="eastAsia" w:cs="宋体"/>
          <w:color w:val="auto"/>
        </w:rPr>
        <w:t>日起</w:t>
      </w:r>
      <w:bookmarkStart w:id="671" w:name="_Toc152045570"/>
      <w:bookmarkStart w:id="672" w:name="_Toc246996214"/>
      <w:bookmarkStart w:id="673" w:name="_Toc152042346"/>
      <w:bookmarkStart w:id="674" w:name="_Toc144974538"/>
      <w:bookmarkStart w:id="675" w:name="_Toc247085728"/>
      <w:bookmarkStart w:id="676" w:name="_Toc179632588"/>
      <w:bookmarkStart w:id="677" w:name="_Toc246996957"/>
      <w:bookmarkStart w:id="678" w:name="_Toc296602460"/>
      <w:r>
        <w:rPr>
          <w:rFonts w:hint="eastAsia" w:cs="宋体"/>
          <w:color w:val="auto"/>
        </w:rPr>
        <w:t>2个工作日内，采购代理机构向中标人发出中标通知书，并在招标公告发布媒体上公告中标结果。中标公告期限为1个工作日。</w:t>
      </w:r>
    </w:p>
    <w:p w14:paraId="2314FD91">
      <w:pPr>
        <w:rPr>
          <w:rFonts w:hint="eastAsia" w:cs="宋体"/>
          <w:color w:val="auto"/>
        </w:rPr>
      </w:pPr>
      <w:r>
        <w:rPr>
          <w:rFonts w:hint="eastAsia" w:cs="宋体"/>
          <w:color w:val="auto"/>
        </w:rPr>
        <w:t>31.2中标通知书是合同的一个组成部分。</w:t>
      </w:r>
    </w:p>
    <w:p w14:paraId="77506E73">
      <w:pPr>
        <w:pStyle w:val="5"/>
        <w:rPr>
          <w:rFonts w:hint="eastAsia" w:hAnsi="宋体" w:eastAsia="宋体" w:cs="宋体"/>
          <w:color w:val="auto"/>
        </w:rPr>
      </w:pPr>
      <w:bookmarkStart w:id="679" w:name="_Toc489197845"/>
      <w:bookmarkStart w:id="680" w:name="_Toc489145741"/>
      <w:bookmarkStart w:id="681" w:name="_Toc36116078"/>
      <w:bookmarkStart w:id="682" w:name="_Toc35701023"/>
      <w:bookmarkStart w:id="683" w:name="_Toc21967"/>
      <w:bookmarkStart w:id="684" w:name="_Toc35700952"/>
      <w:bookmarkStart w:id="685" w:name="_Toc18487"/>
      <w:bookmarkStart w:id="686" w:name="_Toc35701809"/>
      <w:bookmarkStart w:id="687" w:name="_Toc20068"/>
      <w:bookmarkStart w:id="688" w:name="_Toc11593"/>
      <w:r>
        <w:rPr>
          <w:rFonts w:hint="eastAsia" w:hAnsi="宋体" w:eastAsia="宋体" w:cs="宋体"/>
          <w:color w:val="auto"/>
        </w:rPr>
        <w:t>32.签订合同</w:t>
      </w:r>
      <w:bookmarkEnd w:id="679"/>
      <w:bookmarkEnd w:id="680"/>
      <w:bookmarkEnd w:id="681"/>
      <w:bookmarkEnd w:id="682"/>
      <w:bookmarkEnd w:id="683"/>
      <w:bookmarkEnd w:id="684"/>
      <w:bookmarkEnd w:id="685"/>
      <w:bookmarkEnd w:id="686"/>
      <w:bookmarkEnd w:id="687"/>
      <w:bookmarkEnd w:id="688"/>
    </w:p>
    <w:p w14:paraId="63AA3C9E">
      <w:pPr>
        <w:rPr>
          <w:rFonts w:hint="eastAsia" w:cs="宋体"/>
          <w:color w:val="auto"/>
        </w:rPr>
      </w:pPr>
      <w:r>
        <w:rPr>
          <w:rFonts w:hint="eastAsia" w:cs="宋体"/>
          <w:color w:val="auto"/>
        </w:rPr>
        <w:t>32.1采购人应当自中</w:t>
      </w:r>
      <w:bookmarkEnd w:id="671"/>
      <w:bookmarkEnd w:id="672"/>
      <w:bookmarkEnd w:id="673"/>
      <w:bookmarkEnd w:id="674"/>
      <w:bookmarkEnd w:id="675"/>
      <w:bookmarkEnd w:id="676"/>
      <w:bookmarkEnd w:id="677"/>
      <w:bookmarkEnd w:id="678"/>
      <w:r>
        <w:rPr>
          <w:rFonts w:hint="eastAsia" w:cs="宋体"/>
          <w:color w:val="auto"/>
        </w:rPr>
        <w:t>标通知书发出之日起30日内，按照招标文件和中标人投标文件的规定，与中标人签订书面合同。所签订的合同不得对招标文件确定的事项和中标人投标文件作实质性修改。</w:t>
      </w:r>
    </w:p>
    <w:p w14:paraId="14E46992">
      <w:pPr>
        <w:rPr>
          <w:rFonts w:hint="eastAsia" w:cs="宋体"/>
          <w:color w:val="auto"/>
        </w:rPr>
      </w:pPr>
      <w:r>
        <w:rPr>
          <w:rFonts w:hint="eastAsia" w:cs="宋体"/>
          <w:color w:val="auto"/>
        </w:rPr>
        <w:t>32.2中标通知书发出后，中标人无正当理由放弃中标或拒签合同的，采购人取消其中标资格，其投标保证金不予退还；给采购人造成的损失超过投标保证金数额的，中标人还应当对超过部分予以赔偿。</w:t>
      </w:r>
    </w:p>
    <w:p w14:paraId="19B2B64C">
      <w:pPr>
        <w:rPr>
          <w:rFonts w:hint="eastAsia" w:cs="宋体"/>
          <w:color w:val="auto"/>
        </w:rPr>
      </w:pPr>
      <w:r>
        <w:rPr>
          <w:rFonts w:hint="eastAsia" w:cs="宋体"/>
          <w:color w:val="auto"/>
        </w:rPr>
        <w:t>32.3排名第一的中标候选人放弃中标、因不可抗力不能履行合同、不按照招标文件要求提交履约保证金，或者被查实存在影响中标结果的违法行为等情形，不符合中标条件的，采购人将按照评标委员会提出的中标候选人名单排序依次确定其他中标候选人为中标人，也可以重新招标。</w:t>
      </w:r>
    </w:p>
    <w:p w14:paraId="7808342F">
      <w:pPr>
        <w:rPr>
          <w:rFonts w:hint="eastAsia" w:cs="宋体"/>
          <w:color w:val="auto"/>
        </w:rPr>
      </w:pPr>
      <w:r>
        <w:rPr>
          <w:rFonts w:hint="eastAsia" w:cs="宋体"/>
          <w:color w:val="auto"/>
        </w:rPr>
        <w:t>32.4政府采购合同应当包括采购人与中标人的名称和住所、标的、数量、质量、价款或者报酬、履行期限及地点和方式、验收要求、违约责任、解决争议的方法等内容。</w:t>
      </w:r>
    </w:p>
    <w:p w14:paraId="6DC6E037">
      <w:pPr>
        <w:rPr>
          <w:rFonts w:hint="eastAsia" w:cs="宋体"/>
          <w:color w:val="auto"/>
        </w:rPr>
      </w:pPr>
      <w:r>
        <w:rPr>
          <w:rFonts w:hint="eastAsia" w:cs="宋体"/>
          <w:color w:val="auto"/>
        </w:rPr>
        <w:t>32.5政府采购合同履行中，采购人需追加与合同标的相同的货物、工程或者服务的，在不改变合同其他条款的前提下，可以与中标人协商签订补充合同，但所有补充合同的采购金额不得超过原合同采购金额的百分之十。</w:t>
      </w:r>
    </w:p>
    <w:p w14:paraId="0194829D">
      <w:pPr>
        <w:rPr>
          <w:rFonts w:hint="eastAsia" w:cs="宋体"/>
          <w:color w:val="auto"/>
        </w:rPr>
      </w:pPr>
      <w:r>
        <w:rPr>
          <w:rFonts w:hint="eastAsia" w:cs="宋体"/>
          <w:color w:val="auto"/>
        </w:rPr>
        <w:t>32.6除采购人与中标人在合同中另行商定将中标项目的非主体、非关键性工作分包的，中标人在中标后将中标项目分包的，采购人取消其中标资格，其投标保证金不予退还；给采购人造成的损失超过投标保证金数额的，中标人还应当对超过部分予以赔偿。</w:t>
      </w:r>
    </w:p>
    <w:p w14:paraId="3963726A">
      <w:pPr>
        <w:pStyle w:val="5"/>
        <w:rPr>
          <w:rFonts w:hint="eastAsia" w:hAnsi="宋体" w:eastAsia="宋体" w:cs="宋体"/>
          <w:color w:val="auto"/>
        </w:rPr>
      </w:pPr>
      <w:bookmarkStart w:id="689" w:name="_Toc489197846"/>
      <w:bookmarkStart w:id="690" w:name="_Toc36116079"/>
      <w:bookmarkStart w:id="691" w:name="_Toc35701024"/>
      <w:bookmarkStart w:id="692" w:name="_Toc35700953"/>
      <w:bookmarkStart w:id="693" w:name="_Toc35701810"/>
      <w:bookmarkStart w:id="694" w:name="_Toc25357"/>
      <w:bookmarkStart w:id="695" w:name="_Toc3197"/>
      <w:bookmarkStart w:id="696" w:name="_Toc489145742"/>
      <w:bookmarkStart w:id="697" w:name="_Toc9484"/>
      <w:bookmarkStart w:id="698" w:name="_Toc30791"/>
      <w:r>
        <w:rPr>
          <w:rFonts w:hint="eastAsia" w:hAnsi="宋体" w:eastAsia="宋体" w:cs="宋体"/>
          <w:color w:val="auto"/>
        </w:rPr>
        <w:t>33.</w:t>
      </w:r>
      <w:bookmarkEnd w:id="689"/>
      <w:bookmarkEnd w:id="690"/>
      <w:bookmarkEnd w:id="691"/>
      <w:bookmarkEnd w:id="692"/>
      <w:bookmarkEnd w:id="693"/>
      <w:bookmarkEnd w:id="694"/>
      <w:bookmarkEnd w:id="695"/>
      <w:bookmarkEnd w:id="696"/>
      <w:bookmarkEnd w:id="697"/>
      <w:r>
        <w:rPr>
          <w:rFonts w:hint="eastAsia" w:hAnsi="宋体" w:eastAsia="宋体" w:cs="宋体"/>
          <w:color w:val="auto"/>
        </w:rPr>
        <w:t>履约保证金</w:t>
      </w:r>
      <w:bookmarkEnd w:id="698"/>
    </w:p>
    <w:p w14:paraId="37291AE3">
      <w:pPr>
        <w:rPr>
          <w:rFonts w:hint="eastAsia" w:cs="宋体"/>
          <w:color w:val="auto"/>
        </w:rPr>
      </w:pPr>
      <w:r>
        <w:rPr>
          <w:rFonts w:hint="eastAsia" w:cs="宋体"/>
          <w:color w:val="auto"/>
        </w:rPr>
        <w:t>3</w:t>
      </w:r>
      <w:bookmarkStart w:id="699" w:name="_Toc417913982"/>
      <w:r>
        <w:rPr>
          <w:rFonts w:hint="eastAsia" w:cs="宋体"/>
          <w:color w:val="auto"/>
        </w:rPr>
        <w:t>3.1签</w:t>
      </w:r>
      <w:bookmarkEnd w:id="699"/>
      <w:r>
        <w:rPr>
          <w:rFonts w:hint="eastAsia" w:cs="宋体"/>
          <w:color w:val="auto"/>
        </w:rPr>
        <w:t>订合同前，中标人应按《投标人须知前附表》上确定的履约保证金的金额及形式，向采购人提交履约保证金。否则，视为放弃中标项目，投标保证金将不予退还。</w:t>
      </w:r>
    </w:p>
    <w:p w14:paraId="3EF93541">
      <w:pPr>
        <w:rPr>
          <w:rFonts w:hint="eastAsia" w:cs="宋体"/>
          <w:color w:val="auto"/>
        </w:rPr>
      </w:pPr>
      <w:r>
        <w:rPr>
          <w:rFonts w:hint="eastAsia" w:cs="宋体"/>
          <w:color w:val="auto"/>
        </w:rPr>
        <w:t>33.2签订合同后，如中标人不按双方签订合同约定履约，则没收其全部履约保证金，给采购人造成的损失超过履约保证金数额的，中标人还应当对超过部分予以赔偿。</w:t>
      </w:r>
    </w:p>
    <w:p w14:paraId="797CE0B1">
      <w:pPr>
        <w:pStyle w:val="44"/>
        <w:rPr>
          <w:rFonts w:hint="eastAsia" w:eastAsia="宋体" w:cs="宋体"/>
          <w:color w:val="auto"/>
        </w:rPr>
      </w:pPr>
      <w:bookmarkStart w:id="700" w:name="_Toc489197847"/>
      <w:bookmarkStart w:id="701" w:name="_Toc3"/>
      <w:bookmarkStart w:id="702" w:name="_Toc36116080"/>
      <w:bookmarkStart w:id="703" w:name="_Toc489145743"/>
      <w:bookmarkStart w:id="704" w:name="_Toc488633611"/>
      <w:bookmarkStart w:id="705" w:name="_Toc10002"/>
      <w:bookmarkStart w:id="706" w:name="_Toc35701025"/>
      <w:bookmarkStart w:id="707" w:name="_Toc26586"/>
      <w:bookmarkStart w:id="708" w:name="_Toc35701811"/>
      <w:bookmarkStart w:id="709" w:name="_Toc5221"/>
      <w:bookmarkStart w:id="710" w:name="_Toc35700954"/>
      <w:r>
        <w:rPr>
          <w:rFonts w:hint="eastAsia" w:eastAsia="宋体" w:cs="宋体"/>
          <w:color w:val="auto"/>
        </w:rPr>
        <w:t>八、其他事项</w:t>
      </w:r>
      <w:bookmarkEnd w:id="700"/>
      <w:bookmarkEnd w:id="701"/>
      <w:bookmarkEnd w:id="702"/>
      <w:bookmarkEnd w:id="703"/>
      <w:bookmarkEnd w:id="704"/>
      <w:bookmarkEnd w:id="705"/>
      <w:bookmarkEnd w:id="706"/>
      <w:bookmarkEnd w:id="707"/>
      <w:bookmarkEnd w:id="708"/>
      <w:bookmarkEnd w:id="709"/>
      <w:bookmarkEnd w:id="710"/>
    </w:p>
    <w:p w14:paraId="46C4DD96">
      <w:pPr>
        <w:pStyle w:val="5"/>
        <w:rPr>
          <w:rFonts w:hint="eastAsia" w:hAnsi="宋体" w:eastAsia="宋体" w:cs="宋体"/>
          <w:color w:val="auto"/>
        </w:rPr>
      </w:pPr>
      <w:bookmarkStart w:id="711" w:name="_Toc489197848"/>
      <w:bookmarkStart w:id="712" w:name="_Toc20407"/>
      <w:bookmarkStart w:id="713" w:name="_Toc35701812"/>
      <w:bookmarkStart w:id="714" w:name="_Toc518289502"/>
      <w:bookmarkStart w:id="715" w:name="_Toc489145744"/>
      <w:bookmarkStart w:id="716" w:name="_Toc35700955"/>
      <w:bookmarkStart w:id="717" w:name="_Toc19082"/>
      <w:bookmarkStart w:id="718" w:name="_Toc36116081"/>
      <w:bookmarkStart w:id="719" w:name="_Toc35701026"/>
      <w:bookmarkStart w:id="720" w:name="_Toc516851621"/>
      <w:bookmarkStart w:id="721" w:name="_Toc5845"/>
      <w:bookmarkStart w:id="722" w:name="_Toc22774"/>
      <w:r>
        <w:rPr>
          <w:rFonts w:hint="eastAsia" w:hAnsi="宋体" w:eastAsia="宋体" w:cs="宋体"/>
          <w:color w:val="auto"/>
        </w:rPr>
        <w:t>34.</w:t>
      </w:r>
      <w:bookmarkEnd w:id="711"/>
      <w:bookmarkEnd w:id="712"/>
      <w:bookmarkEnd w:id="713"/>
      <w:bookmarkEnd w:id="714"/>
      <w:bookmarkEnd w:id="715"/>
      <w:bookmarkEnd w:id="716"/>
      <w:bookmarkEnd w:id="717"/>
      <w:bookmarkEnd w:id="718"/>
      <w:bookmarkEnd w:id="719"/>
      <w:bookmarkEnd w:id="720"/>
      <w:bookmarkEnd w:id="721"/>
      <w:r>
        <w:rPr>
          <w:rFonts w:hint="eastAsia" w:hAnsi="宋体" w:eastAsia="宋体" w:cs="宋体"/>
          <w:color w:val="auto"/>
        </w:rPr>
        <w:t>招标服务费</w:t>
      </w:r>
      <w:bookmarkEnd w:id="722"/>
    </w:p>
    <w:p w14:paraId="4F5EC345">
      <w:pPr>
        <w:jc w:val="left"/>
        <w:rPr>
          <w:color w:val="auto"/>
        </w:rPr>
      </w:pPr>
      <w:bookmarkStart w:id="723" w:name="_Toc18334"/>
      <w:bookmarkStart w:id="724" w:name="_Toc36116082"/>
      <w:bookmarkStart w:id="725" w:name="_Toc11039"/>
      <w:bookmarkStart w:id="726" w:name="_Toc35701027"/>
      <w:bookmarkStart w:id="727" w:name="_Toc35701813"/>
      <w:bookmarkStart w:id="728" w:name="_Toc489197849"/>
      <w:bookmarkStart w:id="729" w:name="_Toc24830"/>
      <w:bookmarkStart w:id="730" w:name="_Toc35700956"/>
      <w:bookmarkStart w:id="731" w:name="_Toc489145745"/>
      <w:r>
        <w:rPr>
          <w:rFonts w:hint="eastAsia"/>
          <w:color w:val="auto"/>
        </w:rPr>
        <w:t>34.1</w:t>
      </w:r>
      <w:r>
        <w:rPr>
          <w:rFonts w:hint="eastAsia" w:ascii="宋体" w:hAnsi="宋体" w:eastAsia="宋体"/>
          <w:color w:val="auto"/>
          <w:lang w:val="en-US" w:eastAsia="zh-CN"/>
        </w:rPr>
        <w:t>“《云南省建设工程招标代理服务收费参考意见》的通知云建招协〔2024〕58号”文件规定下浮68%收取，</w:t>
      </w:r>
      <w:r>
        <w:rPr>
          <w:rFonts w:hint="eastAsia"/>
          <w:color w:val="auto"/>
        </w:rPr>
        <w:t>本项目为货物类招标。</w:t>
      </w:r>
    </w:p>
    <w:p w14:paraId="6DBE3C81">
      <w:pPr>
        <w:pStyle w:val="5"/>
        <w:rPr>
          <w:rFonts w:hint="eastAsia" w:hAnsi="宋体" w:eastAsia="宋体" w:cs="宋体"/>
          <w:color w:val="auto"/>
        </w:rPr>
      </w:pPr>
      <w:bookmarkStart w:id="732" w:name="_Toc5589"/>
      <w:r>
        <w:rPr>
          <w:rFonts w:hint="eastAsia" w:hAnsi="宋体" w:eastAsia="宋体" w:cs="宋体"/>
          <w:color w:val="auto"/>
        </w:rPr>
        <w:t>35.招标文件编制依据</w:t>
      </w:r>
      <w:bookmarkEnd w:id="723"/>
      <w:bookmarkEnd w:id="724"/>
      <w:bookmarkEnd w:id="725"/>
      <w:bookmarkEnd w:id="726"/>
      <w:bookmarkEnd w:id="727"/>
      <w:bookmarkEnd w:id="728"/>
      <w:bookmarkEnd w:id="729"/>
      <w:bookmarkEnd w:id="730"/>
      <w:bookmarkEnd w:id="731"/>
      <w:bookmarkEnd w:id="732"/>
    </w:p>
    <w:p w14:paraId="36240CD6">
      <w:pPr>
        <w:rPr>
          <w:rFonts w:hint="eastAsia" w:cs="宋体"/>
          <w:color w:val="auto"/>
        </w:rPr>
      </w:pPr>
      <w:r>
        <w:rPr>
          <w:rFonts w:hint="eastAsia" w:cs="宋体"/>
          <w:color w:val="auto"/>
        </w:rPr>
        <w:t>35.1本招标文件根据《中华人民共和国政府采购法》、《中华人民共和国政府采购法实施条例》、《政府采购货物和服务招标投标管理办法》（财政部令第87号）等有关法律、法规编制，解释权属于采购人、采购代理机构。</w:t>
      </w:r>
    </w:p>
    <w:p w14:paraId="200D3DD8">
      <w:pPr>
        <w:pStyle w:val="5"/>
        <w:rPr>
          <w:rFonts w:hint="eastAsia" w:hAnsi="宋体" w:eastAsia="宋体" w:cs="宋体"/>
          <w:color w:val="auto"/>
        </w:rPr>
      </w:pPr>
      <w:bookmarkStart w:id="733" w:name="_Toc36116083"/>
      <w:bookmarkStart w:id="734" w:name="_Toc35700957"/>
      <w:bookmarkStart w:id="735" w:name="_Toc35701028"/>
      <w:bookmarkStart w:id="736" w:name="_Toc489197850"/>
      <w:bookmarkStart w:id="737" w:name="_Toc4520"/>
      <w:bookmarkStart w:id="738" w:name="_Toc28230"/>
      <w:bookmarkStart w:id="739" w:name="_Toc23190"/>
      <w:bookmarkStart w:id="740" w:name="_Toc489145746"/>
      <w:bookmarkStart w:id="741" w:name="_Toc35701814"/>
      <w:bookmarkStart w:id="742" w:name="_Toc32644"/>
      <w:r>
        <w:rPr>
          <w:rFonts w:hint="eastAsia" w:hAnsi="宋体" w:eastAsia="宋体" w:cs="宋体"/>
          <w:color w:val="auto"/>
        </w:rPr>
        <w:t>36.需要补充的其他内容</w:t>
      </w:r>
      <w:bookmarkEnd w:id="733"/>
      <w:bookmarkEnd w:id="734"/>
      <w:bookmarkEnd w:id="735"/>
      <w:bookmarkEnd w:id="736"/>
      <w:bookmarkEnd w:id="737"/>
      <w:bookmarkEnd w:id="738"/>
      <w:bookmarkEnd w:id="739"/>
      <w:bookmarkEnd w:id="740"/>
      <w:bookmarkEnd w:id="741"/>
      <w:bookmarkEnd w:id="742"/>
    </w:p>
    <w:p w14:paraId="370A419D">
      <w:pPr>
        <w:rPr>
          <w:rFonts w:hint="eastAsia" w:cs="宋体"/>
          <w:color w:val="auto"/>
        </w:rPr>
      </w:pPr>
      <w:r>
        <w:rPr>
          <w:rFonts w:hint="eastAsia" w:cs="宋体"/>
          <w:color w:val="auto"/>
        </w:rPr>
        <w:t>36.1其它需要补充的其他内容：详见《投标人须知前附表》。</w:t>
      </w:r>
      <w:r>
        <w:rPr>
          <w:rFonts w:hint="eastAsia" w:cs="宋体"/>
          <w:color w:val="auto"/>
        </w:rPr>
        <w:br w:type="page"/>
      </w:r>
    </w:p>
    <w:p w14:paraId="3F9D700C">
      <w:pPr>
        <w:pStyle w:val="3"/>
        <w:spacing w:before="120" w:after="120"/>
        <w:ind w:firstLine="803"/>
        <w:rPr>
          <w:rFonts w:hint="eastAsia" w:ascii="宋体" w:hAnsi="宋体" w:eastAsia="宋体" w:cs="宋体"/>
          <w:color w:val="auto"/>
        </w:rPr>
        <w:sectPr>
          <w:pgSz w:w="11900" w:h="16838"/>
          <w:pgMar w:top="1417" w:right="1417" w:bottom="1417" w:left="1417" w:header="850" w:footer="850" w:gutter="0"/>
          <w:cols w:space="0" w:num="1"/>
          <w:titlePg/>
          <w:docGrid w:linePitch="360" w:charSpace="0"/>
        </w:sectPr>
      </w:pPr>
      <w:bookmarkStart w:id="743" w:name="_Toc8859"/>
    </w:p>
    <w:p w14:paraId="256A4F27">
      <w:pPr>
        <w:pStyle w:val="3"/>
        <w:spacing w:before="120" w:after="120"/>
        <w:ind w:firstLine="723"/>
        <w:rPr>
          <w:rFonts w:hint="eastAsia" w:ascii="宋体" w:hAnsi="宋体" w:eastAsia="宋体" w:cs="宋体"/>
          <w:color w:val="auto"/>
          <w:sz w:val="32"/>
          <w:szCs w:val="18"/>
        </w:rPr>
      </w:pPr>
      <w:bookmarkStart w:id="744" w:name="_Toc15173"/>
      <w:bookmarkStart w:id="745" w:name="_Toc15838"/>
      <w:r>
        <w:rPr>
          <w:rFonts w:hint="eastAsia" w:ascii="宋体" w:hAnsi="宋体" w:eastAsia="宋体" w:cs="宋体"/>
          <w:color w:val="auto"/>
          <w:sz w:val="32"/>
          <w:szCs w:val="18"/>
        </w:rPr>
        <w:t>第三章 合同书样式及主要条款</w:t>
      </w:r>
      <w:bookmarkEnd w:id="744"/>
      <w:bookmarkEnd w:id="745"/>
    </w:p>
    <w:p w14:paraId="4EB4EC4B">
      <w:pPr>
        <w:spacing w:line="240" w:lineRule="auto"/>
        <w:ind w:firstLine="0" w:firstLineChars="0"/>
        <w:jc w:val="center"/>
        <w:rPr>
          <w:rFonts w:ascii="仿宋" w:hAnsi="仿宋" w:eastAsia="仿宋" w:cs="仿宋"/>
          <w:color w:val="auto"/>
          <w:sz w:val="22"/>
        </w:rPr>
      </w:pPr>
      <w:r>
        <w:rPr>
          <w:rFonts w:hint="eastAsia" w:ascii="仿宋" w:hAnsi="仿宋" w:eastAsia="仿宋" w:cs="仿宋"/>
          <w:color w:val="auto"/>
          <w:sz w:val="22"/>
        </w:rPr>
        <w:t>（格式仅供参考，以合同双方最终签订合同为准）</w:t>
      </w:r>
    </w:p>
    <w:p w14:paraId="0DD9DBEE">
      <w:pPr>
        <w:spacing w:line="240" w:lineRule="auto"/>
        <w:ind w:firstLine="0" w:firstLineChars="0"/>
        <w:rPr>
          <w:rFonts w:ascii="仿宋" w:hAnsi="仿宋" w:eastAsia="仿宋" w:cs="仿宋"/>
          <w:color w:val="auto"/>
          <w:sz w:val="22"/>
        </w:rPr>
      </w:pPr>
    </w:p>
    <w:p w14:paraId="6F07090B">
      <w:pPr>
        <w:pStyle w:val="10"/>
        <w:spacing w:after="0"/>
        <w:jc w:val="center"/>
        <w:rPr>
          <w:rFonts w:ascii="宋体" w:hAnsi="宋体" w:cs="宋体"/>
          <w:b/>
          <w:bCs/>
          <w:color w:val="auto"/>
          <w:spacing w:val="-20"/>
          <w:kern w:val="44"/>
          <w:sz w:val="48"/>
          <w:szCs w:val="48"/>
        </w:rPr>
      </w:pPr>
      <w:bookmarkStart w:id="746" w:name="_Toc3995"/>
    </w:p>
    <w:p w14:paraId="470CFE5B">
      <w:pPr>
        <w:pStyle w:val="10"/>
        <w:spacing w:after="0"/>
        <w:jc w:val="center"/>
        <w:rPr>
          <w:rFonts w:ascii="宋体" w:hAnsi="宋体" w:cs="宋体"/>
          <w:b/>
          <w:bCs/>
          <w:color w:val="auto"/>
          <w:spacing w:val="-20"/>
          <w:kern w:val="44"/>
          <w:sz w:val="48"/>
          <w:szCs w:val="48"/>
        </w:rPr>
      </w:pPr>
    </w:p>
    <w:p w14:paraId="7ED503D7">
      <w:pPr>
        <w:pStyle w:val="10"/>
        <w:spacing w:after="0"/>
        <w:jc w:val="center"/>
        <w:rPr>
          <w:rFonts w:ascii="宋体" w:hAnsi="宋体" w:cs="宋体"/>
          <w:b/>
          <w:bCs/>
          <w:color w:val="auto"/>
          <w:spacing w:val="-20"/>
          <w:kern w:val="44"/>
          <w:sz w:val="48"/>
          <w:szCs w:val="48"/>
        </w:rPr>
      </w:pPr>
    </w:p>
    <w:p w14:paraId="051F7BA8">
      <w:pPr>
        <w:pStyle w:val="10"/>
        <w:spacing w:after="0"/>
        <w:jc w:val="center"/>
        <w:rPr>
          <w:rFonts w:ascii="宋体" w:hAnsi="宋体" w:cs="宋体"/>
          <w:b/>
          <w:bCs/>
          <w:color w:val="auto"/>
          <w:spacing w:val="-20"/>
          <w:kern w:val="44"/>
          <w:sz w:val="48"/>
          <w:szCs w:val="48"/>
        </w:rPr>
      </w:pPr>
    </w:p>
    <w:p w14:paraId="34D902F6">
      <w:pPr>
        <w:pStyle w:val="10"/>
        <w:spacing w:after="0"/>
        <w:jc w:val="center"/>
        <w:rPr>
          <w:rFonts w:ascii="宋体" w:hAnsi="宋体" w:cs="宋体"/>
          <w:b/>
          <w:bCs/>
          <w:color w:val="auto"/>
          <w:spacing w:val="-20"/>
          <w:kern w:val="44"/>
          <w:sz w:val="48"/>
          <w:szCs w:val="48"/>
        </w:rPr>
      </w:pPr>
    </w:p>
    <w:p w14:paraId="68DF6D2B">
      <w:pPr>
        <w:pStyle w:val="10"/>
        <w:spacing w:after="0"/>
        <w:jc w:val="center"/>
        <w:rPr>
          <w:rFonts w:hint="eastAsia" w:ascii="宋体" w:hAnsi="宋体" w:cs="宋体"/>
          <w:b/>
          <w:bCs/>
          <w:color w:val="auto"/>
          <w:spacing w:val="-20"/>
          <w:kern w:val="44"/>
          <w:sz w:val="48"/>
          <w:szCs w:val="48"/>
        </w:rPr>
      </w:pPr>
      <w:r>
        <w:rPr>
          <w:rFonts w:hint="eastAsia" w:ascii="宋体" w:hAnsi="宋体" w:cs="宋体"/>
          <w:b/>
          <w:bCs/>
          <w:color w:val="auto"/>
          <w:spacing w:val="-20"/>
          <w:kern w:val="44"/>
          <w:sz w:val="48"/>
          <w:szCs w:val="48"/>
        </w:rPr>
        <w:t>政府采购</w:t>
      </w:r>
      <w:r>
        <w:rPr>
          <w:rFonts w:hint="eastAsia" w:ascii="宋体" w:hAnsi="宋体" w:cs="宋体"/>
          <w:b/>
          <w:bCs/>
          <w:color w:val="auto"/>
          <w:spacing w:val="-20"/>
          <w:kern w:val="44"/>
          <w:sz w:val="48"/>
          <w:szCs w:val="48"/>
          <w:lang w:eastAsia="zh-CN"/>
        </w:rPr>
        <w:t>货物买卖</w:t>
      </w:r>
      <w:r>
        <w:rPr>
          <w:rFonts w:hint="eastAsia" w:ascii="宋体" w:hAnsi="宋体" w:cs="宋体"/>
          <w:b/>
          <w:bCs/>
          <w:color w:val="auto"/>
          <w:spacing w:val="-20"/>
          <w:kern w:val="44"/>
          <w:sz w:val="48"/>
          <w:szCs w:val="48"/>
        </w:rPr>
        <w:t>合同</w:t>
      </w:r>
    </w:p>
    <w:p w14:paraId="36FE3C62">
      <w:pPr>
        <w:pStyle w:val="10"/>
        <w:spacing w:after="0"/>
        <w:jc w:val="center"/>
        <w:rPr>
          <w:rFonts w:hint="eastAsia" w:ascii="宋体" w:hAnsi="宋体" w:eastAsia="宋体" w:cs="宋体"/>
          <w:b/>
          <w:bCs/>
          <w:color w:val="auto"/>
          <w:spacing w:val="-20"/>
          <w:kern w:val="44"/>
          <w:sz w:val="48"/>
          <w:szCs w:val="48"/>
          <w:lang w:eastAsia="zh-CN"/>
        </w:rPr>
      </w:pPr>
      <w:r>
        <w:rPr>
          <w:rFonts w:hint="eastAsia" w:ascii="宋体" w:hAnsi="宋体" w:cs="宋体"/>
          <w:b/>
          <w:bCs/>
          <w:color w:val="auto"/>
          <w:spacing w:val="-20"/>
          <w:kern w:val="44"/>
          <w:sz w:val="48"/>
          <w:szCs w:val="48"/>
          <w:lang w:eastAsia="zh-CN"/>
        </w:rPr>
        <w:t>（试行）</w:t>
      </w:r>
    </w:p>
    <w:p w14:paraId="49241F9A">
      <w:pPr>
        <w:rPr>
          <w:rFonts w:ascii="宋体" w:hAnsi="宋体" w:cs="宋体"/>
          <w:b/>
          <w:bCs/>
          <w:color w:val="auto"/>
          <w:spacing w:val="-20"/>
          <w:kern w:val="44"/>
          <w:sz w:val="40"/>
          <w:szCs w:val="40"/>
        </w:rPr>
      </w:pPr>
    </w:p>
    <w:p w14:paraId="41E951B3">
      <w:pPr>
        <w:rPr>
          <w:rFonts w:ascii="宋体" w:hAnsi="宋体" w:cs="宋体"/>
          <w:b/>
          <w:bCs/>
          <w:color w:val="auto"/>
          <w:spacing w:val="-20"/>
          <w:kern w:val="44"/>
          <w:sz w:val="40"/>
          <w:szCs w:val="40"/>
        </w:rPr>
      </w:pPr>
    </w:p>
    <w:p w14:paraId="76107669">
      <w:pPr>
        <w:rPr>
          <w:rFonts w:ascii="宋体" w:hAnsi="宋体" w:cs="宋体"/>
          <w:b/>
          <w:bCs/>
          <w:color w:val="auto"/>
          <w:spacing w:val="-20"/>
          <w:kern w:val="44"/>
          <w:sz w:val="40"/>
          <w:szCs w:val="40"/>
        </w:rPr>
      </w:pPr>
    </w:p>
    <w:p w14:paraId="01CE99DA">
      <w:pPr>
        <w:spacing w:line="360" w:lineRule="auto"/>
        <w:ind w:left="420" w:leftChars="200"/>
        <w:rPr>
          <w:color w:val="auto"/>
          <w:sz w:val="32"/>
          <w:szCs w:val="32"/>
        </w:rPr>
      </w:pPr>
      <w:r>
        <w:rPr>
          <w:rFonts w:hint="eastAsia" w:ascii="宋体" w:hAnsi="宋体" w:cs="宋体"/>
          <w:color w:val="auto"/>
          <w:kern w:val="0"/>
          <w:sz w:val="32"/>
          <w:szCs w:val="32"/>
        </w:rPr>
        <w:t>项目名称：</w:t>
      </w:r>
      <w:r>
        <w:rPr>
          <w:rFonts w:hint="eastAsia"/>
          <w:color w:val="auto"/>
          <w:sz w:val="32"/>
          <w:szCs w:val="32"/>
          <w:u w:val="single"/>
        </w:rPr>
        <w:t xml:space="preserve">                             </w:t>
      </w:r>
    </w:p>
    <w:p w14:paraId="384BCD34">
      <w:pPr>
        <w:spacing w:line="360" w:lineRule="auto"/>
        <w:ind w:left="420" w:leftChars="200"/>
        <w:rPr>
          <w:color w:val="auto"/>
          <w:sz w:val="32"/>
          <w:szCs w:val="32"/>
          <w:u w:val="single"/>
        </w:rPr>
      </w:pPr>
      <w:r>
        <w:rPr>
          <w:rFonts w:hint="eastAsia"/>
          <w:color w:val="auto"/>
          <w:sz w:val="32"/>
          <w:szCs w:val="32"/>
        </w:rPr>
        <w:t>合同编号：</w:t>
      </w:r>
      <w:r>
        <w:rPr>
          <w:rFonts w:hint="eastAsia"/>
          <w:color w:val="auto"/>
          <w:sz w:val="32"/>
          <w:szCs w:val="32"/>
          <w:u w:val="single"/>
        </w:rPr>
        <w:t xml:space="preserve">                             </w:t>
      </w:r>
    </w:p>
    <w:p w14:paraId="30288A3E">
      <w:pPr>
        <w:spacing w:line="360" w:lineRule="auto"/>
        <w:ind w:left="420" w:leftChars="200"/>
        <w:rPr>
          <w:color w:val="auto"/>
          <w:sz w:val="32"/>
          <w:szCs w:val="32"/>
        </w:rPr>
      </w:pPr>
      <w:r>
        <w:rPr>
          <w:rFonts w:hint="eastAsia"/>
          <w:color w:val="auto"/>
          <w:sz w:val="32"/>
          <w:szCs w:val="32"/>
        </w:rPr>
        <w:t>甲    方：</w:t>
      </w:r>
      <w:r>
        <w:rPr>
          <w:rFonts w:hint="eastAsia"/>
          <w:color w:val="auto"/>
          <w:sz w:val="32"/>
          <w:szCs w:val="32"/>
          <w:u w:val="single"/>
        </w:rPr>
        <w:t xml:space="preserve">                             </w:t>
      </w:r>
    </w:p>
    <w:p w14:paraId="533B0C50">
      <w:pPr>
        <w:spacing w:line="360" w:lineRule="auto"/>
        <w:ind w:left="420" w:leftChars="200"/>
        <w:rPr>
          <w:color w:val="auto"/>
          <w:sz w:val="32"/>
          <w:szCs w:val="32"/>
          <w:u w:val="single"/>
        </w:rPr>
      </w:pPr>
      <w:r>
        <w:rPr>
          <w:rFonts w:hint="eastAsia"/>
          <w:color w:val="auto"/>
          <w:sz w:val="32"/>
          <w:szCs w:val="32"/>
        </w:rPr>
        <w:t>乙    方：</w:t>
      </w:r>
      <w:r>
        <w:rPr>
          <w:rFonts w:hint="eastAsia"/>
          <w:color w:val="auto"/>
          <w:sz w:val="32"/>
          <w:szCs w:val="32"/>
          <w:u w:val="single"/>
        </w:rPr>
        <w:t xml:space="preserve">                             </w:t>
      </w:r>
    </w:p>
    <w:p w14:paraId="5330D905">
      <w:pPr>
        <w:spacing w:line="360" w:lineRule="auto"/>
        <w:ind w:left="420" w:leftChars="200"/>
        <w:rPr>
          <w:color w:val="auto"/>
          <w:sz w:val="32"/>
          <w:szCs w:val="32"/>
        </w:rPr>
      </w:pPr>
      <w:r>
        <w:rPr>
          <w:rFonts w:hint="eastAsia"/>
          <w:color w:val="auto"/>
          <w:sz w:val="32"/>
          <w:szCs w:val="32"/>
        </w:rPr>
        <w:t>签订时间：</w:t>
      </w:r>
      <w:r>
        <w:rPr>
          <w:rFonts w:hint="eastAsia"/>
          <w:color w:val="auto"/>
          <w:sz w:val="32"/>
          <w:szCs w:val="32"/>
          <w:u w:val="single"/>
        </w:rPr>
        <w:t xml:space="preserve">      </w:t>
      </w:r>
      <w:r>
        <w:rPr>
          <w:color w:val="auto"/>
          <w:sz w:val="32"/>
          <w:szCs w:val="32"/>
          <w:u w:val="single"/>
        </w:rPr>
        <w:t xml:space="preserve">           </w:t>
      </w:r>
      <w:r>
        <w:rPr>
          <w:rFonts w:hint="eastAsia"/>
          <w:color w:val="auto"/>
          <w:sz w:val="32"/>
          <w:szCs w:val="32"/>
          <w:u w:val="single"/>
        </w:rPr>
        <w:t xml:space="preserve">            </w:t>
      </w:r>
    </w:p>
    <w:p w14:paraId="53D68D2B">
      <w:pPr>
        <w:rPr>
          <w:color w:val="auto"/>
        </w:rPr>
      </w:pPr>
    </w:p>
    <w:p w14:paraId="09675D91">
      <w:pPr>
        <w:rPr>
          <w:rFonts w:eastAsia="黑体"/>
          <w:color w:val="auto"/>
          <w:sz w:val="44"/>
          <w:szCs w:val="44"/>
        </w:rPr>
      </w:pPr>
      <w:r>
        <w:rPr>
          <w:rFonts w:eastAsia="黑体"/>
          <w:color w:val="auto"/>
          <w:sz w:val="44"/>
          <w:szCs w:val="44"/>
        </w:rPr>
        <w:br w:type="page"/>
      </w:r>
    </w:p>
    <w:p w14:paraId="6B6401C2">
      <w:pPr>
        <w:rPr>
          <w:rFonts w:eastAsia="黑体"/>
          <w:color w:val="auto"/>
          <w:sz w:val="44"/>
          <w:szCs w:val="44"/>
        </w:rPr>
      </w:pPr>
    </w:p>
    <w:p w14:paraId="317DADAF">
      <w:pPr>
        <w:rPr>
          <w:rFonts w:eastAsia="黑体"/>
          <w:color w:val="auto"/>
          <w:sz w:val="44"/>
          <w:szCs w:val="44"/>
        </w:rPr>
      </w:pPr>
    </w:p>
    <w:p w14:paraId="2984EC89">
      <w:pPr>
        <w:jc w:val="center"/>
        <w:rPr>
          <w:rFonts w:hint="eastAsia" w:eastAsia="黑体"/>
          <w:color w:val="auto"/>
          <w:sz w:val="21"/>
          <w:szCs w:val="21"/>
          <w:lang w:eastAsia="zh-CN"/>
        </w:rPr>
      </w:pPr>
      <w:r>
        <w:rPr>
          <w:rFonts w:hint="eastAsia" w:eastAsia="黑体"/>
          <w:color w:val="auto"/>
          <w:sz w:val="21"/>
          <w:szCs w:val="21"/>
          <w:lang w:eastAsia="zh-CN"/>
        </w:rPr>
        <w:t>使</w:t>
      </w:r>
      <w:r>
        <w:rPr>
          <w:rFonts w:hint="eastAsia" w:eastAsia="黑体"/>
          <w:color w:val="auto"/>
          <w:sz w:val="21"/>
          <w:szCs w:val="21"/>
          <w:lang w:val="en-US" w:eastAsia="zh-CN"/>
        </w:rPr>
        <w:t xml:space="preserve"> </w:t>
      </w:r>
      <w:r>
        <w:rPr>
          <w:rFonts w:hint="eastAsia" w:eastAsia="黑体"/>
          <w:color w:val="auto"/>
          <w:sz w:val="21"/>
          <w:szCs w:val="21"/>
          <w:lang w:eastAsia="zh-CN"/>
        </w:rPr>
        <w:t>用</w:t>
      </w:r>
      <w:r>
        <w:rPr>
          <w:rFonts w:hint="eastAsia" w:eastAsia="黑体"/>
          <w:color w:val="auto"/>
          <w:sz w:val="21"/>
          <w:szCs w:val="21"/>
          <w:lang w:val="en-US" w:eastAsia="zh-CN"/>
        </w:rPr>
        <w:t xml:space="preserve"> </w:t>
      </w:r>
      <w:r>
        <w:rPr>
          <w:rFonts w:hint="eastAsia" w:eastAsia="黑体"/>
          <w:color w:val="auto"/>
          <w:sz w:val="21"/>
          <w:szCs w:val="21"/>
          <w:lang w:eastAsia="zh-CN"/>
        </w:rPr>
        <w:t>说</w:t>
      </w:r>
      <w:r>
        <w:rPr>
          <w:rFonts w:hint="eastAsia" w:eastAsia="黑体"/>
          <w:color w:val="auto"/>
          <w:sz w:val="21"/>
          <w:szCs w:val="21"/>
          <w:lang w:val="en-US" w:eastAsia="zh-CN"/>
        </w:rPr>
        <w:t xml:space="preserve"> </w:t>
      </w:r>
      <w:r>
        <w:rPr>
          <w:rFonts w:hint="eastAsia" w:eastAsia="黑体"/>
          <w:color w:val="auto"/>
          <w:sz w:val="21"/>
          <w:szCs w:val="21"/>
          <w:lang w:eastAsia="zh-CN"/>
        </w:rPr>
        <w:t>明</w:t>
      </w:r>
    </w:p>
    <w:p w14:paraId="6B5CBD39">
      <w:pPr>
        <w:ind w:firstLine="420" w:firstLineChars="200"/>
        <w:rPr>
          <w:rFonts w:hint="eastAsia" w:ascii="仿宋_GB2312" w:hAnsi="仿宋_GB2312" w:eastAsia="仿宋_GB2312" w:cs="仿宋_GB2312"/>
          <w:color w:val="auto"/>
          <w:sz w:val="21"/>
          <w:szCs w:val="21"/>
          <w:lang w:val="en-US" w:eastAsia="zh-CN"/>
        </w:rPr>
      </w:pPr>
    </w:p>
    <w:p w14:paraId="735E8A24">
      <w:pPr>
        <w:ind w:firstLine="420" w:firstLineChars="200"/>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1.本合同标准文本适用于购买现成货物的采购项目，不包括需要供应商定制开发、创新研发的货物采购项目。</w:t>
      </w:r>
    </w:p>
    <w:p w14:paraId="45CC8CC6">
      <w:pPr>
        <w:ind w:firstLine="0" w:firstLineChars="0"/>
        <w:rPr>
          <w:rFonts w:hint="default" w:eastAsia="黑体"/>
          <w:color w:val="auto"/>
          <w:sz w:val="21"/>
          <w:szCs w:val="21"/>
          <w:lang w:val="en-US" w:eastAsia="zh-CN"/>
        </w:rPr>
      </w:pPr>
      <w:r>
        <w:rPr>
          <w:rFonts w:hint="eastAsia" w:eastAsia="黑体"/>
          <w:color w:val="auto"/>
          <w:sz w:val="21"/>
          <w:szCs w:val="21"/>
          <w:lang w:val="en-US" w:eastAsia="zh-CN"/>
        </w:rPr>
        <w:t xml:space="preserve">   </w:t>
      </w:r>
      <w:r>
        <w:rPr>
          <w:rFonts w:hint="eastAsia" w:ascii="仿宋_GB2312" w:hAnsi="仿宋_GB2312" w:eastAsia="仿宋_GB2312" w:cs="仿宋_GB2312"/>
          <w:color w:val="auto"/>
          <w:sz w:val="21"/>
          <w:szCs w:val="21"/>
          <w:lang w:val="en-US" w:eastAsia="zh-CN"/>
        </w:rPr>
        <w:t>2.本合同标准文本为政府采购货物买卖合同编制提供参考，可以结合采购项目具体情况，对文本作必要的调整修订后使用。</w:t>
      </w:r>
    </w:p>
    <w:p w14:paraId="1D1C1FAE">
      <w:pPr>
        <w:ind w:firstLine="420" w:firstLineChars="200"/>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3.本合同标准文本各条款中，如涉及填写多家供应商、制造商，多种采购标的、分包主要内容等信息的，可根据采购项目具体情况添加信息项。</w:t>
      </w:r>
    </w:p>
    <w:p w14:paraId="2AEA1D7E">
      <w:pPr>
        <w:ind w:firstLine="420" w:firstLineChars="200"/>
        <w:jc w:val="both"/>
        <w:rPr>
          <w:rFonts w:eastAsia="黑体"/>
          <w:color w:val="auto"/>
          <w:sz w:val="21"/>
          <w:szCs w:val="21"/>
        </w:rPr>
        <w:sectPr>
          <w:headerReference r:id="rId11" w:type="default"/>
          <w:footerReference r:id="rId12"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bookmarkEnd w:id="746"/>
    <w:p w14:paraId="3141B340">
      <w:pPr>
        <w:bidi w:val="0"/>
        <w:rPr>
          <w:rFonts w:hint="eastAsia"/>
          <w:color w:val="auto"/>
          <w:sz w:val="21"/>
          <w:szCs w:val="21"/>
        </w:rPr>
      </w:pPr>
      <w:bookmarkStart w:id="747" w:name="_Toc22209"/>
    </w:p>
    <w:p w14:paraId="0ABE1576">
      <w:pPr>
        <w:pStyle w:val="4"/>
        <w:adjustRightInd w:val="0"/>
        <w:snapToGrid w:val="0"/>
        <w:spacing w:beforeLines="0" w:line="400" w:lineRule="exact"/>
        <w:jc w:val="center"/>
        <w:rPr>
          <w:rFonts w:hint="eastAsia" w:ascii="黑体" w:hAnsi="华文中宋" w:eastAsia="黑体"/>
          <w:b w:val="0"/>
          <w:bCs w:val="0"/>
          <w:color w:val="auto"/>
          <w:sz w:val="21"/>
          <w:szCs w:val="21"/>
        </w:rPr>
      </w:pPr>
      <w:bookmarkStart w:id="748" w:name="_Toc20610"/>
      <w:r>
        <w:rPr>
          <w:rFonts w:hint="eastAsia" w:ascii="黑体" w:hAnsi="黑体" w:eastAsia="黑体"/>
          <w:b w:val="0"/>
          <w:bCs w:val="0"/>
          <w:color w:val="auto"/>
          <w:sz w:val="21"/>
          <w:szCs w:val="21"/>
        </w:rPr>
        <w:t xml:space="preserve">第一节 </w:t>
      </w:r>
      <w:r>
        <w:rPr>
          <w:rFonts w:hint="eastAsia" w:ascii="黑体" w:hAnsi="华文中宋" w:eastAsia="黑体"/>
          <w:b w:val="0"/>
          <w:bCs w:val="0"/>
          <w:color w:val="auto"/>
          <w:sz w:val="21"/>
          <w:szCs w:val="21"/>
        </w:rPr>
        <w:t>政府采购合同协议书</w:t>
      </w:r>
      <w:bookmarkEnd w:id="747"/>
      <w:bookmarkEnd w:id="748"/>
    </w:p>
    <w:p w14:paraId="30B079AD">
      <w:pPr>
        <w:bidi w:val="0"/>
        <w:rPr>
          <w:rFonts w:hint="eastAsia"/>
          <w:color w:val="auto"/>
          <w:sz w:val="21"/>
          <w:szCs w:val="21"/>
        </w:rPr>
      </w:pPr>
    </w:p>
    <w:p w14:paraId="1BCBB0B0">
      <w:pPr>
        <w:adjustRightInd w:val="0"/>
        <w:snapToGrid w:val="0"/>
        <w:spacing w:before="0" w:beforeLines="0" w:line="400" w:lineRule="exact"/>
        <w:rPr>
          <w:rFonts w:ascii="宋体" w:hAnsi="宋体"/>
          <w:color w:val="auto"/>
          <w:sz w:val="21"/>
          <w:szCs w:val="21"/>
        </w:rPr>
      </w:pPr>
      <w:r>
        <w:rPr>
          <w:rFonts w:hint="eastAsia" w:ascii="宋体" w:hAnsi="宋体"/>
          <w:color w:val="auto"/>
          <w:sz w:val="21"/>
          <w:szCs w:val="21"/>
        </w:rPr>
        <w:t>甲方（全称）：</w:t>
      </w:r>
      <w:r>
        <w:rPr>
          <w:rFonts w:hint="eastAsia" w:ascii="宋体" w:hAnsi="宋体"/>
          <w:color w:val="auto"/>
          <w:sz w:val="21"/>
          <w:szCs w:val="21"/>
          <w:u w:val="single"/>
        </w:rPr>
        <w:t xml:space="preserve">                        </w:t>
      </w:r>
      <w:r>
        <w:rPr>
          <w:rFonts w:hint="eastAsia" w:ascii="宋体" w:hAnsi="宋体"/>
          <w:color w:val="auto"/>
          <w:sz w:val="21"/>
          <w:szCs w:val="21"/>
        </w:rPr>
        <w:t>（采购人</w:t>
      </w:r>
      <w:r>
        <w:rPr>
          <w:rFonts w:hint="eastAsia" w:ascii="宋体" w:hAnsi="宋体"/>
          <w:color w:val="auto"/>
          <w:sz w:val="21"/>
          <w:szCs w:val="21"/>
          <w:lang w:eastAsia="zh-CN"/>
        </w:rPr>
        <w:t>、受采购人委托签订合同的单位</w:t>
      </w:r>
      <w:r>
        <w:rPr>
          <w:rFonts w:hint="eastAsia" w:ascii="宋体" w:hAnsi="宋体"/>
          <w:color w:val="auto"/>
          <w:sz w:val="21"/>
          <w:szCs w:val="21"/>
        </w:rPr>
        <w:t>或采购</w:t>
      </w:r>
      <w:r>
        <w:rPr>
          <w:rFonts w:hint="eastAsia" w:ascii="宋体" w:hAnsi="宋体"/>
          <w:color w:val="auto"/>
          <w:sz w:val="21"/>
          <w:szCs w:val="21"/>
          <w:lang w:val="en-US" w:eastAsia="zh-CN"/>
        </w:rPr>
        <w:tab/>
      </w:r>
      <w:r>
        <w:rPr>
          <w:rFonts w:hint="eastAsia" w:ascii="宋体" w:hAnsi="宋体"/>
          <w:color w:val="auto"/>
          <w:sz w:val="21"/>
          <w:szCs w:val="21"/>
          <w:lang w:val="en-US" w:eastAsia="zh-CN"/>
        </w:rPr>
        <w:t xml:space="preserve">                                   </w:t>
      </w:r>
      <w:r>
        <w:rPr>
          <w:rFonts w:hint="eastAsia" w:ascii="宋体" w:hAnsi="宋体"/>
          <w:color w:val="auto"/>
          <w:sz w:val="21"/>
          <w:szCs w:val="21"/>
        </w:rPr>
        <w:t>文件约定的合同甲方）</w:t>
      </w:r>
    </w:p>
    <w:p w14:paraId="6205126D">
      <w:pPr>
        <w:adjustRightInd w:val="0"/>
        <w:snapToGrid w:val="0"/>
        <w:spacing w:before="0" w:beforeLines="0" w:line="400" w:lineRule="exact"/>
        <w:rPr>
          <w:rFonts w:ascii="宋体" w:hAnsi="宋体"/>
          <w:color w:val="auto"/>
          <w:sz w:val="21"/>
          <w:szCs w:val="21"/>
        </w:rPr>
      </w:pPr>
      <w:r>
        <w:rPr>
          <w:rFonts w:hint="eastAsia" w:ascii="宋体" w:hAnsi="宋体"/>
          <w:color w:val="auto"/>
          <w:sz w:val="21"/>
          <w:szCs w:val="21"/>
        </w:rPr>
        <w:t>乙方</w:t>
      </w:r>
      <w:r>
        <w:rPr>
          <w:rFonts w:hint="eastAsia" w:ascii="宋体" w:hAnsi="宋体"/>
          <w:color w:val="auto"/>
          <w:sz w:val="21"/>
          <w:szCs w:val="21"/>
          <w:lang w:val="en-US" w:eastAsia="zh-CN"/>
        </w:rPr>
        <w:t>1</w:t>
      </w:r>
      <w:r>
        <w:rPr>
          <w:rFonts w:hint="eastAsia" w:ascii="宋体" w:hAnsi="宋体"/>
          <w:color w:val="auto"/>
          <w:sz w:val="21"/>
          <w:szCs w:val="21"/>
        </w:rPr>
        <w:t>（全称）：</w:t>
      </w:r>
      <w:r>
        <w:rPr>
          <w:rFonts w:hint="eastAsia" w:ascii="宋体" w:hAnsi="宋体"/>
          <w:color w:val="auto"/>
          <w:sz w:val="21"/>
          <w:szCs w:val="21"/>
          <w:u w:val="single"/>
        </w:rPr>
        <w:t xml:space="preserve">                       </w:t>
      </w:r>
      <w:r>
        <w:rPr>
          <w:rFonts w:hint="eastAsia" w:ascii="宋体" w:hAnsi="宋体"/>
          <w:color w:val="auto"/>
          <w:sz w:val="21"/>
          <w:szCs w:val="21"/>
        </w:rPr>
        <w:t>（供应商）</w:t>
      </w:r>
    </w:p>
    <w:p w14:paraId="0B2F7C39">
      <w:pPr>
        <w:adjustRightInd w:val="0"/>
        <w:snapToGrid w:val="0"/>
        <w:spacing w:before="0" w:beforeLines="0" w:line="400" w:lineRule="exact"/>
        <w:rPr>
          <w:rFonts w:hint="eastAsia" w:ascii="宋体" w:hAnsi="宋体"/>
          <w:color w:val="auto"/>
          <w:sz w:val="21"/>
          <w:szCs w:val="21"/>
        </w:rPr>
      </w:pPr>
      <w:r>
        <w:rPr>
          <w:rFonts w:hint="eastAsia" w:ascii="宋体" w:hAnsi="宋体"/>
          <w:color w:val="auto"/>
          <w:sz w:val="21"/>
          <w:szCs w:val="21"/>
        </w:rPr>
        <w:t>乙方2（全称）：</w:t>
      </w:r>
      <w:r>
        <w:rPr>
          <w:rFonts w:hint="eastAsia" w:ascii="宋体" w:hAnsi="宋体"/>
          <w:color w:val="auto"/>
          <w:sz w:val="21"/>
          <w:szCs w:val="21"/>
          <w:u w:val="single"/>
        </w:rPr>
        <w:t xml:space="preserve">                        </w:t>
      </w:r>
      <w:r>
        <w:rPr>
          <w:rFonts w:hint="eastAsia" w:ascii="宋体" w:hAnsi="宋体"/>
          <w:color w:val="auto"/>
          <w:sz w:val="21"/>
          <w:szCs w:val="21"/>
        </w:rPr>
        <w:t>（联合体成员供应商或其他合同主体）（如有）</w:t>
      </w:r>
    </w:p>
    <w:p w14:paraId="4CDF8459">
      <w:pPr>
        <w:adjustRightInd w:val="0"/>
        <w:snapToGrid w:val="0"/>
        <w:spacing w:before="0" w:beforeLines="0" w:line="400" w:lineRule="exact"/>
        <w:rPr>
          <w:rFonts w:hint="eastAsia" w:ascii="宋体" w:hAnsi="宋体"/>
          <w:color w:val="auto"/>
          <w:sz w:val="21"/>
          <w:szCs w:val="21"/>
        </w:rPr>
      </w:pPr>
      <w:r>
        <w:rPr>
          <w:rFonts w:hint="eastAsia"/>
          <w:color w:val="auto"/>
          <w:sz w:val="21"/>
          <w:szCs w:val="21"/>
          <w:lang w:eastAsia="zh-CN"/>
        </w:rPr>
        <w:t>乙方</w:t>
      </w:r>
      <w:r>
        <w:rPr>
          <w:rFonts w:hint="eastAsia" w:ascii="宋体" w:hAnsi="宋体"/>
          <w:color w:val="auto"/>
          <w:sz w:val="21"/>
          <w:szCs w:val="21"/>
          <w:lang w:val="en-US" w:eastAsia="zh-CN"/>
        </w:rPr>
        <w:t>3</w:t>
      </w:r>
      <w:r>
        <w:rPr>
          <w:rFonts w:hint="eastAsia"/>
          <w:color w:val="auto"/>
          <w:sz w:val="21"/>
          <w:szCs w:val="21"/>
          <w:lang w:val="en-US" w:eastAsia="zh-CN"/>
        </w:rPr>
        <w:t>（全称）</w:t>
      </w:r>
      <w:r>
        <w:rPr>
          <w:rFonts w:hint="eastAsia" w:ascii="宋体" w:hAnsi="宋体"/>
          <w:color w:val="auto"/>
          <w:sz w:val="21"/>
          <w:szCs w:val="21"/>
          <w:u w:val="single"/>
        </w:rPr>
        <w:t xml:space="preserve">                          </w:t>
      </w:r>
      <w:r>
        <w:rPr>
          <w:rFonts w:hint="eastAsia" w:ascii="宋体" w:hAnsi="宋体"/>
          <w:color w:val="auto"/>
          <w:sz w:val="21"/>
          <w:szCs w:val="21"/>
        </w:rPr>
        <w:t>（联合体成员供应商或其他合同主体）（如有）</w:t>
      </w:r>
    </w:p>
    <w:p w14:paraId="04B117A7">
      <w:pPr>
        <w:spacing w:beforeLines="0" w:line="400" w:lineRule="exact"/>
        <w:rPr>
          <w:rFonts w:hint="default" w:eastAsia="宋体"/>
          <w:color w:val="auto"/>
          <w:sz w:val="21"/>
          <w:szCs w:val="21"/>
          <w:lang w:val="en-US" w:eastAsia="zh-CN"/>
        </w:rPr>
      </w:pPr>
    </w:p>
    <w:p w14:paraId="6F485A6D">
      <w:pPr>
        <w:pStyle w:val="11"/>
        <w:adjustRightInd w:val="0"/>
        <w:snapToGrid w:val="0"/>
        <w:spacing w:before="0" w:beforeLines="0" w:after="0" w:line="400" w:lineRule="exact"/>
        <w:ind w:left="0" w:leftChars="0" w:firstLine="420" w:firstLineChars="200"/>
        <w:rPr>
          <w:rFonts w:ascii="宋体" w:hAnsi="宋体"/>
          <w:color w:val="auto"/>
          <w:sz w:val="21"/>
          <w:szCs w:val="21"/>
        </w:rPr>
      </w:pPr>
      <w:r>
        <w:rPr>
          <w:rFonts w:hint="eastAsia" w:ascii="宋体" w:hAnsi="宋体"/>
          <w:color w:val="auto"/>
          <w:sz w:val="21"/>
          <w:szCs w:val="21"/>
        </w:rPr>
        <w:t>依据《中华人民共和国民法典》</w:t>
      </w:r>
      <w:r>
        <w:rPr>
          <w:rFonts w:hint="eastAsia" w:ascii="宋体" w:hAnsi="宋体"/>
          <w:color w:val="auto"/>
          <w:sz w:val="21"/>
          <w:szCs w:val="21"/>
          <w:lang w:eastAsia="zh-CN"/>
        </w:rPr>
        <w:t>、</w:t>
      </w:r>
      <w:r>
        <w:rPr>
          <w:rFonts w:hint="eastAsia" w:ascii="宋体" w:hAnsi="宋体"/>
          <w:color w:val="auto"/>
          <w:sz w:val="21"/>
          <w:szCs w:val="21"/>
        </w:rPr>
        <w:t>《中华人民共和国政府采购法》等有关的法律法规，以及</w:t>
      </w:r>
      <w:r>
        <w:rPr>
          <w:rFonts w:hint="eastAsia" w:ascii="宋体" w:hAnsi="宋体"/>
          <w:i w:val="0"/>
          <w:iCs w:val="0"/>
          <w:color w:val="auto"/>
          <w:sz w:val="21"/>
          <w:szCs w:val="21"/>
          <w:u w:val="none"/>
          <w:lang w:eastAsia="zh-CN"/>
        </w:rPr>
        <w:t>本采购项目</w:t>
      </w:r>
      <w:r>
        <w:rPr>
          <w:rFonts w:hint="eastAsia" w:ascii="宋体" w:hAnsi="宋体"/>
          <w:color w:val="auto"/>
          <w:sz w:val="21"/>
          <w:szCs w:val="21"/>
        </w:rPr>
        <w:t>的</w:t>
      </w:r>
      <w:r>
        <w:rPr>
          <w:rFonts w:hint="eastAsia" w:ascii="宋体" w:hAnsi="宋体"/>
          <w:color w:val="auto"/>
          <w:sz w:val="21"/>
          <w:szCs w:val="21"/>
          <w:lang w:eastAsia="zh-CN"/>
        </w:rPr>
        <w:t>招标</w:t>
      </w:r>
      <w:r>
        <w:rPr>
          <w:rFonts w:hint="eastAsia" w:ascii="宋体" w:hAnsi="宋体"/>
          <w:color w:val="auto"/>
          <w:sz w:val="21"/>
          <w:szCs w:val="21"/>
          <w:lang w:val="en-US" w:eastAsia="zh-CN"/>
        </w:rPr>
        <w:t>/谈判</w:t>
      </w:r>
      <w:r>
        <w:rPr>
          <w:rFonts w:hint="eastAsia" w:ascii="宋体" w:hAnsi="宋体"/>
          <w:color w:val="auto"/>
          <w:sz w:val="21"/>
          <w:szCs w:val="21"/>
          <w:lang w:eastAsia="zh-CN"/>
        </w:rPr>
        <w:t>文件等</w:t>
      </w:r>
      <w:r>
        <w:rPr>
          <w:rFonts w:hint="eastAsia" w:ascii="宋体" w:hAnsi="宋体"/>
          <w:color w:val="auto"/>
          <w:sz w:val="21"/>
          <w:szCs w:val="21"/>
        </w:rPr>
        <w:t>采购文件</w:t>
      </w:r>
      <w:r>
        <w:rPr>
          <w:rFonts w:hint="eastAsia" w:ascii="宋体" w:hAnsi="宋体"/>
          <w:color w:val="auto"/>
          <w:sz w:val="21"/>
          <w:szCs w:val="21"/>
          <w:lang w:eastAsia="zh-CN"/>
        </w:rPr>
        <w:t>、</w:t>
      </w:r>
      <w:r>
        <w:rPr>
          <w:rFonts w:hint="eastAsia" w:ascii="宋体" w:hAnsi="宋体"/>
          <w:color w:val="auto"/>
          <w:sz w:val="21"/>
          <w:szCs w:val="21"/>
        </w:rPr>
        <w:t xml:space="preserve">乙方的《投标（响应）文件》及《中标（成交）通知书》，甲乙双方同意签订本合同。具体情况及要求如下：     </w:t>
      </w:r>
    </w:p>
    <w:p w14:paraId="30CCBAD5">
      <w:pPr>
        <w:numPr>
          <w:ilvl w:val="0"/>
          <w:numId w:val="3"/>
        </w:numPr>
        <w:adjustRightInd w:val="0"/>
        <w:snapToGrid w:val="0"/>
        <w:spacing w:before="0" w:beforeLines="0" w:line="400" w:lineRule="exact"/>
        <w:ind w:firstLine="422" w:firstLineChars="200"/>
        <w:rPr>
          <w:rFonts w:ascii="宋体" w:hAnsi="宋体"/>
          <w:b/>
          <w:color w:val="auto"/>
          <w:sz w:val="21"/>
          <w:szCs w:val="21"/>
        </w:rPr>
      </w:pPr>
      <w:r>
        <w:rPr>
          <w:rFonts w:hint="eastAsia" w:ascii="宋体" w:hAnsi="宋体"/>
          <w:b/>
          <w:color w:val="auto"/>
          <w:sz w:val="21"/>
          <w:szCs w:val="21"/>
        </w:rPr>
        <w:t>项目信息</w:t>
      </w:r>
    </w:p>
    <w:p w14:paraId="0BFC61B7">
      <w:pPr>
        <w:pStyle w:val="11"/>
        <w:numPr>
          <w:ilvl w:val="0"/>
          <w:numId w:val="4"/>
        </w:numPr>
        <w:adjustRightInd w:val="0"/>
        <w:snapToGrid w:val="0"/>
        <w:spacing w:before="0" w:beforeLines="0" w:after="0" w:line="400" w:lineRule="exact"/>
        <w:ind w:left="0" w:leftChars="0" w:firstLine="420" w:firstLineChars="200"/>
        <w:rPr>
          <w:rFonts w:ascii="宋体" w:hAnsi="宋体"/>
          <w:color w:val="auto"/>
          <w:sz w:val="21"/>
          <w:szCs w:val="21"/>
          <w:u w:val="single"/>
        </w:rPr>
      </w:pPr>
      <w:r>
        <w:rPr>
          <w:rFonts w:hint="eastAsia" w:ascii="宋体" w:hAnsi="宋体"/>
          <w:color w:val="auto"/>
          <w:sz w:val="21"/>
          <w:szCs w:val="21"/>
        </w:rPr>
        <w:t>采购项目名称：</w:t>
      </w:r>
      <w:r>
        <w:rPr>
          <w:rFonts w:ascii="宋体" w:hAnsi="宋体"/>
          <w:color w:val="auto"/>
          <w:sz w:val="21"/>
          <w:szCs w:val="21"/>
          <w:u w:val="single"/>
        </w:rPr>
        <w:t xml:space="preserve">                                          </w:t>
      </w:r>
    </w:p>
    <w:p w14:paraId="6CA85B11">
      <w:pPr>
        <w:pStyle w:val="11"/>
        <w:numPr>
          <w:ilvl w:val="-1"/>
          <w:numId w:val="0"/>
        </w:numPr>
        <w:tabs>
          <w:tab w:val="left" w:pos="999"/>
        </w:tabs>
        <w:adjustRightInd w:val="0"/>
        <w:snapToGrid w:val="0"/>
        <w:spacing w:before="0" w:beforeLines="0" w:after="0" w:line="400" w:lineRule="exact"/>
        <w:ind w:left="0" w:leftChars="0" w:firstLine="0" w:firstLineChars="0"/>
        <w:rPr>
          <w:rFonts w:hint="default" w:ascii="宋体" w:hAnsi="宋体" w:eastAsia="宋体"/>
          <w:color w:val="auto"/>
          <w:sz w:val="21"/>
          <w:szCs w:val="21"/>
          <w:u w:val="none"/>
          <w:lang w:val="en-US" w:eastAsia="zh-CN"/>
        </w:rPr>
      </w:pPr>
      <w:r>
        <w:rPr>
          <w:rFonts w:hint="eastAsia" w:ascii="宋体" w:hAnsi="宋体"/>
          <w:color w:val="auto"/>
          <w:sz w:val="21"/>
          <w:szCs w:val="21"/>
          <w:u w:val="none"/>
          <w:lang w:val="en-US" w:eastAsia="zh-CN"/>
        </w:rPr>
        <w:t xml:space="preserve">         采购项目编号：</w:t>
      </w:r>
      <w:r>
        <w:rPr>
          <w:rFonts w:ascii="宋体" w:hAnsi="宋体"/>
          <w:color w:val="auto"/>
          <w:sz w:val="21"/>
          <w:szCs w:val="21"/>
          <w:u w:val="single"/>
        </w:rPr>
        <w:t xml:space="preserve">                                          </w:t>
      </w:r>
    </w:p>
    <w:p w14:paraId="18F88D67">
      <w:pPr>
        <w:pStyle w:val="11"/>
        <w:adjustRightInd w:val="0"/>
        <w:snapToGrid w:val="0"/>
        <w:spacing w:before="0" w:beforeLines="0" w:after="0" w:line="400" w:lineRule="exact"/>
        <w:ind w:left="0" w:leftChars="0" w:firstLine="420" w:firstLineChars="200"/>
        <w:rPr>
          <w:rFonts w:ascii="宋体" w:hAnsi="宋体"/>
          <w:color w:val="auto"/>
          <w:sz w:val="21"/>
          <w:szCs w:val="21"/>
        </w:rPr>
      </w:pPr>
      <w:r>
        <w:rPr>
          <w:rFonts w:hint="eastAsia" w:ascii="宋体" w:hAnsi="宋体"/>
          <w:color w:val="auto"/>
          <w:sz w:val="21"/>
          <w:szCs w:val="21"/>
        </w:rPr>
        <w:t>（2）采购计划编号：</w:t>
      </w:r>
      <w:r>
        <w:rPr>
          <w:rFonts w:ascii="宋体" w:hAnsi="宋体"/>
          <w:color w:val="auto"/>
          <w:sz w:val="21"/>
          <w:szCs w:val="21"/>
          <w:u w:val="single"/>
        </w:rPr>
        <w:t xml:space="preserve">                     </w:t>
      </w:r>
      <w:r>
        <w:rPr>
          <w:rFonts w:hint="eastAsia" w:ascii="宋体" w:hAnsi="宋体"/>
          <w:color w:val="auto"/>
          <w:sz w:val="21"/>
          <w:szCs w:val="21"/>
          <w:u w:val="single"/>
        </w:rPr>
        <w:t xml:space="preserve">                </w:t>
      </w:r>
      <w:r>
        <w:rPr>
          <w:rFonts w:ascii="宋体" w:hAnsi="宋体"/>
          <w:color w:val="auto"/>
          <w:sz w:val="21"/>
          <w:szCs w:val="21"/>
          <w:u w:val="single"/>
        </w:rPr>
        <w:t xml:space="preserve">     </w:t>
      </w:r>
      <w:r>
        <w:rPr>
          <w:rFonts w:ascii="宋体" w:hAnsi="宋体"/>
          <w:color w:val="auto"/>
          <w:sz w:val="21"/>
          <w:szCs w:val="21"/>
        </w:rPr>
        <w:t xml:space="preserve"> </w:t>
      </w:r>
    </w:p>
    <w:p w14:paraId="3577E26D">
      <w:pPr>
        <w:adjustRightInd w:val="0"/>
        <w:snapToGrid w:val="0"/>
        <w:spacing w:before="0" w:beforeLines="0" w:line="400" w:lineRule="exact"/>
        <w:ind w:firstLine="420" w:firstLineChars="200"/>
        <w:rPr>
          <w:rFonts w:hint="eastAsia" w:ascii="宋体" w:hAnsi="宋体"/>
          <w:color w:val="auto"/>
          <w:sz w:val="21"/>
          <w:szCs w:val="21"/>
        </w:rPr>
      </w:pPr>
      <w:r>
        <w:rPr>
          <w:rFonts w:hint="eastAsia" w:ascii="宋体" w:hAnsi="宋体"/>
          <w:color w:val="auto"/>
          <w:sz w:val="21"/>
          <w:szCs w:val="21"/>
        </w:rPr>
        <w:t>（3）项目内容：</w:t>
      </w:r>
    </w:p>
    <w:p w14:paraId="1B920BB9">
      <w:pPr>
        <w:adjustRightInd w:val="0"/>
        <w:snapToGrid w:val="0"/>
        <w:spacing w:before="0" w:beforeLines="0" w:line="400" w:lineRule="exact"/>
        <w:ind w:firstLine="420" w:firstLineChars="200"/>
        <w:rPr>
          <w:rFonts w:hint="eastAsia" w:ascii="宋体" w:hAnsi="宋体"/>
          <w:color w:val="auto"/>
          <w:sz w:val="21"/>
          <w:szCs w:val="21"/>
          <w:lang w:val="en-US" w:eastAsia="zh-CN"/>
        </w:rPr>
      </w:pPr>
      <w:r>
        <w:rPr>
          <w:rFonts w:hint="eastAsia" w:ascii="宋体" w:hAnsi="宋体"/>
          <w:color w:val="auto"/>
          <w:sz w:val="21"/>
          <w:szCs w:val="21"/>
          <w:lang w:val="en-US" w:eastAsia="zh-CN"/>
        </w:rPr>
        <w:t xml:space="preserve">     </w:t>
      </w:r>
      <w:r>
        <w:rPr>
          <w:rFonts w:hint="eastAsia" w:ascii="宋体" w:hAnsi="宋体"/>
          <w:color w:val="auto"/>
          <w:sz w:val="21"/>
          <w:szCs w:val="21"/>
          <w:lang w:eastAsia="zh-CN"/>
        </w:rPr>
        <w:t>采购标的及数量</w:t>
      </w:r>
      <w:r>
        <w:rPr>
          <w:rFonts w:hint="eastAsia" w:ascii="宋体" w:hAnsi="宋体"/>
          <w:color w:val="auto"/>
          <w:sz w:val="21"/>
          <w:szCs w:val="21"/>
          <w:lang w:val="en-US" w:eastAsia="zh-CN"/>
        </w:rPr>
        <w:t>（台/套</w:t>
      </w:r>
      <w:r>
        <w:rPr>
          <w:rFonts w:hint="default" w:ascii="宋体" w:hAnsi="宋体"/>
          <w:color w:val="auto"/>
          <w:sz w:val="21"/>
          <w:szCs w:val="21"/>
          <w:lang w:val="en" w:eastAsia="zh-CN"/>
        </w:rPr>
        <w:t>/</w:t>
      </w:r>
      <w:r>
        <w:rPr>
          <w:rFonts w:hint="eastAsia" w:ascii="宋体" w:hAnsi="宋体"/>
          <w:color w:val="auto"/>
          <w:sz w:val="21"/>
          <w:szCs w:val="21"/>
          <w:lang w:val="en" w:eastAsia="zh-CN"/>
        </w:rPr>
        <w:t>个</w:t>
      </w:r>
      <w:r>
        <w:rPr>
          <w:rFonts w:hint="default" w:ascii="宋体" w:hAnsi="宋体"/>
          <w:color w:val="auto"/>
          <w:sz w:val="21"/>
          <w:szCs w:val="21"/>
          <w:lang w:val="en" w:eastAsia="zh-CN"/>
        </w:rPr>
        <w:t>/</w:t>
      </w:r>
      <w:r>
        <w:rPr>
          <w:rFonts w:hint="eastAsia" w:ascii="宋体" w:hAnsi="宋体"/>
          <w:color w:val="auto"/>
          <w:sz w:val="21"/>
          <w:szCs w:val="21"/>
          <w:lang w:val="en" w:eastAsia="zh-CN"/>
        </w:rPr>
        <w:t>架</w:t>
      </w:r>
      <w:r>
        <w:rPr>
          <w:rFonts w:hint="default" w:ascii="宋体" w:hAnsi="宋体"/>
          <w:color w:val="auto"/>
          <w:sz w:val="21"/>
          <w:szCs w:val="21"/>
          <w:lang w:val="en" w:eastAsia="zh-CN"/>
        </w:rPr>
        <w:t>/</w:t>
      </w:r>
      <w:r>
        <w:rPr>
          <w:rFonts w:hint="eastAsia" w:ascii="宋体" w:hAnsi="宋体"/>
          <w:color w:val="auto"/>
          <w:sz w:val="21"/>
          <w:szCs w:val="21"/>
          <w:lang w:val="en" w:eastAsia="zh-CN"/>
        </w:rPr>
        <w:t>组等</w:t>
      </w:r>
      <w:r>
        <w:rPr>
          <w:rFonts w:hint="eastAsia" w:ascii="宋体" w:hAnsi="宋体"/>
          <w:color w:val="auto"/>
          <w:sz w:val="21"/>
          <w:szCs w:val="21"/>
          <w:lang w:val="en-US" w:eastAsia="zh-CN"/>
        </w:rPr>
        <w:t>）</w:t>
      </w:r>
      <w:r>
        <w:rPr>
          <w:rFonts w:hint="eastAsia" w:ascii="宋体" w:hAnsi="宋体"/>
          <w:color w:val="auto"/>
          <w:sz w:val="21"/>
          <w:szCs w:val="21"/>
          <w:lang w:eastAsia="zh-CN"/>
        </w:rPr>
        <w:t>：</w:t>
      </w:r>
      <w:r>
        <w:rPr>
          <w:rFonts w:hint="eastAsia" w:ascii="宋体" w:hAnsi="宋体"/>
          <w:color w:val="auto"/>
          <w:sz w:val="21"/>
          <w:szCs w:val="21"/>
          <w:u w:val="single"/>
          <w:lang w:val="en-US" w:eastAsia="zh-CN"/>
        </w:rPr>
        <w:t xml:space="preserve">                       </w:t>
      </w:r>
      <w:r>
        <w:rPr>
          <w:rFonts w:hint="eastAsia" w:ascii="宋体" w:hAnsi="宋体"/>
          <w:color w:val="auto"/>
          <w:sz w:val="21"/>
          <w:szCs w:val="21"/>
          <w:u w:val="none"/>
          <w:lang w:val="en-US" w:eastAsia="zh-CN"/>
        </w:rPr>
        <w:t xml:space="preserve">            </w:t>
      </w:r>
      <w:r>
        <w:rPr>
          <w:rFonts w:hint="eastAsia" w:ascii="宋体" w:hAnsi="宋体"/>
          <w:color w:val="auto"/>
          <w:sz w:val="21"/>
          <w:szCs w:val="21"/>
          <w:u w:val="single"/>
          <w:lang w:val="en-US" w:eastAsia="zh-CN"/>
        </w:rPr>
        <w:t xml:space="preserve">                  </w:t>
      </w:r>
      <w:r>
        <w:rPr>
          <w:rFonts w:hint="eastAsia" w:ascii="宋体" w:hAnsi="宋体"/>
          <w:color w:val="auto"/>
          <w:sz w:val="21"/>
          <w:szCs w:val="21"/>
          <w:lang w:val="en-US" w:eastAsia="zh-CN"/>
        </w:rPr>
        <w:t xml:space="preserve"> </w:t>
      </w:r>
    </w:p>
    <w:p w14:paraId="43F3BC4C">
      <w:pPr>
        <w:numPr>
          <w:ilvl w:val="-1"/>
          <w:numId w:val="0"/>
        </w:numPr>
        <w:adjustRightInd w:val="0"/>
        <w:snapToGrid w:val="0"/>
        <w:spacing w:before="0" w:beforeLines="0" w:line="400" w:lineRule="exact"/>
        <w:ind w:firstLine="420" w:firstLineChars="200"/>
        <w:rPr>
          <w:rFonts w:hint="default" w:ascii="宋体" w:hAnsi="宋体" w:cs="宋体"/>
          <w:color w:val="auto"/>
          <w:sz w:val="21"/>
          <w:szCs w:val="21"/>
          <w:lang w:val="en" w:eastAsia="zh-CN"/>
        </w:rPr>
      </w:pPr>
      <w:r>
        <w:rPr>
          <w:rFonts w:hint="eastAsia" w:ascii="宋体" w:hAnsi="宋体"/>
          <w:color w:val="auto"/>
          <w:sz w:val="21"/>
          <w:szCs w:val="21"/>
          <w:highlight w:val="none"/>
          <w:u w:val="none"/>
          <w:lang w:val="en-US" w:eastAsia="zh-CN"/>
        </w:rPr>
        <w:t xml:space="preserve">     </w:t>
      </w:r>
      <w:r>
        <w:rPr>
          <w:rFonts w:hint="eastAsia" w:ascii="宋体" w:hAnsi="宋体" w:cs="宋体"/>
          <w:color w:val="auto"/>
          <w:sz w:val="21"/>
          <w:szCs w:val="21"/>
          <w:lang w:val="en-US" w:eastAsia="zh-CN"/>
        </w:rPr>
        <w:t>品牌：</w:t>
      </w:r>
      <w:r>
        <w:rPr>
          <w:rFonts w:hint="eastAsia" w:ascii="宋体" w:hAnsi="宋体" w:cs="宋体"/>
          <w:color w:val="auto"/>
          <w:sz w:val="21"/>
          <w:szCs w:val="21"/>
          <w:u w:val="single"/>
          <w:lang w:val="en-US" w:eastAsia="zh-CN"/>
        </w:rPr>
        <w:t xml:space="preserve">      </w:t>
      </w:r>
      <w:r>
        <w:rPr>
          <w:rFonts w:hint="default" w:ascii="宋体" w:hAnsi="宋体" w:cs="宋体"/>
          <w:color w:val="auto"/>
          <w:sz w:val="21"/>
          <w:szCs w:val="21"/>
          <w:u w:val="single"/>
          <w:lang w:val="en" w:eastAsia="zh-CN"/>
        </w:rPr>
        <w:t xml:space="preserve">   </w:t>
      </w:r>
      <w:r>
        <w:rPr>
          <w:rFonts w:hint="eastAsia" w:ascii="宋体" w:hAnsi="宋体" w:cs="宋体"/>
          <w:color w:val="auto"/>
          <w:sz w:val="21"/>
          <w:szCs w:val="21"/>
          <w:u w:val="single"/>
          <w:lang w:val="en-US" w:eastAsia="zh-CN"/>
        </w:rPr>
        <w:t xml:space="preserve">    </w:t>
      </w:r>
      <w:r>
        <w:rPr>
          <w:rFonts w:hint="default" w:ascii="宋体" w:hAnsi="宋体" w:cs="宋体"/>
          <w:color w:val="auto"/>
          <w:sz w:val="21"/>
          <w:szCs w:val="21"/>
          <w:u w:val="single"/>
          <w:lang w:val="en" w:eastAsia="zh-CN"/>
        </w:rPr>
        <w:t xml:space="preserve"> </w:t>
      </w:r>
      <w:r>
        <w:rPr>
          <w:rFonts w:hint="eastAsia" w:ascii="宋体" w:hAnsi="宋体" w:cs="宋体"/>
          <w:color w:val="auto"/>
          <w:sz w:val="21"/>
          <w:szCs w:val="21"/>
          <w:u w:val="single"/>
          <w:lang w:val="en-US" w:eastAsia="zh-CN"/>
        </w:rPr>
        <w:t xml:space="preserve"> </w:t>
      </w:r>
      <w:r>
        <w:rPr>
          <w:rFonts w:hint="default" w:ascii="宋体" w:hAnsi="宋体" w:cs="宋体"/>
          <w:color w:val="auto"/>
          <w:sz w:val="21"/>
          <w:szCs w:val="21"/>
          <w:u w:val="none"/>
          <w:lang w:val="en" w:eastAsia="zh-CN"/>
        </w:rPr>
        <w:t xml:space="preserve">     </w:t>
      </w:r>
      <w:r>
        <w:rPr>
          <w:rFonts w:hint="eastAsia" w:ascii="宋体" w:hAnsi="宋体" w:cs="宋体"/>
          <w:color w:val="auto"/>
          <w:sz w:val="21"/>
          <w:szCs w:val="21"/>
          <w:lang w:val="en-US" w:eastAsia="zh-CN"/>
        </w:rPr>
        <w:t>规格型号：</w:t>
      </w:r>
      <w:r>
        <w:rPr>
          <w:rFonts w:hint="eastAsia" w:ascii="宋体" w:hAnsi="宋体" w:cs="宋体"/>
          <w:color w:val="auto"/>
          <w:sz w:val="21"/>
          <w:szCs w:val="21"/>
          <w:u w:val="single"/>
          <w:lang w:val="en-US" w:eastAsia="zh-CN"/>
        </w:rPr>
        <w:t xml:space="preserve">   </w:t>
      </w:r>
      <w:r>
        <w:rPr>
          <w:rFonts w:hint="default" w:ascii="宋体" w:hAnsi="宋体" w:cs="宋体"/>
          <w:color w:val="auto"/>
          <w:sz w:val="21"/>
          <w:szCs w:val="21"/>
          <w:u w:val="single"/>
          <w:lang w:val="en" w:eastAsia="zh-CN"/>
        </w:rPr>
        <w:t xml:space="preserve">  </w:t>
      </w:r>
      <w:r>
        <w:rPr>
          <w:rFonts w:hint="eastAsia" w:ascii="宋体" w:hAnsi="宋体" w:cs="宋体"/>
          <w:color w:val="auto"/>
          <w:sz w:val="21"/>
          <w:szCs w:val="21"/>
          <w:u w:val="single"/>
          <w:lang w:val="en-US" w:eastAsia="zh-CN"/>
        </w:rPr>
        <w:t xml:space="preserve">       </w:t>
      </w:r>
      <w:r>
        <w:rPr>
          <w:rFonts w:hint="default" w:ascii="宋体" w:hAnsi="宋体" w:cs="宋体"/>
          <w:color w:val="auto"/>
          <w:sz w:val="21"/>
          <w:szCs w:val="21"/>
          <w:u w:val="single"/>
          <w:lang w:val="en" w:eastAsia="zh-CN"/>
        </w:rPr>
        <w:t xml:space="preserve">   </w:t>
      </w:r>
    </w:p>
    <w:p w14:paraId="408416AF">
      <w:pPr>
        <w:adjustRightInd w:val="0"/>
        <w:snapToGrid w:val="0"/>
        <w:spacing w:before="0" w:beforeLines="0" w:line="400" w:lineRule="exact"/>
        <w:ind w:firstLine="945" w:firstLineChars="450"/>
        <w:rPr>
          <w:rFonts w:ascii="宋体" w:hAnsi="宋体"/>
          <w:color w:val="auto"/>
          <w:sz w:val="21"/>
          <w:szCs w:val="21"/>
          <w:highlight w:val="none"/>
          <w:u w:val="single"/>
        </w:rPr>
      </w:pPr>
      <w:r>
        <w:rPr>
          <w:rFonts w:hint="eastAsia" w:ascii="宋体" w:hAnsi="宋体"/>
          <w:color w:val="auto"/>
          <w:sz w:val="21"/>
          <w:szCs w:val="21"/>
          <w:highlight w:val="none"/>
          <w:u w:val="none"/>
          <w:lang w:val="en-US" w:eastAsia="zh-CN"/>
        </w:rPr>
        <w:t>采购标的的技术要求、商务要求具体见附件。</w:t>
      </w:r>
    </w:p>
    <w:p w14:paraId="7B2143D2">
      <w:pPr>
        <w:numPr>
          <w:ilvl w:val="-1"/>
          <w:numId w:val="0"/>
        </w:numPr>
        <w:adjustRightInd w:val="0"/>
        <w:snapToGrid w:val="0"/>
        <w:spacing w:before="0" w:beforeLines="0" w:line="400" w:lineRule="exact"/>
        <w:ind w:firstLine="945" w:firstLineChars="450"/>
        <w:rPr>
          <w:rFonts w:hint="eastAsia" w:ascii="宋体" w:hAnsi="宋体" w:cs="宋体"/>
          <w:color w:val="auto"/>
          <w:sz w:val="21"/>
          <w:szCs w:val="21"/>
          <w:lang w:val="en-US" w:eastAsia="zh-CN"/>
        </w:rPr>
      </w:pPr>
      <w:r>
        <w:rPr>
          <w:rFonts w:hint="eastAsia" w:ascii="汉仪书宋二S" w:hAnsi="汉仪书宋二S" w:eastAsia="汉仪书宋二S" w:cs="汉仪书宋二S"/>
          <w:color w:val="auto"/>
          <w:sz w:val="21"/>
          <w:szCs w:val="21"/>
          <w:lang w:val="en-US" w:eastAsia="zh-CN"/>
        </w:rPr>
        <w:t>①</w:t>
      </w:r>
      <w:r>
        <w:rPr>
          <w:rFonts w:hint="eastAsia" w:ascii="宋体" w:hAnsi="宋体" w:cs="宋体"/>
          <w:color w:val="auto"/>
          <w:sz w:val="21"/>
          <w:szCs w:val="21"/>
          <w:lang w:val="en-US" w:eastAsia="zh-CN"/>
        </w:rPr>
        <w:t>涉及信息类产品，请填写该产品关键部件的品牌、型号：</w:t>
      </w:r>
    </w:p>
    <w:p w14:paraId="1BDB38F7">
      <w:pPr>
        <w:numPr>
          <w:ilvl w:val="-1"/>
          <w:numId w:val="0"/>
        </w:numPr>
        <w:adjustRightInd w:val="0"/>
        <w:snapToGrid w:val="0"/>
        <w:spacing w:before="0" w:beforeLines="0" w:line="400" w:lineRule="exact"/>
        <w:ind w:firstLine="420" w:firstLineChars="200"/>
        <w:rPr>
          <w:rFonts w:hint="eastAsia" w:ascii="宋体" w:hAnsi="宋体" w:cs="宋体"/>
          <w:color w:val="auto"/>
          <w:kern w:val="0"/>
          <w:sz w:val="21"/>
          <w:szCs w:val="21"/>
          <w:u w:val="single"/>
          <w:lang w:val="en-US" w:eastAsia="zh-CN"/>
        </w:rPr>
      </w:pPr>
      <w:r>
        <w:rPr>
          <w:rFonts w:hint="eastAsia" w:ascii="宋体" w:hAnsi="宋体" w:cs="宋体"/>
          <w:color w:val="auto"/>
          <w:sz w:val="21"/>
          <w:szCs w:val="21"/>
          <w:lang w:val="en-US" w:eastAsia="zh-CN"/>
        </w:rPr>
        <w:t xml:space="preserve">     标的名称：</w:t>
      </w:r>
      <w:r>
        <w:rPr>
          <w:rFonts w:hint="eastAsia" w:ascii="宋体" w:hAnsi="宋体" w:cs="宋体"/>
          <w:color w:val="auto"/>
          <w:kern w:val="0"/>
          <w:sz w:val="21"/>
          <w:szCs w:val="21"/>
          <w:u w:val="single"/>
          <w:lang w:val="en-US" w:eastAsia="zh-CN"/>
        </w:rPr>
        <w:t xml:space="preserve">      </w:t>
      </w:r>
      <w:r>
        <w:rPr>
          <w:rFonts w:hint="default" w:ascii="宋体" w:hAnsi="宋体" w:cs="宋体"/>
          <w:color w:val="auto"/>
          <w:kern w:val="0"/>
          <w:sz w:val="21"/>
          <w:szCs w:val="21"/>
          <w:u w:val="single"/>
          <w:lang w:val="en" w:eastAsia="zh-CN"/>
        </w:rPr>
        <w:t xml:space="preserve">               </w:t>
      </w:r>
      <w:r>
        <w:rPr>
          <w:rFonts w:hint="eastAsia" w:ascii="宋体" w:hAnsi="宋体" w:cs="宋体"/>
          <w:color w:val="auto"/>
          <w:kern w:val="0"/>
          <w:sz w:val="21"/>
          <w:szCs w:val="21"/>
          <w:u w:val="single"/>
          <w:lang w:val="en-US" w:eastAsia="zh-CN"/>
        </w:rPr>
        <w:t xml:space="preserve">    </w:t>
      </w:r>
    </w:p>
    <w:p w14:paraId="2CF42A14">
      <w:pPr>
        <w:numPr>
          <w:ilvl w:val="-1"/>
          <w:numId w:val="0"/>
        </w:numPr>
        <w:adjustRightInd w:val="0"/>
        <w:snapToGrid w:val="0"/>
        <w:spacing w:before="0" w:beforeLines="0" w:line="400" w:lineRule="exact"/>
        <w:ind w:firstLine="420" w:firstLineChars="200"/>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     关键部件：</w:t>
      </w:r>
      <w:r>
        <w:rPr>
          <w:rFonts w:hint="eastAsia" w:ascii="宋体" w:hAnsi="宋体" w:cs="宋体"/>
          <w:color w:val="auto"/>
          <w:kern w:val="0"/>
          <w:sz w:val="21"/>
          <w:szCs w:val="21"/>
          <w:u w:val="single"/>
          <w:lang w:val="en-US" w:eastAsia="zh-CN"/>
        </w:rPr>
        <w:t xml:space="preserve">          </w:t>
      </w:r>
      <w:r>
        <w:rPr>
          <w:rFonts w:hint="eastAsia" w:ascii="宋体" w:hAnsi="宋体" w:cs="宋体"/>
          <w:color w:val="auto"/>
          <w:kern w:val="0"/>
          <w:sz w:val="21"/>
          <w:szCs w:val="21"/>
          <w:u w:val="none"/>
          <w:lang w:val="en-US" w:eastAsia="zh-CN"/>
        </w:rPr>
        <w:t xml:space="preserve"> </w:t>
      </w:r>
      <w:r>
        <w:rPr>
          <w:rFonts w:hint="eastAsia" w:ascii="宋体" w:hAnsi="宋体" w:cs="宋体"/>
          <w:color w:val="auto"/>
          <w:sz w:val="21"/>
          <w:szCs w:val="21"/>
          <w:lang w:val="en-US" w:eastAsia="zh-CN"/>
        </w:rPr>
        <w:t>品牌：</w:t>
      </w:r>
      <w:r>
        <w:rPr>
          <w:rFonts w:hint="eastAsia" w:ascii="宋体" w:hAnsi="宋体" w:cs="宋体"/>
          <w:color w:val="auto"/>
          <w:sz w:val="21"/>
          <w:szCs w:val="21"/>
          <w:u w:val="single"/>
          <w:lang w:val="en-US" w:eastAsia="zh-CN"/>
        </w:rPr>
        <w:t xml:space="preserve">        </w:t>
      </w:r>
      <w:r>
        <w:rPr>
          <w:rFonts w:hint="eastAsia" w:ascii="宋体" w:hAnsi="宋体" w:cs="宋体"/>
          <w:color w:val="auto"/>
          <w:sz w:val="21"/>
          <w:szCs w:val="21"/>
          <w:u w:val="none"/>
          <w:lang w:val="en-US" w:eastAsia="zh-CN"/>
        </w:rPr>
        <w:t xml:space="preserve"> </w:t>
      </w:r>
      <w:r>
        <w:rPr>
          <w:rFonts w:hint="eastAsia" w:ascii="宋体" w:hAnsi="宋体" w:cs="宋体"/>
          <w:color w:val="auto"/>
          <w:sz w:val="21"/>
          <w:szCs w:val="21"/>
          <w:lang w:val="en-US" w:eastAsia="zh-CN"/>
        </w:rPr>
        <w:t>型号：</w:t>
      </w:r>
      <w:r>
        <w:rPr>
          <w:rFonts w:hint="eastAsia" w:ascii="宋体" w:hAnsi="宋体" w:cs="宋体"/>
          <w:color w:val="auto"/>
          <w:sz w:val="21"/>
          <w:szCs w:val="21"/>
          <w:u w:val="single"/>
          <w:lang w:val="en-US" w:eastAsia="zh-CN"/>
        </w:rPr>
        <w:t xml:space="preserve">       </w:t>
      </w:r>
      <w:r>
        <w:rPr>
          <w:rFonts w:hint="eastAsia" w:ascii="宋体" w:hAnsi="宋体" w:cs="宋体"/>
          <w:color w:val="auto"/>
          <w:sz w:val="21"/>
          <w:szCs w:val="21"/>
          <w:lang w:val="en-US" w:eastAsia="zh-CN"/>
        </w:rPr>
        <w:t xml:space="preserve"> </w:t>
      </w:r>
    </w:p>
    <w:p w14:paraId="34E60EC0">
      <w:pPr>
        <w:pStyle w:val="42"/>
        <w:spacing w:beforeLine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kern w:val="2"/>
          <w:sz w:val="21"/>
          <w:szCs w:val="21"/>
          <w:lang w:val="en-US" w:eastAsia="zh-CN"/>
        </w:rPr>
        <w:t>关键部件</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none"/>
          <w:lang w:val="en-US" w:eastAsia="zh-CN"/>
        </w:rPr>
        <w:t xml:space="preserve"> </w:t>
      </w:r>
      <w:r>
        <w:rPr>
          <w:rFonts w:hint="eastAsia" w:ascii="宋体" w:hAnsi="宋体" w:eastAsia="宋体" w:cs="宋体"/>
          <w:color w:val="auto"/>
          <w:sz w:val="21"/>
          <w:szCs w:val="21"/>
          <w:lang w:val="en-US" w:eastAsia="zh-CN"/>
        </w:rPr>
        <w:t>品牌：</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none"/>
          <w:lang w:val="en-US" w:eastAsia="zh-CN"/>
        </w:rPr>
        <w:t xml:space="preserve"> </w:t>
      </w:r>
      <w:r>
        <w:rPr>
          <w:rFonts w:hint="eastAsia" w:ascii="宋体" w:hAnsi="宋体" w:eastAsia="宋体" w:cs="宋体"/>
          <w:color w:val="auto"/>
          <w:sz w:val="21"/>
          <w:szCs w:val="21"/>
          <w:lang w:val="en-US" w:eastAsia="zh-CN"/>
        </w:rPr>
        <w:t>型号：</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lang w:val="en-US" w:eastAsia="zh-CN"/>
        </w:rPr>
        <w:t xml:space="preserve"> </w:t>
      </w:r>
    </w:p>
    <w:p w14:paraId="2703869B">
      <w:pPr>
        <w:pStyle w:val="42"/>
        <w:spacing w:beforeLine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     关键部件：</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none"/>
          <w:lang w:val="en-US" w:eastAsia="zh-CN"/>
        </w:rPr>
        <w:t xml:space="preserve"> </w:t>
      </w:r>
      <w:r>
        <w:rPr>
          <w:rFonts w:hint="eastAsia" w:ascii="宋体" w:hAnsi="宋体" w:eastAsia="宋体" w:cs="宋体"/>
          <w:color w:val="auto"/>
          <w:sz w:val="21"/>
          <w:szCs w:val="21"/>
          <w:lang w:val="en-US" w:eastAsia="zh-CN"/>
        </w:rPr>
        <w:t>品牌：</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none"/>
          <w:lang w:val="en-US" w:eastAsia="zh-CN"/>
        </w:rPr>
        <w:t xml:space="preserve"> </w:t>
      </w:r>
      <w:r>
        <w:rPr>
          <w:rFonts w:hint="eastAsia" w:ascii="宋体" w:hAnsi="宋体" w:eastAsia="宋体" w:cs="宋体"/>
          <w:color w:val="auto"/>
          <w:sz w:val="21"/>
          <w:szCs w:val="21"/>
          <w:lang w:val="en-US" w:eastAsia="zh-CN"/>
        </w:rPr>
        <w:t>型号：</w:t>
      </w:r>
      <w:r>
        <w:rPr>
          <w:rFonts w:hint="eastAsia" w:ascii="宋体" w:hAnsi="宋体" w:eastAsia="宋体" w:cs="宋体"/>
          <w:color w:val="auto"/>
          <w:sz w:val="21"/>
          <w:szCs w:val="21"/>
          <w:u w:val="single"/>
          <w:lang w:val="en-US" w:eastAsia="zh-CN"/>
        </w:rPr>
        <w:t xml:space="preserve">       </w:t>
      </w:r>
    </w:p>
    <w:p w14:paraId="78EB4A04">
      <w:pPr>
        <w:pStyle w:val="42"/>
        <w:numPr>
          <w:ilvl w:val="-1"/>
          <w:numId w:val="0"/>
        </w:numPr>
        <w:adjustRightInd w:val="0"/>
        <w:snapToGrid w:val="0"/>
        <w:spacing w:before="0" w:beforeLines="0" w:line="400" w:lineRule="exact"/>
        <w:ind w:firstLine="0" w:firstLine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p>
    <w:p w14:paraId="466E0371">
      <w:pPr>
        <w:pStyle w:val="42"/>
        <w:numPr>
          <w:ilvl w:val="-1"/>
          <w:numId w:val="0"/>
        </w:numPr>
        <w:adjustRightInd w:val="0"/>
        <w:snapToGrid w:val="0"/>
        <w:spacing w:before="0" w:beforeLines="0" w:line="400" w:lineRule="exact"/>
        <w:ind w:firstLine="0" w:firstLine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         </w:t>
      </w:r>
      <w:r>
        <w:rPr>
          <w:rFonts w:hint="eastAsia" w:ascii="汉仪书宋二S" w:hAnsi="汉仪书宋二S" w:eastAsia="汉仪书宋二S" w:cs="汉仪书宋二S"/>
          <w:color w:val="auto"/>
          <w:sz w:val="21"/>
          <w:szCs w:val="21"/>
          <w:lang w:val="en-US" w:eastAsia="zh-CN"/>
        </w:rPr>
        <w:t>②</w:t>
      </w:r>
      <w:r>
        <w:rPr>
          <w:rFonts w:hint="eastAsia" w:ascii="宋体" w:hAnsi="宋体" w:eastAsia="宋体" w:cs="宋体"/>
          <w:color w:val="auto"/>
          <w:sz w:val="21"/>
          <w:szCs w:val="21"/>
          <w:lang w:val="en-US" w:eastAsia="zh-CN"/>
        </w:rPr>
        <w:t>涉及车辆采购，请填写是否属于新能源汽车：</w:t>
      </w:r>
    </w:p>
    <w:p w14:paraId="316942D7">
      <w:pPr>
        <w:pStyle w:val="42"/>
        <w:numPr>
          <w:ilvl w:val="-1"/>
          <w:numId w:val="0"/>
        </w:numPr>
        <w:adjustRightInd w:val="0"/>
        <w:snapToGrid w:val="0"/>
        <w:spacing w:before="0" w:beforeLines="0" w:line="400" w:lineRule="exact"/>
        <w:ind w:firstLine="0" w:firstLineChars="0"/>
        <w:rPr>
          <w:rFonts w:hint="eastAsia" w:asciiTheme="minorEastAsia" w:hAnsiTheme="minorEastAsia" w:eastAsiaTheme="minorEastAsia" w:cstheme="minorEastAsia"/>
          <w:iCs w:val="0"/>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         </w:t>
      </w:r>
      <w:r>
        <w:rPr>
          <w:rFonts w:hint="eastAsia" w:asciiTheme="minorEastAsia" w:hAnsiTheme="minorEastAsia" w:eastAsiaTheme="minorEastAsia" w:cstheme="minorEastAsia"/>
          <w:iCs w:val="0"/>
          <w:color w:val="auto"/>
          <w:sz w:val="21"/>
          <w:szCs w:val="21"/>
        </w:rPr>
        <w:sym w:font="Wingdings" w:char="00A8"/>
      </w:r>
      <w:r>
        <w:rPr>
          <w:rFonts w:hint="eastAsia" w:asciiTheme="minorEastAsia" w:hAnsiTheme="minorEastAsia" w:eastAsiaTheme="minorEastAsia" w:cstheme="minorEastAsia"/>
          <w:iCs w:val="0"/>
          <w:color w:val="auto"/>
          <w:sz w:val="21"/>
          <w:szCs w:val="21"/>
        </w:rPr>
        <w:t>是</w:t>
      </w:r>
      <w:r>
        <w:rPr>
          <w:rFonts w:hint="eastAsia" w:asciiTheme="minorEastAsia" w:hAnsiTheme="minorEastAsia" w:eastAsiaTheme="minorEastAsia" w:cstheme="minorEastAsia"/>
          <w:iCs w:val="0"/>
          <w:color w:val="auto"/>
          <w:sz w:val="21"/>
          <w:szCs w:val="21"/>
          <w:lang w:eastAsia="zh-CN"/>
        </w:rPr>
        <w:t>，《政府采购品目分类目录》底级品目名称</w:t>
      </w:r>
      <w:r>
        <w:rPr>
          <w:rFonts w:hint="eastAsia" w:asciiTheme="minorEastAsia" w:hAnsiTheme="minorEastAsia" w:eastAsiaTheme="minorEastAsia" w:cstheme="minorEastAsia"/>
          <w:color w:val="auto"/>
          <w:sz w:val="21"/>
          <w:szCs w:val="21"/>
          <w:lang w:val="en-US" w:eastAsia="zh-CN"/>
        </w:rPr>
        <w:t>：</w:t>
      </w:r>
      <w:r>
        <w:rPr>
          <w:rFonts w:hint="eastAsia" w:ascii="宋体" w:hAnsi="宋体" w:eastAsia="宋体" w:cs="宋体"/>
          <w:color w:val="auto"/>
          <w:sz w:val="21"/>
          <w:szCs w:val="21"/>
          <w:u w:val="single"/>
          <w:lang w:val="en-US" w:eastAsia="zh-CN"/>
        </w:rPr>
        <w:t xml:space="preserve">     </w:t>
      </w:r>
      <w:r>
        <w:rPr>
          <w:rFonts w:hint="eastAsia" w:asciiTheme="minorEastAsia" w:hAnsiTheme="minorEastAsia" w:eastAsiaTheme="minorEastAsia" w:cstheme="minorEastAsia"/>
          <w:color w:val="auto"/>
          <w:sz w:val="21"/>
          <w:szCs w:val="21"/>
          <w:lang w:val="en-US" w:eastAsia="zh-CN"/>
        </w:rPr>
        <w:t xml:space="preserve"> 数量：</w:t>
      </w:r>
      <w:r>
        <w:rPr>
          <w:rFonts w:hint="eastAsia" w:asciiTheme="minorEastAsia" w:hAnsiTheme="minorEastAsia" w:eastAsiaTheme="minorEastAsia" w:cstheme="minorEastAsia"/>
          <w:color w:val="auto"/>
          <w:sz w:val="21"/>
          <w:szCs w:val="21"/>
          <w:u w:val="single"/>
          <w:lang w:val="en-US" w:eastAsia="zh-CN"/>
        </w:rPr>
        <w:t xml:space="preserve"> </w:t>
      </w:r>
      <w:r>
        <w:rPr>
          <w:rFonts w:hint="eastAsia" w:ascii="宋体" w:hAnsi="宋体" w:eastAsia="宋体" w:cs="宋体"/>
          <w:color w:val="auto"/>
          <w:sz w:val="21"/>
          <w:szCs w:val="21"/>
          <w:u w:val="single"/>
          <w:lang w:val="en-US" w:eastAsia="zh-CN"/>
        </w:rPr>
        <w:t xml:space="preserve">   </w:t>
      </w:r>
      <w:r>
        <w:rPr>
          <w:rFonts w:hint="eastAsia" w:asciiTheme="minorEastAsia" w:hAnsiTheme="minorEastAsia" w:eastAsiaTheme="minorEastAsia" w:cstheme="minorEastAsia"/>
          <w:color w:val="auto"/>
          <w:sz w:val="21"/>
          <w:szCs w:val="21"/>
          <w:lang w:val="en-US" w:eastAsia="zh-CN"/>
        </w:rPr>
        <w:t xml:space="preserve"> 金额：</w:t>
      </w:r>
      <w:r>
        <w:rPr>
          <w:rFonts w:hint="eastAsia" w:ascii="宋体" w:hAnsi="宋体" w:eastAsia="宋体" w:cs="宋体"/>
          <w:color w:val="auto"/>
          <w:sz w:val="21"/>
          <w:szCs w:val="21"/>
          <w:u w:val="single"/>
          <w:lang w:val="en-US" w:eastAsia="zh-CN"/>
        </w:rPr>
        <w:t xml:space="preserve">     </w:t>
      </w:r>
      <w:r>
        <w:rPr>
          <w:rFonts w:hint="eastAsia" w:asciiTheme="minorEastAsia" w:hAnsiTheme="minorEastAsia" w:eastAsiaTheme="minorEastAsia" w:cstheme="minorEastAsia"/>
          <w:iCs w:val="0"/>
          <w:color w:val="auto"/>
          <w:sz w:val="21"/>
          <w:szCs w:val="21"/>
          <w:lang w:val="en-US" w:eastAsia="zh-CN"/>
        </w:rPr>
        <w:t xml:space="preserve"> </w:t>
      </w:r>
    </w:p>
    <w:p w14:paraId="01816A9A">
      <w:pPr>
        <w:pStyle w:val="42"/>
        <w:numPr>
          <w:ilvl w:val="-1"/>
          <w:numId w:val="0"/>
        </w:numPr>
        <w:adjustRightInd w:val="0"/>
        <w:snapToGrid w:val="0"/>
        <w:spacing w:before="0" w:beforeLines="0" w:line="400" w:lineRule="exact"/>
        <w:ind w:firstLine="0" w:firstLineChars="0"/>
        <w:rPr>
          <w:rFonts w:hint="eastAsia" w:asciiTheme="minorEastAsia" w:hAnsiTheme="minorEastAsia" w:eastAsiaTheme="minorEastAsia" w:cstheme="minorEastAsia"/>
          <w:iCs w:val="0"/>
          <w:color w:val="auto"/>
          <w:sz w:val="21"/>
          <w:szCs w:val="21"/>
          <w:lang w:eastAsia="zh-CN"/>
        </w:rPr>
      </w:pPr>
      <w:r>
        <w:rPr>
          <w:rFonts w:hint="eastAsia" w:asciiTheme="minorEastAsia" w:hAnsiTheme="minorEastAsia" w:eastAsiaTheme="minorEastAsia" w:cstheme="minorEastAsia"/>
          <w:iCs w:val="0"/>
          <w:color w:val="auto"/>
          <w:sz w:val="21"/>
          <w:szCs w:val="21"/>
          <w:lang w:val="en-US" w:eastAsia="zh-CN"/>
        </w:rPr>
        <w:t xml:space="preserve">         </w:t>
      </w:r>
      <w:r>
        <w:rPr>
          <w:rFonts w:hint="eastAsia" w:asciiTheme="minorEastAsia" w:hAnsiTheme="minorEastAsia" w:eastAsiaTheme="minorEastAsia" w:cstheme="minorEastAsia"/>
          <w:iCs w:val="0"/>
          <w:color w:val="auto"/>
          <w:sz w:val="21"/>
          <w:szCs w:val="21"/>
        </w:rPr>
        <w:sym w:font="Wingdings" w:char="00A8"/>
      </w:r>
      <w:r>
        <w:rPr>
          <w:rFonts w:hint="eastAsia" w:asciiTheme="minorEastAsia" w:hAnsiTheme="minorEastAsia" w:eastAsiaTheme="minorEastAsia" w:cstheme="minorEastAsia"/>
          <w:iCs w:val="0"/>
          <w:color w:val="auto"/>
          <w:sz w:val="21"/>
          <w:szCs w:val="21"/>
          <w:lang w:eastAsia="zh-CN"/>
        </w:rPr>
        <w:t>否</w:t>
      </w:r>
    </w:p>
    <w:p w14:paraId="480AF28C">
      <w:pPr>
        <w:pStyle w:val="42"/>
        <w:numPr>
          <w:ilvl w:val="-1"/>
          <w:numId w:val="0"/>
        </w:numPr>
        <w:adjustRightInd w:val="0"/>
        <w:snapToGrid w:val="0"/>
        <w:spacing w:before="0" w:beforeLines="0" w:line="400" w:lineRule="exact"/>
        <w:ind w:left="0" w:firstLine="0" w:firstLineChars="0"/>
        <w:rPr>
          <w:rFonts w:hint="eastAsia" w:asciiTheme="minorEastAsia" w:hAnsiTheme="minorEastAsia" w:eastAsiaTheme="minorEastAsia" w:cstheme="minorEastAsia"/>
          <w:iCs w:val="0"/>
          <w:color w:val="auto"/>
          <w:sz w:val="21"/>
          <w:szCs w:val="21"/>
          <w:lang w:val="en-US" w:eastAsia="zh-CN"/>
        </w:rPr>
      </w:pPr>
      <w:r>
        <w:rPr>
          <w:rFonts w:hint="eastAsia" w:asciiTheme="minorEastAsia" w:hAnsiTheme="minorEastAsia" w:eastAsiaTheme="minorEastAsia" w:cstheme="minorEastAsia"/>
          <w:iCs w:val="0"/>
          <w:color w:val="auto"/>
          <w:sz w:val="21"/>
          <w:szCs w:val="21"/>
          <w:lang w:val="en-US" w:eastAsia="zh-CN"/>
        </w:rPr>
        <w:t xml:space="preserve">    （</w:t>
      </w:r>
      <w:r>
        <w:rPr>
          <w:rFonts w:hint="default" w:asciiTheme="minorEastAsia" w:hAnsiTheme="minorEastAsia" w:eastAsiaTheme="minorEastAsia" w:cstheme="minorEastAsia"/>
          <w:iCs w:val="0"/>
          <w:color w:val="auto"/>
          <w:sz w:val="21"/>
          <w:szCs w:val="21"/>
          <w:lang w:val="en" w:eastAsia="zh-CN"/>
        </w:rPr>
        <w:t>4</w:t>
      </w:r>
      <w:r>
        <w:rPr>
          <w:rFonts w:hint="eastAsia" w:asciiTheme="minorEastAsia" w:hAnsiTheme="minorEastAsia" w:eastAsiaTheme="minorEastAsia" w:cstheme="minorEastAsia"/>
          <w:iCs w:val="0"/>
          <w:color w:val="auto"/>
          <w:sz w:val="21"/>
          <w:szCs w:val="21"/>
          <w:lang w:val="en-US" w:eastAsia="zh-CN"/>
        </w:rPr>
        <w:t>）政府采购组织形式：</w:t>
      </w:r>
      <w:r>
        <w:rPr>
          <w:rFonts w:hint="eastAsia" w:asciiTheme="minorEastAsia" w:hAnsiTheme="minorEastAsia" w:eastAsiaTheme="minorEastAsia" w:cstheme="minorEastAsia"/>
          <w:iCs w:val="0"/>
          <w:color w:val="auto"/>
          <w:sz w:val="21"/>
          <w:szCs w:val="21"/>
        </w:rPr>
        <w:sym w:font="Wingdings" w:char="00A8"/>
      </w:r>
      <w:r>
        <w:rPr>
          <w:rFonts w:hint="eastAsia" w:asciiTheme="minorEastAsia" w:hAnsiTheme="minorEastAsia" w:eastAsiaTheme="minorEastAsia" w:cstheme="minorEastAsia"/>
          <w:iCs w:val="0"/>
          <w:color w:val="auto"/>
          <w:sz w:val="21"/>
          <w:szCs w:val="21"/>
          <w:lang w:eastAsia="zh-CN"/>
        </w:rPr>
        <w:t>政府集中采购</w:t>
      </w:r>
      <w:r>
        <w:rPr>
          <w:rFonts w:hint="eastAsia" w:asciiTheme="minorEastAsia" w:hAnsiTheme="minorEastAsia" w:eastAsiaTheme="minorEastAsia" w:cstheme="minorEastAsia"/>
          <w:iCs w:val="0"/>
          <w:color w:val="auto"/>
          <w:sz w:val="21"/>
          <w:szCs w:val="21"/>
          <w:lang w:val="en-US" w:eastAsia="zh-CN"/>
        </w:rPr>
        <w:t xml:space="preserve">  </w:t>
      </w:r>
      <w:r>
        <w:rPr>
          <w:rFonts w:hint="eastAsia" w:asciiTheme="minorEastAsia" w:hAnsiTheme="minorEastAsia" w:eastAsiaTheme="minorEastAsia" w:cstheme="minorEastAsia"/>
          <w:iCs w:val="0"/>
          <w:color w:val="auto"/>
          <w:sz w:val="21"/>
          <w:szCs w:val="21"/>
        </w:rPr>
        <w:sym w:font="Wingdings" w:char="00A8"/>
      </w:r>
      <w:r>
        <w:rPr>
          <w:rFonts w:hint="eastAsia" w:asciiTheme="minorEastAsia" w:hAnsiTheme="minorEastAsia" w:eastAsiaTheme="minorEastAsia" w:cstheme="minorEastAsia"/>
          <w:iCs w:val="0"/>
          <w:color w:val="auto"/>
          <w:sz w:val="21"/>
          <w:szCs w:val="21"/>
          <w:lang w:val="en-US" w:eastAsia="zh-CN"/>
        </w:rPr>
        <w:t xml:space="preserve">部门集中采购  </w:t>
      </w:r>
      <w:r>
        <w:rPr>
          <w:rFonts w:hint="eastAsia" w:asciiTheme="minorEastAsia" w:hAnsiTheme="minorEastAsia" w:eastAsiaTheme="minorEastAsia" w:cstheme="minorEastAsia"/>
          <w:iCs w:val="0"/>
          <w:color w:val="auto"/>
          <w:sz w:val="21"/>
          <w:szCs w:val="21"/>
        </w:rPr>
        <w:sym w:font="Wingdings" w:char="00A8"/>
      </w:r>
      <w:r>
        <w:rPr>
          <w:rFonts w:hint="eastAsia" w:asciiTheme="minorEastAsia" w:hAnsiTheme="minorEastAsia" w:eastAsiaTheme="minorEastAsia" w:cstheme="minorEastAsia"/>
          <w:iCs w:val="0"/>
          <w:color w:val="auto"/>
          <w:sz w:val="21"/>
          <w:szCs w:val="21"/>
          <w:lang w:val="en-US" w:eastAsia="zh-CN"/>
        </w:rPr>
        <w:t>分散采购</w:t>
      </w:r>
    </w:p>
    <w:p w14:paraId="686D83B0">
      <w:pPr>
        <w:pStyle w:val="42"/>
        <w:numPr>
          <w:ilvl w:val="-1"/>
          <w:numId w:val="0"/>
        </w:numPr>
        <w:adjustRightInd w:val="0"/>
        <w:snapToGrid w:val="0"/>
        <w:spacing w:before="0" w:beforeLines="0" w:line="400" w:lineRule="exact"/>
        <w:ind w:left="0" w:firstLine="420" w:firstLineChars="0"/>
        <w:rPr>
          <w:rFonts w:hint="eastAsia" w:asciiTheme="minorEastAsia" w:hAnsiTheme="minorEastAsia" w:eastAsiaTheme="minorEastAsia" w:cstheme="minorEastAsia"/>
          <w:iCs w:val="0"/>
          <w:color w:val="auto"/>
          <w:sz w:val="21"/>
          <w:szCs w:val="21"/>
          <w:lang w:eastAsia="zh-CN"/>
        </w:rPr>
      </w:pPr>
      <w:r>
        <w:rPr>
          <w:rFonts w:hint="eastAsia" w:asciiTheme="minorEastAsia" w:hAnsiTheme="minorEastAsia" w:eastAsiaTheme="minorEastAsia" w:cstheme="minorEastAsia"/>
          <w:iCs w:val="0"/>
          <w:color w:val="auto"/>
          <w:sz w:val="21"/>
          <w:szCs w:val="21"/>
          <w:lang w:val="en-US" w:eastAsia="zh-CN"/>
        </w:rPr>
        <w:t>（</w:t>
      </w:r>
      <w:r>
        <w:rPr>
          <w:rFonts w:hint="default" w:asciiTheme="minorEastAsia" w:hAnsiTheme="minorEastAsia" w:eastAsiaTheme="minorEastAsia" w:cstheme="minorEastAsia"/>
          <w:iCs w:val="0"/>
          <w:color w:val="auto"/>
          <w:sz w:val="21"/>
          <w:szCs w:val="21"/>
          <w:lang w:val="en" w:eastAsia="zh-CN"/>
        </w:rPr>
        <w:t>5</w:t>
      </w:r>
      <w:r>
        <w:rPr>
          <w:rFonts w:hint="eastAsia" w:asciiTheme="minorEastAsia" w:hAnsiTheme="minorEastAsia" w:eastAsiaTheme="minorEastAsia" w:cstheme="minorEastAsia"/>
          <w:iCs w:val="0"/>
          <w:color w:val="auto"/>
          <w:sz w:val="21"/>
          <w:szCs w:val="21"/>
          <w:lang w:val="en-US" w:eastAsia="zh-CN"/>
        </w:rPr>
        <w:t>）政府采购方式：</w:t>
      </w:r>
      <w:r>
        <w:rPr>
          <w:rFonts w:hint="eastAsia" w:asciiTheme="minorEastAsia" w:hAnsiTheme="minorEastAsia" w:eastAsiaTheme="minorEastAsia" w:cstheme="minorEastAsia"/>
          <w:iCs w:val="0"/>
          <w:color w:val="auto"/>
          <w:sz w:val="21"/>
          <w:szCs w:val="21"/>
        </w:rPr>
        <w:sym w:font="Wingdings" w:char="00A8"/>
      </w:r>
      <w:r>
        <w:rPr>
          <w:rFonts w:hint="eastAsia" w:asciiTheme="minorEastAsia" w:hAnsiTheme="minorEastAsia" w:eastAsiaTheme="minorEastAsia" w:cstheme="minorEastAsia"/>
          <w:iCs w:val="0"/>
          <w:color w:val="auto"/>
          <w:sz w:val="21"/>
          <w:szCs w:val="21"/>
          <w:lang w:eastAsia="zh-CN"/>
        </w:rPr>
        <w:t>公开招标</w:t>
      </w:r>
      <w:r>
        <w:rPr>
          <w:rFonts w:hint="eastAsia" w:asciiTheme="minorEastAsia" w:hAnsiTheme="minorEastAsia" w:eastAsiaTheme="minorEastAsia" w:cstheme="minorEastAsia"/>
          <w:iCs w:val="0"/>
          <w:color w:val="auto"/>
          <w:sz w:val="21"/>
          <w:szCs w:val="21"/>
          <w:lang w:val="en-US" w:eastAsia="zh-CN"/>
        </w:rPr>
        <w:t xml:space="preserve"> </w:t>
      </w:r>
      <w:r>
        <w:rPr>
          <w:rFonts w:hint="eastAsia" w:asciiTheme="minorEastAsia" w:hAnsiTheme="minorEastAsia" w:eastAsiaTheme="minorEastAsia" w:cstheme="minorEastAsia"/>
          <w:iCs w:val="0"/>
          <w:color w:val="auto"/>
          <w:sz w:val="21"/>
          <w:szCs w:val="21"/>
        </w:rPr>
        <w:sym w:font="Wingdings" w:char="00A8"/>
      </w:r>
      <w:r>
        <w:rPr>
          <w:rFonts w:hint="eastAsia" w:asciiTheme="minorEastAsia" w:hAnsiTheme="minorEastAsia" w:eastAsiaTheme="minorEastAsia" w:cstheme="minorEastAsia"/>
          <w:iCs w:val="0"/>
          <w:color w:val="auto"/>
          <w:sz w:val="21"/>
          <w:szCs w:val="21"/>
          <w:lang w:eastAsia="zh-CN"/>
        </w:rPr>
        <w:t>邀请招标</w:t>
      </w:r>
      <w:r>
        <w:rPr>
          <w:rFonts w:hint="eastAsia" w:asciiTheme="minorEastAsia" w:hAnsiTheme="minorEastAsia" w:eastAsiaTheme="minorEastAsia" w:cstheme="minorEastAsia"/>
          <w:iCs w:val="0"/>
          <w:color w:val="auto"/>
          <w:sz w:val="21"/>
          <w:szCs w:val="21"/>
          <w:lang w:val="en-US" w:eastAsia="zh-CN"/>
        </w:rPr>
        <w:t xml:space="preserve"> </w:t>
      </w:r>
      <w:r>
        <w:rPr>
          <w:rFonts w:hint="eastAsia" w:asciiTheme="minorEastAsia" w:hAnsiTheme="minorEastAsia" w:eastAsiaTheme="minorEastAsia" w:cstheme="minorEastAsia"/>
          <w:iCs w:val="0"/>
          <w:color w:val="auto"/>
          <w:sz w:val="21"/>
          <w:szCs w:val="21"/>
        </w:rPr>
        <w:sym w:font="Wingdings" w:char="00A8"/>
      </w:r>
      <w:r>
        <w:rPr>
          <w:rFonts w:hint="eastAsia" w:asciiTheme="minorEastAsia" w:hAnsiTheme="minorEastAsia" w:eastAsiaTheme="minorEastAsia" w:cstheme="minorEastAsia"/>
          <w:iCs w:val="0"/>
          <w:color w:val="auto"/>
          <w:sz w:val="21"/>
          <w:szCs w:val="21"/>
          <w:lang w:eastAsia="zh-CN"/>
        </w:rPr>
        <w:t>竞争性谈判</w:t>
      </w:r>
      <w:r>
        <w:rPr>
          <w:rFonts w:hint="eastAsia" w:asciiTheme="minorEastAsia" w:hAnsiTheme="minorEastAsia" w:eastAsiaTheme="minorEastAsia" w:cstheme="minorEastAsia"/>
          <w:iCs w:val="0"/>
          <w:color w:val="auto"/>
          <w:sz w:val="21"/>
          <w:szCs w:val="21"/>
          <w:lang w:val="en-US" w:eastAsia="zh-CN"/>
        </w:rPr>
        <w:t xml:space="preserve"> </w:t>
      </w:r>
      <w:r>
        <w:rPr>
          <w:rFonts w:hint="eastAsia" w:asciiTheme="minorEastAsia" w:hAnsiTheme="minorEastAsia" w:eastAsiaTheme="minorEastAsia" w:cstheme="minorEastAsia"/>
          <w:iCs w:val="0"/>
          <w:color w:val="auto"/>
          <w:sz w:val="21"/>
          <w:szCs w:val="21"/>
        </w:rPr>
        <w:sym w:font="Wingdings" w:char="00A8"/>
      </w:r>
      <w:r>
        <w:rPr>
          <w:rFonts w:hint="eastAsia" w:asciiTheme="minorEastAsia" w:hAnsiTheme="minorEastAsia" w:eastAsiaTheme="minorEastAsia" w:cstheme="minorEastAsia"/>
          <w:iCs w:val="0"/>
          <w:color w:val="auto"/>
          <w:sz w:val="21"/>
          <w:szCs w:val="21"/>
          <w:lang w:eastAsia="zh-CN"/>
        </w:rPr>
        <w:t>竞争性磋商</w:t>
      </w:r>
    </w:p>
    <w:p w14:paraId="2A3D57CA">
      <w:pPr>
        <w:pStyle w:val="42"/>
        <w:numPr>
          <w:ilvl w:val="-1"/>
          <w:numId w:val="0"/>
        </w:numPr>
        <w:adjustRightInd w:val="0"/>
        <w:snapToGrid w:val="0"/>
        <w:spacing w:before="0" w:beforeLines="0" w:line="400" w:lineRule="exact"/>
        <w:ind w:left="0" w:firstLine="420" w:firstLineChars="0"/>
        <w:rPr>
          <w:rFonts w:hint="eastAsia" w:ascii="宋体" w:hAnsi="宋体" w:eastAsia="宋体" w:cs="宋体"/>
          <w:iCs w:val="0"/>
          <w:color w:val="auto"/>
          <w:sz w:val="21"/>
          <w:szCs w:val="21"/>
          <w:u w:val="single"/>
          <w:lang w:val="en-US" w:eastAsia="zh-CN"/>
        </w:rPr>
      </w:pPr>
      <w:r>
        <w:rPr>
          <w:rFonts w:hint="eastAsia" w:ascii="宋体" w:hAnsi="宋体" w:cs="宋体"/>
          <w:color w:val="auto"/>
          <w:sz w:val="21"/>
          <w:szCs w:val="21"/>
          <w:u w:val="none"/>
          <w:lang w:val="en-US" w:eastAsia="zh-CN"/>
        </w:rPr>
        <w:t xml:space="preserve">                  </w:t>
      </w:r>
      <w:r>
        <w:rPr>
          <w:rFonts w:hint="eastAsia" w:asciiTheme="minorEastAsia" w:hAnsiTheme="minorEastAsia" w:eastAsiaTheme="minorEastAsia" w:cstheme="minorEastAsia"/>
          <w:iCs w:val="0"/>
          <w:color w:val="auto"/>
          <w:sz w:val="21"/>
          <w:szCs w:val="21"/>
        </w:rPr>
        <w:sym w:font="Wingdings" w:char="00A8"/>
      </w:r>
      <w:r>
        <w:rPr>
          <w:rFonts w:hint="eastAsia" w:asciiTheme="minorEastAsia" w:hAnsiTheme="minorEastAsia" w:eastAsiaTheme="minorEastAsia" w:cstheme="minorEastAsia"/>
          <w:iCs w:val="0"/>
          <w:color w:val="auto"/>
          <w:sz w:val="21"/>
          <w:szCs w:val="21"/>
          <w:lang w:eastAsia="zh-CN"/>
        </w:rPr>
        <w:t>询价</w:t>
      </w:r>
      <w:r>
        <w:rPr>
          <w:rFonts w:hint="eastAsia" w:asciiTheme="minorEastAsia" w:hAnsiTheme="minorEastAsia" w:eastAsiaTheme="minorEastAsia" w:cstheme="minorEastAsia"/>
          <w:iCs w:val="0"/>
          <w:color w:val="auto"/>
          <w:sz w:val="21"/>
          <w:szCs w:val="21"/>
          <w:lang w:val="en-US" w:eastAsia="zh-CN"/>
        </w:rPr>
        <w:t xml:space="preserve"> </w:t>
      </w:r>
      <w:r>
        <w:rPr>
          <w:rFonts w:hint="eastAsia" w:asciiTheme="minorEastAsia" w:hAnsiTheme="minorEastAsia" w:eastAsiaTheme="minorEastAsia" w:cstheme="minorEastAsia"/>
          <w:iCs w:val="0"/>
          <w:color w:val="auto"/>
          <w:sz w:val="21"/>
          <w:szCs w:val="21"/>
        </w:rPr>
        <w:sym w:font="Wingdings" w:char="00A8"/>
      </w:r>
      <w:r>
        <w:rPr>
          <w:rFonts w:hint="eastAsia" w:asciiTheme="minorEastAsia" w:hAnsiTheme="minorEastAsia" w:eastAsiaTheme="minorEastAsia" w:cstheme="minorEastAsia"/>
          <w:iCs w:val="0"/>
          <w:color w:val="auto"/>
          <w:sz w:val="21"/>
          <w:szCs w:val="21"/>
          <w:lang w:eastAsia="zh-CN"/>
        </w:rPr>
        <w:t>单一来源</w:t>
      </w:r>
      <w:r>
        <w:rPr>
          <w:rFonts w:hint="eastAsia" w:asciiTheme="minorEastAsia" w:hAnsiTheme="minorEastAsia" w:eastAsiaTheme="minorEastAsia" w:cstheme="minorEastAsia"/>
          <w:iCs w:val="0"/>
          <w:color w:val="auto"/>
          <w:sz w:val="21"/>
          <w:szCs w:val="21"/>
          <w:lang w:val="en-US" w:eastAsia="zh-CN"/>
        </w:rPr>
        <w:t xml:space="preserve"> </w:t>
      </w:r>
      <w:r>
        <w:rPr>
          <w:rFonts w:hint="eastAsia" w:asciiTheme="minorEastAsia" w:hAnsiTheme="minorEastAsia" w:eastAsiaTheme="minorEastAsia" w:cstheme="minorEastAsia"/>
          <w:iCs w:val="0"/>
          <w:color w:val="auto"/>
          <w:sz w:val="21"/>
          <w:szCs w:val="21"/>
        </w:rPr>
        <w:sym w:font="Wingdings" w:char="00A8"/>
      </w:r>
      <w:r>
        <w:rPr>
          <w:rFonts w:hint="eastAsia" w:asciiTheme="minorEastAsia" w:hAnsiTheme="minorEastAsia" w:eastAsiaTheme="minorEastAsia" w:cstheme="minorEastAsia"/>
          <w:iCs w:val="0"/>
          <w:color w:val="auto"/>
          <w:sz w:val="21"/>
          <w:szCs w:val="21"/>
          <w:lang w:eastAsia="zh-CN"/>
        </w:rPr>
        <w:t>框架协议</w:t>
      </w:r>
      <w:r>
        <w:rPr>
          <w:rFonts w:hint="eastAsia" w:asciiTheme="minorEastAsia" w:hAnsiTheme="minorEastAsia" w:eastAsiaTheme="minorEastAsia" w:cstheme="minorEastAsia"/>
          <w:iCs w:val="0"/>
          <w:color w:val="auto"/>
          <w:sz w:val="21"/>
          <w:szCs w:val="21"/>
          <w:lang w:val="en-US" w:eastAsia="zh-CN"/>
        </w:rPr>
        <w:t xml:space="preserve"> </w:t>
      </w:r>
      <w:r>
        <w:rPr>
          <w:rFonts w:hint="eastAsia" w:asciiTheme="minorEastAsia" w:hAnsiTheme="minorEastAsia" w:eastAsiaTheme="minorEastAsia" w:cstheme="minorEastAsia"/>
          <w:iCs w:val="0"/>
          <w:color w:val="auto"/>
          <w:sz w:val="21"/>
          <w:szCs w:val="21"/>
        </w:rPr>
        <w:sym w:font="Wingdings" w:char="00A8"/>
      </w:r>
      <w:r>
        <w:rPr>
          <w:rFonts w:hint="eastAsia" w:asciiTheme="minorEastAsia" w:hAnsiTheme="minorEastAsia" w:eastAsiaTheme="minorEastAsia" w:cstheme="minorEastAsia"/>
          <w:iCs w:val="0"/>
          <w:color w:val="auto"/>
          <w:sz w:val="21"/>
          <w:szCs w:val="21"/>
          <w:lang w:eastAsia="zh-CN"/>
        </w:rPr>
        <w:t>其他：</w:t>
      </w:r>
      <w:r>
        <w:rPr>
          <w:rFonts w:hint="eastAsia" w:ascii="宋体" w:hAnsi="宋体" w:eastAsia="宋体" w:cs="宋体"/>
          <w:iCs w:val="0"/>
          <w:color w:val="auto"/>
          <w:sz w:val="21"/>
          <w:szCs w:val="21"/>
          <w:u w:val="single"/>
          <w:lang w:val="en-US" w:eastAsia="zh-CN"/>
        </w:rPr>
        <w:t xml:space="preserve">          </w:t>
      </w:r>
    </w:p>
    <w:p w14:paraId="6983C28F">
      <w:pPr>
        <w:pStyle w:val="42"/>
        <w:numPr>
          <w:ilvl w:val="-1"/>
          <w:numId w:val="0"/>
        </w:numPr>
        <w:adjustRightInd w:val="0"/>
        <w:snapToGrid w:val="0"/>
        <w:spacing w:before="0" w:beforeLines="0" w:line="400" w:lineRule="exact"/>
        <w:ind w:left="0" w:firstLine="420" w:firstLineChars="0"/>
        <w:rPr>
          <w:rFonts w:hint="default" w:ascii="宋体" w:hAnsi="宋体" w:eastAsia="宋体" w:cs="宋体"/>
          <w:iCs w:val="0"/>
          <w:color w:val="auto"/>
          <w:sz w:val="21"/>
          <w:szCs w:val="21"/>
          <w:u w:val="none"/>
          <w:lang w:val="en-US" w:eastAsia="zh-CN"/>
        </w:rPr>
      </w:pPr>
      <w:r>
        <w:rPr>
          <w:rFonts w:hint="eastAsia" w:ascii="宋体" w:hAnsi="宋体" w:eastAsia="宋体" w:cs="宋体"/>
          <w:iCs w:val="0"/>
          <w:color w:val="auto"/>
          <w:sz w:val="21"/>
          <w:szCs w:val="21"/>
          <w:u w:val="none"/>
          <w:lang w:val="en-US" w:eastAsia="zh-CN"/>
        </w:rPr>
        <w:t>（注：在框架协议采购的第二阶段，可选择使用该合同文本）</w:t>
      </w:r>
    </w:p>
    <w:p w14:paraId="48ABFCB1">
      <w:pPr>
        <w:pStyle w:val="42"/>
        <w:numPr>
          <w:ilvl w:val="-1"/>
          <w:numId w:val="0"/>
        </w:numPr>
        <w:adjustRightInd w:val="0"/>
        <w:snapToGrid w:val="0"/>
        <w:spacing w:before="0" w:beforeLines="0" w:line="400" w:lineRule="exact"/>
        <w:ind w:firstLine="210" w:firstLineChars="100"/>
        <w:rPr>
          <w:rFonts w:hint="eastAsia" w:ascii="宋体" w:hAnsi="宋体" w:eastAsia="宋体" w:cs="Times New Roman"/>
          <w:color w:val="auto"/>
          <w:w w:val="100"/>
          <w:kern w:val="2"/>
          <w:sz w:val="21"/>
          <w:szCs w:val="21"/>
          <w:lang w:val="en-US" w:eastAsia="zh-CN" w:bidi="ar-SA"/>
        </w:rPr>
      </w:pPr>
      <w:r>
        <w:rPr>
          <w:rFonts w:hint="eastAsia" w:ascii="宋体" w:hAnsi="宋体"/>
          <w:color w:val="auto"/>
          <w:sz w:val="21"/>
          <w:szCs w:val="21"/>
          <w:lang w:val="en-US" w:eastAsia="zh-CN"/>
        </w:rPr>
        <w:t xml:space="preserve"> （</w:t>
      </w:r>
      <w:r>
        <w:rPr>
          <w:rFonts w:hint="default" w:ascii="宋体" w:hAnsi="宋体"/>
          <w:color w:val="auto"/>
          <w:sz w:val="21"/>
          <w:szCs w:val="21"/>
          <w:lang w:val="en" w:eastAsia="zh-CN"/>
        </w:rPr>
        <w:t>6</w:t>
      </w:r>
      <w:r>
        <w:rPr>
          <w:rFonts w:hint="eastAsia" w:ascii="宋体" w:hAnsi="宋体"/>
          <w:color w:val="auto"/>
          <w:sz w:val="21"/>
          <w:szCs w:val="21"/>
          <w:lang w:val="en-US" w:eastAsia="zh-CN"/>
        </w:rPr>
        <w:t>）</w:t>
      </w:r>
      <w:r>
        <w:rPr>
          <w:rFonts w:hint="eastAsia" w:ascii="宋体" w:hAnsi="宋体" w:eastAsia="宋体" w:cs="Times New Roman"/>
          <w:color w:val="auto"/>
          <w:w w:val="100"/>
          <w:kern w:val="2"/>
          <w:sz w:val="21"/>
          <w:szCs w:val="21"/>
          <w:lang w:val="en-US" w:eastAsia="zh-CN" w:bidi="ar-SA"/>
        </w:rPr>
        <w:t>中标（成交）采购标的制造商是否为中小企业：</w:t>
      </w:r>
      <w:r>
        <w:rPr>
          <w:rFonts w:hint="eastAsia" w:ascii="宋体" w:hAnsi="宋体" w:eastAsia="宋体" w:cs="Times New Roman"/>
          <w:color w:val="auto"/>
          <w:w w:val="100"/>
          <w:kern w:val="2"/>
          <w:sz w:val="21"/>
          <w:szCs w:val="21"/>
          <w:lang w:val="en-US" w:eastAsia="zh-CN" w:bidi="ar-SA"/>
        </w:rPr>
        <w:sym w:font="Wingdings" w:char="00A8"/>
      </w:r>
      <w:r>
        <w:rPr>
          <w:rFonts w:hint="eastAsia" w:ascii="宋体" w:hAnsi="宋体" w:eastAsia="宋体" w:cs="Times New Roman"/>
          <w:color w:val="auto"/>
          <w:w w:val="100"/>
          <w:kern w:val="2"/>
          <w:sz w:val="21"/>
          <w:szCs w:val="21"/>
          <w:lang w:val="en-US" w:eastAsia="zh-CN" w:bidi="ar-SA"/>
        </w:rPr>
        <w:t xml:space="preserve">是      </w:t>
      </w:r>
      <w:r>
        <w:rPr>
          <w:rFonts w:hint="eastAsia" w:ascii="宋体" w:hAnsi="宋体" w:eastAsia="宋体" w:cs="Times New Roman"/>
          <w:color w:val="auto"/>
          <w:w w:val="100"/>
          <w:kern w:val="2"/>
          <w:sz w:val="21"/>
          <w:szCs w:val="21"/>
          <w:lang w:val="en-US" w:eastAsia="zh-CN" w:bidi="ar-SA"/>
        </w:rPr>
        <w:sym w:font="Wingdings" w:char="00A8"/>
      </w:r>
      <w:r>
        <w:rPr>
          <w:rFonts w:hint="eastAsia" w:ascii="宋体" w:hAnsi="宋体" w:eastAsia="宋体" w:cs="Times New Roman"/>
          <w:color w:val="auto"/>
          <w:w w:val="100"/>
          <w:kern w:val="2"/>
          <w:sz w:val="21"/>
          <w:szCs w:val="21"/>
          <w:lang w:val="en-US" w:eastAsia="zh-CN" w:bidi="ar-SA"/>
        </w:rPr>
        <w:t>否</w:t>
      </w:r>
    </w:p>
    <w:p w14:paraId="16C9C100">
      <w:pPr>
        <w:numPr>
          <w:ilvl w:val="-1"/>
          <w:numId w:val="0"/>
        </w:numPr>
        <w:adjustRightInd w:val="0"/>
        <w:snapToGrid w:val="0"/>
        <w:spacing w:before="0" w:beforeLines="0" w:line="400" w:lineRule="exact"/>
        <w:ind w:left="0" w:leftChars="0" w:firstLine="0" w:firstLineChars="0"/>
        <w:rPr>
          <w:rFonts w:hint="eastAsia" w:ascii="宋体" w:hAnsi="宋体"/>
          <w:iCs/>
          <w:color w:val="auto"/>
          <w:sz w:val="21"/>
          <w:szCs w:val="21"/>
        </w:rPr>
      </w:pPr>
      <w:r>
        <w:rPr>
          <w:rFonts w:hint="eastAsia" w:ascii="宋体" w:hAnsi="宋体"/>
          <w:color w:val="auto"/>
          <w:w w:val="100"/>
          <w:sz w:val="21"/>
          <w:szCs w:val="21"/>
          <w:lang w:val="en-US" w:eastAsia="zh-CN"/>
        </w:rPr>
        <w:t xml:space="preserve">         本合同</w:t>
      </w:r>
      <w:r>
        <w:rPr>
          <w:rFonts w:hint="eastAsia" w:ascii="宋体" w:hAnsi="宋体"/>
          <w:color w:val="auto"/>
          <w:w w:val="100"/>
          <w:sz w:val="21"/>
          <w:szCs w:val="21"/>
        </w:rPr>
        <w:t>是否</w:t>
      </w:r>
      <w:r>
        <w:rPr>
          <w:rFonts w:hint="eastAsia" w:ascii="宋体" w:hAnsi="宋体"/>
          <w:color w:val="auto"/>
          <w:w w:val="100"/>
          <w:sz w:val="21"/>
          <w:szCs w:val="21"/>
          <w:lang w:eastAsia="zh-CN"/>
        </w:rPr>
        <w:t>为专门面向</w:t>
      </w:r>
      <w:r>
        <w:rPr>
          <w:rFonts w:hint="eastAsia" w:ascii="宋体" w:hAnsi="宋体"/>
          <w:color w:val="auto"/>
          <w:w w:val="100"/>
          <w:sz w:val="21"/>
          <w:szCs w:val="21"/>
        </w:rPr>
        <w:t>中小企业</w:t>
      </w:r>
      <w:r>
        <w:rPr>
          <w:rFonts w:hint="eastAsia" w:ascii="宋体" w:hAnsi="宋体"/>
          <w:color w:val="auto"/>
          <w:w w:val="100"/>
          <w:sz w:val="21"/>
          <w:szCs w:val="21"/>
          <w:lang w:eastAsia="zh-CN"/>
        </w:rPr>
        <w:t>的采</w:t>
      </w:r>
      <w:r>
        <w:rPr>
          <w:rFonts w:hint="eastAsia" w:ascii="宋体" w:hAnsi="宋体"/>
          <w:color w:val="auto"/>
          <w:w w:val="100"/>
          <w:sz w:val="21"/>
          <w:szCs w:val="21"/>
          <w:shd w:val="clear"/>
          <w:lang w:eastAsia="zh-CN"/>
        </w:rPr>
        <w:t>购</w:t>
      </w:r>
      <w:r>
        <w:rPr>
          <w:rFonts w:hint="eastAsia" w:ascii="宋体" w:hAnsi="宋体"/>
          <w:color w:val="auto"/>
          <w:w w:val="100"/>
          <w:sz w:val="21"/>
          <w:szCs w:val="21"/>
          <w:shd w:val="clear"/>
        </w:rPr>
        <w:t>合同</w:t>
      </w:r>
      <w:r>
        <w:rPr>
          <w:rFonts w:hint="eastAsia" w:ascii="宋体" w:hAnsi="宋体"/>
          <w:color w:val="auto"/>
          <w:w w:val="100"/>
          <w:sz w:val="21"/>
          <w:szCs w:val="21"/>
          <w:shd w:val="clear"/>
          <w:lang w:eastAsia="zh-CN"/>
        </w:rPr>
        <w:t>（中小企业预留合同）</w:t>
      </w:r>
      <w:r>
        <w:rPr>
          <w:rFonts w:hint="eastAsia" w:ascii="宋体" w:hAnsi="宋体"/>
          <w:color w:val="auto"/>
          <w:sz w:val="21"/>
          <w:szCs w:val="21"/>
          <w:shd w:val="clear"/>
        </w:rPr>
        <w:t>：</w:t>
      </w:r>
      <w:r>
        <w:rPr>
          <w:rFonts w:hint="eastAsia" w:ascii="宋体" w:hAnsi="宋体"/>
          <w:iCs/>
          <w:color w:val="auto"/>
          <w:sz w:val="21"/>
          <w:szCs w:val="21"/>
        </w:rPr>
        <w:sym w:font="Wingdings" w:char="00A8"/>
      </w:r>
      <w:r>
        <w:rPr>
          <w:rFonts w:hint="eastAsia" w:ascii="宋体" w:hAnsi="宋体"/>
          <w:iCs/>
          <w:color w:val="auto"/>
          <w:sz w:val="21"/>
          <w:szCs w:val="21"/>
        </w:rPr>
        <w:t xml:space="preserve">是 </w:t>
      </w:r>
      <w:r>
        <w:rPr>
          <w:rFonts w:hint="eastAsia" w:ascii="宋体" w:hAnsi="宋体"/>
          <w:iCs/>
          <w:color w:val="auto"/>
          <w:sz w:val="21"/>
          <w:szCs w:val="21"/>
          <w:lang w:val="en-US" w:eastAsia="zh-CN"/>
        </w:rPr>
        <w:t xml:space="preserve">  </w:t>
      </w:r>
      <w:r>
        <w:rPr>
          <w:rFonts w:hint="eastAsia" w:ascii="宋体" w:hAnsi="宋体"/>
          <w:iCs/>
          <w:color w:val="auto"/>
          <w:sz w:val="21"/>
          <w:szCs w:val="21"/>
        </w:rPr>
        <w:t xml:space="preserve"> </w:t>
      </w:r>
      <w:r>
        <w:rPr>
          <w:rFonts w:hint="eastAsia" w:ascii="宋体" w:hAnsi="宋体"/>
          <w:iCs/>
          <w:color w:val="auto"/>
          <w:sz w:val="21"/>
          <w:szCs w:val="21"/>
        </w:rPr>
        <w:sym w:font="Wingdings" w:char="00A8"/>
      </w:r>
      <w:r>
        <w:rPr>
          <w:rFonts w:hint="eastAsia" w:ascii="宋体" w:hAnsi="宋体"/>
          <w:iCs/>
          <w:color w:val="auto"/>
          <w:sz w:val="21"/>
          <w:szCs w:val="21"/>
        </w:rPr>
        <w:t>否</w:t>
      </w:r>
    </w:p>
    <w:p w14:paraId="660F88CA">
      <w:pPr>
        <w:numPr>
          <w:ilvl w:val="-1"/>
          <w:numId w:val="0"/>
        </w:numPr>
        <w:adjustRightInd w:val="0"/>
        <w:snapToGrid w:val="0"/>
        <w:spacing w:before="0" w:beforeLines="0" w:line="400" w:lineRule="exact"/>
        <w:ind w:firstLine="0" w:firstLineChars="0"/>
        <w:rPr>
          <w:rFonts w:hint="eastAsia" w:ascii="宋体" w:hAnsi="宋体"/>
          <w:iCs/>
          <w:color w:val="auto"/>
          <w:sz w:val="21"/>
          <w:szCs w:val="21"/>
        </w:rPr>
      </w:pPr>
      <w:r>
        <w:rPr>
          <w:rFonts w:hint="eastAsia"/>
          <w:color w:val="auto"/>
          <w:sz w:val="21"/>
          <w:szCs w:val="21"/>
          <w:lang w:val="en-US" w:eastAsia="zh-CN"/>
        </w:rPr>
        <w:t xml:space="preserve">         若本项目不专门面向中小企业采购，是否给予小微企业评审优惠：</w:t>
      </w:r>
      <w:r>
        <w:rPr>
          <w:rFonts w:hint="eastAsia" w:ascii="宋体" w:hAnsi="宋体"/>
          <w:iCs/>
          <w:color w:val="auto"/>
          <w:sz w:val="21"/>
          <w:szCs w:val="21"/>
        </w:rPr>
        <w:sym w:font="Wingdings" w:char="00A8"/>
      </w:r>
      <w:r>
        <w:rPr>
          <w:rFonts w:hint="eastAsia" w:ascii="宋体" w:hAnsi="宋体"/>
          <w:iCs/>
          <w:color w:val="auto"/>
          <w:sz w:val="21"/>
          <w:szCs w:val="21"/>
        </w:rPr>
        <w:t xml:space="preserve">是   </w:t>
      </w:r>
      <w:r>
        <w:rPr>
          <w:rFonts w:hint="eastAsia" w:ascii="宋体" w:hAnsi="宋体"/>
          <w:iCs/>
          <w:color w:val="auto"/>
          <w:sz w:val="21"/>
          <w:szCs w:val="21"/>
        </w:rPr>
        <w:sym w:font="Wingdings" w:char="00A8"/>
      </w:r>
      <w:r>
        <w:rPr>
          <w:rFonts w:hint="eastAsia" w:ascii="宋体" w:hAnsi="宋体"/>
          <w:iCs/>
          <w:color w:val="auto"/>
          <w:sz w:val="21"/>
          <w:szCs w:val="21"/>
        </w:rPr>
        <w:t>否</w:t>
      </w:r>
    </w:p>
    <w:p w14:paraId="39367C2C">
      <w:pPr>
        <w:numPr>
          <w:ilvl w:val="-1"/>
          <w:numId w:val="0"/>
        </w:numPr>
        <w:adjustRightInd w:val="0"/>
        <w:snapToGrid w:val="0"/>
        <w:spacing w:before="0" w:beforeLines="0" w:line="400" w:lineRule="exact"/>
        <w:ind w:firstLine="0" w:firstLineChars="0"/>
        <w:rPr>
          <w:rFonts w:hint="eastAsia" w:ascii="宋体" w:hAnsi="宋体"/>
          <w:iCs/>
          <w:color w:val="auto"/>
          <w:sz w:val="21"/>
          <w:szCs w:val="21"/>
        </w:rPr>
      </w:pPr>
      <w:r>
        <w:rPr>
          <w:rFonts w:hint="eastAsia"/>
          <w:color w:val="auto"/>
          <w:sz w:val="21"/>
          <w:szCs w:val="21"/>
          <w:lang w:val="en-US" w:eastAsia="zh-CN"/>
        </w:rPr>
        <w:t xml:space="preserve">         中标（成交）采购标的制造商是否为残疾人福利性单位：</w:t>
      </w:r>
      <w:r>
        <w:rPr>
          <w:rFonts w:hint="eastAsia" w:ascii="宋体" w:hAnsi="宋体"/>
          <w:iCs/>
          <w:color w:val="auto"/>
          <w:sz w:val="21"/>
          <w:szCs w:val="21"/>
        </w:rPr>
        <w:sym w:font="Wingdings" w:char="00A8"/>
      </w:r>
      <w:r>
        <w:rPr>
          <w:rFonts w:hint="eastAsia" w:ascii="宋体" w:hAnsi="宋体"/>
          <w:iCs/>
          <w:color w:val="auto"/>
          <w:sz w:val="21"/>
          <w:szCs w:val="21"/>
        </w:rPr>
        <w:t xml:space="preserve">是   </w:t>
      </w:r>
      <w:r>
        <w:rPr>
          <w:rFonts w:hint="eastAsia" w:ascii="宋体" w:hAnsi="宋体"/>
          <w:iCs/>
          <w:color w:val="auto"/>
          <w:sz w:val="21"/>
          <w:szCs w:val="21"/>
        </w:rPr>
        <w:sym w:font="Wingdings" w:char="00A8"/>
      </w:r>
      <w:r>
        <w:rPr>
          <w:rFonts w:hint="eastAsia" w:ascii="宋体" w:hAnsi="宋体"/>
          <w:iCs/>
          <w:color w:val="auto"/>
          <w:sz w:val="21"/>
          <w:szCs w:val="21"/>
        </w:rPr>
        <w:t>否</w:t>
      </w:r>
    </w:p>
    <w:p w14:paraId="0C8BD7D1">
      <w:pPr>
        <w:numPr>
          <w:ilvl w:val="0"/>
          <w:numId w:val="0"/>
        </w:numPr>
        <w:snapToGrid w:val="0"/>
        <w:spacing w:beforeLines="0" w:line="400" w:lineRule="exact"/>
        <w:ind w:firstLine="0" w:firstLineChars="0"/>
        <w:rPr>
          <w:rFonts w:hint="default"/>
          <w:color w:val="auto"/>
          <w:sz w:val="21"/>
          <w:szCs w:val="21"/>
          <w:lang w:val="en-US" w:eastAsia="zh-CN"/>
        </w:rPr>
      </w:pPr>
      <w:r>
        <w:rPr>
          <w:rFonts w:hint="eastAsia"/>
          <w:color w:val="auto"/>
          <w:sz w:val="21"/>
          <w:szCs w:val="21"/>
          <w:lang w:val="en-US" w:eastAsia="zh-CN"/>
        </w:rPr>
        <w:t xml:space="preserve">         中标（成交）采购标的制造商是否为监狱企业：</w:t>
      </w:r>
      <w:r>
        <w:rPr>
          <w:rFonts w:hint="eastAsia" w:ascii="宋体" w:hAnsi="宋体"/>
          <w:iCs/>
          <w:color w:val="auto"/>
          <w:sz w:val="21"/>
          <w:szCs w:val="21"/>
        </w:rPr>
        <w:sym w:font="Wingdings" w:char="00A8"/>
      </w:r>
      <w:r>
        <w:rPr>
          <w:rFonts w:hint="eastAsia" w:ascii="宋体" w:hAnsi="宋体"/>
          <w:iCs/>
          <w:color w:val="auto"/>
          <w:sz w:val="21"/>
          <w:szCs w:val="21"/>
        </w:rPr>
        <w:t xml:space="preserve">是       </w:t>
      </w:r>
      <w:r>
        <w:rPr>
          <w:rFonts w:hint="eastAsia" w:ascii="宋体" w:hAnsi="宋体"/>
          <w:iCs/>
          <w:color w:val="auto"/>
          <w:sz w:val="21"/>
          <w:szCs w:val="21"/>
        </w:rPr>
        <w:sym w:font="Wingdings" w:char="00A8"/>
      </w:r>
      <w:r>
        <w:rPr>
          <w:rFonts w:hint="eastAsia" w:ascii="宋体" w:hAnsi="宋体"/>
          <w:iCs/>
          <w:color w:val="auto"/>
          <w:sz w:val="21"/>
          <w:szCs w:val="21"/>
        </w:rPr>
        <w:t>否</w:t>
      </w:r>
    </w:p>
    <w:p w14:paraId="3D7DFB9A">
      <w:pPr>
        <w:adjustRightInd w:val="0"/>
        <w:snapToGrid w:val="0"/>
        <w:spacing w:before="0" w:beforeLines="0" w:line="400" w:lineRule="exact"/>
        <w:ind w:firstLine="420" w:firstLineChars="200"/>
        <w:rPr>
          <w:rFonts w:ascii="宋体" w:hAnsi="宋体"/>
          <w:color w:val="auto"/>
          <w:sz w:val="21"/>
          <w:szCs w:val="21"/>
        </w:rPr>
      </w:pPr>
      <w:r>
        <w:rPr>
          <w:rFonts w:hint="eastAsia" w:ascii="宋体" w:hAnsi="宋体"/>
          <w:color w:val="auto"/>
          <w:sz w:val="21"/>
          <w:szCs w:val="21"/>
        </w:rPr>
        <w:t>（</w:t>
      </w:r>
      <w:r>
        <w:rPr>
          <w:rFonts w:hint="default" w:ascii="宋体" w:hAnsi="宋体"/>
          <w:color w:val="auto"/>
          <w:sz w:val="21"/>
          <w:szCs w:val="21"/>
          <w:lang w:val="en" w:eastAsia="zh-CN"/>
        </w:rPr>
        <w:t>7</w:t>
      </w:r>
      <w:r>
        <w:rPr>
          <w:rFonts w:hint="eastAsia" w:ascii="宋体" w:hAnsi="宋体"/>
          <w:color w:val="auto"/>
          <w:sz w:val="21"/>
          <w:szCs w:val="21"/>
        </w:rPr>
        <w:t>）合同是否分包：</w:t>
      </w:r>
      <w:r>
        <w:rPr>
          <w:rFonts w:hint="eastAsia" w:ascii="宋体" w:hAnsi="宋体"/>
          <w:iCs/>
          <w:color w:val="auto"/>
          <w:sz w:val="21"/>
          <w:szCs w:val="21"/>
        </w:rPr>
        <w:sym w:font="Wingdings" w:char="00A8"/>
      </w:r>
      <w:r>
        <w:rPr>
          <w:rFonts w:hint="eastAsia" w:ascii="宋体" w:hAnsi="宋体"/>
          <w:iCs/>
          <w:color w:val="auto"/>
          <w:sz w:val="21"/>
          <w:szCs w:val="21"/>
        </w:rPr>
        <w:t xml:space="preserve">是       </w:t>
      </w:r>
      <w:r>
        <w:rPr>
          <w:rFonts w:hint="eastAsia" w:ascii="宋体" w:hAnsi="宋体"/>
          <w:iCs/>
          <w:color w:val="auto"/>
          <w:sz w:val="21"/>
          <w:szCs w:val="21"/>
        </w:rPr>
        <w:sym w:font="Wingdings" w:char="00A8"/>
      </w:r>
      <w:r>
        <w:rPr>
          <w:rFonts w:hint="eastAsia" w:ascii="宋体" w:hAnsi="宋体"/>
          <w:iCs/>
          <w:color w:val="auto"/>
          <w:sz w:val="21"/>
          <w:szCs w:val="21"/>
        </w:rPr>
        <w:t>否</w:t>
      </w:r>
    </w:p>
    <w:p w14:paraId="4E00D6C2">
      <w:pPr>
        <w:adjustRightInd w:val="0"/>
        <w:snapToGrid w:val="0"/>
        <w:spacing w:before="0" w:beforeLines="0" w:line="400" w:lineRule="exact"/>
        <w:ind w:firstLine="840" w:firstLineChars="400"/>
        <w:rPr>
          <w:rFonts w:hint="eastAsia" w:ascii="宋体" w:hAnsi="宋体"/>
          <w:color w:val="auto"/>
          <w:sz w:val="21"/>
          <w:szCs w:val="21"/>
          <w:u w:val="single"/>
        </w:rPr>
      </w:pPr>
      <w:r>
        <w:rPr>
          <w:rFonts w:hint="eastAsia" w:ascii="宋体" w:hAnsi="宋体"/>
          <w:color w:val="auto"/>
          <w:sz w:val="21"/>
          <w:szCs w:val="21"/>
          <w:lang w:val="en-US" w:eastAsia="zh-CN"/>
        </w:rPr>
        <w:t xml:space="preserve"> </w:t>
      </w:r>
      <w:r>
        <w:rPr>
          <w:rFonts w:hint="eastAsia" w:ascii="宋体" w:hAnsi="宋体"/>
          <w:color w:val="auto"/>
          <w:sz w:val="21"/>
          <w:szCs w:val="21"/>
        </w:rPr>
        <w:t>分包主要内容：</w:t>
      </w:r>
      <w:r>
        <w:rPr>
          <w:rFonts w:hint="eastAsia" w:ascii="宋体" w:hAnsi="宋体"/>
          <w:color w:val="auto"/>
          <w:sz w:val="21"/>
          <w:szCs w:val="21"/>
          <w:u w:val="single"/>
        </w:rPr>
        <w:t xml:space="preserve">                                        </w:t>
      </w:r>
      <w:r>
        <w:rPr>
          <w:rFonts w:hint="eastAsia" w:ascii="宋体" w:hAnsi="宋体"/>
          <w:color w:val="auto"/>
          <w:sz w:val="21"/>
          <w:szCs w:val="21"/>
          <w:u w:val="single"/>
          <w:lang w:val="en-US" w:eastAsia="zh-CN"/>
        </w:rPr>
        <w:t xml:space="preserve"> </w:t>
      </w:r>
      <w:r>
        <w:rPr>
          <w:rFonts w:hint="eastAsia" w:ascii="宋体" w:hAnsi="宋体"/>
          <w:color w:val="auto"/>
          <w:sz w:val="21"/>
          <w:szCs w:val="21"/>
          <w:u w:val="single"/>
        </w:rPr>
        <w:t xml:space="preserve">   </w:t>
      </w:r>
    </w:p>
    <w:p w14:paraId="28E1FC77">
      <w:pPr>
        <w:adjustRightInd w:val="0"/>
        <w:snapToGrid w:val="0"/>
        <w:spacing w:before="0" w:beforeLines="0" w:line="400" w:lineRule="exact"/>
        <w:ind w:firstLine="840" w:firstLineChars="400"/>
        <w:rPr>
          <w:rFonts w:hint="eastAsia" w:ascii="宋体" w:hAnsi="宋体"/>
          <w:color w:val="auto"/>
          <w:sz w:val="21"/>
          <w:szCs w:val="21"/>
          <w:highlight w:val="none"/>
        </w:rPr>
      </w:pPr>
      <w:r>
        <w:rPr>
          <w:rFonts w:hint="eastAsia" w:ascii="宋体" w:hAnsi="宋体"/>
          <w:color w:val="auto"/>
          <w:sz w:val="21"/>
          <w:szCs w:val="21"/>
          <w:u w:val="none"/>
          <w:lang w:val="en-US" w:eastAsia="zh-CN"/>
        </w:rPr>
        <w:t xml:space="preserve"> </w:t>
      </w:r>
      <w:r>
        <w:rPr>
          <w:rFonts w:hint="eastAsia" w:ascii="宋体" w:hAnsi="宋体"/>
          <w:color w:val="auto"/>
          <w:sz w:val="21"/>
          <w:szCs w:val="21"/>
        </w:rPr>
        <w:t>分包</w:t>
      </w:r>
      <w:r>
        <w:rPr>
          <w:rFonts w:hint="eastAsia" w:ascii="宋体" w:hAnsi="宋体"/>
          <w:color w:val="auto"/>
          <w:sz w:val="21"/>
          <w:szCs w:val="21"/>
          <w:highlight w:val="none"/>
        </w:rPr>
        <w:t>供应商</w:t>
      </w:r>
      <w:r>
        <w:rPr>
          <w:rFonts w:hint="eastAsia" w:ascii="宋体" w:hAnsi="宋体"/>
          <w:color w:val="auto"/>
          <w:sz w:val="21"/>
          <w:szCs w:val="21"/>
          <w:highlight w:val="none"/>
          <w:lang w:eastAsia="zh-CN"/>
        </w:rPr>
        <w:t>/制造商</w:t>
      </w:r>
      <w:r>
        <w:rPr>
          <w:rFonts w:hint="eastAsia" w:ascii="宋体" w:hAnsi="宋体"/>
          <w:color w:val="auto"/>
          <w:sz w:val="21"/>
          <w:szCs w:val="21"/>
          <w:highlight w:val="none"/>
        </w:rPr>
        <w:t>名称</w:t>
      </w:r>
      <w:r>
        <w:rPr>
          <w:rFonts w:hint="eastAsia" w:ascii="宋体" w:hAnsi="宋体"/>
          <w:color w:val="auto"/>
          <w:sz w:val="21"/>
          <w:szCs w:val="21"/>
          <w:highlight w:val="none"/>
          <w:lang w:eastAsia="zh-CN"/>
        </w:rPr>
        <w:t>（如供应商和制造商不同，请分别填写）</w:t>
      </w:r>
      <w:r>
        <w:rPr>
          <w:rFonts w:hint="eastAsia" w:ascii="宋体" w:hAnsi="宋体"/>
          <w:color w:val="auto"/>
          <w:sz w:val="21"/>
          <w:szCs w:val="21"/>
          <w:highlight w:val="none"/>
        </w:rPr>
        <w:t>：</w:t>
      </w:r>
    </w:p>
    <w:p w14:paraId="6AFD85A5">
      <w:pPr>
        <w:adjustRightInd w:val="0"/>
        <w:snapToGrid w:val="0"/>
        <w:spacing w:before="0" w:beforeLines="0" w:line="400" w:lineRule="exact"/>
        <w:ind w:firstLine="840" w:firstLineChars="400"/>
        <w:rPr>
          <w:rFonts w:ascii="宋体" w:hAnsi="宋体"/>
          <w:color w:val="auto"/>
          <w:sz w:val="21"/>
          <w:szCs w:val="21"/>
          <w:highlight w:val="none"/>
          <w:u w:val="single"/>
        </w:rPr>
      </w:pPr>
      <w:r>
        <w:rPr>
          <w:rFonts w:hint="eastAsia" w:ascii="宋体" w:hAnsi="宋体"/>
          <w:color w:val="auto"/>
          <w:sz w:val="21"/>
          <w:szCs w:val="21"/>
          <w:highlight w:val="none"/>
          <w:u w:val="none"/>
        </w:rPr>
        <w:t xml:space="preserve"> </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                       </w:t>
      </w:r>
    </w:p>
    <w:p w14:paraId="0A081C59">
      <w:pPr>
        <w:adjustRightInd w:val="0"/>
        <w:snapToGrid w:val="0"/>
        <w:spacing w:before="0" w:beforeLines="0" w:line="400" w:lineRule="exact"/>
        <w:ind w:firstLine="840" w:firstLineChars="400"/>
        <w:rPr>
          <w:rFonts w:hint="eastAsia" w:ascii="宋体" w:hAnsi="宋体"/>
          <w:color w:val="auto"/>
          <w:sz w:val="21"/>
          <w:szCs w:val="21"/>
        </w:rPr>
      </w:pP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分包供应商</w:t>
      </w:r>
      <w:r>
        <w:rPr>
          <w:rFonts w:hint="eastAsia" w:ascii="宋体" w:hAnsi="宋体"/>
          <w:color w:val="auto"/>
          <w:sz w:val="21"/>
          <w:szCs w:val="21"/>
          <w:highlight w:val="none"/>
          <w:lang w:val="en-US" w:eastAsia="zh-CN"/>
        </w:rPr>
        <w:t>/</w:t>
      </w:r>
      <w:r>
        <w:rPr>
          <w:rFonts w:hint="eastAsia" w:ascii="宋体" w:hAnsi="宋体"/>
          <w:color w:val="auto"/>
          <w:sz w:val="21"/>
          <w:szCs w:val="21"/>
          <w:highlight w:val="none"/>
          <w:lang w:eastAsia="zh-CN"/>
        </w:rPr>
        <w:t>制造商</w:t>
      </w:r>
      <w:r>
        <w:rPr>
          <w:rFonts w:hint="eastAsia" w:ascii="宋体" w:hAnsi="宋体"/>
          <w:color w:val="auto"/>
          <w:sz w:val="21"/>
          <w:szCs w:val="21"/>
        </w:rPr>
        <w:t>类型</w:t>
      </w:r>
      <w:r>
        <w:rPr>
          <w:rFonts w:hint="eastAsia" w:ascii="宋体" w:hAnsi="宋体"/>
          <w:color w:val="auto"/>
          <w:sz w:val="21"/>
          <w:szCs w:val="21"/>
          <w:highlight w:val="none"/>
          <w:lang w:eastAsia="zh-CN"/>
        </w:rPr>
        <w:t>（如果供应商和制造商不同，只填写制造商类型）</w:t>
      </w:r>
      <w:r>
        <w:rPr>
          <w:rFonts w:hint="eastAsia" w:ascii="宋体" w:hAnsi="宋体"/>
          <w:color w:val="auto"/>
          <w:sz w:val="21"/>
          <w:szCs w:val="21"/>
        </w:rPr>
        <w:t>：</w:t>
      </w:r>
    </w:p>
    <w:p w14:paraId="5AC95CFC">
      <w:pPr>
        <w:adjustRightInd w:val="0"/>
        <w:snapToGrid w:val="0"/>
        <w:spacing w:beforeLines="0" w:line="400" w:lineRule="exact"/>
        <w:ind w:firstLine="840" w:firstLineChars="400"/>
        <w:rPr>
          <w:rFonts w:hint="eastAsia" w:ascii="宋体" w:hAnsi="宋体"/>
          <w:iCs/>
          <w:color w:val="auto"/>
          <w:sz w:val="21"/>
          <w:szCs w:val="21"/>
          <w:lang w:val="en-US" w:eastAsia="zh-CN"/>
        </w:rPr>
      </w:pPr>
      <w:r>
        <w:rPr>
          <w:rFonts w:hint="eastAsia" w:ascii="宋体" w:hAnsi="宋体"/>
          <w:iCs/>
          <w:color w:val="auto"/>
          <w:sz w:val="21"/>
          <w:szCs w:val="21"/>
          <w:lang w:val="en-US" w:eastAsia="zh-CN"/>
        </w:rPr>
        <w:t xml:space="preserve"> </w:t>
      </w:r>
      <w:r>
        <w:rPr>
          <w:rFonts w:hint="eastAsia" w:ascii="宋体" w:hAnsi="宋体"/>
          <w:iCs/>
          <w:color w:val="auto"/>
          <w:sz w:val="21"/>
          <w:szCs w:val="21"/>
        </w:rPr>
        <w:sym w:font="Wingdings" w:char="00A8"/>
      </w:r>
      <w:r>
        <w:rPr>
          <w:rFonts w:hint="eastAsia" w:ascii="宋体" w:hAnsi="宋体"/>
          <w:iCs/>
          <w:color w:val="auto"/>
          <w:sz w:val="21"/>
          <w:szCs w:val="21"/>
        </w:rPr>
        <w:t xml:space="preserve">大型企业  </w:t>
      </w:r>
      <w:r>
        <w:rPr>
          <w:rFonts w:hint="eastAsia" w:ascii="宋体" w:hAnsi="宋体"/>
          <w:iCs/>
          <w:color w:val="auto"/>
          <w:sz w:val="21"/>
          <w:szCs w:val="21"/>
        </w:rPr>
        <w:sym w:font="Wingdings" w:char="00A8"/>
      </w:r>
      <w:r>
        <w:rPr>
          <w:rFonts w:hint="eastAsia" w:ascii="宋体" w:hAnsi="宋体"/>
          <w:iCs/>
          <w:color w:val="auto"/>
          <w:sz w:val="21"/>
          <w:szCs w:val="21"/>
        </w:rPr>
        <w:t xml:space="preserve">中型企业  </w:t>
      </w:r>
      <w:r>
        <w:rPr>
          <w:rFonts w:hint="eastAsia" w:ascii="宋体" w:hAnsi="宋体"/>
          <w:iCs/>
          <w:color w:val="auto"/>
          <w:sz w:val="21"/>
          <w:szCs w:val="21"/>
        </w:rPr>
        <w:sym w:font="Wingdings" w:char="00A8"/>
      </w:r>
      <w:r>
        <w:rPr>
          <w:rFonts w:hint="eastAsia" w:ascii="宋体" w:hAnsi="宋体"/>
          <w:iCs/>
          <w:color w:val="auto"/>
          <w:sz w:val="21"/>
          <w:szCs w:val="21"/>
        </w:rPr>
        <w:t>小微型企业</w:t>
      </w:r>
      <w:r>
        <w:rPr>
          <w:rFonts w:hint="eastAsia" w:ascii="宋体" w:hAnsi="宋体"/>
          <w:iCs/>
          <w:color w:val="auto"/>
          <w:sz w:val="21"/>
          <w:szCs w:val="21"/>
          <w:lang w:val="en-US" w:eastAsia="zh-CN"/>
        </w:rPr>
        <w:t xml:space="preserve">  </w:t>
      </w:r>
    </w:p>
    <w:p w14:paraId="7020ED02">
      <w:pPr>
        <w:adjustRightInd w:val="0"/>
        <w:snapToGrid w:val="0"/>
        <w:spacing w:beforeLines="0" w:line="400" w:lineRule="exact"/>
        <w:ind w:firstLine="840" w:firstLineChars="400"/>
        <w:rPr>
          <w:rFonts w:hint="default" w:eastAsia="华文楷体"/>
          <w:color w:val="auto"/>
          <w:sz w:val="21"/>
          <w:szCs w:val="21"/>
          <w:u w:val="none"/>
          <w:lang w:val="en-US" w:eastAsia="zh-CN"/>
        </w:rPr>
      </w:pPr>
      <w:r>
        <w:rPr>
          <w:rFonts w:hint="eastAsia" w:ascii="宋体" w:hAnsi="宋体"/>
          <w:iCs/>
          <w:color w:val="auto"/>
          <w:sz w:val="21"/>
          <w:szCs w:val="21"/>
          <w:lang w:val="en-US" w:eastAsia="zh-CN"/>
        </w:rPr>
        <w:t xml:space="preserve"> </w:t>
      </w:r>
      <w:r>
        <w:rPr>
          <w:rFonts w:hint="eastAsia" w:ascii="宋体" w:hAnsi="宋体"/>
          <w:iCs/>
          <w:color w:val="auto"/>
          <w:sz w:val="21"/>
          <w:szCs w:val="21"/>
        </w:rPr>
        <w:sym w:font="Wingdings" w:char="00A8"/>
      </w:r>
      <w:r>
        <w:rPr>
          <w:rFonts w:hint="eastAsia" w:ascii="宋体" w:hAnsi="宋体"/>
          <w:iCs/>
          <w:color w:val="auto"/>
          <w:sz w:val="21"/>
          <w:szCs w:val="21"/>
          <w:lang w:eastAsia="zh-CN"/>
        </w:rPr>
        <w:t>残疾人福利性单位</w:t>
      </w:r>
      <w:r>
        <w:rPr>
          <w:rFonts w:hint="eastAsia" w:ascii="宋体" w:hAnsi="宋体"/>
          <w:iCs/>
          <w:color w:val="auto"/>
          <w:sz w:val="21"/>
          <w:szCs w:val="21"/>
          <w:lang w:val="en-US" w:eastAsia="zh-CN"/>
        </w:rPr>
        <w:t xml:space="preserve"> </w:t>
      </w:r>
      <w:r>
        <w:rPr>
          <w:rFonts w:hint="eastAsia" w:ascii="宋体" w:hAnsi="宋体"/>
          <w:iCs/>
          <w:color w:val="auto"/>
          <w:sz w:val="21"/>
          <w:szCs w:val="21"/>
        </w:rPr>
        <w:sym w:font="Wingdings" w:char="00A8"/>
      </w:r>
      <w:r>
        <w:rPr>
          <w:rFonts w:hint="eastAsia" w:ascii="宋体" w:hAnsi="宋体"/>
          <w:iCs/>
          <w:color w:val="auto"/>
          <w:sz w:val="21"/>
          <w:szCs w:val="21"/>
          <w:lang w:eastAsia="zh-CN"/>
        </w:rPr>
        <w:t>监狱</w:t>
      </w:r>
      <w:r>
        <w:rPr>
          <w:rFonts w:hint="eastAsia" w:ascii="宋体" w:hAnsi="宋体"/>
          <w:iCs/>
          <w:color w:val="auto"/>
          <w:sz w:val="21"/>
          <w:szCs w:val="21"/>
        </w:rPr>
        <w:t>企业</w:t>
      </w:r>
      <w:r>
        <w:rPr>
          <w:rFonts w:hint="eastAsia" w:ascii="宋体" w:hAnsi="宋体"/>
          <w:iCs/>
          <w:color w:val="auto"/>
          <w:sz w:val="21"/>
          <w:szCs w:val="21"/>
          <w:lang w:val="en-US" w:eastAsia="zh-CN"/>
        </w:rPr>
        <w:t xml:space="preserve"> </w:t>
      </w:r>
      <w:r>
        <w:rPr>
          <w:rFonts w:hint="eastAsia" w:ascii="宋体" w:hAnsi="宋体"/>
          <w:iCs/>
          <w:color w:val="auto"/>
          <w:sz w:val="21"/>
          <w:szCs w:val="21"/>
        </w:rPr>
        <w:sym w:font="Wingdings" w:char="00A8"/>
      </w:r>
      <w:r>
        <w:rPr>
          <w:rFonts w:hint="eastAsia" w:ascii="宋体" w:hAnsi="宋体"/>
          <w:iCs/>
          <w:color w:val="auto"/>
          <w:sz w:val="21"/>
          <w:szCs w:val="21"/>
          <w:lang w:eastAsia="zh-CN"/>
        </w:rPr>
        <w:t>其他</w:t>
      </w:r>
    </w:p>
    <w:p w14:paraId="2FAE1AA5">
      <w:pPr>
        <w:numPr>
          <w:ilvl w:val="-1"/>
          <w:numId w:val="0"/>
        </w:numPr>
        <w:adjustRightInd w:val="0"/>
        <w:snapToGrid w:val="0"/>
        <w:spacing w:before="0" w:beforeLines="0" w:line="400" w:lineRule="exact"/>
        <w:ind w:left="0" w:leftChars="0" w:firstLine="0" w:firstLineChars="0"/>
        <w:rPr>
          <w:rFonts w:hint="eastAsia" w:ascii="宋体" w:hAnsi="宋体" w:cs="宋体"/>
          <w:iCs/>
          <w:color w:val="auto"/>
          <w:sz w:val="21"/>
          <w:szCs w:val="21"/>
          <w:highlight w:val="none"/>
        </w:rPr>
      </w:pPr>
      <w:r>
        <w:rPr>
          <w:rFonts w:hint="eastAsia" w:ascii="宋体" w:hAnsi="宋体"/>
          <w:color w:val="auto"/>
          <w:sz w:val="21"/>
          <w:szCs w:val="21"/>
          <w:highlight w:val="none"/>
          <w:u w:val="none"/>
          <w:lang w:val="en-US" w:eastAsia="zh-CN"/>
        </w:rPr>
        <w:t xml:space="preserve">    </w:t>
      </w:r>
      <w:r>
        <w:rPr>
          <w:rFonts w:hint="eastAsia" w:ascii="宋体" w:hAnsi="宋体" w:cs="宋体"/>
          <w:color w:val="auto"/>
          <w:sz w:val="21"/>
          <w:szCs w:val="21"/>
          <w:highlight w:val="none"/>
          <w:u w:val="none"/>
          <w:lang w:val="en-US" w:eastAsia="zh-CN"/>
        </w:rPr>
        <w:t>（</w:t>
      </w:r>
      <w:r>
        <w:rPr>
          <w:rFonts w:hint="default" w:ascii="宋体" w:hAnsi="宋体" w:cs="宋体"/>
          <w:color w:val="auto"/>
          <w:sz w:val="21"/>
          <w:szCs w:val="21"/>
          <w:highlight w:val="none"/>
          <w:u w:val="none"/>
          <w:lang w:val="en" w:eastAsia="zh-CN"/>
        </w:rPr>
        <w:t>8</w:t>
      </w:r>
      <w:r>
        <w:rPr>
          <w:rFonts w:hint="eastAsia" w:ascii="宋体" w:hAnsi="宋体" w:cs="宋体"/>
          <w:color w:val="auto"/>
          <w:sz w:val="21"/>
          <w:szCs w:val="21"/>
          <w:highlight w:val="none"/>
          <w:u w:val="none"/>
          <w:lang w:val="en-US" w:eastAsia="zh-CN"/>
        </w:rPr>
        <w:t>）中标（成交）供应商是否为外商投资企业：</w:t>
      </w:r>
      <w:r>
        <w:rPr>
          <w:rFonts w:hint="eastAsia" w:ascii="宋体" w:hAnsi="宋体" w:cs="宋体"/>
          <w:iCs/>
          <w:color w:val="auto"/>
          <w:sz w:val="21"/>
          <w:szCs w:val="21"/>
          <w:highlight w:val="none"/>
        </w:rPr>
        <w:sym w:font="Wingdings" w:char="00A8"/>
      </w:r>
      <w:r>
        <w:rPr>
          <w:rFonts w:hint="eastAsia" w:ascii="宋体" w:hAnsi="宋体" w:cs="宋体"/>
          <w:iCs/>
          <w:color w:val="auto"/>
          <w:sz w:val="21"/>
          <w:szCs w:val="21"/>
          <w:highlight w:val="none"/>
        </w:rPr>
        <w:t xml:space="preserve">是       </w:t>
      </w:r>
      <w:r>
        <w:rPr>
          <w:rFonts w:hint="eastAsia" w:ascii="宋体" w:hAnsi="宋体" w:cs="宋体"/>
          <w:iCs/>
          <w:color w:val="auto"/>
          <w:sz w:val="21"/>
          <w:szCs w:val="21"/>
          <w:highlight w:val="none"/>
        </w:rPr>
        <w:sym w:font="Wingdings" w:char="00A8"/>
      </w:r>
      <w:r>
        <w:rPr>
          <w:rFonts w:hint="eastAsia" w:ascii="宋体" w:hAnsi="宋体" w:cs="宋体"/>
          <w:iCs/>
          <w:color w:val="auto"/>
          <w:sz w:val="21"/>
          <w:szCs w:val="21"/>
          <w:highlight w:val="none"/>
        </w:rPr>
        <w:t>否</w:t>
      </w:r>
    </w:p>
    <w:p w14:paraId="10A3FA4A">
      <w:pPr>
        <w:pStyle w:val="42"/>
        <w:tabs>
          <w:tab w:val="left" w:pos="1340"/>
        </w:tabs>
        <w:spacing w:beforeLines="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none"/>
          <w:lang w:val="en-US" w:eastAsia="zh-CN"/>
        </w:rPr>
        <w:t xml:space="preserve">     外商投资企业类型：</w:t>
      </w:r>
      <w:r>
        <w:rPr>
          <w:rFonts w:hint="eastAsia" w:ascii="宋体" w:hAnsi="宋体" w:eastAsia="宋体" w:cs="宋体"/>
          <w:iCs/>
          <w:color w:val="auto"/>
          <w:sz w:val="21"/>
          <w:szCs w:val="21"/>
          <w:highlight w:val="none"/>
        </w:rPr>
        <w:sym w:font="Wingdings" w:char="00A8"/>
      </w:r>
      <w:r>
        <w:rPr>
          <w:rFonts w:hint="eastAsia" w:ascii="宋体" w:hAnsi="宋体" w:eastAsia="宋体" w:cs="宋体"/>
          <w:color w:val="auto"/>
          <w:sz w:val="21"/>
          <w:szCs w:val="21"/>
          <w:highlight w:val="none"/>
          <w:u w:val="none"/>
          <w:lang w:val="en-US" w:eastAsia="zh-CN"/>
        </w:rPr>
        <w:t xml:space="preserve">全部由外国投资者投资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val="en-US" w:eastAsia="zh-CN"/>
        </w:rPr>
        <w:t>部分由外国投资者投资</w:t>
      </w:r>
    </w:p>
    <w:p w14:paraId="0B3DCEF7">
      <w:pPr>
        <w:numPr>
          <w:ilvl w:val="-1"/>
          <w:numId w:val="0"/>
        </w:numPr>
        <w:adjustRightInd w:val="0"/>
        <w:snapToGrid w:val="0"/>
        <w:spacing w:before="0" w:beforeLines="0" w:line="400" w:lineRule="exact"/>
        <w:ind w:firstLine="420" w:firstLineChars="200"/>
        <w:rPr>
          <w:rFonts w:hint="eastAsia" w:ascii="宋体" w:hAnsi="宋体" w:eastAsia="宋体" w:cs="宋体"/>
          <w:b w:val="0"/>
          <w:bCs w:val="0"/>
          <w:color w:val="auto"/>
          <w:sz w:val="21"/>
          <w:szCs w:val="21"/>
          <w:u w:val="none"/>
          <w:lang w:val="en-US" w:eastAsia="zh-CN"/>
        </w:rPr>
      </w:pPr>
      <w:r>
        <w:rPr>
          <w:rFonts w:hint="eastAsia" w:ascii="宋体" w:hAnsi="宋体" w:eastAsia="宋体" w:cs="宋体"/>
          <w:b w:val="0"/>
          <w:bCs w:val="0"/>
          <w:color w:val="auto"/>
          <w:sz w:val="21"/>
          <w:szCs w:val="21"/>
          <w:u w:val="none"/>
          <w:lang w:val="en-US" w:eastAsia="zh-CN"/>
        </w:rPr>
        <w:t>（</w:t>
      </w:r>
      <w:r>
        <w:rPr>
          <w:rFonts w:hint="default" w:ascii="宋体" w:hAnsi="宋体" w:cs="宋体"/>
          <w:b w:val="0"/>
          <w:bCs w:val="0"/>
          <w:color w:val="auto"/>
          <w:sz w:val="21"/>
          <w:szCs w:val="21"/>
          <w:u w:val="none"/>
          <w:lang w:val="en" w:eastAsia="zh-CN"/>
        </w:rPr>
        <w:t>9</w:t>
      </w:r>
      <w:r>
        <w:rPr>
          <w:rFonts w:hint="eastAsia" w:ascii="宋体" w:hAnsi="宋体" w:eastAsia="宋体" w:cs="宋体"/>
          <w:b w:val="0"/>
          <w:bCs w:val="0"/>
          <w:color w:val="auto"/>
          <w:sz w:val="21"/>
          <w:szCs w:val="21"/>
          <w:u w:val="none"/>
          <w:lang w:val="en-US" w:eastAsia="zh-CN"/>
        </w:rPr>
        <w:t>）是否涉及进口产品：</w:t>
      </w:r>
    </w:p>
    <w:p w14:paraId="1F93384B">
      <w:pPr>
        <w:numPr>
          <w:ilvl w:val="-1"/>
          <w:numId w:val="0"/>
        </w:numPr>
        <w:adjustRightInd w:val="0"/>
        <w:snapToGrid w:val="0"/>
        <w:spacing w:before="0" w:beforeLines="0" w:line="400" w:lineRule="exact"/>
        <w:ind w:firstLine="840" w:firstLineChars="400"/>
        <w:rPr>
          <w:rFonts w:hint="eastAsia" w:ascii="宋体" w:hAnsi="宋体" w:eastAsia="宋体" w:cs="宋体"/>
          <w:color w:val="auto"/>
          <w:sz w:val="21"/>
          <w:szCs w:val="21"/>
          <w:u w:val="single"/>
          <w:lang w:val="en-US" w:eastAsia="zh-CN"/>
        </w:rPr>
      </w:pPr>
      <w:r>
        <w:rPr>
          <w:rFonts w:hint="eastAsia" w:ascii="宋体" w:hAnsi="宋体" w:cs="宋体"/>
          <w:iCs w:val="0"/>
          <w:color w:val="auto"/>
          <w:sz w:val="21"/>
          <w:szCs w:val="21"/>
          <w:lang w:val="en-US" w:eastAsia="zh-CN"/>
        </w:rPr>
        <w:t xml:space="preserve"> </w:t>
      </w:r>
      <w:r>
        <w:rPr>
          <w:rFonts w:hint="eastAsia" w:ascii="宋体" w:hAnsi="宋体" w:eastAsia="宋体" w:cs="宋体"/>
          <w:iCs w:val="0"/>
          <w:color w:val="auto"/>
          <w:sz w:val="21"/>
          <w:szCs w:val="21"/>
        </w:rPr>
        <w:sym w:font="Wingdings" w:char="00A8"/>
      </w:r>
      <w:r>
        <w:rPr>
          <w:rFonts w:hint="eastAsia" w:ascii="宋体" w:hAnsi="宋体" w:eastAsia="宋体" w:cs="宋体"/>
          <w:iCs w:val="0"/>
          <w:color w:val="auto"/>
          <w:sz w:val="21"/>
          <w:szCs w:val="21"/>
        </w:rPr>
        <w:t>是</w:t>
      </w:r>
      <w:r>
        <w:rPr>
          <w:rFonts w:hint="eastAsia" w:ascii="宋体" w:hAnsi="宋体" w:eastAsia="宋体" w:cs="宋体"/>
          <w:iCs w:val="0"/>
          <w:color w:val="auto"/>
          <w:sz w:val="21"/>
          <w:szCs w:val="21"/>
          <w:lang w:eastAsia="zh-CN"/>
        </w:rPr>
        <w:t>，</w:t>
      </w:r>
      <w:r>
        <w:rPr>
          <w:rFonts w:hint="eastAsia" w:ascii="宋体" w:hAnsi="宋体" w:cs="宋体"/>
          <w:iCs w:val="0"/>
          <w:color w:val="auto"/>
          <w:sz w:val="21"/>
          <w:szCs w:val="21"/>
          <w:lang w:eastAsia="zh-CN"/>
        </w:rPr>
        <w:t>《政府采购品目分类目录》底级品目名称</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金额：</w:t>
      </w:r>
      <w:r>
        <w:rPr>
          <w:rFonts w:hint="eastAsia" w:ascii="宋体" w:hAnsi="宋体" w:eastAsia="宋体" w:cs="宋体"/>
          <w:color w:val="auto"/>
          <w:sz w:val="21"/>
          <w:szCs w:val="21"/>
          <w:u w:val="single"/>
          <w:lang w:val="en-US" w:eastAsia="zh-CN"/>
        </w:rPr>
        <w:t xml:space="preserve">  </w:t>
      </w:r>
      <w:r>
        <w:rPr>
          <w:rFonts w:hint="eastAsia" w:ascii="宋体" w:hAnsi="宋体" w:cs="宋体"/>
          <w:color w:val="auto"/>
          <w:sz w:val="21"/>
          <w:szCs w:val="21"/>
          <w:u w:val="single"/>
          <w:lang w:val="en-US" w:eastAsia="zh-CN"/>
        </w:rPr>
        <w:t xml:space="preserve">     </w:t>
      </w:r>
      <w:r>
        <w:rPr>
          <w:rFonts w:hint="eastAsia" w:ascii="宋体" w:hAnsi="宋体" w:eastAsia="宋体" w:cs="宋体"/>
          <w:color w:val="auto"/>
          <w:sz w:val="21"/>
          <w:szCs w:val="21"/>
          <w:u w:val="single"/>
          <w:lang w:val="en-US" w:eastAsia="zh-CN"/>
        </w:rPr>
        <w:t xml:space="preserve"> </w:t>
      </w:r>
    </w:p>
    <w:p w14:paraId="213F8A37">
      <w:pPr>
        <w:numPr>
          <w:ilvl w:val="-1"/>
          <w:numId w:val="0"/>
        </w:numPr>
        <w:adjustRightInd w:val="0"/>
        <w:snapToGrid w:val="0"/>
        <w:spacing w:before="0" w:beforeLines="0" w:line="400" w:lineRule="exact"/>
        <w:ind w:firstLine="840" w:firstLineChars="400"/>
        <w:rPr>
          <w:rFonts w:hint="eastAsia" w:ascii="宋体" w:hAnsi="宋体" w:eastAsia="宋体"/>
          <w:iCs w:val="0"/>
          <w:color w:val="auto"/>
          <w:sz w:val="21"/>
          <w:szCs w:val="21"/>
        </w:rPr>
      </w:pPr>
      <w:r>
        <w:rPr>
          <w:rFonts w:hint="eastAsia" w:ascii="宋体" w:hAnsi="宋体" w:cs="宋体"/>
          <w:color w:val="auto"/>
          <w:sz w:val="21"/>
          <w:szCs w:val="21"/>
          <w:lang w:val="en-US" w:eastAsia="zh-CN"/>
        </w:rPr>
        <w:t xml:space="preserve">        国别：</w:t>
      </w:r>
      <w:r>
        <w:rPr>
          <w:rFonts w:hint="eastAsia" w:ascii="宋体" w:hAnsi="宋体" w:eastAsia="宋体" w:cs="宋体"/>
          <w:color w:val="auto"/>
          <w:sz w:val="21"/>
          <w:szCs w:val="21"/>
          <w:u w:val="single"/>
          <w:lang w:val="en-US" w:eastAsia="zh-CN"/>
        </w:rPr>
        <w:t xml:space="preserve">  </w:t>
      </w:r>
      <w:r>
        <w:rPr>
          <w:rFonts w:hint="eastAsia" w:ascii="宋体" w:hAnsi="宋体" w:cs="宋体"/>
          <w:color w:val="auto"/>
          <w:sz w:val="21"/>
          <w:szCs w:val="21"/>
          <w:u w:val="single"/>
          <w:lang w:val="en-US" w:eastAsia="zh-CN"/>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lang w:val="en-US" w:eastAsia="zh-CN"/>
        </w:rPr>
        <w:t>品牌：</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none"/>
          <w:lang w:val="en-US" w:eastAsia="zh-CN"/>
        </w:rPr>
        <w:t xml:space="preserve"> 规格型号：</w:t>
      </w:r>
      <w:r>
        <w:rPr>
          <w:rFonts w:hint="eastAsia" w:ascii="宋体" w:hAnsi="宋体" w:eastAsia="宋体" w:cs="宋体"/>
          <w:color w:val="auto"/>
          <w:sz w:val="21"/>
          <w:szCs w:val="21"/>
          <w:u w:val="single"/>
          <w:lang w:val="en-US" w:eastAsia="zh-CN"/>
        </w:rPr>
        <w:t xml:space="preserve">        </w:t>
      </w:r>
      <w:r>
        <w:rPr>
          <w:rFonts w:hint="eastAsia" w:ascii="宋体" w:hAnsi="宋体" w:eastAsia="宋体"/>
          <w:iCs w:val="0"/>
          <w:color w:val="auto"/>
          <w:sz w:val="21"/>
          <w:szCs w:val="21"/>
        </w:rPr>
        <w:t xml:space="preserve">      </w:t>
      </w:r>
    </w:p>
    <w:p w14:paraId="3946E001">
      <w:pPr>
        <w:adjustRightInd w:val="0"/>
        <w:snapToGrid w:val="0"/>
        <w:spacing w:before="0" w:beforeLines="0" w:line="400" w:lineRule="exact"/>
        <w:ind w:firstLine="840" w:firstLineChars="400"/>
        <w:rPr>
          <w:rFonts w:hint="eastAsia" w:ascii="宋体" w:hAnsi="宋体"/>
          <w:color w:val="auto"/>
          <w:sz w:val="21"/>
          <w:szCs w:val="21"/>
          <w:u w:val="none"/>
          <w:lang w:val="en-US" w:eastAsia="zh-CN"/>
        </w:rPr>
      </w:pPr>
      <w:r>
        <w:rPr>
          <w:rFonts w:hint="eastAsia" w:ascii="宋体" w:hAnsi="宋体"/>
          <w:iCs w:val="0"/>
          <w:color w:val="auto"/>
          <w:sz w:val="21"/>
          <w:szCs w:val="21"/>
          <w:lang w:val="en-US" w:eastAsia="zh-CN"/>
        </w:rPr>
        <w:t xml:space="preserve"> </w:t>
      </w:r>
      <w:r>
        <w:rPr>
          <w:rFonts w:hint="eastAsia" w:ascii="宋体" w:hAnsi="宋体"/>
          <w:iCs w:val="0"/>
          <w:color w:val="auto"/>
          <w:sz w:val="21"/>
          <w:szCs w:val="21"/>
        </w:rPr>
        <w:sym w:font="Wingdings" w:char="00A8"/>
      </w:r>
      <w:r>
        <w:rPr>
          <w:rFonts w:hint="eastAsia" w:ascii="宋体" w:hAnsi="宋体" w:eastAsia="宋体"/>
          <w:iCs w:val="0"/>
          <w:color w:val="auto"/>
          <w:sz w:val="21"/>
          <w:szCs w:val="21"/>
          <w:lang w:eastAsia="zh-CN"/>
        </w:rPr>
        <w:t>否</w:t>
      </w:r>
    </w:p>
    <w:p w14:paraId="280FDC64">
      <w:pPr>
        <w:numPr>
          <w:ilvl w:val="-1"/>
          <w:numId w:val="0"/>
        </w:numPr>
        <w:tabs>
          <w:tab w:val="left" w:pos="740"/>
        </w:tabs>
        <w:adjustRightInd w:val="0"/>
        <w:snapToGrid w:val="0"/>
        <w:spacing w:before="0" w:beforeLines="0" w:line="400" w:lineRule="exact"/>
        <w:ind w:left="0" w:firstLine="0" w:firstLineChars="0"/>
        <w:rPr>
          <w:rFonts w:hint="eastAsia" w:ascii="宋体" w:hAnsi="宋体" w:eastAsia="宋体"/>
          <w:b w:val="0"/>
          <w:bCs w:val="0"/>
          <w:color w:val="auto"/>
          <w:sz w:val="21"/>
          <w:szCs w:val="21"/>
          <w:u w:val="none"/>
          <w:lang w:val="en-US" w:eastAsia="zh-CN"/>
        </w:rPr>
      </w:pPr>
      <w:r>
        <w:rPr>
          <w:rFonts w:hint="eastAsia" w:ascii="宋体" w:hAnsi="宋体"/>
          <w:b w:val="0"/>
          <w:bCs w:val="0"/>
          <w:color w:val="auto"/>
          <w:sz w:val="21"/>
          <w:szCs w:val="21"/>
          <w:u w:val="none"/>
          <w:lang w:val="en-US" w:eastAsia="zh-CN"/>
        </w:rPr>
        <w:t xml:space="preserve">    （1</w:t>
      </w:r>
      <w:r>
        <w:rPr>
          <w:rFonts w:hint="default" w:ascii="宋体" w:hAnsi="宋体"/>
          <w:b w:val="0"/>
          <w:bCs w:val="0"/>
          <w:color w:val="auto"/>
          <w:sz w:val="21"/>
          <w:szCs w:val="21"/>
          <w:u w:val="none"/>
          <w:lang w:val="en" w:eastAsia="zh-CN"/>
        </w:rPr>
        <w:t>0</w:t>
      </w:r>
      <w:r>
        <w:rPr>
          <w:rFonts w:hint="eastAsia" w:ascii="宋体" w:hAnsi="宋体"/>
          <w:b w:val="0"/>
          <w:bCs w:val="0"/>
          <w:color w:val="auto"/>
          <w:sz w:val="21"/>
          <w:szCs w:val="21"/>
          <w:u w:val="none"/>
          <w:lang w:val="en-US" w:eastAsia="zh-CN"/>
        </w:rPr>
        <w:t>）</w:t>
      </w:r>
      <w:r>
        <w:rPr>
          <w:rFonts w:hint="eastAsia" w:ascii="宋体" w:hAnsi="宋体" w:eastAsia="宋体"/>
          <w:b w:val="0"/>
          <w:bCs w:val="0"/>
          <w:color w:val="auto"/>
          <w:sz w:val="21"/>
          <w:szCs w:val="21"/>
          <w:u w:val="none"/>
          <w:lang w:val="en-US" w:eastAsia="zh-CN"/>
        </w:rPr>
        <w:t>是否涉及节能产品：</w:t>
      </w:r>
    </w:p>
    <w:p w14:paraId="5F2EE8DF">
      <w:pPr>
        <w:numPr>
          <w:ilvl w:val="-1"/>
          <w:numId w:val="0"/>
        </w:numPr>
        <w:tabs>
          <w:tab w:val="left" w:pos="740"/>
        </w:tabs>
        <w:adjustRightInd w:val="0"/>
        <w:snapToGrid w:val="0"/>
        <w:spacing w:before="0" w:beforeLines="0" w:line="400" w:lineRule="exact"/>
        <w:ind w:firstLine="0" w:firstLineChars="0"/>
        <w:rPr>
          <w:rFonts w:hint="eastAsia" w:ascii="宋体" w:hAnsi="宋体"/>
          <w:iCs/>
          <w:color w:val="auto"/>
          <w:sz w:val="21"/>
          <w:szCs w:val="21"/>
          <w:lang w:val="en-US" w:eastAsia="zh-CN"/>
        </w:rPr>
      </w:pPr>
      <w:r>
        <w:rPr>
          <w:rFonts w:hint="eastAsia" w:ascii="宋体" w:hAnsi="宋体"/>
          <w:b w:val="0"/>
          <w:bCs w:val="0"/>
          <w:color w:val="auto"/>
          <w:sz w:val="21"/>
          <w:szCs w:val="21"/>
          <w:u w:val="none"/>
          <w:lang w:val="en-US" w:eastAsia="zh-CN"/>
        </w:rPr>
        <w:t xml:space="preserve">         </w:t>
      </w:r>
      <w:r>
        <w:rPr>
          <w:rFonts w:hint="eastAsia" w:ascii="宋体" w:hAnsi="宋体" w:eastAsia="宋体"/>
          <w:iCs w:val="0"/>
          <w:color w:val="auto"/>
          <w:sz w:val="21"/>
          <w:szCs w:val="21"/>
        </w:rPr>
        <w:sym w:font="Wingdings" w:char="00A8"/>
      </w:r>
      <w:r>
        <w:rPr>
          <w:rFonts w:hint="eastAsia" w:ascii="宋体" w:hAnsi="宋体" w:eastAsia="宋体"/>
          <w:iCs w:val="0"/>
          <w:color w:val="auto"/>
          <w:sz w:val="21"/>
          <w:szCs w:val="21"/>
        </w:rPr>
        <w:t>是</w:t>
      </w:r>
      <w:r>
        <w:rPr>
          <w:rFonts w:hint="eastAsia" w:ascii="宋体" w:hAnsi="宋体" w:eastAsia="宋体"/>
          <w:iCs w:val="0"/>
          <w:color w:val="auto"/>
          <w:sz w:val="21"/>
          <w:szCs w:val="21"/>
          <w:lang w:eastAsia="zh-CN"/>
        </w:rPr>
        <w:t>，</w:t>
      </w:r>
      <w:r>
        <w:rPr>
          <w:rFonts w:hint="eastAsia" w:ascii="宋体" w:hAnsi="宋体"/>
          <w:iCs w:val="0"/>
          <w:color w:val="auto"/>
          <w:sz w:val="21"/>
          <w:szCs w:val="21"/>
          <w:lang w:eastAsia="zh-CN"/>
        </w:rPr>
        <w:t>《节能产品政府采购品目清单》的底级品目名称：</w:t>
      </w:r>
      <w:r>
        <w:rPr>
          <w:rFonts w:hint="eastAsia" w:ascii="宋体" w:hAnsi="宋体" w:eastAsia="宋体"/>
          <w:color w:val="auto"/>
          <w:sz w:val="21"/>
          <w:szCs w:val="21"/>
          <w:u w:val="single"/>
          <w:lang w:val="en-US" w:eastAsia="zh-CN"/>
        </w:rPr>
        <w:t xml:space="preserve">      </w:t>
      </w:r>
      <w:r>
        <w:rPr>
          <w:rFonts w:hint="eastAsia" w:ascii="宋体" w:hAnsi="宋体"/>
          <w:color w:val="auto"/>
          <w:sz w:val="21"/>
          <w:szCs w:val="21"/>
          <w:u w:val="single"/>
          <w:lang w:val="en-US" w:eastAsia="zh-CN"/>
        </w:rPr>
        <w:t xml:space="preserve">   </w:t>
      </w:r>
      <w:r>
        <w:rPr>
          <w:rFonts w:hint="eastAsia" w:ascii="宋体" w:hAnsi="宋体"/>
          <w:iCs/>
          <w:color w:val="auto"/>
          <w:sz w:val="21"/>
          <w:szCs w:val="21"/>
          <w:lang w:val="en-US" w:eastAsia="zh-CN"/>
        </w:rPr>
        <w:t xml:space="preserve">     </w:t>
      </w:r>
    </w:p>
    <w:p w14:paraId="4C757B17">
      <w:pPr>
        <w:numPr>
          <w:ilvl w:val="-1"/>
          <w:numId w:val="0"/>
        </w:numPr>
        <w:tabs>
          <w:tab w:val="left" w:pos="740"/>
        </w:tabs>
        <w:adjustRightInd w:val="0"/>
        <w:snapToGrid w:val="0"/>
        <w:spacing w:before="0" w:beforeLines="0" w:line="400" w:lineRule="exact"/>
        <w:ind w:firstLine="0" w:firstLineChars="0"/>
        <w:rPr>
          <w:rFonts w:hint="eastAsia" w:ascii="宋体" w:hAnsi="宋体"/>
          <w:iCs/>
          <w:color w:val="auto"/>
          <w:sz w:val="21"/>
          <w:szCs w:val="21"/>
          <w:lang w:val="en-US" w:eastAsia="zh-CN"/>
        </w:rPr>
      </w:pPr>
      <w:r>
        <w:rPr>
          <w:rFonts w:hint="eastAsia" w:ascii="宋体" w:hAnsi="宋体"/>
          <w:iCs/>
          <w:color w:val="auto"/>
          <w:sz w:val="21"/>
          <w:szCs w:val="21"/>
          <w:lang w:val="en-US" w:eastAsia="zh-CN"/>
        </w:rPr>
        <w:t xml:space="preserve">                </w:t>
      </w:r>
      <w:r>
        <w:rPr>
          <w:rFonts w:hint="eastAsia" w:ascii="宋体" w:hAnsi="宋体"/>
          <w:iCs/>
          <w:color w:val="auto"/>
          <w:sz w:val="21"/>
          <w:szCs w:val="21"/>
        </w:rPr>
        <w:sym w:font="Wingdings" w:char="00A8"/>
      </w:r>
      <w:r>
        <w:rPr>
          <w:rFonts w:hint="eastAsia" w:ascii="宋体" w:hAnsi="宋体"/>
          <w:iCs/>
          <w:color w:val="auto"/>
          <w:sz w:val="21"/>
          <w:szCs w:val="21"/>
          <w:lang w:eastAsia="zh-CN"/>
        </w:rPr>
        <w:t>强制采购</w:t>
      </w:r>
      <w:r>
        <w:rPr>
          <w:rFonts w:hint="eastAsia" w:ascii="宋体" w:hAnsi="宋体"/>
          <w:iCs/>
          <w:color w:val="auto"/>
          <w:sz w:val="21"/>
          <w:szCs w:val="21"/>
          <w:lang w:val="en-US" w:eastAsia="zh-CN"/>
        </w:rPr>
        <w:t xml:space="preserve">       </w:t>
      </w:r>
      <w:r>
        <w:rPr>
          <w:rFonts w:hint="eastAsia" w:ascii="宋体" w:hAnsi="宋体"/>
          <w:iCs/>
          <w:color w:val="auto"/>
          <w:sz w:val="21"/>
          <w:szCs w:val="21"/>
        </w:rPr>
        <w:sym w:font="Wingdings" w:char="00A8"/>
      </w:r>
      <w:r>
        <w:rPr>
          <w:rFonts w:hint="eastAsia" w:ascii="宋体" w:hAnsi="宋体"/>
          <w:iCs/>
          <w:color w:val="auto"/>
          <w:sz w:val="21"/>
          <w:szCs w:val="21"/>
          <w:lang w:eastAsia="zh-CN"/>
        </w:rPr>
        <w:t>优先采购</w:t>
      </w:r>
      <w:r>
        <w:rPr>
          <w:rFonts w:hint="eastAsia" w:ascii="宋体" w:hAnsi="宋体"/>
          <w:iCs/>
          <w:color w:val="auto"/>
          <w:sz w:val="21"/>
          <w:szCs w:val="21"/>
          <w:lang w:val="en-US" w:eastAsia="zh-CN"/>
        </w:rPr>
        <w:t xml:space="preserve">    </w:t>
      </w:r>
    </w:p>
    <w:p w14:paraId="33349719">
      <w:pPr>
        <w:numPr>
          <w:ilvl w:val="-1"/>
          <w:numId w:val="0"/>
        </w:numPr>
        <w:tabs>
          <w:tab w:val="left" w:pos="740"/>
        </w:tabs>
        <w:adjustRightInd w:val="0"/>
        <w:snapToGrid w:val="0"/>
        <w:spacing w:before="0" w:beforeLines="0" w:line="400" w:lineRule="exact"/>
        <w:ind w:firstLine="0" w:firstLineChars="0"/>
        <w:rPr>
          <w:rFonts w:hint="eastAsia" w:ascii="宋体" w:hAnsi="宋体" w:eastAsia="宋体"/>
          <w:iCs w:val="0"/>
          <w:color w:val="auto"/>
          <w:sz w:val="21"/>
          <w:szCs w:val="21"/>
        </w:rPr>
      </w:pPr>
      <w:r>
        <w:rPr>
          <w:rFonts w:hint="eastAsia" w:ascii="宋体" w:hAnsi="宋体"/>
          <w:iCs/>
          <w:color w:val="auto"/>
          <w:sz w:val="21"/>
          <w:szCs w:val="21"/>
          <w:lang w:val="en-US" w:eastAsia="zh-CN"/>
        </w:rPr>
        <w:t xml:space="preserve">         </w:t>
      </w:r>
      <w:r>
        <w:rPr>
          <w:rFonts w:hint="eastAsia" w:ascii="宋体" w:hAnsi="宋体" w:eastAsia="宋体"/>
          <w:iCs w:val="0"/>
          <w:color w:val="auto"/>
          <w:sz w:val="21"/>
          <w:szCs w:val="21"/>
        </w:rPr>
        <w:sym w:font="Wingdings" w:char="00A8"/>
      </w:r>
      <w:r>
        <w:rPr>
          <w:rFonts w:hint="eastAsia" w:ascii="宋体" w:hAnsi="宋体" w:eastAsia="宋体"/>
          <w:iCs w:val="0"/>
          <w:color w:val="auto"/>
          <w:sz w:val="21"/>
          <w:szCs w:val="21"/>
        </w:rPr>
        <w:t>否</w:t>
      </w:r>
    </w:p>
    <w:p w14:paraId="44EBD2DB">
      <w:pPr>
        <w:numPr>
          <w:ilvl w:val="-1"/>
          <w:numId w:val="0"/>
        </w:numPr>
        <w:tabs>
          <w:tab w:val="left" w:pos="740"/>
        </w:tabs>
        <w:adjustRightInd w:val="0"/>
        <w:snapToGrid w:val="0"/>
        <w:spacing w:before="0" w:beforeLines="0" w:line="400" w:lineRule="exact"/>
        <w:ind w:left="0" w:firstLine="0" w:firstLineChars="0"/>
        <w:rPr>
          <w:rFonts w:hint="eastAsia" w:ascii="宋体" w:hAnsi="宋体" w:eastAsia="宋体"/>
          <w:b w:val="0"/>
          <w:bCs w:val="0"/>
          <w:color w:val="auto"/>
          <w:sz w:val="21"/>
          <w:szCs w:val="21"/>
          <w:u w:val="none"/>
          <w:lang w:val="en-US" w:eastAsia="zh-CN"/>
        </w:rPr>
      </w:pPr>
      <w:r>
        <w:rPr>
          <w:rFonts w:hint="eastAsia" w:ascii="宋体" w:hAnsi="宋体"/>
          <w:b w:val="0"/>
          <w:bCs w:val="0"/>
          <w:color w:val="auto"/>
          <w:sz w:val="21"/>
          <w:szCs w:val="21"/>
          <w:u w:val="none"/>
          <w:lang w:val="en-US" w:eastAsia="zh-CN"/>
        </w:rPr>
        <w:t xml:space="preserve">          </w:t>
      </w:r>
      <w:r>
        <w:rPr>
          <w:rFonts w:hint="eastAsia" w:ascii="宋体" w:hAnsi="宋体" w:eastAsia="宋体"/>
          <w:b w:val="0"/>
          <w:bCs w:val="0"/>
          <w:color w:val="auto"/>
          <w:sz w:val="21"/>
          <w:szCs w:val="21"/>
          <w:u w:val="none"/>
          <w:lang w:val="en-US" w:eastAsia="zh-CN"/>
        </w:rPr>
        <w:t>是否涉及</w:t>
      </w:r>
      <w:r>
        <w:rPr>
          <w:rFonts w:hint="eastAsia" w:ascii="宋体" w:hAnsi="宋体"/>
          <w:b w:val="0"/>
          <w:bCs w:val="0"/>
          <w:color w:val="auto"/>
          <w:sz w:val="21"/>
          <w:szCs w:val="21"/>
          <w:u w:val="none"/>
          <w:lang w:val="en-US" w:eastAsia="zh-CN"/>
        </w:rPr>
        <w:t>环境标志</w:t>
      </w:r>
      <w:r>
        <w:rPr>
          <w:rFonts w:hint="eastAsia" w:ascii="宋体" w:hAnsi="宋体" w:eastAsia="宋体"/>
          <w:b w:val="0"/>
          <w:bCs w:val="0"/>
          <w:color w:val="auto"/>
          <w:sz w:val="21"/>
          <w:szCs w:val="21"/>
          <w:u w:val="none"/>
          <w:lang w:val="en-US" w:eastAsia="zh-CN"/>
        </w:rPr>
        <w:t>产品：</w:t>
      </w:r>
    </w:p>
    <w:p w14:paraId="13CA09C1">
      <w:pPr>
        <w:numPr>
          <w:ilvl w:val="-1"/>
          <w:numId w:val="0"/>
        </w:numPr>
        <w:tabs>
          <w:tab w:val="left" w:pos="740"/>
        </w:tabs>
        <w:adjustRightInd w:val="0"/>
        <w:snapToGrid w:val="0"/>
        <w:spacing w:before="0" w:beforeLines="0" w:line="400" w:lineRule="exact"/>
        <w:ind w:firstLine="0" w:firstLineChars="0"/>
        <w:rPr>
          <w:rFonts w:hint="eastAsia" w:ascii="宋体" w:hAnsi="宋体"/>
          <w:iCs w:val="0"/>
          <w:color w:val="auto"/>
          <w:sz w:val="21"/>
          <w:szCs w:val="21"/>
          <w:lang w:eastAsia="zh-CN"/>
        </w:rPr>
      </w:pPr>
      <w:r>
        <w:rPr>
          <w:rFonts w:hint="eastAsia" w:ascii="宋体" w:hAnsi="宋体"/>
          <w:b w:val="0"/>
          <w:bCs w:val="0"/>
          <w:color w:val="auto"/>
          <w:sz w:val="21"/>
          <w:szCs w:val="21"/>
          <w:u w:val="none"/>
          <w:lang w:val="en-US" w:eastAsia="zh-CN"/>
        </w:rPr>
        <w:t xml:space="preserve">         </w:t>
      </w:r>
      <w:r>
        <w:rPr>
          <w:rFonts w:hint="eastAsia" w:ascii="宋体" w:hAnsi="宋体" w:eastAsia="宋体"/>
          <w:iCs w:val="0"/>
          <w:color w:val="auto"/>
          <w:sz w:val="21"/>
          <w:szCs w:val="21"/>
        </w:rPr>
        <w:sym w:font="Wingdings" w:char="00A8"/>
      </w:r>
      <w:r>
        <w:rPr>
          <w:rFonts w:hint="eastAsia" w:ascii="宋体" w:hAnsi="宋体" w:eastAsia="宋体"/>
          <w:iCs w:val="0"/>
          <w:color w:val="auto"/>
          <w:sz w:val="21"/>
          <w:szCs w:val="21"/>
        </w:rPr>
        <w:t>是</w:t>
      </w:r>
      <w:r>
        <w:rPr>
          <w:rFonts w:hint="eastAsia" w:ascii="宋体" w:hAnsi="宋体" w:eastAsia="宋体"/>
          <w:iCs w:val="0"/>
          <w:color w:val="auto"/>
          <w:sz w:val="21"/>
          <w:szCs w:val="21"/>
          <w:lang w:eastAsia="zh-CN"/>
        </w:rPr>
        <w:t>，</w:t>
      </w:r>
      <w:r>
        <w:rPr>
          <w:rFonts w:hint="eastAsia" w:ascii="宋体" w:hAnsi="宋体"/>
          <w:iCs w:val="0"/>
          <w:color w:val="auto"/>
          <w:sz w:val="21"/>
          <w:szCs w:val="21"/>
          <w:lang w:eastAsia="zh-CN"/>
        </w:rPr>
        <w:t>《环境标志产品政府采购品目清单》的底级品目名称：</w:t>
      </w:r>
      <w:r>
        <w:rPr>
          <w:rFonts w:hint="eastAsia" w:ascii="宋体" w:hAnsi="宋体" w:eastAsia="宋体"/>
          <w:color w:val="auto"/>
          <w:sz w:val="21"/>
          <w:szCs w:val="21"/>
          <w:u w:val="single"/>
          <w:lang w:val="en-US" w:eastAsia="zh-CN"/>
        </w:rPr>
        <w:t xml:space="preserve">      </w:t>
      </w:r>
      <w:r>
        <w:rPr>
          <w:rFonts w:hint="eastAsia" w:ascii="宋体" w:hAnsi="宋体"/>
          <w:color w:val="auto"/>
          <w:sz w:val="21"/>
          <w:szCs w:val="21"/>
          <w:u w:val="single"/>
          <w:lang w:val="en-US" w:eastAsia="zh-CN"/>
        </w:rPr>
        <w:t xml:space="preserve">   </w:t>
      </w:r>
      <w:r>
        <w:rPr>
          <w:rFonts w:hint="eastAsia" w:ascii="宋体" w:hAnsi="宋体"/>
          <w:iCs/>
          <w:color w:val="auto"/>
          <w:sz w:val="21"/>
          <w:szCs w:val="21"/>
          <w:lang w:val="en-US" w:eastAsia="zh-CN"/>
        </w:rPr>
        <w:t xml:space="preserve"> </w:t>
      </w:r>
    </w:p>
    <w:p w14:paraId="13434A9C">
      <w:pPr>
        <w:numPr>
          <w:ilvl w:val="-1"/>
          <w:numId w:val="0"/>
        </w:numPr>
        <w:tabs>
          <w:tab w:val="left" w:pos="740"/>
        </w:tabs>
        <w:adjustRightInd w:val="0"/>
        <w:snapToGrid w:val="0"/>
        <w:spacing w:before="0" w:beforeLines="0" w:line="400" w:lineRule="exact"/>
        <w:ind w:firstLine="0" w:firstLineChars="0"/>
        <w:rPr>
          <w:rFonts w:hint="eastAsia" w:ascii="宋体" w:hAnsi="宋体"/>
          <w:iCs/>
          <w:color w:val="auto"/>
          <w:sz w:val="21"/>
          <w:szCs w:val="21"/>
          <w:lang w:val="en-US" w:eastAsia="zh-CN"/>
        </w:rPr>
      </w:pPr>
      <w:r>
        <w:rPr>
          <w:rFonts w:hint="eastAsia" w:ascii="宋体" w:hAnsi="宋体"/>
          <w:iCs/>
          <w:color w:val="auto"/>
          <w:sz w:val="21"/>
          <w:szCs w:val="21"/>
          <w:lang w:val="en-US" w:eastAsia="zh-CN"/>
        </w:rPr>
        <w:t xml:space="preserve">                </w:t>
      </w:r>
      <w:r>
        <w:rPr>
          <w:rFonts w:hint="eastAsia" w:ascii="宋体" w:hAnsi="宋体"/>
          <w:iCs/>
          <w:color w:val="auto"/>
          <w:sz w:val="21"/>
          <w:szCs w:val="21"/>
        </w:rPr>
        <w:sym w:font="Wingdings" w:char="00A8"/>
      </w:r>
      <w:r>
        <w:rPr>
          <w:rFonts w:hint="eastAsia" w:ascii="宋体" w:hAnsi="宋体"/>
          <w:iCs/>
          <w:color w:val="auto"/>
          <w:sz w:val="21"/>
          <w:szCs w:val="21"/>
          <w:lang w:eastAsia="zh-CN"/>
        </w:rPr>
        <w:t>强制采购</w:t>
      </w:r>
      <w:r>
        <w:rPr>
          <w:rFonts w:hint="eastAsia" w:ascii="宋体" w:hAnsi="宋体"/>
          <w:iCs/>
          <w:color w:val="auto"/>
          <w:sz w:val="21"/>
          <w:szCs w:val="21"/>
          <w:lang w:val="en-US" w:eastAsia="zh-CN"/>
        </w:rPr>
        <w:t xml:space="preserve">       </w:t>
      </w:r>
      <w:r>
        <w:rPr>
          <w:rFonts w:hint="eastAsia" w:ascii="宋体" w:hAnsi="宋体"/>
          <w:iCs/>
          <w:color w:val="auto"/>
          <w:sz w:val="21"/>
          <w:szCs w:val="21"/>
        </w:rPr>
        <w:sym w:font="Wingdings" w:char="00A8"/>
      </w:r>
      <w:r>
        <w:rPr>
          <w:rFonts w:hint="eastAsia" w:ascii="宋体" w:hAnsi="宋体"/>
          <w:iCs/>
          <w:color w:val="auto"/>
          <w:sz w:val="21"/>
          <w:szCs w:val="21"/>
          <w:lang w:eastAsia="zh-CN"/>
        </w:rPr>
        <w:t>优先采购</w:t>
      </w:r>
      <w:r>
        <w:rPr>
          <w:rFonts w:hint="eastAsia" w:ascii="宋体" w:hAnsi="宋体"/>
          <w:iCs/>
          <w:color w:val="auto"/>
          <w:sz w:val="21"/>
          <w:szCs w:val="21"/>
          <w:lang w:val="en-US" w:eastAsia="zh-CN"/>
        </w:rPr>
        <w:t xml:space="preserve">    </w:t>
      </w:r>
    </w:p>
    <w:p w14:paraId="1AEBA977">
      <w:pPr>
        <w:numPr>
          <w:ilvl w:val="-1"/>
          <w:numId w:val="0"/>
        </w:numPr>
        <w:tabs>
          <w:tab w:val="left" w:pos="740"/>
        </w:tabs>
        <w:adjustRightInd w:val="0"/>
        <w:snapToGrid w:val="0"/>
        <w:spacing w:before="0" w:beforeLines="0" w:line="400" w:lineRule="exact"/>
        <w:ind w:firstLine="0" w:firstLineChars="0"/>
        <w:rPr>
          <w:rFonts w:hint="eastAsia" w:ascii="宋体" w:hAnsi="宋体"/>
          <w:b w:val="0"/>
          <w:bCs w:val="0"/>
          <w:color w:val="auto"/>
          <w:sz w:val="21"/>
          <w:szCs w:val="21"/>
          <w:u w:val="none"/>
          <w:lang w:val="en-US" w:eastAsia="zh-CN"/>
        </w:rPr>
      </w:pPr>
      <w:r>
        <w:rPr>
          <w:rFonts w:hint="eastAsia" w:ascii="宋体" w:hAnsi="宋体"/>
          <w:iCs/>
          <w:color w:val="auto"/>
          <w:sz w:val="21"/>
          <w:szCs w:val="21"/>
          <w:lang w:val="en-US" w:eastAsia="zh-CN"/>
        </w:rPr>
        <w:t xml:space="preserve">         </w:t>
      </w:r>
      <w:r>
        <w:rPr>
          <w:rFonts w:hint="eastAsia" w:ascii="宋体" w:hAnsi="宋体" w:eastAsia="宋体"/>
          <w:iCs w:val="0"/>
          <w:color w:val="auto"/>
          <w:sz w:val="21"/>
          <w:szCs w:val="21"/>
        </w:rPr>
        <w:sym w:font="Wingdings" w:char="00A8"/>
      </w:r>
      <w:r>
        <w:rPr>
          <w:rFonts w:hint="eastAsia" w:ascii="宋体" w:hAnsi="宋体" w:eastAsia="宋体"/>
          <w:iCs w:val="0"/>
          <w:color w:val="auto"/>
          <w:sz w:val="21"/>
          <w:szCs w:val="21"/>
        </w:rPr>
        <w:t>否</w:t>
      </w:r>
    </w:p>
    <w:p w14:paraId="06A1AAE6">
      <w:pPr>
        <w:pStyle w:val="42"/>
        <w:numPr>
          <w:ilvl w:val="-1"/>
          <w:numId w:val="0"/>
        </w:numPr>
        <w:adjustRightInd w:val="0"/>
        <w:snapToGrid w:val="0"/>
        <w:spacing w:before="0" w:beforeLines="0" w:line="400" w:lineRule="exact"/>
        <w:ind w:firstLine="0" w:firstLineChars="0"/>
        <w:rPr>
          <w:rFonts w:hint="eastAsia" w:ascii="宋体" w:hAnsi="宋体" w:eastAsia="宋体" w:cs="Times New Roman"/>
          <w:iCs w:val="0"/>
          <w:color w:val="auto"/>
          <w:kern w:val="2"/>
          <w:sz w:val="21"/>
          <w:szCs w:val="21"/>
          <w:u w:val="none"/>
          <w:lang w:val="en-US" w:eastAsia="zh-CN"/>
        </w:rPr>
      </w:pPr>
      <w:r>
        <w:rPr>
          <w:rFonts w:hint="eastAsia" w:ascii="宋体" w:hAnsi="宋体"/>
          <w:b w:val="0"/>
          <w:bCs w:val="0"/>
          <w:color w:val="auto"/>
          <w:sz w:val="21"/>
          <w:szCs w:val="21"/>
          <w:u w:val="none"/>
          <w:lang w:val="en-US" w:eastAsia="zh-CN"/>
        </w:rPr>
        <w:t xml:space="preserve">          </w:t>
      </w:r>
      <w:r>
        <w:rPr>
          <w:rFonts w:hint="eastAsia" w:ascii="宋体" w:hAnsi="宋体" w:eastAsia="宋体" w:cs="Times New Roman"/>
          <w:b w:val="0"/>
          <w:bCs w:val="0"/>
          <w:color w:val="auto"/>
          <w:kern w:val="2"/>
          <w:sz w:val="21"/>
          <w:szCs w:val="21"/>
          <w:u w:val="none"/>
          <w:lang w:val="en-US" w:eastAsia="zh-CN"/>
        </w:rPr>
        <w:t>是否涉及绿色产品：</w:t>
      </w:r>
      <w:r>
        <w:rPr>
          <w:rFonts w:hint="eastAsia" w:ascii="宋体" w:hAnsi="宋体" w:eastAsia="宋体" w:cs="Times New Roman"/>
          <w:iCs w:val="0"/>
          <w:color w:val="auto"/>
          <w:kern w:val="2"/>
          <w:sz w:val="21"/>
          <w:szCs w:val="21"/>
          <w:u w:val="none"/>
          <w:lang w:val="en-US" w:eastAsia="zh-CN"/>
        </w:rPr>
        <w:t xml:space="preserve"> </w:t>
      </w:r>
    </w:p>
    <w:p w14:paraId="6F95B98F">
      <w:pPr>
        <w:pStyle w:val="42"/>
        <w:spacing w:beforeLines="0"/>
        <w:ind w:firstLine="420" w:firstLineChars="0"/>
        <w:rPr>
          <w:rFonts w:hint="eastAsia" w:ascii="宋体" w:hAnsi="宋体" w:eastAsia="宋体"/>
          <w:color w:val="auto"/>
          <w:sz w:val="21"/>
          <w:szCs w:val="21"/>
          <w:u w:val="single"/>
          <w:lang w:val="en-US" w:eastAsia="zh-CN"/>
        </w:rPr>
      </w:pPr>
      <w:r>
        <w:rPr>
          <w:rFonts w:hint="eastAsia" w:ascii="宋体" w:hAnsi="宋体" w:eastAsia="宋体" w:cs="Times New Roman"/>
          <w:iCs w:val="0"/>
          <w:color w:val="auto"/>
          <w:kern w:val="2"/>
          <w:sz w:val="21"/>
          <w:szCs w:val="21"/>
          <w:u w:val="none"/>
          <w:lang w:val="en-US" w:eastAsia="zh-CN"/>
        </w:rPr>
        <w:t xml:space="preserve">     </w:t>
      </w:r>
      <w:r>
        <w:rPr>
          <w:rFonts w:hint="eastAsia" w:ascii="宋体" w:hAnsi="宋体" w:eastAsia="宋体" w:cs="Times New Roman"/>
          <w:iCs w:val="0"/>
          <w:color w:val="auto"/>
          <w:kern w:val="2"/>
          <w:sz w:val="21"/>
          <w:szCs w:val="21"/>
          <w:u w:val="none"/>
        </w:rPr>
        <w:sym w:font="Wingdings" w:char="00A8"/>
      </w:r>
      <w:r>
        <w:rPr>
          <w:rFonts w:hint="eastAsia" w:ascii="宋体" w:hAnsi="宋体" w:eastAsia="宋体" w:cs="Times New Roman"/>
          <w:iCs w:val="0"/>
          <w:color w:val="auto"/>
          <w:kern w:val="2"/>
          <w:sz w:val="21"/>
          <w:szCs w:val="21"/>
          <w:u w:val="none"/>
        </w:rPr>
        <w:t>是</w:t>
      </w:r>
      <w:r>
        <w:rPr>
          <w:rFonts w:hint="eastAsia" w:ascii="宋体" w:hAnsi="宋体" w:eastAsia="宋体" w:cs="Times New Roman"/>
          <w:iCs w:val="0"/>
          <w:color w:val="auto"/>
          <w:kern w:val="2"/>
          <w:sz w:val="21"/>
          <w:szCs w:val="21"/>
          <w:u w:val="none"/>
          <w:lang w:eastAsia="zh-CN"/>
        </w:rPr>
        <w:t>，绿色产品政府采购相关政策确定的底级品目名称：</w:t>
      </w:r>
      <w:r>
        <w:rPr>
          <w:rFonts w:hint="eastAsia" w:ascii="宋体" w:hAnsi="宋体" w:eastAsia="宋体"/>
          <w:color w:val="auto"/>
          <w:sz w:val="21"/>
          <w:szCs w:val="21"/>
          <w:u w:val="single"/>
          <w:lang w:val="en-US" w:eastAsia="zh-CN"/>
        </w:rPr>
        <w:t xml:space="preserve">         </w:t>
      </w:r>
    </w:p>
    <w:p w14:paraId="77B09659">
      <w:pPr>
        <w:numPr>
          <w:ilvl w:val="-1"/>
          <w:numId w:val="0"/>
        </w:numPr>
        <w:tabs>
          <w:tab w:val="left" w:pos="740"/>
        </w:tabs>
        <w:adjustRightInd w:val="0"/>
        <w:snapToGrid w:val="0"/>
        <w:spacing w:before="0" w:beforeLines="0" w:line="400" w:lineRule="exact"/>
        <w:ind w:firstLine="0" w:firstLineChars="0"/>
        <w:rPr>
          <w:rFonts w:hint="eastAsia" w:ascii="宋体" w:hAnsi="宋体"/>
          <w:iCs/>
          <w:color w:val="auto"/>
          <w:sz w:val="21"/>
          <w:szCs w:val="21"/>
          <w:lang w:val="en-US" w:eastAsia="zh-CN"/>
        </w:rPr>
      </w:pPr>
      <w:r>
        <w:rPr>
          <w:rFonts w:hint="eastAsia" w:ascii="宋体" w:hAnsi="宋体"/>
          <w:iCs/>
          <w:color w:val="auto"/>
          <w:sz w:val="21"/>
          <w:szCs w:val="21"/>
          <w:lang w:val="en-US" w:eastAsia="zh-CN"/>
        </w:rPr>
        <w:t xml:space="preserve">                </w:t>
      </w:r>
      <w:r>
        <w:rPr>
          <w:rFonts w:hint="eastAsia" w:ascii="宋体" w:hAnsi="宋体"/>
          <w:iCs/>
          <w:color w:val="auto"/>
          <w:sz w:val="21"/>
          <w:szCs w:val="21"/>
        </w:rPr>
        <w:sym w:font="Wingdings" w:char="00A8"/>
      </w:r>
      <w:r>
        <w:rPr>
          <w:rFonts w:hint="eastAsia" w:ascii="宋体" w:hAnsi="宋体"/>
          <w:iCs/>
          <w:color w:val="auto"/>
          <w:sz w:val="21"/>
          <w:szCs w:val="21"/>
          <w:lang w:eastAsia="zh-CN"/>
        </w:rPr>
        <w:t>强制采购</w:t>
      </w:r>
      <w:r>
        <w:rPr>
          <w:rFonts w:hint="eastAsia" w:ascii="宋体" w:hAnsi="宋体"/>
          <w:iCs/>
          <w:color w:val="auto"/>
          <w:sz w:val="21"/>
          <w:szCs w:val="21"/>
          <w:lang w:val="en-US" w:eastAsia="zh-CN"/>
        </w:rPr>
        <w:t xml:space="preserve">       </w:t>
      </w:r>
      <w:r>
        <w:rPr>
          <w:rFonts w:hint="eastAsia" w:ascii="宋体" w:hAnsi="宋体"/>
          <w:iCs/>
          <w:color w:val="auto"/>
          <w:sz w:val="21"/>
          <w:szCs w:val="21"/>
        </w:rPr>
        <w:sym w:font="Wingdings" w:char="00A8"/>
      </w:r>
      <w:r>
        <w:rPr>
          <w:rFonts w:hint="eastAsia" w:ascii="宋体" w:hAnsi="宋体"/>
          <w:iCs/>
          <w:color w:val="auto"/>
          <w:sz w:val="21"/>
          <w:szCs w:val="21"/>
          <w:lang w:eastAsia="zh-CN"/>
        </w:rPr>
        <w:t>优先采购</w:t>
      </w:r>
      <w:r>
        <w:rPr>
          <w:rFonts w:hint="eastAsia" w:ascii="宋体" w:hAnsi="宋体"/>
          <w:iCs/>
          <w:color w:val="auto"/>
          <w:sz w:val="21"/>
          <w:szCs w:val="21"/>
          <w:lang w:val="en-US" w:eastAsia="zh-CN"/>
        </w:rPr>
        <w:t xml:space="preserve">    </w:t>
      </w:r>
    </w:p>
    <w:p w14:paraId="38590260">
      <w:pPr>
        <w:pStyle w:val="42"/>
        <w:spacing w:beforeLines="0"/>
        <w:ind w:firstLine="420" w:firstLineChars="0"/>
        <w:rPr>
          <w:rFonts w:hint="eastAsia" w:ascii="宋体" w:hAnsi="宋体"/>
          <w:b w:val="0"/>
          <w:bCs w:val="0"/>
          <w:color w:val="auto"/>
          <w:sz w:val="21"/>
          <w:szCs w:val="21"/>
          <w:u w:val="none"/>
          <w:lang w:val="en-US" w:eastAsia="zh-CN"/>
        </w:rPr>
      </w:pPr>
      <w:r>
        <w:rPr>
          <w:rFonts w:hint="eastAsia" w:ascii="宋体" w:hAnsi="宋体" w:eastAsia="宋体" w:cs="Times New Roman"/>
          <w:iCs w:val="0"/>
          <w:color w:val="auto"/>
          <w:kern w:val="2"/>
          <w:sz w:val="21"/>
          <w:szCs w:val="21"/>
          <w:u w:val="none"/>
          <w:lang w:val="en-US" w:eastAsia="zh-CN"/>
        </w:rPr>
        <w:t xml:space="preserve">     </w:t>
      </w:r>
      <w:r>
        <w:rPr>
          <w:rFonts w:hint="eastAsia" w:ascii="宋体" w:hAnsi="宋体" w:eastAsia="宋体" w:cs="Times New Roman"/>
          <w:iCs w:val="0"/>
          <w:color w:val="auto"/>
          <w:kern w:val="2"/>
          <w:sz w:val="21"/>
          <w:szCs w:val="21"/>
          <w:u w:val="none"/>
        </w:rPr>
        <w:sym w:font="Wingdings" w:char="00A8"/>
      </w:r>
      <w:r>
        <w:rPr>
          <w:rFonts w:hint="eastAsia" w:ascii="宋体" w:hAnsi="宋体" w:eastAsia="宋体" w:cs="Times New Roman"/>
          <w:iCs w:val="0"/>
          <w:color w:val="auto"/>
          <w:kern w:val="2"/>
          <w:sz w:val="21"/>
          <w:szCs w:val="21"/>
          <w:u w:val="none"/>
        </w:rPr>
        <w:t>否</w:t>
      </w:r>
    </w:p>
    <w:p w14:paraId="0DAB1EC3">
      <w:pPr>
        <w:numPr>
          <w:ilvl w:val="-1"/>
          <w:numId w:val="0"/>
        </w:numPr>
        <w:adjustRightInd w:val="0"/>
        <w:snapToGrid w:val="0"/>
        <w:spacing w:before="0" w:beforeLines="0" w:line="400" w:lineRule="exact"/>
        <w:ind w:firstLine="0" w:firstLineChars="0"/>
        <w:rPr>
          <w:rFonts w:hint="eastAsia" w:ascii="宋体" w:hAnsi="宋体" w:eastAsia="宋体"/>
          <w:color w:val="auto"/>
          <w:sz w:val="21"/>
          <w:szCs w:val="21"/>
          <w:lang w:val="en-US" w:eastAsia="zh-CN"/>
        </w:rPr>
      </w:pPr>
      <w:r>
        <w:rPr>
          <w:rFonts w:hint="eastAsia" w:ascii="宋体" w:hAnsi="宋体"/>
          <w:color w:val="auto"/>
          <w:sz w:val="21"/>
          <w:szCs w:val="21"/>
          <w:lang w:val="en-US" w:eastAsia="zh-CN"/>
        </w:rPr>
        <w:t xml:space="preserve">    （1</w:t>
      </w:r>
      <w:r>
        <w:rPr>
          <w:rFonts w:hint="default" w:ascii="宋体" w:hAnsi="宋体"/>
          <w:color w:val="auto"/>
          <w:sz w:val="21"/>
          <w:szCs w:val="21"/>
          <w:lang w:val="en" w:eastAsia="zh-CN"/>
        </w:rPr>
        <w:t>1</w:t>
      </w:r>
      <w:r>
        <w:rPr>
          <w:rFonts w:hint="eastAsia" w:ascii="宋体" w:hAnsi="宋体"/>
          <w:color w:val="auto"/>
          <w:sz w:val="21"/>
          <w:szCs w:val="21"/>
          <w:lang w:val="en-US" w:eastAsia="zh-CN"/>
        </w:rPr>
        <w:t>）</w:t>
      </w:r>
      <w:r>
        <w:rPr>
          <w:rFonts w:hint="eastAsia" w:ascii="宋体" w:hAnsi="宋体" w:eastAsia="宋体"/>
          <w:color w:val="auto"/>
          <w:sz w:val="21"/>
          <w:szCs w:val="21"/>
          <w:lang w:val="en-US" w:eastAsia="zh-CN"/>
        </w:rPr>
        <w:t>涉及商品包装和快递包装的，是否参考</w:t>
      </w:r>
      <w:r>
        <w:rPr>
          <w:rFonts w:hint="eastAsia" w:ascii="宋体" w:hAnsi="宋体"/>
          <w:color w:val="auto"/>
          <w:sz w:val="21"/>
          <w:szCs w:val="21"/>
        </w:rPr>
        <w:t>《商品包装政府采购需求标准（试行）》、《快递包装政府采购需求标准（试行）》</w:t>
      </w:r>
      <w:r>
        <w:rPr>
          <w:rFonts w:hint="eastAsia" w:ascii="宋体" w:hAnsi="宋体" w:eastAsia="宋体"/>
          <w:color w:val="auto"/>
          <w:sz w:val="21"/>
          <w:szCs w:val="21"/>
          <w:lang w:eastAsia="zh-CN"/>
        </w:rPr>
        <w:t>明确产品及相关快递服务的具体包装要求：</w:t>
      </w:r>
    </w:p>
    <w:p w14:paraId="0DDBA5BA">
      <w:pPr>
        <w:numPr>
          <w:ilvl w:val="-1"/>
          <w:numId w:val="0"/>
        </w:numPr>
        <w:adjustRightInd w:val="0"/>
        <w:snapToGrid w:val="0"/>
        <w:spacing w:before="0" w:beforeLines="0" w:line="400" w:lineRule="exact"/>
        <w:ind w:firstLine="840" w:firstLineChars="400"/>
        <w:rPr>
          <w:rFonts w:hint="eastAsia" w:ascii="宋体" w:hAnsi="宋体" w:eastAsia="宋体"/>
          <w:iCs w:val="0"/>
          <w:color w:val="auto"/>
          <w:sz w:val="21"/>
          <w:szCs w:val="21"/>
          <w:lang w:val="en-US" w:eastAsia="zh-CN"/>
        </w:rPr>
      </w:pPr>
      <w:r>
        <w:rPr>
          <w:rFonts w:hint="eastAsia" w:ascii="宋体" w:hAnsi="宋体" w:eastAsia="宋体"/>
          <w:iCs w:val="0"/>
          <w:color w:val="auto"/>
          <w:sz w:val="21"/>
          <w:szCs w:val="21"/>
        </w:rPr>
        <w:sym w:font="Wingdings" w:char="00A8"/>
      </w:r>
      <w:r>
        <w:rPr>
          <w:rFonts w:hint="eastAsia" w:ascii="宋体" w:hAnsi="宋体" w:eastAsia="宋体"/>
          <w:iCs w:val="0"/>
          <w:color w:val="auto"/>
          <w:sz w:val="21"/>
          <w:szCs w:val="21"/>
        </w:rPr>
        <w:t xml:space="preserve">是       </w:t>
      </w:r>
      <w:r>
        <w:rPr>
          <w:rFonts w:hint="eastAsia" w:ascii="宋体" w:hAnsi="宋体" w:eastAsia="宋体"/>
          <w:iCs w:val="0"/>
          <w:color w:val="auto"/>
          <w:sz w:val="21"/>
          <w:szCs w:val="21"/>
        </w:rPr>
        <w:sym w:font="Wingdings" w:char="00A8"/>
      </w:r>
      <w:r>
        <w:rPr>
          <w:rFonts w:hint="eastAsia" w:ascii="宋体" w:hAnsi="宋体" w:eastAsia="宋体"/>
          <w:iCs w:val="0"/>
          <w:color w:val="auto"/>
          <w:sz w:val="21"/>
          <w:szCs w:val="21"/>
        </w:rPr>
        <w:t>否</w:t>
      </w:r>
      <w:r>
        <w:rPr>
          <w:rFonts w:hint="eastAsia" w:ascii="宋体" w:hAnsi="宋体" w:eastAsia="宋体"/>
          <w:iCs w:val="0"/>
          <w:color w:val="auto"/>
          <w:sz w:val="21"/>
          <w:szCs w:val="21"/>
          <w:lang w:val="en-US" w:eastAsia="zh-CN"/>
        </w:rPr>
        <w:t xml:space="preserve">      </w:t>
      </w:r>
      <w:r>
        <w:rPr>
          <w:rFonts w:hint="eastAsia" w:ascii="宋体" w:hAnsi="宋体" w:eastAsia="宋体"/>
          <w:iCs w:val="0"/>
          <w:color w:val="auto"/>
          <w:sz w:val="21"/>
          <w:szCs w:val="21"/>
        </w:rPr>
        <w:sym w:font="Wingdings" w:char="00A8"/>
      </w:r>
      <w:r>
        <w:rPr>
          <w:rFonts w:hint="eastAsia" w:ascii="宋体" w:hAnsi="宋体" w:eastAsia="宋体"/>
          <w:iCs w:val="0"/>
          <w:color w:val="auto"/>
          <w:sz w:val="21"/>
          <w:szCs w:val="21"/>
          <w:lang w:eastAsia="zh-CN"/>
        </w:rPr>
        <w:t>不涉及</w:t>
      </w:r>
    </w:p>
    <w:p w14:paraId="50C07F76">
      <w:pPr>
        <w:numPr>
          <w:ilvl w:val="0"/>
          <w:numId w:val="3"/>
        </w:numPr>
        <w:adjustRightInd w:val="0"/>
        <w:snapToGrid w:val="0"/>
        <w:spacing w:before="0" w:beforeLines="0" w:line="400" w:lineRule="exact"/>
        <w:ind w:firstLine="422" w:firstLineChars="200"/>
        <w:rPr>
          <w:rFonts w:ascii="宋体" w:hAnsi="宋体"/>
          <w:b/>
          <w:color w:val="auto"/>
          <w:sz w:val="21"/>
          <w:szCs w:val="21"/>
          <w:highlight w:val="none"/>
        </w:rPr>
      </w:pPr>
      <w:r>
        <w:rPr>
          <w:rFonts w:hint="eastAsia" w:ascii="宋体" w:hAnsi="宋体"/>
          <w:b/>
          <w:color w:val="auto"/>
          <w:sz w:val="21"/>
          <w:szCs w:val="21"/>
          <w:highlight w:val="none"/>
        </w:rPr>
        <w:t>合同金额</w:t>
      </w:r>
    </w:p>
    <w:p w14:paraId="6A00895B">
      <w:pPr>
        <w:adjustRightInd w:val="0"/>
        <w:snapToGrid w:val="0"/>
        <w:spacing w:before="0" w:beforeLines="0" w:line="400" w:lineRule="exact"/>
        <w:ind w:firstLine="420" w:firstLineChars="200"/>
        <w:rPr>
          <w:rFonts w:ascii="宋体" w:hAnsi="宋体"/>
          <w:color w:val="auto"/>
          <w:sz w:val="21"/>
          <w:szCs w:val="21"/>
        </w:rPr>
      </w:pPr>
      <w:r>
        <w:rPr>
          <w:rFonts w:hint="eastAsia" w:ascii="宋体" w:hAnsi="宋体"/>
          <w:color w:val="auto"/>
          <w:sz w:val="21"/>
          <w:szCs w:val="21"/>
        </w:rPr>
        <w:t>（1）合同金额小写：</w:t>
      </w:r>
      <w:r>
        <w:rPr>
          <w:rFonts w:hint="eastAsia" w:ascii="宋体" w:hAnsi="宋体"/>
          <w:color w:val="auto"/>
          <w:sz w:val="21"/>
          <w:szCs w:val="21"/>
          <w:u w:val="single"/>
        </w:rPr>
        <w:t xml:space="preserve">                 </w:t>
      </w:r>
      <w:r>
        <w:rPr>
          <w:rFonts w:hint="eastAsia" w:ascii="宋体" w:hAnsi="宋体"/>
          <w:color w:val="auto"/>
          <w:sz w:val="21"/>
          <w:szCs w:val="21"/>
          <w:u w:val="single"/>
          <w:lang w:val="en-US" w:eastAsia="zh-CN"/>
        </w:rPr>
        <w:t xml:space="preserve">    </w:t>
      </w:r>
      <w:r>
        <w:rPr>
          <w:rFonts w:hint="eastAsia" w:ascii="宋体" w:hAnsi="宋体"/>
          <w:color w:val="auto"/>
          <w:sz w:val="21"/>
          <w:szCs w:val="21"/>
          <w:u w:val="single"/>
        </w:rPr>
        <w:t xml:space="preserve">      </w:t>
      </w:r>
    </w:p>
    <w:p w14:paraId="2418040E">
      <w:pPr>
        <w:adjustRightInd w:val="0"/>
        <w:snapToGrid w:val="0"/>
        <w:spacing w:before="0" w:beforeLines="0" w:line="400" w:lineRule="exact"/>
        <w:ind w:left="0" w:firstLine="0" w:firstLineChars="0"/>
        <w:rPr>
          <w:rFonts w:ascii="宋体" w:hAnsi="宋体"/>
          <w:color w:val="auto"/>
          <w:sz w:val="21"/>
          <w:szCs w:val="21"/>
          <w:u w:val="single"/>
        </w:rPr>
      </w:pPr>
      <w:r>
        <w:rPr>
          <w:rFonts w:hint="eastAsia" w:ascii="宋体" w:hAnsi="宋体"/>
          <w:color w:val="auto"/>
          <w:sz w:val="21"/>
          <w:szCs w:val="21"/>
          <w:lang w:val="en-US" w:eastAsia="zh-CN"/>
        </w:rPr>
        <w:t xml:space="preserve">                 </w:t>
      </w:r>
      <w:r>
        <w:rPr>
          <w:rFonts w:hint="eastAsia" w:ascii="宋体" w:hAnsi="宋体"/>
          <w:color w:val="auto"/>
          <w:sz w:val="21"/>
          <w:szCs w:val="21"/>
        </w:rPr>
        <w:t>大写：</w:t>
      </w:r>
      <w:r>
        <w:rPr>
          <w:rFonts w:hint="eastAsia" w:ascii="宋体" w:hAnsi="宋体"/>
          <w:color w:val="auto"/>
          <w:sz w:val="21"/>
          <w:szCs w:val="21"/>
          <w:u w:val="single"/>
        </w:rPr>
        <w:t xml:space="preserve">           </w:t>
      </w:r>
      <w:r>
        <w:rPr>
          <w:rFonts w:hint="eastAsia" w:ascii="宋体" w:hAnsi="宋体"/>
          <w:color w:val="auto"/>
          <w:sz w:val="21"/>
          <w:szCs w:val="21"/>
          <w:u w:val="single"/>
          <w:lang w:val="en-US" w:eastAsia="zh-CN"/>
        </w:rPr>
        <w:t xml:space="preserve"> </w:t>
      </w:r>
      <w:r>
        <w:rPr>
          <w:rFonts w:hint="eastAsia" w:ascii="宋体" w:hAnsi="宋体"/>
          <w:color w:val="auto"/>
          <w:sz w:val="21"/>
          <w:szCs w:val="21"/>
          <w:u w:val="single"/>
        </w:rPr>
        <w:t xml:space="preserve">     </w:t>
      </w:r>
      <w:r>
        <w:rPr>
          <w:rFonts w:hint="eastAsia" w:ascii="宋体" w:hAnsi="宋体"/>
          <w:color w:val="auto"/>
          <w:sz w:val="21"/>
          <w:szCs w:val="21"/>
          <w:u w:val="single"/>
          <w:lang w:val="en-US" w:eastAsia="zh-CN"/>
        </w:rPr>
        <w:t xml:space="preserve">    </w:t>
      </w:r>
      <w:r>
        <w:rPr>
          <w:rFonts w:hint="eastAsia" w:ascii="宋体" w:hAnsi="宋体"/>
          <w:color w:val="auto"/>
          <w:sz w:val="21"/>
          <w:szCs w:val="21"/>
          <w:u w:val="single"/>
        </w:rPr>
        <w:t xml:space="preserve">      </w:t>
      </w:r>
    </w:p>
    <w:p w14:paraId="58E21FBB">
      <w:pPr>
        <w:adjustRightInd w:val="0"/>
        <w:snapToGrid w:val="0"/>
        <w:spacing w:before="0" w:beforeLines="0" w:line="400" w:lineRule="exact"/>
        <w:ind w:firstLine="0" w:firstLineChars="0"/>
        <w:rPr>
          <w:rFonts w:ascii="宋体" w:hAnsi="宋体"/>
          <w:color w:val="auto"/>
          <w:sz w:val="21"/>
          <w:szCs w:val="21"/>
        </w:rPr>
      </w:pPr>
      <w:r>
        <w:rPr>
          <w:rFonts w:hint="eastAsia" w:ascii="宋体" w:hAnsi="宋体"/>
          <w:color w:val="auto"/>
          <w:sz w:val="21"/>
          <w:szCs w:val="21"/>
          <w:lang w:val="en-US" w:eastAsia="zh-CN"/>
        </w:rPr>
        <w:t xml:space="preserve">         </w:t>
      </w:r>
      <w:r>
        <w:rPr>
          <w:rFonts w:hint="eastAsia" w:ascii="宋体" w:hAnsi="宋体"/>
          <w:color w:val="auto"/>
          <w:sz w:val="21"/>
          <w:szCs w:val="21"/>
        </w:rPr>
        <w:t>分包金额</w:t>
      </w:r>
      <w:r>
        <w:rPr>
          <w:rFonts w:hint="eastAsia" w:ascii="宋体" w:hAnsi="宋体"/>
          <w:color w:val="auto"/>
          <w:sz w:val="21"/>
          <w:szCs w:val="21"/>
          <w:lang w:eastAsia="zh-CN"/>
        </w:rPr>
        <w:t>（如有）</w:t>
      </w:r>
      <w:r>
        <w:rPr>
          <w:rFonts w:hint="eastAsia" w:ascii="宋体" w:hAnsi="宋体"/>
          <w:color w:val="auto"/>
          <w:sz w:val="21"/>
          <w:szCs w:val="21"/>
        </w:rPr>
        <w:t>小写：</w:t>
      </w:r>
      <w:r>
        <w:rPr>
          <w:rFonts w:hint="eastAsia" w:ascii="宋体" w:hAnsi="宋体"/>
          <w:color w:val="auto"/>
          <w:sz w:val="21"/>
          <w:szCs w:val="21"/>
          <w:u w:val="single"/>
        </w:rPr>
        <w:t xml:space="preserve">                   </w:t>
      </w:r>
    </w:p>
    <w:p w14:paraId="4A6BB69C">
      <w:pPr>
        <w:adjustRightInd w:val="0"/>
        <w:snapToGrid w:val="0"/>
        <w:spacing w:before="0" w:beforeLines="0" w:line="400" w:lineRule="exact"/>
        <w:ind w:firstLine="0" w:firstLineChars="0"/>
        <w:rPr>
          <w:rFonts w:hint="eastAsia" w:ascii="宋体" w:hAnsi="宋体"/>
          <w:color w:val="auto"/>
          <w:sz w:val="21"/>
          <w:szCs w:val="21"/>
          <w:u w:val="single"/>
        </w:rPr>
      </w:pPr>
      <w:r>
        <w:rPr>
          <w:rFonts w:hint="eastAsia" w:ascii="宋体" w:hAnsi="宋体"/>
          <w:color w:val="auto"/>
          <w:sz w:val="21"/>
          <w:szCs w:val="21"/>
          <w:lang w:val="en-US" w:eastAsia="zh-CN"/>
        </w:rPr>
        <w:t xml:space="preserve">                     </w:t>
      </w:r>
      <w:r>
        <w:rPr>
          <w:rFonts w:hint="eastAsia" w:ascii="宋体" w:hAnsi="宋体"/>
          <w:color w:val="auto"/>
          <w:sz w:val="21"/>
          <w:szCs w:val="21"/>
        </w:rPr>
        <w:t>大写：</w:t>
      </w:r>
      <w:r>
        <w:rPr>
          <w:rFonts w:hint="eastAsia" w:ascii="宋体" w:hAnsi="宋体"/>
          <w:color w:val="auto"/>
          <w:sz w:val="21"/>
          <w:szCs w:val="21"/>
          <w:u w:val="single"/>
        </w:rPr>
        <w:t xml:space="preserve">                   </w:t>
      </w:r>
      <w:r>
        <w:rPr>
          <w:rFonts w:hint="eastAsia" w:ascii="宋体" w:hAnsi="宋体"/>
          <w:color w:val="auto"/>
          <w:sz w:val="21"/>
          <w:szCs w:val="21"/>
          <w:u w:val="single"/>
          <w:lang w:val="en-US" w:eastAsia="zh-CN"/>
        </w:rPr>
        <w:t xml:space="preserve"> </w:t>
      </w:r>
      <w:r>
        <w:rPr>
          <w:rFonts w:hint="eastAsia" w:ascii="宋体" w:hAnsi="宋体"/>
          <w:color w:val="auto"/>
          <w:sz w:val="21"/>
          <w:szCs w:val="21"/>
          <w:u w:val="single"/>
        </w:rPr>
        <w:t xml:space="preserve">   </w:t>
      </w:r>
    </w:p>
    <w:p w14:paraId="556ED48D">
      <w:pPr>
        <w:adjustRightInd w:val="0"/>
        <w:snapToGrid w:val="0"/>
        <w:spacing w:before="0" w:beforeLines="0" w:line="400" w:lineRule="exact"/>
        <w:ind w:firstLine="0" w:firstLineChars="0"/>
        <w:rPr>
          <w:rFonts w:hint="eastAsia" w:ascii="宋体" w:hAnsi="宋体"/>
          <w:color w:val="auto"/>
          <w:sz w:val="21"/>
          <w:szCs w:val="21"/>
          <w:lang w:val="en-US" w:eastAsia="zh-CN"/>
        </w:rPr>
      </w:pPr>
      <w:r>
        <w:rPr>
          <w:rFonts w:hint="eastAsia" w:ascii="宋体" w:hAnsi="宋体"/>
          <w:color w:val="auto"/>
          <w:sz w:val="21"/>
          <w:szCs w:val="21"/>
          <w:lang w:val="en-US" w:eastAsia="zh-CN"/>
        </w:rPr>
        <w:t xml:space="preserve">    （注：固定单价合同应填写单价和最高限价）</w:t>
      </w:r>
    </w:p>
    <w:p w14:paraId="0538BA03">
      <w:pPr>
        <w:numPr>
          <w:ilvl w:val="-1"/>
          <w:numId w:val="0"/>
        </w:numPr>
        <w:adjustRightInd w:val="0"/>
        <w:snapToGrid w:val="0"/>
        <w:spacing w:before="0" w:beforeLines="0" w:line="400" w:lineRule="exact"/>
        <w:ind w:firstLine="0" w:firstLineChars="0"/>
        <w:rPr>
          <w:rFonts w:hint="eastAsia" w:ascii="宋体" w:hAnsi="宋体"/>
          <w:color w:val="auto"/>
          <w:sz w:val="21"/>
          <w:szCs w:val="21"/>
        </w:rPr>
      </w:pPr>
      <w:r>
        <w:rPr>
          <w:rFonts w:hint="eastAsia" w:ascii="宋体" w:hAnsi="宋体"/>
          <w:color w:val="auto"/>
          <w:sz w:val="21"/>
          <w:szCs w:val="21"/>
          <w:lang w:val="en-US" w:eastAsia="zh-CN"/>
        </w:rPr>
        <w:t xml:space="preserve">    </w:t>
      </w:r>
      <w:r>
        <w:rPr>
          <w:rFonts w:hint="eastAsia" w:ascii="宋体" w:hAnsi="宋体"/>
          <w:color w:val="auto"/>
          <w:sz w:val="21"/>
          <w:szCs w:val="21"/>
          <w:lang w:eastAsia="zh-CN"/>
        </w:rPr>
        <w:t>（</w:t>
      </w:r>
      <w:r>
        <w:rPr>
          <w:rFonts w:hint="eastAsia" w:ascii="宋体" w:hAnsi="宋体"/>
          <w:color w:val="auto"/>
          <w:sz w:val="21"/>
          <w:szCs w:val="21"/>
          <w:lang w:val="en-US" w:eastAsia="zh-CN"/>
        </w:rPr>
        <w:t>2</w:t>
      </w:r>
      <w:r>
        <w:rPr>
          <w:rFonts w:hint="eastAsia" w:ascii="宋体" w:hAnsi="宋体"/>
          <w:color w:val="auto"/>
          <w:sz w:val="21"/>
          <w:szCs w:val="21"/>
          <w:lang w:eastAsia="zh-CN"/>
        </w:rPr>
        <w:t>）</w:t>
      </w:r>
      <w:r>
        <w:rPr>
          <w:rFonts w:hint="eastAsia" w:ascii="宋体" w:hAnsi="宋体"/>
          <w:color w:val="auto"/>
          <w:sz w:val="21"/>
          <w:szCs w:val="21"/>
        </w:rPr>
        <w:t>合同定价方式</w:t>
      </w:r>
      <w:r>
        <w:rPr>
          <w:rFonts w:hint="eastAsia" w:ascii="宋体" w:hAnsi="宋体"/>
          <w:color w:val="auto"/>
          <w:sz w:val="21"/>
          <w:szCs w:val="21"/>
          <w:lang w:eastAsia="zh-CN"/>
        </w:rPr>
        <w:t>（采用组合定价方式的，可以勾选多项）</w:t>
      </w:r>
      <w:r>
        <w:rPr>
          <w:rFonts w:hint="eastAsia" w:ascii="宋体" w:hAnsi="宋体"/>
          <w:color w:val="auto"/>
          <w:sz w:val="21"/>
          <w:szCs w:val="21"/>
        </w:rPr>
        <w:t>：</w:t>
      </w:r>
    </w:p>
    <w:p w14:paraId="3D70F044">
      <w:pPr>
        <w:adjustRightInd w:val="0"/>
        <w:snapToGrid w:val="0"/>
        <w:spacing w:before="0" w:beforeLines="0" w:line="400" w:lineRule="exact"/>
        <w:ind w:firstLine="420" w:firstLineChars="200"/>
        <w:rPr>
          <w:rFonts w:hint="eastAsia" w:ascii="宋体" w:hAnsi="宋体" w:eastAsia="宋体"/>
          <w:color w:val="auto"/>
          <w:sz w:val="21"/>
          <w:szCs w:val="21"/>
          <w:lang w:eastAsia="zh-CN"/>
        </w:rPr>
      </w:pPr>
      <w:r>
        <w:rPr>
          <w:rFonts w:hint="eastAsia" w:ascii="宋体" w:hAnsi="宋体"/>
          <w:iCs/>
          <w:color w:val="auto"/>
          <w:sz w:val="21"/>
          <w:szCs w:val="21"/>
          <w:lang w:val="en-US" w:eastAsia="zh-CN"/>
        </w:rPr>
        <w:t xml:space="preserve">  </w:t>
      </w:r>
      <w:r>
        <w:rPr>
          <w:rFonts w:hint="eastAsia" w:ascii="宋体" w:hAnsi="宋体"/>
          <w:iCs/>
          <w:color w:val="auto"/>
          <w:sz w:val="21"/>
          <w:szCs w:val="21"/>
        </w:rPr>
        <w:sym w:font="Wingdings" w:char="00A8"/>
      </w:r>
      <w:r>
        <w:rPr>
          <w:rFonts w:hint="eastAsia" w:ascii="宋体" w:hAnsi="宋体"/>
          <w:iCs/>
          <w:color w:val="auto"/>
          <w:sz w:val="21"/>
          <w:szCs w:val="21"/>
        </w:rPr>
        <w:t xml:space="preserve">固定总价 </w:t>
      </w:r>
      <w:r>
        <w:rPr>
          <w:rFonts w:hint="eastAsia" w:ascii="宋体" w:hAnsi="宋体"/>
          <w:iCs/>
          <w:color w:val="auto"/>
          <w:sz w:val="21"/>
          <w:szCs w:val="21"/>
        </w:rPr>
        <w:sym w:font="Wingdings" w:char="00A8"/>
      </w:r>
      <w:r>
        <w:rPr>
          <w:rFonts w:hint="eastAsia" w:ascii="宋体" w:hAnsi="宋体"/>
          <w:iCs/>
          <w:color w:val="auto"/>
          <w:sz w:val="21"/>
          <w:szCs w:val="21"/>
        </w:rPr>
        <w:t>固定单价</w:t>
      </w:r>
      <w:r>
        <w:rPr>
          <w:rFonts w:hint="eastAsia" w:ascii="宋体" w:hAnsi="宋体"/>
          <w:iCs/>
          <w:color w:val="auto"/>
          <w:sz w:val="21"/>
          <w:szCs w:val="21"/>
          <w:lang w:val="en-US" w:eastAsia="zh-CN"/>
        </w:rPr>
        <w:t xml:space="preserve"> </w:t>
      </w:r>
      <w:r>
        <w:rPr>
          <w:rFonts w:hint="eastAsia" w:ascii="宋体" w:hAnsi="宋体"/>
          <w:iCs/>
          <w:color w:val="auto"/>
          <w:sz w:val="21"/>
          <w:szCs w:val="21"/>
        </w:rPr>
        <w:sym w:font="Wingdings" w:char="00A8"/>
      </w:r>
      <w:r>
        <w:rPr>
          <w:rFonts w:hint="eastAsia" w:ascii="宋体" w:hAnsi="宋体"/>
          <w:iCs/>
          <w:color w:val="auto"/>
          <w:sz w:val="21"/>
          <w:szCs w:val="21"/>
          <w:lang w:eastAsia="zh-CN"/>
        </w:rPr>
        <w:t>固定费率</w:t>
      </w:r>
      <w:r>
        <w:rPr>
          <w:rFonts w:hint="eastAsia" w:ascii="宋体" w:hAnsi="宋体"/>
          <w:iCs/>
          <w:color w:val="auto"/>
          <w:sz w:val="21"/>
          <w:szCs w:val="21"/>
        </w:rPr>
        <w:t xml:space="preserve"> </w:t>
      </w:r>
      <w:r>
        <w:rPr>
          <w:rFonts w:hint="eastAsia" w:ascii="宋体" w:hAnsi="宋体"/>
          <w:iCs/>
          <w:color w:val="auto"/>
          <w:sz w:val="21"/>
          <w:szCs w:val="21"/>
        </w:rPr>
        <w:sym w:font="Wingdings" w:char="00A8"/>
      </w:r>
      <w:r>
        <w:rPr>
          <w:rFonts w:hint="eastAsia" w:ascii="宋体" w:hAnsi="宋体"/>
          <w:iCs/>
          <w:color w:val="auto"/>
          <w:sz w:val="21"/>
          <w:szCs w:val="21"/>
        </w:rPr>
        <w:t xml:space="preserve">成本补偿 </w:t>
      </w:r>
      <w:r>
        <w:rPr>
          <w:rFonts w:hint="eastAsia" w:ascii="宋体" w:hAnsi="宋体"/>
          <w:iCs/>
          <w:color w:val="auto"/>
          <w:sz w:val="21"/>
          <w:szCs w:val="21"/>
        </w:rPr>
        <w:sym w:font="Wingdings" w:char="00A8"/>
      </w:r>
      <w:r>
        <w:rPr>
          <w:rFonts w:hint="eastAsia" w:ascii="宋体" w:hAnsi="宋体"/>
          <w:iCs/>
          <w:color w:val="auto"/>
          <w:sz w:val="21"/>
          <w:szCs w:val="21"/>
        </w:rPr>
        <w:t>绩效激励</w:t>
      </w:r>
      <w:r>
        <w:rPr>
          <w:rFonts w:hint="eastAsia" w:ascii="宋体" w:hAnsi="宋体"/>
          <w:iCs/>
          <w:color w:val="auto"/>
          <w:sz w:val="21"/>
          <w:szCs w:val="21"/>
          <w:lang w:val="en-US" w:eastAsia="zh-CN"/>
        </w:rPr>
        <w:t xml:space="preserve"> </w:t>
      </w:r>
      <w:r>
        <w:rPr>
          <w:rFonts w:hint="eastAsia" w:ascii="宋体" w:hAnsi="宋体"/>
          <w:iCs/>
          <w:color w:val="auto"/>
          <w:sz w:val="21"/>
          <w:szCs w:val="21"/>
        </w:rPr>
        <w:sym w:font="Wingdings" w:char="00A8"/>
      </w:r>
      <w:r>
        <w:rPr>
          <w:rFonts w:hint="eastAsia" w:ascii="宋体" w:hAnsi="宋体"/>
          <w:iCs/>
          <w:color w:val="auto"/>
          <w:sz w:val="21"/>
          <w:szCs w:val="21"/>
          <w:lang w:eastAsia="zh-CN"/>
        </w:rPr>
        <w:t>其他</w:t>
      </w:r>
      <w:r>
        <w:rPr>
          <w:rFonts w:hint="eastAsia" w:ascii="宋体" w:hAnsi="宋体"/>
          <w:color w:val="auto"/>
          <w:sz w:val="21"/>
          <w:szCs w:val="21"/>
          <w:u w:val="single"/>
        </w:rPr>
        <w:t xml:space="preserve">       </w:t>
      </w:r>
    </w:p>
    <w:p w14:paraId="0119736E">
      <w:pPr>
        <w:pStyle w:val="56"/>
        <w:spacing w:beforeLines="0" w:line="400" w:lineRule="exact"/>
        <w:rPr>
          <w:color w:val="auto"/>
          <w:sz w:val="21"/>
          <w:szCs w:val="21"/>
        </w:rPr>
      </w:pPr>
      <w:r>
        <w:rPr>
          <w:rFonts w:hint="eastAsia" w:ascii="宋体" w:hAnsi="宋体"/>
          <w:color w:val="auto"/>
          <w:sz w:val="21"/>
          <w:szCs w:val="21"/>
        </w:rPr>
        <w:t>（</w:t>
      </w:r>
      <w:r>
        <w:rPr>
          <w:rFonts w:hint="eastAsia" w:ascii="宋体" w:hAnsi="宋体"/>
          <w:color w:val="auto"/>
          <w:sz w:val="21"/>
          <w:szCs w:val="21"/>
          <w:lang w:val="en-US" w:eastAsia="zh-CN"/>
        </w:rPr>
        <w:t>3</w:t>
      </w:r>
      <w:r>
        <w:rPr>
          <w:rFonts w:hint="eastAsia" w:ascii="宋体" w:hAnsi="宋体"/>
          <w:color w:val="auto"/>
          <w:sz w:val="21"/>
          <w:szCs w:val="21"/>
        </w:rPr>
        <w:t>）付款方式（按项目实际勾选填写）：</w:t>
      </w:r>
    </w:p>
    <w:p w14:paraId="461DA83B">
      <w:pPr>
        <w:adjustRightInd w:val="0"/>
        <w:snapToGrid w:val="0"/>
        <w:spacing w:before="0" w:beforeLines="0" w:line="400" w:lineRule="exact"/>
        <w:ind w:firstLine="630" w:firstLineChars="300"/>
        <w:rPr>
          <w:rFonts w:ascii="宋体" w:hAnsi="宋体"/>
          <w:color w:val="auto"/>
          <w:sz w:val="21"/>
          <w:szCs w:val="21"/>
          <w:u w:val="single"/>
        </w:rPr>
      </w:pPr>
      <w:r>
        <w:rPr>
          <w:rFonts w:hint="eastAsia" w:ascii="宋体" w:hAnsi="宋体"/>
          <w:color w:val="auto"/>
          <w:sz w:val="21"/>
          <w:szCs w:val="21"/>
        </w:rPr>
        <w:sym w:font="Wingdings" w:char="00A8"/>
      </w:r>
      <w:r>
        <w:rPr>
          <w:rFonts w:hint="eastAsia" w:ascii="宋体" w:hAnsi="宋体"/>
          <w:color w:val="auto"/>
          <w:sz w:val="21"/>
          <w:szCs w:val="21"/>
        </w:rPr>
        <w:t>全额付款：</w:t>
      </w:r>
      <w:r>
        <w:rPr>
          <w:rFonts w:hint="eastAsia" w:ascii="宋体" w:hAnsi="宋体"/>
          <w:color w:val="auto"/>
          <w:sz w:val="21"/>
          <w:szCs w:val="21"/>
          <w:u w:val="single"/>
        </w:rPr>
        <w:t xml:space="preserve">     （应</w:t>
      </w:r>
      <w:r>
        <w:rPr>
          <w:rFonts w:hint="eastAsia" w:ascii="宋体" w:hAnsi="宋体"/>
          <w:color w:val="auto"/>
          <w:sz w:val="21"/>
          <w:szCs w:val="21"/>
          <w:u w:val="single"/>
          <w:lang w:eastAsia="zh-CN"/>
        </w:rPr>
        <w:t>明确</w:t>
      </w:r>
      <w:r>
        <w:rPr>
          <w:rFonts w:hint="eastAsia" w:ascii="宋体" w:hAnsi="宋体"/>
          <w:color w:val="auto"/>
          <w:sz w:val="21"/>
          <w:szCs w:val="21"/>
          <w:u w:val="single"/>
        </w:rPr>
        <w:t>一次性支付合同款项</w:t>
      </w:r>
      <w:r>
        <w:rPr>
          <w:rFonts w:hint="eastAsia" w:ascii="宋体" w:hAnsi="宋体"/>
          <w:color w:val="auto"/>
          <w:sz w:val="21"/>
          <w:szCs w:val="21"/>
          <w:u w:val="single"/>
          <w:lang w:eastAsia="zh-CN"/>
        </w:rPr>
        <w:t>的条件</w:t>
      </w:r>
      <w:r>
        <w:rPr>
          <w:rFonts w:hint="eastAsia" w:ascii="宋体" w:hAnsi="宋体"/>
          <w:color w:val="auto"/>
          <w:sz w:val="21"/>
          <w:szCs w:val="21"/>
          <w:u w:val="single"/>
        </w:rPr>
        <w:t xml:space="preserve">）                    </w:t>
      </w:r>
    </w:p>
    <w:p w14:paraId="3BEA3BE6">
      <w:pPr>
        <w:snapToGrid w:val="0"/>
        <w:spacing w:beforeLines="0" w:line="400" w:lineRule="exact"/>
        <w:ind w:firstLine="630" w:firstLineChars="300"/>
        <w:rPr>
          <w:color w:val="auto"/>
          <w:sz w:val="21"/>
          <w:szCs w:val="21"/>
        </w:rPr>
      </w:pPr>
      <w:r>
        <w:rPr>
          <w:rFonts w:hint="eastAsia" w:ascii="宋体" w:hAnsi="宋体"/>
          <w:color w:val="auto"/>
          <w:sz w:val="21"/>
          <w:szCs w:val="21"/>
        </w:rPr>
        <w:sym w:font="Wingdings" w:char="00A8"/>
      </w:r>
      <w:r>
        <w:rPr>
          <w:rFonts w:hint="eastAsia" w:ascii="宋体" w:hAnsi="宋体"/>
          <w:color w:val="auto"/>
          <w:sz w:val="21"/>
          <w:szCs w:val="21"/>
        </w:rPr>
        <w:t>分期付款：</w:t>
      </w:r>
      <w:r>
        <w:rPr>
          <w:rFonts w:hint="eastAsia" w:ascii="宋体" w:hAnsi="宋体"/>
          <w:color w:val="auto"/>
          <w:sz w:val="21"/>
          <w:szCs w:val="21"/>
          <w:u w:val="single"/>
        </w:rPr>
        <w:t xml:space="preserve">  （应明确分期支付合同款项的各期比例和支付条件</w:t>
      </w:r>
      <w:r>
        <w:rPr>
          <w:rFonts w:hint="eastAsia" w:ascii="宋体" w:hAnsi="宋体"/>
          <w:color w:val="auto"/>
          <w:sz w:val="21"/>
          <w:szCs w:val="21"/>
          <w:u w:val="single"/>
          <w:lang w:eastAsia="zh-CN"/>
        </w:rPr>
        <w:t>，各期支付条件应与分期履约验收情况挂钩</w:t>
      </w:r>
      <w:r>
        <w:rPr>
          <w:rFonts w:hint="eastAsia" w:ascii="宋体" w:hAnsi="宋体"/>
          <w:color w:val="auto"/>
          <w:sz w:val="21"/>
          <w:szCs w:val="21"/>
          <w:u w:val="single"/>
        </w:rPr>
        <w:t xml:space="preserve">） </w:t>
      </w:r>
      <w:r>
        <w:rPr>
          <w:rFonts w:hint="eastAsia" w:ascii="宋体" w:hAnsi="宋体"/>
          <w:color w:val="auto"/>
          <w:sz w:val="21"/>
          <w:szCs w:val="21"/>
          <w:u w:val="none"/>
          <w:lang w:eastAsia="zh-CN"/>
        </w:rPr>
        <w:t>，</w:t>
      </w:r>
      <w:r>
        <w:rPr>
          <w:rFonts w:hint="eastAsia" w:ascii="宋体" w:hAnsi="宋体"/>
          <w:color w:val="auto"/>
          <w:sz w:val="21"/>
          <w:szCs w:val="21"/>
          <w:lang w:eastAsia="zh-CN"/>
        </w:rPr>
        <w:t>其中涉及预付款的</w:t>
      </w:r>
      <w:r>
        <w:rPr>
          <w:rFonts w:hint="eastAsia" w:ascii="宋体" w:hAnsi="宋体"/>
          <w:color w:val="auto"/>
          <w:sz w:val="21"/>
          <w:szCs w:val="21"/>
        </w:rPr>
        <w:t>：</w:t>
      </w:r>
      <w:r>
        <w:rPr>
          <w:rFonts w:hint="eastAsia" w:ascii="宋体" w:hAnsi="宋体"/>
          <w:color w:val="auto"/>
          <w:sz w:val="21"/>
          <w:szCs w:val="21"/>
          <w:u w:val="single"/>
        </w:rPr>
        <w:t xml:space="preserve"> （应明确预付款的支付比例和支付条件） </w:t>
      </w:r>
    </w:p>
    <w:p w14:paraId="27CE274B">
      <w:pPr>
        <w:adjustRightInd w:val="0"/>
        <w:snapToGrid w:val="0"/>
        <w:spacing w:before="0" w:beforeLines="0" w:line="400" w:lineRule="exact"/>
        <w:ind w:firstLine="630" w:firstLineChars="300"/>
        <w:rPr>
          <w:rFonts w:ascii="宋体" w:hAnsi="宋体"/>
          <w:color w:val="auto"/>
          <w:sz w:val="21"/>
          <w:szCs w:val="21"/>
          <w:u w:val="single"/>
        </w:rPr>
      </w:pPr>
      <w:r>
        <w:rPr>
          <w:rFonts w:hint="eastAsia" w:ascii="宋体" w:hAnsi="宋体"/>
          <w:color w:val="auto"/>
          <w:sz w:val="21"/>
          <w:szCs w:val="21"/>
        </w:rPr>
        <w:sym w:font="Wingdings" w:char="00A8"/>
      </w:r>
      <w:r>
        <w:rPr>
          <w:rFonts w:hint="eastAsia" w:ascii="宋体" w:hAnsi="宋体"/>
          <w:color w:val="auto"/>
          <w:sz w:val="21"/>
          <w:szCs w:val="21"/>
        </w:rPr>
        <w:t>成本补偿：</w:t>
      </w:r>
      <w:r>
        <w:rPr>
          <w:rFonts w:hint="eastAsia" w:ascii="宋体" w:hAnsi="宋体"/>
          <w:color w:val="auto"/>
          <w:sz w:val="21"/>
          <w:szCs w:val="21"/>
          <w:u w:val="single"/>
        </w:rPr>
        <w:t xml:space="preserve">      （应明确按照成本补偿方式的支付方式和支付条件）   </w:t>
      </w:r>
    </w:p>
    <w:p w14:paraId="67BC0DBE">
      <w:pPr>
        <w:adjustRightInd w:val="0"/>
        <w:snapToGrid w:val="0"/>
        <w:spacing w:before="0" w:beforeLines="0" w:line="400" w:lineRule="exact"/>
        <w:ind w:firstLine="630" w:firstLineChars="300"/>
        <w:rPr>
          <w:rFonts w:ascii="宋体" w:hAnsi="宋体"/>
          <w:color w:val="auto"/>
          <w:sz w:val="21"/>
          <w:szCs w:val="21"/>
        </w:rPr>
      </w:pPr>
      <w:r>
        <w:rPr>
          <w:rFonts w:hint="eastAsia" w:ascii="宋体" w:hAnsi="宋体"/>
          <w:color w:val="auto"/>
          <w:sz w:val="21"/>
          <w:szCs w:val="21"/>
        </w:rPr>
        <w:sym w:font="Wingdings" w:char="00A8"/>
      </w:r>
      <w:r>
        <w:rPr>
          <w:rFonts w:hint="eastAsia" w:ascii="宋体" w:hAnsi="宋体"/>
          <w:color w:val="auto"/>
          <w:sz w:val="21"/>
          <w:szCs w:val="21"/>
        </w:rPr>
        <w:t>绩效激励：</w:t>
      </w:r>
      <w:r>
        <w:rPr>
          <w:rFonts w:hint="eastAsia" w:ascii="宋体" w:hAnsi="宋体"/>
          <w:color w:val="auto"/>
          <w:sz w:val="21"/>
          <w:szCs w:val="21"/>
          <w:u w:val="single"/>
        </w:rPr>
        <w:t xml:space="preserve">      （应明确按照绩效激励方式的支付方式和支付条件）   </w:t>
      </w:r>
    </w:p>
    <w:p w14:paraId="78F1771B">
      <w:pPr>
        <w:numPr>
          <w:ilvl w:val="0"/>
          <w:numId w:val="3"/>
        </w:numPr>
        <w:adjustRightInd w:val="0"/>
        <w:snapToGrid w:val="0"/>
        <w:spacing w:before="0" w:beforeLines="0" w:line="400" w:lineRule="exact"/>
        <w:ind w:firstLine="422" w:firstLineChars="200"/>
        <w:rPr>
          <w:rFonts w:ascii="宋体" w:hAnsi="宋体"/>
          <w:b/>
          <w:bCs w:val="0"/>
          <w:color w:val="auto"/>
          <w:sz w:val="21"/>
          <w:szCs w:val="21"/>
          <w:u w:val="single"/>
        </w:rPr>
      </w:pPr>
      <w:r>
        <w:rPr>
          <w:rFonts w:hint="eastAsia" w:ascii="宋体" w:hAnsi="宋体"/>
          <w:b/>
          <w:bCs w:val="0"/>
          <w:color w:val="auto"/>
          <w:sz w:val="21"/>
          <w:szCs w:val="21"/>
        </w:rPr>
        <w:t>合同履行</w:t>
      </w:r>
    </w:p>
    <w:p w14:paraId="0A069E07">
      <w:pPr>
        <w:adjustRightInd w:val="0"/>
        <w:snapToGrid w:val="0"/>
        <w:spacing w:before="0" w:beforeLines="0" w:line="400" w:lineRule="exact"/>
        <w:ind w:firstLine="420" w:firstLineChars="200"/>
        <w:rPr>
          <w:rFonts w:hint="eastAsia" w:ascii="宋体" w:hAnsi="宋体" w:cs="宋体"/>
          <w:color w:val="auto"/>
          <w:sz w:val="21"/>
          <w:szCs w:val="21"/>
        </w:rPr>
      </w:pPr>
      <w:r>
        <w:rPr>
          <w:rFonts w:hint="eastAsia" w:ascii="宋体" w:hAnsi="宋体" w:cs="宋体"/>
          <w:color w:val="auto"/>
          <w:sz w:val="21"/>
          <w:szCs w:val="21"/>
        </w:rPr>
        <w:t>（1）起始日期：</w:t>
      </w:r>
      <w:r>
        <w:rPr>
          <w:rFonts w:hint="eastAsia" w:ascii="宋体" w:hAnsi="宋体" w:cs="宋体"/>
          <w:color w:val="auto"/>
          <w:sz w:val="21"/>
          <w:szCs w:val="21"/>
          <w:u w:val="single"/>
        </w:rPr>
        <w:t xml:space="preserve">    </w:t>
      </w:r>
      <w:r>
        <w:rPr>
          <w:rFonts w:hint="eastAsia" w:ascii="宋体" w:hAnsi="宋体" w:cs="宋体"/>
          <w:color w:val="auto"/>
          <w:sz w:val="21"/>
          <w:szCs w:val="21"/>
        </w:rPr>
        <w:t>年</w:t>
      </w:r>
      <w:r>
        <w:rPr>
          <w:rFonts w:hint="eastAsia" w:ascii="宋体" w:hAnsi="宋体" w:cs="宋体"/>
          <w:color w:val="auto"/>
          <w:sz w:val="21"/>
          <w:szCs w:val="21"/>
          <w:u w:val="single"/>
        </w:rPr>
        <w:t xml:space="preserve">   </w:t>
      </w:r>
      <w:r>
        <w:rPr>
          <w:rFonts w:hint="eastAsia" w:ascii="宋体" w:hAnsi="宋体" w:cs="宋体"/>
          <w:color w:val="auto"/>
          <w:sz w:val="21"/>
          <w:szCs w:val="21"/>
        </w:rPr>
        <w:t>月</w:t>
      </w:r>
      <w:r>
        <w:rPr>
          <w:rFonts w:hint="eastAsia" w:ascii="宋体" w:hAnsi="宋体" w:cs="宋体"/>
          <w:color w:val="auto"/>
          <w:sz w:val="21"/>
          <w:szCs w:val="21"/>
          <w:u w:val="single"/>
        </w:rPr>
        <w:t xml:space="preserve">   </w:t>
      </w:r>
      <w:r>
        <w:rPr>
          <w:rFonts w:hint="eastAsia" w:ascii="宋体" w:hAnsi="宋体" w:cs="宋体"/>
          <w:color w:val="auto"/>
          <w:sz w:val="21"/>
          <w:szCs w:val="21"/>
        </w:rPr>
        <w:t>日，完成日期：</w:t>
      </w:r>
      <w:r>
        <w:rPr>
          <w:rFonts w:hint="eastAsia" w:ascii="宋体" w:hAnsi="宋体" w:cs="宋体"/>
          <w:color w:val="auto"/>
          <w:sz w:val="21"/>
          <w:szCs w:val="21"/>
          <w:u w:val="single"/>
        </w:rPr>
        <w:t xml:space="preserve">    </w:t>
      </w:r>
      <w:r>
        <w:rPr>
          <w:rFonts w:hint="eastAsia" w:ascii="宋体" w:hAnsi="宋体" w:cs="宋体"/>
          <w:color w:val="auto"/>
          <w:sz w:val="21"/>
          <w:szCs w:val="21"/>
        </w:rPr>
        <w:t>年</w:t>
      </w:r>
      <w:r>
        <w:rPr>
          <w:rFonts w:hint="eastAsia" w:ascii="宋体" w:hAnsi="宋体" w:cs="宋体"/>
          <w:color w:val="auto"/>
          <w:sz w:val="21"/>
          <w:szCs w:val="21"/>
          <w:u w:val="single"/>
        </w:rPr>
        <w:t xml:space="preserve">   </w:t>
      </w:r>
      <w:r>
        <w:rPr>
          <w:rFonts w:hint="eastAsia" w:ascii="宋体" w:hAnsi="宋体" w:cs="宋体"/>
          <w:color w:val="auto"/>
          <w:sz w:val="21"/>
          <w:szCs w:val="21"/>
        </w:rPr>
        <w:t>月</w:t>
      </w:r>
      <w:r>
        <w:rPr>
          <w:rFonts w:hint="eastAsia" w:ascii="宋体" w:hAnsi="宋体" w:cs="宋体"/>
          <w:color w:val="auto"/>
          <w:sz w:val="21"/>
          <w:szCs w:val="21"/>
          <w:u w:val="single"/>
        </w:rPr>
        <w:t xml:space="preserve">   </w:t>
      </w:r>
      <w:r>
        <w:rPr>
          <w:rFonts w:hint="eastAsia" w:ascii="宋体" w:hAnsi="宋体" w:cs="宋体"/>
          <w:color w:val="auto"/>
          <w:sz w:val="21"/>
          <w:szCs w:val="21"/>
        </w:rPr>
        <w:t>日。</w:t>
      </w:r>
    </w:p>
    <w:p w14:paraId="032D30D3">
      <w:pPr>
        <w:adjustRightInd w:val="0"/>
        <w:snapToGrid w:val="0"/>
        <w:spacing w:before="0" w:beforeLines="0" w:line="400" w:lineRule="exact"/>
        <w:ind w:firstLine="420" w:firstLineChars="200"/>
        <w:rPr>
          <w:rFonts w:hint="eastAsia" w:ascii="宋体" w:hAnsi="宋体" w:cs="宋体"/>
          <w:color w:val="auto"/>
          <w:sz w:val="21"/>
          <w:szCs w:val="21"/>
          <w:u w:val="single"/>
        </w:rPr>
      </w:pPr>
      <w:r>
        <w:rPr>
          <w:rFonts w:hint="eastAsia" w:ascii="宋体" w:hAnsi="宋体" w:cs="宋体"/>
          <w:color w:val="auto"/>
          <w:sz w:val="21"/>
          <w:szCs w:val="21"/>
        </w:rPr>
        <w:t>（2）</w:t>
      </w:r>
      <w:r>
        <w:rPr>
          <w:rFonts w:hint="eastAsia" w:ascii="宋体" w:hAnsi="宋体" w:cs="宋体"/>
          <w:color w:val="auto"/>
          <w:sz w:val="21"/>
          <w:szCs w:val="21"/>
          <w:lang w:eastAsia="zh-CN"/>
        </w:rPr>
        <w:t>履约</w:t>
      </w:r>
      <w:r>
        <w:rPr>
          <w:rFonts w:hint="eastAsia" w:ascii="宋体" w:hAnsi="宋体" w:cs="宋体"/>
          <w:color w:val="auto"/>
          <w:sz w:val="21"/>
          <w:szCs w:val="21"/>
        </w:rPr>
        <w:t>地点</w:t>
      </w:r>
      <w:r>
        <w:rPr>
          <w:rFonts w:hint="eastAsia" w:ascii="宋体" w:hAnsi="宋体" w:cs="宋体"/>
          <w:b w:val="0"/>
          <w:bCs/>
          <w:color w:val="auto"/>
          <w:sz w:val="21"/>
          <w:szCs w:val="21"/>
        </w:rPr>
        <w:t>：</w:t>
      </w:r>
      <w:r>
        <w:rPr>
          <w:rFonts w:hint="eastAsia" w:ascii="宋体" w:hAnsi="宋体" w:cs="宋体"/>
          <w:color w:val="auto"/>
          <w:sz w:val="21"/>
          <w:szCs w:val="21"/>
          <w:u w:val="single"/>
        </w:rPr>
        <w:t xml:space="preserve">                             </w:t>
      </w:r>
    </w:p>
    <w:p w14:paraId="7C5333B1">
      <w:pPr>
        <w:adjustRightInd w:val="0"/>
        <w:snapToGrid w:val="0"/>
        <w:spacing w:before="0" w:beforeLines="0" w:line="400" w:lineRule="exact"/>
        <w:ind w:firstLine="420" w:firstLineChars="200"/>
        <w:rPr>
          <w:rFonts w:hint="eastAsia" w:ascii="宋体" w:hAnsi="宋体" w:eastAsia="宋体" w:cs="宋体"/>
          <w:color w:val="auto"/>
          <w:sz w:val="21"/>
          <w:szCs w:val="21"/>
          <w:lang w:eastAsia="zh-CN"/>
        </w:rPr>
      </w:pPr>
      <w:r>
        <w:rPr>
          <w:rFonts w:hint="eastAsia" w:ascii="宋体" w:hAnsi="宋体" w:cs="宋体"/>
          <w:bCs/>
          <w:color w:val="auto"/>
          <w:sz w:val="21"/>
          <w:szCs w:val="21"/>
        </w:rPr>
        <w:t>（3）履约担保：</w:t>
      </w:r>
      <w:r>
        <w:rPr>
          <w:rFonts w:hint="eastAsia" w:ascii="宋体" w:hAnsi="宋体" w:eastAsia="宋体" w:cs="宋体"/>
          <w:color w:val="auto"/>
          <w:sz w:val="21"/>
          <w:szCs w:val="21"/>
          <w:lang w:val="en-US" w:eastAsia="zh-CN"/>
        </w:rPr>
        <w:t>是否收取履约保证金：</w:t>
      </w:r>
      <w:r>
        <w:rPr>
          <w:rFonts w:hint="eastAsia" w:ascii="宋体" w:hAnsi="宋体" w:eastAsia="宋体" w:cs="宋体"/>
          <w:color w:val="auto"/>
          <w:sz w:val="21"/>
          <w:szCs w:val="21"/>
        </w:rPr>
        <w:sym w:font="Wingdings" w:char="00A8"/>
      </w:r>
      <w:r>
        <w:rPr>
          <w:rFonts w:hint="eastAsia" w:ascii="宋体" w:hAnsi="宋体" w:eastAsia="宋体" w:cs="宋体"/>
          <w:color w:val="auto"/>
          <w:sz w:val="21"/>
          <w:szCs w:val="21"/>
          <w:lang w:eastAsia="zh-CN"/>
        </w:rPr>
        <w:t>是</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sym w:font="Wingdings" w:char="00A8"/>
      </w:r>
      <w:r>
        <w:rPr>
          <w:rFonts w:hint="eastAsia" w:ascii="宋体" w:hAnsi="宋体" w:eastAsia="宋体" w:cs="宋体"/>
          <w:color w:val="auto"/>
          <w:sz w:val="21"/>
          <w:szCs w:val="21"/>
          <w:lang w:eastAsia="zh-CN"/>
        </w:rPr>
        <w:t>否</w:t>
      </w:r>
    </w:p>
    <w:p w14:paraId="79E935B3">
      <w:pPr>
        <w:pStyle w:val="42"/>
        <w:spacing w:beforeLines="0"/>
        <w:rPr>
          <w:rFonts w:hint="eastAsia" w:ascii="宋体" w:hAnsi="宋体" w:eastAsia="宋体" w:cs="宋体"/>
          <w:color w:val="auto"/>
          <w:sz w:val="21"/>
          <w:szCs w:val="21"/>
          <w:lang w:val="en-US" w:eastAsia="zh-CN"/>
        </w:rPr>
      </w:pPr>
      <w:r>
        <w:rPr>
          <w:rFonts w:hint="eastAsia" w:ascii="宋体" w:hAnsi="宋体" w:cs="宋体"/>
          <w:bCs/>
          <w:color w:val="auto"/>
          <w:sz w:val="21"/>
          <w:szCs w:val="21"/>
          <w:u w:val="none"/>
          <w:lang w:val="en-US" w:eastAsia="zh-CN"/>
        </w:rPr>
        <w:t xml:space="preserve">  </w:t>
      </w:r>
      <w:r>
        <w:rPr>
          <w:rFonts w:hint="eastAsia" w:ascii="宋体" w:hAnsi="宋体" w:eastAsia="宋体" w:cs="宋体"/>
          <w:color w:val="auto"/>
          <w:sz w:val="21"/>
          <w:szCs w:val="21"/>
          <w:lang w:val="en-US" w:eastAsia="zh-CN"/>
        </w:rPr>
        <w:t xml:space="preserve">  收取履约保证金形式：</w:t>
      </w:r>
      <w:r>
        <w:rPr>
          <w:rFonts w:hint="eastAsia" w:ascii="宋体" w:hAnsi="宋体" w:eastAsia="宋体" w:cs="宋体"/>
          <w:bCs/>
          <w:color w:val="auto"/>
          <w:sz w:val="21"/>
          <w:szCs w:val="21"/>
          <w:u w:val="single"/>
        </w:rPr>
        <w:t xml:space="preserve">                            </w:t>
      </w:r>
    </w:p>
    <w:p w14:paraId="6853F138">
      <w:pPr>
        <w:pStyle w:val="42"/>
        <w:spacing w:beforeLine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    收取履约保证金金额：</w:t>
      </w:r>
      <w:r>
        <w:rPr>
          <w:rFonts w:hint="eastAsia" w:ascii="宋体" w:hAnsi="宋体" w:eastAsia="宋体" w:cs="宋体"/>
          <w:bCs/>
          <w:color w:val="auto"/>
          <w:sz w:val="21"/>
          <w:szCs w:val="21"/>
          <w:u w:val="single"/>
        </w:rPr>
        <w:t xml:space="preserve">                            </w:t>
      </w:r>
    </w:p>
    <w:p w14:paraId="49C69760">
      <w:pPr>
        <w:snapToGrid w:val="0"/>
        <w:spacing w:beforeLines="0" w:line="400" w:lineRule="exact"/>
        <w:ind w:firstLine="420" w:firstLineChars="200"/>
        <w:rPr>
          <w:rFonts w:hint="eastAsia" w:ascii="宋体" w:hAnsi="宋体" w:eastAsia="宋体" w:cs="宋体"/>
          <w:color w:val="auto"/>
          <w:sz w:val="21"/>
          <w:szCs w:val="21"/>
          <w:lang w:val="en-US" w:eastAsia="zh-CN"/>
        </w:rPr>
      </w:pPr>
      <w:r>
        <w:rPr>
          <w:rFonts w:hint="eastAsia" w:ascii="宋体" w:hAnsi="宋体" w:cs="宋体"/>
          <w:bCs/>
          <w:color w:val="auto"/>
          <w:sz w:val="21"/>
          <w:szCs w:val="21"/>
          <w:u w:val="none"/>
          <w:lang w:val="en-US" w:eastAsia="zh-CN"/>
        </w:rPr>
        <w:t xml:space="preserve">    履约担保期限</w:t>
      </w:r>
      <w:r>
        <w:rPr>
          <w:rFonts w:hint="eastAsia" w:ascii="宋体" w:hAnsi="宋体" w:cs="宋体"/>
          <w:bCs/>
          <w:color w:val="auto"/>
          <w:sz w:val="21"/>
          <w:szCs w:val="21"/>
          <w:u w:val="none"/>
          <w:lang w:eastAsia="zh-CN"/>
        </w:rPr>
        <w:t>：</w:t>
      </w:r>
      <w:r>
        <w:rPr>
          <w:rFonts w:hint="eastAsia" w:ascii="宋体" w:hAnsi="宋体" w:eastAsia="宋体" w:cs="宋体"/>
          <w:bCs/>
          <w:color w:val="auto"/>
          <w:sz w:val="21"/>
          <w:szCs w:val="21"/>
          <w:u w:val="single"/>
        </w:rPr>
        <w:t xml:space="preserve">      </w:t>
      </w:r>
      <w:r>
        <w:rPr>
          <w:rFonts w:hint="eastAsia" w:ascii="宋体" w:hAnsi="宋体" w:cs="宋体"/>
          <w:bCs/>
          <w:color w:val="auto"/>
          <w:sz w:val="21"/>
          <w:szCs w:val="21"/>
          <w:u w:val="single"/>
          <w:lang w:val="en-US" w:eastAsia="zh-CN"/>
        </w:rPr>
        <w:t xml:space="preserve">                     </w:t>
      </w:r>
      <w:r>
        <w:rPr>
          <w:rFonts w:hint="eastAsia" w:ascii="宋体" w:hAnsi="宋体" w:eastAsia="宋体" w:cs="宋体"/>
          <w:bCs/>
          <w:color w:val="auto"/>
          <w:sz w:val="21"/>
          <w:szCs w:val="21"/>
          <w:u w:val="single"/>
        </w:rPr>
        <w:t xml:space="preserve">       </w:t>
      </w:r>
    </w:p>
    <w:p w14:paraId="4AC1B1B3">
      <w:pPr>
        <w:adjustRightInd w:val="0"/>
        <w:snapToGrid w:val="0"/>
        <w:spacing w:before="0" w:beforeLines="0" w:line="400" w:lineRule="exact"/>
        <w:ind w:firstLine="420" w:firstLineChars="200"/>
        <w:rPr>
          <w:rFonts w:hint="eastAsia" w:ascii="宋体" w:hAnsi="宋体" w:cs="宋体"/>
          <w:bCs/>
          <w:color w:val="auto"/>
          <w:sz w:val="21"/>
          <w:szCs w:val="21"/>
        </w:rPr>
      </w:pPr>
      <w:r>
        <w:rPr>
          <w:rFonts w:hint="eastAsia" w:ascii="宋体" w:hAnsi="宋体" w:cs="宋体"/>
          <w:bCs/>
          <w:color w:val="auto"/>
          <w:sz w:val="21"/>
          <w:szCs w:val="21"/>
        </w:rPr>
        <w:t>（4）分期履行要求：</w:t>
      </w:r>
      <w:r>
        <w:rPr>
          <w:rFonts w:hint="eastAsia" w:ascii="宋体" w:hAnsi="宋体" w:cs="宋体"/>
          <w:bCs/>
          <w:color w:val="auto"/>
          <w:sz w:val="21"/>
          <w:szCs w:val="21"/>
          <w:u w:val="single"/>
        </w:rPr>
        <w:t xml:space="preserve">                                                   </w:t>
      </w:r>
      <w:r>
        <w:rPr>
          <w:rFonts w:hint="eastAsia" w:ascii="宋体" w:hAnsi="宋体" w:cs="宋体"/>
          <w:bCs/>
          <w:color w:val="auto"/>
          <w:sz w:val="21"/>
          <w:szCs w:val="21"/>
          <w:u w:val="single"/>
          <w:lang w:val="en-US" w:eastAsia="zh-CN"/>
        </w:rPr>
        <w:t xml:space="preserve">    </w:t>
      </w:r>
      <w:r>
        <w:rPr>
          <w:rFonts w:hint="eastAsia" w:ascii="宋体" w:hAnsi="宋体" w:cs="宋体"/>
          <w:bCs/>
          <w:color w:val="auto"/>
          <w:sz w:val="21"/>
          <w:szCs w:val="21"/>
          <w:u w:val="single"/>
        </w:rPr>
        <w:t xml:space="preserve"> </w:t>
      </w:r>
    </w:p>
    <w:p w14:paraId="45A9FA37">
      <w:pPr>
        <w:adjustRightInd w:val="0"/>
        <w:snapToGrid w:val="0"/>
        <w:spacing w:before="0" w:beforeLines="0" w:line="400" w:lineRule="exact"/>
        <w:ind w:firstLine="420" w:firstLineChars="200"/>
        <w:rPr>
          <w:rFonts w:hint="eastAsia" w:ascii="宋体" w:hAnsi="宋体" w:cs="宋体"/>
          <w:color w:val="auto"/>
          <w:sz w:val="21"/>
          <w:szCs w:val="21"/>
          <w:u w:val="single"/>
        </w:rPr>
      </w:pPr>
      <w:r>
        <w:rPr>
          <w:rFonts w:hint="eastAsia" w:ascii="宋体" w:hAnsi="宋体" w:cs="宋体"/>
          <w:bCs/>
          <w:color w:val="auto"/>
          <w:sz w:val="21"/>
          <w:szCs w:val="21"/>
        </w:rPr>
        <w:t>（5）</w:t>
      </w:r>
      <w:r>
        <w:rPr>
          <w:rFonts w:hint="eastAsia" w:ascii="宋体" w:hAnsi="宋体" w:cs="宋体"/>
          <w:bCs/>
          <w:color w:val="auto"/>
          <w:sz w:val="21"/>
          <w:szCs w:val="21"/>
          <w:lang w:eastAsia="zh-CN"/>
        </w:rPr>
        <w:t>风险处置措施和替代方案</w:t>
      </w:r>
      <w:r>
        <w:rPr>
          <w:rFonts w:hint="eastAsia" w:ascii="宋体" w:hAnsi="宋体" w:cs="宋体"/>
          <w:bCs/>
          <w:color w:val="auto"/>
          <w:sz w:val="21"/>
          <w:szCs w:val="21"/>
        </w:rPr>
        <w:t>：</w:t>
      </w:r>
      <w:r>
        <w:rPr>
          <w:rFonts w:hint="eastAsia" w:ascii="宋体" w:hAnsi="宋体" w:cs="宋体"/>
          <w:color w:val="auto"/>
          <w:sz w:val="21"/>
          <w:szCs w:val="21"/>
          <w:u w:val="single"/>
        </w:rPr>
        <w:t xml:space="preserve">                                                               </w:t>
      </w:r>
    </w:p>
    <w:p w14:paraId="595B9822">
      <w:pPr>
        <w:numPr>
          <w:ilvl w:val="0"/>
          <w:numId w:val="3"/>
        </w:numPr>
        <w:adjustRightInd w:val="0"/>
        <w:snapToGrid w:val="0"/>
        <w:spacing w:before="0" w:beforeLines="0" w:line="400" w:lineRule="exact"/>
        <w:ind w:firstLine="422" w:firstLineChars="200"/>
        <w:rPr>
          <w:rFonts w:ascii="宋体" w:hAnsi="宋体"/>
          <w:b/>
          <w:color w:val="auto"/>
          <w:sz w:val="21"/>
          <w:szCs w:val="21"/>
        </w:rPr>
      </w:pPr>
      <w:r>
        <w:rPr>
          <w:rFonts w:hint="eastAsia" w:ascii="宋体" w:hAnsi="宋体"/>
          <w:b/>
          <w:color w:val="auto"/>
          <w:sz w:val="21"/>
          <w:szCs w:val="21"/>
        </w:rPr>
        <w:t>合同验收</w:t>
      </w:r>
    </w:p>
    <w:p w14:paraId="1F90BB63">
      <w:pPr>
        <w:numPr>
          <w:ilvl w:val="0"/>
          <w:numId w:val="5"/>
        </w:numPr>
        <w:adjustRightInd w:val="0"/>
        <w:snapToGrid w:val="0"/>
        <w:spacing w:before="0" w:beforeLines="0" w:line="400" w:lineRule="exact"/>
        <w:ind w:firstLine="420" w:firstLineChars="200"/>
        <w:rPr>
          <w:rFonts w:hint="eastAsia" w:ascii="宋体" w:hAnsi="宋体"/>
          <w:bCs/>
          <w:color w:val="auto"/>
          <w:sz w:val="21"/>
          <w:szCs w:val="21"/>
        </w:rPr>
      </w:pPr>
      <w:r>
        <w:rPr>
          <w:rFonts w:hint="eastAsia" w:ascii="宋体" w:hAnsi="宋体"/>
          <w:bCs/>
          <w:color w:val="auto"/>
          <w:sz w:val="21"/>
          <w:szCs w:val="21"/>
        </w:rPr>
        <w:t>验收组织方式：</w:t>
      </w:r>
      <w:r>
        <w:rPr>
          <w:rFonts w:hint="eastAsia" w:ascii="宋体" w:hAnsi="宋体" w:eastAsia="宋体" w:cs="宋体"/>
          <w:color w:val="auto"/>
          <w:sz w:val="21"/>
          <w:szCs w:val="21"/>
        </w:rPr>
        <w:sym w:font="Wingdings" w:char="00A8"/>
      </w:r>
      <w:r>
        <w:rPr>
          <w:rFonts w:hint="eastAsia" w:ascii="宋体" w:hAnsi="宋体"/>
          <w:bCs/>
          <w:color w:val="auto"/>
          <w:sz w:val="21"/>
          <w:szCs w:val="21"/>
        </w:rPr>
        <w:t xml:space="preserve">自行组织 </w:t>
      </w:r>
      <w:r>
        <w:rPr>
          <w:rFonts w:hint="eastAsia" w:ascii="宋体" w:hAnsi="宋体" w:eastAsia="宋体" w:cs="宋体"/>
          <w:color w:val="auto"/>
          <w:sz w:val="21"/>
          <w:szCs w:val="21"/>
        </w:rPr>
        <w:sym w:font="Wingdings" w:char="00A8"/>
      </w:r>
      <w:r>
        <w:rPr>
          <w:rFonts w:hint="eastAsia" w:ascii="宋体" w:hAnsi="宋体"/>
          <w:bCs/>
          <w:color w:val="auto"/>
          <w:sz w:val="21"/>
          <w:szCs w:val="21"/>
        </w:rPr>
        <w:t>委托第三方组织</w:t>
      </w:r>
    </w:p>
    <w:p w14:paraId="0551A993">
      <w:pPr>
        <w:numPr>
          <w:ilvl w:val="0"/>
          <w:numId w:val="0"/>
        </w:numPr>
        <w:adjustRightInd w:val="0"/>
        <w:snapToGrid w:val="0"/>
        <w:spacing w:before="0" w:beforeLines="0" w:line="400" w:lineRule="exact"/>
        <w:rPr>
          <w:rFonts w:ascii="宋体" w:hAnsi="宋体"/>
          <w:bCs/>
          <w:color w:val="auto"/>
          <w:sz w:val="21"/>
          <w:szCs w:val="21"/>
        </w:rPr>
      </w:pPr>
      <w:r>
        <w:rPr>
          <w:rFonts w:hint="eastAsia" w:ascii="宋体" w:hAnsi="宋体"/>
          <w:bCs/>
          <w:color w:val="auto"/>
          <w:sz w:val="21"/>
          <w:szCs w:val="21"/>
          <w:lang w:val="en-US" w:eastAsia="zh-CN"/>
        </w:rPr>
        <w:t xml:space="preserve">         </w:t>
      </w:r>
      <w:r>
        <w:rPr>
          <w:rFonts w:hint="eastAsia" w:ascii="宋体" w:hAnsi="宋体"/>
          <w:bCs/>
          <w:color w:val="auto"/>
          <w:sz w:val="21"/>
          <w:szCs w:val="21"/>
        </w:rPr>
        <w:t>验收主体：</w:t>
      </w:r>
      <w:r>
        <w:rPr>
          <w:rFonts w:hint="eastAsia" w:ascii="宋体" w:hAnsi="宋体"/>
          <w:bCs/>
          <w:color w:val="auto"/>
          <w:sz w:val="21"/>
          <w:szCs w:val="21"/>
          <w:u w:val="single"/>
        </w:rPr>
        <w:t xml:space="preserve">                  </w:t>
      </w:r>
    </w:p>
    <w:p w14:paraId="67425796">
      <w:pPr>
        <w:adjustRightInd w:val="0"/>
        <w:snapToGrid w:val="0"/>
        <w:spacing w:before="0" w:beforeLines="0" w:line="400" w:lineRule="exact"/>
        <w:ind w:firstLine="0" w:firstLineChars="0"/>
        <w:rPr>
          <w:rFonts w:ascii="宋体" w:hAnsi="宋体"/>
          <w:bCs/>
          <w:color w:val="auto"/>
          <w:sz w:val="21"/>
          <w:szCs w:val="21"/>
        </w:rPr>
      </w:pPr>
      <w:r>
        <w:rPr>
          <w:rFonts w:hint="eastAsia" w:ascii="宋体" w:hAnsi="宋体"/>
          <w:bCs/>
          <w:color w:val="auto"/>
          <w:sz w:val="21"/>
          <w:szCs w:val="21"/>
          <w:lang w:val="en-US" w:eastAsia="zh-CN"/>
        </w:rPr>
        <w:t xml:space="preserve">        </w:t>
      </w:r>
      <w:r>
        <w:rPr>
          <w:rFonts w:hint="eastAsia" w:ascii="宋体" w:hAnsi="宋体"/>
          <w:bCs/>
          <w:color w:val="auto"/>
          <w:sz w:val="21"/>
          <w:szCs w:val="21"/>
        </w:rPr>
        <w:t>是否邀请本项目的其他供应商</w:t>
      </w:r>
      <w:r>
        <w:rPr>
          <w:rFonts w:hint="eastAsia" w:ascii="宋体" w:hAnsi="宋体"/>
          <w:bCs/>
          <w:color w:val="auto"/>
          <w:sz w:val="21"/>
          <w:szCs w:val="21"/>
          <w:lang w:eastAsia="zh-CN"/>
        </w:rPr>
        <w:t>参加验收</w:t>
      </w:r>
      <w:r>
        <w:rPr>
          <w:rFonts w:hint="eastAsia" w:ascii="宋体" w:hAnsi="宋体"/>
          <w:bCs/>
          <w:color w:val="auto"/>
          <w:sz w:val="21"/>
          <w:szCs w:val="21"/>
        </w:rPr>
        <w:t>：</w:t>
      </w:r>
      <w:r>
        <w:rPr>
          <w:rFonts w:hint="eastAsia" w:ascii="宋体" w:hAnsi="宋体" w:eastAsia="宋体" w:cs="宋体"/>
          <w:color w:val="auto"/>
          <w:sz w:val="21"/>
          <w:szCs w:val="21"/>
        </w:rPr>
        <w:sym w:font="Wingdings" w:char="00A8"/>
      </w:r>
      <w:r>
        <w:rPr>
          <w:rFonts w:hint="eastAsia" w:ascii="宋体" w:hAnsi="宋体"/>
          <w:bCs/>
          <w:color w:val="auto"/>
          <w:sz w:val="21"/>
          <w:szCs w:val="21"/>
        </w:rPr>
        <w:t xml:space="preserve">是  </w:t>
      </w:r>
      <w:r>
        <w:rPr>
          <w:rFonts w:hint="eastAsia" w:ascii="宋体" w:hAnsi="宋体" w:eastAsia="宋体" w:cs="宋体"/>
          <w:color w:val="auto"/>
          <w:sz w:val="21"/>
          <w:szCs w:val="21"/>
        </w:rPr>
        <w:sym w:font="Wingdings" w:char="00A8"/>
      </w:r>
      <w:r>
        <w:rPr>
          <w:rFonts w:hint="eastAsia" w:ascii="宋体" w:hAnsi="宋体"/>
          <w:bCs/>
          <w:color w:val="auto"/>
          <w:sz w:val="21"/>
          <w:szCs w:val="21"/>
        </w:rPr>
        <w:t>否</w:t>
      </w:r>
    </w:p>
    <w:p w14:paraId="5709A70D">
      <w:pPr>
        <w:adjustRightInd w:val="0"/>
        <w:snapToGrid w:val="0"/>
        <w:spacing w:before="0" w:beforeLines="0" w:line="400" w:lineRule="exact"/>
        <w:ind w:firstLine="840" w:firstLineChars="400"/>
        <w:rPr>
          <w:rFonts w:ascii="宋体" w:hAnsi="宋体"/>
          <w:bCs/>
          <w:color w:val="auto"/>
          <w:sz w:val="21"/>
          <w:szCs w:val="21"/>
        </w:rPr>
      </w:pPr>
      <w:r>
        <w:rPr>
          <w:rFonts w:hint="eastAsia" w:ascii="宋体" w:hAnsi="宋体"/>
          <w:bCs/>
          <w:color w:val="auto"/>
          <w:sz w:val="21"/>
          <w:szCs w:val="21"/>
        </w:rPr>
        <w:t>是否邀请专家</w:t>
      </w:r>
      <w:r>
        <w:rPr>
          <w:rFonts w:hint="eastAsia" w:ascii="宋体" w:hAnsi="宋体"/>
          <w:bCs/>
          <w:color w:val="auto"/>
          <w:sz w:val="21"/>
          <w:szCs w:val="21"/>
          <w:lang w:eastAsia="zh-CN"/>
        </w:rPr>
        <w:t>参加验收</w:t>
      </w:r>
      <w:r>
        <w:rPr>
          <w:rFonts w:hint="eastAsia" w:ascii="宋体" w:hAnsi="宋体"/>
          <w:bCs/>
          <w:color w:val="auto"/>
          <w:sz w:val="21"/>
          <w:szCs w:val="21"/>
        </w:rPr>
        <w:t>：</w:t>
      </w:r>
      <w:r>
        <w:rPr>
          <w:rFonts w:hint="eastAsia" w:ascii="宋体" w:hAnsi="宋体" w:eastAsia="宋体" w:cs="宋体"/>
          <w:color w:val="auto"/>
          <w:sz w:val="21"/>
          <w:szCs w:val="21"/>
        </w:rPr>
        <w:sym w:font="Wingdings" w:char="00A8"/>
      </w:r>
      <w:r>
        <w:rPr>
          <w:rFonts w:hint="eastAsia" w:ascii="宋体" w:hAnsi="宋体"/>
          <w:bCs/>
          <w:color w:val="auto"/>
          <w:sz w:val="21"/>
          <w:szCs w:val="21"/>
        </w:rPr>
        <w:t xml:space="preserve">是  </w:t>
      </w:r>
      <w:r>
        <w:rPr>
          <w:rFonts w:hint="eastAsia" w:ascii="宋体" w:hAnsi="宋体" w:eastAsia="宋体" w:cs="宋体"/>
          <w:color w:val="auto"/>
          <w:sz w:val="21"/>
          <w:szCs w:val="21"/>
        </w:rPr>
        <w:sym w:font="Wingdings" w:char="00A8"/>
      </w:r>
      <w:r>
        <w:rPr>
          <w:rFonts w:hint="eastAsia" w:ascii="宋体" w:hAnsi="宋体"/>
          <w:bCs/>
          <w:color w:val="auto"/>
          <w:sz w:val="21"/>
          <w:szCs w:val="21"/>
        </w:rPr>
        <w:t>否</w:t>
      </w:r>
    </w:p>
    <w:p w14:paraId="1641B8CF">
      <w:pPr>
        <w:adjustRightInd w:val="0"/>
        <w:snapToGrid w:val="0"/>
        <w:spacing w:before="0" w:beforeLines="0" w:line="400" w:lineRule="exact"/>
        <w:ind w:firstLine="840" w:firstLineChars="400"/>
        <w:rPr>
          <w:rFonts w:ascii="宋体" w:hAnsi="宋体"/>
          <w:bCs/>
          <w:color w:val="auto"/>
          <w:sz w:val="21"/>
          <w:szCs w:val="21"/>
        </w:rPr>
      </w:pPr>
      <w:r>
        <w:rPr>
          <w:rFonts w:hint="eastAsia" w:ascii="宋体" w:hAnsi="宋体"/>
          <w:bCs/>
          <w:color w:val="auto"/>
          <w:sz w:val="21"/>
          <w:szCs w:val="21"/>
        </w:rPr>
        <w:t>是否邀请服务对象</w:t>
      </w:r>
      <w:r>
        <w:rPr>
          <w:rFonts w:hint="eastAsia" w:ascii="宋体" w:hAnsi="宋体"/>
          <w:bCs/>
          <w:color w:val="auto"/>
          <w:sz w:val="21"/>
          <w:szCs w:val="21"/>
          <w:lang w:eastAsia="zh-CN"/>
        </w:rPr>
        <w:t>参加验收</w:t>
      </w:r>
      <w:r>
        <w:rPr>
          <w:rFonts w:hint="eastAsia" w:ascii="宋体" w:hAnsi="宋体"/>
          <w:bCs/>
          <w:color w:val="auto"/>
          <w:sz w:val="21"/>
          <w:szCs w:val="21"/>
        </w:rPr>
        <w:t>：</w:t>
      </w:r>
      <w:r>
        <w:rPr>
          <w:rFonts w:hint="eastAsia" w:ascii="宋体" w:hAnsi="宋体" w:eastAsia="宋体" w:cs="宋体"/>
          <w:color w:val="auto"/>
          <w:sz w:val="21"/>
          <w:szCs w:val="21"/>
        </w:rPr>
        <w:sym w:font="Wingdings" w:char="00A8"/>
      </w:r>
      <w:r>
        <w:rPr>
          <w:rFonts w:hint="eastAsia" w:ascii="宋体" w:hAnsi="宋体"/>
          <w:bCs/>
          <w:color w:val="auto"/>
          <w:sz w:val="21"/>
          <w:szCs w:val="21"/>
        </w:rPr>
        <w:t xml:space="preserve">是  </w:t>
      </w:r>
      <w:r>
        <w:rPr>
          <w:rFonts w:hint="eastAsia" w:ascii="宋体" w:hAnsi="宋体" w:eastAsia="宋体" w:cs="宋体"/>
          <w:color w:val="auto"/>
          <w:sz w:val="21"/>
          <w:szCs w:val="21"/>
        </w:rPr>
        <w:sym w:font="Wingdings" w:char="00A8"/>
      </w:r>
      <w:r>
        <w:rPr>
          <w:rFonts w:hint="eastAsia" w:ascii="宋体" w:hAnsi="宋体"/>
          <w:bCs/>
          <w:color w:val="auto"/>
          <w:sz w:val="21"/>
          <w:szCs w:val="21"/>
        </w:rPr>
        <w:t>否</w:t>
      </w:r>
    </w:p>
    <w:p w14:paraId="532891C8">
      <w:pPr>
        <w:adjustRightInd w:val="0"/>
        <w:snapToGrid w:val="0"/>
        <w:spacing w:before="0" w:beforeLines="0" w:line="400" w:lineRule="exact"/>
        <w:ind w:firstLine="840" w:firstLineChars="400"/>
        <w:rPr>
          <w:rFonts w:ascii="宋体" w:hAnsi="宋体"/>
          <w:bCs/>
          <w:color w:val="auto"/>
          <w:sz w:val="21"/>
          <w:szCs w:val="21"/>
        </w:rPr>
      </w:pPr>
      <w:r>
        <w:rPr>
          <w:rFonts w:hint="eastAsia" w:ascii="宋体" w:hAnsi="宋体"/>
          <w:bCs/>
          <w:color w:val="auto"/>
          <w:sz w:val="21"/>
          <w:szCs w:val="21"/>
        </w:rPr>
        <w:t>是否邀请第三方检测机构</w:t>
      </w:r>
      <w:r>
        <w:rPr>
          <w:rFonts w:hint="eastAsia" w:ascii="宋体" w:hAnsi="宋体"/>
          <w:bCs/>
          <w:color w:val="auto"/>
          <w:sz w:val="21"/>
          <w:szCs w:val="21"/>
          <w:lang w:eastAsia="zh-CN"/>
        </w:rPr>
        <w:t>参加验收</w:t>
      </w:r>
      <w:r>
        <w:rPr>
          <w:rFonts w:hint="eastAsia" w:ascii="宋体" w:hAnsi="宋体"/>
          <w:bCs/>
          <w:color w:val="auto"/>
          <w:sz w:val="21"/>
          <w:szCs w:val="21"/>
        </w:rPr>
        <w:t>：</w:t>
      </w:r>
      <w:r>
        <w:rPr>
          <w:rFonts w:hint="eastAsia" w:ascii="宋体" w:hAnsi="宋体" w:eastAsia="宋体" w:cs="宋体"/>
          <w:color w:val="auto"/>
          <w:sz w:val="21"/>
          <w:szCs w:val="21"/>
        </w:rPr>
        <w:sym w:font="Wingdings" w:char="00A8"/>
      </w:r>
      <w:r>
        <w:rPr>
          <w:rFonts w:hint="eastAsia" w:ascii="宋体" w:hAnsi="宋体"/>
          <w:bCs/>
          <w:color w:val="auto"/>
          <w:sz w:val="21"/>
          <w:szCs w:val="21"/>
        </w:rPr>
        <w:t xml:space="preserve">是  </w:t>
      </w:r>
      <w:r>
        <w:rPr>
          <w:rFonts w:hint="eastAsia" w:ascii="宋体" w:hAnsi="宋体" w:eastAsia="宋体" w:cs="宋体"/>
          <w:color w:val="auto"/>
          <w:sz w:val="21"/>
          <w:szCs w:val="21"/>
        </w:rPr>
        <w:sym w:font="Wingdings" w:char="00A8"/>
      </w:r>
      <w:r>
        <w:rPr>
          <w:rFonts w:hint="eastAsia" w:ascii="宋体" w:hAnsi="宋体"/>
          <w:bCs/>
          <w:color w:val="auto"/>
          <w:sz w:val="21"/>
          <w:szCs w:val="21"/>
        </w:rPr>
        <w:t>否</w:t>
      </w:r>
    </w:p>
    <w:p w14:paraId="0F16D39F">
      <w:pPr>
        <w:adjustRightInd w:val="0"/>
        <w:snapToGrid w:val="0"/>
        <w:spacing w:before="0" w:beforeLines="0" w:line="400" w:lineRule="exact"/>
        <w:ind w:firstLine="840" w:firstLineChars="400"/>
        <w:rPr>
          <w:rFonts w:hint="eastAsia" w:ascii="宋体" w:hAnsi="宋体"/>
          <w:bCs/>
          <w:color w:val="auto"/>
          <w:sz w:val="21"/>
          <w:szCs w:val="21"/>
        </w:rPr>
      </w:pPr>
      <w:r>
        <w:rPr>
          <w:rFonts w:hint="eastAsia" w:ascii="宋体" w:hAnsi="宋体"/>
          <w:bCs/>
          <w:color w:val="auto"/>
          <w:sz w:val="21"/>
          <w:szCs w:val="21"/>
          <w:lang w:eastAsia="zh-CN"/>
        </w:rPr>
        <w:t>是否进行抽查检测：</w:t>
      </w:r>
      <w:r>
        <w:rPr>
          <w:rFonts w:hint="eastAsia" w:ascii="宋体" w:hAnsi="宋体" w:eastAsia="宋体" w:cs="宋体"/>
          <w:color w:val="auto"/>
          <w:sz w:val="21"/>
          <w:szCs w:val="21"/>
        </w:rPr>
        <w:sym w:font="Wingdings" w:char="00A8"/>
      </w:r>
      <w:r>
        <w:rPr>
          <w:rFonts w:hint="eastAsia" w:ascii="宋体" w:hAnsi="宋体"/>
          <w:bCs/>
          <w:color w:val="auto"/>
          <w:sz w:val="21"/>
          <w:szCs w:val="21"/>
        </w:rPr>
        <w:t>是</w:t>
      </w:r>
      <w:r>
        <w:rPr>
          <w:rFonts w:hint="eastAsia" w:ascii="宋体" w:hAnsi="宋体"/>
          <w:bCs/>
          <w:color w:val="auto"/>
          <w:sz w:val="21"/>
          <w:szCs w:val="21"/>
          <w:lang w:eastAsia="zh-CN"/>
        </w:rPr>
        <w:t>，抽查比例：</w:t>
      </w:r>
      <w:r>
        <w:rPr>
          <w:rFonts w:hint="eastAsia" w:ascii="宋体" w:hAnsi="宋体"/>
          <w:bCs/>
          <w:color w:val="auto"/>
          <w:sz w:val="21"/>
          <w:szCs w:val="21"/>
          <w:u w:val="single"/>
        </w:rPr>
        <w:t xml:space="preserve">   </w:t>
      </w:r>
      <w:r>
        <w:rPr>
          <w:rFonts w:hint="eastAsia" w:ascii="宋体" w:hAnsi="宋体"/>
          <w:bCs/>
          <w:color w:val="auto"/>
          <w:sz w:val="21"/>
          <w:szCs w:val="21"/>
          <w:u w:val="single"/>
          <w:lang w:val="en-US" w:eastAsia="zh-CN"/>
        </w:rPr>
        <w:t xml:space="preserve">     </w:t>
      </w:r>
      <w:r>
        <w:rPr>
          <w:rFonts w:hint="eastAsia" w:ascii="宋体" w:hAnsi="宋体"/>
          <w:bCs/>
          <w:color w:val="auto"/>
          <w:sz w:val="21"/>
          <w:szCs w:val="21"/>
        </w:rPr>
        <w:t xml:space="preserve"> </w:t>
      </w:r>
      <w:r>
        <w:rPr>
          <w:rFonts w:hint="eastAsia" w:ascii="宋体" w:hAnsi="宋体" w:eastAsia="宋体" w:cs="宋体"/>
          <w:color w:val="auto"/>
          <w:sz w:val="21"/>
          <w:szCs w:val="21"/>
        </w:rPr>
        <w:sym w:font="Wingdings" w:char="00A8"/>
      </w:r>
      <w:r>
        <w:rPr>
          <w:rFonts w:hint="eastAsia" w:ascii="宋体" w:hAnsi="宋体"/>
          <w:bCs/>
          <w:color w:val="auto"/>
          <w:sz w:val="21"/>
          <w:szCs w:val="21"/>
        </w:rPr>
        <w:t>否</w:t>
      </w:r>
    </w:p>
    <w:p w14:paraId="166F5347">
      <w:pPr>
        <w:adjustRightInd w:val="0"/>
        <w:snapToGrid w:val="0"/>
        <w:spacing w:before="0" w:beforeLines="0" w:line="400" w:lineRule="exact"/>
        <w:ind w:firstLine="840" w:firstLineChars="400"/>
        <w:rPr>
          <w:rFonts w:hint="eastAsia" w:ascii="宋体" w:hAnsi="宋体" w:eastAsia="宋体"/>
          <w:bCs/>
          <w:color w:val="auto"/>
          <w:sz w:val="21"/>
          <w:szCs w:val="21"/>
          <w:u w:val="single"/>
          <w:lang w:eastAsia="zh-CN"/>
        </w:rPr>
      </w:pPr>
      <w:r>
        <w:rPr>
          <w:rFonts w:hint="eastAsia" w:ascii="宋体" w:hAnsi="宋体" w:eastAsia="宋体"/>
          <w:bCs/>
          <w:color w:val="auto"/>
          <w:sz w:val="21"/>
          <w:szCs w:val="21"/>
          <w:lang w:val="en-US" w:eastAsia="zh-CN"/>
        </w:rPr>
        <w:t>是否存在破坏性检测：</w:t>
      </w:r>
      <w:r>
        <w:rPr>
          <w:rFonts w:hint="eastAsia" w:ascii="宋体" w:hAnsi="宋体" w:eastAsia="宋体" w:cs="宋体"/>
          <w:color w:val="auto"/>
          <w:sz w:val="21"/>
          <w:szCs w:val="21"/>
        </w:rPr>
        <w:sym w:font="Wingdings" w:char="00A8"/>
      </w:r>
      <w:r>
        <w:rPr>
          <w:rFonts w:hint="eastAsia" w:ascii="宋体" w:hAnsi="宋体" w:eastAsia="宋体"/>
          <w:bCs/>
          <w:color w:val="auto"/>
          <w:sz w:val="21"/>
          <w:szCs w:val="21"/>
        </w:rPr>
        <w:t>是</w:t>
      </w:r>
      <w:r>
        <w:rPr>
          <w:rFonts w:hint="eastAsia" w:ascii="宋体" w:hAnsi="宋体" w:eastAsia="宋体"/>
          <w:bCs/>
          <w:color w:val="auto"/>
          <w:sz w:val="21"/>
          <w:szCs w:val="21"/>
          <w:lang w:eastAsia="zh-CN"/>
        </w:rPr>
        <w:t>，</w:t>
      </w:r>
      <w:r>
        <w:rPr>
          <w:rFonts w:hint="eastAsia" w:ascii="宋体" w:hAnsi="宋体" w:eastAsia="宋体"/>
          <w:bCs/>
          <w:color w:val="auto"/>
          <w:sz w:val="21"/>
          <w:szCs w:val="21"/>
          <w:u w:val="single"/>
          <w:lang w:eastAsia="zh-CN"/>
        </w:rPr>
        <w:t>（应明确对被破坏的检测产品的处理方式）</w:t>
      </w:r>
    </w:p>
    <w:p w14:paraId="2734BBB9">
      <w:pPr>
        <w:adjustRightInd w:val="0"/>
        <w:snapToGrid w:val="0"/>
        <w:spacing w:before="0" w:beforeLines="0" w:line="400" w:lineRule="exact"/>
        <w:ind w:firstLine="840" w:firstLineChars="400"/>
        <w:rPr>
          <w:rFonts w:hint="eastAsia" w:ascii="宋体" w:hAnsi="宋体" w:eastAsia="宋体"/>
          <w:bCs/>
          <w:color w:val="auto"/>
          <w:sz w:val="21"/>
          <w:szCs w:val="21"/>
          <w:lang w:eastAsia="zh-CN"/>
        </w:rPr>
      </w:pPr>
      <w:r>
        <w:rPr>
          <w:rFonts w:hint="eastAsia" w:ascii="宋体" w:hAnsi="宋体" w:eastAsia="宋体"/>
          <w:bCs/>
          <w:color w:val="auto"/>
          <w:sz w:val="21"/>
          <w:szCs w:val="21"/>
          <w:lang w:val="en-US" w:eastAsia="zh-CN"/>
        </w:rPr>
        <w:t xml:space="preserve">                    </w:t>
      </w:r>
      <w:r>
        <w:rPr>
          <w:rFonts w:hint="eastAsia" w:ascii="宋体" w:hAnsi="宋体" w:eastAsia="宋体" w:cs="宋体"/>
          <w:color w:val="auto"/>
          <w:sz w:val="21"/>
          <w:szCs w:val="21"/>
        </w:rPr>
        <w:sym w:font="Wingdings" w:char="00A8"/>
      </w:r>
      <w:r>
        <w:rPr>
          <w:rFonts w:hint="eastAsia" w:ascii="宋体" w:hAnsi="宋体" w:eastAsia="宋体"/>
          <w:bCs/>
          <w:color w:val="auto"/>
          <w:sz w:val="21"/>
          <w:szCs w:val="21"/>
        </w:rPr>
        <w:t>否</w:t>
      </w:r>
    </w:p>
    <w:p w14:paraId="551D2A70">
      <w:pPr>
        <w:adjustRightInd w:val="0"/>
        <w:snapToGrid w:val="0"/>
        <w:spacing w:before="0" w:beforeLines="0" w:line="400" w:lineRule="exact"/>
        <w:ind w:firstLine="840" w:firstLineChars="400"/>
        <w:rPr>
          <w:rFonts w:hint="eastAsia" w:ascii="宋体" w:hAnsi="宋体"/>
          <w:bCs/>
          <w:color w:val="auto"/>
          <w:sz w:val="21"/>
          <w:szCs w:val="21"/>
          <w:u w:val="single"/>
        </w:rPr>
      </w:pPr>
      <w:r>
        <w:rPr>
          <w:rFonts w:hint="eastAsia" w:ascii="宋体" w:hAnsi="宋体"/>
          <w:bCs/>
          <w:color w:val="auto"/>
          <w:sz w:val="21"/>
          <w:szCs w:val="21"/>
        </w:rPr>
        <w:t>验收组织的其他事项：</w:t>
      </w:r>
      <w:r>
        <w:rPr>
          <w:rFonts w:hint="eastAsia" w:ascii="宋体" w:hAnsi="宋体"/>
          <w:bCs/>
          <w:color w:val="auto"/>
          <w:sz w:val="21"/>
          <w:szCs w:val="21"/>
          <w:u w:val="single"/>
        </w:rPr>
        <w:t xml:space="preserve">                </w:t>
      </w:r>
    </w:p>
    <w:p w14:paraId="4AC40E13">
      <w:pPr>
        <w:adjustRightInd w:val="0"/>
        <w:snapToGrid w:val="0"/>
        <w:spacing w:before="0" w:beforeLines="0" w:line="400" w:lineRule="exact"/>
        <w:ind w:firstLine="420" w:firstLineChars="200"/>
        <w:rPr>
          <w:rFonts w:hint="eastAsia" w:ascii="宋体" w:hAnsi="宋体"/>
          <w:bCs/>
          <w:color w:val="auto"/>
          <w:sz w:val="21"/>
          <w:szCs w:val="21"/>
          <w:u w:val="single"/>
        </w:rPr>
      </w:pPr>
      <w:r>
        <w:rPr>
          <w:rFonts w:hint="eastAsia" w:ascii="宋体" w:hAnsi="宋体"/>
          <w:bCs/>
          <w:color w:val="auto"/>
          <w:sz w:val="21"/>
          <w:szCs w:val="21"/>
        </w:rPr>
        <w:t>（2）履约验收时间：</w:t>
      </w:r>
      <w:r>
        <w:rPr>
          <w:rFonts w:hint="eastAsia" w:ascii="宋体" w:hAnsi="宋体"/>
          <w:bCs/>
          <w:color w:val="auto"/>
          <w:sz w:val="21"/>
          <w:szCs w:val="21"/>
          <w:u w:val="single"/>
        </w:rPr>
        <w:t>（计划于何时验收/供应商提出验收申请之日起   日内组织验收）</w:t>
      </w:r>
      <w:r>
        <w:rPr>
          <w:rFonts w:hint="eastAsia" w:ascii="宋体" w:hAnsi="宋体"/>
          <w:bCs/>
          <w:color w:val="auto"/>
          <w:sz w:val="21"/>
          <w:szCs w:val="21"/>
          <w:u w:val="single"/>
          <w:lang w:val="en-US" w:eastAsia="zh-CN"/>
        </w:rPr>
        <w:t xml:space="preserve"> </w:t>
      </w:r>
    </w:p>
    <w:p w14:paraId="4586A374">
      <w:pPr>
        <w:adjustRightInd w:val="0"/>
        <w:snapToGrid w:val="0"/>
        <w:spacing w:before="0" w:beforeLines="0" w:line="400" w:lineRule="exact"/>
        <w:ind w:firstLine="420" w:firstLineChars="200"/>
        <w:rPr>
          <w:rFonts w:hint="eastAsia" w:ascii="宋体" w:hAnsi="宋体"/>
          <w:bCs/>
          <w:color w:val="auto"/>
          <w:sz w:val="21"/>
          <w:szCs w:val="21"/>
        </w:rPr>
      </w:pPr>
      <w:r>
        <w:rPr>
          <w:rFonts w:hint="eastAsia" w:ascii="宋体" w:hAnsi="宋体"/>
          <w:bCs/>
          <w:color w:val="auto"/>
          <w:sz w:val="21"/>
          <w:szCs w:val="21"/>
        </w:rPr>
        <w:t>（3）履约验收方式：</w:t>
      </w:r>
      <w:r>
        <w:rPr>
          <w:rFonts w:hint="eastAsia" w:ascii="宋体" w:hAnsi="宋体" w:eastAsia="宋体" w:cs="宋体"/>
          <w:color w:val="auto"/>
          <w:sz w:val="21"/>
          <w:szCs w:val="21"/>
        </w:rPr>
        <w:sym w:font="Wingdings" w:char="00A8"/>
      </w:r>
      <w:r>
        <w:rPr>
          <w:rFonts w:hint="eastAsia" w:ascii="宋体" w:hAnsi="宋体"/>
          <w:bCs/>
          <w:color w:val="auto"/>
          <w:sz w:val="21"/>
          <w:szCs w:val="21"/>
        </w:rPr>
        <w:t xml:space="preserve">一次性验收         </w:t>
      </w:r>
    </w:p>
    <w:p w14:paraId="2C5B8C28">
      <w:pPr>
        <w:adjustRightInd w:val="0"/>
        <w:snapToGrid w:val="0"/>
        <w:spacing w:before="0" w:beforeLines="0" w:line="400" w:lineRule="exact"/>
        <w:ind w:firstLine="0" w:firstLineChars="0"/>
        <w:rPr>
          <w:rFonts w:hint="eastAsia" w:ascii="宋体" w:hAnsi="宋体" w:eastAsia="宋体"/>
          <w:bCs/>
          <w:color w:val="auto"/>
          <w:sz w:val="21"/>
          <w:szCs w:val="21"/>
          <w:lang w:val="en-US" w:eastAsia="zh-CN"/>
        </w:rPr>
      </w:pPr>
      <w:r>
        <w:rPr>
          <w:rFonts w:hint="eastAsia" w:ascii="宋体" w:hAnsi="宋体"/>
          <w:bCs/>
          <w:color w:val="auto"/>
          <w:sz w:val="21"/>
          <w:szCs w:val="21"/>
          <w:lang w:val="en-US" w:eastAsia="zh-CN"/>
        </w:rPr>
        <w:t xml:space="preserve">                       </w:t>
      </w:r>
      <w:r>
        <w:rPr>
          <w:rFonts w:hint="eastAsia" w:ascii="宋体" w:hAnsi="宋体" w:eastAsia="宋体" w:cs="宋体"/>
          <w:color w:val="auto"/>
          <w:sz w:val="21"/>
          <w:szCs w:val="21"/>
        </w:rPr>
        <w:sym w:font="Wingdings" w:char="00A8"/>
      </w:r>
      <w:r>
        <w:rPr>
          <w:rFonts w:hint="eastAsia" w:ascii="宋体" w:hAnsi="宋体"/>
          <w:bCs/>
          <w:color w:val="auto"/>
          <w:sz w:val="21"/>
          <w:szCs w:val="21"/>
        </w:rPr>
        <w:t>分期/分项验收</w:t>
      </w:r>
      <w:r>
        <w:rPr>
          <w:rFonts w:hint="eastAsia" w:ascii="宋体" w:hAnsi="宋体"/>
          <w:bCs/>
          <w:color w:val="auto"/>
          <w:sz w:val="21"/>
          <w:szCs w:val="21"/>
          <w:lang w:eastAsia="zh-CN"/>
        </w:rPr>
        <w:t>：</w:t>
      </w:r>
      <w:r>
        <w:rPr>
          <w:rFonts w:hint="eastAsia" w:ascii="宋体" w:hAnsi="宋体"/>
          <w:bCs/>
          <w:color w:val="auto"/>
          <w:sz w:val="21"/>
          <w:szCs w:val="21"/>
          <w:u w:val="single"/>
        </w:rPr>
        <w:t xml:space="preserve"> </w:t>
      </w:r>
      <w:r>
        <w:rPr>
          <w:rFonts w:hint="eastAsia" w:ascii="宋体" w:hAnsi="宋体"/>
          <w:bCs/>
          <w:color w:val="auto"/>
          <w:sz w:val="21"/>
          <w:szCs w:val="21"/>
          <w:u w:val="single"/>
          <w:lang w:eastAsia="zh-CN"/>
        </w:rPr>
        <w:t>（应明确分期</w:t>
      </w:r>
      <w:r>
        <w:rPr>
          <w:rFonts w:hint="default" w:ascii="宋体" w:hAnsi="宋体"/>
          <w:bCs/>
          <w:color w:val="auto"/>
          <w:sz w:val="21"/>
          <w:szCs w:val="21"/>
          <w:u w:val="single"/>
          <w:lang w:val="en" w:eastAsia="zh-CN"/>
        </w:rPr>
        <w:t>/</w:t>
      </w:r>
      <w:r>
        <w:rPr>
          <w:rFonts w:hint="eastAsia" w:ascii="宋体" w:hAnsi="宋体"/>
          <w:bCs/>
          <w:color w:val="auto"/>
          <w:sz w:val="21"/>
          <w:szCs w:val="21"/>
          <w:u w:val="single"/>
          <w:lang w:val="en" w:eastAsia="zh-CN"/>
        </w:rPr>
        <w:t>分项验收的工作安排</w:t>
      </w:r>
      <w:r>
        <w:rPr>
          <w:rFonts w:hint="eastAsia" w:ascii="宋体" w:hAnsi="宋体"/>
          <w:bCs/>
          <w:color w:val="auto"/>
          <w:sz w:val="21"/>
          <w:szCs w:val="21"/>
          <w:u w:val="single"/>
          <w:lang w:eastAsia="zh-CN"/>
        </w:rPr>
        <w:t>）</w:t>
      </w:r>
      <w:r>
        <w:rPr>
          <w:rFonts w:hint="eastAsia" w:ascii="宋体" w:hAnsi="宋体"/>
          <w:bCs/>
          <w:color w:val="auto"/>
          <w:sz w:val="21"/>
          <w:szCs w:val="21"/>
          <w:u w:val="single"/>
        </w:rPr>
        <w:t xml:space="preserve"> </w:t>
      </w:r>
      <w:r>
        <w:rPr>
          <w:rFonts w:hint="eastAsia" w:ascii="宋体" w:hAnsi="宋体"/>
          <w:bCs/>
          <w:color w:val="auto"/>
          <w:sz w:val="21"/>
          <w:szCs w:val="21"/>
          <w:u w:val="single"/>
          <w:lang w:val="en-US" w:eastAsia="zh-CN"/>
        </w:rPr>
        <w:t xml:space="preserve"> </w:t>
      </w:r>
    </w:p>
    <w:p w14:paraId="1C98D37C">
      <w:pPr>
        <w:adjustRightInd w:val="0"/>
        <w:snapToGrid w:val="0"/>
        <w:spacing w:before="0" w:beforeLines="0" w:line="400" w:lineRule="exact"/>
        <w:ind w:firstLine="420" w:firstLineChars="200"/>
        <w:rPr>
          <w:rFonts w:ascii="宋体" w:hAnsi="宋体"/>
          <w:bCs/>
          <w:color w:val="auto"/>
          <w:sz w:val="21"/>
          <w:szCs w:val="21"/>
        </w:rPr>
      </w:pPr>
      <w:r>
        <w:rPr>
          <w:rFonts w:hint="eastAsia" w:ascii="宋体" w:hAnsi="宋体"/>
          <w:bCs/>
          <w:color w:val="auto"/>
          <w:sz w:val="21"/>
          <w:szCs w:val="21"/>
        </w:rPr>
        <w:t>（4）履约验收程序：</w:t>
      </w:r>
      <w:r>
        <w:rPr>
          <w:rFonts w:hint="eastAsia" w:ascii="宋体" w:hAnsi="宋体"/>
          <w:bCs/>
          <w:color w:val="auto"/>
          <w:sz w:val="21"/>
          <w:szCs w:val="21"/>
          <w:u w:val="single"/>
        </w:rPr>
        <w:t xml:space="preserve">                                         </w:t>
      </w:r>
    </w:p>
    <w:p w14:paraId="5283862A">
      <w:pPr>
        <w:adjustRightInd w:val="0"/>
        <w:snapToGrid w:val="0"/>
        <w:spacing w:before="0" w:beforeLines="0" w:line="400" w:lineRule="exact"/>
        <w:ind w:firstLine="420" w:firstLineChars="200"/>
        <w:rPr>
          <w:rFonts w:ascii="宋体" w:hAnsi="宋体"/>
          <w:bCs/>
          <w:color w:val="auto"/>
          <w:sz w:val="21"/>
          <w:szCs w:val="21"/>
          <w:u w:val="single"/>
        </w:rPr>
      </w:pPr>
      <w:r>
        <w:rPr>
          <w:rFonts w:hint="eastAsia" w:ascii="宋体" w:hAnsi="宋体"/>
          <w:bCs/>
          <w:color w:val="auto"/>
          <w:sz w:val="21"/>
          <w:szCs w:val="21"/>
        </w:rPr>
        <w:t>（5）履约验收的内容：</w:t>
      </w:r>
      <w:r>
        <w:rPr>
          <w:rFonts w:hint="eastAsia" w:ascii="宋体" w:hAnsi="宋体"/>
          <w:bCs/>
          <w:color w:val="auto"/>
          <w:sz w:val="21"/>
          <w:szCs w:val="21"/>
          <w:u w:val="single"/>
        </w:rPr>
        <w:t xml:space="preserve"> </w:t>
      </w:r>
      <w:r>
        <w:rPr>
          <w:rFonts w:hint="eastAsia" w:ascii="宋体" w:hAnsi="宋体"/>
          <w:bCs/>
          <w:color w:val="auto"/>
          <w:sz w:val="21"/>
          <w:szCs w:val="21"/>
          <w:u w:val="single"/>
          <w:lang w:eastAsia="zh-CN"/>
        </w:rPr>
        <w:t>（应当包括每一项技术和商务要求的履约情况，特别是落实政府采购扶持中小企业，支持绿色发展和乡村振兴等政策情况）</w:t>
      </w:r>
      <w:r>
        <w:rPr>
          <w:rFonts w:hint="eastAsia" w:ascii="宋体" w:hAnsi="宋体"/>
          <w:bCs/>
          <w:color w:val="auto"/>
          <w:sz w:val="21"/>
          <w:szCs w:val="21"/>
          <w:u w:val="single"/>
        </w:rPr>
        <w:t xml:space="preserve">                                      </w:t>
      </w:r>
    </w:p>
    <w:p w14:paraId="5F61AAD5">
      <w:pPr>
        <w:adjustRightInd w:val="0"/>
        <w:snapToGrid w:val="0"/>
        <w:spacing w:before="0" w:beforeLines="0" w:line="400" w:lineRule="exact"/>
        <w:ind w:firstLine="420" w:firstLineChars="200"/>
        <w:rPr>
          <w:rFonts w:hint="eastAsia" w:ascii="宋体" w:hAnsi="宋体"/>
          <w:bCs/>
          <w:color w:val="auto"/>
          <w:sz w:val="21"/>
          <w:szCs w:val="21"/>
          <w:u w:val="single"/>
        </w:rPr>
      </w:pPr>
      <w:r>
        <w:rPr>
          <w:rFonts w:hint="eastAsia" w:ascii="宋体" w:hAnsi="宋体"/>
          <w:bCs/>
          <w:color w:val="auto"/>
          <w:sz w:val="21"/>
          <w:szCs w:val="21"/>
        </w:rPr>
        <w:t>（6）履约验收标准：</w:t>
      </w:r>
      <w:r>
        <w:rPr>
          <w:rFonts w:hint="eastAsia" w:ascii="宋体" w:hAnsi="宋体"/>
          <w:bCs/>
          <w:color w:val="auto"/>
          <w:sz w:val="21"/>
          <w:szCs w:val="21"/>
          <w:u w:val="single"/>
        </w:rPr>
        <w:t xml:space="preserve">                                         </w:t>
      </w:r>
    </w:p>
    <w:p w14:paraId="7F2C9B3F">
      <w:pPr>
        <w:pStyle w:val="42"/>
        <w:spacing w:beforeLines="0"/>
        <w:rPr>
          <w:rFonts w:hint="eastAsia" w:ascii="宋体" w:hAnsi="宋体" w:eastAsia="宋体" w:cs="宋体"/>
          <w:color w:val="auto"/>
          <w:sz w:val="21"/>
          <w:szCs w:val="21"/>
          <w:lang w:eastAsia="zh-CN"/>
        </w:rPr>
      </w:pPr>
      <w:r>
        <w:rPr>
          <w:rFonts w:hint="eastAsia" w:ascii="宋体" w:hAnsi="宋体" w:eastAsia="宋体" w:cs="宋体"/>
          <w:bCs/>
          <w:color w:val="auto"/>
          <w:sz w:val="21"/>
          <w:szCs w:val="21"/>
          <w:u w:val="none"/>
          <w:lang w:eastAsia="zh-CN"/>
        </w:rPr>
        <w:t>（</w:t>
      </w:r>
      <w:r>
        <w:rPr>
          <w:rFonts w:hint="eastAsia" w:ascii="宋体" w:hAnsi="宋体" w:eastAsia="宋体" w:cs="宋体"/>
          <w:bCs/>
          <w:color w:val="auto"/>
          <w:sz w:val="21"/>
          <w:szCs w:val="21"/>
          <w:u w:val="none"/>
          <w:lang w:val="en-US" w:eastAsia="zh-CN"/>
        </w:rPr>
        <w:t>7</w:t>
      </w:r>
      <w:r>
        <w:rPr>
          <w:rFonts w:hint="eastAsia" w:ascii="宋体" w:hAnsi="宋体" w:eastAsia="宋体" w:cs="宋体"/>
          <w:bCs/>
          <w:color w:val="auto"/>
          <w:sz w:val="21"/>
          <w:szCs w:val="21"/>
          <w:u w:val="none"/>
          <w:lang w:eastAsia="zh-CN"/>
        </w:rPr>
        <w:t>）是否以采购活动中供应商提供的样品作为参考：</w:t>
      </w:r>
      <w:r>
        <w:rPr>
          <w:rFonts w:hint="eastAsia" w:ascii="宋体" w:hAnsi="宋体" w:eastAsia="宋体" w:cs="宋体"/>
          <w:color w:val="auto"/>
          <w:sz w:val="21"/>
          <w:szCs w:val="21"/>
        </w:rPr>
        <w:sym w:font="Wingdings" w:char="00A8"/>
      </w:r>
      <w:r>
        <w:rPr>
          <w:rFonts w:hint="eastAsia" w:ascii="宋体" w:hAnsi="宋体" w:eastAsia="宋体" w:cs="宋体"/>
          <w:bCs/>
          <w:color w:val="auto"/>
          <w:sz w:val="21"/>
          <w:szCs w:val="21"/>
        </w:rPr>
        <w:t xml:space="preserve">是  </w:t>
      </w:r>
      <w:r>
        <w:rPr>
          <w:rFonts w:hint="eastAsia" w:ascii="宋体" w:hAnsi="宋体" w:eastAsia="宋体" w:cs="宋体"/>
          <w:color w:val="auto"/>
          <w:sz w:val="21"/>
          <w:szCs w:val="21"/>
        </w:rPr>
        <w:sym w:font="Wingdings" w:char="00A8"/>
      </w:r>
      <w:r>
        <w:rPr>
          <w:rFonts w:hint="eastAsia" w:ascii="宋体" w:hAnsi="宋体" w:eastAsia="宋体" w:cs="宋体"/>
          <w:bCs/>
          <w:color w:val="auto"/>
          <w:sz w:val="21"/>
          <w:szCs w:val="21"/>
        </w:rPr>
        <w:t>否</w:t>
      </w:r>
    </w:p>
    <w:p w14:paraId="50E48C29">
      <w:pPr>
        <w:adjustRightInd w:val="0"/>
        <w:snapToGrid w:val="0"/>
        <w:spacing w:before="0" w:beforeLines="0" w:line="400" w:lineRule="exact"/>
        <w:ind w:firstLine="420" w:firstLineChars="200"/>
        <w:rPr>
          <w:rFonts w:hint="eastAsia" w:ascii="宋体" w:hAnsi="宋体" w:cs="宋体"/>
          <w:bCs/>
          <w:color w:val="auto"/>
          <w:sz w:val="21"/>
          <w:szCs w:val="21"/>
          <w:u w:val="single"/>
        </w:rPr>
      </w:pPr>
      <w:r>
        <w:rPr>
          <w:rFonts w:hint="eastAsia" w:ascii="宋体" w:hAnsi="宋体" w:cs="宋体"/>
          <w:bCs/>
          <w:color w:val="auto"/>
          <w:sz w:val="21"/>
          <w:szCs w:val="21"/>
        </w:rPr>
        <w:t>（8）履约验收其他事项：</w:t>
      </w:r>
      <w:r>
        <w:rPr>
          <w:rFonts w:hint="eastAsia" w:ascii="宋体" w:hAnsi="宋体" w:cs="宋体"/>
          <w:bCs/>
          <w:color w:val="auto"/>
          <w:sz w:val="21"/>
          <w:szCs w:val="21"/>
          <w:u w:val="single"/>
        </w:rPr>
        <w:t xml:space="preserve">      </w:t>
      </w:r>
      <w:r>
        <w:rPr>
          <w:rFonts w:hint="eastAsia" w:ascii="宋体" w:hAnsi="宋体" w:cs="宋体"/>
          <w:bCs/>
          <w:i w:val="0"/>
          <w:iCs w:val="0"/>
          <w:color w:val="auto"/>
          <w:sz w:val="21"/>
          <w:szCs w:val="21"/>
          <w:u w:val="single"/>
        </w:rPr>
        <w:t>（产权过户登记等）</w:t>
      </w:r>
      <w:r>
        <w:rPr>
          <w:rFonts w:hint="eastAsia" w:ascii="宋体" w:hAnsi="宋体" w:cs="宋体"/>
          <w:bCs/>
          <w:color w:val="auto"/>
          <w:sz w:val="21"/>
          <w:szCs w:val="21"/>
          <w:u w:val="single"/>
        </w:rPr>
        <w:t xml:space="preserve">          </w:t>
      </w:r>
    </w:p>
    <w:p w14:paraId="0E1233C1">
      <w:pPr>
        <w:numPr>
          <w:ilvl w:val="0"/>
          <w:numId w:val="3"/>
        </w:numPr>
        <w:adjustRightInd w:val="0"/>
        <w:snapToGrid w:val="0"/>
        <w:spacing w:before="0" w:beforeLines="0" w:line="400" w:lineRule="exact"/>
        <w:ind w:firstLine="422" w:firstLineChars="200"/>
        <w:rPr>
          <w:rFonts w:hint="eastAsia" w:ascii="宋体" w:hAnsi="宋体"/>
          <w:b/>
          <w:color w:val="auto"/>
          <w:sz w:val="21"/>
          <w:szCs w:val="21"/>
        </w:rPr>
      </w:pPr>
      <w:r>
        <w:rPr>
          <w:rFonts w:hint="eastAsia" w:ascii="宋体" w:hAnsi="宋体"/>
          <w:b/>
          <w:color w:val="auto"/>
          <w:sz w:val="21"/>
          <w:szCs w:val="21"/>
        </w:rPr>
        <w:t>组成合同的文件</w:t>
      </w:r>
    </w:p>
    <w:p w14:paraId="7231B2A9">
      <w:pPr>
        <w:adjustRightInd w:val="0"/>
        <w:snapToGrid w:val="0"/>
        <w:spacing w:before="0" w:beforeLines="0" w:line="400" w:lineRule="exact"/>
        <w:ind w:firstLine="420" w:firstLineChars="200"/>
        <w:rPr>
          <w:rFonts w:ascii="宋体" w:hAnsi="宋体"/>
          <w:color w:val="auto"/>
          <w:sz w:val="21"/>
          <w:szCs w:val="21"/>
        </w:rPr>
      </w:pPr>
      <w:r>
        <w:rPr>
          <w:rFonts w:hint="eastAsia" w:ascii="宋体" w:hAnsi="宋体"/>
          <w:color w:val="auto"/>
          <w:sz w:val="21"/>
          <w:szCs w:val="21"/>
        </w:rPr>
        <w:t>本协议书与下列文件一起构成合同文件，如下述文件之间有任何抵触、矛盾或歧义，应按以下顺序解释：</w:t>
      </w:r>
    </w:p>
    <w:p w14:paraId="0D8C5387">
      <w:pPr>
        <w:adjustRightInd w:val="0"/>
        <w:snapToGrid w:val="0"/>
        <w:spacing w:before="0" w:beforeLines="0" w:line="400" w:lineRule="exact"/>
        <w:ind w:firstLine="420" w:firstLineChars="200"/>
        <w:rPr>
          <w:rFonts w:hint="eastAsia" w:ascii="宋体" w:hAnsi="宋体"/>
          <w:color w:val="auto"/>
          <w:sz w:val="21"/>
          <w:szCs w:val="21"/>
          <w:lang w:eastAsia="zh-CN"/>
        </w:rPr>
      </w:pPr>
      <w:r>
        <w:rPr>
          <w:rFonts w:hint="eastAsia" w:ascii="宋体" w:hAnsi="宋体"/>
          <w:color w:val="auto"/>
          <w:sz w:val="21"/>
          <w:szCs w:val="21"/>
        </w:rPr>
        <w:t>（1）</w:t>
      </w:r>
      <w:r>
        <w:rPr>
          <w:rFonts w:hint="eastAsia" w:ascii="宋体" w:hAnsi="宋体"/>
          <w:color w:val="auto"/>
          <w:sz w:val="21"/>
          <w:szCs w:val="21"/>
          <w:lang w:eastAsia="zh-CN"/>
        </w:rPr>
        <w:t>政府采购</w:t>
      </w:r>
      <w:r>
        <w:rPr>
          <w:rFonts w:hint="eastAsia" w:ascii="宋体" w:hAnsi="宋体"/>
          <w:color w:val="auto"/>
          <w:sz w:val="21"/>
          <w:szCs w:val="21"/>
        </w:rPr>
        <w:t>合同协议书及其变更、补充</w:t>
      </w:r>
      <w:r>
        <w:rPr>
          <w:rFonts w:hint="eastAsia" w:ascii="宋体" w:hAnsi="宋体"/>
          <w:color w:val="auto"/>
          <w:sz w:val="21"/>
          <w:szCs w:val="21"/>
          <w:lang w:eastAsia="zh-CN"/>
        </w:rPr>
        <w:t>协议</w:t>
      </w:r>
    </w:p>
    <w:p w14:paraId="5EE6E605">
      <w:pPr>
        <w:adjustRightInd w:val="0"/>
        <w:snapToGrid w:val="0"/>
        <w:spacing w:before="0" w:beforeLines="0" w:line="400" w:lineRule="exact"/>
        <w:ind w:firstLine="420" w:firstLineChars="200"/>
        <w:rPr>
          <w:rFonts w:ascii="宋体" w:hAnsi="宋体"/>
          <w:color w:val="auto"/>
          <w:sz w:val="21"/>
          <w:szCs w:val="21"/>
        </w:rPr>
      </w:pPr>
      <w:r>
        <w:rPr>
          <w:rFonts w:hint="eastAsia" w:ascii="宋体" w:hAnsi="宋体"/>
          <w:color w:val="auto"/>
          <w:sz w:val="21"/>
          <w:szCs w:val="21"/>
        </w:rPr>
        <w:t>（</w:t>
      </w:r>
      <w:r>
        <w:rPr>
          <w:rFonts w:hint="eastAsia" w:ascii="宋体" w:hAnsi="宋体"/>
          <w:color w:val="auto"/>
          <w:sz w:val="21"/>
          <w:szCs w:val="21"/>
          <w:lang w:val="en-US" w:eastAsia="zh-CN"/>
        </w:rPr>
        <w:t>2</w:t>
      </w:r>
      <w:r>
        <w:rPr>
          <w:rFonts w:hint="eastAsia" w:ascii="宋体" w:hAnsi="宋体"/>
          <w:color w:val="auto"/>
          <w:sz w:val="21"/>
          <w:szCs w:val="21"/>
        </w:rPr>
        <w:t>）政府采购合同专用条款</w:t>
      </w:r>
    </w:p>
    <w:p w14:paraId="791C57D2">
      <w:pPr>
        <w:adjustRightInd w:val="0"/>
        <w:snapToGrid w:val="0"/>
        <w:spacing w:before="0" w:beforeLines="0" w:line="400" w:lineRule="exact"/>
        <w:ind w:firstLine="420" w:firstLineChars="200"/>
        <w:rPr>
          <w:rFonts w:ascii="宋体" w:hAnsi="宋体"/>
          <w:color w:val="auto"/>
          <w:sz w:val="21"/>
          <w:szCs w:val="21"/>
        </w:rPr>
      </w:pPr>
      <w:r>
        <w:rPr>
          <w:rFonts w:hint="eastAsia" w:ascii="宋体" w:hAnsi="宋体"/>
          <w:color w:val="auto"/>
          <w:sz w:val="21"/>
          <w:szCs w:val="21"/>
        </w:rPr>
        <w:t>（</w:t>
      </w:r>
      <w:r>
        <w:rPr>
          <w:rFonts w:hint="eastAsia" w:ascii="宋体" w:hAnsi="宋体"/>
          <w:color w:val="auto"/>
          <w:sz w:val="21"/>
          <w:szCs w:val="21"/>
          <w:lang w:val="en-US" w:eastAsia="zh-CN"/>
        </w:rPr>
        <w:t>3</w:t>
      </w:r>
      <w:r>
        <w:rPr>
          <w:rFonts w:hint="eastAsia" w:ascii="宋体" w:hAnsi="宋体"/>
          <w:color w:val="auto"/>
          <w:sz w:val="21"/>
          <w:szCs w:val="21"/>
        </w:rPr>
        <w:t>）政府采购合同通用条款</w:t>
      </w:r>
    </w:p>
    <w:p w14:paraId="6EFFD1DC">
      <w:pPr>
        <w:adjustRightInd w:val="0"/>
        <w:snapToGrid w:val="0"/>
        <w:spacing w:before="0" w:beforeLines="0" w:line="400" w:lineRule="exact"/>
        <w:ind w:firstLine="420" w:firstLineChars="200"/>
        <w:rPr>
          <w:rFonts w:ascii="宋体" w:hAnsi="宋体"/>
          <w:color w:val="auto"/>
          <w:sz w:val="21"/>
          <w:szCs w:val="21"/>
        </w:rPr>
      </w:pPr>
      <w:r>
        <w:rPr>
          <w:rFonts w:hint="eastAsia" w:ascii="宋体" w:hAnsi="宋体"/>
          <w:color w:val="auto"/>
          <w:sz w:val="21"/>
          <w:szCs w:val="21"/>
        </w:rPr>
        <w:t>（</w:t>
      </w:r>
      <w:r>
        <w:rPr>
          <w:rFonts w:hint="eastAsia" w:ascii="宋体" w:hAnsi="宋体"/>
          <w:color w:val="auto"/>
          <w:sz w:val="21"/>
          <w:szCs w:val="21"/>
          <w:lang w:val="en-US" w:eastAsia="zh-CN"/>
        </w:rPr>
        <w:t>4</w:t>
      </w:r>
      <w:r>
        <w:rPr>
          <w:rFonts w:hint="eastAsia" w:ascii="宋体" w:hAnsi="宋体"/>
          <w:color w:val="auto"/>
          <w:sz w:val="21"/>
          <w:szCs w:val="21"/>
        </w:rPr>
        <w:t>）中标</w:t>
      </w:r>
      <w:r>
        <w:rPr>
          <w:rFonts w:hint="eastAsia" w:ascii="宋体" w:hAnsi="宋体"/>
          <w:color w:val="auto"/>
          <w:sz w:val="21"/>
          <w:szCs w:val="21"/>
          <w:lang w:eastAsia="zh-CN"/>
        </w:rPr>
        <w:t>（成交）</w:t>
      </w:r>
      <w:r>
        <w:rPr>
          <w:rFonts w:hint="eastAsia" w:ascii="宋体" w:hAnsi="宋体"/>
          <w:color w:val="auto"/>
          <w:sz w:val="21"/>
          <w:szCs w:val="21"/>
        </w:rPr>
        <w:t>通知书</w:t>
      </w:r>
    </w:p>
    <w:p w14:paraId="44B75743">
      <w:pPr>
        <w:adjustRightInd w:val="0"/>
        <w:snapToGrid w:val="0"/>
        <w:spacing w:before="0" w:beforeLines="0" w:line="400" w:lineRule="exact"/>
        <w:ind w:firstLine="420" w:firstLineChars="200"/>
        <w:rPr>
          <w:rFonts w:ascii="宋体" w:hAnsi="宋体"/>
          <w:color w:val="auto"/>
          <w:sz w:val="21"/>
          <w:szCs w:val="21"/>
        </w:rPr>
      </w:pPr>
      <w:r>
        <w:rPr>
          <w:rFonts w:hint="eastAsia" w:ascii="宋体" w:hAnsi="宋体"/>
          <w:color w:val="auto"/>
          <w:sz w:val="21"/>
          <w:szCs w:val="21"/>
        </w:rPr>
        <w:t>（</w:t>
      </w:r>
      <w:r>
        <w:rPr>
          <w:rFonts w:hint="eastAsia" w:ascii="宋体" w:hAnsi="宋体"/>
          <w:color w:val="auto"/>
          <w:sz w:val="21"/>
          <w:szCs w:val="21"/>
          <w:lang w:val="en-US" w:eastAsia="zh-CN"/>
        </w:rPr>
        <w:t>5</w:t>
      </w:r>
      <w:r>
        <w:rPr>
          <w:rFonts w:hint="eastAsia" w:ascii="宋体" w:hAnsi="宋体"/>
          <w:color w:val="auto"/>
          <w:sz w:val="21"/>
          <w:szCs w:val="21"/>
        </w:rPr>
        <w:t>）投标（响应）文件</w:t>
      </w:r>
    </w:p>
    <w:p w14:paraId="6170BB0D">
      <w:pPr>
        <w:adjustRightInd w:val="0"/>
        <w:snapToGrid w:val="0"/>
        <w:spacing w:before="0" w:beforeLines="0" w:line="400" w:lineRule="exact"/>
        <w:ind w:firstLine="420" w:firstLineChars="200"/>
        <w:rPr>
          <w:rFonts w:ascii="宋体" w:hAnsi="宋体"/>
          <w:color w:val="auto"/>
          <w:sz w:val="21"/>
          <w:szCs w:val="21"/>
        </w:rPr>
      </w:pPr>
      <w:r>
        <w:rPr>
          <w:rFonts w:hint="eastAsia" w:ascii="宋体" w:hAnsi="宋体"/>
          <w:color w:val="auto"/>
          <w:sz w:val="21"/>
          <w:szCs w:val="21"/>
        </w:rPr>
        <w:t>（6）采购文件</w:t>
      </w:r>
    </w:p>
    <w:p w14:paraId="5B6C2FF8">
      <w:pPr>
        <w:adjustRightInd w:val="0"/>
        <w:snapToGrid w:val="0"/>
        <w:spacing w:before="0" w:beforeLines="0" w:line="400" w:lineRule="exact"/>
        <w:ind w:firstLine="420" w:firstLineChars="200"/>
        <w:rPr>
          <w:rFonts w:ascii="宋体" w:hAnsi="宋体"/>
          <w:color w:val="auto"/>
          <w:sz w:val="21"/>
          <w:szCs w:val="21"/>
        </w:rPr>
      </w:pPr>
      <w:r>
        <w:rPr>
          <w:rFonts w:hint="eastAsia" w:ascii="宋体" w:hAnsi="宋体"/>
          <w:color w:val="auto"/>
          <w:sz w:val="21"/>
          <w:szCs w:val="21"/>
        </w:rPr>
        <w:t>（7）有关技术文件，图纸</w:t>
      </w:r>
    </w:p>
    <w:p w14:paraId="58F74525">
      <w:pPr>
        <w:pStyle w:val="42"/>
        <w:spacing w:beforeLines="0"/>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w:t>
      </w:r>
      <w:r>
        <w:rPr>
          <w:rFonts w:hint="eastAsia" w:ascii="宋体" w:hAnsi="宋体" w:eastAsia="宋体" w:cs="宋体"/>
          <w:bCs w:val="0"/>
          <w:color w:val="auto"/>
          <w:kern w:val="2"/>
          <w:sz w:val="21"/>
          <w:szCs w:val="21"/>
          <w:highlight w:val="none"/>
          <w:lang w:eastAsia="zh-CN"/>
        </w:rPr>
        <w:t>国家法律、行政法规和规章制度规定或合同约定的作为合同组成部分的其他文件</w:t>
      </w:r>
    </w:p>
    <w:p w14:paraId="627FFF5C">
      <w:pPr>
        <w:numPr>
          <w:ilvl w:val="0"/>
          <w:numId w:val="3"/>
        </w:numPr>
        <w:adjustRightInd w:val="0"/>
        <w:snapToGrid w:val="0"/>
        <w:spacing w:before="0" w:beforeLines="0" w:line="400" w:lineRule="exact"/>
        <w:ind w:firstLine="422" w:firstLineChars="200"/>
        <w:rPr>
          <w:rFonts w:hint="eastAsia" w:ascii="宋体" w:hAnsi="宋体"/>
          <w:b/>
          <w:color w:val="auto"/>
          <w:sz w:val="21"/>
          <w:szCs w:val="21"/>
        </w:rPr>
      </w:pPr>
      <w:r>
        <w:rPr>
          <w:rFonts w:hint="eastAsia" w:ascii="宋体" w:hAnsi="宋体"/>
          <w:b/>
          <w:color w:val="auto"/>
          <w:sz w:val="21"/>
          <w:szCs w:val="21"/>
        </w:rPr>
        <w:t>合同生效</w:t>
      </w:r>
    </w:p>
    <w:p w14:paraId="3F5679DF">
      <w:pPr>
        <w:adjustRightInd w:val="0"/>
        <w:snapToGrid w:val="0"/>
        <w:spacing w:before="0" w:beforeLines="0" w:line="400" w:lineRule="exact"/>
        <w:ind w:firstLine="420" w:firstLineChars="200"/>
        <w:rPr>
          <w:rFonts w:ascii="宋体" w:hAnsi="宋体"/>
          <w:color w:val="auto"/>
          <w:sz w:val="21"/>
          <w:szCs w:val="21"/>
        </w:rPr>
      </w:pPr>
      <w:r>
        <w:rPr>
          <w:rFonts w:hint="eastAsia" w:ascii="宋体" w:hAnsi="宋体"/>
          <w:color w:val="auto"/>
          <w:sz w:val="21"/>
          <w:szCs w:val="21"/>
        </w:rPr>
        <w:t>本合同自</w:t>
      </w:r>
      <w:r>
        <w:rPr>
          <w:rFonts w:hint="eastAsia" w:ascii="宋体" w:hAnsi="宋体"/>
          <w:color w:val="auto"/>
          <w:sz w:val="21"/>
          <w:szCs w:val="21"/>
          <w:u w:val="single"/>
        </w:rPr>
        <w:t xml:space="preserve">                             </w:t>
      </w:r>
      <w:r>
        <w:rPr>
          <w:rFonts w:hint="eastAsia" w:ascii="宋体" w:hAnsi="宋体"/>
          <w:color w:val="auto"/>
          <w:sz w:val="21"/>
          <w:szCs w:val="21"/>
        </w:rPr>
        <w:t>生效。</w:t>
      </w:r>
    </w:p>
    <w:p w14:paraId="318A2F19">
      <w:pPr>
        <w:numPr>
          <w:ilvl w:val="0"/>
          <w:numId w:val="3"/>
        </w:numPr>
        <w:adjustRightInd w:val="0"/>
        <w:snapToGrid w:val="0"/>
        <w:spacing w:before="0" w:beforeLines="0" w:line="400" w:lineRule="exact"/>
        <w:ind w:firstLine="422" w:firstLineChars="200"/>
        <w:rPr>
          <w:rFonts w:hint="eastAsia" w:ascii="宋体" w:hAnsi="宋体"/>
          <w:b/>
          <w:color w:val="auto"/>
          <w:sz w:val="21"/>
          <w:szCs w:val="21"/>
        </w:rPr>
      </w:pPr>
      <w:r>
        <w:rPr>
          <w:rFonts w:hint="eastAsia" w:ascii="宋体" w:hAnsi="宋体"/>
          <w:b/>
          <w:color w:val="auto"/>
          <w:sz w:val="21"/>
          <w:szCs w:val="21"/>
        </w:rPr>
        <w:t>合同份数</w:t>
      </w:r>
    </w:p>
    <w:p w14:paraId="124E158E">
      <w:pPr>
        <w:adjustRightInd w:val="0"/>
        <w:snapToGrid w:val="0"/>
        <w:spacing w:before="0" w:beforeLines="0" w:line="400" w:lineRule="exact"/>
        <w:ind w:firstLine="420" w:firstLineChars="200"/>
        <w:rPr>
          <w:rFonts w:ascii="宋体" w:hAnsi="宋体"/>
          <w:color w:val="auto"/>
          <w:sz w:val="21"/>
          <w:szCs w:val="21"/>
        </w:rPr>
      </w:pPr>
      <w:r>
        <w:rPr>
          <w:rFonts w:hint="eastAsia" w:ascii="宋体" w:hAnsi="宋体"/>
          <w:color w:val="auto"/>
          <w:sz w:val="21"/>
          <w:szCs w:val="21"/>
        </w:rPr>
        <w:t>本合同一式</w:t>
      </w:r>
      <w:r>
        <w:rPr>
          <w:rFonts w:hint="eastAsia" w:ascii="宋体" w:hAnsi="宋体"/>
          <w:color w:val="auto"/>
          <w:sz w:val="21"/>
          <w:szCs w:val="21"/>
          <w:u w:val="single"/>
        </w:rPr>
        <w:t xml:space="preserve">    </w:t>
      </w:r>
      <w:r>
        <w:rPr>
          <w:rFonts w:hint="eastAsia" w:ascii="宋体" w:hAnsi="宋体"/>
          <w:color w:val="auto"/>
          <w:sz w:val="21"/>
          <w:szCs w:val="21"/>
        </w:rPr>
        <w:t>份，</w:t>
      </w:r>
      <w:r>
        <w:rPr>
          <w:rFonts w:hint="eastAsia" w:ascii="宋体" w:hAnsi="宋体"/>
          <w:color w:val="auto"/>
          <w:sz w:val="21"/>
          <w:szCs w:val="21"/>
          <w:lang w:eastAsia="zh-CN"/>
        </w:rPr>
        <w:t>甲方</w:t>
      </w:r>
      <w:r>
        <w:rPr>
          <w:rFonts w:hint="eastAsia" w:ascii="宋体" w:hAnsi="宋体"/>
          <w:color w:val="auto"/>
          <w:sz w:val="21"/>
          <w:szCs w:val="21"/>
        </w:rPr>
        <w:t>执</w:t>
      </w:r>
      <w:r>
        <w:rPr>
          <w:rFonts w:hint="eastAsia" w:ascii="宋体" w:hAnsi="宋体"/>
          <w:color w:val="auto"/>
          <w:sz w:val="21"/>
          <w:szCs w:val="21"/>
          <w:u w:val="single"/>
        </w:rPr>
        <w:t xml:space="preserve"> </w:t>
      </w:r>
      <w:r>
        <w:rPr>
          <w:rFonts w:hint="eastAsia" w:ascii="宋体" w:hAnsi="宋体"/>
          <w:color w:val="auto"/>
          <w:sz w:val="21"/>
          <w:szCs w:val="21"/>
          <w:u w:val="single"/>
          <w:lang w:val="en-US" w:eastAsia="zh-CN"/>
        </w:rPr>
        <w:t xml:space="preserve"> </w:t>
      </w:r>
      <w:r>
        <w:rPr>
          <w:rFonts w:hint="eastAsia" w:ascii="宋体" w:hAnsi="宋体"/>
          <w:color w:val="auto"/>
          <w:sz w:val="21"/>
          <w:szCs w:val="21"/>
          <w:u w:val="single"/>
        </w:rPr>
        <w:t xml:space="preserve">  </w:t>
      </w:r>
      <w:r>
        <w:rPr>
          <w:rFonts w:hint="eastAsia" w:ascii="宋体" w:hAnsi="宋体"/>
          <w:color w:val="auto"/>
          <w:sz w:val="21"/>
          <w:szCs w:val="21"/>
        </w:rPr>
        <w:t>份，</w:t>
      </w:r>
      <w:r>
        <w:rPr>
          <w:rFonts w:hint="eastAsia" w:ascii="宋体" w:hAnsi="宋体"/>
          <w:color w:val="auto"/>
          <w:sz w:val="21"/>
          <w:szCs w:val="21"/>
          <w:lang w:eastAsia="zh-CN"/>
        </w:rPr>
        <w:t>乙方</w:t>
      </w:r>
      <w:r>
        <w:rPr>
          <w:rFonts w:hint="eastAsia" w:ascii="宋体" w:hAnsi="宋体"/>
          <w:color w:val="auto"/>
          <w:sz w:val="21"/>
          <w:szCs w:val="21"/>
        </w:rPr>
        <w:t>执</w:t>
      </w:r>
      <w:r>
        <w:rPr>
          <w:rFonts w:hint="eastAsia" w:ascii="宋体" w:hAnsi="宋体"/>
          <w:color w:val="auto"/>
          <w:sz w:val="21"/>
          <w:szCs w:val="21"/>
          <w:u w:val="single"/>
        </w:rPr>
        <w:t xml:space="preserve">  </w:t>
      </w:r>
      <w:r>
        <w:rPr>
          <w:rFonts w:hint="eastAsia" w:ascii="宋体" w:hAnsi="宋体"/>
          <w:color w:val="auto"/>
          <w:sz w:val="21"/>
          <w:szCs w:val="21"/>
          <w:u w:val="single"/>
          <w:lang w:val="en-US" w:eastAsia="zh-CN"/>
        </w:rPr>
        <w:t xml:space="preserve"> </w:t>
      </w:r>
      <w:r>
        <w:rPr>
          <w:rFonts w:hint="eastAsia" w:ascii="宋体" w:hAnsi="宋体"/>
          <w:color w:val="auto"/>
          <w:sz w:val="21"/>
          <w:szCs w:val="21"/>
          <w:u w:val="single"/>
        </w:rPr>
        <w:t xml:space="preserve"> </w:t>
      </w:r>
      <w:r>
        <w:rPr>
          <w:rFonts w:hint="eastAsia" w:ascii="宋体" w:hAnsi="宋体"/>
          <w:color w:val="auto"/>
          <w:sz w:val="21"/>
          <w:szCs w:val="21"/>
        </w:rPr>
        <w:t>份，均具有同等法律效力。</w:t>
      </w:r>
    </w:p>
    <w:p w14:paraId="2CC7E763">
      <w:pPr>
        <w:adjustRightInd w:val="0"/>
        <w:snapToGrid w:val="0"/>
        <w:spacing w:before="0" w:beforeLines="0" w:line="400" w:lineRule="exact"/>
        <w:ind w:firstLine="420" w:firstLineChars="200"/>
        <w:rPr>
          <w:rFonts w:ascii="宋体" w:hAnsi="宋体"/>
          <w:color w:val="auto"/>
          <w:sz w:val="21"/>
          <w:szCs w:val="21"/>
        </w:rPr>
      </w:pPr>
      <w:r>
        <w:rPr>
          <w:rFonts w:hint="eastAsia" w:ascii="宋体" w:hAnsi="宋体"/>
          <w:color w:val="auto"/>
          <w:sz w:val="21"/>
          <w:szCs w:val="21"/>
        </w:rPr>
        <w:t>合同订立时间：</w:t>
      </w:r>
      <w:r>
        <w:rPr>
          <w:rFonts w:hint="eastAsia" w:ascii="宋体" w:hAnsi="宋体"/>
          <w:color w:val="auto"/>
          <w:sz w:val="21"/>
          <w:szCs w:val="21"/>
          <w:u w:val="single"/>
        </w:rPr>
        <w:t xml:space="preserve">         </w:t>
      </w:r>
      <w:r>
        <w:rPr>
          <w:rFonts w:hint="eastAsia" w:ascii="宋体" w:hAnsi="宋体"/>
          <w:color w:val="auto"/>
          <w:sz w:val="21"/>
          <w:szCs w:val="21"/>
        </w:rPr>
        <w:t>年</w:t>
      </w:r>
      <w:r>
        <w:rPr>
          <w:rFonts w:hint="eastAsia" w:ascii="宋体" w:hAnsi="宋体"/>
          <w:color w:val="auto"/>
          <w:sz w:val="21"/>
          <w:szCs w:val="21"/>
          <w:u w:val="single"/>
        </w:rPr>
        <w:t xml:space="preserve">      </w:t>
      </w:r>
      <w:r>
        <w:rPr>
          <w:rFonts w:hint="eastAsia" w:ascii="宋体" w:hAnsi="宋体"/>
          <w:color w:val="auto"/>
          <w:sz w:val="21"/>
          <w:szCs w:val="21"/>
        </w:rPr>
        <w:t>月</w:t>
      </w:r>
      <w:r>
        <w:rPr>
          <w:rFonts w:hint="eastAsia" w:ascii="宋体" w:hAnsi="宋体"/>
          <w:color w:val="auto"/>
          <w:sz w:val="21"/>
          <w:szCs w:val="21"/>
          <w:u w:val="single"/>
        </w:rPr>
        <w:t xml:space="preserve">      </w:t>
      </w:r>
      <w:r>
        <w:rPr>
          <w:rFonts w:hint="eastAsia" w:ascii="宋体" w:hAnsi="宋体"/>
          <w:color w:val="auto"/>
          <w:sz w:val="21"/>
          <w:szCs w:val="21"/>
        </w:rPr>
        <w:t>日</w:t>
      </w:r>
    </w:p>
    <w:p w14:paraId="63EBC676">
      <w:pPr>
        <w:adjustRightInd w:val="0"/>
        <w:snapToGrid w:val="0"/>
        <w:spacing w:before="0" w:beforeLines="0" w:line="400" w:lineRule="exact"/>
        <w:ind w:firstLine="420" w:firstLineChars="200"/>
        <w:rPr>
          <w:rFonts w:ascii="宋体" w:hAnsi="宋体"/>
          <w:color w:val="auto"/>
          <w:sz w:val="21"/>
          <w:szCs w:val="21"/>
        </w:rPr>
      </w:pPr>
      <w:r>
        <w:rPr>
          <w:rFonts w:hint="eastAsia" w:ascii="宋体" w:hAnsi="宋体"/>
          <w:color w:val="auto"/>
          <w:sz w:val="21"/>
          <w:szCs w:val="21"/>
        </w:rPr>
        <w:t>合同订立地点：</w:t>
      </w:r>
      <w:r>
        <w:rPr>
          <w:rFonts w:hint="eastAsia" w:ascii="宋体" w:hAnsi="宋体"/>
          <w:color w:val="auto"/>
          <w:sz w:val="21"/>
          <w:szCs w:val="21"/>
          <w:u w:val="single"/>
        </w:rPr>
        <w:t xml:space="preserve">                           </w:t>
      </w:r>
    </w:p>
    <w:p w14:paraId="6C91FAB1">
      <w:pPr>
        <w:adjustRightInd w:val="0"/>
        <w:snapToGrid w:val="0"/>
        <w:spacing w:before="0" w:beforeLines="0" w:line="400" w:lineRule="exact"/>
        <w:ind w:firstLine="420" w:firstLineChars="200"/>
        <w:rPr>
          <w:color w:val="auto"/>
          <w:sz w:val="21"/>
          <w:szCs w:val="21"/>
        </w:rPr>
      </w:pPr>
      <w:r>
        <w:rPr>
          <w:rFonts w:hint="eastAsia" w:ascii="宋体" w:hAnsi="宋体"/>
          <w:color w:val="auto"/>
          <w:sz w:val="21"/>
          <w:szCs w:val="21"/>
        </w:rPr>
        <w:t>附件：具体标</w:t>
      </w:r>
      <w:r>
        <w:rPr>
          <w:rFonts w:hint="eastAsia" w:ascii="宋体" w:hAnsi="宋体"/>
          <w:color w:val="auto"/>
          <w:sz w:val="21"/>
          <w:szCs w:val="21"/>
          <w:lang w:eastAsia="zh-CN"/>
        </w:rPr>
        <w:t>的及其</w:t>
      </w:r>
      <w:r>
        <w:rPr>
          <w:rFonts w:hint="eastAsia" w:ascii="宋体" w:hAnsi="宋体"/>
          <w:color w:val="auto"/>
          <w:sz w:val="21"/>
          <w:szCs w:val="21"/>
          <w:highlight w:val="none"/>
          <w:u w:val="none"/>
          <w:lang w:val="en-US" w:eastAsia="zh-CN"/>
        </w:rPr>
        <w:t>技术要求和商务要求</w:t>
      </w:r>
      <w:r>
        <w:rPr>
          <w:rFonts w:hint="eastAsia" w:ascii="宋体" w:hAnsi="宋体"/>
          <w:color w:val="auto"/>
          <w:sz w:val="21"/>
          <w:szCs w:val="21"/>
        </w:rPr>
        <w:t>、联合协议、分包</w:t>
      </w:r>
      <w:r>
        <w:rPr>
          <w:rFonts w:hint="eastAsia" w:ascii="宋体" w:hAnsi="宋体"/>
          <w:color w:val="auto"/>
          <w:sz w:val="21"/>
          <w:szCs w:val="21"/>
          <w:lang w:eastAsia="zh-CN"/>
        </w:rPr>
        <w:t>意向</w:t>
      </w:r>
      <w:r>
        <w:rPr>
          <w:rFonts w:hint="eastAsia" w:ascii="宋体" w:hAnsi="宋体"/>
          <w:color w:val="auto"/>
          <w:sz w:val="21"/>
          <w:szCs w:val="21"/>
        </w:rPr>
        <w:t>协议等。</w:t>
      </w:r>
    </w:p>
    <w:p w14:paraId="6CF0402D">
      <w:pPr>
        <w:pStyle w:val="56"/>
        <w:spacing w:beforeLines="0" w:line="400" w:lineRule="exact"/>
        <w:rPr>
          <w:color w:val="auto"/>
          <w:sz w:val="21"/>
          <w:szCs w:val="21"/>
        </w:rPr>
      </w:pPr>
    </w:p>
    <w:p w14:paraId="3F189D41">
      <w:pPr>
        <w:bidi w:val="0"/>
        <w:rPr>
          <w:rFonts w:hint="eastAsia"/>
          <w:color w:val="auto"/>
          <w:sz w:val="21"/>
          <w:szCs w:val="21"/>
          <w:lang w:val="en-US" w:eastAsia="zh-CN"/>
        </w:rPr>
      </w:pPr>
      <w:r>
        <w:rPr>
          <w:rFonts w:hint="default"/>
          <w:color w:val="auto"/>
          <w:sz w:val="21"/>
          <w:szCs w:val="21"/>
          <w:lang w:val="en"/>
        </w:rPr>
        <w:t xml:space="preserve">   </w:t>
      </w:r>
    </w:p>
    <w:p w14:paraId="32D41286">
      <w:pPr>
        <w:rPr>
          <w:rFonts w:hint="eastAsia"/>
          <w:color w:val="auto"/>
          <w:sz w:val="21"/>
          <w:szCs w:val="21"/>
        </w:rPr>
      </w:pPr>
      <w:r>
        <w:rPr>
          <w:rFonts w:hint="eastAsia"/>
          <w:color w:val="auto"/>
          <w:sz w:val="21"/>
          <w:szCs w:val="21"/>
        </w:rPr>
        <w:br w:type="page"/>
      </w:r>
    </w:p>
    <w:p w14:paraId="51C3D01F">
      <w:pPr>
        <w:pStyle w:val="56"/>
        <w:rPr>
          <w:rFonts w:hint="eastAsia"/>
          <w:color w:val="auto"/>
          <w:sz w:val="21"/>
          <w:szCs w:val="21"/>
        </w:rPr>
      </w:pPr>
    </w:p>
    <w:tbl>
      <w:tblPr>
        <w:tblStyle w:val="30"/>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059"/>
        <w:gridCol w:w="2627"/>
        <w:gridCol w:w="2155"/>
        <w:gridCol w:w="2305"/>
      </w:tblGrid>
      <w:tr w14:paraId="29E4161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vAlign w:val="center"/>
          </w:tcPr>
          <w:p w14:paraId="432D4FC2">
            <w:pPr>
              <w:adjustRightInd w:val="0"/>
              <w:snapToGrid w:val="0"/>
              <w:spacing w:line="300" w:lineRule="exact"/>
              <w:jc w:val="center"/>
              <w:rPr>
                <w:color w:val="auto"/>
                <w:sz w:val="21"/>
                <w:szCs w:val="21"/>
              </w:rPr>
            </w:pPr>
            <w:r>
              <w:rPr>
                <w:color w:val="auto"/>
                <w:sz w:val="21"/>
                <w:szCs w:val="21"/>
              </w:rPr>
              <w:t>甲方</w:t>
            </w:r>
            <w:r>
              <w:rPr>
                <w:rFonts w:hint="eastAsia"/>
                <w:color w:val="auto"/>
                <w:sz w:val="21"/>
                <w:szCs w:val="21"/>
              </w:rPr>
              <w:t>（采购人</w:t>
            </w:r>
            <w:r>
              <w:rPr>
                <w:rFonts w:hint="eastAsia" w:ascii="宋体" w:hAnsi="宋体"/>
                <w:color w:val="auto"/>
                <w:sz w:val="21"/>
                <w:szCs w:val="21"/>
                <w:lang w:eastAsia="zh-CN"/>
              </w:rPr>
              <w:t>、受采购人委托签订合同的单位</w:t>
            </w:r>
            <w:r>
              <w:rPr>
                <w:rFonts w:hint="eastAsia" w:ascii="宋体" w:hAnsi="宋体"/>
                <w:color w:val="auto"/>
                <w:sz w:val="21"/>
                <w:szCs w:val="21"/>
              </w:rPr>
              <w:t>或</w:t>
            </w:r>
            <w:r>
              <w:rPr>
                <w:rFonts w:hint="eastAsia"/>
                <w:color w:val="auto"/>
                <w:sz w:val="21"/>
                <w:szCs w:val="21"/>
              </w:rPr>
              <w:t>采购文件约定的合同甲方）</w:t>
            </w:r>
          </w:p>
        </w:tc>
        <w:tc>
          <w:tcPr>
            <w:tcW w:w="2437" w:type="pct"/>
            <w:gridSpan w:val="2"/>
            <w:tcBorders>
              <w:left w:val="single" w:color="auto" w:sz="2" w:space="0"/>
              <w:bottom w:val="single" w:color="auto" w:sz="2" w:space="0"/>
            </w:tcBorders>
            <w:vAlign w:val="center"/>
          </w:tcPr>
          <w:p w14:paraId="18400659">
            <w:pPr>
              <w:adjustRightInd w:val="0"/>
              <w:snapToGrid w:val="0"/>
              <w:spacing w:line="300" w:lineRule="exact"/>
              <w:jc w:val="center"/>
              <w:rPr>
                <w:color w:val="auto"/>
                <w:sz w:val="21"/>
                <w:szCs w:val="21"/>
              </w:rPr>
            </w:pPr>
            <w:r>
              <w:rPr>
                <w:color w:val="auto"/>
                <w:sz w:val="21"/>
                <w:szCs w:val="21"/>
              </w:rPr>
              <w:t>乙方</w:t>
            </w:r>
            <w:r>
              <w:rPr>
                <w:rFonts w:hint="eastAsia"/>
                <w:color w:val="auto"/>
                <w:sz w:val="21"/>
                <w:szCs w:val="21"/>
              </w:rPr>
              <w:t>（供应商）</w:t>
            </w:r>
          </w:p>
        </w:tc>
      </w:tr>
      <w:tr w14:paraId="5252CCE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vAlign w:val="center"/>
          </w:tcPr>
          <w:p w14:paraId="73F22598">
            <w:pPr>
              <w:adjustRightInd w:val="0"/>
              <w:snapToGrid w:val="0"/>
              <w:spacing w:line="300" w:lineRule="exact"/>
              <w:jc w:val="center"/>
              <w:rPr>
                <w:color w:val="auto"/>
                <w:sz w:val="21"/>
                <w:szCs w:val="21"/>
              </w:rPr>
            </w:pPr>
            <w:r>
              <w:rPr>
                <w:color w:val="auto"/>
                <w:sz w:val="21"/>
                <w:szCs w:val="21"/>
              </w:rPr>
              <w:t>单位名称</w:t>
            </w:r>
            <w:r>
              <w:rPr>
                <w:rFonts w:hint="eastAsia"/>
                <w:color w:val="auto"/>
                <w:sz w:val="21"/>
                <w:szCs w:val="21"/>
              </w:rPr>
              <w:t>（公章</w:t>
            </w:r>
            <w:r>
              <w:rPr>
                <w:rFonts w:hint="eastAsia"/>
                <w:color w:val="auto"/>
                <w:sz w:val="21"/>
                <w:szCs w:val="21"/>
                <w:lang w:eastAsia="zh-CN"/>
              </w:rPr>
              <w:t>或合同章</w:t>
            </w:r>
            <w:r>
              <w:rPr>
                <w:rFonts w:hint="eastAsia"/>
                <w:color w:val="auto"/>
                <w:sz w:val="21"/>
                <w:szCs w:val="21"/>
              </w:rPr>
              <w:t>）</w:t>
            </w:r>
          </w:p>
        </w:tc>
        <w:tc>
          <w:tcPr>
            <w:tcW w:w="1436" w:type="pct"/>
            <w:tcBorders>
              <w:top w:val="single" w:color="auto" w:sz="2" w:space="0"/>
              <w:left w:val="single" w:color="auto" w:sz="2" w:space="0"/>
              <w:bottom w:val="single" w:color="auto" w:sz="2" w:space="0"/>
              <w:right w:val="single" w:color="auto" w:sz="2" w:space="0"/>
            </w:tcBorders>
            <w:vAlign w:val="center"/>
          </w:tcPr>
          <w:p w14:paraId="4159AFFC">
            <w:pPr>
              <w:adjustRightInd w:val="0"/>
              <w:snapToGrid w:val="0"/>
              <w:spacing w:line="300" w:lineRule="exact"/>
              <w:jc w:val="center"/>
              <w:rPr>
                <w:color w:val="auto"/>
                <w:sz w:val="21"/>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2E5D11B5">
            <w:pPr>
              <w:adjustRightInd w:val="0"/>
              <w:snapToGrid w:val="0"/>
              <w:spacing w:line="300" w:lineRule="exact"/>
              <w:jc w:val="center"/>
              <w:rPr>
                <w:color w:val="auto"/>
                <w:sz w:val="21"/>
                <w:szCs w:val="21"/>
              </w:rPr>
            </w:pPr>
            <w:r>
              <w:rPr>
                <w:color w:val="auto"/>
                <w:sz w:val="21"/>
                <w:szCs w:val="21"/>
              </w:rPr>
              <w:t>单位名称</w:t>
            </w:r>
            <w:r>
              <w:rPr>
                <w:rFonts w:hint="eastAsia"/>
                <w:color w:val="auto"/>
                <w:sz w:val="21"/>
                <w:szCs w:val="21"/>
              </w:rPr>
              <w:t>（公章</w:t>
            </w:r>
            <w:r>
              <w:rPr>
                <w:rFonts w:hint="eastAsia"/>
                <w:color w:val="auto"/>
                <w:sz w:val="21"/>
                <w:szCs w:val="21"/>
                <w:lang w:eastAsia="zh-CN"/>
              </w:rPr>
              <w:t>或合同章</w:t>
            </w:r>
            <w:r>
              <w:rPr>
                <w:rFonts w:hint="eastAsia"/>
                <w:color w:val="auto"/>
                <w:sz w:val="21"/>
                <w:szCs w:val="21"/>
              </w:rPr>
              <w:t>）</w:t>
            </w:r>
          </w:p>
        </w:tc>
        <w:tc>
          <w:tcPr>
            <w:tcW w:w="1259" w:type="pct"/>
            <w:tcBorders>
              <w:top w:val="single" w:color="auto" w:sz="2" w:space="0"/>
              <w:left w:val="single" w:color="auto" w:sz="2" w:space="0"/>
              <w:bottom w:val="single" w:color="auto" w:sz="2" w:space="0"/>
            </w:tcBorders>
            <w:vAlign w:val="center"/>
          </w:tcPr>
          <w:p w14:paraId="06A264E5">
            <w:pPr>
              <w:adjustRightInd w:val="0"/>
              <w:snapToGrid w:val="0"/>
              <w:spacing w:line="300" w:lineRule="exact"/>
              <w:jc w:val="center"/>
              <w:rPr>
                <w:color w:val="auto"/>
                <w:spacing w:val="20"/>
                <w:sz w:val="21"/>
                <w:szCs w:val="21"/>
              </w:rPr>
            </w:pPr>
          </w:p>
        </w:tc>
      </w:tr>
      <w:tr w14:paraId="29CBB8F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vAlign w:val="center"/>
          </w:tcPr>
          <w:p w14:paraId="647FB32B">
            <w:pPr>
              <w:adjustRightInd w:val="0"/>
              <w:snapToGrid w:val="0"/>
              <w:spacing w:line="300" w:lineRule="exact"/>
              <w:jc w:val="center"/>
              <w:rPr>
                <w:color w:val="auto"/>
                <w:sz w:val="21"/>
                <w:szCs w:val="21"/>
              </w:rPr>
            </w:pPr>
            <w:r>
              <w:rPr>
                <w:color w:val="auto"/>
                <w:sz w:val="21"/>
                <w:szCs w:val="21"/>
              </w:rPr>
              <w:t>法定代表人</w:t>
            </w:r>
          </w:p>
          <w:p w14:paraId="7C1DDB02">
            <w:pPr>
              <w:adjustRightInd w:val="0"/>
              <w:snapToGrid w:val="0"/>
              <w:spacing w:line="300" w:lineRule="exact"/>
              <w:ind w:firstLine="100" w:firstLineChars="48"/>
              <w:jc w:val="center"/>
              <w:rPr>
                <w:color w:val="auto"/>
                <w:sz w:val="21"/>
                <w:szCs w:val="21"/>
              </w:rPr>
            </w:pPr>
            <w:r>
              <w:rPr>
                <w:rFonts w:hint="eastAsia"/>
                <w:color w:val="auto"/>
                <w:sz w:val="21"/>
                <w:szCs w:val="21"/>
              </w:rPr>
              <w:t>或其</w:t>
            </w:r>
            <w:r>
              <w:rPr>
                <w:color w:val="auto"/>
                <w:sz w:val="21"/>
                <w:szCs w:val="21"/>
              </w:rPr>
              <w:t>委托代理人</w:t>
            </w:r>
            <w:r>
              <w:rPr>
                <w:rFonts w:hint="eastAsia"/>
                <w:color w:val="auto"/>
                <w:sz w:val="21"/>
                <w:szCs w:val="21"/>
              </w:rPr>
              <w:t>（签章）</w:t>
            </w:r>
          </w:p>
        </w:tc>
        <w:tc>
          <w:tcPr>
            <w:tcW w:w="1436" w:type="pct"/>
            <w:vMerge w:val="restart"/>
            <w:tcBorders>
              <w:top w:val="single" w:color="auto" w:sz="2" w:space="0"/>
              <w:left w:val="single" w:color="auto" w:sz="2" w:space="0"/>
              <w:right w:val="single" w:color="auto" w:sz="2" w:space="0"/>
            </w:tcBorders>
            <w:vAlign w:val="center"/>
          </w:tcPr>
          <w:p w14:paraId="3326BF9C">
            <w:pPr>
              <w:adjustRightInd w:val="0"/>
              <w:snapToGrid w:val="0"/>
              <w:spacing w:line="300" w:lineRule="exact"/>
              <w:jc w:val="center"/>
              <w:rPr>
                <w:color w:val="auto"/>
                <w:sz w:val="21"/>
                <w:szCs w:val="21"/>
              </w:rPr>
            </w:pPr>
          </w:p>
        </w:tc>
        <w:tc>
          <w:tcPr>
            <w:tcW w:w="1178" w:type="pct"/>
            <w:tcBorders>
              <w:top w:val="single" w:color="auto" w:sz="2" w:space="0"/>
              <w:left w:val="single" w:color="auto" w:sz="2" w:space="0"/>
              <w:right w:val="single" w:color="auto" w:sz="2" w:space="0"/>
            </w:tcBorders>
            <w:vAlign w:val="center"/>
          </w:tcPr>
          <w:p w14:paraId="64F46C34">
            <w:pPr>
              <w:adjustRightInd w:val="0"/>
              <w:snapToGrid w:val="0"/>
              <w:spacing w:line="300" w:lineRule="exact"/>
              <w:jc w:val="center"/>
              <w:rPr>
                <w:color w:val="auto"/>
                <w:sz w:val="21"/>
                <w:szCs w:val="21"/>
              </w:rPr>
            </w:pPr>
            <w:r>
              <w:rPr>
                <w:color w:val="auto"/>
                <w:sz w:val="21"/>
                <w:szCs w:val="21"/>
              </w:rPr>
              <w:t>法定代表人</w:t>
            </w:r>
          </w:p>
          <w:p w14:paraId="5213B1F1">
            <w:pPr>
              <w:adjustRightInd w:val="0"/>
              <w:snapToGrid w:val="0"/>
              <w:spacing w:line="300" w:lineRule="exact"/>
              <w:jc w:val="center"/>
              <w:rPr>
                <w:color w:val="auto"/>
                <w:sz w:val="21"/>
                <w:szCs w:val="21"/>
              </w:rPr>
            </w:pPr>
            <w:r>
              <w:rPr>
                <w:rFonts w:hint="eastAsia"/>
                <w:color w:val="auto"/>
                <w:sz w:val="21"/>
                <w:szCs w:val="21"/>
              </w:rPr>
              <w:t>或其</w:t>
            </w:r>
            <w:r>
              <w:rPr>
                <w:color w:val="auto"/>
                <w:sz w:val="21"/>
                <w:szCs w:val="21"/>
              </w:rPr>
              <w:t>委托代理人</w:t>
            </w:r>
            <w:r>
              <w:rPr>
                <w:rFonts w:hint="eastAsia"/>
                <w:color w:val="auto"/>
                <w:sz w:val="21"/>
                <w:szCs w:val="21"/>
              </w:rPr>
              <w:t>（签章）</w:t>
            </w:r>
          </w:p>
        </w:tc>
        <w:tc>
          <w:tcPr>
            <w:tcW w:w="1259" w:type="pct"/>
            <w:tcBorders>
              <w:top w:val="single" w:color="auto" w:sz="2" w:space="0"/>
              <w:left w:val="single" w:color="auto" w:sz="2" w:space="0"/>
              <w:bottom w:val="single" w:color="auto" w:sz="2" w:space="0"/>
            </w:tcBorders>
            <w:vAlign w:val="center"/>
          </w:tcPr>
          <w:p w14:paraId="3D08ED18">
            <w:pPr>
              <w:adjustRightInd w:val="0"/>
              <w:snapToGrid w:val="0"/>
              <w:spacing w:line="300" w:lineRule="exact"/>
              <w:jc w:val="center"/>
              <w:rPr>
                <w:color w:val="auto"/>
                <w:sz w:val="21"/>
                <w:szCs w:val="21"/>
              </w:rPr>
            </w:pPr>
          </w:p>
        </w:tc>
      </w:tr>
      <w:tr w14:paraId="6D35477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vAlign w:val="center"/>
          </w:tcPr>
          <w:p w14:paraId="27566287">
            <w:pPr>
              <w:adjustRightInd w:val="0"/>
              <w:snapToGrid w:val="0"/>
              <w:spacing w:line="300" w:lineRule="exact"/>
              <w:jc w:val="center"/>
              <w:rPr>
                <w:color w:val="auto"/>
                <w:sz w:val="21"/>
                <w:szCs w:val="21"/>
              </w:rPr>
            </w:pPr>
          </w:p>
        </w:tc>
        <w:tc>
          <w:tcPr>
            <w:tcW w:w="1436" w:type="pct"/>
            <w:vMerge w:val="continue"/>
            <w:tcBorders>
              <w:left w:val="single" w:color="auto" w:sz="2" w:space="0"/>
              <w:bottom w:val="single" w:color="auto" w:sz="2" w:space="0"/>
              <w:right w:val="single" w:color="auto" w:sz="2" w:space="0"/>
            </w:tcBorders>
            <w:vAlign w:val="center"/>
          </w:tcPr>
          <w:p w14:paraId="0BBB8E21">
            <w:pPr>
              <w:adjustRightInd w:val="0"/>
              <w:snapToGrid w:val="0"/>
              <w:spacing w:line="300" w:lineRule="exact"/>
              <w:jc w:val="center"/>
              <w:rPr>
                <w:color w:val="auto"/>
                <w:sz w:val="21"/>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22295AA1">
            <w:pPr>
              <w:adjustRightInd w:val="0"/>
              <w:snapToGrid w:val="0"/>
              <w:spacing w:line="300" w:lineRule="exact"/>
              <w:jc w:val="center"/>
              <w:rPr>
                <w:rFonts w:hint="eastAsia" w:eastAsia="宋体"/>
                <w:color w:val="auto"/>
                <w:sz w:val="21"/>
                <w:szCs w:val="21"/>
                <w:lang w:eastAsia="zh-CN"/>
              </w:rPr>
            </w:pPr>
            <w:r>
              <w:rPr>
                <w:rFonts w:hint="eastAsia"/>
                <w:color w:val="auto"/>
                <w:sz w:val="21"/>
                <w:szCs w:val="21"/>
                <w:lang w:eastAsia="zh-CN"/>
              </w:rPr>
              <w:t>拥有者性别</w:t>
            </w:r>
          </w:p>
        </w:tc>
        <w:tc>
          <w:tcPr>
            <w:tcW w:w="1259" w:type="pct"/>
            <w:tcBorders>
              <w:top w:val="single" w:color="auto" w:sz="2" w:space="0"/>
              <w:left w:val="single" w:color="auto" w:sz="2" w:space="0"/>
              <w:bottom w:val="single" w:color="auto" w:sz="2" w:space="0"/>
            </w:tcBorders>
            <w:vAlign w:val="center"/>
          </w:tcPr>
          <w:p w14:paraId="018EAB60">
            <w:pPr>
              <w:adjustRightInd w:val="0"/>
              <w:snapToGrid w:val="0"/>
              <w:spacing w:line="300" w:lineRule="exact"/>
              <w:jc w:val="center"/>
              <w:rPr>
                <w:color w:val="auto"/>
                <w:spacing w:val="20"/>
                <w:sz w:val="21"/>
                <w:szCs w:val="21"/>
              </w:rPr>
            </w:pPr>
          </w:p>
        </w:tc>
      </w:tr>
      <w:tr w14:paraId="6463C30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1BAE9F57">
            <w:pPr>
              <w:adjustRightInd w:val="0"/>
              <w:snapToGrid w:val="0"/>
              <w:spacing w:line="300" w:lineRule="exact"/>
              <w:jc w:val="center"/>
              <w:rPr>
                <w:rFonts w:hint="eastAsia" w:eastAsia="宋体"/>
                <w:color w:val="auto"/>
                <w:sz w:val="21"/>
                <w:szCs w:val="21"/>
                <w:lang w:eastAsia="zh-CN"/>
              </w:rPr>
            </w:pPr>
            <w:r>
              <w:rPr>
                <w:rFonts w:hint="eastAsia"/>
                <w:color w:val="auto"/>
                <w:sz w:val="21"/>
                <w:szCs w:val="21"/>
                <w:lang w:eastAsia="zh-CN"/>
              </w:rPr>
              <w:t>住</w:t>
            </w:r>
            <w:r>
              <w:rPr>
                <w:rFonts w:hint="eastAsia"/>
                <w:color w:val="auto"/>
                <w:sz w:val="21"/>
                <w:szCs w:val="21"/>
                <w:lang w:val="en-US" w:eastAsia="zh-CN"/>
              </w:rPr>
              <w:t xml:space="preserve">  </w:t>
            </w:r>
            <w:r>
              <w:rPr>
                <w:rFonts w:hint="eastAsia"/>
                <w:color w:val="auto"/>
                <w:sz w:val="21"/>
                <w:szCs w:val="21"/>
                <w:lang w:eastAsia="zh-CN"/>
              </w:rPr>
              <w:t>所</w:t>
            </w:r>
          </w:p>
        </w:tc>
        <w:tc>
          <w:tcPr>
            <w:tcW w:w="1436" w:type="pct"/>
            <w:tcBorders>
              <w:top w:val="single" w:color="auto" w:sz="2" w:space="0"/>
              <w:left w:val="single" w:color="auto" w:sz="2" w:space="0"/>
              <w:bottom w:val="single" w:color="auto" w:sz="2" w:space="0"/>
              <w:right w:val="single" w:color="auto" w:sz="2" w:space="0"/>
            </w:tcBorders>
            <w:vAlign w:val="center"/>
          </w:tcPr>
          <w:p w14:paraId="6A5ED245">
            <w:pPr>
              <w:adjustRightInd w:val="0"/>
              <w:snapToGrid w:val="0"/>
              <w:spacing w:line="300" w:lineRule="exact"/>
              <w:jc w:val="center"/>
              <w:rPr>
                <w:color w:val="auto"/>
                <w:sz w:val="21"/>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7623CA8B">
            <w:pPr>
              <w:adjustRightInd w:val="0"/>
              <w:snapToGrid w:val="0"/>
              <w:spacing w:line="300" w:lineRule="exact"/>
              <w:jc w:val="center"/>
              <w:rPr>
                <w:rFonts w:hint="eastAsia" w:eastAsia="宋体"/>
                <w:color w:val="auto"/>
                <w:sz w:val="21"/>
                <w:szCs w:val="21"/>
                <w:lang w:eastAsia="zh-CN"/>
              </w:rPr>
            </w:pPr>
            <w:r>
              <w:rPr>
                <w:rFonts w:hint="eastAsia"/>
                <w:color w:val="auto"/>
                <w:sz w:val="21"/>
                <w:szCs w:val="21"/>
                <w:lang w:eastAsia="zh-CN"/>
              </w:rPr>
              <w:t>住</w:t>
            </w:r>
            <w:r>
              <w:rPr>
                <w:rFonts w:hint="eastAsia"/>
                <w:color w:val="auto"/>
                <w:sz w:val="21"/>
                <w:szCs w:val="21"/>
                <w:lang w:val="en-US" w:eastAsia="zh-CN"/>
              </w:rPr>
              <w:t xml:space="preserve">  </w:t>
            </w:r>
            <w:r>
              <w:rPr>
                <w:rFonts w:hint="eastAsia"/>
                <w:color w:val="auto"/>
                <w:sz w:val="21"/>
                <w:szCs w:val="21"/>
                <w:lang w:eastAsia="zh-CN"/>
              </w:rPr>
              <w:t>所</w:t>
            </w:r>
          </w:p>
        </w:tc>
        <w:tc>
          <w:tcPr>
            <w:tcW w:w="1259" w:type="pct"/>
            <w:tcBorders>
              <w:top w:val="single" w:color="auto" w:sz="2" w:space="0"/>
              <w:left w:val="single" w:color="auto" w:sz="2" w:space="0"/>
              <w:bottom w:val="single" w:color="auto" w:sz="2" w:space="0"/>
            </w:tcBorders>
            <w:vAlign w:val="center"/>
          </w:tcPr>
          <w:p w14:paraId="78151B30">
            <w:pPr>
              <w:adjustRightInd w:val="0"/>
              <w:snapToGrid w:val="0"/>
              <w:spacing w:line="300" w:lineRule="exact"/>
              <w:jc w:val="center"/>
              <w:rPr>
                <w:color w:val="auto"/>
                <w:spacing w:val="20"/>
                <w:sz w:val="21"/>
                <w:szCs w:val="21"/>
              </w:rPr>
            </w:pPr>
          </w:p>
        </w:tc>
      </w:tr>
      <w:tr w14:paraId="35F3B58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51E6D1B1">
            <w:pPr>
              <w:adjustRightInd w:val="0"/>
              <w:snapToGrid w:val="0"/>
              <w:spacing w:line="300" w:lineRule="exact"/>
              <w:jc w:val="center"/>
              <w:rPr>
                <w:color w:val="auto"/>
                <w:sz w:val="21"/>
                <w:szCs w:val="21"/>
              </w:rPr>
            </w:pPr>
            <w:r>
              <w:rPr>
                <w:color w:val="auto"/>
                <w:sz w:val="21"/>
                <w:szCs w:val="21"/>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14:paraId="6931DDF4">
            <w:pPr>
              <w:adjustRightInd w:val="0"/>
              <w:snapToGrid w:val="0"/>
              <w:spacing w:line="300" w:lineRule="exact"/>
              <w:jc w:val="center"/>
              <w:rPr>
                <w:color w:val="auto"/>
                <w:sz w:val="21"/>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4A92516D">
            <w:pPr>
              <w:adjustRightInd w:val="0"/>
              <w:snapToGrid w:val="0"/>
              <w:spacing w:line="300" w:lineRule="exact"/>
              <w:jc w:val="center"/>
              <w:rPr>
                <w:color w:val="auto"/>
                <w:sz w:val="21"/>
                <w:szCs w:val="21"/>
              </w:rPr>
            </w:pPr>
            <w:r>
              <w:rPr>
                <w:color w:val="auto"/>
                <w:sz w:val="21"/>
                <w:szCs w:val="21"/>
              </w:rPr>
              <w:t>联 系 人</w:t>
            </w:r>
          </w:p>
        </w:tc>
        <w:tc>
          <w:tcPr>
            <w:tcW w:w="1259" w:type="pct"/>
            <w:tcBorders>
              <w:top w:val="single" w:color="auto" w:sz="2" w:space="0"/>
              <w:left w:val="single" w:color="auto" w:sz="2" w:space="0"/>
              <w:bottom w:val="single" w:color="auto" w:sz="2" w:space="0"/>
            </w:tcBorders>
            <w:vAlign w:val="center"/>
          </w:tcPr>
          <w:p w14:paraId="1D4D4AF5">
            <w:pPr>
              <w:adjustRightInd w:val="0"/>
              <w:snapToGrid w:val="0"/>
              <w:spacing w:line="300" w:lineRule="exact"/>
              <w:jc w:val="center"/>
              <w:rPr>
                <w:color w:val="auto"/>
                <w:spacing w:val="20"/>
                <w:sz w:val="21"/>
                <w:szCs w:val="21"/>
              </w:rPr>
            </w:pPr>
          </w:p>
        </w:tc>
      </w:tr>
      <w:tr w14:paraId="2888FD5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A31F675">
            <w:pPr>
              <w:adjustRightInd w:val="0"/>
              <w:snapToGrid w:val="0"/>
              <w:spacing w:line="300" w:lineRule="exact"/>
              <w:jc w:val="center"/>
              <w:rPr>
                <w:color w:val="auto"/>
                <w:sz w:val="21"/>
                <w:szCs w:val="21"/>
              </w:rPr>
            </w:pPr>
            <w:r>
              <w:rPr>
                <w:color w:val="auto"/>
                <w:sz w:val="21"/>
                <w:szCs w:val="21"/>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65274360">
            <w:pPr>
              <w:adjustRightInd w:val="0"/>
              <w:snapToGrid w:val="0"/>
              <w:spacing w:line="300" w:lineRule="exact"/>
              <w:jc w:val="center"/>
              <w:rPr>
                <w:color w:val="auto"/>
                <w:sz w:val="21"/>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3D1FEABC">
            <w:pPr>
              <w:adjustRightInd w:val="0"/>
              <w:snapToGrid w:val="0"/>
              <w:spacing w:line="300" w:lineRule="exact"/>
              <w:jc w:val="center"/>
              <w:rPr>
                <w:color w:val="auto"/>
                <w:sz w:val="21"/>
                <w:szCs w:val="21"/>
              </w:rPr>
            </w:pPr>
            <w:r>
              <w:rPr>
                <w:color w:val="auto"/>
                <w:sz w:val="21"/>
                <w:szCs w:val="21"/>
              </w:rPr>
              <w:t>联系电话</w:t>
            </w:r>
          </w:p>
        </w:tc>
        <w:tc>
          <w:tcPr>
            <w:tcW w:w="1259" w:type="pct"/>
            <w:tcBorders>
              <w:top w:val="single" w:color="auto" w:sz="2" w:space="0"/>
              <w:left w:val="single" w:color="auto" w:sz="2" w:space="0"/>
              <w:bottom w:val="single" w:color="auto" w:sz="2" w:space="0"/>
            </w:tcBorders>
            <w:vAlign w:val="center"/>
          </w:tcPr>
          <w:p w14:paraId="58C95283">
            <w:pPr>
              <w:adjustRightInd w:val="0"/>
              <w:snapToGrid w:val="0"/>
              <w:spacing w:line="300" w:lineRule="exact"/>
              <w:jc w:val="center"/>
              <w:rPr>
                <w:color w:val="auto"/>
                <w:spacing w:val="20"/>
                <w:sz w:val="21"/>
                <w:szCs w:val="21"/>
              </w:rPr>
            </w:pPr>
          </w:p>
        </w:tc>
      </w:tr>
      <w:tr w14:paraId="247B496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55E52658">
            <w:pPr>
              <w:adjustRightInd w:val="0"/>
              <w:snapToGrid w:val="0"/>
              <w:spacing w:line="300" w:lineRule="exact"/>
              <w:jc w:val="center"/>
              <w:rPr>
                <w:rFonts w:hint="eastAsia" w:eastAsia="宋体"/>
                <w:color w:val="auto"/>
                <w:sz w:val="21"/>
                <w:szCs w:val="21"/>
                <w:lang w:eastAsia="zh-CN"/>
              </w:rPr>
            </w:pPr>
            <w:r>
              <w:rPr>
                <w:rFonts w:hint="eastAsia"/>
                <w:color w:val="auto"/>
                <w:sz w:val="21"/>
                <w:szCs w:val="21"/>
                <w:lang w:eastAsia="zh-CN"/>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4F39C9C9">
            <w:pPr>
              <w:adjustRightInd w:val="0"/>
              <w:snapToGrid w:val="0"/>
              <w:spacing w:line="300" w:lineRule="exact"/>
              <w:jc w:val="center"/>
              <w:rPr>
                <w:color w:val="auto"/>
                <w:sz w:val="21"/>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439A00BF">
            <w:pPr>
              <w:adjustRightInd w:val="0"/>
              <w:snapToGrid w:val="0"/>
              <w:spacing w:line="300" w:lineRule="exact"/>
              <w:jc w:val="center"/>
              <w:rPr>
                <w:color w:val="auto"/>
                <w:sz w:val="21"/>
                <w:szCs w:val="21"/>
              </w:rPr>
            </w:pPr>
            <w:r>
              <w:rPr>
                <w:rFonts w:hint="eastAsia"/>
                <w:color w:val="auto"/>
                <w:sz w:val="21"/>
                <w:szCs w:val="21"/>
                <w:lang w:eastAsia="zh-CN"/>
              </w:rPr>
              <w:t>通信地址</w:t>
            </w:r>
          </w:p>
        </w:tc>
        <w:tc>
          <w:tcPr>
            <w:tcW w:w="1259" w:type="pct"/>
            <w:tcBorders>
              <w:top w:val="single" w:color="auto" w:sz="2" w:space="0"/>
              <w:left w:val="single" w:color="auto" w:sz="2" w:space="0"/>
              <w:bottom w:val="single" w:color="auto" w:sz="2" w:space="0"/>
            </w:tcBorders>
            <w:vAlign w:val="center"/>
          </w:tcPr>
          <w:p w14:paraId="6584DDB8">
            <w:pPr>
              <w:adjustRightInd w:val="0"/>
              <w:snapToGrid w:val="0"/>
              <w:spacing w:line="300" w:lineRule="exact"/>
              <w:jc w:val="center"/>
              <w:rPr>
                <w:color w:val="auto"/>
                <w:spacing w:val="20"/>
                <w:sz w:val="21"/>
                <w:szCs w:val="21"/>
              </w:rPr>
            </w:pPr>
          </w:p>
        </w:tc>
      </w:tr>
      <w:tr w14:paraId="5AA7767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2FF0328">
            <w:pPr>
              <w:adjustRightInd w:val="0"/>
              <w:snapToGrid w:val="0"/>
              <w:spacing w:line="300" w:lineRule="exact"/>
              <w:jc w:val="center"/>
              <w:rPr>
                <w:color w:val="auto"/>
                <w:sz w:val="21"/>
                <w:szCs w:val="21"/>
              </w:rPr>
            </w:pPr>
            <w:r>
              <w:rPr>
                <w:color w:val="auto"/>
                <w:sz w:val="21"/>
                <w:szCs w:val="21"/>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14335BFE">
            <w:pPr>
              <w:adjustRightInd w:val="0"/>
              <w:snapToGrid w:val="0"/>
              <w:spacing w:line="300" w:lineRule="exact"/>
              <w:jc w:val="center"/>
              <w:rPr>
                <w:color w:val="auto"/>
                <w:sz w:val="21"/>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4E40C759">
            <w:pPr>
              <w:adjustRightInd w:val="0"/>
              <w:snapToGrid w:val="0"/>
              <w:spacing w:line="300" w:lineRule="exact"/>
              <w:jc w:val="center"/>
              <w:rPr>
                <w:color w:val="auto"/>
                <w:sz w:val="21"/>
                <w:szCs w:val="21"/>
              </w:rPr>
            </w:pPr>
            <w:r>
              <w:rPr>
                <w:color w:val="auto"/>
                <w:sz w:val="21"/>
                <w:szCs w:val="21"/>
              </w:rPr>
              <w:t>邮政编码</w:t>
            </w:r>
          </w:p>
        </w:tc>
        <w:tc>
          <w:tcPr>
            <w:tcW w:w="1259" w:type="pct"/>
            <w:tcBorders>
              <w:top w:val="single" w:color="auto" w:sz="2" w:space="0"/>
              <w:left w:val="single" w:color="auto" w:sz="2" w:space="0"/>
              <w:bottom w:val="single" w:color="auto" w:sz="2" w:space="0"/>
            </w:tcBorders>
            <w:vAlign w:val="center"/>
          </w:tcPr>
          <w:p w14:paraId="291C0B3F">
            <w:pPr>
              <w:adjustRightInd w:val="0"/>
              <w:snapToGrid w:val="0"/>
              <w:spacing w:line="300" w:lineRule="exact"/>
              <w:jc w:val="center"/>
              <w:rPr>
                <w:color w:val="auto"/>
                <w:spacing w:val="20"/>
                <w:sz w:val="21"/>
                <w:szCs w:val="21"/>
              </w:rPr>
            </w:pPr>
          </w:p>
        </w:tc>
      </w:tr>
      <w:tr w14:paraId="3FD8668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521AC9E4">
            <w:pPr>
              <w:adjustRightInd w:val="0"/>
              <w:snapToGrid w:val="0"/>
              <w:spacing w:line="300" w:lineRule="exact"/>
              <w:jc w:val="center"/>
              <w:rPr>
                <w:color w:val="auto"/>
                <w:sz w:val="21"/>
                <w:szCs w:val="21"/>
              </w:rPr>
            </w:pPr>
            <w:r>
              <w:rPr>
                <w:rFonts w:hint="eastAsia"/>
                <w:color w:val="auto"/>
                <w:sz w:val="21"/>
                <w:szCs w:val="21"/>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4D89AA35">
            <w:pPr>
              <w:adjustRightInd w:val="0"/>
              <w:snapToGrid w:val="0"/>
              <w:spacing w:line="300" w:lineRule="exact"/>
              <w:jc w:val="center"/>
              <w:rPr>
                <w:color w:val="auto"/>
                <w:sz w:val="21"/>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3A20DFD0">
            <w:pPr>
              <w:adjustRightInd w:val="0"/>
              <w:snapToGrid w:val="0"/>
              <w:spacing w:line="300" w:lineRule="exact"/>
              <w:jc w:val="center"/>
              <w:rPr>
                <w:color w:val="auto"/>
                <w:sz w:val="21"/>
                <w:szCs w:val="21"/>
              </w:rPr>
            </w:pPr>
            <w:r>
              <w:rPr>
                <w:rFonts w:hint="eastAsia"/>
                <w:color w:val="auto"/>
                <w:sz w:val="21"/>
                <w:szCs w:val="21"/>
              </w:rPr>
              <w:t>电子邮箱</w:t>
            </w:r>
          </w:p>
        </w:tc>
        <w:tc>
          <w:tcPr>
            <w:tcW w:w="1259" w:type="pct"/>
            <w:tcBorders>
              <w:top w:val="single" w:color="auto" w:sz="2" w:space="0"/>
              <w:left w:val="single" w:color="auto" w:sz="2" w:space="0"/>
              <w:bottom w:val="single" w:color="auto" w:sz="2" w:space="0"/>
            </w:tcBorders>
            <w:vAlign w:val="center"/>
          </w:tcPr>
          <w:p w14:paraId="6491BBA2">
            <w:pPr>
              <w:adjustRightInd w:val="0"/>
              <w:snapToGrid w:val="0"/>
              <w:spacing w:line="300" w:lineRule="exact"/>
              <w:jc w:val="center"/>
              <w:rPr>
                <w:color w:val="auto"/>
                <w:spacing w:val="20"/>
                <w:sz w:val="21"/>
                <w:szCs w:val="21"/>
              </w:rPr>
            </w:pPr>
          </w:p>
        </w:tc>
      </w:tr>
      <w:tr w14:paraId="7A84CB6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PrEx>
        <w:trPr>
          <w:trHeight w:val="483" w:hRule="atLeast"/>
        </w:trPr>
        <w:tc>
          <w:tcPr>
            <w:tcW w:w="1126" w:type="pct"/>
            <w:tcBorders>
              <w:top w:val="single" w:color="auto" w:sz="2" w:space="0"/>
              <w:bottom w:val="single" w:color="auto" w:sz="2" w:space="0"/>
              <w:right w:val="single" w:color="auto" w:sz="2" w:space="0"/>
            </w:tcBorders>
            <w:vAlign w:val="center"/>
          </w:tcPr>
          <w:p w14:paraId="57CF030C">
            <w:pPr>
              <w:adjustRightInd w:val="0"/>
              <w:snapToGrid w:val="0"/>
              <w:spacing w:line="300" w:lineRule="exact"/>
              <w:jc w:val="center"/>
              <w:rPr>
                <w:color w:val="auto"/>
                <w:sz w:val="21"/>
                <w:szCs w:val="21"/>
              </w:rPr>
            </w:pPr>
            <w:r>
              <w:rPr>
                <w:rFonts w:hint="eastAsia"/>
                <w:color w:val="auto"/>
                <w:sz w:val="21"/>
                <w:szCs w:val="21"/>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19992CD6">
            <w:pPr>
              <w:adjustRightInd w:val="0"/>
              <w:snapToGrid w:val="0"/>
              <w:spacing w:line="300" w:lineRule="exact"/>
              <w:jc w:val="center"/>
              <w:rPr>
                <w:color w:val="auto"/>
                <w:sz w:val="21"/>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00EAAB72">
            <w:pPr>
              <w:adjustRightInd w:val="0"/>
              <w:snapToGrid w:val="0"/>
              <w:spacing w:line="300" w:lineRule="exact"/>
              <w:jc w:val="center"/>
              <w:rPr>
                <w:color w:val="auto"/>
                <w:sz w:val="21"/>
                <w:szCs w:val="21"/>
              </w:rPr>
            </w:pPr>
            <w:r>
              <w:rPr>
                <w:rFonts w:hint="eastAsia"/>
                <w:color w:val="auto"/>
                <w:sz w:val="21"/>
                <w:szCs w:val="21"/>
              </w:rPr>
              <w:t>统一社会信用代码</w:t>
            </w:r>
          </w:p>
        </w:tc>
        <w:tc>
          <w:tcPr>
            <w:tcW w:w="1259" w:type="pct"/>
            <w:tcBorders>
              <w:top w:val="single" w:color="auto" w:sz="2" w:space="0"/>
              <w:left w:val="single" w:color="auto" w:sz="2" w:space="0"/>
              <w:bottom w:val="single" w:color="auto" w:sz="2" w:space="0"/>
            </w:tcBorders>
            <w:vAlign w:val="center"/>
          </w:tcPr>
          <w:p w14:paraId="24AE26DB">
            <w:pPr>
              <w:adjustRightInd w:val="0"/>
              <w:snapToGrid w:val="0"/>
              <w:spacing w:line="300" w:lineRule="exact"/>
              <w:jc w:val="center"/>
              <w:rPr>
                <w:color w:val="auto"/>
                <w:spacing w:val="20"/>
                <w:sz w:val="21"/>
                <w:szCs w:val="21"/>
              </w:rPr>
            </w:pPr>
          </w:p>
        </w:tc>
      </w:tr>
      <w:tr w14:paraId="7D4D583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3C5500C6">
            <w:pPr>
              <w:adjustRightInd w:val="0"/>
              <w:snapToGrid w:val="0"/>
              <w:spacing w:line="300" w:lineRule="exact"/>
              <w:jc w:val="center"/>
              <w:rPr>
                <w:color w:val="auto"/>
                <w:sz w:val="21"/>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67902366">
            <w:pPr>
              <w:adjustRightInd w:val="0"/>
              <w:snapToGrid w:val="0"/>
              <w:spacing w:line="300" w:lineRule="exact"/>
              <w:jc w:val="center"/>
              <w:rPr>
                <w:color w:val="auto"/>
                <w:sz w:val="21"/>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13EF0E58">
            <w:pPr>
              <w:adjustRightInd w:val="0"/>
              <w:snapToGrid w:val="0"/>
              <w:spacing w:line="300" w:lineRule="exact"/>
              <w:jc w:val="center"/>
              <w:rPr>
                <w:color w:val="auto"/>
                <w:sz w:val="21"/>
                <w:szCs w:val="21"/>
              </w:rPr>
            </w:pPr>
            <w:r>
              <w:rPr>
                <w:color w:val="auto"/>
                <w:sz w:val="21"/>
                <w:szCs w:val="21"/>
              </w:rPr>
              <w:t>开户名称</w:t>
            </w:r>
          </w:p>
        </w:tc>
        <w:tc>
          <w:tcPr>
            <w:tcW w:w="1259" w:type="pct"/>
            <w:tcBorders>
              <w:top w:val="single" w:color="auto" w:sz="2" w:space="0"/>
              <w:left w:val="single" w:color="auto" w:sz="2" w:space="0"/>
              <w:bottom w:val="single" w:color="auto" w:sz="2" w:space="0"/>
            </w:tcBorders>
            <w:vAlign w:val="center"/>
          </w:tcPr>
          <w:p w14:paraId="19678C44">
            <w:pPr>
              <w:adjustRightInd w:val="0"/>
              <w:snapToGrid w:val="0"/>
              <w:spacing w:line="300" w:lineRule="exact"/>
              <w:jc w:val="center"/>
              <w:rPr>
                <w:color w:val="auto"/>
                <w:spacing w:val="20"/>
                <w:sz w:val="21"/>
                <w:szCs w:val="21"/>
              </w:rPr>
            </w:pPr>
          </w:p>
        </w:tc>
      </w:tr>
      <w:tr w14:paraId="3FFD7A4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4CDA7E0">
            <w:pPr>
              <w:adjustRightInd w:val="0"/>
              <w:snapToGrid w:val="0"/>
              <w:spacing w:line="300" w:lineRule="exact"/>
              <w:jc w:val="center"/>
              <w:rPr>
                <w:color w:val="auto"/>
                <w:sz w:val="21"/>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74D41057">
            <w:pPr>
              <w:adjustRightInd w:val="0"/>
              <w:snapToGrid w:val="0"/>
              <w:spacing w:line="300" w:lineRule="exact"/>
              <w:jc w:val="center"/>
              <w:rPr>
                <w:color w:val="auto"/>
                <w:sz w:val="21"/>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72DC707B">
            <w:pPr>
              <w:adjustRightInd w:val="0"/>
              <w:snapToGrid w:val="0"/>
              <w:spacing w:line="300" w:lineRule="exact"/>
              <w:jc w:val="center"/>
              <w:rPr>
                <w:color w:val="auto"/>
                <w:sz w:val="21"/>
                <w:szCs w:val="21"/>
              </w:rPr>
            </w:pPr>
            <w:r>
              <w:rPr>
                <w:color w:val="auto"/>
                <w:sz w:val="21"/>
                <w:szCs w:val="21"/>
              </w:rPr>
              <w:t>开户银行</w:t>
            </w:r>
          </w:p>
        </w:tc>
        <w:tc>
          <w:tcPr>
            <w:tcW w:w="1259" w:type="pct"/>
            <w:tcBorders>
              <w:top w:val="single" w:color="auto" w:sz="2" w:space="0"/>
              <w:left w:val="single" w:color="auto" w:sz="2" w:space="0"/>
              <w:bottom w:val="single" w:color="auto" w:sz="2" w:space="0"/>
            </w:tcBorders>
            <w:vAlign w:val="center"/>
          </w:tcPr>
          <w:p w14:paraId="14AC843F">
            <w:pPr>
              <w:adjustRightInd w:val="0"/>
              <w:snapToGrid w:val="0"/>
              <w:spacing w:line="300" w:lineRule="exact"/>
              <w:jc w:val="center"/>
              <w:rPr>
                <w:color w:val="auto"/>
                <w:spacing w:val="20"/>
                <w:sz w:val="21"/>
                <w:szCs w:val="21"/>
              </w:rPr>
            </w:pPr>
          </w:p>
        </w:tc>
      </w:tr>
      <w:tr w14:paraId="6464CB1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3ADA6A4">
            <w:pPr>
              <w:adjustRightInd w:val="0"/>
              <w:snapToGrid w:val="0"/>
              <w:spacing w:line="300" w:lineRule="exact"/>
              <w:jc w:val="center"/>
              <w:rPr>
                <w:color w:val="auto"/>
                <w:sz w:val="21"/>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2B2B86C2">
            <w:pPr>
              <w:adjustRightInd w:val="0"/>
              <w:snapToGrid w:val="0"/>
              <w:spacing w:line="300" w:lineRule="exact"/>
              <w:jc w:val="center"/>
              <w:rPr>
                <w:color w:val="auto"/>
                <w:sz w:val="21"/>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374249F0">
            <w:pPr>
              <w:adjustRightInd w:val="0"/>
              <w:snapToGrid w:val="0"/>
              <w:spacing w:line="300" w:lineRule="exact"/>
              <w:jc w:val="center"/>
              <w:rPr>
                <w:color w:val="auto"/>
                <w:sz w:val="21"/>
                <w:szCs w:val="21"/>
              </w:rPr>
            </w:pPr>
            <w:r>
              <w:rPr>
                <w:color w:val="auto"/>
                <w:sz w:val="21"/>
                <w:szCs w:val="21"/>
              </w:rPr>
              <w:t>银行账号</w:t>
            </w:r>
          </w:p>
        </w:tc>
        <w:tc>
          <w:tcPr>
            <w:tcW w:w="1259" w:type="pct"/>
            <w:tcBorders>
              <w:top w:val="single" w:color="auto" w:sz="2" w:space="0"/>
              <w:left w:val="single" w:color="auto" w:sz="2" w:space="0"/>
              <w:bottom w:val="single" w:color="auto" w:sz="2" w:space="0"/>
            </w:tcBorders>
            <w:vAlign w:val="center"/>
          </w:tcPr>
          <w:p w14:paraId="39591B8A">
            <w:pPr>
              <w:adjustRightInd w:val="0"/>
              <w:snapToGrid w:val="0"/>
              <w:spacing w:line="300" w:lineRule="exact"/>
              <w:jc w:val="center"/>
              <w:rPr>
                <w:color w:val="auto"/>
                <w:spacing w:val="20"/>
                <w:sz w:val="21"/>
                <w:szCs w:val="21"/>
              </w:rPr>
            </w:pPr>
          </w:p>
        </w:tc>
      </w:tr>
      <w:tr w14:paraId="05A599C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746C272F">
            <w:pPr>
              <w:pStyle w:val="11"/>
              <w:adjustRightInd w:val="0"/>
              <w:snapToGrid w:val="0"/>
              <w:spacing w:before="156" w:beforeLines="50" w:after="0" w:line="360" w:lineRule="auto"/>
              <w:ind w:left="0" w:leftChars="0"/>
              <w:jc w:val="left"/>
              <w:rPr>
                <w:color w:val="auto"/>
                <w:spacing w:val="20"/>
                <w:sz w:val="21"/>
                <w:szCs w:val="21"/>
              </w:rPr>
            </w:pPr>
            <w:r>
              <w:rPr>
                <w:rFonts w:hint="eastAsia" w:ascii="宋体" w:hAnsi="宋体"/>
                <w:color w:val="auto"/>
                <w:sz w:val="21"/>
                <w:szCs w:val="21"/>
              </w:rPr>
              <w:t>注：涉及联合体或其他合同主体的信息应按上表格式加列。</w:t>
            </w:r>
          </w:p>
        </w:tc>
      </w:tr>
    </w:tbl>
    <w:p w14:paraId="71F98909">
      <w:pPr>
        <w:pStyle w:val="4"/>
        <w:adjustRightInd w:val="0"/>
        <w:snapToGrid w:val="0"/>
        <w:spacing w:before="156" w:beforeLines="50"/>
        <w:jc w:val="center"/>
        <w:rPr>
          <w:rFonts w:ascii="黑体" w:hAnsi="黑体" w:eastAsia="黑体"/>
          <w:color w:val="auto"/>
          <w:sz w:val="21"/>
          <w:szCs w:val="21"/>
        </w:rPr>
      </w:pPr>
      <w:r>
        <w:rPr>
          <w:rFonts w:ascii="宋体" w:hAnsi="宋体"/>
          <w:color w:val="auto"/>
          <w:sz w:val="21"/>
          <w:szCs w:val="21"/>
          <w:u w:val="single"/>
        </w:rPr>
        <w:br w:type="page"/>
      </w:r>
      <w:bookmarkStart w:id="749" w:name="_Toc24188"/>
      <w:bookmarkStart w:id="750" w:name="_Toc27624"/>
      <w:r>
        <w:rPr>
          <w:rFonts w:hint="eastAsia" w:ascii="黑体" w:hAnsi="黑体" w:eastAsia="黑体"/>
          <w:b w:val="0"/>
          <w:bCs w:val="0"/>
          <w:color w:val="auto"/>
          <w:sz w:val="21"/>
          <w:szCs w:val="21"/>
        </w:rPr>
        <w:t>第二节 政府采购合同通用条款</w:t>
      </w:r>
      <w:bookmarkEnd w:id="749"/>
      <w:bookmarkEnd w:id="750"/>
    </w:p>
    <w:p w14:paraId="1E33DC95">
      <w:pPr>
        <w:tabs>
          <w:tab w:val="left" w:pos="8820"/>
          <w:tab w:val="left" w:pos="9345"/>
          <w:tab w:val="left" w:pos="9765"/>
        </w:tabs>
        <w:adjustRightInd w:val="0"/>
        <w:snapToGrid w:val="0"/>
        <w:spacing w:before="0" w:line="400" w:lineRule="exact"/>
        <w:jc w:val="left"/>
        <w:rPr>
          <w:rFonts w:ascii="宋体" w:hAnsi="宋体"/>
          <w:b/>
          <w:bCs/>
          <w:color w:val="auto"/>
          <w:sz w:val="21"/>
          <w:szCs w:val="21"/>
        </w:rPr>
      </w:pPr>
      <w:r>
        <w:rPr>
          <w:rFonts w:hint="eastAsia" w:ascii="宋体" w:hAnsi="宋体"/>
          <w:b/>
          <w:color w:val="auto"/>
          <w:sz w:val="21"/>
          <w:szCs w:val="21"/>
        </w:rPr>
        <w:t>1.</w:t>
      </w:r>
      <w:r>
        <w:rPr>
          <w:rFonts w:hint="eastAsia" w:ascii="宋体" w:hAnsi="宋体"/>
          <w:b/>
          <w:color w:val="auto"/>
          <w:sz w:val="21"/>
          <w:szCs w:val="21"/>
          <w:lang w:val="en-US" w:eastAsia="zh-CN"/>
        </w:rPr>
        <w:t xml:space="preserve"> </w:t>
      </w:r>
      <w:r>
        <w:rPr>
          <w:rFonts w:hint="eastAsia" w:ascii="宋体" w:hAnsi="宋体"/>
          <w:b/>
          <w:bCs/>
          <w:color w:val="auto"/>
          <w:sz w:val="21"/>
          <w:szCs w:val="21"/>
        </w:rPr>
        <w:t>定义</w:t>
      </w:r>
    </w:p>
    <w:p w14:paraId="7A2BC7FA">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1.1合同当事人</w:t>
      </w:r>
    </w:p>
    <w:p w14:paraId="2598880E">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（1）采购人（以下称甲方）是指使用财政性资金，通过政府采购方式向供应商购买货物</w:t>
      </w:r>
      <w:r>
        <w:rPr>
          <w:rFonts w:hint="eastAsia" w:ascii="宋体" w:hAnsi="宋体"/>
          <w:color w:val="auto"/>
          <w:sz w:val="21"/>
          <w:szCs w:val="21"/>
          <w:highlight w:val="none"/>
          <w:lang w:val="en-US" w:eastAsia="zh-CN"/>
        </w:rPr>
        <w:t>及其相关服务的</w:t>
      </w:r>
      <w:r>
        <w:rPr>
          <w:rFonts w:hint="eastAsia" w:ascii="宋体" w:hAnsi="宋体"/>
          <w:color w:val="auto"/>
          <w:sz w:val="21"/>
          <w:szCs w:val="21"/>
          <w:highlight w:val="none"/>
        </w:rPr>
        <w:t>国家机关、事业单位、团体组织。</w:t>
      </w:r>
    </w:p>
    <w:p w14:paraId="4BABE296">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（2）供应商（以下称</w:t>
      </w:r>
      <w:r>
        <w:rPr>
          <w:rFonts w:hint="eastAsia" w:ascii="宋体" w:hAnsi="宋体"/>
          <w:color w:val="auto"/>
          <w:sz w:val="21"/>
          <w:szCs w:val="21"/>
          <w:highlight w:val="none"/>
          <w:lang w:eastAsia="zh-CN"/>
        </w:rPr>
        <w:t>乙</w:t>
      </w:r>
      <w:r>
        <w:rPr>
          <w:rFonts w:hint="eastAsia" w:ascii="宋体" w:hAnsi="宋体"/>
          <w:color w:val="auto"/>
          <w:sz w:val="21"/>
          <w:szCs w:val="21"/>
          <w:highlight w:val="none"/>
        </w:rPr>
        <w:t>方）是指参加政府采购活动并且中标（成交），向采购人提供</w:t>
      </w:r>
      <w:r>
        <w:rPr>
          <w:rFonts w:hint="eastAsia" w:ascii="宋体" w:hAnsi="宋体"/>
          <w:color w:val="auto"/>
          <w:sz w:val="21"/>
          <w:szCs w:val="21"/>
          <w:highlight w:val="none"/>
          <w:lang w:val="en-US" w:eastAsia="zh-CN"/>
        </w:rPr>
        <w:t>合同约定的货物及其相关服务的法人、非法人组织或者自然人</w:t>
      </w:r>
      <w:r>
        <w:rPr>
          <w:rFonts w:hint="eastAsia" w:ascii="宋体" w:hAnsi="宋体"/>
          <w:color w:val="auto"/>
          <w:sz w:val="21"/>
          <w:szCs w:val="21"/>
          <w:highlight w:val="none"/>
        </w:rPr>
        <w:t>。</w:t>
      </w:r>
    </w:p>
    <w:p w14:paraId="5823D5F2">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（3）其他合同主体是指除采购人和供应商以外，</w:t>
      </w:r>
      <w:r>
        <w:rPr>
          <w:rFonts w:hint="eastAsia" w:ascii="宋体" w:hAnsi="宋体" w:eastAsia="宋体" w:cs="宋体"/>
          <w:bCs/>
          <w:color w:val="auto"/>
          <w:sz w:val="21"/>
          <w:szCs w:val="21"/>
        </w:rPr>
        <w:t>依法参与合同缔结或履行，享有权利、承担义务的合同当事人</w:t>
      </w:r>
      <w:r>
        <w:rPr>
          <w:rFonts w:hint="eastAsia" w:ascii="宋体" w:hAnsi="宋体"/>
          <w:color w:val="auto"/>
          <w:sz w:val="21"/>
          <w:szCs w:val="21"/>
          <w:highlight w:val="none"/>
        </w:rPr>
        <w:t>。</w:t>
      </w:r>
    </w:p>
    <w:p w14:paraId="3375E181">
      <w:pPr>
        <w:tabs>
          <w:tab w:val="left" w:pos="570"/>
          <w:tab w:val="left" w:pos="9240"/>
          <w:tab w:val="left" w:pos="9555"/>
        </w:tabs>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1.2本合同下列术语应解释为：</w:t>
      </w:r>
    </w:p>
    <w:p w14:paraId="09A2FE1F">
      <w:pPr>
        <w:adjustRightInd w:val="0"/>
        <w:snapToGrid w:val="0"/>
        <w:spacing w:before="0" w:beforeLines="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（1）“合同”系指</w:t>
      </w:r>
      <w:r>
        <w:rPr>
          <w:rFonts w:hint="eastAsia" w:ascii="宋体" w:hAnsi="宋体" w:eastAsia="宋体" w:cs="宋体"/>
          <w:bCs/>
          <w:color w:val="auto"/>
          <w:sz w:val="21"/>
          <w:szCs w:val="21"/>
        </w:rPr>
        <w:t>合同当事人意思表示达成一致的任何协议，包括签署的</w:t>
      </w:r>
      <w:r>
        <w:rPr>
          <w:rFonts w:hint="eastAsia" w:ascii="宋体" w:hAnsi="宋体"/>
          <w:color w:val="auto"/>
          <w:sz w:val="21"/>
          <w:szCs w:val="21"/>
          <w:lang w:eastAsia="zh-CN"/>
        </w:rPr>
        <w:t>政府采购</w:t>
      </w:r>
      <w:r>
        <w:rPr>
          <w:rFonts w:hint="eastAsia" w:ascii="宋体" w:hAnsi="宋体"/>
          <w:color w:val="auto"/>
          <w:sz w:val="21"/>
          <w:szCs w:val="21"/>
        </w:rPr>
        <w:t>合同协议书及其变更、补充</w:t>
      </w:r>
      <w:r>
        <w:rPr>
          <w:rFonts w:hint="eastAsia" w:ascii="宋体" w:hAnsi="宋体"/>
          <w:color w:val="auto"/>
          <w:sz w:val="21"/>
          <w:szCs w:val="21"/>
          <w:lang w:eastAsia="zh-CN"/>
        </w:rPr>
        <w:t>协议，</w:t>
      </w:r>
      <w:r>
        <w:rPr>
          <w:rFonts w:hint="eastAsia" w:ascii="宋体" w:hAnsi="宋体"/>
          <w:color w:val="auto"/>
          <w:sz w:val="21"/>
          <w:szCs w:val="21"/>
        </w:rPr>
        <w:t>政府采购合同专用条款</w:t>
      </w:r>
      <w:r>
        <w:rPr>
          <w:rFonts w:hint="eastAsia" w:ascii="宋体" w:hAnsi="宋体"/>
          <w:color w:val="auto"/>
          <w:sz w:val="21"/>
          <w:szCs w:val="21"/>
          <w:lang w:eastAsia="zh-CN"/>
        </w:rPr>
        <w:t>，</w:t>
      </w:r>
      <w:r>
        <w:rPr>
          <w:rFonts w:hint="eastAsia" w:ascii="宋体" w:hAnsi="宋体"/>
          <w:color w:val="auto"/>
          <w:sz w:val="21"/>
          <w:szCs w:val="21"/>
        </w:rPr>
        <w:t>政府采购合同通用条款</w:t>
      </w:r>
      <w:r>
        <w:rPr>
          <w:rFonts w:hint="eastAsia" w:ascii="宋体" w:hAnsi="宋体"/>
          <w:color w:val="auto"/>
          <w:sz w:val="21"/>
          <w:szCs w:val="21"/>
          <w:lang w:eastAsia="zh-CN"/>
        </w:rPr>
        <w:t>，</w:t>
      </w:r>
      <w:r>
        <w:rPr>
          <w:rFonts w:hint="eastAsia" w:ascii="宋体" w:hAnsi="宋体"/>
          <w:color w:val="auto"/>
          <w:sz w:val="21"/>
          <w:szCs w:val="21"/>
        </w:rPr>
        <w:t>中标</w:t>
      </w:r>
      <w:r>
        <w:rPr>
          <w:rFonts w:hint="eastAsia" w:ascii="宋体" w:hAnsi="宋体"/>
          <w:color w:val="auto"/>
          <w:sz w:val="21"/>
          <w:szCs w:val="21"/>
          <w:lang w:eastAsia="zh-CN"/>
        </w:rPr>
        <w:t>（成交）</w:t>
      </w:r>
      <w:r>
        <w:rPr>
          <w:rFonts w:hint="eastAsia" w:ascii="宋体" w:hAnsi="宋体"/>
          <w:color w:val="auto"/>
          <w:sz w:val="21"/>
          <w:szCs w:val="21"/>
        </w:rPr>
        <w:t>通知书</w:t>
      </w:r>
      <w:r>
        <w:rPr>
          <w:rFonts w:hint="eastAsia" w:ascii="宋体" w:hAnsi="宋体"/>
          <w:color w:val="auto"/>
          <w:sz w:val="21"/>
          <w:szCs w:val="21"/>
          <w:lang w:eastAsia="zh-CN"/>
        </w:rPr>
        <w:t>，</w:t>
      </w:r>
      <w:r>
        <w:rPr>
          <w:rFonts w:hint="eastAsia" w:ascii="宋体" w:hAnsi="宋体"/>
          <w:color w:val="auto"/>
          <w:sz w:val="21"/>
          <w:szCs w:val="21"/>
        </w:rPr>
        <w:t>投标（响应）文件</w:t>
      </w:r>
      <w:r>
        <w:rPr>
          <w:rFonts w:hint="eastAsia" w:ascii="宋体" w:hAnsi="宋体"/>
          <w:color w:val="auto"/>
          <w:sz w:val="21"/>
          <w:szCs w:val="21"/>
          <w:lang w:eastAsia="zh-CN"/>
        </w:rPr>
        <w:t>，</w:t>
      </w:r>
      <w:r>
        <w:rPr>
          <w:rFonts w:hint="eastAsia" w:ascii="宋体" w:hAnsi="宋体"/>
          <w:color w:val="auto"/>
          <w:sz w:val="21"/>
          <w:szCs w:val="21"/>
        </w:rPr>
        <w:t>采购文件</w:t>
      </w:r>
      <w:r>
        <w:rPr>
          <w:rFonts w:hint="eastAsia" w:ascii="宋体" w:hAnsi="宋体"/>
          <w:color w:val="auto"/>
          <w:sz w:val="21"/>
          <w:szCs w:val="21"/>
          <w:lang w:eastAsia="zh-CN"/>
        </w:rPr>
        <w:t>，</w:t>
      </w:r>
      <w:r>
        <w:rPr>
          <w:rFonts w:hint="eastAsia" w:ascii="宋体" w:hAnsi="宋体"/>
          <w:color w:val="auto"/>
          <w:sz w:val="21"/>
          <w:szCs w:val="21"/>
        </w:rPr>
        <w:t>有关技术文件</w:t>
      </w:r>
      <w:r>
        <w:rPr>
          <w:rFonts w:hint="eastAsia" w:ascii="宋体" w:hAnsi="宋体"/>
          <w:color w:val="auto"/>
          <w:sz w:val="21"/>
          <w:szCs w:val="21"/>
          <w:lang w:eastAsia="zh-CN"/>
        </w:rPr>
        <w:t>和</w:t>
      </w:r>
      <w:r>
        <w:rPr>
          <w:rFonts w:hint="eastAsia" w:ascii="宋体" w:hAnsi="宋体"/>
          <w:color w:val="auto"/>
          <w:sz w:val="21"/>
          <w:szCs w:val="21"/>
        </w:rPr>
        <w:t>图纸</w:t>
      </w:r>
      <w:r>
        <w:rPr>
          <w:rFonts w:hint="eastAsia" w:ascii="宋体" w:hAnsi="宋体"/>
          <w:color w:val="auto"/>
          <w:sz w:val="21"/>
          <w:szCs w:val="21"/>
          <w:lang w:eastAsia="zh-CN"/>
        </w:rPr>
        <w:t>，以及</w:t>
      </w:r>
      <w:r>
        <w:rPr>
          <w:rFonts w:hint="eastAsia" w:ascii="宋体" w:hAnsi="宋体" w:eastAsia="宋体" w:cs="宋体"/>
          <w:bCs w:val="0"/>
          <w:color w:val="auto"/>
          <w:kern w:val="2"/>
          <w:sz w:val="21"/>
          <w:szCs w:val="21"/>
          <w:highlight w:val="none"/>
          <w:lang w:eastAsia="zh-CN"/>
        </w:rPr>
        <w:t>国家法律、行政法规和规章制度规定或合同约定的作为合同组成部分的其他文件</w:t>
      </w:r>
      <w:r>
        <w:rPr>
          <w:rFonts w:hint="eastAsia" w:ascii="宋体" w:hAnsi="宋体"/>
          <w:color w:val="auto"/>
          <w:sz w:val="21"/>
          <w:szCs w:val="21"/>
          <w:highlight w:val="none"/>
        </w:rPr>
        <w:t>。</w:t>
      </w:r>
    </w:p>
    <w:p w14:paraId="1D48BA42">
      <w:pPr>
        <w:tabs>
          <w:tab w:val="left" w:pos="570"/>
          <w:tab w:val="left" w:pos="9240"/>
          <w:tab w:val="left" w:pos="9555"/>
        </w:tabs>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2</w:t>
      </w:r>
      <w:r>
        <w:rPr>
          <w:rFonts w:hint="eastAsia" w:ascii="宋体" w:hAnsi="宋体"/>
          <w:color w:val="auto"/>
          <w:sz w:val="21"/>
          <w:szCs w:val="21"/>
          <w:highlight w:val="none"/>
        </w:rPr>
        <w:t>）“合同价</w:t>
      </w:r>
      <w:r>
        <w:rPr>
          <w:rFonts w:hint="eastAsia" w:ascii="宋体" w:hAnsi="宋体"/>
          <w:color w:val="auto"/>
          <w:sz w:val="21"/>
          <w:szCs w:val="21"/>
          <w:highlight w:val="none"/>
          <w:lang w:val="en-US" w:eastAsia="zh-CN"/>
        </w:rPr>
        <w:t>款</w:t>
      </w:r>
      <w:r>
        <w:rPr>
          <w:rFonts w:hint="eastAsia" w:ascii="宋体" w:hAnsi="宋体"/>
          <w:color w:val="auto"/>
          <w:sz w:val="21"/>
          <w:szCs w:val="21"/>
          <w:highlight w:val="none"/>
        </w:rPr>
        <w:t>”系指根据本合同规定乙方在全面履行合同义务后甲方应支付给乙方的价款。</w:t>
      </w:r>
    </w:p>
    <w:p w14:paraId="7339467A">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3</w:t>
      </w:r>
      <w:r>
        <w:rPr>
          <w:rFonts w:hint="eastAsia" w:ascii="宋体" w:hAnsi="宋体"/>
          <w:color w:val="auto"/>
          <w:sz w:val="21"/>
          <w:szCs w:val="21"/>
          <w:highlight w:val="none"/>
        </w:rPr>
        <w:t>）“货物”系指乙方根据本合同规定须向甲方提供的各种形态和种类的物品，包括原材料、设备、产品（包括软件）及相关的其备品备件、工具、手册及</w:t>
      </w:r>
      <w:r>
        <w:rPr>
          <w:rFonts w:hint="default" w:ascii="宋体" w:hAnsi="宋体"/>
          <w:color w:val="auto"/>
          <w:sz w:val="21"/>
          <w:szCs w:val="21"/>
          <w:highlight w:val="none"/>
          <w:lang w:val="en"/>
        </w:rPr>
        <w:t>其他</w:t>
      </w:r>
      <w:r>
        <w:rPr>
          <w:rFonts w:hint="eastAsia" w:ascii="宋体" w:hAnsi="宋体"/>
          <w:color w:val="auto"/>
          <w:sz w:val="21"/>
          <w:szCs w:val="21"/>
          <w:highlight w:val="none"/>
        </w:rPr>
        <w:t>技术资料和材料</w:t>
      </w:r>
      <w:r>
        <w:rPr>
          <w:rFonts w:hint="eastAsia" w:ascii="宋体" w:hAnsi="宋体"/>
          <w:color w:val="auto"/>
          <w:sz w:val="21"/>
          <w:szCs w:val="21"/>
          <w:highlight w:val="none"/>
          <w:lang w:eastAsia="zh-CN"/>
        </w:rPr>
        <w:t>等</w:t>
      </w:r>
      <w:r>
        <w:rPr>
          <w:rFonts w:hint="eastAsia" w:ascii="宋体" w:hAnsi="宋体"/>
          <w:color w:val="auto"/>
          <w:sz w:val="21"/>
          <w:szCs w:val="21"/>
          <w:highlight w:val="none"/>
        </w:rPr>
        <w:t>。</w:t>
      </w:r>
    </w:p>
    <w:p w14:paraId="010FA3C7">
      <w:pPr>
        <w:adjustRightInd w:val="0"/>
        <w:snapToGrid w:val="0"/>
        <w:spacing w:before="0" w:line="400" w:lineRule="exact"/>
        <w:ind w:firstLine="420" w:firstLineChars="200"/>
        <w:jc w:val="left"/>
        <w:rPr>
          <w:rFonts w:hint="eastAsia" w:ascii="宋体" w:hAnsi="宋体" w:eastAsia="宋体"/>
          <w:color w:val="auto"/>
          <w:sz w:val="21"/>
          <w:szCs w:val="21"/>
          <w:highlight w:val="yellow"/>
          <w:lang w:eastAsia="zh-CN"/>
        </w:rPr>
      </w:pP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4</w:t>
      </w: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相关</w:t>
      </w:r>
      <w:r>
        <w:rPr>
          <w:rFonts w:hint="eastAsia" w:ascii="宋体" w:hAnsi="宋体"/>
          <w:color w:val="auto"/>
          <w:sz w:val="21"/>
          <w:szCs w:val="21"/>
          <w:highlight w:val="none"/>
        </w:rPr>
        <w:t>服务”系指根据合同规定，乙方应提供的</w:t>
      </w:r>
      <w:r>
        <w:rPr>
          <w:rFonts w:hint="eastAsia" w:ascii="宋体" w:hAnsi="宋体"/>
          <w:color w:val="auto"/>
          <w:sz w:val="21"/>
          <w:szCs w:val="21"/>
          <w:highlight w:val="none"/>
          <w:lang w:val="en-US" w:eastAsia="zh-CN"/>
        </w:rPr>
        <w:t>与货物有关的</w:t>
      </w:r>
      <w:r>
        <w:rPr>
          <w:rFonts w:hint="eastAsia" w:ascii="宋体" w:hAnsi="宋体"/>
          <w:color w:val="auto"/>
          <w:sz w:val="21"/>
          <w:szCs w:val="21"/>
          <w:highlight w:val="none"/>
        </w:rPr>
        <w:t>技术、管理和</w:t>
      </w:r>
      <w:r>
        <w:rPr>
          <w:rFonts w:hint="default" w:ascii="宋体" w:hAnsi="宋体"/>
          <w:color w:val="auto"/>
          <w:sz w:val="21"/>
          <w:szCs w:val="21"/>
          <w:highlight w:val="none"/>
          <w:lang w:val="en"/>
        </w:rPr>
        <w:t>其他</w:t>
      </w:r>
      <w:r>
        <w:rPr>
          <w:rFonts w:hint="eastAsia" w:ascii="宋体" w:hAnsi="宋体"/>
          <w:color w:val="auto"/>
          <w:sz w:val="21"/>
          <w:szCs w:val="21"/>
          <w:highlight w:val="none"/>
        </w:rPr>
        <w:t>服务，包括但不限于：管理和质量保证、运输、保险、检验、现场准备、安装、集成、调试、培训、维修、</w:t>
      </w:r>
      <w:r>
        <w:rPr>
          <w:rFonts w:hint="eastAsia" w:ascii="宋体" w:hAnsi="宋体"/>
          <w:color w:val="auto"/>
          <w:sz w:val="21"/>
          <w:szCs w:val="21"/>
          <w:highlight w:val="none"/>
          <w:lang w:eastAsia="zh-CN"/>
        </w:rPr>
        <w:t>废弃处置、</w:t>
      </w:r>
      <w:r>
        <w:rPr>
          <w:rFonts w:hint="eastAsia" w:ascii="宋体" w:hAnsi="宋体"/>
          <w:color w:val="auto"/>
          <w:sz w:val="21"/>
          <w:szCs w:val="21"/>
          <w:highlight w:val="none"/>
        </w:rPr>
        <w:t>技术支持等以及合同中规定乙方应承担的</w:t>
      </w:r>
      <w:r>
        <w:rPr>
          <w:rFonts w:hint="default" w:ascii="宋体" w:hAnsi="宋体"/>
          <w:color w:val="auto"/>
          <w:sz w:val="21"/>
          <w:szCs w:val="21"/>
          <w:highlight w:val="none"/>
          <w:lang w:val="en"/>
        </w:rPr>
        <w:t>其他</w:t>
      </w:r>
      <w:r>
        <w:rPr>
          <w:rFonts w:hint="eastAsia" w:ascii="宋体" w:hAnsi="宋体"/>
          <w:color w:val="auto"/>
          <w:sz w:val="21"/>
          <w:szCs w:val="21"/>
          <w:highlight w:val="none"/>
        </w:rPr>
        <w:t>义务。</w:t>
      </w:r>
    </w:p>
    <w:p w14:paraId="0F47219F">
      <w:pPr>
        <w:adjustRightInd w:val="0"/>
        <w:snapToGrid w:val="0"/>
        <w:spacing w:before="0" w:line="400" w:lineRule="exact"/>
        <w:ind w:firstLine="420" w:firstLineChars="200"/>
        <w:jc w:val="left"/>
        <w:rPr>
          <w:rFonts w:hint="eastAsia" w:ascii="宋体" w:hAnsi="宋体" w:eastAsia="宋体"/>
          <w:color w:val="auto"/>
          <w:sz w:val="21"/>
          <w:szCs w:val="21"/>
          <w:highlight w:val="yellow"/>
          <w:lang w:eastAsia="zh-CN"/>
        </w:rPr>
      </w:pP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5</w:t>
      </w:r>
      <w:r>
        <w:rPr>
          <w:rFonts w:hint="eastAsia" w:ascii="宋体" w:hAnsi="宋体"/>
          <w:color w:val="auto"/>
          <w:sz w:val="21"/>
          <w:szCs w:val="21"/>
          <w:highlight w:val="none"/>
        </w:rPr>
        <w:t>）“分包”系指中标</w:t>
      </w:r>
      <w:r>
        <w:rPr>
          <w:rFonts w:hint="eastAsia" w:ascii="宋体" w:hAnsi="宋体"/>
          <w:color w:val="auto"/>
          <w:sz w:val="21"/>
          <w:szCs w:val="21"/>
          <w:highlight w:val="none"/>
          <w:lang w:eastAsia="zh-CN"/>
        </w:rPr>
        <w:t>（</w:t>
      </w:r>
      <w:r>
        <w:rPr>
          <w:rFonts w:hint="eastAsia" w:ascii="宋体" w:hAnsi="宋体"/>
          <w:color w:val="auto"/>
          <w:sz w:val="21"/>
          <w:szCs w:val="21"/>
          <w:highlight w:val="none"/>
        </w:rPr>
        <w:t>成交</w:t>
      </w:r>
      <w:r>
        <w:rPr>
          <w:rFonts w:hint="eastAsia" w:ascii="宋体" w:hAnsi="宋体"/>
          <w:color w:val="auto"/>
          <w:sz w:val="21"/>
          <w:szCs w:val="21"/>
          <w:highlight w:val="none"/>
          <w:lang w:eastAsia="zh-CN"/>
        </w:rPr>
        <w:t>）</w:t>
      </w:r>
      <w:r>
        <w:rPr>
          <w:rFonts w:hint="eastAsia" w:ascii="宋体" w:hAnsi="宋体"/>
          <w:color w:val="auto"/>
          <w:sz w:val="21"/>
          <w:szCs w:val="21"/>
          <w:highlight w:val="none"/>
        </w:rPr>
        <w:t>供应商按采购文件、投标（响应）文件的规定，根据分包意向协议，将中标</w:t>
      </w:r>
      <w:r>
        <w:rPr>
          <w:rFonts w:hint="eastAsia" w:ascii="宋体" w:hAnsi="宋体"/>
          <w:color w:val="auto"/>
          <w:sz w:val="21"/>
          <w:szCs w:val="21"/>
          <w:highlight w:val="none"/>
          <w:lang w:eastAsia="zh-CN"/>
        </w:rPr>
        <w:t>（</w:t>
      </w:r>
      <w:r>
        <w:rPr>
          <w:rFonts w:hint="eastAsia" w:ascii="宋体" w:hAnsi="宋体"/>
          <w:color w:val="auto"/>
          <w:sz w:val="21"/>
          <w:szCs w:val="21"/>
          <w:highlight w:val="none"/>
        </w:rPr>
        <w:t>成交</w:t>
      </w:r>
      <w:r>
        <w:rPr>
          <w:rFonts w:hint="eastAsia" w:ascii="宋体" w:hAnsi="宋体"/>
          <w:color w:val="auto"/>
          <w:sz w:val="21"/>
          <w:szCs w:val="21"/>
          <w:highlight w:val="none"/>
          <w:lang w:eastAsia="zh-CN"/>
        </w:rPr>
        <w:t>）</w:t>
      </w:r>
      <w:r>
        <w:rPr>
          <w:rFonts w:hint="eastAsia" w:ascii="宋体" w:hAnsi="宋体"/>
          <w:color w:val="auto"/>
          <w:sz w:val="21"/>
          <w:szCs w:val="21"/>
          <w:highlight w:val="none"/>
        </w:rPr>
        <w:t>项目中的部分履约内容，分给具有相应资质条件的供应商履行合同的行为。</w:t>
      </w:r>
    </w:p>
    <w:p w14:paraId="12EBA1CC">
      <w:pPr>
        <w:tabs>
          <w:tab w:val="left" w:pos="570"/>
          <w:tab w:val="left" w:pos="9240"/>
          <w:tab w:val="left" w:pos="9555"/>
        </w:tabs>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6</w:t>
      </w:r>
      <w:r>
        <w:rPr>
          <w:rFonts w:hint="eastAsia" w:ascii="宋体" w:hAnsi="宋体"/>
          <w:color w:val="auto"/>
          <w:sz w:val="21"/>
          <w:szCs w:val="21"/>
          <w:highlight w:val="none"/>
        </w:rPr>
        <w:t>）</w:t>
      </w:r>
      <w:r>
        <w:rPr>
          <w:rFonts w:hint="eastAsia" w:ascii="宋体" w:hAnsi="宋体"/>
          <w:color w:val="auto"/>
          <w:sz w:val="21"/>
          <w:szCs w:val="21"/>
        </w:rPr>
        <w:t>“联合体”系指</w:t>
      </w:r>
      <w:r>
        <w:rPr>
          <w:rFonts w:hint="eastAsia" w:ascii="宋体" w:hAnsi="宋体"/>
          <w:color w:val="auto"/>
          <w:sz w:val="21"/>
          <w:szCs w:val="21"/>
          <w:lang w:eastAsia="zh-CN"/>
        </w:rPr>
        <w:t>由</w:t>
      </w:r>
      <w:r>
        <w:rPr>
          <w:rFonts w:hint="eastAsia" w:ascii="宋体" w:hAnsi="宋体"/>
          <w:color w:val="auto"/>
          <w:sz w:val="21"/>
          <w:szCs w:val="21"/>
        </w:rPr>
        <w:t>两个以上的自然人、法人或者</w:t>
      </w:r>
      <w:r>
        <w:rPr>
          <w:rFonts w:hint="eastAsia" w:ascii="宋体" w:hAnsi="宋体"/>
          <w:color w:val="auto"/>
          <w:sz w:val="21"/>
          <w:szCs w:val="21"/>
          <w:lang w:val="en-US" w:eastAsia="zh-CN"/>
        </w:rPr>
        <w:t>非法人</w:t>
      </w:r>
      <w:r>
        <w:rPr>
          <w:rFonts w:hint="eastAsia" w:ascii="宋体" w:hAnsi="宋体"/>
          <w:color w:val="auto"/>
          <w:sz w:val="21"/>
          <w:szCs w:val="21"/>
        </w:rPr>
        <w:t>组织组成，</w:t>
      </w:r>
      <w:r>
        <w:rPr>
          <w:rFonts w:hint="eastAsia" w:ascii="宋体" w:hAnsi="宋体"/>
          <w:color w:val="auto"/>
          <w:sz w:val="21"/>
          <w:szCs w:val="21"/>
          <w:lang w:eastAsia="zh-CN"/>
        </w:rPr>
        <w:t>以一个供应商的身份共同参加政府采购的主体</w:t>
      </w:r>
      <w:r>
        <w:rPr>
          <w:rFonts w:hint="eastAsia" w:ascii="宋体" w:hAnsi="宋体"/>
          <w:color w:val="auto"/>
          <w:sz w:val="21"/>
          <w:szCs w:val="21"/>
          <w:highlight w:val="none"/>
          <w:lang w:eastAsia="zh-CN"/>
        </w:rPr>
        <w:t>。</w:t>
      </w:r>
      <w:r>
        <w:rPr>
          <w:rFonts w:hint="eastAsia" w:ascii="宋体" w:hAnsi="宋体"/>
          <w:color w:val="auto"/>
          <w:sz w:val="21"/>
          <w:szCs w:val="21"/>
          <w:highlight w:val="none"/>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auto"/>
          <w:sz w:val="21"/>
          <w:szCs w:val="21"/>
          <w:highlight w:val="none"/>
          <w:lang w:eastAsia="zh-CN"/>
        </w:rPr>
        <w:t>甲方</w:t>
      </w:r>
      <w:r>
        <w:rPr>
          <w:rFonts w:hint="eastAsia" w:ascii="宋体" w:hAnsi="宋体"/>
          <w:color w:val="auto"/>
          <w:sz w:val="21"/>
          <w:szCs w:val="21"/>
          <w:highlight w:val="none"/>
        </w:rPr>
        <w:t>承担连带责任。联合体具体要求见【</w:t>
      </w:r>
      <w:r>
        <w:rPr>
          <w:rFonts w:hint="eastAsia" w:ascii="宋体" w:hAnsi="宋体"/>
          <w:b/>
          <w:bCs/>
          <w:color w:val="auto"/>
          <w:sz w:val="21"/>
          <w:szCs w:val="21"/>
          <w:highlight w:val="none"/>
        </w:rPr>
        <w:t>政府采购合同专用条款</w:t>
      </w:r>
      <w:r>
        <w:rPr>
          <w:rFonts w:hint="eastAsia" w:ascii="宋体" w:hAnsi="宋体"/>
          <w:color w:val="auto"/>
          <w:sz w:val="21"/>
          <w:szCs w:val="21"/>
          <w:highlight w:val="none"/>
        </w:rPr>
        <w:t>】。</w:t>
      </w:r>
    </w:p>
    <w:p w14:paraId="3E5CB47A">
      <w:pPr>
        <w:tabs>
          <w:tab w:val="left" w:pos="570"/>
          <w:tab w:val="left" w:pos="9240"/>
          <w:tab w:val="left" w:pos="9555"/>
        </w:tabs>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7</w:t>
      </w:r>
      <w:r>
        <w:rPr>
          <w:rFonts w:hint="eastAsia" w:ascii="宋体" w:hAnsi="宋体"/>
          <w:color w:val="auto"/>
          <w:sz w:val="21"/>
          <w:szCs w:val="21"/>
          <w:highlight w:val="none"/>
        </w:rPr>
        <w:t>）其他术语解释，见【</w:t>
      </w:r>
      <w:r>
        <w:rPr>
          <w:rFonts w:hint="eastAsia" w:ascii="宋体" w:hAnsi="宋体"/>
          <w:b/>
          <w:bCs/>
          <w:color w:val="auto"/>
          <w:sz w:val="21"/>
          <w:szCs w:val="21"/>
          <w:highlight w:val="none"/>
        </w:rPr>
        <w:t>政府采购合同专用条款</w:t>
      </w:r>
      <w:r>
        <w:rPr>
          <w:rFonts w:hint="eastAsia" w:ascii="宋体" w:hAnsi="宋体"/>
          <w:color w:val="auto"/>
          <w:sz w:val="21"/>
          <w:szCs w:val="21"/>
          <w:highlight w:val="none"/>
        </w:rPr>
        <w:t>】。</w:t>
      </w:r>
    </w:p>
    <w:p w14:paraId="57940181">
      <w:pPr>
        <w:numPr>
          <w:ilvl w:val="0"/>
          <w:numId w:val="6"/>
        </w:numPr>
        <w:autoSpaceDE w:val="0"/>
        <w:autoSpaceDN w:val="0"/>
        <w:adjustRightInd w:val="0"/>
        <w:snapToGrid w:val="0"/>
        <w:spacing w:before="0" w:line="400" w:lineRule="exact"/>
        <w:jc w:val="left"/>
        <w:rPr>
          <w:rFonts w:ascii="宋体" w:hAnsi="宋体"/>
          <w:b/>
          <w:bCs/>
          <w:color w:val="auto"/>
          <w:sz w:val="21"/>
          <w:szCs w:val="21"/>
          <w:highlight w:val="none"/>
        </w:rPr>
      </w:pPr>
      <w:r>
        <w:rPr>
          <w:rFonts w:hint="eastAsia" w:ascii="宋体" w:hAnsi="宋体"/>
          <w:b/>
          <w:color w:val="auto"/>
          <w:sz w:val="21"/>
          <w:szCs w:val="21"/>
          <w:highlight w:val="none"/>
        </w:rPr>
        <w:t>合同标的及金额</w:t>
      </w:r>
    </w:p>
    <w:p w14:paraId="564C0BB6">
      <w:pPr>
        <w:autoSpaceDE w:val="0"/>
        <w:autoSpaceDN w:val="0"/>
        <w:adjustRightInd w:val="0"/>
        <w:snapToGrid w:val="0"/>
        <w:spacing w:before="0" w:line="400" w:lineRule="exact"/>
        <w:ind w:firstLine="420" w:firstLineChars="200"/>
        <w:jc w:val="left"/>
        <w:rPr>
          <w:rFonts w:ascii="宋体" w:hAnsi="宋体"/>
          <w:b/>
          <w:bCs/>
          <w:i/>
          <w:iCs/>
          <w:color w:val="auto"/>
          <w:sz w:val="21"/>
          <w:szCs w:val="21"/>
          <w:highlight w:val="none"/>
        </w:rPr>
      </w:pPr>
      <w:r>
        <w:rPr>
          <w:rFonts w:hint="eastAsia" w:ascii="宋体" w:hAnsi="宋体"/>
          <w:color w:val="auto"/>
          <w:sz w:val="21"/>
          <w:szCs w:val="21"/>
          <w:highlight w:val="none"/>
          <w:lang w:eastAsia="zh-CN"/>
        </w:rPr>
        <w:t>2</w:t>
      </w:r>
      <w:r>
        <w:rPr>
          <w:rFonts w:hint="eastAsia" w:ascii="宋体" w:hAnsi="宋体"/>
          <w:color w:val="auto"/>
          <w:sz w:val="21"/>
          <w:szCs w:val="21"/>
          <w:highlight w:val="none"/>
        </w:rPr>
        <w:t>.1 合同标的及金额应与中标（成交）结果一致。乙方为履行本合同而发生的所有费用均应包含在合同</w:t>
      </w:r>
      <w:r>
        <w:rPr>
          <w:rFonts w:hint="eastAsia" w:ascii="宋体" w:hAnsi="宋体"/>
          <w:color w:val="auto"/>
          <w:sz w:val="21"/>
          <w:szCs w:val="21"/>
          <w:highlight w:val="none"/>
          <w:lang w:eastAsia="zh-CN"/>
        </w:rPr>
        <w:t>价款</w:t>
      </w:r>
      <w:r>
        <w:rPr>
          <w:rFonts w:hint="eastAsia" w:ascii="宋体" w:hAnsi="宋体"/>
          <w:color w:val="auto"/>
          <w:sz w:val="21"/>
          <w:szCs w:val="21"/>
          <w:highlight w:val="none"/>
        </w:rPr>
        <w:t>中，甲方不再另行支付</w:t>
      </w:r>
      <w:r>
        <w:rPr>
          <w:rFonts w:hint="default" w:ascii="宋体" w:hAnsi="宋体"/>
          <w:color w:val="auto"/>
          <w:sz w:val="21"/>
          <w:szCs w:val="21"/>
          <w:highlight w:val="none"/>
          <w:lang w:val="en"/>
        </w:rPr>
        <w:t>其他</w:t>
      </w:r>
      <w:r>
        <w:rPr>
          <w:rFonts w:hint="eastAsia" w:ascii="宋体" w:hAnsi="宋体"/>
          <w:color w:val="auto"/>
          <w:sz w:val="21"/>
          <w:szCs w:val="21"/>
          <w:highlight w:val="none"/>
        </w:rPr>
        <w:t>任何费用。</w:t>
      </w:r>
    </w:p>
    <w:p w14:paraId="427EB7B2">
      <w:pPr>
        <w:adjustRightInd w:val="0"/>
        <w:snapToGrid w:val="0"/>
        <w:spacing w:before="0" w:line="400" w:lineRule="exact"/>
        <w:jc w:val="left"/>
        <w:rPr>
          <w:rFonts w:ascii="宋体" w:hAnsi="宋体"/>
          <w:b/>
          <w:color w:val="auto"/>
          <w:sz w:val="21"/>
          <w:szCs w:val="21"/>
          <w:highlight w:val="none"/>
        </w:rPr>
      </w:pPr>
      <w:r>
        <w:rPr>
          <w:rFonts w:hint="eastAsia" w:ascii="宋体" w:hAnsi="宋体"/>
          <w:b/>
          <w:color w:val="auto"/>
          <w:sz w:val="21"/>
          <w:szCs w:val="21"/>
          <w:highlight w:val="none"/>
          <w:lang w:eastAsia="zh-CN"/>
        </w:rPr>
        <w:t>3</w:t>
      </w:r>
      <w:r>
        <w:rPr>
          <w:rFonts w:hint="eastAsia" w:ascii="宋体" w:hAnsi="宋体"/>
          <w:b/>
          <w:color w:val="auto"/>
          <w:sz w:val="21"/>
          <w:szCs w:val="21"/>
          <w:highlight w:val="none"/>
          <w:lang w:val="en-US" w:eastAsia="zh-CN"/>
        </w:rPr>
        <w:t xml:space="preserve">. </w:t>
      </w:r>
      <w:r>
        <w:rPr>
          <w:rFonts w:hint="eastAsia" w:ascii="宋体" w:hAnsi="宋体"/>
          <w:b/>
          <w:color w:val="auto"/>
          <w:sz w:val="21"/>
          <w:szCs w:val="21"/>
          <w:highlight w:val="none"/>
        </w:rPr>
        <w:t>履行合同的时间、地点和方式</w:t>
      </w:r>
    </w:p>
    <w:p w14:paraId="6AE3038F">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lang w:eastAsia="zh-CN"/>
        </w:rPr>
        <w:t>3</w:t>
      </w:r>
      <w:r>
        <w:rPr>
          <w:rFonts w:hint="eastAsia" w:ascii="宋体" w:hAnsi="宋体"/>
          <w:color w:val="auto"/>
          <w:sz w:val="21"/>
          <w:szCs w:val="21"/>
          <w:highlight w:val="none"/>
        </w:rPr>
        <w:t xml:space="preserve">.1 </w:t>
      </w:r>
      <w:r>
        <w:rPr>
          <w:rFonts w:hint="eastAsia" w:ascii="宋体" w:hAnsi="宋体" w:eastAsia="宋体" w:cs="宋体"/>
          <w:color w:val="auto"/>
          <w:sz w:val="21"/>
          <w:szCs w:val="21"/>
        </w:rPr>
        <w:t>乙方应当在约定的时间、地点</w:t>
      </w:r>
      <w:r>
        <w:rPr>
          <w:rFonts w:hint="eastAsia" w:ascii="宋体" w:hAnsi="宋体" w:cs="宋体"/>
          <w:color w:val="auto"/>
          <w:sz w:val="21"/>
          <w:szCs w:val="21"/>
          <w:lang w:eastAsia="zh-CN"/>
        </w:rPr>
        <w:t>，按照约定</w:t>
      </w:r>
      <w:r>
        <w:rPr>
          <w:rFonts w:hint="eastAsia" w:ascii="宋体" w:hAnsi="宋体" w:eastAsia="宋体" w:cs="宋体"/>
          <w:color w:val="auto"/>
          <w:sz w:val="21"/>
          <w:szCs w:val="21"/>
        </w:rPr>
        <w:t>方式履行合同。</w:t>
      </w:r>
    </w:p>
    <w:p w14:paraId="2835F37D">
      <w:pPr>
        <w:autoSpaceDE w:val="0"/>
        <w:autoSpaceDN w:val="0"/>
        <w:adjustRightInd w:val="0"/>
        <w:snapToGrid w:val="0"/>
        <w:spacing w:before="0" w:line="400" w:lineRule="exact"/>
        <w:jc w:val="left"/>
        <w:rPr>
          <w:rFonts w:ascii="宋体" w:hAnsi="宋体"/>
          <w:b/>
          <w:bCs/>
          <w:color w:val="auto"/>
          <w:sz w:val="21"/>
          <w:szCs w:val="21"/>
          <w:highlight w:val="none"/>
        </w:rPr>
      </w:pPr>
      <w:r>
        <w:rPr>
          <w:rFonts w:hint="eastAsia" w:ascii="宋体" w:hAnsi="宋体"/>
          <w:b/>
          <w:bCs/>
          <w:color w:val="auto"/>
          <w:sz w:val="21"/>
          <w:szCs w:val="21"/>
          <w:highlight w:val="none"/>
          <w:lang w:eastAsia="zh-CN"/>
        </w:rPr>
        <w:t>4</w:t>
      </w:r>
      <w:r>
        <w:rPr>
          <w:rFonts w:hint="eastAsia" w:ascii="宋体" w:hAnsi="宋体"/>
          <w:b/>
          <w:bCs/>
          <w:color w:val="auto"/>
          <w:sz w:val="21"/>
          <w:szCs w:val="21"/>
          <w:highlight w:val="none"/>
          <w:lang w:val="en-US" w:eastAsia="zh-CN"/>
        </w:rPr>
        <w:t xml:space="preserve">. </w:t>
      </w:r>
      <w:r>
        <w:rPr>
          <w:rFonts w:hint="eastAsia" w:ascii="宋体" w:hAnsi="宋体"/>
          <w:b/>
          <w:bCs/>
          <w:color w:val="auto"/>
          <w:sz w:val="21"/>
          <w:szCs w:val="21"/>
          <w:highlight w:val="none"/>
        </w:rPr>
        <w:t>甲方的权利和义务</w:t>
      </w:r>
    </w:p>
    <w:p w14:paraId="23686762">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lang w:eastAsia="zh-CN"/>
        </w:rPr>
        <w:t>4</w:t>
      </w:r>
      <w:r>
        <w:rPr>
          <w:rFonts w:hint="eastAsia" w:ascii="宋体" w:hAnsi="宋体"/>
          <w:color w:val="auto"/>
          <w:sz w:val="21"/>
          <w:szCs w:val="21"/>
          <w:highlight w:val="none"/>
        </w:rPr>
        <w:t>.1</w:t>
      </w:r>
      <w:r>
        <w:rPr>
          <w:rFonts w:ascii="宋体" w:hAnsi="宋体"/>
          <w:color w:val="auto"/>
          <w:sz w:val="21"/>
          <w:szCs w:val="21"/>
          <w:highlight w:val="none"/>
        </w:rPr>
        <w:t xml:space="preserve"> 签署合同后，甲方</w:t>
      </w:r>
      <w:r>
        <w:rPr>
          <w:rFonts w:hint="eastAsia" w:ascii="宋体" w:hAnsi="宋体"/>
          <w:color w:val="auto"/>
          <w:sz w:val="21"/>
          <w:szCs w:val="21"/>
          <w:highlight w:val="none"/>
          <w:lang w:eastAsia="zh-CN"/>
        </w:rPr>
        <w:t>应</w:t>
      </w:r>
      <w:r>
        <w:rPr>
          <w:rFonts w:ascii="宋体" w:hAnsi="宋体"/>
          <w:color w:val="auto"/>
          <w:sz w:val="21"/>
          <w:szCs w:val="21"/>
          <w:highlight w:val="none"/>
        </w:rPr>
        <w:t>确定</w:t>
      </w:r>
      <w:r>
        <w:rPr>
          <w:rFonts w:hint="eastAsia" w:ascii="宋体" w:hAnsi="宋体"/>
          <w:color w:val="auto"/>
          <w:sz w:val="21"/>
          <w:szCs w:val="21"/>
          <w:highlight w:val="none"/>
          <w:lang w:val="en-US" w:eastAsia="zh-CN"/>
        </w:rPr>
        <w:t>项目负责人（或项目联系人）</w:t>
      </w:r>
      <w:r>
        <w:rPr>
          <w:rFonts w:ascii="宋体" w:hAnsi="宋体"/>
          <w:color w:val="auto"/>
          <w:sz w:val="21"/>
          <w:szCs w:val="21"/>
          <w:highlight w:val="none"/>
        </w:rPr>
        <w:t>，负责与本合同有关的事务。</w:t>
      </w:r>
      <w:r>
        <w:rPr>
          <w:rFonts w:hint="eastAsia" w:ascii="宋体" w:hAnsi="宋体"/>
          <w:color w:val="auto"/>
          <w:sz w:val="21"/>
          <w:szCs w:val="21"/>
          <w:highlight w:val="none"/>
        </w:rPr>
        <w:t>甲方有权对乙方的履约行为进行检查，并</w:t>
      </w:r>
      <w:r>
        <w:rPr>
          <w:rFonts w:ascii="宋体" w:hAnsi="宋体"/>
          <w:color w:val="auto"/>
          <w:sz w:val="21"/>
          <w:szCs w:val="21"/>
          <w:highlight w:val="none"/>
        </w:rPr>
        <w:t>及时确认乙方提交的事项</w:t>
      </w:r>
      <w:r>
        <w:rPr>
          <w:rFonts w:hint="eastAsia" w:ascii="宋体" w:hAnsi="宋体"/>
          <w:color w:val="auto"/>
          <w:sz w:val="21"/>
          <w:szCs w:val="21"/>
          <w:highlight w:val="none"/>
        </w:rPr>
        <w:t>。甲方应当</w:t>
      </w:r>
      <w:r>
        <w:rPr>
          <w:rFonts w:ascii="宋体" w:hAnsi="宋体"/>
          <w:color w:val="auto"/>
          <w:sz w:val="21"/>
          <w:szCs w:val="21"/>
          <w:highlight w:val="none"/>
        </w:rPr>
        <w:t>配合乙方完成</w:t>
      </w:r>
      <w:r>
        <w:rPr>
          <w:rFonts w:hint="eastAsia" w:ascii="宋体" w:hAnsi="宋体"/>
          <w:color w:val="auto"/>
          <w:sz w:val="21"/>
          <w:szCs w:val="21"/>
          <w:highlight w:val="none"/>
        </w:rPr>
        <w:t>相关项目</w:t>
      </w:r>
      <w:r>
        <w:rPr>
          <w:rFonts w:ascii="宋体" w:hAnsi="宋体"/>
          <w:color w:val="auto"/>
          <w:sz w:val="21"/>
          <w:szCs w:val="21"/>
          <w:highlight w:val="none"/>
        </w:rPr>
        <w:t>实施工作。</w:t>
      </w:r>
    </w:p>
    <w:p w14:paraId="696BBD53">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lang w:eastAsia="zh-CN"/>
        </w:rPr>
        <w:t>4</w:t>
      </w:r>
      <w:r>
        <w:rPr>
          <w:rFonts w:hint="eastAsia" w:ascii="宋体" w:hAnsi="宋体"/>
          <w:color w:val="auto"/>
          <w:sz w:val="21"/>
          <w:szCs w:val="21"/>
          <w:highlight w:val="none"/>
        </w:rPr>
        <w:t xml:space="preserve">.2 </w:t>
      </w:r>
      <w:r>
        <w:rPr>
          <w:rFonts w:ascii="宋体" w:hAnsi="宋体"/>
          <w:color w:val="auto"/>
          <w:sz w:val="21"/>
          <w:szCs w:val="21"/>
          <w:highlight w:val="none"/>
        </w:rPr>
        <w:t>甲方有权要求乙方按时提交各阶段有关</w:t>
      </w:r>
      <w:r>
        <w:rPr>
          <w:rFonts w:hint="eastAsia" w:ascii="宋体" w:hAnsi="宋体"/>
          <w:color w:val="auto"/>
          <w:sz w:val="21"/>
          <w:szCs w:val="21"/>
          <w:highlight w:val="none"/>
        </w:rPr>
        <w:t>安排计划</w:t>
      </w:r>
      <w:r>
        <w:rPr>
          <w:rFonts w:ascii="宋体" w:hAnsi="宋体"/>
          <w:color w:val="auto"/>
          <w:sz w:val="21"/>
          <w:szCs w:val="21"/>
          <w:highlight w:val="none"/>
        </w:rPr>
        <w:t>，并有权</w:t>
      </w:r>
      <w:r>
        <w:rPr>
          <w:rFonts w:hint="eastAsia" w:ascii="宋体" w:hAnsi="宋体"/>
          <w:color w:val="auto"/>
          <w:sz w:val="21"/>
          <w:szCs w:val="21"/>
          <w:highlight w:val="none"/>
        </w:rPr>
        <w:t>定期核对乙方提供货物数量、规格、质量等内容。甲方</w:t>
      </w:r>
      <w:r>
        <w:rPr>
          <w:rFonts w:ascii="宋体" w:hAnsi="宋体"/>
          <w:color w:val="auto"/>
          <w:sz w:val="21"/>
          <w:szCs w:val="21"/>
          <w:highlight w:val="none"/>
        </w:rPr>
        <w:t>有权督促乙方工作并要求乙方</w:t>
      </w:r>
      <w:r>
        <w:rPr>
          <w:rFonts w:hint="eastAsia" w:ascii="宋体" w:hAnsi="宋体"/>
          <w:color w:val="auto"/>
          <w:sz w:val="21"/>
          <w:szCs w:val="21"/>
          <w:highlight w:val="none"/>
        </w:rPr>
        <w:t>更</w:t>
      </w:r>
      <w:r>
        <w:rPr>
          <w:rFonts w:ascii="宋体" w:hAnsi="宋体"/>
          <w:color w:val="auto"/>
          <w:sz w:val="21"/>
          <w:szCs w:val="21"/>
          <w:highlight w:val="none"/>
        </w:rPr>
        <w:t>换不符合要求的</w:t>
      </w:r>
      <w:r>
        <w:rPr>
          <w:rFonts w:hint="eastAsia" w:ascii="宋体" w:hAnsi="宋体"/>
          <w:color w:val="auto"/>
          <w:sz w:val="21"/>
          <w:szCs w:val="21"/>
          <w:highlight w:val="none"/>
        </w:rPr>
        <w:t>货物</w:t>
      </w:r>
      <w:r>
        <w:rPr>
          <w:rFonts w:ascii="宋体" w:hAnsi="宋体"/>
          <w:color w:val="auto"/>
          <w:sz w:val="21"/>
          <w:szCs w:val="21"/>
          <w:highlight w:val="none"/>
        </w:rPr>
        <w:t>。</w:t>
      </w:r>
    </w:p>
    <w:p w14:paraId="18D7E0A9">
      <w:pPr>
        <w:autoSpaceDE w:val="0"/>
        <w:autoSpaceDN w:val="0"/>
        <w:adjustRightInd w:val="0"/>
        <w:snapToGrid w:val="0"/>
        <w:spacing w:before="0" w:line="400" w:lineRule="exac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lang w:eastAsia="zh-CN"/>
        </w:rPr>
        <w:t>4</w:t>
      </w:r>
      <w:r>
        <w:rPr>
          <w:rFonts w:hint="eastAsia" w:ascii="宋体" w:hAnsi="宋体"/>
          <w:color w:val="auto"/>
          <w:sz w:val="21"/>
          <w:szCs w:val="21"/>
          <w:highlight w:val="none"/>
        </w:rPr>
        <w:t>.</w:t>
      </w:r>
      <w:r>
        <w:rPr>
          <w:rFonts w:ascii="宋体" w:hAnsi="宋体"/>
          <w:color w:val="auto"/>
          <w:sz w:val="21"/>
          <w:szCs w:val="21"/>
          <w:highlight w:val="none"/>
        </w:rPr>
        <w:t>3</w:t>
      </w:r>
      <w:r>
        <w:rPr>
          <w:rFonts w:hint="eastAsia" w:ascii="宋体" w:hAnsi="宋体"/>
          <w:color w:val="auto"/>
          <w:sz w:val="21"/>
          <w:szCs w:val="21"/>
          <w:highlight w:val="none"/>
        </w:rPr>
        <w:t xml:space="preserve"> </w:t>
      </w:r>
      <w:r>
        <w:rPr>
          <w:rFonts w:ascii="宋体" w:hAnsi="宋体"/>
          <w:color w:val="auto"/>
          <w:sz w:val="21"/>
          <w:szCs w:val="21"/>
          <w:highlight w:val="none"/>
        </w:rPr>
        <w:t>甲方</w:t>
      </w:r>
      <w:r>
        <w:rPr>
          <w:rFonts w:hint="eastAsia" w:ascii="宋体" w:hAnsi="宋体"/>
          <w:color w:val="auto"/>
          <w:sz w:val="21"/>
          <w:szCs w:val="21"/>
          <w:highlight w:val="none"/>
        </w:rPr>
        <w:t>有权要求乙方对缺陷部分予以修复，并按合同约定享有货物保修及其他合同约定的权利。</w:t>
      </w:r>
    </w:p>
    <w:p w14:paraId="7EEDF911">
      <w:pPr>
        <w:snapToGrid w:val="0"/>
        <w:spacing w:line="400" w:lineRule="exact"/>
        <w:ind w:firstLine="420" w:firstLineChars="200"/>
        <w:rPr>
          <w:rFonts w:hint="eastAsia" w:eastAsia="华文楷体"/>
          <w:color w:val="auto"/>
          <w:sz w:val="21"/>
          <w:szCs w:val="21"/>
          <w:lang w:val="en-US" w:eastAsia="zh-CN"/>
        </w:rPr>
      </w:pPr>
      <w:r>
        <w:rPr>
          <w:rFonts w:hint="default" w:ascii="宋体" w:hAnsi="宋体"/>
          <w:color w:val="auto"/>
          <w:sz w:val="21"/>
          <w:szCs w:val="21"/>
          <w:highlight w:val="none"/>
          <w:lang w:val="en-US" w:eastAsia="zh-CN"/>
        </w:rPr>
        <w:t>4.4 甲方应当按照合同约定及时对交付的货物进行验收</w:t>
      </w:r>
      <w:r>
        <w:rPr>
          <w:rFonts w:hint="eastAsia" w:ascii="宋体" w:hAnsi="宋体"/>
          <w:color w:val="auto"/>
          <w:sz w:val="21"/>
          <w:szCs w:val="21"/>
          <w:highlight w:val="none"/>
          <w:lang w:val="en-US" w:eastAsia="zh-CN"/>
        </w:rPr>
        <w:t>，</w:t>
      </w:r>
      <w:r>
        <w:rPr>
          <w:rFonts w:hint="eastAsia" w:ascii="宋体" w:hAnsi="宋体" w:cs="宋体"/>
          <w:b w:val="0"/>
          <w:bCs w:val="0"/>
          <w:color w:val="auto"/>
          <w:sz w:val="21"/>
          <w:szCs w:val="21"/>
          <w:highlight w:val="none"/>
          <w:lang w:eastAsia="zh-CN"/>
        </w:rPr>
        <w:t>未</w:t>
      </w:r>
      <w:r>
        <w:rPr>
          <w:rFonts w:hint="eastAsia" w:ascii="宋体" w:hAnsi="宋体"/>
          <w:color w:val="auto"/>
          <w:sz w:val="21"/>
          <w:szCs w:val="21"/>
          <w:highlight w:val="none"/>
          <w:lang w:val="en-US" w:eastAsia="zh-CN"/>
        </w:rPr>
        <w:t>在</w:t>
      </w:r>
      <w:r>
        <w:rPr>
          <w:rFonts w:hint="eastAsia" w:ascii="宋体" w:hAnsi="宋体" w:eastAsia="宋体" w:cs="宋体"/>
          <w:b/>
          <w:bCs/>
          <w:color w:val="auto"/>
          <w:sz w:val="21"/>
          <w:szCs w:val="21"/>
          <w:highlight w:val="none"/>
        </w:rPr>
        <w:t>【政府采购合同专用条款】</w:t>
      </w:r>
      <w:r>
        <w:rPr>
          <w:rFonts w:hint="eastAsia" w:ascii="宋体" w:hAnsi="宋体" w:cs="宋体"/>
          <w:b w:val="0"/>
          <w:bCs w:val="0"/>
          <w:color w:val="auto"/>
          <w:sz w:val="21"/>
          <w:szCs w:val="21"/>
          <w:highlight w:val="none"/>
          <w:lang w:eastAsia="zh-CN"/>
        </w:rPr>
        <w:t>约定的期限内对乙方履约提出任何异议或者向乙方作出任何说明的，</w:t>
      </w:r>
      <w:r>
        <w:rPr>
          <w:rFonts w:hint="eastAsia" w:ascii="宋体" w:hAnsi="宋体"/>
          <w:color w:val="auto"/>
          <w:sz w:val="21"/>
          <w:szCs w:val="21"/>
          <w:highlight w:val="none"/>
          <w:lang w:val="en-US" w:eastAsia="zh-CN"/>
        </w:rPr>
        <w:t>视为验收通过。</w:t>
      </w:r>
    </w:p>
    <w:p w14:paraId="6DDE6737">
      <w:pPr>
        <w:autoSpaceDE w:val="0"/>
        <w:autoSpaceDN w:val="0"/>
        <w:adjustRightInd w:val="0"/>
        <w:snapToGrid w:val="0"/>
        <w:spacing w:line="400" w:lineRule="exact"/>
        <w:ind w:firstLine="420" w:firstLineChars="200"/>
        <w:jc w:val="left"/>
        <w:rPr>
          <w:rFonts w:hint="eastAsia" w:ascii="宋体" w:hAnsi="宋体"/>
          <w:color w:val="auto"/>
          <w:sz w:val="21"/>
          <w:szCs w:val="21"/>
          <w:highlight w:val="none"/>
        </w:rPr>
      </w:pPr>
      <w:r>
        <w:rPr>
          <w:rFonts w:hint="default" w:ascii="宋体" w:hAnsi="宋体"/>
          <w:color w:val="auto"/>
          <w:sz w:val="21"/>
          <w:szCs w:val="21"/>
          <w:highlight w:val="none"/>
          <w:lang w:eastAsia="zh-CN"/>
        </w:rPr>
        <w:t>4</w:t>
      </w:r>
      <w:r>
        <w:rPr>
          <w:rFonts w:hint="eastAsia" w:ascii="宋体" w:hAnsi="宋体"/>
          <w:color w:val="auto"/>
          <w:sz w:val="21"/>
          <w:szCs w:val="21"/>
          <w:highlight w:val="none"/>
        </w:rPr>
        <w:t>.</w:t>
      </w:r>
      <w:r>
        <w:rPr>
          <w:rFonts w:hint="default" w:ascii="宋体" w:hAnsi="宋体"/>
          <w:color w:val="auto"/>
          <w:sz w:val="21"/>
          <w:szCs w:val="21"/>
          <w:highlight w:val="none"/>
          <w:lang w:val="en-US" w:eastAsia="zh-CN"/>
        </w:rPr>
        <w:t>5</w:t>
      </w:r>
      <w:r>
        <w:rPr>
          <w:rFonts w:ascii="宋体" w:hAnsi="宋体"/>
          <w:color w:val="auto"/>
          <w:sz w:val="21"/>
          <w:szCs w:val="21"/>
          <w:highlight w:val="none"/>
        </w:rPr>
        <w:t xml:space="preserve"> </w:t>
      </w:r>
      <w:r>
        <w:rPr>
          <w:rFonts w:hint="eastAsia" w:ascii="宋体" w:hAnsi="宋体"/>
          <w:color w:val="auto"/>
          <w:sz w:val="21"/>
          <w:szCs w:val="21"/>
          <w:highlight w:val="none"/>
        </w:rPr>
        <w:t>甲方应当根据合同约定</w:t>
      </w:r>
      <w:r>
        <w:rPr>
          <w:rFonts w:hint="eastAsia" w:ascii="宋体" w:hAnsi="宋体"/>
          <w:color w:val="auto"/>
          <w:sz w:val="21"/>
          <w:szCs w:val="21"/>
          <w:highlight w:val="none"/>
          <w:lang w:eastAsia="zh-CN"/>
        </w:rPr>
        <w:t>及</w:t>
      </w:r>
      <w:r>
        <w:rPr>
          <w:rFonts w:hint="eastAsia" w:ascii="宋体" w:hAnsi="宋体"/>
          <w:color w:val="auto"/>
          <w:sz w:val="21"/>
          <w:szCs w:val="21"/>
          <w:highlight w:val="none"/>
        </w:rPr>
        <w:t>时向乙方支付</w:t>
      </w:r>
      <w:r>
        <w:rPr>
          <w:rFonts w:hint="eastAsia" w:ascii="宋体" w:hAnsi="宋体"/>
          <w:color w:val="auto"/>
          <w:sz w:val="21"/>
          <w:szCs w:val="21"/>
          <w:highlight w:val="none"/>
          <w:lang w:eastAsia="zh-CN"/>
        </w:rPr>
        <w:t>合同价款</w:t>
      </w:r>
      <w:r>
        <w:rPr>
          <w:rFonts w:hint="default" w:ascii="宋体" w:hAnsi="宋体"/>
          <w:color w:val="auto"/>
          <w:sz w:val="21"/>
          <w:szCs w:val="21"/>
          <w:highlight w:val="none"/>
          <w:lang w:eastAsia="zh-CN"/>
        </w:rPr>
        <w:t>，不得以内部人员变更、履行内部付款流程等为由，拒绝或迟延支付。</w:t>
      </w:r>
    </w:p>
    <w:p w14:paraId="3F56F1D9">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lang w:eastAsia="zh-CN"/>
        </w:rPr>
        <w:t>4</w:t>
      </w: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6</w:t>
      </w:r>
      <w:r>
        <w:rPr>
          <w:rFonts w:ascii="宋体" w:hAnsi="宋体"/>
          <w:color w:val="auto"/>
          <w:sz w:val="21"/>
          <w:szCs w:val="21"/>
          <w:highlight w:val="none"/>
        </w:rPr>
        <w:t xml:space="preserve"> </w:t>
      </w:r>
      <w:r>
        <w:rPr>
          <w:rFonts w:hint="eastAsia" w:ascii="宋体" w:hAnsi="宋体"/>
          <w:color w:val="auto"/>
          <w:sz w:val="21"/>
          <w:szCs w:val="21"/>
          <w:highlight w:val="none"/>
        </w:rPr>
        <w:t>国家法律法规规定</w:t>
      </w:r>
      <w:r>
        <w:rPr>
          <w:rFonts w:hint="eastAsia" w:ascii="宋体" w:hAnsi="宋体"/>
          <w:color w:val="auto"/>
          <w:sz w:val="21"/>
          <w:szCs w:val="21"/>
          <w:highlight w:val="none"/>
          <w:lang w:eastAsia="zh-CN"/>
        </w:rPr>
        <w:t>及</w:t>
      </w:r>
      <w:r>
        <w:rPr>
          <w:rFonts w:hint="eastAsia" w:ascii="宋体" w:hAnsi="宋体" w:eastAsia="宋体" w:cs="宋体"/>
          <w:b/>
          <w:bCs/>
          <w:color w:val="auto"/>
          <w:sz w:val="21"/>
          <w:szCs w:val="21"/>
          <w:highlight w:val="none"/>
        </w:rPr>
        <w:t>【政府采购合同专用条款】</w:t>
      </w:r>
      <w:r>
        <w:rPr>
          <w:rFonts w:hint="eastAsia" w:ascii="宋体" w:hAnsi="宋体"/>
          <w:color w:val="auto"/>
          <w:sz w:val="21"/>
          <w:szCs w:val="21"/>
          <w:highlight w:val="none"/>
          <w:lang w:eastAsia="zh-CN"/>
        </w:rPr>
        <w:t>约定应</w:t>
      </w:r>
      <w:r>
        <w:rPr>
          <w:rFonts w:hint="eastAsia" w:ascii="宋体" w:hAnsi="宋体"/>
          <w:color w:val="auto"/>
          <w:sz w:val="21"/>
          <w:szCs w:val="21"/>
          <w:highlight w:val="none"/>
        </w:rPr>
        <w:t>由甲方承担的其他义务和责任。</w:t>
      </w:r>
    </w:p>
    <w:p w14:paraId="5422B7AD">
      <w:pPr>
        <w:autoSpaceDE w:val="0"/>
        <w:autoSpaceDN w:val="0"/>
        <w:adjustRightInd w:val="0"/>
        <w:snapToGrid w:val="0"/>
        <w:spacing w:before="0" w:line="400" w:lineRule="exact"/>
        <w:jc w:val="left"/>
        <w:rPr>
          <w:rFonts w:ascii="宋体" w:hAnsi="宋体"/>
          <w:b/>
          <w:bCs/>
          <w:color w:val="auto"/>
          <w:sz w:val="21"/>
          <w:szCs w:val="21"/>
          <w:highlight w:val="none"/>
        </w:rPr>
      </w:pPr>
      <w:r>
        <w:rPr>
          <w:rFonts w:hint="eastAsia" w:ascii="宋体" w:hAnsi="宋体"/>
          <w:b/>
          <w:bCs/>
          <w:color w:val="auto"/>
          <w:sz w:val="21"/>
          <w:szCs w:val="21"/>
          <w:highlight w:val="none"/>
          <w:lang w:eastAsia="zh-CN"/>
        </w:rPr>
        <w:t>5</w:t>
      </w:r>
      <w:r>
        <w:rPr>
          <w:rFonts w:hint="eastAsia" w:ascii="宋体" w:hAnsi="宋体"/>
          <w:b/>
          <w:bCs/>
          <w:color w:val="auto"/>
          <w:sz w:val="21"/>
          <w:szCs w:val="21"/>
          <w:highlight w:val="none"/>
          <w:lang w:val="en-US" w:eastAsia="zh-CN"/>
        </w:rPr>
        <w:t xml:space="preserve">. </w:t>
      </w:r>
      <w:r>
        <w:rPr>
          <w:rFonts w:hint="eastAsia" w:ascii="宋体" w:hAnsi="宋体"/>
          <w:b/>
          <w:bCs/>
          <w:color w:val="auto"/>
          <w:sz w:val="21"/>
          <w:szCs w:val="21"/>
          <w:highlight w:val="none"/>
        </w:rPr>
        <w:t>乙方的权利和义务</w:t>
      </w:r>
    </w:p>
    <w:p w14:paraId="395FE5C6">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lang w:eastAsia="zh-CN"/>
        </w:rPr>
        <w:t>5</w:t>
      </w:r>
      <w:r>
        <w:rPr>
          <w:rFonts w:hint="eastAsia" w:ascii="宋体" w:hAnsi="宋体"/>
          <w:color w:val="auto"/>
          <w:sz w:val="21"/>
          <w:szCs w:val="21"/>
          <w:highlight w:val="none"/>
        </w:rPr>
        <w:t xml:space="preserve">.1 </w:t>
      </w:r>
      <w:r>
        <w:rPr>
          <w:rFonts w:ascii="宋体" w:hAnsi="宋体"/>
          <w:color w:val="auto"/>
          <w:sz w:val="21"/>
          <w:szCs w:val="21"/>
          <w:highlight w:val="none"/>
        </w:rPr>
        <w:t>签署合同后，乙方</w:t>
      </w:r>
      <w:r>
        <w:rPr>
          <w:rFonts w:hint="eastAsia" w:ascii="宋体" w:hAnsi="宋体"/>
          <w:color w:val="auto"/>
          <w:sz w:val="21"/>
          <w:szCs w:val="21"/>
          <w:highlight w:val="none"/>
          <w:lang w:eastAsia="zh-CN"/>
        </w:rPr>
        <w:t>应</w:t>
      </w:r>
      <w:r>
        <w:rPr>
          <w:rFonts w:ascii="宋体" w:hAnsi="宋体"/>
          <w:color w:val="auto"/>
          <w:sz w:val="21"/>
          <w:szCs w:val="21"/>
          <w:highlight w:val="none"/>
        </w:rPr>
        <w:t>确定</w:t>
      </w:r>
      <w:r>
        <w:rPr>
          <w:rFonts w:hint="eastAsia" w:ascii="宋体" w:hAnsi="宋体"/>
          <w:color w:val="auto"/>
          <w:sz w:val="21"/>
          <w:szCs w:val="21"/>
          <w:highlight w:val="none"/>
          <w:lang w:val="en-US" w:eastAsia="zh-CN"/>
        </w:rPr>
        <w:t>项目负责人（或项目联系人）</w:t>
      </w:r>
      <w:r>
        <w:rPr>
          <w:rFonts w:ascii="宋体" w:hAnsi="宋体"/>
          <w:color w:val="auto"/>
          <w:sz w:val="21"/>
          <w:szCs w:val="21"/>
          <w:highlight w:val="none"/>
        </w:rPr>
        <w:t>，负责与本合同有关的事务。</w:t>
      </w:r>
    </w:p>
    <w:p w14:paraId="09763138">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lang w:eastAsia="zh-CN"/>
        </w:rPr>
        <w:t>5</w:t>
      </w:r>
      <w:r>
        <w:rPr>
          <w:rFonts w:hint="eastAsia" w:ascii="宋体" w:hAnsi="宋体"/>
          <w:color w:val="auto"/>
          <w:sz w:val="21"/>
          <w:szCs w:val="21"/>
          <w:highlight w:val="none"/>
        </w:rPr>
        <w:t>.</w:t>
      </w:r>
      <w:r>
        <w:rPr>
          <w:rFonts w:ascii="宋体" w:hAnsi="宋体"/>
          <w:color w:val="auto"/>
          <w:sz w:val="21"/>
          <w:szCs w:val="21"/>
          <w:highlight w:val="none"/>
        </w:rPr>
        <w:t>2 乙方应按照合同要求</w:t>
      </w:r>
      <w:r>
        <w:rPr>
          <w:rFonts w:hint="eastAsia" w:ascii="宋体" w:hAnsi="宋体"/>
          <w:color w:val="auto"/>
          <w:sz w:val="21"/>
          <w:szCs w:val="21"/>
          <w:highlight w:val="none"/>
        </w:rPr>
        <w:t>履约</w:t>
      </w:r>
      <w:r>
        <w:rPr>
          <w:rFonts w:ascii="宋体" w:hAnsi="宋体"/>
          <w:color w:val="auto"/>
          <w:sz w:val="21"/>
          <w:szCs w:val="21"/>
          <w:highlight w:val="none"/>
        </w:rPr>
        <w:t>，充分合理安排，确保</w:t>
      </w:r>
      <w:r>
        <w:rPr>
          <w:rFonts w:hint="eastAsia" w:ascii="宋体" w:hAnsi="宋体"/>
          <w:color w:val="auto"/>
          <w:sz w:val="21"/>
          <w:szCs w:val="21"/>
          <w:highlight w:val="none"/>
        </w:rPr>
        <w:t>提供的货物</w:t>
      </w:r>
      <w:r>
        <w:rPr>
          <w:rFonts w:hint="eastAsia" w:ascii="宋体" w:hAnsi="宋体"/>
          <w:color w:val="auto"/>
          <w:sz w:val="21"/>
          <w:szCs w:val="21"/>
          <w:highlight w:val="none"/>
          <w:lang w:eastAsia="zh-CN"/>
        </w:rPr>
        <w:t>及相关</w:t>
      </w:r>
      <w:r>
        <w:rPr>
          <w:rFonts w:hint="eastAsia" w:ascii="宋体" w:hAnsi="宋体"/>
          <w:color w:val="auto"/>
          <w:sz w:val="21"/>
          <w:szCs w:val="21"/>
          <w:highlight w:val="none"/>
        </w:rPr>
        <w:t>服务符合合同</w:t>
      </w:r>
      <w:r>
        <w:rPr>
          <w:rFonts w:hint="eastAsia" w:ascii="宋体" w:hAnsi="宋体"/>
          <w:color w:val="auto"/>
          <w:sz w:val="21"/>
          <w:szCs w:val="21"/>
          <w:highlight w:val="none"/>
          <w:lang w:eastAsia="zh-CN"/>
        </w:rPr>
        <w:t>有关</w:t>
      </w:r>
      <w:r>
        <w:rPr>
          <w:rFonts w:ascii="宋体" w:hAnsi="宋体"/>
          <w:color w:val="auto"/>
          <w:sz w:val="21"/>
          <w:szCs w:val="21"/>
          <w:highlight w:val="none"/>
        </w:rPr>
        <w:t>要求</w:t>
      </w:r>
      <w:r>
        <w:rPr>
          <w:rFonts w:hint="eastAsia" w:ascii="宋体" w:hAnsi="宋体"/>
          <w:color w:val="auto"/>
          <w:sz w:val="21"/>
          <w:szCs w:val="21"/>
          <w:highlight w:val="none"/>
        </w:rPr>
        <w:t>。接受项目行业管理部门及政府有关部门的指导，配合甲方的履约检查</w:t>
      </w:r>
      <w:r>
        <w:rPr>
          <w:rFonts w:hint="eastAsia" w:ascii="宋体" w:hAnsi="宋体"/>
          <w:color w:val="auto"/>
          <w:sz w:val="21"/>
          <w:szCs w:val="21"/>
          <w:highlight w:val="none"/>
          <w:lang w:eastAsia="zh-CN"/>
        </w:rPr>
        <w:t>及验收</w:t>
      </w:r>
      <w:r>
        <w:rPr>
          <w:rFonts w:hint="eastAsia" w:ascii="宋体" w:hAnsi="宋体"/>
          <w:color w:val="auto"/>
          <w:sz w:val="21"/>
          <w:szCs w:val="21"/>
          <w:highlight w:val="none"/>
        </w:rPr>
        <w:t>，并</w:t>
      </w:r>
      <w:r>
        <w:rPr>
          <w:rFonts w:ascii="宋体" w:hAnsi="宋体"/>
          <w:color w:val="auto"/>
          <w:sz w:val="21"/>
          <w:szCs w:val="21"/>
          <w:highlight w:val="none"/>
        </w:rPr>
        <w:t>负责项目实施过程中的所有协调工作。</w:t>
      </w:r>
    </w:p>
    <w:p w14:paraId="71981642">
      <w:pPr>
        <w:pStyle w:val="10"/>
        <w:spacing w:after="0" w:line="400" w:lineRule="exact"/>
        <w:ind w:firstLine="369" w:firstLineChars="176"/>
        <w:rPr>
          <w:rFonts w:ascii="宋体" w:hAnsi="宋体" w:cs="宋体"/>
          <w:color w:val="auto"/>
          <w:sz w:val="21"/>
          <w:szCs w:val="21"/>
          <w:highlight w:val="none"/>
        </w:rPr>
      </w:pPr>
      <w:r>
        <w:rPr>
          <w:rFonts w:hint="eastAsia" w:ascii="宋体" w:hAnsi="宋体"/>
          <w:color w:val="auto"/>
          <w:sz w:val="21"/>
          <w:szCs w:val="21"/>
          <w:highlight w:val="none"/>
          <w:lang w:eastAsia="zh-CN"/>
        </w:rPr>
        <w:t>5</w:t>
      </w:r>
      <w:r>
        <w:rPr>
          <w:rFonts w:hint="eastAsia" w:ascii="宋体" w:hAnsi="宋体"/>
          <w:color w:val="auto"/>
          <w:sz w:val="21"/>
          <w:szCs w:val="21"/>
          <w:highlight w:val="none"/>
        </w:rPr>
        <w:t>.</w:t>
      </w:r>
      <w:r>
        <w:rPr>
          <w:rFonts w:ascii="宋体" w:hAnsi="宋体"/>
          <w:color w:val="auto"/>
          <w:sz w:val="21"/>
          <w:szCs w:val="21"/>
          <w:highlight w:val="none"/>
        </w:rPr>
        <w:t>3</w:t>
      </w:r>
      <w:r>
        <w:rPr>
          <w:rFonts w:hint="eastAsia" w:ascii="宋体" w:hAnsi="宋体"/>
          <w:color w:val="auto"/>
          <w:sz w:val="21"/>
          <w:szCs w:val="21"/>
          <w:highlight w:val="none"/>
        </w:rPr>
        <w:t>乙方有权</w:t>
      </w:r>
      <w:r>
        <w:rPr>
          <w:rFonts w:hint="eastAsia" w:ascii="宋体" w:hAnsi="宋体" w:cs="宋体"/>
          <w:color w:val="auto"/>
          <w:sz w:val="21"/>
          <w:szCs w:val="21"/>
          <w:highlight w:val="none"/>
        </w:rPr>
        <w:t>根据合同约定向甲方收取</w:t>
      </w:r>
      <w:r>
        <w:rPr>
          <w:rFonts w:hint="eastAsia" w:ascii="宋体" w:hAnsi="宋体" w:cs="宋体"/>
          <w:color w:val="auto"/>
          <w:sz w:val="21"/>
          <w:szCs w:val="21"/>
          <w:highlight w:val="none"/>
          <w:lang w:eastAsia="zh-CN"/>
        </w:rPr>
        <w:t>合同价款</w:t>
      </w:r>
      <w:r>
        <w:rPr>
          <w:rFonts w:hint="eastAsia" w:ascii="宋体" w:hAnsi="宋体" w:cs="宋体"/>
          <w:color w:val="auto"/>
          <w:sz w:val="21"/>
          <w:szCs w:val="21"/>
          <w:highlight w:val="none"/>
        </w:rPr>
        <w:t>。</w:t>
      </w:r>
    </w:p>
    <w:p w14:paraId="18DAA56F">
      <w:pPr>
        <w:pStyle w:val="10"/>
        <w:spacing w:after="0" w:line="400" w:lineRule="exact"/>
        <w:ind w:firstLine="369" w:firstLineChars="176"/>
        <w:rPr>
          <w:rFonts w:ascii="宋体" w:hAnsi="宋体" w:cs="宋体"/>
          <w:color w:val="auto"/>
          <w:sz w:val="21"/>
          <w:szCs w:val="21"/>
          <w:highlight w:val="none"/>
        </w:rPr>
      </w:pPr>
      <w:r>
        <w:rPr>
          <w:rFonts w:hint="eastAsia" w:ascii="宋体" w:hAnsi="宋体"/>
          <w:color w:val="auto"/>
          <w:sz w:val="21"/>
          <w:szCs w:val="21"/>
          <w:highlight w:val="none"/>
          <w:lang w:eastAsia="zh-CN"/>
        </w:rPr>
        <w:t>5</w:t>
      </w:r>
      <w:r>
        <w:rPr>
          <w:rFonts w:hint="eastAsia" w:ascii="宋体" w:hAnsi="宋体"/>
          <w:color w:val="auto"/>
          <w:sz w:val="21"/>
          <w:szCs w:val="21"/>
          <w:highlight w:val="none"/>
        </w:rPr>
        <w:t>.</w:t>
      </w:r>
      <w:r>
        <w:rPr>
          <w:rFonts w:ascii="宋体" w:hAnsi="宋体"/>
          <w:color w:val="auto"/>
          <w:sz w:val="21"/>
          <w:szCs w:val="21"/>
          <w:highlight w:val="none"/>
        </w:rPr>
        <w:t>4</w:t>
      </w:r>
      <w:r>
        <w:rPr>
          <w:rFonts w:hint="eastAsia" w:ascii="宋体" w:hAnsi="宋体" w:cs="宋体"/>
          <w:color w:val="auto"/>
          <w:sz w:val="21"/>
          <w:szCs w:val="21"/>
          <w:highlight w:val="none"/>
        </w:rPr>
        <w:t>国家法律法规规定</w:t>
      </w:r>
      <w:r>
        <w:rPr>
          <w:rFonts w:hint="eastAsia" w:ascii="宋体" w:hAnsi="宋体"/>
          <w:color w:val="auto"/>
          <w:sz w:val="21"/>
          <w:szCs w:val="21"/>
          <w:highlight w:val="none"/>
          <w:lang w:eastAsia="zh-CN"/>
        </w:rPr>
        <w:t>及</w:t>
      </w:r>
      <w:r>
        <w:rPr>
          <w:rFonts w:hint="eastAsia" w:ascii="宋体" w:hAnsi="宋体" w:eastAsia="宋体" w:cs="宋体"/>
          <w:b/>
          <w:bCs/>
          <w:color w:val="auto"/>
          <w:sz w:val="21"/>
          <w:szCs w:val="21"/>
          <w:highlight w:val="none"/>
        </w:rPr>
        <w:t>【政府采购合同专用条款】</w:t>
      </w:r>
      <w:r>
        <w:rPr>
          <w:rFonts w:hint="eastAsia" w:ascii="宋体" w:hAnsi="宋体" w:cs="宋体"/>
          <w:b w:val="0"/>
          <w:bCs w:val="0"/>
          <w:color w:val="auto"/>
          <w:sz w:val="21"/>
          <w:szCs w:val="21"/>
          <w:highlight w:val="none"/>
          <w:lang w:eastAsia="zh-CN"/>
        </w:rPr>
        <w:t>约定应</w:t>
      </w:r>
      <w:r>
        <w:rPr>
          <w:rFonts w:hint="eastAsia" w:ascii="宋体" w:hAnsi="宋体" w:cs="宋体"/>
          <w:color w:val="auto"/>
          <w:sz w:val="21"/>
          <w:szCs w:val="21"/>
          <w:highlight w:val="none"/>
        </w:rPr>
        <w:t>由乙方承担的其他义务和责任。</w:t>
      </w:r>
    </w:p>
    <w:p w14:paraId="5F7307FA">
      <w:pPr>
        <w:numPr>
          <w:ilvl w:val="0"/>
          <w:numId w:val="7"/>
        </w:numPr>
        <w:autoSpaceDE w:val="0"/>
        <w:autoSpaceDN w:val="0"/>
        <w:adjustRightInd w:val="0"/>
        <w:snapToGrid w:val="0"/>
        <w:spacing w:before="0" w:line="400" w:lineRule="exact"/>
        <w:jc w:val="left"/>
        <w:rPr>
          <w:rFonts w:hint="eastAsia" w:ascii="宋体" w:hAnsi="宋体"/>
          <w:b/>
          <w:bCs/>
          <w:color w:val="auto"/>
          <w:sz w:val="21"/>
          <w:szCs w:val="21"/>
          <w:highlight w:val="none"/>
        </w:rPr>
      </w:pPr>
      <w:r>
        <w:rPr>
          <w:rFonts w:hint="eastAsia" w:ascii="宋体" w:hAnsi="宋体"/>
          <w:b/>
          <w:bCs/>
          <w:color w:val="auto"/>
          <w:sz w:val="21"/>
          <w:szCs w:val="21"/>
          <w:highlight w:val="none"/>
        </w:rPr>
        <w:t>合同履</w:t>
      </w:r>
      <w:r>
        <w:rPr>
          <w:rFonts w:hint="eastAsia" w:ascii="宋体" w:hAnsi="宋体"/>
          <w:b/>
          <w:bCs/>
          <w:color w:val="auto"/>
          <w:sz w:val="21"/>
          <w:szCs w:val="21"/>
          <w:highlight w:val="none"/>
          <w:lang w:val="en-US" w:eastAsia="zh-CN"/>
        </w:rPr>
        <w:t>行</w:t>
      </w:r>
    </w:p>
    <w:p w14:paraId="2FFB62F4">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lang w:eastAsia="zh-CN"/>
        </w:rPr>
        <w:t>6</w:t>
      </w:r>
      <w:r>
        <w:rPr>
          <w:rFonts w:hint="eastAsia" w:ascii="宋体" w:hAnsi="宋体"/>
          <w:color w:val="auto"/>
          <w:sz w:val="21"/>
          <w:szCs w:val="21"/>
          <w:highlight w:val="none"/>
        </w:rPr>
        <w:t>.1 甲乙双方应当按照</w:t>
      </w:r>
      <w:r>
        <w:rPr>
          <w:rFonts w:hint="eastAsia" w:ascii="宋体" w:hAnsi="宋体" w:eastAsia="宋体" w:cs="宋体"/>
          <w:b/>
          <w:bCs/>
          <w:color w:val="auto"/>
          <w:sz w:val="21"/>
          <w:szCs w:val="21"/>
          <w:highlight w:val="none"/>
        </w:rPr>
        <w:t>【政府采购合同专用条款】</w:t>
      </w:r>
      <w:r>
        <w:rPr>
          <w:rFonts w:hint="eastAsia" w:ascii="宋体" w:hAnsi="宋体"/>
          <w:color w:val="auto"/>
          <w:sz w:val="21"/>
          <w:szCs w:val="21"/>
          <w:highlight w:val="none"/>
        </w:rPr>
        <w:t>约定顺序履行合同义务；如果没有先后顺序的，应当同时履行。</w:t>
      </w:r>
    </w:p>
    <w:p w14:paraId="3DF70AE5">
      <w:pPr>
        <w:autoSpaceDE w:val="0"/>
        <w:autoSpaceDN w:val="0"/>
        <w:adjustRightInd w:val="0"/>
        <w:snapToGrid w:val="0"/>
        <w:spacing w:before="0" w:line="400" w:lineRule="exact"/>
        <w:ind w:firstLine="420" w:firstLineChars="200"/>
        <w:jc w:val="left"/>
        <w:rPr>
          <w:color w:val="auto"/>
          <w:sz w:val="21"/>
          <w:szCs w:val="21"/>
        </w:rPr>
      </w:pPr>
      <w:r>
        <w:rPr>
          <w:rFonts w:hint="eastAsia" w:ascii="宋体" w:hAnsi="宋体"/>
          <w:color w:val="auto"/>
          <w:sz w:val="21"/>
          <w:szCs w:val="21"/>
          <w:highlight w:val="none"/>
          <w:lang w:eastAsia="zh-CN"/>
        </w:rPr>
        <w:t>6</w:t>
      </w:r>
      <w:r>
        <w:rPr>
          <w:rFonts w:hint="eastAsia" w:ascii="宋体" w:hAnsi="宋体"/>
          <w:color w:val="auto"/>
          <w:sz w:val="21"/>
          <w:szCs w:val="21"/>
          <w:highlight w:val="none"/>
        </w:rPr>
        <w:t>.2 甲乙双方按照合同约定顺序履行合同义务时，应当先履行一方未履行的，后履行一方有权拒绝其履行请求。先履行一方履行不符合约定的，后履行一方有权拒绝其相应的履行请求。</w:t>
      </w:r>
    </w:p>
    <w:p w14:paraId="2E0CD998">
      <w:pPr>
        <w:adjustRightInd w:val="0"/>
        <w:snapToGrid w:val="0"/>
        <w:spacing w:before="0" w:line="400" w:lineRule="exact"/>
        <w:jc w:val="left"/>
        <w:rPr>
          <w:rFonts w:ascii="宋体" w:hAnsi="宋体"/>
          <w:b/>
          <w:bCs/>
          <w:color w:val="auto"/>
          <w:sz w:val="21"/>
          <w:szCs w:val="21"/>
          <w:highlight w:val="none"/>
        </w:rPr>
      </w:pPr>
      <w:r>
        <w:rPr>
          <w:rFonts w:hint="eastAsia" w:ascii="宋体" w:hAnsi="宋体"/>
          <w:b/>
          <w:bCs/>
          <w:color w:val="auto"/>
          <w:sz w:val="21"/>
          <w:szCs w:val="21"/>
          <w:highlight w:val="none"/>
          <w:lang w:eastAsia="zh-CN"/>
        </w:rPr>
        <w:t>7</w:t>
      </w:r>
      <w:r>
        <w:rPr>
          <w:rFonts w:hint="eastAsia" w:ascii="宋体" w:hAnsi="宋体"/>
          <w:b/>
          <w:bCs/>
          <w:color w:val="auto"/>
          <w:sz w:val="21"/>
          <w:szCs w:val="21"/>
          <w:highlight w:val="none"/>
          <w:lang w:val="en-US" w:eastAsia="zh-CN"/>
        </w:rPr>
        <w:t xml:space="preserve">. </w:t>
      </w:r>
      <w:r>
        <w:rPr>
          <w:rFonts w:hint="eastAsia" w:ascii="宋体" w:hAnsi="宋体"/>
          <w:b/>
          <w:bCs/>
          <w:color w:val="auto"/>
          <w:sz w:val="21"/>
          <w:szCs w:val="21"/>
          <w:highlight w:val="none"/>
        </w:rPr>
        <w:t>货物包装、运输</w:t>
      </w:r>
      <w:r>
        <w:rPr>
          <w:rFonts w:hint="eastAsia" w:ascii="宋体" w:hAnsi="宋体"/>
          <w:b/>
          <w:bCs/>
          <w:color w:val="auto"/>
          <w:sz w:val="21"/>
          <w:szCs w:val="21"/>
          <w:highlight w:val="none"/>
          <w:lang w:eastAsia="zh-CN"/>
        </w:rPr>
        <w:t>、</w:t>
      </w:r>
      <w:r>
        <w:rPr>
          <w:rFonts w:hint="eastAsia" w:ascii="宋体" w:hAnsi="宋体"/>
          <w:b/>
          <w:bCs/>
          <w:color w:val="auto"/>
          <w:sz w:val="21"/>
          <w:szCs w:val="21"/>
          <w:highlight w:val="none"/>
        </w:rPr>
        <w:t>保险</w:t>
      </w:r>
      <w:r>
        <w:rPr>
          <w:rFonts w:hint="eastAsia" w:ascii="宋体" w:hAnsi="宋体"/>
          <w:b/>
          <w:bCs/>
          <w:color w:val="auto"/>
          <w:sz w:val="21"/>
          <w:szCs w:val="21"/>
          <w:highlight w:val="none"/>
          <w:lang w:eastAsia="zh-CN"/>
        </w:rPr>
        <w:t>和交付</w:t>
      </w:r>
      <w:r>
        <w:rPr>
          <w:rFonts w:hint="eastAsia" w:ascii="宋体" w:hAnsi="宋体"/>
          <w:b/>
          <w:bCs/>
          <w:color w:val="auto"/>
          <w:sz w:val="21"/>
          <w:szCs w:val="21"/>
          <w:highlight w:val="none"/>
        </w:rPr>
        <w:t>要求</w:t>
      </w:r>
    </w:p>
    <w:p w14:paraId="592E698B">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lang w:eastAsia="zh-CN"/>
        </w:rPr>
        <w:t>7</w:t>
      </w:r>
      <w:r>
        <w:rPr>
          <w:rFonts w:hint="eastAsia" w:ascii="宋体" w:hAnsi="宋体"/>
          <w:color w:val="auto"/>
          <w:sz w:val="21"/>
          <w:szCs w:val="21"/>
          <w:highlight w:val="none"/>
        </w:rPr>
        <w:t>.1 本合同</w:t>
      </w:r>
      <w:r>
        <w:rPr>
          <w:rFonts w:hint="eastAsia" w:ascii="宋体" w:hAnsi="宋体"/>
          <w:bCs/>
          <w:color w:val="auto"/>
          <w:sz w:val="21"/>
          <w:szCs w:val="21"/>
          <w:highlight w:val="none"/>
        </w:rPr>
        <w:t>涉及商品包装</w:t>
      </w:r>
      <w:r>
        <w:rPr>
          <w:rFonts w:hint="eastAsia" w:ascii="宋体" w:hAnsi="宋体"/>
          <w:bCs/>
          <w:color w:val="auto"/>
          <w:sz w:val="21"/>
          <w:szCs w:val="21"/>
          <w:highlight w:val="none"/>
          <w:lang w:eastAsia="zh-CN"/>
        </w:rPr>
        <w:t>、</w:t>
      </w:r>
      <w:r>
        <w:rPr>
          <w:rFonts w:hint="eastAsia" w:ascii="宋体" w:hAnsi="宋体"/>
          <w:bCs/>
          <w:color w:val="auto"/>
          <w:sz w:val="21"/>
          <w:szCs w:val="21"/>
          <w:highlight w:val="none"/>
        </w:rPr>
        <w:t>快递包装的，</w:t>
      </w:r>
      <w:r>
        <w:rPr>
          <w:rFonts w:hint="eastAsia" w:ascii="宋体" w:hAnsi="宋体"/>
          <w:color w:val="auto"/>
          <w:sz w:val="21"/>
          <w:szCs w:val="21"/>
          <w:highlight w:val="none"/>
        </w:rPr>
        <w:t>除</w:t>
      </w:r>
      <w:r>
        <w:rPr>
          <w:rFonts w:hint="eastAsia" w:ascii="宋体" w:hAnsi="宋体"/>
          <w:b/>
          <w:color w:val="auto"/>
          <w:sz w:val="21"/>
          <w:szCs w:val="21"/>
          <w:highlight w:val="none"/>
        </w:rPr>
        <w:t>【政府采购合同专用条款】</w:t>
      </w:r>
      <w:r>
        <w:rPr>
          <w:rFonts w:hint="eastAsia" w:ascii="宋体" w:hAnsi="宋体"/>
          <w:bCs/>
          <w:color w:val="auto"/>
          <w:sz w:val="21"/>
          <w:szCs w:val="21"/>
          <w:highlight w:val="none"/>
        </w:rPr>
        <w:t>另有</w:t>
      </w:r>
      <w:r>
        <w:rPr>
          <w:rFonts w:hint="eastAsia" w:ascii="宋体" w:hAnsi="宋体"/>
          <w:bCs/>
          <w:color w:val="auto"/>
          <w:sz w:val="21"/>
          <w:szCs w:val="21"/>
          <w:highlight w:val="none"/>
          <w:lang w:eastAsia="zh-CN"/>
        </w:rPr>
        <w:t>约</w:t>
      </w:r>
      <w:r>
        <w:rPr>
          <w:rFonts w:hint="eastAsia" w:ascii="宋体" w:hAnsi="宋体"/>
          <w:bCs/>
          <w:color w:val="auto"/>
          <w:sz w:val="21"/>
          <w:szCs w:val="21"/>
          <w:highlight w:val="none"/>
        </w:rPr>
        <w:t>定</w:t>
      </w:r>
      <w:r>
        <w:rPr>
          <w:rFonts w:hint="eastAsia" w:ascii="宋体" w:hAnsi="宋体"/>
          <w:bCs/>
          <w:color w:val="auto"/>
          <w:sz w:val="21"/>
          <w:szCs w:val="21"/>
          <w:highlight w:val="none"/>
          <w:lang w:eastAsia="zh-CN"/>
        </w:rPr>
        <w:t>外</w:t>
      </w:r>
      <w:r>
        <w:rPr>
          <w:rFonts w:hint="eastAsia" w:ascii="宋体" w:hAnsi="宋体"/>
          <w:bCs/>
          <w:color w:val="auto"/>
          <w:sz w:val="21"/>
          <w:szCs w:val="21"/>
          <w:highlight w:val="none"/>
        </w:rPr>
        <w:t>，</w:t>
      </w:r>
      <w:r>
        <w:rPr>
          <w:rFonts w:hint="eastAsia" w:ascii="宋体" w:hAnsi="宋体"/>
          <w:color w:val="auto"/>
          <w:sz w:val="21"/>
          <w:szCs w:val="21"/>
          <w:highlight w:val="none"/>
        </w:rPr>
        <w:t>包装应适应远距离运输、防潮、防震、防锈和防野蛮装卸等要求，确保货物安全无损地运抵</w:t>
      </w:r>
      <w:r>
        <w:rPr>
          <w:rFonts w:hint="eastAsia" w:ascii="宋体" w:hAnsi="宋体"/>
          <w:b/>
          <w:color w:val="auto"/>
          <w:sz w:val="21"/>
          <w:szCs w:val="21"/>
          <w:highlight w:val="none"/>
        </w:rPr>
        <w:t>【政府采购合同专用条款】</w:t>
      </w:r>
      <w:r>
        <w:rPr>
          <w:rFonts w:hint="eastAsia" w:ascii="宋体" w:hAnsi="宋体"/>
          <w:b w:val="0"/>
          <w:bCs/>
          <w:color w:val="auto"/>
          <w:sz w:val="21"/>
          <w:szCs w:val="21"/>
          <w:highlight w:val="none"/>
          <w:lang w:eastAsia="zh-CN"/>
        </w:rPr>
        <w:t>约定的</w:t>
      </w:r>
      <w:r>
        <w:rPr>
          <w:rFonts w:hint="eastAsia" w:ascii="宋体" w:hAnsi="宋体"/>
          <w:color w:val="auto"/>
          <w:sz w:val="21"/>
          <w:szCs w:val="21"/>
          <w:highlight w:val="none"/>
        </w:rPr>
        <w:t>指定现场。</w:t>
      </w:r>
    </w:p>
    <w:p w14:paraId="01642214">
      <w:pPr>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lang w:eastAsia="zh-CN"/>
        </w:rPr>
        <w:t>7</w:t>
      </w:r>
      <w:r>
        <w:rPr>
          <w:rFonts w:hint="eastAsia" w:ascii="宋体" w:hAnsi="宋体"/>
          <w:color w:val="auto"/>
          <w:sz w:val="21"/>
          <w:szCs w:val="21"/>
          <w:highlight w:val="none"/>
        </w:rPr>
        <w:t>.2 除</w:t>
      </w:r>
      <w:r>
        <w:rPr>
          <w:rFonts w:hint="eastAsia" w:ascii="宋体" w:hAnsi="宋体"/>
          <w:b/>
          <w:color w:val="auto"/>
          <w:sz w:val="21"/>
          <w:szCs w:val="21"/>
          <w:highlight w:val="none"/>
        </w:rPr>
        <w:t>【政府采购合同专用条款】</w:t>
      </w:r>
      <w:r>
        <w:rPr>
          <w:rFonts w:hint="eastAsia" w:ascii="宋体" w:hAnsi="宋体"/>
          <w:bCs/>
          <w:color w:val="auto"/>
          <w:sz w:val="21"/>
          <w:szCs w:val="21"/>
          <w:highlight w:val="none"/>
        </w:rPr>
        <w:t>另有</w:t>
      </w:r>
      <w:r>
        <w:rPr>
          <w:rFonts w:hint="eastAsia" w:ascii="宋体" w:hAnsi="宋体"/>
          <w:bCs/>
          <w:color w:val="auto"/>
          <w:sz w:val="21"/>
          <w:szCs w:val="21"/>
          <w:highlight w:val="none"/>
          <w:lang w:eastAsia="zh-CN"/>
        </w:rPr>
        <w:t>约</w:t>
      </w:r>
      <w:r>
        <w:rPr>
          <w:rFonts w:hint="eastAsia" w:ascii="宋体" w:hAnsi="宋体"/>
          <w:bCs/>
          <w:color w:val="auto"/>
          <w:sz w:val="21"/>
          <w:szCs w:val="21"/>
          <w:highlight w:val="none"/>
        </w:rPr>
        <w:t>定</w:t>
      </w:r>
      <w:r>
        <w:rPr>
          <w:rFonts w:hint="eastAsia" w:ascii="宋体" w:hAnsi="宋体"/>
          <w:bCs/>
          <w:color w:val="auto"/>
          <w:sz w:val="21"/>
          <w:szCs w:val="21"/>
          <w:highlight w:val="none"/>
          <w:lang w:eastAsia="zh-CN"/>
        </w:rPr>
        <w:t>外</w:t>
      </w:r>
      <w:r>
        <w:rPr>
          <w:rFonts w:hint="eastAsia" w:ascii="宋体" w:hAnsi="宋体"/>
          <w:bCs/>
          <w:color w:val="auto"/>
          <w:sz w:val="21"/>
          <w:szCs w:val="21"/>
          <w:highlight w:val="none"/>
        </w:rPr>
        <w:t>，</w:t>
      </w:r>
      <w:r>
        <w:rPr>
          <w:rFonts w:hint="eastAsia" w:ascii="宋体" w:hAnsi="宋体"/>
          <w:color w:val="auto"/>
          <w:sz w:val="21"/>
          <w:szCs w:val="21"/>
          <w:highlight w:val="none"/>
        </w:rPr>
        <w:t>乙方负责办理将货物运抵本合同规定的交货地点</w:t>
      </w:r>
      <w:r>
        <w:rPr>
          <w:rFonts w:hint="eastAsia" w:ascii="宋体" w:hAnsi="宋体"/>
          <w:color w:val="auto"/>
          <w:sz w:val="21"/>
          <w:szCs w:val="21"/>
          <w:highlight w:val="none"/>
          <w:lang w:eastAsia="zh-CN"/>
        </w:rPr>
        <w:t>，并装卸、交付至甲方</w:t>
      </w:r>
      <w:r>
        <w:rPr>
          <w:rFonts w:hint="eastAsia" w:ascii="宋体" w:hAnsi="宋体"/>
          <w:color w:val="auto"/>
          <w:sz w:val="21"/>
          <w:szCs w:val="21"/>
          <w:highlight w:val="none"/>
        </w:rPr>
        <w:t>的一切运输事项，相关费用应</w:t>
      </w:r>
      <w:r>
        <w:rPr>
          <w:rFonts w:hint="eastAsia" w:ascii="宋体" w:hAnsi="宋体"/>
          <w:color w:val="auto"/>
          <w:sz w:val="21"/>
          <w:szCs w:val="21"/>
          <w:highlight w:val="none"/>
          <w:lang w:eastAsia="zh-CN"/>
        </w:rPr>
        <w:t>包含</w:t>
      </w:r>
      <w:r>
        <w:rPr>
          <w:rFonts w:hint="eastAsia" w:ascii="宋体" w:hAnsi="宋体"/>
          <w:color w:val="auto"/>
          <w:sz w:val="21"/>
          <w:szCs w:val="21"/>
          <w:highlight w:val="none"/>
        </w:rPr>
        <w:t>在合同</w:t>
      </w:r>
      <w:r>
        <w:rPr>
          <w:rFonts w:hint="eastAsia" w:ascii="宋体" w:hAnsi="宋体"/>
          <w:color w:val="auto"/>
          <w:sz w:val="21"/>
          <w:szCs w:val="21"/>
          <w:highlight w:val="none"/>
          <w:lang w:eastAsia="zh-CN"/>
        </w:rPr>
        <w:t>价款</w:t>
      </w:r>
      <w:r>
        <w:rPr>
          <w:rFonts w:hint="eastAsia" w:ascii="宋体" w:hAnsi="宋体"/>
          <w:color w:val="auto"/>
          <w:sz w:val="21"/>
          <w:szCs w:val="21"/>
          <w:highlight w:val="none"/>
        </w:rPr>
        <w:t>中。</w:t>
      </w:r>
    </w:p>
    <w:p w14:paraId="02314AC4">
      <w:pPr>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lang w:eastAsia="zh-CN"/>
        </w:rPr>
        <w:t>7</w:t>
      </w:r>
      <w:r>
        <w:rPr>
          <w:rFonts w:hint="eastAsia" w:ascii="宋体" w:hAnsi="宋体"/>
          <w:color w:val="auto"/>
          <w:sz w:val="21"/>
          <w:szCs w:val="21"/>
          <w:highlight w:val="none"/>
        </w:rPr>
        <w:t>.3 货物保险要求按</w:t>
      </w:r>
      <w:r>
        <w:rPr>
          <w:rFonts w:hint="eastAsia" w:ascii="宋体" w:hAnsi="宋体"/>
          <w:b/>
          <w:color w:val="auto"/>
          <w:sz w:val="21"/>
          <w:szCs w:val="21"/>
          <w:highlight w:val="none"/>
        </w:rPr>
        <w:t>【政府采购合同专用条款】</w:t>
      </w:r>
      <w:r>
        <w:rPr>
          <w:rFonts w:hint="eastAsia" w:ascii="宋体" w:hAnsi="宋体"/>
          <w:bCs/>
          <w:color w:val="auto"/>
          <w:sz w:val="21"/>
          <w:szCs w:val="21"/>
          <w:highlight w:val="none"/>
        </w:rPr>
        <w:t>规定执行</w:t>
      </w:r>
      <w:r>
        <w:rPr>
          <w:rFonts w:hint="eastAsia" w:ascii="宋体" w:hAnsi="宋体"/>
          <w:color w:val="auto"/>
          <w:sz w:val="21"/>
          <w:szCs w:val="21"/>
          <w:highlight w:val="none"/>
        </w:rPr>
        <w:t>。</w:t>
      </w:r>
    </w:p>
    <w:p w14:paraId="16F9247C">
      <w:pPr>
        <w:autoSpaceDE w:val="0"/>
        <w:autoSpaceDN w:val="0"/>
        <w:adjustRightInd w:val="0"/>
        <w:snapToGrid w:val="0"/>
        <w:spacing w:before="0" w:line="400" w:lineRule="exac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lang w:eastAsia="zh-CN"/>
        </w:rPr>
        <w:t>7</w:t>
      </w:r>
      <w:r>
        <w:rPr>
          <w:rFonts w:hint="eastAsia" w:ascii="宋体" w:hAnsi="宋体"/>
          <w:color w:val="auto"/>
          <w:sz w:val="21"/>
          <w:szCs w:val="21"/>
          <w:highlight w:val="none"/>
        </w:rPr>
        <w:t xml:space="preserve">.4 </w:t>
      </w:r>
      <w:r>
        <w:rPr>
          <w:rFonts w:hint="eastAsia" w:ascii="宋体" w:hAnsi="宋体"/>
          <w:color w:val="auto"/>
          <w:sz w:val="21"/>
          <w:szCs w:val="21"/>
          <w:highlight w:val="none"/>
          <w:lang w:val="en-US" w:eastAsia="zh-CN"/>
        </w:rPr>
        <w:t>除采购活动</w:t>
      </w:r>
      <w:r>
        <w:rPr>
          <w:rFonts w:hint="eastAsia" w:ascii="宋体" w:hAnsi="宋体"/>
          <w:color w:val="auto"/>
          <w:sz w:val="21"/>
          <w:szCs w:val="21"/>
          <w:highlight w:val="none"/>
        </w:rPr>
        <w:t>对商品包装</w:t>
      </w:r>
      <w:r>
        <w:rPr>
          <w:rFonts w:hint="eastAsia" w:ascii="宋体" w:hAnsi="宋体"/>
          <w:color w:val="auto"/>
          <w:sz w:val="21"/>
          <w:szCs w:val="21"/>
          <w:highlight w:val="none"/>
          <w:lang w:eastAsia="zh-CN"/>
        </w:rPr>
        <w:t>、</w:t>
      </w:r>
      <w:r>
        <w:rPr>
          <w:rFonts w:hint="eastAsia" w:ascii="宋体" w:hAnsi="宋体"/>
          <w:color w:val="auto"/>
          <w:sz w:val="21"/>
          <w:szCs w:val="21"/>
          <w:highlight w:val="none"/>
        </w:rPr>
        <w:t>快递包装</w:t>
      </w:r>
      <w:r>
        <w:rPr>
          <w:rFonts w:hint="eastAsia" w:ascii="宋体" w:hAnsi="宋体"/>
          <w:color w:val="auto"/>
          <w:sz w:val="21"/>
          <w:szCs w:val="21"/>
          <w:highlight w:val="none"/>
          <w:lang w:val="en-US" w:eastAsia="zh-CN"/>
        </w:rPr>
        <w:t>达成具体约定外</w:t>
      </w:r>
      <w:r>
        <w:rPr>
          <w:rFonts w:hint="eastAsia" w:ascii="宋体" w:hAnsi="宋体"/>
          <w:color w:val="auto"/>
          <w:sz w:val="21"/>
          <w:szCs w:val="21"/>
          <w:highlight w:val="none"/>
        </w:rPr>
        <w:t>，乙方提供产品及相关快递服务</w:t>
      </w:r>
      <w:r>
        <w:rPr>
          <w:rFonts w:hint="eastAsia" w:ascii="宋体" w:hAnsi="宋体"/>
          <w:color w:val="auto"/>
          <w:sz w:val="21"/>
          <w:szCs w:val="21"/>
          <w:highlight w:val="none"/>
          <w:lang w:val="en-US" w:eastAsia="zh-CN"/>
        </w:rPr>
        <w:t>涉及到</w:t>
      </w:r>
      <w:r>
        <w:rPr>
          <w:rFonts w:hint="eastAsia" w:ascii="宋体" w:hAnsi="宋体"/>
          <w:color w:val="auto"/>
          <w:sz w:val="21"/>
          <w:szCs w:val="21"/>
          <w:highlight w:val="none"/>
        </w:rPr>
        <w:t>具体包装要求</w:t>
      </w:r>
      <w:r>
        <w:rPr>
          <w:rFonts w:hint="eastAsia" w:ascii="宋体" w:hAnsi="宋体"/>
          <w:color w:val="auto"/>
          <w:sz w:val="21"/>
          <w:szCs w:val="21"/>
          <w:highlight w:val="none"/>
          <w:lang w:val="en-US" w:eastAsia="zh-CN"/>
        </w:rPr>
        <w:t>的，</w:t>
      </w:r>
      <w:r>
        <w:rPr>
          <w:rFonts w:hint="eastAsia" w:ascii="宋体" w:hAnsi="宋体"/>
          <w:color w:val="auto"/>
          <w:sz w:val="21"/>
          <w:szCs w:val="21"/>
          <w:highlight w:val="none"/>
        </w:rPr>
        <w:t>应</w:t>
      </w:r>
      <w:r>
        <w:rPr>
          <w:rFonts w:hint="eastAsia" w:ascii="宋体" w:hAnsi="宋体"/>
          <w:color w:val="auto"/>
          <w:sz w:val="21"/>
          <w:szCs w:val="21"/>
          <w:highlight w:val="none"/>
          <w:lang w:val="en-US" w:eastAsia="zh-CN"/>
        </w:rPr>
        <w:t>不低于</w:t>
      </w:r>
      <w:r>
        <w:rPr>
          <w:rFonts w:hint="eastAsia" w:ascii="宋体" w:hAnsi="宋体"/>
          <w:color w:val="auto"/>
          <w:sz w:val="21"/>
          <w:szCs w:val="21"/>
          <w:highlight w:val="none"/>
        </w:rPr>
        <w:t>《商品包装政府采购需求标准（试行）</w:t>
      </w:r>
      <w:r>
        <w:rPr>
          <w:rFonts w:hint="eastAsia" w:ascii="宋体" w:hAnsi="宋体"/>
          <w:color w:val="auto"/>
          <w:sz w:val="21"/>
          <w:szCs w:val="21"/>
          <w:highlight w:val="none"/>
          <w:lang w:eastAsia="zh-CN"/>
        </w:rPr>
        <w:t>》《</w:t>
      </w:r>
      <w:r>
        <w:rPr>
          <w:rFonts w:hint="eastAsia" w:ascii="宋体" w:hAnsi="宋体"/>
          <w:color w:val="auto"/>
          <w:sz w:val="21"/>
          <w:szCs w:val="21"/>
          <w:highlight w:val="none"/>
        </w:rPr>
        <w:t>快递包装政府采购需求标准（试行）》</w:t>
      </w:r>
      <w:r>
        <w:rPr>
          <w:rFonts w:hint="eastAsia" w:ascii="宋体" w:hAnsi="宋体"/>
          <w:color w:val="auto"/>
          <w:sz w:val="21"/>
          <w:szCs w:val="21"/>
          <w:highlight w:val="none"/>
          <w:lang w:val="en-US" w:eastAsia="zh-CN"/>
        </w:rPr>
        <w:t>标准</w:t>
      </w:r>
      <w:r>
        <w:rPr>
          <w:rFonts w:hint="eastAsia" w:ascii="宋体" w:hAnsi="宋体"/>
          <w:color w:val="auto"/>
          <w:sz w:val="21"/>
          <w:szCs w:val="21"/>
          <w:highlight w:val="none"/>
        </w:rPr>
        <w:t>，并作为履约验收的内容，必要时甲方可以要求乙方在履约验收环节出具检测报告。</w:t>
      </w:r>
    </w:p>
    <w:p w14:paraId="68B2AD96">
      <w:pPr>
        <w:autoSpaceDE w:val="0"/>
        <w:autoSpaceDN w:val="0"/>
        <w:adjustRightInd w:val="0"/>
        <w:snapToGrid w:val="0"/>
        <w:spacing w:before="0" w:line="400" w:lineRule="exac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7.5 </w:t>
      </w:r>
      <w:r>
        <w:rPr>
          <w:rFonts w:hint="eastAsia" w:ascii="宋体" w:hAnsi="宋体" w:eastAsia="宋体" w:cs="宋体"/>
          <w:color w:val="auto"/>
          <w:sz w:val="21"/>
          <w:szCs w:val="21"/>
        </w:rPr>
        <w:t>乙方在运输到达之前</w:t>
      </w:r>
      <w:r>
        <w:rPr>
          <w:rFonts w:hint="eastAsia" w:ascii="宋体" w:hAnsi="宋体" w:cs="宋体"/>
          <w:color w:val="auto"/>
          <w:sz w:val="21"/>
          <w:szCs w:val="21"/>
          <w:lang w:eastAsia="zh-CN"/>
        </w:rPr>
        <w:t>应</w:t>
      </w:r>
      <w:r>
        <w:rPr>
          <w:rFonts w:hint="eastAsia" w:ascii="宋体" w:hAnsi="宋体" w:eastAsia="宋体" w:cs="宋体"/>
          <w:color w:val="auto"/>
          <w:sz w:val="21"/>
          <w:szCs w:val="21"/>
        </w:rPr>
        <w:t>提前通知</w:t>
      </w:r>
      <w:r>
        <w:rPr>
          <w:rFonts w:hint="eastAsia" w:ascii="宋体" w:hAnsi="宋体" w:cs="宋体"/>
          <w:color w:val="auto"/>
          <w:sz w:val="21"/>
          <w:szCs w:val="21"/>
          <w:lang w:eastAsia="zh-CN"/>
        </w:rPr>
        <w:t>甲方</w:t>
      </w:r>
      <w:r>
        <w:rPr>
          <w:rFonts w:hint="eastAsia" w:ascii="宋体" w:hAnsi="宋体" w:eastAsia="宋体" w:cs="宋体"/>
          <w:color w:val="auto"/>
          <w:sz w:val="21"/>
          <w:szCs w:val="21"/>
        </w:rPr>
        <w:t>，并提示货物运输装卸的注意事项</w:t>
      </w:r>
      <w:r>
        <w:rPr>
          <w:rFonts w:hint="eastAsia" w:ascii="宋体" w:hAnsi="宋体" w:cs="宋体"/>
          <w:color w:val="auto"/>
          <w:sz w:val="21"/>
          <w:szCs w:val="21"/>
          <w:lang w:eastAsia="zh-CN"/>
        </w:rPr>
        <w:t>，甲方配合乙方做好货物的接收工作。</w:t>
      </w:r>
    </w:p>
    <w:p w14:paraId="08B94680">
      <w:pPr>
        <w:pStyle w:val="42"/>
        <w:rPr>
          <w:rFonts w:hint="default" w:eastAsia="华文楷体"/>
          <w:color w:val="auto"/>
          <w:sz w:val="21"/>
          <w:szCs w:val="21"/>
          <w:lang w:val="en-US" w:eastAsia="zh-CN"/>
        </w:rPr>
      </w:pPr>
      <w:r>
        <w:rPr>
          <w:rFonts w:hint="eastAsia" w:ascii="宋体" w:hAnsi="宋体" w:eastAsia="宋体" w:cs="Times New Roman"/>
          <w:color w:val="auto"/>
          <w:kern w:val="2"/>
          <w:sz w:val="21"/>
          <w:szCs w:val="21"/>
          <w:highlight w:val="none"/>
          <w:lang w:val="en-US" w:eastAsia="zh-CN"/>
        </w:rPr>
        <w:t xml:space="preserve">7.6 </w:t>
      </w:r>
      <w:r>
        <w:rPr>
          <w:rFonts w:hint="eastAsia" w:ascii="宋体" w:hAnsi="宋体" w:eastAsia="宋体" w:cs="Times New Roman"/>
          <w:color w:val="auto"/>
          <w:kern w:val="2"/>
          <w:sz w:val="21"/>
          <w:szCs w:val="21"/>
          <w:highlight w:val="none"/>
        </w:rPr>
        <w:t>如因包装</w:t>
      </w:r>
      <w:r>
        <w:rPr>
          <w:rFonts w:hint="eastAsia" w:ascii="宋体" w:hAnsi="宋体" w:eastAsia="宋体" w:cs="Times New Roman"/>
          <w:color w:val="auto"/>
          <w:kern w:val="2"/>
          <w:sz w:val="21"/>
          <w:szCs w:val="21"/>
          <w:highlight w:val="none"/>
          <w:lang w:eastAsia="zh-CN"/>
        </w:rPr>
        <w:t>、运输</w:t>
      </w:r>
      <w:r>
        <w:rPr>
          <w:rFonts w:hint="eastAsia" w:ascii="宋体" w:hAnsi="宋体" w:eastAsia="宋体" w:cs="Times New Roman"/>
          <w:color w:val="auto"/>
          <w:kern w:val="2"/>
          <w:sz w:val="21"/>
          <w:szCs w:val="21"/>
          <w:highlight w:val="none"/>
        </w:rPr>
        <w:t>问题导致货物</w:t>
      </w:r>
      <w:r>
        <w:rPr>
          <w:rFonts w:hint="eastAsia" w:ascii="宋体" w:hAnsi="宋体" w:eastAsia="宋体" w:cs="Times New Roman"/>
          <w:color w:val="auto"/>
          <w:kern w:val="2"/>
          <w:sz w:val="21"/>
          <w:szCs w:val="21"/>
          <w:highlight w:val="none"/>
          <w:lang w:eastAsia="zh-CN"/>
        </w:rPr>
        <w:t>损毁、丢失</w:t>
      </w:r>
      <w:r>
        <w:rPr>
          <w:rFonts w:hint="eastAsia" w:ascii="宋体" w:hAnsi="宋体" w:eastAsia="宋体" w:cs="Times New Roman"/>
          <w:color w:val="auto"/>
          <w:kern w:val="2"/>
          <w:sz w:val="21"/>
          <w:szCs w:val="21"/>
          <w:highlight w:val="none"/>
        </w:rPr>
        <w:t>或者品质下降，</w:t>
      </w:r>
      <w:r>
        <w:rPr>
          <w:rFonts w:hint="eastAsia" w:ascii="宋体" w:hAnsi="宋体" w:eastAsia="宋体" w:cs="Times New Roman"/>
          <w:color w:val="auto"/>
          <w:kern w:val="2"/>
          <w:sz w:val="21"/>
          <w:szCs w:val="21"/>
          <w:highlight w:val="none"/>
          <w:lang w:eastAsia="zh-CN"/>
        </w:rPr>
        <w:t>甲方</w:t>
      </w:r>
      <w:r>
        <w:rPr>
          <w:rFonts w:hint="eastAsia" w:ascii="宋体" w:hAnsi="宋体" w:eastAsia="宋体" w:cs="Times New Roman"/>
          <w:color w:val="auto"/>
          <w:kern w:val="2"/>
          <w:sz w:val="21"/>
          <w:szCs w:val="21"/>
          <w:highlight w:val="none"/>
        </w:rPr>
        <w:t>有权要求降价、换货、拒收部分或整批货物，由此</w:t>
      </w:r>
      <w:r>
        <w:rPr>
          <w:rFonts w:hint="eastAsia" w:ascii="宋体" w:hAnsi="宋体" w:eastAsia="宋体" w:cs="Times New Roman"/>
          <w:color w:val="auto"/>
          <w:kern w:val="2"/>
          <w:sz w:val="21"/>
          <w:szCs w:val="21"/>
          <w:highlight w:val="none"/>
          <w:lang w:eastAsia="zh-CN"/>
        </w:rPr>
        <w:t>产生</w:t>
      </w:r>
      <w:r>
        <w:rPr>
          <w:rFonts w:hint="eastAsia" w:ascii="宋体" w:hAnsi="宋体" w:eastAsia="宋体" w:cs="Times New Roman"/>
          <w:color w:val="auto"/>
          <w:kern w:val="2"/>
          <w:sz w:val="21"/>
          <w:szCs w:val="21"/>
          <w:highlight w:val="none"/>
        </w:rPr>
        <w:t>的费用和损失，均由</w:t>
      </w:r>
      <w:r>
        <w:rPr>
          <w:rFonts w:hint="eastAsia" w:ascii="宋体" w:hAnsi="宋体" w:eastAsia="宋体" w:cs="Times New Roman"/>
          <w:color w:val="auto"/>
          <w:kern w:val="2"/>
          <w:sz w:val="21"/>
          <w:szCs w:val="21"/>
          <w:highlight w:val="none"/>
          <w:lang w:eastAsia="zh-CN"/>
        </w:rPr>
        <w:t>乙方</w:t>
      </w:r>
      <w:r>
        <w:rPr>
          <w:rFonts w:hint="eastAsia" w:ascii="宋体" w:hAnsi="宋体" w:eastAsia="宋体" w:cs="Times New Roman"/>
          <w:color w:val="auto"/>
          <w:kern w:val="2"/>
          <w:sz w:val="21"/>
          <w:szCs w:val="21"/>
          <w:highlight w:val="none"/>
        </w:rPr>
        <w:t>承担。</w:t>
      </w:r>
    </w:p>
    <w:p w14:paraId="49EC06D3">
      <w:pPr>
        <w:adjustRightInd w:val="0"/>
        <w:snapToGrid w:val="0"/>
        <w:spacing w:before="0" w:line="400" w:lineRule="exact"/>
        <w:jc w:val="left"/>
        <w:rPr>
          <w:rFonts w:ascii="宋体" w:hAnsi="宋体"/>
          <w:b/>
          <w:color w:val="auto"/>
          <w:sz w:val="21"/>
          <w:szCs w:val="21"/>
          <w:highlight w:val="none"/>
        </w:rPr>
      </w:pPr>
      <w:r>
        <w:rPr>
          <w:rFonts w:hint="eastAsia" w:ascii="宋体" w:hAnsi="宋体"/>
          <w:b/>
          <w:color w:val="auto"/>
          <w:sz w:val="21"/>
          <w:szCs w:val="21"/>
          <w:highlight w:val="none"/>
          <w:lang w:eastAsia="zh-CN"/>
        </w:rPr>
        <w:t>8</w:t>
      </w:r>
      <w:r>
        <w:rPr>
          <w:rFonts w:hint="eastAsia" w:ascii="宋体" w:hAnsi="宋体"/>
          <w:b/>
          <w:color w:val="auto"/>
          <w:sz w:val="21"/>
          <w:szCs w:val="21"/>
          <w:highlight w:val="none"/>
          <w:lang w:val="en-US" w:eastAsia="zh-CN"/>
        </w:rPr>
        <w:t xml:space="preserve">. </w:t>
      </w:r>
      <w:r>
        <w:rPr>
          <w:rFonts w:hint="eastAsia" w:ascii="宋体" w:hAnsi="宋体"/>
          <w:b/>
          <w:color w:val="auto"/>
          <w:sz w:val="21"/>
          <w:szCs w:val="21"/>
          <w:highlight w:val="none"/>
        </w:rPr>
        <w:t>质量标准和保证</w:t>
      </w:r>
    </w:p>
    <w:p w14:paraId="5766349F">
      <w:pPr>
        <w:pStyle w:val="14"/>
        <w:adjustRightInd w:val="0"/>
        <w:snapToGrid w:val="0"/>
        <w:spacing w:before="0" w:line="400" w:lineRule="exact"/>
        <w:ind w:firstLine="420" w:firstLineChars="200"/>
        <w:jc w:val="left"/>
        <w:rPr>
          <w:rFonts w:hAnsi="宋体"/>
          <w:b/>
          <w:color w:val="auto"/>
          <w:sz w:val="21"/>
          <w:szCs w:val="21"/>
          <w:highlight w:val="none"/>
        </w:rPr>
      </w:pPr>
      <w:r>
        <w:rPr>
          <w:rFonts w:hint="eastAsia" w:hAnsi="宋体"/>
          <w:color w:val="auto"/>
          <w:sz w:val="21"/>
          <w:szCs w:val="21"/>
          <w:highlight w:val="none"/>
          <w:lang w:eastAsia="zh-CN"/>
        </w:rPr>
        <w:t>8</w:t>
      </w:r>
      <w:r>
        <w:rPr>
          <w:rFonts w:hint="eastAsia" w:hAnsi="宋体"/>
          <w:color w:val="auto"/>
          <w:sz w:val="21"/>
          <w:szCs w:val="21"/>
          <w:highlight w:val="none"/>
        </w:rPr>
        <w:t>.1 质量标准</w:t>
      </w:r>
    </w:p>
    <w:p w14:paraId="7A4AEFF3">
      <w:pPr>
        <w:autoSpaceDE w:val="0"/>
        <w:autoSpaceDN w:val="0"/>
        <w:adjustRightInd w:val="0"/>
        <w:snapToGrid w:val="0"/>
        <w:spacing w:before="0" w:line="400" w:lineRule="exac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（1）本合同下</w:t>
      </w:r>
      <w:r>
        <w:rPr>
          <w:rFonts w:hint="eastAsia" w:ascii="宋体" w:hAnsi="宋体"/>
          <w:color w:val="auto"/>
          <w:sz w:val="21"/>
          <w:szCs w:val="21"/>
          <w:highlight w:val="none"/>
          <w:lang w:eastAsia="zh-CN"/>
        </w:rPr>
        <w:t>提供</w:t>
      </w:r>
      <w:r>
        <w:rPr>
          <w:rFonts w:hint="eastAsia" w:ascii="宋体" w:hAnsi="宋体"/>
          <w:color w:val="auto"/>
          <w:sz w:val="21"/>
          <w:szCs w:val="21"/>
          <w:highlight w:val="none"/>
        </w:rPr>
        <w:t>的货物应符合</w:t>
      </w:r>
      <w:r>
        <w:rPr>
          <w:rFonts w:hint="eastAsia" w:ascii="宋体" w:hAnsi="宋体"/>
          <w:color w:val="auto"/>
          <w:sz w:val="21"/>
          <w:szCs w:val="21"/>
          <w:highlight w:val="none"/>
          <w:lang w:eastAsia="zh-CN"/>
        </w:rPr>
        <w:t>合同</w:t>
      </w:r>
      <w:r>
        <w:rPr>
          <w:rFonts w:hint="eastAsia" w:ascii="宋体" w:hAnsi="宋体" w:cs="宋体"/>
          <w:color w:val="auto"/>
          <w:sz w:val="21"/>
          <w:szCs w:val="21"/>
          <w:lang w:eastAsia="zh-CN"/>
        </w:rPr>
        <w:t>约</w:t>
      </w:r>
      <w:r>
        <w:rPr>
          <w:rFonts w:hint="eastAsia" w:ascii="宋体" w:hAnsi="宋体" w:eastAsia="宋体" w:cs="宋体"/>
          <w:color w:val="auto"/>
          <w:sz w:val="21"/>
          <w:szCs w:val="21"/>
        </w:rPr>
        <w:t>定的品牌、规格型号、技术性能、配置、质量、数量等要求。</w:t>
      </w:r>
      <w:r>
        <w:rPr>
          <w:rFonts w:hint="eastAsia" w:ascii="宋体" w:hAnsi="宋体"/>
          <w:color w:val="auto"/>
          <w:sz w:val="21"/>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auto"/>
          <w:sz w:val="21"/>
          <w:szCs w:val="21"/>
          <w:highlight w:val="none"/>
          <w:lang w:eastAsia="zh-CN"/>
        </w:rPr>
        <w:t>。</w:t>
      </w:r>
    </w:p>
    <w:p w14:paraId="56CB09C8">
      <w:pPr>
        <w:pStyle w:val="14"/>
        <w:adjustRightInd w:val="0"/>
        <w:snapToGrid w:val="0"/>
        <w:spacing w:before="0" w:line="400" w:lineRule="exact"/>
        <w:ind w:firstLine="420" w:firstLineChars="200"/>
        <w:jc w:val="left"/>
        <w:rPr>
          <w:rFonts w:hAnsi="宋体"/>
          <w:color w:val="auto"/>
          <w:sz w:val="21"/>
          <w:szCs w:val="21"/>
          <w:highlight w:val="none"/>
        </w:rPr>
      </w:pPr>
      <w:r>
        <w:rPr>
          <w:rFonts w:hint="eastAsia" w:hAnsi="宋体"/>
          <w:color w:val="auto"/>
          <w:sz w:val="21"/>
          <w:szCs w:val="21"/>
          <w:highlight w:val="none"/>
        </w:rPr>
        <w:t>（2）采用中华人民共和国法定计量单位。</w:t>
      </w:r>
    </w:p>
    <w:p w14:paraId="7DFB9549">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（3）乙方所</w:t>
      </w:r>
      <w:r>
        <w:rPr>
          <w:rFonts w:hint="eastAsia" w:ascii="宋体" w:hAnsi="宋体"/>
          <w:color w:val="auto"/>
          <w:sz w:val="21"/>
          <w:szCs w:val="21"/>
          <w:highlight w:val="none"/>
          <w:lang w:eastAsia="zh-CN"/>
        </w:rPr>
        <w:t>提供</w:t>
      </w:r>
      <w:r>
        <w:rPr>
          <w:rFonts w:hint="eastAsia" w:ascii="宋体" w:hAnsi="宋体"/>
          <w:color w:val="auto"/>
          <w:sz w:val="21"/>
          <w:szCs w:val="21"/>
          <w:highlight w:val="none"/>
        </w:rPr>
        <w:t>的货物应符合国家有关安全、环保、卫生</w:t>
      </w:r>
      <w:r>
        <w:rPr>
          <w:rFonts w:hint="eastAsia" w:ascii="宋体" w:hAnsi="宋体"/>
          <w:color w:val="auto"/>
          <w:sz w:val="21"/>
          <w:szCs w:val="21"/>
          <w:highlight w:val="none"/>
          <w:lang w:eastAsia="zh-CN"/>
        </w:rPr>
        <w:t>的</w:t>
      </w:r>
      <w:r>
        <w:rPr>
          <w:rFonts w:hint="eastAsia" w:ascii="宋体" w:hAnsi="宋体"/>
          <w:color w:val="auto"/>
          <w:sz w:val="21"/>
          <w:szCs w:val="21"/>
          <w:highlight w:val="none"/>
        </w:rPr>
        <w:t>规定。</w:t>
      </w:r>
    </w:p>
    <w:p w14:paraId="4C65EDB4">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（4）乙方应向甲方提交所</w:t>
      </w:r>
      <w:r>
        <w:rPr>
          <w:rFonts w:hint="eastAsia" w:ascii="宋体" w:hAnsi="宋体"/>
          <w:color w:val="auto"/>
          <w:sz w:val="21"/>
          <w:szCs w:val="21"/>
          <w:highlight w:val="none"/>
          <w:lang w:eastAsia="zh-CN"/>
        </w:rPr>
        <w:t>提供</w:t>
      </w:r>
      <w:r>
        <w:rPr>
          <w:rFonts w:hint="eastAsia" w:ascii="宋体" w:hAnsi="宋体"/>
          <w:color w:val="auto"/>
          <w:sz w:val="21"/>
          <w:szCs w:val="21"/>
          <w:highlight w:val="none"/>
        </w:rPr>
        <w:t>货物的技术文件，包括相应的中文技术文件，如：产品目录、图纸、操作手册、使用说明、维护手册或服务指南</w:t>
      </w:r>
      <w:r>
        <w:rPr>
          <w:rFonts w:hint="eastAsia" w:ascii="宋体" w:hAnsi="宋体"/>
          <w:color w:val="auto"/>
          <w:sz w:val="21"/>
          <w:szCs w:val="21"/>
          <w:highlight w:val="none"/>
          <w:lang w:eastAsia="zh-CN"/>
        </w:rPr>
        <w:t>等</w:t>
      </w:r>
      <w:r>
        <w:rPr>
          <w:rFonts w:hint="eastAsia" w:ascii="宋体" w:hAnsi="宋体"/>
          <w:color w:val="auto"/>
          <w:sz w:val="21"/>
          <w:szCs w:val="21"/>
          <w:highlight w:val="none"/>
        </w:rPr>
        <w:t>。</w:t>
      </w:r>
      <w:r>
        <w:rPr>
          <w:rFonts w:hint="eastAsia" w:ascii="宋体" w:hAnsi="宋体"/>
          <w:color w:val="auto"/>
          <w:sz w:val="21"/>
          <w:szCs w:val="21"/>
          <w:highlight w:val="none"/>
          <w:lang w:eastAsia="zh-CN"/>
        </w:rPr>
        <w:t>上述</w:t>
      </w:r>
      <w:r>
        <w:rPr>
          <w:rFonts w:hint="eastAsia" w:ascii="宋体" w:hAnsi="宋体"/>
          <w:color w:val="auto"/>
          <w:sz w:val="21"/>
          <w:szCs w:val="21"/>
          <w:highlight w:val="none"/>
        </w:rPr>
        <w:t>文件应包装好随货物一同发运。</w:t>
      </w:r>
    </w:p>
    <w:p w14:paraId="5EB9B346">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lang w:eastAsia="zh-CN"/>
        </w:rPr>
        <w:t>8</w:t>
      </w:r>
      <w:r>
        <w:rPr>
          <w:rFonts w:hint="eastAsia" w:ascii="宋体" w:hAnsi="宋体"/>
          <w:color w:val="auto"/>
          <w:sz w:val="21"/>
          <w:szCs w:val="21"/>
          <w:highlight w:val="none"/>
        </w:rPr>
        <w:t>.2 保证</w:t>
      </w:r>
    </w:p>
    <w:p w14:paraId="41C9538D">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（1）乙方应保证</w:t>
      </w:r>
      <w:r>
        <w:rPr>
          <w:rFonts w:hint="eastAsia" w:ascii="宋体" w:hAnsi="宋体"/>
          <w:color w:val="auto"/>
          <w:sz w:val="21"/>
          <w:szCs w:val="21"/>
          <w:highlight w:val="none"/>
          <w:lang w:eastAsia="zh-CN"/>
        </w:rPr>
        <w:t>提供的货物</w:t>
      </w:r>
      <w:r>
        <w:rPr>
          <w:rFonts w:hint="eastAsia" w:ascii="宋体" w:hAnsi="宋体"/>
          <w:color w:val="auto"/>
          <w:sz w:val="21"/>
          <w:szCs w:val="21"/>
          <w:highlight w:val="none"/>
        </w:rPr>
        <w:t>完全符合合同规定的质量、规格和性能要求。乙方应保证货物在正确安装、正常使用和保养条件下，</w:t>
      </w:r>
      <w:r>
        <w:rPr>
          <w:rFonts w:hint="eastAsia" w:ascii="宋体" w:hAnsi="宋体" w:eastAsia="宋体" w:cs="宋体"/>
          <w:color w:val="auto"/>
          <w:sz w:val="21"/>
          <w:szCs w:val="21"/>
        </w:rPr>
        <w:t>在其使用寿命期内具</w:t>
      </w:r>
      <w:r>
        <w:rPr>
          <w:rFonts w:hint="eastAsia" w:ascii="宋体" w:hAnsi="宋体" w:cs="宋体"/>
          <w:color w:val="auto"/>
          <w:sz w:val="21"/>
          <w:szCs w:val="21"/>
          <w:lang w:eastAsia="zh-CN"/>
        </w:rPr>
        <w:t>备合同约定</w:t>
      </w:r>
      <w:r>
        <w:rPr>
          <w:rFonts w:hint="eastAsia" w:ascii="宋体" w:hAnsi="宋体" w:eastAsia="宋体" w:cs="宋体"/>
          <w:color w:val="auto"/>
          <w:sz w:val="21"/>
          <w:szCs w:val="21"/>
        </w:rPr>
        <w:t>的性能</w:t>
      </w:r>
      <w:r>
        <w:rPr>
          <w:rFonts w:hint="eastAsia" w:ascii="宋体" w:hAnsi="宋体"/>
          <w:color w:val="auto"/>
          <w:sz w:val="21"/>
          <w:szCs w:val="21"/>
          <w:highlight w:val="none"/>
        </w:rPr>
        <w:t>。</w:t>
      </w:r>
      <w:r>
        <w:rPr>
          <w:rFonts w:hint="eastAsia" w:ascii="宋体" w:hAnsi="宋体"/>
          <w:color w:val="auto"/>
          <w:sz w:val="21"/>
          <w:szCs w:val="21"/>
          <w:highlight w:val="none"/>
          <w:lang w:eastAsia="zh-CN"/>
        </w:rPr>
        <w:t>存在</w:t>
      </w:r>
      <w:r>
        <w:rPr>
          <w:rFonts w:hint="eastAsia" w:ascii="宋体" w:hAnsi="宋体"/>
          <w:color w:val="auto"/>
          <w:sz w:val="21"/>
          <w:szCs w:val="21"/>
          <w:highlight w:val="none"/>
        </w:rPr>
        <w:t>质量保证期的，货物最终交付验收</w:t>
      </w:r>
      <w:r>
        <w:rPr>
          <w:rFonts w:hint="eastAsia" w:ascii="宋体" w:hAnsi="宋体"/>
          <w:color w:val="auto"/>
          <w:sz w:val="21"/>
          <w:szCs w:val="21"/>
          <w:highlight w:val="none"/>
          <w:lang w:eastAsia="zh-CN"/>
        </w:rPr>
        <w:t>合格</w:t>
      </w:r>
      <w:r>
        <w:rPr>
          <w:rFonts w:hint="eastAsia" w:ascii="宋体" w:hAnsi="宋体"/>
          <w:color w:val="auto"/>
          <w:sz w:val="21"/>
          <w:szCs w:val="21"/>
          <w:highlight w:val="none"/>
        </w:rPr>
        <w:t>后</w:t>
      </w:r>
      <w:r>
        <w:rPr>
          <w:rFonts w:hint="eastAsia" w:ascii="宋体" w:hAnsi="宋体"/>
          <w:color w:val="auto"/>
          <w:sz w:val="21"/>
          <w:szCs w:val="21"/>
          <w:highlight w:val="none"/>
          <w:lang w:eastAsia="zh-CN"/>
        </w:rPr>
        <w:t>在</w:t>
      </w:r>
      <w:r>
        <w:rPr>
          <w:rFonts w:hint="eastAsia" w:ascii="宋体" w:hAnsi="宋体"/>
          <w:b/>
          <w:color w:val="auto"/>
          <w:sz w:val="21"/>
          <w:szCs w:val="21"/>
          <w:highlight w:val="none"/>
        </w:rPr>
        <w:t>【政府采购合同专用条款】</w:t>
      </w:r>
      <w:r>
        <w:rPr>
          <w:rFonts w:hint="eastAsia" w:ascii="宋体" w:hAnsi="宋体"/>
          <w:color w:val="auto"/>
          <w:sz w:val="21"/>
          <w:szCs w:val="21"/>
          <w:highlight w:val="none"/>
        </w:rPr>
        <w:t>规定或乙方</w:t>
      </w:r>
      <w:r>
        <w:rPr>
          <w:rFonts w:hint="eastAsia" w:ascii="宋体" w:hAnsi="宋体"/>
          <w:color w:val="auto"/>
          <w:sz w:val="21"/>
          <w:szCs w:val="21"/>
          <w:highlight w:val="none"/>
          <w:lang w:eastAsia="zh-CN"/>
        </w:rPr>
        <w:t>书面</w:t>
      </w:r>
      <w:r>
        <w:rPr>
          <w:rFonts w:hint="eastAsia" w:ascii="宋体" w:hAnsi="宋体"/>
          <w:color w:val="auto"/>
          <w:sz w:val="21"/>
          <w:szCs w:val="21"/>
          <w:highlight w:val="none"/>
        </w:rPr>
        <w:t>承诺（两者以较长的为准）的质量保证期内，本保证保持有效。</w:t>
      </w:r>
    </w:p>
    <w:p w14:paraId="6AF8A849">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（2）在质量保证期内所发现的缺陷，甲方应尽快以书面形式通知乙方。</w:t>
      </w:r>
    </w:p>
    <w:p w14:paraId="678C7B9C">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（3）乙方收到通知后</w:t>
      </w:r>
      <w:r>
        <w:rPr>
          <w:rFonts w:hint="eastAsia" w:ascii="宋体" w:hAnsi="宋体"/>
          <w:color w:val="auto"/>
          <w:sz w:val="21"/>
          <w:szCs w:val="21"/>
          <w:highlight w:val="none"/>
          <w:lang w:eastAsia="zh-CN"/>
        </w:rPr>
        <w:t>，</w:t>
      </w:r>
      <w:r>
        <w:rPr>
          <w:rFonts w:hint="eastAsia" w:ascii="宋体" w:hAnsi="宋体"/>
          <w:color w:val="auto"/>
          <w:sz w:val="21"/>
          <w:szCs w:val="21"/>
          <w:highlight w:val="none"/>
        </w:rPr>
        <w:t>应在</w:t>
      </w:r>
      <w:r>
        <w:rPr>
          <w:rFonts w:hint="eastAsia" w:ascii="宋体" w:hAnsi="宋体"/>
          <w:b/>
          <w:color w:val="auto"/>
          <w:sz w:val="21"/>
          <w:szCs w:val="21"/>
          <w:highlight w:val="none"/>
        </w:rPr>
        <w:t>【政府采购合同专用条款】</w:t>
      </w:r>
      <w:r>
        <w:rPr>
          <w:rFonts w:hint="eastAsia" w:ascii="宋体" w:hAnsi="宋体"/>
          <w:color w:val="auto"/>
          <w:sz w:val="21"/>
          <w:szCs w:val="21"/>
          <w:highlight w:val="none"/>
        </w:rPr>
        <w:t>规定的响应时间内以合理的速度免费维修或更换有缺陷的货物或部件。</w:t>
      </w:r>
    </w:p>
    <w:p w14:paraId="07CDBB82">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color w:val="auto"/>
          <w:sz w:val="21"/>
          <w:szCs w:val="21"/>
          <w:highlight w:val="none"/>
          <w:lang w:val="en-US" w:eastAsia="zh-CN"/>
        </w:rPr>
        <w:t>5</w:t>
      </w:r>
      <w:r>
        <w:rPr>
          <w:rFonts w:hint="eastAsia" w:ascii="宋体" w:hAnsi="宋体"/>
          <w:color w:val="auto"/>
          <w:sz w:val="21"/>
          <w:szCs w:val="21"/>
          <w:highlight w:val="none"/>
        </w:rPr>
        <w:t>.1条规定以书面形式</w:t>
      </w:r>
      <w:r>
        <w:rPr>
          <w:rFonts w:hint="eastAsia" w:ascii="宋体" w:hAnsi="宋体"/>
          <w:color w:val="auto"/>
          <w:sz w:val="21"/>
          <w:szCs w:val="21"/>
          <w:highlight w:val="none"/>
          <w:lang w:eastAsia="zh-CN"/>
        </w:rPr>
        <w:t>追究</w:t>
      </w:r>
      <w:r>
        <w:rPr>
          <w:rFonts w:hint="eastAsia" w:ascii="宋体" w:hAnsi="宋体"/>
          <w:color w:val="auto"/>
          <w:sz w:val="21"/>
          <w:szCs w:val="21"/>
          <w:highlight w:val="none"/>
        </w:rPr>
        <w:t>乙方</w:t>
      </w:r>
      <w:r>
        <w:rPr>
          <w:rFonts w:hint="eastAsia" w:ascii="宋体" w:hAnsi="宋体"/>
          <w:color w:val="auto"/>
          <w:sz w:val="21"/>
          <w:szCs w:val="21"/>
          <w:highlight w:val="none"/>
          <w:lang w:eastAsia="zh-CN"/>
        </w:rPr>
        <w:t>的违约责任</w:t>
      </w:r>
      <w:r>
        <w:rPr>
          <w:rFonts w:hint="eastAsia" w:ascii="宋体" w:hAnsi="宋体"/>
          <w:color w:val="auto"/>
          <w:sz w:val="21"/>
          <w:szCs w:val="21"/>
          <w:highlight w:val="none"/>
        </w:rPr>
        <w:t>。</w:t>
      </w:r>
    </w:p>
    <w:p w14:paraId="307005B5">
      <w:pPr>
        <w:adjustRightInd w:val="0"/>
        <w:snapToGrid w:val="0"/>
        <w:spacing w:before="0" w:line="400" w:lineRule="exact"/>
        <w:ind w:firstLine="420" w:firstLineChars="200"/>
        <w:jc w:val="left"/>
        <w:rPr>
          <w:color w:val="auto"/>
          <w:sz w:val="21"/>
          <w:szCs w:val="21"/>
          <w:highlight w:val="none"/>
        </w:rPr>
      </w:pPr>
      <w:r>
        <w:rPr>
          <w:rFonts w:hint="eastAsia" w:ascii="宋体" w:hAnsi="宋体"/>
          <w:color w:val="auto"/>
          <w:sz w:val="21"/>
          <w:szCs w:val="21"/>
          <w:highlight w:val="none"/>
        </w:rPr>
        <w:t>（5）乙方在约定的时间内未能弥补缺陷，甲方可采取必要的补救措施，但其风险和费用将由乙方承担，甲方根据合同</w:t>
      </w:r>
      <w:r>
        <w:rPr>
          <w:rFonts w:hint="eastAsia" w:ascii="宋体" w:hAnsi="宋体"/>
          <w:color w:val="auto"/>
          <w:sz w:val="21"/>
          <w:szCs w:val="21"/>
          <w:highlight w:val="none"/>
          <w:lang w:eastAsia="zh-CN"/>
        </w:rPr>
        <w:t>约定</w:t>
      </w:r>
      <w:r>
        <w:rPr>
          <w:rFonts w:hint="eastAsia" w:ascii="宋体" w:hAnsi="宋体"/>
          <w:color w:val="auto"/>
          <w:sz w:val="21"/>
          <w:szCs w:val="21"/>
          <w:highlight w:val="none"/>
        </w:rPr>
        <w:t>对乙方行使的其他权利不受影响。</w:t>
      </w:r>
    </w:p>
    <w:p w14:paraId="68F7FC06">
      <w:pPr>
        <w:adjustRightInd w:val="0"/>
        <w:snapToGrid w:val="0"/>
        <w:spacing w:before="0" w:line="400" w:lineRule="exact"/>
        <w:jc w:val="left"/>
        <w:rPr>
          <w:rFonts w:ascii="宋体" w:hAnsi="宋体"/>
          <w:b/>
          <w:bCs/>
          <w:color w:val="auto"/>
          <w:sz w:val="21"/>
          <w:szCs w:val="21"/>
          <w:highlight w:val="none"/>
        </w:rPr>
      </w:pPr>
      <w:r>
        <w:rPr>
          <w:rFonts w:hint="eastAsia" w:ascii="宋体" w:hAnsi="宋体"/>
          <w:b/>
          <w:bCs/>
          <w:color w:val="auto"/>
          <w:sz w:val="21"/>
          <w:szCs w:val="21"/>
          <w:highlight w:val="none"/>
          <w:lang w:eastAsia="zh-CN"/>
        </w:rPr>
        <w:t>9</w:t>
      </w:r>
      <w:r>
        <w:rPr>
          <w:rFonts w:hint="eastAsia" w:ascii="宋体" w:hAnsi="宋体"/>
          <w:b/>
          <w:bCs/>
          <w:color w:val="auto"/>
          <w:sz w:val="21"/>
          <w:szCs w:val="21"/>
          <w:highlight w:val="none"/>
        </w:rPr>
        <w:t>.</w:t>
      </w:r>
      <w:r>
        <w:rPr>
          <w:rFonts w:hint="eastAsia" w:ascii="宋体" w:hAnsi="宋体"/>
          <w:b/>
          <w:bCs/>
          <w:color w:val="auto"/>
          <w:sz w:val="21"/>
          <w:szCs w:val="21"/>
          <w:highlight w:val="none"/>
          <w:lang w:val="en-US" w:eastAsia="zh-CN"/>
        </w:rPr>
        <w:t xml:space="preserve"> </w:t>
      </w:r>
      <w:r>
        <w:rPr>
          <w:rFonts w:hint="eastAsia" w:ascii="宋体" w:hAnsi="宋体"/>
          <w:b/>
          <w:bCs/>
          <w:color w:val="auto"/>
          <w:sz w:val="21"/>
          <w:szCs w:val="21"/>
          <w:highlight w:val="none"/>
        </w:rPr>
        <w:t>权利瑕疵担保</w:t>
      </w:r>
    </w:p>
    <w:p w14:paraId="5C2828DC">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lang w:eastAsia="zh-CN"/>
        </w:rPr>
        <w:t>9</w:t>
      </w:r>
      <w:r>
        <w:rPr>
          <w:rFonts w:hint="eastAsia" w:ascii="宋体" w:hAnsi="宋体"/>
          <w:color w:val="auto"/>
          <w:sz w:val="21"/>
          <w:szCs w:val="21"/>
          <w:highlight w:val="none"/>
        </w:rPr>
        <w:t>.1 乙方保证对其出售的货物享有合法的权利。</w:t>
      </w:r>
    </w:p>
    <w:p w14:paraId="21246FC8">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lang w:eastAsia="zh-CN"/>
        </w:rPr>
        <w:t>9</w:t>
      </w:r>
      <w:r>
        <w:rPr>
          <w:rFonts w:hint="eastAsia" w:ascii="宋体" w:hAnsi="宋体"/>
          <w:color w:val="auto"/>
          <w:sz w:val="21"/>
          <w:szCs w:val="21"/>
          <w:highlight w:val="none"/>
        </w:rPr>
        <w:t xml:space="preserve">.2 </w:t>
      </w:r>
      <w:r>
        <w:rPr>
          <w:rFonts w:hint="eastAsia" w:ascii="宋体" w:hAnsi="宋体" w:eastAsia="宋体" w:cs="宋体"/>
          <w:color w:val="auto"/>
          <w:sz w:val="21"/>
          <w:szCs w:val="21"/>
        </w:rPr>
        <w:t>乙方保证在交付的货物上不存在抵押权等担保物权。</w:t>
      </w:r>
    </w:p>
    <w:p w14:paraId="79B53B94">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lang w:eastAsia="zh-CN"/>
        </w:rPr>
        <w:t>9</w:t>
      </w:r>
      <w:r>
        <w:rPr>
          <w:rFonts w:hint="eastAsia" w:ascii="宋体" w:hAnsi="宋体"/>
          <w:color w:val="auto"/>
          <w:sz w:val="21"/>
          <w:szCs w:val="21"/>
          <w:highlight w:val="none"/>
        </w:rPr>
        <w:t>.3 如甲方使用</w:t>
      </w:r>
      <w:r>
        <w:rPr>
          <w:rFonts w:hint="eastAsia" w:ascii="宋体" w:hAnsi="宋体"/>
          <w:color w:val="auto"/>
          <w:sz w:val="21"/>
          <w:szCs w:val="21"/>
          <w:highlight w:val="none"/>
          <w:lang w:val="en-US" w:eastAsia="zh-CN"/>
        </w:rPr>
        <w:t>上述</w:t>
      </w:r>
      <w:r>
        <w:rPr>
          <w:rFonts w:hint="eastAsia" w:ascii="宋体" w:hAnsi="宋体"/>
          <w:color w:val="auto"/>
          <w:sz w:val="21"/>
          <w:szCs w:val="21"/>
          <w:highlight w:val="none"/>
        </w:rPr>
        <w:t>货物构成</w:t>
      </w:r>
      <w:r>
        <w:rPr>
          <w:rFonts w:hint="eastAsia" w:ascii="宋体" w:hAnsi="宋体"/>
          <w:color w:val="auto"/>
          <w:sz w:val="21"/>
          <w:szCs w:val="21"/>
          <w:highlight w:val="none"/>
          <w:lang w:val="en-US" w:eastAsia="zh-CN"/>
        </w:rPr>
        <w:t>对第三人</w:t>
      </w:r>
      <w:r>
        <w:rPr>
          <w:rFonts w:hint="eastAsia" w:ascii="宋体" w:hAnsi="宋体"/>
          <w:color w:val="auto"/>
          <w:sz w:val="21"/>
          <w:szCs w:val="21"/>
          <w:highlight w:val="none"/>
        </w:rPr>
        <w:t>侵权的，则由乙方承担全部责任。</w:t>
      </w:r>
    </w:p>
    <w:p w14:paraId="16A13D66">
      <w:pPr>
        <w:autoSpaceDE w:val="0"/>
        <w:autoSpaceDN w:val="0"/>
        <w:adjustRightInd w:val="0"/>
        <w:snapToGrid w:val="0"/>
        <w:spacing w:before="0" w:line="400" w:lineRule="exact"/>
        <w:jc w:val="left"/>
        <w:rPr>
          <w:rFonts w:ascii="宋体" w:hAnsi="宋体"/>
          <w:b/>
          <w:bCs/>
          <w:color w:val="auto"/>
          <w:sz w:val="21"/>
          <w:szCs w:val="21"/>
          <w:highlight w:val="none"/>
        </w:rPr>
      </w:pPr>
      <w:r>
        <w:rPr>
          <w:rFonts w:hint="eastAsia" w:ascii="宋体" w:hAnsi="宋体"/>
          <w:b/>
          <w:bCs/>
          <w:color w:val="auto"/>
          <w:sz w:val="21"/>
          <w:szCs w:val="21"/>
          <w:highlight w:val="none"/>
        </w:rPr>
        <w:t>1</w:t>
      </w:r>
      <w:r>
        <w:rPr>
          <w:rFonts w:hint="eastAsia" w:ascii="宋体" w:hAnsi="宋体"/>
          <w:b/>
          <w:bCs/>
          <w:color w:val="auto"/>
          <w:sz w:val="21"/>
          <w:szCs w:val="21"/>
          <w:highlight w:val="none"/>
          <w:lang w:eastAsia="zh-CN"/>
        </w:rPr>
        <w:t>0</w:t>
      </w:r>
      <w:r>
        <w:rPr>
          <w:rFonts w:hint="eastAsia" w:ascii="宋体" w:hAnsi="宋体"/>
          <w:b/>
          <w:bCs/>
          <w:color w:val="auto"/>
          <w:sz w:val="21"/>
          <w:szCs w:val="21"/>
          <w:highlight w:val="none"/>
        </w:rPr>
        <w:t>.</w:t>
      </w:r>
      <w:r>
        <w:rPr>
          <w:rFonts w:hint="eastAsia" w:ascii="宋体" w:hAnsi="宋体"/>
          <w:b/>
          <w:bCs/>
          <w:color w:val="auto"/>
          <w:sz w:val="21"/>
          <w:szCs w:val="21"/>
          <w:highlight w:val="none"/>
          <w:lang w:val="en-US" w:eastAsia="zh-CN"/>
        </w:rPr>
        <w:t xml:space="preserve"> </w:t>
      </w:r>
      <w:r>
        <w:rPr>
          <w:rFonts w:hint="eastAsia" w:ascii="宋体" w:hAnsi="宋体"/>
          <w:b/>
          <w:bCs/>
          <w:color w:val="auto"/>
          <w:sz w:val="21"/>
          <w:szCs w:val="21"/>
          <w:highlight w:val="none"/>
        </w:rPr>
        <w:t>知识产权保护</w:t>
      </w:r>
    </w:p>
    <w:p w14:paraId="385F0A2A">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w:t>
      </w:r>
      <w:r>
        <w:rPr>
          <w:rFonts w:hint="eastAsia" w:ascii="宋体" w:hAnsi="宋体"/>
          <w:color w:val="auto"/>
          <w:sz w:val="21"/>
          <w:szCs w:val="21"/>
          <w:highlight w:val="none"/>
          <w:lang w:eastAsia="zh-CN"/>
        </w:rPr>
        <w:t>0</w:t>
      </w:r>
      <w:r>
        <w:rPr>
          <w:rFonts w:hint="eastAsia" w:ascii="宋体" w:hAnsi="宋体"/>
          <w:color w:val="auto"/>
          <w:sz w:val="21"/>
          <w:szCs w:val="21"/>
          <w:highlight w:val="none"/>
        </w:rPr>
        <w:t>.1 乙方对其所销售的货物应当享有知识产权或经权利人合法授权，保证没有侵犯任何第三人的知识产权等权利。</w:t>
      </w:r>
      <w:bookmarkStart w:id="751" w:name="_Hlk163047038"/>
      <w:r>
        <w:rPr>
          <w:rFonts w:hint="eastAsia" w:ascii="宋体" w:hAnsi="宋体" w:eastAsia="宋体" w:cs="宋体"/>
          <w:color w:val="auto"/>
          <w:sz w:val="21"/>
          <w:szCs w:val="21"/>
        </w:rPr>
        <w:t>因违反前述约定对第三人构成侵权的，应当由乙方向第三人承担法律责任；甲方依法向第三人赔偿后，有权向乙方追偿。甲方有其他损失的，乙方应当赔偿</w:t>
      </w:r>
      <w:bookmarkEnd w:id="751"/>
      <w:r>
        <w:rPr>
          <w:rFonts w:hint="eastAsia" w:ascii="宋体" w:hAnsi="宋体"/>
          <w:color w:val="auto"/>
          <w:sz w:val="21"/>
          <w:szCs w:val="21"/>
          <w:highlight w:val="none"/>
        </w:rPr>
        <w:t>。</w:t>
      </w:r>
    </w:p>
    <w:p w14:paraId="4E8B955E">
      <w:pPr>
        <w:autoSpaceDE w:val="0"/>
        <w:autoSpaceDN w:val="0"/>
        <w:adjustRightInd w:val="0"/>
        <w:snapToGrid w:val="0"/>
        <w:spacing w:before="0" w:line="400" w:lineRule="exact"/>
        <w:jc w:val="left"/>
        <w:rPr>
          <w:rFonts w:ascii="宋体" w:hAnsi="宋体"/>
          <w:b/>
          <w:bCs/>
          <w:color w:val="auto"/>
          <w:sz w:val="21"/>
          <w:szCs w:val="21"/>
          <w:highlight w:val="none"/>
        </w:rPr>
      </w:pPr>
      <w:r>
        <w:rPr>
          <w:rFonts w:hint="eastAsia" w:ascii="宋体" w:hAnsi="宋体"/>
          <w:b/>
          <w:bCs/>
          <w:color w:val="auto"/>
          <w:sz w:val="21"/>
          <w:szCs w:val="21"/>
          <w:highlight w:val="none"/>
        </w:rPr>
        <w:t>1</w:t>
      </w:r>
      <w:r>
        <w:rPr>
          <w:rFonts w:hint="eastAsia" w:ascii="宋体" w:hAnsi="宋体"/>
          <w:b/>
          <w:bCs/>
          <w:color w:val="auto"/>
          <w:sz w:val="21"/>
          <w:szCs w:val="21"/>
          <w:highlight w:val="none"/>
          <w:lang w:eastAsia="zh-CN"/>
        </w:rPr>
        <w:t>1</w:t>
      </w:r>
      <w:r>
        <w:rPr>
          <w:rFonts w:hint="eastAsia" w:ascii="宋体" w:hAnsi="宋体"/>
          <w:b/>
          <w:bCs/>
          <w:color w:val="auto"/>
          <w:sz w:val="21"/>
          <w:szCs w:val="21"/>
          <w:highlight w:val="none"/>
        </w:rPr>
        <w:t>.</w:t>
      </w:r>
      <w:r>
        <w:rPr>
          <w:rFonts w:hint="eastAsia" w:ascii="宋体" w:hAnsi="宋体"/>
          <w:b/>
          <w:bCs/>
          <w:color w:val="auto"/>
          <w:sz w:val="21"/>
          <w:szCs w:val="21"/>
          <w:highlight w:val="none"/>
          <w:lang w:val="en-US" w:eastAsia="zh-CN"/>
        </w:rPr>
        <w:t xml:space="preserve"> </w:t>
      </w:r>
      <w:r>
        <w:rPr>
          <w:rFonts w:hint="eastAsia" w:ascii="宋体" w:hAnsi="宋体"/>
          <w:b/>
          <w:bCs/>
          <w:color w:val="auto"/>
          <w:sz w:val="21"/>
          <w:szCs w:val="21"/>
          <w:highlight w:val="none"/>
        </w:rPr>
        <w:t>保密义务</w:t>
      </w:r>
    </w:p>
    <w:p w14:paraId="678722FD">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11.1 </w:t>
      </w:r>
      <w:r>
        <w:rPr>
          <w:rFonts w:hint="eastAsia" w:ascii="宋体" w:hAnsi="宋体" w:eastAsia="宋体" w:cs="宋体"/>
          <w:color w:val="auto"/>
          <w:sz w:val="21"/>
          <w:szCs w:val="21"/>
        </w:rPr>
        <w:t>甲、乙双方</w:t>
      </w:r>
      <w:r>
        <w:rPr>
          <w:rFonts w:hint="eastAsia" w:ascii="宋体" w:hAnsi="宋体" w:cs="宋体"/>
          <w:color w:val="auto"/>
          <w:sz w:val="21"/>
          <w:szCs w:val="21"/>
          <w:lang w:eastAsia="zh-CN"/>
        </w:rPr>
        <w:t>对</w:t>
      </w:r>
      <w:r>
        <w:rPr>
          <w:rFonts w:hint="eastAsia" w:ascii="宋体" w:hAnsi="宋体" w:eastAsia="宋体" w:cs="宋体"/>
          <w:color w:val="auto"/>
          <w:sz w:val="21"/>
          <w:szCs w:val="21"/>
        </w:rPr>
        <w:t>采购和合同履行过程中所获悉的</w:t>
      </w:r>
      <w:r>
        <w:rPr>
          <w:rFonts w:hint="eastAsia" w:ascii="宋体" w:hAnsi="宋体" w:cs="宋体"/>
          <w:color w:val="auto"/>
          <w:sz w:val="21"/>
          <w:szCs w:val="21"/>
          <w:lang w:eastAsia="zh-CN"/>
        </w:rPr>
        <w:t>国家秘密、工作秘密、</w:t>
      </w:r>
      <w:r>
        <w:rPr>
          <w:rFonts w:hint="eastAsia" w:ascii="宋体" w:hAnsi="宋体" w:eastAsia="宋体" w:cs="宋体"/>
          <w:color w:val="auto"/>
          <w:sz w:val="21"/>
          <w:szCs w:val="21"/>
        </w:rPr>
        <w:t>商业秘密或者其他应当保密的信息，均有保密义务</w:t>
      </w:r>
      <w:r>
        <w:rPr>
          <w:rFonts w:hint="eastAsia" w:ascii="宋体" w:hAnsi="宋体" w:cs="宋体"/>
          <w:color w:val="auto"/>
          <w:sz w:val="21"/>
          <w:szCs w:val="21"/>
          <w:lang w:eastAsia="zh-CN"/>
        </w:rPr>
        <w:t>且不受合同有效期所限，直至该信息成为公开信息</w:t>
      </w:r>
      <w:r>
        <w:rPr>
          <w:rFonts w:hint="eastAsia" w:ascii="宋体" w:hAnsi="宋体" w:eastAsia="宋体" w:cs="宋体"/>
          <w:color w:val="auto"/>
          <w:sz w:val="21"/>
          <w:szCs w:val="21"/>
        </w:rPr>
        <w:t>。泄露、不正当地使用</w:t>
      </w:r>
      <w:r>
        <w:rPr>
          <w:rFonts w:hint="eastAsia" w:ascii="宋体" w:hAnsi="宋体" w:cs="宋体"/>
          <w:color w:val="auto"/>
          <w:sz w:val="21"/>
          <w:szCs w:val="21"/>
          <w:lang w:eastAsia="zh-CN"/>
        </w:rPr>
        <w:t>国家秘密、工作秘密、</w:t>
      </w:r>
      <w:r>
        <w:rPr>
          <w:rFonts w:hint="eastAsia" w:ascii="宋体" w:hAnsi="宋体" w:eastAsia="宋体" w:cs="宋体"/>
          <w:color w:val="auto"/>
          <w:sz w:val="21"/>
          <w:szCs w:val="21"/>
        </w:rPr>
        <w:t>商业秘密或者</w:t>
      </w:r>
      <w:r>
        <w:rPr>
          <w:rFonts w:hint="eastAsia" w:ascii="宋体" w:hAnsi="宋体" w:cs="宋体"/>
          <w:color w:val="auto"/>
          <w:sz w:val="21"/>
          <w:szCs w:val="21"/>
          <w:lang w:eastAsia="zh-CN"/>
        </w:rPr>
        <w:t>其他应当保密的</w:t>
      </w:r>
      <w:r>
        <w:rPr>
          <w:rFonts w:hint="eastAsia" w:ascii="宋体" w:hAnsi="宋体" w:eastAsia="宋体" w:cs="宋体"/>
          <w:color w:val="auto"/>
          <w:sz w:val="21"/>
          <w:szCs w:val="21"/>
        </w:rPr>
        <w:t>信息，应当承担</w:t>
      </w:r>
      <w:r>
        <w:rPr>
          <w:rFonts w:hint="eastAsia" w:ascii="宋体" w:hAnsi="宋体" w:cs="宋体"/>
          <w:color w:val="auto"/>
          <w:sz w:val="21"/>
          <w:szCs w:val="21"/>
          <w:lang w:eastAsia="zh-CN"/>
        </w:rPr>
        <w:t>相应</w:t>
      </w:r>
      <w:r>
        <w:rPr>
          <w:rFonts w:hint="eastAsia" w:ascii="宋体" w:hAnsi="宋体" w:eastAsia="宋体" w:cs="宋体"/>
          <w:color w:val="auto"/>
          <w:sz w:val="21"/>
          <w:szCs w:val="21"/>
        </w:rPr>
        <w:t>责任。其他应当保密的信息由双方在</w:t>
      </w:r>
      <w:r>
        <w:rPr>
          <w:rFonts w:hint="eastAsia" w:ascii="宋体" w:hAnsi="宋体" w:eastAsia="宋体" w:cs="宋体"/>
          <w:b/>
          <w:bCs/>
          <w:color w:val="auto"/>
          <w:sz w:val="21"/>
          <w:szCs w:val="21"/>
        </w:rPr>
        <w:t>【政府采购合同专用条款】</w:t>
      </w:r>
      <w:r>
        <w:rPr>
          <w:rFonts w:hint="eastAsia" w:ascii="宋体" w:hAnsi="宋体" w:eastAsia="宋体" w:cs="宋体"/>
          <w:color w:val="auto"/>
          <w:sz w:val="21"/>
          <w:szCs w:val="21"/>
        </w:rPr>
        <w:t>中约定。</w:t>
      </w:r>
    </w:p>
    <w:p w14:paraId="243D439E">
      <w:pPr>
        <w:autoSpaceDE w:val="0"/>
        <w:autoSpaceDN w:val="0"/>
        <w:adjustRightInd w:val="0"/>
        <w:snapToGrid w:val="0"/>
        <w:spacing w:before="0" w:line="400" w:lineRule="exact"/>
        <w:jc w:val="left"/>
        <w:rPr>
          <w:rFonts w:ascii="宋体" w:hAnsi="宋体"/>
          <w:b/>
          <w:bCs/>
          <w:color w:val="auto"/>
          <w:sz w:val="21"/>
          <w:szCs w:val="21"/>
          <w:highlight w:val="none"/>
        </w:rPr>
      </w:pPr>
      <w:r>
        <w:rPr>
          <w:rFonts w:hint="eastAsia" w:ascii="宋体" w:hAnsi="宋体"/>
          <w:b/>
          <w:bCs/>
          <w:color w:val="auto"/>
          <w:sz w:val="21"/>
          <w:szCs w:val="21"/>
          <w:highlight w:val="none"/>
        </w:rPr>
        <w:t>1</w:t>
      </w:r>
      <w:r>
        <w:rPr>
          <w:rFonts w:hint="eastAsia" w:ascii="宋体" w:hAnsi="宋体"/>
          <w:b/>
          <w:bCs/>
          <w:color w:val="auto"/>
          <w:sz w:val="21"/>
          <w:szCs w:val="21"/>
          <w:highlight w:val="none"/>
          <w:lang w:eastAsia="zh-CN"/>
        </w:rPr>
        <w:t>2</w:t>
      </w:r>
      <w:r>
        <w:rPr>
          <w:rFonts w:hint="eastAsia" w:ascii="宋体" w:hAnsi="宋体"/>
          <w:b/>
          <w:bCs/>
          <w:color w:val="auto"/>
          <w:sz w:val="21"/>
          <w:szCs w:val="21"/>
          <w:highlight w:val="none"/>
        </w:rPr>
        <w:t>.</w:t>
      </w:r>
      <w:r>
        <w:rPr>
          <w:rFonts w:hint="eastAsia" w:ascii="宋体" w:hAnsi="宋体"/>
          <w:b/>
          <w:bCs/>
          <w:color w:val="auto"/>
          <w:sz w:val="21"/>
          <w:szCs w:val="21"/>
          <w:highlight w:val="none"/>
          <w:lang w:val="en-US" w:eastAsia="zh-CN"/>
        </w:rPr>
        <w:t xml:space="preserve"> </w:t>
      </w:r>
      <w:r>
        <w:rPr>
          <w:rFonts w:hint="eastAsia" w:ascii="宋体" w:hAnsi="宋体"/>
          <w:b/>
          <w:bCs/>
          <w:color w:val="auto"/>
          <w:sz w:val="21"/>
          <w:szCs w:val="21"/>
          <w:highlight w:val="none"/>
        </w:rPr>
        <w:t>合同价款支付</w:t>
      </w:r>
    </w:p>
    <w:p w14:paraId="44B1B9DD">
      <w:pPr>
        <w:autoSpaceDE/>
        <w:autoSpaceDN/>
        <w:adjustRightInd w:val="0"/>
        <w:snapToGrid w:val="0"/>
        <w:spacing w:before="0" w:line="400" w:lineRule="exact"/>
        <w:ind w:firstLine="420" w:firstLineChars="200"/>
        <w:jc w:val="lef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1</w:t>
      </w:r>
      <w:r>
        <w:rPr>
          <w:rFonts w:hint="eastAsia" w:ascii="宋体" w:hAnsi="宋体"/>
          <w:color w:val="auto"/>
          <w:sz w:val="21"/>
          <w:szCs w:val="21"/>
          <w:highlight w:val="none"/>
          <w:lang w:eastAsia="zh-CN"/>
        </w:rPr>
        <w:t>2</w:t>
      </w:r>
      <w:r>
        <w:rPr>
          <w:rFonts w:hint="eastAsia" w:ascii="宋体" w:hAnsi="宋体"/>
          <w:color w:val="auto"/>
          <w:sz w:val="21"/>
          <w:szCs w:val="21"/>
          <w:highlight w:val="none"/>
        </w:rPr>
        <w:t xml:space="preserve">.1 </w:t>
      </w:r>
      <w:r>
        <w:rPr>
          <w:rFonts w:hint="eastAsia" w:ascii="宋体" w:hAnsi="宋体"/>
          <w:color w:val="auto"/>
          <w:sz w:val="21"/>
          <w:szCs w:val="21"/>
          <w:highlight w:val="none"/>
          <w:lang w:eastAsia="zh-CN"/>
        </w:rPr>
        <w:t>合同价款支付</w:t>
      </w:r>
      <w:r>
        <w:rPr>
          <w:rFonts w:hint="eastAsia" w:ascii="宋体" w:hAnsi="宋体"/>
          <w:color w:val="auto"/>
          <w:sz w:val="21"/>
          <w:szCs w:val="21"/>
          <w:highlight w:val="none"/>
        </w:rPr>
        <w:t>按照国库集中支付</w:t>
      </w:r>
      <w:r>
        <w:rPr>
          <w:rFonts w:hint="eastAsia" w:ascii="宋体" w:hAnsi="宋体"/>
          <w:color w:val="auto"/>
          <w:sz w:val="21"/>
          <w:szCs w:val="21"/>
          <w:highlight w:val="none"/>
          <w:lang w:eastAsia="zh-CN"/>
        </w:rPr>
        <w:t>制度及财政管理相关</w:t>
      </w:r>
      <w:r>
        <w:rPr>
          <w:rFonts w:hint="eastAsia" w:ascii="宋体" w:hAnsi="宋体"/>
          <w:color w:val="auto"/>
          <w:sz w:val="21"/>
          <w:szCs w:val="21"/>
          <w:highlight w:val="none"/>
        </w:rPr>
        <w:t>规定执行。</w:t>
      </w:r>
    </w:p>
    <w:p w14:paraId="11B44FCE">
      <w:pPr>
        <w:autoSpaceDE/>
        <w:autoSpaceDN/>
        <w:adjustRightInd w:val="0"/>
        <w:snapToGrid w:val="0"/>
        <w:spacing w:before="0" w:line="400" w:lineRule="exact"/>
        <w:ind w:firstLine="420" w:firstLineChars="200"/>
        <w:jc w:val="lef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val="en-US" w:eastAsia="zh-CN"/>
        </w:rPr>
        <w:t xml:space="preserve">12.2 </w:t>
      </w:r>
      <w:r>
        <w:rPr>
          <w:rFonts w:hint="eastAsia" w:ascii="宋体" w:hAnsi="宋体" w:eastAsia="宋体"/>
          <w:color w:val="auto"/>
          <w:sz w:val="21"/>
          <w:szCs w:val="21"/>
          <w:highlight w:val="none"/>
          <w:lang w:eastAsia="zh-CN"/>
        </w:rPr>
        <w:t>对于满足合同约定支付条件的，</w:t>
      </w:r>
      <w:r>
        <w:rPr>
          <w:rFonts w:hint="eastAsia" w:ascii="宋体" w:hAnsi="宋体" w:eastAsia="宋体"/>
          <w:color w:val="auto"/>
          <w:sz w:val="21"/>
          <w:szCs w:val="21"/>
          <w:highlight w:val="none"/>
          <w:lang w:val="en-US" w:eastAsia="zh-CN"/>
        </w:rPr>
        <w:t>甲方</w:t>
      </w:r>
      <w:r>
        <w:rPr>
          <w:rFonts w:hint="eastAsia" w:ascii="宋体" w:hAnsi="宋体" w:eastAsia="宋体"/>
          <w:color w:val="auto"/>
          <w:sz w:val="21"/>
          <w:szCs w:val="21"/>
          <w:highlight w:val="none"/>
          <w:lang w:eastAsia="zh-CN"/>
        </w:rPr>
        <w:t>原则上应当自收到发票后10个工作日内将资金支付到合同约定的乙方账户，不得以机构变动、人员更替、政策调整等为由迟延付款，不得将采购文件和合同中未规定的义务作为向</w:t>
      </w:r>
      <w:r>
        <w:rPr>
          <w:rFonts w:hint="eastAsia" w:ascii="宋体" w:hAnsi="宋体" w:eastAsia="宋体"/>
          <w:color w:val="auto"/>
          <w:sz w:val="21"/>
          <w:szCs w:val="21"/>
          <w:highlight w:val="none"/>
          <w:lang w:val="en-US" w:eastAsia="zh-CN"/>
        </w:rPr>
        <w:t>乙方</w:t>
      </w:r>
      <w:r>
        <w:rPr>
          <w:rFonts w:hint="eastAsia" w:ascii="宋体" w:hAnsi="宋体" w:eastAsia="宋体"/>
          <w:color w:val="auto"/>
          <w:sz w:val="21"/>
          <w:szCs w:val="21"/>
          <w:highlight w:val="none"/>
          <w:lang w:eastAsia="zh-CN"/>
        </w:rPr>
        <w:t>付款的条件。具体合同价款支付时间在【政府采购合同专用条款】中约定。</w:t>
      </w:r>
    </w:p>
    <w:p w14:paraId="638839CB">
      <w:pPr>
        <w:pStyle w:val="10"/>
        <w:spacing w:after="0" w:line="400" w:lineRule="exact"/>
        <w:rPr>
          <w:rFonts w:ascii="宋体" w:hAnsi="宋体"/>
          <w:b/>
          <w:bCs/>
          <w:color w:val="auto"/>
          <w:sz w:val="21"/>
          <w:szCs w:val="21"/>
          <w:highlight w:val="none"/>
        </w:rPr>
      </w:pPr>
      <w:r>
        <w:rPr>
          <w:rFonts w:hint="eastAsia" w:ascii="宋体" w:hAnsi="宋体"/>
          <w:b/>
          <w:bCs/>
          <w:color w:val="auto"/>
          <w:sz w:val="21"/>
          <w:szCs w:val="21"/>
          <w:highlight w:val="none"/>
        </w:rPr>
        <w:t>1</w:t>
      </w:r>
      <w:r>
        <w:rPr>
          <w:rFonts w:hint="eastAsia" w:ascii="宋体" w:hAnsi="宋体"/>
          <w:b/>
          <w:bCs/>
          <w:color w:val="auto"/>
          <w:sz w:val="21"/>
          <w:szCs w:val="21"/>
          <w:highlight w:val="none"/>
          <w:lang w:eastAsia="zh-CN"/>
        </w:rPr>
        <w:t>3</w:t>
      </w:r>
      <w:r>
        <w:rPr>
          <w:rFonts w:hint="eastAsia" w:ascii="宋体" w:hAnsi="宋体"/>
          <w:b/>
          <w:bCs/>
          <w:color w:val="auto"/>
          <w:sz w:val="21"/>
          <w:szCs w:val="21"/>
          <w:highlight w:val="none"/>
        </w:rPr>
        <w:t>.</w:t>
      </w:r>
      <w:r>
        <w:rPr>
          <w:rFonts w:hint="eastAsia" w:ascii="宋体" w:hAnsi="宋体"/>
          <w:b/>
          <w:bCs/>
          <w:color w:val="auto"/>
          <w:sz w:val="21"/>
          <w:szCs w:val="21"/>
          <w:highlight w:val="none"/>
          <w:lang w:val="en-US" w:eastAsia="zh-CN"/>
        </w:rPr>
        <w:t xml:space="preserve"> </w:t>
      </w:r>
      <w:r>
        <w:rPr>
          <w:rFonts w:hint="eastAsia" w:ascii="宋体" w:hAnsi="宋体"/>
          <w:b/>
          <w:bCs/>
          <w:color w:val="auto"/>
          <w:sz w:val="21"/>
          <w:szCs w:val="21"/>
          <w:highlight w:val="none"/>
        </w:rPr>
        <w:t>履约保证金</w:t>
      </w:r>
    </w:p>
    <w:p w14:paraId="694C3495">
      <w:pPr>
        <w:adjustRightInd w:val="0"/>
        <w:snapToGrid w:val="0"/>
        <w:spacing w:before="0" w:line="400" w:lineRule="exac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1</w:t>
      </w:r>
      <w:r>
        <w:rPr>
          <w:rFonts w:hint="eastAsia" w:ascii="宋体" w:hAnsi="宋体"/>
          <w:color w:val="auto"/>
          <w:sz w:val="21"/>
          <w:szCs w:val="21"/>
          <w:highlight w:val="none"/>
          <w:lang w:eastAsia="zh-CN"/>
        </w:rPr>
        <w:t>3</w:t>
      </w:r>
      <w:r>
        <w:rPr>
          <w:rFonts w:hint="eastAsia" w:ascii="宋体" w:hAnsi="宋体"/>
          <w:color w:val="auto"/>
          <w:sz w:val="21"/>
          <w:szCs w:val="21"/>
          <w:highlight w:val="none"/>
        </w:rPr>
        <w:t xml:space="preserve">.1 </w:t>
      </w:r>
      <w:r>
        <w:rPr>
          <w:rFonts w:hint="eastAsia" w:ascii="宋体" w:hAnsi="宋体" w:eastAsia="宋体" w:cs="宋体"/>
          <w:color w:val="auto"/>
          <w:sz w:val="21"/>
          <w:szCs w:val="21"/>
        </w:rPr>
        <w:t>乙方应当以支票、汇票、本票或者金融机构、担保机构出具的保函等非现金形式提交。</w:t>
      </w:r>
    </w:p>
    <w:p w14:paraId="000A4C82">
      <w:pPr>
        <w:adjustRightInd w:val="0"/>
        <w:snapToGrid w:val="0"/>
        <w:spacing w:before="0" w:line="400" w:lineRule="exac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1</w:t>
      </w:r>
      <w:r>
        <w:rPr>
          <w:rFonts w:hint="eastAsia" w:ascii="宋体" w:hAnsi="宋体"/>
          <w:color w:val="auto"/>
          <w:sz w:val="21"/>
          <w:szCs w:val="21"/>
          <w:highlight w:val="none"/>
          <w:lang w:eastAsia="zh-CN"/>
        </w:rPr>
        <w:t>3</w:t>
      </w:r>
      <w:r>
        <w:rPr>
          <w:rFonts w:hint="eastAsia" w:ascii="宋体" w:hAnsi="宋体"/>
          <w:color w:val="auto"/>
          <w:sz w:val="21"/>
          <w:szCs w:val="21"/>
          <w:highlight w:val="none"/>
        </w:rPr>
        <w:t>.2 如果乙方</w:t>
      </w:r>
      <w:r>
        <w:rPr>
          <w:rFonts w:hint="eastAsia" w:ascii="宋体" w:hAnsi="宋体"/>
          <w:color w:val="auto"/>
          <w:sz w:val="21"/>
          <w:szCs w:val="21"/>
          <w:highlight w:val="none"/>
          <w:lang w:eastAsia="zh-CN"/>
        </w:rPr>
        <w:t>出现</w:t>
      </w:r>
      <w:r>
        <w:rPr>
          <w:rFonts w:hint="eastAsia" w:ascii="宋体" w:hAnsi="宋体" w:eastAsia="宋体" w:cs="宋体"/>
          <w:b/>
          <w:bCs/>
          <w:color w:val="auto"/>
          <w:sz w:val="21"/>
          <w:szCs w:val="21"/>
          <w:highlight w:val="none"/>
        </w:rPr>
        <w:t>【政府采购合同专用条款】</w:t>
      </w:r>
      <w:r>
        <w:rPr>
          <w:rFonts w:hint="eastAsia" w:ascii="宋体" w:hAnsi="宋体" w:cs="宋体"/>
          <w:b w:val="0"/>
          <w:bCs w:val="0"/>
          <w:color w:val="auto"/>
          <w:sz w:val="21"/>
          <w:szCs w:val="21"/>
          <w:highlight w:val="none"/>
          <w:lang w:eastAsia="zh-CN"/>
        </w:rPr>
        <w:t>约定</w:t>
      </w:r>
      <w:r>
        <w:rPr>
          <w:rFonts w:hint="eastAsia" w:ascii="宋体" w:hAnsi="宋体" w:cs="宋体"/>
          <w:b w:val="0"/>
          <w:bCs w:val="0"/>
          <w:color w:val="auto"/>
          <w:sz w:val="21"/>
          <w:szCs w:val="21"/>
          <w:lang w:eastAsia="zh-CN"/>
        </w:rPr>
        <w:t>情形的</w:t>
      </w:r>
      <w:r>
        <w:rPr>
          <w:rFonts w:hint="eastAsia" w:ascii="宋体" w:hAnsi="宋体"/>
          <w:color w:val="auto"/>
          <w:sz w:val="21"/>
          <w:szCs w:val="21"/>
          <w:highlight w:val="none"/>
        </w:rPr>
        <w:t>，履约保证金不予退还；如果乙方未能按合同约定全面履行义务，甲方有权从履约保证金中取得补偿或赔偿，</w:t>
      </w:r>
      <w:r>
        <w:rPr>
          <w:rFonts w:hint="eastAsia" w:ascii="宋体" w:hAnsi="宋体"/>
          <w:color w:val="auto"/>
          <w:sz w:val="21"/>
          <w:szCs w:val="21"/>
          <w:highlight w:val="none"/>
          <w:lang w:eastAsia="zh-CN"/>
        </w:rPr>
        <w:t>且</w:t>
      </w:r>
      <w:r>
        <w:rPr>
          <w:rFonts w:hint="eastAsia" w:ascii="宋体" w:hAnsi="宋体"/>
          <w:color w:val="auto"/>
          <w:sz w:val="21"/>
          <w:szCs w:val="21"/>
          <w:highlight w:val="none"/>
        </w:rPr>
        <w:t>不影响甲方要求乙方承担合同约定的超过履约保证金的违约责任的权利。</w:t>
      </w:r>
    </w:p>
    <w:p w14:paraId="2D266BE5">
      <w:pPr>
        <w:spacing w:line="400" w:lineRule="exact"/>
        <w:ind w:firstLine="420"/>
        <w:rPr>
          <w:color w:val="auto"/>
          <w:sz w:val="21"/>
          <w:szCs w:val="21"/>
          <w:highlight w:val="none"/>
        </w:rPr>
      </w:pPr>
      <w:r>
        <w:rPr>
          <w:rFonts w:hint="eastAsia" w:ascii="宋体" w:hAnsi="宋体"/>
          <w:color w:val="auto"/>
          <w:sz w:val="21"/>
          <w:szCs w:val="21"/>
          <w:highlight w:val="none"/>
        </w:rPr>
        <w:t>1</w:t>
      </w:r>
      <w:r>
        <w:rPr>
          <w:rFonts w:hint="eastAsia" w:ascii="宋体" w:hAnsi="宋体"/>
          <w:color w:val="auto"/>
          <w:sz w:val="21"/>
          <w:szCs w:val="21"/>
          <w:highlight w:val="none"/>
          <w:lang w:eastAsia="zh-CN"/>
        </w:rPr>
        <w:t>3</w:t>
      </w:r>
      <w:r>
        <w:rPr>
          <w:rFonts w:hint="eastAsia" w:ascii="宋体" w:hAnsi="宋体"/>
          <w:color w:val="auto"/>
          <w:sz w:val="21"/>
          <w:szCs w:val="21"/>
          <w:highlight w:val="none"/>
        </w:rPr>
        <w:t>.3 甲方在项目通过验收后按照</w:t>
      </w:r>
      <w:r>
        <w:rPr>
          <w:rFonts w:hint="eastAsia" w:ascii="宋体" w:hAnsi="宋体"/>
          <w:b/>
          <w:color w:val="auto"/>
          <w:sz w:val="21"/>
          <w:szCs w:val="21"/>
          <w:highlight w:val="none"/>
        </w:rPr>
        <w:t>【政府采购合同专用条款】</w:t>
      </w:r>
      <w:r>
        <w:rPr>
          <w:rFonts w:hint="eastAsia" w:ascii="宋体" w:hAnsi="宋体"/>
          <w:color w:val="auto"/>
          <w:sz w:val="21"/>
          <w:szCs w:val="21"/>
          <w:highlight w:val="none"/>
        </w:rPr>
        <w:t>规定的时间内将履约保证金退还乙方；逾期退还的，乙方可要求甲方支付违约金，违约金按照</w:t>
      </w:r>
      <w:r>
        <w:rPr>
          <w:rFonts w:hint="eastAsia" w:ascii="宋体" w:hAnsi="宋体"/>
          <w:b/>
          <w:color w:val="auto"/>
          <w:sz w:val="21"/>
          <w:szCs w:val="21"/>
          <w:highlight w:val="none"/>
        </w:rPr>
        <w:t>【政府采购合同专用条款】</w:t>
      </w:r>
      <w:r>
        <w:rPr>
          <w:rFonts w:hint="eastAsia" w:ascii="宋体" w:hAnsi="宋体"/>
          <w:color w:val="auto"/>
          <w:sz w:val="21"/>
          <w:szCs w:val="21"/>
          <w:highlight w:val="none"/>
        </w:rPr>
        <w:t>规定支付。</w:t>
      </w:r>
    </w:p>
    <w:p w14:paraId="2B99C2A9">
      <w:pPr>
        <w:autoSpaceDE w:val="0"/>
        <w:autoSpaceDN w:val="0"/>
        <w:adjustRightInd w:val="0"/>
        <w:snapToGrid w:val="0"/>
        <w:spacing w:before="0" w:line="400" w:lineRule="exact"/>
        <w:jc w:val="left"/>
        <w:rPr>
          <w:rFonts w:ascii="宋体" w:hAnsi="宋体"/>
          <w:b/>
          <w:color w:val="auto"/>
          <w:sz w:val="21"/>
          <w:szCs w:val="21"/>
          <w:highlight w:val="none"/>
        </w:rPr>
      </w:pPr>
      <w:r>
        <w:rPr>
          <w:rFonts w:hint="eastAsia" w:ascii="宋体" w:hAnsi="宋体"/>
          <w:b/>
          <w:bCs/>
          <w:color w:val="auto"/>
          <w:sz w:val="21"/>
          <w:szCs w:val="21"/>
          <w:highlight w:val="none"/>
        </w:rPr>
        <w:t>1</w:t>
      </w:r>
      <w:r>
        <w:rPr>
          <w:rFonts w:hint="eastAsia" w:ascii="宋体" w:hAnsi="宋体"/>
          <w:b/>
          <w:bCs/>
          <w:color w:val="auto"/>
          <w:sz w:val="21"/>
          <w:szCs w:val="21"/>
          <w:highlight w:val="none"/>
          <w:lang w:eastAsia="zh-CN"/>
        </w:rPr>
        <w:t>4</w:t>
      </w:r>
      <w:r>
        <w:rPr>
          <w:rFonts w:hint="eastAsia" w:ascii="宋体" w:hAnsi="宋体"/>
          <w:b/>
          <w:bCs/>
          <w:color w:val="auto"/>
          <w:sz w:val="21"/>
          <w:szCs w:val="21"/>
          <w:highlight w:val="none"/>
        </w:rPr>
        <w:t>.</w:t>
      </w:r>
      <w:r>
        <w:rPr>
          <w:rFonts w:hint="eastAsia" w:ascii="宋体" w:hAnsi="宋体"/>
          <w:b/>
          <w:bCs/>
          <w:color w:val="auto"/>
          <w:sz w:val="21"/>
          <w:szCs w:val="21"/>
          <w:highlight w:val="none"/>
          <w:lang w:val="en-US" w:eastAsia="zh-CN"/>
        </w:rPr>
        <w:t xml:space="preserve"> </w:t>
      </w:r>
      <w:r>
        <w:rPr>
          <w:rFonts w:hint="eastAsia"/>
          <w:b/>
          <w:color w:val="auto"/>
          <w:sz w:val="21"/>
          <w:szCs w:val="21"/>
          <w:highlight w:val="none"/>
        </w:rPr>
        <w:t>售后</w:t>
      </w:r>
      <w:r>
        <w:rPr>
          <w:rFonts w:hint="eastAsia" w:ascii="宋体" w:hAnsi="宋体"/>
          <w:b/>
          <w:color w:val="auto"/>
          <w:sz w:val="21"/>
          <w:szCs w:val="21"/>
          <w:highlight w:val="none"/>
        </w:rPr>
        <w:t>服务</w:t>
      </w:r>
    </w:p>
    <w:p w14:paraId="66A38A8C">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w:t>
      </w:r>
      <w:r>
        <w:rPr>
          <w:rFonts w:hint="eastAsia" w:ascii="宋体" w:hAnsi="宋体"/>
          <w:color w:val="auto"/>
          <w:sz w:val="21"/>
          <w:szCs w:val="21"/>
          <w:highlight w:val="none"/>
          <w:lang w:eastAsia="zh-CN"/>
        </w:rPr>
        <w:t>4</w:t>
      </w:r>
      <w:r>
        <w:rPr>
          <w:rFonts w:hint="eastAsia" w:ascii="宋体" w:hAnsi="宋体"/>
          <w:color w:val="auto"/>
          <w:sz w:val="21"/>
          <w:szCs w:val="21"/>
          <w:highlight w:val="none"/>
        </w:rPr>
        <w:t>.1 除项目不涉及或采购活动中明确约定无须承担外，乙方还应提供下列服务：</w:t>
      </w:r>
    </w:p>
    <w:p w14:paraId="0E5BBB8E">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（1）货物的现场移动、安装、调试、启动监督及技术支持；</w:t>
      </w:r>
    </w:p>
    <w:p w14:paraId="34A1168D">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（2）提供货物组装和维修所需的专用工具和辅助材料；</w:t>
      </w:r>
    </w:p>
    <w:p w14:paraId="671D1745">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（3）在</w:t>
      </w:r>
      <w:r>
        <w:rPr>
          <w:rFonts w:hint="eastAsia" w:ascii="宋体" w:hAnsi="宋体" w:eastAsia="宋体" w:cs="宋体"/>
          <w:b/>
          <w:bCs/>
          <w:color w:val="auto"/>
          <w:sz w:val="21"/>
          <w:szCs w:val="21"/>
          <w:highlight w:val="none"/>
        </w:rPr>
        <w:t>【政府采购合同专用条款】</w:t>
      </w:r>
      <w:r>
        <w:rPr>
          <w:rFonts w:hint="eastAsia" w:ascii="宋体" w:hAnsi="宋体"/>
          <w:color w:val="auto"/>
          <w:sz w:val="21"/>
          <w:szCs w:val="21"/>
          <w:highlight w:val="none"/>
          <w:lang w:eastAsia="zh-CN"/>
        </w:rPr>
        <w:t>约定</w:t>
      </w:r>
      <w:r>
        <w:rPr>
          <w:rFonts w:hint="eastAsia" w:ascii="宋体" w:hAnsi="宋体"/>
          <w:color w:val="auto"/>
          <w:sz w:val="21"/>
          <w:szCs w:val="21"/>
          <w:highlight w:val="none"/>
        </w:rPr>
        <w:t>的期限内对所有的货物实施运行监督、维修，但前提条件是该服务并不能免除乙方在质量保证期内所承担的义务；</w:t>
      </w:r>
    </w:p>
    <w:p w14:paraId="1E82FA70">
      <w:pPr>
        <w:autoSpaceDE w:val="0"/>
        <w:autoSpaceDN w:val="0"/>
        <w:adjustRightInd w:val="0"/>
        <w:snapToGrid w:val="0"/>
        <w:spacing w:before="0" w:line="400" w:lineRule="exac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（4）在制造商</w:t>
      </w:r>
      <w:r>
        <w:rPr>
          <w:rFonts w:hint="eastAsia" w:ascii="宋体" w:hAnsi="宋体"/>
          <w:color w:val="auto"/>
          <w:sz w:val="21"/>
          <w:szCs w:val="21"/>
          <w:highlight w:val="none"/>
          <w:lang w:eastAsia="zh-CN"/>
        </w:rPr>
        <w:t>所在地</w:t>
      </w:r>
      <w:r>
        <w:rPr>
          <w:rFonts w:hint="eastAsia" w:ascii="宋体" w:hAnsi="宋体"/>
          <w:color w:val="auto"/>
          <w:sz w:val="21"/>
          <w:szCs w:val="21"/>
          <w:highlight w:val="none"/>
        </w:rPr>
        <w:t>或</w:t>
      </w:r>
      <w:r>
        <w:rPr>
          <w:rFonts w:hint="eastAsia" w:ascii="宋体" w:hAnsi="宋体"/>
          <w:color w:val="auto"/>
          <w:sz w:val="21"/>
          <w:szCs w:val="21"/>
          <w:highlight w:val="none"/>
          <w:lang w:eastAsia="zh-CN"/>
        </w:rPr>
        <w:t>指定</w:t>
      </w:r>
      <w:r>
        <w:rPr>
          <w:rFonts w:hint="eastAsia" w:ascii="宋体" w:hAnsi="宋体"/>
          <w:color w:val="auto"/>
          <w:sz w:val="21"/>
          <w:szCs w:val="21"/>
          <w:highlight w:val="none"/>
        </w:rPr>
        <w:t>现场就货物的安装、启动、运营、维护</w:t>
      </w:r>
      <w:r>
        <w:rPr>
          <w:rFonts w:hint="eastAsia" w:ascii="宋体" w:hAnsi="宋体"/>
          <w:color w:val="auto"/>
          <w:sz w:val="21"/>
          <w:szCs w:val="21"/>
          <w:highlight w:val="none"/>
          <w:lang w:eastAsia="zh-CN"/>
        </w:rPr>
        <w:t>、废弃处置等</w:t>
      </w:r>
      <w:r>
        <w:rPr>
          <w:rFonts w:hint="eastAsia" w:ascii="宋体" w:hAnsi="宋体"/>
          <w:color w:val="auto"/>
          <w:sz w:val="21"/>
          <w:szCs w:val="21"/>
          <w:highlight w:val="none"/>
        </w:rPr>
        <w:t>对甲方操作人员进行培训</w:t>
      </w:r>
      <w:r>
        <w:rPr>
          <w:rFonts w:hint="eastAsia" w:ascii="宋体" w:hAnsi="宋体" w:cs="宋体"/>
          <w:color w:val="auto"/>
          <w:sz w:val="21"/>
          <w:szCs w:val="21"/>
          <w:lang w:eastAsia="zh-CN"/>
        </w:rPr>
        <w:t>；</w:t>
      </w:r>
    </w:p>
    <w:p w14:paraId="2BB8E876">
      <w:pPr>
        <w:pStyle w:val="42"/>
        <w:rPr>
          <w:rFonts w:hint="eastAsia" w:ascii="宋体" w:hAnsi="宋体" w:eastAsia="宋体" w:cs="宋体"/>
          <w:color w:val="auto"/>
          <w:sz w:val="21"/>
          <w:szCs w:val="21"/>
        </w:rPr>
      </w:pPr>
      <w:r>
        <w:rPr>
          <w:rFonts w:hint="eastAsia" w:ascii="宋体" w:hAnsi="宋体" w:eastAsia="宋体" w:cs="宋体"/>
          <w:color w:val="auto"/>
          <w:sz w:val="21"/>
          <w:szCs w:val="21"/>
        </w:rPr>
        <w:t>（5）依照法律、行政法规的规定或者按照</w:t>
      </w:r>
      <w:r>
        <w:rPr>
          <w:rFonts w:hint="eastAsia" w:ascii="宋体" w:hAnsi="宋体" w:eastAsia="宋体" w:cs="宋体"/>
          <w:b/>
          <w:bCs/>
          <w:color w:val="auto"/>
          <w:sz w:val="21"/>
          <w:szCs w:val="21"/>
        </w:rPr>
        <w:t>【政府采购合同专用条款】</w:t>
      </w:r>
      <w:r>
        <w:rPr>
          <w:rFonts w:hint="eastAsia" w:ascii="宋体" w:hAnsi="宋体" w:eastAsia="宋体" w:cs="宋体"/>
          <w:color w:val="auto"/>
          <w:sz w:val="21"/>
          <w:szCs w:val="21"/>
        </w:rPr>
        <w:t>约定，货物在有效使用年限届满后应予回收的，乙方负有自行或者委托第三人对货物予以回收的义务；</w:t>
      </w:r>
    </w:p>
    <w:p w14:paraId="18256451">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6</w:t>
      </w:r>
      <w:r>
        <w:rPr>
          <w:rFonts w:hint="eastAsia" w:ascii="宋体" w:hAnsi="宋体"/>
          <w:color w:val="auto"/>
          <w:sz w:val="21"/>
          <w:szCs w:val="21"/>
          <w:highlight w:val="none"/>
        </w:rPr>
        <w:t>）</w:t>
      </w:r>
      <w:r>
        <w:rPr>
          <w:rFonts w:hint="eastAsia" w:ascii="宋体" w:hAnsi="宋体"/>
          <w:b/>
          <w:color w:val="auto"/>
          <w:sz w:val="21"/>
          <w:szCs w:val="21"/>
          <w:highlight w:val="none"/>
        </w:rPr>
        <w:t>【政府采购合同专用条款】</w:t>
      </w:r>
      <w:r>
        <w:rPr>
          <w:rFonts w:hint="eastAsia" w:ascii="宋体" w:hAnsi="宋体"/>
          <w:color w:val="auto"/>
          <w:sz w:val="21"/>
          <w:szCs w:val="21"/>
          <w:highlight w:val="none"/>
        </w:rPr>
        <w:t>规定由乙方提供的其他服务。</w:t>
      </w:r>
    </w:p>
    <w:p w14:paraId="4BF71EBE">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w:t>
      </w:r>
      <w:r>
        <w:rPr>
          <w:rFonts w:hint="eastAsia" w:ascii="宋体" w:hAnsi="宋体"/>
          <w:color w:val="auto"/>
          <w:sz w:val="21"/>
          <w:szCs w:val="21"/>
          <w:highlight w:val="none"/>
          <w:lang w:val="en-US" w:eastAsia="zh-CN"/>
        </w:rPr>
        <w:t>4</w:t>
      </w:r>
      <w:r>
        <w:rPr>
          <w:rFonts w:hint="eastAsia" w:ascii="宋体" w:hAnsi="宋体"/>
          <w:color w:val="auto"/>
          <w:sz w:val="21"/>
          <w:szCs w:val="21"/>
          <w:highlight w:val="none"/>
        </w:rPr>
        <w:t>.2 乙方提供的</w:t>
      </w:r>
      <w:r>
        <w:rPr>
          <w:rFonts w:hint="eastAsia" w:ascii="宋体" w:hAnsi="宋体"/>
          <w:color w:val="auto"/>
          <w:sz w:val="21"/>
          <w:szCs w:val="21"/>
          <w:highlight w:val="none"/>
          <w:lang w:eastAsia="zh-CN"/>
        </w:rPr>
        <w:t>售后</w:t>
      </w:r>
      <w:r>
        <w:rPr>
          <w:rFonts w:hint="eastAsia" w:ascii="宋体" w:hAnsi="宋体"/>
          <w:color w:val="auto"/>
          <w:sz w:val="21"/>
          <w:szCs w:val="21"/>
          <w:highlight w:val="none"/>
        </w:rPr>
        <w:t>服务的费用</w:t>
      </w:r>
      <w:r>
        <w:rPr>
          <w:rFonts w:hint="eastAsia" w:ascii="宋体" w:hAnsi="宋体"/>
          <w:color w:val="auto"/>
          <w:sz w:val="21"/>
          <w:szCs w:val="21"/>
          <w:highlight w:val="none"/>
          <w:lang w:val="en-US" w:eastAsia="zh-CN"/>
        </w:rPr>
        <w:t>已</w:t>
      </w:r>
      <w:r>
        <w:rPr>
          <w:rFonts w:hint="eastAsia" w:ascii="宋体" w:hAnsi="宋体"/>
          <w:color w:val="auto"/>
          <w:sz w:val="21"/>
          <w:szCs w:val="21"/>
          <w:highlight w:val="none"/>
        </w:rPr>
        <w:t>包含在合同价款中，甲方不再另行支付。</w:t>
      </w:r>
    </w:p>
    <w:p w14:paraId="54AEEC10">
      <w:pPr>
        <w:adjustRightInd w:val="0"/>
        <w:snapToGrid w:val="0"/>
        <w:spacing w:before="0" w:line="400" w:lineRule="exact"/>
        <w:jc w:val="left"/>
        <w:rPr>
          <w:rFonts w:ascii="宋体" w:hAnsi="宋体"/>
          <w:b/>
          <w:bCs/>
          <w:color w:val="auto"/>
          <w:sz w:val="21"/>
          <w:szCs w:val="21"/>
          <w:highlight w:val="none"/>
        </w:rPr>
      </w:pPr>
      <w:r>
        <w:rPr>
          <w:rFonts w:hint="eastAsia" w:ascii="宋体" w:hAnsi="宋体"/>
          <w:b/>
          <w:bCs/>
          <w:color w:val="auto"/>
          <w:sz w:val="21"/>
          <w:szCs w:val="21"/>
          <w:highlight w:val="none"/>
        </w:rPr>
        <w:t>1</w:t>
      </w:r>
      <w:r>
        <w:rPr>
          <w:rFonts w:hint="eastAsia" w:ascii="宋体" w:hAnsi="宋体"/>
          <w:b/>
          <w:bCs/>
          <w:color w:val="auto"/>
          <w:sz w:val="21"/>
          <w:szCs w:val="21"/>
          <w:highlight w:val="none"/>
          <w:lang w:eastAsia="zh-CN"/>
        </w:rPr>
        <w:t>5</w:t>
      </w:r>
      <w:r>
        <w:rPr>
          <w:rFonts w:hint="eastAsia" w:ascii="宋体" w:hAnsi="宋体"/>
          <w:b/>
          <w:bCs/>
          <w:color w:val="auto"/>
          <w:sz w:val="21"/>
          <w:szCs w:val="21"/>
          <w:highlight w:val="none"/>
        </w:rPr>
        <w:t>.</w:t>
      </w:r>
      <w:r>
        <w:rPr>
          <w:rFonts w:hint="eastAsia" w:ascii="宋体" w:hAnsi="宋体"/>
          <w:b/>
          <w:bCs/>
          <w:color w:val="auto"/>
          <w:sz w:val="21"/>
          <w:szCs w:val="21"/>
          <w:highlight w:val="none"/>
          <w:lang w:val="en-US" w:eastAsia="zh-CN"/>
        </w:rPr>
        <w:t xml:space="preserve"> </w:t>
      </w:r>
      <w:r>
        <w:rPr>
          <w:rFonts w:hint="eastAsia" w:ascii="宋体" w:hAnsi="宋体"/>
          <w:b/>
          <w:bCs/>
          <w:color w:val="auto"/>
          <w:sz w:val="21"/>
          <w:szCs w:val="21"/>
          <w:highlight w:val="none"/>
        </w:rPr>
        <w:t>违约责任</w:t>
      </w:r>
    </w:p>
    <w:p w14:paraId="57F6F98C">
      <w:pPr>
        <w:adjustRightInd w:val="0"/>
        <w:snapToGrid w:val="0"/>
        <w:spacing w:before="0" w:line="400" w:lineRule="exact"/>
        <w:ind w:firstLine="420" w:firstLineChars="200"/>
        <w:jc w:val="left"/>
        <w:rPr>
          <w:rFonts w:hint="eastAsia" w:ascii="宋体" w:hAnsi="宋体"/>
          <w:bCs/>
          <w:color w:val="auto"/>
          <w:sz w:val="21"/>
          <w:szCs w:val="21"/>
          <w:highlight w:val="none"/>
        </w:rPr>
      </w:pPr>
      <w:r>
        <w:rPr>
          <w:rFonts w:hint="eastAsia" w:ascii="宋体" w:hAnsi="宋体"/>
          <w:bCs/>
          <w:color w:val="auto"/>
          <w:sz w:val="21"/>
          <w:szCs w:val="21"/>
          <w:highlight w:val="none"/>
        </w:rPr>
        <w:t>1</w:t>
      </w:r>
      <w:r>
        <w:rPr>
          <w:rFonts w:hint="eastAsia" w:ascii="宋体" w:hAnsi="宋体"/>
          <w:bCs/>
          <w:color w:val="auto"/>
          <w:sz w:val="21"/>
          <w:szCs w:val="21"/>
          <w:highlight w:val="none"/>
          <w:lang w:eastAsia="zh-CN"/>
        </w:rPr>
        <w:t>5</w:t>
      </w:r>
      <w:r>
        <w:rPr>
          <w:rFonts w:hint="eastAsia" w:ascii="宋体" w:hAnsi="宋体"/>
          <w:bCs/>
          <w:color w:val="auto"/>
          <w:sz w:val="21"/>
          <w:szCs w:val="21"/>
          <w:highlight w:val="none"/>
        </w:rPr>
        <w:t>.1质量瑕疵的</w:t>
      </w:r>
      <w:r>
        <w:rPr>
          <w:rFonts w:hint="eastAsia" w:ascii="宋体" w:hAnsi="宋体"/>
          <w:bCs/>
          <w:color w:val="auto"/>
          <w:sz w:val="21"/>
          <w:szCs w:val="21"/>
          <w:highlight w:val="none"/>
          <w:lang w:eastAsia="zh-CN"/>
        </w:rPr>
        <w:t>违约责任</w:t>
      </w:r>
    </w:p>
    <w:p w14:paraId="5C8099B5">
      <w:pPr>
        <w:autoSpaceDE w:val="0"/>
        <w:autoSpaceDN w:val="0"/>
        <w:adjustRightInd w:val="0"/>
        <w:snapToGrid w:val="0"/>
        <w:spacing w:before="0" w:line="400" w:lineRule="exac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乙方</w:t>
      </w:r>
      <w:r>
        <w:rPr>
          <w:rFonts w:hint="eastAsia" w:ascii="宋体" w:hAnsi="宋体"/>
          <w:color w:val="auto"/>
          <w:sz w:val="21"/>
          <w:szCs w:val="21"/>
          <w:highlight w:val="none"/>
          <w:lang w:eastAsia="zh-CN"/>
        </w:rPr>
        <w:t>提供</w:t>
      </w:r>
      <w:r>
        <w:rPr>
          <w:rFonts w:hint="eastAsia" w:ascii="宋体" w:hAnsi="宋体"/>
          <w:color w:val="auto"/>
          <w:sz w:val="21"/>
          <w:szCs w:val="21"/>
          <w:highlight w:val="none"/>
        </w:rPr>
        <w:t>的产品不符合</w:t>
      </w:r>
      <w:r>
        <w:rPr>
          <w:rFonts w:hint="eastAsia" w:ascii="宋体" w:hAnsi="宋体"/>
          <w:color w:val="auto"/>
          <w:sz w:val="21"/>
          <w:szCs w:val="21"/>
          <w:highlight w:val="none"/>
          <w:lang w:eastAsia="zh-CN"/>
        </w:rPr>
        <w:t>合同约定的</w:t>
      </w:r>
      <w:r>
        <w:rPr>
          <w:rFonts w:hint="eastAsia" w:ascii="宋体" w:hAnsi="宋体"/>
          <w:color w:val="auto"/>
          <w:sz w:val="21"/>
          <w:szCs w:val="21"/>
          <w:highlight w:val="none"/>
        </w:rPr>
        <w:t>质量标准或存在产品质量缺陷，</w:t>
      </w:r>
      <w:r>
        <w:rPr>
          <w:rFonts w:hint="eastAsia" w:ascii="宋体" w:hAnsi="宋体"/>
          <w:color w:val="auto"/>
          <w:sz w:val="21"/>
          <w:szCs w:val="21"/>
          <w:highlight w:val="none"/>
          <w:lang w:eastAsia="zh-CN"/>
        </w:rPr>
        <w:t>甲方有权要求乙方根据</w:t>
      </w:r>
      <w:r>
        <w:rPr>
          <w:rFonts w:hint="eastAsia" w:ascii="宋体" w:hAnsi="宋体"/>
          <w:b/>
          <w:color w:val="auto"/>
          <w:sz w:val="21"/>
          <w:szCs w:val="21"/>
          <w:highlight w:val="none"/>
        </w:rPr>
        <w:t>【政府采购合同专用条款】</w:t>
      </w:r>
      <w:r>
        <w:rPr>
          <w:rFonts w:hint="eastAsia" w:ascii="宋体" w:hAnsi="宋体"/>
          <w:b w:val="0"/>
          <w:bCs/>
          <w:color w:val="auto"/>
          <w:sz w:val="21"/>
          <w:szCs w:val="21"/>
          <w:highlight w:val="none"/>
          <w:lang w:eastAsia="zh-CN"/>
        </w:rPr>
        <w:t>要求</w:t>
      </w:r>
      <w:r>
        <w:rPr>
          <w:rFonts w:hint="eastAsia" w:ascii="宋体" w:hAnsi="宋体"/>
          <w:color w:val="auto"/>
          <w:sz w:val="21"/>
          <w:szCs w:val="21"/>
          <w:highlight w:val="none"/>
          <w:lang w:eastAsia="zh-CN"/>
        </w:rPr>
        <w:t>及时修理、重作、更换，并承担由此给甲</w:t>
      </w:r>
      <w:r>
        <w:rPr>
          <w:rFonts w:hint="eastAsia" w:ascii="宋体" w:hAnsi="宋体"/>
          <w:color w:val="auto"/>
          <w:sz w:val="21"/>
          <w:szCs w:val="21"/>
          <w:highlight w:val="none"/>
        </w:rPr>
        <w:t>方</w:t>
      </w:r>
      <w:r>
        <w:rPr>
          <w:rFonts w:hint="eastAsia" w:ascii="宋体" w:hAnsi="宋体"/>
          <w:color w:val="auto"/>
          <w:sz w:val="21"/>
          <w:szCs w:val="21"/>
          <w:highlight w:val="none"/>
          <w:lang w:eastAsia="zh-CN"/>
        </w:rPr>
        <w:t>造成的损失</w:t>
      </w:r>
      <w:r>
        <w:rPr>
          <w:rFonts w:hint="eastAsia" w:ascii="宋体" w:hAnsi="宋体"/>
          <w:color w:val="auto"/>
          <w:sz w:val="21"/>
          <w:szCs w:val="21"/>
          <w:highlight w:val="none"/>
        </w:rPr>
        <w:t>。</w:t>
      </w:r>
    </w:p>
    <w:p w14:paraId="518C3B9E">
      <w:pPr>
        <w:autoSpaceDE w:val="0"/>
        <w:autoSpaceDN w:val="0"/>
        <w:adjustRightInd w:val="0"/>
        <w:snapToGrid w:val="0"/>
        <w:spacing w:before="0" w:line="400" w:lineRule="exact"/>
        <w:ind w:firstLine="420" w:firstLineChars="200"/>
        <w:jc w:val="left"/>
        <w:rPr>
          <w:rFonts w:ascii="宋体" w:hAnsi="宋体"/>
          <w:bCs/>
          <w:color w:val="auto"/>
          <w:sz w:val="21"/>
          <w:szCs w:val="21"/>
          <w:highlight w:val="none"/>
        </w:rPr>
      </w:pPr>
      <w:r>
        <w:rPr>
          <w:rFonts w:hint="eastAsia" w:ascii="宋体" w:hAnsi="宋体"/>
          <w:bCs/>
          <w:color w:val="auto"/>
          <w:sz w:val="21"/>
          <w:szCs w:val="21"/>
          <w:highlight w:val="none"/>
        </w:rPr>
        <w:t>1</w:t>
      </w:r>
      <w:r>
        <w:rPr>
          <w:rFonts w:hint="eastAsia" w:ascii="宋体" w:hAnsi="宋体"/>
          <w:bCs/>
          <w:color w:val="auto"/>
          <w:sz w:val="21"/>
          <w:szCs w:val="21"/>
          <w:highlight w:val="none"/>
          <w:lang w:eastAsia="zh-CN"/>
        </w:rPr>
        <w:t>5</w:t>
      </w:r>
      <w:r>
        <w:rPr>
          <w:rFonts w:hint="eastAsia" w:ascii="宋体" w:hAnsi="宋体"/>
          <w:bCs/>
          <w:color w:val="auto"/>
          <w:sz w:val="21"/>
          <w:szCs w:val="21"/>
          <w:highlight w:val="none"/>
        </w:rPr>
        <w:t>.2 迟延交货的违约责任</w:t>
      </w:r>
    </w:p>
    <w:p w14:paraId="545ECC34">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（1）乙方应按照本合同规定的时间、地点交货和提供</w:t>
      </w:r>
      <w:r>
        <w:rPr>
          <w:rFonts w:hint="eastAsia" w:ascii="宋体" w:hAnsi="宋体"/>
          <w:color w:val="auto"/>
          <w:sz w:val="21"/>
          <w:szCs w:val="21"/>
          <w:highlight w:val="none"/>
          <w:lang w:eastAsia="zh-CN"/>
        </w:rPr>
        <w:t>相关</w:t>
      </w:r>
      <w:r>
        <w:rPr>
          <w:rFonts w:hint="eastAsia" w:ascii="宋体" w:hAnsi="宋体"/>
          <w:color w:val="auto"/>
          <w:sz w:val="21"/>
          <w:szCs w:val="21"/>
          <w:highlight w:val="none"/>
        </w:rPr>
        <w:t>服务。在履行合同过程中，如果乙方遇到可能</w:t>
      </w:r>
      <w:r>
        <w:rPr>
          <w:rFonts w:hint="eastAsia" w:ascii="宋体" w:hAnsi="宋体"/>
          <w:color w:val="auto"/>
          <w:sz w:val="21"/>
          <w:szCs w:val="21"/>
          <w:highlight w:val="none"/>
          <w:lang w:eastAsia="zh-CN"/>
        </w:rPr>
        <w:t>影响</w:t>
      </w:r>
      <w:r>
        <w:rPr>
          <w:rFonts w:hint="eastAsia" w:ascii="宋体" w:hAnsi="宋体"/>
          <w:color w:val="auto"/>
          <w:sz w:val="21"/>
          <w:szCs w:val="21"/>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auto"/>
          <w:sz w:val="21"/>
          <w:szCs w:val="21"/>
          <w:highlight w:val="none"/>
          <w:lang w:eastAsia="zh-CN"/>
        </w:rPr>
        <w:t>长</w:t>
      </w:r>
      <w:r>
        <w:rPr>
          <w:rFonts w:hint="eastAsia" w:ascii="宋体" w:hAnsi="宋体"/>
          <w:color w:val="auto"/>
          <w:sz w:val="21"/>
          <w:szCs w:val="21"/>
          <w:highlight w:val="none"/>
        </w:rPr>
        <w:t>交货时间或延期提供服务。</w:t>
      </w:r>
    </w:p>
    <w:p w14:paraId="244AAFA7">
      <w:pPr>
        <w:autoSpaceDE w:val="0"/>
        <w:autoSpaceDN w:val="0"/>
        <w:adjustRightInd w:val="0"/>
        <w:snapToGrid w:val="0"/>
        <w:spacing w:before="0" w:line="400" w:lineRule="exact"/>
        <w:ind w:firstLine="420" w:firstLineChars="200"/>
        <w:jc w:val="lef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（2）如果乙方没有按照合同规定的时间交货和提供</w:t>
      </w:r>
      <w:r>
        <w:rPr>
          <w:rFonts w:hint="eastAsia" w:ascii="宋体" w:hAnsi="宋体"/>
          <w:color w:val="auto"/>
          <w:sz w:val="21"/>
          <w:szCs w:val="21"/>
          <w:highlight w:val="none"/>
          <w:lang w:eastAsia="zh-CN"/>
        </w:rPr>
        <w:t>相关</w:t>
      </w:r>
      <w:r>
        <w:rPr>
          <w:rFonts w:hint="eastAsia" w:ascii="宋体" w:hAnsi="宋体"/>
          <w:color w:val="auto"/>
          <w:sz w:val="21"/>
          <w:szCs w:val="21"/>
          <w:highlight w:val="none"/>
        </w:rPr>
        <w:t>服务，甲方有权从货款中扣除误期赔偿费而不影响合同项下的其他补救方法，赔偿费按</w:t>
      </w:r>
      <w:r>
        <w:rPr>
          <w:rFonts w:hint="eastAsia" w:ascii="宋体" w:hAnsi="宋体"/>
          <w:b/>
          <w:color w:val="auto"/>
          <w:sz w:val="21"/>
          <w:szCs w:val="21"/>
          <w:highlight w:val="none"/>
        </w:rPr>
        <w:t>【政府采购合同专用条款】</w:t>
      </w:r>
      <w:r>
        <w:rPr>
          <w:rFonts w:hint="eastAsia" w:ascii="宋体" w:hAnsi="宋体"/>
          <w:color w:val="auto"/>
          <w:sz w:val="21"/>
          <w:szCs w:val="21"/>
          <w:highlight w:val="none"/>
        </w:rPr>
        <w:t>规定执行。如果涉及公共利益，且赔偿金额无法弥补公共利益损失，</w:t>
      </w:r>
      <w:r>
        <w:rPr>
          <w:rFonts w:hint="eastAsia" w:ascii="宋体" w:hAnsi="宋体"/>
          <w:color w:val="auto"/>
          <w:sz w:val="21"/>
          <w:szCs w:val="21"/>
          <w:highlight w:val="none"/>
          <w:lang w:eastAsia="zh-CN"/>
        </w:rPr>
        <w:t>甲方</w:t>
      </w:r>
      <w:r>
        <w:rPr>
          <w:rFonts w:hint="eastAsia" w:ascii="宋体" w:hAnsi="宋体"/>
          <w:color w:val="auto"/>
          <w:sz w:val="21"/>
          <w:szCs w:val="21"/>
          <w:highlight w:val="none"/>
        </w:rPr>
        <w:t>可要求继续履行或者</w:t>
      </w:r>
      <w:r>
        <w:rPr>
          <w:rFonts w:hint="eastAsia" w:ascii="宋体" w:hAnsi="宋体"/>
          <w:color w:val="auto"/>
          <w:sz w:val="21"/>
          <w:szCs w:val="21"/>
          <w:highlight w:val="none"/>
          <w:lang w:eastAsia="zh-CN"/>
        </w:rPr>
        <w:t>采取其他补救措施</w:t>
      </w:r>
      <w:r>
        <w:rPr>
          <w:rFonts w:hint="eastAsia" w:ascii="宋体" w:hAnsi="宋体"/>
          <w:color w:val="auto"/>
          <w:sz w:val="21"/>
          <w:szCs w:val="21"/>
          <w:highlight w:val="none"/>
        </w:rPr>
        <w:t>。</w:t>
      </w:r>
    </w:p>
    <w:p w14:paraId="128E82D2">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w:t>
      </w:r>
      <w:r>
        <w:rPr>
          <w:rFonts w:hint="eastAsia" w:ascii="宋体" w:hAnsi="宋体"/>
          <w:color w:val="auto"/>
          <w:sz w:val="21"/>
          <w:szCs w:val="21"/>
          <w:highlight w:val="none"/>
          <w:lang w:eastAsia="zh-CN"/>
        </w:rPr>
        <w:t>5</w:t>
      </w:r>
      <w:r>
        <w:rPr>
          <w:rFonts w:hint="eastAsia" w:ascii="宋体" w:hAnsi="宋体"/>
          <w:color w:val="auto"/>
          <w:sz w:val="21"/>
          <w:szCs w:val="21"/>
          <w:highlight w:val="none"/>
        </w:rPr>
        <w:t>.3 迟延支付的违约责任</w:t>
      </w:r>
    </w:p>
    <w:p w14:paraId="48CEE784">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甲方存在迟延支付乙方合同款项的，应当承担</w:t>
      </w:r>
      <w:r>
        <w:rPr>
          <w:rFonts w:hint="eastAsia" w:ascii="宋体" w:hAnsi="宋体"/>
          <w:b/>
          <w:bCs/>
          <w:color w:val="auto"/>
          <w:sz w:val="21"/>
          <w:szCs w:val="21"/>
          <w:highlight w:val="none"/>
        </w:rPr>
        <w:t>【政府采购合同专用条款】</w:t>
      </w:r>
      <w:r>
        <w:rPr>
          <w:rFonts w:hint="eastAsia" w:ascii="宋体" w:hAnsi="宋体"/>
          <w:color w:val="auto"/>
          <w:sz w:val="21"/>
          <w:szCs w:val="21"/>
          <w:highlight w:val="none"/>
        </w:rPr>
        <w:t>规定的逾期付款利息。</w:t>
      </w:r>
    </w:p>
    <w:p w14:paraId="2FD42560">
      <w:pPr>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bCs/>
          <w:color w:val="auto"/>
          <w:sz w:val="21"/>
          <w:szCs w:val="21"/>
          <w:highlight w:val="none"/>
        </w:rPr>
        <w:t>1</w:t>
      </w:r>
      <w:r>
        <w:rPr>
          <w:rFonts w:hint="eastAsia" w:ascii="宋体" w:hAnsi="宋体"/>
          <w:bCs/>
          <w:color w:val="auto"/>
          <w:sz w:val="21"/>
          <w:szCs w:val="21"/>
          <w:highlight w:val="none"/>
          <w:lang w:eastAsia="zh-CN"/>
        </w:rPr>
        <w:t>5</w:t>
      </w:r>
      <w:r>
        <w:rPr>
          <w:rFonts w:hint="eastAsia" w:ascii="宋体" w:hAnsi="宋体"/>
          <w:bCs/>
          <w:color w:val="auto"/>
          <w:sz w:val="21"/>
          <w:szCs w:val="21"/>
          <w:highlight w:val="none"/>
        </w:rPr>
        <w:t>.4其他违约责任根据项目实际需要按</w:t>
      </w:r>
      <w:r>
        <w:rPr>
          <w:rFonts w:hint="eastAsia" w:ascii="宋体" w:hAnsi="宋体"/>
          <w:b/>
          <w:bCs/>
          <w:color w:val="auto"/>
          <w:sz w:val="21"/>
          <w:szCs w:val="21"/>
          <w:highlight w:val="none"/>
        </w:rPr>
        <w:t>【政府采购合同专用条款】</w:t>
      </w:r>
      <w:r>
        <w:rPr>
          <w:rFonts w:hint="eastAsia" w:ascii="宋体" w:hAnsi="宋体"/>
          <w:color w:val="auto"/>
          <w:sz w:val="21"/>
          <w:szCs w:val="21"/>
          <w:highlight w:val="none"/>
        </w:rPr>
        <w:t>规定执行。</w:t>
      </w:r>
    </w:p>
    <w:p w14:paraId="110EA4A6">
      <w:pPr>
        <w:numPr>
          <w:ilvl w:val="0"/>
          <w:numId w:val="8"/>
        </w:numPr>
        <w:autoSpaceDE w:val="0"/>
        <w:autoSpaceDN w:val="0"/>
        <w:adjustRightInd w:val="0"/>
        <w:snapToGrid w:val="0"/>
        <w:spacing w:before="0" w:line="400" w:lineRule="exact"/>
        <w:jc w:val="left"/>
        <w:rPr>
          <w:rFonts w:ascii="宋体" w:hAnsi="宋体"/>
          <w:b/>
          <w:color w:val="auto"/>
          <w:sz w:val="21"/>
          <w:szCs w:val="21"/>
          <w:highlight w:val="none"/>
        </w:rPr>
      </w:pPr>
      <w:r>
        <w:rPr>
          <w:rFonts w:hint="eastAsia" w:ascii="宋体" w:hAnsi="宋体"/>
          <w:b/>
          <w:color w:val="auto"/>
          <w:sz w:val="21"/>
          <w:szCs w:val="21"/>
          <w:highlight w:val="none"/>
        </w:rPr>
        <w:t>合同变更</w:t>
      </w:r>
      <w:r>
        <w:rPr>
          <w:rFonts w:hint="eastAsia" w:ascii="宋体" w:hAnsi="宋体"/>
          <w:b/>
          <w:color w:val="auto"/>
          <w:sz w:val="21"/>
          <w:szCs w:val="21"/>
          <w:highlight w:val="none"/>
          <w:lang w:eastAsia="zh-CN"/>
        </w:rPr>
        <w:t>、中止与终止</w:t>
      </w:r>
    </w:p>
    <w:p w14:paraId="1B82D3A1">
      <w:pPr>
        <w:autoSpaceDE/>
        <w:autoSpaceDN/>
        <w:adjustRightInd w:val="0"/>
        <w:snapToGrid w:val="0"/>
        <w:spacing w:before="0" w:line="400" w:lineRule="exact"/>
        <w:ind w:firstLine="0" w:firstLineChars="0"/>
        <w:jc w:val="lef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1</w:t>
      </w:r>
      <w:r>
        <w:rPr>
          <w:rFonts w:hint="eastAsia" w:ascii="宋体" w:hAnsi="宋体"/>
          <w:color w:val="auto"/>
          <w:sz w:val="21"/>
          <w:szCs w:val="21"/>
          <w:highlight w:val="none"/>
          <w:lang w:val="en-US" w:eastAsia="zh-CN"/>
        </w:rPr>
        <w:t>6</w:t>
      </w:r>
      <w:r>
        <w:rPr>
          <w:rFonts w:hint="eastAsia" w:ascii="宋体" w:hAnsi="宋体"/>
          <w:color w:val="auto"/>
          <w:sz w:val="21"/>
          <w:szCs w:val="21"/>
          <w:highlight w:val="none"/>
        </w:rPr>
        <w:t>.1合同的</w:t>
      </w:r>
      <w:r>
        <w:rPr>
          <w:rFonts w:hint="eastAsia" w:ascii="宋体" w:hAnsi="宋体"/>
          <w:color w:val="auto"/>
          <w:sz w:val="21"/>
          <w:szCs w:val="21"/>
          <w:highlight w:val="none"/>
          <w:lang w:eastAsia="zh-CN"/>
        </w:rPr>
        <w:t>变更</w:t>
      </w:r>
    </w:p>
    <w:p w14:paraId="0AC0BA3F">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lang w:eastAsia="zh-CN"/>
        </w:rPr>
        <w:t>政府采购合同履行中，</w:t>
      </w:r>
      <w:r>
        <w:rPr>
          <w:rFonts w:hint="eastAsia" w:ascii="宋体" w:hAnsi="宋体"/>
          <w:color w:val="auto"/>
          <w:sz w:val="21"/>
          <w:szCs w:val="21"/>
          <w:highlight w:val="none"/>
        </w:rPr>
        <w:t>在不改变合同其他条款的前提下，甲方可以在合同价款10%的范围内追加与合同标的相同的货物，并就此与乙方协商</w:t>
      </w:r>
      <w:r>
        <w:rPr>
          <w:rFonts w:hint="eastAsia" w:ascii="宋体" w:hAnsi="宋体"/>
          <w:color w:val="auto"/>
          <w:sz w:val="21"/>
          <w:szCs w:val="21"/>
          <w:highlight w:val="none"/>
          <w:lang w:eastAsia="zh-CN"/>
        </w:rPr>
        <w:t>一致后</w:t>
      </w:r>
      <w:r>
        <w:rPr>
          <w:rFonts w:hint="eastAsia" w:ascii="宋体" w:hAnsi="宋体"/>
          <w:color w:val="auto"/>
          <w:sz w:val="21"/>
          <w:szCs w:val="21"/>
          <w:highlight w:val="none"/>
        </w:rPr>
        <w:t>签订补充协议。</w:t>
      </w:r>
    </w:p>
    <w:p w14:paraId="7D9FE1FE">
      <w:pPr>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w:t>
      </w:r>
      <w:r>
        <w:rPr>
          <w:rFonts w:hint="eastAsia" w:ascii="宋体" w:hAnsi="宋体"/>
          <w:color w:val="auto"/>
          <w:sz w:val="21"/>
          <w:szCs w:val="21"/>
          <w:highlight w:val="none"/>
          <w:lang w:val="en-US" w:eastAsia="zh-CN"/>
        </w:rPr>
        <w:t>6</w:t>
      </w: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2</w:t>
      </w:r>
      <w:r>
        <w:rPr>
          <w:rFonts w:hint="eastAsia" w:ascii="宋体" w:hAnsi="宋体"/>
          <w:color w:val="auto"/>
          <w:sz w:val="21"/>
          <w:szCs w:val="21"/>
          <w:highlight w:val="none"/>
        </w:rPr>
        <w:t>合同的中止</w:t>
      </w:r>
    </w:p>
    <w:p w14:paraId="6B5FD9B8">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（1）合同履行过程中因供应商就采购文件、采购过程或结果提起投诉的，甲方认为有必要的，</w:t>
      </w:r>
      <w:r>
        <w:rPr>
          <w:rFonts w:hint="eastAsia" w:ascii="宋体" w:hAnsi="宋体"/>
          <w:color w:val="auto"/>
          <w:sz w:val="21"/>
          <w:szCs w:val="21"/>
          <w:highlight w:val="none"/>
          <w:lang w:eastAsia="zh-CN"/>
        </w:rPr>
        <w:t>可以</w:t>
      </w:r>
      <w:r>
        <w:rPr>
          <w:rFonts w:hint="eastAsia" w:ascii="宋体" w:hAnsi="宋体"/>
          <w:color w:val="auto"/>
          <w:sz w:val="21"/>
          <w:szCs w:val="21"/>
          <w:highlight w:val="none"/>
        </w:rPr>
        <w:t>中止合同的履行。</w:t>
      </w:r>
    </w:p>
    <w:p w14:paraId="6EDB0C29">
      <w:pPr>
        <w:autoSpaceDE w:val="0"/>
        <w:autoSpaceDN w:val="0"/>
        <w:adjustRightInd w:val="0"/>
        <w:snapToGrid w:val="0"/>
        <w:spacing w:before="0" w:line="400" w:lineRule="exac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（2）</w:t>
      </w:r>
      <w:r>
        <w:rPr>
          <w:rFonts w:hint="eastAsia" w:ascii="宋体" w:hAnsi="宋体"/>
          <w:color w:val="auto"/>
          <w:sz w:val="21"/>
          <w:szCs w:val="21"/>
          <w:highlight w:val="none"/>
          <w:lang w:val="en-US" w:eastAsia="zh-CN"/>
        </w:rPr>
        <w:t>合同履行过程中，</w:t>
      </w:r>
      <w:r>
        <w:rPr>
          <w:rFonts w:hint="eastAsia" w:ascii="宋体" w:hAnsi="宋体"/>
          <w:color w:val="auto"/>
          <w:sz w:val="21"/>
          <w:szCs w:val="21"/>
          <w:highlight w:val="none"/>
        </w:rPr>
        <w:t>如果乙方出现以下情形之一的：1．经营状况严重恶化；2．转移财产、抽逃资金，以逃避债务；3．丧失商业信誉；4．有丧失或者可能丧失履约能力的其他情形</w:t>
      </w:r>
      <w:r>
        <w:rPr>
          <w:rFonts w:hint="eastAsia" w:ascii="宋体" w:hAnsi="宋体"/>
          <w:color w:val="auto"/>
          <w:sz w:val="21"/>
          <w:szCs w:val="21"/>
          <w:highlight w:val="none"/>
          <w:lang w:eastAsia="zh-CN"/>
        </w:rPr>
        <w:t>，乙方有义务及时告知甲方</w:t>
      </w:r>
      <w:r>
        <w:rPr>
          <w:rFonts w:hint="eastAsia" w:ascii="宋体" w:hAnsi="宋体"/>
          <w:color w:val="auto"/>
          <w:sz w:val="21"/>
          <w:szCs w:val="21"/>
          <w:highlight w:val="none"/>
        </w:rPr>
        <w:t>。甲方</w:t>
      </w:r>
      <w:r>
        <w:rPr>
          <w:rFonts w:hint="eastAsia" w:ascii="宋体" w:hAnsi="宋体"/>
          <w:color w:val="auto"/>
          <w:sz w:val="21"/>
          <w:szCs w:val="21"/>
          <w:highlight w:val="none"/>
          <w:lang w:eastAsia="zh-CN"/>
        </w:rPr>
        <w:t>有权</w:t>
      </w:r>
      <w:r>
        <w:rPr>
          <w:rFonts w:hint="eastAsia" w:ascii="宋体" w:hAnsi="宋体"/>
          <w:color w:val="auto"/>
          <w:sz w:val="21"/>
          <w:szCs w:val="21"/>
          <w:highlight w:val="none"/>
        </w:rPr>
        <w:t>以书面形式通知乙方中止合同</w:t>
      </w:r>
      <w:r>
        <w:rPr>
          <w:rFonts w:hint="eastAsia" w:ascii="宋体" w:hAnsi="宋体"/>
          <w:color w:val="auto"/>
          <w:sz w:val="21"/>
          <w:szCs w:val="21"/>
          <w:highlight w:val="none"/>
          <w:lang w:eastAsia="zh-CN"/>
        </w:rPr>
        <w:t>并要求乙方在合理期限内消除相关情形或者提供适当担保。</w:t>
      </w:r>
      <w:r>
        <w:rPr>
          <w:rFonts w:hint="eastAsia" w:ascii="宋体" w:hAnsi="宋体"/>
          <w:color w:val="auto"/>
          <w:sz w:val="21"/>
          <w:szCs w:val="21"/>
          <w:highlight w:val="none"/>
        </w:rPr>
        <w:t>乙方提供适当担保的，</w:t>
      </w:r>
      <w:r>
        <w:rPr>
          <w:rFonts w:hint="eastAsia" w:ascii="宋体" w:hAnsi="宋体"/>
          <w:color w:val="auto"/>
          <w:sz w:val="21"/>
          <w:szCs w:val="21"/>
          <w:highlight w:val="none"/>
          <w:lang w:eastAsia="zh-CN"/>
        </w:rPr>
        <w:t>合同继续</w:t>
      </w:r>
      <w:r>
        <w:rPr>
          <w:rFonts w:hint="eastAsia" w:ascii="宋体" w:hAnsi="宋体"/>
          <w:color w:val="auto"/>
          <w:sz w:val="21"/>
          <w:szCs w:val="21"/>
          <w:highlight w:val="none"/>
        </w:rPr>
        <w:t>履行</w:t>
      </w:r>
      <w:r>
        <w:rPr>
          <w:rFonts w:hint="eastAsia" w:ascii="宋体" w:hAnsi="宋体"/>
          <w:color w:val="auto"/>
          <w:sz w:val="21"/>
          <w:szCs w:val="21"/>
          <w:highlight w:val="none"/>
          <w:lang w:eastAsia="zh-CN"/>
        </w:rPr>
        <w:t>；乙</w:t>
      </w:r>
      <w:r>
        <w:rPr>
          <w:rFonts w:hint="eastAsia" w:ascii="宋体" w:hAnsi="宋体"/>
          <w:color w:val="auto"/>
          <w:sz w:val="21"/>
          <w:szCs w:val="21"/>
          <w:highlight w:val="none"/>
        </w:rPr>
        <w:t>方在合理期限内未恢复履约能力且未提供适当担保的，视为拒绝</w:t>
      </w:r>
      <w:r>
        <w:rPr>
          <w:rFonts w:hint="eastAsia" w:ascii="宋体" w:hAnsi="宋体"/>
          <w:color w:val="auto"/>
          <w:sz w:val="21"/>
          <w:szCs w:val="21"/>
          <w:highlight w:val="none"/>
          <w:lang w:eastAsia="zh-CN"/>
        </w:rPr>
        <w:t>继续</w:t>
      </w:r>
      <w:r>
        <w:rPr>
          <w:rFonts w:hint="eastAsia" w:ascii="宋体" w:hAnsi="宋体"/>
          <w:color w:val="auto"/>
          <w:sz w:val="21"/>
          <w:szCs w:val="21"/>
          <w:highlight w:val="none"/>
        </w:rPr>
        <w:t>履约，甲方</w:t>
      </w:r>
      <w:r>
        <w:rPr>
          <w:rFonts w:hint="eastAsia" w:ascii="宋体" w:hAnsi="宋体"/>
          <w:color w:val="auto"/>
          <w:sz w:val="21"/>
          <w:szCs w:val="21"/>
          <w:highlight w:val="none"/>
          <w:lang w:eastAsia="zh-CN"/>
        </w:rPr>
        <w:t>有权</w:t>
      </w:r>
      <w:r>
        <w:rPr>
          <w:rFonts w:hint="eastAsia" w:ascii="宋体" w:hAnsi="宋体"/>
          <w:color w:val="auto"/>
          <w:sz w:val="21"/>
          <w:szCs w:val="21"/>
          <w:highlight w:val="none"/>
        </w:rPr>
        <w:t>解除合同并要求乙方承担</w:t>
      </w:r>
      <w:r>
        <w:rPr>
          <w:rFonts w:hint="eastAsia" w:ascii="宋体" w:hAnsi="宋体"/>
          <w:color w:val="auto"/>
          <w:sz w:val="21"/>
          <w:szCs w:val="21"/>
          <w:highlight w:val="none"/>
          <w:lang w:eastAsia="zh-CN"/>
        </w:rPr>
        <w:t>由此给甲方造成的损失</w:t>
      </w:r>
      <w:r>
        <w:rPr>
          <w:rFonts w:hint="eastAsia" w:ascii="宋体" w:hAnsi="宋体"/>
          <w:color w:val="auto"/>
          <w:sz w:val="21"/>
          <w:szCs w:val="21"/>
          <w:highlight w:val="none"/>
        </w:rPr>
        <w:t>。</w:t>
      </w:r>
    </w:p>
    <w:p w14:paraId="6E9482F4">
      <w:pPr>
        <w:pStyle w:val="42"/>
        <w:jc w:val="both"/>
        <w:rPr>
          <w:color w:val="auto"/>
          <w:sz w:val="21"/>
          <w:szCs w:val="21"/>
        </w:rPr>
      </w:pPr>
      <w:r>
        <w:rPr>
          <w:rFonts w:hint="eastAsia" w:ascii="宋体" w:hAnsi="宋体" w:eastAsia="宋体" w:cs="宋体"/>
          <w:color w:val="auto"/>
          <w:sz w:val="21"/>
          <w:szCs w:val="21"/>
        </w:rPr>
        <w:t>（3）乙方分立、合并或者变更住所的，应当及时以书面形式告知甲方。乙方没有</w:t>
      </w:r>
      <w:r>
        <w:rPr>
          <w:rFonts w:hint="eastAsia" w:ascii="宋体" w:hAnsi="宋体" w:eastAsia="宋体" w:cs="宋体"/>
          <w:color w:val="auto"/>
          <w:sz w:val="21"/>
          <w:szCs w:val="21"/>
          <w:lang w:eastAsia="zh-CN"/>
        </w:rPr>
        <w:t>及时告知</w:t>
      </w:r>
      <w:r>
        <w:rPr>
          <w:rFonts w:hint="eastAsia" w:ascii="宋体" w:hAnsi="宋体" w:eastAsia="宋体" w:cs="宋体"/>
          <w:color w:val="auto"/>
          <w:sz w:val="21"/>
          <w:szCs w:val="21"/>
        </w:rPr>
        <w:t>甲方，致使</w:t>
      </w:r>
      <w:r>
        <w:rPr>
          <w:rFonts w:hint="eastAsia" w:ascii="宋体" w:hAnsi="宋体" w:eastAsia="宋体" w:cs="宋体"/>
          <w:color w:val="auto"/>
          <w:sz w:val="21"/>
          <w:szCs w:val="21"/>
          <w:lang w:eastAsia="zh-CN"/>
        </w:rPr>
        <w:t>合同</w:t>
      </w:r>
      <w:r>
        <w:rPr>
          <w:rFonts w:hint="eastAsia" w:ascii="宋体" w:hAnsi="宋体" w:eastAsia="宋体" w:cs="宋体"/>
          <w:color w:val="auto"/>
          <w:sz w:val="21"/>
          <w:szCs w:val="21"/>
        </w:rPr>
        <w:t>履行发生困难的，甲方可以中止合同履行并要求乙方承担由此给甲方造成的损失。</w:t>
      </w:r>
    </w:p>
    <w:p w14:paraId="3BB264B8">
      <w:pPr>
        <w:snapToGrid w:val="0"/>
        <w:spacing w:line="400" w:lineRule="exact"/>
        <w:ind w:firstLine="420" w:firstLineChars="200"/>
        <w:jc w:val="left"/>
        <w:rPr>
          <w:color w:val="auto"/>
          <w:sz w:val="21"/>
          <w:szCs w:val="21"/>
        </w:rPr>
      </w:pP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4</w:t>
      </w:r>
      <w:r>
        <w:rPr>
          <w:rFonts w:hint="eastAsia" w:ascii="宋体" w:hAnsi="宋体"/>
          <w:color w:val="auto"/>
          <w:sz w:val="21"/>
          <w:szCs w:val="21"/>
          <w:highlight w:val="none"/>
        </w:rPr>
        <w:t>）甲方不得以行政区划调整、政府换届、机构或者职能调整以及相关责任人更替为由中止合同。</w:t>
      </w:r>
    </w:p>
    <w:p w14:paraId="2061511B">
      <w:pPr>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w:t>
      </w:r>
      <w:r>
        <w:rPr>
          <w:rFonts w:hint="eastAsia" w:ascii="宋体" w:hAnsi="宋体"/>
          <w:color w:val="auto"/>
          <w:sz w:val="21"/>
          <w:szCs w:val="21"/>
          <w:highlight w:val="none"/>
          <w:lang w:val="en-US" w:eastAsia="zh-CN"/>
        </w:rPr>
        <w:t>6</w:t>
      </w: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3</w:t>
      </w:r>
      <w:r>
        <w:rPr>
          <w:rFonts w:hint="eastAsia" w:ascii="宋体" w:hAnsi="宋体"/>
          <w:color w:val="auto"/>
          <w:sz w:val="21"/>
          <w:szCs w:val="21"/>
          <w:highlight w:val="none"/>
        </w:rPr>
        <w:t>合同的终止</w:t>
      </w:r>
    </w:p>
    <w:p w14:paraId="2B2CBA19">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（1）合同因有效期限届满而终止；</w:t>
      </w:r>
    </w:p>
    <w:p w14:paraId="7272EF07">
      <w:pPr>
        <w:snapToGrid w:val="0"/>
        <w:spacing w:line="400" w:lineRule="exact"/>
        <w:ind w:firstLine="420" w:firstLineChars="200"/>
        <w:rPr>
          <w:rFonts w:hint="eastAsia" w:ascii="宋体" w:hAnsi="宋体" w:eastAsia="宋体" w:cs="宋体"/>
          <w:color w:val="auto"/>
          <w:sz w:val="21"/>
          <w:szCs w:val="21"/>
          <w:lang w:eastAsia="zh-CN"/>
        </w:rPr>
      </w:pPr>
      <w:r>
        <w:rPr>
          <w:rFonts w:hint="eastAsia" w:ascii="宋体" w:hAnsi="宋体"/>
          <w:color w:val="auto"/>
          <w:sz w:val="21"/>
          <w:szCs w:val="21"/>
          <w:highlight w:val="none"/>
        </w:rPr>
        <w:t>（2）乙方未</w:t>
      </w:r>
      <w:r>
        <w:rPr>
          <w:rFonts w:hint="eastAsia" w:ascii="宋体" w:hAnsi="宋体"/>
          <w:color w:val="auto"/>
          <w:sz w:val="21"/>
          <w:szCs w:val="21"/>
          <w:highlight w:val="none"/>
          <w:lang w:eastAsia="zh-CN"/>
        </w:rPr>
        <w:t>按</w:t>
      </w:r>
      <w:r>
        <w:rPr>
          <w:rFonts w:hint="eastAsia" w:ascii="宋体" w:hAnsi="宋体"/>
          <w:color w:val="auto"/>
          <w:sz w:val="21"/>
          <w:szCs w:val="21"/>
          <w:highlight w:val="none"/>
        </w:rPr>
        <w:t>合同约定履行，构成根本性违约的，甲方有权终止合同</w:t>
      </w:r>
      <w:r>
        <w:rPr>
          <w:rFonts w:hint="eastAsia" w:ascii="宋体" w:hAnsi="宋体"/>
          <w:color w:val="auto"/>
          <w:sz w:val="21"/>
          <w:szCs w:val="21"/>
          <w:highlight w:val="none"/>
          <w:lang w:eastAsia="zh-CN"/>
        </w:rPr>
        <w:t>，</w:t>
      </w:r>
      <w:r>
        <w:rPr>
          <w:rFonts w:hint="eastAsia" w:ascii="宋体" w:hAnsi="宋体" w:eastAsia="宋体" w:cs="宋体"/>
          <w:color w:val="auto"/>
          <w:sz w:val="21"/>
          <w:szCs w:val="21"/>
        </w:rPr>
        <w:t>并追究乙方的违约责</w:t>
      </w:r>
      <w:r>
        <w:rPr>
          <w:rFonts w:hint="eastAsia" w:ascii="宋体" w:hAnsi="宋体" w:cs="宋体"/>
          <w:color w:val="auto"/>
          <w:sz w:val="21"/>
          <w:szCs w:val="21"/>
          <w:lang w:val="en-US" w:eastAsia="zh-CN"/>
        </w:rPr>
        <w:t>任</w:t>
      </w:r>
      <w:r>
        <w:rPr>
          <w:rFonts w:hint="eastAsia" w:ascii="宋体" w:hAnsi="宋体"/>
          <w:color w:val="auto"/>
          <w:sz w:val="21"/>
          <w:szCs w:val="21"/>
          <w:highlight w:val="none"/>
        </w:rPr>
        <w:t>。</w:t>
      </w:r>
    </w:p>
    <w:p w14:paraId="38F3EA13">
      <w:pPr>
        <w:pStyle w:val="42"/>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16.4 </w:t>
      </w:r>
      <w:r>
        <w:rPr>
          <w:rFonts w:hint="eastAsia" w:ascii="宋体" w:hAnsi="宋体" w:eastAsia="宋体" w:cs="Times New Roman"/>
          <w:color w:val="auto"/>
          <w:kern w:val="2"/>
          <w:sz w:val="21"/>
          <w:szCs w:val="21"/>
          <w:highlight w:val="none"/>
          <w:lang w:val="en-US" w:eastAsia="zh-CN"/>
        </w:rPr>
        <w:t>涉及国家利益、社会公共利益的情形</w:t>
      </w:r>
    </w:p>
    <w:p w14:paraId="62F12BAF">
      <w:pPr>
        <w:pStyle w:val="42"/>
        <w:jc w:val="both"/>
        <w:rPr>
          <w:color w:val="auto"/>
          <w:sz w:val="21"/>
          <w:szCs w:val="21"/>
        </w:rPr>
      </w:pPr>
      <w:r>
        <w:rPr>
          <w:rFonts w:hint="eastAsia" w:ascii="宋体" w:hAnsi="宋体" w:eastAsia="宋体" w:cs="宋体"/>
          <w:color w:val="auto"/>
          <w:sz w:val="21"/>
          <w:szCs w:val="21"/>
        </w:rPr>
        <w:t>政府采购合同继续履行将损害国家利益和社会公共利益的，双方当事人</w:t>
      </w:r>
      <w:r>
        <w:rPr>
          <w:rFonts w:hint="eastAsia" w:ascii="宋体" w:hAnsi="宋体" w:eastAsia="宋体" w:cs="宋体"/>
          <w:color w:val="auto"/>
          <w:sz w:val="21"/>
          <w:szCs w:val="21"/>
          <w:highlight w:val="none"/>
          <w:lang w:val="en-US" w:eastAsia="zh-CN"/>
        </w:rPr>
        <w:t>应当变更、</w:t>
      </w:r>
      <w:r>
        <w:rPr>
          <w:rFonts w:hint="eastAsia" w:ascii="宋体" w:hAnsi="宋体" w:eastAsia="宋体" w:cs="宋体"/>
          <w:color w:val="auto"/>
          <w:sz w:val="21"/>
          <w:szCs w:val="21"/>
        </w:rPr>
        <w:t>中止</w:t>
      </w:r>
      <w:r>
        <w:rPr>
          <w:rFonts w:hint="eastAsia" w:ascii="宋体" w:hAnsi="宋体" w:eastAsia="宋体" w:cs="宋体"/>
          <w:color w:val="auto"/>
          <w:sz w:val="21"/>
          <w:szCs w:val="21"/>
          <w:lang w:eastAsia="zh-CN"/>
        </w:rPr>
        <w:t>或者终止</w:t>
      </w:r>
      <w:r>
        <w:rPr>
          <w:rFonts w:hint="eastAsia" w:ascii="宋体" w:hAnsi="宋体" w:eastAsia="宋体" w:cs="宋体"/>
          <w:color w:val="auto"/>
          <w:sz w:val="21"/>
          <w:szCs w:val="21"/>
        </w:rPr>
        <w:t>合同。有过错的一方应当承担赔偿责任，双方都有过错的，各自承担相应的责任。</w:t>
      </w:r>
    </w:p>
    <w:p w14:paraId="3700844E">
      <w:pPr>
        <w:autoSpaceDE w:val="0"/>
        <w:autoSpaceDN w:val="0"/>
        <w:adjustRightInd w:val="0"/>
        <w:snapToGrid w:val="0"/>
        <w:spacing w:before="0" w:line="400" w:lineRule="exact"/>
        <w:jc w:val="left"/>
        <w:rPr>
          <w:rFonts w:ascii="宋体" w:hAnsi="宋体"/>
          <w:b/>
          <w:bCs/>
          <w:color w:val="auto"/>
          <w:sz w:val="21"/>
          <w:szCs w:val="21"/>
          <w:highlight w:val="none"/>
        </w:rPr>
      </w:pPr>
      <w:r>
        <w:rPr>
          <w:rFonts w:hint="eastAsia" w:ascii="宋体" w:hAnsi="宋体"/>
          <w:b/>
          <w:bCs/>
          <w:color w:val="auto"/>
          <w:sz w:val="21"/>
          <w:szCs w:val="21"/>
          <w:highlight w:val="none"/>
        </w:rPr>
        <w:t>1</w:t>
      </w:r>
      <w:r>
        <w:rPr>
          <w:rFonts w:hint="eastAsia" w:ascii="宋体" w:hAnsi="宋体"/>
          <w:b/>
          <w:bCs/>
          <w:color w:val="auto"/>
          <w:sz w:val="21"/>
          <w:szCs w:val="21"/>
          <w:highlight w:val="none"/>
          <w:lang w:val="en-US" w:eastAsia="zh-CN"/>
        </w:rPr>
        <w:t>7</w:t>
      </w:r>
      <w:r>
        <w:rPr>
          <w:rFonts w:hint="eastAsia" w:ascii="宋体" w:hAnsi="宋体"/>
          <w:b/>
          <w:bCs/>
          <w:color w:val="auto"/>
          <w:sz w:val="21"/>
          <w:szCs w:val="21"/>
          <w:highlight w:val="none"/>
        </w:rPr>
        <w:t>.</w:t>
      </w:r>
      <w:r>
        <w:rPr>
          <w:rFonts w:hint="eastAsia" w:ascii="宋体" w:hAnsi="宋体"/>
          <w:b/>
          <w:bCs/>
          <w:color w:val="auto"/>
          <w:sz w:val="21"/>
          <w:szCs w:val="21"/>
          <w:highlight w:val="none"/>
          <w:lang w:val="en-US" w:eastAsia="zh-CN"/>
        </w:rPr>
        <w:t xml:space="preserve"> </w:t>
      </w:r>
      <w:r>
        <w:rPr>
          <w:rFonts w:hint="eastAsia" w:ascii="宋体" w:hAnsi="宋体"/>
          <w:b/>
          <w:bCs/>
          <w:color w:val="auto"/>
          <w:sz w:val="21"/>
          <w:szCs w:val="21"/>
          <w:highlight w:val="none"/>
        </w:rPr>
        <w:t>合同分包</w:t>
      </w:r>
    </w:p>
    <w:p w14:paraId="60E9A8E0">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w:t>
      </w:r>
      <w:r>
        <w:rPr>
          <w:rFonts w:hint="eastAsia" w:ascii="宋体" w:hAnsi="宋体"/>
          <w:color w:val="auto"/>
          <w:sz w:val="21"/>
          <w:szCs w:val="21"/>
          <w:highlight w:val="none"/>
          <w:lang w:val="en-US" w:eastAsia="zh-CN"/>
        </w:rPr>
        <w:t>7</w:t>
      </w:r>
      <w:r>
        <w:rPr>
          <w:rFonts w:hint="eastAsia" w:ascii="宋体" w:hAnsi="宋体"/>
          <w:color w:val="auto"/>
          <w:sz w:val="21"/>
          <w:szCs w:val="21"/>
          <w:highlight w:val="none"/>
        </w:rPr>
        <w:t>.1 乙方不得</w:t>
      </w:r>
      <w:r>
        <w:rPr>
          <w:rFonts w:hint="eastAsia" w:ascii="宋体" w:hAnsi="宋体"/>
          <w:color w:val="auto"/>
          <w:sz w:val="21"/>
          <w:szCs w:val="21"/>
          <w:highlight w:val="none"/>
          <w:lang w:eastAsia="zh-CN"/>
        </w:rPr>
        <w:t>将合同转包给其他供应商。涉及合同分包的，乙方</w:t>
      </w:r>
      <w:r>
        <w:rPr>
          <w:rFonts w:hint="eastAsia" w:ascii="宋体" w:hAnsi="宋体"/>
          <w:color w:val="auto"/>
          <w:sz w:val="21"/>
          <w:szCs w:val="21"/>
          <w:highlight w:val="none"/>
          <w:lang w:val="en-US" w:eastAsia="zh-CN"/>
        </w:rPr>
        <w:t>应</w:t>
      </w:r>
      <w:r>
        <w:rPr>
          <w:rFonts w:hint="eastAsia" w:ascii="宋体" w:hAnsi="宋体"/>
          <w:color w:val="auto"/>
          <w:sz w:val="21"/>
          <w:szCs w:val="21"/>
          <w:highlight w:val="none"/>
          <w:lang w:eastAsia="zh-CN"/>
        </w:rPr>
        <w:t>根据采购文件和投标（响应）文件规定进行</w:t>
      </w:r>
      <w:r>
        <w:rPr>
          <w:rFonts w:hint="eastAsia" w:ascii="宋体" w:hAnsi="宋体"/>
          <w:color w:val="auto"/>
          <w:sz w:val="21"/>
          <w:szCs w:val="21"/>
          <w:highlight w:val="none"/>
        </w:rPr>
        <w:t>合同分包。</w:t>
      </w:r>
    </w:p>
    <w:p w14:paraId="1495413B">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w:t>
      </w:r>
      <w:r>
        <w:rPr>
          <w:rFonts w:hint="eastAsia" w:ascii="宋体" w:hAnsi="宋体"/>
          <w:color w:val="auto"/>
          <w:sz w:val="21"/>
          <w:szCs w:val="21"/>
          <w:highlight w:val="none"/>
          <w:lang w:val="en-US" w:eastAsia="zh-CN"/>
        </w:rPr>
        <w:t>7</w:t>
      </w:r>
      <w:r>
        <w:rPr>
          <w:rFonts w:hint="eastAsia" w:ascii="宋体" w:hAnsi="宋体"/>
          <w:color w:val="auto"/>
          <w:sz w:val="21"/>
          <w:szCs w:val="21"/>
          <w:highlight w:val="none"/>
        </w:rPr>
        <w:t>.2 乙方执行政府采购政策向中小企业依法分包的</w:t>
      </w:r>
      <w:r>
        <w:rPr>
          <w:rFonts w:hint="eastAsia" w:ascii="宋体" w:hAnsi="宋体"/>
          <w:color w:val="auto"/>
          <w:sz w:val="21"/>
          <w:szCs w:val="21"/>
          <w:highlight w:val="none"/>
          <w:lang w:eastAsia="zh-CN"/>
        </w:rPr>
        <w:t>，</w:t>
      </w:r>
      <w:r>
        <w:rPr>
          <w:rFonts w:hint="eastAsia" w:ascii="宋体" w:hAnsi="宋体"/>
          <w:color w:val="auto"/>
          <w:sz w:val="21"/>
          <w:szCs w:val="21"/>
          <w:highlight w:val="none"/>
        </w:rPr>
        <w:t>乙方应当按采购文件</w:t>
      </w:r>
      <w:r>
        <w:rPr>
          <w:rFonts w:hint="eastAsia" w:ascii="宋体" w:hAnsi="宋体"/>
          <w:color w:val="auto"/>
          <w:sz w:val="21"/>
          <w:szCs w:val="21"/>
          <w:highlight w:val="none"/>
          <w:lang w:eastAsia="zh-CN"/>
        </w:rPr>
        <w:t>和</w:t>
      </w:r>
      <w:r>
        <w:rPr>
          <w:rFonts w:hint="eastAsia" w:ascii="宋体" w:hAnsi="宋体"/>
          <w:color w:val="auto"/>
          <w:sz w:val="21"/>
          <w:szCs w:val="21"/>
          <w:highlight w:val="none"/>
        </w:rPr>
        <w:t>投标（响应）文件签订分包</w:t>
      </w:r>
      <w:r>
        <w:rPr>
          <w:rFonts w:hint="eastAsia" w:ascii="宋体" w:hAnsi="宋体"/>
          <w:color w:val="auto"/>
          <w:sz w:val="21"/>
          <w:szCs w:val="21"/>
          <w:highlight w:val="none"/>
          <w:lang w:eastAsia="zh-CN"/>
        </w:rPr>
        <w:t>意向</w:t>
      </w:r>
      <w:r>
        <w:rPr>
          <w:rFonts w:hint="eastAsia" w:ascii="宋体" w:hAnsi="宋体"/>
          <w:color w:val="auto"/>
          <w:sz w:val="21"/>
          <w:szCs w:val="21"/>
          <w:highlight w:val="none"/>
        </w:rPr>
        <w:t>协议，分包</w:t>
      </w:r>
      <w:r>
        <w:rPr>
          <w:rFonts w:hint="eastAsia" w:ascii="宋体" w:hAnsi="宋体"/>
          <w:color w:val="auto"/>
          <w:sz w:val="21"/>
          <w:szCs w:val="21"/>
          <w:highlight w:val="none"/>
          <w:lang w:eastAsia="zh-CN"/>
        </w:rPr>
        <w:t>意向</w:t>
      </w:r>
      <w:r>
        <w:rPr>
          <w:rFonts w:hint="eastAsia" w:ascii="宋体" w:hAnsi="宋体"/>
          <w:color w:val="auto"/>
          <w:sz w:val="21"/>
          <w:szCs w:val="21"/>
          <w:highlight w:val="none"/>
        </w:rPr>
        <w:t>协议属于本合同组成部分。</w:t>
      </w:r>
    </w:p>
    <w:p w14:paraId="5A260B9D">
      <w:pPr>
        <w:autoSpaceDE w:val="0"/>
        <w:autoSpaceDN w:val="0"/>
        <w:adjustRightInd w:val="0"/>
        <w:snapToGrid w:val="0"/>
        <w:spacing w:before="0" w:line="400" w:lineRule="exact"/>
        <w:jc w:val="left"/>
        <w:rPr>
          <w:rFonts w:ascii="宋体" w:hAnsi="宋体"/>
          <w:b/>
          <w:bCs/>
          <w:color w:val="auto"/>
          <w:sz w:val="21"/>
          <w:szCs w:val="21"/>
          <w:highlight w:val="none"/>
        </w:rPr>
      </w:pPr>
      <w:r>
        <w:rPr>
          <w:rFonts w:hint="eastAsia" w:ascii="宋体" w:hAnsi="宋体"/>
          <w:b/>
          <w:bCs/>
          <w:color w:val="auto"/>
          <w:sz w:val="21"/>
          <w:szCs w:val="21"/>
          <w:highlight w:val="none"/>
          <w:lang w:eastAsia="zh-CN"/>
        </w:rPr>
        <w:t>1</w:t>
      </w:r>
      <w:r>
        <w:rPr>
          <w:rFonts w:hint="eastAsia" w:ascii="宋体" w:hAnsi="宋体"/>
          <w:b/>
          <w:bCs/>
          <w:color w:val="auto"/>
          <w:sz w:val="21"/>
          <w:szCs w:val="21"/>
          <w:highlight w:val="none"/>
          <w:lang w:val="en-US" w:eastAsia="zh-CN"/>
        </w:rPr>
        <w:t>8</w:t>
      </w:r>
      <w:r>
        <w:rPr>
          <w:rFonts w:hint="eastAsia" w:ascii="宋体" w:hAnsi="宋体"/>
          <w:b/>
          <w:bCs/>
          <w:color w:val="auto"/>
          <w:sz w:val="21"/>
          <w:szCs w:val="21"/>
          <w:highlight w:val="none"/>
        </w:rPr>
        <w:t>.</w:t>
      </w:r>
      <w:r>
        <w:rPr>
          <w:rFonts w:hint="eastAsia" w:ascii="宋体" w:hAnsi="宋体"/>
          <w:b/>
          <w:bCs/>
          <w:color w:val="auto"/>
          <w:sz w:val="21"/>
          <w:szCs w:val="21"/>
          <w:highlight w:val="none"/>
          <w:lang w:val="en-US" w:eastAsia="zh-CN"/>
        </w:rPr>
        <w:t xml:space="preserve"> </w:t>
      </w:r>
      <w:r>
        <w:rPr>
          <w:rFonts w:hint="eastAsia" w:ascii="宋体" w:hAnsi="宋体"/>
          <w:b/>
          <w:bCs/>
          <w:color w:val="auto"/>
          <w:sz w:val="21"/>
          <w:szCs w:val="21"/>
          <w:highlight w:val="none"/>
        </w:rPr>
        <w:t>不可抗力</w:t>
      </w:r>
    </w:p>
    <w:p w14:paraId="72609280">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lang w:eastAsia="zh-CN"/>
        </w:rPr>
        <w:t>1</w:t>
      </w:r>
      <w:r>
        <w:rPr>
          <w:rFonts w:hint="eastAsia" w:ascii="宋体" w:hAnsi="宋体"/>
          <w:color w:val="auto"/>
          <w:sz w:val="21"/>
          <w:szCs w:val="21"/>
          <w:highlight w:val="none"/>
          <w:lang w:val="en-US" w:eastAsia="zh-CN"/>
        </w:rPr>
        <w:t>8</w:t>
      </w:r>
      <w:r>
        <w:rPr>
          <w:rFonts w:hint="eastAsia" w:ascii="宋体" w:hAnsi="宋体"/>
          <w:color w:val="auto"/>
          <w:sz w:val="21"/>
          <w:szCs w:val="21"/>
          <w:highlight w:val="none"/>
        </w:rPr>
        <w:t>.1 不可抗力是指合同双方不能预见、不能避免且不能克服的客观情况。</w:t>
      </w:r>
    </w:p>
    <w:p w14:paraId="646CC332">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lang w:eastAsia="zh-CN"/>
        </w:rPr>
        <w:t>1</w:t>
      </w:r>
      <w:r>
        <w:rPr>
          <w:rFonts w:hint="eastAsia" w:ascii="宋体" w:hAnsi="宋体"/>
          <w:color w:val="auto"/>
          <w:sz w:val="21"/>
          <w:szCs w:val="21"/>
          <w:highlight w:val="none"/>
          <w:lang w:val="en-US" w:eastAsia="zh-CN"/>
        </w:rPr>
        <w:t>8</w:t>
      </w:r>
      <w:r>
        <w:rPr>
          <w:rFonts w:hint="eastAsia" w:ascii="宋体" w:hAnsi="宋体"/>
          <w:color w:val="auto"/>
          <w:sz w:val="21"/>
          <w:szCs w:val="21"/>
          <w:highlight w:val="none"/>
        </w:rPr>
        <w:t>.2 任何一方对由于不可抗力造成的部分或全部不能履行合同不承担违约责任。但迟延履行后发生不可抗力的，不能免除责任。</w:t>
      </w:r>
    </w:p>
    <w:p w14:paraId="7B867096">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lang w:eastAsia="zh-CN"/>
        </w:rPr>
        <w:t>1</w:t>
      </w:r>
      <w:r>
        <w:rPr>
          <w:rFonts w:hint="eastAsia" w:ascii="宋体" w:hAnsi="宋体"/>
          <w:color w:val="auto"/>
          <w:sz w:val="21"/>
          <w:szCs w:val="21"/>
          <w:highlight w:val="none"/>
          <w:lang w:val="en-US" w:eastAsia="zh-CN"/>
        </w:rPr>
        <w:t>8</w:t>
      </w:r>
      <w:r>
        <w:rPr>
          <w:rFonts w:hint="eastAsia" w:ascii="宋体" w:hAnsi="宋体"/>
          <w:color w:val="auto"/>
          <w:sz w:val="21"/>
          <w:szCs w:val="21"/>
          <w:highlight w:val="none"/>
        </w:rPr>
        <w:t>.3 遇有不可抗力的一方，应及时将事件情况以书面形式</w:t>
      </w:r>
      <w:r>
        <w:rPr>
          <w:rFonts w:hint="eastAsia" w:ascii="宋体" w:hAnsi="宋体"/>
          <w:color w:val="auto"/>
          <w:sz w:val="21"/>
          <w:szCs w:val="21"/>
          <w:highlight w:val="none"/>
          <w:lang w:eastAsia="zh-CN"/>
        </w:rPr>
        <w:t>告</w:t>
      </w:r>
      <w:r>
        <w:rPr>
          <w:rFonts w:hint="eastAsia" w:ascii="宋体" w:hAnsi="宋体"/>
          <w:color w:val="auto"/>
          <w:sz w:val="21"/>
          <w:szCs w:val="21"/>
          <w:highlight w:val="none"/>
        </w:rPr>
        <w:t>知另一方，并在事件发生后及时向另一方提交合同不能履行或部分不能履行或需要延期履行</w:t>
      </w:r>
      <w:r>
        <w:rPr>
          <w:rFonts w:hint="eastAsia" w:ascii="宋体" w:hAnsi="宋体"/>
          <w:color w:val="auto"/>
          <w:sz w:val="21"/>
          <w:szCs w:val="21"/>
          <w:highlight w:val="none"/>
          <w:lang w:eastAsia="zh-CN"/>
        </w:rPr>
        <w:t>的详细</w:t>
      </w:r>
      <w:r>
        <w:rPr>
          <w:rFonts w:hint="eastAsia" w:ascii="宋体" w:hAnsi="宋体"/>
          <w:color w:val="auto"/>
          <w:sz w:val="21"/>
          <w:szCs w:val="21"/>
          <w:highlight w:val="none"/>
        </w:rPr>
        <w:t>报告</w:t>
      </w:r>
      <w:r>
        <w:rPr>
          <w:rFonts w:hint="eastAsia" w:ascii="宋体" w:hAnsi="宋体"/>
          <w:color w:val="auto"/>
          <w:sz w:val="21"/>
          <w:szCs w:val="21"/>
          <w:highlight w:val="none"/>
          <w:lang w:eastAsia="zh-CN"/>
        </w:rPr>
        <w:t>，以</w:t>
      </w:r>
      <w:r>
        <w:rPr>
          <w:rFonts w:hint="eastAsia" w:ascii="宋体" w:hAnsi="宋体"/>
          <w:color w:val="auto"/>
          <w:sz w:val="21"/>
          <w:szCs w:val="21"/>
          <w:highlight w:val="none"/>
          <w:lang w:val="en-US" w:eastAsia="zh-CN"/>
        </w:rPr>
        <w:t>及证明不可抗力发生及其持续时间的证据</w:t>
      </w:r>
      <w:r>
        <w:rPr>
          <w:rFonts w:hint="eastAsia" w:ascii="宋体" w:hAnsi="宋体"/>
          <w:color w:val="auto"/>
          <w:sz w:val="21"/>
          <w:szCs w:val="21"/>
          <w:highlight w:val="none"/>
        </w:rPr>
        <w:t>。</w:t>
      </w:r>
    </w:p>
    <w:p w14:paraId="211A090D">
      <w:pPr>
        <w:autoSpaceDE w:val="0"/>
        <w:autoSpaceDN w:val="0"/>
        <w:adjustRightInd w:val="0"/>
        <w:snapToGrid w:val="0"/>
        <w:spacing w:before="0" w:line="400" w:lineRule="exact"/>
        <w:jc w:val="left"/>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rPr>
        <w:t>19</w:t>
      </w:r>
      <w:r>
        <w:rPr>
          <w:rFonts w:hint="eastAsia" w:ascii="宋体" w:hAnsi="宋体"/>
          <w:b/>
          <w:bCs/>
          <w:color w:val="auto"/>
          <w:sz w:val="21"/>
          <w:szCs w:val="21"/>
          <w:highlight w:val="none"/>
        </w:rPr>
        <w:t>.</w:t>
      </w:r>
      <w:r>
        <w:rPr>
          <w:rFonts w:hint="eastAsia" w:ascii="宋体" w:hAnsi="宋体"/>
          <w:b/>
          <w:bCs/>
          <w:color w:val="auto"/>
          <w:sz w:val="21"/>
          <w:szCs w:val="21"/>
          <w:highlight w:val="none"/>
          <w:lang w:val="en-US" w:eastAsia="zh-CN"/>
        </w:rPr>
        <w:t xml:space="preserve"> </w:t>
      </w:r>
      <w:r>
        <w:rPr>
          <w:rFonts w:hint="eastAsia" w:ascii="宋体" w:hAnsi="宋体"/>
          <w:b/>
          <w:bCs/>
          <w:color w:val="auto"/>
          <w:sz w:val="21"/>
          <w:szCs w:val="21"/>
          <w:highlight w:val="none"/>
        </w:rPr>
        <w:t>解决争议的方法</w:t>
      </w:r>
    </w:p>
    <w:p w14:paraId="06F3123B">
      <w:pPr>
        <w:pStyle w:val="42"/>
        <w:jc w:val="both"/>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19</w:t>
      </w:r>
      <w:r>
        <w:rPr>
          <w:rFonts w:hint="eastAsia" w:ascii="宋体" w:hAnsi="宋体" w:eastAsia="宋体" w:cs="宋体"/>
          <w:color w:val="auto"/>
          <w:sz w:val="21"/>
          <w:szCs w:val="21"/>
        </w:rPr>
        <w:t>.1 因本合同及合同有关事项发生的争议，由</w:t>
      </w:r>
      <w:r>
        <w:rPr>
          <w:rFonts w:hint="eastAsia" w:ascii="宋体" w:hAnsi="宋体" w:eastAsia="宋体" w:cs="宋体"/>
          <w:color w:val="auto"/>
          <w:sz w:val="21"/>
          <w:szCs w:val="21"/>
          <w:lang w:eastAsia="zh-CN"/>
        </w:rPr>
        <w:t>甲乙双</w:t>
      </w:r>
      <w:r>
        <w:rPr>
          <w:rFonts w:hint="eastAsia" w:ascii="宋体" w:hAnsi="宋体" w:eastAsia="宋体" w:cs="宋体"/>
          <w:color w:val="auto"/>
          <w:sz w:val="21"/>
          <w:szCs w:val="21"/>
        </w:rPr>
        <w:t>方友好协商解决。协商不成时，可以</w:t>
      </w:r>
      <w:r>
        <w:rPr>
          <w:rFonts w:hint="eastAsia" w:ascii="宋体" w:hAnsi="宋体" w:eastAsia="宋体" w:cs="宋体"/>
          <w:color w:val="auto"/>
          <w:sz w:val="21"/>
          <w:szCs w:val="21"/>
          <w:lang w:eastAsia="zh-CN"/>
        </w:rPr>
        <w:t>向有关组织申请</w:t>
      </w:r>
      <w:r>
        <w:rPr>
          <w:rFonts w:hint="eastAsia" w:ascii="宋体" w:hAnsi="宋体" w:eastAsia="宋体" w:cs="宋体"/>
          <w:color w:val="auto"/>
          <w:sz w:val="21"/>
          <w:szCs w:val="21"/>
        </w:rPr>
        <w:t>调解。合同一方或</w:t>
      </w:r>
      <w:r>
        <w:rPr>
          <w:rFonts w:hint="eastAsia" w:ascii="宋体" w:hAnsi="宋体" w:eastAsia="宋体" w:cs="宋体"/>
          <w:color w:val="auto"/>
          <w:sz w:val="21"/>
          <w:szCs w:val="21"/>
          <w:lang w:eastAsia="zh-CN"/>
        </w:rPr>
        <w:t>双</w:t>
      </w:r>
      <w:r>
        <w:rPr>
          <w:rFonts w:hint="eastAsia" w:ascii="宋体" w:hAnsi="宋体" w:eastAsia="宋体" w:cs="宋体"/>
          <w:color w:val="auto"/>
          <w:sz w:val="21"/>
          <w:szCs w:val="21"/>
        </w:rPr>
        <w:t>方不愿调解或调解不成的，可以通过仲裁或诉讼的方式解决争议。</w:t>
      </w:r>
    </w:p>
    <w:p w14:paraId="42C21583">
      <w:pPr>
        <w:pStyle w:val="42"/>
        <w:jc w:val="both"/>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19</w:t>
      </w:r>
      <w:r>
        <w:rPr>
          <w:rFonts w:hint="eastAsia" w:ascii="宋体" w:hAnsi="宋体" w:eastAsia="宋体" w:cs="宋体"/>
          <w:color w:val="auto"/>
          <w:sz w:val="21"/>
          <w:szCs w:val="21"/>
        </w:rPr>
        <w:t>.2 选择仲裁的，应在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rPr>
        <w:t>中明确仲裁机构及仲裁地；通过诉讼方式解决的，可以在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rPr>
        <w:t>中进一步约定选择与争议有实际联系的地点的人民法院管辖，但管辖法院的约定不得违反级别管辖和专属管辖的规定。</w:t>
      </w:r>
    </w:p>
    <w:p w14:paraId="7248137D">
      <w:pPr>
        <w:pStyle w:val="42"/>
        <w:jc w:val="both"/>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19</w:t>
      </w:r>
      <w:r>
        <w:rPr>
          <w:rFonts w:hint="eastAsia" w:ascii="宋体" w:hAnsi="宋体" w:eastAsia="宋体" w:cs="宋体"/>
          <w:color w:val="auto"/>
          <w:sz w:val="21"/>
          <w:szCs w:val="21"/>
        </w:rPr>
        <w:t>.3 如</w:t>
      </w:r>
      <w:r>
        <w:rPr>
          <w:rFonts w:hint="eastAsia" w:ascii="宋体" w:hAnsi="宋体" w:eastAsia="宋体" w:cs="宋体"/>
          <w:color w:val="auto"/>
          <w:sz w:val="21"/>
          <w:szCs w:val="21"/>
          <w:lang w:eastAsia="zh-CN"/>
        </w:rPr>
        <w:t>甲乙双方</w:t>
      </w:r>
      <w:r>
        <w:rPr>
          <w:rFonts w:hint="eastAsia" w:ascii="宋体" w:hAnsi="宋体" w:eastAsia="宋体" w:cs="宋体"/>
          <w:color w:val="auto"/>
          <w:sz w:val="21"/>
          <w:szCs w:val="21"/>
        </w:rPr>
        <w:t>有争议的事项不影响合同其他部分的履行，在争议解决期间，合同其他部分应</w:t>
      </w:r>
      <w:r>
        <w:rPr>
          <w:rFonts w:hint="eastAsia" w:ascii="宋体" w:hAnsi="宋体" w:eastAsia="宋体" w:cs="宋体"/>
          <w:color w:val="auto"/>
          <w:sz w:val="21"/>
          <w:szCs w:val="21"/>
          <w:lang w:eastAsia="zh-CN"/>
        </w:rPr>
        <w:t>当</w:t>
      </w:r>
      <w:r>
        <w:rPr>
          <w:rFonts w:hint="eastAsia" w:ascii="宋体" w:hAnsi="宋体" w:eastAsia="宋体" w:cs="宋体"/>
          <w:color w:val="auto"/>
          <w:sz w:val="21"/>
          <w:szCs w:val="21"/>
        </w:rPr>
        <w:t>继续履行。</w:t>
      </w:r>
    </w:p>
    <w:p w14:paraId="5834F987">
      <w:pPr>
        <w:autoSpaceDE w:val="0"/>
        <w:autoSpaceDN w:val="0"/>
        <w:adjustRightInd w:val="0"/>
        <w:snapToGrid w:val="0"/>
        <w:spacing w:before="0" w:line="400" w:lineRule="exact"/>
        <w:jc w:val="left"/>
        <w:rPr>
          <w:rFonts w:ascii="宋体" w:hAnsi="宋体"/>
          <w:color w:val="auto"/>
          <w:sz w:val="21"/>
          <w:szCs w:val="21"/>
          <w:highlight w:val="none"/>
        </w:rPr>
      </w:pPr>
      <w:r>
        <w:rPr>
          <w:rFonts w:hint="eastAsia" w:ascii="宋体" w:hAnsi="宋体"/>
          <w:b/>
          <w:color w:val="auto"/>
          <w:sz w:val="21"/>
          <w:szCs w:val="21"/>
          <w:highlight w:val="none"/>
          <w:lang w:val="en-US" w:eastAsia="zh-CN"/>
        </w:rPr>
        <w:t>20</w:t>
      </w:r>
      <w:r>
        <w:rPr>
          <w:rFonts w:hint="eastAsia" w:ascii="宋体" w:hAnsi="宋体"/>
          <w:b/>
          <w:color w:val="auto"/>
          <w:sz w:val="21"/>
          <w:szCs w:val="21"/>
          <w:highlight w:val="none"/>
        </w:rPr>
        <w:t>.</w:t>
      </w:r>
      <w:r>
        <w:rPr>
          <w:rFonts w:hint="eastAsia" w:ascii="宋体" w:hAnsi="宋体"/>
          <w:b/>
          <w:color w:val="auto"/>
          <w:sz w:val="21"/>
          <w:szCs w:val="21"/>
          <w:highlight w:val="none"/>
          <w:lang w:val="en-US" w:eastAsia="zh-CN"/>
        </w:rPr>
        <w:t xml:space="preserve"> </w:t>
      </w:r>
      <w:r>
        <w:rPr>
          <w:rFonts w:hint="eastAsia" w:ascii="宋体" w:hAnsi="宋体"/>
          <w:b/>
          <w:color w:val="auto"/>
          <w:sz w:val="21"/>
          <w:szCs w:val="21"/>
          <w:highlight w:val="none"/>
        </w:rPr>
        <w:t>政府采购政策</w:t>
      </w:r>
    </w:p>
    <w:p w14:paraId="7120D241">
      <w:pPr>
        <w:autoSpaceDE w:val="0"/>
        <w:autoSpaceDN w:val="0"/>
        <w:adjustRightInd w:val="0"/>
        <w:snapToGrid w:val="0"/>
        <w:spacing w:before="0" w:line="400" w:lineRule="exact"/>
        <w:ind w:firstLine="420" w:firstLineChars="200"/>
        <w:jc w:val="left"/>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20.1 </w:t>
      </w:r>
      <w:r>
        <w:rPr>
          <w:rFonts w:hint="eastAsia" w:ascii="宋体" w:hAnsi="宋体" w:eastAsia="宋体" w:cs="宋体"/>
          <w:color w:val="auto"/>
          <w:sz w:val="21"/>
          <w:szCs w:val="21"/>
          <w:lang w:val="en-GB"/>
        </w:rPr>
        <w:t>本合同应当按照规定执行政府采购政策。</w:t>
      </w:r>
    </w:p>
    <w:p w14:paraId="4E61BC8F">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ascii="宋体" w:hAnsi="宋体"/>
          <w:color w:val="auto"/>
          <w:sz w:val="21"/>
          <w:szCs w:val="21"/>
          <w:highlight w:val="none"/>
        </w:rPr>
        <w:t>2</w:t>
      </w:r>
      <w:r>
        <w:rPr>
          <w:rFonts w:hint="eastAsia" w:ascii="宋体" w:hAnsi="宋体"/>
          <w:color w:val="auto"/>
          <w:sz w:val="21"/>
          <w:szCs w:val="21"/>
          <w:highlight w:val="none"/>
          <w:lang w:val="en-US" w:eastAsia="zh-CN"/>
        </w:rPr>
        <w:t>0</w:t>
      </w: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2</w:t>
      </w:r>
      <w:r>
        <w:rPr>
          <w:rFonts w:hint="eastAsia" w:ascii="宋体" w:hAnsi="宋体"/>
          <w:color w:val="auto"/>
          <w:sz w:val="21"/>
          <w:szCs w:val="21"/>
          <w:highlight w:val="none"/>
        </w:rPr>
        <w:t xml:space="preserve"> 本合同依法执行政府采购政策的方式和内容，属于合同履约验收的范围。</w:t>
      </w:r>
      <w:r>
        <w:rPr>
          <w:rFonts w:hint="eastAsia" w:ascii="宋体" w:hAnsi="宋体" w:eastAsia="宋体" w:cs="宋体"/>
          <w:color w:val="auto"/>
          <w:sz w:val="21"/>
          <w:szCs w:val="21"/>
          <w:lang w:eastAsia="zh-CN"/>
        </w:rPr>
        <w:t>甲乙双方</w:t>
      </w:r>
      <w:r>
        <w:rPr>
          <w:rFonts w:hint="eastAsia" w:ascii="宋体" w:hAnsi="宋体" w:eastAsia="宋体" w:cs="宋体"/>
          <w:color w:val="auto"/>
          <w:sz w:val="21"/>
          <w:szCs w:val="21"/>
          <w:lang w:val="en-GB"/>
        </w:rPr>
        <w:t>未按规定要求执行政府采购政策造成损失的</w:t>
      </w:r>
      <w:r>
        <w:rPr>
          <w:rFonts w:hint="eastAsia" w:ascii="宋体" w:hAnsi="宋体"/>
          <w:color w:val="auto"/>
          <w:sz w:val="21"/>
          <w:szCs w:val="21"/>
          <w:highlight w:val="none"/>
        </w:rPr>
        <w:t>，有过错的一方应当承担赔偿责任，双方都有过错的，各自承担相应的责任。</w:t>
      </w:r>
    </w:p>
    <w:p w14:paraId="43F5212A">
      <w:pPr>
        <w:pStyle w:val="10"/>
        <w:spacing w:after="0" w:line="400" w:lineRule="exact"/>
        <w:ind w:firstLine="420" w:firstLineChars="200"/>
        <w:rPr>
          <w:color w:val="auto"/>
          <w:sz w:val="21"/>
          <w:szCs w:val="21"/>
          <w:highlight w:val="none"/>
        </w:rPr>
      </w:pPr>
      <w:r>
        <w:rPr>
          <w:rFonts w:ascii="宋体" w:hAnsi="宋体"/>
          <w:color w:val="auto"/>
          <w:sz w:val="21"/>
          <w:szCs w:val="21"/>
          <w:highlight w:val="none"/>
        </w:rPr>
        <w:t>2</w:t>
      </w:r>
      <w:r>
        <w:rPr>
          <w:rFonts w:hint="eastAsia" w:ascii="宋体" w:hAnsi="宋体"/>
          <w:color w:val="auto"/>
          <w:sz w:val="21"/>
          <w:szCs w:val="21"/>
          <w:highlight w:val="none"/>
          <w:lang w:val="en-US" w:eastAsia="zh-CN"/>
        </w:rPr>
        <w:t>0</w:t>
      </w: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3</w:t>
      </w:r>
      <w:r>
        <w:rPr>
          <w:rFonts w:hint="eastAsia" w:ascii="宋体" w:hAnsi="宋体"/>
          <w:color w:val="auto"/>
          <w:sz w:val="21"/>
          <w:szCs w:val="21"/>
          <w:highlight w:val="none"/>
        </w:rPr>
        <w:t xml:space="preserve"> 对于</w:t>
      </w:r>
      <w:r>
        <w:rPr>
          <w:rFonts w:hint="eastAsia" w:ascii="宋体" w:hAnsi="宋体"/>
          <w:color w:val="auto"/>
          <w:sz w:val="21"/>
          <w:szCs w:val="21"/>
          <w:highlight w:val="none"/>
          <w:lang w:eastAsia="zh-CN"/>
        </w:rPr>
        <w:t>为落实中小企业支持政策，</w:t>
      </w:r>
      <w:r>
        <w:rPr>
          <w:rFonts w:hint="eastAsia" w:ascii="宋体" w:hAnsi="宋体"/>
          <w:color w:val="auto"/>
          <w:sz w:val="21"/>
          <w:szCs w:val="21"/>
          <w:highlight w:val="none"/>
        </w:rPr>
        <w:t>通过采购项目</w:t>
      </w:r>
      <w:r>
        <w:rPr>
          <w:rFonts w:hint="eastAsia" w:ascii="宋体" w:hAnsi="宋体"/>
          <w:color w:val="auto"/>
          <w:sz w:val="21"/>
          <w:szCs w:val="21"/>
          <w:highlight w:val="none"/>
          <w:lang w:eastAsia="zh-CN"/>
        </w:rPr>
        <w:t>整体</w:t>
      </w:r>
      <w:r>
        <w:rPr>
          <w:rFonts w:hint="eastAsia" w:ascii="宋体" w:hAnsi="宋体"/>
          <w:color w:val="auto"/>
          <w:sz w:val="21"/>
          <w:szCs w:val="21"/>
          <w:highlight w:val="none"/>
        </w:rPr>
        <w:t>预留、</w:t>
      </w:r>
      <w:r>
        <w:rPr>
          <w:rFonts w:hint="eastAsia" w:ascii="宋体" w:hAnsi="宋体"/>
          <w:color w:val="auto"/>
          <w:sz w:val="21"/>
          <w:szCs w:val="21"/>
          <w:highlight w:val="none"/>
          <w:lang w:eastAsia="zh-CN"/>
        </w:rPr>
        <w:t>设置</w:t>
      </w:r>
      <w:r>
        <w:rPr>
          <w:rFonts w:hint="eastAsia" w:ascii="宋体" w:hAnsi="宋体"/>
          <w:color w:val="auto"/>
          <w:sz w:val="21"/>
          <w:szCs w:val="21"/>
          <w:highlight w:val="none"/>
        </w:rPr>
        <w:t>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526599B7">
      <w:pPr>
        <w:autoSpaceDE w:val="0"/>
        <w:autoSpaceDN w:val="0"/>
        <w:adjustRightInd w:val="0"/>
        <w:snapToGrid w:val="0"/>
        <w:spacing w:before="0" w:line="400" w:lineRule="exact"/>
        <w:jc w:val="left"/>
        <w:rPr>
          <w:rFonts w:hint="eastAsia" w:ascii="宋体" w:hAnsi="宋体"/>
          <w:b/>
          <w:color w:val="auto"/>
          <w:sz w:val="21"/>
          <w:szCs w:val="21"/>
          <w:highlight w:val="none"/>
        </w:rPr>
      </w:pPr>
      <w:r>
        <w:rPr>
          <w:rFonts w:hint="eastAsia" w:ascii="宋体" w:hAnsi="宋体"/>
          <w:b/>
          <w:color w:val="auto"/>
          <w:sz w:val="21"/>
          <w:szCs w:val="21"/>
          <w:highlight w:val="none"/>
        </w:rPr>
        <w:t>2</w:t>
      </w:r>
      <w:r>
        <w:rPr>
          <w:rFonts w:hint="eastAsia" w:ascii="宋体" w:hAnsi="宋体"/>
          <w:b/>
          <w:color w:val="auto"/>
          <w:sz w:val="21"/>
          <w:szCs w:val="21"/>
          <w:highlight w:val="none"/>
          <w:lang w:val="en-US" w:eastAsia="zh-CN"/>
        </w:rPr>
        <w:t>1</w:t>
      </w:r>
      <w:r>
        <w:rPr>
          <w:rFonts w:hint="eastAsia" w:ascii="宋体" w:hAnsi="宋体"/>
          <w:b/>
          <w:color w:val="auto"/>
          <w:sz w:val="21"/>
          <w:szCs w:val="21"/>
          <w:highlight w:val="none"/>
        </w:rPr>
        <w:t>.</w:t>
      </w:r>
      <w:r>
        <w:rPr>
          <w:rFonts w:hint="eastAsia" w:ascii="宋体" w:hAnsi="宋体"/>
          <w:b/>
          <w:color w:val="auto"/>
          <w:sz w:val="21"/>
          <w:szCs w:val="21"/>
          <w:highlight w:val="none"/>
          <w:lang w:val="en-US" w:eastAsia="zh-CN"/>
        </w:rPr>
        <w:t xml:space="preserve"> </w:t>
      </w:r>
      <w:r>
        <w:rPr>
          <w:rFonts w:hint="eastAsia" w:ascii="宋体" w:hAnsi="宋体"/>
          <w:b/>
          <w:color w:val="auto"/>
          <w:sz w:val="21"/>
          <w:szCs w:val="21"/>
          <w:highlight w:val="none"/>
        </w:rPr>
        <w:t>法律适用</w:t>
      </w:r>
    </w:p>
    <w:p w14:paraId="17178E5B">
      <w:pPr>
        <w:pStyle w:val="42"/>
        <w:jc w:val="both"/>
        <w:rPr>
          <w:rFonts w:hint="eastAsia" w:ascii="宋体" w:hAnsi="宋体" w:eastAsia="宋体" w:cs="宋体"/>
          <w:color w:val="auto"/>
          <w:sz w:val="21"/>
          <w:szCs w:val="21"/>
        </w:rPr>
      </w:pPr>
      <w:r>
        <w:rPr>
          <w:rFonts w:hint="eastAsia" w:ascii="宋体" w:hAnsi="宋体" w:eastAsia="宋体" w:cs="宋体"/>
          <w:color w:val="auto"/>
          <w:sz w:val="21"/>
          <w:szCs w:val="21"/>
        </w:rPr>
        <w:t>2</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.1 本合同的订立、生效、解释、履行及与本合同有关的争议解决，均适用法律、行政法规。</w:t>
      </w:r>
    </w:p>
    <w:p w14:paraId="39F05292">
      <w:pPr>
        <w:pStyle w:val="42"/>
        <w:jc w:val="both"/>
        <w:rPr>
          <w:rFonts w:hint="eastAsia" w:ascii="宋体" w:hAnsi="宋体" w:eastAsia="宋体" w:cs="宋体"/>
          <w:color w:val="auto"/>
          <w:sz w:val="21"/>
          <w:szCs w:val="21"/>
        </w:rPr>
      </w:pPr>
      <w:r>
        <w:rPr>
          <w:rFonts w:hint="eastAsia" w:ascii="宋体" w:hAnsi="宋体" w:eastAsia="宋体" w:cs="宋体"/>
          <w:color w:val="auto"/>
          <w:sz w:val="21"/>
          <w:szCs w:val="21"/>
        </w:rPr>
        <w:t>2</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.2 本合同条款与法律、行政法规的强制性规定不一致的，双方当事人应按照法律、行政法规的强制性规定修改本合同的相关条款。</w:t>
      </w:r>
    </w:p>
    <w:p w14:paraId="1A527DCE">
      <w:pPr>
        <w:numPr>
          <w:ilvl w:val="-1"/>
          <w:numId w:val="0"/>
        </w:numPr>
        <w:autoSpaceDE w:val="0"/>
        <w:autoSpaceDN w:val="0"/>
        <w:adjustRightInd w:val="0"/>
        <w:snapToGrid w:val="0"/>
        <w:spacing w:before="0" w:line="400" w:lineRule="exact"/>
        <w:jc w:val="left"/>
        <w:rPr>
          <w:rFonts w:ascii="宋体" w:hAnsi="宋体"/>
          <w:b/>
          <w:color w:val="auto"/>
          <w:sz w:val="21"/>
          <w:szCs w:val="21"/>
          <w:highlight w:val="none"/>
        </w:rPr>
      </w:pPr>
      <w:r>
        <w:rPr>
          <w:rFonts w:hint="eastAsia" w:ascii="宋体" w:hAnsi="宋体"/>
          <w:b/>
          <w:color w:val="auto"/>
          <w:sz w:val="21"/>
          <w:szCs w:val="21"/>
          <w:highlight w:val="none"/>
          <w:lang w:val="en-US" w:eastAsia="zh-CN"/>
        </w:rPr>
        <w:t xml:space="preserve">22. </w:t>
      </w:r>
      <w:r>
        <w:rPr>
          <w:rFonts w:hint="eastAsia" w:ascii="宋体" w:hAnsi="宋体"/>
          <w:b/>
          <w:color w:val="auto"/>
          <w:sz w:val="21"/>
          <w:szCs w:val="21"/>
          <w:highlight w:val="none"/>
        </w:rPr>
        <w:t>通知</w:t>
      </w:r>
    </w:p>
    <w:p w14:paraId="2B021615">
      <w:pPr>
        <w:pStyle w:val="42"/>
        <w:jc w:val="both"/>
        <w:rPr>
          <w:rFonts w:hint="eastAsia" w:ascii="宋体" w:hAnsi="宋体" w:eastAsia="宋体" w:cs="宋体"/>
          <w:color w:val="auto"/>
          <w:sz w:val="21"/>
          <w:szCs w:val="21"/>
        </w:rPr>
      </w:pPr>
      <w:r>
        <w:rPr>
          <w:rFonts w:hint="eastAsia" w:ascii="宋体" w:hAnsi="宋体" w:eastAsia="宋体" w:cs="宋体"/>
          <w:color w:val="auto"/>
          <w:sz w:val="21"/>
          <w:szCs w:val="21"/>
        </w:rPr>
        <w:t>2</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.1</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本合同任何一方向对方发出的通知、信件、数据电文等，应当发送至本合同第一部分《政府采购合同协议书》所约定的通讯地址、联系人、联系电话或电子邮箱。</w:t>
      </w:r>
    </w:p>
    <w:p w14:paraId="53EA5A10">
      <w:pPr>
        <w:pStyle w:val="42"/>
        <w:ind w:firstLine="0" w:firstLineChars="0"/>
        <w:jc w:val="both"/>
        <w:rPr>
          <w:color w:val="auto"/>
          <w:sz w:val="21"/>
          <w:szCs w:val="21"/>
        </w:rPr>
      </w:pP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2</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.2</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一方当事人变更名称、</w:t>
      </w:r>
      <w:r>
        <w:rPr>
          <w:rFonts w:hint="eastAsia" w:ascii="宋体" w:hAnsi="宋体" w:eastAsia="宋体" w:cs="宋体"/>
          <w:color w:val="auto"/>
          <w:sz w:val="21"/>
          <w:szCs w:val="21"/>
          <w:lang w:eastAsia="zh-CN"/>
        </w:rPr>
        <w:t>住所</w:t>
      </w:r>
      <w:r>
        <w:rPr>
          <w:rFonts w:hint="eastAsia" w:ascii="宋体" w:hAnsi="宋体" w:eastAsia="宋体" w:cs="宋体"/>
          <w:color w:val="auto"/>
          <w:sz w:val="21"/>
          <w:szCs w:val="21"/>
        </w:rPr>
        <w:t>、联系人、联系电话或电子邮箱</w:t>
      </w:r>
      <w:r>
        <w:rPr>
          <w:rFonts w:hint="eastAsia" w:ascii="宋体" w:hAnsi="宋体" w:eastAsia="宋体" w:cs="宋体"/>
          <w:color w:val="auto"/>
          <w:sz w:val="21"/>
          <w:szCs w:val="21"/>
          <w:lang w:eastAsia="zh-CN"/>
        </w:rPr>
        <w:t>等信息</w:t>
      </w:r>
      <w:r>
        <w:rPr>
          <w:rFonts w:hint="eastAsia" w:ascii="宋体" w:hAnsi="宋体" w:eastAsia="宋体" w:cs="宋体"/>
          <w:color w:val="auto"/>
          <w:sz w:val="21"/>
          <w:szCs w:val="21"/>
        </w:rPr>
        <w:t>的，应当在变更后3日内及时书面通知对方，对方实际收到变更通知前的送达仍为有效送达。</w:t>
      </w:r>
    </w:p>
    <w:p w14:paraId="51E57F62">
      <w:pPr>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2</w:t>
      </w:r>
      <w:r>
        <w:rPr>
          <w:rFonts w:hint="eastAsia" w:ascii="宋体" w:hAnsi="宋体"/>
          <w:color w:val="auto"/>
          <w:sz w:val="21"/>
          <w:szCs w:val="21"/>
          <w:highlight w:val="none"/>
          <w:lang w:val="en-US" w:eastAsia="zh-CN"/>
        </w:rPr>
        <w:t>2</w:t>
      </w: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3</w:t>
      </w:r>
      <w:r>
        <w:rPr>
          <w:rFonts w:hint="eastAsia" w:ascii="宋体" w:hAnsi="宋体"/>
          <w:color w:val="auto"/>
          <w:sz w:val="21"/>
          <w:szCs w:val="21"/>
          <w:highlight w:val="none"/>
        </w:rPr>
        <w:t>本合同一方给另一方的通知均应采用书面形式，传真或快递送到本合同中规定的对方的地址和办理签收手续。</w:t>
      </w:r>
    </w:p>
    <w:p w14:paraId="410B23FB">
      <w:pPr>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2</w:t>
      </w:r>
      <w:r>
        <w:rPr>
          <w:rFonts w:hint="eastAsia" w:ascii="宋体" w:hAnsi="宋体"/>
          <w:color w:val="auto"/>
          <w:sz w:val="21"/>
          <w:szCs w:val="21"/>
          <w:highlight w:val="none"/>
          <w:lang w:val="en-US" w:eastAsia="zh-CN"/>
        </w:rPr>
        <w:t>2</w:t>
      </w: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4</w:t>
      </w:r>
      <w:r>
        <w:rPr>
          <w:rFonts w:hint="eastAsia" w:ascii="宋体" w:hAnsi="宋体"/>
          <w:color w:val="auto"/>
          <w:sz w:val="21"/>
          <w:szCs w:val="21"/>
          <w:highlight w:val="none"/>
        </w:rPr>
        <w:t>通知以送达之日或通知书中规定的生效之日起生效，两者中以较迟之日为准。</w:t>
      </w:r>
    </w:p>
    <w:p w14:paraId="0A16D0D3">
      <w:pPr>
        <w:numPr>
          <w:ilvl w:val="0"/>
          <w:numId w:val="9"/>
        </w:numPr>
        <w:adjustRightInd w:val="0"/>
        <w:snapToGrid w:val="0"/>
        <w:spacing w:before="0" w:line="400" w:lineRule="exact"/>
        <w:jc w:val="left"/>
        <w:rPr>
          <w:rFonts w:ascii="宋体" w:hAnsi="宋体"/>
          <w:b/>
          <w:bCs/>
          <w:color w:val="auto"/>
          <w:sz w:val="21"/>
          <w:szCs w:val="21"/>
          <w:highlight w:val="none"/>
        </w:rPr>
      </w:pPr>
      <w:r>
        <w:rPr>
          <w:rFonts w:hint="eastAsia" w:ascii="宋体" w:hAnsi="宋体"/>
          <w:b/>
          <w:bCs/>
          <w:color w:val="auto"/>
          <w:sz w:val="21"/>
          <w:szCs w:val="21"/>
          <w:highlight w:val="none"/>
        </w:rPr>
        <w:t>合同未尽事项</w:t>
      </w:r>
    </w:p>
    <w:p w14:paraId="05A0FFC6">
      <w:pPr>
        <w:adjustRightInd w:val="0"/>
        <w:snapToGrid w:val="0"/>
        <w:spacing w:before="0" w:line="400" w:lineRule="exact"/>
        <w:ind w:firstLine="420" w:firstLineChars="200"/>
        <w:jc w:val="left"/>
        <w:rPr>
          <w:rFonts w:hint="eastAsia" w:ascii="宋体" w:hAnsi="宋体"/>
          <w:bCs/>
          <w:color w:val="auto"/>
          <w:sz w:val="21"/>
          <w:szCs w:val="21"/>
          <w:highlight w:val="none"/>
        </w:rPr>
      </w:pPr>
      <w:r>
        <w:rPr>
          <w:rFonts w:hint="eastAsia" w:ascii="宋体" w:hAnsi="宋体"/>
          <w:bCs/>
          <w:color w:val="auto"/>
          <w:sz w:val="21"/>
          <w:szCs w:val="21"/>
          <w:highlight w:val="none"/>
        </w:rPr>
        <w:t>2</w:t>
      </w:r>
      <w:r>
        <w:rPr>
          <w:rFonts w:hint="eastAsia" w:ascii="宋体" w:hAnsi="宋体"/>
          <w:bCs/>
          <w:color w:val="auto"/>
          <w:sz w:val="21"/>
          <w:szCs w:val="21"/>
          <w:highlight w:val="none"/>
          <w:lang w:val="en-US" w:eastAsia="zh-CN"/>
        </w:rPr>
        <w:t>3</w:t>
      </w:r>
      <w:r>
        <w:rPr>
          <w:rFonts w:hint="eastAsia" w:ascii="宋体" w:hAnsi="宋体"/>
          <w:bCs/>
          <w:color w:val="auto"/>
          <w:sz w:val="21"/>
          <w:szCs w:val="21"/>
          <w:highlight w:val="none"/>
        </w:rPr>
        <w:t>.1合同未尽事项见</w:t>
      </w:r>
      <w:r>
        <w:rPr>
          <w:rFonts w:hint="eastAsia" w:ascii="宋体" w:hAnsi="宋体"/>
          <w:b/>
          <w:color w:val="auto"/>
          <w:sz w:val="21"/>
          <w:szCs w:val="21"/>
          <w:highlight w:val="none"/>
        </w:rPr>
        <w:t>【政府采购合同专用条款】</w:t>
      </w:r>
      <w:r>
        <w:rPr>
          <w:rFonts w:hint="eastAsia" w:ascii="宋体" w:hAnsi="宋体"/>
          <w:bCs/>
          <w:color w:val="auto"/>
          <w:sz w:val="21"/>
          <w:szCs w:val="21"/>
          <w:highlight w:val="none"/>
        </w:rPr>
        <w:t>。</w:t>
      </w:r>
    </w:p>
    <w:p w14:paraId="53BE23BD">
      <w:pPr>
        <w:adjustRightInd w:val="0"/>
        <w:snapToGrid w:val="0"/>
        <w:spacing w:line="400" w:lineRule="exact"/>
        <w:ind w:firstLine="0" w:firstLineChars="0"/>
        <w:jc w:val="left"/>
        <w:rPr>
          <w:rFonts w:ascii="黑体" w:hAnsi="华文中宋" w:eastAsia="黑体"/>
          <w:color w:val="auto"/>
          <w:sz w:val="21"/>
          <w:szCs w:val="21"/>
        </w:rPr>
      </w:pPr>
      <w:r>
        <w:rPr>
          <w:rFonts w:hint="eastAsia" w:ascii="宋体" w:hAnsi="宋体"/>
          <w:bCs/>
          <w:color w:val="auto"/>
          <w:sz w:val="21"/>
          <w:szCs w:val="21"/>
          <w:highlight w:val="none"/>
          <w:lang w:val="en-US" w:eastAsia="zh-CN"/>
        </w:rPr>
        <w:t xml:space="preserve">    23.2 合同附件与合同正文具有同等的法律效力。</w:t>
      </w:r>
      <w:bookmarkStart w:id="752" w:name="_Toc20313"/>
    </w:p>
    <w:p w14:paraId="66E5F2E4">
      <w:pPr>
        <w:adjustRightInd w:val="0"/>
        <w:snapToGrid w:val="0"/>
        <w:jc w:val="center"/>
        <w:rPr>
          <w:rFonts w:hint="eastAsia" w:ascii="黑体" w:hAnsi="华文中宋" w:eastAsia="黑体"/>
          <w:b w:val="0"/>
          <w:bCs w:val="0"/>
          <w:color w:val="auto"/>
          <w:sz w:val="21"/>
          <w:szCs w:val="21"/>
        </w:rPr>
      </w:pPr>
      <w:r>
        <w:rPr>
          <w:rFonts w:hint="eastAsia" w:ascii="黑体" w:hAnsi="华文中宋" w:eastAsia="黑体"/>
          <w:b w:val="0"/>
          <w:bCs w:val="0"/>
          <w:color w:val="auto"/>
          <w:sz w:val="21"/>
          <w:szCs w:val="21"/>
        </w:rPr>
        <w:br w:type="page"/>
      </w:r>
    </w:p>
    <w:p w14:paraId="57090E8C">
      <w:pPr>
        <w:pStyle w:val="4"/>
        <w:adjustRightInd w:val="0"/>
        <w:snapToGrid w:val="0"/>
        <w:jc w:val="center"/>
        <w:rPr>
          <w:rFonts w:ascii="黑体" w:hAnsi="华文中宋" w:eastAsia="黑体"/>
          <w:b w:val="0"/>
          <w:bCs w:val="0"/>
          <w:color w:val="auto"/>
          <w:sz w:val="21"/>
          <w:szCs w:val="21"/>
        </w:rPr>
      </w:pPr>
      <w:bookmarkStart w:id="753" w:name="_Toc5614"/>
      <w:r>
        <w:rPr>
          <w:rFonts w:hint="eastAsia" w:ascii="黑体" w:hAnsi="华文中宋" w:eastAsia="黑体"/>
          <w:b w:val="0"/>
          <w:bCs w:val="0"/>
          <w:color w:val="auto"/>
          <w:sz w:val="21"/>
          <w:szCs w:val="21"/>
        </w:rPr>
        <w:t>第三节 政府采购合同专用条款</w:t>
      </w:r>
      <w:bookmarkEnd w:id="752"/>
      <w:bookmarkEnd w:id="753"/>
    </w:p>
    <w:tbl>
      <w:tblPr>
        <w:tblStyle w:val="30"/>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10B1651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76725A6">
            <w:pPr>
              <w:adjustRightInd w:val="0"/>
              <w:snapToGrid w:val="0"/>
              <w:jc w:val="center"/>
              <w:rPr>
                <w:rFonts w:ascii="宋体" w:hAnsi="宋体"/>
                <w:color w:val="auto"/>
                <w:sz w:val="21"/>
                <w:szCs w:val="21"/>
              </w:rPr>
            </w:pPr>
            <w:r>
              <w:rPr>
                <w:rFonts w:hint="eastAsia" w:ascii="宋体" w:hAnsi="宋体"/>
                <w:color w:val="auto"/>
                <w:sz w:val="21"/>
                <w:szCs w:val="21"/>
              </w:rPr>
              <w:t>第二节</w:t>
            </w:r>
          </w:p>
          <w:p w14:paraId="2EFFB96D">
            <w:pPr>
              <w:adjustRightInd w:val="0"/>
              <w:snapToGrid w:val="0"/>
              <w:jc w:val="center"/>
              <w:rPr>
                <w:rFonts w:ascii="宋体" w:hAnsi="宋体"/>
                <w:color w:val="auto"/>
                <w:sz w:val="21"/>
                <w:szCs w:val="21"/>
              </w:rPr>
            </w:pPr>
            <w:r>
              <w:rPr>
                <w:rFonts w:hint="eastAsia" w:ascii="宋体" w:hAnsi="宋体"/>
                <w:color w:val="auto"/>
                <w:sz w:val="21"/>
                <w:szCs w:val="21"/>
              </w:rPr>
              <w:t>第1.2（</w:t>
            </w:r>
            <w:r>
              <w:rPr>
                <w:rFonts w:hint="eastAsia" w:ascii="宋体" w:hAnsi="宋体"/>
                <w:color w:val="auto"/>
                <w:sz w:val="21"/>
                <w:szCs w:val="21"/>
                <w:lang w:val="en-US" w:eastAsia="zh-CN"/>
              </w:rPr>
              <w:t>6</w:t>
            </w:r>
            <w:r>
              <w:rPr>
                <w:rFonts w:hint="eastAsia" w:ascii="宋体" w:hAnsi="宋体"/>
                <w:color w:val="auto"/>
                <w:sz w:val="21"/>
                <w:szCs w:val="21"/>
              </w:rPr>
              <w:t>）项</w:t>
            </w:r>
          </w:p>
        </w:tc>
        <w:tc>
          <w:tcPr>
            <w:tcW w:w="1742" w:type="dxa"/>
            <w:vAlign w:val="center"/>
          </w:tcPr>
          <w:p w14:paraId="236C154B">
            <w:pPr>
              <w:adjustRightInd w:val="0"/>
              <w:snapToGrid w:val="0"/>
              <w:jc w:val="left"/>
              <w:rPr>
                <w:rFonts w:ascii="宋体" w:hAnsi="宋体"/>
                <w:color w:val="auto"/>
                <w:sz w:val="21"/>
                <w:szCs w:val="21"/>
              </w:rPr>
            </w:pPr>
            <w:r>
              <w:rPr>
                <w:rFonts w:hint="eastAsia" w:ascii="宋体" w:hAnsi="宋体"/>
                <w:color w:val="auto"/>
                <w:sz w:val="21"/>
                <w:szCs w:val="21"/>
                <w:lang w:eastAsia="zh-CN"/>
              </w:rPr>
              <w:t>联合体具体要求</w:t>
            </w:r>
          </w:p>
        </w:tc>
        <w:tc>
          <w:tcPr>
            <w:tcW w:w="5170" w:type="dxa"/>
            <w:vAlign w:val="center"/>
          </w:tcPr>
          <w:p w14:paraId="6B6C0E1E">
            <w:pPr>
              <w:adjustRightInd w:val="0"/>
              <w:snapToGrid w:val="0"/>
              <w:jc w:val="left"/>
              <w:rPr>
                <w:rFonts w:ascii="宋体" w:hAnsi="宋体"/>
                <w:color w:val="auto"/>
                <w:sz w:val="21"/>
                <w:szCs w:val="21"/>
              </w:rPr>
            </w:pPr>
          </w:p>
        </w:tc>
      </w:tr>
      <w:tr w14:paraId="14D281C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285440DC">
            <w:pPr>
              <w:adjustRightInd w:val="0"/>
              <w:snapToGrid w:val="0"/>
              <w:jc w:val="center"/>
              <w:rPr>
                <w:rFonts w:ascii="宋体" w:hAnsi="宋体"/>
                <w:color w:val="auto"/>
                <w:sz w:val="21"/>
                <w:szCs w:val="21"/>
              </w:rPr>
            </w:pPr>
            <w:r>
              <w:rPr>
                <w:rFonts w:hint="eastAsia" w:ascii="宋体" w:hAnsi="宋体"/>
                <w:color w:val="auto"/>
                <w:sz w:val="21"/>
                <w:szCs w:val="21"/>
              </w:rPr>
              <w:t>第二节</w:t>
            </w:r>
          </w:p>
          <w:p w14:paraId="2D1521D3">
            <w:pPr>
              <w:adjustRightInd w:val="0"/>
              <w:snapToGrid w:val="0"/>
              <w:jc w:val="center"/>
              <w:rPr>
                <w:rFonts w:hint="eastAsia" w:ascii="宋体" w:hAnsi="宋体" w:eastAsia="宋体" w:cs="Times New Roman"/>
                <w:color w:val="auto"/>
                <w:kern w:val="2"/>
                <w:sz w:val="21"/>
                <w:szCs w:val="21"/>
                <w:lang w:val="en-US" w:eastAsia="zh-CN" w:bidi="ar-SA"/>
              </w:rPr>
            </w:pPr>
            <w:r>
              <w:rPr>
                <w:rFonts w:hint="eastAsia" w:ascii="宋体" w:hAnsi="宋体"/>
                <w:color w:val="auto"/>
                <w:sz w:val="21"/>
                <w:szCs w:val="21"/>
              </w:rPr>
              <w:t>第1.2（</w:t>
            </w:r>
            <w:r>
              <w:rPr>
                <w:rFonts w:hint="eastAsia" w:ascii="宋体" w:hAnsi="宋体"/>
                <w:color w:val="auto"/>
                <w:sz w:val="21"/>
                <w:szCs w:val="21"/>
                <w:lang w:val="en-US" w:eastAsia="zh-CN"/>
              </w:rPr>
              <w:t>7</w:t>
            </w:r>
            <w:r>
              <w:rPr>
                <w:rFonts w:hint="eastAsia" w:ascii="宋体" w:hAnsi="宋体"/>
                <w:color w:val="auto"/>
                <w:sz w:val="21"/>
                <w:szCs w:val="21"/>
              </w:rPr>
              <w:t>）项</w:t>
            </w:r>
          </w:p>
        </w:tc>
        <w:tc>
          <w:tcPr>
            <w:tcW w:w="1742" w:type="dxa"/>
            <w:vAlign w:val="center"/>
          </w:tcPr>
          <w:p w14:paraId="0B977B24">
            <w:pPr>
              <w:adjustRightInd w:val="0"/>
              <w:snapToGrid w:val="0"/>
              <w:jc w:val="left"/>
              <w:rPr>
                <w:rFonts w:hint="eastAsia" w:ascii="宋体" w:hAnsi="宋体" w:eastAsia="宋体" w:cs="Times New Roman"/>
                <w:color w:val="auto"/>
                <w:kern w:val="2"/>
                <w:sz w:val="21"/>
                <w:szCs w:val="21"/>
                <w:lang w:val="en-US" w:eastAsia="zh-CN" w:bidi="ar-SA"/>
              </w:rPr>
            </w:pPr>
            <w:r>
              <w:rPr>
                <w:rFonts w:hint="eastAsia" w:ascii="宋体" w:hAnsi="宋体"/>
                <w:color w:val="auto"/>
                <w:sz w:val="21"/>
                <w:szCs w:val="21"/>
              </w:rPr>
              <w:t>其他术语解释</w:t>
            </w:r>
          </w:p>
        </w:tc>
        <w:tc>
          <w:tcPr>
            <w:tcW w:w="5170" w:type="dxa"/>
            <w:vAlign w:val="center"/>
          </w:tcPr>
          <w:p w14:paraId="6B6C37D4">
            <w:pPr>
              <w:adjustRightInd w:val="0"/>
              <w:snapToGrid w:val="0"/>
              <w:jc w:val="left"/>
              <w:rPr>
                <w:rFonts w:ascii="宋体" w:hAnsi="宋体" w:eastAsia="宋体" w:cs="Times New Roman"/>
                <w:color w:val="auto"/>
                <w:kern w:val="2"/>
                <w:sz w:val="21"/>
                <w:szCs w:val="21"/>
                <w:lang w:val="en-US" w:eastAsia="zh-CN" w:bidi="ar-SA"/>
              </w:rPr>
            </w:pPr>
          </w:p>
        </w:tc>
      </w:tr>
      <w:tr w14:paraId="01A5AF1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F62137C">
            <w:pPr>
              <w:adjustRightInd w:val="0"/>
              <w:snapToGrid w:val="0"/>
              <w:jc w:val="center"/>
              <w:rPr>
                <w:rFonts w:ascii="宋体" w:hAnsi="宋体"/>
                <w:color w:val="auto"/>
                <w:sz w:val="21"/>
                <w:szCs w:val="21"/>
              </w:rPr>
            </w:pPr>
            <w:r>
              <w:rPr>
                <w:rFonts w:hint="eastAsia" w:ascii="宋体" w:hAnsi="宋体"/>
                <w:color w:val="auto"/>
                <w:sz w:val="21"/>
                <w:szCs w:val="21"/>
              </w:rPr>
              <w:t>第二节</w:t>
            </w:r>
          </w:p>
          <w:p w14:paraId="0D540E11">
            <w:pPr>
              <w:adjustRightInd w:val="0"/>
              <w:snapToGrid w:val="0"/>
              <w:jc w:val="center"/>
              <w:rPr>
                <w:rFonts w:hint="default" w:ascii="宋体" w:hAnsi="宋体" w:eastAsia="宋体"/>
                <w:color w:val="auto"/>
                <w:sz w:val="21"/>
                <w:szCs w:val="21"/>
                <w:lang w:val="en-US" w:eastAsia="zh-CN"/>
              </w:rPr>
            </w:pPr>
            <w:r>
              <w:rPr>
                <w:rFonts w:hint="eastAsia" w:ascii="宋体" w:hAnsi="宋体"/>
                <w:color w:val="auto"/>
                <w:sz w:val="21"/>
                <w:szCs w:val="21"/>
                <w:lang w:eastAsia="zh-CN"/>
              </w:rPr>
              <w:t>第</w:t>
            </w:r>
            <w:r>
              <w:rPr>
                <w:rFonts w:hint="eastAsia" w:ascii="宋体" w:hAnsi="宋体"/>
                <w:color w:val="auto"/>
                <w:sz w:val="21"/>
                <w:szCs w:val="21"/>
                <w:lang w:val="en-US" w:eastAsia="zh-CN"/>
              </w:rPr>
              <w:t>4.4款</w:t>
            </w:r>
          </w:p>
        </w:tc>
        <w:tc>
          <w:tcPr>
            <w:tcW w:w="1742" w:type="dxa"/>
            <w:vAlign w:val="center"/>
          </w:tcPr>
          <w:p w14:paraId="44B7DAB1">
            <w:pPr>
              <w:adjustRightInd w:val="0"/>
              <w:snapToGrid w:val="0"/>
              <w:jc w:val="left"/>
              <w:rPr>
                <w:rFonts w:hint="eastAsia" w:ascii="宋体" w:hAnsi="宋体" w:eastAsia="宋体"/>
                <w:color w:val="auto"/>
                <w:sz w:val="21"/>
                <w:szCs w:val="21"/>
                <w:lang w:eastAsia="zh-CN"/>
              </w:rPr>
            </w:pPr>
            <w:r>
              <w:rPr>
                <w:rFonts w:hint="eastAsia" w:ascii="宋体" w:hAnsi="宋体"/>
                <w:color w:val="auto"/>
                <w:sz w:val="21"/>
                <w:szCs w:val="21"/>
                <w:lang w:eastAsia="zh-CN"/>
              </w:rPr>
              <w:t>履约验收中甲方提出异议或作出说明的期限</w:t>
            </w:r>
          </w:p>
        </w:tc>
        <w:tc>
          <w:tcPr>
            <w:tcW w:w="5170" w:type="dxa"/>
            <w:vAlign w:val="center"/>
          </w:tcPr>
          <w:p w14:paraId="7CD67EE1">
            <w:pPr>
              <w:adjustRightInd w:val="0"/>
              <w:snapToGrid w:val="0"/>
              <w:jc w:val="left"/>
              <w:rPr>
                <w:rFonts w:ascii="宋体" w:hAnsi="宋体" w:eastAsia="宋体" w:cs="Times New Roman"/>
                <w:color w:val="auto"/>
                <w:kern w:val="2"/>
                <w:sz w:val="21"/>
                <w:szCs w:val="21"/>
                <w:lang w:val="en-US" w:eastAsia="zh-CN" w:bidi="ar-SA"/>
              </w:rPr>
            </w:pPr>
          </w:p>
        </w:tc>
      </w:tr>
      <w:tr w14:paraId="6830B3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862A257">
            <w:pPr>
              <w:adjustRightInd w:val="0"/>
              <w:snapToGrid w:val="0"/>
              <w:jc w:val="center"/>
              <w:rPr>
                <w:rFonts w:ascii="宋体" w:hAnsi="宋体"/>
                <w:color w:val="auto"/>
                <w:sz w:val="21"/>
                <w:szCs w:val="21"/>
              </w:rPr>
            </w:pPr>
            <w:r>
              <w:rPr>
                <w:rFonts w:hint="eastAsia" w:ascii="宋体" w:hAnsi="宋体"/>
                <w:color w:val="auto"/>
                <w:sz w:val="21"/>
                <w:szCs w:val="21"/>
              </w:rPr>
              <w:t>第二节</w:t>
            </w:r>
          </w:p>
          <w:p w14:paraId="77B9611D">
            <w:pPr>
              <w:adjustRightInd w:val="0"/>
              <w:snapToGrid w:val="0"/>
              <w:jc w:val="center"/>
              <w:rPr>
                <w:rFonts w:hint="eastAsia" w:ascii="宋体" w:hAnsi="宋体"/>
                <w:color w:val="auto"/>
                <w:sz w:val="21"/>
                <w:szCs w:val="21"/>
              </w:rPr>
            </w:pPr>
            <w:r>
              <w:rPr>
                <w:rFonts w:hint="eastAsia" w:ascii="宋体" w:hAnsi="宋体"/>
                <w:color w:val="auto"/>
                <w:sz w:val="21"/>
                <w:szCs w:val="21"/>
                <w:lang w:eastAsia="zh-CN"/>
              </w:rPr>
              <w:t>第</w:t>
            </w:r>
            <w:r>
              <w:rPr>
                <w:rFonts w:hint="eastAsia" w:ascii="宋体" w:hAnsi="宋体"/>
                <w:color w:val="auto"/>
                <w:sz w:val="21"/>
                <w:szCs w:val="21"/>
                <w:lang w:val="en-US" w:eastAsia="zh-CN"/>
              </w:rPr>
              <w:t>4.6款</w:t>
            </w:r>
          </w:p>
        </w:tc>
        <w:tc>
          <w:tcPr>
            <w:tcW w:w="1742" w:type="dxa"/>
            <w:vAlign w:val="center"/>
          </w:tcPr>
          <w:p w14:paraId="122C2316">
            <w:pPr>
              <w:adjustRightInd w:val="0"/>
              <w:snapToGrid w:val="0"/>
              <w:jc w:val="left"/>
              <w:rPr>
                <w:rFonts w:hint="eastAsia" w:ascii="宋体" w:hAnsi="宋体" w:eastAsia="宋体"/>
                <w:color w:val="auto"/>
                <w:sz w:val="21"/>
                <w:szCs w:val="21"/>
                <w:lang w:eastAsia="zh-CN"/>
              </w:rPr>
            </w:pPr>
            <w:r>
              <w:rPr>
                <w:rFonts w:hint="eastAsia" w:ascii="宋体" w:hAnsi="宋体"/>
                <w:color w:val="auto"/>
                <w:sz w:val="21"/>
                <w:szCs w:val="21"/>
                <w:lang w:eastAsia="zh-CN"/>
              </w:rPr>
              <w:t>约定甲方承担的其他义务和责任</w:t>
            </w:r>
          </w:p>
        </w:tc>
        <w:tc>
          <w:tcPr>
            <w:tcW w:w="5170" w:type="dxa"/>
            <w:vAlign w:val="center"/>
          </w:tcPr>
          <w:p w14:paraId="47760567">
            <w:pPr>
              <w:adjustRightInd w:val="0"/>
              <w:snapToGrid w:val="0"/>
              <w:jc w:val="left"/>
              <w:rPr>
                <w:rFonts w:ascii="宋体" w:hAnsi="宋体" w:eastAsia="宋体" w:cs="Times New Roman"/>
                <w:color w:val="auto"/>
                <w:kern w:val="2"/>
                <w:sz w:val="21"/>
                <w:szCs w:val="21"/>
                <w:lang w:val="en-US" w:eastAsia="zh-CN" w:bidi="ar-SA"/>
              </w:rPr>
            </w:pPr>
          </w:p>
        </w:tc>
      </w:tr>
      <w:tr w14:paraId="42DFCAD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CCB2DFA">
            <w:pPr>
              <w:adjustRightInd w:val="0"/>
              <w:snapToGrid w:val="0"/>
              <w:jc w:val="center"/>
              <w:rPr>
                <w:rFonts w:hint="eastAsia" w:ascii="宋体" w:hAnsi="宋体"/>
                <w:color w:val="auto"/>
                <w:sz w:val="21"/>
                <w:szCs w:val="21"/>
                <w:lang w:eastAsia="zh-CN"/>
              </w:rPr>
            </w:pPr>
            <w:r>
              <w:rPr>
                <w:rFonts w:hint="eastAsia" w:ascii="宋体" w:hAnsi="宋体"/>
                <w:color w:val="auto"/>
                <w:sz w:val="21"/>
                <w:szCs w:val="21"/>
                <w:lang w:eastAsia="zh-CN"/>
              </w:rPr>
              <w:t>第二节</w:t>
            </w:r>
          </w:p>
          <w:p w14:paraId="5A348983">
            <w:pPr>
              <w:snapToGrid w:val="0"/>
              <w:jc w:val="center"/>
              <w:rPr>
                <w:rFonts w:hint="default"/>
                <w:color w:val="auto"/>
                <w:sz w:val="21"/>
                <w:szCs w:val="21"/>
                <w:lang w:val="en-US" w:eastAsia="zh-CN"/>
              </w:rPr>
            </w:pPr>
            <w:r>
              <w:rPr>
                <w:rFonts w:hint="eastAsia" w:ascii="宋体" w:hAnsi="宋体"/>
                <w:color w:val="auto"/>
                <w:sz w:val="21"/>
                <w:szCs w:val="21"/>
                <w:lang w:eastAsia="zh-CN"/>
              </w:rPr>
              <w:t>第</w:t>
            </w:r>
            <w:r>
              <w:rPr>
                <w:rFonts w:hint="eastAsia" w:ascii="宋体" w:hAnsi="宋体"/>
                <w:color w:val="auto"/>
                <w:sz w:val="21"/>
                <w:szCs w:val="21"/>
                <w:lang w:val="en-US" w:eastAsia="zh-CN"/>
              </w:rPr>
              <w:t>5.4款</w:t>
            </w:r>
          </w:p>
        </w:tc>
        <w:tc>
          <w:tcPr>
            <w:tcW w:w="1742" w:type="dxa"/>
            <w:vAlign w:val="center"/>
          </w:tcPr>
          <w:p w14:paraId="48E0593D">
            <w:pPr>
              <w:adjustRightInd w:val="0"/>
              <w:snapToGrid w:val="0"/>
              <w:jc w:val="left"/>
              <w:rPr>
                <w:rFonts w:hint="eastAsia" w:ascii="宋体" w:hAnsi="宋体"/>
                <w:color w:val="auto"/>
                <w:sz w:val="21"/>
                <w:szCs w:val="21"/>
                <w:lang w:eastAsia="zh-CN"/>
              </w:rPr>
            </w:pPr>
            <w:r>
              <w:rPr>
                <w:rFonts w:hint="eastAsia" w:ascii="宋体" w:hAnsi="宋体"/>
                <w:color w:val="auto"/>
                <w:sz w:val="21"/>
                <w:szCs w:val="21"/>
                <w:lang w:eastAsia="zh-CN"/>
              </w:rPr>
              <w:t>约定乙方承担的其他义务和责任</w:t>
            </w:r>
          </w:p>
        </w:tc>
        <w:tc>
          <w:tcPr>
            <w:tcW w:w="5170" w:type="dxa"/>
            <w:vAlign w:val="center"/>
          </w:tcPr>
          <w:p w14:paraId="2B51ED01">
            <w:pPr>
              <w:adjustRightInd w:val="0"/>
              <w:snapToGrid w:val="0"/>
              <w:jc w:val="left"/>
              <w:rPr>
                <w:rFonts w:ascii="宋体" w:hAnsi="宋体" w:eastAsia="宋体" w:cs="Times New Roman"/>
                <w:color w:val="auto"/>
                <w:kern w:val="2"/>
                <w:sz w:val="21"/>
                <w:szCs w:val="21"/>
                <w:lang w:val="en-US" w:eastAsia="zh-CN" w:bidi="ar-SA"/>
              </w:rPr>
            </w:pPr>
          </w:p>
        </w:tc>
      </w:tr>
      <w:tr w14:paraId="291F91C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95F401A">
            <w:pPr>
              <w:adjustRightInd w:val="0"/>
              <w:snapToGrid w:val="0"/>
              <w:jc w:val="center"/>
              <w:rPr>
                <w:rFonts w:hint="eastAsia" w:ascii="宋体" w:hAnsi="宋体"/>
                <w:color w:val="auto"/>
                <w:sz w:val="21"/>
                <w:szCs w:val="21"/>
                <w:lang w:eastAsia="zh-CN"/>
              </w:rPr>
            </w:pPr>
            <w:r>
              <w:rPr>
                <w:rFonts w:hint="eastAsia" w:ascii="宋体" w:hAnsi="宋体"/>
                <w:color w:val="auto"/>
                <w:sz w:val="21"/>
                <w:szCs w:val="21"/>
                <w:lang w:eastAsia="zh-CN"/>
              </w:rPr>
              <w:t>第二节</w:t>
            </w:r>
          </w:p>
          <w:p w14:paraId="2063003B">
            <w:pPr>
              <w:snapToGrid w:val="0"/>
              <w:jc w:val="center"/>
              <w:rPr>
                <w:rFonts w:hint="eastAsia" w:ascii="宋体" w:hAnsi="宋体"/>
                <w:color w:val="auto"/>
                <w:sz w:val="21"/>
                <w:szCs w:val="21"/>
                <w:lang w:eastAsia="zh-CN"/>
              </w:rPr>
            </w:pPr>
            <w:r>
              <w:rPr>
                <w:rFonts w:hint="eastAsia" w:ascii="宋体" w:hAnsi="宋体"/>
                <w:color w:val="auto"/>
                <w:sz w:val="21"/>
                <w:szCs w:val="21"/>
                <w:lang w:eastAsia="zh-CN"/>
              </w:rPr>
              <w:t>第</w:t>
            </w:r>
            <w:r>
              <w:rPr>
                <w:rFonts w:hint="eastAsia" w:ascii="宋体" w:hAnsi="宋体"/>
                <w:color w:val="auto"/>
                <w:sz w:val="21"/>
                <w:szCs w:val="21"/>
                <w:lang w:val="en-US" w:eastAsia="zh-CN"/>
              </w:rPr>
              <w:t>6.1款</w:t>
            </w:r>
          </w:p>
        </w:tc>
        <w:tc>
          <w:tcPr>
            <w:tcW w:w="1742" w:type="dxa"/>
            <w:vAlign w:val="center"/>
          </w:tcPr>
          <w:p w14:paraId="2F373AE5">
            <w:pPr>
              <w:adjustRightInd w:val="0"/>
              <w:snapToGrid w:val="0"/>
              <w:jc w:val="left"/>
              <w:rPr>
                <w:rFonts w:hint="eastAsia" w:ascii="宋体" w:hAnsi="宋体"/>
                <w:color w:val="auto"/>
                <w:sz w:val="21"/>
                <w:szCs w:val="21"/>
                <w:lang w:eastAsia="zh-CN"/>
              </w:rPr>
            </w:pPr>
            <w:r>
              <w:rPr>
                <w:rFonts w:hint="eastAsia" w:ascii="宋体" w:hAnsi="宋体"/>
                <w:color w:val="auto"/>
                <w:sz w:val="21"/>
                <w:szCs w:val="21"/>
                <w:lang w:eastAsia="zh-CN"/>
              </w:rPr>
              <w:t>履行合同义务的顺序</w:t>
            </w:r>
          </w:p>
        </w:tc>
        <w:tc>
          <w:tcPr>
            <w:tcW w:w="5170" w:type="dxa"/>
            <w:vAlign w:val="center"/>
          </w:tcPr>
          <w:p w14:paraId="64B24A57">
            <w:pPr>
              <w:adjustRightInd w:val="0"/>
              <w:snapToGrid w:val="0"/>
              <w:jc w:val="left"/>
              <w:rPr>
                <w:rFonts w:ascii="宋体" w:hAnsi="宋体" w:eastAsia="宋体" w:cs="Times New Roman"/>
                <w:color w:val="auto"/>
                <w:kern w:val="2"/>
                <w:sz w:val="21"/>
                <w:szCs w:val="21"/>
                <w:lang w:val="en-US" w:eastAsia="zh-CN" w:bidi="ar-SA"/>
              </w:rPr>
            </w:pPr>
          </w:p>
        </w:tc>
      </w:tr>
      <w:tr w14:paraId="338E441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50CF286B">
            <w:pPr>
              <w:adjustRightInd w:val="0"/>
              <w:snapToGrid w:val="0"/>
              <w:jc w:val="center"/>
              <w:rPr>
                <w:rFonts w:ascii="宋体" w:hAnsi="宋体"/>
                <w:color w:val="auto"/>
                <w:sz w:val="21"/>
                <w:szCs w:val="21"/>
              </w:rPr>
            </w:pPr>
            <w:r>
              <w:rPr>
                <w:rFonts w:hint="eastAsia" w:ascii="宋体" w:hAnsi="宋体"/>
                <w:color w:val="auto"/>
                <w:sz w:val="21"/>
                <w:szCs w:val="21"/>
              </w:rPr>
              <w:t>第二节</w:t>
            </w:r>
          </w:p>
          <w:p w14:paraId="6742FFEF">
            <w:pPr>
              <w:adjustRightInd w:val="0"/>
              <w:snapToGrid w:val="0"/>
              <w:jc w:val="center"/>
              <w:rPr>
                <w:rFonts w:ascii="宋体" w:hAnsi="宋体"/>
                <w:color w:val="auto"/>
                <w:sz w:val="21"/>
                <w:szCs w:val="21"/>
              </w:rPr>
            </w:pPr>
            <w:r>
              <w:rPr>
                <w:rFonts w:hint="eastAsia" w:ascii="宋体" w:hAnsi="宋体"/>
                <w:color w:val="auto"/>
                <w:sz w:val="21"/>
                <w:szCs w:val="21"/>
              </w:rPr>
              <w:t>第</w:t>
            </w:r>
            <w:r>
              <w:rPr>
                <w:rFonts w:hint="eastAsia" w:ascii="宋体" w:hAnsi="宋体"/>
                <w:color w:val="auto"/>
                <w:sz w:val="21"/>
                <w:szCs w:val="21"/>
                <w:lang w:val="en-US" w:eastAsia="zh-CN"/>
              </w:rPr>
              <w:t>7</w:t>
            </w:r>
            <w:r>
              <w:rPr>
                <w:rFonts w:hint="eastAsia" w:ascii="宋体" w:hAnsi="宋体"/>
                <w:color w:val="auto"/>
                <w:sz w:val="21"/>
                <w:szCs w:val="21"/>
              </w:rPr>
              <w:t>.1</w:t>
            </w:r>
            <w:r>
              <w:rPr>
                <w:rFonts w:hint="eastAsia" w:ascii="宋体" w:hAnsi="宋体"/>
                <w:color w:val="auto"/>
                <w:sz w:val="21"/>
                <w:szCs w:val="21"/>
                <w:lang w:val="en-US" w:eastAsia="zh-CN"/>
              </w:rPr>
              <w:t>款</w:t>
            </w:r>
          </w:p>
        </w:tc>
        <w:tc>
          <w:tcPr>
            <w:tcW w:w="1742" w:type="dxa"/>
            <w:vAlign w:val="center"/>
          </w:tcPr>
          <w:p w14:paraId="038BF8B2">
            <w:pPr>
              <w:adjustRightInd w:val="0"/>
              <w:snapToGrid w:val="0"/>
              <w:jc w:val="left"/>
              <w:rPr>
                <w:rFonts w:ascii="宋体" w:hAnsi="宋体"/>
                <w:color w:val="auto"/>
                <w:sz w:val="21"/>
                <w:szCs w:val="21"/>
              </w:rPr>
            </w:pPr>
            <w:r>
              <w:rPr>
                <w:rFonts w:hint="eastAsia" w:ascii="宋体" w:hAnsi="宋体"/>
                <w:color w:val="auto"/>
                <w:sz w:val="21"/>
                <w:szCs w:val="21"/>
              </w:rPr>
              <w:t>包装</w:t>
            </w:r>
            <w:r>
              <w:rPr>
                <w:rFonts w:hint="eastAsia" w:ascii="宋体" w:hAnsi="宋体"/>
                <w:color w:val="auto"/>
                <w:sz w:val="21"/>
                <w:szCs w:val="21"/>
                <w:lang w:eastAsia="zh-CN"/>
              </w:rPr>
              <w:t>特殊要求</w:t>
            </w:r>
          </w:p>
        </w:tc>
        <w:tc>
          <w:tcPr>
            <w:tcW w:w="5170" w:type="dxa"/>
            <w:vAlign w:val="center"/>
          </w:tcPr>
          <w:p w14:paraId="26D9C6E2">
            <w:pPr>
              <w:rPr>
                <w:color w:val="auto"/>
                <w:sz w:val="21"/>
                <w:szCs w:val="21"/>
              </w:rPr>
            </w:pPr>
          </w:p>
        </w:tc>
      </w:tr>
      <w:tr w14:paraId="723A0B2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114D1250">
            <w:pPr>
              <w:adjustRightInd w:val="0"/>
              <w:snapToGrid w:val="0"/>
              <w:jc w:val="center"/>
              <w:rPr>
                <w:rFonts w:hint="eastAsia" w:ascii="宋体" w:hAnsi="宋体"/>
                <w:color w:val="auto"/>
                <w:sz w:val="21"/>
                <w:szCs w:val="21"/>
              </w:rPr>
            </w:pPr>
          </w:p>
        </w:tc>
        <w:tc>
          <w:tcPr>
            <w:tcW w:w="1742" w:type="dxa"/>
            <w:vAlign w:val="center"/>
          </w:tcPr>
          <w:p w14:paraId="4D0F776F">
            <w:pPr>
              <w:adjustRightInd w:val="0"/>
              <w:snapToGrid w:val="0"/>
              <w:jc w:val="left"/>
              <w:rPr>
                <w:rFonts w:hint="eastAsia" w:ascii="宋体" w:hAnsi="宋体" w:eastAsia="宋体"/>
                <w:color w:val="auto"/>
                <w:sz w:val="21"/>
                <w:szCs w:val="21"/>
                <w:lang w:eastAsia="zh-CN"/>
              </w:rPr>
            </w:pPr>
            <w:r>
              <w:rPr>
                <w:rFonts w:hint="eastAsia" w:ascii="宋体" w:hAnsi="宋体"/>
                <w:color w:val="auto"/>
                <w:sz w:val="21"/>
                <w:szCs w:val="21"/>
                <w:lang w:eastAsia="zh-CN"/>
              </w:rPr>
              <w:t>指定现场</w:t>
            </w:r>
          </w:p>
        </w:tc>
        <w:tc>
          <w:tcPr>
            <w:tcW w:w="5170" w:type="dxa"/>
            <w:vAlign w:val="center"/>
          </w:tcPr>
          <w:p w14:paraId="434C5264">
            <w:pPr>
              <w:rPr>
                <w:rFonts w:hint="eastAsia"/>
                <w:color w:val="auto"/>
                <w:sz w:val="21"/>
                <w:szCs w:val="21"/>
              </w:rPr>
            </w:pPr>
          </w:p>
        </w:tc>
      </w:tr>
      <w:tr w14:paraId="65C7AF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5F00253E">
            <w:pPr>
              <w:adjustRightInd w:val="0"/>
              <w:snapToGrid w:val="0"/>
              <w:jc w:val="center"/>
              <w:rPr>
                <w:rFonts w:ascii="宋体" w:hAnsi="宋体"/>
                <w:color w:val="auto"/>
                <w:sz w:val="21"/>
                <w:szCs w:val="21"/>
              </w:rPr>
            </w:pPr>
            <w:r>
              <w:rPr>
                <w:rFonts w:hint="eastAsia" w:ascii="宋体" w:hAnsi="宋体"/>
                <w:color w:val="auto"/>
                <w:sz w:val="21"/>
                <w:szCs w:val="21"/>
              </w:rPr>
              <w:t>第二节</w:t>
            </w:r>
          </w:p>
          <w:p w14:paraId="00D3069B">
            <w:pPr>
              <w:adjustRightInd w:val="0"/>
              <w:snapToGrid w:val="0"/>
              <w:jc w:val="center"/>
              <w:rPr>
                <w:rFonts w:hint="eastAsia" w:ascii="宋体" w:hAnsi="宋体"/>
                <w:color w:val="auto"/>
                <w:sz w:val="21"/>
                <w:szCs w:val="21"/>
              </w:rPr>
            </w:pPr>
            <w:r>
              <w:rPr>
                <w:rFonts w:hint="eastAsia" w:ascii="宋体" w:hAnsi="宋体"/>
                <w:color w:val="auto"/>
                <w:sz w:val="21"/>
                <w:szCs w:val="21"/>
              </w:rPr>
              <w:t>第</w:t>
            </w:r>
            <w:r>
              <w:rPr>
                <w:rFonts w:hint="eastAsia" w:ascii="宋体" w:hAnsi="宋体"/>
                <w:color w:val="auto"/>
                <w:sz w:val="21"/>
                <w:szCs w:val="21"/>
                <w:lang w:val="en-US" w:eastAsia="zh-CN"/>
              </w:rPr>
              <w:t>7</w:t>
            </w:r>
            <w:r>
              <w:rPr>
                <w:rFonts w:hint="eastAsia" w:ascii="宋体" w:hAnsi="宋体"/>
                <w:color w:val="auto"/>
                <w:sz w:val="21"/>
                <w:szCs w:val="21"/>
              </w:rPr>
              <w:t>.2</w:t>
            </w:r>
            <w:r>
              <w:rPr>
                <w:rFonts w:hint="eastAsia" w:ascii="宋体" w:hAnsi="宋体"/>
                <w:color w:val="auto"/>
                <w:sz w:val="21"/>
                <w:szCs w:val="21"/>
                <w:lang w:val="en-US" w:eastAsia="zh-CN"/>
              </w:rPr>
              <w:t>款</w:t>
            </w:r>
          </w:p>
        </w:tc>
        <w:tc>
          <w:tcPr>
            <w:tcW w:w="1742" w:type="dxa"/>
            <w:vAlign w:val="center"/>
          </w:tcPr>
          <w:p w14:paraId="00CD122F">
            <w:pPr>
              <w:adjustRightInd w:val="0"/>
              <w:snapToGrid w:val="0"/>
              <w:jc w:val="left"/>
              <w:rPr>
                <w:rFonts w:hint="eastAsia" w:ascii="宋体" w:hAnsi="宋体" w:eastAsia="宋体"/>
                <w:color w:val="auto"/>
                <w:sz w:val="21"/>
                <w:szCs w:val="21"/>
                <w:lang w:eastAsia="zh-CN"/>
              </w:rPr>
            </w:pPr>
            <w:r>
              <w:rPr>
                <w:rFonts w:hint="eastAsia" w:ascii="宋体" w:hAnsi="宋体"/>
                <w:color w:val="auto"/>
                <w:sz w:val="21"/>
                <w:szCs w:val="21"/>
                <w:lang w:eastAsia="zh-CN"/>
              </w:rPr>
              <w:t>运输特殊要求</w:t>
            </w:r>
          </w:p>
        </w:tc>
        <w:tc>
          <w:tcPr>
            <w:tcW w:w="5170" w:type="dxa"/>
            <w:vAlign w:val="center"/>
          </w:tcPr>
          <w:p w14:paraId="51A710A8">
            <w:pPr>
              <w:rPr>
                <w:rFonts w:hint="eastAsia"/>
                <w:color w:val="auto"/>
                <w:sz w:val="21"/>
                <w:szCs w:val="21"/>
              </w:rPr>
            </w:pPr>
          </w:p>
        </w:tc>
      </w:tr>
      <w:tr w14:paraId="593A079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2523427D">
            <w:pPr>
              <w:adjustRightInd w:val="0"/>
              <w:snapToGrid w:val="0"/>
              <w:jc w:val="center"/>
              <w:rPr>
                <w:rFonts w:ascii="宋体" w:hAnsi="宋体"/>
                <w:color w:val="auto"/>
                <w:sz w:val="21"/>
                <w:szCs w:val="21"/>
              </w:rPr>
            </w:pPr>
            <w:r>
              <w:rPr>
                <w:rFonts w:hint="eastAsia" w:ascii="宋体" w:hAnsi="宋体"/>
                <w:color w:val="auto"/>
                <w:sz w:val="21"/>
                <w:szCs w:val="21"/>
              </w:rPr>
              <w:t>第二节</w:t>
            </w:r>
          </w:p>
          <w:p w14:paraId="6FA1821A">
            <w:pPr>
              <w:adjustRightInd w:val="0"/>
              <w:snapToGrid w:val="0"/>
              <w:jc w:val="center"/>
              <w:rPr>
                <w:rFonts w:hint="eastAsia" w:ascii="宋体" w:hAnsi="宋体"/>
                <w:color w:val="auto"/>
                <w:sz w:val="21"/>
                <w:szCs w:val="21"/>
              </w:rPr>
            </w:pPr>
            <w:r>
              <w:rPr>
                <w:rFonts w:hint="eastAsia" w:ascii="宋体" w:hAnsi="宋体"/>
                <w:color w:val="auto"/>
                <w:sz w:val="21"/>
                <w:szCs w:val="21"/>
              </w:rPr>
              <w:t>第</w:t>
            </w:r>
            <w:r>
              <w:rPr>
                <w:rFonts w:hint="eastAsia" w:ascii="宋体" w:hAnsi="宋体"/>
                <w:color w:val="auto"/>
                <w:sz w:val="21"/>
                <w:szCs w:val="21"/>
                <w:lang w:val="en-US" w:eastAsia="zh-CN"/>
              </w:rPr>
              <w:t>7</w:t>
            </w:r>
            <w:r>
              <w:rPr>
                <w:rFonts w:hint="eastAsia" w:ascii="宋体" w:hAnsi="宋体"/>
                <w:color w:val="auto"/>
                <w:sz w:val="21"/>
                <w:szCs w:val="21"/>
              </w:rPr>
              <w:t>.3</w:t>
            </w:r>
            <w:r>
              <w:rPr>
                <w:rFonts w:hint="eastAsia" w:ascii="宋体" w:hAnsi="宋体"/>
                <w:color w:val="auto"/>
                <w:sz w:val="21"/>
                <w:szCs w:val="21"/>
                <w:lang w:val="en-US" w:eastAsia="zh-CN"/>
              </w:rPr>
              <w:t>款</w:t>
            </w:r>
          </w:p>
        </w:tc>
        <w:tc>
          <w:tcPr>
            <w:tcW w:w="1742" w:type="dxa"/>
            <w:vAlign w:val="center"/>
          </w:tcPr>
          <w:p w14:paraId="24C65559">
            <w:pPr>
              <w:adjustRightInd w:val="0"/>
              <w:snapToGrid w:val="0"/>
              <w:jc w:val="left"/>
              <w:rPr>
                <w:rFonts w:hint="eastAsia" w:ascii="宋体" w:hAnsi="宋体" w:eastAsia="宋体"/>
                <w:color w:val="auto"/>
                <w:sz w:val="21"/>
                <w:szCs w:val="21"/>
                <w:lang w:eastAsia="zh-CN"/>
              </w:rPr>
            </w:pPr>
            <w:r>
              <w:rPr>
                <w:rFonts w:hint="eastAsia" w:ascii="宋体" w:hAnsi="宋体"/>
                <w:color w:val="auto"/>
                <w:sz w:val="21"/>
                <w:szCs w:val="21"/>
                <w:lang w:eastAsia="zh-CN"/>
              </w:rPr>
              <w:t>保险要求</w:t>
            </w:r>
          </w:p>
        </w:tc>
        <w:tc>
          <w:tcPr>
            <w:tcW w:w="5170" w:type="dxa"/>
            <w:vAlign w:val="center"/>
          </w:tcPr>
          <w:p w14:paraId="04B44035">
            <w:pPr>
              <w:rPr>
                <w:rFonts w:hint="eastAsia"/>
                <w:color w:val="auto"/>
                <w:sz w:val="21"/>
                <w:szCs w:val="21"/>
              </w:rPr>
            </w:pPr>
          </w:p>
        </w:tc>
      </w:tr>
      <w:tr w14:paraId="751D42A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6F91D1E">
            <w:pPr>
              <w:adjustRightInd w:val="0"/>
              <w:snapToGrid w:val="0"/>
              <w:jc w:val="center"/>
              <w:rPr>
                <w:rFonts w:ascii="宋体" w:hAnsi="宋体"/>
                <w:color w:val="auto"/>
                <w:sz w:val="21"/>
                <w:szCs w:val="21"/>
              </w:rPr>
            </w:pPr>
            <w:r>
              <w:rPr>
                <w:rFonts w:hint="eastAsia" w:ascii="宋体" w:hAnsi="宋体"/>
                <w:color w:val="auto"/>
                <w:sz w:val="21"/>
                <w:szCs w:val="21"/>
              </w:rPr>
              <w:t>第二节</w:t>
            </w:r>
          </w:p>
          <w:p w14:paraId="3FC59FD2">
            <w:pPr>
              <w:adjustRightInd w:val="0"/>
              <w:snapToGrid w:val="0"/>
              <w:jc w:val="center"/>
              <w:rPr>
                <w:rFonts w:ascii="宋体" w:hAnsi="宋体"/>
                <w:color w:val="auto"/>
                <w:sz w:val="21"/>
                <w:szCs w:val="21"/>
              </w:rPr>
            </w:pPr>
            <w:r>
              <w:rPr>
                <w:rFonts w:hint="eastAsia" w:ascii="宋体" w:hAnsi="宋体"/>
                <w:color w:val="auto"/>
                <w:sz w:val="21"/>
                <w:szCs w:val="21"/>
              </w:rPr>
              <w:t>第</w:t>
            </w:r>
            <w:r>
              <w:rPr>
                <w:rFonts w:hint="eastAsia" w:ascii="宋体" w:hAnsi="宋体"/>
                <w:color w:val="auto"/>
                <w:sz w:val="21"/>
                <w:szCs w:val="21"/>
                <w:lang w:val="en-US" w:eastAsia="zh-CN"/>
              </w:rPr>
              <w:t>8</w:t>
            </w:r>
            <w:r>
              <w:rPr>
                <w:rFonts w:hint="eastAsia" w:ascii="宋体" w:hAnsi="宋体"/>
                <w:color w:val="auto"/>
                <w:sz w:val="21"/>
                <w:szCs w:val="21"/>
              </w:rPr>
              <w:t>.2（1）项</w:t>
            </w:r>
          </w:p>
        </w:tc>
        <w:tc>
          <w:tcPr>
            <w:tcW w:w="1742" w:type="dxa"/>
            <w:vAlign w:val="center"/>
          </w:tcPr>
          <w:p w14:paraId="2C913863">
            <w:pPr>
              <w:adjustRightInd w:val="0"/>
              <w:snapToGrid w:val="0"/>
              <w:jc w:val="left"/>
              <w:rPr>
                <w:rFonts w:ascii="宋体" w:hAnsi="宋体"/>
                <w:color w:val="auto"/>
                <w:sz w:val="21"/>
                <w:szCs w:val="21"/>
              </w:rPr>
            </w:pPr>
            <w:r>
              <w:rPr>
                <w:rFonts w:hint="eastAsia" w:ascii="宋体" w:hAnsi="宋体"/>
                <w:color w:val="auto"/>
                <w:sz w:val="21"/>
                <w:szCs w:val="21"/>
              </w:rPr>
              <w:t>质量保证期</w:t>
            </w:r>
          </w:p>
        </w:tc>
        <w:tc>
          <w:tcPr>
            <w:tcW w:w="5170" w:type="dxa"/>
            <w:vAlign w:val="center"/>
          </w:tcPr>
          <w:p w14:paraId="74FC7254">
            <w:pPr>
              <w:autoSpaceDE w:val="0"/>
              <w:autoSpaceDN w:val="0"/>
              <w:adjustRightInd w:val="0"/>
              <w:snapToGrid w:val="0"/>
              <w:ind w:firstLine="420" w:firstLineChars="200"/>
              <w:jc w:val="left"/>
              <w:rPr>
                <w:rFonts w:ascii="宋体" w:hAnsi="宋体"/>
                <w:color w:val="auto"/>
                <w:sz w:val="21"/>
                <w:szCs w:val="21"/>
              </w:rPr>
            </w:pPr>
          </w:p>
        </w:tc>
      </w:tr>
      <w:tr w14:paraId="2D69B3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D2AD9F4">
            <w:pPr>
              <w:adjustRightInd w:val="0"/>
              <w:snapToGrid w:val="0"/>
              <w:jc w:val="center"/>
              <w:rPr>
                <w:rFonts w:ascii="宋体" w:hAnsi="宋体"/>
                <w:color w:val="auto"/>
                <w:sz w:val="21"/>
                <w:szCs w:val="21"/>
              </w:rPr>
            </w:pPr>
            <w:r>
              <w:rPr>
                <w:rFonts w:hint="eastAsia" w:ascii="宋体" w:hAnsi="宋体"/>
                <w:color w:val="auto"/>
                <w:sz w:val="21"/>
                <w:szCs w:val="21"/>
              </w:rPr>
              <w:t>第二节</w:t>
            </w:r>
          </w:p>
          <w:p w14:paraId="328A646A">
            <w:pPr>
              <w:adjustRightInd w:val="0"/>
              <w:snapToGrid w:val="0"/>
              <w:jc w:val="center"/>
              <w:rPr>
                <w:rFonts w:ascii="宋体" w:hAnsi="宋体"/>
                <w:color w:val="auto"/>
                <w:sz w:val="21"/>
                <w:szCs w:val="21"/>
              </w:rPr>
            </w:pPr>
            <w:r>
              <w:rPr>
                <w:rFonts w:hint="eastAsia" w:ascii="宋体" w:hAnsi="宋体"/>
                <w:color w:val="auto"/>
                <w:sz w:val="21"/>
                <w:szCs w:val="21"/>
              </w:rPr>
              <w:t>第</w:t>
            </w:r>
            <w:r>
              <w:rPr>
                <w:rFonts w:hint="eastAsia" w:ascii="宋体" w:hAnsi="宋体"/>
                <w:color w:val="auto"/>
                <w:sz w:val="21"/>
                <w:szCs w:val="21"/>
                <w:lang w:val="en-US" w:eastAsia="zh-CN"/>
              </w:rPr>
              <w:t>8</w:t>
            </w:r>
            <w:r>
              <w:rPr>
                <w:rFonts w:hint="eastAsia" w:ascii="宋体" w:hAnsi="宋体"/>
                <w:color w:val="auto"/>
                <w:sz w:val="21"/>
                <w:szCs w:val="21"/>
              </w:rPr>
              <w:t>.2（3）项</w:t>
            </w:r>
          </w:p>
        </w:tc>
        <w:tc>
          <w:tcPr>
            <w:tcW w:w="1742" w:type="dxa"/>
            <w:vAlign w:val="center"/>
          </w:tcPr>
          <w:p w14:paraId="3E702204">
            <w:pPr>
              <w:adjustRightInd w:val="0"/>
              <w:snapToGrid w:val="0"/>
              <w:jc w:val="left"/>
              <w:rPr>
                <w:rFonts w:hint="eastAsia" w:ascii="宋体" w:hAnsi="宋体"/>
                <w:color w:val="auto"/>
                <w:sz w:val="21"/>
                <w:szCs w:val="21"/>
                <w:lang w:eastAsia="zh-CN"/>
              </w:rPr>
            </w:pPr>
            <w:r>
              <w:rPr>
                <w:rFonts w:hint="eastAsia" w:ascii="宋体" w:hAnsi="宋体"/>
                <w:color w:val="auto"/>
                <w:sz w:val="21"/>
                <w:szCs w:val="21"/>
                <w:lang w:eastAsia="zh-CN"/>
              </w:rPr>
              <w:t>货物质量缺陷</w:t>
            </w:r>
          </w:p>
          <w:p w14:paraId="088B74B2">
            <w:pPr>
              <w:adjustRightInd w:val="0"/>
              <w:snapToGrid w:val="0"/>
              <w:jc w:val="left"/>
              <w:rPr>
                <w:rFonts w:ascii="宋体" w:hAnsi="宋体"/>
                <w:color w:val="auto"/>
                <w:sz w:val="21"/>
                <w:szCs w:val="21"/>
              </w:rPr>
            </w:pPr>
            <w:r>
              <w:rPr>
                <w:rFonts w:hint="eastAsia" w:ascii="宋体" w:hAnsi="宋体"/>
                <w:color w:val="auto"/>
                <w:sz w:val="21"/>
                <w:szCs w:val="21"/>
              </w:rPr>
              <w:t>响应时间</w:t>
            </w:r>
          </w:p>
        </w:tc>
        <w:tc>
          <w:tcPr>
            <w:tcW w:w="5170" w:type="dxa"/>
            <w:vAlign w:val="center"/>
          </w:tcPr>
          <w:p w14:paraId="55D4A7D2">
            <w:pPr>
              <w:adjustRightInd w:val="0"/>
              <w:snapToGrid w:val="0"/>
              <w:jc w:val="left"/>
              <w:rPr>
                <w:rFonts w:ascii="宋体" w:hAnsi="宋体"/>
                <w:color w:val="auto"/>
                <w:sz w:val="21"/>
                <w:szCs w:val="21"/>
              </w:rPr>
            </w:pPr>
          </w:p>
        </w:tc>
      </w:tr>
      <w:tr w14:paraId="1F14FCF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EDD87A4">
            <w:pPr>
              <w:snapToGrid w:val="0"/>
              <w:jc w:val="center"/>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第二节</w:t>
            </w:r>
          </w:p>
          <w:p w14:paraId="5D0453A3">
            <w:pPr>
              <w:pStyle w:val="42"/>
              <w:ind w:firstLine="0" w:firstLineChars="0"/>
              <w:jc w:val="center"/>
              <w:rPr>
                <w:rFonts w:hint="default"/>
                <w:color w:val="auto"/>
                <w:sz w:val="21"/>
                <w:szCs w:val="21"/>
                <w:lang w:val="en-US" w:eastAsia="zh-CN"/>
              </w:rPr>
            </w:pPr>
            <w:r>
              <w:rPr>
                <w:rFonts w:hint="eastAsia" w:ascii="宋体" w:hAnsi="宋体" w:eastAsia="宋体" w:cs="宋体"/>
                <w:color w:val="auto"/>
                <w:sz w:val="21"/>
                <w:szCs w:val="21"/>
                <w:lang w:val="en-US" w:eastAsia="zh-CN"/>
              </w:rPr>
              <w:t>第11.1款</w:t>
            </w:r>
          </w:p>
        </w:tc>
        <w:tc>
          <w:tcPr>
            <w:tcW w:w="1742" w:type="dxa"/>
            <w:vAlign w:val="center"/>
          </w:tcPr>
          <w:p w14:paraId="78124D31">
            <w:pPr>
              <w:adjustRightInd w:val="0"/>
              <w:snapToGrid w:val="0"/>
              <w:jc w:val="both"/>
              <w:rPr>
                <w:rFonts w:hint="default" w:ascii="宋体" w:hAnsi="宋体" w:eastAsia="宋体"/>
                <w:color w:val="auto"/>
                <w:sz w:val="21"/>
                <w:szCs w:val="21"/>
                <w:lang w:val="en-US" w:eastAsia="zh-CN"/>
              </w:rPr>
            </w:pPr>
            <w:r>
              <w:rPr>
                <w:rFonts w:hint="eastAsia" w:ascii="宋体" w:hAnsi="宋体"/>
                <w:color w:val="auto"/>
                <w:sz w:val="21"/>
                <w:szCs w:val="21"/>
                <w:lang w:val="en-US" w:eastAsia="zh-CN"/>
              </w:rPr>
              <w:t>其他应当保密的信息</w:t>
            </w:r>
          </w:p>
        </w:tc>
        <w:tc>
          <w:tcPr>
            <w:tcW w:w="5170" w:type="dxa"/>
            <w:vAlign w:val="center"/>
          </w:tcPr>
          <w:p w14:paraId="74F62F67">
            <w:pPr>
              <w:adjustRightInd w:val="0"/>
              <w:snapToGrid w:val="0"/>
              <w:jc w:val="left"/>
              <w:rPr>
                <w:rFonts w:ascii="宋体" w:hAnsi="宋体"/>
                <w:color w:val="auto"/>
                <w:sz w:val="21"/>
                <w:szCs w:val="21"/>
              </w:rPr>
            </w:pPr>
          </w:p>
        </w:tc>
      </w:tr>
      <w:tr w14:paraId="372726A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5EBC6434">
            <w:pPr>
              <w:adjustRightInd w:val="0"/>
              <w:snapToGrid w:val="0"/>
              <w:jc w:val="center"/>
              <w:rPr>
                <w:rFonts w:ascii="宋体" w:hAnsi="宋体"/>
                <w:color w:val="auto"/>
                <w:sz w:val="21"/>
                <w:szCs w:val="21"/>
              </w:rPr>
            </w:pPr>
            <w:r>
              <w:rPr>
                <w:rFonts w:hint="eastAsia" w:ascii="宋体" w:hAnsi="宋体"/>
                <w:color w:val="auto"/>
                <w:sz w:val="21"/>
                <w:szCs w:val="21"/>
              </w:rPr>
              <w:t>第二节</w:t>
            </w:r>
          </w:p>
          <w:p w14:paraId="73DACA29">
            <w:pPr>
              <w:adjustRightInd w:val="0"/>
              <w:snapToGrid w:val="0"/>
              <w:jc w:val="center"/>
              <w:rPr>
                <w:rFonts w:ascii="宋体" w:hAnsi="宋体"/>
                <w:color w:val="auto"/>
                <w:sz w:val="21"/>
                <w:szCs w:val="21"/>
              </w:rPr>
            </w:pPr>
            <w:r>
              <w:rPr>
                <w:rFonts w:hint="eastAsia" w:ascii="宋体" w:hAnsi="宋体"/>
                <w:color w:val="auto"/>
                <w:sz w:val="21"/>
                <w:szCs w:val="21"/>
              </w:rPr>
              <w:t>第1</w:t>
            </w:r>
            <w:r>
              <w:rPr>
                <w:rFonts w:hint="eastAsia" w:ascii="宋体" w:hAnsi="宋体"/>
                <w:color w:val="auto"/>
                <w:sz w:val="21"/>
                <w:szCs w:val="21"/>
                <w:lang w:val="en-US" w:eastAsia="zh-CN"/>
              </w:rPr>
              <w:t>2</w:t>
            </w:r>
            <w:r>
              <w:rPr>
                <w:rFonts w:hint="eastAsia" w:ascii="宋体" w:hAnsi="宋体"/>
                <w:color w:val="auto"/>
                <w:sz w:val="21"/>
                <w:szCs w:val="21"/>
              </w:rPr>
              <w:t>.2款</w:t>
            </w:r>
          </w:p>
        </w:tc>
        <w:tc>
          <w:tcPr>
            <w:tcW w:w="1742" w:type="dxa"/>
            <w:vAlign w:val="center"/>
          </w:tcPr>
          <w:p w14:paraId="00AE7125">
            <w:pPr>
              <w:adjustRightInd w:val="0"/>
              <w:snapToGrid w:val="0"/>
              <w:jc w:val="left"/>
              <w:rPr>
                <w:rFonts w:hint="eastAsia" w:ascii="宋体" w:hAnsi="宋体" w:eastAsia="宋体"/>
                <w:color w:val="auto"/>
                <w:sz w:val="21"/>
                <w:szCs w:val="21"/>
                <w:lang w:eastAsia="zh-CN"/>
              </w:rPr>
            </w:pPr>
            <w:r>
              <w:rPr>
                <w:rFonts w:hint="eastAsia" w:ascii="宋体" w:hAnsi="宋体"/>
                <w:color w:val="auto"/>
                <w:sz w:val="21"/>
                <w:szCs w:val="21"/>
              </w:rPr>
              <w:t>合同价款支付</w:t>
            </w:r>
            <w:r>
              <w:rPr>
                <w:rFonts w:hint="eastAsia" w:ascii="宋体" w:hAnsi="宋体"/>
                <w:color w:val="auto"/>
                <w:sz w:val="21"/>
                <w:szCs w:val="21"/>
                <w:lang w:eastAsia="zh-CN"/>
              </w:rPr>
              <w:t>时间</w:t>
            </w:r>
          </w:p>
        </w:tc>
        <w:tc>
          <w:tcPr>
            <w:tcW w:w="5170" w:type="dxa"/>
            <w:vAlign w:val="center"/>
          </w:tcPr>
          <w:p w14:paraId="23B03D07">
            <w:pPr>
              <w:adjustRightInd w:val="0"/>
              <w:snapToGrid w:val="0"/>
              <w:jc w:val="left"/>
              <w:rPr>
                <w:rFonts w:ascii="宋体" w:hAnsi="宋体"/>
                <w:color w:val="auto"/>
                <w:sz w:val="21"/>
                <w:szCs w:val="21"/>
              </w:rPr>
            </w:pPr>
          </w:p>
        </w:tc>
      </w:tr>
      <w:tr w14:paraId="6A72BC8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19A624DA">
            <w:pPr>
              <w:adjustRightInd w:val="0"/>
              <w:snapToGrid w:val="0"/>
              <w:jc w:val="center"/>
              <w:rPr>
                <w:rFonts w:hint="eastAsia" w:ascii="宋体" w:hAnsi="宋体"/>
                <w:color w:val="auto"/>
                <w:sz w:val="21"/>
                <w:szCs w:val="21"/>
              </w:rPr>
            </w:pPr>
            <w:r>
              <w:rPr>
                <w:rFonts w:hint="eastAsia" w:ascii="宋体" w:hAnsi="宋体"/>
                <w:color w:val="auto"/>
                <w:sz w:val="21"/>
                <w:szCs w:val="21"/>
              </w:rPr>
              <w:t>第二节</w:t>
            </w:r>
          </w:p>
          <w:p w14:paraId="0B54125E">
            <w:pPr>
              <w:adjustRightInd w:val="0"/>
              <w:snapToGrid w:val="0"/>
              <w:jc w:val="center"/>
              <w:rPr>
                <w:rFonts w:hint="eastAsia" w:ascii="宋体" w:hAnsi="宋体"/>
                <w:color w:val="auto"/>
                <w:sz w:val="21"/>
                <w:szCs w:val="21"/>
              </w:rPr>
            </w:pPr>
            <w:r>
              <w:rPr>
                <w:rFonts w:hint="eastAsia" w:ascii="宋体" w:hAnsi="宋体"/>
                <w:color w:val="auto"/>
                <w:sz w:val="21"/>
                <w:szCs w:val="21"/>
              </w:rPr>
              <w:t>第</w:t>
            </w:r>
            <w:r>
              <w:rPr>
                <w:rFonts w:hint="eastAsia" w:ascii="宋体" w:hAnsi="宋体"/>
                <w:color w:val="auto"/>
                <w:sz w:val="21"/>
                <w:szCs w:val="21"/>
                <w:lang w:val="en-US" w:eastAsia="zh-CN"/>
              </w:rPr>
              <w:t>13.2</w:t>
            </w:r>
            <w:r>
              <w:rPr>
                <w:rFonts w:hint="eastAsia" w:ascii="宋体" w:hAnsi="宋体"/>
                <w:color w:val="auto"/>
                <w:sz w:val="21"/>
                <w:szCs w:val="21"/>
              </w:rPr>
              <w:t>款</w:t>
            </w:r>
          </w:p>
        </w:tc>
        <w:tc>
          <w:tcPr>
            <w:tcW w:w="1742" w:type="dxa"/>
            <w:vAlign w:val="center"/>
          </w:tcPr>
          <w:p w14:paraId="39F6B734">
            <w:pPr>
              <w:adjustRightInd w:val="0"/>
              <w:snapToGrid w:val="0"/>
              <w:jc w:val="left"/>
              <w:rPr>
                <w:rFonts w:hint="default" w:ascii="宋体" w:hAnsi="宋体" w:eastAsia="宋体"/>
                <w:color w:val="auto"/>
                <w:sz w:val="21"/>
                <w:szCs w:val="21"/>
                <w:lang w:val="en-US" w:eastAsia="zh-CN"/>
              </w:rPr>
            </w:pPr>
            <w:r>
              <w:rPr>
                <w:rFonts w:hint="eastAsia" w:ascii="宋体" w:hAnsi="宋体"/>
                <w:color w:val="auto"/>
                <w:sz w:val="21"/>
                <w:szCs w:val="21"/>
                <w:lang w:val="en-US" w:eastAsia="zh-CN"/>
              </w:rPr>
              <w:t>履约保证金不予退还的情形</w:t>
            </w:r>
          </w:p>
        </w:tc>
        <w:tc>
          <w:tcPr>
            <w:tcW w:w="5170" w:type="dxa"/>
            <w:vAlign w:val="center"/>
          </w:tcPr>
          <w:p w14:paraId="274400C6">
            <w:pPr>
              <w:adjustRightInd w:val="0"/>
              <w:snapToGrid w:val="0"/>
              <w:jc w:val="left"/>
              <w:rPr>
                <w:rFonts w:ascii="宋体" w:hAnsi="宋体"/>
                <w:color w:val="auto"/>
                <w:sz w:val="21"/>
                <w:szCs w:val="21"/>
              </w:rPr>
            </w:pPr>
          </w:p>
        </w:tc>
      </w:tr>
      <w:tr w14:paraId="2E2328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E67E440">
            <w:pPr>
              <w:adjustRightInd w:val="0"/>
              <w:snapToGrid w:val="0"/>
              <w:jc w:val="center"/>
              <w:rPr>
                <w:rFonts w:hint="eastAsia" w:ascii="宋体" w:hAnsi="宋体"/>
                <w:color w:val="auto"/>
                <w:sz w:val="21"/>
                <w:szCs w:val="21"/>
              </w:rPr>
            </w:pPr>
            <w:r>
              <w:rPr>
                <w:rFonts w:hint="eastAsia" w:ascii="宋体" w:hAnsi="宋体"/>
                <w:color w:val="auto"/>
                <w:sz w:val="21"/>
                <w:szCs w:val="21"/>
              </w:rPr>
              <w:t>第二节</w:t>
            </w:r>
          </w:p>
          <w:p w14:paraId="5BC402EA">
            <w:pPr>
              <w:adjustRightInd w:val="0"/>
              <w:snapToGrid w:val="0"/>
              <w:jc w:val="center"/>
              <w:rPr>
                <w:rFonts w:hint="eastAsia" w:ascii="宋体" w:hAnsi="宋体"/>
                <w:color w:val="auto"/>
                <w:sz w:val="21"/>
                <w:szCs w:val="21"/>
              </w:rPr>
            </w:pPr>
            <w:r>
              <w:rPr>
                <w:rFonts w:hint="eastAsia" w:ascii="宋体" w:hAnsi="宋体"/>
                <w:color w:val="auto"/>
                <w:sz w:val="21"/>
                <w:szCs w:val="21"/>
              </w:rPr>
              <w:t>第</w:t>
            </w:r>
            <w:r>
              <w:rPr>
                <w:rFonts w:hint="eastAsia" w:ascii="宋体" w:hAnsi="宋体"/>
                <w:color w:val="auto"/>
                <w:sz w:val="21"/>
                <w:szCs w:val="21"/>
                <w:lang w:val="en-US" w:eastAsia="zh-CN"/>
              </w:rPr>
              <w:t>13.3</w:t>
            </w:r>
            <w:r>
              <w:rPr>
                <w:rFonts w:hint="eastAsia" w:ascii="宋体" w:hAnsi="宋体"/>
                <w:color w:val="auto"/>
                <w:sz w:val="21"/>
                <w:szCs w:val="21"/>
              </w:rPr>
              <w:t>款</w:t>
            </w:r>
          </w:p>
        </w:tc>
        <w:tc>
          <w:tcPr>
            <w:tcW w:w="1742" w:type="dxa"/>
            <w:vAlign w:val="center"/>
          </w:tcPr>
          <w:p w14:paraId="34457F55">
            <w:pPr>
              <w:adjustRightInd w:val="0"/>
              <w:snapToGrid w:val="0"/>
              <w:jc w:val="left"/>
              <w:rPr>
                <w:rFonts w:ascii="宋体" w:hAnsi="宋体"/>
                <w:color w:val="auto"/>
                <w:sz w:val="21"/>
                <w:szCs w:val="21"/>
              </w:rPr>
            </w:pPr>
            <w:r>
              <w:rPr>
                <w:rFonts w:hint="eastAsia" w:ascii="宋体" w:hAnsi="宋体"/>
                <w:color w:val="auto"/>
                <w:sz w:val="21"/>
                <w:szCs w:val="21"/>
              </w:rPr>
              <w:t>履约保证金退还时间及</w:t>
            </w:r>
            <w:r>
              <w:rPr>
                <w:rFonts w:hint="eastAsia" w:ascii="宋体" w:hAnsi="宋体"/>
                <w:color w:val="auto"/>
                <w:sz w:val="21"/>
                <w:szCs w:val="21"/>
                <w:lang w:eastAsia="zh-CN"/>
              </w:rPr>
              <w:t>逾期退还的</w:t>
            </w:r>
            <w:r>
              <w:rPr>
                <w:rFonts w:hint="eastAsia" w:ascii="宋体" w:hAnsi="宋体"/>
                <w:color w:val="auto"/>
                <w:sz w:val="21"/>
                <w:szCs w:val="21"/>
              </w:rPr>
              <w:t>违约金</w:t>
            </w:r>
          </w:p>
        </w:tc>
        <w:tc>
          <w:tcPr>
            <w:tcW w:w="5170" w:type="dxa"/>
            <w:vAlign w:val="center"/>
          </w:tcPr>
          <w:p w14:paraId="6E69F6F1">
            <w:pPr>
              <w:adjustRightInd w:val="0"/>
              <w:snapToGrid w:val="0"/>
              <w:jc w:val="left"/>
              <w:rPr>
                <w:rFonts w:ascii="宋体" w:hAnsi="宋体"/>
                <w:color w:val="auto"/>
                <w:sz w:val="21"/>
                <w:szCs w:val="21"/>
              </w:rPr>
            </w:pPr>
          </w:p>
        </w:tc>
      </w:tr>
      <w:tr w14:paraId="3CC110E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036C7B55">
            <w:pPr>
              <w:adjustRightInd w:val="0"/>
              <w:snapToGrid w:val="0"/>
              <w:jc w:val="center"/>
              <w:rPr>
                <w:rFonts w:ascii="宋体" w:hAnsi="宋体"/>
                <w:color w:val="auto"/>
                <w:sz w:val="21"/>
                <w:szCs w:val="21"/>
              </w:rPr>
            </w:pPr>
            <w:r>
              <w:rPr>
                <w:rFonts w:hint="eastAsia" w:ascii="宋体" w:hAnsi="宋体"/>
                <w:color w:val="auto"/>
                <w:sz w:val="21"/>
                <w:szCs w:val="21"/>
              </w:rPr>
              <w:t>第二节</w:t>
            </w:r>
          </w:p>
          <w:p w14:paraId="1AB86969">
            <w:pPr>
              <w:adjustRightInd w:val="0"/>
              <w:snapToGrid w:val="0"/>
              <w:jc w:val="center"/>
              <w:rPr>
                <w:rFonts w:hint="eastAsia" w:ascii="宋体" w:hAnsi="宋体"/>
                <w:color w:val="auto"/>
                <w:sz w:val="21"/>
                <w:szCs w:val="21"/>
              </w:rPr>
            </w:pPr>
            <w:r>
              <w:rPr>
                <w:rFonts w:hint="eastAsia" w:ascii="宋体" w:hAnsi="宋体"/>
                <w:color w:val="auto"/>
                <w:sz w:val="21"/>
                <w:szCs w:val="21"/>
              </w:rPr>
              <w:t>第1</w:t>
            </w:r>
            <w:r>
              <w:rPr>
                <w:rFonts w:hint="eastAsia" w:ascii="宋体" w:hAnsi="宋体"/>
                <w:color w:val="auto"/>
                <w:sz w:val="21"/>
                <w:szCs w:val="21"/>
                <w:lang w:val="en-US" w:eastAsia="zh-CN"/>
              </w:rPr>
              <w:t>4</w:t>
            </w:r>
            <w:r>
              <w:rPr>
                <w:rFonts w:hint="eastAsia" w:ascii="宋体" w:hAnsi="宋体"/>
                <w:color w:val="auto"/>
                <w:sz w:val="21"/>
                <w:szCs w:val="21"/>
              </w:rPr>
              <w:t>.1（</w:t>
            </w:r>
            <w:r>
              <w:rPr>
                <w:rFonts w:hint="eastAsia" w:ascii="宋体" w:hAnsi="宋体"/>
                <w:color w:val="auto"/>
                <w:sz w:val="21"/>
                <w:szCs w:val="21"/>
                <w:lang w:val="en-US" w:eastAsia="zh-CN"/>
              </w:rPr>
              <w:t>3</w:t>
            </w:r>
            <w:r>
              <w:rPr>
                <w:rFonts w:hint="eastAsia" w:ascii="宋体" w:hAnsi="宋体"/>
                <w:color w:val="auto"/>
                <w:sz w:val="21"/>
                <w:szCs w:val="21"/>
              </w:rPr>
              <w:t>）项</w:t>
            </w:r>
          </w:p>
        </w:tc>
        <w:tc>
          <w:tcPr>
            <w:tcW w:w="1742" w:type="dxa"/>
            <w:vAlign w:val="center"/>
          </w:tcPr>
          <w:p w14:paraId="3FC18F75">
            <w:pPr>
              <w:adjustRightInd w:val="0"/>
              <w:snapToGrid w:val="0"/>
              <w:jc w:val="left"/>
              <w:rPr>
                <w:rFonts w:hint="eastAsia" w:ascii="宋体" w:hAnsi="宋体"/>
                <w:color w:val="auto"/>
                <w:sz w:val="21"/>
                <w:szCs w:val="21"/>
                <w:lang w:val="en-US" w:eastAsia="zh-CN"/>
              </w:rPr>
            </w:pPr>
            <w:r>
              <w:rPr>
                <w:rFonts w:hint="eastAsia" w:ascii="宋体" w:hAnsi="宋体"/>
                <w:color w:val="auto"/>
                <w:sz w:val="21"/>
                <w:szCs w:val="21"/>
                <w:lang w:val="en-US" w:eastAsia="zh-CN"/>
              </w:rPr>
              <w:t>运行监督、维修期限</w:t>
            </w:r>
          </w:p>
        </w:tc>
        <w:tc>
          <w:tcPr>
            <w:tcW w:w="5170" w:type="dxa"/>
            <w:vAlign w:val="center"/>
          </w:tcPr>
          <w:p w14:paraId="5A4F7B16">
            <w:pPr>
              <w:adjustRightInd w:val="0"/>
              <w:snapToGrid w:val="0"/>
              <w:jc w:val="left"/>
              <w:rPr>
                <w:rFonts w:ascii="宋体" w:hAnsi="宋体"/>
                <w:color w:val="auto"/>
                <w:sz w:val="21"/>
                <w:szCs w:val="21"/>
              </w:rPr>
            </w:pPr>
          </w:p>
        </w:tc>
      </w:tr>
      <w:tr w14:paraId="5AE3A1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6977D082">
            <w:pPr>
              <w:adjustRightInd w:val="0"/>
              <w:snapToGrid w:val="0"/>
              <w:jc w:val="center"/>
              <w:rPr>
                <w:rFonts w:ascii="宋体" w:hAnsi="宋体"/>
                <w:color w:val="auto"/>
                <w:sz w:val="21"/>
                <w:szCs w:val="21"/>
              </w:rPr>
            </w:pPr>
            <w:r>
              <w:rPr>
                <w:rFonts w:hint="eastAsia" w:ascii="宋体" w:hAnsi="宋体"/>
                <w:color w:val="auto"/>
                <w:sz w:val="21"/>
                <w:szCs w:val="21"/>
              </w:rPr>
              <w:t>第二节</w:t>
            </w:r>
          </w:p>
          <w:p w14:paraId="6C6C9992">
            <w:pPr>
              <w:adjustRightInd w:val="0"/>
              <w:snapToGrid w:val="0"/>
              <w:jc w:val="center"/>
              <w:rPr>
                <w:rFonts w:hint="eastAsia" w:ascii="宋体" w:hAnsi="宋体"/>
                <w:color w:val="auto"/>
                <w:sz w:val="21"/>
                <w:szCs w:val="21"/>
              </w:rPr>
            </w:pPr>
            <w:r>
              <w:rPr>
                <w:rFonts w:hint="eastAsia" w:ascii="宋体" w:hAnsi="宋体"/>
                <w:color w:val="auto"/>
                <w:sz w:val="21"/>
                <w:szCs w:val="21"/>
              </w:rPr>
              <w:t>第1</w:t>
            </w:r>
            <w:r>
              <w:rPr>
                <w:rFonts w:hint="eastAsia" w:ascii="宋体" w:hAnsi="宋体"/>
                <w:color w:val="auto"/>
                <w:sz w:val="21"/>
                <w:szCs w:val="21"/>
                <w:lang w:val="en-US" w:eastAsia="zh-CN"/>
              </w:rPr>
              <w:t>4</w:t>
            </w:r>
            <w:r>
              <w:rPr>
                <w:rFonts w:hint="eastAsia" w:ascii="宋体" w:hAnsi="宋体"/>
                <w:color w:val="auto"/>
                <w:sz w:val="21"/>
                <w:szCs w:val="21"/>
              </w:rPr>
              <w:t>.1（</w:t>
            </w:r>
            <w:r>
              <w:rPr>
                <w:rFonts w:hint="eastAsia" w:ascii="宋体" w:hAnsi="宋体"/>
                <w:color w:val="auto"/>
                <w:sz w:val="21"/>
                <w:szCs w:val="21"/>
                <w:lang w:val="en-US" w:eastAsia="zh-CN"/>
              </w:rPr>
              <w:t>5</w:t>
            </w:r>
            <w:r>
              <w:rPr>
                <w:rFonts w:hint="eastAsia" w:ascii="宋体" w:hAnsi="宋体"/>
                <w:color w:val="auto"/>
                <w:sz w:val="21"/>
                <w:szCs w:val="21"/>
              </w:rPr>
              <w:t>）项</w:t>
            </w:r>
          </w:p>
        </w:tc>
        <w:tc>
          <w:tcPr>
            <w:tcW w:w="1742" w:type="dxa"/>
            <w:vAlign w:val="center"/>
          </w:tcPr>
          <w:p w14:paraId="343F376D">
            <w:pPr>
              <w:adjustRightInd w:val="0"/>
              <w:snapToGrid w:val="0"/>
              <w:jc w:val="left"/>
              <w:rPr>
                <w:rFonts w:hint="default" w:ascii="宋体" w:hAnsi="宋体" w:eastAsia="宋体"/>
                <w:color w:val="auto"/>
                <w:sz w:val="21"/>
                <w:szCs w:val="21"/>
                <w:lang w:val="en-US" w:eastAsia="zh-CN"/>
              </w:rPr>
            </w:pPr>
            <w:r>
              <w:rPr>
                <w:rFonts w:hint="eastAsia" w:ascii="宋体" w:hAnsi="宋体"/>
                <w:color w:val="auto"/>
                <w:sz w:val="21"/>
                <w:szCs w:val="21"/>
                <w:lang w:val="en-US" w:eastAsia="zh-CN"/>
              </w:rPr>
              <w:t>货物回收的约定</w:t>
            </w:r>
          </w:p>
        </w:tc>
        <w:tc>
          <w:tcPr>
            <w:tcW w:w="5170" w:type="dxa"/>
            <w:vAlign w:val="center"/>
          </w:tcPr>
          <w:p w14:paraId="61CC6D4F">
            <w:pPr>
              <w:adjustRightInd w:val="0"/>
              <w:snapToGrid w:val="0"/>
              <w:jc w:val="left"/>
              <w:rPr>
                <w:rFonts w:ascii="宋体" w:hAnsi="宋体"/>
                <w:color w:val="auto"/>
                <w:sz w:val="21"/>
                <w:szCs w:val="21"/>
              </w:rPr>
            </w:pPr>
          </w:p>
        </w:tc>
      </w:tr>
      <w:tr w14:paraId="39A662C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6FCCA23">
            <w:pPr>
              <w:adjustRightInd w:val="0"/>
              <w:snapToGrid w:val="0"/>
              <w:jc w:val="center"/>
              <w:rPr>
                <w:rFonts w:ascii="宋体" w:hAnsi="宋体"/>
                <w:color w:val="auto"/>
                <w:sz w:val="21"/>
                <w:szCs w:val="21"/>
              </w:rPr>
            </w:pPr>
            <w:r>
              <w:rPr>
                <w:rFonts w:hint="eastAsia" w:ascii="宋体" w:hAnsi="宋体"/>
                <w:color w:val="auto"/>
                <w:sz w:val="21"/>
                <w:szCs w:val="21"/>
              </w:rPr>
              <w:t>第二节</w:t>
            </w:r>
          </w:p>
          <w:p w14:paraId="2FC68598">
            <w:pPr>
              <w:adjustRightInd w:val="0"/>
              <w:snapToGrid w:val="0"/>
              <w:jc w:val="center"/>
              <w:rPr>
                <w:rFonts w:ascii="宋体" w:hAnsi="宋体"/>
                <w:color w:val="auto"/>
                <w:sz w:val="21"/>
                <w:szCs w:val="21"/>
              </w:rPr>
            </w:pPr>
            <w:r>
              <w:rPr>
                <w:rFonts w:hint="eastAsia" w:ascii="宋体" w:hAnsi="宋体"/>
                <w:color w:val="auto"/>
                <w:sz w:val="21"/>
                <w:szCs w:val="21"/>
              </w:rPr>
              <w:t>第1</w:t>
            </w:r>
            <w:r>
              <w:rPr>
                <w:rFonts w:hint="eastAsia" w:ascii="宋体" w:hAnsi="宋体"/>
                <w:color w:val="auto"/>
                <w:sz w:val="21"/>
                <w:szCs w:val="21"/>
                <w:lang w:val="en-US" w:eastAsia="zh-CN"/>
              </w:rPr>
              <w:t>4</w:t>
            </w:r>
            <w:r>
              <w:rPr>
                <w:rFonts w:hint="eastAsia" w:ascii="宋体" w:hAnsi="宋体"/>
                <w:color w:val="auto"/>
                <w:sz w:val="21"/>
                <w:szCs w:val="21"/>
              </w:rPr>
              <w:t>.1（</w:t>
            </w:r>
            <w:r>
              <w:rPr>
                <w:rFonts w:hint="eastAsia" w:ascii="宋体" w:hAnsi="宋体"/>
                <w:color w:val="auto"/>
                <w:sz w:val="21"/>
                <w:szCs w:val="21"/>
                <w:lang w:val="en-US" w:eastAsia="zh-CN"/>
              </w:rPr>
              <w:t>6</w:t>
            </w:r>
            <w:r>
              <w:rPr>
                <w:rFonts w:hint="eastAsia" w:ascii="宋体" w:hAnsi="宋体"/>
                <w:color w:val="auto"/>
                <w:sz w:val="21"/>
                <w:szCs w:val="21"/>
              </w:rPr>
              <w:t>）项</w:t>
            </w:r>
          </w:p>
        </w:tc>
        <w:tc>
          <w:tcPr>
            <w:tcW w:w="1742" w:type="dxa"/>
            <w:vAlign w:val="center"/>
          </w:tcPr>
          <w:p w14:paraId="4913DD09">
            <w:pPr>
              <w:adjustRightInd w:val="0"/>
              <w:snapToGrid w:val="0"/>
              <w:jc w:val="left"/>
              <w:rPr>
                <w:rFonts w:ascii="宋体" w:hAnsi="宋体"/>
                <w:color w:val="auto"/>
                <w:sz w:val="21"/>
                <w:szCs w:val="21"/>
              </w:rPr>
            </w:pPr>
            <w:r>
              <w:rPr>
                <w:rFonts w:hint="eastAsia" w:ascii="宋体" w:hAnsi="宋体"/>
                <w:color w:val="auto"/>
                <w:sz w:val="21"/>
                <w:szCs w:val="21"/>
              </w:rPr>
              <w:t>乙方提供的其他服务</w:t>
            </w:r>
          </w:p>
        </w:tc>
        <w:tc>
          <w:tcPr>
            <w:tcW w:w="5170" w:type="dxa"/>
            <w:vAlign w:val="center"/>
          </w:tcPr>
          <w:p w14:paraId="623632EA">
            <w:pPr>
              <w:adjustRightInd w:val="0"/>
              <w:snapToGrid w:val="0"/>
              <w:jc w:val="left"/>
              <w:rPr>
                <w:rFonts w:ascii="宋体" w:hAnsi="宋体"/>
                <w:color w:val="auto"/>
                <w:sz w:val="21"/>
                <w:szCs w:val="21"/>
              </w:rPr>
            </w:pPr>
          </w:p>
        </w:tc>
      </w:tr>
      <w:tr w14:paraId="5B8D289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3CEA940">
            <w:pPr>
              <w:adjustRightInd w:val="0"/>
              <w:snapToGrid w:val="0"/>
              <w:jc w:val="center"/>
              <w:rPr>
                <w:rFonts w:ascii="宋体" w:hAnsi="宋体"/>
                <w:color w:val="auto"/>
                <w:sz w:val="21"/>
                <w:szCs w:val="21"/>
              </w:rPr>
            </w:pPr>
            <w:r>
              <w:rPr>
                <w:rFonts w:hint="eastAsia" w:ascii="宋体" w:hAnsi="宋体"/>
                <w:color w:val="auto"/>
                <w:sz w:val="21"/>
                <w:szCs w:val="21"/>
              </w:rPr>
              <w:t>第二节</w:t>
            </w:r>
          </w:p>
          <w:p w14:paraId="6A653625">
            <w:pPr>
              <w:adjustRightInd w:val="0"/>
              <w:snapToGrid w:val="0"/>
              <w:jc w:val="center"/>
              <w:rPr>
                <w:rFonts w:hint="default" w:ascii="宋体" w:hAnsi="宋体" w:eastAsia="宋体"/>
                <w:color w:val="auto"/>
                <w:sz w:val="21"/>
                <w:szCs w:val="21"/>
                <w:lang w:val="en-US" w:eastAsia="zh-CN"/>
              </w:rPr>
            </w:pPr>
            <w:r>
              <w:rPr>
                <w:rFonts w:hint="eastAsia" w:ascii="宋体" w:hAnsi="宋体"/>
                <w:color w:val="auto"/>
                <w:sz w:val="21"/>
                <w:szCs w:val="21"/>
              </w:rPr>
              <w:t>第1</w:t>
            </w:r>
            <w:r>
              <w:rPr>
                <w:rFonts w:hint="eastAsia" w:ascii="宋体" w:hAnsi="宋体"/>
                <w:color w:val="auto"/>
                <w:sz w:val="21"/>
                <w:szCs w:val="21"/>
                <w:lang w:val="en-US" w:eastAsia="zh-CN"/>
              </w:rPr>
              <w:t>5</w:t>
            </w:r>
            <w:r>
              <w:rPr>
                <w:rFonts w:hint="eastAsia" w:ascii="宋体" w:hAnsi="宋体"/>
                <w:color w:val="auto"/>
                <w:sz w:val="21"/>
                <w:szCs w:val="21"/>
              </w:rPr>
              <w:t>.</w:t>
            </w:r>
            <w:r>
              <w:rPr>
                <w:rFonts w:hint="eastAsia" w:ascii="宋体" w:hAnsi="宋体"/>
                <w:color w:val="auto"/>
                <w:sz w:val="21"/>
                <w:szCs w:val="21"/>
                <w:lang w:val="en-US" w:eastAsia="zh-CN"/>
              </w:rPr>
              <w:t>1款</w:t>
            </w:r>
          </w:p>
        </w:tc>
        <w:tc>
          <w:tcPr>
            <w:tcW w:w="1742" w:type="dxa"/>
            <w:vAlign w:val="center"/>
          </w:tcPr>
          <w:p w14:paraId="1DF9FD96">
            <w:pPr>
              <w:adjustRightInd w:val="0"/>
              <w:snapToGrid w:val="0"/>
              <w:jc w:val="left"/>
              <w:rPr>
                <w:rFonts w:hint="eastAsia" w:ascii="宋体" w:hAnsi="宋体"/>
                <w:color w:val="auto"/>
                <w:sz w:val="21"/>
                <w:szCs w:val="21"/>
              </w:rPr>
            </w:pPr>
            <w:r>
              <w:rPr>
                <w:rFonts w:hint="eastAsia" w:ascii="宋体" w:hAnsi="宋体"/>
                <w:color w:val="auto"/>
                <w:sz w:val="21"/>
                <w:szCs w:val="21"/>
                <w:highlight w:val="none"/>
                <w:lang w:eastAsia="zh-CN"/>
              </w:rPr>
              <w:t>修理、重作、更换相关具体规定</w:t>
            </w:r>
          </w:p>
        </w:tc>
        <w:tc>
          <w:tcPr>
            <w:tcW w:w="5170" w:type="dxa"/>
            <w:vAlign w:val="center"/>
          </w:tcPr>
          <w:p w14:paraId="16D0ACB1">
            <w:pPr>
              <w:adjustRightInd w:val="0"/>
              <w:snapToGrid w:val="0"/>
              <w:jc w:val="left"/>
              <w:rPr>
                <w:rFonts w:ascii="宋体" w:hAnsi="宋体"/>
                <w:color w:val="auto"/>
                <w:sz w:val="21"/>
                <w:szCs w:val="21"/>
              </w:rPr>
            </w:pPr>
          </w:p>
        </w:tc>
      </w:tr>
      <w:tr w14:paraId="22B6C8A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BF84B4B">
            <w:pPr>
              <w:adjustRightInd w:val="0"/>
              <w:snapToGrid w:val="0"/>
              <w:jc w:val="center"/>
              <w:rPr>
                <w:rFonts w:ascii="宋体" w:hAnsi="宋体"/>
                <w:color w:val="auto"/>
                <w:sz w:val="21"/>
                <w:szCs w:val="21"/>
              </w:rPr>
            </w:pPr>
            <w:r>
              <w:rPr>
                <w:rFonts w:hint="eastAsia" w:ascii="宋体" w:hAnsi="宋体"/>
                <w:color w:val="auto"/>
                <w:sz w:val="21"/>
                <w:szCs w:val="21"/>
              </w:rPr>
              <w:t>第二节</w:t>
            </w:r>
          </w:p>
          <w:p w14:paraId="428C4E90">
            <w:pPr>
              <w:adjustRightInd w:val="0"/>
              <w:snapToGrid w:val="0"/>
              <w:jc w:val="center"/>
              <w:rPr>
                <w:rFonts w:ascii="宋体" w:hAnsi="宋体"/>
                <w:color w:val="auto"/>
                <w:sz w:val="21"/>
                <w:szCs w:val="21"/>
              </w:rPr>
            </w:pPr>
            <w:r>
              <w:rPr>
                <w:rFonts w:hint="eastAsia" w:ascii="宋体" w:hAnsi="宋体"/>
                <w:color w:val="auto"/>
                <w:sz w:val="21"/>
                <w:szCs w:val="21"/>
              </w:rPr>
              <w:t>第1</w:t>
            </w:r>
            <w:r>
              <w:rPr>
                <w:rFonts w:hint="eastAsia" w:ascii="宋体" w:hAnsi="宋体"/>
                <w:color w:val="auto"/>
                <w:sz w:val="21"/>
                <w:szCs w:val="21"/>
                <w:lang w:val="en-US" w:eastAsia="zh-CN"/>
              </w:rPr>
              <w:t>5</w:t>
            </w:r>
            <w:r>
              <w:rPr>
                <w:rFonts w:hint="eastAsia" w:ascii="宋体" w:hAnsi="宋体"/>
                <w:color w:val="auto"/>
                <w:sz w:val="21"/>
                <w:szCs w:val="21"/>
              </w:rPr>
              <w:t>.2（2）项</w:t>
            </w:r>
          </w:p>
        </w:tc>
        <w:tc>
          <w:tcPr>
            <w:tcW w:w="1742" w:type="dxa"/>
            <w:vAlign w:val="center"/>
          </w:tcPr>
          <w:p w14:paraId="1A1DD689">
            <w:pPr>
              <w:adjustRightInd w:val="0"/>
              <w:snapToGrid w:val="0"/>
              <w:jc w:val="left"/>
              <w:rPr>
                <w:rFonts w:ascii="宋体" w:hAnsi="宋体"/>
                <w:color w:val="auto"/>
                <w:sz w:val="21"/>
                <w:szCs w:val="21"/>
              </w:rPr>
            </w:pPr>
            <w:r>
              <w:rPr>
                <w:rFonts w:hint="eastAsia" w:ascii="宋体" w:hAnsi="宋体"/>
                <w:color w:val="auto"/>
                <w:sz w:val="21"/>
                <w:szCs w:val="21"/>
              </w:rPr>
              <w:t>迟延交货赔偿费</w:t>
            </w:r>
          </w:p>
        </w:tc>
        <w:tc>
          <w:tcPr>
            <w:tcW w:w="5170" w:type="dxa"/>
            <w:vAlign w:val="center"/>
          </w:tcPr>
          <w:p w14:paraId="3BDA51DA">
            <w:pPr>
              <w:adjustRightInd w:val="0"/>
              <w:snapToGrid w:val="0"/>
              <w:jc w:val="left"/>
              <w:rPr>
                <w:rFonts w:ascii="宋体" w:hAnsi="宋体"/>
                <w:color w:val="auto"/>
                <w:sz w:val="21"/>
                <w:szCs w:val="21"/>
                <w:u w:val="single"/>
              </w:rPr>
            </w:pPr>
          </w:p>
        </w:tc>
      </w:tr>
      <w:tr w14:paraId="1B1FBBC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DCA8A8E">
            <w:pPr>
              <w:adjustRightInd w:val="0"/>
              <w:snapToGrid w:val="0"/>
              <w:jc w:val="center"/>
              <w:rPr>
                <w:rFonts w:ascii="宋体" w:hAnsi="宋体"/>
                <w:color w:val="auto"/>
                <w:sz w:val="21"/>
                <w:szCs w:val="21"/>
              </w:rPr>
            </w:pPr>
            <w:r>
              <w:rPr>
                <w:rFonts w:hint="eastAsia" w:ascii="宋体" w:hAnsi="宋体"/>
                <w:color w:val="auto"/>
                <w:sz w:val="21"/>
                <w:szCs w:val="21"/>
              </w:rPr>
              <w:t>第二节</w:t>
            </w:r>
          </w:p>
          <w:p w14:paraId="7C8226EC">
            <w:pPr>
              <w:adjustRightInd w:val="0"/>
              <w:snapToGrid w:val="0"/>
              <w:jc w:val="center"/>
              <w:rPr>
                <w:rFonts w:hint="eastAsia" w:ascii="宋体" w:hAnsi="宋体"/>
                <w:color w:val="auto"/>
                <w:sz w:val="21"/>
                <w:szCs w:val="21"/>
              </w:rPr>
            </w:pPr>
            <w:r>
              <w:rPr>
                <w:rFonts w:hint="eastAsia" w:ascii="宋体" w:hAnsi="宋体"/>
                <w:color w:val="auto"/>
                <w:sz w:val="21"/>
                <w:szCs w:val="21"/>
              </w:rPr>
              <w:t>第1</w:t>
            </w:r>
            <w:r>
              <w:rPr>
                <w:rFonts w:hint="eastAsia" w:ascii="宋体" w:hAnsi="宋体"/>
                <w:color w:val="auto"/>
                <w:sz w:val="21"/>
                <w:szCs w:val="21"/>
                <w:lang w:val="en-US" w:eastAsia="zh-CN"/>
              </w:rPr>
              <w:t>5</w:t>
            </w:r>
            <w:r>
              <w:rPr>
                <w:rFonts w:hint="eastAsia" w:ascii="宋体" w:hAnsi="宋体"/>
                <w:color w:val="auto"/>
                <w:sz w:val="21"/>
                <w:szCs w:val="21"/>
              </w:rPr>
              <w:t>.</w:t>
            </w:r>
            <w:r>
              <w:rPr>
                <w:rFonts w:hint="eastAsia" w:ascii="宋体" w:hAnsi="宋体"/>
                <w:color w:val="auto"/>
                <w:sz w:val="21"/>
                <w:szCs w:val="21"/>
                <w:lang w:val="en-US" w:eastAsia="zh-CN"/>
              </w:rPr>
              <w:t>3款</w:t>
            </w:r>
          </w:p>
        </w:tc>
        <w:tc>
          <w:tcPr>
            <w:tcW w:w="1742" w:type="dxa"/>
            <w:vAlign w:val="center"/>
          </w:tcPr>
          <w:p w14:paraId="3928D339">
            <w:pPr>
              <w:adjustRightInd w:val="0"/>
              <w:snapToGrid w:val="0"/>
              <w:jc w:val="left"/>
              <w:rPr>
                <w:rFonts w:hint="eastAsia" w:ascii="宋体" w:hAnsi="宋体"/>
                <w:color w:val="auto"/>
                <w:sz w:val="21"/>
                <w:szCs w:val="21"/>
              </w:rPr>
            </w:pPr>
            <w:r>
              <w:rPr>
                <w:rFonts w:hint="eastAsia" w:ascii="宋体" w:hAnsi="宋体"/>
                <w:color w:val="auto"/>
                <w:sz w:val="21"/>
                <w:szCs w:val="21"/>
              </w:rPr>
              <w:t>逾期付款利息</w:t>
            </w:r>
          </w:p>
        </w:tc>
        <w:tc>
          <w:tcPr>
            <w:tcW w:w="5170" w:type="dxa"/>
            <w:vAlign w:val="center"/>
          </w:tcPr>
          <w:p w14:paraId="6F9DA8D2">
            <w:pPr>
              <w:adjustRightInd w:val="0"/>
              <w:snapToGrid w:val="0"/>
              <w:jc w:val="left"/>
              <w:rPr>
                <w:rFonts w:ascii="宋体" w:hAnsi="宋体"/>
                <w:color w:val="auto"/>
                <w:sz w:val="21"/>
                <w:szCs w:val="21"/>
                <w:u w:val="single"/>
              </w:rPr>
            </w:pPr>
          </w:p>
        </w:tc>
      </w:tr>
      <w:tr w14:paraId="7433E94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5A6C207F">
            <w:pPr>
              <w:adjustRightInd w:val="0"/>
              <w:snapToGrid w:val="0"/>
              <w:jc w:val="center"/>
              <w:rPr>
                <w:rFonts w:ascii="宋体" w:hAnsi="宋体"/>
                <w:color w:val="auto"/>
                <w:sz w:val="21"/>
                <w:szCs w:val="21"/>
              </w:rPr>
            </w:pPr>
            <w:r>
              <w:rPr>
                <w:rFonts w:hint="eastAsia" w:ascii="宋体" w:hAnsi="宋体"/>
                <w:color w:val="auto"/>
                <w:sz w:val="21"/>
                <w:szCs w:val="21"/>
              </w:rPr>
              <w:t>第二节</w:t>
            </w:r>
          </w:p>
          <w:p w14:paraId="1184464D">
            <w:pPr>
              <w:adjustRightInd w:val="0"/>
              <w:snapToGrid w:val="0"/>
              <w:jc w:val="center"/>
              <w:rPr>
                <w:rFonts w:ascii="宋体" w:hAnsi="宋体"/>
                <w:color w:val="auto"/>
                <w:sz w:val="21"/>
                <w:szCs w:val="21"/>
              </w:rPr>
            </w:pPr>
            <w:r>
              <w:rPr>
                <w:rFonts w:hint="eastAsia" w:ascii="宋体" w:hAnsi="宋体"/>
                <w:color w:val="auto"/>
                <w:sz w:val="21"/>
                <w:szCs w:val="21"/>
              </w:rPr>
              <w:t>第1</w:t>
            </w:r>
            <w:r>
              <w:rPr>
                <w:rFonts w:hint="eastAsia" w:ascii="宋体" w:hAnsi="宋体"/>
                <w:color w:val="auto"/>
                <w:sz w:val="21"/>
                <w:szCs w:val="21"/>
                <w:lang w:val="en-US" w:eastAsia="zh-CN"/>
              </w:rPr>
              <w:t>5</w:t>
            </w:r>
            <w:r>
              <w:rPr>
                <w:rFonts w:hint="eastAsia" w:ascii="宋体" w:hAnsi="宋体"/>
                <w:color w:val="auto"/>
                <w:sz w:val="21"/>
                <w:szCs w:val="21"/>
              </w:rPr>
              <w:t>.4</w:t>
            </w:r>
            <w:r>
              <w:rPr>
                <w:rFonts w:hint="eastAsia" w:ascii="宋体" w:hAnsi="宋体"/>
                <w:color w:val="auto"/>
                <w:sz w:val="21"/>
                <w:szCs w:val="21"/>
                <w:lang w:val="en-US" w:eastAsia="zh-CN"/>
              </w:rPr>
              <w:t>款</w:t>
            </w:r>
          </w:p>
        </w:tc>
        <w:tc>
          <w:tcPr>
            <w:tcW w:w="1742" w:type="dxa"/>
            <w:tcBorders>
              <w:left w:val="single" w:color="auto" w:sz="2" w:space="0"/>
              <w:bottom w:val="single" w:color="auto" w:sz="2" w:space="0"/>
              <w:right w:val="single" w:color="auto" w:sz="2" w:space="0"/>
            </w:tcBorders>
            <w:vAlign w:val="center"/>
          </w:tcPr>
          <w:p w14:paraId="7F00462C">
            <w:pPr>
              <w:adjustRightInd w:val="0"/>
              <w:snapToGrid w:val="0"/>
              <w:jc w:val="left"/>
              <w:rPr>
                <w:rFonts w:ascii="宋体" w:hAnsi="宋体"/>
                <w:color w:val="auto"/>
                <w:sz w:val="21"/>
                <w:szCs w:val="21"/>
              </w:rPr>
            </w:pPr>
            <w:r>
              <w:rPr>
                <w:rFonts w:hint="eastAsia" w:ascii="宋体" w:hAnsi="宋体"/>
                <w:color w:val="auto"/>
                <w:sz w:val="21"/>
                <w:szCs w:val="21"/>
              </w:rPr>
              <w:t>其他违约责任</w:t>
            </w:r>
          </w:p>
        </w:tc>
        <w:tc>
          <w:tcPr>
            <w:tcW w:w="5170" w:type="dxa"/>
            <w:tcBorders>
              <w:left w:val="single" w:color="auto" w:sz="2" w:space="0"/>
              <w:bottom w:val="single" w:color="auto" w:sz="2" w:space="0"/>
            </w:tcBorders>
            <w:vAlign w:val="center"/>
          </w:tcPr>
          <w:p w14:paraId="2A6C9A6C">
            <w:pPr>
              <w:adjustRightInd w:val="0"/>
              <w:snapToGrid w:val="0"/>
              <w:jc w:val="left"/>
              <w:rPr>
                <w:rFonts w:ascii="宋体" w:hAnsi="宋体"/>
                <w:color w:val="auto"/>
                <w:sz w:val="21"/>
                <w:szCs w:val="21"/>
                <w:u w:val="single"/>
              </w:rPr>
            </w:pPr>
          </w:p>
        </w:tc>
      </w:tr>
      <w:tr w14:paraId="68C481F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1C8CB4CE">
            <w:pPr>
              <w:adjustRightInd w:val="0"/>
              <w:snapToGrid w:val="0"/>
              <w:jc w:val="center"/>
              <w:rPr>
                <w:rFonts w:ascii="宋体" w:hAnsi="宋体"/>
                <w:color w:val="auto"/>
                <w:sz w:val="21"/>
                <w:szCs w:val="21"/>
              </w:rPr>
            </w:pPr>
            <w:r>
              <w:rPr>
                <w:rFonts w:hint="eastAsia" w:ascii="宋体" w:hAnsi="宋体"/>
                <w:color w:val="auto"/>
                <w:sz w:val="21"/>
                <w:szCs w:val="21"/>
              </w:rPr>
              <w:t>第二节</w:t>
            </w:r>
          </w:p>
          <w:p w14:paraId="62F7F577">
            <w:pPr>
              <w:adjustRightInd w:val="0"/>
              <w:snapToGrid w:val="0"/>
              <w:jc w:val="center"/>
              <w:rPr>
                <w:rFonts w:ascii="宋体" w:hAnsi="宋体"/>
                <w:color w:val="auto"/>
                <w:sz w:val="21"/>
                <w:szCs w:val="21"/>
              </w:rPr>
            </w:pPr>
            <w:r>
              <w:rPr>
                <w:rFonts w:hint="eastAsia" w:ascii="宋体" w:hAnsi="宋体"/>
                <w:color w:val="auto"/>
                <w:sz w:val="21"/>
                <w:szCs w:val="21"/>
              </w:rPr>
              <w:t>第</w:t>
            </w:r>
            <w:r>
              <w:rPr>
                <w:rFonts w:hint="eastAsia" w:ascii="宋体" w:hAnsi="宋体"/>
                <w:color w:val="auto"/>
                <w:sz w:val="21"/>
                <w:szCs w:val="21"/>
                <w:lang w:val="en-US" w:eastAsia="zh-CN"/>
              </w:rPr>
              <w:t>19</w:t>
            </w:r>
            <w:r>
              <w:rPr>
                <w:rFonts w:hint="eastAsia" w:ascii="宋体" w:hAnsi="宋体"/>
                <w:color w:val="auto"/>
                <w:sz w:val="21"/>
                <w:szCs w:val="21"/>
              </w:rPr>
              <w:t>.2</w:t>
            </w:r>
            <w:r>
              <w:rPr>
                <w:rFonts w:hint="eastAsia" w:ascii="宋体" w:hAnsi="宋体"/>
                <w:color w:val="auto"/>
                <w:sz w:val="21"/>
                <w:szCs w:val="21"/>
                <w:lang w:val="en-US" w:eastAsia="zh-CN"/>
              </w:rPr>
              <w:t>款</w:t>
            </w:r>
          </w:p>
        </w:tc>
        <w:tc>
          <w:tcPr>
            <w:tcW w:w="1742" w:type="dxa"/>
            <w:tcBorders>
              <w:top w:val="single" w:color="auto" w:sz="2" w:space="0"/>
              <w:left w:val="single" w:color="auto" w:sz="2" w:space="0"/>
              <w:right w:val="single" w:color="auto" w:sz="2" w:space="0"/>
            </w:tcBorders>
            <w:vAlign w:val="center"/>
          </w:tcPr>
          <w:p w14:paraId="2377861D">
            <w:pPr>
              <w:adjustRightInd w:val="0"/>
              <w:snapToGrid w:val="0"/>
              <w:jc w:val="left"/>
              <w:rPr>
                <w:rFonts w:ascii="宋体" w:hAnsi="宋体"/>
                <w:color w:val="auto"/>
                <w:sz w:val="21"/>
                <w:szCs w:val="21"/>
              </w:rPr>
            </w:pPr>
            <w:r>
              <w:rPr>
                <w:rFonts w:hint="eastAsia" w:ascii="宋体" w:hAnsi="宋体"/>
                <w:color w:val="auto"/>
                <w:sz w:val="21"/>
                <w:szCs w:val="21"/>
                <w:lang w:val="en-US" w:eastAsia="zh-CN"/>
              </w:rPr>
              <w:t>解决争议的方法</w:t>
            </w:r>
          </w:p>
        </w:tc>
        <w:tc>
          <w:tcPr>
            <w:tcW w:w="5170" w:type="dxa"/>
            <w:tcBorders>
              <w:top w:val="single" w:color="auto" w:sz="2" w:space="0"/>
              <w:left w:val="single" w:color="auto" w:sz="2" w:space="0"/>
            </w:tcBorders>
            <w:vAlign w:val="center"/>
          </w:tcPr>
          <w:p w14:paraId="28C199C3">
            <w:pPr>
              <w:autoSpaceDE w:val="0"/>
              <w:autoSpaceDN w:val="0"/>
              <w:adjustRightInd w:val="0"/>
              <w:snapToGrid w:val="0"/>
              <w:spacing w:line="400" w:lineRule="exact"/>
              <w:jc w:val="left"/>
              <w:rPr>
                <w:rFonts w:hint="eastAsia" w:ascii="宋体" w:hAnsi="宋体" w:eastAsia="宋体" w:cs="宋体"/>
                <w:b w:val="0"/>
                <w:bCs w:val="0"/>
                <w:iCs/>
                <w:color w:val="auto"/>
                <w:sz w:val="21"/>
                <w:szCs w:val="21"/>
              </w:rPr>
            </w:pPr>
            <w:r>
              <w:rPr>
                <w:rFonts w:hint="eastAsia" w:ascii="宋体" w:hAnsi="宋体" w:eastAsia="宋体" w:cs="宋体"/>
                <w:b w:val="0"/>
                <w:bCs w:val="0"/>
                <w:iCs/>
                <w:color w:val="auto"/>
                <w:sz w:val="21"/>
                <w:szCs w:val="21"/>
              </w:rPr>
              <w:t>因本合同及合同有关事项发生的争议，按下列第</w:t>
            </w:r>
            <w:r>
              <w:rPr>
                <w:rFonts w:hint="eastAsia" w:ascii="宋体" w:hAnsi="宋体" w:eastAsia="宋体" w:cs="宋体"/>
                <w:b w:val="0"/>
                <w:bCs w:val="0"/>
                <w:iCs/>
                <w:color w:val="auto"/>
                <w:sz w:val="21"/>
                <w:szCs w:val="21"/>
                <w:u w:val="single"/>
              </w:rPr>
              <w:t xml:space="preserve">   </w:t>
            </w:r>
            <w:r>
              <w:rPr>
                <w:rFonts w:hint="eastAsia" w:ascii="宋体" w:hAnsi="宋体" w:eastAsia="宋体" w:cs="宋体"/>
                <w:b w:val="0"/>
                <w:bCs w:val="0"/>
                <w:iCs/>
                <w:color w:val="auto"/>
                <w:sz w:val="21"/>
                <w:szCs w:val="21"/>
              </w:rPr>
              <w:t>种方式解决：</w:t>
            </w:r>
          </w:p>
          <w:p w14:paraId="6D79751F">
            <w:pPr>
              <w:autoSpaceDE w:val="0"/>
              <w:autoSpaceDN w:val="0"/>
              <w:adjustRightInd w:val="0"/>
              <w:snapToGrid w:val="0"/>
              <w:spacing w:line="400" w:lineRule="exact"/>
              <w:jc w:val="left"/>
              <w:rPr>
                <w:rFonts w:hint="eastAsia" w:ascii="宋体" w:hAnsi="宋体" w:eastAsia="宋体" w:cs="宋体"/>
                <w:b w:val="0"/>
                <w:bCs w:val="0"/>
                <w:iCs/>
                <w:color w:val="auto"/>
                <w:sz w:val="21"/>
                <w:szCs w:val="21"/>
              </w:rPr>
            </w:pPr>
            <w:r>
              <w:rPr>
                <w:rFonts w:hint="eastAsia" w:ascii="宋体" w:hAnsi="宋体" w:eastAsia="宋体" w:cs="宋体"/>
                <w:b w:val="0"/>
                <w:bCs w:val="0"/>
                <w:iCs/>
                <w:color w:val="auto"/>
                <w:sz w:val="21"/>
                <w:szCs w:val="21"/>
              </w:rPr>
              <w:t>（1）向</w:t>
            </w:r>
            <w:r>
              <w:rPr>
                <w:rFonts w:hint="eastAsia" w:ascii="宋体" w:hAnsi="宋体" w:eastAsia="宋体" w:cs="宋体"/>
                <w:b w:val="0"/>
                <w:bCs w:val="0"/>
                <w:iCs/>
                <w:color w:val="auto"/>
                <w:sz w:val="21"/>
                <w:szCs w:val="21"/>
                <w:u w:val="single"/>
              </w:rPr>
              <w:t xml:space="preserve">                    </w:t>
            </w:r>
            <w:r>
              <w:rPr>
                <w:rFonts w:hint="eastAsia" w:ascii="宋体" w:hAnsi="宋体" w:eastAsia="宋体" w:cs="宋体"/>
                <w:b w:val="0"/>
                <w:bCs w:val="0"/>
                <w:iCs/>
                <w:color w:val="auto"/>
                <w:sz w:val="21"/>
                <w:szCs w:val="21"/>
              </w:rPr>
              <w:t>仲裁委员会申请仲裁，仲裁地点为</w:t>
            </w:r>
            <w:r>
              <w:rPr>
                <w:rFonts w:hint="eastAsia" w:ascii="宋体" w:hAnsi="宋体" w:eastAsia="宋体" w:cs="宋体"/>
                <w:b w:val="0"/>
                <w:bCs w:val="0"/>
                <w:iCs/>
                <w:color w:val="auto"/>
                <w:sz w:val="21"/>
                <w:szCs w:val="21"/>
                <w:u w:val="single"/>
              </w:rPr>
              <w:t xml:space="preserve">           </w:t>
            </w:r>
            <w:r>
              <w:rPr>
                <w:rFonts w:hint="eastAsia" w:ascii="宋体" w:hAnsi="宋体" w:eastAsia="宋体" w:cs="宋体"/>
                <w:b w:val="0"/>
                <w:bCs w:val="0"/>
                <w:iCs/>
                <w:color w:val="auto"/>
                <w:sz w:val="21"/>
                <w:szCs w:val="21"/>
              </w:rPr>
              <w:t>；</w:t>
            </w:r>
          </w:p>
          <w:p w14:paraId="3520A630">
            <w:pPr>
              <w:adjustRightInd w:val="0"/>
              <w:snapToGrid w:val="0"/>
              <w:ind w:firstLine="0" w:firstLineChars="0"/>
              <w:jc w:val="left"/>
              <w:rPr>
                <w:rFonts w:ascii="宋体" w:hAnsi="宋体"/>
                <w:color w:val="auto"/>
                <w:sz w:val="21"/>
                <w:szCs w:val="21"/>
                <w:u w:val="single"/>
              </w:rPr>
            </w:pPr>
            <w:r>
              <w:rPr>
                <w:rFonts w:hint="eastAsia" w:ascii="宋体" w:hAnsi="宋体" w:eastAsia="宋体" w:cs="宋体"/>
                <w:b w:val="0"/>
                <w:bCs w:val="0"/>
                <w:iCs/>
                <w:color w:val="auto"/>
                <w:sz w:val="21"/>
                <w:szCs w:val="21"/>
              </w:rPr>
              <w:t>（2）向</w:t>
            </w:r>
            <w:r>
              <w:rPr>
                <w:rFonts w:hint="eastAsia" w:ascii="宋体" w:hAnsi="宋体" w:eastAsia="宋体" w:cs="宋体"/>
                <w:b w:val="0"/>
                <w:bCs w:val="0"/>
                <w:iCs/>
                <w:color w:val="auto"/>
                <w:sz w:val="21"/>
                <w:szCs w:val="21"/>
                <w:u w:val="single"/>
              </w:rPr>
              <w:t xml:space="preserve">                    </w:t>
            </w:r>
            <w:r>
              <w:rPr>
                <w:rFonts w:hint="eastAsia" w:ascii="宋体" w:hAnsi="宋体" w:eastAsia="宋体" w:cs="宋体"/>
                <w:b w:val="0"/>
                <w:bCs w:val="0"/>
                <w:iCs/>
                <w:color w:val="auto"/>
                <w:sz w:val="21"/>
                <w:szCs w:val="21"/>
              </w:rPr>
              <w:t>人民法院起诉。</w:t>
            </w:r>
          </w:p>
        </w:tc>
      </w:tr>
      <w:tr w14:paraId="6226F2F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5F500603">
            <w:pPr>
              <w:adjustRightInd w:val="0"/>
              <w:snapToGrid w:val="0"/>
              <w:jc w:val="center"/>
              <w:rPr>
                <w:rFonts w:ascii="宋体" w:hAnsi="宋体"/>
                <w:color w:val="auto"/>
                <w:sz w:val="21"/>
                <w:szCs w:val="21"/>
              </w:rPr>
            </w:pPr>
            <w:r>
              <w:rPr>
                <w:rFonts w:hint="eastAsia" w:ascii="宋体" w:hAnsi="宋体"/>
                <w:color w:val="auto"/>
                <w:sz w:val="21"/>
                <w:szCs w:val="21"/>
              </w:rPr>
              <w:t>第二节</w:t>
            </w:r>
          </w:p>
          <w:p w14:paraId="3094C28F">
            <w:pPr>
              <w:adjustRightInd w:val="0"/>
              <w:snapToGrid w:val="0"/>
              <w:jc w:val="center"/>
              <w:rPr>
                <w:rFonts w:ascii="宋体" w:hAnsi="宋体"/>
                <w:color w:val="auto"/>
                <w:sz w:val="21"/>
                <w:szCs w:val="21"/>
              </w:rPr>
            </w:pPr>
            <w:r>
              <w:rPr>
                <w:rFonts w:hint="eastAsia" w:ascii="宋体" w:hAnsi="宋体"/>
                <w:color w:val="auto"/>
                <w:sz w:val="21"/>
                <w:szCs w:val="21"/>
              </w:rPr>
              <w:t>第2</w:t>
            </w:r>
            <w:r>
              <w:rPr>
                <w:rFonts w:hint="eastAsia" w:ascii="宋体" w:hAnsi="宋体"/>
                <w:color w:val="auto"/>
                <w:sz w:val="21"/>
                <w:szCs w:val="21"/>
                <w:lang w:val="en-US" w:eastAsia="zh-CN"/>
              </w:rPr>
              <w:t>3.1</w:t>
            </w:r>
            <w:r>
              <w:rPr>
                <w:rFonts w:hint="eastAsia" w:ascii="宋体" w:hAnsi="宋体"/>
                <w:color w:val="auto"/>
                <w:sz w:val="21"/>
                <w:szCs w:val="21"/>
                <w:lang w:eastAsia="zh-CN"/>
              </w:rPr>
              <w:t>款</w:t>
            </w:r>
          </w:p>
        </w:tc>
        <w:tc>
          <w:tcPr>
            <w:tcW w:w="1742" w:type="dxa"/>
            <w:vAlign w:val="center"/>
          </w:tcPr>
          <w:p w14:paraId="6EA8FE8D">
            <w:pPr>
              <w:adjustRightInd w:val="0"/>
              <w:snapToGrid w:val="0"/>
              <w:jc w:val="left"/>
              <w:rPr>
                <w:rFonts w:ascii="宋体" w:hAnsi="宋体"/>
                <w:color w:val="auto"/>
                <w:sz w:val="21"/>
                <w:szCs w:val="21"/>
              </w:rPr>
            </w:pPr>
            <w:r>
              <w:rPr>
                <w:rFonts w:hint="eastAsia" w:ascii="宋体" w:hAnsi="宋体"/>
                <w:bCs/>
                <w:color w:val="auto"/>
                <w:sz w:val="21"/>
                <w:szCs w:val="21"/>
                <w:highlight w:val="none"/>
                <w:lang w:eastAsia="zh-CN"/>
              </w:rPr>
              <w:t>其他专用条款</w:t>
            </w:r>
          </w:p>
        </w:tc>
        <w:tc>
          <w:tcPr>
            <w:tcW w:w="5170" w:type="dxa"/>
            <w:vAlign w:val="center"/>
          </w:tcPr>
          <w:p w14:paraId="33C1F3E8">
            <w:pPr>
              <w:adjustRightInd w:val="0"/>
              <w:snapToGrid w:val="0"/>
              <w:jc w:val="left"/>
              <w:rPr>
                <w:rFonts w:hint="default" w:ascii="宋体" w:hAnsi="宋体" w:eastAsia="宋体"/>
                <w:color w:val="auto"/>
                <w:sz w:val="21"/>
                <w:szCs w:val="21"/>
                <w:lang w:val="en-US" w:eastAsia="zh-CN"/>
              </w:rPr>
            </w:pPr>
          </w:p>
        </w:tc>
      </w:tr>
    </w:tbl>
    <w:p w14:paraId="6FA11ADB">
      <w:pPr>
        <w:rPr>
          <w:color w:val="auto"/>
        </w:rPr>
      </w:pPr>
    </w:p>
    <w:p w14:paraId="025F3EB1">
      <w:pPr>
        <w:rPr>
          <w:color w:val="auto"/>
        </w:rPr>
      </w:pPr>
    </w:p>
    <w:p w14:paraId="0BF6224B">
      <w:pPr>
        <w:keepNext w:val="0"/>
        <w:keepLines w:val="0"/>
        <w:widowControl/>
        <w:suppressLineNumbers w:val="0"/>
        <w:spacing w:line="360" w:lineRule="auto"/>
        <w:jc w:val="left"/>
        <w:rPr>
          <w:rFonts w:hint="eastAsia" w:ascii="宋体" w:hAnsi="宋体" w:eastAsia="宋体" w:cs="宋体"/>
          <w:color w:val="auto"/>
          <w:sz w:val="21"/>
          <w:szCs w:val="21"/>
        </w:rPr>
      </w:pPr>
    </w:p>
    <w:p w14:paraId="0AAF2E84">
      <w:pPr>
        <w:adjustRightInd w:val="0"/>
        <w:snapToGrid w:val="0"/>
        <w:ind w:firstLine="560"/>
        <w:jc w:val="center"/>
        <w:rPr>
          <w:rFonts w:hint="eastAsia" w:ascii="黑体" w:hAnsi="华文中宋" w:eastAsia="黑体"/>
          <w:color w:val="auto"/>
          <w:sz w:val="28"/>
          <w:szCs w:val="28"/>
        </w:rPr>
      </w:pPr>
      <w:r>
        <w:rPr>
          <w:rFonts w:hint="eastAsia" w:ascii="黑体" w:hAnsi="华文中宋" w:eastAsia="黑体"/>
          <w:color w:val="auto"/>
          <w:sz w:val="28"/>
          <w:szCs w:val="28"/>
        </w:rPr>
        <w:br w:type="page"/>
      </w:r>
    </w:p>
    <w:p w14:paraId="3B16F904">
      <w:pPr>
        <w:pStyle w:val="3"/>
        <w:spacing w:before="120" w:after="120"/>
        <w:ind w:firstLine="803"/>
        <w:rPr>
          <w:rFonts w:hint="eastAsia" w:ascii="宋体" w:hAnsi="宋体" w:eastAsia="宋体" w:cs="宋体"/>
          <w:color w:val="auto"/>
        </w:rPr>
        <w:sectPr>
          <w:pgSz w:w="11900" w:h="16838"/>
          <w:pgMar w:top="1417" w:right="1417" w:bottom="1417" w:left="1417" w:header="850" w:footer="850" w:gutter="0"/>
          <w:cols w:space="0" w:num="1"/>
          <w:titlePg/>
          <w:docGrid w:linePitch="360" w:charSpace="0"/>
        </w:sectPr>
      </w:pPr>
    </w:p>
    <w:p w14:paraId="39731DEF">
      <w:pPr>
        <w:pStyle w:val="3"/>
        <w:spacing w:before="120" w:after="120"/>
        <w:ind w:firstLine="723"/>
        <w:rPr>
          <w:rFonts w:hint="eastAsia" w:ascii="宋体" w:hAnsi="宋体" w:eastAsia="宋体" w:cs="宋体"/>
          <w:color w:val="auto"/>
          <w:sz w:val="32"/>
          <w:szCs w:val="18"/>
        </w:rPr>
      </w:pPr>
      <w:bookmarkStart w:id="754" w:name="_Toc35700960"/>
      <w:bookmarkStart w:id="755" w:name="_Toc35701817"/>
      <w:bookmarkStart w:id="756" w:name="_Toc8461"/>
      <w:bookmarkStart w:id="757" w:name="_Toc11303"/>
      <w:bookmarkStart w:id="758" w:name="_Toc36116085"/>
      <w:bookmarkStart w:id="759" w:name="_Toc35701031"/>
      <w:r>
        <w:rPr>
          <w:rFonts w:hint="eastAsia" w:ascii="宋体" w:hAnsi="宋体" w:eastAsia="宋体" w:cs="宋体"/>
          <w:color w:val="auto"/>
          <w:sz w:val="32"/>
          <w:szCs w:val="18"/>
        </w:rPr>
        <w:t>第四章 投标文件格式</w:t>
      </w:r>
      <w:bookmarkEnd w:id="754"/>
      <w:bookmarkEnd w:id="755"/>
      <w:bookmarkEnd w:id="756"/>
      <w:bookmarkEnd w:id="757"/>
      <w:bookmarkEnd w:id="758"/>
      <w:bookmarkEnd w:id="759"/>
    </w:p>
    <w:p w14:paraId="23F28A4C">
      <w:pPr>
        <w:pStyle w:val="44"/>
        <w:rPr>
          <w:rFonts w:hint="eastAsia" w:cs="宋体"/>
          <w:color w:val="auto"/>
          <w:u w:val="single"/>
        </w:rPr>
      </w:pPr>
      <w:bookmarkStart w:id="760" w:name="_Toc20928"/>
      <w:r>
        <w:rPr>
          <w:rFonts w:hint="eastAsia" w:eastAsia="宋体" w:cs="宋体"/>
          <w:b w:val="0"/>
          <w:bCs w:val="0"/>
          <w:color w:val="auto"/>
          <w:sz w:val="36"/>
          <w:szCs w:val="36"/>
        </w:rPr>
        <w:t>一、封面</w:t>
      </w:r>
      <w:bookmarkEnd w:id="760"/>
    </w:p>
    <w:p w14:paraId="3457B61F">
      <w:pPr>
        <w:rPr>
          <w:rFonts w:hint="eastAsia"/>
          <w:color w:val="auto"/>
        </w:rPr>
      </w:pPr>
    </w:p>
    <w:p w14:paraId="10503A8F">
      <w:pPr>
        <w:ind w:firstLine="0" w:firstLineChars="0"/>
        <w:jc w:val="center"/>
        <w:rPr>
          <w:rFonts w:hint="eastAsia" w:eastAsia="宋体" w:cs="宋体"/>
          <w:b/>
          <w:bCs/>
          <w:color w:val="auto"/>
          <w:sz w:val="44"/>
          <w:szCs w:val="44"/>
          <w:lang w:eastAsia="zh-CN"/>
        </w:rPr>
      </w:pPr>
      <w:r>
        <w:rPr>
          <w:rFonts w:hint="eastAsia" w:cs="宋体"/>
          <w:b/>
          <w:bCs/>
          <w:color w:val="auto"/>
          <w:sz w:val="44"/>
          <w:szCs w:val="44"/>
          <w:lang w:eastAsia="zh-CN"/>
        </w:rPr>
        <w:t>永德县教育体育局2025-2026学年农村义务教育学校食用油及干货调味料采购项目</w:t>
      </w:r>
    </w:p>
    <w:p w14:paraId="5A15AD4A">
      <w:pPr>
        <w:ind w:firstLine="0" w:firstLineChars="0"/>
        <w:jc w:val="center"/>
        <w:rPr>
          <w:rFonts w:hint="eastAsia" w:cs="宋体"/>
          <w:b/>
          <w:color w:val="auto"/>
          <w:sz w:val="72"/>
          <w:szCs w:val="72"/>
        </w:rPr>
      </w:pPr>
    </w:p>
    <w:p w14:paraId="0CA5E0A7">
      <w:pPr>
        <w:ind w:firstLine="0" w:firstLineChars="0"/>
        <w:jc w:val="center"/>
        <w:rPr>
          <w:rFonts w:hint="eastAsia" w:cs="宋体"/>
          <w:b/>
          <w:color w:val="auto"/>
          <w:sz w:val="72"/>
          <w:szCs w:val="72"/>
        </w:rPr>
      </w:pPr>
    </w:p>
    <w:p w14:paraId="52A8284E">
      <w:pPr>
        <w:ind w:firstLine="0" w:firstLineChars="0"/>
        <w:jc w:val="center"/>
        <w:rPr>
          <w:rFonts w:hint="eastAsia" w:cs="宋体"/>
          <w:b/>
          <w:color w:val="auto"/>
          <w:sz w:val="72"/>
          <w:szCs w:val="72"/>
        </w:rPr>
      </w:pPr>
      <w:r>
        <w:rPr>
          <w:rFonts w:hint="eastAsia" w:cs="宋体"/>
          <w:b/>
          <w:color w:val="auto"/>
          <w:sz w:val="72"/>
          <w:szCs w:val="72"/>
        </w:rPr>
        <w:t>投 标文 件</w:t>
      </w:r>
    </w:p>
    <w:p w14:paraId="181F16AC">
      <w:pPr>
        <w:ind w:firstLine="0" w:firstLineChars="0"/>
        <w:jc w:val="center"/>
        <w:rPr>
          <w:rFonts w:hint="eastAsia" w:eastAsia="宋体" w:cs="宋体"/>
          <w:b/>
          <w:color w:val="auto"/>
          <w:sz w:val="72"/>
          <w:szCs w:val="72"/>
          <w:lang w:eastAsia="zh-CN"/>
        </w:rPr>
      </w:pPr>
      <w:r>
        <w:rPr>
          <w:rFonts w:hint="eastAsia" w:cs="宋体"/>
          <w:b/>
          <w:color w:val="auto"/>
          <w:sz w:val="28"/>
          <w:szCs w:val="28"/>
          <w:lang w:eastAsia="zh-CN"/>
        </w:rPr>
        <w:t>项目编号：LCZC2025-G1-00576-YNLC-0008</w:t>
      </w:r>
      <w:r>
        <w:rPr>
          <w:rFonts w:hint="eastAsia" w:cs="宋体"/>
          <w:b/>
          <w:color w:val="auto"/>
          <w:sz w:val="28"/>
          <w:szCs w:val="28"/>
          <w:lang w:val="en-US" w:eastAsia="zh-CN"/>
        </w:rPr>
        <w:t xml:space="preserve"> </w:t>
      </w:r>
    </w:p>
    <w:p w14:paraId="7BB59242">
      <w:pPr>
        <w:ind w:firstLine="0" w:firstLineChars="0"/>
        <w:jc w:val="center"/>
        <w:rPr>
          <w:rFonts w:hint="eastAsia" w:cs="宋体"/>
          <w:b/>
          <w:color w:val="auto"/>
          <w:sz w:val="72"/>
          <w:szCs w:val="72"/>
        </w:rPr>
      </w:pPr>
    </w:p>
    <w:p w14:paraId="7FB8DCA4">
      <w:pPr>
        <w:pStyle w:val="10"/>
        <w:ind w:firstLine="480"/>
        <w:rPr>
          <w:rFonts w:hint="eastAsia"/>
          <w:color w:val="auto"/>
        </w:rPr>
      </w:pPr>
    </w:p>
    <w:p w14:paraId="71F58AB8">
      <w:pPr>
        <w:pStyle w:val="10"/>
        <w:ind w:firstLine="480"/>
        <w:rPr>
          <w:rFonts w:hint="eastAsia"/>
          <w:color w:val="auto"/>
        </w:rPr>
      </w:pPr>
    </w:p>
    <w:p w14:paraId="5D7401F2">
      <w:pPr>
        <w:pStyle w:val="10"/>
        <w:ind w:firstLine="0" w:firstLineChars="0"/>
        <w:rPr>
          <w:rFonts w:hint="eastAsia"/>
          <w:color w:val="auto"/>
        </w:rPr>
      </w:pPr>
    </w:p>
    <w:p w14:paraId="467B86D1">
      <w:pPr>
        <w:spacing w:line="480" w:lineRule="auto"/>
        <w:ind w:firstLine="1200" w:firstLineChars="500"/>
        <w:rPr>
          <w:rFonts w:hint="eastAsia" w:cs="宋体"/>
          <w:color w:val="auto"/>
          <w:sz w:val="24"/>
          <w:szCs w:val="24"/>
        </w:rPr>
      </w:pPr>
      <w:r>
        <w:rPr>
          <w:rFonts w:hint="eastAsia" w:cs="宋体"/>
          <w:color w:val="auto"/>
          <w:sz w:val="24"/>
          <w:szCs w:val="24"/>
        </w:rPr>
        <w:t>投标人名称 (电子签章)：</w:t>
      </w:r>
      <w:r>
        <w:rPr>
          <w:rFonts w:hint="eastAsia" w:cs="宋体"/>
          <w:color w:val="auto"/>
          <w:sz w:val="24"/>
          <w:szCs w:val="24"/>
          <w:u w:val="single"/>
        </w:rPr>
        <w:t xml:space="preserve">                   </w:t>
      </w:r>
    </w:p>
    <w:p w14:paraId="0BEFDAF8">
      <w:pPr>
        <w:spacing w:line="480" w:lineRule="auto"/>
        <w:ind w:firstLine="960" w:firstLineChars="400"/>
        <w:rPr>
          <w:rFonts w:hint="eastAsia" w:cs="宋体"/>
          <w:color w:val="auto"/>
          <w:sz w:val="24"/>
          <w:szCs w:val="20"/>
        </w:rPr>
      </w:pPr>
      <w:r>
        <w:rPr>
          <w:rFonts w:hint="eastAsia" w:cs="宋体"/>
          <w:color w:val="auto"/>
          <w:sz w:val="24"/>
          <w:szCs w:val="20"/>
        </w:rPr>
        <w:t>法定代表人或其委托代理人（电子签名或签章）：</w:t>
      </w:r>
      <w:r>
        <w:rPr>
          <w:rFonts w:hint="eastAsia" w:cs="宋体"/>
          <w:color w:val="auto"/>
          <w:sz w:val="24"/>
          <w:szCs w:val="20"/>
          <w:u w:val="single"/>
        </w:rPr>
        <w:t xml:space="preserve">               </w:t>
      </w:r>
    </w:p>
    <w:p w14:paraId="0BB003CF">
      <w:pPr>
        <w:spacing w:line="480" w:lineRule="auto"/>
        <w:ind w:firstLine="0" w:firstLineChars="0"/>
        <w:jc w:val="center"/>
        <w:rPr>
          <w:rFonts w:hint="eastAsia" w:cs="宋体"/>
          <w:color w:val="auto"/>
          <w:sz w:val="24"/>
          <w:szCs w:val="24"/>
        </w:rPr>
      </w:pPr>
      <w:r>
        <w:rPr>
          <w:rFonts w:hint="eastAsia" w:cs="宋体"/>
          <w:color w:val="auto"/>
          <w:sz w:val="24"/>
          <w:szCs w:val="24"/>
        </w:rPr>
        <w:t>日期：</w:t>
      </w:r>
      <w:r>
        <w:rPr>
          <w:rFonts w:hint="eastAsia" w:cs="宋体"/>
          <w:color w:val="auto"/>
          <w:sz w:val="24"/>
          <w:szCs w:val="24"/>
          <w:u w:val="single"/>
        </w:rPr>
        <w:t xml:space="preserve">     </w:t>
      </w:r>
      <w:r>
        <w:rPr>
          <w:rFonts w:hint="eastAsia" w:cs="宋体"/>
          <w:color w:val="auto"/>
          <w:sz w:val="24"/>
          <w:szCs w:val="24"/>
        </w:rPr>
        <w:t>年</w:t>
      </w:r>
      <w:r>
        <w:rPr>
          <w:rFonts w:hint="eastAsia" w:cs="宋体"/>
          <w:color w:val="auto"/>
          <w:sz w:val="24"/>
          <w:szCs w:val="24"/>
          <w:u w:val="single"/>
        </w:rPr>
        <w:t xml:space="preserve">   </w:t>
      </w:r>
      <w:r>
        <w:rPr>
          <w:rFonts w:hint="eastAsia" w:cs="宋体"/>
          <w:color w:val="auto"/>
          <w:sz w:val="24"/>
          <w:szCs w:val="24"/>
        </w:rPr>
        <w:t>月</w:t>
      </w:r>
      <w:r>
        <w:rPr>
          <w:rFonts w:hint="eastAsia" w:cs="宋体"/>
          <w:color w:val="auto"/>
          <w:sz w:val="24"/>
          <w:szCs w:val="24"/>
          <w:u w:val="single"/>
        </w:rPr>
        <w:t xml:space="preserve">   </w:t>
      </w:r>
      <w:r>
        <w:rPr>
          <w:rFonts w:hint="eastAsia" w:cs="宋体"/>
          <w:color w:val="auto"/>
          <w:sz w:val="24"/>
          <w:szCs w:val="24"/>
        </w:rPr>
        <w:t>日</w:t>
      </w:r>
    </w:p>
    <w:p w14:paraId="3E914822">
      <w:pPr>
        <w:pStyle w:val="44"/>
        <w:rPr>
          <w:rFonts w:hint="eastAsia" w:eastAsia="宋体" w:cs="宋体"/>
          <w:b w:val="0"/>
          <w:bCs w:val="0"/>
          <w:color w:val="auto"/>
          <w:sz w:val="36"/>
          <w:szCs w:val="36"/>
        </w:rPr>
        <w:sectPr>
          <w:pgSz w:w="11900" w:h="16838"/>
          <w:pgMar w:top="1417" w:right="1417" w:bottom="1417" w:left="1417" w:header="850" w:footer="850" w:gutter="0"/>
          <w:cols w:space="0" w:num="1"/>
          <w:titlePg/>
          <w:docGrid w:linePitch="331" w:charSpace="0"/>
        </w:sectPr>
      </w:pPr>
      <w:bookmarkStart w:id="761" w:name="_Toc36116087"/>
      <w:bookmarkStart w:id="762" w:name="_Toc6760"/>
    </w:p>
    <w:p w14:paraId="3EB2F597">
      <w:pPr>
        <w:pStyle w:val="44"/>
        <w:rPr>
          <w:rFonts w:hint="eastAsia" w:eastAsia="宋体" w:cs="宋体"/>
          <w:b w:val="0"/>
          <w:bCs w:val="0"/>
          <w:color w:val="auto"/>
          <w:sz w:val="36"/>
          <w:szCs w:val="36"/>
        </w:rPr>
      </w:pPr>
      <w:bookmarkStart w:id="763" w:name="_Toc3672"/>
      <w:r>
        <w:rPr>
          <w:rFonts w:hint="eastAsia" w:eastAsia="宋体" w:cs="宋体"/>
          <w:b w:val="0"/>
          <w:bCs w:val="0"/>
          <w:color w:val="auto"/>
          <w:sz w:val="36"/>
          <w:szCs w:val="36"/>
        </w:rPr>
        <w:t>二、资格文件部分</w:t>
      </w:r>
      <w:bookmarkEnd w:id="761"/>
      <w:bookmarkEnd w:id="762"/>
      <w:bookmarkEnd w:id="763"/>
      <w:bookmarkStart w:id="764" w:name="_Toc28523"/>
      <w:bookmarkStart w:id="765" w:name="_Toc51288985"/>
      <w:bookmarkStart w:id="766" w:name="_Toc213141104"/>
      <w:bookmarkStart w:id="767" w:name="_Toc272421900"/>
      <w:bookmarkStart w:id="768" w:name="_Toc26783956"/>
    </w:p>
    <w:p w14:paraId="72847C97">
      <w:pPr>
        <w:ind w:firstLine="0" w:firstLineChars="0"/>
        <w:jc w:val="center"/>
        <w:outlineLvl w:val="2"/>
        <w:rPr>
          <w:rFonts w:hint="eastAsia" w:cs="宋体"/>
          <w:color w:val="auto"/>
          <w:sz w:val="30"/>
          <w:szCs w:val="30"/>
        </w:rPr>
      </w:pPr>
      <w:bookmarkStart w:id="769" w:name="_Toc24018"/>
      <w:r>
        <w:rPr>
          <w:rFonts w:hint="eastAsia" w:cs="宋体"/>
          <w:color w:val="auto"/>
          <w:sz w:val="30"/>
          <w:szCs w:val="30"/>
        </w:rPr>
        <w:t>（一）营业执照</w:t>
      </w:r>
      <w:bookmarkEnd w:id="764"/>
      <w:bookmarkEnd w:id="765"/>
      <w:bookmarkEnd w:id="766"/>
      <w:bookmarkEnd w:id="767"/>
      <w:bookmarkEnd w:id="768"/>
      <w:r>
        <w:rPr>
          <w:rFonts w:hint="eastAsia" w:cs="宋体"/>
          <w:color w:val="auto"/>
          <w:sz w:val="30"/>
          <w:szCs w:val="30"/>
        </w:rPr>
        <w:t>等资格证明材料</w:t>
      </w:r>
      <w:bookmarkEnd w:id="769"/>
    </w:p>
    <w:p w14:paraId="5FACABC8">
      <w:pPr>
        <w:ind w:firstLine="422"/>
        <w:rPr>
          <w:rFonts w:hint="eastAsia" w:cs="宋体"/>
          <w:color w:val="auto"/>
        </w:rPr>
      </w:pPr>
      <w:r>
        <w:rPr>
          <w:rFonts w:hint="eastAsia" w:cs="宋体"/>
          <w:b/>
          <w:bCs/>
          <w:color w:val="auto"/>
        </w:rPr>
        <w:t>1.满足《中华人民共和国政府采购法》第二十二条规定</w:t>
      </w:r>
      <w:r>
        <w:rPr>
          <w:rFonts w:hint="eastAsia" w:cs="宋体"/>
          <w:color w:val="auto"/>
        </w:rPr>
        <w:t>，具体要求如下：</w:t>
      </w:r>
    </w:p>
    <w:p w14:paraId="7E470C77">
      <w:pPr>
        <w:ind w:firstLine="422"/>
        <w:rPr>
          <w:rFonts w:hint="eastAsia" w:cs="宋体"/>
          <w:color w:val="auto"/>
        </w:rPr>
      </w:pPr>
      <w:r>
        <w:rPr>
          <w:rFonts w:hint="eastAsia" w:cs="宋体"/>
          <w:b/>
          <w:bCs/>
          <w:color w:val="auto"/>
        </w:rPr>
        <w:t>1.1具有独立承担民事责任的能力</w:t>
      </w:r>
      <w:r>
        <w:rPr>
          <w:rFonts w:hint="eastAsia" w:cs="宋体"/>
          <w:color w:val="auto"/>
        </w:rPr>
        <w:t>：投标人须在中华人民共和国境内注册，具有独立承担民事责任能力的法人、其他组织或者自然人；</w:t>
      </w:r>
      <w:r>
        <w:rPr>
          <w:rFonts w:hint="eastAsia" w:cs="宋体"/>
          <w:b/>
          <w:bCs/>
          <w:color w:val="auto"/>
        </w:rPr>
        <w:t>（提供市场监督管理部门核发的有效的三证合一营业执照或民办非企业登记证书或社会团体登记证或自然人身份证明。）</w:t>
      </w:r>
    </w:p>
    <w:p w14:paraId="06B63841">
      <w:pPr>
        <w:ind w:firstLine="422"/>
        <w:rPr>
          <w:rFonts w:hint="eastAsia" w:cs="宋体"/>
          <w:b/>
          <w:bCs/>
          <w:color w:val="auto"/>
        </w:rPr>
      </w:pPr>
      <w:r>
        <w:rPr>
          <w:rFonts w:hint="eastAsia" w:cs="宋体"/>
          <w:b/>
          <w:bCs/>
          <w:color w:val="auto"/>
        </w:rPr>
        <w:t>1.2具有良好的商业信誉和健全的财务会计制度：</w:t>
      </w:r>
    </w:p>
    <w:p w14:paraId="1798D561">
      <w:pPr>
        <w:ind w:firstLine="422"/>
        <w:rPr>
          <w:rFonts w:hint="eastAsia" w:cs="宋体"/>
          <w:b/>
          <w:bCs/>
          <w:color w:val="auto"/>
        </w:rPr>
      </w:pPr>
      <w:r>
        <w:rPr>
          <w:rFonts w:hint="eastAsia" w:cs="宋体"/>
          <w:b/>
          <w:bCs/>
          <w:color w:val="auto"/>
        </w:rPr>
        <w:t>1.2.1良好的商业信誉</w:t>
      </w:r>
      <w:r>
        <w:rPr>
          <w:rFonts w:hint="eastAsia" w:cs="宋体"/>
          <w:color w:val="auto"/>
        </w:rPr>
        <w:t>：根据《财政部关于在政府采购活动中查询及使用信用记录有关问题的通知-财库〔2016〕125号》相关要求，对被列入失信被执行人、重大税收违法失信主体、政府采购严重违法失信行为记录名单之一的投标人拒绝其参与本次政府采购活动。（查询结果以采购人、采购代理机构查询结果为准，采购人或采购代理机构在投标文件提交截止时间后将通过“信用中国”网站(www.creditchina.gov.cn)和中国政府采购网（www.ccgp.gov.cn）查询投标人信用记录，上述网站信用信息查询结果的网页截图或网页打印稿作为证据留存）；</w:t>
      </w:r>
      <w:r>
        <w:rPr>
          <w:rFonts w:hint="eastAsia" w:cs="宋体"/>
          <w:b/>
          <w:bCs/>
          <w:color w:val="auto"/>
        </w:rPr>
        <w:t>（此部分不需要投标人提供证明材料。）</w:t>
      </w:r>
    </w:p>
    <w:p w14:paraId="5D3EB3D1">
      <w:pPr>
        <w:ind w:firstLine="422"/>
        <w:rPr>
          <w:rFonts w:hint="eastAsia" w:cs="宋体"/>
          <w:color w:val="auto"/>
        </w:rPr>
      </w:pPr>
      <w:r>
        <w:rPr>
          <w:rFonts w:hint="eastAsia" w:cs="宋体"/>
          <w:b/>
          <w:bCs/>
          <w:color w:val="auto"/>
        </w:rPr>
        <w:t>1.2.2健全的财务会计制度</w:t>
      </w:r>
      <w:r>
        <w:rPr>
          <w:rFonts w:hint="eastAsia" w:cs="宋体"/>
          <w:color w:val="auto"/>
        </w:rPr>
        <w:t>:提供202</w:t>
      </w:r>
      <w:r>
        <w:rPr>
          <w:rFonts w:hint="eastAsia" w:cs="宋体"/>
          <w:color w:val="auto"/>
          <w:lang w:val="en-US" w:eastAsia="zh-CN"/>
        </w:rPr>
        <w:t>3</w:t>
      </w:r>
      <w:r>
        <w:rPr>
          <w:rFonts w:hint="eastAsia" w:cs="宋体"/>
          <w:color w:val="auto"/>
        </w:rPr>
        <w:t>年度或202</w:t>
      </w:r>
      <w:r>
        <w:rPr>
          <w:rFonts w:hint="eastAsia" w:cs="宋体"/>
          <w:color w:val="auto"/>
          <w:lang w:val="en-US" w:eastAsia="zh-CN"/>
        </w:rPr>
        <w:t>4</w:t>
      </w:r>
      <w:r>
        <w:rPr>
          <w:rFonts w:hint="eastAsia" w:cs="宋体"/>
          <w:color w:val="auto"/>
        </w:rPr>
        <w:t>年度的财务报表资料，包括资产负债表、利润表、现金流量表(注：202</w:t>
      </w:r>
      <w:r>
        <w:rPr>
          <w:rFonts w:hint="eastAsia" w:cs="宋体"/>
          <w:color w:val="auto"/>
          <w:lang w:val="en-US" w:eastAsia="zh-CN"/>
        </w:rPr>
        <w:t>5</w:t>
      </w:r>
      <w:r>
        <w:rPr>
          <w:rFonts w:hint="eastAsia" w:cs="宋体"/>
          <w:color w:val="auto"/>
        </w:rPr>
        <w:t>年成立的，提供满足招标文件要求的资信证明或投标担保函或自身出具的情况说明)；或可提供自投标文件提交截止时间前三个月内开户银行出具的资信证明；或可提供财政部门认可的政府采购专业担保机构对投标人进行资信审查后出具的投标担保函。备注：投标人可根据自身情况提供上述任意一种证明材料)。</w:t>
      </w:r>
      <w:r>
        <w:rPr>
          <w:rFonts w:hint="eastAsia" w:cs="宋体"/>
          <w:b/>
          <w:bCs/>
          <w:color w:val="auto"/>
        </w:rPr>
        <w:t>（提供扫描件。）</w:t>
      </w:r>
    </w:p>
    <w:p w14:paraId="49854100">
      <w:pPr>
        <w:ind w:firstLine="422"/>
        <w:rPr>
          <w:rFonts w:hint="eastAsia" w:cs="宋体"/>
          <w:b/>
          <w:bCs/>
          <w:color w:val="auto"/>
        </w:rPr>
      </w:pPr>
      <w:r>
        <w:rPr>
          <w:rFonts w:hint="eastAsia" w:cs="宋体"/>
          <w:b/>
          <w:bCs/>
          <w:color w:val="auto"/>
        </w:rPr>
        <w:t>1.3具有履行合同所必需的设备和专业技术能力</w:t>
      </w:r>
      <w:r>
        <w:rPr>
          <w:rFonts w:hint="eastAsia" w:cs="宋体"/>
          <w:color w:val="auto"/>
        </w:rPr>
        <w:t>：提供投标人具有履行合同所必需的设备和专业技术能力证明材料或承诺书；</w:t>
      </w:r>
      <w:r>
        <w:rPr>
          <w:rFonts w:hint="eastAsia" w:cs="宋体"/>
          <w:b/>
          <w:bCs/>
          <w:color w:val="auto"/>
        </w:rPr>
        <w:t>（格式自拟。）</w:t>
      </w:r>
    </w:p>
    <w:p w14:paraId="7262B3FD">
      <w:pPr>
        <w:ind w:firstLine="422"/>
        <w:rPr>
          <w:rFonts w:hint="eastAsia" w:eastAsia="宋体" w:cs="宋体"/>
          <w:color w:val="auto"/>
          <w:lang w:eastAsia="zh-CN"/>
        </w:rPr>
      </w:pPr>
      <w:r>
        <w:rPr>
          <w:rFonts w:hint="eastAsia" w:cs="宋体"/>
          <w:b/>
          <w:bCs/>
          <w:color w:val="auto"/>
        </w:rPr>
        <w:t>1.4具有依法缴纳税收和社会保障资金的良好记录：</w:t>
      </w:r>
      <w:r>
        <w:rPr>
          <w:rFonts w:hint="eastAsia" w:cs="宋体"/>
          <w:color w:val="auto"/>
          <w:lang w:eastAsia="zh-CN"/>
        </w:rPr>
        <w:t>提供本项目投标文件递交截止时间前任意时间段的纳税证明材料和社会保障资金证明材料；若依法免缴或暂缓缴纳或新成立企业的，可提供声明函或承诺函并加盖电子签章。</w:t>
      </w:r>
    </w:p>
    <w:p w14:paraId="435F74F9">
      <w:pPr>
        <w:ind w:firstLine="422"/>
        <w:rPr>
          <w:rFonts w:hint="eastAsia" w:cs="宋体"/>
          <w:color w:val="auto"/>
        </w:rPr>
      </w:pPr>
      <w:r>
        <w:rPr>
          <w:rFonts w:hint="eastAsia" w:cs="宋体"/>
          <w:b/>
          <w:bCs/>
          <w:color w:val="auto"/>
        </w:rPr>
        <w:t>1.5参加政府采购活动前三年内，在经营活动中没有重大违法记录</w:t>
      </w:r>
      <w:r>
        <w:rPr>
          <w:rFonts w:hint="eastAsia" w:cs="宋体"/>
          <w:color w:val="auto"/>
        </w:rPr>
        <w:t>：提供投标人参加政府采购活动前三年内，在经营活动中没有重大违法记录（重大违法记录，是指投标人因违法经营受到刑事处罚或者责令停产停业、吊销许可证或者执照、较大数额罚款等行政处罚）的承诺书；</w:t>
      </w:r>
      <w:r>
        <w:rPr>
          <w:rFonts w:hint="eastAsia" w:cs="宋体"/>
          <w:b/>
          <w:bCs/>
          <w:color w:val="auto"/>
        </w:rPr>
        <w:t>（格式自拟）</w:t>
      </w:r>
    </w:p>
    <w:p w14:paraId="40174C6C">
      <w:pPr>
        <w:rPr>
          <w:rFonts w:hint="eastAsia" w:cs="宋体"/>
          <w:color w:val="auto"/>
        </w:rPr>
      </w:pPr>
      <w:r>
        <w:rPr>
          <w:rFonts w:hint="eastAsia" w:cs="宋体"/>
          <w:color w:val="auto"/>
        </w:rPr>
        <w:t>1.6法律、行政法规规定的其他条件：无；</w:t>
      </w:r>
    </w:p>
    <w:p w14:paraId="58DBAE83">
      <w:pPr>
        <w:ind w:firstLine="422"/>
        <w:rPr>
          <w:rFonts w:hint="eastAsia" w:cs="宋体"/>
          <w:b/>
          <w:bCs/>
          <w:color w:val="auto"/>
        </w:rPr>
      </w:pPr>
      <w:r>
        <w:rPr>
          <w:rFonts w:hint="eastAsia" w:cs="宋体"/>
          <w:b/>
          <w:bCs/>
          <w:color w:val="auto"/>
        </w:rPr>
        <w:t>2.本项目的特定资格要求：</w:t>
      </w:r>
    </w:p>
    <w:p w14:paraId="7EC2CB47">
      <w:pPr>
        <w:rPr>
          <w:rFonts w:hint="eastAsia" w:cs="宋体"/>
          <w:color w:val="auto"/>
        </w:rPr>
      </w:pPr>
      <w:r>
        <w:rPr>
          <w:rFonts w:hint="eastAsia" w:cs="宋体"/>
          <w:color w:val="auto"/>
        </w:rPr>
        <w:t>2.1</w:t>
      </w:r>
      <w:r>
        <w:rPr>
          <w:rFonts w:hint="eastAsia"/>
          <w:color w:val="auto"/>
        </w:rPr>
        <w:t>投标人须具有食品生产许可证或食品经营许可证或食品生产经营许可证或食品安全监督管理部门备案证明材料</w:t>
      </w:r>
      <w:r>
        <w:rPr>
          <w:rFonts w:hint="eastAsia" w:cs="宋体"/>
          <w:color w:val="auto"/>
        </w:rPr>
        <w:t>；</w:t>
      </w:r>
      <w:r>
        <w:rPr>
          <w:rFonts w:hint="eastAsia" w:cs="宋体"/>
          <w:b/>
          <w:bCs/>
          <w:color w:val="auto"/>
        </w:rPr>
        <w:t>（提供证书扫描件。）</w:t>
      </w:r>
    </w:p>
    <w:p w14:paraId="3DA6C698">
      <w:pPr>
        <w:spacing w:line="500" w:lineRule="exact"/>
        <w:ind w:firstLine="0" w:firstLineChars="0"/>
        <w:rPr>
          <w:rFonts w:hint="eastAsia" w:cs="宋体"/>
          <w:color w:val="auto"/>
        </w:rPr>
      </w:pPr>
    </w:p>
    <w:p w14:paraId="421D9893">
      <w:pPr>
        <w:ind w:firstLine="0" w:firstLineChars="0"/>
        <w:jc w:val="center"/>
        <w:outlineLvl w:val="2"/>
        <w:rPr>
          <w:rFonts w:hint="eastAsia" w:cs="宋体"/>
          <w:color w:val="auto"/>
          <w:sz w:val="32"/>
          <w:szCs w:val="32"/>
        </w:rPr>
      </w:pPr>
      <w:r>
        <w:rPr>
          <w:rFonts w:hint="eastAsia" w:cs="宋体"/>
          <w:color w:val="auto"/>
          <w:szCs w:val="20"/>
        </w:rPr>
        <w:br w:type="page"/>
      </w:r>
      <w:bookmarkStart w:id="770" w:name="_Toc26032"/>
      <w:bookmarkStart w:id="771" w:name="_Toc348010006"/>
      <w:bookmarkStart w:id="772" w:name="_Toc26783957"/>
      <w:bookmarkStart w:id="773" w:name="_Toc30543"/>
      <w:bookmarkStart w:id="774" w:name="_Toc213141110"/>
      <w:bookmarkStart w:id="775" w:name="_Toc223860530"/>
      <w:bookmarkStart w:id="776" w:name="_Toc213141109"/>
      <w:bookmarkStart w:id="777" w:name="_Toc51288990"/>
      <w:r>
        <w:rPr>
          <w:rFonts w:hint="eastAsia" w:cs="宋体"/>
          <w:color w:val="auto"/>
          <w:sz w:val="30"/>
          <w:szCs w:val="30"/>
        </w:rPr>
        <w:t>（二）投标人具备参加政府采购活动条件承诺书</w:t>
      </w:r>
      <w:bookmarkEnd w:id="770"/>
      <w:bookmarkEnd w:id="771"/>
      <w:bookmarkEnd w:id="772"/>
      <w:bookmarkEnd w:id="773"/>
    </w:p>
    <w:p w14:paraId="047313B3">
      <w:pPr>
        <w:spacing w:line="440" w:lineRule="exact"/>
        <w:ind w:firstLine="0" w:firstLineChars="0"/>
        <w:rPr>
          <w:rFonts w:hint="eastAsia" w:cs="宋体"/>
          <w:color w:val="auto"/>
        </w:rPr>
      </w:pPr>
    </w:p>
    <w:p w14:paraId="4DC77AC4">
      <w:pPr>
        <w:spacing w:line="440" w:lineRule="exact"/>
        <w:ind w:firstLine="0" w:firstLineChars="0"/>
        <w:rPr>
          <w:rFonts w:hint="eastAsia" w:cs="宋体"/>
          <w:color w:val="auto"/>
        </w:rPr>
      </w:pPr>
      <w:r>
        <w:rPr>
          <w:rFonts w:hint="eastAsia" w:cs="宋体"/>
          <w:color w:val="auto"/>
        </w:rPr>
        <w:t>致：（采购人名称）：</w:t>
      </w:r>
    </w:p>
    <w:p w14:paraId="78BD88A4">
      <w:pPr>
        <w:spacing w:line="240" w:lineRule="auto"/>
        <w:ind w:firstLine="4410" w:firstLineChars="2100"/>
        <w:rPr>
          <w:rFonts w:hint="eastAsia" w:cs="宋体"/>
          <w:color w:val="auto"/>
          <w:szCs w:val="24"/>
        </w:rPr>
      </w:pPr>
    </w:p>
    <w:p w14:paraId="1A2FFACF">
      <w:pPr>
        <w:spacing w:line="240" w:lineRule="auto"/>
        <w:ind w:firstLine="4410" w:firstLineChars="2100"/>
        <w:rPr>
          <w:rFonts w:hint="eastAsia" w:cs="宋体"/>
          <w:color w:val="auto"/>
          <w:szCs w:val="24"/>
        </w:rPr>
      </w:pPr>
    </w:p>
    <w:p w14:paraId="3DB59B29">
      <w:pPr>
        <w:ind w:firstLine="735" w:firstLineChars="350"/>
        <w:rPr>
          <w:rFonts w:hint="eastAsia" w:cs="宋体"/>
          <w:color w:val="auto"/>
          <w:szCs w:val="24"/>
        </w:rPr>
      </w:pPr>
      <w:r>
        <w:rPr>
          <w:rFonts w:hint="eastAsia" w:cs="宋体"/>
          <w:color w:val="auto"/>
          <w:szCs w:val="24"/>
        </w:rPr>
        <w:t>我方（公司）承诺</w:t>
      </w:r>
      <w:r>
        <w:rPr>
          <w:rFonts w:hint="eastAsia" w:cs="宋体"/>
          <w:color w:val="auto"/>
          <w:szCs w:val="24"/>
          <w:u w:val="single"/>
        </w:rPr>
        <w:t xml:space="preserve">       </w:t>
      </w:r>
      <w:r>
        <w:rPr>
          <w:rFonts w:hint="eastAsia" w:cs="宋体"/>
          <w:b/>
          <w:bCs/>
          <w:color w:val="auto"/>
          <w:szCs w:val="24"/>
        </w:rPr>
        <w:t>（此处填写具有或不具有）</w:t>
      </w:r>
      <w:r>
        <w:rPr>
          <w:rFonts w:hint="eastAsia" w:cs="宋体"/>
          <w:color w:val="auto"/>
          <w:szCs w:val="24"/>
        </w:rPr>
        <w:t>独立承担民事责任的能力；</w:t>
      </w:r>
      <w:r>
        <w:rPr>
          <w:rFonts w:hint="eastAsia" w:cs="宋体"/>
          <w:color w:val="auto"/>
          <w:szCs w:val="24"/>
          <w:u w:val="single"/>
        </w:rPr>
        <w:t xml:space="preserve">       </w:t>
      </w:r>
      <w:r>
        <w:rPr>
          <w:rFonts w:hint="eastAsia" w:cs="宋体"/>
          <w:b/>
          <w:bCs/>
          <w:color w:val="auto"/>
          <w:szCs w:val="24"/>
        </w:rPr>
        <w:t>（此处填写具有或不具有）</w:t>
      </w:r>
      <w:r>
        <w:rPr>
          <w:rFonts w:hint="eastAsia" w:cs="宋体"/>
          <w:color w:val="auto"/>
          <w:szCs w:val="24"/>
        </w:rPr>
        <w:t>良好的商业信誉和健全的财务会计制度；</w:t>
      </w:r>
      <w:r>
        <w:rPr>
          <w:rFonts w:hint="eastAsia" w:cs="宋体"/>
          <w:color w:val="auto"/>
          <w:szCs w:val="24"/>
          <w:u w:val="single"/>
        </w:rPr>
        <w:t xml:space="preserve">       </w:t>
      </w:r>
      <w:r>
        <w:rPr>
          <w:rFonts w:hint="eastAsia" w:cs="宋体"/>
          <w:b/>
          <w:bCs/>
          <w:color w:val="auto"/>
          <w:szCs w:val="24"/>
        </w:rPr>
        <w:t>（此处填写具有或不具有）</w:t>
      </w:r>
      <w:r>
        <w:rPr>
          <w:rFonts w:hint="eastAsia" w:cs="宋体"/>
          <w:color w:val="auto"/>
          <w:szCs w:val="24"/>
        </w:rPr>
        <w:t>履行合同所必需的设备和专业技术能力；</w:t>
      </w:r>
      <w:r>
        <w:rPr>
          <w:rFonts w:hint="eastAsia" w:cs="宋体"/>
          <w:color w:val="auto"/>
          <w:szCs w:val="24"/>
          <w:u w:val="single"/>
        </w:rPr>
        <w:t xml:space="preserve">       </w:t>
      </w:r>
      <w:r>
        <w:rPr>
          <w:rFonts w:hint="eastAsia" w:cs="宋体"/>
          <w:b/>
          <w:bCs/>
          <w:color w:val="auto"/>
          <w:szCs w:val="24"/>
        </w:rPr>
        <w:t>（此处填写有或没有）</w:t>
      </w:r>
      <w:r>
        <w:rPr>
          <w:rFonts w:hint="eastAsia" w:cs="宋体"/>
          <w:color w:val="auto"/>
          <w:szCs w:val="24"/>
        </w:rPr>
        <w:t>依法缴纳税收和社会保障资金的良好记录；参加政府采购活动前三年内，在经营活动中</w:t>
      </w:r>
      <w:r>
        <w:rPr>
          <w:rFonts w:hint="eastAsia" w:cs="宋体"/>
          <w:color w:val="auto"/>
          <w:szCs w:val="24"/>
          <w:u w:val="single"/>
        </w:rPr>
        <w:t xml:space="preserve">       </w:t>
      </w:r>
      <w:r>
        <w:rPr>
          <w:rFonts w:hint="eastAsia" w:cs="宋体"/>
          <w:b/>
          <w:bCs/>
          <w:color w:val="auto"/>
          <w:szCs w:val="24"/>
        </w:rPr>
        <w:t>（此处填写有或没有）</w:t>
      </w:r>
      <w:r>
        <w:rPr>
          <w:rFonts w:hint="eastAsia" w:cs="宋体"/>
          <w:color w:val="auto"/>
          <w:szCs w:val="24"/>
        </w:rPr>
        <w:t>重大违法记录；</w:t>
      </w:r>
      <w:r>
        <w:rPr>
          <w:rFonts w:hint="eastAsia" w:cs="宋体"/>
          <w:color w:val="auto"/>
          <w:szCs w:val="24"/>
          <w:u w:val="single"/>
        </w:rPr>
        <w:t xml:space="preserve">       </w:t>
      </w:r>
      <w:r>
        <w:rPr>
          <w:rFonts w:hint="eastAsia" w:cs="宋体"/>
          <w:b/>
          <w:bCs/>
          <w:color w:val="auto"/>
          <w:szCs w:val="24"/>
        </w:rPr>
        <w:t>（此处填写有或没有）</w:t>
      </w:r>
      <w:r>
        <w:rPr>
          <w:rFonts w:hint="eastAsia" w:cs="宋体"/>
          <w:color w:val="auto"/>
          <w:szCs w:val="24"/>
        </w:rPr>
        <w:t>法律、行政法规规定的其他条件。</w:t>
      </w:r>
    </w:p>
    <w:p w14:paraId="7B0E4411">
      <w:pPr>
        <w:ind w:firstLine="0" w:firstLineChars="0"/>
        <w:jc w:val="left"/>
        <w:rPr>
          <w:rFonts w:hint="eastAsia" w:cs="宋体"/>
          <w:color w:val="auto"/>
          <w:sz w:val="24"/>
          <w:szCs w:val="24"/>
        </w:rPr>
      </w:pPr>
    </w:p>
    <w:p w14:paraId="6D5627A6">
      <w:pPr>
        <w:ind w:firstLine="0" w:firstLineChars="0"/>
        <w:jc w:val="left"/>
        <w:rPr>
          <w:rFonts w:hint="eastAsia" w:cs="宋体"/>
          <w:color w:val="auto"/>
          <w:sz w:val="24"/>
          <w:szCs w:val="24"/>
        </w:rPr>
      </w:pPr>
    </w:p>
    <w:p w14:paraId="1D3C05AA">
      <w:pPr>
        <w:ind w:firstLine="0" w:firstLineChars="0"/>
        <w:jc w:val="left"/>
        <w:rPr>
          <w:rFonts w:hint="eastAsia" w:cs="宋体"/>
          <w:color w:val="auto"/>
          <w:sz w:val="24"/>
          <w:szCs w:val="24"/>
        </w:rPr>
      </w:pPr>
    </w:p>
    <w:p w14:paraId="22B21610">
      <w:pPr>
        <w:ind w:firstLine="0" w:firstLineChars="0"/>
        <w:jc w:val="left"/>
        <w:rPr>
          <w:rFonts w:hint="eastAsia" w:cs="宋体"/>
          <w:color w:val="auto"/>
          <w:sz w:val="24"/>
          <w:szCs w:val="24"/>
        </w:rPr>
      </w:pPr>
    </w:p>
    <w:p w14:paraId="25052C58">
      <w:pPr>
        <w:ind w:firstLine="0" w:firstLineChars="0"/>
        <w:jc w:val="left"/>
        <w:rPr>
          <w:rFonts w:hint="eastAsia" w:cs="宋体"/>
          <w:color w:val="auto"/>
          <w:sz w:val="24"/>
          <w:szCs w:val="24"/>
        </w:rPr>
      </w:pPr>
    </w:p>
    <w:p w14:paraId="5282FF37">
      <w:pPr>
        <w:ind w:firstLine="0" w:firstLineChars="0"/>
        <w:jc w:val="left"/>
        <w:rPr>
          <w:rFonts w:hint="eastAsia" w:cs="宋体"/>
          <w:color w:val="auto"/>
          <w:sz w:val="24"/>
          <w:szCs w:val="24"/>
        </w:rPr>
      </w:pPr>
    </w:p>
    <w:p w14:paraId="0685B341">
      <w:pPr>
        <w:ind w:firstLine="0" w:firstLineChars="0"/>
        <w:jc w:val="left"/>
        <w:rPr>
          <w:rFonts w:hint="eastAsia" w:cs="宋体"/>
          <w:color w:val="auto"/>
          <w:sz w:val="24"/>
          <w:szCs w:val="24"/>
        </w:rPr>
      </w:pPr>
    </w:p>
    <w:p w14:paraId="523A8906">
      <w:pPr>
        <w:ind w:firstLine="0" w:firstLineChars="0"/>
        <w:rPr>
          <w:rFonts w:hint="eastAsia" w:cs="宋体"/>
          <w:b/>
          <w:bCs/>
          <w:color w:val="auto"/>
        </w:rPr>
      </w:pPr>
      <w:r>
        <w:rPr>
          <w:rFonts w:hint="eastAsia" w:cs="宋体"/>
          <w:b/>
          <w:bCs/>
          <w:color w:val="auto"/>
        </w:rPr>
        <w:t>投标人名称(电子签章)：</w:t>
      </w:r>
      <w:r>
        <w:rPr>
          <w:rFonts w:hint="eastAsia" w:cs="宋体"/>
          <w:b/>
          <w:bCs/>
          <w:color w:val="auto"/>
          <w:u w:val="single"/>
        </w:rPr>
        <w:t>　　　　　　　　　                  　</w:t>
      </w:r>
    </w:p>
    <w:p w14:paraId="2AA77ECD">
      <w:pPr>
        <w:ind w:firstLine="0" w:firstLineChars="0"/>
        <w:rPr>
          <w:rFonts w:hint="eastAsia" w:cs="宋体"/>
          <w:b/>
          <w:bCs/>
          <w:color w:val="auto"/>
        </w:rPr>
      </w:pPr>
    </w:p>
    <w:p w14:paraId="76B84D38">
      <w:pPr>
        <w:ind w:firstLine="0" w:firstLineChars="0"/>
        <w:rPr>
          <w:rFonts w:hint="eastAsia" w:cs="宋体"/>
          <w:b/>
          <w:bCs/>
          <w:color w:val="auto"/>
        </w:rPr>
      </w:pPr>
      <w:r>
        <w:rPr>
          <w:rFonts w:hint="eastAsia" w:cs="宋体"/>
          <w:b/>
          <w:bCs/>
          <w:color w:val="auto"/>
        </w:rPr>
        <w:t>法定代表人或其委托代理人（电子签名或签章）：</w:t>
      </w:r>
      <w:r>
        <w:rPr>
          <w:rFonts w:hint="eastAsia" w:cs="宋体"/>
          <w:b/>
          <w:bCs/>
          <w:color w:val="auto"/>
          <w:u w:val="single"/>
        </w:rPr>
        <w:t>　　　　　　　　</w:t>
      </w:r>
    </w:p>
    <w:p w14:paraId="177759E1">
      <w:pPr>
        <w:ind w:firstLine="0" w:firstLineChars="0"/>
        <w:rPr>
          <w:rFonts w:hint="eastAsia" w:cs="宋体"/>
          <w:b/>
          <w:bCs/>
          <w:color w:val="auto"/>
        </w:rPr>
      </w:pPr>
    </w:p>
    <w:p w14:paraId="58BFBC04">
      <w:pPr>
        <w:ind w:firstLine="0" w:firstLineChars="0"/>
        <w:jc w:val="left"/>
        <w:rPr>
          <w:rFonts w:hint="eastAsia" w:cs="宋体"/>
          <w:b/>
          <w:bCs/>
          <w:color w:val="auto"/>
          <w:sz w:val="24"/>
          <w:szCs w:val="24"/>
          <w:u w:val="single"/>
        </w:rPr>
      </w:pPr>
      <w:r>
        <w:rPr>
          <w:rFonts w:hint="eastAsia" w:cs="宋体"/>
          <w:b/>
          <w:bCs/>
          <w:color w:val="auto"/>
        </w:rPr>
        <w:t>日期：</w:t>
      </w:r>
      <w:r>
        <w:rPr>
          <w:rFonts w:hint="eastAsia" w:cs="宋体"/>
          <w:b/>
          <w:bCs/>
          <w:color w:val="auto"/>
          <w:u w:val="single"/>
        </w:rPr>
        <w:t>　　　</w:t>
      </w:r>
      <w:r>
        <w:rPr>
          <w:rFonts w:hint="eastAsia" w:cs="宋体"/>
          <w:b/>
          <w:bCs/>
          <w:color w:val="auto"/>
        </w:rPr>
        <w:t>年</w:t>
      </w:r>
      <w:r>
        <w:rPr>
          <w:rFonts w:hint="eastAsia" w:cs="宋体"/>
          <w:b/>
          <w:bCs/>
          <w:color w:val="auto"/>
          <w:u w:val="single"/>
        </w:rPr>
        <w:t>　　</w:t>
      </w:r>
      <w:r>
        <w:rPr>
          <w:rFonts w:hint="eastAsia" w:cs="宋体"/>
          <w:b/>
          <w:bCs/>
          <w:color w:val="auto"/>
        </w:rPr>
        <w:t>月</w:t>
      </w:r>
      <w:r>
        <w:rPr>
          <w:rFonts w:hint="eastAsia" w:cs="宋体"/>
          <w:b/>
          <w:bCs/>
          <w:color w:val="auto"/>
          <w:u w:val="single"/>
        </w:rPr>
        <w:t>　　</w:t>
      </w:r>
      <w:r>
        <w:rPr>
          <w:rFonts w:hint="eastAsia" w:cs="宋体"/>
          <w:b/>
          <w:bCs/>
          <w:color w:val="auto"/>
        </w:rPr>
        <w:t>日</w:t>
      </w:r>
    </w:p>
    <w:p w14:paraId="4E9CD6E5">
      <w:pPr>
        <w:ind w:left="3541" w:leftChars="1686" w:firstLine="0" w:firstLineChars="0"/>
        <w:jc w:val="left"/>
        <w:rPr>
          <w:rFonts w:hint="eastAsia" w:cs="宋体"/>
          <w:color w:val="auto"/>
          <w:sz w:val="24"/>
          <w:szCs w:val="24"/>
          <w:u w:val="single"/>
        </w:rPr>
      </w:pPr>
    </w:p>
    <w:p w14:paraId="71ECE92D">
      <w:pPr>
        <w:ind w:firstLine="0" w:firstLineChars="0"/>
        <w:jc w:val="left"/>
        <w:rPr>
          <w:rFonts w:hint="eastAsia" w:cs="宋体"/>
          <w:color w:val="auto"/>
        </w:rPr>
      </w:pPr>
      <w:r>
        <w:rPr>
          <w:rFonts w:hint="eastAsia" w:cs="宋体"/>
          <w:color w:val="auto"/>
        </w:rPr>
        <w:t>注：</w:t>
      </w:r>
    </w:p>
    <w:p w14:paraId="28BA6952">
      <w:pPr>
        <w:ind w:firstLine="422"/>
        <w:jc w:val="left"/>
        <w:rPr>
          <w:rFonts w:hint="eastAsia" w:cs="宋体"/>
          <w:b/>
          <w:color w:val="auto"/>
        </w:rPr>
      </w:pPr>
      <w:r>
        <w:rPr>
          <w:rFonts w:hint="eastAsia" w:cs="宋体"/>
          <w:b/>
          <w:color w:val="auto"/>
        </w:rPr>
        <w:t>1、投标人应对是否满足“具有独立承担民事责任的能力；良好的商业信誉和健全的财务会计制度；具有履行合同所必需的设备和专业技术能力；有依法缴纳税收和社会保障资金的良好记录；参加政府采购活动前三年内，在经营活动中没有重大违法记录；法律、行政法规规定的其他条件。”（《政府采购法》第二十二条规定）进行说明和承诺；</w:t>
      </w:r>
    </w:p>
    <w:p w14:paraId="12673FF1">
      <w:pPr>
        <w:ind w:firstLine="422"/>
        <w:rPr>
          <w:rFonts w:hint="eastAsia" w:cs="宋体"/>
          <w:b/>
          <w:color w:val="auto"/>
        </w:rPr>
      </w:pPr>
      <w:r>
        <w:rPr>
          <w:rFonts w:hint="eastAsia" w:cs="宋体"/>
          <w:b/>
          <w:color w:val="auto"/>
        </w:rPr>
        <w:t>2、若招标文件中明确要求提供证明资料的，以证明资料为准</w:t>
      </w:r>
      <w:bookmarkEnd w:id="774"/>
      <w:bookmarkEnd w:id="775"/>
      <w:r>
        <w:rPr>
          <w:rFonts w:hint="eastAsia" w:cs="宋体"/>
          <w:b/>
          <w:color w:val="auto"/>
        </w:rPr>
        <w:t>；</w:t>
      </w:r>
    </w:p>
    <w:p w14:paraId="1E0CA92A">
      <w:pPr>
        <w:ind w:firstLine="422"/>
        <w:jc w:val="left"/>
        <w:rPr>
          <w:rFonts w:hint="eastAsia" w:cs="宋体"/>
          <w:b/>
          <w:color w:val="auto"/>
        </w:rPr>
      </w:pPr>
      <w:r>
        <w:rPr>
          <w:rFonts w:hint="eastAsia" w:cs="宋体"/>
          <w:b/>
          <w:color w:val="auto"/>
        </w:rPr>
        <w:t>3、重大违法记录，是指投标人因违法经营受到刑事处罚或者责令停产停业、吊销许可证或者执照、较大数额罚款等行政处罚</w:t>
      </w:r>
      <w:bookmarkEnd w:id="776"/>
      <w:bookmarkEnd w:id="777"/>
      <w:bookmarkStart w:id="778" w:name="_Toc36116104"/>
      <w:r>
        <w:rPr>
          <w:rFonts w:hint="eastAsia" w:cs="宋体"/>
          <w:b/>
          <w:color w:val="auto"/>
        </w:rPr>
        <w:t>；</w:t>
      </w:r>
    </w:p>
    <w:p w14:paraId="3334F0B4">
      <w:pPr>
        <w:pStyle w:val="44"/>
        <w:jc w:val="both"/>
        <w:outlineLvl w:val="9"/>
        <w:rPr>
          <w:rFonts w:hint="eastAsia" w:eastAsia="宋体" w:cs="宋体"/>
          <w:b w:val="0"/>
          <w:bCs w:val="0"/>
          <w:color w:val="auto"/>
          <w:sz w:val="36"/>
          <w:szCs w:val="36"/>
        </w:rPr>
        <w:sectPr>
          <w:pgSz w:w="11900" w:h="16838"/>
          <w:pgMar w:top="1417" w:right="1417" w:bottom="1417" w:left="1417" w:header="850" w:footer="850" w:gutter="0"/>
          <w:cols w:space="0" w:num="1"/>
          <w:titlePg/>
          <w:docGrid w:linePitch="331" w:charSpace="0"/>
        </w:sectPr>
      </w:pPr>
      <w:bookmarkStart w:id="779" w:name="_Toc4946"/>
    </w:p>
    <w:p w14:paraId="4D0E1739">
      <w:pPr>
        <w:ind w:firstLine="0" w:firstLineChars="0"/>
        <w:jc w:val="center"/>
        <w:outlineLvl w:val="2"/>
        <w:rPr>
          <w:rFonts w:hint="eastAsia" w:cs="宋体"/>
          <w:color w:val="auto"/>
          <w:sz w:val="30"/>
          <w:szCs w:val="30"/>
        </w:rPr>
      </w:pPr>
      <w:bookmarkStart w:id="780" w:name="_Toc3084"/>
      <w:r>
        <w:rPr>
          <w:rFonts w:hint="eastAsia" w:cs="宋体"/>
          <w:color w:val="auto"/>
          <w:sz w:val="30"/>
          <w:szCs w:val="30"/>
        </w:rPr>
        <w:t>（三）供应商满足招标文件其他资格条件的声明函</w:t>
      </w:r>
      <w:bookmarkEnd w:id="780"/>
    </w:p>
    <w:p w14:paraId="309DCA56">
      <w:pPr>
        <w:spacing w:line="440" w:lineRule="exact"/>
        <w:rPr>
          <w:rFonts w:hint="eastAsia"/>
          <w:color w:val="auto"/>
        </w:rPr>
      </w:pPr>
      <w:r>
        <w:rPr>
          <w:rFonts w:hint="eastAsia"/>
          <w:color w:val="auto"/>
        </w:rPr>
        <w:t>致：</w:t>
      </w:r>
      <w:r>
        <w:rPr>
          <w:rFonts w:hint="eastAsia"/>
          <w:color w:val="auto"/>
          <w:u w:val="single"/>
        </w:rPr>
        <w:t xml:space="preserve">              </w:t>
      </w:r>
      <w:r>
        <w:rPr>
          <w:rFonts w:hint="eastAsia"/>
          <w:color w:val="auto"/>
        </w:rPr>
        <w:t>（采购人名称）</w:t>
      </w:r>
    </w:p>
    <w:p w14:paraId="30681CE9">
      <w:pPr>
        <w:ind w:firstLine="4410" w:firstLineChars="2100"/>
        <w:rPr>
          <w:rFonts w:hint="eastAsia"/>
          <w:color w:val="auto"/>
        </w:rPr>
      </w:pPr>
    </w:p>
    <w:p w14:paraId="2529DE0E">
      <w:pPr>
        <w:rPr>
          <w:rFonts w:hint="eastAsia"/>
          <w:color w:val="auto"/>
        </w:rPr>
      </w:pPr>
      <w:r>
        <w:rPr>
          <w:rFonts w:hint="eastAsia"/>
          <w:color w:val="auto"/>
        </w:rPr>
        <w:t>我单位作为</w:t>
      </w:r>
      <w:r>
        <w:rPr>
          <w:rFonts w:hint="eastAsia"/>
          <w:color w:val="auto"/>
          <w:u w:val="single"/>
        </w:rPr>
        <w:t xml:space="preserve">                     （项目名称）</w:t>
      </w:r>
      <w:r>
        <w:rPr>
          <w:rFonts w:hint="eastAsia"/>
          <w:color w:val="auto"/>
        </w:rPr>
        <w:t>的供应商，完全满足招标文件中规定的其他资格条件并声明如下：</w:t>
      </w:r>
    </w:p>
    <w:p w14:paraId="52387688">
      <w:pPr>
        <w:rPr>
          <w:rFonts w:hint="eastAsia"/>
          <w:color w:val="auto"/>
        </w:rPr>
      </w:pPr>
      <w:r>
        <w:rPr>
          <w:rFonts w:hint="eastAsia"/>
          <w:color w:val="auto"/>
        </w:rPr>
        <w:t>1.我单位（法人、其他组织或者个人）与采购人不存在利害关系；</w:t>
      </w:r>
    </w:p>
    <w:p w14:paraId="5B282921">
      <w:pPr>
        <w:rPr>
          <w:rFonts w:hint="eastAsia"/>
          <w:color w:val="auto"/>
        </w:rPr>
      </w:pPr>
      <w:r>
        <w:rPr>
          <w:rFonts w:hint="eastAsia"/>
          <w:color w:val="auto"/>
        </w:rPr>
        <w:t>2.我单位与本项目其他供应商之间不存在单位负责人为同一人或者存在控股、管理关系；</w:t>
      </w:r>
    </w:p>
    <w:p w14:paraId="2EBEBC25">
      <w:pPr>
        <w:rPr>
          <w:rFonts w:hint="eastAsia"/>
          <w:color w:val="auto"/>
        </w:rPr>
      </w:pPr>
      <w:r>
        <w:rPr>
          <w:rFonts w:hint="eastAsia"/>
          <w:color w:val="auto"/>
        </w:rPr>
        <w:t>3.我单位未直接或间接地与为采购项目提供整体设计、规范编制和项目管理、监理、检测等服务，与采购人、采购代理机构或其附属机构无任何关联。</w:t>
      </w:r>
    </w:p>
    <w:p w14:paraId="66449328">
      <w:pPr>
        <w:rPr>
          <w:rFonts w:hint="eastAsia"/>
          <w:color w:val="auto"/>
        </w:rPr>
      </w:pPr>
      <w:r>
        <w:rPr>
          <w:rFonts w:hint="eastAsia"/>
          <w:color w:val="auto"/>
        </w:rPr>
        <w:t>4.我单位保证所提供的资料真实有效，若提供虚假材料，我单位将无条件承担因此造成的一切后果及责任。</w:t>
      </w:r>
    </w:p>
    <w:p w14:paraId="6FCE5CD1">
      <w:pPr>
        <w:rPr>
          <w:rFonts w:hint="eastAsia"/>
          <w:color w:val="auto"/>
        </w:rPr>
      </w:pPr>
    </w:p>
    <w:p w14:paraId="5ACB9E5B">
      <w:pPr>
        <w:spacing w:line="240" w:lineRule="auto"/>
        <w:ind w:firstLine="422"/>
        <w:rPr>
          <w:rFonts w:hint="eastAsia" w:cs="宋体"/>
          <w:b/>
          <w:bCs/>
          <w:color w:val="auto"/>
        </w:rPr>
      </w:pPr>
      <w:r>
        <w:rPr>
          <w:rFonts w:hint="eastAsia" w:cs="宋体"/>
          <w:b/>
          <w:bCs/>
          <w:color w:val="auto"/>
        </w:rPr>
        <w:t>供应商名称（电子签章）：</w:t>
      </w:r>
      <w:r>
        <w:rPr>
          <w:rFonts w:hint="eastAsia" w:cs="宋体"/>
          <w:b/>
          <w:bCs/>
          <w:color w:val="auto"/>
          <w:u w:val="single"/>
        </w:rPr>
        <w:t>　　　　　　　　  　</w:t>
      </w:r>
    </w:p>
    <w:p w14:paraId="50870092">
      <w:pPr>
        <w:spacing w:line="240" w:lineRule="auto"/>
        <w:ind w:firstLine="0" w:firstLineChars="0"/>
        <w:rPr>
          <w:rFonts w:hint="eastAsia" w:cs="宋体"/>
          <w:b/>
          <w:bCs/>
          <w:color w:val="auto"/>
        </w:rPr>
      </w:pPr>
    </w:p>
    <w:p w14:paraId="662DB003">
      <w:pPr>
        <w:spacing w:line="240" w:lineRule="auto"/>
        <w:ind w:firstLine="422"/>
        <w:rPr>
          <w:rFonts w:hint="eastAsia" w:cs="宋体"/>
          <w:b/>
          <w:bCs/>
          <w:color w:val="auto"/>
        </w:rPr>
      </w:pPr>
      <w:r>
        <w:rPr>
          <w:rFonts w:hint="eastAsia" w:cs="宋体"/>
          <w:b/>
          <w:bCs/>
          <w:color w:val="auto"/>
        </w:rPr>
        <w:t>法定代表人或其委托代理人（电子签名或签章）：</w:t>
      </w:r>
      <w:r>
        <w:rPr>
          <w:rFonts w:hint="eastAsia" w:cs="宋体"/>
          <w:b/>
          <w:bCs/>
          <w:color w:val="auto"/>
          <w:u w:val="single"/>
        </w:rPr>
        <w:t>　　　　　　　</w:t>
      </w:r>
    </w:p>
    <w:p w14:paraId="01C64E2B">
      <w:pPr>
        <w:spacing w:line="240" w:lineRule="auto"/>
        <w:ind w:firstLine="0" w:firstLineChars="0"/>
        <w:rPr>
          <w:rFonts w:hint="eastAsia" w:cs="宋体"/>
          <w:b/>
          <w:bCs/>
          <w:color w:val="auto"/>
        </w:rPr>
      </w:pPr>
    </w:p>
    <w:p w14:paraId="2FB16A64">
      <w:pPr>
        <w:spacing w:line="240" w:lineRule="auto"/>
        <w:ind w:firstLine="422"/>
        <w:rPr>
          <w:rFonts w:hint="eastAsia" w:cs="宋体"/>
          <w:b/>
          <w:bCs/>
          <w:color w:val="auto"/>
        </w:rPr>
      </w:pPr>
      <w:r>
        <w:rPr>
          <w:rFonts w:hint="eastAsia" w:cs="宋体"/>
          <w:b/>
          <w:bCs/>
          <w:color w:val="auto"/>
        </w:rPr>
        <w:t>日期：</w:t>
      </w:r>
      <w:r>
        <w:rPr>
          <w:rFonts w:hint="eastAsia" w:cs="宋体"/>
          <w:b/>
          <w:bCs/>
          <w:color w:val="auto"/>
          <w:u w:val="single"/>
        </w:rPr>
        <w:t>　　　</w:t>
      </w:r>
      <w:r>
        <w:rPr>
          <w:rFonts w:hint="eastAsia" w:cs="宋体"/>
          <w:b/>
          <w:bCs/>
          <w:color w:val="auto"/>
        </w:rPr>
        <w:t>年</w:t>
      </w:r>
      <w:r>
        <w:rPr>
          <w:rFonts w:hint="eastAsia" w:cs="宋体"/>
          <w:b/>
          <w:bCs/>
          <w:color w:val="auto"/>
          <w:u w:val="single"/>
        </w:rPr>
        <w:t>　　</w:t>
      </w:r>
      <w:r>
        <w:rPr>
          <w:rFonts w:hint="eastAsia" w:cs="宋体"/>
          <w:b/>
          <w:bCs/>
          <w:color w:val="auto"/>
        </w:rPr>
        <w:t>月</w:t>
      </w:r>
      <w:r>
        <w:rPr>
          <w:rFonts w:hint="eastAsia" w:cs="宋体"/>
          <w:b/>
          <w:bCs/>
          <w:color w:val="auto"/>
          <w:u w:val="single"/>
        </w:rPr>
        <w:t>　　</w:t>
      </w:r>
      <w:r>
        <w:rPr>
          <w:rFonts w:hint="eastAsia" w:cs="宋体"/>
          <w:b/>
          <w:bCs/>
          <w:color w:val="auto"/>
        </w:rPr>
        <w:t>日</w:t>
      </w:r>
    </w:p>
    <w:p w14:paraId="444B3C99">
      <w:pPr>
        <w:pStyle w:val="44"/>
        <w:jc w:val="both"/>
        <w:outlineLvl w:val="9"/>
        <w:rPr>
          <w:rFonts w:hint="eastAsia" w:eastAsia="宋体" w:cs="宋体"/>
          <w:color w:val="auto"/>
          <w:sz w:val="21"/>
          <w:szCs w:val="16"/>
        </w:rPr>
      </w:pPr>
    </w:p>
    <w:p w14:paraId="156081E4">
      <w:pPr>
        <w:widowControl/>
        <w:spacing w:line="240" w:lineRule="auto"/>
        <w:ind w:firstLine="0" w:firstLineChars="0"/>
        <w:jc w:val="left"/>
        <w:rPr>
          <w:rFonts w:hint="eastAsia" w:cs="宋体"/>
          <w:color w:val="auto"/>
          <w:kern w:val="0"/>
          <w:sz w:val="36"/>
          <w:szCs w:val="36"/>
        </w:rPr>
      </w:pPr>
      <w:r>
        <w:rPr>
          <w:rFonts w:cs="宋体"/>
          <w:b/>
          <w:bCs/>
          <w:color w:val="auto"/>
          <w:sz w:val="36"/>
          <w:szCs w:val="36"/>
        </w:rPr>
        <w:br w:type="page"/>
      </w:r>
    </w:p>
    <w:p w14:paraId="3263C62B">
      <w:pPr>
        <w:pStyle w:val="44"/>
        <w:rPr>
          <w:rFonts w:hint="eastAsia" w:eastAsia="宋体" w:cs="宋体"/>
          <w:b w:val="0"/>
          <w:bCs w:val="0"/>
          <w:color w:val="auto"/>
          <w:sz w:val="36"/>
          <w:szCs w:val="36"/>
        </w:rPr>
      </w:pPr>
      <w:bookmarkStart w:id="781" w:name="_Toc32618"/>
      <w:r>
        <w:rPr>
          <w:rFonts w:hint="eastAsia" w:eastAsia="宋体" w:cs="宋体"/>
          <w:b w:val="0"/>
          <w:bCs w:val="0"/>
          <w:color w:val="auto"/>
          <w:sz w:val="36"/>
          <w:szCs w:val="36"/>
        </w:rPr>
        <w:t>三、商务文件部分</w:t>
      </w:r>
      <w:bookmarkEnd w:id="781"/>
    </w:p>
    <w:p w14:paraId="38B63E42">
      <w:pPr>
        <w:spacing w:line="240" w:lineRule="auto"/>
        <w:ind w:firstLine="0" w:firstLineChars="0"/>
        <w:jc w:val="center"/>
        <w:outlineLvl w:val="2"/>
        <w:rPr>
          <w:rFonts w:hint="eastAsia" w:cs="宋体"/>
          <w:color w:val="auto"/>
          <w:sz w:val="30"/>
          <w:szCs w:val="30"/>
        </w:rPr>
      </w:pPr>
      <w:bookmarkStart w:id="782" w:name="_Toc272421901"/>
      <w:bookmarkStart w:id="783" w:name="_Toc51288987"/>
      <w:bookmarkStart w:id="784" w:name="_Toc213141106"/>
      <w:bookmarkStart w:id="785" w:name="_Toc20737"/>
      <w:bookmarkStart w:id="786" w:name="_Toc26783960"/>
      <w:bookmarkStart w:id="787" w:name="_Hlk519063903"/>
      <w:bookmarkStart w:id="788" w:name="_Toc13129"/>
      <w:r>
        <w:rPr>
          <w:rFonts w:hint="eastAsia" w:cs="宋体"/>
          <w:color w:val="auto"/>
          <w:sz w:val="30"/>
          <w:szCs w:val="30"/>
        </w:rPr>
        <w:t>（一）法定代表人身份证明书</w:t>
      </w:r>
      <w:bookmarkEnd w:id="782"/>
      <w:bookmarkEnd w:id="783"/>
      <w:bookmarkEnd w:id="784"/>
      <w:bookmarkEnd w:id="785"/>
      <w:bookmarkEnd w:id="786"/>
      <w:bookmarkEnd w:id="787"/>
      <w:bookmarkEnd w:id="788"/>
    </w:p>
    <w:p w14:paraId="427F2D43">
      <w:pPr>
        <w:spacing w:line="440" w:lineRule="exact"/>
        <w:ind w:firstLine="0" w:firstLineChars="0"/>
        <w:jc w:val="center"/>
        <w:rPr>
          <w:rFonts w:hint="eastAsia" w:cs="宋体"/>
          <w:b/>
          <w:color w:val="auto"/>
          <w:sz w:val="30"/>
          <w:szCs w:val="30"/>
        </w:rPr>
      </w:pPr>
    </w:p>
    <w:p w14:paraId="23F84187">
      <w:pPr>
        <w:ind w:firstLine="0" w:firstLineChars="0"/>
        <w:rPr>
          <w:rFonts w:hint="eastAsia" w:cs="宋体"/>
          <w:color w:val="auto"/>
        </w:rPr>
      </w:pPr>
      <w:r>
        <w:rPr>
          <w:rFonts w:hint="eastAsia" w:cs="宋体"/>
          <w:color w:val="auto"/>
        </w:rPr>
        <w:t>投标人名称：</w:t>
      </w:r>
    </w:p>
    <w:p w14:paraId="05F697E3">
      <w:pPr>
        <w:ind w:firstLine="0" w:firstLineChars="0"/>
        <w:rPr>
          <w:rFonts w:hint="eastAsia" w:cs="宋体"/>
          <w:color w:val="auto"/>
        </w:rPr>
      </w:pPr>
      <w:r>
        <w:rPr>
          <w:rFonts w:hint="eastAsia" w:cs="宋体"/>
          <w:color w:val="auto"/>
        </w:rPr>
        <w:t>单位性质：</w:t>
      </w:r>
    </w:p>
    <w:p w14:paraId="602D89A6">
      <w:pPr>
        <w:ind w:firstLine="0" w:firstLineChars="0"/>
        <w:rPr>
          <w:rFonts w:hint="eastAsia" w:cs="宋体"/>
          <w:color w:val="auto"/>
        </w:rPr>
      </w:pPr>
      <w:r>
        <w:rPr>
          <w:rFonts w:hint="eastAsia" w:cs="宋体"/>
          <w:color w:val="auto"/>
        </w:rPr>
        <w:t>成立时间：    年  月  日</w:t>
      </w:r>
    </w:p>
    <w:p w14:paraId="4E068942">
      <w:pPr>
        <w:ind w:firstLine="0" w:firstLineChars="0"/>
        <w:rPr>
          <w:rFonts w:hint="eastAsia" w:cs="宋体"/>
          <w:color w:val="auto"/>
        </w:rPr>
      </w:pPr>
      <w:r>
        <w:rPr>
          <w:rFonts w:hint="eastAsia" w:cs="宋体"/>
          <w:color w:val="auto"/>
        </w:rPr>
        <w:t>经营期限：</w:t>
      </w:r>
    </w:p>
    <w:p w14:paraId="6BCC8EA7">
      <w:pPr>
        <w:ind w:firstLine="0" w:firstLineChars="0"/>
        <w:rPr>
          <w:rFonts w:hint="eastAsia" w:cs="宋体"/>
          <w:color w:val="auto"/>
        </w:rPr>
      </w:pPr>
      <w:r>
        <w:rPr>
          <w:rFonts w:hint="eastAsia" w:cs="宋体"/>
          <w:color w:val="auto"/>
        </w:rPr>
        <w:t>姓名：       性别：      年龄：      职务：</w:t>
      </w:r>
    </w:p>
    <w:p w14:paraId="2189892B">
      <w:pPr>
        <w:ind w:firstLine="0" w:firstLineChars="0"/>
        <w:rPr>
          <w:rFonts w:hint="eastAsia" w:cs="宋体"/>
          <w:color w:val="auto"/>
        </w:rPr>
      </w:pPr>
      <w:r>
        <w:rPr>
          <w:rFonts w:hint="eastAsia" w:cs="宋体"/>
          <w:color w:val="auto"/>
        </w:rPr>
        <w:t>系（投标人名称）的法定代表人。</w:t>
      </w:r>
    </w:p>
    <w:p w14:paraId="345FEAB3">
      <w:pPr>
        <w:ind w:firstLine="0" w:firstLineChars="0"/>
        <w:rPr>
          <w:rFonts w:hint="eastAsia" w:cs="宋体"/>
          <w:color w:val="auto"/>
        </w:rPr>
      </w:pPr>
    </w:p>
    <w:p w14:paraId="5EBB91B8">
      <w:pPr>
        <w:rPr>
          <w:rFonts w:hint="eastAsia" w:cs="宋体"/>
          <w:color w:val="auto"/>
        </w:rPr>
      </w:pPr>
    </w:p>
    <w:p w14:paraId="5CD21EA0">
      <w:pPr>
        <w:rPr>
          <w:rFonts w:hint="eastAsia" w:cs="宋体"/>
          <w:color w:val="auto"/>
        </w:rPr>
      </w:pPr>
      <w:r>
        <w:rPr>
          <w:rFonts w:hint="eastAsia" w:cs="宋体"/>
          <w:color w:val="auto"/>
        </w:rPr>
        <w:t>特此证明。</w:t>
      </w:r>
    </w:p>
    <w:p w14:paraId="03EDD7B7">
      <w:pPr>
        <w:ind w:firstLine="0" w:firstLineChars="0"/>
        <w:rPr>
          <w:rFonts w:hint="eastAsia" w:cs="宋体"/>
          <w:color w:val="auto"/>
        </w:rPr>
      </w:pPr>
    </w:p>
    <w:p w14:paraId="5679370F">
      <w:pPr>
        <w:ind w:firstLine="0" w:firstLineChars="0"/>
        <w:rPr>
          <w:rFonts w:hint="eastAsia" w:cs="宋体"/>
          <w:b/>
          <w:bCs/>
          <w:color w:val="auto"/>
        </w:rPr>
      </w:pPr>
      <w:r>
        <w:rPr>
          <w:rFonts w:hint="eastAsia" w:cs="宋体"/>
          <w:b/>
          <w:bCs/>
          <w:color w:val="auto"/>
        </w:rPr>
        <w:t>注：1、附法定代表人身份证</w:t>
      </w:r>
      <w:r>
        <w:rPr>
          <w:rFonts w:hint="eastAsia" w:cs="宋体"/>
          <w:b/>
          <w:color w:val="auto"/>
        </w:rPr>
        <w:t>扫描件</w:t>
      </w:r>
      <w:r>
        <w:rPr>
          <w:rFonts w:hint="eastAsia" w:cs="宋体"/>
          <w:b/>
          <w:bCs/>
          <w:color w:val="auto"/>
        </w:rPr>
        <w:t>。</w:t>
      </w:r>
    </w:p>
    <w:p w14:paraId="03422168">
      <w:pPr>
        <w:ind w:firstLine="0" w:firstLineChars="0"/>
        <w:rPr>
          <w:rFonts w:hint="eastAsia" w:cs="宋体"/>
          <w:color w:val="auto"/>
        </w:rPr>
      </w:pPr>
    </w:p>
    <w:p w14:paraId="1B0835ED">
      <w:pPr>
        <w:ind w:firstLine="0" w:firstLineChars="0"/>
        <w:rPr>
          <w:rFonts w:hint="eastAsia" w:cs="宋体"/>
          <w:color w:val="auto"/>
        </w:rPr>
      </w:pPr>
    </w:p>
    <w:p w14:paraId="25097FD9">
      <w:pPr>
        <w:ind w:firstLine="0" w:firstLineChars="0"/>
        <w:rPr>
          <w:rFonts w:hint="eastAsia" w:cs="宋体"/>
          <w:color w:val="auto"/>
        </w:rPr>
      </w:pPr>
    </w:p>
    <w:p w14:paraId="787A5B88">
      <w:pPr>
        <w:spacing w:line="480" w:lineRule="auto"/>
        <w:ind w:left="5397" w:leftChars="2570" w:firstLine="0" w:firstLineChars="0"/>
        <w:rPr>
          <w:rFonts w:hint="eastAsia" w:cs="宋体"/>
          <w:b/>
          <w:bCs/>
          <w:color w:val="auto"/>
        </w:rPr>
      </w:pPr>
      <w:r>
        <w:rPr>
          <w:rFonts w:hint="eastAsia" w:cs="宋体"/>
          <w:b/>
          <w:bCs/>
          <w:color w:val="auto"/>
        </w:rPr>
        <w:t>投标人名称(电子签章)：</w:t>
      </w:r>
      <w:r>
        <w:rPr>
          <w:rFonts w:hint="eastAsia" w:cs="宋体"/>
          <w:b/>
          <w:bCs/>
          <w:color w:val="auto"/>
          <w:u w:val="single"/>
        </w:rPr>
        <w:t>　　　　　</w:t>
      </w:r>
    </w:p>
    <w:p w14:paraId="091656FD">
      <w:pPr>
        <w:spacing w:line="480" w:lineRule="auto"/>
        <w:ind w:left="5397" w:leftChars="2570" w:firstLine="0" w:firstLineChars="0"/>
        <w:rPr>
          <w:rFonts w:hint="eastAsia" w:cs="宋体"/>
          <w:b/>
          <w:bCs/>
          <w:color w:val="auto"/>
        </w:rPr>
      </w:pPr>
      <w:r>
        <w:rPr>
          <w:rFonts w:hint="eastAsia" w:cs="宋体"/>
          <w:b/>
          <w:bCs/>
          <w:color w:val="auto"/>
        </w:rPr>
        <w:t>日期：</w:t>
      </w:r>
      <w:r>
        <w:rPr>
          <w:rFonts w:hint="eastAsia" w:cs="宋体"/>
          <w:b/>
          <w:bCs/>
          <w:color w:val="auto"/>
          <w:u w:val="single"/>
        </w:rPr>
        <w:t xml:space="preserve">     </w:t>
      </w:r>
      <w:r>
        <w:rPr>
          <w:rFonts w:hint="eastAsia" w:cs="宋体"/>
          <w:b/>
          <w:bCs/>
          <w:color w:val="auto"/>
        </w:rPr>
        <w:t>年</w:t>
      </w:r>
      <w:r>
        <w:rPr>
          <w:rFonts w:hint="eastAsia" w:cs="宋体"/>
          <w:b/>
          <w:bCs/>
          <w:color w:val="auto"/>
          <w:u w:val="single"/>
        </w:rPr>
        <w:t xml:space="preserve">   </w:t>
      </w:r>
      <w:r>
        <w:rPr>
          <w:rFonts w:hint="eastAsia" w:cs="宋体"/>
          <w:b/>
          <w:bCs/>
          <w:color w:val="auto"/>
        </w:rPr>
        <w:t>月</w:t>
      </w:r>
      <w:r>
        <w:rPr>
          <w:rFonts w:hint="eastAsia" w:cs="宋体"/>
          <w:b/>
          <w:bCs/>
          <w:color w:val="auto"/>
          <w:u w:val="single"/>
        </w:rPr>
        <w:t xml:space="preserve">   </w:t>
      </w:r>
      <w:r>
        <w:rPr>
          <w:rFonts w:hint="eastAsia" w:cs="宋体"/>
          <w:b/>
          <w:bCs/>
          <w:color w:val="auto"/>
        </w:rPr>
        <w:t>日</w:t>
      </w:r>
    </w:p>
    <w:p w14:paraId="3913CEA6">
      <w:pPr>
        <w:ind w:firstLine="0" w:firstLineChars="0"/>
        <w:rPr>
          <w:rFonts w:hint="eastAsia" w:cs="宋体"/>
          <w:color w:val="auto"/>
        </w:rPr>
      </w:pPr>
    </w:p>
    <w:p w14:paraId="47EB8C9F">
      <w:pPr>
        <w:spacing w:line="240" w:lineRule="auto"/>
        <w:ind w:firstLine="0" w:firstLineChars="0"/>
        <w:rPr>
          <w:rFonts w:hint="eastAsia" w:cs="宋体"/>
          <w:color w:val="auto"/>
        </w:rPr>
      </w:pPr>
      <w:r>
        <w:rPr>
          <w:rFonts w:hint="eastAsia" w:cs="宋体"/>
          <w:b/>
          <w:color w:val="auto"/>
        </w:rPr>
        <w:br w:type="page"/>
      </w:r>
    </w:p>
    <w:p w14:paraId="327E9331">
      <w:pPr>
        <w:spacing w:line="240" w:lineRule="auto"/>
        <w:ind w:firstLine="0" w:firstLineChars="0"/>
        <w:jc w:val="center"/>
        <w:outlineLvl w:val="2"/>
        <w:rPr>
          <w:rFonts w:hint="eastAsia" w:cs="宋体"/>
          <w:color w:val="auto"/>
          <w:sz w:val="30"/>
          <w:szCs w:val="30"/>
        </w:rPr>
      </w:pPr>
      <w:bookmarkStart w:id="789" w:name="_Toc895"/>
      <w:bookmarkStart w:id="790" w:name="_Toc272421902"/>
      <w:bookmarkStart w:id="791" w:name="_Toc26783961"/>
      <w:bookmarkStart w:id="792" w:name="_Hlk519063913"/>
      <w:bookmarkStart w:id="793" w:name="_Toc205017031"/>
      <w:bookmarkStart w:id="794" w:name="_Toc22491"/>
      <w:bookmarkStart w:id="795" w:name="_Toc204749336"/>
      <w:r>
        <w:rPr>
          <w:rFonts w:hint="eastAsia" w:cs="宋体"/>
          <w:color w:val="auto"/>
          <w:sz w:val="30"/>
          <w:szCs w:val="30"/>
        </w:rPr>
        <w:t>（二）法定代表人授权委托书</w:t>
      </w:r>
      <w:bookmarkEnd w:id="789"/>
      <w:bookmarkEnd w:id="790"/>
      <w:bookmarkEnd w:id="791"/>
      <w:bookmarkEnd w:id="792"/>
      <w:bookmarkEnd w:id="793"/>
      <w:bookmarkEnd w:id="794"/>
      <w:bookmarkEnd w:id="795"/>
    </w:p>
    <w:p w14:paraId="3CE19A10">
      <w:pPr>
        <w:spacing w:line="500" w:lineRule="exact"/>
        <w:ind w:firstLine="0" w:firstLineChars="0"/>
        <w:rPr>
          <w:rFonts w:hint="eastAsia" w:cs="宋体"/>
          <w:b/>
          <w:bCs/>
          <w:color w:val="auto"/>
        </w:rPr>
      </w:pPr>
      <w:r>
        <w:rPr>
          <w:rFonts w:hint="eastAsia" w:cs="宋体"/>
          <w:color w:val="auto"/>
        </w:rPr>
        <w:t>致：</w:t>
      </w:r>
      <w:r>
        <w:rPr>
          <w:rFonts w:hint="eastAsia" w:cs="宋体"/>
          <w:color w:val="auto"/>
          <w:u w:val="single"/>
        </w:rPr>
        <w:t xml:space="preserve">  （采购人名称）   </w:t>
      </w:r>
    </w:p>
    <w:p w14:paraId="35E03ACB">
      <w:pPr>
        <w:spacing w:line="500" w:lineRule="exact"/>
        <w:ind w:firstLineChars="0"/>
        <w:rPr>
          <w:rFonts w:hint="eastAsia" w:cs="宋体"/>
          <w:color w:val="auto"/>
        </w:rPr>
      </w:pPr>
      <w:r>
        <w:rPr>
          <w:rFonts w:hint="eastAsia" w:cs="宋体"/>
          <w:color w:val="auto"/>
        </w:rPr>
        <w:t>本授权书声明：</w:t>
      </w:r>
      <w:r>
        <w:rPr>
          <w:rFonts w:hint="eastAsia" w:cs="宋体"/>
          <w:color w:val="auto"/>
          <w:u w:val="single"/>
        </w:rPr>
        <w:t xml:space="preserve">  （投标人名称） </w:t>
      </w:r>
      <w:r>
        <w:rPr>
          <w:rFonts w:hint="eastAsia" w:cs="宋体"/>
          <w:color w:val="auto"/>
        </w:rPr>
        <w:t>的法定代表人代表本公司授权</w:t>
      </w:r>
      <w:r>
        <w:rPr>
          <w:rFonts w:hint="eastAsia" w:cs="宋体"/>
          <w:color w:val="auto"/>
          <w:u w:val="single"/>
        </w:rPr>
        <w:t>（委托代理人姓名）</w:t>
      </w:r>
      <w:r>
        <w:rPr>
          <w:rFonts w:hint="eastAsia" w:cs="宋体"/>
          <w:color w:val="auto"/>
        </w:rPr>
        <w:t>为本公司合法代理人，就贵方组织的有关（采购项目名称）项目（项目编号：）的投标，以本单位名义处理一切与之有关的事务。</w:t>
      </w:r>
    </w:p>
    <w:p w14:paraId="763C558F">
      <w:pPr>
        <w:spacing w:line="500" w:lineRule="exact"/>
        <w:ind w:firstLineChars="0"/>
        <w:rPr>
          <w:rFonts w:hint="eastAsia" w:cs="宋体"/>
          <w:color w:val="auto"/>
        </w:rPr>
      </w:pPr>
      <w:r>
        <w:rPr>
          <w:rFonts w:hint="eastAsia" w:cs="宋体"/>
          <w:color w:val="auto"/>
        </w:rPr>
        <w:t>代理人无转委托权。</w:t>
      </w:r>
    </w:p>
    <w:p w14:paraId="03AB4AA9">
      <w:pPr>
        <w:spacing w:line="500" w:lineRule="exact"/>
        <w:ind w:firstLine="4006" w:firstLineChars="1900"/>
        <w:rPr>
          <w:rFonts w:hint="eastAsia" w:cs="宋体"/>
          <w:b/>
          <w:bCs/>
          <w:color w:val="auto"/>
        </w:rPr>
      </w:pPr>
      <w:r>
        <w:rPr>
          <w:rFonts w:hint="eastAsia" w:cs="宋体"/>
          <w:b/>
          <w:bCs/>
          <w:color w:val="auto"/>
        </w:rPr>
        <w:t>投标人名称 (电子签章)：</w:t>
      </w:r>
      <w:r>
        <w:rPr>
          <w:rFonts w:hint="eastAsia" w:cs="宋体"/>
          <w:b/>
          <w:bCs/>
          <w:color w:val="auto"/>
          <w:u w:val="single"/>
        </w:rPr>
        <w:t xml:space="preserve">         </w:t>
      </w:r>
    </w:p>
    <w:p w14:paraId="5D5BE4AC">
      <w:pPr>
        <w:spacing w:line="500" w:lineRule="exact"/>
        <w:ind w:firstLine="5420" w:firstLineChars="2571"/>
        <w:rPr>
          <w:rFonts w:hint="eastAsia" w:cs="宋体"/>
          <w:b/>
          <w:bCs/>
          <w:color w:val="auto"/>
        </w:rPr>
      </w:pPr>
    </w:p>
    <w:p w14:paraId="29608BED">
      <w:pPr>
        <w:spacing w:line="500" w:lineRule="exact"/>
        <w:ind w:firstLine="5060" w:firstLineChars="2400"/>
        <w:rPr>
          <w:rFonts w:hint="eastAsia" w:cs="宋体"/>
          <w:b/>
          <w:bCs/>
          <w:color w:val="auto"/>
        </w:rPr>
      </w:pPr>
      <w:r>
        <w:rPr>
          <w:rFonts w:hint="eastAsia" w:cs="宋体"/>
          <w:b/>
          <w:bCs/>
          <w:color w:val="auto"/>
        </w:rPr>
        <w:t>法定代表人（电子签名或签章）：</w:t>
      </w:r>
      <w:r>
        <w:rPr>
          <w:rFonts w:hint="eastAsia" w:cs="宋体"/>
          <w:b/>
          <w:bCs/>
          <w:color w:val="auto"/>
          <w:u w:val="single"/>
        </w:rPr>
        <w:t xml:space="preserve">         </w:t>
      </w:r>
    </w:p>
    <w:p w14:paraId="77E4DD15">
      <w:pPr>
        <w:spacing w:line="500" w:lineRule="exact"/>
        <w:ind w:firstLine="5420" w:firstLineChars="2571"/>
        <w:rPr>
          <w:rFonts w:hint="eastAsia" w:cs="宋体"/>
          <w:b/>
          <w:bCs/>
          <w:color w:val="auto"/>
        </w:rPr>
      </w:pPr>
    </w:p>
    <w:p w14:paraId="2202749A">
      <w:pPr>
        <w:pBdr>
          <w:bottom w:val="single" w:color="auto" w:sz="12" w:space="1"/>
        </w:pBdr>
        <w:spacing w:line="500" w:lineRule="exact"/>
        <w:ind w:firstLine="5420" w:firstLineChars="2571"/>
        <w:rPr>
          <w:rFonts w:hint="eastAsia" w:cs="宋体"/>
          <w:b/>
          <w:bCs/>
          <w:color w:val="auto"/>
        </w:rPr>
      </w:pPr>
      <w:r>
        <w:rPr>
          <w:rFonts w:hint="eastAsia" w:cs="宋体"/>
          <w:b/>
          <w:bCs/>
          <w:color w:val="auto"/>
        </w:rPr>
        <w:t>日期：</w:t>
      </w:r>
      <w:r>
        <w:rPr>
          <w:rFonts w:hint="eastAsia" w:cs="宋体"/>
          <w:b/>
          <w:bCs/>
          <w:color w:val="auto"/>
          <w:u w:val="single"/>
        </w:rPr>
        <w:t xml:space="preserve">    </w:t>
      </w:r>
      <w:r>
        <w:rPr>
          <w:rFonts w:hint="eastAsia" w:cs="宋体"/>
          <w:b/>
          <w:bCs/>
          <w:color w:val="auto"/>
        </w:rPr>
        <w:t>年</w:t>
      </w:r>
      <w:r>
        <w:rPr>
          <w:rFonts w:hint="eastAsia" w:cs="宋体"/>
          <w:b/>
          <w:bCs/>
          <w:color w:val="auto"/>
          <w:u w:val="single"/>
        </w:rPr>
        <w:t xml:space="preserve">  </w:t>
      </w:r>
      <w:r>
        <w:rPr>
          <w:rFonts w:hint="eastAsia" w:cs="宋体"/>
          <w:b/>
          <w:bCs/>
          <w:color w:val="auto"/>
        </w:rPr>
        <w:t>月</w:t>
      </w:r>
      <w:r>
        <w:rPr>
          <w:rFonts w:hint="eastAsia" w:cs="宋体"/>
          <w:b/>
          <w:bCs/>
          <w:color w:val="auto"/>
          <w:u w:val="single"/>
        </w:rPr>
        <w:t xml:space="preserve">  </w:t>
      </w:r>
      <w:r>
        <w:rPr>
          <w:rFonts w:hint="eastAsia" w:cs="宋体"/>
          <w:b/>
          <w:bCs/>
          <w:color w:val="auto"/>
        </w:rPr>
        <w:t>日</w:t>
      </w:r>
    </w:p>
    <w:p w14:paraId="53400918">
      <w:pPr>
        <w:spacing w:line="500" w:lineRule="exact"/>
        <w:ind w:firstLine="0" w:firstLineChars="0"/>
        <w:rPr>
          <w:rFonts w:hint="eastAsia" w:cs="宋体"/>
          <w:color w:val="auto"/>
        </w:rPr>
      </w:pPr>
      <w:r>
        <w:rPr>
          <w:rFonts w:hint="eastAsia" w:cs="宋体"/>
          <w:color w:val="auto"/>
        </w:rPr>
        <w:t>附：</w:t>
      </w:r>
    </w:p>
    <w:p w14:paraId="5AA9ACB1">
      <w:pPr>
        <w:spacing w:line="500" w:lineRule="exact"/>
        <w:ind w:firstLine="0" w:firstLineChars="0"/>
        <w:rPr>
          <w:rFonts w:hint="eastAsia" w:cs="宋体"/>
          <w:color w:val="auto"/>
        </w:rPr>
      </w:pPr>
      <w:r>
        <w:rPr>
          <w:rFonts w:hint="eastAsia" w:cs="宋体"/>
          <w:color w:val="auto"/>
        </w:rPr>
        <w:t>委托代理人姓名：</w:t>
      </w:r>
    </w:p>
    <w:p w14:paraId="3A52ED60">
      <w:pPr>
        <w:spacing w:line="500" w:lineRule="exact"/>
        <w:ind w:firstLine="0" w:firstLineChars="0"/>
        <w:rPr>
          <w:rFonts w:hint="eastAsia" w:cs="宋体"/>
          <w:color w:val="auto"/>
        </w:rPr>
      </w:pPr>
      <w:r>
        <w:rPr>
          <w:rFonts w:hint="eastAsia" w:cs="宋体"/>
          <w:color w:val="auto"/>
        </w:rPr>
        <w:t>职务：</w:t>
      </w:r>
    </w:p>
    <w:p w14:paraId="1A694502">
      <w:pPr>
        <w:spacing w:line="500" w:lineRule="exact"/>
        <w:ind w:firstLine="0" w:firstLineChars="0"/>
        <w:rPr>
          <w:rFonts w:hint="eastAsia" w:cs="宋体"/>
          <w:color w:val="auto"/>
        </w:rPr>
      </w:pPr>
      <w:r>
        <w:rPr>
          <w:rFonts w:hint="eastAsia" w:cs="宋体"/>
          <w:color w:val="auto"/>
        </w:rPr>
        <w:t>身份证号码：</w:t>
      </w:r>
    </w:p>
    <w:p w14:paraId="53891BFE">
      <w:pPr>
        <w:spacing w:line="500" w:lineRule="exact"/>
        <w:ind w:firstLine="0" w:firstLineChars="0"/>
        <w:rPr>
          <w:rFonts w:hint="eastAsia" w:cs="宋体"/>
          <w:color w:val="auto"/>
        </w:rPr>
      </w:pPr>
      <w:r>
        <w:rPr>
          <w:rFonts w:hint="eastAsia" w:cs="宋体"/>
          <w:color w:val="auto"/>
        </w:rPr>
        <w:t>详细地址：</w:t>
      </w:r>
    </w:p>
    <w:p w14:paraId="4E03B6F0">
      <w:pPr>
        <w:spacing w:line="500" w:lineRule="exact"/>
        <w:ind w:firstLine="0" w:firstLineChars="0"/>
        <w:rPr>
          <w:rFonts w:hint="eastAsia" w:cs="宋体"/>
          <w:color w:val="auto"/>
        </w:rPr>
      </w:pPr>
      <w:r>
        <w:rPr>
          <w:rFonts w:hint="eastAsia" w:cs="宋体"/>
          <w:color w:val="auto"/>
        </w:rPr>
        <w:t>电话：</w:t>
      </w:r>
    </w:p>
    <w:p w14:paraId="7F8E02F4">
      <w:pPr>
        <w:spacing w:line="500" w:lineRule="exact"/>
        <w:ind w:firstLine="0" w:firstLineChars="0"/>
        <w:rPr>
          <w:rFonts w:hint="eastAsia" w:cs="宋体"/>
          <w:color w:val="auto"/>
        </w:rPr>
      </w:pPr>
    </w:p>
    <w:p w14:paraId="06144ED1">
      <w:pPr>
        <w:ind w:right="420" w:firstLine="422"/>
        <w:rPr>
          <w:rFonts w:hint="eastAsia" w:cs="宋体"/>
          <w:b/>
          <w:color w:val="auto"/>
        </w:rPr>
      </w:pPr>
      <w:r>
        <w:rPr>
          <w:rFonts w:hint="eastAsia" w:cs="宋体"/>
          <w:b/>
          <w:bCs/>
          <w:color w:val="auto"/>
        </w:rPr>
        <w:t>注:</w:t>
      </w:r>
      <w:r>
        <w:rPr>
          <w:rFonts w:hint="eastAsia" w:cs="宋体"/>
          <w:b/>
          <w:color w:val="auto"/>
        </w:rPr>
        <w:t>1、附授权委托人身份证扫描件；</w:t>
      </w:r>
    </w:p>
    <w:p w14:paraId="54206B49">
      <w:pPr>
        <w:ind w:right="420" w:firstLine="422"/>
        <w:rPr>
          <w:rFonts w:hint="eastAsia" w:cs="宋体"/>
          <w:b/>
          <w:color w:val="auto"/>
        </w:rPr>
      </w:pPr>
      <w:r>
        <w:rPr>
          <w:rFonts w:hint="eastAsia" w:cs="宋体"/>
          <w:b/>
          <w:color w:val="auto"/>
        </w:rPr>
        <w:t>2、如投标人由法定代表人亲自签署投标文件并参与相关活动，则不需要办理授权。如由被授权的代理人签署上述文件并参与相关活动，则必须按本格式规定填报并提交授权书，否则被授权的代理人将不被认可。</w:t>
      </w:r>
    </w:p>
    <w:p w14:paraId="07FA1DF4">
      <w:pPr>
        <w:spacing w:line="240" w:lineRule="auto"/>
        <w:ind w:firstLine="0" w:firstLineChars="0"/>
        <w:jc w:val="center"/>
        <w:outlineLvl w:val="2"/>
        <w:rPr>
          <w:rFonts w:hint="eastAsia" w:cs="宋体"/>
          <w:color w:val="auto"/>
          <w:u w:val="single"/>
        </w:rPr>
      </w:pPr>
      <w:r>
        <w:rPr>
          <w:rFonts w:hint="eastAsia" w:cs="宋体"/>
          <w:color w:val="auto"/>
        </w:rPr>
        <w:br w:type="page"/>
      </w:r>
      <w:bookmarkStart w:id="796" w:name="_Toc5213"/>
      <w:r>
        <w:rPr>
          <w:rFonts w:hint="eastAsia" w:cs="宋体"/>
          <w:color w:val="auto"/>
          <w:sz w:val="30"/>
          <w:szCs w:val="30"/>
        </w:rPr>
        <w:t>（三）开标一览表</w:t>
      </w:r>
      <w:bookmarkEnd w:id="796"/>
    </w:p>
    <w:tbl>
      <w:tblPr>
        <w:tblStyle w:val="30"/>
        <w:tblW w:w="974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3345"/>
        <w:gridCol w:w="4176"/>
        <w:gridCol w:w="2226"/>
      </w:tblGrid>
      <w:tr w14:paraId="06295B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94" w:hRule="atLeast"/>
        </w:trPr>
        <w:tc>
          <w:tcPr>
            <w:tcW w:w="3345" w:type="dxa"/>
            <w:vAlign w:val="center"/>
          </w:tcPr>
          <w:p w14:paraId="215BC09B">
            <w:pPr>
              <w:spacing w:line="240" w:lineRule="auto"/>
              <w:ind w:firstLine="0" w:firstLineChars="0"/>
              <w:jc w:val="center"/>
              <w:rPr>
                <w:rFonts w:hint="eastAsia" w:eastAsia="方正仿宋_GBK" w:cs="宋体"/>
                <w:b/>
                <w:bCs/>
                <w:color w:val="auto"/>
              </w:rPr>
            </w:pPr>
            <w:r>
              <w:rPr>
                <w:rFonts w:hint="eastAsia" w:ascii="方正仿宋_GBK" w:hAnsi="方正仿宋_GBK" w:eastAsia="方正仿宋_GBK" w:cs="方正仿宋_GBK"/>
                <w:b/>
                <w:bCs/>
                <w:color w:val="auto"/>
                <w:kern w:val="0"/>
              </w:rPr>
              <w:t>报价内容</w:t>
            </w:r>
          </w:p>
        </w:tc>
        <w:tc>
          <w:tcPr>
            <w:tcW w:w="4176" w:type="dxa"/>
            <w:vAlign w:val="center"/>
          </w:tcPr>
          <w:p w14:paraId="57F8BF2B">
            <w:pPr>
              <w:spacing w:line="240" w:lineRule="auto"/>
              <w:ind w:firstLine="0" w:firstLineChars="0"/>
              <w:jc w:val="center"/>
              <w:rPr>
                <w:rFonts w:hint="eastAsia" w:ascii="方正仿宋_GBK" w:hAnsi="方正仿宋_GBK" w:eastAsia="方正仿宋_GBK" w:cs="方正仿宋_GBK"/>
                <w:b/>
                <w:bCs/>
                <w:color w:val="auto"/>
                <w:kern w:val="0"/>
              </w:rPr>
            </w:pPr>
            <w:r>
              <w:rPr>
                <w:rFonts w:hint="eastAsia" w:ascii="方正仿宋_GBK" w:hAnsi="方正仿宋_GBK" w:eastAsia="方正仿宋_GBK" w:cs="方正仿宋_GBK"/>
                <w:b/>
                <w:bCs/>
                <w:color w:val="auto"/>
                <w:kern w:val="0"/>
              </w:rPr>
              <w:t>投标报价</w:t>
            </w:r>
          </w:p>
        </w:tc>
        <w:tc>
          <w:tcPr>
            <w:tcW w:w="2226" w:type="dxa"/>
            <w:vAlign w:val="center"/>
          </w:tcPr>
          <w:p w14:paraId="7CCAABAF">
            <w:pPr>
              <w:spacing w:line="240" w:lineRule="auto"/>
              <w:ind w:firstLine="0" w:firstLineChars="0"/>
              <w:jc w:val="center"/>
              <w:rPr>
                <w:rFonts w:hint="eastAsia" w:ascii="方正仿宋_GBK" w:hAnsi="方正仿宋_GBK" w:eastAsia="方正仿宋_GBK" w:cs="方正仿宋_GBK"/>
                <w:b/>
                <w:bCs/>
                <w:color w:val="auto"/>
                <w:kern w:val="0"/>
              </w:rPr>
            </w:pPr>
            <w:r>
              <w:rPr>
                <w:rFonts w:hint="eastAsia" w:ascii="方正仿宋_GBK" w:hAnsi="方正仿宋_GBK" w:eastAsia="方正仿宋_GBK" w:cs="方正仿宋_GBK"/>
                <w:b/>
                <w:bCs/>
                <w:color w:val="auto"/>
                <w:kern w:val="0"/>
              </w:rPr>
              <w:t>备注</w:t>
            </w:r>
          </w:p>
        </w:tc>
      </w:tr>
      <w:tr w14:paraId="53D6C4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66" w:hRule="atLeast"/>
        </w:trPr>
        <w:tc>
          <w:tcPr>
            <w:tcW w:w="3345" w:type="dxa"/>
            <w:vAlign w:val="center"/>
          </w:tcPr>
          <w:p w14:paraId="7BA157A4">
            <w:pPr>
              <w:spacing w:line="240" w:lineRule="auto"/>
              <w:ind w:firstLine="0" w:firstLineChars="0"/>
              <w:jc w:val="center"/>
              <w:rPr>
                <w:rFonts w:hint="eastAsia" w:ascii="方正仿宋_GBK" w:hAnsi="方正仿宋_GBK" w:eastAsia="方正仿宋_GBK" w:cs="方正仿宋_GBK"/>
                <w:b/>
                <w:bCs/>
                <w:color w:val="auto"/>
                <w:kern w:val="0"/>
              </w:rPr>
            </w:pPr>
            <w:r>
              <w:rPr>
                <w:rFonts w:hint="eastAsia" w:ascii="方正仿宋_GBK" w:hAnsi="方正仿宋_GBK" w:eastAsia="方正仿宋_GBK" w:cs="方正仿宋_GBK"/>
                <w:b/>
                <w:bCs/>
                <w:color w:val="auto"/>
                <w:kern w:val="0"/>
                <w:lang w:val="en-US" w:eastAsia="zh-CN"/>
              </w:rPr>
              <w:t>单价汇总</w:t>
            </w:r>
            <w:r>
              <w:rPr>
                <w:rFonts w:hint="eastAsia" w:ascii="方正仿宋_GBK" w:hAnsi="方正仿宋_GBK" w:eastAsia="方正仿宋_GBK" w:cs="方正仿宋_GBK"/>
                <w:b/>
                <w:bCs/>
                <w:color w:val="auto"/>
                <w:kern w:val="0"/>
              </w:rPr>
              <w:t>报价</w:t>
            </w:r>
          </w:p>
        </w:tc>
        <w:tc>
          <w:tcPr>
            <w:tcW w:w="4176" w:type="dxa"/>
            <w:vAlign w:val="center"/>
          </w:tcPr>
          <w:p w14:paraId="77AC1C45">
            <w:pPr>
              <w:spacing w:line="240" w:lineRule="auto"/>
              <w:ind w:firstLine="1261" w:firstLineChars="600"/>
              <w:rPr>
                <w:rFonts w:hint="default" w:ascii="方正仿宋_GBK" w:hAnsi="方正仿宋_GBK" w:eastAsia="方正仿宋_GBK" w:cs="方正仿宋_GBK"/>
                <w:b/>
                <w:bCs/>
                <w:color w:val="auto"/>
                <w:kern w:val="0"/>
                <w:lang w:val="en-US" w:eastAsia="zh-CN"/>
              </w:rPr>
            </w:pPr>
            <w:r>
              <w:rPr>
                <w:rFonts w:hint="eastAsia" w:ascii="方正仿宋_GBK" w:hAnsi="方正仿宋_GBK" w:eastAsia="方正仿宋_GBK" w:cs="方正仿宋_GBK"/>
                <w:b/>
                <w:bCs/>
                <w:color w:val="auto"/>
                <w:kern w:val="0"/>
                <w:u w:val="single"/>
                <w:lang w:val="en-US" w:eastAsia="zh-CN"/>
              </w:rPr>
              <w:t xml:space="preserve">       </w:t>
            </w:r>
            <w:r>
              <w:rPr>
                <w:rFonts w:hint="eastAsia" w:ascii="方正仿宋_GBK" w:hAnsi="方正仿宋_GBK" w:eastAsia="方正仿宋_GBK" w:cs="方正仿宋_GBK"/>
                <w:b w:val="0"/>
                <w:bCs w:val="0"/>
                <w:color w:val="auto"/>
                <w:kern w:val="0"/>
                <w:u w:val="none"/>
                <w:lang w:val="en-US" w:eastAsia="zh-CN"/>
              </w:rPr>
              <w:t>元</w:t>
            </w:r>
          </w:p>
        </w:tc>
        <w:tc>
          <w:tcPr>
            <w:tcW w:w="2226" w:type="dxa"/>
            <w:vAlign w:val="center"/>
          </w:tcPr>
          <w:p w14:paraId="20C58046">
            <w:pPr>
              <w:spacing w:line="240" w:lineRule="auto"/>
              <w:ind w:firstLine="0" w:firstLineChars="0"/>
              <w:jc w:val="center"/>
              <w:rPr>
                <w:rFonts w:hint="default" w:ascii="方正仿宋_GBK" w:hAnsi="方正仿宋_GBK" w:eastAsia="方正仿宋_GBK" w:cs="方正仿宋_GBK"/>
                <w:b/>
                <w:bCs/>
                <w:color w:val="auto"/>
                <w:kern w:val="0"/>
                <w:lang w:val="en-US" w:eastAsia="zh-CN"/>
              </w:rPr>
            </w:pPr>
            <w:r>
              <w:rPr>
                <w:rFonts w:hint="eastAsia" w:ascii="方正仿宋_GBK" w:hAnsi="方正仿宋_GBK" w:eastAsia="方正仿宋_GBK" w:cs="方正仿宋_GBK"/>
                <w:b w:val="0"/>
                <w:bCs w:val="0"/>
                <w:color w:val="auto"/>
                <w:kern w:val="0"/>
                <w:lang w:val="en-US" w:eastAsia="zh-CN"/>
              </w:rPr>
              <w:t>报价包括食用油、干货、调味料</w:t>
            </w:r>
          </w:p>
        </w:tc>
      </w:tr>
      <w:tr w14:paraId="322E27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41" w:hRule="atLeast"/>
        </w:trPr>
        <w:tc>
          <w:tcPr>
            <w:tcW w:w="3345" w:type="dxa"/>
            <w:vAlign w:val="center"/>
          </w:tcPr>
          <w:p w14:paraId="040C909B">
            <w:pPr>
              <w:widowControl/>
              <w:spacing w:line="480" w:lineRule="exact"/>
              <w:ind w:firstLine="0" w:firstLineChars="0"/>
              <w:jc w:val="center"/>
              <w:rPr>
                <w:rFonts w:hint="eastAsia" w:cs="宋体"/>
                <w:color w:val="auto"/>
                <w:kern w:val="0"/>
              </w:rPr>
            </w:pPr>
            <w:r>
              <w:rPr>
                <w:rFonts w:hint="eastAsia" w:cs="宋体"/>
                <w:color w:val="auto"/>
                <w:kern w:val="0"/>
              </w:rPr>
              <w:t>合同履行期限</w:t>
            </w:r>
          </w:p>
        </w:tc>
        <w:tc>
          <w:tcPr>
            <w:tcW w:w="6402" w:type="dxa"/>
            <w:gridSpan w:val="2"/>
            <w:vAlign w:val="center"/>
          </w:tcPr>
          <w:p w14:paraId="7114487F">
            <w:pPr>
              <w:spacing w:line="240" w:lineRule="auto"/>
              <w:ind w:firstLine="0" w:firstLineChars="0"/>
              <w:jc w:val="center"/>
              <w:rPr>
                <w:rFonts w:hint="eastAsia" w:cs="宋体"/>
                <w:color w:val="auto"/>
              </w:rPr>
            </w:pPr>
          </w:p>
        </w:tc>
      </w:tr>
      <w:tr w14:paraId="2E7556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41" w:hRule="atLeast"/>
        </w:trPr>
        <w:tc>
          <w:tcPr>
            <w:tcW w:w="3345" w:type="dxa"/>
            <w:vAlign w:val="center"/>
          </w:tcPr>
          <w:p w14:paraId="2FA29B22">
            <w:pPr>
              <w:widowControl/>
              <w:spacing w:line="480" w:lineRule="exact"/>
              <w:ind w:firstLine="0" w:firstLineChars="0"/>
              <w:jc w:val="center"/>
              <w:rPr>
                <w:rFonts w:hint="eastAsia" w:cs="宋体"/>
                <w:color w:val="auto"/>
                <w:kern w:val="0"/>
              </w:rPr>
            </w:pPr>
            <w:r>
              <w:rPr>
                <w:rFonts w:hint="eastAsia" w:cs="宋体"/>
                <w:color w:val="auto"/>
                <w:kern w:val="0"/>
              </w:rPr>
              <w:t>说明</w:t>
            </w:r>
          </w:p>
        </w:tc>
        <w:tc>
          <w:tcPr>
            <w:tcW w:w="6402" w:type="dxa"/>
            <w:gridSpan w:val="2"/>
            <w:vAlign w:val="center"/>
          </w:tcPr>
          <w:p w14:paraId="0C262565">
            <w:pPr>
              <w:spacing w:line="240" w:lineRule="auto"/>
              <w:ind w:firstLine="0" w:firstLineChars="0"/>
              <w:jc w:val="center"/>
              <w:rPr>
                <w:rFonts w:hint="eastAsia" w:cs="宋体"/>
                <w:color w:val="auto"/>
              </w:rPr>
            </w:pPr>
          </w:p>
        </w:tc>
      </w:tr>
      <w:tr w14:paraId="238315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41" w:hRule="atLeast"/>
        </w:trPr>
        <w:tc>
          <w:tcPr>
            <w:tcW w:w="9747" w:type="dxa"/>
            <w:gridSpan w:val="3"/>
            <w:vAlign w:val="center"/>
          </w:tcPr>
          <w:p w14:paraId="668273E9">
            <w:pPr>
              <w:spacing w:line="240" w:lineRule="auto"/>
              <w:ind w:firstLine="0" w:firstLineChars="0"/>
              <w:rPr>
                <w:rFonts w:hint="eastAsia" w:cs="宋体"/>
                <w:color w:val="auto"/>
              </w:rPr>
            </w:pPr>
          </w:p>
          <w:p w14:paraId="35A58E55">
            <w:pPr>
              <w:spacing w:line="240" w:lineRule="auto"/>
              <w:ind w:firstLine="0" w:firstLineChars="0"/>
              <w:rPr>
                <w:rFonts w:hint="eastAsia" w:cs="宋体"/>
                <w:b/>
                <w:bCs/>
                <w:color w:val="auto"/>
              </w:rPr>
            </w:pPr>
            <w:bookmarkStart w:id="797" w:name="_Hlk502312044"/>
            <w:r>
              <w:rPr>
                <w:rFonts w:hint="eastAsia" w:cs="宋体"/>
                <w:b/>
                <w:bCs/>
                <w:color w:val="auto"/>
              </w:rPr>
              <w:t>投标人名称 (电子签章)：</w:t>
            </w:r>
            <w:r>
              <w:rPr>
                <w:rFonts w:hint="eastAsia" w:cs="宋体"/>
                <w:b/>
                <w:bCs/>
                <w:color w:val="auto"/>
                <w:u w:val="single"/>
              </w:rPr>
              <w:t>　　　　　　　  　　</w:t>
            </w:r>
          </w:p>
          <w:p w14:paraId="2B5220CE">
            <w:pPr>
              <w:spacing w:line="240" w:lineRule="auto"/>
              <w:ind w:firstLine="0" w:firstLineChars="0"/>
              <w:rPr>
                <w:rFonts w:hint="eastAsia" w:cs="宋体"/>
                <w:b/>
                <w:bCs/>
                <w:color w:val="auto"/>
              </w:rPr>
            </w:pPr>
          </w:p>
          <w:p w14:paraId="08C15515">
            <w:pPr>
              <w:spacing w:line="240" w:lineRule="auto"/>
              <w:ind w:firstLine="0" w:firstLineChars="0"/>
              <w:rPr>
                <w:rFonts w:hint="eastAsia" w:cs="宋体"/>
                <w:b/>
                <w:bCs/>
                <w:color w:val="auto"/>
              </w:rPr>
            </w:pPr>
            <w:r>
              <w:rPr>
                <w:rFonts w:hint="eastAsia" w:cs="宋体"/>
                <w:b/>
                <w:bCs/>
                <w:color w:val="auto"/>
              </w:rPr>
              <w:t>法定代表人或其委托代理人（电子签名或签章）：</w:t>
            </w:r>
            <w:r>
              <w:rPr>
                <w:rFonts w:hint="eastAsia" w:cs="宋体"/>
                <w:b/>
                <w:bCs/>
                <w:color w:val="auto"/>
                <w:u w:val="single"/>
              </w:rPr>
              <w:t>　　　　　　　</w:t>
            </w:r>
          </w:p>
          <w:p w14:paraId="7BE9BCB9">
            <w:pPr>
              <w:spacing w:line="240" w:lineRule="auto"/>
              <w:ind w:firstLine="0" w:firstLineChars="0"/>
              <w:rPr>
                <w:rFonts w:hint="eastAsia" w:cs="宋体"/>
                <w:b/>
                <w:bCs/>
                <w:color w:val="auto"/>
              </w:rPr>
            </w:pPr>
          </w:p>
          <w:p w14:paraId="50FA0AF4">
            <w:pPr>
              <w:spacing w:line="240" w:lineRule="auto"/>
              <w:ind w:firstLine="0" w:firstLineChars="0"/>
              <w:rPr>
                <w:rFonts w:hint="eastAsia" w:cs="宋体"/>
                <w:color w:val="auto"/>
              </w:rPr>
            </w:pPr>
            <w:r>
              <w:rPr>
                <w:rFonts w:hint="eastAsia" w:cs="宋体"/>
                <w:b/>
                <w:bCs/>
                <w:color w:val="auto"/>
              </w:rPr>
              <w:t>日期：</w:t>
            </w:r>
            <w:r>
              <w:rPr>
                <w:rFonts w:hint="eastAsia" w:cs="宋体"/>
                <w:b/>
                <w:bCs/>
                <w:color w:val="auto"/>
                <w:u w:val="single"/>
              </w:rPr>
              <w:t>　　　</w:t>
            </w:r>
            <w:r>
              <w:rPr>
                <w:rFonts w:hint="eastAsia" w:cs="宋体"/>
                <w:b/>
                <w:bCs/>
                <w:color w:val="auto"/>
              </w:rPr>
              <w:t>年</w:t>
            </w:r>
            <w:r>
              <w:rPr>
                <w:rFonts w:hint="eastAsia" w:cs="宋体"/>
                <w:b/>
                <w:bCs/>
                <w:color w:val="auto"/>
                <w:u w:val="single"/>
              </w:rPr>
              <w:t>　　</w:t>
            </w:r>
            <w:r>
              <w:rPr>
                <w:rFonts w:hint="eastAsia" w:cs="宋体"/>
                <w:b/>
                <w:bCs/>
                <w:color w:val="auto"/>
              </w:rPr>
              <w:t>月</w:t>
            </w:r>
            <w:r>
              <w:rPr>
                <w:rFonts w:hint="eastAsia" w:cs="宋体"/>
                <w:b/>
                <w:bCs/>
                <w:color w:val="auto"/>
                <w:u w:val="single"/>
              </w:rPr>
              <w:t>　　</w:t>
            </w:r>
            <w:r>
              <w:rPr>
                <w:rFonts w:hint="eastAsia" w:cs="宋体"/>
                <w:b/>
                <w:bCs/>
                <w:color w:val="auto"/>
              </w:rPr>
              <w:t>日</w:t>
            </w:r>
            <w:bookmarkEnd w:id="797"/>
          </w:p>
        </w:tc>
      </w:tr>
    </w:tbl>
    <w:p w14:paraId="76D5CD18">
      <w:pPr>
        <w:ind w:firstLine="0" w:firstLineChars="0"/>
        <w:rPr>
          <w:rFonts w:hint="eastAsia" w:cs="宋体"/>
          <w:color w:val="auto"/>
        </w:rPr>
      </w:pPr>
      <w:r>
        <w:rPr>
          <w:rFonts w:hint="eastAsia" w:cs="宋体"/>
          <w:b/>
          <w:color w:val="auto"/>
        </w:rPr>
        <w:t>注：</w:t>
      </w:r>
      <w:r>
        <w:rPr>
          <w:rFonts w:hint="eastAsia" w:cs="宋体"/>
          <w:color w:val="auto"/>
        </w:rPr>
        <w:t>此表中“</w:t>
      </w:r>
      <w:r>
        <w:rPr>
          <w:rFonts w:hint="eastAsia" w:cs="宋体"/>
          <w:b/>
          <w:bCs/>
          <w:color w:val="auto"/>
        </w:rPr>
        <w:t>投标报价</w:t>
      </w:r>
      <w:r>
        <w:rPr>
          <w:rFonts w:hint="eastAsia" w:cs="宋体"/>
          <w:color w:val="auto"/>
        </w:rPr>
        <w:t>”应与</w:t>
      </w:r>
      <w:r>
        <w:rPr>
          <w:rFonts w:hint="eastAsia" w:cs="宋体"/>
          <w:b/>
          <w:color w:val="auto"/>
        </w:rPr>
        <w:t>“投标函”</w:t>
      </w:r>
      <w:r>
        <w:rPr>
          <w:rFonts w:hint="eastAsia" w:cs="宋体"/>
          <w:color w:val="auto"/>
        </w:rPr>
        <w:t xml:space="preserve">”中 </w:t>
      </w:r>
      <w:r>
        <w:rPr>
          <w:rFonts w:hint="eastAsia" w:cs="宋体"/>
          <w:b/>
          <w:color w:val="auto"/>
        </w:rPr>
        <w:t>“投标报价”</w:t>
      </w:r>
      <w:r>
        <w:rPr>
          <w:rFonts w:hint="eastAsia" w:cs="宋体"/>
          <w:color w:val="auto"/>
        </w:rPr>
        <w:t>一致。</w:t>
      </w:r>
    </w:p>
    <w:p w14:paraId="7AC0B4AB">
      <w:pPr>
        <w:spacing w:line="240" w:lineRule="auto"/>
        <w:ind w:firstLine="0" w:firstLineChars="0"/>
        <w:rPr>
          <w:rFonts w:hint="eastAsia" w:cs="宋体"/>
          <w:color w:val="auto"/>
          <w:szCs w:val="24"/>
        </w:rPr>
        <w:sectPr>
          <w:pgSz w:w="11900" w:h="16838"/>
          <w:pgMar w:top="1417" w:right="1417" w:bottom="1417" w:left="1417" w:header="850" w:footer="850" w:gutter="0"/>
          <w:cols w:space="0" w:num="1"/>
          <w:titlePg/>
          <w:docGrid w:linePitch="331" w:charSpace="0"/>
        </w:sectPr>
      </w:pPr>
    </w:p>
    <w:p w14:paraId="397759C7">
      <w:pPr>
        <w:pStyle w:val="23"/>
        <w:jc w:val="center"/>
        <w:rPr>
          <w:rFonts w:hint="default" w:ascii="仿宋" w:hAnsi="仿宋" w:eastAsia="仿宋" w:cs="仿宋"/>
          <w:b/>
          <w:bCs/>
          <w:color w:val="auto"/>
          <w:sz w:val="32"/>
          <w:szCs w:val="32"/>
          <w:u w:val="none"/>
          <w:lang w:val="en-US" w:eastAsia="zh-CN"/>
        </w:rPr>
      </w:pPr>
      <w:r>
        <w:rPr>
          <w:rFonts w:hint="eastAsia" w:ascii="仿宋" w:hAnsi="仿宋" w:eastAsia="仿宋" w:cs="仿宋"/>
          <w:b/>
          <w:bCs/>
          <w:color w:val="auto"/>
          <w:sz w:val="32"/>
          <w:szCs w:val="32"/>
          <w:u w:val="none"/>
          <w:lang w:val="en-US" w:eastAsia="zh-CN"/>
        </w:rPr>
        <w:t>食用油、干货调味料采购</w:t>
      </w:r>
      <w:r>
        <w:rPr>
          <w:rFonts w:hint="eastAsia" w:ascii="仿宋" w:hAnsi="仿宋" w:eastAsia="仿宋" w:cs="仿宋"/>
          <w:b/>
          <w:bCs/>
          <w:color w:val="auto"/>
          <w:sz w:val="32"/>
          <w:szCs w:val="32"/>
          <w:u w:val="none"/>
        </w:rPr>
        <w:t>清单</w:t>
      </w:r>
      <w:r>
        <w:rPr>
          <w:rFonts w:hint="eastAsia" w:ascii="仿宋" w:hAnsi="仿宋" w:eastAsia="仿宋" w:cs="仿宋"/>
          <w:b/>
          <w:bCs/>
          <w:color w:val="auto"/>
          <w:sz w:val="32"/>
          <w:szCs w:val="32"/>
          <w:u w:val="none"/>
          <w:lang w:val="en-US" w:eastAsia="zh-CN"/>
        </w:rPr>
        <w:t>报价明细表</w:t>
      </w:r>
    </w:p>
    <w:tbl>
      <w:tblPr>
        <w:tblStyle w:val="30"/>
        <w:tblW w:w="43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858"/>
        <w:gridCol w:w="1400"/>
        <w:gridCol w:w="1968"/>
        <w:gridCol w:w="935"/>
        <w:gridCol w:w="2960"/>
        <w:gridCol w:w="1340"/>
        <w:gridCol w:w="1803"/>
        <w:gridCol w:w="1098"/>
      </w:tblGrid>
      <w:tr w14:paraId="1367E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1339" w:hRule="atLeast"/>
          <w:jc w:val="center"/>
        </w:trPr>
        <w:tc>
          <w:tcPr>
            <w:tcW w:w="347" w:type="pct"/>
            <w:noWrap w:val="0"/>
            <w:vAlign w:val="center"/>
          </w:tcPr>
          <w:p w14:paraId="265D97C4">
            <w:pPr>
              <w:widowControl/>
              <w:spacing w:before="240" w:after="240"/>
              <w:ind w:left="0" w:leftChars="0" w:firstLine="0" w:firstLineChars="0"/>
              <w:jc w:val="center"/>
              <w:rPr>
                <w:rFonts w:ascii="宋体" w:hAnsi="宋体"/>
                <w:color w:val="auto"/>
                <w:szCs w:val="21"/>
              </w:rPr>
            </w:pPr>
            <w:r>
              <w:rPr>
                <w:rFonts w:ascii="宋体" w:hAnsi="宋体"/>
                <w:color w:val="auto"/>
                <w:szCs w:val="21"/>
              </w:rPr>
              <w:t>序号</w:t>
            </w:r>
          </w:p>
        </w:tc>
        <w:tc>
          <w:tcPr>
            <w:tcW w:w="566" w:type="pct"/>
            <w:noWrap w:val="0"/>
            <w:vAlign w:val="center"/>
          </w:tcPr>
          <w:p w14:paraId="205B79CE">
            <w:pPr>
              <w:widowControl/>
              <w:spacing w:before="240" w:after="240"/>
              <w:ind w:left="0" w:leftChars="0" w:firstLine="0" w:firstLineChars="0"/>
              <w:jc w:val="center"/>
              <w:rPr>
                <w:rFonts w:ascii="宋体" w:hAnsi="宋体"/>
                <w:color w:val="auto"/>
                <w:szCs w:val="21"/>
              </w:rPr>
            </w:pPr>
            <w:r>
              <w:rPr>
                <w:rFonts w:hint="eastAsia" w:ascii="宋体" w:hAnsi="宋体"/>
                <w:color w:val="auto"/>
                <w:szCs w:val="21"/>
                <w:lang w:val="en-US" w:eastAsia="zh-CN"/>
              </w:rPr>
              <w:t>商品</w:t>
            </w:r>
            <w:r>
              <w:rPr>
                <w:rFonts w:ascii="宋体" w:hAnsi="宋体"/>
                <w:color w:val="auto"/>
                <w:szCs w:val="21"/>
              </w:rPr>
              <w:t>名称</w:t>
            </w:r>
          </w:p>
        </w:tc>
        <w:tc>
          <w:tcPr>
            <w:tcW w:w="796" w:type="pct"/>
            <w:noWrap w:val="0"/>
            <w:vAlign w:val="center"/>
          </w:tcPr>
          <w:p w14:paraId="419B3F92">
            <w:pPr>
              <w:widowControl/>
              <w:spacing w:before="240" w:after="240"/>
              <w:ind w:left="0" w:leftChars="0" w:firstLine="0" w:firstLineChars="0"/>
              <w:jc w:val="center"/>
              <w:rPr>
                <w:rFonts w:ascii="宋体" w:hAnsi="宋体"/>
                <w:color w:val="auto"/>
                <w:szCs w:val="21"/>
              </w:rPr>
            </w:pPr>
            <w:r>
              <w:rPr>
                <w:rFonts w:ascii="宋体" w:hAnsi="宋体"/>
                <w:color w:val="auto"/>
                <w:szCs w:val="21"/>
              </w:rPr>
              <w:t>制造商名称</w:t>
            </w:r>
            <w:r>
              <w:rPr>
                <w:rFonts w:hint="eastAsia" w:ascii="宋体" w:hAnsi="宋体"/>
                <w:color w:val="auto"/>
                <w:szCs w:val="21"/>
              </w:rPr>
              <w:t>、</w:t>
            </w:r>
            <w:r>
              <w:rPr>
                <w:rFonts w:ascii="宋体" w:hAnsi="宋体"/>
                <w:color w:val="auto"/>
                <w:szCs w:val="21"/>
              </w:rPr>
              <w:t>国别</w:t>
            </w:r>
          </w:p>
        </w:tc>
        <w:tc>
          <w:tcPr>
            <w:tcW w:w="378" w:type="pct"/>
            <w:noWrap w:val="0"/>
            <w:vAlign w:val="center"/>
          </w:tcPr>
          <w:p w14:paraId="563ABB93">
            <w:pPr>
              <w:widowControl/>
              <w:spacing w:before="240" w:after="240"/>
              <w:ind w:left="0" w:leftChars="0" w:firstLine="0" w:firstLineChars="0"/>
              <w:jc w:val="center"/>
              <w:rPr>
                <w:rFonts w:ascii="宋体" w:hAnsi="宋体"/>
                <w:color w:val="auto"/>
                <w:szCs w:val="21"/>
              </w:rPr>
            </w:pPr>
            <w:r>
              <w:rPr>
                <w:rFonts w:hint="eastAsia" w:ascii="宋体" w:hAnsi="宋体"/>
                <w:color w:val="auto"/>
                <w:szCs w:val="21"/>
              </w:rPr>
              <w:t>品牌</w:t>
            </w:r>
          </w:p>
        </w:tc>
        <w:tc>
          <w:tcPr>
            <w:tcW w:w="1197" w:type="pct"/>
            <w:noWrap w:val="0"/>
            <w:vAlign w:val="center"/>
          </w:tcPr>
          <w:p w14:paraId="5E80FBB3">
            <w:pPr>
              <w:widowControl/>
              <w:spacing w:before="240" w:after="240"/>
              <w:jc w:val="center"/>
              <w:rPr>
                <w:rFonts w:hint="eastAsia" w:ascii="宋体" w:hAnsi="宋体"/>
                <w:color w:val="auto"/>
                <w:szCs w:val="21"/>
              </w:rPr>
            </w:pPr>
            <w:r>
              <w:rPr>
                <w:rFonts w:hint="eastAsia" w:ascii="宋体" w:hAnsi="宋体"/>
                <w:color w:val="auto"/>
                <w:szCs w:val="21"/>
              </w:rPr>
              <w:t>规格、参数</w:t>
            </w:r>
          </w:p>
        </w:tc>
        <w:tc>
          <w:tcPr>
            <w:tcW w:w="540" w:type="pct"/>
            <w:noWrap w:val="0"/>
            <w:vAlign w:val="center"/>
          </w:tcPr>
          <w:p w14:paraId="51963422">
            <w:pPr>
              <w:jc w:val="both"/>
              <w:rPr>
                <w:rFonts w:ascii="宋体" w:hAnsi="宋体"/>
                <w:color w:val="auto"/>
                <w:szCs w:val="21"/>
              </w:rPr>
            </w:pPr>
            <w:r>
              <w:rPr>
                <w:rFonts w:hint="eastAsia" w:ascii="宋体" w:hAnsi="宋体"/>
                <w:color w:val="auto"/>
                <w:szCs w:val="21"/>
              </w:rPr>
              <w:t>单位</w:t>
            </w:r>
          </w:p>
        </w:tc>
        <w:tc>
          <w:tcPr>
            <w:tcW w:w="729" w:type="pct"/>
            <w:noWrap w:val="0"/>
            <w:vAlign w:val="center"/>
          </w:tcPr>
          <w:p w14:paraId="75530723">
            <w:pPr>
              <w:jc w:val="center"/>
              <w:rPr>
                <w:rFonts w:ascii="宋体" w:hAnsi="宋体"/>
                <w:color w:val="auto"/>
                <w:szCs w:val="21"/>
              </w:rPr>
            </w:pPr>
            <w:r>
              <w:rPr>
                <w:rFonts w:hint="eastAsia" w:ascii="宋体" w:hAnsi="宋体"/>
                <w:color w:val="auto"/>
                <w:szCs w:val="21"/>
                <w:lang w:val="en-US" w:eastAsia="zh-CN"/>
              </w:rPr>
              <w:t>单价</w:t>
            </w:r>
            <w:r>
              <w:rPr>
                <w:rFonts w:hint="eastAsia" w:ascii="宋体" w:hAnsi="宋体"/>
                <w:color w:val="auto"/>
                <w:szCs w:val="21"/>
              </w:rPr>
              <w:t>（元）</w:t>
            </w:r>
          </w:p>
        </w:tc>
        <w:tc>
          <w:tcPr>
            <w:tcW w:w="444" w:type="pct"/>
            <w:noWrap w:val="0"/>
            <w:vAlign w:val="center"/>
          </w:tcPr>
          <w:p w14:paraId="36E8A31B">
            <w:pPr>
              <w:widowControl/>
              <w:spacing w:before="240" w:after="240"/>
              <w:jc w:val="center"/>
              <w:rPr>
                <w:rFonts w:ascii="宋体" w:hAnsi="宋体"/>
                <w:color w:val="auto"/>
                <w:szCs w:val="21"/>
              </w:rPr>
            </w:pPr>
            <w:r>
              <w:rPr>
                <w:rFonts w:ascii="宋体" w:hAnsi="宋体"/>
                <w:color w:val="auto"/>
                <w:szCs w:val="21"/>
              </w:rPr>
              <w:t>备注</w:t>
            </w:r>
          </w:p>
        </w:tc>
      </w:tr>
      <w:tr w14:paraId="5520E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4" w:hRule="atLeast"/>
          <w:jc w:val="center"/>
        </w:trPr>
        <w:tc>
          <w:tcPr>
            <w:tcW w:w="347" w:type="pct"/>
            <w:noWrap w:val="0"/>
            <w:vAlign w:val="center"/>
          </w:tcPr>
          <w:p w14:paraId="680F28EE">
            <w:pPr>
              <w:widowControl/>
              <w:jc w:val="center"/>
              <w:rPr>
                <w:rFonts w:ascii="宋体" w:hAnsi="宋体"/>
                <w:color w:val="auto"/>
                <w:szCs w:val="21"/>
              </w:rPr>
            </w:pPr>
            <w:r>
              <w:rPr>
                <w:rFonts w:hint="eastAsia" w:ascii="宋体" w:hAnsi="宋体"/>
                <w:color w:val="auto"/>
                <w:szCs w:val="21"/>
              </w:rPr>
              <w:t>1</w:t>
            </w:r>
          </w:p>
        </w:tc>
        <w:tc>
          <w:tcPr>
            <w:tcW w:w="566" w:type="pct"/>
            <w:noWrap w:val="0"/>
            <w:vAlign w:val="top"/>
          </w:tcPr>
          <w:p w14:paraId="07B2A97A">
            <w:pPr>
              <w:widowControl/>
              <w:jc w:val="center"/>
              <w:rPr>
                <w:rFonts w:ascii="宋体" w:hAnsi="宋体"/>
                <w:color w:val="auto"/>
                <w:szCs w:val="21"/>
              </w:rPr>
            </w:pPr>
          </w:p>
        </w:tc>
        <w:tc>
          <w:tcPr>
            <w:tcW w:w="796" w:type="pct"/>
            <w:noWrap w:val="0"/>
            <w:vAlign w:val="top"/>
          </w:tcPr>
          <w:p w14:paraId="1936350A">
            <w:pPr>
              <w:widowControl/>
              <w:jc w:val="center"/>
              <w:rPr>
                <w:rFonts w:ascii="宋体" w:hAnsi="宋体"/>
                <w:color w:val="auto"/>
                <w:szCs w:val="21"/>
              </w:rPr>
            </w:pPr>
          </w:p>
        </w:tc>
        <w:tc>
          <w:tcPr>
            <w:tcW w:w="378" w:type="pct"/>
            <w:noWrap w:val="0"/>
            <w:vAlign w:val="top"/>
          </w:tcPr>
          <w:p w14:paraId="17C4EAF5">
            <w:pPr>
              <w:widowControl/>
              <w:jc w:val="center"/>
              <w:rPr>
                <w:rFonts w:ascii="宋体" w:hAnsi="宋体"/>
                <w:color w:val="auto"/>
                <w:szCs w:val="21"/>
              </w:rPr>
            </w:pPr>
          </w:p>
        </w:tc>
        <w:tc>
          <w:tcPr>
            <w:tcW w:w="1197" w:type="pct"/>
            <w:noWrap w:val="0"/>
            <w:vAlign w:val="top"/>
          </w:tcPr>
          <w:p w14:paraId="540AFA08">
            <w:pPr>
              <w:widowControl/>
              <w:jc w:val="center"/>
              <w:rPr>
                <w:rFonts w:ascii="宋体" w:hAnsi="宋体"/>
                <w:color w:val="auto"/>
                <w:szCs w:val="21"/>
              </w:rPr>
            </w:pPr>
          </w:p>
        </w:tc>
        <w:tc>
          <w:tcPr>
            <w:tcW w:w="540" w:type="pct"/>
            <w:noWrap w:val="0"/>
            <w:vAlign w:val="top"/>
          </w:tcPr>
          <w:p w14:paraId="18B9C1A5">
            <w:pPr>
              <w:widowControl/>
              <w:jc w:val="center"/>
              <w:rPr>
                <w:rFonts w:ascii="宋体" w:hAnsi="宋体"/>
                <w:color w:val="auto"/>
                <w:szCs w:val="21"/>
              </w:rPr>
            </w:pPr>
          </w:p>
        </w:tc>
        <w:tc>
          <w:tcPr>
            <w:tcW w:w="729" w:type="pct"/>
            <w:noWrap w:val="0"/>
            <w:vAlign w:val="top"/>
          </w:tcPr>
          <w:p w14:paraId="1B595DD5">
            <w:pPr>
              <w:widowControl/>
              <w:jc w:val="center"/>
              <w:rPr>
                <w:rFonts w:ascii="宋体" w:hAnsi="宋体"/>
                <w:color w:val="auto"/>
                <w:szCs w:val="21"/>
              </w:rPr>
            </w:pPr>
          </w:p>
        </w:tc>
        <w:tc>
          <w:tcPr>
            <w:tcW w:w="444" w:type="pct"/>
            <w:noWrap w:val="0"/>
            <w:vAlign w:val="top"/>
          </w:tcPr>
          <w:p w14:paraId="47F0BE6B">
            <w:pPr>
              <w:widowControl/>
              <w:jc w:val="center"/>
              <w:rPr>
                <w:rFonts w:ascii="宋体" w:hAnsi="宋体"/>
                <w:color w:val="auto"/>
                <w:szCs w:val="21"/>
              </w:rPr>
            </w:pPr>
          </w:p>
        </w:tc>
      </w:tr>
      <w:tr w14:paraId="25F29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4" w:hRule="atLeast"/>
          <w:jc w:val="center"/>
        </w:trPr>
        <w:tc>
          <w:tcPr>
            <w:tcW w:w="347" w:type="pct"/>
            <w:noWrap w:val="0"/>
            <w:vAlign w:val="center"/>
          </w:tcPr>
          <w:p w14:paraId="7A76B93A">
            <w:pPr>
              <w:widowControl/>
              <w:jc w:val="center"/>
              <w:rPr>
                <w:rFonts w:ascii="宋体" w:hAnsi="宋体"/>
                <w:color w:val="auto"/>
                <w:szCs w:val="21"/>
              </w:rPr>
            </w:pPr>
            <w:r>
              <w:rPr>
                <w:rFonts w:hint="eastAsia" w:ascii="宋体" w:hAnsi="宋体"/>
                <w:color w:val="auto"/>
                <w:szCs w:val="21"/>
              </w:rPr>
              <w:t>2</w:t>
            </w:r>
          </w:p>
        </w:tc>
        <w:tc>
          <w:tcPr>
            <w:tcW w:w="566" w:type="pct"/>
            <w:noWrap w:val="0"/>
            <w:vAlign w:val="top"/>
          </w:tcPr>
          <w:p w14:paraId="06AF0CB8">
            <w:pPr>
              <w:widowControl/>
              <w:jc w:val="center"/>
              <w:rPr>
                <w:rFonts w:ascii="宋体" w:hAnsi="宋体"/>
                <w:color w:val="auto"/>
                <w:szCs w:val="21"/>
              </w:rPr>
            </w:pPr>
          </w:p>
        </w:tc>
        <w:tc>
          <w:tcPr>
            <w:tcW w:w="796" w:type="pct"/>
            <w:noWrap w:val="0"/>
            <w:vAlign w:val="top"/>
          </w:tcPr>
          <w:p w14:paraId="2AD206B9">
            <w:pPr>
              <w:widowControl/>
              <w:jc w:val="center"/>
              <w:rPr>
                <w:rFonts w:ascii="宋体" w:hAnsi="宋体"/>
                <w:color w:val="auto"/>
                <w:szCs w:val="21"/>
              </w:rPr>
            </w:pPr>
          </w:p>
        </w:tc>
        <w:tc>
          <w:tcPr>
            <w:tcW w:w="378" w:type="pct"/>
            <w:noWrap w:val="0"/>
            <w:vAlign w:val="top"/>
          </w:tcPr>
          <w:p w14:paraId="744AC2E5">
            <w:pPr>
              <w:widowControl/>
              <w:jc w:val="center"/>
              <w:rPr>
                <w:rFonts w:ascii="宋体" w:hAnsi="宋体"/>
                <w:color w:val="auto"/>
                <w:szCs w:val="21"/>
              </w:rPr>
            </w:pPr>
          </w:p>
        </w:tc>
        <w:tc>
          <w:tcPr>
            <w:tcW w:w="1197" w:type="pct"/>
            <w:noWrap w:val="0"/>
            <w:vAlign w:val="top"/>
          </w:tcPr>
          <w:p w14:paraId="756B6861">
            <w:pPr>
              <w:widowControl/>
              <w:jc w:val="center"/>
              <w:rPr>
                <w:rFonts w:ascii="宋体" w:hAnsi="宋体"/>
                <w:color w:val="auto"/>
                <w:szCs w:val="21"/>
              </w:rPr>
            </w:pPr>
          </w:p>
        </w:tc>
        <w:tc>
          <w:tcPr>
            <w:tcW w:w="540" w:type="pct"/>
            <w:noWrap w:val="0"/>
            <w:vAlign w:val="top"/>
          </w:tcPr>
          <w:p w14:paraId="5635E272">
            <w:pPr>
              <w:widowControl/>
              <w:jc w:val="center"/>
              <w:rPr>
                <w:rFonts w:ascii="宋体" w:hAnsi="宋体"/>
                <w:color w:val="auto"/>
                <w:szCs w:val="21"/>
              </w:rPr>
            </w:pPr>
          </w:p>
        </w:tc>
        <w:tc>
          <w:tcPr>
            <w:tcW w:w="729" w:type="pct"/>
            <w:noWrap w:val="0"/>
            <w:vAlign w:val="top"/>
          </w:tcPr>
          <w:p w14:paraId="12A2B450">
            <w:pPr>
              <w:widowControl/>
              <w:jc w:val="center"/>
              <w:rPr>
                <w:rFonts w:ascii="宋体" w:hAnsi="宋体"/>
                <w:color w:val="auto"/>
                <w:szCs w:val="21"/>
              </w:rPr>
            </w:pPr>
          </w:p>
        </w:tc>
        <w:tc>
          <w:tcPr>
            <w:tcW w:w="444" w:type="pct"/>
            <w:noWrap w:val="0"/>
            <w:vAlign w:val="top"/>
          </w:tcPr>
          <w:p w14:paraId="454B3F21">
            <w:pPr>
              <w:widowControl/>
              <w:jc w:val="center"/>
              <w:rPr>
                <w:rFonts w:ascii="宋体" w:hAnsi="宋体"/>
                <w:color w:val="auto"/>
                <w:szCs w:val="21"/>
              </w:rPr>
            </w:pPr>
          </w:p>
        </w:tc>
      </w:tr>
      <w:tr w14:paraId="6BDBE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4" w:hRule="atLeast"/>
          <w:jc w:val="center"/>
        </w:trPr>
        <w:tc>
          <w:tcPr>
            <w:tcW w:w="347" w:type="pct"/>
            <w:noWrap w:val="0"/>
            <w:vAlign w:val="center"/>
          </w:tcPr>
          <w:p w14:paraId="4FC59831">
            <w:pPr>
              <w:widowControl/>
              <w:jc w:val="center"/>
              <w:rPr>
                <w:rFonts w:ascii="宋体" w:hAnsi="宋体"/>
                <w:color w:val="auto"/>
                <w:szCs w:val="21"/>
              </w:rPr>
            </w:pPr>
            <w:r>
              <w:rPr>
                <w:rFonts w:hint="eastAsia" w:ascii="宋体" w:hAnsi="宋体"/>
                <w:color w:val="auto"/>
                <w:szCs w:val="21"/>
              </w:rPr>
              <w:t>…</w:t>
            </w:r>
          </w:p>
        </w:tc>
        <w:tc>
          <w:tcPr>
            <w:tcW w:w="566" w:type="pct"/>
            <w:noWrap w:val="0"/>
            <w:vAlign w:val="top"/>
          </w:tcPr>
          <w:p w14:paraId="18C7D822">
            <w:pPr>
              <w:widowControl/>
              <w:jc w:val="center"/>
              <w:rPr>
                <w:rFonts w:ascii="宋体" w:hAnsi="宋体"/>
                <w:color w:val="auto"/>
                <w:szCs w:val="21"/>
              </w:rPr>
            </w:pPr>
          </w:p>
        </w:tc>
        <w:tc>
          <w:tcPr>
            <w:tcW w:w="796" w:type="pct"/>
            <w:noWrap w:val="0"/>
            <w:vAlign w:val="top"/>
          </w:tcPr>
          <w:p w14:paraId="33658B6A">
            <w:pPr>
              <w:widowControl/>
              <w:jc w:val="center"/>
              <w:rPr>
                <w:rFonts w:ascii="宋体" w:hAnsi="宋体"/>
                <w:color w:val="auto"/>
                <w:szCs w:val="21"/>
              </w:rPr>
            </w:pPr>
          </w:p>
        </w:tc>
        <w:tc>
          <w:tcPr>
            <w:tcW w:w="378" w:type="pct"/>
            <w:noWrap w:val="0"/>
            <w:vAlign w:val="top"/>
          </w:tcPr>
          <w:p w14:paraId="5738DA64">
            <w:pPr>
              <w:widowControl/>
              <w:jc w:val="center"/>
              <w:rPr>
                <w:rFonts w:ascii="宋体" w:hAnsi="宋体"/>
                <w:color w:val="auto"/>
                <w:szCs w:val="21"/>
              </w:rPr>
            </w:pPr>
          </w:p>
        </w:tc>
        <w:tc>
          <w:tcPr>
            <w:tcW w:w="1197" w:type="pct"/>
            <w:noWrap w:val="0"/>
            <w:vAlign w:val="top"/>
          </w:tcPr>
          <w:p w14:paraId="4C86679F">
            <w:pPr>
              <w:widowControl/>
              <w:jc w:val="center"/>
              <w:rPr>
                <w:rFonts w:ascii="宋体" w:hAnsi="宋体"/>
                <w:color w:val="auto"/>
                <w:szCs w:val="21"/>
              </w:rPr>
            </w:pPr>
          </w:p>
        </w:tc>
        <w:tc>
          <w:tcPr>
            <w:tcW w:w="540" w:type="pct"/>
            <w:noWrap w:val="0"/>
            <w:vAlign w:val="top"/>
          </w:tcPr>
          <w:p w14:paraId="504C8851">
            <w:pPr>
              <w:widowControl/>
              <w:jc w:val="center"/>
              <w:rPr>
                <w:rFonts w:ascii="宋体" w:hAnsi="宋体"/>
                <w:color w:val="auto"/>
                <w:szCs w:val="21"/>
              </w:rPr>
            </w:pPr>
          </w:p>
        </w:tc>
        <w:tc>
          <w:tcPr>
            <w:tcW w:w="729" w:type="pct"/>
            <w:noWrap w:val="0"/>
            <w:vAlign w:val="top"/>
          </w:tcPr>
          <w:p w14:paraId="05CC5708">
            <w:pPr>
              <w:widowControl/>
              <w:jc w:val="center"/>
              <w:rPr>
                <w:rFonts w:ascii="宋体" w:hAnsi="宋体"/>
                <w:color w:val="auto"/>
                <w:szCs w:val="21"/>
              </w:rPr>
            </w:pPr>
          </w:p>
        </w:tc>
        <w:tc>
          <w:tcPr>
            <w:tcW w:w="444" w:type="pct"/>
            <w:noWrap w:val="0"/>
            <w:vAlign w:val="top"/>
          </w:tcPr>
          <w:p w14:paraId="658C7C13">
            <w:pPr>
              <w:widowControl/>
              <w:jc w:val="center"/>
              <w:rPr>
                <w:rFonts w:ascii="宋体" w:hAnsi="宋体"/>
                <w:color w:val="auto"/>
                <w:szCs w:val="21"/>
              </w:rPr>
            </w:pPr>
          </w:p>
        </w:tc>
      </w:tr>
      <w:tr w14:paraId="0BE09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4" w:hRule="atLeast"/>
          <w:jc w:val="center"/>
        </w:trPr>
        <w:tc>
          <w:tcPr>
            <w:tcW w:w="3826" w:type="pct"/>
            <w:gridSpan w:val="6"/>
            <w:noWrap w:val="0"/>
            <w:vAlign w:val="center"/>
          </w:tcPr>
          <w:p w14:paraId="2307A319">
            <w:pPr>
              <w:widowControl/>
              <w:jc w:val="center"/>
              <w:rPr>
                <w:rFonts w:hint="default" w:ascii="宋体" w:hAnsi="宋体" w:eastAsia="宋体"/>
                <w:color w:val="auto"/>
                <w:szCs w:val="21"/>
                <w:lang w:val="en-US" w:eastAsia="zh-CN"/>
              </w:rPr>
            </w:pPr>
            <w:r>
              <w:rPr>
                <w:rFonts w:hint="eastAsia" w:ascii="宋体" w:hAnsi="宋体"/>
                <w:color w:val="auto"/>
                <w:szCs w:val="21"/>
                <w:lang w:val="en-US" w:eastAsia="zh-CN"/>
              </w:rPr>
              <w:t>单价汇总报价（元）</w:t>
            </w:r>
          </w:p>
        </w:tc>
        <w:tc>
          <w:tcPr>
            <w:tcW w:w="729" w:type="pct"/>
            <w:noWrap w:val="0"/>
            <w:vAlign w:val="top"/>
          </w:tcPr>
          <w:p w14:paraId="7790E02F">
            <w:pPr>
              <w:widowControl/>
              <w:jc w:val="center"/>
              <w:rPr>
                <w:rFonts w:ascii="宋体" w:hAnsi="宋体"/>
                <w:color w:val="auto"/>
                <w:szCs w:val="21"/>
              </w:rPr>
            </w:pPr>
          </w:p>
        </w:tc>
        <w:tc>
          <w:tcPr>
            <w:tcW w:w="444" w:type="pct"/>
            <w:noWrap w:val="0"/>
            <w:vAlign w:val="top"/>
          </w:tcPr>
          <w:p w14:paraId="5E176536">
            <w:pPr>
              <w:widowControl/>
              <w:jc w:val="center"/>
              <w:rPr>
                <w:rFonts w:ascii="宋体" w:hAnsi="宋体"/>
                <w:color w:val="auto"/>
                <w:szCs w:val="21"/>
              </w:rPr>
            </w:pPr>
          </w:p>
        </w:tc>
      </w:tr>
    </w:tbl>
    <w:p w14:paraId="324AF0C0">
      <w:pPr>
        <w:pStyle w:val="9"/>
        <w:rPr>
          <w:rFonts w:hint="eastAsia"/>
          <w:color w:val="auto"/>
          <w:lang w:val="en-US" w:eastAsia="zh-CN"/>
        </w:rPr>
      </w:pPr>
      <w:r>
        <w:rPr>
          <w:rFonts w:hint="eastAsia" w:ascii="宋体" w:hAnsi="宋体" w:eastAsia="宋体" w:cs="宋体"/>
          <w:color w:val="auto"/>
          <w:sz w:val="21"/>
          <w:szCs w:val="21"/>
        </w:rPr>
        <w:t>注：</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单价</w:t>
      </w:r>
      <w:r>
        <w:rPr>
          <w:rFonts w:hint="eastAsia" w:ascii="宋体" w:hAnsi="宋体" w:eastAsia="宋体" w:cs="宋体"/>
          <w:color w:val="auto"/>
          <w:sz w:val="21"/>
          <w:szCs w:val="21"/>
          <w:lang w:val="en-US" w:eastAsia="zh-CN"/>
        </w:rPr>
        <w:t>报价</w:t>
      </w:r>
      <w:r>
        <w:rPr>
          <w:rFonts w:hint="eastAsia" w:ascii="宋体" w:hAnsi="宋体" w:eastAsia="宋体" w:cs="宋体"/>
          <w:color w:val="auto"/>
          <w:sz w:val="21"/>
          <w:szCs w:val="21"/>
        </w:rPr>
        <w:t>为全费用</w:t>
      </w:r>
      <w:r>
        <w:rPr>
          <w:rFonts w:hint="eastAsia" w:ascii="宋体" w:hAnsi="宋体" w:eastAsia="宋体" w:cs="宋体"/>
          <w:color w:val="auto"/>
          <w:sz w:val="21"/>
          <w:szCs w:val="21"/>
          <w:lang w:val="en-US" w:eastAsia="zh-CN"/>
        </w:rPr>
        <w:t>综合</w:t>
      </w:r>
      <w:r>
        <w:rPr>
          <w:rFonts w:hint="eastAsia" w:ascii="宋体" w:hAnsi="宋体" w:eastAsia="宋体" w:cs="宋体"/>
          <w:color w:val="auto"/>
          <w:sz w:val="21"/>
          <w:szCs w:val="21"/>
        </w:rPr>
        <w:t>单价，</w:t>
      </w:r>
      <w:r>
        <w:rPr>
          <w:rFonts w:hint="eastAsia"/>
          <w:color w:val="auto"/>
          <w:lang w:val="en-US" w:eastAsia="zh-CN"/>
        </w:rPr>
        <w:t>报价应包含物品本身价格、包装费、运输费、装卸费、保险费、税费等所有相关费用，为最终结算价格，学校不再承担任何额外费用。​</w:t>
      </w:r>
    </w:p>
    <w:p w14:paraId="0EAAEBE2">
      <w:pPr>
        <w:spacing w:line="360" w:lineRule="auto"/>
        <w:ind w:firstLine="422" w:firstLineChars="200"/>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2、</w:t>
      </w:r>
      <w:r>
        <w:rPr>
          <w:rFonts w:hint="eastAsia" w:ascii="宋体" w:hAnsi="宋体" w:eastAsia="宋体" w:cs="宋体"/>
          <w:b/>
          <w:bCs/>
          <w:color w:val="auto"/>
          <w:sz w:val="21"/>
          <w:szCs w:val="21"/>
        </w:rPr>
        <w:t>投标人必须将招标文件第</w:t>
      </w:r>
      <w:r>
        <w:rPr>
          <w:rFonts w:hint="eastAsia" w:ascii="宋体" w:hAnsi="宋体" w:eastAsia="宋体" w:cs="宋体"/>
          <w:b/>
          <w:bCs/>
          <w:color w:val="auto"/>
          <w:sz w:val="21"/>
          <w:szCs w:val="21"/>
          <w:lang w:val="en-US" w:eastAsia="zh-CN"/>
        </w:rPr>
        <w:t>五</w:t>
      </w:r>
      <w:r>
        <w:rPr>
          <w:rFonts w:hint="eastAsia" w:ascii="宋体" w:hAnsi="宋体" w:eastAsia="宋体" w:cs="宋体"/>
          <w:b/>
          <w:bCs/>
          <w:color w:val="auto"/>
          <w:sz w:val="21"/>
          <w:szCs w:val="21"/>
        </w:rPr>
        <w:t>章“</w:t>
      </w:r>
      <w:r>
        <w:rPr>
          <w:rFonts w:hint="eastAsia" w:ascii="宋体" w:hAnsi="宋体" w:eastAsia="宋体" w:cs="宋体"/>
          <w:b/>
          <w:bCs/>
          <w:color w:val="auto"/>
          <w:sz w:val="21"/>
          <w:szCs w:val="21"/>
          <w:lang w:val="en-US" w:eastAsia="zh-CN"/>
        </w:rPr>
        <w:t>采购需求</w:t>
      </w:r>
      <w:r>
        <w:rPr>
          <w:rFonts w:hint="eastAsia" w:ascii="宋体" w:hAnsi="宋体" w:eastAsia="宋体" w:cs="宋体"/>
          <w:b/>
          <w:bCs/>
          <w:color w:val="auto"/>
          <w:sz w:val="21"/>
          <w:szCs w:val="21"/>
        </w:rPr>
        <w:t>”中采购货物按顺序逐项填报此表，不得缺项漏项或任意合并项目报价，必须按本表格式填写，否则</w:t>
      </w:r>
      <w:r>
        <w:rPr>
          <w:rFonts w:hint="eastAsia" w:ascii="宋体" w:hAnsi="宋体" w:eastAsia="宋体" w:cs="宋体"/>
          <w:b/>
          <w:bCs/>
          <w:color w:val="auto"/>
          <w:sz w:val="21"/>
          <w:szCs w:val="21"/>
          <w:lang w:val="en-US" w:eastAsia="zh-CN"/>
        </w:rPr>
        <w:t>评标委员会</w:t>
      </w:r>
      <w:r>
        <w:rPr>
          <w:rFonts w:hint="eastAsia" w:ascii="宋体" w:hAnsi="宋体" w:eastAsia="宋体" w:cs="宋体"/>
          <w:b/>
          <w:bCs/>
          <w:color w:val="auto"/>
          <w:sz w:val="21"/>
          <w:szCs w:val="21"/>
        </w:rPr>
        <w:t>可视为未响应招标文件实质性要求。</w:t>
      </w:r>
    </w:p>
    <w:p w14:paraId="57ADCDCB">
      <w:pPr>
        <w:spacing w:line="360" w:lineRule="auto"/>
        <w:ind w:firstLine="422" w:firstLineChars="200"/>
        <w:rPr>
          <w:rFonts w:hint="eastAsia" w:ascii="宋体" w:hAnsi="宋体" w:eastAsia="宋体" w:cs="宋体"/>
          <w:bCs/>
          <w:color w:val="auto"/>
          <w:sz w:val="21"/>
          <w:szCs w:val="21"/>
        </w:rPr>
      </w:pPr>
      <w:r>
        <w:rPr>
          <w:rFonts w:hint="eastAsia" w:ascii="宋体" w:hAnsi="宋体" w:eastAsia="宋体" w:cs="宋体"/>
          <w:b/>
          <w:bCs w:val="0"/>
          <w:color w:val="auto"/>
          <w:sz w:val="21"/>
          <w:szCs w:val="21"/>
          <w:lang w:val="en-US" w:eastAsia="zh-CN"/>
        </w:rPr>
        <w:t>3</w:t>
      </w:r>
      <w:r>
        <w:rPr>
          <w:rFonts w:hint="eastAsia" w:ascii="宋体" w:hAnsi="宋体" w:eastAsia="宋体" w:cs="宋体"/>
          <w:b/>
          <w:bCs w:val="0"/>
          <w:color w:val="auto"/>
          <w:sz w:val="21"/>
          <w:szCs w:val="21"/>
        </w:rPr>
        <w:t>、</w:t>
      </w:r>
      <w:r>
        <w:rPr>
          <w:rFonts w:hint="eastAsia" w:ascii="宋体" w:hAnsi="宋体" w:eastAsia="宋体" w:cs="宋体"/>
          <w:bCs/>
          <w:color w:val="auto"/>
          <w:sz w:val="21"/>
          <w:szCs w:val="21"/>
          <w:lang w:val="en-US" w:eastAsia="zh-CN"/>
        </w:rPr>
        <w:t>单价汇总报价金额</w:t>
      </w:r>
      <w:r>
        <w:rPr>
          <w:rFonts w:hint="eastAsia" w:ascii="宋体" w:hAnsi="宋体" w:eastAsia="宋体" w:cs="宋体"/>
          <w:bCs/>
          <w:color w:val="auto"/>
          <w:sz w:val="21"/>
          <w:szCs w:val="21"/>
        </w:rPr>
        <w:t>应与“开标一览表”中“</w:t>
      </w:r>
      <w:r>
        <w:rPr>
          <w:rFonts w:hint="eastAsia" w:ascii="宋体" w:hAnsi="宋体" w:eastAsia="宋体" w:cs="宋体"/>
          <w:bCs/>
          <w:color w:val="auto"/>
          <w:sz w:val="21"/>
          <w:szCs w:val="21"/>
          <w:lang w:val="en-US" w:eastAsia="zh-CN"/>
        </w:rPr>
        <w:t>单价汇总报价</w:t>
      </w:r>
      <w:r>
        <w:rPr>
          <w:rFonts w:hint="eastAsia" w:ascii="宋体" w:hAnsi="宋体" w:eastAsia="宋体" w:cs="宋体"/>
          <w:bCs/>
          <w:color w:val="auto"/>
          <w:sz w:val="21"/>
          <w:szCs w:val="21"/>
        </w:rPr>
        <w:t>”一致。</w:t>
      </w:r>
    </w:p>
    <w:p w14:paraId="50CD5ED2">
      <w:pPr>
        <w:spacing w:line="360" w:lineRule="auto"/>
        <w:ind w:firstLine="2" w:firstLineChars="1"/>
        <w:rPr>
          <w:rFonts w:hint="eastAsia" w:ascii="宋体" w:hAnsi="宋体"/>
          <w:b/>
          <w:color w:val="auto"/>
          <w:sz w:val="21"/>
          <w:szCs w:val="21"/>
        </w:rPr>
      </w:pPr>
    </w:p>
    <w:p w14:paraId="5C82E507">
      <w:pPr>
        <w:spacing w:line="360" w:lineRule="auto"/>
        <w:ind w:firstLine="2" w:firstLineChars="1"/>
        <w:rPr>
          <w:rFonts w:ascii="宋体" w:hAnsi="宋体"/>
          <w:b/>
          <w:color w:val="auto"/>
          <w:sz w:val="21"/>
          <w:szCs w:val="21"/>
        </w:rPr>
      </w:pPr>
      <w:r>
        <w:rPr>
          <w:rFonts w:hint="eastAsia" w:ascii="宋体" w:hAnsi="宋体"/>
          <w:b/>
          <w:color w:val="auto"/>
          <w:sz w:val="21"/>
          <w:szCs w:val="21"/>
        </w:rPr>
        <w:t>投标人</w:t>
      </w:r>
      <w:r>
        <w:rPr>
          <w:rFonts w:ascii="宋体" w:hAnsi="宋体"/>
          <w:b/>
          <w:color w:val="auto"/>
          <w:sz w:val="21"/>
          <w:szCs w:val="21"/>
        </w:rPr>
        <w:t>：</w:t>
      </w:r>
      <w:r>
        <w:rPr>
          <w:rFonts w:ascii="宋体" w:hAnsi="宋体"/>
          <w:b/>
          <w:color w:val="auto"/>
          <w:sz w:val="21"/>
          <w:szCs w:val="21"/>
          <w:u w:val="single"/>
        </w:rPr>
        <w:t xml:space="preserve">                                 </w:t>
      </w:r>
      <w:r>
        <w:rPr>
          <w:rFonts w:ascii="宋体" w:hAnsi="宋体"/>
          <w:b/>
          <w:color w:val="auto"/>
          <w:sz w:val="21"/>
          <w:szCs w:val="21"/>
        </w:rPr>
        <w:t>（加盖电子公章）</w:t>
      </w:r>
    </w:p>
    <w:p w14:paraId="2EACD246">
      <w:pPr>
        <w:spacing w:line="360" w:lineRule="auto"/>
        <w:ind w:firstLine="2" w:firstLineChars="1"/>
        <w:rPr>
          <w:rFonts w:ascii="宋体" w:hAnsi="宋体"/>
          <w:b/>
          <w:color w:val="auto"/>
          <w:sz w:val="21"/>
          <w:szCs w:val="21"/>
        </w:rPr>
      </w:pPr>
      <w:r>
        <w:rPr>
          <w:rFonts w:hint="eastAsia" w:hAnsi="宋体"/>
          <w:b/>
          <w:color w:val="auto"/>
          <w:sz w:val="21"/>
          <w:szCs w:val="21"/>
        </w:rPr>
        <w:t>法定代表人或委托代理人：</w:t>
      </w:r>
      <w:r>
        <w:rPr>
          <w:rFonts w:hint="eastAsia" w:hAnsi="宋体"/>
          <w:b/>
          <w:color w:val="auto"/>
          <w:sz w:val="21"/>
          <w:szCs w:val="21"/>
          <w:u w:val="single"/>
        </w:rPr>
        <w:t xml:space="preserve">                    </w:t>
      </w:r>
      <w:r>
        <w:rPr>
          <w:rFonts w:hint="eastAsia" w:hAnsi="宋体"/>
          <w:b/>
          <w:color w:val="auto"/>
          <w:sz w:val="21"/>
          <w:szCs w:val="21"/>
        </w:rPr>
        <w:t>（电子</w:t>
      </w:r>
      <w:r>
        <w:rPr>
          <w:rFonts w:hint="eastAsia" w:hAnsi="宋体"/>
          <w:b/>
          <w:color w:val="auto"/>
          <w:sz w:val="21"/>
          <w:szCs w:val="21"/>
          <w:lang w:val="en-US" w:eastAsia="zh-CN"/>
        </w:rPr>
        <w:t>签章</w:t>
      </w:r>
      <w:r>
        <w:rPr>
          <w:rFonts w:hint="eastAsia" w:hAnsi="宋体"/>
          <w:b/>
          <w:color w:val="auto"/>
          <w:sz w:val="21"/>
          <w:szCs w:val="21"/>
        </w:rPr>
        <w:t>）</w:t>
      </w:r>
    </w:p>
    <w:p w14:paraId="581A32B4">
      <w:pPr>
        <w:spacing w:line="360" w:lineRule="auto"/>
        <w:ind w:firstLine="2" w:firstLineChars="1"/>
        <w:rPr>
          <w:rFonts w:ascii="宋体" w:hAnsi="宋体"/>
          <w:b/>
          <w:color w:val="auto"/>
          <w:sz w:val="21"/>
          <w:szCs w:val="21"/>
        </w:rPr>
      </w:pPr>
      <w:r>
        <w:rPr>
          <w:rFonts w:hint="eastAsia" w:ascii="宋体" w:hAnsi="宋体"/>
          <w:b/>
          <w:color w:val="auto"/>
          <w:sz w:val="21"/>
          <w:szCs w:val="21"/>
          <w:u w:val="none"/>
          <w:lang w:val="en-US" w:eastAsia="zh-CN"/>
        </w:rPr>
        <w:t>日期：</w:t>
      </w:r>
      <w:r>
        <w:rPr>
          <w:rFonts w:ascii="宋体" w:hAnsi="宋体"/>
          <w:b/>
          <w:color w:val="auto"/>
          <w:sz w:val="21"/>
          <w:szCs w:val="21"/>
          <w:u w:val="single"/>
        </w:rPr>
        <w:t xml:space="preserve">        </w:t>
      </w:r>
      <w:r>
        <w:rPr>
          <w:rFonts w:ascii="宋体" w:hAnsi="宋体"/>
          <w:b/>
          <w:color w:val="auto"/>
          <w:sz w:val="21"/>
          <w:szCs w:val="21"/>
        </w:rPr>
        <w:t>年</w:t>
      </w:r>
      <w:r>
        <w:rPr>
          <w:rFonts w:ascii="宋体" w:hAnsi="宋体"/>
          <w:b/>
          <w:color w:val="auto"/>
          <w:sz w:val="21"/>
          <w:szCs w:val="21"/>
          <w:u w:val="single"/>
        </w:rPr>
        <w:t xml:space="preserve">       </w:t>
      </w:r>
      <w:r>
        <w:rPr>
          <w:rFonts w:ascii="宋体" w:hAnsi="宋体"/>
          <w:b/>
          <w:color w:val="auto"/>
          <w:sz w:val="21"/>
          <w:szCs w:val="21"/>
        </w:rPr>
        <w:t>月</w:t>
      </w:r>
      <w:r>
        <w:rPr>
          <w:rFonts w:ascii="宋体" w:hAnsi="宋体"/>
          <w:b/>
          <w:color w:val="auto"/>
          <w:sz w:val="21"/>
          <w:szCs w:val="21"/>
          <w:u w:val="single"/>
        </w:rPr>
        <w:t xml:space="preserve">       </w:t>
      </w:r>
      <w:r>
        <w:rPr>
          <w:rFonts w:ascii="宋体" w:hAnsi="宋体"/>
          <w:b/>
          <w:color w:val="auto"/>
          <w:sz w:val="21"/>
          <w:szCs w:val="21"/>
        </w:rPr>
        <w:t>日</w:t>
      </w:r>
    </w:p>
    <w:p w14:paraId="556AEA3F">
      <w:pPr>
        <w:spacing w:line="240" w:lineRule="auto"/>
        <w:ind w:firstLine="0" w:firstLineChars="0"/>
        <w:rPr>
          <w:rFonts w:hint="eastAsia" w:cs="宋体"/>
          <w:color w:val="auto"/>
          <w:szCs w:val="24"/>
        </w:rPr>
        <w:sectPr>
          <w:pgSz w:w="16838" w:h="11900" w:orient="landscape"/>
          <w:pgMar w:top="1417" w:right="1417" w:bottom="1417" w:left="1417" w:header="850" w:footer="850" w:gutter="0"/>
          <w:cols w:space="0" w:num="1"/>
          <w:titlePg/>
          <w:docGrid w:linePitch="331" w:charSpace="0"/>
        </w:sectPr>
      </w:pPr>
    </w:p>
    <w:p w14:paraId="6CA1D345">
      <w:pPr>
        <w:spacing w:line="240" w:lineRule="auto"/>
        <w:ind w:firstLine="0" w:firstLineChars="0"/>
        <w:rPr>
          <w:rFonts w:hint="eastAsia" w:cs="宋体"/>
          <w:color w:val="auto"/>
          <w:szCs w:val="24"/>
        </w:rPr>
      </w:pPr>
    </w:p>
    <w:p w14:paraId="0449FDA1">
      <w:pPr>
        <w:widowControl/>
        <w:spacing w:line="240" w:lineRule="auto"/>
        <w:ind w:firstLine="0" w:firstLineChars="0"/>
        <w:jc w:val="left"/>
        <w:rPr>
          <w:rFonts w:hint="eastAsia" w:cs="宋体"/>
          <w:color w:val="auto"/>
          <w:sz w:val="30"/>
          <w:szCs w:val="30"/>
        </w:rPr>
      </w:pPr>
      <w:bookmarkStart w:id="798" w:name="_Toc26783962"/>
      <w:bookmarkStart w:id="799" w:name="_Toc5244"/>
    </w:p>
    <w:p w14:paraId="4DE00C91">
      <w:pPr>
        <w:ind w:firstLine="0" w:firstLineChars="0"/>
        <w:jc w:val="center"/>
        <w:outlineLvl w:val="2"/>
        <w:rPr>
          <w:rFonts w:hint="eastAsia" w:cs="宋体"/>
          <w:color w:val="auto"/>
          <w:sz w:val="30"/>
          <w:szCs w:val="30"/>
        </w:rPr>
      </w:pPr>
      <w:bookmarkStart w:id="800" w:name="_Toc24535"/>
      <w:r>
        <w:rPr>
          <w:rFonts w:hint="eastAsia" w:cs="宋体"/>
          <w:color w:val="auto"/>
          <w:sz w:val="30"/>
          <w:szCs w:val="30"/>
        </w:rPr>
        <w:t>（四）投标函</w:t>
      </w:r>
      <w:bookmarkEnd w:id="798"/>
      <w:bookmarkEnd w:id="799"/>
      <w:bookmarkEnd w:id="800"/>
    </w:p>
    <w:p w14:paraId="274EE7AD">
      <w:pPr>
        <w:ind w:firstLine="0" w:firstLineChars="0"/>
        <w:rPr>
          <w:rFonts w:hint="eastAsia" w:cs="宋体"/>
          <w:color w:val="auto"/>
        </w:rPr>
      </w:pPr>
      <w:r>
        <w:rPr>
          <w:rFonts w:hint="eastAsia" w:cs="宋体"/>
          <w:color w:val="auto"/>
        </w:rPr>
        <w:t>致：</w:t>
      </w:r>
      <w:r>
        <w:rPr>
          <w:rFonts w:hint="eastAsia" w:cs="宋体"/>
          <w:color w:val="auto"/>
          <w:u w:val="single"/>
        </w:rPr>
        <w:t xml:space="preserve">      （采购人名称）         </w:t>
      </w:r>
    </w:p>
    <w:p w14:paraId="191A98E3">
      <w:pPr>
        <w:rPr>
          <w:rFonts w:hint="eastAsia" w:cs="宋体"/>
          <w:color w:val="auto"/>
        </w:rPr>
      </w:pPr>
      <w:r>
        <w:rPr>
          <w:rFonts w:hint="eastAsia" w:cs="宋体"/>
          <w:color w:val="auto"/>
        </w:rPr>
        <w:t>根据贵方为</w:t>
      </w:r>
      <w:r>
        <w:rPr>
          <w:rFonts w:hint="eastAsia" w:cs="宋体"/>
          <w:color w:val="auto"/>
          <w:u w:val="single"/>
        </w:rPr>
        <w:t xml:space="preserve">（采购项目名称   ）   </w:t>
      </w:r>
      <w:r>
        <w:rPr>
          <w:rFonts w:hint="eastAsia" w:cs="宋体"/>
          <w:color w:val="auto"/>
        </w:rPr>
        <w:t>（项目编号：）项目招标采购货物及服务的投标邀请，正式授权下述签字人</w:t>
      </w:r>
      <w:r>
        <w:rPr>
          <w:rFonts w:hint="eastAsia" w:cs="宋体"/>
          <w:color w:val="auto"/>
          <w:u w:val="single"/>
        </w:rPr>
        <w:t xml:space="preserve">   （姓名和职务）     </w:t>
      </w:r>
      <w:r>
        <w:rPr>
          <w:rFonts w:hint="eastAsia" w:cs="宋体"/>
          <w:color w:val="auto"/>
        </w:rPr>
        <w:t>全权代表投标人</w:t>
      </w:r>
      <w:r>
        <w:rPr>
          <w:rFonts w:hint="eastAsia" w:cs="宋体"/>
          <w:color w:val="auto"/>
          <w:u w:val="single"/>
        </w:rPr>
        <w:t xml:space="preserve">  （投标人名称）   </w:t>
      </w:r>
      <w:r>
        <w:rPr>
          <w:rFonts w:hint="eastAsia" w:cs="宋体"/>
          <w:color w:val="auto"/>
        </w:rPr>
        <w:t>参加投标，并提交投标文件。</w:t>
      </w:r>
    </w:p>
    <w:p w14:paraId="2C68096B">
      <w:pPr>
        <w:rPr>
          <w:rFonts w:hint="eastAsia" w:cs="宋体"/>
          <w:color w:val="auto"/>
        </w:rPr>
      </w:pPr>
      <w:r>
        <w:rPr>
          <w:rFonts w:hint="eastAsia" w:cs="宋体"/>
          <w:color w:val="auto"/>
        </w:rPr>
        <w:t>据此函，签字人兹宣布同意如下：</w:t>
      </w:r>
    </w:p>
    <w:p w14:paraId="2E3E1641">
      <w:pPr>
        <w:ind w:firstLine="422"/>
        <w:rPr>
          <w:rFonts w:hint="eastAsia" w:cs="宋体"/>
          <w:b/>
          <w:bCs/>
          <w:color w:val="auto"/>
        </w:rPr>
      </w:pPr>
      <w:r>
        <w:rPr>
          <w:rFonts w:hint="eastAsia" w:cs="宋体"/>
          <w:b/>
          <w:bCs/>
          <w:color w:val="auto"/>
        </w:rPr>
        <w:t>1、我方同意以“</w:t>
      </w:r>
      <w:r>
        <w:rPr>
          <w:rFonts w:hint="eastAsia" w:cs="宋体"/>
          <w:b/>
          <w:bCs/>
          <w:color w:val="auto"/>
          <w:lang w:val="en-US" w:eastAsia="zh-CN"/>
        </w:rPr>
        <w:t>采购</w:t>
      </w:r>
      <w:r>
        <w:rPr>
          <w:rFonts w:hint="eastAsia" w:cs="宋体"/>
          <w:b/>
          <w:bCs/>
          <w:color w:val="auto"/>
        </w:rPr>
        <w:t>清单</w:t>
      </w:r>
      <w:r>
        <w:rPr>
          <w:rFonts w:hint="eastAsia" w:cs="宋体"/>
          <w:b/>
          <w:bCs/>
          <w:color w:val="auto"/>
          <w:lang w:val="en-US" w:eastAsia="zh-CN"/>
        </w:rPr>
        <w:t>报价明细表</w:t>
      </w:r>
      <w:r>
        <w:rPr>
          <w:rFonts w:hint="eastAsia" w:cs="宋体"/>
          <w:b/>
          <w:bCs/>
          <w:color w:val="auto"/>
        </w:rPr>
        <w:t>”中的投标</w:t>
      </w:r>
      <w:r>
        <w:rPr>
          <w:rFonts w:hint="eastAsia" w:cs="宋体"/>
          <w:b/>
          <w:bCs/>
          <w:color w:val="auto"/>
          <w:lang w:val="en-US" w:eastAsia="zh-CN"/>
        </w:rPr>
        <w:t>单价</w:t>
      </w:r>
      <w:r>
        <w:rPr>
          <w:rFonts w:hint="eastAsia" w:cs="宋体"/>
          <w:b/>
          <w:bCs/>
          <w:color w:val="auto"/>
        </w:rPr>
        <w:t>作为本项目最终报价。</w:t>
      </w:r>
    </w:p>
    <w:p w14:paraId="1EE880ED">
      <w:pPr>
        <w:rPr>
          <w:rFonts w:hint="eastAsia" w:cs="宋体"/>
          <w:color w:val="auto"/>
        </w:rPr>
      </w:pPr>
      <w:r>
        <w:rPr>
          <w:rFonts w:hint="eastAsia" w:cs="宋体"/>
          <w:color w:val="auto"/>
        </w:rPr>
        <w:t>2、我方同意在投标人须知规定的开标日期起遵循本投标文件，并在投标人须知前附表规定的投标文件有效期满之前均具有约束力。如果我方投标被接受，则至合同履行完、质保期满为止，本投标函保持有效。</w:t>
      </w:r>
    </w:p>
    <w:p w14:paraId="58A6B83F">
      <w:pPr>
        <w:rPr>
          <w:rFonts w:hint="eastAsia" w:cs="宋体"/>
          <w:color w:val="auto"/>
        </w:rPr>
      </w:pPr>
      <w:r>
        <w:rPr>
          <w:rFonts w:hint="eastAsia" w:cs="宋体"/>
          <w:color w:val="auto"/>
        </w:rPr>
        <w:t>3、我方承诺已经具备《中华人民共和国政府采购法》中规定的参加政府采购活动的投标人应当具备的条件。</w:t>
      </w:r>
    </w:p>
    <w:p w14:paraId="0EF732EA">
      <w:pPr>
        <w:rPr>
          <w:rFonts w:hint="eastAsia" w:cs="宋体"/>
          <w:color w:val="auto"/>
        </w:rPr>
      </w:pPr>
      <w:r>
        <w:rPr>
          <w:rFonts w:hint="eastAsia" w:cs="宋体"/>
          <w:color w:val="auto"/>
        </w:rPr>
        <w:t>4、如我方投标被接受，将保证忠实地执行买卖双方所签经济合同，在承诺的期限内完成交货（或交付使用），并承担合同规定的责任义务。</w:t>
      </w:r>
    </w:p>
    <w:p w14:paraId="3C68EF4F">
      <w:pPr>
        <w:rPr>
          <w:rFonts w:hint="eastAsia" w:cs="宋体"/>
          <w:color w:val="auto"/>
        </w:rPr>
      </w:pPr>
      <w:r>
        <w:rPr>
          <w:rFonts w:hint="eastAsia" w:cs="宋体"/>
          <w:color w:val="auto"/>
        </w:rPr>
        <w:t>5、我方已详细审核招标文件，我方知道必须放弃提出含糊不清或误解问题的权利。</w:t>
      </w:r>
    </w:p>
    <w:p w14:paraId="20B17B4C">
      <w:pPr>
        <w:rPr>
          <w:rFonts w:hint="eastAsia" w:cs="宋体"/>
          <w:color w:val="auto"/>
        </w:rPr>
      </w:pPr>
      <w:r>
        <w:rPr>
          <w:rFonts w:hint="eastAsia" w:cs="宋体"/>
          <w:color w:val="auto"/>
        </w:rPr>
        <w:t>6、如果在投标文件有效期内撤回投标或者有其他违约行为，我方的投标保证金可被贵方全部或部分没收。</w:t>
      </w:r>
    </w:p>
    <w:p w14:paraId="53D3E508">
      <w:pPr>
        <w:rPr>
          <w:rFonts w:hint="eastAsia" w:cs="宋体"/>
          <w:color w:val="auto"/>
        </w:rPr>
      </w:pPr>
      <w:r>
        <w:rPr>
          <w:rFonts w:hint="eastAsia" w:cs="宋体"/>
          <w:color w:val="auto"/>
        </w:rPr>
        <w:t>7、同意应贵方要求提供与本投标有关的任何数据或资料。</w:t>
      </w:r>
    </w:p>
    <w:p w14:paraId="03063642">
      <w:pPr>
        <w:rPr>
          <w:rFonts w:hint="eastAsia" w:cs="宋体"/>
          <w:color w:val="auto"/>
        </w:rPr>
      </w:pPr>
      <w:r>
        <w:rPr>
          <w:rFonts w:hint="eastAsia" w:cs="宋体"/>
          <w:color w:val="auto"/>
        </w:rPr>
        <w:t>8、我方完全理解贵方不一定要接受最低报价的投标人为中标人的行为。</w:t>
      </w:r>
    </w:p>
    <w:p w14:paraId="205C26FE">
      <w:pPr>
        <w:rPr>
          <w:rFonts w:hint="eastAsia" w:cs="宋体"/>
          <w:color w:val="auto"/>
        </w:rPr>
      </w:pPr>
      <w:r>
        <w:rPr>
          <w:rFonts w:hint="eastAsia" w:cs="宋体"/>
          <w:color w:val="auto"/>
        </w:rPr>
        <w:t>9、若贵方需要，我方愿意提供我方作出的一切承诺的证明材料。</w:t>
      </w:r>
    </w:p>
    <w:p w14:paraId="0A50ADC7">
      <w:pPr>
        <w:rPr>
          <w:rFonts w:hint="eastAsia" w:cs="宋体"/>
          <w:color w:val="auto"/>
        </w:rPr>
      </w:pPr>
      <w:r>
        <w:rPr>
          <w:rFonts w:hint="eastAsia" w:cs="宋体"/>
          <w:color w:val="auto"/>
        </w:rPr>
        <w:t>与本投标有关的正式通讯地址为：</w:t>
      </w:r>
    </w:p>
    <w:p w14:paraId="54276B0E">
      <w:pPr>
        <w:rPr>
          <w:rFonts w:hint="eastAsia" w:cs="宋体"/>
          <w:color w:val="auto"/>
        </w:rPr>
      </w:pPr>
      <w:r>
        <w:rPr>
          <w:rFonts w:hint="eastAsia" w:cs="宋体"/>
          <w:color w:val="auto"/>
        </w:rPr>
        <w:t>地址： 邮政编码：</w:t>
      </w:r>
    </w:p>
    <w:p w14:paraId="0742E808">
      <w:pPr>
        <w:rPr>
          <w:rFonts w:hint="eastAsia" w:cs="宋体"/>
          <w:color w:val="auto"/>
          <w:u w:val="single"/>
        </w:rPr>
      </w:pPr>
      <w:r>
        <w:rPr>
          <w:rFonts w:hint="eastAsia" w:cs="宋体"/>
          <w:color w:val="auto"/>
        </w:rPr>
        <w:t>电话：传真：</w:t>
      </w:r>
      <w:r>
        <w:rPr>
          <w:rFonts w:hint="eastAsia" w:cs="宋体"/>
          <w:color w:val="auto"/>
          <w:u w:val="single"/>
        </w:rPr>
        <w:t>　　　　　　　　　</w:t>
      </w:r>
    </w:p>
    <w:p w14:paraId="2CCC3C9F">
      <w:pPr>
        <w:rPr>
          <w:rFonts w:hint="eastAsia" w:cs="宋体"/>
          <w:color w:val="auto"/>
          <w:u w:val="single"/>
        </w:rPr>
      </w:pPr>
      <w:r>
        <w:rPr>
          <w:rFonts w:hint="eastAsia" w:cs="宋体"/>
          <w:color w:val="auto"/>
        </w:rPr>
        <w:t>开户名称：开户银行：</w:t>
      </w:r>
    </w:p>
    <w:p w14:paraId="323E5EB4">
      <w:pPr>
        <w:rPr>
          <w:rFonts w:hint="eastAsia" w:cs="宋体"/>
          <w:color w:val="auto"/>
        </w:rPr>
      </w:pPr>
      <w:r>
        <w:rPr>
          <w:rFonts w:hint="eastAsia" w:cs="宋体"/>
          <w:color w:val="auto"/>
        </w:rPr>
        <w:t>帐    号：</w:t>
      </w:r>
    </w:p>
    <w:p w14:paraId="1DC3E90C">
      <w:pPr>
        <w:spacing w:line="240" w:lineRule="auto"/>
        <w:rPr>
          <w:rFonts w:hint="eastAsia" w:cs="宋体"/>
          <w:color w:val="auto"/>
        </w:rPr>
      </w:pPr>
    </w:p>
    <w:p w14:paraId="7FD03A09">
      <w:pPr>
        <w:spacing w:line="240" w:lineRule="auto"/>
        <w:ind w:firstLine="422"/>
        <w:rPr>
          <w:rFonts w:hint="eastAsia" w:cs="宋体"/>
          <w:b/>
          <w:bCs/>
          <w:color w:val="auto"/>
        </w:rPr>
      </w:pPr>
      <w:r>
        <w:rPr>
          <w:rFonts w:hint="eastAsia" w:cs="宋体"/>
          <w:b/>
          <w:bCs/>
          <w:color w:val="auto"/>
        </w:rPr>
        <w:t>投标人名称 (电子签章)：</w:t>
      </w:r>
      <w:r>
        <w:rPr>
          <w:rFonts w:hint="eastAsia" w:cs="宋体"/>
          <w:b/>
          <w:bCs/>
          <w:color w:val="auto"/>
          <w:u w:val="single"/>
        </w:rPr>
        <w:t>　　　　　　　　  　</w:t>
      </w:r>
    </w:p>
    <w:p w14:paraId="724F72D0">
      <w:pPr>
        <w:spacing w:line="240" w:lineRule="auto"/>
        <w:ind w:firstLine="0" w:firstLineChars="0"/>
        <w:rPr>
          <w:rFonts w:hint="eastAsia" w:cs="宋体"/>
          <w:b/>
          <w:bCs/>
          <w:color w:val="auto"/>
        </w:rPr>
      </w:pPr>
    </w:p>
    <w:p w14:paraId="6CF48607">
      <w:pPr>
        <w:spacing w:line="240" w:lineRule="auto"/>
        <w:ind w:firstLine="422"/>
        <w:rPr>
          <w:rFonts w:hint="eastAsia" w:cs="宋体"/>
          <w:b/>
          <w:bCs/>
          <w:color w:val="auto"/>
        </w:rPr>
      </w:pPr>
      <w:r>
        <w:rPr>
          <w:rFonts w:hint="eastAsia" w:cs="宋体"/>
          <w:b/>
          <w:bCs/>
          <w:color w:val="auto"/>
        </w:rPr>
        <w:t>法定代表人或其委托代理人（电子签名或签章）：</w:t>
      </w:r>
      <w:r>
        <w:rPr>
          <w:rFonts w:hint="eastAsia" w:cs="宋体"/>
          <w:b/>
          <w:bCs/>
          <w:color w:val="auto"/>
          <w:u w:val="single"/>
        </w:rPr>
        <w:t>　　　　　　　</w:t>
      </w:r>
    </w:p>
    <w:p w14:paraId="7BC6AD1B">
      <w:pPr>
        <w:spacing w:line="240" w:lineRule="auto"/>
        <w:ind w:firstLine="0" w:firstLineChars="0"/>
        <w:rPr>
          <w:rFonts w:hint="eastAsia" w:cs="宋体"/>
          <w:b/>
          <w:bCs/>
          <w:color w:val="auto"/>
        </w:rPr>
      </w:pPr>
    </w:p>
    <w:p w14:paraId="0FEBDAAD">
      <w:pPr>
        <w:spacing w:line="240" w:lineRule="auto"/>
        <w:ind w:firstLine="422"/>
        <w:rPr>
          <w:rFonts w:hint="eastAsia" w:cs="宋体"/>
          <w:b/>
          <w:bCs/>
          <w:color w:val="auto"/>
        </w:rPr>
      </w:pPr>
      <w:r>
        <w:rPr>
          <w:rFonts w:hint="eastAsia" w:cs="宋体"/>
          <w:b/>
          <w:bCs/>
          <w:color w:val="auto"/>
        </w:rPr>
        <w:t>日期：</w:t>
      </w:r>
      <w:r>
        <w:rPr>
          <w:rFonts w:hint="eastAsia" w:cs="宋体"/>
          <w:b/>
          <w:bCs/>
          <w:color w:val="auto"/>
          <w:u w:val="single"/>
        </w:rPr>
        <w:t>　　　</w:t>
      </w:r>
      <w:r>
        <w:rPr>
          <w:rFonts w:hint="eastAsia" w:cs="宋体"/>
          <w:b/>
          <w:bCs/>
          <w:color w:val="auto"/>
        </w:rPr>
        <w:t>年</w:t>
      </w:r>
      <w:r>
        <w:rPr>
          <w:rFonts w:hint="eastAsia" w:cs="宋体"/>
          <w:b/>
          <w:bCs/>
          <w:color w:val="auto"/>
          <w:u w:val="single"/>
        </w:rPr>
        <w:t>　　</w:t>
      </w:r>
      <w:r>
        <w:rPr>
          <w:rFonts w:hint="eastAsia" w:cs="宋体"/>
          <w:b/>
          <w:bCs/>
          <w:color w:val="auto"/>
        </w:rPr>
        <w:t>月</w:t>
      </w:r>
      <w:r>
        <w:rPr>
          <w:rFonts w:hint="eastAsia" w:cs="宋体"/>
          <w:b/>
          <w:bCs/>
          <w:color w:val="auto"/>
          <w:u w:val="single"/>
        </w:rPr>
        <w:t>　　</w:t>
      </w:r>
      <w:r>
        <w:rPr>
          <w:rFonts w:hint="eastAsia" w:cs="宋体"/>
          <w:b/>
          <w:bCs/>
          <w:color w:val="auto"/>
        </w:rPr>
        <w:t>日</w:t>
      </w:r>
    </w:p>
    <w:p w14:paraId="6630C7AE">
      <w:pPr>
        <w:ind w:firstLine="0" w:firstLineChars="0"/>
        <w:rPr>
          <w:rFonts w:hint="eastAsia" w:cs="宋体"/>
          <w:color w:val="auto"/>
        </w:rPr>
      </w:pPr>
    </w:p>
    <w:p w14:paraId="49E1BA87">
      <w:pPr>
        <w:rPr>
          <w:rFonts w:hint="eastAsia" w:cs="宋体"/>
          <w:color w:val="auto"/>
        </w:rPr>
        <w:sectPr>
          <w:pgSz w:w="11900" w:h="16838"/>
          <w:pgMar w:top="1417" w:right="1417" w:bottom="1417" w:left="1417" w:header="850" w:footer="850" w:gutter="0"/>
          <w:cols w:space="0" w:num="1"/>
          <w:titlePg/>
          <w:docGrid w:linePitch="331" w:charSpace="0"/>
        </w:sectPr>
      </w:pPr>
    </w:p>
    <w:p w14:paraId="6F7F5519">
      <w:pPr>
        <w:spacing w:line="240" w:lineRule="auto"/>
        <w:ind w:firstLine="0" w:firstLineChars="0"/>
        <w:jc w:val="center"/>
        <w:outlineLvl w:val="2"/>
        <w:rPr>
          <w:rFonts w:hint="eastAsia" w:cs="宋体"/>
          <w:color w:val="auto"/>
          <w:sz w:val="30"/>
          <w:szCs w:val="30"/>
        </w:rPr>
      </w:pPr>
      <w:bookmarkStart w:id="801" w:name="_Toc26783966"/>
      <w:bookmarkStart w:id="802" w:name="_Toc26334"/>
      <w:bookmarkStart w:id="803" w:name="_Toc24019"/>
      <w:r>
        <w:rPr>
          <w:rFonts w:hint="eastAsia" w:cs="宋体"/>
          <w:color w:val="auto"/>
          <w:sz w:val="30"/>
          <w:szCs w:val="30"/>
        </w:rPr>
        <w:t>（五）投标人应提供及认为有必要提供的其他材料</w:t>
      </w:r>
      <w:bookmarkEnd w:id="801"/>
      <w:bookmarkEnd w:id="802"/>
      <w:bookmarkEnd w:id="803"/>
    </w:p>
    <w:p w14:paraId="6386B280">
      <w:pPr>
        <w:ind w:firstLine="0" w:firstLineChars="0"/>
        <w:rPr>
          <w:rFonts w:hint="eastAsia" w:cs="宋体"/>
          <w:color w:val="auto"/>
          <w:sz w:val="24"/>
          <w:szCs w:val="24"/>
        </w:rPr>
      </w:pPr>
    </w:p>
    <w:p w14:paraId="7FC89743">
      <w:pPr>
        <w:ind w:firstLine="0" w:firstLineChars="0"/>
        <w:rPr>
          <w:rFonts w:hint="eastAsia"/>
          <w:color w:val="auto"/>
        </w:rPr>
        <w:sectPr>
          <w:pgSz w:w="11900" w:h="16838"/>
          <w:pgMar w:top="1417" w:right="1417" w:bottom="1417" w:left="1417" w:header="850" w:footer="850" w:gutter="0"/>
          <w:cols w:space="0" w:num="1"/>
          <w:titlePg/>
          <w:docGrid w:linePitch="331" w:charSpace="0"/>
        </w:sectPr>
      </w:pPr>
    </w:p>
    <w:bookmarkEnd w:id="779"/>
    <w:p w14:paraId="1FFDCCE5">
      <w:pPr>
        <w:spacing w:line="240" w:lineRule="auto"/>
        <w:ind w:firstLine="0" w:firstLineChars="0"/>
        <w:rPr>
          <w:rFonts w:hint="eastAsia" w:cs="宋体"/>
          <w:b/>
          <w:color w:val="auto"/>
          <w:sz w:val="28"/>
          <w:szCs w:val="28"/>
        </w:rPr>
      </w:pPr>
      <w:bookmarkStart w:id="804" w:name="_Toc272421896"/>
      <w:bookmarkStart w:id="805" w:name="_Toc205017032"/>
    </w:p>
    <w:bookmarkEnd w:id="804"/>
    <w:bookmarkEnd w:id="805"/>
    <w:p w14:paraId="66AA2682">
      <w:pPr>
        <w:ind w:firstLine="0" w:firstLineChars="0"/>
        <w:jc w:val="center"/>
        <w:outlineLvl w:val="2"/>
        <w:rPr>
          <w:rFonts w:hint="eastAsia" w:cs="宋体"/>
          <w:color w:val="auto"/>
          <w:sz w:val="30"/>
          <w:szCs w:val="30"/>
        </w:rPr>
      </w:pPr>
      <w:bookmarkStart w:id="806" w:name="_Toc281"/>
      <w:bookmarkStart w:id="807" w:name="_Toc26783967"/>
      <w:bookmarkStart w:id="808" w:name="_Toc22610"/>
      <w:bookmarkStart w:id="809" w:name="_Toc469035632"/>
      <w:r>
        <w:rPr>
          <w:rFonts w:hint="eastAsia" w:cs="宋体"/>
          <w:color w:val="auto"/>
          <w:sz w:val="30"/>
          <w:szCs w:val="30"/>
        </w:rPr>
        <w:t>（六）中小企业声明函</w:t>
      </w:r>
      <w:bookmarkEnd w:id="806"/>
      <w:bookmarkEnd w:id="807"/>
      <w:r>
        <w:rPr>
          <w:rFonts w:hint="eastAsia" w:cs="宋体"/>
          <w:color w:val="auto"/>
          <w:sz w:val="30"/>
          <w:szCs w:val="30"/>
        </w:rPr>
        <w:t>（货物）</w:t>
      </w:r>
      <w:bookmarkEnd w:id="808"/>
    </w:p>
    <w:bookmarkEnd w:id="809"/>
    <w:p w14:paraId="289447B5">
      <w:pPr>
        <w:rPr>
          <w:rFonts w:hint="eastAsia"/>
          <w:color w:val="auto"/>
        </w:rPr>
      </w:pPr>
      <w:r>
        <w:rPr>
          <w:rFonts w:hint="eastAsia"/>
          <w:color w:val="auto"/>
        </w:rPr>
        <w:t xml:space="preserve">  本公司（联合体）郑重声明，根据《政府采购促进中小企业发展管理办法》（财库</w:t>
      </w:r>
      <w:r>
        <w:rPr>
          <w:color w:val="auto"/>
        </w:rPr>
        <w:t>[2020]</w:t>
      </w:r>
      <w:r>
        <w:rPr>
          <w:rFonts w:hint="eastAsia"/>
          <w:color w:val="auto"/>
        </w:rPr>
        <w:t>46 号）的规定，本公司（联合体）参加</w:t>
      </w:r>
      <w:r>
        <w:rPr>
          <w:rFonts w:hint="eastAsia"/>
          <w:color w:val="auto"/>
          <w:u w:val="single"/>
        </w:rPr>
        <w:t xml:space="preserve">      </w:t>
      </w:r>
      <w:r>
        <w:rPr>
          <w:rFonts w:hint="eastAsia"/>
          <w:color w:val="auto"/>
        </w:rPr>
        <w:t>（单位名称）的</w:t>
      </w:r>
      <w:r>
        <w:rPr>
          <w:rFonts w:hint="eastAsia"/>
          <w:color w:val="auto"/>
          <w:u w:val="single"/>
        </w:rPr>
        <w:t xml:space="preserve">        </w:t>
      </w:r>
      <w:r>
        <w:rPr>
          <w:rFonts w:hint="eastAsia"/>
          <w:color w:val="auto"/>
        </w:rPr>
        <w:t>（项目名称）采购活动，提供的货物全部由符合政策要求的中小企业制造。相关企业（含联合体中的中小企业、签订分包意向协议的中小企业）的具体情况如下：</w:t>
      </w:r>
    </w:p>
    <w:p w14:paraId="5B8FB59B">
      <w:pPr>
        <w:rPr>
          <w:rFonts w:hint="eastAsia"/>
          <w:color w:val="auto"/>
        </w:rPr>
      </w:pPr>
      <w:r>
        <w:rPr>
          <w:rFonts w:hint="eastAsia"/>
          <w:color w:val="auto"/>
        </w:rPr>
        <w:t xml:space="preserve">1. </w:t>
      </w:r>
      <w:r>
        <w:rPr>
          <w:rFonts w:hint="eastAsia"/>
          <w:color w:val="auto"/>
          <w:u w:val="single"/>
        </w:rPr>
        <w:t xml:space="preserve">      （标的名称）</w:t>
      </w:r>
      <w:r>
        <w:rPr>
          <w:rFonts w:hint="eastAsia"/>
          <w:color w:val="auto"/>
        </w:rPr>
        <w:t>，属于</w:t>
      </w:r>
      <w:r>
        <w:rPr>
          <w:rFonts w:hint="eastAsia"/>
          <w:color w:val="auto"/>
          <w:u w:val="single"/>
        </w:rPr>
        <w:t xml:space="preserve">   批发业     （采购文件中明确的所属行业）</w:t>
      </w:r>
      <w:r>
        <w:rPr>
          <w:rFonts w:hint="eastAsia"/>
          <w:color w:val="auto"/>
        </w:rPr>
        <w:t>行业；制造商为</w:t>
      </w:r>
      <w:r>
        <w:rPr>
          <w:rFonts w:hint="eastAsia"/>
          <w:color w:val="auto"/>
          <w:u w:val="single"/>
        </w:rPr>
        <w:t xml:space="preserve">  （企业名称）    </w:t>
      </w:r>
      <w:r>
        <w:rPr>
          <w:rFonts w:hint="eastAsia"/>
          <w:color w:val="auto"/>
        </w:rPr>
        <w:t>，从业人员</w:t>
      </w:r>
      <w:r>
        <w:rPr>
          <w:rFonts w:hint="eastAsia"/>
          <w:color w:val="auto"/>
          <w:u w:val="single"/>
        </w:rPr>
        <w:t xml:space="preserve">     </w:t>
      </w:r>
      <w:r>
        <w:rPr>
          <w:rFonts w:hint="eastAsia"/>
          <w:color w:val="auto"/>
        </w:rPr>
        <w:t>人，营业收入为</w:t>
      </w:r>
      <w:r>
        <w:rPr>
          <w:rFonts w:hint="eastAsia"/>
          <w:color w:val="auto"/>
          <w:u w:val="single"/>
        </w:rPr>
        <w:t xml:space="preserve">     </w:t>
      </w:r>
      <w:r>
        <w:rPr>
          <w:rFonts w:hint="eastAsia"/>
          <w:color w:val="auto"/>
        </w:rPr>
        <w:t>万元，资产总额为</w:t>
      </w:r>
      <w:r>
        <w:rPr>
          <w:rFonts w:hint="eastAsia"/>
          <w:color w:val="auto"/>
          <w:u w:val="single"/>
        </w:rPr>
        <w:t xml:space="preserve">    </w:t>
      </w:r>
      <w:r>
        <w:rPr>
          <w:rFonts w:hint="eastAsia"/>
          <w:color w:val="auto"/>
        </w:rPr>
        <w:t>万元，属于</w:t>
      </w:r>
      <w:r>
        <w:rPr>
          <w:rFonts w:hint="eastAsia"/>
          <w:color w:val="auto"/>
          <w:u w:val="single"/>
        </w:rPr>
        <w:t xml:space="preserve">  （中型企业、小型企业、微型企业）     </w:t>
      </w:r>
      <w:r>
        <w:rPr>
          <w:rFonts w:hint="eastAsia"/>
          <w:color w:val="auto"/>
        </w:rPr>
        <w:t>；</w:t>
      </w:r>
    </w:p>
    <w:p w14:paraId="3336E6C2">
      <w:pPr>
        <w:rPr>
          <w:rFonts w:hint="eastAsia"/>
          <w:color w:val="auto"/>
        </w:rPr>
      </w:pPr>
      <w:r>
        <w:rPr>
          <w:rFonts w:hint="eastAsia"/>
          <w:color w:val="auto"/>
        </w:rPr>
        <w:t xml:space="preserve">2. </w:t>
      </w:r>
      <w:r>
        <w:rPr>
          <w:rFonts w:hint="eastAsia"/>
          <w:color w:val="auto"/>
          <w:u w:val="single"/>
        </w:rPr>
        <w:t xml:space="preserve">      （标的名称）</w:t>
      </w:r>
      <w:r>
        <w:rPr>
          <w:rFonts w:hint="eastAsia"/>
          <w:color w:val="auto"/>
        </w:rPr>
        <w:t>，属于</w:t>
      </w:r>
      <w:r>
        <w:rPr>
          <w:rFonts w:hint="eastAsia"/>
          <w:color w:val="auto"/>
          <w:u w:val="single"/>
        </w:rPr>
        <w:t xml:space="preserve">    批发业     （采购文件中明确的所属行业）</w:t>
      </w:r>
      <w:r>
        <w:rPr>
          <w:rFonts w:hint="eastAsia"/>
          <w:color w:val="auto"/>
        </w:rPr>
        <w:t>行业；制造商为</w:t>
      </w:r>
      <w:r>
        <w:rPr>
          <w:rFonts w:hint="eastAsia"/>
          <w:color w:val="auto"/>
          <w:u w:val="single"/>
        </w:rPr>
        <w:t xml:space="preserve">  （企业名称）</w:t>
      </w:r>
      <w:r>
        <w:rPr>
          <w:rFonts w:hint="eastAsia"/>
          <w:color w:val="auto"/>
        </w:rPr>
        <w:t>，从业人员</w:t>
      </w:r>
      <w:r>
        <w:rPr>
          <w:rFonts w:hint="eastAsia"/>
          <w:color w:val="auto"/>
          <w:u w:val="single"/>
        </w:rPr>
        <w:t xml:space="preserve">     </w:t>
      </w:r>
      <w:r>
        <w:rPr>
          <w:rFonts w:hint="eastAsia"/>
          <w:color w:val="auto"/>
        </w:rPr>
        <w:t>人，营业收入为</w:t>
      </w:r>
      <w:r>
        <w:rPr>
          <w:rFonts w:hint="eastAsia"/>
          <w:color w:val="auto"/>
          <w:u w:val="single"/>
        </w:rPr>
        <w:t xml:space="preserve">     </w:t>
      </w:r>
      <w:r>
        <w:rPr>
          <w:rFonts w:hint="eastAsia"/>
          <w:color w:val="auto"/>
        </w:rPr>
        <w:t>万元，资产总额为</w:t>
      </w:r>
      <w:r>
        <w:rPr>
          <w:rFonts w:hint="eastAsia"/>
          <w:color w:val="auto"/>
          <w:u w:val="single"/>
        </w:rPr>
        <w:t xml:space="preserve">    </w:t>
      </w:r>
      <w:r>
        <w:rPr>
          <w:rFonts w:hint="eastAsia"/>
          <w:color w:val="auto"/>
        </w:rPr>
        <w:t>万元，属于</w:t>
      </w:r>
      <w:r>
        <w:rPr>
          <w:rFonts w:hint="eastAsia"/>
          <w:color w:val="auto"/>
          <w:u w:val="single"/>
        </w:rPr>
        <w:t xml:space="preserve">   （中型企业、小型企业、微型企业）     </w:t>
      </w:r>
      <w:r>
        <w:rPr>
          <w:rFonts w:hint="eastAsia"/>
          <w:color w:val="auto"/>
        </w:rPr>
        <w:t>；</w:t>
      </w:r>
    </w:p>
    <w:p w14:paraId="5C3F6615">
      <w:pPr>
        <w:widowControl/>
        <w:ind w:firstLine="630" w:firstLineChars="300"/>
        <w:jc w:val="left"/>
        <w:rPr>
          <w:rFonts w:hint="eastAsia" w:cs="宋体"/>
          <w:color w:val="auto"/>
          <w:kern w:val="0"/>
        </w:rPr>
      </w:pPr>
      <w:r>
        <w:rPr>
          <w:rFonts w:hint="eastAsia" w:cs="宋体"/>
          <w:color w:val="auto"/>
          <w:kern w:val="0"/>
        </w:rPr>
        <w:t>……</w:t>
      </w:r>
    </w:p>
    <w:p w14:paraId="073C2A05">
      <w:pPr>
        <w:widowControl/>
        <w:jc w:val="left"/>
        <w:rPr>
          <w:rFonts w:hint="eastAsia" w:cs="宋体"/>
          <w:color w:val="auto"/>
          <w:kern w:val="0"/>
        </w:rPr>
      </w:pPr>
      <w:r>
        <w:rPr>
          <w:rFonts w:hint="eastAsia" w:cs="宋体"/>
          <w:color w:val="auto"/>
          <w:kern w:val="0"/>
        </w:rPr>
        <w:t>以上企业，不属于大企业的分支机构，不存在控股股东为大企业的情形，也不存在与大企业的负责人为同一人的情形。</w:t>
      </w:r>
    </w:p>
    <w:p w14:paraId="2A24B4FE">
      <w:pPr>
        <w:widowControl/>
        <w:jc w:val="left"/>
        <w:rPr>
          <w:rFonts w:hint="eastAsia" w:cs="宋体"/>
          <w:color w:val="auto"/>
          <w:kern w:val="0"/>
        </w:rPr>
      </w:pPr>
      <w:r>
        <w:rPr>
          <w:rFonts w:hint="eastAsia" w:cs="宋体"/>
          <w:color w:val="auto"/>
          <w:kern w:val="0"/>
        </w:rPr>
        <w:t>本企业对上述声明内容的真实性负责。如有虚假，将依法承担相应责任。</w:t>
      </w:r>
    </w:p>
    <w:p w14:paraId="5D40506F">
      <w:pPr>
        <w:spacing w:line="480" w:lineRule="auto"/>
        <w:ind w:firstLine="0" w:firstLineChars="0"/>
        <w:rPr>
          <w:rFonts w:hint="eastAsia" w:cs="宋体"/>
          <w:color w:val="auto"/>
        </w:rPr>
      </w:pPr>
    </w:p>
    <w:p w14:paraId="075A9C34">
      <w:pPr>
        <w:spacing w:line="480" w:lineRule="auto"/>
        <w:ind w:firstLine="422"/>
        <w:rPr>
          <w:rFonts w:hint="eastAsia" w:cs="宋体"/>
          <w:b/>
          <w:bCs/>
          <w:color w:val="auto"/>
          <w:u w:val="single"/>
        </w:rPr>
      </w:pPr>
      <w:r>
        <w:rPr>
          <w:rFonts w:hint="eastAsia" w:cs="宋体"/>
          <w:b/>
          <w:bCs/>
          <w:color w:val="auto"/>
        </w:rPr>
        <w:t>投标人名称(电子签章)：</w:t>
      </w:r>
      <w:r>
        <w:rPr>
          <w:rFonts w:hint="eastAsia" w:cs="宋体"/>
          <w:b/>
          <w:bCs/>
          <w:color w:val="auto"/>
          <w:u w:val="single"/>
        </w:rPr>
        <w:t>　　　　     　</w:t>
      </w:r>
    </w:p>
    <w:p w14:paraId="3A271D41">
      <w:pPr>
        <w:spacing w:line="480" w:lineRule="auto"/>
        <w:ind w:firstLine="422"/>
        <w:rPr>
          <w:rFonts w:hint="eastAsia" w:cs="宋体"/>
          <w:b/>
          <w:bCs/>
          <w:color w:val="auto"/>
          <w:sz w:val="20"/>
          <w:szCs w:val="20"/>
        </w:rPr>
      </w:pPr>
      <w:r>
        <w:rPr>
          <w:rFonts w:hint="eastAsia" w:cs="宋体"/>
          <w:b/>
          <w:bCs/>
          <w:color w:val="auto"/>
        </w:rPr>
        <w:t>日 期：</w:t>
      </w:r>
      <w:r>
        <w:rPr>
          <w:rFonts w:hint="eastAsia" w:cs="宋体"/>
          <w:b/>
          <w:bCs/>
          <w:color w:val="auto"/>
          <w:u w:val="single"/>
        </w:rPr>
        <w:t>　　</w:t>
      </w:r>
      <w:r>
        <w:rPr>
          <w:rFonts w:hint="eastAsia" w:cs="宋体"/>
          <w:b/>
          <w:bCs/>
          <w:color w:val="auto"/>
        </w:rPr>
        <w:t>年</w:t>
      </w:r>
      <w:r>
        <w:rPr>
          <w:rFonts w:hint="eastAsia" w:cs="宋体"/>
          <w:b/>
          <w:bCs/>
          <w:color w:val="auto"/>
          <w:u w:val="single"/>
        </w:rPr>
        <w:t>　　</w:t>
      </w:r>
      <w:r>
        <w:rPr>
          <w:rFonts w:hint="eastAsia" w:cs="宋体"/>
          <w:b/>
          <w:bCs/>
          <w:color w:val="auto"/>
        </w:rPr>
        <w:t>月</w:t>
      </w:r>
      <w:r>
        <w:rPr>
          <w:rFonts w:hint="eastAsia" w:cs="宋体"/>
          <w:b/>
          <w:bCs/>
          <w:color w:val="auto"/>
          <w:u w:val="single"/>
        </w:rPr>
        <w:t>　　</w:t>
      </w:r>
      <w:r>
        <w:rPr>
          <w:rFonts w:hint="eastAsia" w:cs="宋体"/>
          <w:b/>
          <w:bCs/>
          <w:color w:val="auto"/>
        </w:rPr>
        <w:t>日</w:t>
      </w:r>
    </w:p>
    <w:p w14:paraId="099A2075">
      <w:pPr>
        <w:ind w:firstLine="361"/>
        <w:rPr>
          <w:rFonts w:hint="eastAsia" w:cs="宋体"/>
          <w:b/>
          <w:color w:val="auto"/>
          <w:sz w:val="18"/>
          <w:szCs w:val="18"/>
        </w:rPr>
      </w:pPr>
      <w:r>
        <w:rPr>
          <w:rFonts w:hint="eastAsia" w:cs="宋体"/>
          <w:b/>
          <w:bCs/>
          <w:color w:val="auto"/>
          <w:sz w:val="18"/>
          <w:szCs w:val="18"/>
        </w:rPr>
        <w:t>注：</w:t>
      </w:r>
      <w:r>
        <w:rPr>
          <w:rFonts w:hint="eastAsia" w:cs="宋体"/>
          <w:b/>
          <w:color w:val="auto"/>
          <w:sz w:val="18"/>
          <w:szCs w:val="18"/>
        </w:rPr>
        <w:t>1、若本次采购范围内所有标的物均由小微型企业承接或由以联合体形式投标的企业承接且联合体成员企业划型或小微企业承担的合同份额符合财政部门针对小微企业价格扣除政策要求的，应按上述格式出具《中小企业声明函》（注：小微企业为大企业的分支机构的、控股股东为大企业的或存在与大企业的负责人为同一人的除外）；否则不得享受相关中小企业扶持政策。</w:t>
      </w:r>
    </w:p>
    <w:p w14:paraId="78DBD3CF">
      <w:pPr>
        <w:ind w:firstLine="361"/>
        <w:rPr>
          <w:rFonts w:hint="eastAsia" w:cs="宋体"/>
          <w:b/>
          <w:color w:val="auto"/>
          <w:sz w:val="18"/>
          <w:szCs w:val="18"/>
        </w:rPr>
      </w:pPr>
      <w:bookmarkStart w:id="810" w:name="_Hlk110266515"/>
      <w:r>
        <w:rPr>
          <w:rFonts w:hint="eastAsia" w:cs="宋体"/>
          <w:b/>
          <w:color w:val="auto"/>
          <w:sz w:val="18"/>
          <w:szCs w:val="18"/>
        </w:rPr>
        <w:t>2、上述声明函中从业人员、营业收入、资产总额填报上一年度数据，无上一年度数据的新成立企业可不填报。</w:t>
      </w:r>
      <w:bookmarkEnd w:id="810"/>
    </w:p>
    <w:p w14:paraId="5624C465">
      <w:pPr>
        <w:ind w:firstLine="361"/>
        <w:rPr>
          <w:rFonts w:hint="eastAsia" w:ascii="宋体" w:hAnsi="宋体" w:eastAsia="宋体" w:cs="宋体"/>
          <w:b/>
          <w:color w:val="auto"/>
          <w:sz w:val="18"/>
          <w:szCs w:val="18"/>
        </w:rPr>
      </w:pPr>
      <w:bookmarkStart w:id="811" w:name="_Toc26783968"/>
      <w:bookmarkStart w:id="812" w:name="_Toc23023"/>
      <w:r>
        <w:rPr>
          <w:rFonts w:hint="eastAsia" w:cs="宋体"/>
          <w:b/>
          <w:color w:val="auto"/>
          <w:sz w:val="18"/>
          <w:szCs w:val="18"/>
          <w:lang w:val="en-US" w:eastAsia="zh-CN"/>
        </w:rPr>
        <w:t>3</w:t>
      </w:r>
      <w:r>
        <w:rPr>
          <w:rFonts w:hint="eastAsia" w:ascii="宋体" w:hAnsi="宋体" w:eastAsia="宋体" w:cs="宋体"/>
          <w:b/>
          <w:color w:val="auto"/>
          <w:sz w:val="18"/>
          <w:szCs w:val="18"/>
        </w:rPr>
        <w:t>、投标人须核对《关于印发中小企业划型标准规定的通知》（工信部联企业〔2011〕300号）规定的中小企业划型标准，如实填写声明函中相关信息。所声明的从业人员人数或营业收入金额不符合中小企业划型标准规定填写的，评标委员会将不予进行价格扣除。请各投标人如实填写相关信息。</w:t>
      </w:r>
    </w:p>
    <w:p w14:paraId="5B8F2AFC">
      <w:pPr>
        <w:pStyle w:val="2"/>
        <w:ind w:firstLine="361"/>
        <w:rPr>
          <w:rFonts w:hint="eastAsia" w:ascii="宋体" w:hAnsi="宋体" w:eastAsia="宋体" w:cs="宋体"/>
          <w:b/>
          <w:color w:val="auto"/>
          <w:sz w:val="18"/>
          <w:szCs w:val="18"/>
        </w:rPr>
      </w:pPr>
      <w:r>
        <w:rPr>
          <w:rFonts w:hint="eastAsia" w:cs="宋体"/>
          <w:b/>
          <w:color w:val="auto"/>
          <w:sz w:val="18"/>
          <w:szCs w:val="18"/>
          <w:lang w:val="en-US" w:eastAsia="zh-CN"/>
        </w:rPr>
        <w:t>4</w:t>
      </w:r>
      <w:r>
        <w:rPr>
          <w:rFonts w:hint="eastAsia" w:ascii="宋体" w:hAnsi="宋体" w:eastAsia="宋体" w:cs="宋体"/>
          <w:b/>
          <w:color w:val="auto"/>
          <w:sz w:val="18"/>
          <w:szCs w:val="18"/>
        </w:rPr>
        <w:t>、投标人提供声明函内容不实的，属于提供虚假材料谋取中标、成交，依照《中华人民共和国政府采购法》等国家有关规定追究相应责任。</w:t>
      </w:r>
    </w:p>
    <w:p w14:paraId="1E70ECA7">
      <w:pPr>
        <w:ind w:firstLine="361"/>
        <w:rPr>
          <w:rFonts w:hint="eastAsia" w:ascii="宋体" w:hAnsi="宋体" w:eastAsia="宋体" w:cs="宋体"/>
          <w:b/>
          <w:bCs/>
          <w:color w:val="auto"/>
          <w:sz w:val="18"/>
          <w:szCs w:val="18"/>
        </w:rPr>
      </w:pPr>
      <w:r>
        <w:rPr>
          <w:rFonts w:hint="eastAsia" w:cs="宋体"/>
          <w:b/>
          <w:bCs/>
          <w:color w:val="auto"/>
          <w:sz w:val="18"/>
          <w:szCs w:val="18"/>
          <w:lang w:val="en-US" w:eastAsia="zh-CN"/>
        </w:rPr>
        <w:t>5</w:t>
      </w:r>
      <w:r>
        <w:rPr>
          <w:rFonts w:hint="eastAsia" w:ascii="宋体" w:hAnsi="宋体" w:eastAsia="宋体" w:cs="宋体"/>
          <w:b/>
          <w:bCs/>
          <w:color w:val="auto"/>
          <w:sz w:val="18"/>
          <w:szCs w:val="18"/>
        </w:rPr>
        <w:t>、如不提供本函，视为自愿放弃小微企业扣减。（若投标文件中无上述材料，则在评审时不考虑对该小、微企业的相关优惠。）</w:t>
      </w:r>
    </w:p>
    <w:p w14:paraId="6D3373BE">
      <w:pPr>
        <w:ind w:firstLine="361"/>
        <w:rPr>
          <w:rFonts w:hint="eastAsia" w:ascii="宋体" w:hAnsi="宋体" w:eastAsia="宋体" w:cs="宋体"/>
          <w:b/>
          <w:bCs/>
          <w:color w:val="auto"/>
          <w:sz w:val="18"/>
          <w:szCs w:val="18"/>
        </w:rPr>
        <w:sectPr>
          <w:pgSz w:w="11900" w:h="16838"/>
          <w:pgMar w:top="1417" w:right="1417" w:bottom="1417" w:left="1417" w:header="850" w:footer="850" w:gutter="0"/>
          <w:cols w:space="0" w:num="1"/>
          <w:titlePg/>
          <w:docGrid w:linePitch="326" w:charSpace="0"/>
        </w:sectPr>
      </w:pPr>
      <w:r>
        <w:rPr>
          <w:rFonts w:hint="eastAsia" w:cs="宋体"/>
          <w:b/>
          <w:bCs/>
          <w:color w:val="auto"/>
          <w:sz w:val="18"/>
          <w:szCs w:val="18"/>
          <w:lang w:val="en-US" w:eastAsia="zh-CN"/>
        </w:rPr>
        <w:t>6</w:t>
      </w:r>
      <w:r>
        <w:rPr>
          <w:rFonts w:hint="eastAsia" w:ascii="宋体" w:hAnsi="宋体" w:eastAsia="宋体" w:cs="宋体"/>
          <w:b/>
          <w:bCs/>
          <w:color w:val="auto"/>
          <w:sz w:val="18"/>
          <w:szCs w:val="18"/>
        </w:rPr>
        <w:t>、如不是小微企业，则《中小企业声明函》可不填写也不用进行签字盖章，只需注明不是小微企业即可。</w:t>
      </w:r>
    </w:p>
    <w:p w14:paraId="25CEC3C7">
      <w:pPr>
        <w:ind w:firstLine="0" w:firstLineChars="0"/>
        <w:jc w:val="center"/>
        <w:outlineLvl w:val="2"/>
        <w:rPr>
          <w:rFonts w:hint="eastAsia" w:cs="宋体"/>
          <w:color w:val="auto"/>
          <w:sz w:val="30"/>
          <w:szCs w:val="30"/>
        </w:rPr>
      </w:pPr>
      <w:bookmarkStart w:id="813" w:name="_Toc2669"/>
      <w:r>
        <w:rPr>
          <w:rFonts w:hint="eastAsia" w:cs="宋体"/>
          <w:color w:val="auto"/>
          <w:sz w:val="30"/>
          <w:szCs w:val="30"/>
        </w:rPr>
        <w:t>（七）监狱企业</w:t>
      </w:r>
      <w:bookmarkEnd w:id="811"/>
      <w:bookmarkEnd w:id="812"/>
      <w:r>
        <w:rPr>
          <w:rFonts w:hint="eastAsia" w:cs="宋体"/>
          <w:color w:val="auto"/>
          <w:sz w:val="30"/>
          <w:szCs w:val="30"/>
        </w:rPr>
        <w:t>证明文件</w:t>
      </w:r>
      <w:bookmarkEnd w:id="813"/>
    </w:p>
    <w:p w14:paraId="08397A4B">
      <w:pPr>
        <w:ind w:firstLine="0" w:firstLineChars="0"/>
        <w:jc w:val="center"/>
        <w:rPr>
          <w:rFonts w:hint="eastAsia" w:cs="宋体"/>
          <w:color w:val="auto"/>
          <w:sz w:val="18"/>
          <w:u w:val="single"/>
        </w:rPr>
      </w:pPr>
      <w:r>
        <w:rPr>
          <w:rFonts w:hint="eastAsia" w:cs="宋体"/>
          <w:color w:val="auto"/>
          <w:szCs w:val="24"/>
        </w:rPr>
        <w:t>（不属于监狱企业的无需填写）</w:t>
      </w:r>
    </w:p>
    <w:p w14:paraId="20155049">
      <w:pPr>
        <w:jc w:val="left"/>
        <w:rPr>
          <w:rFonts w:hint="eastAsia" w:cs="宋体"/>
          <w:color w:val="auto"/>
        </w:rPr>
      </w:pPr>
      <w:r>
        <w:rPr>
          <w:rFonts w:hint="eastAsia" w:cs="宋体"/>
          <w:color w:val="auto"/>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CB5CD78">
      <w:pPr>
        <w:rPr>
          <w:rFonts w:hint="eastAsia" w:cs="宋体"/>
          <w:color w:val="auto"/>
          <w:sz w:val="24"/>
          <w:szCs w:val="24"/>
        </w:rPr>
      </w:pPr>
      <w:r>
        <w:rPr>
          <w:rFonts w:hint="eastAsia" w:cs="宋体"/>
          <w:color w:val="auto"/>
        </w:rPr>
        <w:t>监狱企业参加政府采购活动时，应当提供由省级以上监狱管理局、戒毒管理局（含新疆生产建设兵团）出具的属于监狱企业的证明文件。</w:t>
      </w:r>
    </w:p>
    <w:p w14:paraId="15986357">
      <w:pPr>
        <w:ind w:firstLine="480"/>
        <w:rPr>
          <w:rFonts w:hint="eastAsia" w:cs="宋体"/>
          <w:color w:val="auto"/>
          <w:sz w:val="24"/>
          <w:szCs w:val="24"/>
        </w:rPr>
      </w:pPr>
    </w:p>
    <w:p w14:paraId="1227C611">
      <w:pPr>
        <w:rPr>
          <w:rFonts w:hint="eastAsia" w:cs="宋体"/>
          <w:color w:val="auto"/>
          <w:u w:val="single"/>
        </w:rPr>
      </w:pPr>
    </w:p>
    <w:p w14:paraId="1AE63C44">
      <w:pPr>
        <w:ind w:firstLine="422"/>
        <w:rPr>
          <w:rFonts w:hint="eastAsia" w:cs="宋体"/>
          <w:b/>
          <w:color w:val="auto"/>
        </w:rPr>
      </w:pPr>
      <w:r>
        <w:rPr>
          <w:rFonts w:hint="eastAsia" w:cs="宋体"/>
          <w:b/>
          <w:color w:val="auto"/>
        </w:rPr>
        <w:t>注：1、符合条件的监狱企业在参加政府采购活动时，应当按《财政部 司法部关于政府采购支持监狱企业发展有关问题的通知》（财库[2014]68号）提供规定的《监狱企业证明文件》，并对提供的证明文件真实性负责。</w:t>
      </w:r>
    </w:p>
    <w:p w14:paraId="0DA2B820">
      <w:pPr>
        <w:spacing w:after="120"/>
        <w:ind w:firstLine="422"/>
        <w:rPr>
          <w:rFonts w:hint="eastAsia"/>
          <w:color w:val="auto"/>
        </w:rPr>
      </w:pPr>
      <w:r>
        <w:rPr>
          <w:rFonts w:hint="eastAsia" w:cs="仿宋"/>
          <w:b/>
          <w:color w:val="auto"/>
        </w:rPr>
        <w:t>2、如不是监狱企业的，可不提供《监狱企业证明文件》，只需注明不是监狱企业即可。</w:t>
      </w:r>
    </w:p>
    <w:p w14:paraId="367E58AD">
      <w:pPr>
        <w:ind w:firstLine="422"/>
        <w:rPr>
          <w:rFonts w:hint="eastAsia" w:cs="宋体"/>
          <w:b/>
          <w:color w:val="auto"/>
        </w:rPr>
      </w:pPr>
    </w:p>
    <w:p w14:paraId="281CAF67">
      <w:pPr>
        <w:ind w:firstLine="0" w:firstLineChars="0"/>
        <w:rPr>
          <w:rFonts w:hint="eastAsia" w:cs="宋体"/>
          <w:color w:val="auto"/>
        </w:rPr>
      </w:pPr>
      <w:r>
        <w:rPr>
          <w:rFonts w:hint="eastAsia" w:cs="宋体"/>
          <w:color w:val="auto"/>
        </w:rPr>
        <w:br w:type="page"/>
      </w:r>
    </w:p>
    <w:p w14:paraId="6F81D1FD">
      <w:pPr>
        <w:ind w:firstLine="0" w:firstLineChars="0"/>
        <w:jc w:val="center"/>
        <w:outlineLvl w:val="2"/>
        <w:rPr>
          <w:rFonts w:hint="eastAsia" w:cs="宋体"/>
          <w:color w:val="auto"/>
          <w:sz w:val="30"/>
          <w:szCs w:val="30"/>
        </w:rPr>
      </w:pPr>
      <w:bookmarkStart w:id="814" w:name="_Toc26783969"/>
      <w:bookmarkStart w:id="815" w:name="_Toc1482"/>
      <w:bookmarkStart w:id="816" w:name="_Toc21126"/>
      <w:bookmarkStart w:id="817" w:name="OLE_LINK14"/>
      <w:bookmarkStart w:id="818" w:name="OLE_LINK13"/>
      <w:r>
        <w:rPr>
          <w:rFonts w:hint="eastAsia" w:cs="宋体"/>
          <w:color w:val="auto"/>
          <w:sz w:val="30"/>
          <w:szCs w:val="30"/>
        </w:rPr>
        <w:t>（八）残疾人福利性单位声明函</w:t>
      </w:r>
      <w:bookmarkEnd w:id="814"/>
      <w:bookmarkEnd w:id="815"/>
      <w:bookmarkEnd w:id="816"/>
    </w:p>
    <w:bookmarkEnd w:id="817"/>
    <w:bookmarkEnd w:id="818"/>
    <w:p w14:paraId="6261D35D">
      <w:pPr>
        <w:ind w:firstLine="0" w:firstLineChars="0"/>
        <w:jc w:val="center"/>
        <w:rPr>
          <w:rFonts w:hint="eastAsia" w:cs="宋体"/>
          <w:b/>
          <w:color w:val="auto"/>
          <w:spacing w:val="6"/>
        </w:rPr>
      </w:pPr>
      <w:r>
        <w:rPr>
          <w:rFonts w:hint="eastAsia" w:cs="宋体"/>
          <w:color w:val="auto"/>
        </w:rPr>
        <w:t>（不属于残疾人福利性单位的无需填写）</w:t>
      </w:r>
    </w:p>
    <w:p w14:paraId="5DF68BBF">
      <w:pPr>
        <w:ind w:firstLine="444"/>
        <w:rPr>
          <w:rFonts w:hint="eastAsia" w:cs="宋体"/>
          <w:color w:val="auto"/>
          <w:spacing w:val="6"/>
        </w:rPr>
      </w:pPr>
      <w:bookmarkStart w:id="819" w:name="_Hlk110266551"/>
      <w:r>
        <w:rPr>
          <w:rFonts w:hint="eastAsia" w:cs="宋体"/>
          <w:color w:val="auto"/>
          <w:spacing w:val="6"/>
        </w:rPr>
        <w:t>本单位郑重声明，根据《财政部 民政部 中国残疾人联合会关于促进残疾人就业政府采购政策的通知》（财库</w:t>
      </w:r>
      <w:r>
        <w:rPr>
          <w:rFonts w:hint="eastAsia" w:cs="宋体"/>
          <w:color w:val="auto"/>
        </w:rPr>
        <w:t>〔2017〕 141</w:t>
      </w:r>
      <w:r>
        <w:rPr>
          <w:rFonts w:hint="eastAsia" w:cs="宋体"/>
          <w:color w:val="auto"/>
          <w:spacing w:val="6"/>
        </w:rPr>
        <w:t>号）的规定，本单位为符合条件的残疾人福利性单位，且本单位参加_____单位的_____项目采购活动提供本单位制造的货物，或者提供其他残疾人福利性单位制造的货物（不包括使用非残疾人福利性单位注册商标的货物）。</w:t>
      </w:r>
    </w:p>
    <w:p w14:paraId="565C0CFB">
      <w:pPr>
        <w:ind w:firstLine="444"/>
        <w:rPr>
          <w:rFonts w:hint="eastAsia" w:cs="宋体"/>
          <w:color w:val="auto"/>
          <w:spacing w:val="6"/>
        </w:rPr>
      </w:pPr>
      <w:r>
        <w:rPr>
          <w:rFonts w:hint="eastAsia" w:cs="宋体"/>
          <w:color w:val="auto"/>
          <w:spacing w:val="6"/>
        </w:rPr>
        <w:t>本单位对上述声明的真实性负责。如有虚假，将依法承担相应责任。</w:t>
      </w:r>
      <w:bookmarkEnd w:id="819"/>
    </w:p>
    <w:p w14:paraId="246AD6EC">
      <w:pPr>
        <w:ind w:firstLine="444"/>
        <w:rPr>
          <w:rFonts w:hint="eastAsia" w:cs="宋体"/>
          <w:color w:val="auto"/>
          <w:spacing w:val="6"/>
        </w:rPr>
      </w:pPr>
    </w:p>
    <w:p w14:paraId="31C3D821">
      <w:pPr>
        <w:spacing w:line="480" w:lineRule="auto"/>
        <w:ind w:firstLine="422"/>
        <w:rPr>
          <w:rFonts w:hint="eastAsia" w:cs="宋体"/>
          <w:b/>
          <w:bCs/>
          <w:color w:val="auto"/>
          <w:u w:val="single"/>
        </w:rPr>
      </w:pPr>
      <w:r>
        <w:rPr>
          <w:rFonts w:hint="eastAsia" w:cs="宋体"/>
          <w:b/>
          <w:bCs/>
          <w:color w:val="auto"/>
        </w:rPr>
        <w:t>投标人名称(电子签章)：</w:t>
      </w:r>
      <w:r>
        <w:rPr>
          <w:rFonts w:hint="eastAsia" w:cs="宋体"/>
          <w:b/>
          <w:bCs/>
          <w:color w:val="auto"/>
          <w:u w:val="single"/>
        </w:rPr>
        <w:t>　　　　     　</w:t>
      </w:r>
    </w:p>
    <w:p w14:paraId="41472CE6">
      <w:pPr>
        <w:spacing w:line="480" w:lineRule="auto"/>
        <w:ind w:firstLine="422"/>
        <w:rPr>
          <w:rFonts w:hint="eastAsia" w:cs="宋体"/>
          <w:b/>
          <w:bCs/>
          <w:color w:val="auto"/>
          <w:sz w:val="20"/>
          <w:szCs w:val="20"/>
        </w:rPr>
      </w:pPr>
      <w:r>
        <w:rPr>
          <w:rFonts w:hint="eastAsia" w:cs="宋体"/>
          <w:b/>
          <w:bCs/>
          <w:color w:val="auto"/>
        </w:rPr>
        <w:t>日 期：</w:t>
      </w:r>
      <w:r>
        <w:rPr>
          <w:rFonts w:hint="eastAsia" w:cs="宋体"/>
          <w:b/>
          <w:bCs/>
          <w:color w:val="auto"/>
          <w:u w:val="single"/>
        </w:rPr>
        <w:t>　　　　</w:t>
      </w:r>
      <w:r>
        <w:rPr>
          <w:rFonts w:hint="eastAsia" w:cs="宋体"/>
          <w:b/>
          <w:bCs/>
          <w:color w:val="auto"/>
        </w:rPr>
        <w:t>年</w:t>
      </w:r>
      <w:r>
        <w:rPr>
          <w:rFonts w:hint="eastAsia" w:cs="宋体"/>
          <w:b/>
          <w:bCs/>
          <w:color w:val="auto"/>
          <w:u w:val="single"/>
        </w:rPr>
        <w:t>　　</w:t>
      </w:r>
      <w:r>
        <w:rPr>
          <w:rFonts w:hint="eastAsia" w:cs="宋体"/>
          <w:b/>
          <w:bCs/>
          <w:color w:val="auto"/>
        </w:rPr>
        <w:t>月</w:t>
      </w:r>
      <w:r>
        <w:rPr>
          <w:rFonts w:hint="eastAsia" w:cs="宋体"/>
          <w:b/>
          <w:bCs/>
          <w:color w:val="auto"/>
          <w:u w:val="single"/>
        </w:rPr>
        <w:t>　　</w:t>
      </w:r>
      <w:r>
        <w:rPr>
          <w:rFonts w:hint="eastAsia" w:cs="宋体"/>
          <w:b/>
          <w:bCs/>
          <w:color w:val="auto"/>
        </w:rPr>
        <w:t>日</w:t>
      </w:r>
    </w:p>
    <w:p w14:paraId="62925542">
      <w:pPr>
        <w:tabs>
          <w:tab w:val="left" w:pos="4860"/>
        </w:tabs>
        <w:ind w:right="1560" w:firstLine="444"/>
        <w:jc w:val="left"/>
        <w:rPr>
          <w:rFonts w:hint="eastAsia" w:cs="宋体"/>
          <w:color w:val="auto"/>
          <w:spacing w:val="6"/>
        </w:rPr>
      </w:pPr>
    </w:p>
    <w:p w14:paraId="22DDBFC9">
      <w:pPr>
        <w:ind w:firstLine="446"/>
        <w:rPr>
          <w:rFonts w:hint="eastAsia" w:cs="宋体"/>
          <w:b/>
          <w:color w:val="auto"/>
          <w:spacing w:val="6"/>
        </w:rPr>
      </w:pPr>
      <w:r>
        <w:rPr>
          <w:rFonts w:hint="eastAsia" w:cs="宋体"/>
          <w:b/>
          <w:color w:val="auto"/>
          <w:spacing w:val="6"/>
        </w:rPr>
        <w:t>注：1、符合条件的残疾人福利性单位在参加政府采购活动时，应当</w:t>
      </w:r>
      <w:r>
        <w:rPr>
          <w:rFonts w:hint="eastAsia" w:cs="宋体"/>
          <w:b/>
          <w:color w:val="auto"/>
        </w:rPr>
        <w:t>按《三部门联合发布关于促进残疾人就业政府采购政策的通知》（财库〔2017〕141号）</w:t>
      </w:r>
      <w:r>
        <w:rPr>
          <w:rFonts w:hint="eastAsia" w:cs="宋体"/>
          <w:b/>
          <w:color w:val="auto"/>
          <w:spacing w:val="6"/>
        </w:rPr>
        <w:t>提供规定的《残疾人福利性单位声明函》，并对声明的真实性负责。采购代理机构在随中标、成交结果同时公告其《残疾人福利性单位声明函》，接受社会监督。投标人提供的《残疾人福利性单位声明函》与事实不符的，依照《政府采购法》第七十七条第一款的规定追究法律责任。</w:t>
      </w:r>
    </w:p>
    <w:p w14:paraId="301350B2">
      <w:pPr>
        <w:ind w:firstLine="422"/>
        <w:rPr>
          <w:rFonts w:hint="eastAsia" w:cs="宋体"/>
          <w:b/>
          <w:color w:val="auto"/>
        </w:rPr>
      </w:pPr>
      <w:r>
        <w:rPr>
          <w:rFonts w:hint="eastAsia" w:cs="宋体"/>
          <w:b/>
          <w:color w:val="auto"/>
        </w:rPr>
        <w:t>2、如不是残疾人福利性单位的，可不填写《残疾人福利性单位声明函》，也不用进行签字盖章，只需注明不是残疾人福利性单位即可。</w:t>
      </w:r>
    </w:p>
    <w:p w14:paraId="700B8BDC">
      <w:pPr>
        <w:tabs>
          <w:tab w:val="left" w:pos="4860"/>
        </w:tabs>
        <w:ind w:right="-2" w:firstLine="0" w:firstLineChars="0"/>
        <w:jc w:val="left"/>
        <w:rPr>
          <w:rFonts w:hint="eastAsia" w:cs="宋体"/>
          <w:color w:val="auto"/>
          <w:spacing w:val="6"/>
        </w:rPr>
      </w:pPr>
    </w:p>
    <w:p w14:paraId="060176E7">
      <w:pPr>
        <w:tabs>
          <w:tab w:val="left" w:pos="4860"/>
        </w:tabs>
        <w:ind w:right="1560" w:firstLine="0" w:firstLineChars="0"/>
        <w:jc w:val="left"/>
        <w:rPr>
          <w:rFonts w:hint="eastAsia" w:cs="宋体"/>
          <w:color w:val="auto"/>
          <w:spacing w:val="6"/>
        </w:rPr>
      </w:pPr>
      <w:r>
        <w:rPr>
          <w:rFonts w:hint="eastAsia" w:cs="宋体"/>
          <w:color w:val="auto"/>
          <w:spacing w:val="6"/>
        </w:rPr>
        <w:br w:type="page"/>
      </w:r>
    </w:p>
    <w:p w14:paraId="013B38B0">
      <w:pPr>
        <w:ind w:firstLine="0" w:firstLineChars="0"/>
        <w:jc w:val="center"/>
        <w:outlineLvl w:val="2"/>
        <w:rPr>
          <w:rFonts w:hint="eastAsia" w:cs="宋体"/>
          <w:color w:val="auto"/>
          <w:szCs w:val="24"/>
        </w:rPr>
      </w:pPr>
      <w:bookmarkStart w:id="820" w:name="_Toc21868"/>
      <w:bookmarkStart w:id="821" w:name="_Toc26783973"/>
      <w:bookmarkStart w:id="822" w:name="_Toc6228"/>
      <w:r>
        <w:rPr>
          <w:rFonts w:hint="eastAsia" w:cs="宋体"/>
          <w:color w:val="auto"/>
          <w:sz w:val="30"/>
          <w:szCs w:val="30"/>
        </w:rPr>
        <w:t>（九）商务条款偏离表</w:t>
      </w:r>
      <w:bookmarkEnd w:id="820"/>
      <w:bookmarkEnd w:id="821"/>
      <w:bookmarkEnd w:id="822"/>
    </w:p>
    <w:p w14:paraId="57FA7753">
      <w:pPr>
        <w:rPr>
          <w:rFonts w:hint="eastAsia" w:cs="宋体"/>
          <w:color w:val="auto"/>
        </w:rPr>
      </w:pPr>
      <w:bookmarkStart w:id="823" w:name="_Hlk478972650"/>
      <w:r>
        <w:rPr>
          <w:rFonts w:hint="eastAsia" w:cs="宋体"/>
          <w:color w:val="auto"/>
        </w:rPr>
        <w:t>请对应招标文件的</w:t>
      </w:r>
      <w:r>
        <w:rPr>
          <w:rFonts w:hint="eastAsia" w:cs="宋体"/>
          <w:b/>
          <w:color w:val="auto"/>
        </w:rPr>
        <w:t>“ 投标人须知前附表”、“采购需求”</w:t>
      </w:r>
      <w:r>
        <w:rPr>
          <w:rFonts w:hint="eastAsia" w:cs="宋体"/>
          <w:color w:val="auto"/>
        </w:rPr>
        <w:t>和</w:t>
      </w:r>
      <w:r>
        <w:rPr>
          <w:rFonts w:hint="eastAsia" w:cs="宋体"/>
          <w:b/>
          <w:color w:val="auto"/>
        </w:rPr>
        <w:t>“</w:t>
      </w:r>
      <w:r>
        <w:rPr>
          <w:rFonts w:hint="eastAsia" w:cs="宋体"/>
          <w:b/>
          <w:bCs/>
          <w:color w:val="auto"/>
        </w:rPr>
        <w:t>合同条款</w:t>
      </w:r>
      <w:r>
        <w:rPr>
          <w:rFonts w:hint="eastAsia" w:cs="宋体"/>
          <w:b/>
          <w:color w:val="auto"/>
        </w:rPr>
        <w:t>”</w:t>
      </w:r>
      <w:r>
        <w:rPr>
          <w:rFonts w:hint="eastAsia" w:cs="宋体"/>
          <w:color w:val="auto"/>
        </w:rPr>
        <w:t>中要求的主要商务条件（合同履行期限、配送地点、价款结算、履约保证金、违约责任）等要求，请认真填写该表</w:t>
      </w:r>
      <w:bookmarkEnd w:id="823"/>
      <w:r>
        <w:rPr>
          <w:rFonts w:hint="eastAsia" w:cs="宋体"/>
          <w:color w:val="auto"/>
        </w:rPr>
        <w:t>。</w:t>
      </w:r>
    </w:p>
    <w:p w14:paraId="3EC09E9E">
      <w:pPr>
        <w:spacing w:line="240" w:lineRule="auto"/>
        <w:ind w:firstLine="0" w:firstLineChars="0"/>
        <w:rPr>
          <w:rFonts w:hint="eastAsia" w:cs="宋体"/>
          <w:b/>
          <w:color w:val="auto"/>
        </w:rPr>
      </w:pPr>
    </w:p>
    <w:p w14:paraId="7E91F52D">
      <w:pPr>
        <w:ind w:firstLine="0" w:firstLineChars="0"/>
        <w:rPr>
          <w:rFonts w:hint="eastAsia" w:cs="宋体"/>
          <w:b/>
          <w:color w:val="auto"/>
          <w:u w:val="single"/>
        </w:rPr>
      </w:pPr>
      <w:r>
        <w:rPr>
          <w:rFonts w:hint="eastAsia" w:cs="宋体"/>
          <w:b/>
          <w:color w:val="auto"/>
        </w:rPr>
        <w:t>项目名称：                                             项目编号：</w:t>
      </w:r>
    </w:p>
    <w:tbl>
      <w:tblPr>
        <w:tblStyle w:val="30"/>
        <w:tblW w:w="9194" w:type="dxa"/>
        <w:tblInd w:w="-15"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28"/>
        <w:gridCol w:w="1721"/>
        <w:gridCol w:w="2274"/>
        <w:gridCol w:w="2256"/>
        <w:gridCol w:w="2315"/>
      </w:tblGrid>
      <w:tr w14:paraId="6C1D53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28" w:type="dxa"/>
            <w:vAlign w:val="center"/>
          </w:tcPr>
          <w:p w14:paraId="4077C120">
            <w:pPr>
              <w:spacing w:line="600" w:lineRule="exact"/>
              <w:ind w:firstLine="0" w:firstLineChars="0"/>
              <w:jc w:val="center"/>
              <w:rPr>
                <w:rFonts w:hint="eastAsia" w:cs="宋体"/>
                <w:b/>
                <w:color w:val="auto"/>
              </w:rPr>
            </w:pPr>
            <w:r>
              <w:rPr>
                <w:rFonts w:hint="eastAsia" w:cs="宋体"/>
                <w:b/>
                <w:color w:val="auto"/>
              </w:rPr>
              <w:t>序号</w:t>
            </w:r>
          </w:p>
        </w:tc>
        <w:tc>
          <w:tcPr>
            <w:tcW w:w="1721" w:type="dxa"/>
            <w:vAlign w:val="center"/>
          </w:tcPr>
          <w:p w14:paraId="4D38B32E">
            <w:pPr>
              <w:spacing w:line="600" w:lineRule="exact"/>
              <w:ind w:firstLine="0" w:firstLineChars="0"/>
              <w:jc w:val="center"/>
              <w:rPr>
                <w:rFonts w:hint="eastAsia" w:cs="宋体"/>
                <w:b/>
                <w:color w:val="auto"/>
              </w:rPr>
            </w:pPr>
            <w:r>
              <w:rPr>
                <w:rFonts w:hint="eastAsia" w:cs="宋体"/>
                <w:b/>
                <w:color w:val="auto"/>
              </w:rPr>
              <w:t>招标文件条目号</w:t>
            </w:r>
          </w:p>
        </w:tc>
        <w:tc>
          <w:tcPr>
            <w:tcW w:w="2274" w:type="dxa"/>
            <w:vAlign w:val="center"/>
          </w:tcPr>
          <w:p w14:paraId="133EBB4A">
            <w:pPr>
              <w:spacing w:line="600" w:lineRule="exact"/>
              <w:ind w:firstLine="0" w:firstLineChars="0"/>
              <w:jc w:val="center"/>
              <w:rPr>
                <w:rFonts w:hint="eastAsia" w:cs="宋体"/>
                <w:b/>
                <w:color w:val="auto"/>
              </w:rPr>
            </w:pPr>
            <w:r>
              <w:rPr>
                <w:rFonts w:hint="eastAsia" w:cs="宋体"/>
                <w:b/>
                <w:color w:val="auto"/>
              </w:rPr>
              <w:t>招标文件的商务条款</w:t>
            </w:r>
          </w:p>
        </w:tc>
        <w:tc>
          <w:tcPr>
            <w:tcW w:w="2256" w:type="dxa"/>
            <w:vAlign w:val="center"/>
          </w:tcPr>
          <w:p w14:paraId="68A3B59C">
            <w:pPr>
              <w:spacing w:line="600" w:lineRule="exact"/>
              <w:ind w:firstLine="0" w:firstLineChars="0"/>
              <w:jc w:val="center"/>
              <w:rPr>
                <w:rFonts w:hint="eastAsia" w:cs="宋体"/>
                <w:b/>
                <w:color w:val="auto"/>
              </w:rPr>
            </w:pPr>
            <w:r>
              <w:rPr>
                <w:rFonts w:hint="eastAsia" w:cs="宋体"/>
                <w:b/>
                <w:color w:val="auto"/>
              </w:rPr>
              <w:t>投标文件的商务条款</w:t>
            </w:r>
          </w:p>
        </w:tc>
        <w:tc>
          <w:tcPr>
            <w:tcW w:w="2315" w:type="dxa"/>
            <w:vAlign w:val="center"/>
          </w:tcPr>
          <w:p w14:paraId="6B7B168F">
            <w:pPr>
              <w:spacing w:line="600" w:lineRule="exact"/>
              <w:ind w:firstLine="0" w:firstLineChars="0"/>
              <w:jc w:val="center"/>
              <w:rPr>
                <w:rFonts w:hint="eastAsia" w:cs="宋体"/>
                <w:b/>
                <w:color w:val="auto"/>
              </w:rPr>
            </w:pPr>
            <w:r>
              <w:rPr>
                <w:rFonts w:hint="eastAsia" w:cs="宋体"/>
                <w:b/>
                <w:color w:val="auto"/>
              </w:rPr>
              <w:t>偏离说明</w:t>
            </w:r>
          </w:p>
        </w:tc>
      </w:tr>
      <w:tr w14:paraId="03462F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28" w:type="dxa"/>
          </w:tcPr>
          <w:p w14:paraId="3C1C1056">
            <w:pPr>
              <w:spacing w:line="600" w:lineRule="exact"/>
              <w:ind w:firstLine="0" w:firstLineChars="0"/>
              <w:rPr>
                <w:rFonts w:hint="eastAsia" w:cs="宋体"/>
                <w:color w:val="auto"/>
              </w:rPr>
            </w:pPr>
          </w:p>
        </w:tc>
        <w:tc>
          <w:tcPr>
            <w:tcW w:w="1721" w:type="dxa"/>
          </w:tcPr>
          <w:p w14:paraId="1BAB764E">
            <w:pPr>
              <w:spacing w:line="600" w:lineRule="exact"/>
              <w:ind w:firstLine="0" w:firstLineChars="0"/>
              <w:rPr>
                <w:rFonts w:hint="eastAsia" w:cs="宋体"/>
                <w:color w:val="auto"/>
              </w:rPr>
            </w:pPr>
          </w:p>
        </w:tc>
        <w:tc>
          <w:tcPr>
            <w:tcW w:w="2274" w:type="dxa"/>
          </w:tcPr>
          <w:p w14:paraId="1BE6579E">
            <w:pPr>
              <w:spacing w:line="600" w:lineRule="exact"/>
              <w:ind w:firstLine="0" w:firstLineChars="0"/>
              <w:rPr>
                <w:rFonts w:hint="eastAsia" w:cs="宋体"/>
                <w:color w:val="auto"/>
              </w:rPr>
            </w:pPr>
          </w:p>
        </w:tc>
        <w:tc>
          <w:tcPr>
            <w:tcW w:w="2256" w:type="dxa"/>
          </w:tcPr>
          <w:p w14:paraId="6EBC1499">
            <w:pPr>
              <w:spacing w:line="600" w:lineRule="exact"/>
              <w:ind w:firstLine="0" w:firstLineChars="0"/>
              <w:rPr>
                <w:rFonts w:hint="eastAsia" w:cs="宋体"/>
                <w:color w:val="auto"/>
              </w:rPr>
            </w:pPr>
          </w:p>
        </w:tc>
        <w:tc>
          <w:tcPr>
            <w:tcW w:w="2315" w:type="dxa"/>
          </w:tcPr>
          <w:p w14:paraId="406F275F">
            <w:pPr>
              <w:spacing w:line="600" w:lineRule="exact"/>
              <w:ind w:firstLine="0" w:firstLineChars="0"/>
              <w:rPr>
                <w:rFonts w:hint="eastAsia" w:cs="宋体"/>
                <w:color w:val="auto"/>
              </w:rPr>
            </w:pPr>
          </w:p>
        </w:tc>
      </w:tr>
      <w:tr w14:paraId="3BED93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28" w:type="dxa"/>
          </w:tcPr>
          <w:p w14:paraId="369F89E4">
            <w:pPr>
              <w:spacing w:line="600" w:lineRule="exact"/>
              <w:ind w:firstLine="0" w:firstLineChars="0"/>
              <w:rPr>
                <w:rFonts w:hint="eastAsia" w:cs="宋体"/>
                <w:color w:val="auto"/>
              </w:rPr>
            </w:pPr>
          </w:p>
        </w:tc>
        <w:tc>
          <w:tcPr>
            <w:tcW w:w="1721" w:type="dxa"/>
          </w:tcPr>
          <w:p w14:paraId="2179B059">
            <w:pPr>
              <w:spacing w:line="600" w:lineRule="exact"/>
              <w:ind w:firstLine="0" w:firstLineChars="0"/>
              <w:rPr>
                <w:rFonts w:hint="eastAsia" w:cs="宋体"/>
                <w:color w:val="auto"/>
              </w:rPr>
            </w:pPr>
          </w:p>
        </w:tc>
        <w:tc>
          <w:tcPr>
            <w:tcW w:w="2274" w:type="dxa"/>
          </w:tcPr>
          <w:p w14:paraId="546EF982">
            <w:pPr>
              <w:spacing w:line="600" w:lineRule="exact"/>
              <w:ind w:firstLine="0" w:firstLineChars="0"/>
              <w:rPr>
                <w:rFonts w:hint="eastAsia" w:cs="宋体"/>
                <w:color w:val="auto"/>
              </w:rPr>
            </w:pPr>
          </w:p>
        </w:tc>
        <w:tc>
          <w:tcPr>
            <w:tcW w:w="2256" w:type="dxa"/>
          </w:tcPr>
          <w:p w14:paraId="4066CC63">
            <w:pPr>
              <w:spacing w:line="600" w:lineRule="exact"/>
              <w:ind w:firstLine="0" w:firstLineChars="0"/>
              <w:rPr>
                <w:rFonts w:hint="eastAsia" w:cs="宋体"/>
                <w:color w:val="auto"/>
              </w:rPr>
            </w:pPr>
          </w:p>
        </w:tc>
        <w:tc>
          <w:tcPr>
            <w:tcW w:w="2315" w:type="dxa"/>
          </w:tcPr>
          <w:p w14:paraId="42BBDBD7">
            <w:pPr>
              <w:spacing w:line="600" w:lineRule="exact"/>
              <w:ind w:firstLine="0" w:firstLineChars="0"/>
              <w:rPr>
                <w:rFonts w:hint="eastAsia" w:cs="宋体"/>
                <w:color w:val="auto"/>
              </w:rPr>
            </w:pPr>
          </w:p>
        </w:tc>
      </w:tr>
      <w:tr w14:paraId="6B5704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28" w:type="dxa"/>
          </w:tcPr>
          <w:p w14:paraId="244D2C38">
            <w:pPr>
              <w:spacing w:line="600" w:lineRule="exact"/>
              <w:ind w:firstLine="0" w:firstLineChars="0"/>
              <w:rPr>
                <w:rFonts w:hint="eastAsia" w:cs="宋体"/>
                <w:color w:val="auto"/>
              </w:rPr>
            </w:pPr>
          </w:p>
        </w:tc>
        <w:tc>
          <w:tcPr>
            <w:tcW w:w="1721" w:type="dxa"/>
          </w:tcPr>
          <w:p w14:paraId="3FA63204">
            <w:pPr>
              <w:spacing w:line="600" w:lineRule="exact"/>
              <w:ind w:firstLine="0" w:firstLineChars="0"/>
              <w:rPr>
                <w:rFonts w:hint="eastAsia" w:cs="宋体"/>
                <w:color w:val="auto"/>
              </w:rPr>
            </w:pPr>
          </w:p>
        </w:tc>
        <w:tc>
          <w:tcPr>
            <w:tcW w:w="2274" w:type="dxa"/>
          </w:tcPr>
          <w:p w14:paraId="65D99CD7">
            <w:pPr>
              <w:spacing w:line="600" w:lineRule="exact"/>
              <w:ind w:firstLine="0" w:firstLineChars="0"/>
              <w:rPr>
                <w:rFonts w:hint="eastAsia" w:cs="宋体"/>
                <w:color w:val="auto"/>
              </w:rPr>
            </w:pPr>
          </w:p>
        </w:tc>
        <w:tc>
          <w:tcPr>
            <w:tcW w:w="2256" w:type="dxa"/>
          </w:tcPr>
          <w:p w14:paraId="6862D8B1">
            <w:pPr>
              <w:spacing w:line="600" w:lineRule="exact"/>
              <w:ind w:firstLine="0" w:firstLineChars="0"/>
              <w:rPr>
                <w:rFonts w:hint="eastAsia" w:cs="宋体"/>
                <w:color w:val="auto"/>
              </w:rPr>
            </w:pPr>
          </w:p>
        </w:tc>
        <w:tc>
          <w:tcPr>
            <w:tcW w:w="2315" w:type="dxa"/>
          </w:tcPr>
          <w:p w14:paraId="331FF06B">
            <w:pPr>
              <w:spacing w:line="600" w:lineRule="exact"/>
              <w:ind w:firstLine="0" w:firstLineChars="0"/>
              <w:rPr>
                <w:rFonts w:hint="eastAsia" w:cs="宋体"/>
                <w:color w:val="auto"/>
              </w:rPr>
            </w:pPr>
          </w:p>
        </w:tc>
      </w:tr>
      <w:tr w14:paraId="3BB7B6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28" w:type="dxa"/>
          </w:tcPr>
          <w:p w14:paraId="0461D9B8">
            <w:pPr>
              <w:spacing w:line="600" w:lineRule="exact"/>
              <w:ind w:firstLine="0" w:firstLineChars="0"/>
              <w:rPr>
                <w:rFonts w:hint="eastAsia" w:cs="宋体"/>
                <w:color w:val="auto"/>
              </w:rPr>
            </w:pPr>
          </w:p>
        </w:tc>
        <w:tc>
          <w:tcPr>
            <w:tcW w:w="1721" w:type="dxa"/>
          </w:tcPr>
          <w:p w14:paraId="38EA1613">
            <w:pPr>
              <w:spacing w:line="600" w:lineRule="exact"/>
              <w:ind w:firstLine="0" w:firstLineChars="0"/>
              <w:rPr>
                <w:rFonts w:hint="eastAsia" w:cs="宋体"/>
                <w:color w:val="auto"/>
              </w:rPr>
            </w:pPr>
          </w:p>
        </w:tc>
        <w:tc>
          <w:tcPr>
            <w:tcW w:w="2274" w:type="dxa"/>
          </w:tcPr>
          <w:p w14:paraId="075DB384">
            <w:pPr>
              <w:spacing w:line="600" w:lineRule="exact"/>
              <w:ind w:firstLine="0" w:firstLineChars="0"/>
              <w:rPr>
                <w:rFonts w:hint="eastAsia" w:cs="宋体"/>
                <w:color w:val="auto"/>
              </w:rPr>
            </w:pPr>
          </w:p>
        </w:tc>
        <w:tc>
          <w:tcPr>
            <w:tcW w:w="2256" w:type="dxa"/>
          </w:tcPr>
          <w:p w14:paraId="30BC95E9">
            <w:pPr>
              <w:spacing w:line="600" w:lineRule="exact"/>
              <w:ind w:firstLine="0" w:firstLineChars="0"/>
              <w:rPr>
                <w:rFonts w:hint="eastAsia" w:cs="宋体"/>
                <w:color w:val="auto"/>
              </w:rPr>
            </w:pPr>
          </w:p>
        </w:tc>
        <w:tc>
          <w:tcPr>
            <w:tcW w:w="2315" w:type="dxa"/>
          </w:tcPr>
          <w:p w14:paraId="4DCFE602">
            <w:pPr>
              <w:spacing w:line="600" w:lineRule="exact"/>
              <w:ind w:firstLine="0" w:firstLineChars="0"/>
              <w:rPr>
                <w:rFonts w:hint="eastAsia" w:cs="宋体"/>
                <w:color w:val="auto"/>
              </w:rPr>
            </w:pPr>
          </w:p>
        </w:tc>
      </w:tr>
      <w:tr w14:paraId="0B3CFF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28" w:type="dxa"/>
          </w:tcPr>
          <w:p w14:paraId="11ED2C79">
            <w:pPr>
              <w:spacing w:line="600" w:lineRule="exact"/>
              <w:ind w:firstLine="0" w:firstLineChars="0"/>
              <w:rPr>
                <w:rFonts w:hint="eastAsia" w:cs="宋体"/>
                <w:color w:val="auto"/>
              </w:rPr>
            </w:pPr>
          </w:p>
        </w:tc>
        <w:tc>
          <w:tcPr>
            <w:tcW w:w="1721" w:type="dxa"/>
          </w:tcPr>
          <w:p w14:paraId="52CFC871">
            <w:pPr>
              <w:spacing w:line="600" w:lineRule="exact"/>
              <w:ind w:firstLine="0" w:firstLineChars="0"/>
              <w:rPr>
                <w:rFonts w:hint="eastAsia" w:cs="宋体"/>
                <w:color w:val="auto"/>
              </w:rPr>
            </w:pPr>
          </w:p>
        </w:tc>
        <w:tc>
          <w:tcPr>
            <w:tcW w:w="2274" w:type="dxa"/>
          </w:tcPr>
          <w:p w14:paraId="08497085">
            <w:pPr>
              <w:spacing w:line="600" w:lineRule="exact"/>
              <w:ind w:firstLine="0" w:firstLineChars="0"/>
              <w:rPr>
                <w:rFonts w:hint="eastAsia" w:cs="宋体"/>
                <w:color w:val="auto"/>
              </w:rPr>
            </w:pPr>
          </w:p>
        </w:tc>
        <w:tc>
          <w:tcPr>
            <w:tcW w:w="2256" w:type="dxa"/>
          </w:tcPr>
          <w:p w14:paraId="046E4D27">
            <w:pPr>
              <w:spacing w:line="600" w:lineRule="exact"/>
              <w:ind w:firstLine="0" w:firstLineChars="0"/>
              <w:rPr>
                <w:rFonts w:hint="eastAsia" w:cs="宋体"/>
                <w:color w:val="auto"/>
              </w:rPr>
            </w:pPr>
          </w:p>
        </w:tc>
        <w:tc>
          <w:tcPr>
            <w:tcW w:w="2315" w:type="dxa"/>
          </w:tcPr>
          <w:p w14:paraId="16927270">
            <w:pPr>
              <w:spacing w:line="600" w:lineRule="exact"/>
              <w:ind w:firstLine="0" w:firstLineChars="0"/>
              <w:rPr>
                <w:rFonts w:hint="eastAsia" w:cs="宋体"/>
                <w:color w:val="auto"/>
              </w:rPr>
            </w:pPr>
          </w:p>
        </w:tc>
      </w:tr>
      <w:tr w14:paraId="6A82D5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28" w:type="dxa"/>
          </w:tcPr>
          <w:p w14:paraId="3E10FFFE">
            <w:pPr>
              <w:spacing w:line="600" w:lineRule="exact"/>
              <w:ind w:firstLine="0" w:firstLineChars="0"/>
              <w:rPr>
                <w:rFonts w:hint="eastAsia" w:cs="宋体"/>
                <w:color w:val="auto"/>
              </w:rPr>
            </w:pPr>
          </w:p>
        </w:tc>
        <w:tc>
          <w:tcPr>
            <w:tcW w:w="1721" w:type="dxa"/>
          </w:tcPr>
          <w:p w14:paraId="2D39998D">
            <w:pPr>
              <w:spacing w:line="600" w:lineRule="exact"/>
              <w:ind w:firstLine="0" w:firstLineChars="0"/>
              <w:rPr>
                <w:rFonts w:hint="eastAsia" w:cs="宋体"/>
                <w:color w:val="auto"/>
              </w:rPr>
            </w:pPr>
          </w:p>
        </w:tc>
        <w:tc>
          <w:tcPr>
            <w:tcW w:w="2274" w:type="dxa"/>
          </w:tcPr>
          <w:p w14:paraId="15C48DBE">
            <w:pPr>
              <w:spacing w:line="600" w:lineRule="exact"/>
              <w:ind w:firstLine="0" w:firstLineChars="0"/>
              <w:rPr>
                <w:rFonts w:hint="eastAsia" w:cs="宋体"/>
                <w:color w:val="auto"/>
              </w:rPr>
            </w:pPr>
          </w:p>
        </w:tc>
        <w:tc>
          <w:tcPr>
            <w:tcW w:w="2256" w:type="dxa"/>
          </w:tcPr>
          <w:p w14:paraId="307E6B7F">
            <w:pPr>
              <w:spacing w:line="600" w:lineRule="exact"/>
              <w:ind w:firstLine="0" w:firstLineChars="0"/>
              <w:rPr>
                <w:rFonts w:hint="eastAsia" w:cs="宋体"/>
                <w:color w:val="auto"/>
              </w:rPr>
            </w:pPr>
          </w:p>
        </w:tc>
        <w:tc>
          <w:tcPr>
            <w:tcW w:w="2315" w:type="dxa"/>
          </w:tcPr>
          <w:p w14:paraId="7CEEA6D3">
            <w:pPr>
              <w:spacing w:line="600" w:lineRule="exact"/>
              <w:ind w:firstLine="0" w:firstLineChars="0"/>
              <w:rPr>
                <w:rFonts w:hint="eastAsia" w:cs="宋体"/>
                <w:color w:val="auto"/>
              </w:rPr>
            </w:pPr>
          </w:p>
        </w:tc>
      </w:tr>
      <w:tr w14:paraId="421AAC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28" w:type="dxa"/>
          </w:tcPr>
          <w:p w14:paraId="384A4766">
            <w:pPr>
              <w:spacing w:line="600" w:lineRule="exact"/>
              <w:ind w:firstLine="0" w:firstLineChars="0"/>
              <w:rPr>
                <w:rFonts w:hint="eastAsia" w:cs="宋体"/>
                <w:color w:val="auto"/>
              </w:rPr>
            </w:pPr>
          </w:p>
        </w:tc>
        <w:tc>
          <w:tcPr>
            <w:tcW w:w="1721" w:type="dxa"/>
          </w:tcPr>
          <w:p w14:paraId="14A1D997">
            <w:pPr>
              <w:spacing w:line="600" w:lineRule="exact"/>
              <w:ind w:firstLine="0" w:firstLineChars="0"/>
              <w:rPr>
                <w:rFonts w:hint="eastAsia" w:cs="宋体"/>
                <w:color w:val="auto"/>
              </w:rPr>
            </w:pPr>
          </w:p>
        </w:tc>
        <w:tc>
          <w:tcPr>
            <w:tcW w:w="2274" w:type="dxa"/>
          </w:tcPr>
          <w:p w14:paraId="20253EEA">
            <w:pPr>
              <w:spacing w:line="600" w:lineRule="exact"/>
              <w:ind w:firstLine="0" w:firstLineChars="0"/>
              <w:rPr>
                <w:rFonts w:hint="eastAsia" w:cs="宋体"/>
                <w:color w:val="auto"/>
              </w:rPr>
            </w:pPr>
          </w:p>
        </w:tc>
        <w:tc>
          <w:tcPr>
            <w:tcW w:w="2256" w:type="dxa"/>
          </w:tcPr>
          <w:p w14:paraId="4FEB4E4E">
            <w:pPr>
              <w:spacing w:line="600" w:lineRule="exact"/>
              <w:ind w:firstLine="0" w:firstLineChars="0"/>
              <w:rPr>
                <w:rFonts w:hint="eastAsia" w:cs="宋体"/>
                <w:color w:val="auto"/>
              </w:rPr>
            </w:pPr>
          </w:p>
        </w:tc>
        <w:tc>
          <w:tcPr>
            <w:tcW w:w="2315" w:type="dxa"/>
          </w:tcPr>
          <w:p w14:paraId="1127E220">
            <w:pPr>
              <w:spacing w:line="600" w:lineRule="exact"/>
              <w:ind w:firstLine="0" w:firstLineChars="0"/>
              <w:rPr>
                <w:rFonts w:hint="eastAsia" w:cs="宋体"/>
                <w:color w:val="auto"/>
              </w:rPr>
            </w:pPr>
          </w:p>
        </w:tc>
      </w:tr>
      <w:tr w14:paraId="7B7B04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28" w:type="dxa"/>
          </w:tcPr>
          <w:p w14:paraId="145E8A5E">
            <w:pPr>
              <w:spacing w:line="600" w:lineRule="exact"/>
              <w:ind w:firstLine="0" w:firstLineChars="0"/>
              <w:rPr>
                <w:rFonts w:hint="eastAsia" w:cs="宋体"/>
                <w:color w:val="auto"/>
              </w:rPr>
            </w:pPr>
          </w:p>
        </w:tc>
        <w:tc>
          <w:tcPr>
            <w:tcW w:w="1721" w:type="dxa"/>
          </w:tcPr>
          <w:p w14:paraId="09EEE9C1">
            <w:pPr>
              <w:spacing w:line="600" w:lineRule="exact"/>
              <w:ind w:firstLine="0" w:firstLineChars="0"/>
              <w:rPr>
                <w:rFonts w:hint="eastAsia" w:cs="宋体"/>
                <w:color w:val="auto"/>
              </w:rPr>
            </w:pPr>
          </w:p>
        </w:tc>
        <w:tc>
          <w:tcPr>
            <w:tcW w:w="2274" w:type="dxa"/>
          </w:tcPr>
          <w:p w14:paraId="2D8A4E08">
            <w:pPr>
              <w:spacing w:line="600" w:lineRule="exact"/>
              <w:ind w:firstLine="0" w:firstLineChars="0"/>
              <w:rPr>
                <w:rFonts w:hint="eastAsia" w:cs="宋体"/>
                <w:color w:val="auto"/>
              </w:rPr>
            </w:pPr>
          </w:p>
        </w:tc>
        <w:tc>
          <w:tcPr>
            <w:tcW w:w="2256" w:type="dxa"/>
          </w:tcPr>
          <w:p w14:paraId="2DE0563C">
            <w:pPr>
              <w:spacing w:line="600" w:lineRule="exact"/>
              <w:ind w:firstLine="0" w:firstLineChars="0"/>
              <w:rPr>
                <w:rFonts w:hint="eastAsia" w:cs="宋体"/>
                <w:color w:val="auto"/>
              </w:rPr>
            </w:pPr>
          </w:p>
        </w:tc>
        <w:tc>
          <w:tcPr>
            <w:tcW w:w="2315" w:type="dxa"/>
          </w:tcPr>
          <w:p w14:paraId="125900A9">
            <w:pPr>
              <w:spacing w:line="600" w:lineRule="exact"/>
              <w:ind w:firstLine="0" w:firstLineChars="0"/>
              <w:rPr>
                <w:rFonts w:hint="eastAsia" w:cs="宋体"/>
                <w:color w:val="auto"/>
              </w:rPr>
            </w:pPr>
          </w:p>
        </w:tc>
      </w:tr>
    </w:tbl>
    <w:p w14:paraId="39590F78">
      <w:pPr>
        <w:spacing w:line="600" w:lineRule="exact"/>
        <w:ind w:firstLine="0" w:firstLineChars="0"/>
        <w:rPr>
          <w:rFonts w:hint="eastAsia" w:cs="宋体"/>
          <w:color w:val="auto"/>
        </w:rPr>
      </w:pPr>
      <w:r>
        <w:rPr>
          <w:rFonts w:hint="eastAsia" w:cs="宋体"/>
          <w:color w:val="auto"/>
        </w:rPr>
        <w:t>注：“偏离”系指“正偏离”、“负偏离”或“无偏离”。</w:t>
      </w:r>
    </w:p>
    <w:p w14:paraId="28B34716">
      <w:pPr>
        <w:spacing w:line="600" w:lineRule="exact"/>
        <w:ind w:firstLine="0" w:firstLineChars="0"/>
        <w:rPr>
          <w:rFonts w:hint="eastAsia" w:cs="宋体"/>
          <w:color w:val="auto"/>
          <w:sz w:val="22"/>
        </w:rPr>
      </w:pPr>
      <w:r>
        <w:rPr>
          <w:rFonts w:hint="eastAsia" w:cs="宋体"/>
          <w:b/>
          <w:color w:val="auto"/>
          <w:sz w:val="22"/>
        </w:rPr>
        <w:t>注：如无偏差，投标人不需要填表，但应声明：“</w:t>
      </w:r>
      <w:r>
        <w:rPr>
          <w:rFonts w:hint="eastAsia" w:cs="宋体"/>
          <w:b/>
          <w:color w:val="auto"/>
          <w:sz w:val="36"/>
          <w:szCs w:val="22"/>
        </w:rPr>
        <w:t>本投标文件完全响应招标文件所有商务条款的要求，无偏差</w:t>
      </w:r>
      <w:r>
        <w:rPr>
          <w:rFonts w:hint="eastAsia" w:cs="宋体"/>
          <w:b/>
          <w:color w:val="auto"/>
          <w:sz w:val="32"/>
        </w:rPr>
        <w:t>。</w:t>
      </w:r>
      <w:r>
        <w:rPr>
          <w:rFonts w:hint="eastAsia" w:cs="宋体"/>
          <w:b/>
          <w:color w:val="auto"/>
          <w:sz w:val="28"/>
          <w:szCs w:val="20"/>
        </w:rPr>
        <w:t>”</w:t>
      </w:r>
    </w:p>
    <w:p w14:paraId="00BADE54">
      <w:pPr>
        <w:spacing w:line="240" w:lineRule="auto"/>
        <w:ind w:firstLine="0" w:firstLineChars="0"/>
        <w:rPr>
          <w:rFonts w:hint="eastAsia" w:cs="宋体"/>
          <w:color w:val="auto"/>
        </w:rPr>
      </w:pPr>
    </w:p>
    <w:p w14:paraId="1BEFECFF">
      <w:pPr>
        <w:spacing w:line="240" w:lineRule="auto"/>
        <w:ind w:firstLine="0" w:firstLineChars="0"/>
        <w:rPr>
          <w:rFonts w:hint="eastAsia" w:cs="宋体"/>
          <w:color w:val="auto"/>
        </w:rPr>
      </w:pPr>
      <w:r>
        <w:rPr>
          <w:rFonts w:hint="eastAsia" w:cs="宋体"/>
          <w:color w:val="auto"/>
        </w:rPr>
        <w:br w:type="page"/>
      </w:r>
    </w:p>
    <w:p w14:paraId="5E63BA1E">
      <w:pPr>
        <w:ind w:firstLine="0" w:firstLineChars="0"/>
        <w:jc w:val="center"/>
        <w:outlineLvl w:val="2"/>
        <w:rPr>
          <w:rFonts w:hint="eastAsia" w:cs="宋体"/>
          <w:color w:val="auto"/>
          <w:sz w:val="30"/>
          <w:szCs w:val="30"/>
        </w:rPr>
      </w:pPr>
      <w:bookmarkStart w:id="824" w:name="_Toc6106"/>
      <w:r>
        <w:rPr>
          <w:rFonts w:hint="eastAsia" w:cs="宋体"/>
          <w:color w:val="auto"/>
          <w:sz w:val="30"/>
          <w:szCs w:val="30"/>
        </w:rPr>
        <w:t>（十）配送车辆及车辆日常管理措施</w:t>
      </w:r>
      <w:bookmarkEnd w:id="824"/>
    </w:p>
    <w:p w14:paraId="32E8012E">
      <w:pPr>
        <w:jc w:val="center"/>
        <w:rPr>
          <w:rFonts w:hint="eastAsia" w:cs="宋体"/>
          <w:color w:val="auto"/>
        </w:rPr>
      </w:pPr>
      <w:r>
        <w:rPr>
          <w:rFonts w:hint="eastAsia" w:cs="宋体"/>
          <w:color w:val="auto"/>
        </w:rPr>
        <w:t>根据招标文件及第七章评标办法要求自行编制</w:t>
      </w:r>
    </w:p>
    <w:p w14:paraId="09820FA4">
      <w:pPr>
        <w:ind w:left="420" w:firstLine="0" w:firstLineChars="0"/>
        <w:rPr>
          <w:rFonts w:hint="eastAsia" w:cs="宋体"/>
          <w:color w:val="auto"/>
        </w:rPr>
      </w:pPr>
    </w:p>
    <w:p w14:paraId="5D9EB675">
      <w:pPr>
        <w:ind w:firstLine="0" w:firstLineChars="0"/>
        <w:jc w:val="center"/>
        <w:outlineLvl w:val="2"/>
        <w:rPr>
          <w:rFonts w:hint="eastAsia" w:cs="宋体"/>
          <w:color w:val="auto"/>
          <w:sz w:val="30"/>
          <w:szCs w:val="30"/>
        </w:rPr>
      </w:pPr>
      <w:bookmarkStart w:id="825" w:name="_Toc6427"/>
      <w:r>
        <w:rPr>
          <w:rFonts w:hint="eastAsia" w:cs="宋体"/>
          <w:color w:val="auto"/>
          <w:sz w:val="30"/>
          <w:szCs w:val="30"/>
        </w:rPr>
        <w:t>（十一）拟派本项目人员配置</w:t>
      </w:r>
      <w:bookmarkEnd w:id="825"/>
    </w:p>
    <w:p w14:paraId="2CCA82F8">
      <w:pPr>
        <w:ind w:left="420" w:firstLine="0" w:firstLineChars="0"/>
        <w:rPr>
          <w:rFonts w:hint="eastAsia" w:cs="宋体"/>
          <w:color w:val="auto"/>
        </w:rPr>
      </w:pPr>
    </w:p>
    <w:p w14:paraId="700F1D1D">
      <w:pPr>
        <w:jc w:val="center"/>
        <w:rPr>
          <w:rFonts w:hint="eastAsia" w:cs="宋体"/>
          <w:color w:val="auto"/>
        </w:rPr>
      </w:pPr>
      <w:bookmarkStart w:id="826" w:name="_Toc15814"/>
      <w:r>
        <w:rPr>
          <w:rFonts w:hint="eastAsia" w:cs="宋体"/>
          <w:color w:val="auto"/>
        </w:rPr>
        <w:t>根据招标文件及第七章评标办法要求自行编制</w:t>
      </w:r>
    </w:p>
    <w:p w14:paraId="7DD24061">
      <w:pPr>
        <w:pStyle w:val="44"/>
        <w:rPr>
          <w:rFonts w:hint="eastAsia" w:eastAsia="宋体" w:cs="宋体"/>
          <w:b w:val="0"/>
          <w:bCs w:val="0"/>
          <w:color w:val="auto"/>
          <w:sz w:val="36"/>
          <w:szCs w:val="36"/>
        </w:rPr>
        <w:sectPr>
          <w:pgSz w:w="11900" w:h="16838"/>
          <w:pgMar w:top="1417" w:right="1417" w:bottom="1417" w:left="1417" w:header="850" w:footer="850" w:gutter="0"/>
          <w:cols w:space="0" w:num="1"/>
          <w:titlePg/>
          <w:docGrid w:linePitch="360" w:charSpace="0"/>
        </w:sectPr>
      </w:pPr>
    </w:p>
    <w:p w14:paraId="1B6E4E0D">
      <w:pPr>
        <w:numPr>
          <w:ilvl w:val="0"/>
          <w:numId w:val="10"/>
        </w:numPr>
        <w:ind w:firstLine="0" w:firstLineChars="0"/>
        <w:jc w:val="center"/>
        <w:outlineLvl w:val="2"/>
        <w:rPr>
          <w:rFonts w:hint="eastAsia" w:ascii="宋体" w:hAnsi="宋体" w:eastAsia="宋体" w:cs="宋体"/>
          <w:color w:val="auto"/>
          <w:sz w:val="30"/>
          <w:szCs w:val="30"/>
          <w:highlight w:val="none"/>
          <w:lang w:eastAsia="zh-CN"/>
        </w:rPr>
      </w:pPr>
      <w:bookmarkStart w:id="827" w:name="_Toc32233"/>
      <w:r>
        <w:rPr>
          <w:rFonts w:hint="eastAsia" w:ascii="宋体" w:hAnsi="宋体" w:eastAsia="宋体" w:cs="宋体"/>
          <w:color w:val="auto"/>
          <w:sz w:val="30"/>
          <w:szCs w:val="30"/>
          <w:highlight w:val="none"/>
          <w:lang w:eastAsia="zh-CN"/>
        </w:rPr>
        <w:t>投标保证金</w:t>
      </w:r>
      <w:bookmarkEnd w:id="827"/>
    </w:p>
    <w:p w14:paraId="63AF3F4E">
      <w:pPr>
        <w:shd w:val="clear"/>
        <w:topLinePunc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致</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名称）</w:t>
      </w:r>
    </w:p>
    <w:p w14:paraId="1A9EAC32">
      <w:pPr>
        <w:shd w:val="clear"/>
        <w:topLinePunct/>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鉴于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名称）向你单位承诺了愿意参加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（项目名称）的投标，我单位已在</w:t>
      </w:r>
      <w:r>
        <w:rPr>
          <w:rFonts w:hint="eastAsia" w:ascii="宋体" w:hAnsi="宋体" w:eastAsia="宋体" w:cs="宋体"/>
          <w:color w:val="auto"/>
          <w:sz w:val="24"/>
          <w:szCs w:val="24"/>
          <w:highlight w:val="none"/>
          <w:lang w:eastAsia="zh-CN"/>
        </w:rPr>
        <w:t>投标截止</w:t>
      </w:r>
      <w:r>
        <w:rPr>
          <w:rFonts w:hint="eastAsia" w:ascii="宋体" w:hAnsi="宋体" w:eastAsia="宋体" w:cs="宋体"/>
          <w:color w:val="auto"/>
          <w:sz w:val="24"/>
          <w:szCs w:val="24"/>
          <w:highlight w:val="none"/>
        </w:rPr>
        <w:t>日期前向</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提交</w:t>
      </w:r>
      <w:r>
        <w:rPr>
          <w:rFonts w:hint="eastAsia" w:ascii="宋体" w:hAnsi="宋体" w:eastAsia="宋体" w:cs="宋体"/>
          <w:color w:val="auto"/>
          <w:sz w:val="24"/>
          <w:szCs w:val="24"/>
          <w:highlight w:val="none"/>
          <w:lang w:eastAsia="zh-CN"/>
        </w:rPr>
        <w:t>投标保证金</w:t>
      </w:r>
      <w:r>
        <w:rPr>
          <w:rFonts w:hint="eastAsia" w:ascii="宋体" w:hAnsi="宋体" w:eastAsia="宋体" w:cs="宋体"/>
          <w:color w:val="auto"/>
          <w:sz w:val="24"/>
          <w:szCs w:val="24"/>
          <w:highlight w:val="none"/>
        </w:rPr>
        <w:t>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8CF79C4">
      <w:pPr>
        <w:shd w:val="clear"/>
        <w:topLinePunct/>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一旦</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在规定的投标有效期内撤销或修改其</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，无故不参加投标或在收到中标通知书后，无正当理由拒签合同协议书，或未按采购文件规定提交履约担保，我单位愿意将上述</w:t>
      </w:r>
      <w:r>
        <w:rPr>
          <w:rFonts w:hint="eastAsia" w:ascii="宋体" w:hAnsi="宋体" w:eastAsia="宋体" w:cs="宋体"/>
          <w:color w:val="auto"/>
          <w:sz w:val="24"/>
          <w:szCs w:val="24"/>
          <w:highlight w:val="none"/>
          <w:lang w:eastAsia="zh-CN"/>
        </w:rPr>
        <w:t>投标保证金</w:t>
      </w:r>
      <w:r>
        <w:rPr>
          <w:rFonts w:hint="eastAsia" w:ascii="宋体" w:hAnsi="宋体" w:eastAsia="宋体" w:cs="宋体"/>
          <w:color w:val="auto"/>
          <w:sz w:val="24"/>
          <w:szCs w:val="24"/>
          <w:highlight w:val="none"/>
        </w:rPr>
        <w:t>作为违约赔偿金由你单位收取。</w:t>
      </w:r>
    </w:p>
    <w:p w14:paraId="099F73F8">
      <w:pPr>
        <w:shd w:val="clear"/>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w:t>
      </w:r>
      <w:r>
        <w:rPr>
          <w:rFonts w:hint="eastAsia" w:ascii="宋体" w:hAnsi="宋体" w:eastAsia="宋体" w:cs="宋体"/>
          <w:color w:val="auto"/>
          <w:sz w:val="24"/>
          <w:szCs w:val="24"/>
          <w:highlight w:val="none"/>
          <w:lang w:val="en-US" w:eastAsia="zh-CN"/>
        </w:rPr>
        <w:t>开户许可证、</w:t>
      </w:r>
      <w:r>
        <w:rPr>
          <w:rFonts w:hint="eastAsia" w:ascii="宋体" w:hAnsi="宋体" w:eastAsia="宋体" w:cs="宋体"/>
          <w:color w:val="auto"/>
          <w:sz w:val="24"/>
          <w:szCs w:val="24"/>
          <w:highlight w:val="none"/>
          <w:lang w:eastAsia="zh-CN"/>
        </w:rPr>
        <w:t>投标保证金（</w:t>
      </w:r>
      <w:r>
        <w:rPr>
          <w:rFonts w:hint="eastAsia" w:ascii="宋体" w:hAnsi="宋体" w:eastAsia="宋体" w:cs="宋体"/>
          <w:color w:val="auto"/>
          <w:sz w:val="24"/>
          <w:szCs w:val="24"/>
          <w:highlight w:val="none"/>
          <w:lang w:val="en-US" w:eastAsia="zh-CN"/>
        </w:rPr>
        <w:t>支票、汇票、本票、保函、网银、电汇、转账、保证保险等非现金形式提交</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凭证</w:t>
      </w:r>
      <w:r>
        <w:rPr>
          <w:rFonts w:hint="eastAsia" w:ascii="宋体" w:hAnsi="宋体" w:eastAsia="宋体" w:cs="宋体"/>
          <w:color w:val="auto"/>
          <w:sz w:val="24"/>
          <w:szCs w:val="24"/>
          <w:highlight w:val="none"/>
        </w:rPr>
        <w:t>。</w:t>
      </w:r>
    </w:p>
    <w:p w14:paraId="616FC58D">
      <w:pPr>
        <w:shd w:val="clear"/>
        <w:spacing w:line="360" w:lineRule="auto"/>
        <w:jc w:val="both"/>
        <w:rPr>
          <w:rFonts w:hint="eastAsia" w:ascii="宋体" w:hAnsi="宋体" w:eastAsia="宋体" w:cs="宋体"/>
          <w:color w:val="auto"/>
          <w:sz w:val="24"/>
          <w:szCs w:val="24"/>
          <w:highlight w:val="none"/>
        </w:rPr>
      </w:pPr>
    </w:p>
    <w:p w14:paraId="4A3901FA">
      <w:pPr>
        <w:keepNext w:val="0"/>
        <w:keepLines w:val="0"/>
        <w:pageBreakBefore w:val="0"/>
        <w:widowControl w:val="0"/>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（加盖</w:t>
      </w:r>
      <w:r>
        <w:rPr>
          <w:rFonts w:hint="eastAsia" w:ascii="宋体" w:hAnsi="宋体" w:eastAsia="宋体" w:cs="宋体"/>
          <w:color w:val="auto"/>
          <w:sz w:val="24"/>
          <w:szCs w:val="24"/>
          <w:highlight w:val="none"/>
          <w:lang w:eastAsia="zh-CN"/>
        </w:rPr>
        <w:t>电子</w:t>
      </w:r>
      <w:r>
        <w:rPr>
          <w:rFonts w:hint="eastAsia" w:ascii="宋体" w:hAnsi="宋体" w:eastAsia="宋体" w:cs="宋体"/>
          <w:color w:val="auto"/>
          <w:sz w:val="24"/>
          <w:szCs w:val="24"/>
          <w:highlight w:val="none"/>
        </w:rPr>
        <w:t>公章）</w:t>
      </w:r>
    </w:p>
    <w:p w14:paraId="33563BE2">
      <w:pPr>
        <w:keepNext w:val="0"/>
        <w:keepLines w:val="0"/>
        <w:pageBreakBefore w:val="0"/>
        <w:widowControl w:val="0"/>
        <w:shd w:val="clear"/>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color w:val="auto"/>
          <w:sz w:val="24"/>
          <w:szCs w:val="24"/>
          <w:highlight w:val="none"/>
          <w:u w:val="single"/>
          <w:lang w:val="en-US" w:eastAsia="zh-CN"/>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（电子签名或电子签章）</w:t>
      </w:r>
    </w:p>
    <w:p w14:paraId="5ECF154B">
      <w:pPr>
        <w:keepNext w:val="0"/>
        <w:keepLines w:val="0"/>
        <w:pageBreakBefore w:val="0"/>
        <w:widowControl w:val="0"/>
        <w:shd w:val="clear"/>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val="0"/>
          <w:bCs/>
          <w:color w:val="auto"/>
          <w:sz w:val="21"/>
          <w:szCs w:val="21"/>
          <w:highlight w:val="none"/>
          <w:lang w:val="en-US" w:eastAsia="zh-CN"/>
        </w:rPr>
      </w:pPr>
      <w:bookmarkStart w:id="828" w:name="_Toc7521"/>
      <w:bookmarkStart w:id="829" w:name="_Toc18884"/>
      <w:r>
        <w:rPr>
          <w:rFonts w:hint="eastAsia" w:ascii="宋体" w:hAnsi="宋体" w:eastAsia="宋体" w:cs="宋体"/>
          <w:b w:val="0"/>
          <w:color w:val="auto"/>
          <w:kern w:val="2"/>
          <w:sz w:val="24"/>
          <w:szCs w:val="24"/>
          <w:highlight w:val="none"/>
          <w:lang w:val="en-US" w:eastAsia="zh-CN" w:bidi="ar-SA"/>
        </w:rPr>
        <w:t>日期：</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lang w:val="en-US" w:eastAsia="zh-CN"/>
        </w:rPr>
        <w:t>年</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lang w:val="en-US" w:eastAsia="zh-CN"/>
        </w:rPr>
        <w:t>月</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lang w:val="en-US" w:eastAsia="zh-CN"/>
        </w:rPr>
        <w:t>日</w:t>
      </w:r>
      <w:bookmarkEnd w:id="828"/>
      <w:bookmarkEnd w:id="829"/>
    </w:p>
    <w:p w14:paraId="031DD771">
      <w:pPr>
        <w:rPr>
          <w:rFonts w:hint="eastAsia"/>
          <w:color w:val="auto"/>
          <w:highlight w:val="none"/>
          <w:lang w:val="en-US" w:eastAsia="zh-CN"/>
        </w:rPr>
        <w:sectPr>
          <w:pgSz w:w="11906" w:h="16838"/>
          <w:pgMar w:top="1440" w:right="1080" w:bottom="1440" w:left="1080" w:header="851" w:footer="851" w:gutter="0"/>
          <w:pgNumType w:fmt="decimal"/>
          <w:cols w:space="708" w:num="1"/>
          <w:docGrid w:linePitch="312" w:charSpace="0"/>
        </w:sectPr>
      </w:pPr>
    </w:p>
    <w:p w14:paraId="465D746A">
      <w:pPr>
        <w:pStyle w:val="44"/>
        <w:rPr>
          <w:rFonts w:hint="eastAsia" w:eastAsia="宋体" w:cs="宋体"/>
          <w:b w:val="0"/>
          <w:bCs w:val="0"/>
          <w:color w:val="auto"/>
          <w:sz w:val="36"/>
          <w:szCs w:val="36"/>
        </w:rPr>
      </w:pPr>
      <w:bookmarkStart w:id="830" w:name="_Toc3902"/>
      <w:r>
        <w:rPr>
          <w:rFonts w:hint="eastAsia" w:eastAsia="宋体" w:cs="宋体"/>
          <w:b w:val="0"/>
          <w:bCs w:val="0"/>
          <w:color w:val="auto"/>
          <w:sz w:val="36"/>
          <w:szCs w:val="36"/>
        </w:rPr>
        <w:t>四、技术文件部分</w:t>
      </w:r>
      <w:bookmarkEnd w:id="778"/>
      <w:bookmarkEnd w:id="826"/>
      <w:bookmarkEnd w:id="830"/>
    </w:p>
    <w:p w14:paraId="0A47F076">
      <w:pPr>
        <w:ind w:firstLine="0" w:firstLineChars="0"/>
        <w:jc w:val="center"/>
        <w:outlineLvl w:val="2"/>
        <w:rPr>
          <w:rFonts w:hint="eastAsia" w:cs="宋体"/>
          <w:color w:val="auto"/>
        </w:rPr>
      </w:pPr>
      <w:bookmarkStart w:id="831" w:name="_Toc28588"/>
      <w:bookmarkStart w:id="832" w:name="_Toc25147"/>
      <w:r>
        <w:rPr>
          <w:rFonts w:hint="eastAsia" w:cs="宋体"/>
          <w:color w:val="auto"/>
          <w:sz w:val="30"/>
          <w:szCs w:val="30"/>
        </w:rPr>
        <w:t>（一）技术条款偏离表</w:t>
      </w:r>
      <w:bookmarkEnd w:id="831"/>
      <w:bookmarkEnd w:id="832"/>
    </w:p>
    <w:p w14:paraId="04E08C34">
      <w:pPr>
        <w:rPr>
          <w:rFonts w:hint="eastAsia" w:cs="宋体"/>
          <w:color w:val="auto"/>
        </w:rPr>
      </w:pPr>
      <w:r>
        <w:rPr>
          <w:rFonts w:hint="eastAsia" w:cs="宋体"/>
          <w:color w:val="auto"/>
        </w:rPr>
        <w:t>投标人应对应招标文件的第五章“采购需求”中要求的技术规范如实、完整、准确的填写该表，该表不能作为所投产品的技术文件。</w:t>
      </w:r>
    </w:p>
    <w:p w14:paraId="356F563F">
      <w:pPr>
        <w:spacing w:line="240" w:lineRule="auto"/>
        <w:ind w:firstLine="0" w:firstLineChars="0"/>
        <w:rPr>
          <w:rFonts w:hint="eastAsia" w:cs="宋体"/>
          <w:color w:val="auto"/>
        </w:rPr>
      </w:pPr>
    </w:p>
    <w:p w14:paraId="0B4C80F0">
      <w:pPr>
        <w:ind w:firstLine="0" w:firstLineChars="0"/>
        <w:rPr>
          <w:rFonts w:hint="eastAsia" w:cs="宋体"/>
          <w:b/>
          <w:color w:val="auto"/>
          <w:u w:val="single"/>
        </w:rPr>
      </w:pPr>
      <w:r>
        <w:rPr>
          <w:rFonts w:hint="eastAsia" w:cs="宋体"/>
          <w:b/>
          <w:color w:val="auto"/>
        </w:rPr>
        <w:t>项目名称：                                       项目编号：</w:t>
      </w:r>
    </w:p>
    <w:tbl>
      <w:tblPr>
        <w:tblStyle w:val="30"/>
        <w:tblW w:w="0" w:type="auto"/>
        <w:tblInd w:w="9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54"/>
        <w:gridCol w:w="1260"/>
        <w:gridCol w:w="1461"/>
        <w:gridCol w:w="2268"/>
        <w:gridCol w:w="1701"/>
        <w:gridCol w:w="1855"/>
      </w:tblGrid>
      <w:tr w14:paraId="7C50F4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3" w:hRule="atLeast"/>
        </w:trPr>
        <w:tc>
          <w:tcPr>
            <w:tcW w:w="554" w:type="dxa"/>
            <w:vAlign w:val="center"/>
          </w:tcPr>
          <w:p w14:paraId="10FB26B2">
            <w:pPr>
              <w:ind w:firstLine="0" w:firstLineChars="0"/>
              <w:jc w:val="center"/>
              <w:rPr>
                <w:rFonts w:hint="eastAsia" w:cs="宋体"/>
                <w:b/>
                <w:color w:val="auto"/>
              </w:rPr>
            </w:pPr>
            <w:r>
              <w:rPr>
                <w:rFonts w:hint="eastAsia" w:cs="宋体"/>
                <w:b/>
                <w:color w:val="auto"/>
              </w:rPr>
              <w:t>序号</w:t>
            </w:r>
          </w:p>
        </w:tc>
        <w:tc>
          <w:tcPr>
            <w:tcW w:w="1260" w:type="dxa"/>
            <w:vAlign w:val="center"/>
          </w:tcPr>
          <w:p w14:paraId="0E08344A">
            <w:pPr>
              <w:ind w:firstLine="0" w:firstLineChars="0"/>
              <w:jc w:val="center"/>
              <w:rPr>
                <w:rFonts w:hint="eastAsia" w:cs="宋体"/>
                <w:b/>
                <w:color w:val="auto"/>
              </w:rPr>
            </w:pPr>
            <w:r>
              <w:rPr>
                <w:rFonts w:hint="eastAsia" w:cs="宋体"/>
                <w:b/>
                <w:color w:val="auto"/>
              </w:rPr>
              <w:t>名称</w:t>
            </w:r>
          </w:p>
        </w:tc>
        <w:tc>
          <w:tcPr>
            <w:tcW w:w="1461" w:type="dxa"/>
            <w:vAlign w:val="center"/>
          </w:tcPr>
          <w:p w14:paraId="6BCAA225">
            <w:pPr>
              <w:ind w:firstLine="0" w:firstLineChars="0"/>
              <w:jc w:val="center"/>
              <w:rPr>
                <w:rFonts w:hint="eastAsia" w:cs="宋体"/>
                <w:b/>
                <w:color w:val="auto"/>
              </w:rPr>
            </w:pPr>
            <w:r>
              <w:rPr>
                <w:rFonts w:hint="eastAsia" w:cs="宋体"/>
                <w:b/>
                <w:color w:val="auto"/>
              </w:rPr>
              <w:t>招标文件技术规范、要求</w:t>
            </w:r>
          </w:p>
        </w:tc>
        <w:tc>
          <w:tcPr>
            <w:tcW w:w="2268" w:type="dxa"/>
            <w:vAlign w:val="center"/>
          </w:tcPr>
          <w:p w14:paraId="57BB462C">
            <w:pPr>
              <w:ind w:firstLine="0" w:firstLineChars="0"/>
              <w:jc w:val="center"/>
              <w:rPr>
                <w:rFonts w:hint="eastAsia" w:cs="宋体"/>
                <w:b/>
                <w:color w:val="auto"/>
              </w:rPr>
            </w:pPr>
            <w:r>
              <w:rPr>
                <w:rFonts w:hint="eastAsia" w:cs="宋体"/>
                <w:b/>
                <w:color w:val="auto"/>
              </w:rPr>
              <w:t>投标技术响应</w:t>
            </w:r>
          </w:p>
        </w:tc>
        <w:tc>
          <w:tcPr>
            <w:tcW w:w="1701" w:type="dxa"/>
            <w:vAlign w:val="center"/>
          </w:tcPr>
          <w:p w14:paraId="467FF301">
            <w:pPr>
              <w:ind w:firstLine="0" w:firstLineChars="0"/>
              <w:jc w:val="center"/>
              <w:rPr>
                <w:rFonts w:hint="eastAsia" w:cs="宋体"/>
                <w:b/>
                <w:color w:val="auto"/>
              </w:rPr>
            </w:pPr>
            <w:r>
              <w:rPr>
                <w:rFonts w:hint="eastAsia" w:cs="宋体"/>
                <w:b/>
                <w:color w:val="auto"/>
              </w:rPr>
              <w:t>偏离</w:t>
            </w:r>
          </w:p>
        </w:tc>
        <w:tc>
          <w:tcPr>
            <w:tcW w:w="1855" w:type="dxa"/>
            <w:vAlign w:val="center"/>
          </w:tcPr>
          <w:p w14:paraId="359A5238">
            <w:pPr>
              <w:ind w:firstLine="0" w:firstLineChars="0"/>
              <w:jc w:val="center"/>
              <w:rPr>
                <w:rFonts w:hint="eastAsia" w:cs="宋体"/>
                <w:b/>
                <w:color w:val="auto"/>
              </w:rPr>
            </w:pPr>
            <w:r>
              <w:rPr>
                <w:rFonts w:hint="eastAsia" w:cs="宋体"/>
                <w:b/>
                <w:color w:val="auto"/>
              </w:rPr>
              <w:t>备注</w:t>
            </w:r>
          </w:p>
        </w:tc>
      </w:tr>
      <w:tr w14:paraId="612FC0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05" w:hRule="atLeast"/>
        </w:trPr>
        <w:tc>
          <w:tcPr>
            <w:tcW w:w="554" w:type="dxa"/>
            <w:vAlign w:val="center"/>
          </w:tcPr>
          <w:p w14:paraId="48C2A6A1">
            <w:pPr>
              <w:ind w:firstLine="0" w:firstLineChars="0"/>
              <w:jc w:val="center"/>
              <w:rPr>
                <w:rFonts w:hint="eastAsia" w:cs="宋体"/>
                <w:color w:val="auto"/>
              </w:rPr>
            </w:pPr>
          </w:p>
        </w:tc>
        <w:tc>
          <w:tcPr>
            <w:tcW w:w="1260" w:type="dxa"/>
            <w:vAlign w:val="center"/>
          </w:tcPr>
          <w:p w14:paraId="6E7F4D6B">
            <w:pPr>
              <w:ind w:firstLine="0" w:firstLineChars="0"/>
              <w:jc w:val="center"/>
              <w:rPr>
                <w:rFonts w:hint="eastAsia" w:cs="宋体"/>
                <w:color w:val="auto"/>
              </w:rPr>
            </w:pPr>
          </w:p>
        </w:tc>
        <w:tc>
          <w:tcPr>
            <w:tcW w:w="1461" w:type="dxa"/>
            <w:vAlign w:val="center"/>
          </w:tcPr>
          <w:p w14:paraId="24CA0765">
            <w:pPr>
              <w:ind w:firstLine="0" w:firstLineChars="0"/>
              <w:jc w:val="center"/>
              <w:rPr>
                <w:rFonts w:hint="eastAsia" w:cs="宋体"/>
                <w:color w:val="auto"/>
              </w:rPr>
            </w:pPr>
          </w:p>
        </w:tc>
        <w:tc>
          <w:tcPr>
            <w:tcW w:w="2268" w:type="dxa"/>
            <w:vAlign w:val="center"/>
          </w:tcPr>
          <w:p w14:paraId="758A7B8A">
            <w:pPr>
              <w:ind w:firstLine="0" w:firstLineChars="0"/>
              <w:jc w:val="center"/>
              <w:rPr>
                <w:rFonts w:hint="eastAsia" w:cs="宋体"/>
                <w:color w:val="auto"/>
              </w:rPr>
            </w:pPr>
          </w:p>
        </w:tc>
        <w:tc>
          <w:tcPr>
            <w:tcW w:w="1701" w:type="dxa"/>
          </w:tcPr>
          <w:p w14:paraId="5CB252C5">
            <w:pPr>
              <w:ind w:firstLine="0" w:firstLineChars="0"/>
              <w:jc w:val="center"/>
              <w:rPr>
                <w:rFonts w:hint="eastAsia" w:cs="宋体"/>
                <w:color w:val="auto"/>
              </w:rPr>
            </w:pPr>
          </w:p>
        </w:tc>
        <w:tc>
          <w:tcPr>
            <w:tcW w:w="1855" w:type="dxa"/>
            <w:vAlign w:val="center"/>
          </w:tcPr>
          <w:p w14:paraId="401E304D">
            <w:pPr>
              <w:ind w:firstLine="0" w:firstLineChars="0"/>
              <w:jc w:val="center"/>
              <w:rPr>
                <w:rFonts w:hint="eastAsia" w:cs="宋体"/>
                <w:color w:val="auto"/>
              </w:rPr>
            </w:pPr>
          </w:p>
        </w:tc>
      </w:tr>
      <w:tr w14:paraId="728004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554" w:type="dxa"/>
            <w:vAlign w:val="center"/>
          </w:tcPr>
          <w:p w14:paraId="7FFAE578">
            <w:pPr>
              <w:ind w:firstLine="0" w:firstLineChars="0"/>
              <w:jc w:val="center"/>
              <w:rPr>
                <w:rFonts w:hint="eastAsia" w:cs="宋体"/>
                <w:color w:val="auto"/>
              </w:rPr>
            </w:pPr>
          </w:p>
        </w:tc>
        <w:tc>
          <w:tcPr>
            <w:tcW w:w="1260" w:type="dxa"/>
            <w:vAlign w:val="center"/>
          </w:tcPr>
          <w:p w14:paraId="57421D49">
            <w:pPr>
              <w:ind w:firstLine="0" w:firstLineChars="0"/>
              <w:jc w:val="center"/>
              <w:rPr>
                <w:rFonts w:hint="eastAsia" w:cs="宋体"/>
                <w:color w:val="auto"/>
              </w:rPr>
            </w:pPr>
          </w:p>
        </w:tc>
        <w:tc>
          <w:tcPr>
            <w:tcW w:w="1461" w:type="dxa"/>
            <w:vAlign w:val="center"/>
          </w:tcPr>
          <w:p w14:paraId="1E6A5A8E">
            <w:pPr>
              <w:ind w:firstLine="0" w:firstLineChars="0"/>
              <w:jc w:val="center"/>
              <w:rPr>
                <w:rFonts w:hint="eastAsia" w:cs="宋体"/>
                <w:color w:val="auto"/>
              </w:rPr>
            </w:pPr>
          </w:p>
        </w:tc>
        <w:tc>
          <w:tcPr>
            <w:tcW w:w="2268" w:type="dxa"/>
            <w:vAlign w:val="center"/>
          </w:tcPr>
          <w:p w14:paraId="7120B5AD">
            <w:pPr>
              <w:ind w:firstLine="0" w:firstLineChars="0"/>
              <w:jc w:val="center"/>
              <w:rPr>
                <w:rFonts w:hint="eastAsia" w:cs="宋体"/>
                <w:color w:val="auto"/>
              </w:rPr>
            </w:pPr>
          </w:p>
        </w:tc>
        <w:tc>
          <w:tcPr>
            <w:tcW w:w="1701" w:type="dxa"/>
          </w:tcPr>
          <w:p w14:paraId="0EE6A19D">
            <w:pPr>
              <w:ind w:firstLine="0" w:firstLineChars="0"/>
              <w:jc w:val="center"/>
              <w:rPr>
                <w:rFonts w:hint="eastAsia" w:cs="宋体"/>
                <w:color w:val="auto"/>
              </w:rPr>
            </w:pPr>
          </w:p>
        </w:tc>
        <w:tc>
          <w:tcPr>
            <w:tcW w:w="1855" w:type="dxa"/>
            <w:vAlign w:val="center"/>
          </w:tcPr>
          <w:p w14:paraId="40D2CFF0">
            <w:pPr>
              <w:ind w:firstLine="0" w:firstLineChars="0"/>
              <w:jc w:val="center"/>
              <w:rPr>
                <w:rFonts w:hint="eastAsia" w:cs="宋体"/>
                <w:color w:val="auto"/>
              </w:rPr>
            </w:pPr>
          </w:p>
        </w:tc>
      </w:tr>
      <w:tr w14:paraId="75A49A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9" w:hRule="atLeast"/>
        </w:trPr>
        <w:tc>
          <w:tcPr>
            <w:tcW w:w="554" w:type="dxa"/>
            <w:vAlign w:val="center"/>
          </w:tcPr>
          <w:p w14:paraId="342A3216">
            <w:pPr>
              <w:ind w:firstLine="0" w:firstLineChars="0"/>
              <w:jc w:val="center"/>
              <w:rPr>
                <w:rFonts w:hint="eastAsia" w:cs="宋体"/>
                <w:color w:val="auto"/>
              </w:rPr>
            </w:pPr>
          </w:p>
        </w:tc>
        <w:tc>
          <w:tcPr>
            <w:tcW w:w="1260" w:type="dxa"/>
            <w:vAlign w:val="center"/>
          </w:tcPr>
          <w:p w14:paraId="51D04B56">
            <w:pPr>
              <w:ind w:firstLine="0" w:firstLineChars="0"/>
              <w:jc w:val="center"/>
              <w:rPr>
                <w:rFonts w:hint="eastAsia" w:cs="宋体"/>
                <w:color w:val="auto"/>
              </w:rPr>
            </w:pPr>
          </w:p>
        </w:tc>
        <w:tc>
          <w:tcPr>
            <w:tcW w:w="1461" w:type="dxa"/>
            <w:vAlign w:val="center"/>
          </w:tcPr>
          <w:p w14:paraId="3EE6F7D0">
            <w:pPr>
              <w:ind w:firstLine="0" w:firstLineChars="0"/>
              <w:jc w:val="center"/>
              <w:rPr>
                <w:rFonts w:hint="eastAsia" w:cs="宋体"/>
                <w:color w:val="auto"/>
              </w:rPr>
            </w:pPr>
          </w:p>
        </w:tc>
        <w:tc>
          <w:tcPr>
            <w:tcW w:w="2268" w:type="dxa"/>
            <w:vAlign w:val="center"/>
          </w:tcPr>
          <w:p w14:paraId="3DBDAAAC">
            <w:pPr>
              <w:ind w:firstLine="0" w:firstLineChars="0"/>
              <w:jc w:val="center"/>
              <w:rPr>
                <w:rFonts w:hint="eastAsia" w:cs="宋体"/>
                <w:color w:val="auto"/>
              </w:rPr>
            </w:pPr>
          </w:p>
        </w:tc>
        <w:tc>
          <w:tcPr>
            <w:tcW w:w="1701" w:type="dxa"/>
          </w:tcPr>
          <w:p w14:paraId="30496698">
            <w:pPr>
              <w:ind w:firstLine="0" w:firstLineChars="0"/>
              <w:jc w:val="center"/>
              <w:rPr>
                <w:rFonts w:hint="eastAsia" w:cs="宋体"/>
                <w:color w:val="auto"/>
              </w:rPr>
            </w:pPr>
          </w:p>
        </w:tc>
        <w:tc>
          <w:tcPr>
            <w:tcW w:w="1855" w:type="dxa"/>
            <w:vAlign w:val="center"/>
          </w:tcPr>
          <w:p w14:paraId="0AF1B475">
            <w:pPr>
              <w:ind w:firstLine="0" w:firstLineChars="0"/>
              <w:jc w:val="center"/>
              <w:rPr>
                <w:rFonts w:hint="eastAsia" w:cs="宋体"/>
                <w:color w:val="auto"/>
              </w:rPr>
            </w:pPr>
          </w:p>
        </w:tc>
      </w:tr>
    </w:tbl>
    <w:p w14:paraId="46D3DAC7">
      <w:pPr>
        <w:ind w:firstLine="0" w:firstLineChars="0"/>
        <w:rPr>
          <w:rFonts w:hint="eastAsia" w:cs="宋体"/>
          <w:b/>
          <w:color w:val="auto"/>
        </w:rPr>
      </w:pPr>
      <w:r>
        <w:rPr>
          <w:rFonts w:hint="eastAsia" w:cs="宋体"/>
          <w:b/>
          <w:color w:val="auto"/>
        </w:rPr>
        <w:t>表格填写说明：</w:t>
      </w:r>
    </w:p>
    <w:p w14:paraId="487CED91">
      <w:pPr>
        <w:rPr>
          <w:rFonts w:hint="eastAsia" w:cs="宋体"/>
          <w:color w:val="auto"/>
        </w:rPr>
      </w:pPr>
      <w:r>
        <w:rPr>
          <w:rFonts w:hint="eastAsia" w:cs="宋体"/>
          <w:color w:val="auto"/>
        </w:rPr>
        <w:t>1、</w:t>
      </w:r>
      <w:bookmarkStart w:id="833" w:name="_Hlk502312282"/>
      <w:r>
        <w:rPr>
          <w:rFonts w:hint="eastAsia" w:cs="宋体"/>
          <w:color w:val="auto"/>
        </w:rPr>
        <w:t>表格中“名称”及“招标文件技术规范、要求”可按“采购需求”内容复制</w:t>
      </w:r>
      <w:bookmarkEnd w:id="833"/>
      <w:r>
        <w:rPr>
          <w:rFonts w:hint="eastAsia" w:cs="宋体"/>
          <w:color w:val="auto"/>
        </w:rPr>
        <w:t>。</w:t>
      </w:r>
    </w:p>
    <w:p w14:paraId="7BB2B561">
      <w:pPr>
        <w:rPr>
          <w:rFonts w:hint="eastAsia" w:cs="宋体"/>
          <w:b/>
          <w:color w:val="auto"/>
        </w:rPr>
      </w:pPr>
      <w:r>
        <w:rPr>
          <w:rFonts w:hint="eastAsia" w:cs="宋体"/>
          <w:color w:val="auto"/>
        </w:rPr>
        <w:t>2、表格中“投标技术响应”请投标人根据实际投标情况如实、完整、准确地填写，请勿复制、粘贴招标要求。</w:t>
      </w:r>
      <w:r>
        <w:rPr>
          <w:rFonts w:hint="eastAsia" w:cs="宋体"/>
          <w:b/>
          <w:color w:val="auto"/>
        </w:rPr>
        <w:t>若由于投标人的疏忽大意或未能完整、如实填写，导致的一切后果由投标人自行承担。</w:t>
      </w:r>
    </w:p>
    <w:p w14:paraId="11E5450D">
      <w:pPr>
        <w:rPr>
          <w:rFonts w:hint="eastAsia" w:cs="宋体"/>
          <w:color w:val="auto"/>
        </w:rPr>
      </w:pPr>
      <w:r>
        <w:rPr>
          <w:rFonts w:hint="eastAsia" w:cs="宋体"/>
          <w:color w:val="auto"/>
        </w:rPr>
        <w:t>3、表格中“偏离”部分，投标人只能如实填写“正偏离”、“负偏离”或“无偏离”。凡投标内容与招标文件要求有区别的在说明栏中写明。</w:t>
      </w:r>
    </w:p>
    <w:p w14:paraId="2396AC1C">
      <w:pPr>
        <w:spacing w:line="276" w:lineRule="auto"/>
        <w:ind w:firstLine="0" w:firstLineChars="0"/>
        <w:rPr>
          <w:rFonts w:hint="eastAsia" w:cs="宋体"/>
          <w:color w:val="auto"/>
        </w:rPr>
      </w:pPr>
    </w:p>
    <w:p w14:paraId="5494515E">
      <w:pPr>
        <w:widowControl/>
        <w:spacing w:line="240" w:lineRule="auto"/>
        <w:ind w:firstLine="0" w:firstLineChars="0"/>
        <w:jc w:val="left"/>
        <w:rPr>
          <w:rFonts w:hint="eastAsia" w:cs="宋体"/>
          <w:color w:val="auto"/>
          <w:sz w:val="30"/>
          <w:szCs w:val="30"/>
        </w:rPr>
      </w:pPr>
      <w:r>
        <w:rPr>
          <w:rFonts w:cs="宋体"/>
          <w:color w:val="auto"/>
          <w:sz w:val="30"/>
          <w:szCs w:val="30"/>
        </w:rPr>
        <w:br w:type="page"/>
      </w:r>
    </w:p>
    <w:p w14:paraId="66558456">
      <w:pPr>
        <w:ind w:firstLine="0" w:firstLineChars="0"/>
        <w:jc w:val="center"/>
        <w:outlineLvl w:val="2"/>
        <w:rPr>
          <w:rFonts w:hint="eastAsia" w:cs="宋体"/>
          <w:color w:val="auto"/>
          <w:sz w:val="30"/>
          <w:szCs w:val="30"/>
        </w:rPr>
      </w:pPr>
      <w:bookmarkStart w:id="834" w:name="_Toc22029"/>
      <w:r>
        <w:rPr>
          <w:rFonts w:hint="eastAsia" w:cs="宋体"/>
          <w:color w:val="auto"/>
          <w:sz w:val="30"/>
          <w:szCs w:val="30"/>
        </w:rPr>
        <w:t>（二）产品技术证明资料</w:t>
      </w:r>
      <w:bookmarkEnd w:id="834"/>
    </w:p>
    <w:p w14:paraId="0FE1B634">
      <w:pPr>
        <w:jc w:val="center"/>
        <w:rPr>
          <w:rFonts w:hint="eastAsia" w:cs="宋体"/>
          <w:color w:val="auto"/>
        </w:rPr>
      </w:pPr>
      <w:r>
        <w:rPr>
          <w:rFonts w:hint="eastAsia" w:cs="宋体"/>
          <w:color w:val="auto"/>
        </w:rPr>
        <w:t>根据招标文件及第七章评标办法要求自行编制</w:t>
      </w:r>
    </w:p>
    <w:p w14:paraId="79C2D318">
      <w:pPr>
        <w:ind w:firstLine="0" w:firstLineChars="0"/>
        <w:jc w:val="center"/>
        <w:outlineLvl w:val="2"/>
        <w:rPr>
          <w:rFonts w:hint="eastAsia" w:cs="宋体"/>
          <w:color w:val="auto"/>
          <w:sz w:val="30"/>
          <w:szCs w:val="30"/>
        </w:rPr>
      </w:pPr>
      <w:bookmarkStart w:id="835" w:name="_Toc32027"/>
      <w:r>
        <w:rPr>
          <w:rFonts w:hint="eastAsia" w:cs="宋体"/>
          <w:color w:val="auto"/>
          <w:sz w:val="30"/>
          <w:szCs w:val="30"/>
        </w:rPr>
        <w:t>（三）产品质量保证措施</w:t>
      </w:r>
      <w:bookmarkEnd w:id="835"/>
    </w:p>
    <w:p w14:paraId="03814699">
      <w:pPr>
        <w:jc w:val="center"/>
        <w:rPr>
          <w:rFonts w:hint="eastAsia" w:cs="宋体"/>
          <w:color w:val="auto"/>
        </w:rPr>
      </w:pPr>
      <w:r>
        <w:rPr>
          <w:rFonts w:hint="eastAsia" w:cs="宋体"/>
          <w:color w:val="auto"/>
        </w:rPr>
        <w:t>根据招标文件及第七章评标办法要求自行编制</w:t>
      </w:r>
    </w:p>
    <w:p w14:paraId="42294996">
      <w:pPr>
        <w:ind w:firstLine="0" w:firstLineChars="0"/>
        <w:jc w:val="center"/>
        <w:outlineLvl w:val="2"/>
        <w:rPr>
          <w:rFonts w:hint="eastAsia" w:cs="宋体"/>
          <w:color w:val="auto"/>
          <w:sz w:val="30"/>
          <w:szCs w:val="30"/>
        </w:rPr>
      </w:pPr>
      <w:bookmarkStart w:id="836" w:name="_Toc26063"/>
      <w:r>
        <w:rPr>
          <w:rFonts w:hint="eastAsia" w:cs="宋体"/>
          <w:color w:val="auto"/>
          <w:sz w:val="30"/>
          <w:szCs w:val="30"/>
        </w:rPr>
        <w:t>（四）针对本项目配送服务方案</w:t>
      </w:r>
      <w:bookmarkEnd w:id="836"/>
    </w:p>
    <w:p w14:paraId="44F8E1B9">
      <w:pPr>
        <w:jc w:val="center"/>
        <w:rPr>
          <w:rFonts w:hint="eastAsia" w:cs="宋体"/>
          <w:color w:val="auto"/>
        </w:rPr>
      </w:pPr>
      <w:r>
        <w:rPr>
          <w:rFonts w:hint="eastAsia" w:cs="宋体"/>
          <w:color w:val="auto"/>
        </w:rPr>
        <w:t>根据招标文件及第七章评标办法要求自行编制</w:t>
      </w:r>
    </w:p>
    <w:p w14:paraId="1AF85512">
      <w:pPr>
        <w:ind w:left="420" w:firstLine="0" w:firstLineChars="0"/>
        <w:rPr>
          <w:rFonts w:hint="eastAsia" w:cs="宋体"/>
          <w:color w:val="auto"/>
        </w:rPr>
      </w:pPr>
    </w:p>
    <w:p w14:paraId="43E4455E">
      <w:pPr>
        <w:ind w:firstLine="0" w:firstLineChars="0"/>
        <w:jc w:val="center"/>
        <w:outlineLvl w:val="2"/>
        <w:rPr>
          <w:rFonts w:hint="eastAsia" w:cs="宋体"/>
          <w:color w:val="auto"/>
          <w:sz w:val="30"/>
          <w:szCs w:val="30"/>
        </w:rPr>
      </w:pPr>
      <w:bookmarkStart w:id="837" w:name="_Toc3270"/>
      <w:r>
        <w:rPr>
          <w:rFonts w:hint="eastAsia" w:cs="宋体"/>
          <w:color w:val="auto"/>
          <w:sz w:val="30"/>
          <w:szCs w:val="30"/>
        </w:rPr>
        <w:t>（五）售后处理方案及承诺</w:t>
      </w:r>
      <w:bookmarkEnd w:id="837"/>
    </w:p>
    <w:p w14:paraId="2745F8F9">
      <w:pPr>
        <w:jc w:val="center"/>
        <w:rPr>
          <w:rFonts w:hint="eastAsia" w:cs="宋体"/>
          <w:color w:val="auto"/>
        </w:rPr>
      </w:pPr>
      <w:r>
        <w:rPr>
          <w:rFonts w:hint="eastAsia" w:cs="宋体"/>
          <w:color w:val="auto"/>
        </w:rPr>
        <w:t>根据招标文件及第七章评标办法要求自行编制</w:t>
      </w:r>
    </w:p>
    <w:p w14:paraId="426D296C">
      <w:pPr>
        <w:ind w:left="420" w:firstLine="0" w:firstLineChars="0"/>
        <w:rPr>
          <w:rFonts w:hint="eastAsia" w:cs="宋体"/>
          <w:color w:val="auto"/>
        </w:rPr>
      </w:pPr>
    </w:p>
    <w:p w14:paraId="70DADA37">
      <w:pPr>
        <w:ind w:firstLine="0" w:firstLineChars="0"/>
        <w:jc w:val="center"/>
        <w:outlineLvl w:val="2"/>
        <w:rPr>
          <w:rFonts w:hint="eastAsia" w:cs="宋体"/>
          <w:color w:val="auto"/>
          <w:sz w:val="30"/>
          <w:szCs w:val="30"/>
        </w:rPr>
      </w:pPr>
      <w:bookmarkStart w:id="838" w:name="_Toc17561"/>
      <w:bookmarkStart w:id="839" w:name="_Toc24795"/>
      <w:r>
        <w:rPr>
          <w:rFonts w:hint="eastAsia" w:cs="宋体"/>
          <w:color w:val="auto"/>
          <w:sz w:val="30"/>
          <w:szCs w:val="30"/>
        </w:rPr>
        <w:t>（六）食品卫生安全承诺及保证措施</w:t>
      </w:r>
      <w:bookmarkEnd w:id="838"/>
    </w:p>
    <w:p w14:paraId="16F262D9">
      <w:pPr>
        <w:jc w:val="center"/>
        <w:rPr>
          <w:rFonts w:hint="eastAsia" w:cs="宋体"/>
          <w:color w:val="auto"/>
        </w:rPr>
      </w:pPr>
      <w:r>
        <w:rPr>
          <w:rFonts w:hint="eastAsia" w:cs="宋体"/>
          <w:color w:val="auto"/>
        </w:rPr>
        <w:t>根据招标文件及第七章评标办法要求自行编制</w:t>
      </w:r>
    </w:p>
    <w:p w14:paraId="6BC6E3D7">
      <w:pPr>
        <w:ind w:firstLine="0" w:firstLineChars="0"/>
        <w:jc w:val="center"/>
        <w:outlineLvl w:val="2"/>
        <w:rPr>
          <w:rFonts w:hint="eastAsia" w:cs="宋体"/>
          <w:color w:val="auto"/>
          <w:sz w:val="30"/>
          <w:szCs w:val="30"/>
        </w:rPr>
      </w:pPr>
      <w:bookmarkStart w:id="840" w:name="_Toc26412"/>
      <w:r>
        <w:rPr>
          <w:rFonts w:hint="eastAsia" w:cs="宋体"/>
          <w:color w:val="auto"/>
          <w:sz w:val="30"/>
          <w:szCs w:val="30"/>
        </w:rPr>
        <w:t>（七）</w:t>
      </w:r>
      <w:bookmarkEnd w:id="839"/>
      <w:r>
        <w:rPr>
          <w:rFonts w:hint="eastAsia" w:cs="宋体"/>
          <w:color w:val="auto"/>
          <w:sz w:val="30"/>
          <w:szCs w:val="30"/>
        </w:rPr>
        <w:t>应急预案</w:t>
      </w:r>
      <w:bookmarkEnd w:id="840"/>
    </w:p>
    <w:p w14:paraId="481F941C">
      <w:pPr>
        <w:jc w:val="center"/>
        <w:rPr>
          <w:rFonts w:hint="eastAsia" w:cs="宋体"/>
          <w:color w:val="auto"/>
        </w:rPr>
      </w:pPr>
      <w:r>
        <w:rPr>
          <w:rFonts w:hint="eastAsia" w:cs="宋体"/>
          <w:color w:val="auto"/>
        </w:rPr>
        <w:t>根据招标文件及第七章评标办法要求自行编制</w:t>
      </w:r>
    </w:p>
    <w:p w14:paraId="7E81CA50">
      <w:pPr>
        <w:ind w:firstLine="0" w:firstLineChars="0"/>
        <w:jc w:val="center"/>
        <w:outlineLvl w:val="2"/>
        <w:rPr>
          <w:rFonts w:hint="eastAsia" w:cs="宋体"/>
          <w:color w:val="auto"/>
          <w:sz w:val="30"/>
          <w:szCs w:val="30"/>
        </w:rPr>
      </w:pPr>
      <w:bookmarkStart w:id="841" w:name="_Toc28861"/>
      <w:r>
        <w:rPr>
          <w:rFonts w:hint="eastAsia" w:cs="宋体"/>
          <w:color w:val="auto"/>
          <w:sz w:val="30"/>
          <w:szCs w:val="30"/>
        </w:rPr>
        <w:t>（八）违约责任承诺</w:t>
      </w:r>
      <w:bookmarkEnd w:id="841"/>
    </w:p>
    <w:p w14:paraId="543B5E97">
      <w:pPr>
        <w:jc w:val="center"/>
        <w:rPr>
          <w:rFonts w:hint="eastAsia" w:cs="宋体"/>
          <w:color w:val="auto"/>
        </w:rPr>
      </w:pPr>
      <w:r>
        <w:rPr>
          <w:rFonts w:hint="eastAsia" w:cs="宋体"/>
          <w:color w:val="auto"/>
        </w:rPr>
        <w:t>根据招标文件及第七章评标办法要求自行编制</w:t>
      </w:r>
    </w:p>
    <w:p w14:paraId="04A8A6B1">
      <w:pPr>
        <w:spacing w:line="240" w:lineRule="auto"/>
        <w:ind w:firstLine="0" w:firstLineChars="0"/>
        <w:rPr>
          <w:rFonts w:hint="eastAsia" w:cs="宋体"/>
          <w:color w:val="auto"/>
        </w:rPr>
      </w:pPr>
    </w:p>
    <w:p w14:paraId="24C2C549">
      <w:pPr>
        <w:ind w:firstLine="0" w:firstLineChars="0"/>
        <w:jc w:val="center"/>
        <w:outlineLvl w:val="2"/>
        <w:rPr>
          <w:rFonts w:hint="eastAsia" w:ascii="宋体" w:hAnsi="宋体" w:eastAsia="宋体" w:cs="宋体"/>
          <w:color w:val="auto"/>
          <w:sz w:val="32"/>
          <w:szCs w:val="18"/>
        </w:rPr>
        <w:sectPr>
          <w:footerReference r:id="rId13" w:type="default"/>
          <w:pgSz w:w="11900" w:h="16838"/>
          <w:pgMar w:top="1417" w:right="1417" w:bottom="1417" w:left="1417" w:header="850" w:footer="850" w:gutter="0"/>
          <w:cols w:space="0" w:num="1"/>
          <w:titlePg/>
          <w:docGrid w:linePitch="360" w:charSpace="0"/>
        </w:sectPr>
      </w:pPr>
      <w:bookmarkStart w:id="842" w:name="_Hlk478978464"/>
      <w:bookmarkStart w:id="843" w:name="_Toc20959"/>
      <w:r>
        <w:rPr>
          <w:rFonts w:hint="eastAsia" w:cs="宋体"/>
          <w:color w:val="auto"/>
          <w:sz w:val="30"/>
          <w:szCs w:val="30"/>
        </w:rPr>
        <w:t>（九）招标文件要求及投标人认为有必要提供的其它资料。</w:t>
      </w:r>
      <w:bookmarkEnd w:id="842"/>
      <w:bookmarkEnd w:id="843"/>
      <w:bookmarkStart w:id="844" w:name="_Toc28020"/>
    </w:p>
    <w:p w14:paraId="782A6B89">
      <w:pPr>
        <w:pStyle w:val="3"/>
        <w:spacing w:before="120" w:after="120"/>
        <w:ind w:firstLine="723"/>
        <w:rPr>
          <w:rFonts w:hint="eastAsia" w:ascii="宋体" w:hAnsi="宋体" w:eastAsia="宋体" w:cs="宋体"/>
          <w:color w:val="auto"/>
          <w:sz w:val="32"/>
          <w:szCs w:val="18"/>
        </w:rPr>
      </w:pPr>
      <w:bookmarkStart w:id="845" w:name="_Toc32742"/>
      <w:r>
        <w:rPr>
          <w:rFonts w:hint="eastAsia" w:ascii="宋体" w:hAnsi="宋体" w:eastAsia="宋体" w:cs="宋体"/>
          <w:color w:val="auto"/>
          <w:sz w:val="32"/>
          <w:szCs w:val="18"/>
        </w:rPr>
        <w:t>第五章 采购需求</w:t>
      </w:r>
      <w:bookmarkEnd w:id="844"/>
      <w:bookmarkEnd w:id="845"/>
    </w:p>
    <w:p w14:paraId="0F956756">
      <w:pPr>
        <w:pStyle w:val="9"/>
        <w:rPr>
          <w:rFonts w:hint="eastAsia"/>
          <w:b/>
          <w:bCs/>
          <w:color w:val="auto"/>
          <w:lang w:val="en-US" w:eastAsia="zh-CN"/>
        </w:rPr>
      </w:pPr>
      <w:r>
        <w:rPr>
          <w:rFonts w:hint="eastAsia"/>
          <w:b/>
          <w:bCs/>
          <w:color w:val="auto"/>
          <w:lang w:val="en-US" w:eastAsia="zh-CN"/>
        </w:rPr>
        <w:t>一、采购清单</w:t>
      </w:r>
    </w:p>
    <w:tbl>
      <w:tblPr>
        <w:tblStyle w:val="30"/>
        <w:tblW w:w="14424"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58"/>
        <w:gridCol w:w="1480"/>
        <w:gridCol w:w="1164"/>
        <w:gridCol w:w="7564"/>
        <w:gridCol w:w="1576"/>
        <w:gridCol w:w="1582"/>
      </w:tblGrid>
      <w:tr w14:paraId="311EA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0" w:hRule="atLeast"/>
        </w:trPr>
        <w:tc>
          <w:tcPr>
            <w:tcW w:w="14424"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D0C25">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一、食用油采购清单</w:t>
            </w:r>
            <w:r>
              <w:rPr>
                <w:rFonts w:hint="eastAsia" w:ascii="宋体" w:hAnsi="宋体" w:eastAsia="宋体" w:cs="宋体"/>
                <w:b/>
                <w:bCs/>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（注：投标人报价时应在报同一单价的基础上，提供两种及以上品牌供学校选择。）</w:t>
            </w:r>
          </w:p>
        </w:tc>
      </w:tr>
      <w:tr w14:paraId="5F048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52" w:hRule="atLeast"/>
        </w:trPr>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17D04">
            <w:pPr>
              <w:keepNext w:val="0"/>
              <w:keepLines w:val="0"/>
              <w:widowControl/>
              <w:suppressLineNumbers w:val="0"/>
              <w:ind w:firstLine="422" w:firstLineChars="200"/>
              <w:jc w:val="center"/>
              <w:textAlignment w:val="center"/>
              <w:rPr>
                <w:rFonts w:hint="eastAsia" w:ascii="宋体" w:hAnsi="宋体" w:eastAsia="宋体" w:cs="宋体"/>
                <w:b/>
                <w:bCs/>
                <w:i w:val="0"/>
                <w:iCs w:val="0"/>
                <w:color w:val="auto"/>
                <w:kern w:val="0"/>
                <w:sz w:val="21"/>
                <w:szCs w:val="21"/>
                <w:u w:val="none"/>
                <w:lang w:val="en-US" w:eastAsia="zh-CN" w:bidi="ar"/>
              </w:rPr>
            </w:pPr>
            <w:r>
              <w:rPr>
                <w:rFonts w:hint="eastAsia" w:ascii="宋体" w:hAnsi="宋体" w:eastAsia="宋体" w:cs="宋体"/>
                <w:b/>
                <w:bCs/>
                <w:i w:val="0"/>
                <w:iCs w:val="0"/>
                <w:color w:val="auto"/>
                <w:kern w:val="0"/>
                <w:sz w:val="21"/>
                <w:szCs w:val="21"/>
                <w:u w:val="none"/>
                <w:lang w:val="en-US" w:eastAsia="zh-CN" w:bidi="ar"/>
              </w:rPr>
              <w:t>序号</w:t>
            </w:r>
          </w:p>
        </w:tc>
        <w:tc>
          <w:tcPr>
            <w:tcW w:w="1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37330">
            <w:pPr>
              <w:keepNext w:val="0"/>
              <w:keepLines w:val="0"/>
              <w:widowControl/>
              <w:suppressLineNumbers w:val="0"/>
              <w:ind w:firstLine="422" w:firstLineChars="200"/>
              <w:jc w:val="center"/>
              <w:textAlignment w:val="center"/>
              <w:rPr>
                <w:rFonts w:hint="eastAsia" w:ascii="宋体" w:hAnsi="宋体" w:eastAsia="宋体" w:cs="宋体"/>
                <w:b/>
                <w:bCs/>
                <w:i w:val="0"/>
                <w:iCs w:val="0"/>
                <w:color w:val="auto"/>
                <w:kern w:val="0"/>
                <w:sz w:val="21"/>
                <w:szCs w:val="21"/>
                <w:u w:val="none"/>
                <w:lang w:val="en-US" w:eastAsia="zh-CN" w:bidi="ar"/>
              </w:rPr>
            </w:pPr>
            <w:r>
              <w:rPr>
                <w:rFonts w:hint="eastAsia" w:ascii="宋体" w:hAnsi="宋体" w:eastAsia="宋体" w:cs="宋体"/>
                <w:b/>
                <w:bCs/>
                <w:i w:val="0"/>
                <w:iCs w:val="0"/>
                <w:color w:val="auto"/>
                <w:kern w:val="0"/>
                <w:sz w:val="21"/>
                <w:szCs w:val="21"/>
                <w:u w:val="none"/>
                <w:lang w:val="en-US" w:eastAsia="zh-CN" w:bidi="ar"/>
              </w:rPr>
              <w:t>商品名称</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A83DF">
            <w:pPr>
              <w:keepNext w:val="0"/>
              <w:keepLines w:val="0"/>
              <w:widowControl/>
              <w:suppressLineNumbers w:val="0"/>
              <w:ind w:firstLine="422" w:firstLineChars="200"/>
              <w:jc w:val="center"/>
              <w:textAlignment w:val="center"/>
              <w:rPr>
                <w:rFonts w:hint="eastAsia" w:ascii="宋体" w:hAnsi="宋体" w:eastAsia="宋体" w:cs="宋体"/>
                <w:b/>
                <w:bCs/>
                <w:i w:val="0"/>
                <w:iCs w:val="0"/>
                <w:color w:val="auto"/>
                <w:kern w:val="0"/>
                <w:sz w:val="21"/>
                <w:szCs w:val="21"/>
                <w:u w:val="none"/>
                <w:lang w:val="en-US" w:eastAsia="zh-CN" w:bidi="ar"/>
              </w:rPr>
            </w:pPr>
            <w:r>
              <w:rPr>
                <w:rFonts w:hint="eastAsia" w:ascii="宋体" w:hAnsi="宋体" w:eastAsia="宋体" w:cs="宋体"/>
                <w:b/>
                <w:bCs/>
                <w:i w:val="0"/>
                <w:iCs w:val="0"/>
                <w:color w:val="auto"/>
                <w:kern w:val="0"/>
                <w:sz w:val="21"/>
                <w:szCs w:val="21"/>
                <w:u w:val="none"/>
                <w:lang w:val="en-US" w:eastAsia="zh-CN" w:bidi="ar"/>
              </w:rPr>
              <w:t>单 位</w:t>
            </w:r>
          </w:p>
        </w:tc>
        <w:tc>
          <w:tcPr>
            <w:tcW w:w="75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AF36D">
            <w:pPr>
              <w:keepNext w:val="0"/>
              <w:keepLines w:val="0"/>
              <w:widowControl/>
              <w:suppressLineNumbers w:val="0"/>
              <w:ind w:firstLine="422" w:firstLineChars="200"/>
              <w:jc w:val="center"/>
              <w:textAlignment w:val="center"/>
              <w:rPr>
                <w:rFonts w:hint="eastAsia" w:ascii="宋体" w:hAnsi="宋体" w:eastAsia="宋体" w:cs="宋体"/>
                <w:b/>
                <w:bCs/>
                <w:i w:val="0"/>
                <w:iCs w:val="0"/>
                <w:color w:val="auto"/>
                <w:kern w:val="0"/>
                <w:sz w:val="21"/>
                <w:szCs w:val="21"/>
                <w:u w:val="none"/>
                <w:lang w:val="en-US" w:eastAsia="zh-CN" w:bidi="ar"/>
              </w:rPr>
            </w:pPr>
            <w:r>
              <w:rPr>
                <w:rFonts w:hint="eastAsia" w:ascii="宋体" w:hAnsi="宋体" w:eastAsia="宋体" w:cs="宋体"/>
                <w:b/>
                <w:bCs/>
                <w:i w:val="0"/>
                <w:iCs w:val="0"/>
                <w:color w:val="auto"/>
                <w:kern w:val="0"/>
                <w:sz w:val="21"/>
                <w:szCs w:val="21"/>
                <w:u w:val="none"/>
                <w:lang w:val="en-US" w:eastAsia="zh-CN" w:bidi="ar"/>
              </w:rPr>
              <w:t>规格型号及质量要求</w:t>
            </w:r>
          </w:p>
        </w:tc>
        <w:tc>
          <w:tcPr>
            <w:tcW w:w="1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1D633">
            <w:pPr>
              <w:keepNext w:val="0"/>
              <w:keepLines w:val="0"/>
              <w:widowControl/>
              <w:suppressLineNumbers w:val="0"/>
              <w:ind w:left="0" w:leftChars="0" w:firstLine="0" w:firstLineChars="0"/>
              <w:jc w:val="both"/>
              <w:textAlignment w:val="center"/>
              <w:rPr>
                <w:rFonts w:hint="eastAsia" w:ascii="宋体" w:hAnsi="宋体" w:eastAsia="宋体" w:cs="宋体"/>
                <w:b/>
                <w:bCs/>
                <w:i w:val="0"/>
                <w:iCs w:val="0"/>
                <w:color w:val="auto"/>
                <w:kern w:val="0"/>
                <w:sz w:val="21"/>
                <w:szCs w:val="21"/>
                <w:u w:val="none"/>
                <w:lang w:val="en-US" w:eastAsia="zh-CN" w:bidi="ar"/>
              </w:rPr>
            </w:pPr>
            <w:r>
              <w:rPr>
                <w:rFonts w:hint="eastAsia" w:ascii="宋体" w:hAnsi="宋体" w:eastAsia="宋体" w:cs="宋体"/>
                <w:b/>
                <w:bCs/>
                <w:i w:val="0"/>
                <w:iCs w:val="0"/>
                <w:color w:val="auto"/>
                <w:kern w:val="0"/>
                <w:sz w:val="21"/>
                <w:szCs w:val="21"/>
                <w:u w:val="none"/>
                <w:lang w:val="en-US" w:eastAsia="zh-CN" w:bidi="ar"/>
              </w:rPr>
              <w:t>拦标单价（元）</w:t>
            </w:r>
          </w:p>
        </w:tc>
        <w:tc>
          <w:tcPr>
            <w:tcW w:w="15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CC3503">
            <w:pPr>
              <w:keepNext w:val="0"/>
              <w:keepLines w:val="0"/>
              <w:widowControl/>
              <w:suppressLineNumbers w:val="0"/>
              <w:ind w:firstLine="422" w:firstLineChars="200"/>
              <w:jc w:val="center"/>
              <w:textAlignment w:val="center"/>
              <w:rPr>
                <w:rFonts w:hint="eastAsia" w:ascii="宋体" w:hAnsi="宋体" w:eastAsia="宋体" w:cs="宋体"/>
                <w:b/>
                <w:bCs/>
                <w:i w:val="0"/>
                <w:iCs w:val="0"/>
                <w:color w:val="auto"/>
                <w:kern w:val="0"/>
                <w:sz w:val="21"/>
                <w:szCs w:val="21"/>
                <w:u w:val="none"/>
                <w:lang w:val="en-US" w:eastAsia="zh-CN" w:bidi="ar"/>
              </w:rPr>
            </w:pPr>
            <w:r>
              <w:rPr>
                <w:rFonts w:hint="eastAsia" w:ascii="宋体" w:hAnsi="宋体" w:eastAsia="宋体" w:cs="宋体"/>
                <w:b/>
                <w:bCs/>
                <w:i w:val="0"/>
                <w:iCs w:val="0"/>
                <w:color w:val="auto"/>
                <w:kern w:val="0"/>
                <w:sz w:val="21"/>
                <w:szCs w:val="21"/>
                <w:u w:val="none"/>
                <w:lang w:val="en-US" w:eastAsia="zh-CN" w:bidi="ar"/>
              </w:rPr>
              <w:t>备注</w:t>
            </w:r>
          </w:p>
        </w:tc>
      </w:tr>
      <w:tr w14:paraId="3D7697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8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7371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1C62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菜籽油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43BB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升</w:t>
            </w:r>
          </w:p>
        </w:tc>
        <w:tc>
          <w:tcPr>
            <w:tcW w:w="7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6DC4B">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国标一级压榨菜籽油，非转基因，保质期≥ 18 个月。</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质量标准：符合 GB 2716《食品安全国家标准 植物油》，无酸败、异味，透明度良好，无浑浊、沉淀，包装完好，标识清晰，注明生产日期、保质期、配料表、生产厂家、生产许可证编号等信息。溶剂残留量：不得检出；</w:t>
            </w:r>
            <w:r>
              <w:rPr>
                <w:rFonts w:hint="default" w:ascii="Times New Roman" w:hAnsi="Times New Roman" w:eastAsia="宋体" w:cs="Times New Roman"/>
                <w:i w:val="0"/>
                <w:iCs w:val="0"/>
                <w:color w:val="auto"/>
                <w:kern w:val="0"/>
                <w:sz w:val="24"/>
                <w:szCs w:val="24"/>
                <w:u w:val="none"/>
                <w:lang w:val="en-US" w:eastAsia="zh-CN" w:bidi="ar"/>
              </w:rPr>
              <w:t>​</w:t>
            </w:r>
            <w:r>
              <w:rPr>
                <w:rFonts w:hint="eastAsia" w:ascii="宋体" w:hAnsi="宋体" w:eastAsia="宋体" w:cs="宋体"/>
                <w:i w:val="0"/>
                <w:iCs w:val="0"/>
                <w:color w:val="auto"/>
                <w:kern w:val="0"/>
                <w:sz w:val="24"/>
                <w:szCs w:val="24"/>
                <w:u w:val="none"/>
                <w:lang w:val="en-US" w:eastAsia="zh-CN" w:bidi="ar"/>
              </w:rPr>
              <w:t xml:space="preserve">  </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品牌要求：需为国内知名品牌，且具有良好的市场口碑和质量信誉。</w:t>
            </w:r>
            <w:r>
              <w:rPr>
                <w:rFonts w:hint="default" w:ascii="Times New Roman" w:hAnsi="Times New Roman" w:eastAsia="宋体" w:cs="Times New Roman"/>
                <w:i w:val="0"/>
                <w:iCs w:val="0"/>
                <w:color w:val="auto"/>
                <w:kern w:val="0"/>
                <w:sz w:val="24"/>
                <w:szCs w:val="24"/>
                <w:u w:val="none"/>
                <w:lang w:val="en-US" w:eastAsia="zh-CN" w:bidi="ar"/>
              </w:rPr>
              <w:t>​</w:t>
            </w:r>
          </w:p>
        </w:tc>
        <w:tc>
          <w:tcPr>
            <w:tcW w:w="1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5EC5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14.5</w:t>
            </w:r>
          </w:p>
        </w:tc>
        <w:tc>
          <w:tcPr>
            <w:tcW w:w="15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930C6">
            <w:pPr>
              <w:jc w:val="center"/>
              <w:rPr>
                <w:rFonts w:hint="eastAsia" w:ascii="宋体" w:hAnsi="宋体" w:eastAsia="宋体" w:cs="宋体"/>
                <w:i w:val="0"/>
                <w:iCs w:val="0"/>
                <w:color w:val="auto"/>
                <w:sz w:val="24"/>
                <w:szCs w:val="24"/>
                <w:u w:val="none"/>
              </w:rPr>
            </w:pPr>
          </w:p>
        </w:tc>
      </w:tr>
    </w:tbl>
    <w:p w14:paraId="0F96B8E7">
      <w:pPr>
        <w:pStyle w:val="9"/>
        <w:rPr>
          <w:rFonts w:hint="eastAsia"/>
          <w:b/>
          <w:bCs/>
          <w:color w:val="auto"/>
          <w:lang w:val="en-US" w:eastAsia="zh-CN"/>
        </w:rPr>
        <w:sectPr>
          <w:pgSz w:w="16838" w:h="11900" w:orient="landscape"/>
          <w:pgMar w:top="1417" w:right="1417" w:bottom="1417" w:left="1417" w:header="850" w:footer="850" w:gutter="0"/>
          <w:cols w:space="0" w:num="1"/>
          <w:titlePg/>
          <w:rtlGutter w:val="0"/>
          <w:docGrid w:linePitch="360" w:charSpace="0"/>
        </w:sectPr>
      </w:pPr>
    </w:p>
    <w:p w14:paraId="1758FEC5">
      <w:pPr>
        <w:pStyle w:val="9"/>
        <w:rPr>
          <w:rFonts w:hint="eastAsia"/>
          <w:b/>
          <w:bCs/>
          <w:color w:val="auto"/>
          <w:lang w:val="en-US" w:eastAsia="zh-CN"/>
        </w:rPr>
      </w:pPr>
    </w:p>
    <w:tbl>
      <w:tblPr>
        <w:tblStyle w:val="30"/>
        <w:tblW w:w="13945"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57"/>
        <w:gridCol w:w="1038"/>
        <w:gridCol w:w="857"/>
        <w:gridCol w:w="9044"/>
        <w:gridCol w:w="1076"/>
        <w:gridCol w:w="1073"/>
      </w:tblGrid>
      <w:tr w14:paraId="65BD79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13945" w:type="dxa"/>
            <w:gridSpan w:val="6"/>
            <w:tcBorders>
              <w:top w:val="nil"/>
              <w:left w:val="nil"/>
              <w:bottom w:val="nil"/>
              <w:right w:val="nil"/>
            </w:tcBorders>
            <w:shd w:val="clear" w:color="auto" w:fill="auto"/>
            <w:vAlign w:val="center"/>
          </w:tcPr>
          <w:p w14:paraId="0CC07115">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二、干货采购清单</w:t>
            </w:r>
            <w:r>
              <w:rPr>
                <w:rFonts w:hint="eastAsia" w:ascii="宋体" w:hAnsi="宋体" w:eastAsia="宋体" w:cs="宋体"/>
                <w:b/>
                <w:bCs/>
                <w:i w:val="0"/>
                <w:iCs w:val="0"/>
                <w:color w:val="auto"/>
                <w:kern w:val="0"/>
                <w:sz w:val="22"/>
                <w:szCs w:val="22"/>
                <w:u w:val="none"/>
                <w:lang w:val="en-US" w:eastAsia="zh-CN" w:bidi="ar"/>
              </w:rPr>
              <w:br w:type="textWrapping"/>
            </w:r>
            <w:r>
              <w:rPr>
                <w:rFonts w:hint="eastAsia" w:ascii="宋体" w:hAnsi="宋体" w:eastAsia="宋体" w:cs="宋体"/>
                <w:b/>
                <w:bCs/>
                <w:i w:val="0"/>
                <w:iCs w:val="0"/>
                <w:color w:val="auto"/>
                <w:kern w:val="0"/>
                <w:sz w:val="22"/>
                <w:szCs w:val="22"/>
                <w:u w:val="none"/>
                <w:lang w:val="en-US" w:eastAsia="zh-CN" w:bidi="ar"/>
              </w:rPr>
              <w:t>（注：1、投标人报价时应在报同一单价的基础上，提供两种及以上品牌供学校选择。2、品牌要求：需为国内知名品牌，且具有良好的市场口碑和质量信誉。</w:t>
            </w:r>
            <w:r>
              <w:rPr>
                <w:rFonts w:hint="default" w:ascii="Times New Roman" w:hAnsi="Times New Roman" w:eastAsia="宋体" w:cs="Times New Roman"/>
                <w:b/>
                <w:bCs/>
                <w:i w:val="0"/>
                <w:iCs w:val="0"/>
                <w:color w:val="auto"/>
                <w:kern w:val="0"/>
                <w:sz w:val="22"/>
                <w:szCs w:val="22"/>
                <w:u w:val="none"/>
                <w:lang w:val="en-US" w:eastAsia="zh-CN" w:bidi="ar"/>
              </w:rPr>
              <w:t>​</w:t>
            </w:r>
            <w:r>
              <w:rPr>
                <w:rFonts w:hint="eastAsia" w:ascii="宋体" w:hAnsi="宋体" w:eastAsia="宋体" w:cs="宋体"/>
                <w:b/>
                <w:bCs/>
                <w:i w:val="0"/>
                <w:iCs w:val="0"/>
                <w:color w:val="auto"/>
                <w:kern w:val="0"/>
                <w:sz w:val="22"/>
                <w:szCs w:val="22"/>
                <w:u w:val="none"/>
                <w:lang w:val="en-US" w:eastAsia="zh-CN" w:bidi="ar"/>
              </w:rPr>
              <w:t>）</w:t>
            </w:r>
          </w:p>
        </w:tc>
      </w:tr>
      <w:tr w14:paraId="7CF55D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E860F">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序号</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968EA">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商品名称</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55B55">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单 位</w:t>
            </w:r>
          </w:p>
        </w:tc>
        <w:tc>
          <w:tcPr>
            <w:tcW w:w="9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340CF">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规格型号及质量要求</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92B6C">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拦标单价（元）</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C2E0E1">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备注</w:t>
            </w:r>
          </w:p>
        </w:tc>
      </w:tr>
      <w:tr w14:paraId="12EC3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40"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EDD16">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80410">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紫菜</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44DF5">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包</w:t>
            </w:r>
          </w:p>
        </w:tc>
        <w:tc>
          <w:tcPr>
            <w:tcW w:w="9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80649">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规格：100g/包</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原料与等级：干紫菜（优选头水或二水紫菜，叶片厚实），无其他藻类掺杂，无沙粒、贝壳等杂质</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感官：色泽紫黑或褐绿（自然光泽），质地轻盈有韧性，无霉斑、异味，泡发后汤色清亮，口感鲜嫩</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安全：铅≤1.0mg/kg，砷≤0.5mg/kg，污染物符合 GB 2762；微生物达标，无致病菌</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包装与保质期：密封防潮包装（避光），标注 SC 认证、生产日期，保质期≥12 个月（干燥储存），到货时剩余保质期不低于 9 个月</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资质：供应商提供近期检测报告、生产许可证。</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重点：无杂质、易泡发、安全达标，适合食堂批量加工。</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D2969">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8.9</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E611C">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2"/>
                <w:szCs w:val="22"/>
                <w:u w:val="none"/>
              </w:rPr>
            </w:pPr>
          </w:p>
        </w:tc>
      </w:tr>
      <w:tr w14:paraId="767447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0"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77DDA">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50C8E">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豆腐皮</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1FD36">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市斤</w:t>
            </w:r>
          </w:p>
        </w:tc>
        <w:tc>
          <w:tcPr>
            <w:tcW w:w="9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380AC">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原料与等级：大豆（优选非转基因大豆，颗粒饱满），无其他豆类掺杂，无泥沙、石块等杂质，等级为一级品</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感官：色泽淡黄色或乳白色（自然光泽），质地轻薄有韧性，无霉斑、异味，泡发后口感细腻有豆香</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安全：铅≤0.2mg/kg，砷≤0.5mg/kg，污染物符合 GB 2762；微生物达标，无致病菌</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包装与保质期：密封防潮包装（避光），标注 SC 认证、生产日期，未开封常温下保质期≥3 个月，干豆腐皮冷冻保存保质期≥12 个月，到货时剩余保质期不低于总保质期的三分之二</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资质：供应商提供近期检测报告、生产许可证</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重点：无杂质、易加工、安全达标，适合食堂批量烹饪。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BC50C">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9.9</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4B543">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2"/>
                <w:szCs w:val="22"/>
                <w:u w:val="none"/>
              </w:rPr>
            </w:pPr>
          </w:p>
        </w:tc>
      </w:tr>
      <w:tr w14:paraId="0FA011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0"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45BB3">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F5243">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红薯粉条（宽）</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B9D7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市斤</w:t>
            </w:r>
          </w:p>
        </w:tc>
        <w:tc>
          <w:tcPr>
            <w:tcW w:w="9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03A19">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原料：100% 红薯淀粉（或标注混合淀粉时红薯占比≥95%），无铝添加剂（如明矾）</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形态：宽度 3-5mm，长度 20-30cm，碎条少（＜5cm 的≤5%），表面光滑无杂质</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感官：自然浅黄 / 米白，无霉味异味；煮熟后柔韧有嚼劲，不黏连、不浑汤</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安全：二氧化硫残留≤0.02g/kg，铅≤0.1mg/kg，无致病菌，符合 GB 2713、GB/T 35881 标准</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包装：食品级包装，标注 SC 认证、生产日期（保质期≥12 个月）及厂家信息</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资质：供应商提供近期检测报告和生产许可证</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重点：宽条均匀、耐煮不易断，确保安全和食堂加工方便。</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保质期：包装标注保质期≥12 个月（常温干燥储存条件下），且采购时距生产日期不超过保质期的 1/3（如保质期 12 个月，到货时剩余保质期需≥8 个月），避免因储存时间过长导致变质。</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CA656">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5.9</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7B239">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2"/>
                <w:szCs w:val="22"/>
                <w:u w:val="none"/>
              </w:rPr>
            </w:pPr>
          </w:p>
        </w:tc>
      </w:tr>
      <w:tr w14:paraId="750D5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5AD06">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E0560">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面粉</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95C2C">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市斤</w:t>
            </w:r>
          </w:p>
        </w:tc>
        <w:tc>
          <w:tcPr>
            <w:tcW w:w="9307" w:type="dxa"/>
            <w:tcBorders>
              <w:top w:val="nil"/>
              <w:left w:val="nil"/>
              <w:bottom w:val="nil"/>
              <w:right w:val="nil"/>
            </w:tcBorders>
            <w:shd w:val="clear" w:color="auto" w:fill="auto"/>
            <w:vAlign w:val="center"/>
          </w:tcPr>
          <w:p w14:paraId="6B848045">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原料与工艺：以小麦为主要原料（小麦占比≥99%），特殊品类可添加食品添加剂（需明确标注且占比≤1%），选用当年或隔年优质小麦，无霉变、虫蛀、发芽麦粒，未经化学漂白或熏蒸处理。</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采用传统研磨或标准化制粉工艺，保留小麦天然营养成分，无防腐剂、人工色素等非必要添加剂。</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感官指标：色泽呈自然的洁白（特一粉）、乳白或浅黄（特二粉、标准粉），无异常色泽。</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粉末细腻均匀，无结块、颗粒感，无肉眼可见杂质（如砂石、虫尸等）。</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丝条（若为预加工面粉制品相关）均匀，质地柔韧，具有小麦特有的清香，无霉味、酸味、哈喇味等异味。</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安全指标：蛋白质含量根据品类有所不同，高筋粉≥12%，中筋粉 8%-12%，低筋粉≤8%；水分≤14.5%。</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铅≤0.1mg/kg，砷≤0.1mg/kg，镉≤0.1mg/kg，汞≤0.02mg/kg，符合 GB 2762（食品中污染物限量）。</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菌落总数、大肠菌群符合 GB 2761（食品中真菌毒素限量）等相关标准，无致病菌。</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包装与保质期：采用真空包装或食品级编织袋（内覆防潮薄膜）密封包装，避免受潮变质。</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包装上标注 SC 认证、生产日期、保质期、生产厂家等信息。</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常温干燥处储存，保质期≥6 个月，到货时剩余保质期不低于 4 个月。</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资质要求：供应商提供近期（3 个月内）的产品检测报告，涵盖感官、理化、安全等指标。提供有效的生产许可证，确保生产合规。</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重点：麦香纯正，粉末细腻无杂质，适合食堂制作馒头、面条、包子等各类面食，便于快速加工。</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保障产品新鲜安全，无添加有害物质，符合食品安全标准。</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52446">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43BD6">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2"/>
                <w:szCs w:val="22"/>
                <w:u w:val="none"/>
              </w:rPr>
            </w:pPr>
          </w:p>
        </w:tc>
      </w:tr>
      <w:tr w14:paraId="3D3E4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3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602D5">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906F8">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酵母</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6597F">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包</w:t>
            </w:r>
          </w:p>
        </w:tc>
        <w:tc>
          <w:tcPr>
            <w:tcW w:w="9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35BFF">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10克/包，原料：以优质小麦粉或糖蜜为主要原料，经酵母菌种发酵培养而成，无其他不明添加物</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感官：干酵母呈淡黄色或淡褐色粉末状，颗粒均匀，无结块；鲜酵母呈淡黄色或乳白色块状，质地细腻，具有酵母特有的发酵香味，无霉味、酸味等异味</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理化：干酵母水分含量≤8.0%，发酵力（以 CO</w:t>
            </w:r>
            <w:r>
              <w:rPr>
                <w:rFonts w:hint="default" w:ascii="Times New Roman" w:hAnsi="Times New Roman" w:eastAsia="宋体" w:cs="Times New Roman"/>
                <w:i w:val="0"/>
                <w:iCs w:val="0"/>
                <w:color w:val="auto"/>
                <w:kern w:val="0"/>
                <w:sz w:val="22"/>
                <w:szCs w:val="22"/>
                <w:u w:val="none"/>
                <w:lang w:val="en-US" w:eastAsia="zh-CN" w:bidi="ar"/>
              </w:rPr>
              <w:t>₂</w:t>
            </w:r>
            <w:r>
              <w:rPr>
                <w:rFonts w:hint="eastAsia" w:ascii="宋体" w:hAnsi="宋体" w:eastAsia="宋体" w:cs="宋体"/>
                <w:i w:val="0"/>
                <w:iCs w:val="0"/>
                <w:color w:val="auto"/>
                <w:kern w:val="0"/>
                <w:sz w:val="22"/>
                <w:szCs w:val="22"/>
                <w:u w:val="none"/>
                <w:lang w:val="en-US" w:eastAsia="zh-CN" w:bidi="ar"/>
              </w:rPr>
              <w:t>计）≥600mL/100g；鲜酵母水分含量≤75.0%，发酵力（以 CO</w:t>
            </w:r>
            <w:r>
              <w:rPr>
                <w:rFonts w:hint="default" w:ascii="Times New Roman" w:hAnsi="Times New Roman" w:eastAsia="宋体" w:cs="Times New Roman"/>
                <w:i w:val="0"/>
                <w:iCs w:val="0"/>
                <w:color w:val="auto"/>
                <w:kern w:val="0"/>
                <w:sz w:val="22"/>
                <w:szCs w:val="22"/>
                <w:u w:val="none"/>
                <w:lang w:val="en-US" w:eastAsia="zh-CN" w:bidi="ar"/>
              </w:rPr>
              <w:t>₂</w:t>
            </w:r>
            <w:r>
              <w:rPr>
                <w:rFonts w:hint="eastAsia" w:ascii="宋体" w:hAnsi="宋体" w:eastAsia="宋体" w:cs="宋体"/>
                <w:i w:val="0"/>
                <w:iCs w:val="0"/>
                <w:color w:val="auto"/>
                <w:kern w:val="0"/>
                <w:sz w:val="22"/>
                <w:szCs w:val="22"/>
                <w:u w:val="none"/>
                <w:lang w:val="en-US" w:eastAsia="zh-CN" w:bidi="ar"/>
              </w:rPr>
              <w:t>计）≥450mL/100g</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安全：铅≤0.5mg/kg，砷≤0.1mg/kg，污染物符合 GB 2762；微生物达标，无致病菌</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包装与保质期：密封防潮包装（避光），标注 SC 认证、生产日期，干酵母常温干燥储存保质期≥12 个月，鲜酵母 0-4℃冷藏储存保质期≥45 天，到货时剩余保质期不低于总保质期的三分之二</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资质：供应商提供近期检测报告、生产许可证</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重点：发酵力强、稳定性好、安全达标，适合食堂批量面食制作。</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AA0C7">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B7B6F">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2"/>
                <w:szCs w:val="22"/>
                <w:u w:val="none"/>
              </w:rPr>
            </w:pPr>
          </w:p>
        </w:tc>
      </w:tr>
      <w:tr w14:paraId="160AE1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68"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A11E8">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11C7E">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糯米</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9256B">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市斤</w:t>
            </w:r>
          </w:p>
        </w:tc>
        <w:tc>
          <w:tcPr>
            <w:tcW w:w="9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A12B2">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原料：以优质糯米（江米）为原料，无霉变、虫蛀、发芽粒，无杂质及异色粒，未经化学漂白处理。</w:t>
            </w:r>
            <w:r>
              <w:rPr>
                <w:rFonts w:hint="default" w:ascii="Times New Roman" w:hAnsi="Times New Roman" w:eastAsia="宋体" w:cs="Times New Roman"/>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感官：色泽呈乳白色或半透明状（自然色泽），颗粒饱满均匀，大小一致，无碎米（碎米率≤5%），气味清香无异味，煮熟后口感软糯有黏性。</w:t>
            </w:r>
            <w:r>
              <w:rPr>
                <w:rFonts w:hint="default" w:ascii="Times New Roman" w:hAnsi="Times New Roman" w:eastAsia="宋体" w:cs="Times New Roman"/>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理化：水分含量≤14.0%（符合 GB/T 1354 标准），不完善粒≤3.0%，黄变米≤0.1%，杂质总量≤0.5%（其中矿物质≤0.02%），直链淀粉含量≤2.0%（体现糯米黏性特性）。</w:t>
            </w:r>
            <w:r>
              <w:rPr>
                <w:rFonts w:hint="default" w:ascii="Times New Roman" w:hAnsi="Times New Roman" w:eastAsia="宋体" w:cs="Times New Roman"/>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安全：铅≤0.2mg/kg，砷≤0.1mg/kg，镉≤0.2mg/kg，汞≤0.02mg/kg，污染物符合 GB 2762；农药残留符合 GB 2763 规定，无致病菌，不得添加任何添加剂。</w:t>
            </w:r>
            <w:r>
              <w:rPr>
                <w:rFonts w:hint="default" w:ascii="Times New Roman" w:hAnsi="Times New Roman" w:eastAsia="宋体" w:cs="Times New Roman"/>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包装：包装上需标注产品名称（明确 “糯米”）、净含量、产地、生产日期、保质期、储存条件（阴凉干燥处，防潮防虫）、生产许可证编号（SC 认证）、执行标准（GB/T 1354）等信息，字迹清晰。</w:t>
            </w:r>
            <w:r>
              <w:rPr>
                <w:rFonts w:hint="default" w:ascii="Times New Roman" w:hAnsi="Times New Roman" w:eastAsia="宋体" w:cs="Times New Roman"/>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保质期：常温干燥处储存保质期≥12 个月，到货时剩余保质期不低于 9 个月；开袋后需密封存放并在 1 个月内使用完毕，防止受潮发霉。</w:t>
            </w:r>
            <w:r>
              <w:rPr>
                <w:rFonts w:hint="default" w:ascii="Times New Roman" w:hAnsi="Times New Roman" w:eastAsia="宋体" w:cs="Times New Roman"/>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资质：供应商提供近期（3 个月内）产品质量检测报告、生产许可证复印件，确保原料来源可追溯。</w:t>
            </w:r>
            <w:r>
              <w:rPr>
                <w:rFonts w:hint="default" w:ascii="Times New Roman" w:hAnsi="Times New Roman" w:eastAsia="宋体" w:cs="Times New Roman"/>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用途适配：适合学校食堂用于制作粽子、汤圆、糯米粥、糯米饭等食品。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0E7DA">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4.9</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91590">
            <w:pPr>
              <w:keepNext w:val="0"/>
              <w:keepLines w:val="0"/>
              <w:pageBreakBefore w:val="0"/>
              <w:widowControl/>
              <w:kinsoku/>
              <w:wordWrap/>
              <w:overflowPunct/>
              <w:topLinePunct w:val="0"/>
              <w:autoSpaceDE/>
              <w:autoSpaceDN/>
              <w:bidi w:val="0"/>
              <w:adjustRightInd/>
              <w:snapToGrid/>
              <w:spacing w:line="240" w:lineRule="atLeast"/>
              <w:rPr>
                <w:rFonts w:hint="eastAsia" w:ascii="宋体" w:hAnsi="宋体" w:eastAsia="宋体" w:cs="宋体"/>
                <w:i w:val="0"/>
                <w:iCs w:val="0"/>
                <w:color w:val="auto"/>
                <w:sz w:val="20"/>
                <w:szCs w:val="20"/>
                <w:u w:val="none"/>
              </w:rPr>
            </w:pPr>
          </w:p>
        </w:tc>
      </w:tr>
      <w:tr w14:paraId="748BA5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0"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05F14">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1883B">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紫米</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9BFD0">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市斤</w:t>
            </w:r>
          </w:p>
        </w:tc>
        <w:tc>
          <w:tcPr>
            <w:tcW w:w="9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19E8A">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原料与品种：纯紫米（无掺杂白米、黑米等其他谷物），颗粒完整饱满，无霉变、虫蛀</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感官：自然紫黑色（或紫褐色），色泽均匀，有米香无异味，煮熟后口感软糯不生硬，花青素含量高（汤色自然紫红）</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安全：杂质≤0.5%，黄曲霉毒素 B</w:t>
            </w:r>
            <w:r>
              <w:rPr>
                <w:rFonts w:hint="default" w:ascii="Times New Roman" w:hAnsi="Times New Roman" w:eastAsia="宋体" w:cs="Times New Roman"/>
                <w:i w:val="0"/>
                <w:iCs w:val="0"/>
                <w:color w:val="auto"/>
                <w:kern w:val="0"/>
                <w:sz w:val="22"/>
                <w:szCs w:val="22"/>
                <w:u w:val="none"/>
                <w:lang w:val="en-US" w:eastAsia="zh-CN" w:bidi="ar"/>
              </w:rPr>
              <w:t>₁</w:t>
            </w:r>
            <w:r>
              <w:rPr>
                <w:rFonts w:hint="eastAsia" w:ascii="宋体" w:hAnsi="宋体" w:eastAsia="宋体" w:cs="宋体"/>
                <w:i w:val="0"/>
                <w:iCs w:val="0"/>
                <w:color w:val="auto"/>
                <w:kern w:val="0"/>
                <w:sz w:val="22"/>
                <w:szCs w:val="22"/>
                <w:u w:val="none"/>
                <w:lang w:val="en-US" w:eastAsia="zh-CN" w:bidi="ar"/>
              </w:rPr>
              <w:t>≤5μg/kg，铅≤0.2mg/kg，符合 GB 2715（粮食安全国标）</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包装与保质期：防潮密封包装（如编织袋 + 内膜），标注生产许可证、生产日期，保质期≥12 个月（常温干燥储存），到货时剩余保质期不低于 8 个月</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资质：供应商提供近期检测报告、营业执照</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重点：纯度高、无杂质、耐储存，确保安全和口感稳定，适合食堂批量蒸煮。</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37260">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8.9</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0748B">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2"/>
                <w:szCs w:val="22"/>
                <w:u w:val="none"/>
              </w:rPr>
            </w:pPr>
          </w:p>
        </w:tc>
      </w:tr>
      <w:tr w14:paraId="257CE2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0"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AF2B0">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9B71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小米</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59CB0">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市斤</w:t>
            </w:r>
          </w:p>
        </w:tc>
        <w:tc>
          <w:tcPr>
            <w:tcW w:w="9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27A29">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原料：以优质新鲜小米为原料，无其他杂粮掺杂，无霉变、虫蛀颗粒，无泥沙等杂质</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感官：色泽金黄或淡黄（自然光泽），颗粒饱满均匀，无碎米结块，气味清香无异味，煮熟后口感软糯香甜</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理化：水分含量≤13.0%，杂质含量≤0.5%，碎米率≤5.0%，黄变米≤0.02%</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安全：铅≤0.2mg/kg，砷≤0.1mg/kg，污染物符合 GB 2762；微生物达标，无致病菌，农药残留符合 GB 2763</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包装与保质期：密封防潮包装（避光），标注 SC 认证、生产日期，常温干燥储存保质期≥12 个月，到货时剩余保质期不低于 9 个月</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资质：供应商提供近期检测报告、生产许可证</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重点：无杂质、颗粒完整、口感软糯、安全达标，适合食堂批量煮粥、蒸饭等制作。</w:t>
            </w:r>
            <w:r>
              <w:rPr>
                <w:rFonts w:hint="default" w:ascii="Times New Roman" w:hAnsi="Times New Roman" w:eastAsia="宋体" w:cs="Times New Roman"/>
                <w:i w:val="0"/>
                <w:iCs w:val="0"/>
                <w:color w:val="auto"/>
                <w:kern w:val="0"/>
                <w:sz w:val="22"/>
                <w:szCs w:val="22"/>
                <w:u w:val="none"/>
                <w:lang w:val="en-US" w:eastAsia="zh-CN" w:bidi="ar"/>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A89FB">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8.9</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3ED47">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2"/>
                <w:szCs w:val="22"/>
                <w:u w:val="none"/>
              </w:rPr>
            </w:pPr>
          </w:p>
        </w:tc>
      </w:tr>
      <w:tr w14:paraId="56BF54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0"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DDCBA">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90EC2">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黑芝麻</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1B19F">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市斤</w:t>
            </w:r>
          </w:p>
        </w:tc>
        <w:tc>
          <w:tcPr>
            <w:tcW w:w="9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C30AD">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原料：以优质黑芝麻籽为原料，无其他杂色芝麻掺杂，无霉变、瘪粒，无泥沙、石子等杂质</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感官：色泽乌黑（自然光泽），颗粒饱满均匀，无虫蛀、霉斑，气味清香无异味，炒熟后口感香脆</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理化：水分含量≤8.0%，杂质含量≤1.0%，含油量≥45%</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安全：铅≤0.2mg/kg，砷≤0.5mg/kg，污染物符合 GB 2762；微生物达标，无致病菌</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包装与保质期：密封防潮包装（避光），标注 SC 认证、生产日期，常温干燥储存保质期≥12 个月，到货时剩余保质期不低于 9 个月</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资质：供应商提供近期检测报告、生产许可证</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重点：无杂质、颗粒饱满、安全达标，适合食堂批量加工使用。</w:t>
            </w:r>
            <w:r>
              <w:rPr>
                <w:rFonts w:hint="default" w:ascii="Times New Roman" w:hAnsi="Times New Roman" w:eastAsia="宋体" w:cs="Times New Roman"/>
                <w:i w:val="0"/>
                <w:iCs w:val="0"/>
                <w:color w:val="auto"/>
                <w:kern w:val="0"/>
                <w:sz w:val="22"/>
                <w:szCs w:val="22"/>
                <w:u w:val="none"/>
                <w:lang w:val="en-US" w:eastAsia="zh-CN" w:bidi="ar"/>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E7261">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19</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623D3">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2"/>
                <w:szCs w:val="22"/>
                <w:u w:val="none"/>
              </w:rPr>
            </w:pPr>
          </w:p>
        </w:tc>
      </w:tr>
      <w:tr w14:paraId="67710B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0"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FFB85">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283B5">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白芝麻</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57076">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市斤</w:t>
            </w:r>
          </w:p>
        </w:tc>
        <w:tc>
          <w:tcPr>
            <w:tcW w:w="9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0F5AF">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原料：以优质白芝麻籽为原料，无其他杂色芝麻掺杂，无霉变、瘪粒，无泥沙、石子等杂质</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感官：色泽洁白或乳白（自然光泽），颗粒饱满均匀，无虫蛀、霉斑，气味清香无异味，炒熟后口感香脆</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理化：水分含量≤8.0%，杂质含量≤1.0%，含油量≥45%</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安全：铅≤0.2mg/kg，砷≤0.5mg/kg，污染物符合 GB 2762；微生物达标，无致病菌</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包装与保质期：密封防潮包装（避光），标注 SC 认证、生产日期，常温干燥储存保质期≥12 个月，到货时剩余保质期不低于 9 个月</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资质：供应商提供近期检测报告、生产许可证</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重点：无杂质、颗粒饱满、安全达标，适合食堂批量加工使用。</w:t>
            </w:r>
            <w:r>
              <w:rPr>
                <w:rFonts w:hint="default" w:ascii="Times New Roman" w:hAnsi="Times New Roman" w:eastAsia="宋体" w:cs="Times New Roman"/>
                <w:i w:val="0"/>
                <w:iCs w:val="0"/>
                <w:color w:val="auto"/>
                <w:kern w:val="0"/>
                <w:sz w:val="22"/>
                <w:szCs w:val="22"/>
                <w:u w:val="none"/>
                <w:lang w:val="en-US" w:eastAsia="zh-CN" w:bidi="ar"/>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0FFE3">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12.9</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056B7">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2"/>
                <w:szCs w:val="22"/>
                <w:u w:val="none"/>
              </w:rPr>
            </w:pPr>
          </w:p>
        </w:tc>
      </w:tr>
      <w:tr w14:paraId="6B743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0"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01959">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F7303">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小木耳</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E953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市斤</w:t>
            </w:r>
          </w:p>
        </w:tc>
        <w:tc>
          <w:tcPr>
            <w:tcW w:w="9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303A9">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原料：以优质新鲜小木耳为原料，经干燥加工而成，无其他菌类掺杂，无霉变、虫蛀及杂质</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感官：色泽黑褐或暗褐（自然光泽），耳片小巧完整，直径≤2cm，质地柔韧有弹性，无霉斑、异味，泡发后肉质细嫩，口感爽滑</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理化：水分含量≤12.0%，杂质含量≤0.5%，泡发率≥12 倍</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安全：铅≤1.0mg/kg，砷≤0.5mg/kg，污染物符合 GB 2762；微生物达标，无致病菌</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包装与保质期：密封防潮包装（避光），标注 SC 认证、生产日期，常温干燥储存保质期≥18 个月，到货时剩余保质期不低于 12 个月</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资质：供应商提供近期检测报告、生产许可证</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重点：无杂质、易泡发、肉质嫩、安全达标，适合食堂批量凉拌、快炒等加工。</w:t>
            </w:r>
            <w:r>
              <w:rPr>
                <w:rFonts w:hint="default" w:ascii="Times New Roman" w:hAnsi="Times New Roman" w:eastAsia="宋体" w:cs="Times New Roman"/>
                <w:i w:val="0"/>
                <w:iCs w:val="0"/>
                <w:color w:val="auto"/>
                <w:kern w:val="0"/>
                <w:sz w:val="22"/>
                <w:szCs w:val="22"/>
                <w:u w:val="none"/>
                <w:lang w:val="en-US" w:eastAsia="zh-CN" w:bidi="ar"/>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3217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FBFB6">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2"/>
                <w:szCs w:val="22"/>
                <w:u w:val="none"/>
              </w:rPr>
            </w:pPr>
          </w:p>
        </w:tc>
      </w:tr>
      <w:tr w14:paraId="28C084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0"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6FC93">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94305">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八角</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ACA65">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市斤</w:t>
            </w:r>
          </w:p>
        </w:tc>
        <w:tc>
          <w:tcPr>
            <w:tcW w:w="9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667E6">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原料：以优质新鲜八角果实为原料，经干燥加工而成，无其他香料掺杂，无霉变、虫蛀果实，无枝叶、泥沙等杂质感官：色泽红棕或黄棕（自然光泽），呈星状八瓣，果瓣饱满完整，直径≥2cm，质地坚硬有香气，无霉斑、异味，研磨后香味浓郁</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理化：水分含量≤12.0%，杂质含量≤1.0%，挥发油含量≥4.0%</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安全：铅≤0.1mg/kg，砷≤0.05mg/kg，污染物符合 GB 2762；农药残留符合 GB 2763，无致病菌</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包装与保质期：密封防潮包装（避光），标注 SC 认证、生产日期，常温干燥储存保质期≥18 个月，到货时剩余保质期不低于 12 个月</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资质：供应商提供近期检测报告、生产许可证</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重点：无杂质、香味浓郁、安全达标，适合食堂批量炖煮、卤制等调味。</w:t>
            </w:r>
            <w:r>
              <w:rPr>
                <w:rFonts w:hint="default" w:ascii="Times New Roman" w:hAnsi="Times New Roman" w:eastAsia="宋体" w:cs="Times New Roman"/>
                <w:i w:val="0"/>
                <w:iCs w:val="0"/>
                <w:color w:val="auto"/>
                <w:kern w:val="0"/>
                <w:sz w:val="22"/>
                <w:szCs w:val="22"/>
                <w:u w:val="none"/>
                <w:lang w:val="en-US" w:eastAsia="zh-CN" w:bidi="ar"/>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21B91">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80728">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2"/>
                <w:szCs w:val="22"/>
                <w:u w:val="none"/>
              </w:rPr>
            </w:pPr>
          </w:p>
        </w:tc>
      </w:tr>
      <w:tr w14:paraId="1CBDD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0"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4513F">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13</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AE34A">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桂皮</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2F1A3">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市斤</w:t>
            </w:r>
          </w:p>
        </w:tc>
        <w:tc>
          <w:tcPr>
            <w:tcW w:w="9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769FC">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原料：以优质肉桂树皮为原料，经干燥加工而成，无其他树皮掺杂，无霉变、虫蛀，无泥沙等杂质</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感官：色泽灰棕或红棕（自然光泽），呈卷筒状或板片状，质地坚实，厚度≥0.2cm，气味芳香浓郁，无霉斑、异味，研磨后香味醇厚</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理化：水分含量≤12.0%，杂质含量≤1.0%，挥发油含量≥1.5%</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安全：铅≤0.1mg/kg，砷≤0.05mg/kg，污染物符合 GB 2762；农药残留符合 GB 2763，无致病菌</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包装与保质期：密封防潮包装（避光），标注 SC 认证、生产日期，常温干燥储存保质期≥24 个月，到货时剩余保质期不低于 18 个月</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资质：供应商提供近期检测报告、生产许可证</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重点：无杂质、香味浓郁、安全达标，适合食堂批量炖煮、卤制等调味。</w:t>
            </w:r>
            <w:r>
              <w:rPr>
                <w:rFonts w:hint="default" w:ascii="Times New Roman" w:hAnsi="Times New Roman" w:eastAsia="宋体" w:cs="Times New Roman"/>
                <w:i w:val="0"/>
                <w:iCs w:val="0"/>
                <w:color w:val="auto"/>
                <w:kern w:val="0"/>
                <w:sz w:val="22"/>
                <w:szCs w:val="22"/>
                <w:u w:val="none"/>
                <w:lang w:val="en-US" w:eastAsia="zh-CN" w:bidi="ar"/>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D5511">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23.9</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E5EE3">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2"/>
                <w:szCs w:val="22"/>
                <w:u w:val="none"/>
              </w:rPr>
            </w:pPr>
          </w:p>
        </w:tc>
      </w:tr>
      <w:tr w14:paraId="3D4ED4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0"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B75E8">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14</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6991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胡椒粉</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3F06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市斤</w:t>
            </w:r>
          </w:p>
        </w:tc>
        <w:tc>
          <w:tcPr>
            <w:tcW w:w="9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5BE4C">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原料：以优质新鲜胡椒（白胡椒或黑胡椒）为原料，经研磨加工而成，无其他香料掺杂，无泥沙等杂质</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感官：白胡椒粉色泽乳白或浅黄（自然色泽），黑胡椒粉色泽黑褐（自然色泽），粉末细腻均匀，无结块，气味辛辣芳香，无霉斑、异味</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理化：水分含量≤12.0%，杂质含量≤1.0%，细度（通过 80 目筛）≥95%</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安全：铅≤0.1mg/kg，砷≤0.05mg/kg，污染物符合 GB 2762；微生物达标，无致病菌</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包装与保质期：密封防潮包装（避光），标注 SC 认证、生产日期，常温干燥储存保质期≥12 个月，到货时剩余保质期不低于 9 个月</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资质：供应商提供近期检测报告、生产许可证</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重点：无杂质、粉质细腻、辛辣味纯正、安全达标，适合食堂批量调味使用。</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19EAD">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49</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BCC76">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2"/>
                <w:szCs w:val="22"/>
                <w:u w:val="none"/>
              </w:rPr>
            </w:pPr>
          </w:p>
        </w:tc>
      </w:tr>
      <w:tr w14:paraId="30E339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0"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58F76">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F1D32">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草果包</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B5A10">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市斤</w:t>
            </w:r>
          </w:p>
        </w:tc>
        <w:tc>
          <w:tcPr>
            <w:tcW w:w="9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41A21">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原料：以优质草果为原料，经挑选、干燥后分装成包，无霉变、虫蛀果实，无枝叶、泥沙等杂质</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感官：果实呈长椭圆形，表面灰棕色至红棕色（自然色泽），包内草果颗粒完整，气味芳香浓郁（具有草果特有的辛辣香气），无霉斑、异味</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理化：水分含量≤12.0%，杂质含量≤1.0%，每包净含量误差≤±5%（如规格为 10g / 包，单包重量在 9.5-10.5g 之间）</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安全：铅≤0.2mg/kg，砷≤0.1mg/kg，污染物符合 GB 2762；微生物达标，无致病菌，农药残留符合 GB 2763</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包装与保质期：独立小包装（防潮避光），外包装密封完好，标注 SC 认证、生产日期，常温干燥储存保质期≥18 个月，到货时剩余保质期不低于 12 个月</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资质：供应商提供近期检测报告、生产许可证</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重点：无杂质、颗粒完整、香气浓郁、包装规范、安全达标，适合食堂批量调味（如炖煮、卤制等）使用。</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3FAA3">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1C095">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2"/>
                <w:szCs w:val="22"/>
                <w:u w:val="none"/>
              </w:rPr>
            </w:pPr>
          </w:p>
        </w:tc>
      </w:tr>
      <w:tr w14:paraId="525A36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0"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BF800">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16</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4DE7C">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草果粉</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54EB2">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市斤</w:t>
            </w:r>
          </w:p>
        </w:tc>
        <w:tc>
          <w:tcPr>
            <w:tcW w:w="9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ED1BA">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原料：以优质新鲜草果为原料，经干燥研磨加工而成，无其他香料掺杂，无霉变、虫蛀草果，无泥沙等杂质</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感官：色泽棕黄或浅棕（自然色泽），粉末细腻均匀，无结块，具有草果特有的芳香气味，无霉斑、异味</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理化：水分含量≤12.0%，杂质含量≤1.0%，细度（通过 60 目筛）≥90%，挥发油含量≥1.0%</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安全：铅≤0.1mg/kg，砷≤0.05mg/kg，污染物符合 GB 2762；微生物达标，无致病菌，农药残留符合 GB 2763</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包装与保质期：密封防潮包装（避光），标注 SC 认证、生产日期，常温干燥储存保质期≥12 个月，到货时剩余保质期不低于 9 个月</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资质：供应商提供近期检测报告、生产许可证</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重点：无杂质、粉质均匀、香气纯正、安全达标，适合食堂批量调味使用。</w:t>
            </w:r>
            <w:r>
              <w:rPr>
                <w:rFonts w:hint="default" w:ascii="Times New Roman" w:hAnsi="Times New Roman" w:eastAsia="宋体" w:cs="Times New Roman"/>
                <w:i w:val="0"/>
                <w:iCs w:val="0"/>
                <w:color w:val="auto"/>
                <w:kern w:val="0"/>
                <w:sz w:val="22"/>
                <w:szCs w:val="22"/>
                <w:u w:val="none"/>
                <w:lang w:val="en-US" w:eastAsia="zh-CN" w:bidi="ar"/>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8461F">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97A8B">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2"/>
                <w:szCs w:val="22"/>
                <w:u w:val="none"/>
              </w:rPr>
            </w:pPr>
          </w:p>
        </w:tc>
      </w:tr>
      <w:tr w14:paraId="7F80E7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0"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38BCD">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439A9">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青花椒粉</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77D98">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市斤</w:t>
            </w:r>
          </w:p>
        </w:tc>
        <w:tc>
          <w:tcPr>
            <w:tcW w:w="9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C5927">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原料：以优质新鲜青花椒为原料，经干燥研磨加工而成，无其他香料掺杂，无霉变、虫蛀青花椒，无泥沙等杂质</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感官：色泽浅绿或黄绿（自然色泽），粉末细腻均匀，无结块，具有青花椒特有的麻香气味，无霉斑、异味</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理化：水分含量≤10.0%，杂质含量≤1.0%，细度（通过 60 目筛）≥90%，挥发油含量≥2.0%</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安全：铅≤0.1mg/kg，砷≤0.05mg/kg，污染物符合 GB 2762；微生物达标，无致病菌，农药残留符合 GB 2763</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包装与保质期：密封防潮包装（避光），标注 SC 认证、生产日期，常温干燥储存保质期≥12 个月，到货时剩余保质期不低于 9 个月</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资质：供应商提供近期检测报告、生产许可证</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重点：无杂质、粉质均匀、麻香纯正、安全达标，适合食堂批量调味使用。</w:t>
            </w:r>
            <w:r>
              <w:rPr>
                <w:rFonts w:hint="default" w:ascii="Times New Roman" w:hAnsi="Times New Roman" w:eastAsia="宋体" w:cs="Times New Roman"/>
                <w:i w:val="0"/>
                <w:iCs w:val="0"/>
                <w:color w:val="auto"/>
                <w:kern w:val="0"/>
                <w:sz w:val="22"/>
                <w:szCs w:val="22"/>
                <w:u w:val="none"/>
                <w:lang w:val="en-US" w:eastAsia="zh-CN" w:bidi="ar"/>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DFE38">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8CEC2">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2"/>
                <w:szCs w:val="22"/>
                <w:u w:val="none"/>
              </w:rPr>
            </w:pPr>
          </w:p>
        </w:tc>
      </w:tr>
      <w:tr w14:paraId="5D9679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0"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D0AD2">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18</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9292B">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青花椒粒</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BEA2A">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市斤</w:t>
            </w:r>
          </w:p>
        </w:tc>
        <w:tc>
          <w:tcPr>
            <w:tcW w:w="9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1C0E0">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原料：以优质新鲜青花椒为原料，经干燥加工而成，无其他香料掺杂，无霉变、虫蛀颗粒，无泥沙等杂质</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感官：色泽浅绿或黄绿（自然色泽），颗粒饱满完整，大小均匀，具有青花椒特有的麻香气味，无霉斑、异味</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理化：水分含量≤10.0%，杂质含量≤1.0%，挥发油含量≥2.0%，破碎率≤5%</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安全：铅≤0.1mg/kg，砷≤0.05mg/kg，污染物符合 GB 2762；微生物达标，无致病菌，农药残留符合 GB 2763</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包装与保质期：密封防潮包装（避光），标注 SC 认证、生产日期，常温干燥储存保质期≥12 个月，到货时剩余保质期不低于 9 个月</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资质：供应商提供近期检测报告、生产许可证</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重点：无杂质、颗粒完整、麻香纯正、安全达标，适合食堂批量调味使用。</w:t>
            </w:r>
            <w:r>
              <w:rPr>
                <w:rFonts w:hint="default" w:ascii="Times New Roman" w:hAnsi="Times New Roman" w:eastAsia="宋体" w:cs="Times New Roman"/>
                <w:i w:val="0"/>
                <w:iCs w:val="0"/>
                <w:color w:val="auto"/>
                <w:kern w:val="0"/>
                <w:sz w:val="22"/>
                <w:szCs w:val="22"/>
                <w:u w:val="none"/>
                <w:lang w:val="en-US" w:eastAsia="zh-CN" w:bidi="ar"/>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B2048">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EFFD0">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2"/>
                <w:szCs w:val="22"/>
                <w:u w:val="none"/>
              </w:rPr>
            </w:pPr>
          </w:p>
        </w:tc>
      </w:tr>
      <w:tr w14:paraId="212492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0"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4818A">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19</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F06BF">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干辣椒节</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349E9">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市斤</w:t>
            </w:r>
          </w:p>
        </w:tc>
        <w:tc>
          <w:tcPr>
            <w:tcW w:w="9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9F1B3">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原料：以优质干辣椒为原料，经切割加工成节状，无霉变、虫蛀部分，无枝叶、泥沙等杂质</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感官：色泽鲜红或深红（自然光泽），节段长度 2-3cm，大小较均匀，无明显碎末，质地坚韧，气味辛辣芳香，无霉斑、异味</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理化：水分含量≤13.0%，杂质含量≤1.0%，辣椒素含量≥0.2%，碎末率≤3%</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安全：铅≤0.1mg/kg，砷≤0.05mg/kg，污染物符合 GB 2762；微生物达标，无致病菌，农药残留符合 GB 2763</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包装与保质期：密封防潮包装（避光），标注 SC 认证、生产日期，常温干燥储存保质期≥12 个月，到货时剩余保质期不低于 9 个月</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资质：供应商提供近期检测报告、生产许可证</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重点：无杂质、节段均匀、辣味纯正、安全达标，适合食堂直接批量调味使用。</w:t>
            </w:r>
            <w:r>
              <w:rPr>
                <w:rFonts w:hint="default" w:ascii="Times New Roman" w:hAnsi="Times New Roman" w:eastAsia="宋体" w:cs="Times New Roman"/>
                <w:i w:val="0"/>
                <w:iCs w:val="0"/>
                <w:color w:val="auto"/>
                <w:kern w:val="0"/>
                <w:sz w:val="22"/>
                <w:szCs w:val="22"/>
                <w:u w:val="none"/>
                <w:lang w:val="en-US" w:eastAsia="zh-CN" w:bidi="ar"/>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052FC">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5FEE2">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2"/>
                <w:szCs w:val="22"/>
                <w:u w:val="none"/>
              </w:rPr>
            </w:pPr>
          </w:p>
        </w:tc>
      </w:tr>
      <w:tr w14:paraId="6BCD01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0"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05E81">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E01A2">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干辣椒</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48BDC">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市斤</w:t>
            </w:r>
          </w:p>
        </w:tc>
        <w:tc>
          <w:tcPr>
            <w:tcW w:w="9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C4EB1">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原料：以优质新鲜辣椒（如朝天椒、线椒等）为原料，经干燥加工而成，无霉变、虫蛀果实，无枝叶、泥沙等杂质</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感官：色泽鲜红或深红（自然光泽），果实完整，长度≥5cm，果形较均匀，质地坚韧，气味辛辣芳香，无霉斑、异味</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理化：水分含量≤13.0%，杂质含量≤1.0%，辣椒素含量≥0.2%，破碎率≤5%</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安全：铅≤0.1mg/kg，砷≤0.05mg/kg，污染物符合 GB 2762；微生物达标，无致病菌，农药残留符合 GB 2763</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包装与保质期：密封防潮包装（避光），标注 SC 认证、生产日期，常温干燥储存保质期≥12 个月，到货时剩余保质期不低于 9 个月</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资质：供应商提供近期检测报告、生产许可证</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重点：无杂质、果实较完整、辣味纯正、安全达标，适合食堂批量切段、熬制等调味使用。</w:t>
            </w:r>
            <w:r>
              <w:rPr>
                <w:rFonts w:hint="default" w:ascii="Times New Roman" w:hAnsi="Times New Roman" w:eastAsia="宋体" w:cs="Times New Roman"/>
                <w:i w:val="0"/>
                <w:iCs w:val="0"/>
                <w:color w:val="auto"/>
                <w:kern w:val="0"/>
                <w:sz w:val="22"/>
                <w:szCs w:val="22"/>
                <w:u w:val="none"/>
                <w:lang w:val="en-US" w:eastAsia="zh-CN" w:bidi="ar"/>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079E3">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38A20">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2"/>
                <w:szCs w:val="22"/>
                <w:u w:val="none"/>
              </w:rPr>
            </w:pPr>
          </w:p>
        </w:tc>
      </w:tr>
      <w:tr w14:paraId="2FC8D8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0"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CDC7E">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21</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30501">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生辣椒面</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1EFE1">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市斤</w:t>
            </w:r>
          </w:p>
        </w:tc>
        <w:tc>
          <w:tcPr>
            <w:tcW w:w="9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2AA29">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原料：以优质新鲜辣椒（如朝天椒、线椒等）为原料，经干燥研磨加工而成，无其他杂物掺杂，无霉变、虫蛀辣椒</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感官：色泽鲜红或深红（自然色泽），粉末细腻均匀，无结块，具有辣椒特有的辛辣香气，无霉斑、异味</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理化：水分含量≤10.0%，杂质含量≤1.0%，细度（通过 60 目筛）≥90%，辣椒素含量≥0.2%</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安全：铅≤0.1mg/kg，砷≤0.05mg/kg，污染物符合 GB 2762；微生物达标，无致病菌，农药残留符合 GB 2763</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包装与保质期：密封防潮包装（避光），标注 SC 认证、生产日期，常温干燥储存保质期≥12 个月，到货时剩余保质期不低于 9 个月</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资质：供应商提供近期检测报告、生产许可证</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重点：无杂质、粉质均匀、辣味纯正、安全达标，适合食堂批量调味使用。</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837E8">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19</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DE3A9">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2"/>
                <w:szCs w:val="22"/>
                <w:u w:val="none"/>
              </w:rPr>
            </w:pPr>
          </w:p>
        </w:tc>
      </w:tr>
      <w:tr w14:paraId="532607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0"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038B1">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22</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AA0C0">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熟辣椒面</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EFABB">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市斤</w:t>
            </w:r>
          </w:p>
        </w:tc>
        <w:tc>
          <w:tcPr>
            <w:tcW w:w="9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04921">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原料：以优质干辣椒为原料，经炒制后研磨加工而成，无其他杂质掺杂，无霉变、虫蛀成分</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感官：色泽深红或枣红（自然色泽），粉末细腻均匀，无结块，具有熟辣椒特有的焦香与辛辣气味，无霉斑、异味</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理化：水分含量≤10.0%，杂质含量≤1.0%，细度（通过 80 目筛）≥95%，辣椒素含量≥0.2%</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安全：铅≤0.1mg/kg，砷≤0.05mg/kg，污染物符合 GB 2762；微生物达标，无致病菌，农药残留符合 GB 2763</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包装与保质期：密封防潮包装（避光），标注 SC 认证、生产日期，常温干燥储存保质期≥12 个月，到货时剩余保质期不低于 9 个月</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资质：供应商提供近期检测报告、生产许可证</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重点：无杂质、粉质细腻、香辣味浓郁、安全达标，适合食堂直接批量调味使用。</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5F79D">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535E6">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2"/>
                <w:szCs w:val="22"/>
                <w:u w:val="none"/>
              </w:rPr>
            </w:pPr>
          </w:p>
        </w:tc>
      </w:tr>
      <w:tr w14:paraId="3DE656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0"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4D134">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23</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86239">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花生米</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2A02E">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市斤</w:t>
            </w:r>
          </w:p>
        </w:tc>
        <w:tc>
          <w:tcPr>
            <w:tcW w:w="9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7D17E">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原料：以优质新鲜花生为原料，经脱壳加工而成，无其他果仁掺杂，无霉变、虫蛀颗粒，无泥沙等杂质</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感官：色泽乳白或浅粉（自然光泽），颗粒饱满均匀，大小一致，无破碎、干瘪，气味清香无异味，炒熟后口感香脆</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理化：水分含量≤8.0%，杂质含量≤0.5%，不完善粒≤3.0%，含油量≥40%</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安全：铅≤0.1mg/kg，砷≤0.05mg/kg，黄曲霉毒素 B</w:t>
            </w:r>
            <w:r>
              <w:rPr>
                <w:rFonts w:hint="default" w:ascii="Times New Roman" w:hAnsi="Times New Roman" w:eastAsia="宋体" w:cs="Times New Roman"/>
                <w:i w:val="0"/>
                <w:iCs w:val="0"/>
                <w:color w:val="auto"/>
                <w:kern w:val="0"/>
                <w:sz w:val="22"/>
                <w:szCs w:val="22"/>
                <w:u w:val="none"/>
                <w:lang w:val="en-US" w:eastAsia="zh-CN" w:bidi="ar"/>
              </w:rPr>
              <w:t>₁</w:t>
            </w:r>
            <w:r>
              <w:rPr>
                <w:rFonts w:hint="eastAsia" w:ascii="宋体" w:hAnsi="宋体" w:eastAsia="宋体" w:cs="宋体"/>
                <w:i w:val="0"/>
                <w:iCs w:val="0"/>
                <w:color w:val="auto"/>
                <w:kern w:val="0"/>
                <w:sz w:val="22"/>
                <w:szCs w:val="22"/>
                <w:u w:val="none"/>
                <w:lang w:val="en-US" w:eastAsia="zh-CN" w:bidi="ar"/>
              </w:rPr>
              <w:t>≤5μg/kg，污染物符合 GB 2762；微生物达标，无致病菌</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包装与保质期：密封防潮包装（避光），标注 SC 认证、生产日期，常温干燥储存保质期≥12 个月，到货时剩余保质期不低于 9 个月</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资质：供应商提供近期检测报告、生产许可证</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重点：无杂质、颗粒饱满、无黄曲霉毒素、安全达标，适合食堂批量油炸、煮粥、凉拌等制作。</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3F5D5">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BE7C4">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2"/>
                <w:szCs w:val="22"/>
                <w:u w:val="none"/>
              </w:rPr>
            </w:pPr>
          </w:p>
        </w:tc>
      </w:tr>
      <w:tr w14:paraId="279807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0"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0FED0">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24</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12790">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干红豆</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72166">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市斤</w:t>
            </w:r>
          </w:p>
        </w:tc>
        <w:tc>
          <w:tcPr>
            <w:tcW w:w="9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75EE5">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原料：以优质新鲜红豆为原料，经干燥加工而成，无其他豆类掺杂，无霉变、虫蛀颗粒，无泥沙等杂质</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感官：色泽深红或紫红（自然光泽），颗粒饱满均匀，大小一致，无破碎、干瘪，气味清香无异味，煮熟后口感粉糯</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理化：水分含量≤13.0%，杂质含量≤1.0%，不完善粒≤5.0%，粗蛋白质含量≥20%</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安全：铅≤0.2mg/kg，砷≤0.1mg/kg，污染物符合 GB 2762；微生物达标，无致病菌</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包装与保质期：密封防潮包装（避光），标注 SC 认证、生产日期，常温干燥储存保质期≥12 个月，到货时剩余保质期不低于 9 个月</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资质：供应商提供近期检测报告、生产许可证</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重点：无杂质、颗粒饱满、易煮熟、安全达标，适合食堂批量煮粥、制作豆沙等。</w:t>
            </w:r>
            <w:r>
              <w:rPr>
                <w:rFonts w:hint="default" w:ascii="Times New Roman" w:hAnsi="Times New Roman" w:eastAsia="宋体" w:cs="Times New Roman"/>
                <w:i w:val="0"/>
                <w:iCs w:val="0"/>
                <w:color w:val="auto"/>
                <w:kern w:val="0"/>
                <w:sz w:val="22"/>
                <w:szCs w:val="22"/>
                <w:u w:val="none"/>
                <w:lang w:val="en-US" w:eastAsia="zh-CN" w:bidi="ar"/>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CD8AB">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7.9</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1C9CF">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2"/>
                <w:szCs w:val="22"/>
                <w:u w:val="none"/>
              </w:rPr>
            </w:pPr>
          </w:p>
        </w:tc>
      </w:tr>
      <w:tr w14:paraId="1E1429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0"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E830C">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25</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0FFEB">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花圆豆</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FE82B">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市斤</w:t>
            </w:r>
          </w:p>
        </w:tc>
        <w:tc>
          <w:tcPr>
            <w:tcW w:w="9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92B43">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原料：以优质新鲜花圆豆为原料，经干燥加工而成，无其他豆类掺杂，无霉变、虫蛀颗粒，无泥沙等杂质</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感官：色泽呈黄白相间的自然花纹，颗粒圆润饱满、大小均匀，无破碎、干瘪，气味清香无异味，煮熟后口感粉面软糯</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理化：水分含量≤13.0%，杂质含量≤1.0%，不完善粒≤5.0%，粗蛋白质含量≥20%</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安全：铅≤0.2mg/kg，砷≤0.1mg/kg，污染物符合 GB 2762；微生物达标，无致病菌</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包装与保质期：密封防潮包装（避光），标注 SC 认证、生产日期，常温干燥储存保质期≥12 个月，到货时剩余保质期不低于 9 个月</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资质：供应商提供近期检测报告、生产许可证</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重点：无杂质、颗粒饱满、易煮熟、安全达标，适合食堂批量煮粥、制作杂粮饭、煲汤等。</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9F9EA">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12.9</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809B7">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2"/>
                <w:szCs w:val="22"/>
                <w:u w:val="none"/>
              </w:rPr>
            </w:pPr>
          </w:p>
        </w:tc>
      </w:tr>
      <w:tr w14:paraId="6AADE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0"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F80FB">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26</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B6B3C">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小绿豆</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58EB6">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市斤</w:t>
            </w:r>
          </w:p>
        </w:tc>
        <w:tc>
          <w:tcPr>
            <w:tcW w:w="9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A6309">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原料：以优质新鲜小绿豆为原料，经干燥加工而成，无其他豆类掺杂，无霉变、虫蛀颗粒，无泥沙等杂质</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感官：色泽鲜绿或翠绿（自然光泽），颗粒小巧饱满、均匀，无破碎、干瘪，气味清香无异味，煮熟后口感软糯</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理化：水分含量≤13.0%，杂质含量≤1.0%，不完善粒≤5.0%，粗蛋白质含量≥22%</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安全：铅≤0.2mg/kg，砷≤0.1mg/kg，污染物符合 GB 2762；微生物达标，无致病菌</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包装与保质期：密封防潮包装（避光），标注 SC 认证、生产日期，常温干燥储存保质期≥12 个月，到货时剩余保质期不低于 9 个月</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资质：供应商提供近期检测报告、生产许可证</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重点：无杂质、颗粒饱满、易煮烂、安全达标，适合食堂批量煮粥、制作绿豆汤等。</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675DE">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6.9</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AE694">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2"/>
                <w:szCs w:val="22"/>
                <w:u w:val="none"/>
              </w:rPr>
            </w:pPr>
          </w:p>
        </w:tc>
      </w:tr>
      <w:tr w14:paraId="61DBC2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0"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53206">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27</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D73B0">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小红豆</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F6B1B">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市斤</w:t>
            </w:r>
          </w:p>
        </w:tc>
        <w:tc>
          <w:tcPr>
            <w:tcW w:w="9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E29BB">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原料：以优质新鲜小红豆为原料，经干燥加工而成，无其他豆类掺杂，无霉变、虫蛀颗粒，无泥沙等杂质</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感官：色泽鲜红或朱红（自然光泽），颗粒小巧饱满、均匀，无破碎、干瘪，气味清香无异味，煮熟后口感粉面</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理化：水分含量≤13.0%，杂质含量≤1.0%，不完善粒≤5.0%，粗蛋白质含量≥20%</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安全：铅≤0.2mg/kg，砷≤0.1mg/kg，污染物符合 GB 2762；微生物达标，无致病菌</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包装与保质期：密封防潮包装（避光），标注 SC 认证、生产日期，常温干燥储存保质期≥12 个月，到货时剩余保质期不低于 9 个月</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资质：供应商提供近期检测报告、生产许可证</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重点：无杂质、颗粒小巧饱满、易煮软、安全达标，适合食堂批量煮粥、制作甜品等。</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0EB5B">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9.9</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DBB0E">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2"/>
                <w:szCs w:val="22"/>
                <w:u w:val="none"/>
              </w:rPr>
            </w:pPr>
          </w:p>
        </w:tc>
      </w:tr>
      <w:tr w14:paraId="5F1F99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0"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24E06">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28</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06FA5">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大枣</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BF333">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市斤</w:t>
            </w:r>
          </w:p>
        </w:tc>
        <w:tc>
          <w:tcPr>
            <w:tcW w:w="9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62D48">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原料：以优质新鲜大枣为原料，经自然晾晒或烘干加工而成，无其他果类掺杂，无霉变、虫蛀果实，无枝叶、泥沙等杂质</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感官：色泽深红或紫红（自然光泽），果实饱满完整，单果重≥8g，肉质厚实，无霉斑、异味，口感甘甜微酸</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理化：水分含量≤25.0%，杂质含量≤0.5%，总糖（以葡萄糖计）≥60%，可食率≥90%</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安全：铅≤0.2mg/kg，砷≤0.1mg/kg，污染物符合 GB 2762；微生物达标，无致病菌，农药残留符合 GB 2763</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包装与保质期：密封防潮包装（避光），标注 SC 认证、生产日期，常温干燥储存保质期≥12 个月，到货时剩余保质期不低于 9 个月</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资质：供应商提供近期检测报告、生产许可证</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重点：无杂质、果实完整、甜度适宜、安全达标，适合食堂批量煮粥、煲汤、直接食用等。</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06E9A">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B9C47">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2"/>
                <w:szCs w:val="22"/>
                <w:u w:val="none"/>
              </w:rPr>
            </w:pPr>
          </w:p>
        </w:tc>
      </w:tr>
      <w:tr w14:paraId="42F1FC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0"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A20B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29</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B4E1B">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单晶冰糖</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D96ED">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市斤</w:t>
            </w:r>
          </w:p>
        </w:tc>
        <w:tc>
          <w:tcPr>
            <w:tcW w:w="9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320A9">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原料：以优质白砂糖为原料，经溶解、结晶等工艺加工而成，无其他杂质掺杂，无霉变、异味</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感官：色泽洁白透明（自然光泽），颗粒均匀完整，呈规则的棱柱状，质地坚硬，无结块、潮解，气味清甜无异味</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理化：水分含量≤0.1%，杂质含量≤0.05%，蔗糖分≥99.5%，还原糖分≤0.1%</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安全：铅≤0.1mg/kg，砷≤0.05mg/kg，污染物符合 GB 2762；微生物达标，无致病菌</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包装与保质期：密封防潮包装（避光），标注 SC 认证、生产日期，常温干燥储存保质期≥24 个月，到货时剩余保质期不低于 18 个月</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资质：供应商提供近期检测报告、生产许可证</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重点：无杂质、颗粒均匀、纯度高、安全达标，适合食堂批量调味、煲汤、制作甜品等。</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C6675">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584B2">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2"/>
                <w:szCs w:val="22"/>
                <w:u w:val="none"/>
              </w:rPr>
            </w:pPr>
          </w:p>
        </w:tc>
      </w:tr>
      <w:tr w14:paraId="12756B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0"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D74A9">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081E5">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白砂糖</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7BBD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市斤</w:t>
            </w:r>
          </w:p>
        </w:tc>
        <w:tc>
          <w:tcPr>
            <w:tcW w:w="9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8E725">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原料：以甘蔗或甜菜为原料，经提取、精炼加工而成，无其他糖类掺杂，无霉变、异味</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感官：色泽洁白（自然光泽），颗粒均匀，呈细砂状，无结块、潮解，气味清甜无异味</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理化：水分含量≤0.06%，杂质含量≤0.04%，蔗糖分≥99.6%，还原糖分≤0.1%</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安全：铅≤0.1mg/kg，砷≤0.05mg/kg，污染物符合 GB 2762；微生物达标，无致病菌</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包装与保质期：密封防潮包装（避光），标注 SC 认证、生产日期，常温干燥储存保质期≥24 个月，到货时剩余保质期不低于 18 个月</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资质：供应商提供近期检测报告、生产许可证</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重点：无杂质、颗粒均匀、纯度高、易溶解、安全达标，适合食堂批量调味、烘焙、制作甜品等。</w:t>
            </w:r>
            <w:r>
              <w:rPr>
                <w:rFonts w:hint="default" w:ascii="Times New Roman" w:hAnsi="Times New Roman" w:eastAsia="宋体" w:cs="Times New Roman"/>
                <w:i w:val="0"/>
                <w:iCs w:val="0"/>
                <w:color w:val="auto"/>
                <w:kern w:val="0"/>
                <w:sz w:val="22"/>
                <w:szCs w:val="22"/>
                <w:u w:val="none"/>
                <w:lang w:val="en-US" w:eastAsia="zh-CN" w:bidi="ar"/>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0A10E">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3.98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36A84">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2"/>
                <w:szCs w:val="22"/>
                <w:u w:val="none"/>
              </w:rPr>
            </w:pPr>
          </w:p>
        </w:tc>
      </w:tr>
      <w:tr w14:paraId="659438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0"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B3642">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31</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76E9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海带皮</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B90EC">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市斤</w:t>
            </w:r>
          </w:p>
        </w:tc>
        <w:tc>
          <w:tcPr>
            <w:tcW w:w="9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2A781">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原料：以优质新鲜海带为原料，经清洗、晾晒或烘干加工而成，无其他藻类掺杂，无霉变、虫蛀部分，无泥沙等杂质</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感官：色泽黑褐或褐绿（自然色泽），质地厚实有韧性，片张完整（单张面积≥200cm²），无霉斑、异味，泡发后口感爽滑</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理化：水分含量≤15.0%，杂质含量≤1.0%，盐分（以干基计）≤20%，灰分≤30%</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安全：铅≤0.5mg/kg，砷≤1.0mg/kg，污染物符合 GB 2762；微生物达标，无致病菌</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包装与保质期：密封防潮包装（避光），标注 SC 认证、生产日期，常温干燥储存保质期≥24 个月，到货时剩余保质期不低于 18 个月</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资质：供应商提供近期检测报告、生产许可证</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重点：无杂质、片张较完整、泡发率高、安全达标，适合食堂批量泡发后凉拌、煮汤等。</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A888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27.5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9604C">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2"/>
                <w:szCs w:val="22"/>
                <w:u w:val="none"/>
              </w:rPr>
            </w:pPr>
          </w:p>
        </w:tc>
      </w:tr>
      <w:tr w14:paraId="7E208E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0"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14D62">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32</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8F01D">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干粉丝</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7EE08">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市斤</w:t>
            </w:r>
          </w:p>
        </w:tc>
        <w:tc>
          <w:tcPr>
            <w:tcW w:w="9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EB833">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原料：以优质红薯淀粉或绿豆淀粉为原料，经加工制成，无其他淀粉掺杂，无霉变、感官：色泽洁白或淡黄（自然色泽），丝条均匀（直径 0.5-1mm），长度一致（20-30cm），无结块、杂质，质地干燥坚韧，无霉斑、异味，煮熟后口感爽滑有弹性、不糊汤</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理化：水分含量≤14.0%，杂质含量≤0.5%，灰分≤0.8%，断条率≤5%</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安全：铅≤0.1mg/kg，砷≤0.05mg/kg，污染物符合 GB 2762；微生物达标，无致病菌</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包装与保质期：密封防潮包装（避光），标注 SC 认证、生产日期，常温干燥储存保质期≥12 个月，到货时剩余保质期不低于 9 个月</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资质：供应商提供近期检测报告、生产许可证</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重点：无杂质、丝条均匀、耐煮不糊、安全达标，适合食堂批量煮制后凉拌、炒菜、煮汤等。</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238E4">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EAC60">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2"/>
                <w:szCs w:val="22"/>
                <w:u w:val="none"/>
              </w:rPr>
            </w:pPr>
          </w:p>
        </w:tc>
      </w:tr>
      <w:tr w14:paraId="367231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30"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1992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33</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A51F2">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干米线（过桥米线）</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F653A">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市斤</w:t>
            </w:r>
          </w:p>
        </w:tc>
        <w:tc>
          <w:tcPr>
            <w:tcW w:w="9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21BBD">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原料与工艺：以优质大米为主要原料（大米占比≥98% ），可添加适量的水和食用盐（二者占比≤2% ），无霉变、虫蛀大米，不得使用陈化粮。</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不得添加人工合成色素、防腐剂、增白剂等非必要添加剂。采用传统或现代化制粉、成型、干燥工艺，经浸泡、磨浆、蒸制、挤压成型、干燥等环节制成。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生产过程需符合卫生标准，确保生产环境清洁，生产设备定期消毒。</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感官指标：外观色泽均匀，呈大米自然的白色或略带微黄，无异常色斑或变色现象 。米线粗细均匀，直径一般在 0.8 - 1.2mm ，长度通常为 15 - 20cm ，无碎断、粘连现象。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气味与滋味：具有大米特有的清香气味，无霉味、酸败味、哈喇味、异味等 。煮熟后口感爽滑劲道，富有弹性，无夹生、糊化等不良口感，无苦涩等异常滋味。</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安全指标：理化指标：水分含量≤14% ，防止储存过程中霉变。</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铅≤0.2mg/kg，砷≤0.1mg/kg，镉≤0.2mg/kg，汞≤0.02mg/kg，符合 GB 2762《食品安全国家标准 食品中污染物限量》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二氧化硫残留量（以 SO</w:t>
            </w:r>
            <w:r>
              <w:rPr>
                <w:rFonts w:hint="default" w:ascii="Times New Roman" w:hAnsi="Times New Roman" w:eastAsia="宋体" w:cs="Times New Roman"/>
                <w:i w:val="0"/>
                <w:iCs w:val="0"/>
                <w:color w:val="auto"/>
                <w:kern w:val="0"/>
                <w:sz w:val="20"/>
                <w:szCs w:val="20"/>
                <w:u w:val="none"/>
                <w:lang w:val="en-US" w:eastAsia="zh-CN" w:bidi="ar"/>
              </w:rPr>
              <w:t>₂</w:t>
            </w:r>
            <w:r>
              <w:rPr>
                <w:rFonts w:hint="eastAsia" w:ascii="宋体" w:hAnsi="宋体" w:eastAsia="宋体" w:cs="宋体"/>
                <w:i w:val="0"/>
                <w:iCs w:val="0"/>
                <w:color w:val="auto"/>
                <w:kern w:val="0"/>
                <w:sz w:val="20"/>
                <w:szCs w:val="20"/>
                <w:u w:val="none"/>
                <w:lang w:val="en-US" w:eastAsia="zh-CN" w:bidi="ar"/>
              </w:rPr>
              <w:t>计）不得检出（若加工过程中使用相关添加剂需符合限量要求）。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微生物指标：菌落总数≤10000CFU/g，大肠菌群≤10MPN/100g ，符合相关食品安全标准。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不得检出沙门氏菌、金黄色葡萄球菌、志贺氏菌等致病菌。</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包装与保质期：</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包装形式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采用食品级塑料袋或复合包装袋，密封严实，具有良好的防潮、防氧化性能；也可采用真空包装，进一步延长保质期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包装上需清晰标注产品名称、净含量、配料表、生产日期、保质期、储存条件、生产许可证编号（SC 认证）、执行标准、生产厂家名称及地址等信息。</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保质期</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在阴凉、干燥、通风处储存，保质期：非真空包装≥6 个月，真空包装≥12 个月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到货时剩余保质期不低于总保质期的 2/3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资质要求：供应商需提供有效期内的《食品生产许可证》，生产许可范围涵盖干米线 。提供近 3 个月内由具有资质的第三方检测机构出具的产品检测报告，检测项目需包括感官指标、理化指标、微生物指标等，且检测结果均符合标准要求 。提供原料大米的产地证明、质量检测报告，确保原料来源可追溯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重点要求：口感爽滑劲道，适合学校食堂快速加工制作汤米线、炒米线等多种菜品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产品质量稳定，批次间差异小，保障食品安全，无有害添加物，可溯源，一旦出现质量问题，供应商能在 24 小时内响应并提供解决方案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06B53">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6.9</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32586">
            <w:pPr>
              <w:keepNext w:val="0"/>
              <w:keepLines w:val="0"/>
              <w:pageBreakBefore w:val="0"/>
              <w:widowControl/>
              <w:kinsoku/>
              <w:wordWrap/>
              <w:overflowPunct/>
              <w:topLinePunct w:val="0"/>
              <w:autoSpaceDE/>
              <w:autoSpaceDN/>
              <w:bidi w:val="0"/>
              <w:adjustRightInd/>
              <w:snapToGrid/>
              <w:spacing w:line="240" w:lineRule="atLeast"/>
              <w:rPr>
                <w:rFonts w:hint="eastAsia" w:ascii="宋体" w:hAnsi="宋体" w:eastAsia="宋体" w:cs="宋体"/>
                <w:i w:val="0"/>
                <w:iCs w:val="0"/>
                <w:color w:val="auto"/>
                <w:sz w:val="20"/>
                <w:szCs w:val="20"/>
                <w:u w:val="none"/>
              </w:rPr>
            </w:pPr>
          </w:p>
        </w:tc>
      </w:tr>
      <w:tr w14:paraId="6E8131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0"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8B02B">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34</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0E8E8">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红糖</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D37C9">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市斤</w:t>
            </w:r>
          </w:p>
        </w:tc>
        <w:tc>
          <w:tcPr>
            <w:tcW w:w="9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A0C81">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原料：以甘蔗为原料，经传统工艺熬制浓缩而成，无其他糖类掺杂，无霉变、无杂质</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感官：色泽深红或棕红（自然色泽），呈块状或粉状（依需求选择），质地疏松或细腻，无结块、潮解，气味香甜醇厚无异味</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理化：水分含量≤3.5%，杂质含量≤0.1%，蔗糖分≥85%，还原糖分≥10%</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安全：铅≤0.1mg/kg，砷≤0.05mg/kg，污染物符合 GB 2762；微生物达标，无致病菌</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包装与保质期：密封防潮包装（避光），标注 SC 认证、生产日期，常温干燥储存保质期≥12 个月，到货时剩余保质期不低于 9 个月</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资质：供应商提供近期检测报告、生产许可证</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重点：无杂质、色泽自然、甜度适中、安全达标，适合食堂批量调味、熬粥、制作甜品等。</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3C860">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654BE">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2"/>
                <w:szCs w:val="22"/>
                <w:u w:val="none"/>
              </w:rPr>
            </w:pPr>
          </w:p>
        </w:tc>
      </w:tr>
      <w:tr w14:paraId="54E141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0"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E0851">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35</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0043D">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茴香粉</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5A338">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市斤</w:t>
            </w:r>
          </w:p>
        </w:tc>
        <w:tc>
          <w:tcPr>
            <w:tcW w:w="9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D06DE">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原料：以优质茴香籽为原料，经烘焙后研磨加工而成，无其他香料掺杂，无霉变、虫蛀部分，无泥沙等杂质</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感官：色泽浅黄或棕黄（自然色泽），粉末细腻均匀，无结块，具有茴香特有的浓郁芳香气味，无霉斑、异味</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理化：水分含量≤10.0%，杂质含量≤1.0%，细度（通过 80 目筛）≥95%，挥发油含量≥2.0%</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安全：铅≤0.1mg/kg，砷≤0.05mg/kg，污染物符合 GB 2762；微生物达标，无致病菌，农药残留符合 GB 2763</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包装与保质期：密封防潮包装（避光），标注 SC 认证、生产日期，常温干燥储存保质期≥12 个月，到货时剩余保质期不低于 9 个月</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资质：供应商提供近期检测报告、生产许可证</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重点：无杂质、粉质细腻、香气浓郁、安全达标，适合食堂批量调味（如炒菜、馅料、卤制等）使用。</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25074">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10532">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2"/>
                <w:szCs w:val="22"/>
                <w:u w:val="none"/>
              </w:rPr>
            </w:pPr>
          </w:p>
        </w:tc>
      </w:tr>
      <w:tr w14:paraId="6F331E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80"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2937F">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36</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992BB">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豆沙</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D661F">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市斤</w:t>
            </w:r>
          </w:p>
        </w:tc>
        <w:tc>
          <w:tcPr>
            <w:tcW w:w="9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99D62">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原料：以优质红豆或绿豆为主要原料，添加适量白砂糖（或无添加），经蒸煮、研磨加工而成，无其他杂豆或异物掺杂，无霉变成分</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感官：色泽深红（红豆沙）或浅绿（绿豆沙），质地细腻均匀，无明显颗粒感，无结块、杂质，具有豆类特有的清香与甜味，无霉斑、异味</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理化：水分含量≤35.0%，杂质含量≤0.3%，总糖（以葡萄糖计）≤60%（无添加糖款另行标注），细度（通过 100 目筛）≥98%</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安全：铅≤0.1mg/kg，砷≤0.05mg/kg，污染物符合 GB 2762；微生物达标，无致病菌，防腐剂（如使用）符合 GB 2760 规定</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包装与保质期：密封无菌包装（避光），标注 SC 认证、生产日期，冷藏（0-4℃）储存保质期≥90 天，到货时剩余保质期不低于 60 天</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资质：供应商提供近期检测报告、生产许可证</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重点：无杂质、质地细腻、口味纯正、安全达标，适合食堂批量制作糕点、甜品、馅料等。</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4BEEE">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CE116">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2"/>
                <w:szCs w:val="22"/>
                <w:u w:val="none"/>
              </w:rPr>
            </w:pPr>
          </w:p>
        </w:tc>
      </w:tr>
      <w:tr w14:paraId="111944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0"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0027F">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37</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BC8FF">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芫荽粉</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B81B1">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市斤</w:t>
            </w:r>
          </w:p>
        </w:tc>
        <w:tc>
          <w:tcPr>
            <w:tcW w:w="9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2D87C">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原料：以优质芫荽籽为原料，经烘焙后研磨加工而成，无其他香料掺杂，无霉变、泥沙等杂质</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感官：色泽浅绿或黄绿（自然色泽），粉末细腻均匀，无结块，具有芫荽特有的浓郁芳香气味，无霉斑、异味</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理化：水分含量≤10.0%，杂质含量≤1.0%，细度（通过 80 目筛）≥95%，挥发油含量≥0.8%</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安全：铅≤0.1mg/kg，砷≤0.05mg/kg，污染物符合 GB 2762；微生物达标，无致病菌，农药残留符合 GB 2763</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包装与保质期：密封防潮包装（避光），标注 SC 认证、生产日期，常温干燥储存保质期≥12 个月，到货时剩余保质期不低于 9 个月</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资质：供应商提供近期检测报告、生产许可证</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重点：无杂质、粉质细腻、香气浓郁、安全达标，适合食堂批量调味（如炒菜、馅料、汤品等）使用。</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9FDEC">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B89A1">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2"/>
                <w:szCs w:val="22"/>
                <w:u w:val="none"/>
              </w:rPr>
            </w:pPr>
          </w:p>
        </w:tc>
      </w:tr>
      <w:tr w14:paraId="1AF410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0"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805E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38</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82B9C">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芫荽子</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7BFC9">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市斤</w:t>
            </w:r>
          </w:p>
        </w:tc>
        <w:tc>
          <w:tcPr>
            <w:tcW w:w="9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A8FF7">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原料：以优质芫荽籽为原料，经干燥、筛选加工而成，无其他籽粒掺杂，无霉变、虫蛀杂质</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感官：色泽浅黄或黄绿（自然色泽），颗粒饱满均匀，呈球形，质地坚实，具有芫荽特有的浓郁芳香气味，无霉斑、异味</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理化：水分含量≤10.0%，杂质含量≤1.0%，不完善粒≤5.0%，千粒重≥10g</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安全：铅≤0.1mg/kg，砷≤0.05mg/kg，污染物符合 GB 2762；微生物达标，无致病菌，农药残留符合 GB 2763</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包装与保质期：密封防潮包装（避光），标注 SC 认证、生产日期，常温干燥储存保质期≥18 个月，到货时剩余保质期不低于 12 个月</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资质：供应商提供近期检测报告、生产许可证</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重点：无杂质、颗粒饱满、香气浓郁、安全达标，适合食堂批量调味（如炖煮、卤制、腌渍等）使用。</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70F3B">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75B56">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2"/>
                <w:szCs w:val="22"/>
                <w:u w:val="none"/>
              </w:rPr>
            </w:pPr>
          </w:p>
        </w:tc>
      </w:tr>
    </w:tbl>
    <w:p w14:paraId="3681E336">
      <w:pPr>
        <w:pStyle w:val="9"/>
        <w:rPr>
          <w:rFonts w:hint="eastAsia"/>
          <w:b/>
          <w:bCs/>
          <w:color w:val="auto"/>
          <w:lang w:val="en-US" w:eastAsia="zh-CN"/>
        </w:rPr>
      </w:pPr>
    </w:p>
    <w:p w14:paraId="1865968B">
      <w:pPr>
        <w:pStyle w:val="9"/>
        <w:rPr>
          <w:rFonts w:hint="eastAsia"/>
          <w:color w:val="auto"/>
          <w:lang w:val="en-US" w:eastAsia="zh-CN"/>
        </w:rPr>
        <w:sectPr>
          <w:pgSz w:w="16838" w:h="11900" w:orient="landscape"/>
          <w:pgMar w:top="1417" w:right="1417" w:bottom="1417" w:left="1417" w:header="850" w:footer="850" w:gutter="0"/>
          <w:cols w:space="0" w:num="1"/>
          <w:titlePg/>
          <w:rtlGutter w:val="0"/>
          <w:docGrid w:linePitch="360" w:charSpace="0"/>
        </w:sectPr>
      </w:pPr>
    </w:p>
    <w:p w14:paraId="4C13253B">
      <w:pPr>
        <w:pStyle w:val="9"/>
        <w:rPr>
          <w:rFonts w:hint="eastAsia"/>
          <w:color w:val="auto"/>
          <w:lang w:val="en-US" w:eastAsia="zh-CN"/>
        </w:rPr>
      </w:pPr>
    </w:p>
    <w:tbl>
      <w:tblPr>
        <w:tblStyle w:val="30"/>
        <w:tblW w:w="1522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36"/>
        <w:gridCol w:w="665"/>
        <w:gridCol w:w="836"/>
        <w:gridCol w:w="10950"/>
        <w:gridCol w:w="1074"/>
        <w:gridCol w:w="867"/>
      </w:tblGrid>
      <w:tr w14:paraId="35512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20" w:hRule="atLeast"/>
          <w:jc w:val="center"/>
        </w:trPr>
        <w:tc>
          <w:tcPr>
            <w:tcW w:w="15236" w:type="dxa"/>
            <w:gridSpan w:val="6"/>
            <w:tcBorders>
              <w:top w:val="nil"/>
              <w:left w:val="nil"/>
              <w:bottom w:val="nil"/>
              <w:right w:val="nil"/>
            </w:tcBorders>
            <w:shd w:val="clear" w:color="auto" w:fill="auto"/>
            <w:vAlign w:val="center"/>
          </w:tcPr>
          <w:p w14:paraId="1C17A431">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br w:type="textWrapping"/>
            </w:r>
            <w:r>
              <w:rPr>
                <w:rFonts w:hint="eastAsia" w:ascii="宋体" w:hAnsi="宋体" w:eastAsia="宋体" w:cs="宋体"/>
                <w:b/>
                <w:bCs/>
                <w:i w:val="0"/>
                <w:iCs w:val="0"/>
                <w:color w:val="auto"/>
                <w:kern w:val="0"/>
                <w:sz w:val="20"/>
                <w:szCs w:val="20"/>
                <w:u w:val="none"/>
                <w:lang w:val="en-US" w:eastAsia="zh-CN" w:bidi="ar"/>
              </w:rPr>
              <w:t>三、调味料采购清单</w:t>
            </w:r>
            <w:r>
              <w:rPr>
                <w:rFonts w:hint="eastAsia" w:ascii="宋体" w:hAnsi="宋体" w:eastAsia="宋体" w:cs="宋体"/>
                <w:b/>
                <w:bCs/>
                <w:i w:val="0"/>
                <w:iCs w:val="0"/>
                <w:color w:val="auto"/>
                <w:kern w:val="0"/>
                <w:sz w:val="20"/>
                <w:szCs w:val="20"/>
                <w:u w:val="none"/>
                <w:lang w:val="en-US" w:eastAsia="zh-CN" w:bidi="ar"/>
              </w:rPr>
              <w:br w:type="textWrapping"/>
            </w:r>
            <w:r>
              <w:rPr>
                <w:rStyle w:val="91"/>
                <w:color w:val="auto"/>
                <w:lang w:val="en-US" w:eastAsia="zh-CN" w:bidi="ar"/>
              </w:rPr>
              <w:t>（注：1、投标人报价时应在报同一单价的基础上，提供两种及以上品牌供学校选择。2、品牌要求：需为国内知名品牌，且具有良好的市场口碑和质量信誉。）</w:t>
            </w:r>
          </w:p>
        </w:tc>
      </w:tr>
      <w:tr w14:paraId="297AE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0" w:hRule="atLeast"/>
          <w:jc w:val="center"/>
        </w:trPr>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812FF">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序号</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73367">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商品名称</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82E89">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单 位</w:t>
            </w:r>
          </w:p>
        </w:tc>
        <w:tc>
          <w:tcPr>
            <w:tcW w:w="1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D062F">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规格型号及质量要求</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74452">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拦标单价（元）</w:t>
            </w:r>
          </w:p>
        </w:tc>
        <w:tc>
          <w:tcPr>
            <w:tcW w:w="8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EBDE9B">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备注</w:t>
            </w:r>
          </w:p>
        </w:tc>
      </w:tr>
      <w:tr w14:paraId="21061A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0" w:hRule="atLeast"/>
          <w:jc w:val="center"/>
        </w:trPr>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B81D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AF7DE">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生抽</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39351">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瓶</w:t>
            </w:r>
          </w:p>
        </w:tc>
        <w:tc>
          <w:tcPr>
            <w:tcW w:w="1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C5749">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规格：800ml/瓶，原料：以大豆、小麦为主要原料，经传统发酵工艺酿造而成，无不明添加剂，无霉变原料残留</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感官：色泽浅红褐色（自然光泽），澄清透明，无悬浮物及沉淀，具有生抽特有的咸鲜香气，滋味鲜咸适口，无异味</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理化：可溶性无盐固形物≥10.0g/100mL，总酸（以乳酸计）≤2.5g/100mL，氨基酸态氮≥0.8g/100mL，盐分（以氯化钠计）≤18g/100mL</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安全：铅≤0.1mg/kg，砷≤0.05mg/kg，黄曲霉毒素 B</w:t>
            </w:r>
            <w:r>
              <w:rPr>
                <w:rStyle w:val="93"/>
                <w:rFonts w:eastAsia="宋体"/>
                <w:color w:val="auto"/>
                <w:lang w:val="en-US" w:eastAsia="zh-CN" w:bidi="ar"/>
              </w:rPr>
              <w:t>₁</w:t>
            </w:r>
            <w:r>
              <w:rPr>
                <w:rFonts w:hint="eastAsia" w:ascii="宋体" w:hAnsi="宋体" w:eastAsia="宋体" w:cs="宋体"/>
                <w:i w:val="0"/>
                <w:iCs w:val="0"/>
                <w:color w:val="auto"/>
                <w:kern w:val="0"/>
                <w:sz w:val="20"/>
                <w:szCs w:val="20"/>
                <w:u w:val="none"/>
                <w:lang w:val="en-US" w:eastAsia="zh-CN" w:bidi="ar"/>
              </w:rPr>
              <w:t>≤5μg/kg，污染物符合 GB 2762；微生物达标，无致病菌，食品添加剂符合 GB 2760</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包装与保质期：密封瓶装（避光），标注 SC 认证、生产日期，常温储存保质期≥18 个月，到货时剩余保质期不低于 12 个月</w:t>
            </w:r>
          </w:p>
          <w:p w14:paraId="006AB07F">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资质：供应商提供近期检测报告、生产许可证</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重点：咸鲜适口、鲜味突出、澄清无杂质、安全达标，适合食堂批量炒菜、凉拌、蘸食等调味</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9ACE5">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6.9</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77BE6">
            <w:pPr>
              <w:rPr>
                <w:rFonts w:hint="eastAsia" w:ascii="宋体" w:hAnsi="宋体" w:eastAsia="宋体" w:cs="宋体"/>
                <w:i w:val="0"/>
                <w:iCs w:val="0"/>
                <w:color w:val="auto"/>
                <w:sz w:val="20"/>
                <w:szCs w:val="20"/>
                <w:u w:val="none"/>
              </w:rPr>
            </w:pPr>
          </w:p>
        </w:tc>
      </w:tr>
      <w:tr w14:paraId="2B9321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0" w:hRule="atLeast"/>
          <w:jc w:val="center"/>
        </w:trPr>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D119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9C6DA">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老抽</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AEF44">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瓶</w:t>
            </w:r>
          </w:p>
        </w:tc>
        <w:tc>
          <w:tcPr>
            <w:tcW w:w="1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DAFE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规格：800ml/瓶，原料：以大豆、小麦为主要原料，经发酵后添加焦糖色调配而成，无不明添加剂，无霉变原料残留</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感官：色泽深褐色或棕褐色（自然光泽），浓稠适度，无悬浮物及沉淀，具有老抽特有的酱香味，滋味咸中带微甜，无异味</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理化：可溶性无盐固形物≥20.0g/100mL，总酸（以乳酸计）≤2.0g/100mL，氨基酸态氮≥0.4g/100mL，盐分（以氯化钠计）≤18g/100mL</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安全：铅≤0.1mg/kg，砷≤0.05mg/kg，黄曲霉毒素 B</w:t>
            </w:r>
            <w:r>
              <w:rPr>
                <w:rStyle w:val="93"/>
                <w:rFonts w:eastAsia="宋体"/>
                <w:color w:val="auto"/>
                <w:lang w:val="en-US" w:eastAsia="zh-CN" w:bidi="ar"/>
              </w:rPr>
              <w:t>₁</w:t>
            </w:r>
            <w:r>
              <w:rPr>
                <w:rFonts w:hint="eastAsia" w:ascii="宋体" w:hAnsi="宋体" w:eastAsia="宋体" w:cs="宋体"/>
                <w:i w:val="0"/>
                <w:iCs w:val="0"/>
                <w:color w:val="auto"/>
                <w:kern w:val="0"/>
                <w:sz w:val="20"/>
                <w:szCs w:val="20"/>
                <w:u w:val="none"/>
                <w:lang w:val="en-US" w:eastAsia="zh-CN" w:bidi="ar"/>
              </w:rPr>
              <w:t>≤5μg/kg，污染物符合 GB 2762；微生物达标，无致病菌，食品添加剂符合 GB 2760</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包装与保质期：密封瓶装（避光），标注 SC 认证、生产日期，常温储存保质期≥24 个月，到货时剩余保质期不低于 18 个月。</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资质：供应商提供近期检测报告、生产许可证</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重点：色泽浓郁、酱香味浓、挂壁性好、安全达标，适合食堂批量红烧、卤制、酱肉等上色调味</w:t>
            </w:r>
            <w:r>
              <w:rPr>
                <w:rStyle w:val="93"/>
                <w:rFonts w:eastAsia="宋体"/>
                <w:color w:val="auto"/>
                <w:lang w:val="en-US" w:eastAsia="zh-CN" w:bidi="ar"/>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94153">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6.9</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E69BC">
            <w:pPr>
              <w:rPr>
                <w:rFonts w:hint="eastAsia" w:ascii="宋体" w:hAnsi="宋体" w:eastAsia="宋体" w:cs="宋体"/>
                <w:i w:val="0"/>
                <w:iCs w:val="0"/>
                <w:color w:val="auto"/>
                <w:sz w:val="20"/>
                <w:szCs w:val="20"/>
                <w:u w:val="none"/>
              </w:rPr>
            </w:pPr>
          </w:p>
        </w:tc>
      </w:tr>
      <w:tr w14:paraId="5DA5D1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8C25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49505">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味极鲜</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68538">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瓶</w:t>
            </w:r>
          </w:p>
        </w:tc>
        <w:tc>
          <w:tcPr>
            <w:tcW w:w="11457" w:type="dxa"/>
            <w:tcBorders>
              <w:top w:val="nil"/>
              <w:left w:val="nil"/>
              <w:bottom w:val="nil"/>
              <w:right w:val="nil"/>
            </w:tcBorders>
            <w:shd w:val="clear" w:color="auto" w:fill="auto"/>
            <w:vAlign w:val="center"/>
          </w:tcPr>
          <w:p w14:paraId="75242C2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规格：1.9升/瓶，原料与工艺：以优质黄豆、小麦为主要原料（黄豆 + 小麦占比≥90% ），采用传统发酵或标准化酿晒工艺，经制曲、发酵、晒制等环节，不添加防腐剂、人工合成色素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感官指标：色泽呈红棕或琥珀色（自然发酵色泽 ），液体清澈透亮，无浑浊、沉淀；香气浓郁醇厚，有自然发酵的酱香、酯香，无焦糊味、异味；滋味鲜咸适口，咸甜平衡，鲜味突出，口感醇厚，余味正，无酸败、苦涩等不良滋味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安全指标：氨基酸态氮≥1.0g/100mL（体现鲜味和品质 ），食盐（以 NaCl 计）≤18%；铅≤0.1mg/kg，砷≤0.05mg/kg，菌落总数、大肠菌群等符合 GB 2717《食品安全国家标准 酱油》要求，无金黄色葡萄球菌、沙门氏菌、志贺氏菌等致病菌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包装与质保期：采用食品级玻璃瓶、PET 瓶或复合塑料包装袋，密封良好，避光防潮；包装标注产品名称、净含量、生产日期、保质期（≥18 个月 ）、SC 认证、生产厂家、配料表、执行标准（如 GB/T 21999 ）等信息；到货时剩余保质期不低于总保质期的 2/3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资质要求：供应商提供近期检测报告、生产许可证。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重点要求：风味自然纯正，鲜度足，适配食堂炒、拌、蘸等多样烹饪；包装便于储存、取用，开启后有简易密封设计；全程可溯源，出现质量问题 48 小时内响应处理 。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8C400">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24.9</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A8167">
            <w:pPr>
              <w:rPr>
                <w:rFonts w:hint="eastAsia" w:ascii="宋体" w:hAnsi="宋体" w:eastAsia="宋体" w:cs="宋体"/>
                <w:i w:val="0"/>
                <w:iCs w:val="0"/>
                <w:color w:val="auto"/>
                <w:sz w:val="20"/>
                <w:szCs w:val="20"/>
                <w:u w:val="none"/>
              </w:rPr>
            </w:pPr>
          </w:p>
        </w:tc>
      </w:tr>
      <w:tr w14:paraId="05E074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60" w:hRule="atLeast"/>
          <w:jc w:val="center"/>
        </w:trPr>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E5EF6">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614CE">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复合调味蘸水粉</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0F37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袋</w:t>
            </w:r>
          </w:p>
        </w:tc>
        <w:tc>
          <w:tcPr>
            <w:tcW w:w="1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54F5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规格：400g/袋；原料：以辣椒、花椒、盐、味精（或无味精）、香辛料（如八角、桂皮等）为主要原料，经粉碎、混合加工而成，无霉变、虫蛀原料，无异物掺杂。</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感官：色泽呈自然的棕红色或红褐色（因原料配比略有差异），粉末细腻均匀，无结块、杂质，具有香辛料特有的浓郁香味，滋味鲜辣适口，无焦糊味、哈喇味等异味。</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理化：水分含量≤8.0%，杂质含量≤0.5%，总灰分≤15.0%，食盐（以氯化钠计）≤40.0%，谷氨酸钠（如添加）≤10.0%。</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安全：铅≤0.1mg/kg，砷≤0.05mg/kg，污染物符合 GB 2762；微生物达标，无致病菌，食品添加剂（如使用）符合 GB 2760 规定，农药残留符合 GB 2763。</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产品规定</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包装：包装上需标注产品名称、配料表、净含量、生产日期、保质期、储存条件、生产许可证编号（SC 认证）、执行标准等信息，字迹清晰易辨识。</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保质期：常温干燥处储存保质期≥12 个月，到货时剩余保质期不低于 9 个月。</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资质：供应商需提供近期（3 个月内）产品质量检测报告、生产许可证复印件（加盖公章），确保产品质量可追溯。</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用途适配：适合学校食堂用于各类食材蘸食调味，如蘸蔬菜、肉类、豆腐等，满足批量调味需求。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DC6D1">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25.9</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0C08B">
            <w:pPr>
              <w:rPr>
                <w:rFonts w:hint="eastAsia" w:ascii="宋体" w:hAnsi="宋体" w:eastAsia="宋体" w:cs="宋体"/>
                <w:i w:val="0"/>
                <w:iCs w:val="0"/>
                <w:color w:val="auto"/>
                <w:sz w:val="20"/>
                <w:szCs w:val="20"/>
                <w:u w:val="none"/>
              </w:rPr>
            </w:pPr>
          </w:p>
        </w:tc>
      </w:tr>
      <w:tr w14:paraId="71312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0" w:hRule="atLeast"/>
          <w:jc w:val="center"/>
        </w:trPr>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46CE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2F880">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芝麻油</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AD44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瓶</w:t>
            </w:r>
          </w:p>
        </w:tc>
        <w:tc>
          <w:tcPr>
            <w:tcW w:w="1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B2BB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规格：230ml/瓶；原料：以优质芝麻为唯一原料，经压榨或水代法加工制成，无其他油脂掺杂，无霉变、虫蛀芝麻</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感官：色泽呈浅黄至棕黄色（自然色泽），清澈透明，无悬浮物及沉淀，具有芝麻油特有的浓郁香味，滋味醇厚绵长，无焦糊味、哈喇味等异味</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理化：酸值（以 KOH 计）≤3.0mg/g，过氧化值≤6.0mmol/kg，水分及挥发物≤0.2%，杂质≤0.1%，含皂量≤0.03%</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安全：铅≤0.1mg/kg，砷≤0.05mg/kg，黄曲霉毒素 B</w:t>
            </w:r>
            <w:r>
              <w:rPr>
                <w:rStyle w:val="93"/>
                <w:rFonts w:eastAsia="宋体"/>
                <w:color w:val="auto"/>
                <w:lang w:val="en-US" w:eastAsia="zh-CN" w:bidi="ar"/>
              </w:rPr>
              <w:t>₁</w:t>
            </w:r>
            <w:r>
              <w:rPr>
                <w:rFonts w:hint="eastAsia" w:ascii="宋体" w:hAnsi="宋体" w:eastAsia="宋体" w:cs="宋体"/>
                <w:i w:val="0"/>
                <w:iCs w:val="0"/>
                <w:color w:val="auto"/>
                <w:kern w:val="0"/>
                <w:sz w:val="20"/>
                <w:szCs w:val="20"/>
                <w:u w:val="none"/>
                <w:lang w:val="en-US" w:eastAsia="zh-CN" w:bidi="ar"/>
              </w:rPr>
              <w:t>≤5μg/kg，污染物符合 GB 2762；微生物达标，无致病菌，不得添加任何香精、色素等食品添加剂</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包装：包装上需标注产品名称、配料表、净含量、生产日期、保质期、储存条件、生产许可证编号（SC 认证）、执行标准等信息，字迹清晰易辨识</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保质期：避光、阴凉处储存保质期≥18 个月，到货时剩余保质期不低于 12 个月</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资质：供应商需提供近期（3 个月内）产品质量检测报告、生产许可证复印件（加盖公章），确保产品质量可追溯</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用途适配：适合学校食堂用于凉拌菜、汤品、馅料等调味，提升菜品风味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E58AC">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21.5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D3243">
            <w:pPr>
              <w:rPr>
                <w:rFonts w:hint="eastAsia" w:ascii="宋体" w:hAnsi="宋体" w:eastAsia="宋体" w:cs="宋体"/>
                <w:i w:val="0"/>
                <w:iCs w:val="0"/>
                <w:color w:val="auto"/>
                <w:sz w:val="20"/>
                <w:szCs w:val="20"/>
                <w:u w:val="none"/>
              </w:rPr>
            </w:pPr>
          </w:p>
        </w:tc>
      </w:tr>
      <w:tr w14:paraId="03784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0" w:hRule="atLeast"/>
          <w:jc w:val="center"/>
        </w:trPr>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CFD99">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5E235">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食盐</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A4D21">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袋</w:t>
            </w:r>
          </w:p>
        </w:tc>
        <w:tc>
          <w:tcPr>
            <w:tcW w:w="1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7FAC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原料：以天然海盐、湖盐或井矿盐为原料，经精制加工而成，无异味、无杂质，符合食用盐标准。</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感官：色泽洁白（自然色泽），呈细粉状或中颗粒状，质地均匀，无结块、异物，滋味咸鲜纯正，无苦涩味、异味。</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理化：氯化钠含量≥97.0%（精制盐标准），水分含量≤0.5%，水不溶物≤0.1%，碘含量（加碘盐）20-30mg/kg（根据当地补碘需求调整）。</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安全：铅≤0.5mg/kg，砷≤0.5mg/kg，镉≤0.1mg/kg，污染物符合 GB 2721；微生物达标，食品添加剂（如抗结剂）符合 GB 2760 规定，含量≤0.01%。</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规格参数</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t>：500g /袋（固定规格，误差范围 ±5g）。</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包装：包装上需标注产品名称（食用盐 / 加碘食用盐）、配料表、净含量、碘含量（加碘款）、生产日期、保质期、储存条件、生产许可证编号（SC 认证）、执行标准（GB/T 5461）等信息，字迹清晰。保质期：常温干燥处储存保质期≥36 个月，到货时剩余保质期不低于 24 个月。</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资质：供应商提供近期（3 个月内）检测报告、生产许可证复印件（加盖公章），加碘盐需符合当地盐业管理规定。</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用途适配：适合学校食堂炒菜、调味、腌制等各类烹饪场景，满足批量用盐需求。</w:t>
            </w:r>
            <w:r>
              <w:rPr>
                <w:rStyle w:val="93"/>
                <w:rFonts w:eastAsia="宋体"/>
                <w:color w:val="auto"/>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F1852">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120F8">
            <w:pPr>
              <w:rPr>
                <w:rFonts w:hint="eastAsia" w:ascii="宋体" w:hAnsi="宋体" w:eastAsia="宋体" w:cs="宋体"/>
                <w:i w:val="0"/>
                <w:iCs w:val="0"/>
                <w:color w:val="auto"/>
                <w:sz w:val="20"/>
                <w:szCs w:val="20"/>
                <w:u w:val="none"/>
              </w:rPr>
            </w:pPr>
          </w:p>
        </w:tc>
      </w:tr>
      <w:tr w14:paraId="4F9EA4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18BC2">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DC2CD">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食用小粉</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FA71A">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袋</w:t>
            </w:r>
          </w:p>
        </w:tc>
        <w:tc>
          <w:tcPr>
            <w:tcW w:w="1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A809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规格：100g/袋；原料：以优质小麦、玉米或马铃薯为原料（明确单一原料来源），经研磨、精制而成，无霉变、虫蛀原料，无其他杂粮掺杂。</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感官：色泽呈白色或微黄色（依原料种类略有差异，为自然色泽），粉末细腻均匀，无结块、杂质，气味清淡无异味，口感细腻爽滑。</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理化：水分含量≤14.0%（小麦粉标准），灰分≤0.6%，酸度（以乳酸计）≤2.0°T，细度（通过 80 目筛）≥99.0%，含沙量≤0.02%。</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安全：铅≤0.2mg/kg，砷≤0.1mg/kg，镉≤0.1mg/kg，污染物符合 GB 2762；微生物达标，无致病菌，食品添加剂（如增白剂等）符合 GB 2760 规定，不得添加非食用物质。</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包装：包装上需标注产品名称（如小麦淀粉、玉米淀粉等具体种类）、配料表、净含量、生产日期、保质期、储存条件、生产许可证编号（SC 认证）、执行标准（如 GB/T 8883 对应小麦淀粉）等信息，字迹清晰。</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保质期：常温干燥处储存保质期≥12 个月，到货时剩余保质期不低于 9 个月。</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资质：供应商提供近期（3 个月内）产品质量检测报告、生产许可证复印件（加盖公章），确保原料来源可追溯。</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用途适配：适合学校食堂用于勾芡、上浆、制作糕点等场景，小包装规格能减少开封后受潮浪费，满足精准用量需求。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3672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F081B">
            <w:pPr>
              <w:rPr>
                <w:rFonts w:hint="eastAsia" w:ascii="宋体" w:hAnsi="宋体" w:eastAsia="宋体" w:cs="宋体"/>
                <w:i w:val="0"/>
                <w:iCs w:val="0"/>
                <w:color w:val="auto"/>
                <w:sz w:val="20"/>
                <w:szCs w:val="20"/>
                <w:u w:val="none"/>
              </w:rPr>
            </w:pPr>
          </w:p>
        </w:tc>
      </w:tr>
      <w:tr w14:paraId="38F50D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50" w:hRule="atLeast"/>
          <w:jc w:val="center"/>
        </w:trPr>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94A47">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6EAE5">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糟辣椒</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D7DF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瓶</w:t>
            </w:r>
          </w:p>
        </w:tc>
        <w:tc>
          <w:tcPr>
            <w:tcW w:w="1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1E07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规格：1.6kg/瓶；原料：以新鲜红辣椒（成熟度≥90%）、食盐为主要原料，可添加生姜、大蒜（不超过总原料的 20%），经腌制发酵而成，无腐烂、变质原料，无异物掺杂。</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感官：色泽呈鲜红至橙红色（自然发酵色泽），质地细腻带辣椒碎粒，均匀无分层，具有糟辣椒特有的酸辣香气，滋味酸辣适口，无霉斑、异味。</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理化：总酸（以乳酸计）≥0.4g/100g，食盐（以氯化钠计）≥6.0g/100g，水分含量≤85.0%，pH 值 3.5-4.5（适合发酵制品的酸度范围）。</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安全：铅≤0.2mg/kg，砷≤0.1mg/kg，污染物符合 GB 2762；微生物达标，无致病菌，食品添加剂（如防腐剂）符合 GB 2760 规定，不得添加人工色素、香精。</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包装：包装上需标注产品名称、配料表、净含量、固形物含量、生产日期、保质期、储存条件（建议冷藏）、生产许可证编号（SC 认证）、执行标准等信息，字迹清晰。</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保质期：冷藏（0-4℃）储存保质期≥12 个月，常温储存≥6 个月，到货时剩余保质期不低于总保质期的 2/3。</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资质：供应商提供近期（3 个月内）检测报告、生产许可证复印件，发酵制品需标注发酵方式。</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用途适配：适合学校食堂用于炒菜、凉拌、调味汁制作等，满足批量烹饪的酸辣风味需求。</w:t>
            </w:r>
            <w:r>
              <w:rPr>
                <w:rStyle w:val="93"/>
                <w:rFonts w:eastAsia="宋体"/>
                <w:color w:val="auto"/>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3B98B">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15.9</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FFA44">
            <w:pPr>
              <w:rPr>
                <w:rFonts w:hint="eastAsia" w:ascii="宋体" w:hAnsi="宋体" w:eastAsia="宋体" w:cs="宋体"/>
                <w:i w:val="0"/>
                <w:iCs w:val="0"/>
                <w:color w:val="auto"/>
                <w:sz w:val="20"/>
                <w:szCs w:val="20"/>
                <w:u w:val="none"/>
              </w:rPr>
            </w:pPr>
          </w:p>
        </w:tc>
      </w:tr>
      <w:tr w14:paraId="328AD2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0" w:hRule="atLeast"/>
          <w:jc w:val="center"/>
        </w:trPr>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995F1">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C64BC">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鸡精</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4F125">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袋</w:t>
            </w:r>
          </w:p>
        </w:tc>
        <w:tc>
          <w:tcPr>
            <w:tcW w:w="1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FAD6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规格：454g /袋；原料：以鸡肉（或鸡骨）提取物、味精、食用盐、呈味核苷酸二钠等为主要原料，经混合加工而成，无霉变原料，无异物掺杂。</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感官：色泽呈淡黄色至黄色（自然色泽），粉末或颗粒状均匀，无结块、杂质，具有鸡肉特有的鲜香气味，滋味鲜美醇厚，无异味。</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理化：谷氨酸钠含量≥35.0%，呈味核苷酸二钠（以 IMP+GMP 计）≥1.1%，干燥失重≤3.0%，总氮（以 N 计）≥3.0%，氯化物（以 NaCl 计）≤40.0%。</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安全：铅≤0.1mg/kg，砷≤0.05mg/kg，污染物符合 GB 2762；微生物达标，无致病菌，食品添加剂符合 GB 2760 规定，不得添加人工色素。</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包装：包装上需标注产品名称、配料表、净含量、生产日期、保质期、储存条件、生产许可证编号（SC 认证）、执行标准等信息，字迹清晰。</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保质期：常温干燥处储存保质期≥18 个月，到货时剩余保质期不低于 12 个月。</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资质：供应商提供近期（3 个月内）检测报告、生产许可证复印件。</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用途适配：适合学校食堂炒菜、煲汤、凉拌等调味，提升菜品鲜味。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22F2F">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27.9</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5C47D">
            <w:pPr>
              <w:rPr>
                <w:rFonts w:hint="eastAsia" w:ascii="宋体" w:hAnsi="宋体" w:eastAsia="宋体" w:cs="宋体"/>
                <w:i w:val="0"/>
                <w:iCs w:val="0"/>
                <w:color w:val="auto"/>
                <w:sz w:val="20"/>
                <w:szCs w:val="20"/>
                <w:u w:val="none"/>
              </w:rPr>
            </w:pPr>
          </w:p>
        </w:tc>
      </w:tr>
      <w:tr w14:paraId="7B2DCE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E5AEA">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C1807">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麻辣鱼火锅料</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7099C">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袋</w:t>
            </w:r>
          </w:p>
        </w:tc>
        <w:tc>
          <w:tcPr>
            <w:tcW w:w="1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EBAF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规格：150g/袋；原料：以牛油（或植物油）、辣椒、花椒、生姜、大蒜、豆瓣酱、香辛料（八角、桂皮等）为主要原料，添加适量食用盐、味精、呈味核苷酸二钠等调味，经熬制加工而成，无霉变、腐败原料，无异物掺杂。感官：色泽呈红棕色至棕褐色（自然熬制色泽），质地均匀（块状或半固态），无明显分层，具有辣椒、花椒及香辛料的复合麻辣香气，滋味麻辣醇厚，无焦糊味、哈喇味等异味。</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理化：水分含量≤20.0%（牛油型）或≤30.0%（植物油型），食盐（以氯化钠计）≤15.0%，总酸（以乳酸计）≤2.0g/100g，脂肪含量≥30.0%（牛油型）。</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安全：铅≤0.1mg/kg，砷≤0.05mg/kg，黄曲霉毒素 B</w:t>
            </w:r>
            <w:r>
              <w:rPr>
                <w:rStyle w:val="93"/>
                <w:rFonts w:eastAsia="宋体"/>
                <w:color w:val="auto"/>
                <w:lang w:val="en-US" w:eastAsia="zh-CN" w:bidi="ar"/>
              </w:rPr>
              <w:t>₁</w:t>
            </w:r>
            <w:r>
              <w:rPr>
                <w:rFonts w:hint="eastAsia" w:ascii="宋体" w:hAnsi="宋体" w:eastAsia="宋体" w:cs="宋体"/>
                <w:i w:val="0"/>
                <w:iCs w:val="0"/>
                <w:color w:val="auto"/>
                <w:kern w:val="0"/>
                <w:sz w:val="20"/>
                <w:szCs w:val="20"/>
                <w:u w:val="none"/>
                <w:lang w:val="en-US" w:eastAsia="zh-CN" w:bidi="ar"/>
              </w:rPr>
              <w:t>≤5μg/kg（油脂类指标），污染物符合 GB 2762；微生物达标，无致病菌，食品添加剂（如防腐剂、增味剂）符合 GB 2760 规定，不得添加人工色素。</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包装：包装上需标注产品名称（明确 “麻辣鱼火锅料”）、配料表、净含量、生产日期、保质期、储存条件（建议阴凉干燥处或冷藏）、生产许可证编号（SC 认证）、执行标准等信息，字迹清晰。</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保质期：常温储存保质期≥12 个月（牛油型）或≥9 个月（植物油型），到货时剩余保质期不低于 80%。</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资质：供应商提供近期（3 个月内）产品检测报告、生产许可证复印件，确保原料合规及加工卫生。</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用途适配：适合学校食堂小批量制作麻辣鱼、火锅等菜品，或根据用餐人数灵活调整用量，减少浪费。</w:t>
            </w:r>
            <w:r>
              <w:rPr>
                <w:rStyle w:val="93"/>
                <w:rFonts w:eastAsia="宋体"/>
                <w:color w:val="auto"/>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F0B80">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6.25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2FE83">
            <w:pPr>
              <w:rPr>
                <w:rFonts w:hint="eastAsia" w:ascii="宋体" w:hAnsi="宋体" w:eastAsia="宋体" w:cs="宋体"/>
                <w:i w:val="0"/>
                <w:iCs w:val="0"/>
                <w:color w:val="auto"/>
                <w:sz w:val="20"/>
                <w:szCs w:val="20"/>
                <w:u w:val="none"/>
              </w:rPr>
            </w:pPr>
          </w:p>
        </w:tc>
      </w:tr>
      <w:tr w14:paraId="1776AE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0" w:hRule="atLeast"/>
          <w:jc w:val="center"/>
        </w:trPr>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BE10D">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AE2C4">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味精</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687F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袋</w:t>
            </w:r>
          </w:p>
        </w:tc>
        <w:tc>
          <w:tcPr>
            <w:tcW w:w="1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A9EB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规格：1kg/袋；原料：以玉米、大米等为原料，经发酵、提取、精制而成的谷氨酸钠，无其他杂质或添加剂掺杂，原料无霉变。</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感官：色泽洁白（自然色泽），呈针状或柱状结晶，颗粒均匀，无结块、异物，具有纯正的鲜味，无异味、杂味。</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理化：谷氨酸钠含量≥99.0%（符合 GB/T 8967 特级品标准），干燥失重≤0.5%，透光率≥98%，pH 值 6.7-7.5。</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安全：铅≤0.5mg/kg，砷≤0.5mg/kg，重金属总量≤10mg/kg，污染物符合 GB 2721；微生物达标，无致病菌，不得添加任何非食用物质。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包装：包装上需标注产品名称（味精）、配料表（谷氨酸钠）、净含量、生产日期、保质期、储存条件（常温干燥处）、生产许可证编号（SC 认证）、执行标准（GB/T 8967）等信息，字迹清晰。</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保质期：常温干燥处储存保质期≥36 个月，到货时剩余保质期不低于 24 个月。</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资质：供应商提供近期（3 个月内）产品质量检测报告、生产许可证复印件，确保产品纯度达标。</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用途适配：适合学校食堂炒菜、煲汤、凉拌等各类烹饪场景调味，提升菜品鲜味，两种规格可灵活搭配采购，满足不同用量需求。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331E1">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26.9</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E2DF7">
            <w:pPr>
              <w:rPr>
                <w:rFonts w:hint="eastAsia" w:ascii="宋体" w:hAnsi="宋体" w:eastAsia="宋体" w:cs="宋体"/>
                <w:i w:val="0"/>
                <w:iCs w:val="0"/>
                <w:color w:val="auto"/>
                <w:sz w:val="20"/>
                <w:szCs w:val="20"/>
                <w:u w:val="none"/>
              </w:rPr>
            </w:pPr>
          </w:p>
        </w:tc>
      </w:tr>
      <w:tr w14:paraId="7C618F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0" w:hRule="atLeast"/>
          <w:jc w:val="center"/>
        </w:trPr>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2129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44A60">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无牛油火锅底料</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73EBA">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袋</w:t>
            </w:r>
          </w:p>
        </w:tc>
        <w:tc>
          <w:tcPr>
            <w:tcW w:w="1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3FE0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规格：150g/袋；原料：以植物油（大豆油、菜籽油等）、辣椒、花椒、生姜、大蒜、豆瓣酱、香辛料（八角、桂皮等）为主要原料，添加适量食用盐、味精、呈味核苷酸二钠等调味，经熬制加工而成，无牛油及动物油脂成分，无霉变、腐败原料，无异物掺杂。</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感官：色泽呈红棕色至深褐色（自然熬制色泽），质地均匀（半固态或膏状），无明显分层或沉淀，具有辣椒、花椒及香辛料的复合香辣香气，滋味香辣醇厚，无焦糊味、哈喇味等异味。</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理化：水分含量≤30.0%，食盐（以氯化钠计）≤15.0%，总酸（以乳酸计）≤2.0g/100g，脂肪含量≥25.0%（植物油含量），酸价（以 KOH 计）≤5.0mg/g。</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安全：铅≤0.1mg/kg，砷≤0.05mg/kg，黄曲霉毒素 B</w:t>
            </w:r>
            <w:r>
              <w:rPr>
                <w:rStyle w:val="93"/>
                <w:rFonts w:eastAsia="宋体"/>
                <w:color w:val="auto"/>
                <w:lang w:val="en-US" w:eastAsia="zh-CN" w:bidi="ar"/>
              </w:rPr>
              <w:t>₁</w:t>
            </w:r>
            <w:r>
              <w:rPr>
                <w:rFonts w:hint="eastAsia" w:ascii="宋体" w:hAnsi="宋体" w:eastAsia="宋体" w:cs="宋体"/>
                <w:i w:val="0"/>
                <w:iCs w:val="0"/>
                <w:color w:val="auto"/>
                <w:kern w:val="0"/>
                <w:sz w:val="20"/>
                <w:szCs w:val="20"/>
                <w:u w:val="none"/>
                <w:lang w:val="en-US" w:eastAsia="zh-CN" w:bidi="ar"/>
              </w:rPr>
              <w:t>≤5μg/kg（油脂类指标），污染物符合 GB 2762；微生物达标，无致病菌，食品添加剂（如防腐剂、增味剂）符合 GB 2760 规定，不得添加人工色素、动物油脂成分。</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包装：包装上需标注产品名称（明确 “无牛油火锅底料”）、配料表（注明植物油种类，不含牛油）、净含量、生产日期、保质期、储存条件（建议阴凉干燥处或冷藏）、生产许可证编号（SC 认证）、执行标准等信息，字迹清晰，突出 “无牛油” 标识。</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保质期：常温储存保质期≥9 个月，冷藏（0-4℃）储存保质期≥12 个月，到货时剩余保质期不低于总保质期的 2/3。</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资质：供应商提供近期（3 个月内）产品检测报告、生产许可证复印件，检测报告中需明确不含动物油脂成分。</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用途适配：适合学校食堂小批量制作火锅、麻辣烫、麻辣香锅等菜品，能精准控制用量，减少开封后剩余底料的浪费，满足不同用餐规模需求。</w:t>
            </w:r>
            <w:r>
              <w:rPr>
                <w:rStyle w:val="93"/>
                <w:rFonts w:eastAsia="宋体"/>
                <w:color w:val="auto"/>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2B7EE">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6.25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66243">
            <w:pPr>
              <w:rPr>
                <w:rFonts w:hint="eastAsia" w:ascii="宋体" w:hAnsi="宋体" w:eastAsia="宋体" w:cs="宋体"/>
                <w:i w:val="0"/>
                <w:iCs w:val="0"/>
                <w:color w:val="auto"/>
                <w:sz w:val="20"/>
                <w:szCs w:val="20"/>
                <w:u w:val="none"/>
              </w:rPr>
            </w:pPr>
          </w:p>
        </w:tc>
      </w:tr>
      <w:tr w14:paraId="79797E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0" w:hRule="atLeast"/>
          <w:jc w:val="center"/>
        </w:trPr>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FC9F1">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4D0DE">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豆瓣酱</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C9249">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桶</w:t>
            </w:r>
          </w:p>
        </w:tc>
        <w:tc>
          <w:tcPr>
            <w:tcW w:w="1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D69C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规格：6kg/桶；原料：以蚕豆（或大豆）、辣椒、食盐为主要原料，可添加小麦粉、生姜、大蒜（不超过总原料的 15%），经发酵酿制而成，无腐烂、变质原料，无异物掺杂，不添加人工色素。</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感官：色泽呈红褐色至棕褐色（自然发酵色泽），酱体浓稠均匀，带辣椒碎粒和豆瓣颗粒，无明显分层，具有豆瓣酱特有的酱香与辣味融合香气，滋味咸鲜香辣，无霉斑、酸败味等异味。</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理化：水分含量≤60.0%，食盐（以氯化钠计）≤18.0%，总酸（以乳酸计）≤2.0g/100g，氨基酸态氮（以 N 计）≥0.6g/100g（一级品标准），pH 值 4.0-5.5。</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安全：铅≤0.2mg/kg，砷≤0.1mg/kg，黄曲霉毒素 B</w:t>
            </w:r>
            <w:r>
              <w:rPr>
                <w:rStyle w:val="93"/>
                <w:rFonts w:eastAsia="宋体"/>
                <w:color w:val="auto"/>
                <w:lang w:val="en-US" w:eastAsia="zh-CN" w:bidi="ar"/>
              </w:rPr>
              <w:t>₁</w:t>
            </w:r>
            <w:r>
              <w:rPr>
                <w:rFonts w:hint="eastAsia" w:ascii="宋体" w:hAnsi="宋体" w:eastAsia="宋体" w:cs="宋体"/>
                <w:i w:val="0"/>
                <w:iCs w:val="0"/>
                <w:color w:val="auto"/>
                <w:kern w:val="0"/>
                <w:sz w:val="20"/>
                <w:szCs w:val="20"/>
                <w:u w:val="none"/>
                <w:lang w:val="en-US" w:eastAsia="zh-CN" w:bidi="ar"/>
              </w:rPr>
              <w:t>≤5μg/kg，污染物符合 GB 2762；微生物达标，无致病菌，食品添加剂（如防腐剂）符合 GB 2760 规定，不得添加非食用物质。</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包装：包装上需标注产品名称（明确 “豆瓣酱”）、配料表、净含量、生产日期、保质期、储存条件（建议阴凉干燥处，开封后冷藏）、生产许可证编号（SC 认证）、执行标准（如 GB/T 24399）等信息，字迹清晰。</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保质期：未开封常温储存保质期≥12 个月，到货时剩余保质期不低于 9 个月；开封后需冷藏并在 30 天内使用完毕。</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资质：供应商提供近期（3 个月内）产品检测报告、生产许可证复印件，发酵制品需标注发酵工艺及周期。</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用途适配：适合学校食堂用于炒菜、红烧、凉拌、调制酱料等场景，满足批量烹饪的调味需求。</w:t>
            </w:r>
            <w:r>
              <w:rPr>
                <w:rStyle w:val="93"/>
                <w:rFonts w:eastAsia="宋体"/>
                <w:color w:val="auto"/>
                <w:lang w:val="en-US" w:eastAsia="zh-CN" w:bidi="ar"/>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E3252">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118</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137B6">
            <w:pPr>
              <w:rPr>
                <w:rFonts w:hint="eastAsia" w:ascii="宋体" w:hAnsi="宋体" w:eastAsia="宋体" w:cs="宋体"/>
                <w:i w:val="0"/>
                <w:iCs w:val="0"/>
                <w:color w:val="auto"/>
                <w:sz w:val="20"/>
                <w:szCs w:val="20"/>
                <w:u w:val="none"/>
              </w:rPr>
            </w:pPr>
          </w:p>
        </w:tc>
      </w:tr>
      <w:tr w14:paraId="7E409B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20" w:hRule="atLeast"/>
          <w:jc w:val="center"/>
        </w:trPr>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3DC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E2655">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水豆豉</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C490E">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瓶</w:t>
            </w:r>
          </w:p>
        </w:tc>
        <w:tc>
          <w:tcPr>
            <w:tcW w:w="1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150A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规格：210g/瓶；原料：以大豆（或黑豆）、食盐为主要原料，可添加辣椒、生姜、大蒜（不超过总原料的 20%），经发酵加工而成，无腐烂、霉变原料，无异物掺杂，不添加人工色素。</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感官：色泽呈淡黄色至棕褐色（自然发酵色泽），豆粒完整饱满，质地柔软有弹性，汤汁清亮，无明显分层或沉淀，具有水豆豉特有的鲜香与发酵香气，滋味咸鲜适口，微带辣味（依配料而定），无霉斑、酸败味等异味。</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理化：水分含量≤75.0%，食盐（以氯化钠计）≤12.0%，总酸（以乳酸计）≤2.5g/100g，氨基酸态氮（以 N 计）≥0.5g/100g，pH 值 4.2-5.0（适宜发酵酸度）。</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安全：铅≤0.2mg/kg，砷≤0.1mg/kg，黄曲霉毒素 B</w:t>
            </w:r>
            <w:r>
              <w:rPr>
                <w:rStyle w:val="93"/>
                <w:rFonts w:eastAsia="宋体"/>
                <w:color w:val="auto"/>
                <w:lang w:val="en-US" w:eastAsia="zh-CN" w:bidi="ar"/>
              </w:rPr>
              <w:t>₁</w:t>
            </w:r>
            <w:r>
              <w:rPr>
                <w:rFonts w:hint="eastAsia" w:ascii="宋体" w:hAnsi="宋体" w:eastAsia="宋体" w:cs="宋体"/>
                <w:i w:val="0"/>
                <w:iCs w:val="0"/>
                <w:color w:val="auto"/>
                <w:kern w:val="0"/>
                <w:sz w:val="20"/>
                <w:szCs w:val="20"/>
                <w:u w:val="none"/>
                <w:lang w:val="en-US" w:eastAsia="zh-CN" w:bidi="ar"/>
              </w:rPr>
              <w:t>≤5μg/kg，污染物符合 GB 2762；微生物达标，无致病菌，食品添加剂（如防腐剂）符合 GB 2760 规定，不得添加非食用物质。</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规格参数</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包装形式：食品级玻璃瓶或耐高温塑料瓶（带密封盖，盖内有硅胶密封圈，防漏防潮，瓶口直径≥7cm，便于取用）。</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容量规格：500g / 瓶（小批量使用规格，误差范围 ±15g）、1kg / 瓶（批量使用规格，误差范围 ±20g）。</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包装尺寸：500g 瓶 —— 直径约 10cm，高度约 15cm（适配食堂调料架小格位，方便存放）；1kg 瓶 —— 直径约 12cm，高度约 18cm（适合堆叠，节省仓储空间）。</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装箱规格：500g 瓶 12 瓶 / 箱，1kg 瓶 6 瓶 / 箱（均为纸箱加固包装，内衬泡沫隔板防碰撞，单箱毛重分别约 6.5kg、6.8kg，便于搬运）。</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产品规定</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包装：包装上需标注产品名称（明确 “水豆豉”）、配料表、净含量、生产日期、保质期、储存条件（建议冷藏）、生产许可证编号（SC 认证）、执行标准等信息，字迹清晰。</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保质期：冷藏（0-4℃）储存保质期≥6 个月，常温储存≥3 个月，到货时剩余保质期不低于总保质期的 2/3；开封后需冷藏并在 15 天内使用完毕。</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资质：供应商提供近期（3 个月内）产品检测报告、生产许可证复印件（加盖公章），需标注发酵工艺及周期。</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用途适配：适合学校食堂用于凉拌菜、炒菜、蘸食等场景，两种规格可根据用量灵活采购，满足多样化调味需求，小规格能减少开封后浪费。</w:t>
            </w:r>
            <w:r>
              <w:rPr>
                <w:rStyle w:val="93"/>
                <w:rFonts w:eastAsia="宋体"/>
                <w:color w:val="auto"/>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0FB22">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DACC5">
            <w:pPr>
              <w:rPr>
                <w:rFonts w:hint="eastAsia" w:ascii="宋体" w:hAnsi="宋体" w:eastAsia="宋体" w:cs="宋体"/>
                <w:i w:val="0"/>
                <w:iCs w:val="0"/>
                <w:color w:val="auto"/>
                <w:sz w:val="20"/>
                <w:szCs w:val="20"/>
                <w:u w:val="none"/>
              </w:rPr>
            </w:pPr>
          </w:p>
        </w:tc>
      </w:tr>
      <w:tr w14:paraId="58FFBB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0" w:hRule="atLeast"/>
          <w:jc w:val="center"/>
        </w:trPr>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C833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7B4E6">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油豆豉</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2F900">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瓶</w:t>
            </w:r>
          </w:p>
        </w:tc>
        <w:tc>
          <w:tcPr>
            <w:tcW w:w="1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7606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规格：280g/瓶；原料：以大豆（或黑豆）、植物油（菜籽油、大豆油等）、食盐为主要原料，可添加辣椒、香辛料（不超过总原料的 15%），经发酵后拌入油脂加工而成，无腐烂、霉变原料，无异物掺杂，不添加人工色素。</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感官：色泽呈棕褐色至黑褐色（自然发酵与油脂浸润色泽），豆粒完整，质地软硬适中，油脂分布均匀，无明显分层，具有油豆豉特有的酱香与油脂香气，滋味咸鲜醇厚，微带香辣（依配料而定），无哈喇味、霉味等异味。</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理化：水分含量≤40.0%，食盐（以氯化钠计）≤15.0%，总酸（以乳酸计）≤2.0g/100g，氨基酸态氮（以 N 计）≥0.5g/100g，脂肪含量≥20.0%，酸价（以 KOH 计，针对油脂）≤5.0mg/g。</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安全：铅≤0.2mg/kg，砷≤0.1mg/kg，黄曲霉毒素 B</w:t>
            </w:r>
            <w:r>
              <w:rPr>
                <w:rStyle w:val="93"/>
                <w:rFonts w:eastAsia="宋体"/>
                <w:color w:val="auto"/>
                <w:lang w:val="en-US" w:eastAsia="zh-CN" w:bidi="ar"/>
              </w:rPr>
              <w:t>₁</w:t>
            </w:r>
            <w:r>
              <w:rPr>
                <w:rFonts w:hint="eastAsia" w:ascii="宋体" w:hAnsi="宋体" w:eastAsia="宋体" w:cs="宋体"/>
                <w:i w:val="0"/>
                <w:iCs w:val="0"/>
                <w:color w:val="auto"/>
                <w:kern w:val="0"/>
                <w:sz w:val="20"/>
                <w:szCs w:val="20"/>
                <w:u w:val="none"/>
                <w:lang w:val="en-US" w:eastAsia="zh-CN" w:bidi="ar"/>
              </w:rPr>
              <w:t>≤5μg/kg（油脂类指标），污染物符合 GB 2762；微生物达标，无致病菌，食品添加剂（如防腐剂）符合 GB 2760 规定，不得添加非食用物质。</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包装：包装上需标注产品名称（明确 “油豆豉”）、配料表（注明植物油种类）、净含量、生产日期、保质期、储存条件（建议阴凉干燥处，避光保存）、生产许可证编号（SC 认证）、执行标准等信息，字迹清晰。</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保质期：未开封常温储存保质期≥12 个月，到货时剩余保质期不低于 9 个月；开封后需冷藏并在 20 天内使用完毕，防止油脂氧化变质。</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资质：供应商提供近期（3 个月内）产品检测报告、生产许可证复印件，需标注发酵工艺及油脂来源。</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用途适配：适合学校食堂用于炒菜、炒饭、调味酱制作等场景。</w:t>
            </w:r>
            <w:r>
              <w:rPr>
                <w:rStyle w:val="93"/>
                <w:rFonts w:eastAsia="宋体"/>
                <w:color w:val="auto"/>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D5D8A">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8.9</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246F8">
            <w:pPr>
              <w:rPr>
                <w:rFonts w:hint="eastAsia" w:ascii="宋体" w:hAnsi="宋体" w:eastAsia="宋体" w:cs="宋体"/>
                <w:i w:val="0"/>
                <w:iCs w:val="0"/>
                <w:color w:val="auto"/>
                <w:sz w:val="20"/>
                <w:szCs w:val="20"/>
                <w:u w:val="none"/>
              </w:rPr>
            </w:pPr>
          </w:p>
        </w:tc>
      </w:tr>
      <w:tr w14:paraId="21132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0" w:hRule="atLeast"/>
          <w:jc w:val="center"/>
        </w:trPr>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4E86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16</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D0274">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酸豆角</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F599A">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斤</w:t>
            </w:r>
          </w:p>
        </w:tc>
        <w:tc>
          <w:tcPr>
            <w:tcW w:w="1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0820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原料：以新鲜长豆角（豇豆）、食盐为主要原料，可添加辣椒（不超过总原料的 10%），经腌制发酵而成，无腐烂、虫蛀豆角，无异物掺杂，不添加人工色素、香精。</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感官：色泽呈青绿色至黄绿色（自然腌制色泽），豆角段长短均匀（约 3-5cm），质地脆嫩有弹性，汤汁清澈，无明显杂质或霉斑，具有酸豆角特有的酸爽香气，滋味咸酸适口，无异味、馊味。</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理化：水分含量≤85.0%，食盐（以氯化钠计）≤8.0%，总酸（以乳酸计）≥0.4g/100g（保证酸爽口感），pH 值 3.5-4.5（适宜发酵酸度）。</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安全：铅≤0.2mg/kg，砷≤0.1mg/kg，亚硝酸盐（以 NaNO</w:t>
            </w:r>
            <w:r>
              <w:rPr>
                <w:rStyle w:val="93"/>
                <w:rFonts w:eastAsia="宋体"/>
                <w:color w:val="auto"/>
                <w:lang w:val="en-US" w:eastAsia="zh-CN" w:bidi="ar"/>
              </w:rPr>
              <w:t>₂</w:t>
            </w:r>
            <w:r>
              <w:rPr>
                <w:rFonts w:hint="eastAsia" w:ascii="宋体" w:hAnsi="宋体" w:eastAsia="宋体" w:cs="宋体"/>
                <w:i w:val="0"/>
                <w:iCs w:val="0"/>
                <w:color w:val="auto"/>
                <w:kern w:val="0"/>
                <w:sz w:val="20"/>
                <w:szCs w:val="20"/>
                <w:u w:val="none"/>
                <w:lang w:val="en-US" w:eastAsia="zh-CN" w:bidi="ar"/>
              </w:rPr>
              <w:t>计）≤20mg/kg（腌制蔬菜安全标准），污染物符合 GB 2762；微生物达标，无致病菌，食品添加剂（如防腐剂）符合 GB 2760 规定，不得添加非食用物质。</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包装形式：食品级玻璃瓶或耐高温塑料瓶（袋）。</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包装：包装上需标注产品名称（明确 “酸豆角”）、配料表、净含量、生产日期、保质期、储存条件（建议冷藏）、生产许可证编号（SC 认证）、执行标准等信息，字迹清晰。</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保质期：冷藏（0-4℃）储存保质期≥6 个月，常温储存≥3 个月，到货时剩余保质期不低于总保质期的 2/3；开封后需冷藏并在 15 天内使用完毕。</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资质：供应商提供近期（3 个月内）产品检测报告、生产许可证复印件，需标注腌制工艺及发酵周期。</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用途适配：适合学校食堂用于炒菜、凉拌、配粥等场景，满足批量烹饪的风味需求。</w:t>
            </w:r>
            <w:r>
              <w:rPr>
                <w:rStyle w:val="93"/>
                <w:rFonts w:eastAsia="宋体"/>
                <w:color w:val="auto"/>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8AECE">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4.99</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C96C1">
            <w:pPr>
              <w:rPr>
                <w:rFonts w:hint="eastAsia" w:ascii="宋体" w:hAnsi="宋体" w:eastAsia="宋体" w:cs="宋体"/>
                <w:i w:val="0"/>
                <w:iCs w:val="0"/>
                <w:color w:val="auto"/>
                <w:sz w:val="20"/>
                <w:szCs w:val="20"/>
                <w:u w:val="none"/>
              </w:rPr>
            </w:pPr>
          </w:p>
        </w:tc>
      </w:tr>
      <w:tr w14:paraId="41A573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0" w:hRule="atLeast"/>
          <w:jc w:val="center"/>
        </w:trPr>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E2DF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17</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A83FA">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酸腌菜</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C7A38">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斤</w:t>
            </w:r>
          </w:p>
        </w:tc>
        <w:tc>
          <w:tcPr>
            <w:tcW w:w="1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508F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原料：以新鲜蔬菜（如青菜、萝卜、芥菜等）、食用盐为主要原料，可添加辣椒（不超过总原料的 10%），经腌制发酵而成，无腐烂、虫蛀蔬菜，无异物掺杂，不添加人工色素、香精。</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感官：色泽呈自然的黄绿色至黄褐色（因蔬菜种类略有差异），菜块大小均匀（约 2-4cm），质地脆嫩有韧性，汤汁清亮，无霉斑、杂质，具有酸腌菜特有的酸爽香气，滋味咸酸适口，无异味、馊味。</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理化：水分含量≤90.0%，食盐（以氯化钠计）≤8.0%，总酸（以乳酸计）≥0.4g/100g（保证酸爽口感），pH 值 3.5-4.5（适宜发酵酸度）。</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安全：铅≤0.2mg/kg，砷≤0.1mg/kg，亚硝酸盐（以 NaNO</w:t>
            </w:r>
            <w:r>
              <w:rPr>
                <w:rStyle w:val="93"/>
                <w:rFonts w:eastAsia="宋体"/>
                <w:color w:val="auto"/>
                <w:lang w:val="en-US" w:eastAsia="zh-CN" w:bidi="ar"/>
              </w:rPr>
              <w:t>₂</w:t>
            </w:r>
            <w:r>
              <w:rPr>
                <w:rFonts w:hint="eastAsia" w:ascii="宋体" w:hAnsi="宋体" w:eastAsia="宋体" w:cs="宋体"/>
                <w:i w:val="0"/>
                <w:iCs w:val="0"/>
                <w:color w:val="auto"/>
                <w:kern w:val="0"/>
                <w:sz w:val="20"/>
                <w:szCs w:val="20"/>
                <w:u w:val="none"/>
                <w:lang w:val="en-US" w:eastAsia="zh-CN" w:bidi="ar"/>
              </w:rPr>
              <w:t>计）≤20mg/kg（腌制蔬菜安全标准），污染物符合 GB 2762；微生物达标，无致病菌，食品添加剂（如防腐剂）符合 GB 2760 规定，不得添加非食用物质。</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包装：包装上需标注产品名称（明确 “酸腌菜” 及主要蔬菜种类）、配料表、净含量、生产日期、保质期、储存条件（建议冷藏）、生产许可证编号（SC 认证）、执行标准等信息，字迹清晰。</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保质期：冷藏（0-4℃）储存保质期≥6 个月，常温储存≥3 个月，到货时剩余保质期不低于总保质期的 2/3；开封后需冷藏并在 15 天内使用完毕。</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资质：供应商提供近期（3 个月内）产品检测报告、生产许可证复印件（加盖公章），需标注腌制工艺及蔬菜原料种类。</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用途适配：适合学校食堂用于炒菜、炒饭、凉拌等场景。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26DF3">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3.99</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CEE3F">
            <w:pPr>
              <w:rPr>
                <w:rFonts w:hint="eastAsia" w:ascii="宋体" w:hAnsi="宋体" w:eastAsia="宋体" w:cs="宋体"/>
                <w:i w:val="0"/>
                <w:iCs w:val="0"/>
                <w:color w:val="auto"/>
                <w:sz w:val="20"/>
                <w:szCs w:val="20"/>
                <w:u w:val="none"/>
              </w:rPr>
            </w:pPr>
          </w:p>
        </w:tc>
      </w:tr>
      <w:tr w14:paraId="03BE71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0" w:hRule="atLeast"/>
          <w:jc w:val="center"/>
        </w:trPr>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E66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18</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7B4BF">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白米醋</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2F4D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瓶</w:t>
            </w:r>
          </w:p>
        </w:tc>
        <w:tc>
          <w:tcPr>
            <w:tcW w:w="1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C8D8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规格：450ml/瓶；原料：以大米、水为主要原料，经发酵酿造而成，可添加食用盐（不超过总原料的 5%），无霉变、虫蛀大米，不添加人工色素、香精。感官：色泽呈无色透明或淡黄色（自然酿造色泽），澄清无悬浮物及沉淀，具有白米醋特有的清香气味，滋味酸中带微甘，无异味、焦糊味。</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理化：总酸（以乙酸计）≥3.5g/100mL（符合酿造食醋标准），可溶性无盐固形物≥0.5g/100mL，pH 值≤3.8，游离矿酸（不得检出）。</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安全：铅≤0.05mg/kg，砷≤0.01mg/kg，黄曲霉毒素 B</w:t>
            </w:r>
            <w:r>
              <w:rPr>
                <w:rStyle w:val="93"/>
                <w:rFonts w:eastAsia="宋体"/>
                <w:color w:val="auto"/>
                <w:lang w:val="en-US" w:eastAsia="zh-CN" w:bidi="ar"/>
              </w:rPr>
              <w:t>₁</w:t>
            </w:r>
            <w:r>
              <w:rPr>
                <w:rFonts w:hint="eastAsia" w:ascii="宋体" w:hAnsi="宋体" w:eastAsia="宋体" w:cs="宋体"/>
                <w:i w:val="0"/>
                <w:iCs w:val="0"/>
                <w:color w:val="auto"/>
                <w:kern w:val="0"/>
                <w:sz w:val="20"/>
                <w:szCs w:val="20"/>
                <w:u w:val="none"/>
                <w:lang w:val="en-US" w:eastAsia="zh-CN" w:bidi="ar"/>
              </w:rPr>
              <w:t>≤5μg/kg，污染物符合 GB 2762；微生物达标，无致病菌，食品添加剂（如防腐剂）符合 GB 2760 规定，不得添加非食用物质。</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包装：包装上需标注产品名称（明确 “白米醋”）、配料表、净含量、生产日期、保质期、储存条件（避光、阴凉处）、生产许可证编号（SC 认证）、执行标准（如 GB/T 18187）等信息，字迹清晰。</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保质期：未开封常温储存保质期≥24 个月，到货时剩余保质期不低于 18 个月；开封后需密封存放并在 3 个月内使用完毕。</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资质：供应商提供近期（3 个月内）产品质量检测报告、生产许可证复印件，需标注酿造工艺。</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用途适配：适合学校食堂用于凉拌菜、调味汁、腌制食品等场景。</w:t>
            </w:r>
            <w:r>
              <w:rPr>
                <w:rStyle w:val="93"/>
                <w:rFonts w:eastAsia="宋体"/>
                <w:color w:val="auto"/>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C930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FA1EC">
            <w:pPr>
              <w:rPr>
                <w:rFonts w:hint="eastAsia" w:ascii="宋体" w:hAnsi="宋体" w:eastAsia="宋体" w:cs="宋体"/>
                <w:i w:val="0"/>
                <w:iCs w:val="0"/>
                <w:color w:val="auto"/>
                <w:sz w:val="20"/>
                <w:szCs w:val="20"/>
                <w:u w:val="none"/>
              </w:rPr>
            </w:pPr>
          </w:p>
        </w:tc>
      </w:tr>
      <w:tr w14:paraId="4D256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5FA4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19</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E74BC">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老陈醋</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108B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瓶</w:t>
            </w:r>
          </w:p>
        </w:tc>
        <w:tc>
          <w:tcPr>
            <w:tcW w:w="1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A826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规格：420ml；原料：以高粱、麸皮、大米、豌豆、水为主要原料，经传统工艺发酵、陈酿而成，无霉变原料，不添加人工色素、香精，不得使用工业醋酸勾兑。</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感官：色泽呈深褐色至棕黑色（自然陈酿色泽），澄清透明，无悬浮物及沉淀，具有老陈醋特有的浓郁醋香与酯香，滋味酸醇厚长，微带回甘，无涩味、焦糊味等异味。</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理化：总酸（以乙酸计）≥6.0g/100mL（符合老陈醋特级品标准），可溶性无盐固形物≥20.0g/100mL，pH 值≤3.6，游离矿酸（不得检出），还原糖（以葡萄糖计）≥1.5g/100mL。</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安全：铅≤0.05mg/kg，砷≤0.01mg/kg，黄曲霉毒素 B</w:t>
            </w:r>
            <w:r>
              <w:rPr>
                <w:rStyle w:val="93"/>
                <w:rFonts w:eastAsia="宋体"/>
                <w:color w:val="auto"/>
                <w:lang w:val="en-US" w:eastAsia="zh-CN" w:bidi="ar"/>
              </w:rPr>
              <w:t>₁</w:t>
            </w:r>
            <w:r>
              <w:rPr>
                <w:rFonts w:hint="eastAsia" w:ascii="宋体" w:hAnsi="宋体" w:eastAsia="宋体" w:cs="宋体"/>
                <w:i w:val="0"/>
                <w:iCs w:val="0"/>
                <w:color w:val="auto"/>
                <w:kern w:val="0"/>
                <w:sz w:val="20"/>
                <w:szCs w:val="20"/>
                <w:u w:val="none"/>
                <w:lang w:val="en-US" w:eastAsia="zh-CN" w:bidi="ar"/>
              </w:rPr>
              <w:t>≤5μg/kg，污染物符合 GB 2762；微生物达标，无致病菌，食品添加剂（如防腐剂）符合 GB 2760 规定，不得添加非食用物质。</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包装：包装上需标注产品名称（明确 “老陈醋”）、配料表、净含量、陈酿时间、生产日期、保质期、储存条件（避光、阴凉干燥处）、生产许可证编号（SC 认证）、执行标准（如 GB/T 19777）等信息，字迹清晰。</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保质期：未开封常温储存保质期≥36 个月，到货时剩余保质期不低于 24 个月；开封后需密封存放并在 6 个月内使用完毕，防止风味挥发。</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资质：供应商提供近期（3 个月内）产品质量检测报告、生产许可证复印件，需标注发酵工艺及陈酿周期。</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用途适配：适合学校食堂用于红烧、凉拌、蘸食等场景，尤其是需要突出酸味层次的菜品。</w:t>
            </w:r>
          </w:p>
        </w:tc>
        <w:tc>
          <w:tcPr>
            <w:tcW w:w="1080" w:type="dxa"/>
            <w:tcBorders>
              <w:top w:val="nil"/>
              <w:left w:val="nil"/>
              <w:bottom w:val="nil"/>
              <w:right w:val="nil"/>
            </w:tcBorders>
            <w:shd w:val="clear" w:color="auto" w:fill="auto"/>
            <w:vAlign w:val="center"/>
          </w:tcPr>
          <w:p w14:paraId="33137C0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3.4</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B634A">
            <w:pPr>
              <w:rPr>
                <w:rFonts w:hint="eastAsia" w:ascii="宋体" w:hAnsi="宋体" w:eastAsia="宋体" w:cs="宋体"/>
                <w:i w:val="0"/>
                <w:iCs w:val="0"/>
                <w:color w:val="auto"/>
                <w:sz w:val="20"/>
                <w:szCs w:val="20"/>
                <w:u w:val="none"/>
              </w:rPr>
            </w:pPr>
          </w:p>
        </w:tc>
      </w:tr>
      <w:tr w14:paraId="313D7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jc w:val="center"/>
        </w:trPr>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5619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12C68">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蚝油</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C53C7">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瓶</w:t>
            </w:r>
          </w:p>
        </w:tc>
        <w:tc>
          <w:tcPr>
            <w:tcW w:w="1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CF91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规格：700g/瓶；原料：以牡蛎（蚝）为主要原料，经煮制、浓缩、发酵后，添加白砂糖、食用盐、小麦粉、味精等辅料制成，无变质牡蛎，不添加人工色素，允许添加符合标准的增稠剂（如黄原胶）。</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感官：色泽呈棕褐色至深褐色（自然色泽），质地均匀浓稠，无分层、沉淀及异物，具有牡蛎特有的鲜香气味，滋味鲜咸醇厚，略带甜味，无焦糊味、腥臭味等异味。</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理化：可溶性固形物（以折光计）≥25.0%，总酸（以乳酸计）≤1.0g/100g，食盐（以氯化钠计）≤15.0%，蛋白质≥2.0g/100g，pH 值 4.0-6.0。</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安全：铅≤0.1mg/kg，砷≤0.05mg/kg，污染物符合 GB 2762；微生物达标，无致病菌，食品添加剂（如防腐剂、增稠剂）符合 GB 2760 规定，不得添加非食用物质。</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包装：包装上需标注产品名称（明确 “蚝油”）、配料表、净含量、生产日期、保质期、储存条件（常温避光，开封后冷藏）、生产许可证编号（SC 认证）、执行标准（如 GB/T 21999）等信息，字迹清晰。</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保质期：未开封常温储存保质期≥12 个月，到货时剩余保质期不低于 9 个月；开封后需冷藏（0-4℃）并在 3 个月内使用完毕，防止变质。</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资质：供应商提供近期（3 个月内）产品质量检测报告、生产许可证复印件，需标注牡蛎原料来源及加工工艺。</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用途适配：适合学校食堂用于炒菜、勾芡、凉拌、腌制等场景，提升菜品鲜味和醇厚感。</w:t>
            </w:r>
            <w:r>
              <w:rPr>
                <w:rStyle w:val="93"/>
                <w:rFonts w:eastAsia="宋体"/>
                <w:color w:val="auto"/>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2C883">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8.8</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9B8A0">
            <w:pPr>
              <w:rPr>
                <w:rFonts w:hint="eastAsia" w:ascii="宋体" w:hAnsi="宋体" w:eastAsia="宋体" w:cs="宋体"/>
                <w:i w:val="0"/>
                <w:iCs w:val="0"/>
                <w:color w:val="auto"/>
                <w:sz w:val="20"/>
                <w:szCs w:val="20"/>
                <w:u w:val="none"/>
              </w:rPr>
            </w:pPr>
          </w:p>
        </w:tc>
      </w:tr>
      <w:tr w14:paraId="147F88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0" w:hRule="atLeast"/>
          <w:jc w:val="center"/>
        </w:trPr>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1EC7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21</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8E5AC">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花椒油</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891E6">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瓶</w:t>
            </w:r>
          </w:p>
        </w:tc>
        <w:tc>
          <w:tcPr>
            <w:tcW w:w="1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186B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规格：400ml/瓶；原料：以花椒、植物油（菜籽油、大豆油等）为主要原料，经浸提或压榨工艺制成，无霉变花椒和酸败油脂，不添加人工香精、色素。</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感官：色泽呈浅黄至橙黄色（自然色泽），清澈透明，无悬浮物及沉淀，具有花椒特有的浓郁麻香气味，滋味麻香醇厚，无焦糊味、哈喇味等异味。</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理化：酸值（以 KOH 计）≤3.0mg/g，过氧化值≤6.0mmol/kg，水分及挥发物≤0.1%，不溶性杂质≤0.05%，麻度（以羟基 -α- 山椒素计）≥0.05%。</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安全：铅≤0.1mg/kg，砷≤0.05mg/kg，黄曲霉毒素 B</w:t>
            </w:r>
            <w:r>
              <w:rPr>
                <w:rStyle w:val="93"/>
                <w:rFonts w:eastAsia="宋体"/>
                <w:color w:val="auto"/>
                <w:lang w:val="en-US" w:eastAsia="zh-CN" w:bidi="ar"/>
              </w:rPr>
              <w:t>₁</w:t>
            </w:r>
            <w:r>
              <w:rPr>
                <w:rFonts w:hint="eastAsia" w:ascii="宋体" w:hAnsi="宋体" w:eastAsia="宋体" w:cs="宋体"/>
                <w:i w:val="0"/>
                <w:iCs w:val="0"/>
                <w:color w:val="auto"/>
                <w:kern w:val="0"/>
                <w:sz w:val="20"/>
                <w:szCs w:val="20"/>
                <w:u w:val="none"/>
                <w:lang w:val="en-US" w:eastAsia="zh-CN" w:bidi="ar"/>
              </w:rPr>
              <w:t>≤5μg/kg，污染物符合 GB 2762；微生物达标，无致病菌，食品添加剂（如抗氧化剂）符合 GB 2760 规定，不得添加非食用物质。</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包装：包装上需标注产品名称（明确 “花椒油”）、配料表、净含量、生产日期、保质期、储存条件（避光、阴凉处）、生产许可证编号（SC 认证）、执行标准（如 DB51/T 1402 等地方标准或企业标准）等信息，字迹清晰。</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保质期：未开封常温储存保质期≥12 个月，到货时剩余保质期不低于 9 个月；开封后需密封存放并在 6 个月内使用完毕，防止风味挥发。</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资质：供应商提供近期（3 个月内）产品质量检测报告、生产许可证复印件，需标注花椒品种及加工工艺。</w:t>
            </w:r>
            <w:r>
              <w:rPr>
                <w:rStyle w:val="93"/>
                <w:rFonts w:eastAsia="宋体"/>
                <w:color w:val="auto"/>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用途适配：适合学校食堂用于炒菜、凉拌、蘸料等场景，增添菜品麻香风味。</w:t>
            </w:r>
            <w:r>
              <w:rPr>
                <w:rStyle w:val="93"/>
                <w:rFonts w:eastAsia="宋体"/>
                <w:color w:val="auto"/>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469F8">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22.8</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C2F20">
            <w:pPr>
              <w:rPr>
                <w:rFonts w:hint="eastAsia" w:ascii="宋体" w:hAnsi="宋体" w:eastAsia="宋体" w:cs="宋体"/>
                <w:i w:val="0"/>
                <w:iCs w:val="0"/>
                <w:color w:val="auto"/>
                <w:sz w:val="20"/>
                <w:szCs w:val="20"/>
                <w:u w:val="none"/>
              </w:rPr>
            </w:pPr>
          </w:p>
        </w:tc>
      </w:tr>
    </w:tbl>
    <w:p w14:paraId="7CE88EC6">
      <w:pPr>
        <w:pStyle w:val="9"/>
        <w:rPr>
          <w:rFonts w:hint="eastAsia"/>
          <w:color w:val="auto"/>
          <w:lang w:val="en-US" w:eastAsia="zh-CN"/>
        </w:rPr>
      </w:pPr>
    </w:p>
    <w:p w14:paraId="1CF0DC3B">
      <w:pPr>
        <w:pStyle w:val="9"/>
        <w:rPr>
          <w:rFonts w:hint="eastAsia"/>
          <w:color w:val="auto"/>
          <w:lang w:val="en-US" w:eastAsia="zh-CN"/>
        </w:rPr>
      </w:pPr>
      <w:r>
        <w:rPr>
          <w:rFonts w:hint="eastAsia"/>
          <w:color w:val="auto"/>
          <w:lang w:val="en-US" w:eastAsia="zh-CN"/>
        </w:rPr>
        <w:t>二、采购数量​</w:t>
      </w:r>
    </w:p>
    <w:p w14:paraId="59241F8D">
      <w:pPr>
        <w:pStyle w:val="9"/>
        <w:rPr>
          <w:rFonts w:hint="eastAsia"/>
          <w:color w:val="auto"/>
          <w:highlight w:val="none"/>
          <w:lang w:val="en-US" w:eastAsia="zh-CN"/>
        </w:rPr>
      </w:pPr>
      <w:r>
        <w:rPr>
          <w:rFonts w:hint="eastAsia"/>
          <w:color w:val="auto"/>
          <w:lang w:val="en-US" w:eastAsia="zh-CN"/>
        </w:rPr>
        <w:t>食用油：菜籽油预计每学年采</w:t>
      </w:r>
      <w:r>
        <w:rPr>
          <w:rFonts w:hint="eastAsia"/>
          <w:color w:val="auto"/>
          <w:highlight w:val="none"/>
          <w:lang w:val="en-US" w:eastAsia="zh-CN"/>
        </w:rPr>
        <w:t>购</w:t>
      </w:r>
      <w:r>
        <w:rPr>
          <w:rFonts w:hint="eastAsia"/>
          <w:color w:val="auto"/>
          <w:highlight w:val="none"/>
          <w:u w:val="single"/>
          <w:lang w:val="en-US" w:eastAsia="zh-CN"/>
        </w:rPr>
        <w:t>84777.00</w:t>
      </w:r>
      <w:r>
        <w:rPr>
          <w:rFonts w:hint="eastAsia"/>
          <w:color w:val="auto"/>
          <w:highlight w:val="none"/>
          <w:u w:val="none"/>
          <w:lang w:val="en-US" w:eastAsia="zh-CN"/>
        </w:rPr>
        <w:t>升</w:t>
      </w:r>
      <w:r>
        <w:rPr>
          <w:rFonts w:hint="eastAsia"/>
          <w:color w:val="auto"/>
          <w:highlight w:val="none"/>
          <w:lang w:val="en-US" w:eastAsia="zh-CN"/>
        </w:rPr>
        <w:t>。​</w:t>
      </w:r>
    </w:p>
    <w:p w14:paraId="7E2334A2">
      <w:pPr>
        <w:pStyle w:val="9"/>
        <w:rPr>
          <w:rFonts w:hint="eastAsia"/>
          <w:color w:val="auto"/>
          <w:highlight w:val="none"/>
          <w:lang w:val="en-US" w:eastAsia="zh-CN"/>
        </w:rPr>
      </w:pPr>
      <w:r>
        <w:rPr>
          <w:rFonts w:hint="eastAsia"/>
          <w:color w:val="auto"/>
          <w:highlight w:val="none"/>
          <w:lang w:val="en-US" w:eastAsia="zh-CN"/>
        </w:rPr>
        <w:t>干货调味料：实际采购数量以学校每月下达的订单为准。</w:t>
      </w:r>
    </w:p>
    <w:p w14:paraId="71ECACB5">
      <w:pPr>
        <w:pStyle w:val="9"/>
        <w:numPr>
          <w:ilvl w:val="0"/>
          <w:numId w:val="0"/>
        </w:numPr>
        <w:ind w:firstLine="420" w:firstLineChars="200"/>
        <w:rPr>
          <w:rFonts w:hint="eastAsia"/>
          <w:color w:val="auto"/>
          <w:highlight w:val="none"/>
          <w:lang w:val="en-US" w:eastAsia="zh-CN"/>
        </w:rPr>
      </w:pPr>
      <w:r>
        <w:rPr>
          <w:rFonts w:hint="eastAsia" w:ascii="宋体" w:hAnsi="宋体" w:eastAsia="宋体" w:cstheme="minorBidi"/>
          <w:color w:val="auto"/>
          <w:kern w:val="2"/>
          <w:sz w:val="21"/>
          <w:szCs w:val="21"/>
          <w:highlight w:val="none"/>
          <w:lang w:val="en-US" w:eastAsia="zh-CN" w:bidi="ar-SA"/>
        </w:rPr>
        <w:t>三、</w:t>
      </w:r>
      <w:r>
        <w:rPr>
          <w:rFonts w:hint="eastAsia"/>
          <w:color w:val="auto"/>
          <w:highlight w:val="none"/>
          <w:lang w:val="en-US" w:eastAsia="zh-CN"/>
        </w:rPr>
        <w:t>质量要求：</w:t>
      </w:r>
    </w:p>
    <w:p w14:paraId="0767CF92">
      <w:pPr>
        <w:pStyle w:val="9"/>
        <w:numPr>
          <w:ilvl w:val="0"/>
          <w:numId w:val="0"/>
        </w:numPr>
        <w:ind w:firstLine="420" w:firstLineChars="200"/>
        <w:rPr>
          <w:rFonts w:hint="eastAsia"/>
          <w:color w:val="auto"/>
          <w:highlight w:val="none"/>
          <w:lang w:val="en-US" w:eastAsia="zh-CN"/>
        </w:rPr>
      </w:pPr>
      <w:r>
        <w:rPr>
          <w:rFonts w:hint="eastAsia" w:cstheme="minorBidi"/>
          <w:color w:val="auto"/>
          <w:kern w:val="2"/>
          <w:sz w:val="21"/>
          <w:szCs w:val="21"/>
          <w:highlight w:val="none"/>
          <w:lang w:val="en-US" w:eastAsia="zh-CN" w:bidi="ar-SA"/>
        </w:rPr>
        <w:t>（一）</w:t>
      </w:r>
      <w:r>
        <w:rPr>
          <w:rFonts w:hint="default"/>
          <w:color w:val="auto"/>
          <w:highlight w:val="none"/>
          <w:lang w:val="en-US" w:eastAsia="zh-CN"/>
        </w:rPr>
        <w:t>法规及标准遵循​</w:t>
      </w:r>
    </w:p>
    <w:p w14:paraId="0D025DA5">
      <w:pPr>
        <w:pStyle w:val="9"/>
        <w:rPr>
          <w:rFonts w:hint="eastAsia"/>
          <w:color w:val="auto"/>
          <w:lang w:val="en-US" w:eastAsia="zh-CN"/>
        </w:rPr>
      </w:pPr>
      <w:r>
        <w:rPr>
          <w:rFonts w:hint="eastAsia"/>
          <w:color w:val="auto"/>
          <w:lang w:val="en-US" w:eastAsia="zh-CN"/>
        </w:rPr>
        <w:t>1、</w:t>
      </w:r>
      <w:r>
        <w:rPr>
          <w:rFonts w:hint="default"/>
          <w:color w:val="auto"/>
          <w:lang w:val="en-US" w:eastAsia="zh-CN"/>
        </w:rPr>
        <w:t>食品安全法规：所有食用油和干货调味料必须严格遵循《中华人民共和国食品安全法》及相关实施条例，确保从生产、储存、运输到销售各环节均符合法规要求，杜绝非法添加物与污染。​</w:t>
      </w:r>
    </w:p>
    <w:p w14:paraId="2222A5DA">
      <w:pPr>
        <w:pStyle w:val="9"/>
        <w:ind w:left="0" w:leftChars="0" w:firstLine="420" w:firstLineChars="200"/>
        <w:rPr>
          <w:rFonts w:hint="eastAsia"/>
          <w:color w:val="auto"/>
          <w:lang w:val="en-US" w:eastAsia="zh-CN"/>
        </w:rPr>
      </w:pPr>
      <w:r>
        <w:rPr>
          <w:rFonts w:hint="eastAsia"/>
          <w:color w:val="auto"/>
          <w:lang w:val="en-US" w:eastAsia="zh-CN"/>
        </w:rPr>
        <w:t>2、</w:t>
      </w:r>
      <w:r>
        <w:rPr>
          <w:rFonts w:hint="default"/>
          <w:color w:val="auto"/>
          <w:lang w:val="en-US" w:eastAsia="zh-CN"/>
        </w:rPr>
        <w:t>国家及行业标准​</w:t>
      </w:r>
    </w:p>
    <w:p w14:paraId="251FC1D4">
      <w:pPr>
        <w:pStyle w:val="9"/>
        <w:rPr>
          <w:rFonts w:hint="eastAsia"/>
          <w:color w:val="auto"/>
          <w:lang w:val="en-US" w:eastAsia="zh-CN"/>
        </w:rPr>
      </w:pPr>
      <w:r>
        <w:rPr>
          <w:rFonts w:hint="default"/>
          <w:color w:val="auto"/>
          <w:lang w:val="en-US" w:eastAsia="zh-CN"/>
        </w:rPr>
        <w:t>食用油：需符合 GB 2716 - 2018《食品安全国家标准 植物油》，如浸出工艺生产的食用植物油（包括调和油）溶剂残留量≤20mg/kg，压榨油溶剂残留量不得检出；米糠油、棕榈（仁）油等不同植物原油酸价按标准分别规定 。食用植物调和油应明确以 “食用植物调和油” 命名，并注明各种食用植物油的比例 。​</w:t>
      </w:r>
    </w:p>
    <w:p w14:paraId="3FB5A8A0">
      <w:pPr>
        <w:pStyle w:val="9"/>
        <w:rPr>
          <w:rFonts w:hint="eastAsia"/>
          <w:color w:val="auto"/>
          <w:lang w:val="en-US" w:eastAsia="zh-CN"/>
        </w:rPr>
      </w:pPr>
      <w:r>
        <w:rPr>
          <w:rFonts w:hint="default"/>
          <w:color w:val="auto"/>
          <w:lang w:val="en-US" w:eastAsia="zh-CN"/>
        </w:rPr>
        <w:t>干货调味料：依据品类不同遵循相应国标，如香辛料调味品需符合 GB/T 15691 - 2008《香辛料调味品通用技术条件》；干调味品遵循 GB/T 29862 - 2013 等。无对应国标的，参照行业通行标准执行。​</w:t>
      </w:r>
    </w:p>
    <w:p w14:paraId="550756D3">
      <w:pPr>
        <w:pStyle w:val="9"/>
        <w:rPr>
          <w:rFonts w:hint="eastAsia"/>
          <w:color w:val="auto"/>
          <w:lang w:val="en-US" w:eastAsia="zh-CN"/>
        </w:rPr>
      </w:pPr>
      <w:r>
        <w:rPr>
          <w:rFonts w:hint="eastAsia"/>
          <w:color w:val="auto"/>
          <w:lang w:val="en-US" w:eastAsia="zh-CN"/>
        </w:rPr>
        <w:t>3、</w:t>
      </w:r>
      <w:r>
        <w:rPr>
          <w:rFonts w:hint="default"/>
          <w:color w:val="auto"/>
          <w:lang w:val="en-US" w:eastAsia="zh-CN"/>
        </w:rPr>
        <w:t>管理体系认证：鼓励供应商具备 HACCP（危害分析和关键控制点）体系认证与 ISO 22000 食品安全管理体系认证，建立完善食品追溯体系，确保产品来源、生产、运输信息可查。​</w:t>
      </w:r>
    </w:p>
    <w:p w14:paraId="480DAF17">
      <w:pPr>
        <w:pStyle w:val="9"/>
        <w:rPr>
          <w:rFonts w:hint="default"/>
          <w:color w:val="auto"/>
          <w:lang w:val="en-US" w:eastAsia="zh-CN"/>
        </w:rPr>
      </w:pPr>
      <w:r>
        <w:rPr>
          <w:rFonts w:hint="eastAsia"/>
          <w:color w:val="auto"/>
          <w:lang w:val="en-US" w:eastAsia="zh-CN"/>
        </w:rPr>
        <w:t>（二）</w:t>
      </w:r>
      <w:r>
        <w:rPr>
          <w:rFonts w:hint="default"/>
          <w:color w:val="auto"/>
          <w:lang w:val="en-US" w:eastAsia="zh-CN"/>
        </w:rPr>
        <w:t>感官品质要求​</w:t>
      </w:r>
    </w:p>
    <w:p w14:paraId="30B05ACB">
      <w:pPr>
        <w:pStyle w:val="9"/>
        <w:rPr>
          <w:rFonts w:hint="eastAsia"/>
          <w:color w:val="auto"/>
          <w:lang w:val="en-US" w:eastAsia="zh-CN"/>
        </w:rPr>
      </w:pPr>
      <w:r>
        <w:rPr>
          <w:rFonts w:hint="eastAsia"/>
          <w:color w:val="auto"/>
          <w:lang w:val="en-US" w:eastAsia="zh-CN"/>
        </w:rPr>
        <w:t>1、</w:t>
      </w:r>
      <w:r>
        <w:rPr>
          <w:rFonts w:hint="default"/>
          <w:color w:val="auto"/>
          <w:lang w:val="en-US" w:eastAsia="zh-CN"/>
        </w:rPr>
        <w:t>食用油​</w:t>
      </w:r>
    </w:p>
    <w:p w14:paraId="0EF8C21B">
      <w:pPr>
        <w:pStyle w:val="9"/>
        <w:rPr>
          <w:rFonts w:hint="eastAsia"/>
          <w:color w:val="auto"/>
          <w:lang w:val="en-US" w:eastAsia="zh-CN"/>
        </w:rPr>
      </w:pPr>
      <w:r>
        <w:rPr>
          <w:rFonts w:hint="default"/>
          <w:color w:val="auto"/>
          <w:lang w:val="en-US" w:eastAsia="zh-CN"/>
        </w:rPr>
        <w:t>外观：应澄清透明，无浑浊、沉淀、悬浮物及分层现象；色泽均匀，符合相应品种的固有颜色，如大豆油为浅黄色、花生油为淡黄色至棕黄色。​</w:t>
      </w:r>
    </w:p>
    <w:p w14:paraId="61CC199D">
      <w:pPr>
        <w:pStyle w:val="9"/>
        <w:rPr>
          <w:rFonts w:hint="eastAsia"/>
          <w:color w:val="auto"/>
          <w:lang w:val="en-US" w:eastAsia="zh-CN"/>
        </w:rPr>
      </w:pPr>
      <w:r>
        <w:rPr>
          <w:rFonts w:hint="default"/>
          <w:color w:val="auto"/>
          <w:lang w:val="en-US" w:eastAsia="zh-CN"/>
        </w:rPr>
        <w:t>气味与滋味：具有该品种食用油特有的气味和滋味，无酸败、哈喇、焦糊等异味，口感纯正，无刺激性。​</w:t>
      </w:r>
    </w:p>
    <w:p w14:paraId="3EE35356">
      <w:pPr>
        <w:pStyle w:val="9"/>
        <w:ind w:left="0" w:leftChars="0" w:firstLine="420" w:firstLineChars="200"/>
        <w:rPr>
          <w:rFonts w:hint="eastAsia"/>
          <w:color w:val="auto"/>
          <w:lang w:val="en-US" w:eastAsia="zh-CN"/>
        </w:rPr>
      </w:pPr>
      <w:r>
        <w:rPr>
          <w:rFonts w:hint="eastAsia"/>
          <w:color w:val="auto"/>
          <w:lang w:val="en-US" w:eastAsia="zh-CN"/>
        </w:rPr>
        <w:t>2、</w:t>
      </w:r>
      <w:r>
        <w:rPr>
          <w:rFonts w:hint="default"/>
          <w:color w:val="auto"/>
          <w:lang w:val="en-US" w:eastAsia="zh-CN"/>
        </w:rPr>
        <w:t>干货调味料​</w:t>
      </w:r>
    </w:p>
    <w:p w14:paraId="078A330D">
      <w:pPr>
        <w:pStyle w:val="9"/>
        <w:rPr>
          <w:rFonts w:hint="eastAsia"/>
          <w:color w:val="auto"/>
          <w:lang w:val="en-US" w:eastAsia="zh-CN"/>
        </w:rPr>
      </w:pPr>
      <w:r>
        <w:rPr>
          <w:rFonts w:hint="default"/>
          <w:color w:val="auto"/>
          <w:lang w:val="en-US" w:eastAsia="zh-CN"/>
        </w:rPr>
        <w:t>外观：干货类（如香菇、木耳）应形态完整，无破损、霉变、虫蛀；色泽自然，符合该品种应有的色泽，如红枣呈紫红色、银耳为白色或略带黄色 。调味品类（如盐、糖、酱油）包装完好，无泄漏；酱油、醋等液态调味品应无浑浊、沉淀；固态调味料（如花椒、八角）颗粒饱满，无杂质。​气味：具有各自独特的香气，无霉味、腐臭味、酸败味等不良气味。例如花椒有浓郁麻香味、桂皮有甜香气味 。​</w:t>
      </w:r>
    </w:p>
    <w:p w14:paraId="73789DA6">
      <w:pPr>
        <w:pStyle w:val="9"/>
        <w:rPr>
          <w:rFonts w:hint="eastAsia"/>
          <w:color w:val="auto"/>
          <w:lang w:val="en-US" w:eastAsia="zh-CN"/>
        </w:rPr>
      </w:pPr>
      <w:r>
        <w:rPr>
          <w:rFonts w:hint="default"/>
          <w:color w:val="auto"/>
          <w:lang w:val="en-US" w:eastAsia="zh-CN"/>
        </w:rPr>
        <w:t>质地：干货应干燥，含水量符合行业标准，无发软、结块现象；酱料类调味料质地均匀，具有适当的粘稠度，无分层、析水现象 。​</w:t>
      </w:r>
    </w:p>
    <w:p w14:paraId="5A6AEB62">
      <w:pPr>
        <w:pStyle w:val="9"/>
        <w:rPr>
          <w:rFonts w:hint="default"/>
          <w:color w:val="auto"/>
          <w:lang w:val="en-US" w:eastAsia="zh-CN"/>
        </w:rPr>
      </w:pPr>
      <w:r>
        <w:rPr>
          <w:rFonts w:hint="eastAsia"/>
          <w:color w:val="auto"/>
          <w:lang w:val="en-US" w:eastAsia="zh-CN"/>
        </w:rPr>
        <w:t>（三）</w:t>
      </w:r>
      <w:r>
        <w:rPr>
          <w:rFonts w:hint="default"/>
          <w:color w:val="auto"/>
          <w:lang w:val="en-US" w:eastAsia="zh-CN"/>
        </w:rPr>
        <w:t>理化指标要求​</w:t>
      </w:r>
    </w:p>
    <w:p w14:paraId="7543EBB4">
      <w:pPr>
        <w:pStyle w:val="9"/>
        <w:rPr>
          <w:rFonts w:hint="eastAsia"/>
          <w:color w:val="auto"/>
          <w:lang w:val="en-US" w:eastAsia="zh-CN"/>
        </w:rPr>
      </w:pPr>
      <w:r>
        <w:rPr>
          <w:rFonts w:hint="eastAsia"/>
          <w:color w:val="auto"/>
          <w:lang w:val="en-US" w:eastAsia="zh-CN"/>
        </w:rPr>
        <w:t>1、</w:t>
      </w:r>
      <w:r>
        <w:rPr>
          <w:rFonts w:hint="default"/>
          <w:color w:val="auto"/>
          <w:lang w:val="en-US" w:eastAsia="zh-CN"/>
        </w:rPr>
        <w:t>食用油​</w:t>
      </w:r>
    </w:p>
    <w:p w14:paraId="719D67EF">
      <w:pPr>
        <w:pStyle w:val="9"/>
        <w:rPr>
          <w:rFonts w:hint="eastAsia"/>
          <w:color w:val="auto"/>
          <w:lang w:val="en-US" w:eastAsia="zh-CN"/>
        </w:rPr>
      </w:pPr>
      <w:r>
        <w:rPr>
          <w:rFonts w:hint="default"/>
          <w:color w:val="auto"/>
          <w:lang w:val="en-US" w:eastAsia="zh-CN"/>
        </w:rPr>
        <w:t>酸价：符合 GB 2716 - 2018 中对不同植物油酸价的规定，酸价过高表明油脂发生氧化酸败，影响品质与安全 。​</w:t>
      </w:r>
    </w:p>
    <w:p w14:paraId="73C9CD07">
      <w:pPr>
        <w:pStyle w:val="9"/>
        <w:rPr>
          <w:rFonts w:hint="eastAsia"/>
          <w:color w:val="auto"/>
          <w:lang w:val="en-US" w:eastAsia="zh-CN"/>
        </w:rPr>
      </w:pPr>
      <w:r>
        <w:rPr>
          <w:rFonts w:hint="default"/>
          <w:color w:val="auto"/>
          <w:lang w:val="en-US" w:eastAsia="zh-CN"/>
        </w:rPr>
        <w:t>过氧化值：反映油脂氧化程度，应控制在标准范围内，防止油脂过度氧化产生有害物质。​</w:t>
      </w:r>
    </w:p>
    <w:p w14:paraId="1769B910">
      <w:pPr>
        <w:pStyle w:val="9"/>
        <w:rPr>
          <w:rFonts w:hint="eastAsia"/>
          <w:color w:val="auto"/>
          <w:lang w:val="en-US" w:eastAsia="zh-CN"/>
        </w:rPr>
      </w:pPr>
      <w:r>
        <w:rPr>
          <w:rFonts w:hint="default"/>
          <w:color w:val="auto"/>
          <w:lang w:val="en-US" w:eastAsia="zh-CN"/>
        </w:rPr>
        <w:t>重金属含量：铅、镉、汞、砷等重金属含量不得超过 GB 2762 规定的限量要求，避免重金属污染危害人体健康 。​</w:t>
      </w:r>
    </w:p>
    <w:p w14:paraId="50752171">
      <w:pPr>
        <w:pStyle w:val="9"/>
        <w:rPr>
          <w:rFonts w:hint="eastAsia"/>
          <w:color w:val="auto"/>
          <w:lang w:val="en-US" w:eastAsia="zh-CN"/>
        </w:rPr>
      </w:pPr>
      <w:r>
        <w:rPr>
          <w:rFonts w:hint="default"/>
          <w:color w:val="auto"/>
          <w:lang w:val="en-US" w:eastAsia="zh-CN"/>
        </w:rPr>
        <w:t>黄曲霉毒素：部分原料易受黄曲霉污染的植物油（如玉米油、花生油），黄曲霉毒素 B₁等含量需符合严格标准，防止致癌风险 。​</w:t>
      </w:r>
    </w:p>
    <w:p w14:paraId="27928EB8">
      <w:pPr>
        <w:pStyle w:val="9"/>
        <w:ind w:left="0" w:leftChars="0" w:firstLine="420" w:firstLineChars="200"/>
        <w:rPr>
          <w:rFonts w:hint="eastAsia"/>
          <w:color w:val="auto"/>
          <w:lang w:val="en-US" w:eastAsia="zh-CN"/>
        </w:rPr>
      </w:pPr>
      <w:r>
        <w:rPr>
          <w:rFonts w:hint="eastAsia"/>
          <w:color w:val="auto"/>
          <w:lang w:val="en-US" w:eastAsia="zh-CN"/>
        </w:rPr>
        <w:t>2、</w:t>
      </w:r>
      <w:r>
        <w:rPr>
          <w:rFonts w:hint="default"/>
          <w:color w:val="auto"/>
          <w:lang w:val="en-US" w:eastAsia="zh-CN"/>
        </w:rPr>
        <w:t>干货调味料​</w:t>
      </w:r>
    </w:p>
    <w:p w14:paraId="1A1F57D3">
      <w:pPr>
        <w:pStyle w:val="9"/>
        <w:rPr>
          <w:rFonts w:hint="eastAsia"/>
          <w:color w:val="auto"/>
          <w:lang w:val="en-US" w:eastAsia="zh-CN"/>
        </w:rPr>
      </w:pPr>
      <w:r>
        <w:rPr>
          <w:rFonts w:hint="default"/>
          <w:color w:val="auto"/>
          <w:lang w:val="en-US" w:eastAsia="zh-CN"/>
        </w:rPr>
        <w:t>水分含量：干货类应保持适当干燥程度，水分含量过高易导致霉变、生虫，不同干货有相应适宜水分范围，如香菇含水量一般≤13% 。​</w:t>
      </w:r>
    </w:p>
    <w:p w14:paraId="02B829F7">
      <w:pPr>
        <w:pStyle w:val="9"/>
        <w:rPr>
          <w:rFonts w:hint="eastAsia"/>
          <w:color w:val="auto"/>
          <w:lang w:val="en-US" w:eastAsia="zh-CN"/>
        </w:rPr>
      </w:pPr>
      <w:r>
        <w:rPr>
          <w:rFonts w:hint="default"/>
          <w:color w:val="auto"/>
          <w:lang w:val="en-US" w:eastAsia="zh-CN"/>
        </w:rPr>
        <w:t>盐分含量：盐、酱油、酱类等调味品类需控制盐分含量，既满足调味需求，又符合健康与质量标准，例如酱油中食盐（以 NaCl 计）含量有相应规定范围 。​</w:t>
      </w:r>
    </w:p>
    <w:p w14:paraId="32520660">
      <w:pPr>
        <w:pStyle w:val="9"/>
        <w:rPr>
          <w:rFonts w:hint="eastAsia"/>
          <w:color w:val="auto"/>
          <w:lang w:val="en-US" w:eastAsia="zh-CN"/>
        </w:rPr>
      </w:pPr>
      <w:r>
        <w:rPr>
          <w:rFonts w:hint="default"/>
          <w:color w:val="auto"/>
          <w:lang w:val="en-US" w:eastAsia="zh-CN"/>
        </w:rPr>
        <w:t>微生物指标：菌落总数、大肠菌群、霉菌和酵母等微生物指标应符合对应产品标准，不得检出致病菌（如沙门氏菌、金黄色葡萄球菌等），防止微生物污染引发食源性疾病 。​</w:t>
      </w:r>
    </w:p>
    <w:p w14:paraId="02D601E6">
      <w:pPr>
        <w:pStyle w:val="9"/>
        <w:rPr>
          <w:rFonts w:hint="eastAsia"/>
          <w:color w:val="auto"/>
          <w:lang w:val="en-US" w:eastAsia="zh-CN"/>
        </w:rPr>
      </w:pPr>
      <w:r>
        <w:rPr>
          <w:rFonts w:hint="default"/>
          <w:color w:val="auto"/>
          <w:lang w:val="en-US" w:eastAsia="zh-CN"/>
        </w:rPr>
        <w:t>添加剂使用：严格按照 GB 2760 - 2014《食品添加剂使用标准》使用防腐剂、抗氧化剂、色素等添加剂，不得超范围、超剂量使用 。例如，苯甲酸、山梨酸等防腐剂在允许使用的产品中需控制添加量 。​</w:t>
      </w:r>
    </w:p>
    <w:p w14:paraId="4630D5C0">
      <w:pPr>
        <w:pStyle w:val="9"/>
        <w:rPr>
          <w:rFonts w:hint="default"/>
          <w:color w:val="auto"/>
          <w:lang w:val="en-US" w:eastAsia="zh-CN"/>
        </w:rPr>
      </w:pPr>
      <w:r>
        <w:rPr>
          <w:rFonts w:hint="eastAsia"/>
          <w:color w:val="auto"/>
          <w:lang w:val="en-US" w:eastAsia="zh-CN"/>
        </w:rPr>
        <w:t>（四）</w:t>
      </w:r>
      <w:r>
        <w:rPr>
          <w:rFonts w:hint="default"/>
          <w:color w:val="auto"/>
          <w:lang w:val="en-US" w:eastAsia="zh-CN"/>
        </w:rPr>
        <w:t>包装与标签要求​</w:t>
      </w:r>
    </w:p>
    <w:p w14:paraId="79BC9EA6">
      <w:pPr>
        <w:pStyle w:val="9"/>
        <w:rPr>
          <w:rFonts w:hint="eastAsia"/>
          <w:color w:val="auto"/>
          <w:lang w:val="en-US" w:eastAsia="zh-CN"/>
        </w:rPr>
      </w:pPr>
      <w:r>
        <w:rPr>
          <w:rFonts w:hint="eastAsia"/>
          <w:color w:val="auto"/>
          <w:lang w:val="en-US" w:eastAsia="zh-CN"/>
        </w:rPr>
        <w:t>1、</w:t>
      </w:r>
      <w:r>
        <w:rPr>
          <w:rFonts w:hint="default"/>
          <w:color w:val="auto"/>
          <w:lang w:val="en-US" w:eastAsia="zh-CN"/>
        </w:rPr>
        <w:t>包装​</w:t>
      </w:r>
    </w:p>
    <w:p w14:paraId="3362922F">
      <w:pPr>
        <w:pStyle w:val="9"/>
        <w:rPr>
          <w:rFonts w:hint="eastAsia"/>
          <w:color w:val="auto"/>
          <w:lang w:val="en-US" w:eastAsia="zh-CN"/>
        </w:rPr>
      </w:pPr>
      <w:r>
        <w:rPr>
          <w:rFonts w:hint="default"/>
          <w:color w:val="auto"/>
          <w:lang w:val="en-US" w:eastAsia="zh-CN"/>
        </w:rPr>
        <w:t>完整性：包装应密封完好，无破损、渗漏，能有效防潮、防氧化、防污染，确保产品在保质期内质量稳定。食用油采用密封桶装或瓶装，干货调味料根据品类采用袋装、瓶装或罐装 。​</w:t>
      </w:r>
    </w:p>
    <w:p w14:paraId="3F4532F5">
      <w:pPr>
        <w:pStyle w:val="9"/>
        <w:rPr>
          <w:rFonts w:hint="eastAsia"/>
          <w:color w:val="auto"/>
          <w:lang w:val="en-US" w:eastAsia="zh-CN"/>
        </w:rPr>
      </w:pPr>
      <w:r>
        <w:rPr>
          <w:rFonts w:hint="default"/>
          <w:color w:val="auto"/>
          <w:lang w:val="en-US" w:eastAsia="zh-CN"/>
        </w:rPr>
        <w:t>材料合规性：直接接触产品的包装材料必须符合食品接触材料安全标准，无毒、无味、无污染，不与产品发生化学反应，例如使用食品级塑料、玻璃、金属等材质 。​</w:t>
      </w:r>
    </w:p>
    <w:p w14:paraId="48D2B01B">
      <w:pPr>
        <w:pStyle w:val="9"/>
        <w:rPr>
          <w:rFonts w:hint="eastAsia"/>
          <w:color w:val="auto"/>
          <w:lang w:val="en-US" w:eastAsia="zh-CN"/>
        </w:rPr>
      </w:pPr>
      <w:r>
        <w:rPr>
          <w:rFonts w:hint="eastAsia"/>
          <w:color w:val="auto"/>
          <w:lang w:val="en-US" w:eastAsia="zh-CN"/>
        </w:rPr>
        <w:t>2、</w:t>
      </w:r>
      <w:r>
        <w:rPr>
          <w:rFonts w:hint="default"/>
          <w:color w:val="auto"/>
          <w:lang w:val="en-US" w:eastAsia="zh-CN"/>
        </w:rPr>
        <w:t>标签​</w:t>
      </w:r>
    </w:p>
    <w:p w14:paraId="17B615D3">
      <w:pPr>
        <w:pStyle w:val="9"/>
        <w:rPr>
          <w:rFonts w:hint="eastAsia"/>
          <w:color w:val="auto"/>
          <w:lang w:val="en-US" w:eastAsia="zh-CN"/>
        </w:rPr>
      </w:pPr>
      <w:r>
        <w:rPr>
          <w:rFonts w:hint="default"/>
          <w:color w:val="auto"/>
          <w:lang w:val="en-US" w:eastAsia="zh-CN"/>
        </w:rPr>
        <w:t>基本信息：清晰标注产品名称、配料表（食用油需标注各种植物油比例）、净含量、生产日期、保质期、储存条件、食用方法 。干货调味料需注明产地（如香料的原产国或地区） 。​</w:t>
      </w:r>
    </w:p>
    <w:p w14:paraId="7DD6583D">
      <w:pPr>
        <w:pStyle w:val="9"/>
        <w:rPr>
          <w:rFonts w:hint="eastAsia"/>
          <w:color w:val="auto"/>
          <w:lang w:val="en-US" w:eastAsia="zh-CN"/>
        </w:rPr>
      </w:pPr>
      <w:r>
        <w:rPr>
          <w:rFonts w:hint="default"/>
          <w:color w:val="auto"/>
          <w:lang w:val="en-US" w:eastAsia="zh-CN"/>
        </w:rPr>
        <w:t>生产信息：标注生产厂家名称、地址、联系方式、食品生产许可证编号（SC 标识）、产品执行标准号 。​</w:t>
      </w:r>
    </w:p>
    <w:p w14:paraId="24D702DF">
      <w:pPr>
        <w:pStyle w:val="9"/>
        <w:rPr>
          <w:rFonts w:hint="eastAsia"/>
          <w:color w:val="auto"/>
          <w:lang w:val="en-US" w:eastAsia="zh-CN"/>
        </w:rPr>
      </w:pPr>
      <w:r>
        <w:rPr>
          <w:rFonts w:hint="default"/>
          <w:color w:val="auto"/>
          <w:lang w:val="en-US" w:eastAsia="zh-CN"/>
        </w:rPr>
        <w:t>警示信息：如有必要，标注过敏原信息（如产品中含有可能导致过敏的成分，如花生、大豆等）、不适宜人群等信息 。</w:t>
      </w:r>
    </w:p>
    <w:p w14:paraId="12B130C6">
      <w:pPr>
        <w:pStyle w:val="9"/>
        <w:rPr>
          <w:rFonts w:hint="eastAsia" w:ascii="宋体" w:hAnsi="宋体" w:eastAsia="宋体"/>
          <w:b/>
          <w:bCs/>
          <w:color w:val="auto"/>
          <w:lang w:val="en-US" w:eastAsia="zh-CN"/>
        </w:rPr>
      </w:pPr>
      <w:r>
        <w:rPr>
          <w:rFonts w:hint="eastAsia"/>
          <w:b/>
          <w:bCs/>
          <w:color w:val="auto"/>
          <w:lang w:val="en-US" w:eastAsia="zh-CN"/>
        </w:rPr>
        <w:t>四</w:t>
      </w:r>
      <w:r>
        <w:rPr>
          <w:rFonts w:hint="eastAsia" w:ascii="宋体" w:hAnsi="宋体" w:eastAsia="宋体"/>
          <w:b/>
          <w:bCs/>
          <w:color w:val="auto"/>
          <w:lang w:val="en-US" w:eastAsia="zh-CN"/>
        </w:rPr>
        <w:t>、交货时间、地点、方式</w:t>
      </w:r>
    </w:p>
    <w:p w14:paraId="195E9BAF">
      <w:pPr>
        <w:pStyle w:val="9"/>
        <w:rPr>
          <w:rFonts w:hint="eastAsia"/>
          <w:color w:val="auto"/>
          <w:lang w:val="en-US" w:eastAsia="zh-CN"/>
        </w:rPr>
      </w:pPr>
      <w:r>
        <w:rPr>
          <w:rFonts w:hint="eastAsia"/>
          <w:color w:val="auto"/>
          <w:lang w:val="en-US" w:eastAsia="zh-CN"/>
        </w:rPr>
        <w:t>1.交货时间：甲方每月下达订单后，乙方应在 5 个工作日内将货物送达指定地点。如遇寒暑假等特殊时期，交货时间可由双方提前协商确定。</w:t>
      </w:r>
    </w:p>
    <w:p w14:paraId="4D7C19C1">
      <w:pPr>
        <w:pStyle w:val="9"/>
        <w:rPr>
          <w:rFonts w:hint="eastAsia"/>
          <w:color w:val="auto"/>
          <w:lang w:val="en-US" w:eastAsia="zh-CN"/>
        </w:rPr>
      </w:pPr>
      <w:r>
        <w:rPr>
          <w:rFonts w:hint="eastAsia"/>
          <w:color w:val="auto"/>
          <w:lang w:val="en-US" w:eastAsia="zh-CN"/>
        </w:rPr>
        <w:t>2.交货地点：甲方学校指定的食堂仓库或其他明确地点。乙方负责将货物运输至该地点，运输过程中的装卸、搬运、保险及所有相关费用均由乙方承担。在运输过程中，乙方应采取必要措施确保货物不受污染、损坏、变质，如因运输不当导致的质量问题，乙方应承担全部责任。</w:t>
      </w:r>
    </w:p>
    <w:p w14:paraId="385417BF">
      <w:pPr>
        <w:pStyle w:val="9"/>
        <w:rPr>
          <w:rFonts w:hint="eastAsia"/>
          <w:color w:val="auto"/>
          <w:lang w:val="en-US" w:eastAsia="zh-CN"/>
        </w:rPr>
      </w:pPr>
      <w:r>
        <w:rPr>
          <w:rFonts w:hint="eastAsia"/>
          <w:color w:val="auto"/>
          <w:lang w:val="en-US" w:eastAsia="zh-CN"/>
        </w:rPr>
        <w:t>3.交货方式：乙方应使用符合食品运输要求的车辆运输，确保货物在运输过程中不受污染、损坏、变质。货物到达后，由学校指定专人（需持有甲方出具的授权委托书）与乙方送货人员共同验收，并签署交货单。</w:t>
      </w:r>
    </w:p>
    <w:p w14:paraId="0865FF6E">
      <w:pPr>
        <w:pStyle w:val="9"/>
        <w:rPr>
          <w:rFonts w:hint="eastAsia" w:ascii="宋体" w:hAnsi="宋体" w:eastAsia="宋体"/>
          <w:b/>
          <w:bCs/>
          <w:color w:val="auto"/>
          <w:lang w:val="en-US" w:eastAsia="zh-CN"/>
        </w:rPr>
      </w:pPr>
      <w:r>
        <w:rPr>
          <w:rFonts w:hint="eastAsia"/>
          <w:b/>
          <w:bCs/>
          <w:color w:val="auto"/>
          <w:lang w:val="en-US" w:eastAsia="zh-CN"/>
        </w:rPr>
        <w:t>五</w:t>
      </w:r>
      <w:r>
        <w:rPr>
          <w:rFonts w:hint="eastAsia" w:ascii="宋体" w:hAnsi="宋体" w:eastAsia="宋体"/>
          <w:b/>
          <w:bCs/>
          <w:color w:val="auto"/>
          <w:lang w:val="en-US" w:eastAsia="zh-CN"/>
        </w:rPr>
        <w:t>、</w:t>
      </w:r>
      <w:r>
        <w:rPr>
          <w:rFonts w:hint="default" w:ascii="宋体" w:hAnsi="宋体" w:eastAsia="宋体"/>
          <w:b/>
          <w:bCs/>
          <w:color w:val="auto"/>
          <w:lang w:val="en-US" w:eastAsia="zh-CN"/>
        </w:rPr>
        <w:t>验收标准​</w:t>
      </w:r>
    </w:p>
    <w:p w14:paraId="050F976F">
      <w:pPr>
        <w:pStyle w:val="9"/>
        <w:rPr>
          <w:rFonts w:hint="eastAsia"/>
          <w:color w:val="auto"/>
          <w:lang w:val="en-US" w:eastAsia="zh-CN"/>
        </w:rPr>
      </w:pPr>
      <w:r>
        <w:rPr>
          <w:rFonts w:hint="eastAsia"/>
          <w:color w:val="auto"/>
          <w:lang w:val="en-US" w:eastAsia="zh-CN"/>
        </w:rPr>
        <w:t>1、</w:t>
      </w:r>
      <w:r>
        <w:rPr>
          <w:rFonts w:hint="default"/>
          <w:color w:val="auto"/>
          <w:lang w:val="en-US" w:eastAsia="zh-CN"/>
        </w:rPr>
        <w:t>学校在收到货物后进行验收</w:t>
      </w:r>
      <w:r>
        <w:rPr>
          <w:rFonts w:hint="eastAsia"/>
          <w:color w:val="auto"/>
          <w:lang w:val="en-US" w:eastAsia="zh-CN"/>
        </w:rPr>
        <w:t>，</w:t>
      </w:r>
      <w:r>
        <w:rPr>
          <w:rFonts w:hint="default"/>
          <w:color w:val="auto"/>
          <w:lang w:val="en-US" w:eastAsia="zh-CN"/>
        </w:rPr>
        <w:t>验收内容包括产品的品种、规格、数量、生产日期、保质期、质量、包装及相关证明文件（每批次产品的质量检验报告、出厂合格证及供应商资质证明复印件，复印件需加盖供应商公章）等是否符合采购需求及相关标准。​</w:t>
      </w:r>
    </w:p>
    <w:p w14:paraId="3AA2D58E">
      <w:pPr>
        <w:pStyle w:val="9"/>
        <w:rPr>
          <w:rFonts w:hint="eastAsia"/>
          <w:color w:val="auto"/>
          <w:lang w:val="en-US" w:eastAsia="zh-CN"/>
        </w:rPr>
      </w:pPr>
      <w:r>
        <w:rPr>
          <w:rFonts w:hint="eastAsia"/>
          <w:color w:val="auto"/>
          <w:lang w:val="en-US" w:eastAsia="zh-CN"/>
        </w:rPr>
        <w:t>2、</w:t>
      </w:r>
      <w:r>
        <w:rPr>
          <w:rFonts w:hint="default"/>
          <w:color w:val="auto"/>
          <w:lang w:val="en-US" w:eastAsia="zh-CN"/>
        </w:rPr>
        <w:t>如发现货物与订单不符或存在质量问题，学校应立即通过书面形式通知供应商，供应商需在 24 小时内响应，并在 3 天内负责处理，如更换货物、补货等，由此产生的费用由供应商承担。</w:t>
      </w:r>
    </w:p>
    <w:p w14:paraId="04761B33">
      <w:pPr>
        <w:pStyle w:val="9"/>
        <w:rPr>
          <w:rFonts w:hint="eastAsia" w:ascii="宋体" w:hAnsi="宋体" w:eastAsia="宋体"/>
          <w:b/>
          <w:bCs/>
          <w:color w:val="auto"/>
          <w:lang w:val="en-US" w:eastAsia="zh-CN"/>
        </w:rPr>
      </w:pPr>
      <w:r>
        <w:rPr>
          <w:rFonts w:hint="eastAsia"/>
          <w:b/>
          <w:bCs/>
          <w:color w:val="auto"/>
          <w:lang w:val="en-US" w:eastAsia="zh-CN"/>
        </w:rPr>
        <w:t>六</w:t>
      </w:r>
      <w:r>
        <w:rPr>
          <w:rFonts w:hint="eastAsia" w:ascii="宋体" w:hAnsi="宋体" w:eastAsia="宋体"/>
          <w:b/>
          <w:bCs/>
          <w:color w:val="auto"/>
          <w:lang w:val="en-US" w:eastAsia="zh-CN"/>
        </w:rPr>
        <w:t>、报价</w:t>
      </w:r>
    </w:p>
    <w:p w14:paraId="14E975BF">
      <w:pPr>
        <w:pStyle w:val="9"/>
        <w:rPr>
          <w:rFonts w:hint="eastAsia"/>
          <w:color w:val="auto"/>
          <w:lang w:val="en-US" w:eastAsia="zh-CN"/>
        </w:rPr>
      </w:pPr>
      <w:r>
        <w:rPr>
          <w:rFonts w:hint="eastAsia"/>
          <w:color w:val="auto"/>
          <w:lang w:val="en-US" w:eastAsia="zh-CN"/>
        </w:rPr>
        <w:t>1、报价要求​</w:t>
      </w:r>
    </w:p>
    <w:p w14:paraId="6CA0BB7F">
      <w:pPr>
        <w:pStyle w:val="9"/>
        <w:rPr>
          <w:rFonts w:hint="eastAsia"/>
          <w:color w:val="auto"/>
          <w:lang w:val="en-US" w:eastAsia="zh-CN"/>
        </w:rPr>
      </w:pPr>
      <w:r>
        <w:rPr>
          <w:rFonts w:hint="eastAsia"/>
          <w:color w:val="auto"/>
          <w:lang w:val="en-US" w:eastAsia="zh-CN"/>
        </w:rPr>
        <w:t>供应商需对本需求中列明的每种物品进行单独固定报价，报价单位需与物品规格单位一致（如花椒报价单位为元 / 市斤等）。​</w:t>
      </w:r>
    </w:p>
    <w:p w14:paraId="25DB3425">
      <w:pPr>
        <w:pStyle w:val="9"/>
        <w:rPr>
          <w:rFonts w:hint="eastAsia"/>
          <w:color w:val="auto"/>
          <w:lang w:val="en-US" w:eastAsia="zh-CN"/>
        </w:rPr>
      </w:pPr>
      <w:r>
        <w:rPr>
          <w:rFonts w:hint="eastAsia"/>
          <w:color w:val="auto"/>
          <w:lang w:val="en-US" w:eastAsia="zh-CN"/>
        </w:rPr>
        <w:t>报价应包含物品本身价格、包装费、运输费、装卸费、保险费、税费等所有相关费用，为最终结算价格，学校不再承担任何额外费用。​</w:t>
      </w:r>
    </w:p>
    <w:p w14:paraId="45C8A2EC">
      <w:pPr>
        <w:pStyle w:val="9"/>
        <w:rPr>
          <w:rFonts w:hint="eastAsia"/>
          <w:color w:val="auto"/>
          <w:lang w:val="en-US" w:eastAsia="zh-CN"/>
        </w:rPr>
      </w:pPr>
      <w:r>
        <w:rPr>
          <w:rFonts w:hint="eastAsia"/>
          <w:color w:val="auto"/>
          <w:lang w:val="en-US" w:eastAsia="zh-CN"/>
        </w:rPr>
        <w:t>本报价为固定价格，在合同有效期内，除因国家政策调整、原材料价格大幅波动（波动幅度超过 10%）等特殊情况外，不得调整。若需调整价格，需提前 15 天向学校提交书面申请，并附相关证明材料（如国家政策文件、原材料采购发票等），经学校审核同意后，双方签订补充协议确定新价格。​</w:t>
      </w:r>
    </w:p>
    <w:p w14:paraId="5EA463B4">
      <w:pPr>
        <w:pStyle w:val="9"/>
        <w:rPr>
          <w:rFonts w:hint="eastAsia"/>
          <w:color w:val="auto"/>
          <w:lang w:val="en-US" w:eastAsia="zh-CN"/>
        </w:rPr>
      </w:pPr>
      <w:r>
        <w:rPr>
          <w:rFonts w:hint="eastAsia"/>
          <w:color w:val="auto"/>
          <w:lang w:val="en-US" w:eastAsia="zh-CN"/>
        </w:rPr>
        <w:t>供应商需在报价单中明确每种物品的品牌、生产厂家及报价金额，并加盖单位公章，报价单作为合同附件具有同等法律效力。​</w:t>
      </w:r>
    </w:p>
    <w:p w14:paraId="25901D83">
      <w:pPr>
        <w:pStyle w:val="9"/>
        <w:rPr>
          <w:rFonts w:hint="eastAsia" w:ascii="宋体" w:hAnsi="宋体" w:eastAsia="宋体"/>
          <w:b/>
          <w:bCs/>
          <w:color w:val="auto"/>
          <w:lang w:val="en-US" w:eastAsia="zh-CN"/>
        </w:rPr>
      </w:pPr>
      <w:r>
        <w:rPr>
          <w:rFonts w:hint="eastAsia"/>
          <w:b/>
          <w:bCs/>
          <w:color w:val="auto"/>
          <w:lang w:val="en-US" w:eastAsia="zh-CN"/>
        </w:rPr>
        <w:t>七</w:t>
      </w:r>
      <w:r>
        <w:rPr>
          <w:rFonts w:hint="default" w:ascii="宋体" w:hAnsi="宋体" w:eastAsia="宋体"/>
          <w:b/>
          <w:bCs/>
          <w:color w:val="auto"/>
          <w:lang w:val="en-US" w:eastAsia="zh-CN"/>
        </w:rPr>
        <w:t>、未列入采购清单的干货调味料处理办法​</w:t>
      </w:r>
    </w:p>
    <w:p w14:paraId="667260B4">
      <w:pPr>
        <w:pStyle w:val="9"/>
        <w:rPr>
          <w:rFonts w:hint="eastAsia"/>
          <w:color w:val="auto"/>
          <w:lang w:val="en-US" w:eastAsia="zh-CN"/>
        </w:rPr>
      </w:pPr>
      <w:r>
        <w:rPr>
          <w:rFonts w:hint="eastAsia"/>
          <w:color w:val="auto"/>
          <w:lang w:val="en-US" w:eastAsia="zh-CN"/>
        </w:rPr>
        <w:t>1、</w:t>
      </w:r>
      <w:r>
        <w:rPr>
          <w:rFonts w:hint="default"/>
          <w:color w:val="auto"/>
          <w:lang w:val="en-US" w:eastAsia="zh-CN"/>
        </w:rPr>
        <w:t>若学校在采购过程中需要本次采购清单以外的干货调味料，应提前向供应商发出书面采购需求，明确所需物品的品种、规格、数量、质量要求及交货时间等信息。​</w:t>
      </w:r>
    </w:p>
    <w:p w14:paraId="5D7A2B0F">
      <w:pPr>
        <w:pStyle w:val="9"/>
        <w:rPr>
          <w:rFonts w:hint="eastAsia"/>
          <w:color w:val="auto"/>
          <w:lang w:val="en-US" w:eastAsia="zh-CN"/>
        </w:rPr>
      </w:pPr>
      <w:r>
        <w:rPr>
          <w:rFonts w:hint="eastAsia"/>
          <w:color w:val="auto"/>
          <w:lang w:val="en-US" w:eastAsia="zh-CN"/>
        </w:rPr>
        <w:t>2、</w:t>
      </w:r>
      <w:r>
        <w:rPr>
          <w:rFonts w:hint="default"/>
          <w:color w:val="auto"/>
          <w:lang w:val="en-US" w:eastAsia="zh-CN"/>
        </w:rPr>
        <w:t>供应商在收到学校的书面采购需求后，需在 3 个工作日内对该物品进行报价，并提供物品的质量标准、品牌、生产厂家及相关资质证明等资料。报价需包含所有相关费用，为最终结算价格。​</w:t>
      </w:r>
      <w:r>
        <w:rPr>
          <w:rFonts w:hint="eastAsia"/>
          <w:color w:val="auto"/>
          <w:lang w:val="en-US" w:eastAsia="zh-CN"/>
        </w:rPr>
        <w:t xml:space="preserve">  3、</w:t>
      </w:r>
      <w:r>
        <w:rPr>
          <w:rFonts w:hint="default"/>
          <w:color w:val="auto"/>
          <w:lang w:val="en-US" w:eastAsia="zh-CN"/>
        </w:rPr>
        <w:t>学校在收到供应商的报价及相关资料后，在 5 个工作日内进行审核</w:t>
      </w:r>
      <w:r>
        <w:rPr>
          <w:rFonts w:hint="eastAsia"/>
          <w:color w:val="auto"/>
          <w:lang w:val="en-US" w:eastAsia="zh-CN"/>
        </w:rPr>
        <w:t>，审核方式采用询价方式确定</w:t>
      </w:r>
      <w:r>
        <w:rPr>
          <w:rFonts w:hint="default"/>
          <w:color w:val="auto"/>
          <w:lang w:val="en-US" w:eastAsia="zh-CN"/>
        </w:rPr>
        <w:t>。审核通过后，双方以书面形式（如补充订单）确认采购事宜，补充订单与本采购需求及后续签订的合同具有同等法律效力。​</w:t>
      </w:r>
    </w:p>
    <w:p w14:paraId="263BC78C">
      <w:pPr>
        <w:pStyle w:val="9"/>
        <w:rPr>
          <w:rFonts w:hint="default"/>
          <w:color w:val="auto"/>
          <w:lang w:val="en-US" w:eastAsia="zh-CN"/>
        </w:rPr>
      </w:pPr>
      <w:r>
        <w:rPr>
          <w:rFonts w:hint="eastAsia"/>
          <w:color w:val="auto"/>
          <w:lang w:val="en-US" w:eastAsia="zh-CN"/>
        </w:rPr>
        <w:t>4、</w:t>
      </w:r>
      <w:r>
        <w:rPr>
          <w:rFonts w:hint="default"/>
          <w:color w:val="auto"/>
          <w:lang w:val="en-US" w:eastAsia="zh-CN"/>
        </w:rPr>
        <w:t>若供应商无法提供学校所需的未列入清单的干货调味料，应在收到学校书面采购需求后 3 个工作日内书面告知学校，学校可另行选择其他合规供应商进行采购。</w:t>
      </w:r>
    </w:p>
    <w:p w14:paraId="58260349">
      <w:pPr>
        <w:pStyle w:val="9"/>
        <w:rPr>
          <w:rFonts w:hint="eastAsia" w:ascii="宋体" w:hAnsi="宋体" w:eastAsia="宋体"/>
          <w:b/>
          <w:bCs/>
          <w:color w:val="auto"/>
          <w:lang w:val="en-US" w:eastAsia="zh-CN"/>
        </w:rPr>
      </w:pPr>
      <w:r>
        <w:rPr>
          <w:rFonts w:hint="eastAsia"/>
          <w:b/>
          <w:bCs/>
          <w:color w:val="auto"/>
          <w:lang w:val="en-US" w:eastAsia="zh-CN"/>
        </w:rPr>
        <w:t>八</w:t>
      </w:r>
      <w:r>
        <w:rPr>
          <w:rFonts w:hint="eastAsia" w:ascii="宋体" w:hAnsi="宋体" w:eastAsia="宋体"/>
          <w:b/>
          <w:bCs/>
          <w:color w:val="auto"/>
          <w:lang w:val="en-US" w:eastAsia="zh-CN"/>
        </w:rPr>
        <w:t>、其他要求​</w:t>
      </w:r>
    </w:p>
    <w:p w14:paraId="633864FC">
      <w:pPr>
        <w:pStyle w:val="9"/>
        <w:rPr>
          <w:rFonts w:hint="eastAsia"/>
          <w:color w:val="auto"/>
          <w:lang w:val="en-US" w:eastAsia="zh-CN"/>
        </w:rPr>
      </w:pPr>
      <w:r>
        <w:rPr>
          <w:rFonts w:hint="eastAsia"/>
          <w:color w:val="auto"/>
          <w:lang w:val="en-US" w:eastAsia="zh-CN"/>
        </w:rPr>
        <w:t>1、供应商应遵守学校关于食品采购的相关管理制度，配合学校及相关部门的监督检查。​</w:t>
      </w:r>
    </w:p>
    <w:p w14:paraId="7EB2F2B7">
      <w:pPr>
        <w:pStyle w:val="9"/>
        <w:rPr>
          <w:rFonts w:hint="eastAsia"/>
          <w:color w:val="auto"/>
          <w:lang w:val="en-US" w:eastAsia="zh-CN"/>
        </w:rPr>
      </w:pPr>
      <w:r>
        <w:rPr>
          <w:rFonts w:hint="eastAsia"/>
          <w:color w:val="auto"/>
          <w:lang w:val="en-US" w:eastAsia="zh-CN"/>
        </w:rPr>
        <w:t>2、学校有权不定期委托有资质的第三方检测机构对采购的物品进行质量抽检，检测费用由供应商承担。</w:t>
      </w:r>
    </w:p>
    <w:p w14:paraId="06072B33">
      <w:pPr>
        <w:pStyle w:val="9"/>
        <w:rPr>
          <w:rFonts w:hint="default"/>
          <w:b/>
          <w:bCs/>
          <w:color w:val="auto"/>
          <w:lang w:val="en-US" w:eastAsia="zh-CN"/>
        </w:rPr>
      </w:pPr>
      <w:r>
        <w:rPr>
          <w:rFonts w:hint="eastAsia"/>
          <w:b/>
          <w:bCs/>
          <w:color w:val="auto"/>
          <w:lang w:val="en-US" w:eastAsia="zh-CN"/>
        </w:rPr>
        <w:t>特别提示：</w:t>
      </w:r>
    </w:p>
    <w:p w14:paraId="0C9CEC7C">
      <w:pPr>
        <w:pStyle w:val="9"/>
        <w:rPr>
          <w:rFonts w:hint="eastAsia"/>
          <w:color w:val="auto"/>
          <w:lang w:val="en-US" w:eastAsia="zh-CN"/>
        </w:rPr>
      </w:pPr>
      <w:r>
        <w:rPr>
          <w:rFonts w:hint="default" w:ascii="宋体" w:hAnsi="宋体" w:eastAsia="宋体" w:cs="宋体"/>
          <w:color w:val="auto"/>
        </w:rPr>
        <w:t>供应商一旦中选并签订供货合同，供应的食材应符合《食品安全国家标准 餐饮服务通用卫生规范》（GB 31654—2021）、《食品安全国家标准 食品中农药最大残留限量》（GB 2763-2021）等的要求，学校（含教育体育部门、市场监督管理、检验检测部门）将定期不定期对所供食材进行抽检。若抽检结果显示不合格或超标，学校有权终止合同，供应商承担违约责任，若造成学校损失（包括但不限于师生健康损害、医疗费用、学校声誉损失等），学校将保留追究该供应商全部法律责任和经济赔偿责任的权利。</w:t>
      </w:r>
    </w:p>
    <w:p w14:paraId="42C44764">
      <w:pPr>
        <w:pStyle w:val="9"/>
        <w:rPr>
          <w:rFonts w:hint="eastAsia"/>
          <w:color w:val="auto"/>
          <w:lang w:val="en-US" w:eastAsia="zh-CN"/>
        </w:rPr>
      </w:pPr>
    </w:p>
    <w:p w14:paraId="7D13AE24">
      <w:pPr>
        <w:ind w:firstLine="422"/>
        <w:jc w:val="center"/>
        <w:rPr>
          <w:rFonts w:hint="eastAsia" w:ascii="宋体" w:hAnsi="宋体" w:eastAsia="宋体" w:cs="宋体"/>
          <w:b/>
          <w:bCs/>
          <w:color w:val="auto"/>
        </w:rPr>
      </w:pPr>
      <w:r>
        <w:rPr>
          <w:rFonts w:hint="eastAsia" w:cs="宋体"/>
          <w:b/>
          <w:bCs/>
          <w:color w:val="auto"/>
          <w:lang w:val="en-US" w:eastAsia="zh-CN"/>
        </w:rPr>
        <w:t>食用油</w:t>
      </w:r>
      <w:r>
        <w:rPr>
          <w:rFonts w:hint="eastAsia" w:ascii="宋体" w:hAnsi="宋体" w:eastAsia="宋体" w:cs="宋体"/>
          <w:b/>
          <w:bCs/>
          <w:color w:val="auto"/>
        </w:rPr>
        <w:t>配送学校名单</w:t>
      </w:r>
    </w:p>
    <w:p w14:paraId="770C8459">
      <w:pPr>
        <w:ind w:firstLine="422"/>
        <w:rPr>
          <w:rFonts w:hint="eastAsia" w:ascii="宋体" w:hAnsi="宋体" w:eastAsia="宋体" w:cs="宋体"/>
          <w:b/>
          <w:bCs/>
          <w:color w:val="auto"/>
        </w:rPr>
      </w:pPr>
      <w:r>
        <w:rPr>
          <w:rFonts w:hint="eastAsia" w:ascii="宋体" w:hAnsi="宋体" w:eastAsia="宋体" w:cs="宋体"/>
          <w:b/>
          <w:bCs/>
          <w:color w:val="auto"/>
          <w:kern w:val="0"/>
        </w:rPr>
        <w:t>注：配送学校名单以签订合同后采购单位最终确认后出具的配送学校名单为准。</w:t>
      </w:r>
    </w:p>
    <w:tbl>
      <w:tblPr>
        <w:tblStyle w:val="30"/>
        <w:tblpPr w:leftFromText="180" w:rightFromText="180" w:vertAnchor="text" w:horzAnchor="page" w:tblpXSpec="center" w:tblpY="429"/>
        <w:tblOverlap w:val="never"/>
        <w:tblW w:w="11398" w:type="dxa"/>
        <w:jc w:val="center"/>
        <w:tblLayout w:type="fixed"/>
        <w:tblCellMar>
          <w:top w:w="15" w:type="dxa"/>
          <w:left w:w="15" w:type="dxa"/>
          <w:bottom w:w="15" w:type="dxa"/>
          <w:right w:w="15" w:type="dxa"/>
        </w:tblCellMar>
      </w:tblPr>
      <w:tblGrid>
        <w:gridCol w:w="1200"/>
        <w:gridCol w:w="7335"/>
        <w:gridCol w:w="2863"/>
      </w:tblGrid>
      <w:tr w14:paraId="366A57A9">
        <w:tblPrEx>
          <w:tblCellMar>
            <w:top w:w="15" w:type="dxa"/>
            <w:left w:w="15" w:type="dxa"/>
            <w:bottom w:w="15" w:type="dxa"/>
            <w:right w:w="15" w:type="dxa"/>
          </w:tblCellMar>
        </w:tblPrEx>
        <w:trPr>
          <w:trHeight w:val="465" w:hRule="atLeast"/>
          <w:jc w:val="center"/>
        </w:trPr>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3E527A">
            <w:pPr>
              <w:widowControl/>
              <w:spacing w:line="240" w:lineRule="auto"/>
              <w:jc w:val="both"/>
              <w:textAlignment w:val="center"/>
              <w:rPr>
                <w:rFonts w:hint="eastAsia" w:ascii="宋体" w:hAnsi="宋体" w:eastAsia="宋体" w:cs="宋体"/>
                <w:color w:val="auto"/>
              </w:rPr>
            </w:pPr>
            <w:r>
              <w:rPr>
                <w:rFonts w:hint="eastAsia" w:ascii="宋体" w:hAnsi="宋体" w:eastAsia="宋体" w:cs="宋体"/>
                <w:color w:val="auto"/>
                <w:kern w:val="0"/>
                <w:lang w:bidi="ar"/>
              </w:rPr>
              <w:t>序号</w:t>
            </w:r>
          </w:p>
        </w:tc>
        <w:tc>
          <w:tcPr>
            <w:tcW w:w="73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EEEDD0">
            <w:pPr>
              <w:widowControl/>
              <w:spacing w:line="240" w:lineRule="auto"/>
              <w:jc w:val="center"/>
              <w:textAlignment w:val="center"/>
              <w:rPr>
                <w:rFonts w:hint="eastAsia" w:ascii="宋体" w:hAnsi="宋体" w:eastAsia="宋体" w:cs="宋体"/>
                <w:color w:val="auto"/>
              </w:rPr>
            </w:pPr>
            <w:r>
              <w:rPr>
                <w:rFonts w:hint="eastAsia" w:ascii="宋体" w:hAnsi="宋体" w:eastAsia="宋体" w:cs="宋体"/>
                <w:color w:val="auto"/>
                <w:kern w:val="0"/>
                <w:lang w:bidi="ar"/>
              </w:rPr>
              <w:t>学校名称</w:t>
            </w:r>
          </w:p>
        </w:tc>
        <w:tc>
          <w:tcPr>
            <w:tcW w:w="286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25EFB8">
            <w:pPr>
              <w:widowControl/>
              <w:spacing w:line="240" w:lineRule="auto"/>
              <w:jc w:val="center"/>
              <w:textAlignment w:val="center"/>
              <w:rPr>
                <w:rFonts w:hint="eastAsia" w:ascii="宋体" w:hAnsi="宋体" w:eastAsia="宋体" w:cs="宋体"/>
                <w:color w:val="auto"/>
              </w:rPr>
            </w:pPr>
            <w:r>
              <w:rPr>
                <w:rFonts w:hint="eastAsia" w:ascii="宋体" w:hAnsi="宋体" w:eastAsia="宋体" w:cs="宋体"/>
                <w:color w:val="auto"/>
                <w:kern w:val="0"/>
                <w:lang w:bidi="ar"/>
              </w:rPr>
              <w:t>备注</w:t>
            </w:r>
          </w:p>
        </w:tc>
      </w:tr>
      <w:tr w14:paraId="4B1EEBA6">
        <w:tblPrEx>
          <w:tblCellMar>
            <w:top w:w="15" w:type="dxa"/>
            <w:left w:w="15" w:type="dxa"/>
            <w:bottom w:w="15" w:type="dxa"/>
            <w:right w:w="15" w:type="dxa"/>
          </w:tblCellMar>
        </w:tblPrEx>
        <w:trPr>
          <w:trHeight w:val="465" w:hRule="atLeast"/>
          <w:jc w:val="center"/>
        </w:trPr>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B1C4DD">
            <w:pPr>
              <w:spacing w:line="240" w:lineRule="auto"/>
              <w:jc w:val="center"/>
              <w:rPr>
                <w:rFonts w:hint="eastAsia" w:ascii="宋体" w:hAnsi="宋体" w:eastAsia="宋体" w:cs="宋体"/>
                <w:color w:val="auto"/>
              </w:rPr>
            </w:pPr>
          </w:p>
        </w:tc>
        <w:tc>
          <w:tcPr>
            <w:tcW w:w="73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DA1D4A">
            <w:pPr>
              <w:spacing w:line="240" w:lineRule="auto"/>
              <w:jc w:val="center"/>
              <w:rPr>
                <w:rFonts w:hint="eastAsia" w:ascii="宋体" w:hAnsi="宋体" w:eastAsia="宋体" w:cs="宋体"/>
                <w:color w:val="auto"/>
              </w:rPr>
            </w:pPr>
          </w:p>
        </w:tc>
        <w:tc>
          <w:tcPr>
            <w:tcW w:w="28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A272E7">
            <w:pPr>
              <w:spacing w:line="240" w:lineRule="auto"/>
              <w:jc w:val="center"/>
              <w:rPr>
                <w:rFonts w:hint="eastAsia" w:ascii="宋体" w:hAnsi="宋体" w:eastAsia="宋体" w:cs="宋体"/>
                <w:color w:val="auto"/>
              </w:rPr>
            </w:pPr>
          </w:p>
        </w:tc>
      </w:tr>
      <w:tr w14:paraId="159198A9">
        <w:tblPrEx>
          <w:tblCellMar>
            <w:top w:w="15" w:type="dxa"/>
            <w:left w:w="15" w:type="dxa"/>
            <w:bottom w:w="15" w:type="dxa"/>
            <w:right w:w="15" w:type="dxa"/>
          </w:tblCellMar>
        </w:tblPrEx>
        <w:trPr>
          <w:trHeight w:val="540"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7C431013">
            <w:pPr>
              <w:widowControl/>
              <w:spacing w:line="240" w:lineRule="auto"/>
              <w:jc w:val="center"/>
              <w:textAlignment w:val="center"/>
              <w:rPr>
                <w:rFonts w:hint="eastAsia" w:ascii="宋体" w:hAnsi="宋体" w:eastAsia="宋体" w:cs="宋体"/>
                <w:color w:val="auto"/>
              </w:rPr>
            </w:pPr>
            <w:r>
              <w:rPr>
                <w:rFonts w:hint="eastAsia" w:ascii="宋体" w:hAnsi="宋体" w:eastAsia="宋体" w:cs="宋体"/>
                <w:color w:val="auto"/>
                <w:kern w:val="0"/>
                <w:lang w:bidi="ar"/>
              </w:rPr>
              <w:t>合计</w:t>
            </w:r>
          </w:p>
        </w:tc>
        <w:tc>
          <w:tcPr>
            <w:tcW w:w="7335" w:type="dxa"/>
            <w:tcBorders>
              <w:top w:val="single" w:color="000000" w:sz="4" w:space="0"/>
              <w:left w:val="single" w:color="000000" w:sz="4" w:space="0"/>
              <w:bottom w:val="single" w:color="000000" w:sz="4" w:space="0"/>
            </w:tcBorders>
            <w:shd w:val="clear" w:color="auto" w:fill="C0C0C0"/>
            <w:vAlign w:val="center"/>
          </w:tcPr>
          <w:p w14:paraId="33CCA1C3">
            <w:pPr>
              <w:widowControl/>
              <w:spacing w:line="240" w:lineRule="auto"/>
              <w:jc w:val="center"/>
              <w:textAlignment w:val="center"/>
              <w:rPr>
                <w:rFonts w:hint="eastAsia" w:ascii="宋体" w:hAnsi="宋体" w:eastAsia="宋体" w:cs="宋体"/>
                <w:color w:val="auto"/>
              </w:rPr>
            </w:pPr>
            <w:r>
              <w:rPr>
                <w:rFonts w:hint="eastAsia" w:cs="宋体"/>
                <w:color w:val="auto"/>
                <w:kern w:val="0"/>
                <w:lang w:val="en-US" w:eastAsia="zh-CN" w:bidi="ar"/>
              </w:rPr>
              <w:t>24</w:t>
            </w:r>
            <w:r>
              <w:rPr>
                <w:rFonts w:hint="eastAsia" w:ascii="宋体" w:hAnsi="宋体" w:eastAsia="宋体" w:cs="宋体"/>
                <w:color w:val="auto"/>
                <w:lang w:bidi="ar"/>
              </w:rPr>
              <w:t>所</w:t>
            </w:r>
          </w:p>
        </w:tc>
        <w:tc>
          <w:tcPr>
            <w:tcW w:w="2863"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4C668F3B">
            <w:pPr>
              <w:widowControl/>
              <w:spacing w:line="240" w:lineRule="auto"/>
              <w:ind w:firstLine="0" w:firstLineChars="0"/>
              <w:jc w:val="left"/>
              <w:textAlignment w:val="center"/>
              <w:rPr>
                <w:rFonts w:hint="eastAsia" w:ascii="宋体" w:hAnsi="宋体" w:eastAsia="宋体" w:cs="宋体"/>
                <w:color w:val="auto"/>
              </w:rPr>
            </w:pPr>
          </w:p>
        </w:tc>
      </w:tr>
      <w:tr w14:paraId="0DB12FBB">
        <w:tblPrEx>
          <w:tblCellMar>
            <w:top w:w="15" w:type="dxa"/>
            <w:left w:w="15" w:type="dxa"/>
            <w:bottom w:w="15" w:type="dxa"/>
            <w:right w:w="15" w:type="dxa"/>
          </w:tblCellMar>
        </w:tblPrEx>
        <w:trPr>
          <w:trHeight w:val="465"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0D9A5727">
            <w:pPr>
              <w:keepNext w:val="0"/>
              <w:keepLines w:val="0"/>
              <w:widowControl/>
              <w:suppressLineNumbers w:val="0"/>
              <w:ind w:firstLine="480" w:firstLineChars="200"/>
              <w:jc w:val="center"/>
              <w:textAlignment w:val="center"/>
              <w:rPr>
                <w:rFonts w:hint="eastAsia" w:ascii="宋体" w:hAnsi="宋体" w:eastAsia="宋体" w:cs="宋体"/>
                <w:color w:val="auto"/>
              </w:rPr>
            </w:pPr>
            <w:r>
              <w:rPr>
                <w:rFonts w:hint="eastAsia" w:ascii="宋体" w:hAnsi="宋体" w:eastAsia="宋体" w:cs="宋体"/>
                <w:i w:val="0"/>
                <w:iCs w:val="0"/>
                <w:color w:val="auto"/>
                <w:kern w:val="0"/>
                <w:sz w:val="24"/>
                <w:szCs w:val="24"/>
                <w:u w:val="none"/>
                <w:lang w:val="en-US" w:eastAsia="zh-CN" w:bidi="ar"/>
              </w:rPr>
              <w:t>1</w:t>
            </w:r>
          </w:p>
        </w:tc>
        <w:tc>
          <w:tcPr>
            <w:tcW w:w="7335" w:type="dxa"/>
            <w:tcBorders>
              <w:top w:val="single" w:color="000000" w:sz="4" w:space="0"/>
              <w:left w:val="single" w:color="000000" w:sz="4" w:space="0"/>
              <w:bottom w:val="single" w:color="000000" w:sz="4" w:space="0"/>
            </w:tcBorders>
            <w:shd w:val="clear" w:color="auto" w:fill="C0C0C0"/>
            <w:vAlign w:val="center"/>
          </w:tcPr>
          <w:p w14:paraId="750E18C7">
            <w:pPr>
              <w:keepNext w:val="0"/>
              <w:keepLines w:val="0"/>
              <w:widowControl/>
              <w:suppressLineNumbers w:val="0"/>
              <w:ind w:firstLine="480" w:firstLineChars="200"/>
              <w:jc w:val="center"/>
              <w:textAlignment w:val="center"/>
              <w:rPr>
                <w:rFonts w:hint="eastAsia" w:ascii="宋体" w:hAnsi="宋体" w:eastAsia="宋体" w:cs="宋体"/>
                <w:color w:val="auto"/>
              </w:rPr>
            </w:pPr>
            <w:r>
              <w:rPr>
                <w:rFonts w:hint="eastAsia" w:ascii="宋体" w:hAnsi="宋体" w:eastAsia="宋体" w:cs="宋体"/>
                <w:i w:val="0"/>
                <w:iCs w:val="0"/>
                <w:color w:val="auto"/>
                <w:kern w:val="0"/>
                <w:sz w:val="24"/>
                <w:szCs w:val="24"/>
                <w:u w:val="none"/>
                <w:lang w:val="en-US" w:eastAsia="zh-CN" w:bidi="ar"/>
              </w:rPr>
              <w:t>德党镇中心校</w:t>
            </w:r>
          </w:p>
        </w:tc>
        <w:tc>
          <w:tcPr>
            <w:tcW w:w="2863"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38D9918A">
            <w:pPr>
              <w:spacing w:line="240" w:lineRule="auto"/>
              <w:rPr>
                <w:rFonts w:hint="eastAsia" w:ascii="宋体" w:hAnsi="宋体" w:eastAsia="宋体" w:cs="宋体"/>
                <w:color w:val="auto"/>
              </w:rPr>
            </w:pPr>
          </w:p>
        </w:tc>
      </w:tr>
      <w:tr w14:paraId="3DF5D927">
        <w:tblPrEx>
          <w:tblCellMar>
            <w:top w:w="15" w:type="dxa"/>
            <w:left w:w="15" w:type="dxa"/>
            <w:bottom w:w="15" w:type="dxa"/>
            <w:right w:w="15" w:type="dxa"/>
          </w:tblCellMar>
        </w:tblPrEx>
        <w:trPr>
          <w:trHeight w:val="435"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0CF2E">
            <w:pPr>
              <w:keepNext w:val="0"/>
              <w:keepLines w:val="0"/>
              <w:widowControl/>
              <w:suppressLineNumbers w:val="0"/>
              <w:ind w:firstLine="480" w:firstLineChars="200"/>
              <w:jc w:val="center"/>
              <w:textAlignment w:val="center"/>
              <w:rPr>
                <w:rFonts w:hint="eastAsia" w:ascii="宋体" w:hAnsi="宋体" w:eastAsia="宋体" w:cs="宋体"/>
                <w:color w:val="auto"/>
              </w:rPr>
            </w:pPr>
            <w:r>
              <w:rPr>
                <w:rFonts w:hint="eastAsia" w:ascii="宋体" w:hAnsi="宋体" w:eastAsia="宋体" w:cs="宋体"/>
                <w:i w:val="0"/>
                <w:iCs w:val="0"/>
                <w:color w:val="auto"/>
                <w:kern w:val="0"/>
                <w:sz w:val="24"/>
                <w:szCs w:val="24"/>
                <w:u w:val="none"/>
                <w:lang w:val="en-US" w:eastAsia="zh-CN" w:bidi="ar"/>
              </w:rPr>
              <w:t>2</w:t>
            </w:r>
          </w:p>
        </w:tc>
        <w:tc>
          <w:tcPr>
            <w:tcW w:w="7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90509">
            <w:pPr>
              <w:keepNext w:val="0"/>
              <w:keepLines w:val="0"/>
              <w:widowControl/>
              <w:suppressLineNumbers w:val="0"/>
              <w:ind w:firstLine="480" w:firstLineChars="200"/>
              <w:jc w:val="center"/>
              <w:textAlignment w:val="center"/>
              <w:rPr>
                <w:rFonts w:hint="eastAsia" w:ascii="宋体" w:hAnsi="宋体" w:eastAsia="宋体" w:cs="宋体"/>
                <w:color w:val="auto"/>
              </w:rPr>
            </w:pPr>
            <w:r>
              <w:rPr>
                <w:rFonts w:hint="eastAsia" w:ascii="宋体" w:hAnsi="宋体" w:eastAsia="宋体" w:cs="宋体"/>
                <w:i w:val="0"/>
                <w:iCs w:val="0"/>
                <w:color w:val="auto"/>
                <w:kern w:val="0"/>
                <w:sz w:val="24"/>
                <w:szCs w:val="24"/>
                <w:u w:val="none"/>
                <w:lang w:val="en-US" w:eastAsia="zh-CN" w:bidi="ar"/>
              </w:rPr>
              <w:t>永康镇中心校</w:t>
            </w:r>
          </w:p>
        </w:tc>
        <w:tc>
          <w:tcPr>
            <w:tcW w:w="2863" w:type="dxa"/>
            <w:tcBorders>
              <w:left w:val="single" w:color="000000" w:sz="4" w:space="0"/>
              <w:bottom w:val="single" w:color="000000" w:sz="4" w:space="0"/>
              <w:right w:val="single" w:color="000000" w:sz="4" w:space="0"/>
            </w:tcBorders>
            <w:shd w:val="clear" w:color="auto" w:fill="auto"/>
            <w:vAlign w:val="center"/>
          </w:tcPr>
          <w:p w14:paraId="7A62DE44">
            <w:pPr>
              <w:spacing w:line="240" w:lineRule="auto"/>
              <w:jc w:val="center"/>
              <w:rPr>
                <w:rFonts w:hint="eastAsia" w:ascii="宋体" w:hAnsi="宋体" w:eastAsia="宋体" w:cs="宋体"/>
                <w:color w:val="auto"/>
              </w:rPr>
            </w:pPr>
          </w:p>
        </w:tc>
      </w:tr>
      <w:tr w14:paraId="7AA5A760">
        <w:tblPrEx>
          <w:tblCellMar>
            <w:top w:w="15" w:type="dxa"/>
            <w:left w:w="15" w:type="dxa"/>
            <w:bottom w:w="15" w:type="dxa"/>
            <w:right w:w="15" w:type="dxa"/>
          </w:tblCellMar>
        </w:tblPrEx>
        <w:trPr>
          <w:trHeight w:val="435"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89027">
            <w:pPr>
              <w:keepNext w:val="0"/>
              <w:keepLines w:val="0"/>
              <w:widowControl/>
              <w:suppressLineNumbers w:val="0"/>
              <w:ind w:firstLine="480" w:firstLineChars="200"/>
              <w:jc w:val="center"/>
              <w:textAlignment w:val="center"/>
              <w:rPr>
                <w:rFonts w:hint="eastAsia" w:ascii="宋体" w:hAnsi="宋体" w:eastAsia="宋体" w:cs="宋体"/>
                <w:color w:val="auto"/>
              </w:rPr>
            </w:pPr>
            <w:r>
              <w:rPr>
                <w:rFonts w:hint="eastAsia" w:ascii="宋体" w:hAnsi="宋体" w:eastAsia="宋体" w:cs="宋体"/>
                <w:i w:val="0"/>
                <w:iCs w:val="0"/>
                <w:color w:val="auto"/>
                <w:kern w:val="0"/>
                <w:sz w:val="24"/>
                <w:szCs w:val="24"/>
                <w:u w:val="none"/>
                <w:lang w:val="en-US" w:eastAsia="zh-CN" w:bidi="ar"/>
              </w:rPr>
              <w:t>3</w:t>
            </w:r>
          </w:p>
        </w:tc>
        <w:tc>
          <w:tcPr>
            <w:tcW w:w="7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ED99F">
            <w:pPr>
              <w:keepNext w:val="0"/>
              <w:keepLines w:val="0"/>
              <w:widowControl/>
              <w:suppressLineNumbers w:val="0"/>
              <w:ind w:firstLine="480" w:firstLineChars="200"/>
              <w:jc w:val="center"/>
              <w:textAlignment w:val="center"/>
              <w:rPr>
                <w:rFonts w:hint="eastAsia" w:ascii="宋体" w:hAnsi="宋体" w:eastAsia="宋体" w:cs="宋体"/>
                <w:color w:val="auto"/>
              </w:rPr>
            </w:pPr>
            <w:r>
              <w:rPr>
                <w:rFonts w:hint="eastAsia" w:ascii="宋体" w:hAnsi="宋体" w:eastAsia="宋体" w:cs="宋体"/>
                <w:i w:val="0"/>
                <w:iCs w:val="0"/>
                <w:color w:val="auto"/>
                <w:kern w:val="0"/>
                <w:sz w:val="24"/>
                <w:szCs w:val="24"/>
                <w:u w:val="none"/>
                <w:lang w:val="en-US" w:eastAsia="zh-CN" w:bidi="ar"/>
              </w:rPr>
              <w:t>小勐统镇中心校</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F7E1A">
            <w:pPr>
              <w:spacing w:line="240" w:lineRule="auto"/>
              <w:jc w:val="center"/>
              <w:rPr>
                <w:rFonts w:hint="eastAsia" w:ascii="宋体" w:hAnsi="宋体" w:eastAsia="宋体" w:cs="宋体"/>
                <w:color w:val="auto"/>
              </w:rPr>
            </w:pPr>
          </w:p>
        </w:tc>
      </w:tr>
      <w:tr w14:paraId="3C74517C">
        <w:tblPrEx>
          <w:tblCellMar>
            <w:top w:w="15" w:type="dxa"/>
            <w:left w:w="15" w:type="dxa"/>
            <w:bottom w:w="15" w:type="dxa"/>
            <w:right w:w="15" w:type="dxa"/>
          </w:tblCellMar>
        </w:tblPrEx>
        <w:trPr>
          <w:trHeight w:val="435"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2F880">
            <w:pPr>
              <w:keepNext w:val="0"/>
              <w:keepLines w:val="0"/>
              <w:widowControl/>
              <w:suppressLineNumbers w:val="0"/>
              <w:ind w:firstLine="480" w:firstLineChars="200"/>
              <w:jc w:val="center"/>
              <w:textAlignment w:val="center"/>
              <w:rPr>
                <w:rFonts w:hint="eastAsia" w:ascii="宋体" w:hAnsi="宋体" w:eastAsia="宋体" w:cs="宋体"/>
                <w:color w:val="auto"/>
              </w:rPr>
            </w:pPr>
            <w:r>
              <w:rPr>
                <w:rFonts w:hint="eastAsia" w:ascii="宋体" w:hAnsi="宋体" w:eastAsia="宋体" w:cs="宋体"/>
                <w:i w:val="0"/>
                <w:iCs w:val="0"/>
                <w:color w:val="auto"/>
                <w:kern w:val="0"/>
                <w:sz w:val="24"/>
                <w:szCs w:val="24"/>
                <w:u w:val="none"/>
                <w:lang w:val="en-US" w:eastAsia="zh-CN" w:bidi="ar"/>
              </w:rPr>
              <w:t>4</w:t>
            </w:r>
          </w:p>
        </w:tc>
        <w:tc>
          <w:tcPr>
            <w:tcW w:w="7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40C42">
            <w:pPr>
              <w:keepNext w:val="0"/>
              <w:keepLines w:val="0"/>
              <w:widowControl/>
              <w:suppressLineNumbers w:val="0"/>
              <w:ind w:firstLine="480" w:firstLineChars="200"/>
              <w:jc w:val="center"/>
              <w:textAlignment w:val="center"/>
              <w:rPr>
                <w:rFonts w:hint="eastAsia" w:ascii="宋体" w:hAnsi="宋体" w:eastAsia="宋体" w:cs="宋体"/>
                <w:color w:val="auto"/>
              </w:rPr>
            </w:pPr>
            <w:r>
              <w:rPr>
                <w:rFonts w:hint="eastAsia" w:ascii="宋体" w:hAnsi="宋体" w:eastAsia="宋体" w:cs="宋体"/>
                <w:i w:val="0"/>
                <w:iCs w:val="0"/>
                <w:color w:val="auto"/>
                <w:kern w:val="0"/>
                <w:sz w:val="24"/>
                <w:szCs w:val="24"/>
                <w:u w:val="none"/>
                <w:lang w:val="en-US" w:eastAsia="zh-CN" w:bidi="ar"/>
              </w:rPr>
              <w:t>大山中心校</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71DF1">
            <w:pPr>
              <w:spacing w:line="240" w:lineRule="auto"/>
              <w:jc w:val="center"/>
              <w:rPr>
                <w:rFonts w:hint="eastAsia" w:ascii="宋体" w:hAnsi="宋体" w:eastAsia="宋体" w:cs="宋体"/>
                <w:color w:val="auto"/>
              </w:rPr>
            </w:pPr>
          </w:p>
        </w:tc>
      </w:tr>
      <w:tr w14:paraId="444AB759">
        <w:tblPrEx>
          <w:tblCellMar>
            <w:top w:w="15" w:type="dxa"/>
            <w:left w:w="15" w:type="dxa"/>
            <w:bottom w:w="15" w:type="dxa"/>
            <w:right w:w="15" w:type="dxa"/>
          </w:tblCellMar>
        </w:tblPrEx>
        <w:trPr>
          <w:trHeight w:val="435"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6DEF5">
            <w:pPr>
              <w:keepNext w:val="0"/>
              <w:keepLines w:val="0"/>
              <w:widowControl/>
              <w:suppressLineNumbers w:val="0"/>
              <w:ind w:firstLine="480" w:firstLineChars="200"/>
              <w:jc w:val="center"/>
              <w:textAlignment w:val="center"/>
              <w:rPr>
                <w:rFonts w:hint="eastAsia" w:ascii="宋体" w:hAnsi="宋体" w:eastAsia="宋体" w:cs="宋体"/>
                <w:color w:val="auto"/>
              </w:rPr>
            </w:pPr>
            <w:r>
              <w:rPr>
                <w:rFonts w:hint="eastAsia" w:ascii="宋体" w:hAnsi="宋体" w:eastAsia="宋体" w:cs="宋体"/>
                <w:i w:val="0"/>
                <w:iCs w:val="0"/>
                <w:color w:val="auto"/>
                <w:kern w:val="0"/>
                <w:sz w:val="24"/>
                <w:szCs w:val="24"/>
                <w:u w:val="none"/>
                <w:lang w:val="en-US" w:eastAsia="zh-CN" w:bidi="ar"/>
              </w:rPr>
              <w:t>5</w:t>
            </w:r>
          </w:p>
        </w:tc>
        <w:tc>
          <w:tcPr>
            <w:tcW w:w="7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43FD5">
            <w:pPr>
              <w:keepNext w:val="0"/>
              <w:keepLines w:val="0"/>
              <w:widowControl/>
              <w:suppressLineNumbers w:val="0"/>
              <w:ind w:firstLine="480" w:firstLineChars="200"/>
              <w:jc w:val="center"/>
              <w:textAlignment w:val="center"/>
              <w:rPr>
                <w:rFonts w:hint="eastAsia" w:ascii="宋体" w:hAnsi="宋体" w:eastAsia="宋体" w:cs="宋体"/>
                <w:color w:val="auto"/>
              </w:rPr>
            </w:pPr>
            <w:r>
              <w:rPr>
                <w:rFonts w:hint="eastAsia" w:ascii="宋体" w:hAnsi="宋体" w:eastAsia="宋体" w:cs="宋体"/>
                <w:i w:val="0"/>
                <w:iCs w:val="0"/>
                <w:color w:val="auto"/>
                <w:kern w:val="0"/>
                <w:sz w:val="24"/>
                <w:szCs w:val="24"/>
                <w:u w:val="none"/>
                <w:lang w:val="en-US" w:eastAsia="zh-CN" w:bidi="ar"/>
              </w:rPr>
              <w:t>崇岗中心校</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1BE9E">
            <w:pPr>
              <w:spacing w:line="240" w:lineRule="auto"/>
              <w:jc w:val="center"/>
              <w:rPr>
                <w:rFonts w:hint="eastAsia" w:ascii="宋体" w:hAnsi="宋体" w:eastAsia="宋体" w:cs="宋体"/>
                <w:color w:val="auto"/>
              </w:rPr>
            </w:pPr>
          </w:p>
        </w:tc>
      </w:tr>
      <w:tr w14:paraId="6E8A5193">
        <w:tblPrEx>
          <w:tblCellMar>
            <w:top w:w="15" w:type="dxa"/>
            <w:left w:w="15" w:type="dxa"/>
            <w:bottom w:w="15" w:type="dxa"/>
            <w:right w:w="15" w:type="dxa"/>
          </w:tblCellMar>
        </w:tblPrEx>
        <w:trPr>
          <w:trHeight w:val="435"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8A63B">
            <w:pPr>
              <w:keepNext w:val="0"/>
              <w:keepLines w:val="0"/>
              <w:widowControl/>
              <w:suppressLineNumbers w:val="0"/>
              <w:ind w:firstLine="480" w:firstLineChars="200"/>
              <w:jc w:val="center"/>
              <w:textAlignment w:val="center"/>
              <w:rPr>
                <w:rFonts w:hint="eastAsia" w:ascii="宋体" w:hAnsi="宋体" w:eastAsia="宋体" w:cs="宋体"/>
                <w:color w:val="auto"/>
              </w:rPr>
            </w:pPr>
            <w:r>
              <w:rPr>
                <w:rFonts w:hint="eastAsia" w:ascii="宋体" w:hAnsi="宋体" w:eastAsia="宋体" w:cs="宋体"/>
                <w:i w:val="0"/>
                <w:iCs w:val="0"/>
                <w:color w:val="auto"/>
                <w:kern w:val="0"/>
                <w:sz w:val="24"/>
                <w:szCs w:val="24"/>
                <w:u w:val="none"/>
                <w:lang w:val="en-US" w:eastAsia="zh-CN" w:bidi="ar"/>
              </w:rPr>
              <w:t>6</w:t>
            </w:r>
          </w:p>
        </w:tc>
        <w:tc>
          <w:tcPr>
            <w:tcW w:w="7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DD132">
            <w:pPr>
              <w:keepNext w:val="0"/>
              <w:keepLines w:val="0"/>
              <w:widowControl/>
              <w:suppressLineNumbers w:val="0"/>
              <w:ind w:firstLine="480" w:firstLineChars="200"/>
              <w:jc w:val="center"/>
              <w:textAlignment w:val="center"/>
              <w:rPr>
                <w:rFonts w:hint="eastAsia" w:ascii="宋体" w:hAnsi="宋体" w:eastAsia="宋体" w:cs="宋体"/>
                <w:color w:val="auto"/>
              </w:rPr>
            </w:pPr>
            <w:r>
              <w:rPr>
                <w:rFonts w:hint="eastAsia" w:ascii="宋体" w:hAnsi="宋体" w:eastAsia="宋体" w:cs="宋体"/>
                <w:i w:val="0"/>
                <w:iCs w:val="0"/>
                <w:color w:val="auto"/>
                <w:kern w:val="0"/>
                <w:sz w:val="24"/>
                <w:szCs w:val="24"/>
                <w:u w:val="none"/>
                <w:lang w:val="en-US" w:eastAsia="zh-CN" w:bidi="ar"/>
              </w:rPr>
              <w:t>大雪山中心校</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F21A3">
            <w:pPr>
              <w:spacing w:line="240" w:lineRule="auto"/>
              <w:jc w:val="center"/>
              <w:rPr>
                <w:rFonts w:hint="eastAsia" w:ascii="宋体" w:hAnsi="宋体" w:eastAsia="宋体" w:cs="宋体"/>
                <w:color w:val="auto"/>
              </w:rPr>
            </w:pPr>
          </w:p>
        </w:tc>
      </w:tr>
      <w:tr w14:paraId="44193222">
        <w:tblPrEx>
          <w:tblCellMar>
            <w:top w:w="15" w:type="dxa"/>
            <w:left w:w="15" w:type="dxa"/>
            <w:bottom w:w="15" w:type="dxa"/>
            <w:right w:w="15" w:type="dxa"/>
          </w:tblCellMar>
        </w:tblPrEx>
        <w:trPr>
          <w:trHeight w:val="435"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87760">
            <w:pPr>
              <w:keepNext w:val="0"/>
              <w:keepLines w:val="0"/>
              <w:widowControl/>
              <w:suppressLineNumbers w:val="0"/>
              <w:ind w:firstLine="480" w:firstLineChars="200"/>
              <w:jc w:val="center"/>
              <w:textAlignment w:val="center"/>
              <w:rPr>
                <w:rFonts w:hint="eastAsia" w:ascii="宋体" w:hAnsi="宋体" w:eastAsia="宋体" w:cs="宋体"/>
                <w:color w:val="auto"/>
              </w:rPr>
            </w:pPr>
            <w:r>
              <w:rPr>
                <w:rFonts w:hint="eastAsia" w:ascii="宋体" w:hAnsi="宋体" w:eastAsia="宋体" w:cs="宋体"/>
                <w:i w:val="0"/>
                <w:iCs w:val="0"/>
                <w:color w:val="auto"/>
                <w:kern w:val="0"/>
                <w:sz w:val="24"/>
                <w:szCs w:val="24"/>
                <w:u w:val="none"/>
                <w:lang w:val="en-US" w:eastAsia="zh-CN" w:bidi="ar"/>
              </w:rPr>
              <w:t>7</w:t>
            </w:r>
          </w:p>
        </w:tc>
        <w:tc>
          <w:tcPr>
            <w:tcW w:w="7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88B33">
            <w:pPr>
              <w:keepNext w:val="0"/>
              <w:keepLines w:val="0"/>
              <w:widowControl/>
              <w:suppressLineNumbers w:val="0"/>
              <w:ind w:firstLine="480" w:firstLineChars="200"/>
              <w:jc w:val="center"/>
              <w:textAlignment w:val="center"/>
              <w:rPr>
                <w:rFonts w:hint="eastAsia" w:ascii="宋体" w:hAnsi="宋体" w:eastAsia="宋体" w:cs="宋体"/>
                <w:color w:val="auto"/>
              </w:rPr>
            </w:pPr>
            <w:r>
              <w:rPr>
                <w:rFonts w:hint="eastAsia" w:ascii="宋体" w:hAnsi="宋体" w:eastAsia="宋体" w:cs="宋体"/>
                <w:i w:val="0"/>
                <w:iCs w:val="0"/>
                <w:color w:val="auto"/>
                <w:kern w:val="0"/>
                <w:sz w:val="24"/>
                <w:szCs w:val="24"/>
                <w:u w:val="none"/>
                <w:lang w:val="en-US" w:eastAsia="zh-CN" w:bidi="ar"/>
              </w:rPr>
              <w:t>亚练中心校</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0D788">
            <w:pPr>
              <w:spacing w:line="240" w:lineRule="auto"/>
              <w:jc w:val="center"/>
              <w:rPr>
                <w:rFonts w:hint="eastAsia" w:ascii="宋体" w:hAnsi="宋体" w:eastAsia="宋体" w:cs="宋体"/>
                <w:color w:val="auto"/>
              </w:rPr>
            </w:pPr>
          </w:p>
        </w:tc>
      </w:tr>
      <w:tr w14:paraId="33C5BF9A">
        <w:tblPrEx>
          <w:tblCellMar>
            <w:top w:w="15" w:type="dxa"/>
            <w:left w:w="15" w:type="dxa"/>
            <w:bottom w:w="15" w:type="dxa"/>
            <w:right w:w="15" w:type="dxa"/>
          </w:tblCellMar>
        </w:tblPrEx>
        <w:trPr>
          <w:trHeight w:val="435"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515E6">
            <w:pPr>
              <w:keepNext w:val="0"/>
              <w:keepLines w:val="0"/>
              <w:widowControl/>
              <w:suppressLineNumbers w:val="0"/>
              <w:ind w:firstLine="480" w:firstLineChars="200"/>
              <w:jc w:val="center"/>
              <w:textAlignment w:val="center"/>
              <w:rPr>
                <w:rFonts w:hint="eastAsia" w:ascii="宋体" w:hAnsi="宋体" w:eastAsia="宋体" w:cs="宋体"/>
                <w:color w:val="auto"/>
              </w:rPr>
            </w:pPr>
            <w:r>
              <w:rPr>
                <w:rFonts w:hint="eastAsia" w:ascii="宋体" w:hAnsi="宋体" w:eastAsia="宋体" w:cs="宋体"/>
                <w:i w:val="0"/>
                <w:iCs w:val="0"/>
                <w:color w:val="auto"/>
                <w:kern w:val="0"/>
                <w:sz w:val="24"/>
                <w:szCs w:val="24"/>
                <w:u w:val="none"/>
                <w:lang w:val="en-US" w:eastAsia="zh-CN" w:bidi="ar"/>
              </w:rPr>
              <w:t>8</w:t>
            </w:r>
          </w:p>
        </w:tc>
        <w:tc>
          <w:tcPr>
            <w:tcW w:w="7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5E055">
            <w:pPr>
              <w:keepNext w:val="0"/>
              <w:keepLines w:val="0"/>
              <w:widowControl/>
              <w:suppressLineNumbers w:val="0"/>
              <w:ind w:firstLine="480" w:firstLineChars="200"/>
              <w:jc w:val="center"/>
              <w:textAlignment w:val="center"/>
              <w:rPr>
                <w:rFonts w:hint="eastAsia" w:ascii="宋体" w:hAnsi="宋体" w:eastAsia="宋体" w:cs="宋体"/>
                <w:color w:val="auto"/>
              </w:rPr>
            </w:pPr>
            <w:r>
              <w:rPr>
                <w:rFonts w:hint="eastAsia" w:ascii="宋体" w:hAnsi="宋体" w:eastAsia="宋体" w:cs="宋体"/>
                <w:i w:val="0"/>
                <w:iCs w:val="0"/>
                <w:color w:val="auto"/>
                <w:kern w:val="0"/>
                <w:sz w:val="24"/>
                <w:szCs w:val="24"/>
                <w:u w:val="none"/>
                <w:lang w:val="en-US" w:eastAsia="zh-CN" w:bidi="ar"/>
              </w:rPr>
              <w:t>班卡中心校</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C1D89">
            <w:pPr>
              <w:spacing w:line="240" w:lineRule="auto"/>
              <w:jc w:val="center"/>
              <w:rPr>
                <w:rFonts w:hint="eastAsia" w:ascii="宋体" w:hAnsi="宋体" w:eastAsia="宋体" w:cs="宋体"/>
                <w:color w:val="auto"/>
              </w:rPr>
            </w:pPr>
          </w:p>
        </w:tc>
      </w:tr>
      <w:tr w14:paraId="6B2AB667">
        <w:tblPrEx>
          <w:tblCellMar>
            <w:top w:w="15" w:type="dxa"/>
            <w:left w:w="15" w:type="dxa"/>
            <w:bottom w:w="15" w:type="dxa"/>
            <w:right w:w="15" w:type="dxa"/>
          </w:tblCellMar>
        </w:tblPrEx>
        <w:trPr>
          <w:trHeight w:val="435"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43E94">
            <w:pPr>
              <w:keepNext w:val="0"/>
              <w:keepLines w:val="0"/>
              <w:widowControl/>
              <w:suppressLineNumbers w:val="0"/>
              <w:ind w:firstLine="480" w:firstLineChars="200"/>
              <w:jc w:val="center"/>
              <w:textAlignment w:val="center"/>
              <w:rPr>
                <w:rFonts w:hint="eastAsia" w:ascii="宋体" w:hAnsi="宋体" w:eastAsia="宋体" w:cs="宋体"/>
                <w:color w:val="auto"/>
              </w:rPr>
            </w:pPr>
            <w:r>
              <w:rPr>
                <w:rFonts w:hint="eastAsia" w:ascii="宋体" w:hAnsi="宋体" w:eastAsia="宋体" w:cs="宋体"/>
                <w:i w:val="0"/>
                <w:iCs w:val="0"/>
                <w:color w:val="auto"/>
                <w:kern w:val="0"/>
                <w:sz w:val="24"/>
                <w:szCs w:val="24"/>
                <w:u w:val="none"/>
                <w:lang w:val="en-US" w:eastAsia="zh-CN" w:bidi="ar"/>
              </w:rPr>
              <w:t>9</w:t>
            </w:r>
          </w:p>
        </w:tc>
        <w:tc>
          <w:tcPr>
            <w:tcW w:w="7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1801D">
            <w:pPr>
              <w:keepNext w:val="0"/>
              <w:keepLines w:val="0"/>
              <w:widowControl/>
              <w:suppressLineNumbers w:val="0"/>
              <w:ind w:firstLine="480" w:firstLineChars="200"/>
              <w:jc w:val="center"/>
              <w:textAlignment w:val="center"/>
              <w:rPr>
                <w:rFonts w:hint="eastAsia" w:ascii="宋体" w:hAnsi="宋体" w:eastAsia="宋体" w:cs="宋体"/>
                <w:color w:val="auto"/>
              </w:rPr>
            </w:pPr>
            <w:r>
              <w:rPr>
                <w:rFonts w:hint="eastAsia" w:ascii="宋体" w:hAnsi="宋体" w:eastAsia="宋体" w:cs="宋体"/>
                <w:i w:val="0"/>
                <w:iCs w:val="0"/>
                <w:color w:val="auto"/>
                <w:kern w:val="0"/>
                <w:sz w:val="24"/>
                <w:szCs w:val="24"/>
                <w:u w:val="none"/>
                <w:lang w:val="en-US" w:eastAsia="zh-CN" w:bidi="ar"/>
              </w:rPr>
              <w:t>乌木龙中心校</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CDC42">
            <w:pPr>
              <w:spacing w:line="240" w:lineRule="auto"/>
              <w:jc w:val="center"/>
              <w:rPr>
                <w:rFonts w:hint="eastAsia" w:ascii="宋体" w:hAnsi="宋体" w:eastAsia="宋体" w:cs="宋体"/>
                <w:color w:val="auto"/>
              </w:rPr>
            </w:pPr>
          </w:p>
        </w:tc>
      </w:tr>
      <w:tr w14:paraId="3936331A">
        <w:tblPrEx>
          <w:tblCellMar>
            <w:top w:w="15" w:type="dxa"/>
            <w:left w:w="15" w:type="dxa"/>
            <w:bottom w:w="15" w:type="dxa"/>
            <w:right w:w="15" w:type="dxa"/>
          </w:tblCellMar>
        </w:tblPrEx>
        <w:trPr>
          <w:trHeight w:val="435"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BADD3">
            <w:pPr>
              <w:keepNext w:val="0"/>
              <w:keepLines w:val="0"/>
              <w:widowControl/>
              <w:suppressLineNumbers w:val="0"/>
              <w:ind w:firstLine="480" w:firstLineChars="200"/>
              <w:jc w:val="center"/>
              <w:textAlignment w:val="center"/>
              <w:rPr>
                <w:rFonts w:hint="eastAsia"/>
                <w:color w:val="auto"/>
              </w:rPr>
            </w:pPr>
            <w:r>
              <w:rPr>
                <w:rFonts w:hint="eastAsia" w:ascii="宋体" w:hAnsi="宋体" w:eastAsia="宋体" w:cs="宋体"/>
                <w:i w:val="0"/>
                <w:iCs w:val="0"/>
                <w:color w:val="auto"/>
                <w:kern w:val="0"/>
                <w:sz w:val="24"/>
                <w:szCs w:val="24"/>
                <w:u w:val="none"/>
                <w:lang w:val="en-US" w:eastAsia="zh-CN" w:bidi="ar"/>
              </w:rPr>
              <w:t>10</w:t>
            </w:r>
          </w:p>
        </w:tc>
        <w:tc>
          <w:tcPr>
            <w:tcW w:w="7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7ACC1">
            <w:pPr>
              <w:keepNext w:val="0"/>
              <w:keepLines w:val="0"/>
              <w:widowControl/>
              <w:suppressLineNumbers w:val="0"/>
              <w:ind w:firstLine="480" w:firstLineChars="200"/>
              <w:jc w:val="center"/>
              <w:textAlignment w:val="center"/>
              <w:rPr>
                <w:rFonts w:hint="eastAsia" w:ascii="宋体" w:hAnsi="宋体" w:eastAsia="宋体" w:cs="宋体"/>
                <w:color w:val="auto"/>
              </w:rPr>
            </w:pPr>
            <w:r>
              <w:rPr>
                <w:rFonts w:hint="eastAsia" w:ascii="宋体" w:hAnsi="宋体" w:eastAsia="宋体" w:cs="宋体"/>
                <w:i w:val="0"/>
                <w:iCs w:val="0"/>
                <w:color w:val="auto"/>
                <w:kern w:val="0"/>
                <w:sz w:val="24"/>
                <w:szCs w:val="24"/>
                <w:u w:val="none"/>
                <w:lang w:val="en-US" w:eastAsia="zh-CN" w:bidi="ar"/>
              </w:rPr>
              <w:t>勐板中心校</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B367D">
            <w:pPr>
              <w:spacing w:line="240" w:lineRule="auto"/>
              <w:jc w:val="center"/>
              <w:rPr>
                <w:rFonts w:hint="eastAsia" w:ascii="宋体" w:hAnsi="宋体" w:eastAsia="宋体" w:cs="宋体"/>
                <w:color w:val="auto"/>
              </w:rPr>
            </w:pPr>
          </w:p>
        </w:tc>
      </w:tr>
      <w:tr w14:paraId="390EE3EC">
        <w:tblPrEx>
          <w:tblCellMar>
            <w:top w:w="15" w:type="dxa"/>
            <w:left w:w="15" w:type="dxa"/>
            <w:bottom w:w="15" w:type="dxa"/>
            <w:right w:w="15" w:type="dxa"/>
          </w:tblCellMar>
        </w:tblPrEx>
        <w:trPr>
          <w:trHeight w:val="435"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DC19A">
            <w:pPr>
              <w:keepNext w:val="0"/>
              <w:keepLines w:val="0"/>
              <w:widowControl/>
              <w:suppressLineNumbers w:val="0"/>
              <w:ind w:firstLine="480" w:firstLineChars="200"/>
              <w:jc w:val="center"/>
              <w:textAlignment w:val="center"/>
              <w:rPr>
                <w:rFonts w:hint="eastAsia"/>
                <w:color w:val="auto"/>
              </w:rPr>
            </w:pPr>
            <w:r>
              <w:rPr>
                <w:rFonts w:hint="eastAsia" w:ascii="宋体" w:hAnsi="宋体" w:eastAsia="宋体" w:cs="宋体"/>
                <w:i w:val="0"/>
                <w:iCs w:val="0"/>
                <w:color w:val="auto"/>
                <w:kern w:val="0"/>
                <w:sz w:val="24"/>
                <w:szCs w:val="24"/>
                <w:u w:val="none"/>
                <w:lang w:val="en-US" w:eastAsia="zh-CN" w:bidi="ar"/>
              </w:rPr>
              <w:t>11</w:t>
            </w:r>
          </w:p>
        </w:tc>
        <w:tc>
          <w:tcPr>
            <w:tcW w:w="7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7C5B2">
            <w:pPr>
              <w:keepNext w:val="0"/>
              <w:keepLines w:val="0"/>
              <w:widowControl/>
              <w:suppressLineNumbers w:val="0"/>
              <w:ind w:firstLine="480" w:firstLineChars="20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勐汞中学</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A0240">
            <w:pPr>
              <w:spacing w:line="240" w:lineRule="auto"/>
              <w:jc w:val="center"/>
              <w:rPr>
                <w:rFonts w:hint="eastAsia" w:ascii="宋体" w:hAnsi="宋体" w:eastAsia="宋体" w:cs="宋体"/>
                <w:color w:val="auto"/>
              </w:rPr>
            </w:pPr>
          </w:p>
        </w:tc>
      </w:tr>
      <w:tr w14:paraId="0F902C9B">
        <w:tblPrEx>
          <w:tblCellMar>
            <w:top w:w="15" w:type="dxa"/>
            <w:left w:w="15" w:type="dxa"/>
            <w:bottom w:w="15" w:type="dxa"/>
            <w:right w:w="15" w:type="dxa"/>
          </w:tblCellMar>
        </w:tblPrEx>
        <w:trPr>
          <w:trHeight w:val="435"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872D2">
            <w:pPr>
              <w:keepNext w:val="0"/>
              <w:keepLines w:val="0"/>
              <w:widowControl/>
              <w:suppressLineNumbers w:val="0"/>
              <w:ind w:firstLine="480" w:firstLineChars="200"/>
              <w:jc w:val="center"/>
              <w:textAlignment w:val="center"/>
              <w:rPr>
                <w:rFonts w:hint="eastAsia"/>
                <w:color w:val="auto"/>
              </w:rPr>
            </w:pPr>
            <w:r>
              <w:rPr>
                <w:rFonts w:hint="eastAsia" w:ascii="宋体" w:hAnsi="宋体" w:eastAsia="宋体" w:cs="宋体"/>
                <w:i w:val="0"/>
                <w:iCs w:val="0"/>
                <w:color w:val="auto"/>
                <w:kern w:val="0"/>
                <w:sz w:val="24"/>
                <w:szCs w:val="24"/>
                <w:u w:val="none"/>
                <w:lang w:val="en-US" w:eastAsia="zh-CN" w:bidi="ar"/>
              </w:rPr>
              <w:t>12</w:t>
            </w:r>
          </w:p>
        </w:tc>
        <w:tc>
          <w:tcPr>
            <w:tcW w:w="7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6891D">
            <w:pPr>
              <w:keepNext w:val="0"/>
              <w:keepLines w:val="0"/>
              <w:widowControl/>
              <w:suppressLineNumbers w:val="0"/>
              <w:ind w:firstLine="480" w:firstLineChars="20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明朗中学</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FD590">
            <w:pPr>
              <w:spacing w:line="240" w:lineRule="auto"/>
              <w:jc w:val="center"/>
              <w:rPr>
                <w:rFonts w:hint="eastAsia" w:ascii="宋体" w:hAnsi="宋体" w:eastAsia="宋体" w:cs="宋体"/>
                <w:color w:val="auto"/>
              </w:rPr>
            </w:pPr>
          </w:p>
        </w:tc>
      </w:tr>
      <w:tr w14:paraId="2BBF143F">
        <w:tblPrEx>
          <w:tblCellMar>
            <w:top w:w="15" w:type="dxa"/>
            <w:left w:w="15" w:type="dxa"/>
            <w:bottom w:w="15" w:type="dxa"/>
            <w:right w:w="15" w:type="dxa"/>
          </w:tblCellMar>
        </w:tblPrEx>
        <w:trPr>
          <w:trHeight w:val="435"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18C15">
            <w:pPr>
              <w:keepNext w:val="0"/>
              <w:keepLines w:val="0"/>
              <w:widowControl/>
              <w:suppressLineNumbers w:val="0"/>
              <w:ind w:firstLine="480" w:firstLineChars="200"/>
              <w:jc w:val="center"/>
              <w:textAlignment w:val="center"/>
              <w:rPr>
                <w:rFonts w:hint="eastAsia"/>
                <w:color w:val="auto"/>
              </w:rPr>
            </w:pPr>
            <w:r>
              <w:rPr>
                <w:rFonts w:hint="eastAsia" w:ascii="宋体" w:hAnsi="宋体" w:eastAsia="宋体" w:cs="宋体"/>
                <w:i w:val="0"/>
                <w:iCs w:val="0"/>
                <w:color w:val="auto"/>
                <w:kern w:val="0"/>
                <w:sz w:val="24"/>
                <w:szCs w:val="24"/>
                <w:u w:val="none"/>
                <w:lang w:val="en-US" w:eastAsia="zh-CN" w:bidi="ar"/>
              </w:rPr>
              <w:t>13</w:t>
            </w:r>
          </w:p>
        </w:tc>
        <w:tc>
          <w:tcPr>
            <w:tcW w:w="7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68EEB">
            <w:pPr>
              <w:keepNext w:val="0"/>
              <w:keepLines w:val="0"/>
              <w:widowControl/>
              <w:suppressLineNumbers w:val="0"/>
              <w:ind w:firstLine="480" w:firstLineChars="20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红旗山中学</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CA63D">
            <w:pPr>
              <w:spacing w:line="240" w:lineRule="auto"/>
              <w:jc w:val="center"/>
              <w:rPr>
                <w:rFonts w:hint="eastAsia" w:ascii="宋体" w:hAnsi="宋体" w:eastAsia="宋体" w:cs="宋体"/>
                <w:color w:val="auto"/>
              </w:rPr>
            </w:pPr>
          </w:p>
        </w:tc>
      </w:tr>
      <w:tr w14:paraId="6C6159F6">
        <w:tblPrEx>
          <w:tblCellMar>
            <w:top w:w="15" w:type="dxa"/>
            <w:left w:w="15" w:type="dxa"/>
            <w:bottom w:w="15" w:type="dxa"/>
            <w:right w:w="15" w:type="dxa"/>
          </w:tblCellMar>
        </w:tblPrEx>
        <w:trPr>
          <w:trHeight w:val="435"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B74E7">
            <w:pPr>
              <w:keepNext w:val="0"/>
              <w:keepLines w:val="0"/>
              <w:widowControl/>
              <w:suppressLineNumbers w:val="0"/>
              <w:ind w:firstLine="480" w:firstLineChars="200"/>
              <w:jc w:val="center"/>
              <w:textAlignment w:val="center"/>
              <w:rPr>
                <w:rFonts w:hint="eastAsia"/>
                <w:color w:val="auto"/>
              </w:rPr>
            </w:pPr>
            <w:r>
              <w:rPr>
                <w:rFonts w:hint="eastAsia" w:ascii="宋体" w:hAnsi="宋体" w:eastAsia="宋体" w:cs="宋体"/>
                <w:i w:val="0"/>
                <w:iCs w:val="0"/>
                <w:color w:val="auto"/>
                <w:kern w:val="0"/>
                <w:sz w:val="24"/>
                <w:szCs w:val="24"/>
                <w:u w:val="none"/>
                <w:lang w:val="en-US" w:eastAsia="zh-CN" w:bidi="ar"/>
              </w:rPr>
              <w:t>14</w:t>
            </w:r>
          </w:p>
        </w:tc>
        <w:tc>
          <w:tcPr>
            <w:tcW w:w="7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7BF32">
            <w:pPr>
              <w:keepNext w:val="0"/>
              <w:keepLines w:val="0"/>
              <w:widowControl/>
              <w:suppressLineNumbers w:val="0"/>
              <w:ind w:firstLine="480" w:firstLineChars="20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小勐统中学</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2B475">
            <w:pPr>
              <w:spacing w:line="240" w:lineRule="auto"/>
              <w:jc w:val="center"/>
              <w:rPr>
                <w:rFonts w:hint="eastAsia" w:ascii="宋体" w:hAnsi="宋体" w:eastAsia="宋体" w:cs="宋体"/>
                <w:color w:val="auto"/>
              </w:rPr>
            </w:pPr>
          </w:p>
        </w:tc>
      </w:tr>
      <w:tr w14:paraId="5597A511">
        <w:tblPrEx>
          <w:tblCellMar>
            <w:top w:w="15" w:type="dxa"/>
            <w:left w:w="15" w:type="dxa"/>
            <w:bottom w:w="15" w:type="dxa"/>
            <w:right w:w="15" w:type="dxa"/>
          </w:tblCellMar>
        </w:tblPrEx>
        <w:trPr>
          <w:trHeight w:val="435"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CC9C3">
            <w:pPr>
              <w:keepNext w:val="0"/>
              <w:keepLines w:val="0"/>
              <w:widowControl/>
              <w:suppressLineNumbers w:val="0"/>
              <w:ind w:firstLine="480" w:firstLineChars="200"/>
              <w:jc w:val="center"/>
              <w:textAlignment w:val="center"/>
              <w:rPr>
                <w:rFonts w:hint="eastAsia"/>
                <w:color w:val="auto"/>
              </w:rPr>
            </w:pPr>
            <w:r>
              <w:rPr>
                <w:rFonts w:hint="eastAsia" w:ascii="宋体" w:hAnsi="宋体" w:eastAsia="宋体" w:cs="宋体"/>
                <w:i w:val="0"/>
                <w:iCs w:val="0"/>
                <w:color w:val="auto"/>
                <w:kern w:val="0"/>
                <w:sz w:val="24"/>
                <w:szCs w:val="24"/>
                <w:u w:val="none"/>
                <w:lang w:val="en-US" w:eastAsia="zh-CN" w:bidi="ar"/>
              </w:rPr>
              <w:t>15</w:t>
            </w:r>
          </w:p>
        </w:tc>
        <w:tc>
          <w:tcPr>
            <w:tcW w:w="7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1F3D7">
            <w:pPr>
              <w:keepNext w:val="0"/>
              <w:keepLines w:val="0"/>
              <w:widowControl/>
              <w:suppressLineNumbers w:val="0"/>
              <w:ind w:firstLine="480" w:firstLineChars="20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永甸九年一贯制学校</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22CAA">
            <w:pPr>
              <w:spacing w:line="240" w:lineRule="auto"/>
              <w:jc w:val="center"/>
              <w:rPr>
                <w:rFonts w:hint="eastAsia" w:ascii="宋体" w:hAnsi="宋体" w:eastAsia="宋体" w:cs="宋体"/>
                <w:color w:val="auto"/>
              </w:rPr>
            </w:pPr>
          </w:p>
        </w:tc>
      </w:tr>
      <w:tr w14:paraId="76429FA9">
        <w:tblPrEx>
          <w:tblCellMar>
            <w:top w:w="15" w:type="dxa"/>
            <w:left w:w="15" w:type="dxa"/>
            <w:bottom w:w="15" w:type="dxa"/>
            <w:right w:w="15" w:type="dxa"/>
          </w:tblCellMar>
        </w:tblPrEx>
        <w:trPr>
          <w:trHeight w:val="435"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11430">
            <w:pPr>
              <w:keepNext w:val="0"/>
              <w:keepLines w:val="0"/>
              <w:widowControl/>
              <w:suppressLineNumbers w:val="0"/>
              <w:ind w:firstLine="480" w:firstLineChars="200"/>
              <w:jc w:val="center"/>
              <w:textAlignment w:val="center"/>
              <w:rPr>
                <w:rFonts w:hint="default"/>
                <w:color w:val="auto"/>
                <w:lang w:val="en-US"/>
              </w:rPr>
            </w:pPr>
            <w:r>
              <w:rPr>
                <w:rFonts w:hint="eastAsia" w:ascii="宋体" w:hAnsi="宋体" w:eastAsia="宋体" w:cs="宋体"/>
                <w:i w:val="0"/>
                <w:iCs w:val="0"/>
                <w:color w:val="auto"/>
                <w:kern w:val="0"/>
                <w:sz w:val="24"/>
                <w:szCs w:val="24"/>
                <w:u w:val="none"/>
                <w:lang w:val="en-US" w:eastAsia="zh-CN" w:bidi="ar"/>
              </w:rPr>
              <w:t>16</w:t>
            </w:r>
          </w:p>
        </w:tc>
        <w:tc>
          <w:tcPr>
            <w:tcW w:w="7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07A3D">
            <w:pPr>
              <w:keepNext w:val="0"/>
              <w:keepLines w:val="0"/>
              <w:widowControl/>
              <w:suppressLineNumbers w:val="0"/>
              <w:ind w:firstLine="480" w:firstLineChars="20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崇岗中学</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B7E6E">
            <w:pPr>
              <w:spacing w:line="240" w:lineRule="auto"/>
              <w:jc w:val="center"/>
              <w:rPr>
                <w:rFonts w:hint="eastAsia" w:ascii="宋体" w:hAnsi="宋体" w:eastAsia="宋体" w:cs="宋体"/>
                <w:color w:val="auto"/>
              </w:rPr>
            </w:pPr>
          </w:p>
        </w:tc>
      </w:tr>
      <w:tr w14:paraId="4E304F43">
        <w:tblPrEx>
          <w:tblCellMar>
            <w:top w:w="15" w:type="dxa"/>
            <w:left w:w="15" w:type="dxa"/>
            <w:bottom w:w="15" w:type="dxa"/>
            <w:right w:w="15" w:type="dxa"/>
          </w:tblCellMar>
        </w:tblPrEx>
        <w:trPr>
          <w:trHeight w:val="435"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1402E">
            <w:pPr>
              <w:keepNext w:val="0"/>
              <w:keepLines w:val="0"/>
              <w:widowControl/>
              <w:suppressLineNumbers w:val="0"/>
              <w:ind w:firstLine="420" w:firstLineChars="200"/>
              <w:jc w:val="center"/>
              <w:textAlignment w:val="center"/>
              <w:rPr>
                <w:rFonts w:hint="default" w:eastAsia="宋体"/>
                <w:color w:val="auto"/>
                <w:lang w:val="en-US" w:eastAsia="zh-CN"/>
              </w:rPr>
            </w:pPr>
            <w:r>
              <w:rPr>
                <w:rFonts w:hint="eastAsia"/>
                <w:color w:val="auto"/>
                <w:lang w:val="en-US" w:eastAsia="zh-CN"/>
              </w:rPr>
              <w:t>17</w:t>
            </w:r>
          </w:p>
        </w:tc>
        <w:tc>
          <w:tcPr>
            <w:tcW w:w="7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A8D1A">
            <w:pPr>
              <w:keepNext w:val="0"/>
              <w:keepLines w:val="0"/>
              <w:widowControl/>
              <w:suppressLineNumbers w:val="0"/>
              <w:ind w:firstLine="480" w:firstLineChars="20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天生桥中学</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A7EA2">
            <w:pPr>
              <w:spacing w:line="240" w:lineRule="auto"/>
              <w:jc w:val="center"/>
              <w:rPr>
                <w:rFonts w:hint="eastAsia" w:ascii="宋体" w:hAnsi="宋体" w:eastAsia="宋体" w:cs="宋体"/>
                <w:color w:val="auto"/>
              </w:rPr>
            </w:pPr>
          </w:p>
        </w:tc>
      </w:tr>
      <w:tr w14:paraId="5A81E79E">
        <w:tblPrEx>
          <w:tblCellMar>
            <w:top w:w="15" w:type="dxa"/>
            <w:left w:w="15" w:type="dxa"/>
            <w:bottom w:w="15" w:type="dxa"/>
            <w:right w:w="15" w:type="dxa"/>
          </w:tblCellMar>
        </w:tblPrEx>
        <w:trPr>
          <w:trHeight w:val="435"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14D7C">
            <w:pPr>
              <w:keepNext w:val="0"/>
              <w:keepLines w:val="0"/>
              <w:widowControl/>
              <w:suppressLineNumbers w:val="0"/>
              <w:ind w:firstLine="420" w:firstLineChars="200"/>
              <w:jc w:val="center"/>
              <w:textAlignment w:val="center"/>
              <w:rPr>
                <w:rFonts w:hint="default" w:eastAsia="宋体"/>
                <w:color w:val="auto"/>
                <w:lang w:val="en-US" w:eastAsia="zh-CN"/>
              </w:rPr>
            </w:pPr>
            <w:r>
              <w:rPr>
                <w:rFonts w:hint="eastAsia"/>
                <w:color w:val="auto"/>
                <w:lang w:val="en-US" w:eastAsia="zh-CN"/>
              </w:rPr>
              <w:t>18</w:t>
            </w:r>
          </w:p>
        </w:tc>
        <w:tc>
          <w:tcPr>
            <w:tcW w:w="7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74953">
            <w:pPr>
              <w:keepNext w:val="0"/>
              <w:keepLines w:val="0"/>
              <w:widowControl/>
              <w:suppressLineNumbers w:val="0"/>
              <w:ind w:firstLine="480" w:firstLineChars="20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大雪山中学</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08D0D">
            <w:pPr>
              <w:spacing w:line="240" w:lineRule="auto"/>
              <w:jc w:val="center"/>
              <w:rPr>
                <w:rFonts w:hint="eastAsia" w:ascii="宋体" w:hAnsi="宋体" w:eastAsia="宋体" w:cs="宋体"/>
                <w:color w:val="auto"/>
              </w:rPr>
            </w:pPr>
          </w:p>
        </w:tc>
      </w:tr>
      <w:tr w14:paraId="0B25519B">
        <w:tblPrEx>
          <w:tblCellMar>
            <w:top w:w="15" w:type="dxa"/>
            <w:left w:w="15" w:type="dxa"/>
            <w:bottom w:w="15" w:type="dxa"/>
            <w:right w:w="15" w:type="dxa"/>
          </w:tblCellMar>
        </w:tblPrEx>
        <w:trPr>
          <w:trHeight w:val="435"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BCDA8">
            <w:pPr>
              <w:keepNext w:val="0"/>
              <w:keepLines w:val="0"/>
              <w:widowControl/>
              <w:suppressLineNumbers w:val="0"/>
              <w:ind w:firstLine="420" w:firstLineChars="200"/>
              <w:jc w:val="center"/>
              <w:textAlignment w:val="center"/>
              <w:rPr>
                <w:rFonts w:hint="default" w:eastAsia="宋体"/>
                <w:color w:val="auto"/>
                <w:lang w:val="en-US" w:eastAsia="zh-CN"/>
              </w:rPr>
            </w:pPr>
            <w:r>
              <w:rPr>
                <w:rFonts w:hint="eastAsia"/>
                <w:color w:val="auto"/>
                <w:lang w:val="en-US" w:eastAsia="zh-CN"/>
              </w:rPr>
              <w:t>19</w:t>
            </w:r>
          </w:p>
        </w:tc>
        <w:tc>
          <w:tcPr>
            <w:tcW w:w="7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4B423">
            <w:pPr>
              <w:keepNext w:val="0"/>
              <w:keepLines w:val="0"/>
              <w:widowControl/>
              <w:suppressLineNumbers w:val="0"/>
              <w:ind w:firstLine="480" w:firstLineChars="20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亚练中学</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B53D4">
            <w:pPr>
              <w:spacing w:line="240" w:lineRule="auto"/>
              <w:jc w:val="center"/>
              <w:rPr>
                <w:rFonts w:hint="eastAsia" w:ascii="宋体" w:hAnsi="宋体" w:eastAsia="宋体" w:cs="宋体"/>
                <w:color w:val="auto"/>
              </w:rPr>
            </w:pPr>
          </w:p>
        </w:tc>
      </w:tr>
      <w:tr w14:paraId="4F568A51">
        <w:tblPrEx>
          <w:tblCellMar>
            <w:top w:w="15" w:type="dxa"/>
            <w:left w:w="15" w:type="dxa"/>
            <w:bottom w:w="15" w:type="dxa"/>
            <w:right w:w="15" w:type="dxa"/>
          </w:tblCellMar>
        </w:tblPrEx>
        <w:trPr>
          <w:trHeight w:val="435"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D098B">
            <w:pPr>
              <w:keepNext w:val="0"/>
              <w:keepLines w:val="0"/>
              <w:widowControl/>
              <w:suppressLineNumbers w:val="0"/>
              <w:ind w:firstLine="420" w:firstLineChars="200"/>
              <w:jc w:val="center"/>
              <w:textAlignment w:val="center"/>
              <w:rPr>
                <w:rFonts w:hint="default" w:eastAsia="宋体"/>
                <w:color w:val="auto"/>
                <w:lang w:val="en-US" w:eastAsia="zh-CN"/>
              </w:rPr>
            </w:pPr>
            <w:r>
              <w:rPr>
                <w:rFonts w:hint="eastAsia"/>
                <w:color w:val="auto"/>
                <w:lang w:val="en-US" w:eastAsia="zh-CN"/>
              </w:rPr>
              <w:t>20</w:t>
            </w:r>
          </w:p>
        </w:tc>
        <w:tc>
          <w:tcPr>
            <w:tcW w:w="7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421DF">
            <w:pPr>
              <w:keepNext w:val="0"/>
              <w:keepLines w:val="0"/>
              <w:widowControl/>
              <w:suppressLineNumbers w:val="0"/>
              <w:ind w:firstLine="480" w:firstLineChars="20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乌木龙中学</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BBE96">
            <w:pPr>
              <w:spacing w:line="240" w:lineRule="auto"/>
              <w:jc w:val="center"/>
              <w:rPr>
                <w:rFonts w:hint="eastAsia" w:ascii="宋体" w:hAnsi="宋体" w:eastAsia="宋体" w:cs="宋体"/>
                <w:color w:val="auto"/>
              </w:rPr>
            </w:pPr>
          </w:p>
        </w:tc>
      </w:tr>
      <w:tr w14:paraId="746695E5">
        <w:tblPrEx>
          <w:tblCellMar>
            <w:top w:w="15" w:type="dxa"/>
            <w:left w:w="15" w:type="dxa"/>
            <w:bottom w:w="15" w:type="dxa"/>
            <w:right w:w="15" w:type="dxa"/>
          </w:tblCellMar>
        </w:tblPrEx>
        <w:trPr>
          <w:trHeight w:val="435"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244F0">
            <w:pPr>
              <w:keepNext w:val="0"/>
              <w:keepLines w:val="0"/>
              <w:widowControl/>
              <w:suppressLineNumbers w:val="0"/>
              <w:ind w:firstLine="420" w:firstLineChars="200"/>
              <w:jc w:val="center"/>
              <w:textAlignment w:val="center"/>
              <w:rPr>
                <w:rFonts w:hint="default" w:eastAsia="宋体"/>
                <w:color w:val="auto"/>
                <w:lang w:val="en-US" w:eastAsia="zh-CN"/>
              </w:rPr>
            </w:pPr>
            <w:r>
              <w:rPr>
                <w:rFonts w:hint="eastAsia"/>
                <w:color w:val="auto"/>
                <w:lang w:val="en-US" w:eastAsia="zh-CN"/>
              </w:rPr>
              <w:t>21</w:t>
            </w:r>
          </w:p>
        </w:tc>
        <w:tc>
          <w:tcPr>
            <w:tcW w:w="7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D4D1E">
            <w:pPr>
              <w:keepNext w:val="0"/>
              <w:keepLines w:val="0"/>
              <w:widowControl/>
              <w:suppressLineNumbers w:val="0"/>
              <w:ind w:firstLine="480" w:firstLineChars="20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勐板中学</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A20D3">
            <w:pPr>
              <w:spacing w:line="240" w:lineRule="auto"/>
              <w:jc w:val="center"/>
              <w:rPr>
                <w:rFonts w:hint="eastAsia" w:ascii="宋体" w:hAnsi="宋体" w:eastAsia="宋体" w:cs="宋体"/>
                <w:color w:val="auto"/>
              </w:rPr>
            </w:pPr>
          </w:p>
        </w:tc>
      </w:tr>
      <w:tr w14:paraId="4ECAEC1B">
        <w:tblPrEx>
          <w:tblCellMar>
            <w:top w:w="15" w:type="dxa"/>
            <w:left w:w="15" w:type="dxa"/>
            <w:bottom w:w="15" w:type="dxa"/>
            <w:right w:w="15" w:type="dxa"/>
          </w:tblCellMar>
        </w:tblPrEx>
        <w:trPr>
          <w:trHeight w:val="435"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7ACD4">
            <w:pPr>
              <w:keepNext w:val="0"/>
              <w:keepLines w:val="0"/>
              <w:widowControl/>
              <w:suppressLineNumbers w:val="0"/>
              <w:ind w:firstLine="420" w:firstLineChars="200"/>
              <w:jc w:val="center"/>
              <w:textAlignment w:val="center"/>
              <w:rPr>
                <w:rFonts w:hint="default" w:eastAsia="宋体"/>
                <w:color w:val="auto"/>
                <w:lang w:val="en-US" w:eastAsia="zh-CN"/>
              </w:rPr>
            </w:pPr>
            <w:r>
              <w:rPr>
                <w:rFonts w:hint="eastAsia"/>
                <w:color w:val="auto"/>
                <w:lang w:val="en-US" w:eastAsia="zh-CN"/>
              </w:rPr>
              <w:t>22</w:t>
            </w:r>
          </w:p>
        </w:tc>
        <w:tc>
          <w:tcPr>
            <w:tcW w:w="7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D344D">
            <w:pPr>
              <w:keepNext w:val="0"/>
              <w:keepLines w:val="0"/>
              <w:widowControl/>
              <w:suppressLineNumbers w:val="0"/>
              <w:ind w:firstLine="480" w:firstLineChars="20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永德县一中</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4AB99">
            <w:pPr>
              <w:spacing w:line="240" w:lineRule="auto"/>
              <w:jc w:val="center"/>
              <w:rPr>
                <w:rFonts w:hint="eastAsia" w:ascii="宋体" w:hAnsi="宋体" w:eastAsia="宋体" w:cs="宋体"/>
                <w:color w:val="auto"/>
              </w:rPr>
            </w:pPr>
          </w:p>
        </w:tc>
      </w:tr>
      <w:tr w14:paraId="3B147A54">
        <w:tblPrEx>
          <w:tblCellMar>
            <w:top w:w="15" w:type="dxa"/>
            <w:left w:w="15" w:type="dxa"/>
            <w:bottom w:w="15" w:type="dxa"/>
            <w:right w:w="15" w:type="dxa"/>
          </w:tblCellMar>
        </w:tblPrEx>
        <w:trPr>
          <w:trHeight w:val="435"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76B1E">
            <w:pPr>
              <w:keepNext w:val="0"/>
              <w:keepLines w:val="0"/>
              <w:widowControl/>
              <w:suppressLineNumbers w:val="0"/>
              <w:ind w:firstLine="420" w:firstLineChars="200"/>
              <w:jc w:val="center"/>
              <w:textAlignment w:val="center"/>
              <w:rPr>
                <w:rFonts w:hint="default" w:eastAsia="宋体"/>
                <w:color w:val="auto"/>
                <w:lang w:val="en-US" w:eastAsia="zh-CN"/>
              </w:rPr>
            </w:pPr>
            <w:r>
              <w:rPr>
                <w:rFonts w:hint="eastAsia"/>
                <w:color w:val="auto"/>
                <w:lang w:val="en-US" w:eastAsia="zh-CN"/>
              </w:rPr>
              <w:t>23</w:t>
            </w:r>
          </w:p>
        </w:tc>
        <w:tc>
          <w:tcPr>
            <w:tcW w:w="7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FC3BD">
            <w:pPr>
              <w:keepNext w:val="0"/>
              <w:keepLines w:val="0"/>
              <w:widowControl/>
              <w:suppressLineNumbers w:val="0"/>
              <w:ind w:firstLine="480" w:firstLineChars="20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永德县二中</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E39DF">
            <w:pPr>
              <w:spacing w:line="240" w:lineRule="auto"/>
              <w:jc w:val="center"/>
              <w:rPr>
                <w:rFonts w:hint="eastAsia" w:ascii="宋体" w:hAnsi="宋体" w:eastAsia="宋体" w:cs="宋体"/>
                <w:color w:val="auto"/>
              </w:rPr>
            </w:pPr>
          </w:p>
        </w:tc>
      </w:tr>
      <w:tr w14:paraId="6B9EC4E6">
        <w:tblPrEx>
          <w:tblCellMar>
            <w:top w:w="15" w:type="dxa"/>
            <w:left w:w="15" w:type="dxa"/>
            <w:bottom w:w="15" w:type="dxa"/>
            <w:right w:w="15" w:type="dxa"/>
          </w:tblCellMar>
        </w:tblPrEx>
        <w:trPr>
          <w:trHeight w:val="435"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F7488">
            <w:pPr>
              <w:keepNext w:val="0"/>
              <w:keepLines w:val="0"/>
              <w:widowControl/>
              <w:suppressLineNumbers w:val="0"/>
              <w:ind w:firstLine="420" w:firstLineChars="200"/>
              <w:jc w:val="center"/>
              <w:textAlignment w:val="center"/>
              <w:rPr>
                <w:rFonts w:hint="default" w:eastAsia="宋体"/>
                <w:color w:val="auto"/>
                <w:lang w:val="en-US" w:eastAsia="zh-CN"/>
              </w:rPr>
            </w:pPr>
            <w:r>
              <w:rPr>
                <w:rFonts w:hint="eastAsia"/>
                <w:color w:val="auto"/>
                <w:lang w:val="en-US" w:eastAsia="zh-CN"/>
              </w:rPr>
              <w:t>24</w:t>
            </w:r>
          </w:p>
        </w:tc>
        <w:tc>
          <w:tcPr>
            <w:tcW w:w="7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D133B">
            <w:pPr>
              <w:keepNext w:val="0"/>
              <w:keepLines w:val="0"/>
              <w:widowControl/>
              <w:suppressLineNumbers w:val="0"/>
              <w:ind w:firstLine="480" w:firstLineChars="20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永德县特殊教育学校</w:t>
            </w:r>
          </w:p>
        </w:tc>
        <w:tc>
          <w:tcPr>
            <w:tcW w:w="2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0FD45">
            <w:pPr>
              <w:spacing w:line="240" w:lineRule="auto"/>
              <w:jc w:val="center"/>
              <w:rPr>
                <w:rFonts w:hint="eastAsia" w:ascii="宋体" w:hAnsi="宋体" w:eastAsia="宋体" w:cs="宋体"/>
                <w:color w:val="auto"/>
              </w:rPr>
            </w:pPr>
          </w:p>
        </w:tc>
      </w:tr>
    </w:tbl>
    <w:p w14:paraId="0C902A3C">
      <w:pPr>
        <w:ind w:firstLine="422"/>
        <w:jc w:val="center"/>
        <w:rPr>
          <w:rFonts w:hint="eastAsia" w:cs="宋体"/>
          <w:b/>
          <w:bCs/>
          <w:color w:val="auto"/>
          <w:lang w:val="en-US" w:eastAsia="zh-CN"/>
        </w:rPr>
      </w:pPr>
    </w:p>
    <w:p w14:paraId="030B1DA5">
      <w:pPr>
        <w:ind w:firstLine="422"/>
        <w:jc w:val="center"/>
        <w:rPr>
          <w:rFonts w:hint="eastAsia" w:cs="宋体"/>
          <w:b/>
          <w:bCs/>
          <w:color w:val="auto"/>
          <w:lang w:val="en-US" w:eastAsia="zh-CN"/>
        </w:rPr>
        <w:sectPr>
          <w:pgSz w:w="16838" w:h="11900" w:orient="landscape"/>
          <w:pgMar w:top="1417" w:right="1417" w:bottom="1417" w:left="1417" w:header="850" w:footer="850" w:gutter="0"/>
          <w:cols w:space="0" w:num="1"/>
          <w:titlePg/>
          <w:rtlGutter w:val="0"/>
          <w:docGrid w:linePitch="360" w:charSpace="0"/>
        </w:sectPr>
      </w:pPr>
    </w:p>
    <w:p w14:paraId="025AA90D">
      <w:pPr>
        <w:ind w:firstLine="422"/>
        <w:jc w:val="center"/>
        <w:rPr>
          <w:rFonts w:hint="eastAsia" w:ascii="宋体" w:hAnsi="宋体" w:eastAsia="宋体" w:cs="宋体"/>
          <w:b/>
          <w:bCs/>
          <w:color w:val="auto"/>
        </w:rPr>
      </w:pPr>
      <w:r>
        <w:rPr>
          <w:rFonts w:hint="eastAsia" w:cs="宋体"/>
          <w:b/>
          <w:bCs/>
          <w:color w:val="auto"/>
          <w:lang w:val="en-US" w:eastAsia="zh-CN"/>
        </w:rPr>
        <w:t>干货调味料</w:t>
      </w:r>
      <w:r>
        <w:rPr>
          <w:rFonts w:hint="eastAsia" w:ascii="宋体" w:hAnsi="宋体" w:eastAsia="宋体" w:cs="宋体"/>
          <w:b/>
          <w:bCs/>
          <w:color w:val="auto"/>
        </w:rPr>
        <w:t>配送学校名单</w:t>
      </w:r>
    </w:p>
    <w:p w14:paraId="6E9D7A2E">
      <w:pPr>
        <w:ind w:firstLine="422"/>
        <w:rPr>
          <w:rFonts w:hint="eastAsia" w:ascii="宋体" w:hAnsi="宋体" w:eastAsia="宋体" w:cs="宋体"/>
          <w:b/>
          <w:bCs/>
          <w:color w:val="auto"/>
        </w:rPr>
      </w:pPr>
      <w:r>
        <w:rPr>
          <w:rFonts w:hint="eastAsia" w:ascii="宋体" w:hAnsi="宋体" w:eastAsia="宋体" w:cs="宋体"/>
          <w:b/>
          <w:bCs/>
          <w:color w:val="auto"/>
          <w:kern w:val="0"/>
        </w:rPr>
        <w:t>注：配送学校名单以签订合同后采购单位最终确认后出具的配送学校名单为准。</w:t>
      </w:r>
    </w:p>
    <w:tbl>
      <w:tblPr>
        <w:tblStyle w:val="30"/>
        <w:tblW w:w="12280" w:type="dxa"/>
        <w:jc w:val="center"/>
        <w:tblLayout w:type="fixed"/>
        <w:tblCellMar>
          <w:top w:w="15" w:type="dxa"/>
          <w:left w:w="15" w:type="dxa"/>
          <w:bottom w:w="15" w:type="dxa"/>
          <w:right w:w="15" w:type="dxa"/>
        </w:tblCellMar>
      </w:tblPr>
      <w:tblGrid>
        <w:gridCol w:w="1200"/>
        <w:gridCol w:w="7497"/>
        <w:gridCol w:w="3583"/>
      </w:tblGrid>
      <w:tr w14:paraId="443A574C">
        <w:tblPrEx>
          <w:tblCellMar>
            <w:top w:w="15" w:type="dxa"/>
            <w:left w:w="15" w:type="dxa"/>
            <w:bottom w:w="15" w:type="dxa"/>
            <w:right w:w="15" w:type="dxa"/>
          </w:tblCellMar>
        </w:tblPrEx>
        <w:trPr>
          <w:trHeight w:val="465" w:hRule="atLeast"/>
          <w:jc w:val="center"/>
        </w:trPr>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FBB02A">
            <w:pPr>
              <w:widowControl/>
              <w:spacing w:line="240" w:lineRule="auto"/>
              <w:jc w:val="center"/>
              <w:textAlignment w:val="center"/>
              <w:rPr>
                <w:rFonts w:hint="eastAsia" w:ascii="宋体" w:hAnsi="宋体" w:eastAsia="宋体" w:cs="宋体"/>
                <w:color w:val="auto"/>
              </w:rPr>
            </w:pPr>
            <w:r>
              <w:rPr>
                <w:rFonts w:hint="eastAsia" w:ascii="宋体" w:hAnsi="宋体" w:eastAsia="宋体" w:cs="宋体"/>
                <w:color w:val="auto"/>
                <w:kern w:val="0"/>
                <w:lang w:bidi="ar"/>
              </w:rPr>
              <w:t>序号</w:t>
            </w:r>
          </w:p>
        </w:tc>
        <w:tc>
          <w:tcPr>
            <w:tcW w:w="74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31DAEC">
            <w:pPr>
              <w:widowControl/>
              <w:spacing w:line="240" w:lineRule="auto"/>
              <w:jc w:val="center"/>
              <w:textAlignment w:val="center"/>
              <w:rPr>
                <w:rFonts w:hint="eastAsia" w:ascii="宋体" w:hAnsi="宋体" w:eastAsia="宋体" w:cs="宋体"/>
                <w:color w:val="auto"/>
              </w:rPr>
            </w:pPr>
            <w:r>
              <w:rPr>
                <w:rFonts w:hint="eastAsia" w:ascii="宋体" w:hAnsi="宋体" w:eastAsia="宋体" w:cs="宋体"/>
                <w:color w:val="auto"/>
                <w:kern w:val="0"/>
                <w:lang w:bidi="ar"/>
              </w:rPr>
              <w:t>学校名称</w:t>
            </w:r>
          </w:p>
        </w:tc>
        <w:tc>
          <w:tcPr>
            <w:tcW w:w="358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BD50CE">
            <w:pPr>
              <w:widowControl/>
              <w:spacing w:line="240" w:lineRule="auto"/>
              <w:jc w:val="center"/>
              <w:textAlignment w:val="center"/>
              <w:rPr>
                <w:rFonts w:hint="eastAsia" w:ascii="宋体" w:hAnsi="宋体" w:eastAsia="宋体" w:cs="宋体"/>
                <w:color w:val="auto"/>
              </w:rPr>
            </w:pPr>
            <w:r>
              <w:rPr>
                <w:rFonts w:hint="eastAsia" w:ascii="宋体" w:hAnsi="宋体" w:eastAsia="宋体" w:cs="宋体"/>
                <w:color w:val="auto"/>
                <w:kern w:val="0"/>
                <w:lang w:bidi="ar"/>
              </w:rPr>
              <w:t>备注</w:t>
            </w:r>
          </w:p>
        </w:tc>
      </w:tr>
      <w:tr w14:paraId="58B9EC4D">
        <w:tblPrEx>
          <w:tblCellMar>
            <w:top w:w="15" w:type="dxa"/>
            <w:left w:w="15" w:type="dxa"/>
            <w:bottom w:w="15" w:type="dxa"/>
            <w:right w:w="15" w:type="dxa"/>
          </w:tblCellMar>
        </w:tblPrEx>
        <w:trPr>
          <w:trHeight w:val="465" w:hRule="atLeast"/>
          <w:jc w:val="center"/>
        </w:trPr>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9D7DDE">
            <w:pPr>
              <w:spacing w:line="240" w:lineRule="auto"/>
              <w:jc w:val="center"/>
              <w:rPr>
                <w:rFonts w:hint="eastAsia" w:ascii="宋体" w:hAnsi="宋体" w:eastAsia="宋体" w:cs="宋体"/>
                <w:color w:val="auto"/>
              </w:rPr>
            </w:pPr>
          </w:p>
        </w:tc>
        <w:tc>
          <w:tcPr>
            <w:tcW w:w="7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97A2A3">
            <w:pPr>
              <w:spacing w:line="240" w:lineRule="auto"/>
              <w:jc w:val="center"/>
              <w:rPr>
                <w:rFonts w:hint="eastAsia" w:ascii="宋体" w:hAnsi="宋体" w:eastAsia="宋体" w:cs="宋体"/>
                <w:color w:val="auto"/>
              </w:rPr>
            </w:pPr>
          </w:p>
        </w:tc>
        <w:tc>
          <w:tcPr>
            <w:tcW w:w="35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C55989">
            <w:pPr>
              <w:spacing w:line="240" w:lineRule="auto"/>
              <w:jc w:val="center"/>
              <w:rPr>
                <w:rFonts w:hint="eastAsia" w:ascii="宋体" w:hAnsi="宋体" w:eastAsia="宋体" w:cs="宋体"/>
                <w:color w:val="auto"/>
              </w:rPr>
            </w:pPr>
          </w:p>
        </w:tc>
      </w:tr>
      <w:tr w14:paraId="1FA7B37C">
        <w:tblPrEx>
          <w:tblCellMar>
            <w:top w:w="15" w:type="dxa"/>
            <w:left w:w="15" w:type="dxa"/>
            <w:bottom w:w="15" w:type="dxa"/>
            <w:right w:w="15" w:type="dxa"/>
          </w:tblCellMar>
        </w:tblPrEx>
        <w:trPr>
          <w:trHeight w:val="540"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7EB6BDEC">
            <w:pPr>
              <w:widowControl/>
              <w:spacing w:line="240" w:lineRule="auto"/>
              <w:jc w:val="center"/>
              <w:textAlignment w:val="center"/>
              <w:rPr>
                <w:rFonts w:hint="eastAsia" w:ascii="宋体" w:hAnsi="宋体" w:eastAsia="宋体" w:cs="宋体"/>
                <w:color w:val="auto"/>
              </w:rPr>
            </w:pPr>
            <w:r>
              <w:rPr>
                <w:rFonts w:hint="eastAsia" w:ascii="宋体" w:hAnsi="宋体" w:eastAsia="宋体" w:cs="宋体"/>
                <w:color w:val="auto"/>
                <w:kern w:val="0"/>
                <w:lang w:bidi="ar"/>
              </w:rPr>
              <w:t>合计</w:t>
            </w:r>
          </w:p>
        </w:tc>
        <w:tc>
          <w:tcPr>
            <w:tcW w:w="7497" w:type="dxa"/>
            <w:tcBorders>
              <w:top w:val="single" w:color="000000" w:sz="4" w:space="0"/>
              <w:left w:val="single" w:color="000000" w:sz="4" w:space="0"/>
              <w:bottom w:val="single" w:color="000000" w:sz="4" w:space="0"/>
            </w:tcBorders>
            <w:shd w:val="clear" w:color="auto" w:fill="C0C0C0"/>
            <w:vAlign w:val="center"/>
          </w:tcPr>
          <w:p w14:paraId="30844EDE">
            <w:pPr>
              <w:widowControl/>
              <w:spacing w:line="240" w:lineRule="auto"/>
              <w:jc w:val="center"/>
              <w:textAlignment w:val="center"/>
              <w:rPr>
                <w:rFonts w:hint="eastAsia" w:ascii="宋体" w:hAnsi="宋体" w:eastAsia="宋体" w:cs="宋体"/>
                <w:color w:val="auto"/>
              </w:rPr>
            </w:pPr>
            <w:r>
              <w:rPr>
                <w:rFonts w:hint="eastAsia" w:cs="宋体"/>
                <w:color w:val="auto"/>
                <w:kern w:val="0"/>
                <w:lang w:val="en-US" w:eastAsia="zh-CN" w:bidi="ar"/>
              </w:rPr>
              <w:t>26</w:t>
            </w:r>
            <w:r>
              <w:rPr>
                <w:rFonts w:hint="eastAsia" w:ascii="宋体" w:hAnsi="宋体" w:eastAsia="宋体" w:cs="宋体"/>
                <w:color w:val="auto"/>
                <w:lang w:bidi="ar"/>
              </w:rPr>
              <w:t>所</w:t>
            </w:r>
          </w:p>
        </w:tc>
        <w:tc>
          <w:tcPr>
            <w:tcW w:w="3583"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5A5227BD">
            <w:pPr>
              <w:widowControl/>
              <w:spacing w:line="240" w:lineRule="auto"/>
              <w:ind w:firstLine="0" w:firstLineChars="0"/>
              <w:jc w:val="left"/>
              <w:textAlignment w:val="center"/>
              <w:rPr>
                <w:rFonts w:hint="eastAsia" w:ascii="宋体" w:hAnsi="宋体" w:eastAsia="宋体" w:cs="宋体"/>
                <w:color w:val="auto"/>
              </w:rPr>
            </w:pPr>
          </w:p>
        </w:tc>
      </w:tr>
      <w:tr w14:paraId="1EDCCBDD">
        <w:tblPrEx>
          <w:tblCellMar>
            <w:top w:w="15" w:type="dxa"/>
            <w:left w:w="15" w:type="dxa"/>
            <w:bottom w:w="15" w:type="dxa"/>
            <w:right w:w="15" w:type="dxa"/>
          </w:tblCellMar>
        </w:tblPrEx>
        <w:trPr>
          <w:trHeight w:val="465"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175B7542">
            <w:pPr>
              <w:keepNext w:val="0"/>
              <w:keepLines w:val="0"/>
              <w:widowControl/>
              <w:suppressLineNumbers w:val="0"/>
              <w:ind w:firstLine="480" w:firstLineChars="200"/>
              <w:jc w:val="center"/>
              <w:textAlignment w:val="center"/>
              <w:rPr>
                <w:rFonts w:hint="eastAsia" w:ascii="宋体" w:hAnsi="宋体" w:eastAsia="宋体" w:cs="宋体"/>
                <w:color w:val="auto"/>
              </w:rPr>
            </w:pPr>
            <w:r>
              <w:rPr>
                <w:rFonts w:hint="eastAsia" w:ascii="宋体" w:hAnsi="宋体" w:eastAsia="宋体" w:cs="宋体"/>
                <w:i w:val="0"/>
                <w:iCs w:val="0"/>
                <w:color w:val="auto"/>
                <w:kern w:val="0"/>
                <w:sz w:val="24"/>
                <w:szCs w:val="24"/>
                <w:u w:val="none"/>
                <w:lang w:val="en-US" w:eastAsia="zh-CN" w:bidi="ar"/>
              </w:rPr>
              <w:t>1</w:t>
            </w:r>
          </w:p>
        </w:tc>
        <w:tc>
          <w:tcPr>
            <w:tcW w:w="7497" w:type="dxa"/>
            <w:tcBorders>
              <w:top w:val="single" w:color="000000" w:sz="4" w:space="0"/>
              <w:left w:val="single" w:color="000000" w:sz="4" w:space="0"/>
              <w:bottom w:val="single" w:color="000000" w:sz="4" w:space="0"/>
            </w:tcBorders>
            <w:shd w:val="clear" w:color="auto" w:fill="C0C0C0"/>
            <w:vAlign w:val="center"/>
          </w:tcPr>
          <w:p w14:paraId="5C3741D3">
            <w:pPr>
              <w:keepNext w:val="0"/>
              <w:keepLines w:val="0"/>
              <w:widowControl/>
              <w:suppressLineNumbers w:val="0"/>
              <w:ind w:firstLine="480" w:firstLineChars="200"/>
              <w:jc w:val="center"/>
              <w:textAlignment w:val="center"/>
              <w:rPr>
                <w:rFonts w:hint="eastAsia" w:ascii="宋体" w:hAnsi="宋体" w:eastAsia="宋体" w:cs="宋体"/>
                <w:color w:val="auto"/>
              </w:rPr>
            </w:pPr>
            <w:r>
              <w:rPr>
                <w:rFonts w:hint="eastAsia" w:ascii="宋体" w:hAnsi="宋体" w:eastAsia="宋体" w:cs="宋体"/>
                <w:i w:val="0"/>
                <w:iCs w:val="0"/>
                <w:color w:val="auto"/>
                <w:kern w:val="0"/>
                <w:sz w:val="24"/>
                <w:szCs w:val="24"/>
                <w:u w:val="none"/>
                <w:lang w:val="en-US" w:eastAsia="zh-CN" w:bidi="ar"/>
              </w:rPr>
              <w:t>德党镇中心校</w:t>
            </w:r>
          </w:p>
        </w:tc>
        <w:tc>
          <w:tcPr>
            <w:tcW w:w="3583"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530D406A">
            <w:pPr>
              <w:spacing w:line="240" w:lineRule="auto"/>
              <w:rPr>
                <w:rFonts w:hint="eastAsia" w:ascii="宋体" w:hAnsi="宋体" w:eastAsia="宋体" w:cs="宋体"/>
                <w:color w:val="auto"/>
              </w:rPr>
            </w:pPr>
          </w:p>
        </w:tc>
      </w:tr>
      <w:tr w14:paraId="490EBDE4">
        <w:tblPrEx>
          <w:tblCellMar>
            <w:top w:w="15" w:type="dxa"/>
            <w:left w:w="15" w:type="dxa"/>
            <w:bottom w:w="15" w:type="dxa"/>
            <w:right w:w="15" w:type="dxa"/>
          </w:tblCellMar>
        </w:tblPrEx>
        <w:trPr>
          <w:trHeight w:val="435"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8914B">
            <w:pPr>
              <w:keepNext w:val="0"/>
              <w:keepLines w:val="0"/>
              <w:widowControl/>
              <w:suppressLineNumbers w:val="0"/>
              <w:ind w:firstLine="480" w:firstLineChars="200"/>
              <w:jc w:val="center"/>
              <w:textAlignment w:val="center"/>
              <w:rPr>
                <w:rFonts w:hint="eastAsia" w:ascii="宋体" w:hAnsi="宋体" w:eastAsia="宋体" w:cs="宋体"/>
                <w:color w:val="auto"/>
              </w:rPr>
            </w:pPr>
            <w:r>
              <w:rPr>
                <w:rFonts w:hint="eastAsia" w:ascii="宋体" w:hAnsi="宋体" w:eastAsia="宋体" w:cs="宋体"/>
                <w:i w:val="0"/>
                <w:iCs w:val="0"/>
                <w:color w:val="auto"/>
                <w:kern w:val="0"/>
                <w:sz w:val="24"/>
                <w:szCs w:val="24"/>
                <w:u w:val="none"/>
                <w:lang w:val="en-US" w:eastAsia="zh-CN" w:bidi="ar"/>
              </w:rPr>
              <w:t>2</w:t>
            </w:r>
          </w:p>
        </w:tc>
        <w:tc>
          <w:tcPr>
            <w:tcW w:w="7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CE03C">
            <w:pPr>
              <w:keepNext w:val="0"/>
              <w:keepLines w:val="0"/>
              <w:widowControl/>
              <w:suppressLineNumbers w:val="0"/>
              <w:ind w:firstLine="480" w:firstLineChars="200"/>
              <w:jc w:val="center"/>
              <w:textAlignment w:val="center"/>
              <w:rPr>
                <w:rFonts w:hint="eastAsia" w:ascii="宋体" w:hAnsi="宋体" w:eastAsia="宋体" w:cs="宋体"/>
                <w:color w:val="auto"/>
              </w:rPr>
            </w:pPr>
            <w:r>
              <w:rPr>
                <w:rFonts w:hint="eastAsia" w:ascii="宋体" w:hAnsi="宋体" w:eastAsia="宋体" w:cs="宋体"/>
                <w:i w:val="0"/>
                <w:iCs w:val="0"/>
                <w:color w:val="auto"/>
                <w:kern w:val="0"/>
                <w:sz w:val="24"/>
                <w:szCs w:val="24"/>
                <w:u w:val="none"/>
                <w:lang w:val="en-US" w:eastAsia="zh-CN" w:bidi="ar"/>
              </w:rPr>
              <w:t>永康镇中心校</w:t>
            </w:r>
          </w:p>
        </w:tc>
        <w:tc>
          <w:tcPr>
            <w:tcW w:w="3583" w:type="dxa"/>
            <w:tcBorders>
              <w:left w:val="single" w:color="000000" w:sz="4" w:space="0"/>
              <w:bottom w:val="single" w:color="000000" w:sz="4" w:space="0"/>
              <w:right w:val="single" w:color="000000" w:sz="4" w:space="0"/>
            </w:tcBorders>
            <w:shd w:val="clear" w:color="auto" w:fill="auto"/>
            <w:vAlign w:val="center"/>
          </w:tcPr>
          <w:p w14:paraId="2C552B35">
            <w:pPr>
              <w:spacing w:line="240" w:lineRule="auto"/>
              <w:jc w:val="center"/>
              <w:rPr>
                <w:rFonts w:hint="eastAsia" w:ascii="宋体" w:hAnsi="宋体" w:eastAsia="宋体" w:cs="宋体"/>
                <w:color w:val="auto"/>
              </w:rPr>
            </w:pPr>
          </w:p>
        </w:tc>
      </w:tr>
      <w:tr w14:paraId="5E8B40BA">
        <w:tblPrEx>
          <w:tblCellMar>
            <w:top w:w="15" w:type="dxa"/>
            <w:left w:w="15" w:type="dxa"/>
            <w:bottom w:w="15" w:type="dxa"/>
            <w:right w:w="15" w:type="dxa"/>
          </w:tblCellMar>
        </w:tblPrEx>
        <w:trPr>
          <w:trHeight w:val="435"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CA527">
            <w:pPr>
              <w:keepNext w:val="0"/>
              <w:keepLines w:val="0"/>
              <w:widowControl/>
              <w:suppressLineNumbers w:val="0"/>
              <w:ind w:firstLine="480" w:firstLineChars="200"/>
              <w:jc w:val="center"/>
              <w:textAlignment w:val="center"/>
              <w:rPr>
                <w:rFonts w:hint="eastAsia" w:ascii="宋体" w:hAnsi="宋体" w:eastAsia="宋体" w:cs="宋体"/>
                <w:color w:val="auto"/>
              </w:rPr>
            </w:pPr>
            <w:r>
              <w:rPr>
                <w:rFonts w:hint="eastAsia" w:ascii="宋体" w:hAnsi="宋体" w:eastAsia="宋体" w:cs="宋体"/>
                <w:i w:val="0"/>
                <w:iCs w:val="0"/>
                <w:color w:val="auto"/>
                <w:kern w:val="0"/>
                <w:sz w:val="24"/>
                <w:szCs w:val="24"/>
                <w:u w:val="none"/>
                <w:lang w:val="en-US" w:eastAsia="zh-CN" w:bidi="ar"/>
              </w:rPr>
              <w:t>3</w:t>
            </w:r>
          </w:p>
        </w:tc>
        <w:tc>
          <w:tcPr>
            <w:tcW w:w="7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61B7C">
            <w:pPr>
              <w:keepNext w:val="0"/>
              <w:keepLines w:val="0"/>
              <w:widowControl/>
              <w:suppressLineNumbers w:val="0"/>
              <w:ind w:firstLine="480" w:firstLineChars="200"/>
              <w:jc w:val="center"/>
              <w:textAlignment w:val="center"/>
              <w:rPr>
                <w:rFonts w:hint="eastAsia" w:ascii="宋体" w:hAnsi="宋体" w:eastAsia="宋体" w:cs="宋体"/>
                <w:color w:val="auto"/>
              </w:rPr>
            </w:pPr>
            <w:r>
              <w:rPr>
                <w:rFonts w:hint="eastAsia" w:ascii="宋体" w:hAnsi="宋体" w:eastAsia="宋体" w:cs="宋体"/>
                <w:i w:val="0"/>
                <w:iCs w:val="0"/>
                <w:color w:val="auto"/>
                <w:kern w:val="0"/>
                <w:sz w:val="24"/>
                <w:szCs w:val="24"/>
                <w:u w:val="none"/>
                <w:lang w:val="en-US" w:eastAsia="zh-CN" w:bidi="ar"/>
              </w:rPr>
              <w:t>小勐统镇中心校</w:t>
            </w:r>
          </w:p>
        </w:tc>
        <w:tc>
          <w:tcPr>
            <w:tcW w:w="3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E9BD1">
            <w:pPr>
              <w:spacing w:line="240" w:lineRule="auto"/>
              <w:jc w:val="center"/>
              <w:rPr>
                <w:rFonts w:hint="eastAsia" w:ascii="宋体" w:hAnsi="宋体" w:eastAsia="宋体" w:cs="宋体"/>
                <w:color w:val="auto"/>
              </w:rPr>
            </w:pPr>
          </w:p>
        </w:tc>
      </w:tr>
      <w:tr w14:paraId="15976208">
        <w:tblPrEx>
          <w:tblCellMar>
            <w:top w:w="15" w:type="dxa"/>
            <w:left w:w="15" w:type="dxa"/>
            <w:bottom w:w="15" w:type="dxa"/>
            <w:right w:w="15" w:type="dxa"/>
          </w:tblCellMar>
        </w:tblPrEx>
        <w:trPr>
          <w:trHeight w:val="435"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8D6E5">
            <w:pPr>
              <w:keepNext w:val="0"/>
              <w:keepLines w:val="0"/>
              <w:widowControl/>
              <w:suppressLineNumbers w:val="0"/>
              <w:ind w:firstLine="480" w:firstLineChars="200"/>
              <w:jc w:val="center"/>
              <w:textAlignment w:val="center"/>
              <w:rPr>
                <w:rFonts w:hint="eastAsia" w:ascii="宋体" w:hAnsi="宋体" w:eastAsia="宋体" w:cs="宋体"/>
                <w:color w:val="auto"/>
              </w:rPr>
            </w:pPr>
            <w:r>
              <w:rPr>
                <w:rFonts w:hint="eastAsia" w:ascii="宋体" w:hAnsi="宋体" w:eastAsia="宋体" w:cs="宋体"/>
                <w:i w:val="0"/>
                <w:iCs w:val="0"/>
                <w:color w:val="auto"/>
                <w:kern w:val="0"/>
                <w:sz w:val="24"/>
                <w:szCs w:val="24"/>
                <w:u w:val="none"/>
                <w:lang w:val="en-US" w:eastAsia="zh-CN" w:bidi="ar"/>
              </w:rPr>
              <w:t>4</w:t>
            </w:r>
          </w:p>
        </w:tc>
        <w:tc>
          <w:tcPr>
            <w:tcW w:w="7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A1926">
            <w:pPr>
              <w:keepNext w:val="0"/>
              <w:keepLines w:val="0"/>
              <w:widowControl/>
              <w:suppressLineNumbers w:val="0"/>
              <w:ind w:firstLine="480" w:firstLineChars="200"/>
              <w:jc w:val="center"/>
              <w:textAlignment w:val="center"/>
              <w:rPr>
                <w:rFonts w:hint="eastAsia" w:ascii="宋体" w:hAnsi="宋体" w:eastAsia="宋体" w:cs="宋体"/>
                <w:color w:val="auto"/>
              </w:rPr>
            </w:pPr>
            <w:r>
              <w:rPr>
                <w:rFonts w:hint="eastAsia" w:ascii="宋体" w:hAnsi="宋体" w:eastAsia="宋体" w:cs="宋体"/>
                <w:i w:val="0"/>
                <w:iCs w:val="0"/>
                <w:color w:val="auto"/>
                <w:kern w:val="0"/>
                <w:sz w:val="24"/>
                <w:szCs w:val="24"/>
                <w:u w:val="none"/>
                <w:lang w:val="en-US" w:eastAsia="zh-CN" w:bidi="ar"/>
              </w:rPr>
              <w:t>大山中心校</w:t>
            </w:r>
          </w:p>
        </w:tc>
        <w:tc>
          <w:tcPr>
            <w:tcW w:w="3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3D12A">
            <w:pPr>
              <w:spacing w:line="240" w:lineRule="auto"/>
              <w:jc w:val="center"/>
              <w:rPr>
                <w:rFonts w:hint="eastAsia" w:ascii="宋体" w:hAnsi="宋体" w:eastAsia="宋体" w:cs="宋体"/>
                <w:color w:val="auto"/>
              </w:rPr>
            </w:pPr>
          </w:p>
        </w:tc>
      </w:tr>
      <w:tr w14:paraId="02611052">
        <w:tblPrEx>
          <w:tblCellMar>
            <w:top w:w="15" w:type="dxa"/>
            <w:left w:w="15" w:type="dxa"/>
            <w:bottom w:w="15" w:type="dxa"/>
            <w:right w:w="15" w:type="dxa"/>
          </w:tblCellMar>
        </w:tblPrEx>
        <w:trPr>
          <w:trHeight w:val="435"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AEC07">
            <w:pPr>
              <w:keepNext w:val="0"/>
              <w:keepLines w:val="0"/>
              <w:widowControl/>
              <w:suppressLineNumbers w:val="0"/>
              <w:ind w:firstLine="480" w:firstLineChars="200"/>
              <w:jc w:val="center"/>
              <w:textAlignment w:val="center"/>
              <w:rPr>
                <w:rFonts w:hint="eastAsia" w:ascii="宋体" w:hAnsi="宋体" w:eastAsia="宋体" w:cs="宋体"/>
                <w:color w:val="auto"/>
              </w:rPr>
            </w:pPr>
            <w:r>
              <w:rPr>
                <w:rFonts w:hint="eastAsia" w:ascii="宋体" w:hAnsi="宋体" w:eastAsia="宋体" w:cs="宋体"/>
                <w:i w:val="0"/>
                <w:iCs w:val="0"/>
                <w:color w:val="auto"/>
                <w:kern w:val="0"/>
                <w:sz w:val="24"/>
                <w:szCs w:val="24"/>
                <w:u w:val="none"/>
                <w:lang w:val="en-US" w:eastAsia="zh-CN" w:bidi="ar"/>
              </w:rPr>
              <w:t>5</w:t>
            </w:r>
          </w:p>
        </w:tc>
        <w:tc>
          <w:tcPr>
            <w:tcW w:w="7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36A4E">
            <w:pPr>
              <w:keepNext w:val="0"/>
              <w:keepLines w:val="0"/>
              <w:widowControl/>
              <w:suppressLineNumbers w:val="0"/>
              <w:ind w:firstLine="480" w:firstLineChars="200"/>
              <w:jc w:val="center"/>
              <w:textAlignment w:val="center"/>
              <w:rPr>
                <w:rFonts w:hint="eastAsia" w:ascii="宋体" w:hAnsi="宋体" w:eastAsia="宋体" w:cs="宋体"/>
                <w:color w:val="auto"/>
              </w:rPr>
            </w:pPr>
            <w:r>
              <w:rPr>
                <w:rFonts w:hint="eastAsia" w:ascii="宋体" w:hAnsi="宋体" w:eastAsia="宋体" w:cs="宋体"/>
                <w:i w:val="0"/>
                <w:iCs w:val="0"/>
                <w:color w:val="auto"/>
                <w:kern w:val="0"/>
                <w:sz w:val="24"/>
                <w:szCs w:val="24"/>
                <w:u w:val="none"/>
                <w:lang w:val="en-US" w:eastAsia="zh-CN" w:bidi="ar"/>
              </w:rPr>
              <w:t>崇岗中心校</w:t>
            </w:r>
          </w:p>
        </w:tc>
        <w:tc>
          <w:tcPr>
            <w:tcW w:w="3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C713F">
            <w:pPr>
              <w:spacing w:line="240" w:lineRule="auto"/>
              <w:jc w:val="center"/>
              <w:rPr>
                <w:rFonts w:hint="eastAsia" w:ascii="宋体" w:hAnsi="宋体" w:eastAsia="宋体" w:cs="宋体"/>
                <w:color w:val="auto"/>
              </w:rPr>
            </w:pPr>
          </w:p>
        </w:tc>
      </w:tr>
      <w:tr w14:paraId="0F6C3E0A">
        <w:tblPrEx>
          <w:tblCellMar>
            <w:top w:w="15" w:type="dxa"/>
            <w:left w:w="15" w:type="dxa"/>
            <w:bottom w:w="15" w:type="dxa"/>
            <w:right w:w="15" w:type="dxa"/>
          </w:tblCellMar>
        </w:tblPrEx>
        <w:trPr>
          <w:trHeight w:val="435"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E05C2">
            <w:pPr>
              <w:keepNext w:val="0"/>
              <w:keepLines w:val="0"/>
              <w:widowControl/>
              <w:suppressLineNumbers w:val="0"/>
              <w:ind w:firstLine="480" w:firstLineChars="200"/>
              <w:jc w:val="center"/>
              <w:textAlignment w:val="center"/>
              <w:rPr>
                <w:rFonts w:hint="eastAsia" w:ascii="宋体" w:hAnsi="宋体" w:eastAsia="宋体" w:cs="宋体"/>
                <w:color w:val="auto"/>
              </w:rPr>
            </w:pPr>
            <w:r>
              <w:rPr>
                <w:rFonts w:hint="eastAsia" w:ascii="宋体" w:hAnsi="宋体" w:eastAsia="宋体" w:cs="宋体"/>
                <w:i w:val="0"/>
                <w:iCs w:val="0"/>
                <w:color w:val="auto"/>
                <w:kern w:val="0"/>
                <w:sz w:val="24"/>
                <w:szCs w:val="24"/>
                <w:u w:val="none"/>
                <w:lang w:val="en-US" w:eastAsia="zh-CN" w:bidi="ar"/>
              </w:rPr>
              <w:t>6</w:t>
            </w:r>
          </w:p>
        </w:tc>
        <w:tc>
          <w:tcPr>
            <w:tcW w:w="7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FA7A4">
            <w:pPr>
              <w:keepNext w:val="0"/>
              <w:keepLines w:val="0"/>
              <w:widowControl/>
              <w:suppressLineNumbers w:val="0"/>
              <w:ind w:firstLine="480" w:firstLineChars="200"/>
              <w:jc w:val="center"/>
              <w:textAlignment w:val="center"/>
              <w:rPr>
                <w:rFonts w:hint="eastAsia" w:ascii="宋体" w:hAnsi="宋体" w:eastAsia="宋体" w:cs="宋体"/>
                <w:color w:val="auto"/>
              </w:rPr>
            </w:pPr>
            <w:r>
              <w:rPr>
                <w:rFonts w:hint="eastAsia" w:ascii="宋体" w:hAnsi="宋体" w:eastAsia="宋体" w:cs="宋体"/>
                <w:i w:val="0"/>
                <w:iCs w:val="0"/>
                <w:color w:val="auto"/>
                <w:kern w:val="0"/>
                <w:sz w:val="24"/>
                <w:szCs w:val="24"/>
                <w:u w:val="none"/>
                <w:lang w:val="en-US" w:eastAsia="zh-CN" w:bidi="ar"/>
              </w:rPr>
              <w:t>大雪山中心校</w:t>
            </w:r>
          </w:p>
        </w:tc>
        <w:tc>
          <w:tcPr>
            <w:tcW w:w="3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2AD5D">
            <w:pPr>
              <w:spacing w:line="240" w:lineRule="auto"/>
              <w:jc w:val="center"/>
              <w:rPr>
                <w:rFonts w:hint="eastAsia" w:ascii="宋体" w:hAnsi="宋体" w:eastAsia="宋体" w:cs="宋体"/>
                <w:color w:val="auto"/>
              </w:rPr>
            </w:pPr>
          </w:p>
        </w:tc>
      </w:tr>
      <w:tr w14:paraId="283031A5">
        <w:tblPrEx>
          <w:tblCellMar>
            <w:top w:w="15" w:type="dxa"/>
            <w:left w:w="15" w:type="dxa"/>
            <w:bottom w:w="15" w:type="dxa"/>
            <w:right w:w="15" w:type="dxa"/>
          </w:tblCellMar>
        </w:tblPrEx>
        <w:trPr>
          <w:trHeight w:val="435"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D6AAE">
            <w:pPr>
              <w:keepNext w:val="0"/>
              <w:keepLines w:val="0"/>
              <w:widowControl/>
              <w:suppressLineNumbers w:val="0"/>
              <w:ind w:firstLine="480" w:firstLineChars="200"/>
              <w:jc w:val="center"/>
              <w:textAlignment w:val="center"/>
              <w:rPr>
                <w:rFonts w:hint="eastAsia" w:ascii="宋体" w:hAnsi="宋体" w:eastAsia="宋体" w:cs="宋体"/>
                <w:color w:val="auto"/>
              </w:rPr>
            </w:pPr>
            <w:r>
              <w:rPr>
                <w:rFonts w:hint="eastAsia" w:ascii="宋体" w:hAnsi="宋体" w:eastAsia="宋体" w:cs="宋体"/>
                <w:i w:val="0"/>
                <w:iCs w:val="0"/>
                <w:color w:val="auto"/>
                <w:kern w:val="0"/>
                <w:sz w:val="24"/>
                <w:szCs w:val="24"/>
                <w:u w:val="none"/>
                <w:lang w:val="en-US" w:eastAsia="zh-CN" w:bidi="ar"/>
              </w:rPr>
              <w:t>7</w:t>
            </w:r>
          </w:p>
        </w:tc>
        <w:tc>
          <w:tcPr>
            <w:tcW w:w="7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2B8B3">
            <w:pPr>
              <w:keepNext w:val="0"/>
              <w:keepLines w:val="0"/>
              <w:widowControl/>
              <w:suppressLineNumbers w:val="0"/>
              <w:ind w:firstLine="480" w:firstLineChars="200"/>
              <w:jc w:val="center"/>
              <w:textAlignment w:val="center"/>
              <w:rPr>
                <w:rFonts w:hint="eastAsia" w:ascii="宋体" w:hAnsi="宋体" w:eastAsia="宋体" w:cs="宋体"/>
                <w:color w:val="auto"/>
              </w:rPr>
            </w:pPr>
            <w:r>
              <w:rPr>
                <w:rFonts w:hint="eastAsia" w:ascii="宋体" w:hAnsi="宋体" w:eastAsia="宋体" w:cs="宋体"/>
                <w:i w:val="0"/>
                <w:iCs w:val="0"/>
                <w:color w:val="auto"/>
                <w:kern w:val="0"/>
                <w:sz w:val="24"/>
                <w:szCs w:val="24"/>
                <w:u w:val="none"/>
                <w:lang w:val="en-US" w:eastAsia="zh-CN" w:bidi="ar"/>
              </w:rPr>
              <w:t>亚练中心校</w:t>
            </w:r>
          </w:p>
        </w:tc>
        <w:tc>
          <w:tcPr>
            <w:tcW w:w="3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07291">
            <w:pPr>
              <w:spacing w:line="240" w:lineRule="auto"/>
              <w:jc w:val="center"/>
              <w:rPr>
                <w:rFonts w:hint="eastAsia" w:ascii="宋体" w:hAnsi="宋体" w:eastAsia="宋体" w:cs="宋体"/>
                <w:color w:val="auto"/>
              </w:rPr>
            </w:pPr>
          </w:p>
        </w:tc>
      </w:tr>
      <w:tr w14:paraId="26DE93CB">
        <w:tblPrEx>
          <w:tblCellMar>
            <w:top w:w="15" w:type="dxa"/>
            <w:left w:w="15" w:type="dxa"/>
            <w:bottom w:w="15" w:type="dxa"/>
            <w:right w:w="15" w:type="dxa"/>
          </w:tblCellMar>
        </w:tblPrEx>
        <w:trPr>
          <w:trHeight w:val="435"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B444D">
            <w:pPr>
              <w:keepNext w:val="0"/>
              <w:keepLines w:val="0"/>
              <w:widowControl/>
              <w:suppressLineNumbers w:val="0"/>
              <w:ind w:firstLine="480" w:firstLineChars="200"/>
              <w:jc w:val="center"/>
              <w:textAlignment w:val="center"/>
              <w:rPr>
                <w:rFonts w:hint="eastAsia" w:ascii="宋体" w:hAnsi="宋体" w:eastAsia="宋体" w:cs="宋体"/>
                <w:color w:val="auto"/>
              </w:rPr>
            </w:pPr>
            <w:r>
              <w:rPr>
                <w:rFonts w:hint="eastAsia" w:ascii="宋体" w:hAnsi="宋体" w:eastAsia="宋体" w:cs="宋体"/>
                <w:i w:val="0"/>
                <w:iCs w:val="0"/>
                <w:color w:val="auto"/>
                <w:kern w:val="0"/>
                <w:sz w:val="24"/>
                <w:szCs w:val="24"/>
                <w:u w:val="none"/>
                <w:lang w:val="en-US" w:eastAsia="zh-CN" w:bidi="ar"/>
              </w:rPr>
              <w:t>8</w:t>
            </w:r>
          </w:p>
        </w:tc>
        <w:tc>
          <w:tcPr>
            <w:tcW w:w="7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EC6D6">
            <w:pPr>
              <w:keepNext w:val="0"/>
              <w:keepLines w:val="0"/>
              <w:widowControl/>
              <w:suppressLineNumbers w:val="0"/>
              <w:ind w:firstLine="480" w:firstLineChars="200"/>
              <w:jc w:val="center"/>
              <w:textAlignment w:val="center"/>
              <w:rPr>
                <w:rFonts w:hint="eastAsia" w:ascii="宋体" w:hAnsi="宋体" w:eastAsia="宋体" w:cs="宋体"/>
                <w:color w:val="auto"/>
              </w:rPr>
            </w:pPr>
            <w:r>
              <w:rPr>
                <w:rFonts w:hint="eastAsia" w:ascii="宋体" w:hAnsi="宋体" w:eastAsia="宋体" w:cs="宋体"/>
                <w:i w:val="0"/>
                <w:iCs w:val="0"/>
                <w:color w:val="auto"/>
                <w:kern w:val="0"/>
                <w:sz w:val="24"/>
                <w:szCs w:val="24"/>
                <w:u w:val="none"/>
                <w:lang w:val="en-US" w:eastAsia="zh-CN" w:bidi="ar"/>
              </w:rPr>
              <w:t>班卡中心校</w:t>
            </w:r>
          </w:p>
        </w:tc>
        <w:tc>
          <w:tcPr>
            <w:tcW w:w="3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4A42F">
            <w:pPr>
              <w:spacing w:line="240" w:lineRule="auto"/>
              <w:jc w:val="center"/>
              <w:rPr>
                <w:rFonts w:hint="eastAsia" w:ascii="宋体" w:hAnsi="宋体" w:eastAsia="宋体" w:cs="宋体"/>
                <w:color w:val="auto"/>
              </w:rPr>
            </w:pPr>
          </w:p>
        </w:tc>
      </w:tr>
      <w:tr w14:paraId="511D0E86">
        <w:tblPrEx>
          <w:tblCellMar>
            <w:top w:w="15" w:type="dxa"/>
            <w:left w:w="15" w:type="dxa"/>
            <w:bottom w:w="15" w:type="dxa"/>
            <w:right w:w="15" w:type="dxa"/>
          </w:tblCellMar>
        </w:tblPrEx>
        <w:trPr>
          <w:trHeight w:val="435"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6C593">
            <w:pPr>
              <w:keepNext w:val="0"/>
              <w:keepLines w:val="0"/>
              <w:widowControl/>
              <w:suppressLineNumbers w:val="0"/>
              <w:ind w:firstLine="480" w:firstLineChars="200"/>
              <w:jc w:val="center"/>
              <w:textAlignment w:val="center"/>
              <w:rPr>
                <w:rFonts w:hint="eastAsia" w:ascii="宋体" w:hAnsi="宋体" w:eastAsia="宋体" w:cs="宋体"/>
                <w:color w:val="auto"/>
              </w:rPr>
            </w:pPr>
            <w:r>
              <w:rPr>
                <w:rFonts w:hint="eastAsia" w:ascii="宋体" w:hAnsi="宋体" w:eastAsia="宋体" w:cs="宋体"/>
                <w:i w:val="0"/>
                <w:iCs w:val="0"/>
                <w:color w:val="auto"/>
                <w:kern w:val="0"/>
                <w:sz w:val="24"/>
                <w:szCs w:val="24"/>
                <w:u w:val="none"/>
                <w:lang w:val="en-US" w:eastAsia="zh-CN" w:bidi="ar"/>
              </w:rPr>
              <w:t>9</w:t>
            </w:r>
          </w:p>
        </w:tc>
        <w:tc>
          <w:tcPr>
            <w:tcW w:w="7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F5111">
            <w:pPr>
              <w:keepNext w:val="0"/>
              <w:keepLines w:val="0"/>
              <w:widowControl/>
              <w:suppressLineNumbers w:val="0"/>
              <w:ind w:firstLine="480" w:firstLineChars="200"/>
              <w:jc w:val="center"/>
              <w:textAlignment w:val="center"/>
              <w:rPr>
                <w:rFonts w:hint="eastAsia" w:ascii="宋体" w:hAnsi="宋体" w:eastAsia="宋体" w:cs="宋体"/>
                <w:color w:val="auto"/>
              </w:rPr>
            </w:pPr>
            <w:r>
              <w:rPr>
                <w:rFonts w:hint="eastAsia" w:ascii="宋体" w:hAnsi="宋体" w:eastAsia="宋体" w:cs="宋体"/>
                <w:i w:val="0"/>
                <w:iCs w:val="0"/>
                <w:color w:val="auto"/>
                <w:kern w:val="0"/>
                <w:sz w:val="24"/>
                <w:szCs w:val="24"/>
                <w:u w:val="none"/>
                <w:lang w:val="en-US" w:eastAsia="zh-CN" w:bidi="ar"/>
              </w:rPr>
              <w:t>乌木龙中心校</w:t>
            </w:r>
          </w:p>
        </w:tc>
        <w:tc>
          <w:tcPr>
            <w:tcW w:w="3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A3178">
            <w:pPr>
              <w:spacing w:line="240" w:lineRule="auto"/>
              <w:jc w:val="center"/>
              <w:rPr>
                <w:rFonts w:hint="eastAsia" w:ascii="宋体" w:hAnsi="宋体" w:eastAsia="宋体" w:cs="宋体"/>
                <w:color w:val="auto"/>
              </w:rPr>
            </w:pPr>
          </w:p>
        </w:tc>
      </w:tr>
      <w:tr w14:paraId="26BC869A">
        <w:tblPrEx>
          <w:tblCellMar>
            <w:top w:w="15" w:type="dxa"/>
            <w:left w:w="15" w:type="dxa"/>
            <w:bottom w:w="15" w:type="dxa"/>
            <w:right w:w="15" w:type="dxa"/>
          </w:tblCellMar>
        </w:tblPrEx>
        <w:trPr>
          <w:trHeight w:val="435"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B275F">
            <w:pPr>
              <w:keepNext w:val="0"/>
              <w:keepLines w:val="0"/>
              <w:widowControl/>
              <w:suppressLineNumbers w:val="0"/>
              <w:ind w:firstLine="480" w:firstLineChars="200"/>
              <w:jc w:val="center"/>
              <w:textAlignment w:val="center"/>
              <w:rPr>
                <w:rFonts w:hint="eastAsia"/>
                <w:color w:val="auto"/>
              </w:rPr>
            </w:pPr>
            <w:r>
              <w:rPr>
                <w:rFonts w:hint="eastAsia" w:ascii="宋体" w:hAnsi="宋体" w:eastAsia="宋体" w:cs="宋体"/>
                <w:i w:val="0"/>
                <w:iCs w:val="0"/>
                <w:color w:val="auto"/>
                <w:kern w:val="0"/>
                <w:sz w:val="24"/>
                <w:szCs w:val="24"/>
                <w:u w:val="none"/>
                <w:lang w:val="en-US" w:eastAsia="zh-CN" w:bidi="ar"/>
              </w:rPr>
              <w:t>10</w:t>
            </w:r>
          </w:p>
        </w:tc>
        <w:tc>
          <w:tcPr>
            <w:tcW w:w="7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39AAB">
            <w:pPr>
              <w:keepNext w:val="0"/>
              <w:keepLines w:val="0"/>
              <w:widowControl/>
              <w:suppressLineNumbers w:val="0"/>
              <w:ind w:firstLine="480" w:firstLineChars="200"/>
              <w:jc w:val="center"/>
              <w:textAlignment w:val="center"/>
              <w:rPr>
                <w:rFonts w:hint="eastAsia" w:ascii="宋体" w:hAnsi="宋体" w:eastAsia="宋体" w:cs="宋体"/>
                <w:color w:val="auto"/>
              </w:rPr>
            </w:pPr>
            <w:r>
              <w:rPr>
                <w:rFonts w:hint="eastAsia" w:ascii="宋体" w:hAnsi="宋体" w:eastAsia="宋体" w:cs="宋体"/>
                <w:i w:val="0"/>
                <w:iCs w:val="0"/>
                <w:color w:val="auto"/>
                <w:kern w:val="0"/>
                <w:sz w:val="24"/>
                <w:szCs w:val="24"/>
                <w:u w:val="none"/>
                <w:lang w:val="en-US" w:eastAsia="zh-CN" w:bidi="ar"/>
              </w:rPr>
              <w:t>勐板中心校</w:t>
            </w:r>
          </w:p>
        </w:tc>
        <w:tc>
          <w:tcPr>
            <w:tcW w:w="3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A24AC">
            <w:pPr>
              <w:spacing w:line="240" w:lineRule="auto"/>
              <w:jc w:val="center"/>
              <w:rPr>
                <w:rFonts w:hint="eastAsia" w:ascii="宋体" w:hAnsi="宋体" w:eastAsia="宋体" w:cs="宋体"/>
                <w:color w:val="auto"/>
              </w:rPr>
            </w:pPr>
          </w:p>
        </w:tc>
      </w:tr>
      <w:tr w14:paraId="4990AE33">
        <w:tblPrEx>
          <w:tblCellMar>
            <w:top w:w="15" w:type="dxa"/>
            <w:left w:w="15" w:type="dxa"/>
            <w:bottom w:w="15" w:type="dxa"/>
            <w:right w:w="15" w:type="dxa"/>
          </w:tblCellMar>
        </w:tblPrEx>
        <w:trPr>
          <w:trHeight w:val="435"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E22DF">
            <w:pPr>
              <w:keepNext w:val="0"/>
              <w:keepLines w:val="0"/>
              <w:widowControl/>
              <w:suppressLineNumbers w:val="0"/>
              <w:ind w:firstLine="480" w:firstLineChars="200"/>
              <w:jc w:val="center"/>
              <w:textAlignment w:val="center"/>
              <w:rPr>
                <w:rFonts w:hint="eastAsia"/>
                <w:color w:val="auto"/>
              </w:rPr>
            </w:pPr>
            <w:r>
              <w:rPr>
                <w:rFonts w:hint="eastAsia" w:ascii="宋体" w:hAnsi="宋体" w:eastAsia="宋体" w:cs="宋体"/>
                <w:i w:val="0"/>
                <w:iCs w:val="0"/>
                <w:color w:val="auto"/>
                <w:kern w:val="0"/>
                <w:sz w:val="24"/>
                <w:szCs w:val="24"/>
                <w:u w:val="none"/>
                <w:lang w:val="en-US" w:eastAsia="zh-CN" w:bidi="ar"/>
              </w:rPr>
              <w:t>11</w:t>
            </w:r>
          </w:p>
        </w:tc>
        <w:tc>
          <w:tcPr>
            <w:tcW w:w="7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134F2">
            <w:pPr>
              <w:keepNext w:val="0"/>
              <w:keepLines w:val="0"/>
              <w:widowControl/>
              <w:suppressLineNumbers w:val="0"/>
              <w:ind w:firstLine="480" w:firstLineChars="20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勐汞中学</w:t>
            </w:r>
          </w:p>
        </w:tc>
        <w:tc>
          <w:tcPr>
            <w:tcW w:w="3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49AFD">
            <w:pPr>
              <w:spacing w:line="240" w:lineRule="auto"/>
              <w:jc w:val="center"/>
              <w:rPr>
                <w:rFonts w:hint="eastAsia" w:ascii="宋体" w:hAnsi="宋体" w:eastAsia="宋体" w:cs="宋体"/>
                <w:color w:val="auto"/>
              </w:rPr>
            </w:pPr>
          </w:p>
        </w:tc>
      </w:tr>
      <w:tr w14:paraId="16082C23">
        <w:tblPrEx>
          <w:tblCellMar>
            <w:top w:w="15" w:type="dxa"/>
            <w:left w:w="15" w:type="dxa"/>
            <w:bottom w:w="15" w:type="dxa"/>
            <w:right w:w="15" w:type="dxa"/>
          </w:tblCellMar>
        </w:tblPrEx>
        <w:trPr>
          <w:trHeight w:val="435"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874B3">
            <w:pPr>
              <w:keepNext w:val="0"/>
              <w:keepLines w:val="0"/>
              <w:widowControl/>
              <w:suppressLineNumbers w:val="0"/>
              <w:ind w:firstLine="480" w:firstLineChars="200"/>
              <w:jc w:val="center"/>
              <w:textAlignment w:val="center"/>
              <w:rPr>
                <w:rFonts w:hint="eastAsia"/>
                <w:color w:val="auto"/>
              </w:rPr>
            </w:pPr>
            <w:r>
              <w:rPr>
                <w:rFonts w:hint="eastAsia" w:ascii="宋体" w:hAnsi="宋体" w:eastAsia="宋体" w:cs="宋体"/>
                <w:i w:val="0"/>
                <w:iCs w:val="0"/>
                <w:color w:val="auto"/>
                <w:kern w:val="0"/>
                <w:sz w:val="24"/>
                <w:szCs w:val="24"/>
                <w:u w:val="none"/>
                <w:lang w:val="en-US" w:eastAsia="zh-CN" w:bidi="ar"/>
              </w:rPr>
              <w:t>12</w:t>
            </w:r>
          </w:p>
        </w:tc>
        <w:tc>
          <w:tcPr>
            <w:tcW w:w="7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526A7">
            <w:pPr>
              <w:keepNext w:val="0"/>
              <w:keepLines w:val="0"/>
              <w:widowControl/>
              <w:suppressLineNumbers w:val="0"/>
              <w:ind w:firstLine="480" w:firstLineChars="20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明朗中学</w:t>
            </w:r>
          </w:p>
        </w:tc>
        <w:tc>
          <w:tcPr>
            <w:tcW w:w="3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D15E5">
            <w:pPr>
              <w:spacing w:line="240" w:lineRule="auto"/>
              <w:jc w:val="center"/>
              <w:rPr>
                <w:rFonts w:hint="eastAsia" w:ascii="宋体" w:hAnsi="宋体" w:eastAsia="宋体" w:cs="宋体"/>
                <w:color w:val="auto"/>
              </w:rPr>
            </w:pPr>
          </w:p>
        </w:tc>
      </w:tr>
      <w:tr w14:paraId="5E38BDE3">
        <w:tblPrEx>
          <w:tblCellMar>
            <w:top w:w="15" w:type="dxa"/>
            <w:left w:w="15" w:type="dxa"/>
            <w:bottom w:w="15" w:type="dxa"/>
            <w:right w:w="15" w:type="dxa"/>
          </w:tblCellMar>
        </w:tblPrEx>
        <w:trPr>
          <w:trHeight w:val="435"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74DD6">
            <w:pPr>
              <w:keepNext w:val="0"/>
              <w:keepLines w:val="0"/>
              <w:widowControl/>
              <w:suppressLineNumbers w:val="0"/>
              <w:ind w:firstLine="480" w:firstLineChars="200"/>
              <w:jc w:val="center"/>
              <w:textAlignment w:val="center"/>
              <w:rPr>
                <w:rFonts w:hint="eastAsia"/>
                <w:color w:val="auto"/>
              </w:rPr>
            </w:pPr>
            <w:r>
              <w:rPr>
                <w:rFonts w:hint="eastAsia" w:ascii="宋体" w:hAnsi="宋体" w:eastAsia="宋体" w:cs="宋体"/>
                <w:i w:val="0"/>
                <w:iCs w:val="0"/>
                <w:color w:val="auto"/>
                <w:kern w:val="0"/>
                <w:sz w:val="24"/>
                <w:szCs w:val="24"/>
                <w:u w:val="none"/>
                <w:lang w:val="en-US" w:eastAsia="zh-CN" w:bidi="ar"/>
              </w:rPr>
              <w:t>13</w:t>
            </w:r>
          </w:p>
        </w:tc>
        <w:tc>
          <w:tcPr>
            <w:tcW w:w="7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36340">
            <w:pPr>
              <w:keepNext w:val="0"/>
              <w:keepLines w:val="0"/>
              <w:widowControl/>
              <w:suppressLineNumbers w:val="0"/>
              <w:ind w:firstLine="480" w:firstLineChars="20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红旗山中学</w:t>
            </w:r>
          </w:p>
        </w:tc>
        <w:tc>
          <w:tcPr>
            <w:tcW w:w="3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6AC1E">
            <w:pPr>
              <w:spacing w:line="240" w:lineRule="auto"/>
              <w:jc w:val="center"/>
              <w:rPr>
                <w:rFonts w:hint="eastAsia" w:ascii="宋体" w:hAnsi="宋体" w:eastAsia="宋体" w:cs="宋体"/>
                <w:color w:val="auto"/>
              </w:rPr>
            </w:pPr>
          </w:p>
        </w:tc>
      </w:tr>
      <w:tr w14:paraId="27B8357B">
        <w:tblPrEx>
          <w:tblCellMar>
            <w:top w:w="15" w:type="dxa"/>
            <w:left w:w="15" w:type="dxa"/>
            <w:bottom w:w="15" w:type="dxa"/>
            <w:right w:w="15" w:type="dxa"/>
          </w:tblCellMar>
        </w:tblPrEx>
        <w:trPr>
          <w:trHeight w:val="435"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F8EC0">
            <w:pPr>
              <w:keepNext w:val="0"/>
              <w:keepLines w:val="0"/>
              <w:widowControl/>
              <w:suppressLineNumbers w:val="0"/>
              <w:ind w:firstLine="480" w:firstLineChars="200"/>
              <w:jc w:val="center"/>
              <w:textAlignment w:val="center"/>
              <w:rPr>
                <w:rFonts w:hint="eastAsia"/>
                <w:color w:val="auto"/>
              </w:rPr>
            </w:pPr>
            <w:r>
              <w:rPr>
                <w:rFonts w:hint="eastAsia" w:ascii="宋体" w:hAnsi="宋体" w:eastAsia="宋体" w:cs="宋体"/>
                <w:i w:val="0"/>
                <w:iCs w:val="0"/>
                <w:color w:val="auto"/>
                <w:kern w:val="0"/>
                <w:sz w:val="24"/>
                <w:szCs w:val="24"/>
                <w:u w:val="none"/>
                <w:lang w:val="en-US" w:eastAsia="zh-CN" w:bidi="ar"/>
              </w:rPr>
              <w:t>14</w:t>
            </w:r>
          </w:p>
        </w:tc>
        <w:tc>
          <w:tcPr>
            <w:tcW w:w="7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AD6A7">
            <w:pPr>
              <w:keepNext w:val="0"/>
              <w:keepLines w:val="0"/>
              <w:widowControl/>
              <w:suppressLineNumbers w:val="0"/>
              <w:ind w:firstLine="480" w:firstLineChars="20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小勐统中学</w:t>
            </w:r>
          </w:p>
        </w:tc>
        <w:tc>
          <w:tcPr>
            <w:tcW w:w="3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F7429">
            <w:pPr>
              <w:spacing w:line="240" w:lineRule="auto"/>
              <w:jc w:val="center"/>
              <w:rPr>
                <w:rFonts w:hint="eastAsia" w:ascii="宋体" w:hAnsi="宋体" w:eastAsia="宋体" w:cs="宋体"/>
                <w:color w:val="auto"/>
              </w:rPr>
            </w:pPr>
          </w:p>
        </w:tc>
      </w:tr>
      <w:tr w14:paraId="27FC7802">
        <w:tblPrEx>
          <w:tblCellMar>
            <w:top w:w="15" w:type="dxa"/>
            <w:left w:w="15" w:type="dxa"/>
            <w:bottom w:w="15" w:type="dxa"/>
            <w:right w:w="15" w:type="dxa"/>
          </w:tblCellMar>
        </w:tblPrEx>
        <w:trPr>
          <w:trHeight w:val="435"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494D8">
            <w:pPr>
              <w:keepNext w:val="0"/>
              <w:keepLines w:val="0"/>
              <w:widowControl/>
              <w:suppressLineNumbers w:val="0"/>
              <w:ind w:firstLine="480" w:firstLineChars="200"/>
              <w:jc w:val="center"/>
              <w:textAlignment w:val="center"/>
              <w:rPr>
                <w:rFonts w:hint="eastAsia"/>
                <w:color w:val="auto"/>
              </w:rPr>
            </w:pPr>
            <w:r>
              <w:rPr>
                <w:rFonts w:hint="eastAsia" w:ascii="宋体" w:hAnsi="宋体" w:eastAsia="宋体" w:cs="宋体"/>
                <w:i w:val="0"/>
                <w:iCs w:val="0"/>
                <w:color w:val="auto"/>
                <w:kern w:val="0"/>
                <w:sz w:val="24"/>
                <w:szCs w:val="24"/>
                <w:u w:val="none"/>
                <w:lang w:val="en-US" w:eastAsia="zh-CN" w:bidi="ar"/>
              </w:rPr>
              <w:t>15</w:t>
            </w:r>
          </w:p>
        </w:tc>
        <w:tc>
          <w:tcPr>
            <w:tcW w:w="7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8207B">
            <w:pPr>
              <w:keepNext w:val="0"/>
              <w:keepLines w:val="0"/>
              <w:widowControl/>
              <w:suppressLineNumbers w:val="0"/>
              <w:ind w:firstLine="480" w:firstLineChars="20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永甸九年一贯制学校</w:t>
            </w:r>
          </w:p>
        </w:tc>
        <w:tc>
          <w:tcPr>
            <w:tcW w:w="3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4ECB1">
            <w:pPr>
              <w:spacing w:line="240" w:lineRule="auto"/>
              <w:jc w:val="center"/>
              <w:rPr>
                <w:rFonts w:hint="eastAsia" w:ascii="宋体" w:hAnsi="宋体" w:eastAsia="宋体" w:cs="宋体"/>
                <w:color w:val="auto"/>
              </w:rPr>
            </w:pPr>
          </w:p>
        </w:tc>
      </w:tr>
      <w:tr w14:paraId="28FE09D1">
        <w:tblPrEx>
          <w:tblCellMar>
            <w:top w:w="15" w:type="dxa"/>
            <w:left w:w="15" w:type="dxa"/>
            <w:bottom w:w="15" w:type="dxa"/>
            <w:right w:w="15" w:type="dxa"/>
          </w:tblCellMar>
        </w:tblPrEx>
        <w:trPr>
          <w:trHeight w:val="435"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3CC03">
            <w:pPr>
              <w:keepNext w:val="0"/>
              <w:keepLines w:val="0"/>
              <w:widowControl/>
              <w:suppressLineNumbers w:val="0"/>
              <w:ind w:firstLine="480" w:firstLineChars="200"/>
              <w:jc w:val="center"/>
              <w:textAlignment w:val="center"/>
              <w:rPr>
                <w:rFonts w:hint="default"/>
                <w:color w:val="auto"/>
                <w:lang w:val="en-US"/>
              </w:rPr>
            </w:pPr>
            <w:r>
              <w:rPr>
                <w:rFonts w:hint="eastAsia" w:ascii="宋体" w:hAnsi="宋体" w:eastAsia="宋体" w:cs="宋体"/>
                <w:i w:val="0"/>
                <w:iCs w:val="0"/>
                <w:color w:val="auto"/>
                <w:kern w:val="0"/>
                <w:sz w:val="24"/>
                <w:szCs w:val="24"/>
                <w:u w:val="none"/>
                <w:lang w:val="en-US" w:eastAsia="zh-CN" w:bidi="ar"/>
              </w:rPr>
              <w:t>16</w:t>
            </w:r>
          </w:p>
        </w:tc>
        <w:tc>
          <w:tcPr>
            <w:tcW w:w="7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41B5C">
            <w:pPr>
              <w:keepNext w:val="0"/>
              <w:keepLines w:val="0"/>
              <w:widowControl/>
              <w:suppressLineNumbers w:val="0"/>
              <w:ind w:firstLine="480" w:firstLineChars="20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大山中学</w:t>
            </w:r>
          </w:p>
        </w:tc>
        <w:tc>
          <w:tcPr>
            <w:tcW w:w="3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7BE53">
            <w:pPr>
              <w:spacing w:line="240" w:lineRule="auto"/>
              <w:jc w:val="center"/>
              <w:rPr>
                <w:rFonts w:hint="eastAsia" w:ascii="宋体" w:hAnsi="宋体" w:eastAsia="宋体" w:cs="宋体"/>
                <w:color w:val="auto"/>
              </w:rPr>
            </w:pPr>
          </w:p>
        </w:tc>
      </w:tr>
      <w:tr w14:paraId="365C52F7">
        <w:tblPrEx>
          <w:tblCellMar>
            <w:top w:w="15" w:type="dxa"/>
            <w:left w:w="15" w:type="dxa"/>
            <w:bottom w:w="15" w:type="dxa"/>
            <w:right w:w="15" w:type="dxa"/>
          </w:tblCellMar>
        </w:tblPrEx>
        <w:trPr>
          <w:trHeight w:val="435"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8632D">
            <w:pPr>
              <w:keepNext w:val="0"/>
              <w:keepLines w:val="0"/>
              <w:widowControl/>
              <w:suppressLineNumbers w:val="0"/>
              <w:ind w:firstLine="480" w:firstLineChars="200"/>
              <w:jc w:val="center"/>
              <w:textAlignment w:val="center"/>
              <w:rPr>
                <w:rFonts w:hint="default" w:eastAsia="宋体"/>
                <w:color w:val="auto"/>
                <w:lang w:val="en-US" w:eastAsia="zh-CN"/>
              </w:rPr>
            </w:pPr>
            <w:r>
              <w:rPr>
                <w:rFonts w:hint="eastAsia" w:ascii="宋体" w:hAnsi="宋体" w:eastAsia="宋体" w:cs="宋体"/>
                <w:i w:val="0"/>
                <w:iCs w:val="0"/>
                <w:color w:val="auto"/>
                <w:kern w:val="0"/>
                <w:sz w:val="24"/>
                <w:szCs w:val="24"/>
                <w:u w:val="none"/>
                <w:lang w:val="en-US" w:eastAsia="zh-CN" w:bidi="ar"/>
              </w:rPr>
              <w:t>17</w:t>
            </w:r>
          </w:p>
        </w:tc>
        <w:tc>
          <w:tcPr>
            <w:tcW w:w="7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7BF34">
            <w:pPr>
              <w:keepNext w:val="0"/>
              <w:keepLines w:val="0"/>
              <w:widowControl/>
              <w:suppressLineNumbers w:val="0"/>
              <w:ind w:firstLine="480" w:firstLineChars="20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崇岗中学</w:t>
            </w:r>
          </w:p>
        </w:tc>
        <w:tc>
          <w:tcPr>
            <w:tcW w:w="3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AFC3E">
            <w:pPr>
              <w:spacing w:line="240" w:lineRule="auto"/>
              <w:jc w:val="center"/>
              <w:rPr>
                <w:rFonts w:hint="eastAsia" w:ascii="宋体" w:hAnsi="宋体" w:eastAsia="宋体" w:cs="宋体"/>
                <w:color w:val="auto"/>
              </w:rPr>
            </w:pPr>
          </w:p>
        </w:tc>
      </w:tr>
      <w:tr w14:paraId="1400EBF4">
        <w:tblPrEx>
          <w:tblCellMar>
            <w:top w:w="15" w:type="dxa"/>
            <w:left w:w="15" w:type="dxa"/>
            <w:bottom w:w="15" w:type="dxa"/>
            <w:right w:w="15" w:type="dxa"/>
          </w:tblCellMar>
        </w:tblPrEx>
        <w:trPr>
          <w:trHeight w:val="435"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C578F">
            <w:pPr>
              <w:keepNext w:val="0"/>
              <w:keepLines w:val="0"/>
              <w:widowControl/>
              <w:suppressLineNumbers w:val="0"/>
              <w:ind w:firstLine="480" w:firstLineChars="200"/>
              <w:jc w:val="center"/>
              <w:textAlignment w:val="center"/>
              <w:rPr>
                <w:rFonts w:hint="default" w:eastAsia="宋体"/>
                <w:color w:val="auto"/>
                <w:lang w:val="en-US" w:eastAsia="zh-CN"/>
              </w:rPr>
            </w:pPr>
            <w:r>
              <w:rPr>
                <w:rFonts w:hint="eastAsia" w:ascii="宋体" w:hAnsi="宋体" w:eastAsia="宋体" w:cs="宋体"/>
                <w:i w:val="0"/>
                <w:iCs w:val="0"/>
                <w:color w:val="auto"/>
                <w:kern w:val="0"/>
                <w:sz w:val="24"/>
                <w:szCs w:val="24"/>
                <w:u w:val="none"/>
                <w:lang w:val="en-US" w:eastAsia="zh-CN" w:bidi="ar"/>
              </w:rPr>
              <w:t>18</w:t>
            </w:r>
          </w:p>
        </w:tc>
        <w:tc>
          <w:tcPr>
            <w:tcW w:w="7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BF545">
            <w:pPr>
              <w:keepNext w:val="0"/>
              <w:keepLines w:val="0"/>
              <w:widowControl/>
              <w:suppressLineNumbers w:val="0"/>
              <w:ind w:firstLine="480" w:firstLineChars="20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天生桥中学</w:t>
            </w:r>
          </w:p>
        </w:tc>
        <w:tc>
          <w:tcPr>
            <w:tcW w:w="3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4024E">
            <w:pPr>
              <w:spacing w:line="240" w:lineRule="auto"/>
              <w:jc w:val="center"/>
              <w:rPr>
                <w:rFonts w:hint="eastAsia" w:ascii="宋体" w:hAnsi="宋体" w:eastAsia="宋体" w:cs="宋体"/>
                <w:color w:val="auto"/>
              </w:rPr>
            </w:pPr>
          </w:p>
        </w:tc>
      </w:tr>
      <w:tr w14:paraId="502A462C">
        <w:tblPrEx>
          <w:tblCellMar>
            <w:top w:w="15" w:type="dxa"/>
            <w:left w:w="15" w:type="dxa"/>
            <w:bottom w:w="15" w:type="dxa"/>
            <w:right w:w="15" w:type="dxa"/>
          </w:tblCellMar>
        </w:tblPrEx>
        <w:trPr>
          <w:trHeight w:val="435"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0F34C">
            <w:pPr>
              <w:keepNext w:val="0"/>
              <w:keepLines w:val="0"/>
              <w:widowControl/>
              <w:suppressLineNumbers w:val="0"/>
              <w:ind w:firstLine="480" w:firstLineChars="200"/>
              <w:jc w:val="center"/>
              <w:textAlignment w:val="center"/>
              <w:rPr>
                <w:rFonts w:hint="default" w:eastAsia="宋体"/>
                <w:color w:val="auto"/>
                <w:lang w:val="en-US" w:eastAsia="zh-CN"/>
              </w:rPr>
            </w:pPr>
            <w:r>
              <w:rPr>
                <w:rFonts w:hint="eastAsia" w:ascii="宋体" w:hAnsi="宋体" w:eastAsia="宋体" w:cs="宋体"/>
                <w:i w:val="0"/>
                <w:iCs w:val="0"/>
                <w:color w:val="auto"/>
                <w:kern w:val="0"/>
                <w:sz w:val="24"/>
                <w:szCs w:val="24"/>
                <w:u w:val="none"/>
                <w:lang w:val="en-US" w:eastAsia="zh-CN" w:bidi="ar"/>
              </w:rPr>
              <w:t>19</w:t>
            </w:r>
          </w:p>
        </w:tc>
        <w:tc>
          <w:tcPr>
            <w:tcW w:w="7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6269E">
            <w:pPr>
              <w:keepNext w:val="0"/>
              <w:keepLines w:val="0"/>
              <w:widowControl/>
              <w:suppressLineNumbers w:val="0"/>
              <w:ind w:firstLine="480" w:firstLineChars="20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大雪山中学</w:t>
            </w:r>
          </w:p>
        </w:tc>
        <w:tc>
          <w:tcPr>
            <w:tcW w:w="3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30FAA">
            <w:pPr>
              <w:spacing w:line="240" w:lineRule="auto"/>
              <w:jc w:val="center"/>
              <w:rPr>
                <w:rFonts w:hint="eastAsia" w:ascii="宋体" w:hAnsi="宋体" w:eastAsia="宋体" w:cs="宋体"/>
                <w:color w:val="auto"/>
              </w:rPr>
            </w:pPr>
          </w:p>
        </w:tc>
      </w:tr>
      <w:tr w14:paraId="3FC7468D">
        <w:tblPrEx>
          <w:tblCellMar>
            <w:top w:w="15" w:type="dxa"/>
            <w:left w:w="15" w:type="dxa"/>
            <w:bottom w:w="15" w:type="dxa"/>
            <w:right w:w="15" w:type="dxa"/>
          </w:tblCellMar>
        </w:tblPrEx>
        <w:trPr>
          <w:trHeight w:val="435"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3C104">
            <w:pPr>
              <w:keepNext w:val="0"/>
              <w:keepLines w:val="0"/>
              <w:widowControl/>
              <w:suppressLineNumbers w:val="0"/>
              <w:ind w:firstLine="480" w:firstLineChars="200"/>
              <w:jc w:val="center"/>
              <w:textAlignment w:val="center"/>
              <w:rPr>
                <w:rFonts w:hint="default" w:eastAsia="宋体"/>
                <w:color w:val="auto"/>
                <w:lang w:val="en-US" w:eastAsia="zh-CN"/>
              </w:rPr>
            </w:pPr>
            <w:r>
              <w:rPr>
                <w:rFonts w:hint="eastAsia" w:ascii="宋体" w:hAnsi="宋体" w:eastAsia="宋体" w:cs="宋体"/>
                <w:i w:val="0"/>
                <w:iCs w:val="0"/>
                <w:color w:val="auto"/>
                <w:kern w:val="0"/>
                <w:sz w:val="24"/>
                <w:szCs w:val="24"/>
                <w:u w:val="none"/>
                <w:lang w:val="en-US" w:eastAsia="zh-CN" w:bidi="ar"/>
              </w:rPr>
              <w:t>20</w:t>
            </w:r>
          </w:p>
        </w:tc>
        <w:tc>
          <w:tcPr>
            <w:tcW w:w="7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0B566">
            <w:pPr>
              <w:keepNext w:val="0"/>
              <w:keepLines w:val="0"/>
              <w:widowControl/>
              <w:suppressLineNumbers w:val="0"/>
              <w:ind w:firstLine="480" w:firstLineChars="20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亚练中学</w:t>
            </w:r>
          </w:p>
        </w:tc>
        <w:tc>
          <w:tcPr>
            <w:tcW w:w="3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D08E6">
            <w:pPr>
              <w:spacing w:line="240" w:lineRule="auto"/>
              <w:jc w:val="center"/>
              <w:rPr>
                <w:rFonts w:hint="eastAsia" w:ascii="宋体" w:hAnsi="宋体" w:eastAsia="宋体" w:cs="宋体"/>
                <w:color w:val="auto"/>
              </w:rPr>
            </w:pPr>
          </w:p>
        </w:tc>
      </w:tr>
      <w:tr w14:paraId="6E1063F1">
        <w:tblPrEx>
          <w:tblCellMar>
            <w:top w:w="15" w:type="dxa"/>
            <w:left w:w="15" w:type="dxa"/>
            <w:bottom w:w="15" w:type="dxa"/>
            <w:right w:w="15" w:type="dxa"/>
          </w:tblCellMar>
        </w:tblPrEx>
        <w:trPr>
          <w:trHeight w:val="435"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F3143">
            <w:pPr>
              <w:keepNext w:val="0"/>
              <w:keepLines w:val="0"/>
              <w:widowControl/>
              <w:suppressLineNumbers w:val="0"/>
              <w:ind w:firstLine="480" w:firstLineChars="200"/>
              <w:jc w:val="center"/>
              <w:textAlignment w:val="center"/>
              <w:rPr>
                <w:rFonts w:hint="default" w:eastAsia="宋体"/>
                <w:color w:val="auto"/>
                <w:lang w:val="en-US" w:eastAsia="zh-CN"/>
              </w:rPr>
            </w:pPr>
            <w:r>
              <w:rPr>
                <w:rFonts w:hint="eastAsia" w:ascii="宋体" w:hAnsi="宋体" w:eastAsia="宋体" w:cs="宋体"/>
                <w:i w:val="0"/>
                <w:iCs w:val="0"/>
                <w:color w:val="auto"/>
                <w:kern w:val="0"/>
                <w:sz w:val="24"/>
                <w:szCs w:val="24"/>
                <w:u w:val="none"/>
                <w:lang w:val="en-US" w:eastAsia="zh-CN" w:bidi="ar"/>
              </w:rPr>
              <w:t>21</w:t>
            </w:r>
          </w:p>
        </w:tc>
        <w:tc>
          <w:tcPr>
            <w:tcW w:w="7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748AE">
            <w:pPr>
              <w:keepNext w:val="0"/>
              <w:keepLines w:val="0"/>
              <w:widowControl/>
              <w:suppressLineNumbers w:val="0"/>
              <w:ind w:firstLine="480" w:firstLineChars="20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班卡中学</w:t>
            </w:r>
          </w:p>
        </w:tc>
        <w:tc>
          <w:tcPr>
            <w:tcW w:w="3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076DC">
            <w:pPr>
              <w:spacing w:line="240" w:lineRule="auto"/>
              <w:jc w:val="center"/>
              <w:rPr>
                <w:rFonts w:hint="eastAsia" w:ascii="宋体" w:hAnsi="宋体" w:eastAsia="宋体" w:cs="宋体"/>
                <w:color w:val="auto"/>
              </w:rPr>
            </w:pPr>
          </w:p>
        </w:tc>
      </w:tr>
      <w:tr w14:paraId="1D9615D4">
        <w:tblPrEx>
          <w:tblCellMar>
            <w:top w:w="15" w:type="dxa"/>
            <w:left w:w="15" w:type="dxa"/>
            <w:bottom w:w="15" w:type="dxa"/>
            <w:right w:w="15" w:type="dxa"/>
          </w:tblCellMar>
        </w:tblPrEx>
        <w:trPr>
          <w:trHeight w:val="435"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F8505">
            <w:pPr>
              <w:keepNext w:val="0"/>
              <w:keepLines w:val="0"/>
              <w:widowControl/>
              <w:suppressLineNumbers w:val="0"/>
              <w:ind w:firstLine="480" w:firstLineChars="200"/>
              <w:jc w:val="center"/>
              <w:textAlignment w:val="center"/>
              <w:rPr>
                <w:rFonts w:hint="default" w:eastAsia="宋体"/>
                <w:color w:val="auto"/>
                <w:lang w:val="en-US" w:eastAsia="zh-CN"/>
              </w:rPr>
            </w:pPr>
            <w:r>
              <w:rPr>
                <w:rFonts w:hint="eastAsia" w:ascii="宋体" w:hAnsi="宋体" w:eastAsia="宋体" w:cs="宋体"/>
                <w:i w:val="0"/>
                <w:iCs w:val="0"/>
                <w:color w:val="auto"/>
                <w:kern w:val="0"/>
                <w:sz w:val="24"/>
                <w:szCs w:val="24"/>
                <w:u w:val="none"/>
                <w:lang w:val="en-US" w:eastAsia="zh-CN" w:bidi="ar"/>
              </w:rPr>
              <w:t>22</w:t>
            </w:r>
          </w:p>
        </w:tc>
        <w:tc>
          <w:tcPr>
            <w:tcW w:w="7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3233A">
            <w:pPr>
              <w:keepNext w:val="0"/>
              <w:keepLines w:val="0"/>
              <w:widowControl/>
              <w:suppressLineNumbers w:val="0"/>
              <w:ind w:firstLine="480" w:firstLineChars="20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乌木龙中学</w:t>
            </w:r>
          </w:p>
        </w:tc>
        <w:tc>
          <w:tcPr>
            <w:tcW w:w="3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DAF9E">
            <w:pPr>
              <w:spacing w:line="240" w:lineRule="auto"/>
              <w:jc w:val="center"/>
              <w:rPr>
                <w:rFonts w:hint="eastAsia" w:ascii="宋体" w:hAnsi="宋体" w:eastAsia="宋体" w:cs="宋体"/>
                <w:color w:val="auto"/>
              </w:rPr>
            </w:pPr>
          </w:p>
        </w:tc>
      </w:tr>
      <w:tr w14:paraId="7FC70144">
        <w:tblPrEx>
          <w:tblCellMar>
            <w:top w:w="15" w:type="dxa"/>
            <w:left w:w="15" w:type="dxa"/>
            <w:bottom w:w="15" w:type="dxa"/>
            <w:right w:w="15" w:type="dxa"/>
          </w:tblCellMar>
        </w:tblPrEx>
        <w:trPr>
          <w:trHeight w:val="435"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1E051">
            <w:pPr>
              <w:keepNext w:val="0"/>
              <w:keepLines w:val="0"/>
              <w:widowControl/>
              <w:suppressLineNumbers w:val="0"/>
              <w:ind w:firstLine="480" w:firstLineChars="200"/>
              <w:jc w:val="center"/>
              <w:textAlignment w:val="center"/>
              <w:rPr>
                <w:rFonts w:hint="default" w:eastAsia="宋体"/>
                <w:color w:val="auto"/>
                <w:lang w:val="en-US" w:eastAsia="zh-CN"/>
              </w:rPr>
            </w:pPr>
            <w:r>
              <w:rPr>
                <w:rFonts w:hint="eastAsia" w:ascii="宋体" w:hAnsi="宋体" w:eastAsia="宋体" w:cs="宋体"/>
                <w:i w:val="0"/>
                <w:iCs w:val="0"/>
                <w:color w:val="auto"/>
                <w:kern w:val="0"/>
                <w:sz w:val="24"/>
                <w:szCs w:val="24"/>
                <w:u w:val="none"/>
                <w:lang w:val="en-US" w:eastAsia="zh-CN" w:bidi="ar"/>
              </w:rPr>
              <w:t>23</w:t>
            </w:r>
          </w:p>
        </w:tc>
        <w:tc>
          <w:tcPr>
            <w:tcW w:w="7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A068E">
            <w:pPr>
              <w:keepNext w:val="0"/>
              <w:keepLines w:val="0"/>
              <w:widowControl/>
              <w:suppressLineNumbers w:val="0"/>
              <w:ind w:firstLine="480" w:firstLineChars="20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勐板中学</w:t>
            </w:r>
          </w:p>
        </w:tc>
        <w:tc>
          <w:tcPr>
            <w:tcW w:w="3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6F2A4">
            <w:pPr>
              <w:spacing w:line="240" w:lineRule="auto"/>
              <w:jc w:val="center"/>
              <w:rPr>
                <w:rFonts w:hint="eastAsia" w:ascii="宋体" w:hAnsi="宋体" w:eastAsia="宋体" w:cs="宋体"/>
                <w:color w:val="auto"/>
              </w:rPr>
            </w:pPr>
          </w:p>
        </w:tc>
      </w:tr>
      <w:tr w14:paraId="1C1B8206">
        <w:tblPrEx>
          <w:tblCellMar>
            <w:top w:w="15" w:type="dxa"/>
            <w:left w:w="15" w:type="dxa"/>
            <w:bottom w:w="15" w:type="dxa"/>
            <w:right w:w="15" w:type="dxa"/>
          </w:tblCellMar>
        </w:tblPrEx>
        <w:trPr>
          <w:trHeight w:val="435"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E5F2A">
            <w:pPr>
              <w:keepNext w:val="0"/>
              <w:keepLines w:val="0"/>
              <w:widowControl/>
              <w:suppressLineNumbers w:val="0"/>
              <w:ind w:firstLine="480" w:firstLineChars="200"/>
              <w:jc w:val="center"/>
              <w:textAlignment w:val="center"/>
              <w:rPr>
                <w:rFonts w:hint="default" w:eastAsia="宋体"/>
                <w:color w:val="auto"/>
                <w:lang w:val="en-US" w:eastAsia="zh-CN"/>
              </w:rPr>
            </w:pPr>
            <w:r>
              <w:rPr>
                <w:rFonts w:hint="eastAsia" w:ascii="宋体" w:hAnsi="宋体" w:eastAsia="宋体" w:cs="宋体"/>
                <w:i w:val="0"/>
                <w:iCs w:val="0"/>
                <w:color w:val="auto"/>
                <w:kern w:val="0"/>
                <w:sz w:val="24"/>
                <w:szCs w:val="24"/>
                <w:u w:val="none"/>
                <w:lang w:val="en-US" w:eastAsia="zh-CN" w:bidi="ar"/>
              </w:rPr>
              <w:t>24</w:t>
            </w:r>
          </w:p>
        </w:tc>
        <w:tc>
          <w:tcPr>
            <w:tcW w:w="7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36483">
            <w:pPr>
              <w:keepNext w:val="0"/>
              <w:keepLines w:val="0"/>
              <w:widowControl/>
              <w:suppressLineNumbers w:val="0"/>
              <w:ind w:firstLine="480" w:firstLineChars="20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永德县一中</w:t>
            </w:r>
          </w:p>
        </w:tc>
        <w:tc>
          <w:tcPr>
            <w:tcW w:w="3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5446C">
            <w:pPr>
              <w:spacing w:line="240" w:lineRule="auto"/>
              <w:jc w:val="center"/>
              <w:rPr>
                <w:rFonts w:hint="eastAsia" w:ascii="宋体" w:hAnsi="宋体" w:eastAsia="宋体" w:cs="宋体"/>
                <w:color w:val="auto"/>
              </w:rPr>
            </w:pPr>
          </w:p>
        </w:tc>
      </w:tr>
      <w:tr w14:paraId="2B193B5B">
        <w:tblPrEx>
          <w:tblCellMar>
            <w:top w:w="15" w:type="dxa"/>
            <w:left w:w="15" w:type="dxa"/>
            <w:bottom w:w="15" w:type="dxa"/>
            <w:right w:w="15" w:type="dxa"/>
          </w:tblCellMar>
        </w:tblPrEx>
        <w:trPr>
          <w:trHeight w:val="435"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A1059">
            <w:pPr>
              <w:keepNext w:val="0"/>
              <w:keepLines w:val="0"/>
              <w:widowControl/>
              <w:suppressLineNumbers w:val="0"/>
              <w:ind w:firstLine="480" w:firstLineChars="200"/>
              <w:jc w:val="center"/>
              <w:textAlignment w:val="center"/>
              <w:rPr>
                <w:rFonts w:hint="eastAsia"/>
                <w:color w:val="auto"/>
                <w:lang w:val="en-US" w:eastAsia="zh-CN"/>
              </w:rPr>
            </w:pPr>
            <w:r>
              <w:rPr>
                <w:rFonts w:hint="eastAsia" w:ascii="宋体" w:hAnsi="宋体" w:eastAsia="宋体" w:cs="宋体"/>
                <w:i w:val="0"/>
                <w:iCs w:val="0"/>
                <w:color w:val="auto"/>
                <w:kern w:val="0"/>
                <w:sz w:val="24"/>
                <w:szCs w:val="24"/>
                <w:u w:val="none"/>
                <w:lang w:val="en-US" w:eastAsia="zh-CN" w:bidi="ar"/>
              </w:rPr>
              <w:t>25</w:t>
            </w:r>
          </w:p>
        </w:tc>
        <w:tc>
          <w:tcPr>
            <w:tcW w:w="7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3B90D">
            <w:pPr>
              <w:keepNext w:val="0"/>
              <w:keepLines w:val="0"/>
              <w:widowControl/>
              <w:suppressLineNumbers w:val="0"/>
              <w:ind w:firstLine="480" w:firstLineChars="20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永德县二中</w:t>
            </w:r>
          </w:p>
        </w:tc>
        <w:tc>
          <w:tcPr>
            <w:tcW w:w="3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24B1C">
            <w:pPr>
              <w:spacing w:line="240" w:lineRule="auto"/>
              <w:jc w:val="center"/>
              <w:rPr>
                <w:rFonts w:hint="eastAsia" w:ascii="宋体" w:hAnsi="宋体" w:eastAsia="宋体" w:cs="宋体"/>
                <w:color w:val="auto"/>
              </w:rPr>
            </w:pPr>
          </w:p>
        </w:tc>
      </w:tr>
      <w:tr w14:paraId="1F94CF34">
        <w:tblPrEx>
          <w:tblCellMar>
            <w:top w:w="15" w:type="dxa"/>
            <w:left w:w="15" w:type="dxa"/>
            <w:bottom w:w="15" w:type="dxa"/>
            <w:right w:w="15" w:type="dxa"/>
          </w:tblCellMar>
        </w:tblPrEx>
        <w:trPr>
          <w:trHeight w:val="435" w:hRule="atLeast"/>
          <w:jc w:val="center"/>
        </w:trPr>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0721E">
            <w:pPr>
              <w:keepNext w:val="0"/>
              <w:keepLines w:val="0"/>
              <w:widowControl/>
              <w:suppressLineNumbers w:val="0"/>
              <w:ind w:firstLine="480" w:firstLineChars="200"/>
              <w:jc w:val="center"/>
              <w:textAlignment w:val="center"/>
              <w:rPr>
                <w:rFonts w:hint="eastAsia"/>
                <w:color w:val="auto"/>
                <w:lang w:val="en-US" w:eastAsia="zh-CN"/>
              </w:rPr>
            </w:pPr>
            <w:r>
              <w:rPr>
                <w:rFonts w:hint="eastAsia" w:ascii="宋体" w:hAnsi="宋体" w:eastAsia="宋体" w:cs="宋体"/>
                <w:i w:val="0"/>
                <w:iCs w:val="0"/>
                <w:color w:val="auto"/>
                <w:kern w:val="0"/>
                <w:sz w:val="24"/>
                <w:szCs w:val="24"/>
                <w:u w:val="none"/>
                <w:lang w:val="en-US" w:eastAsia="zh-CN" w:bidi="ar"/>
              </w:rPr>
              <w:t>26</w:t>
            </w:r>
          </w:p>
        </w:tc>
        <w:tc>
          <w:tcPr>
            <w:tcW w:w="7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1BC51">
            <w:pPr>
              <w:keepNext w:val="0"/>
              <w:keepLines w:val="0"/>
              <w:widowControl/>
              <w:suppressLineNumbers w:val="0"/>
              <w:ind w:firstLine="480" w:firstLineChars="20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永德县特殊教育学校</w:t>
            </w:r>
          </w:p>
        </w:tc>
        <w:tc>
          <w:tcPr>
            <w:tcW w:w="3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88EC9">
            <w:pPr>
              <w:spacing w:line="240" w:lineRule="auto"/>
              <w:jc w:val="center"/>
              <w:rPr>
                <w:rFonts w:hint="eastAsia" w:ascii="宋体" w:hAnsi="宋体" w:eastAsia="宋体" w:cs="宋体"/>
                <w:color w:val="auto"/>
              </w:rPr>
            </w:pPr>
          </w:p>
        </w:tc>
      </w:tr>
    </w:tbl>
    <w:p w14:paraId="1D0346AE">
      <w:pPr>
        <w:bidi w:val="0"/>
        <w:rPr>
          <w:rFonts w:hint="eastAsia"/>
          <w:color w:val="auto"/>
          <w:lang w:val="en-US" w:eastAsia="zh-CN"/>
        </w:rPr>
        <w:sectPr>
          <w:pgSz w:w="16838" w:h="11900" w:orient="landscape"/>
          <w:pgMar w:top="1417" w:right="1417" w:bottom="1417" w:left="1417" w:header="850" w:footer="850" w:gutter="0"/>
          <w:cols w:space="0" w:num="1"/>
          <w:titlePg/>
          <w:rtlGutter w:val="0"/>
          <w:docGrid w:linePitch="360" w:charSpace="0"/>
        </w:sectPr>
      </w:pPr>
    </w:p>
    <w:p w14:paraId="26B9B6C2">
      <w:pPr>
        <w:pStyle w:val="3"/>
        <w:spacing w:before="120" w:after="120"/>
        <w:ind w:firstLine="723"/>
        <w:rPr>
          <w:rFonts w:hint="eastAsia" w:ascii="宋体" w:hAnsi="宋体" w:eastAsia="宋体" w:cs="宋体"/>
          <w:color w:val="auto"/>
          <w:sz w:val="32"/>
          <w:szCs w:val="18"/>
        </w:rPr>
      </w:pPr>
      <w:bookmarkStart w:id="846" w:name="_Toc24761"/>
      <w:r>
        <w:rPr>
          <w:rFonts w:hint="eastAsia" w:ascii="宋体" w:hAnsi="宋体" w:eastAsia="宋体" w:cs="宋体"/>
          <w:color w:val="auto"/>
          <w:sz w:val="32"/>
          <w:szCs w:val="18"/>
        </w:rPr>
        <w:t>第六章</w:t>
      </w:r>
      <w:bookmarkStart w:id="847" w:name="_Toc481694866"/>
      <w:r>
        <w:rPr>
          <w:rFonts w:hint="eastAsia" w:ascii="宋体" w:hAnsi="宋体" w:eastAsia="宋体" w:cs="宋体"/>
          <w:color w:val="auto"/>
          <w:sz w:val="32"/>
          <w:szCs w:val="18"/>
        </w:rPr>
        <w:t xml:space="preserve"> </w:t>
      </w:r>
      <w:bookmarkEnd w:id="743"/>
      <w:r>
        <w:rPr>
          <w:rFonts w:hint="eastAsia" w:ascii="宋体" w:hAnsi="宋体" w:eastAsia="宋体" w:cs="宋体"/>
          <w:color w:val="auto"/>
          <w:sz w:val="32"/>
          <w:szCs w:val="18"/>
        </w:rPr>
        <w:t>资格审查</w:t>
      </w:r>
      <w:bookmarkEnd w:id="846"/>
    </w:p>
    <w:p w14:paraId="3DA503B9">
      <w:pPr>
        <w:pStyle w:val="5"/>
        <w:ind w:firstLine="0" w:firstLineChars="0"/>
        <w:jc w:val="center"/>
        <w:rPr>
          <w:rFonts w:hint="eastAsia" w:hAnsi="宋体" w:eastAsia="宋体" w:cs="宋体"/>
          <w:color w:val="auto"/>
        </w:rPr>
      </w:pPr>
      <w:bookmarkStart w:id="848" w:name="_Toc489145774"/>
      <w:bookmarkStart w:id="849" w:name="_Toc35700963"/>
      <w:bookmarkStart w:id="850" w:name="_Toc36116114"/>
      <w:bookmarkStart w:id="851" w:name="_Toc30134"/>
      <w:bookmarkStart w:id="852" w:name="_Toc8191"/>
      <w:bookmarkStart w:id="853" w:name="_Toc35701034"/>
      <w:bookmarkStart w:id="854" w:name="_Toc488633639"/>
      <w:bookmarkStart w:id="855" w:name="_Toc35701820"/>
      <w:r>
        <w:rPr>
          <w:rFonts w:hint="eastAsia" w:hAnsi="宋体" w:eastAsia="宋体" w:cs="宋体"/>
          <w:color w:val="auto"/>
        </w:rPr>
        <w:t>资格审查前附表</w:t>
      </w:r>
      <w:bookmarkEnd w:id="847"/>
      <w:bookmarkEnd w:id="848"/>
      <w:bookmarkEnd w:id="849"/>
      <w:bookmarkEnd w:id="850"/>
      <w:bookmarkEnd w:id="851"/>
      <w:bookmarkEnd w:id="852"/>
      <w:bookmarkEnd w:id="853"/>
      <w:bookmarkEnd w:id="854"/>
      <w:bookmarkEnd w:id="855"/>
    </w:p>
    <w:tbl>
      <w:tblPr>
        <w:tblStyle w:val="30"/>
        <w:tblW w:w="892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395"/>
        <w:gridCol w:w="6531"/>
      </w:tblGrid>
      <w:tr w14:paraId="24FD25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1" w:hRule="atLeast"/>
          <w:jc w:val="center"/>
        </w:trPr>
        <w:tc>
          <w:tcPr>
            <w:tcW w:w="2395" w:type="dxa"/>
            <w:vAlign w:val="center"/>
          </w:tcPr>
          <w:p w14:paraId="7E8CA27A">
            <w:pPr>
              <w:ind w:firstLine="0" w:firstLineChars="0"/>
              <w:jc w:val="center"/>
              <w:rPr>
                <w:rFonts w:hint="eastAsia" w:cs="宋体"/>
                <w:b/>
                <w:color w:val="auto"/>
              </w:rPr>
            </w:pPr>
            <w:r>
              <w:rPr>
                <w:rFonts w:hint="eastAsia" w:cs="宋体"/>
                <w:b/>
                <w:color w:val="auto"/>
              </w:rPr>
              <w:t>资 格 要 求</w:t>
            </w:r>
          </w:p>
        </w:tc>
        <w:tc>
          <w:tcPr>
            <w:tcW w:w="6531" w:type="dxa"/>
            <w:vAlign w:val="center"/>
          </w:tcPr>
          <w:p w14:paraId="74420D17">
            <w:pPr>
              <w:ind w:firstLine="0" w:firstLineChars="0"/>
              <w:jc w:val="center"/>
              <w:rPr>
                <w:rFonts w:hint="eastAsia" w:cs="宋体"/>
                <w:b/>
                <w:color w:val="auto"/>
              </w:rPr>
            </w:pPr>
            <w:r>
              <w:rPr>
                <w:rFonts w:hint="eastAsia" w:cs="宋体"/>
                <w:b/>
                <w:color w:val="auto"/>
              </w:rPr>
              <w:t>审 查 标 准</w:t>
            </w:r>
          </w:p>
        </w:tc>
      </w:tr>
      <w:tr w14:paraId="53D886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2395" w:type="dxa"/>
            <w:vAlign w:val="center"/>
          </w:tcPr>
          <w:p w14:paraId="1E91294E">
            <w:pPr>
              <w:ind w:firstLine="0" w:firstLineChars="0"/>
              <w:jc w:val="center"/>
              <w:rPr>
                <w:rFonts w:hint="eastAsia" w:cs="宋体"/>
                <w:color w:val="auto"/>
              </w:rPr>
            </w:pPr>
            <w:r>
              <w:rPr>
                <w:rFonts w:hint="eastAsia" w:cs="宋体"/>
                <w:color w:val="auto"/>
              </w:rPr>
              <w:t>具有独立承担民事责任的能力</w:t>
            </w:r>
          </w:p>
        </w:tc>
        <w:tc>
          <w:tcPr>
            <w:tcW w:w="6531" w:type="dxa"/>
            <w:vAlign w:val="center"/>
          </w:tcPr>
          <w:p w14:paraId="41EA47FD">
            <w:pPr>
              <w:ind w:firstLine="0" w:firstLineChars="0"/>
              <w:rPr>
                <w:rFonts w:hint="eastAsia" w:cs="宋体"/>
                <w:color w:val="auto"/>
              </w:rPr>
            </w:pPr>
            <w:r>
              <w:rPr>
                <w:rFonts w:hint="eastAsia" w:cs="宋体"/>
                <w:color w:val="auto"/>
              </w:rPr>
              <w:t>投标人须在中华人民共和国境内注册，具有独立承担民事责任能力的法人、其他组织或者自然人；</w:t>
            </w:r>
            <w:r>
              <w:rPr>
                <w:rFonts w:hint="eastAsia" w:cs="宋体"/>
                <w:b/>
                <w:bCs/>
                <w:color w:val="auto"/>
              </w:rPr>
              <w:t>（提供市场监督管理部门核发的有效的三证合一营业执照或民办非企业登记证书或社会团体登记证或自然人身份证明。）</w:t>
            </w:r>
          </w:p>
        </w:tc>
      </w:tr>
      <w:tr w14:paraId="6CFC2F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2395" w:type="dxa"/>
            <w:vMerge w:val="restart"/>
            <w:vAlign w:val="center"/>
          </w:tcPr>
          <w:p w14:paraId="34B2BB64">
            <w:pPr>
              <w:ind w:firstLine="0" w:firstLineChars="0"/>
              <w:jc w:val="center"/>
              <w:rPr>
                <w:rFonts w:hint="eastAsia" w:cs="宋体"/>
                <w:color w:val="auto"/>
              </w:rPr>
            </w:pPr>
            <w:r>
              <w:rPr>
                <w:rFonts w:hint="eastAsia" w:cs="宋体"/>
                <w:color w:val="auto"/>
              </w:rPr>
              <w:t>具有良好的商业信誉和健全的财务会计制度</w:t>
            </w:r>
          </w:p>
        </w:tc>
        <w:tc>
          <w:tcPr>
            <w:tcW w:w="6531" w:type="dxa"/>
            <w:vAlign w:val="center"/>
          </w:tcPr>
          <w:p w14:paraId="47CBB56F">
            <w:pPr>
              <w:ind w:firstLine="0" w:firstLineChars="0"/>
              <w:rPr>
                <w:rFonts w:hint="eastAsia" w:cs="宋体"/>
                <w:color w:val="auto"/>
              </w:rPr>
            </w:pPr>
            <w:r>
              <w:rPr>
                <w:rFonts w:hint="eastAsia" w:cs="宋体"/>
                <w:b/>
                <w:bCs/>
                <w:color w:val="auto"/>
              </w:rPr>
              <w:t>良好的商业信誉</w:t>
            </w:r>
            <w:r>
              <w:rPr>
                <w:rFonts w:hint="eastAsia" w:cs="宋体"/>
                <w:color w:val="auto"/>
              </w:rPr>
              <w:t>：根据《财政部关于在政府采购活动中查询及使用信用记录有关问题的通知-财库〔2016〕125号》相关要求，对被列入失信被执行人、重大税收违法失信主体、政府采购严重违法失信行为记录名单之一的投标人拒绝其参与本次政府采购活动。（查询结果以采购人、采购代理机构查询结果为准，采购人或采购代理机构在投标文件提交截止时间后将通过“信用中国”网站(www.creditchina.gov.cn)和中国政府采购网（www.ccgp.gov.cn）查询投标人信用记录，上述网站信用信息查询结果的网页截图或网页打印稿作为证据留存）；</w:t>
            </w:r>
            <w:r>
              <w:rPr>
                <w:rFonts w:hint="eastAsia" w:cs="宋体"/>
                <w:b/>
                <w:bCs/>
                <w:color w:val="auto"/>
              </w:rPr>
              <w:t>（此部分不需要投标人提供证明材料。）</w:t>
            </w:r>
          </w:p>
        </w:tc>
      </w:tr>
      <w:tr w14:paraId="0CF6C8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2395" w:type="dxa"/>
            <w:vMerge w:val="continue"/>
            <w:vAlign w:val="center"/>
          </w:tcPr>
          <w:p w14:paraId="21B53D99">
            <w:pPr>
              <w:ind w:firstLine="0" w:firstLineChars="0"/>
              <w:jc w:val="center"/>
              <w:rPr>
                <w:rFonts w:hint="eastAsia" w:cs="宋体"/>
                <w:color w:val="auto"/>
              </w:rPr>
            </w:pPr>
          </w:p>
        </w:tc>
        <w:tc>
          <w:tcPr>
            <w:tcW w:w="6531" w:type="dxa"/>
            <w:vAlign w:val="center"/>
          </w:tcPr>
          <w:p w14:paraId="4108E2EF">
            <w:pPr>
              <w:ind w:firstLine="0" w:firstLineChars="0"/>
              <w:rPr>
                <w:rFonts w:hint="eastAsia" w:cs="宋体"/>
                <w:color w:val="auto"/>
              </w:rPr>
            </w:pPr>
            <w:r>
              <w:rPr>
                <w:rFonts w:hint="eastAsia" w:cs="宋体"/>
                <w:b/>
                <w:bCs/>
                <w:color w:val="auto"/>
              </w:rPr>
              <w:t>健全的财务会计制度</w:t>
            </w:r>
            <w:r>
              <w:rPr>
                <w:rFonts w:hint="eastAsia" w:cs="宋体"/>
                <w:color w:val="auto"/>
              </w:rPr>
              <w:t>:提供202</w:t>
            </w:r>
            <w:r>
              <w:rPr>
                <w:rFonts w:hint="eastAsia" w:cs="宋体"/>
                <w:color w:val="auto"/>
                <w:lang w:val="en-US" w:eastAsia="zh-CN"/>
              </w:rPr>
              <w:t>3</w:t>
            </w:r>
            <w:r>
              <w:rPr>
                <w:rFonts w:hint="eastAsia" w:cs="宋体"/>
                <w:color w:val="auto"/>
              </w:rPr>
              <w:t>年度或202</w:t>
            </w:r>
            <w:r>
              <w:rPr>
                <w:rFonts w:hint="eastAsia" w:cs="宋体"/>
                <w:color w:val="auto"/>
                <w:lang w:val="en-US" w:eastAsia="zh-CN"/>
              </w:rPr>
              <w:t>4</w:t>
            </w:r>
            <w:r>
              <w:rPr>
                <w:rFonts w:hint="eastAsia" w:cs="宋体"/>
                <w:color w:val="auto"/>
              </w:rPr>
              <w:t>年度的财务报表资料，包括资产负债表、利润表、现金流量表(注：202</w:t>
            </w:r>
            <w:r>
              <w:rPr>
                <w:rFonts w:hint="eastAsia" w:cs="宋体"/>
                <w:color w:val="auto"/>
                <w:lang w:val="en-US" w:eastAsia="zh-CN"/>
              </w:rPr>
              <w:t>5</w:t>
            </w:r>
            <w:r>
              <w:rPr>
                <w:rFonts w:hint="eastAsia" w:cs="宋体"/>
                <w:color w:val="auto"/>
              </w:rPr>
              <w:t>年成立的，提供满足招标文件要求的资信证明或投标担保函或自身出具的情况说明)；或可提供自投标文件提交截止时间前三个月内开户银行出具的资信证明；或可提供财政部门认可的政府采购专业担保机构对投标人进行资信审查后出具的投标担保函。备注：投标人可根据自身情况提供上述任意一种证明材料)。</w:t>
            </w:r>
            <w:r>
              <w:rPr>
                <w:rFonts w:hint="eastAsia" w:cs="宋体"/>
                <w:b/>
                <w:bCs/>
                <w:color w:val="auto"/>
              </w:rPr>
              <w:t>（提供扫描件。）</w:t>
            </w:r>
          </w:p>
        </w:tc>
      </w:tr>
      <w:tr w14:paraId="0BC49C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2395" w:type="dxa"/>
            <w:vAlign w:val="center"/>
          </w:tcPr>
          <w:p w14:paraId="726A9959">
            <w:pPr>
              <w:ind w:firstLine="0" w:firstLineChars="0"/>
              <w:jc w:val="center"/>
              <w:rPr>
                <w:rFonts w:hint="eastAsia" w:cs="宋体"/>
                <w:color w:val="auto"/>
              </w:rPr>
            </w:pPr>
            <w:r>
              <w:rPr>
                <w:rFonts w:hint="eastAsia" w:cs="宋体"/>
                <w:color w:val="auto"/>
              </w:rPr>
              <w:t>具有履行合同所必需的设备和专业技术能力</w:t>
            </w:r>
          </w:p>
        </w:tc>
        <w:tc>
          <w:tcPr>
            <w:tcW w:w="6531" w:type="dxa"/>
            <w:vAlign w:val="center"/>
          </w:tcPr>
          <w:p w14:paraId="7E89E935">
            <w:pPr>
              <w:ind w:firstLine="0" w:firstLineChars="0"/>
              <w:rPr>
                <w:rFonts w:hint="eastAsia" w:cs="宋体"/>
                <w:color w:val="auto"/>
              </w:rPr>
            </w:pPr>
            <w:r>
              <w:rPr>
                <w:rFonts w:hint="eastAsia" w:cs="宋体"/>
                <w:color w:val="auto"/>
              </w:rPr>
              <w:t>提供投标人具有履行合同所必需的设备和专业技术能力证明材料或承诺书；</w:t>
            </w:r>
            <w:r>
              <w:rPr>
                <w:rFonts w:hint="eastAsia" w:cs="宋体"/>
                <w:b/>
                <w:bCs/>
                <w:color w:val="auto"/>
              </w:rPr>
              <w:t>（格式自拟。）</w:t>
            </w:r>
          </w:p>
        </w:tc>
      </w:tr>
      <w:tr w14:paraId="1B1E0E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6" w:hRule="atLeast"/>
          <w:jc w:val="center"/>
        </w:trPr>
        <w:tc>
          <w:tcPr>
            <w:tcW w:w="2395" w:type="dxa"/>
            <w:vAlign w:val="center"/>
          </w:tcPr>
          <w:p w14:paraId="10B2CDE8">
            <w:pPr>
              <w:ind w:firstLine="0" w:firstLineChars="0"/>
              <w:jc w:val="center"/>
              <w:rPr>
                <w:rFonts w:hint="eastAsia" w:cs="宋体"/>
                <w:color w:val="auto"/>
              </w:rPr>
            </w:pPr>
            <w:r>
              <w:rPr>
                <w:rFonts w:hint="eastAsia" w:cs="宋体"/>
                <w:color w:val="auto"/>
              </w:rPr>
              <w:t>具有依法缴纳税收和社会保障资金的良好记录</w:t>
            </w:r>
          </w:p>
        </w:tc>
        <w:tc>
          <w:tcPr>
            <w:tcW w:w="6531" w:type="dxa"/>
            <w:vAlign w:val="center"/>
          </w:tcPr>
          <w:p w14:paraId="0E093883">
            <w:pPr>
              <w:ind w:left="0" w:leftChars="0" w:firstLine="0" w:firstLineChars="0"/>
              <w:rPr>
                <w:rFonts w:hint="eastAsia" w:cs="宋体"/>
                <w:color w:val="auto"/>
              </w:rPr>
            </w:pPr>
            <w:r>
              <w:rPr>
                <w:rFonts w:hint="eastAsia" w:cs="宋体"/>
                <w:color w:val="auto"/>
                <w:lang w:eastAsia="zh-CN"/>
              </w:rPr>
              <w:t>提供本项目投标文件递交截止时间前任意时间段的纳税证明材料和社会保障资金证明材料；若依法免缴或暂缓缴纳或新成立企业的，可提供声明函或承诺函并加盖电子签章。</w:t>
            </w:r>
          </w:p>
        </w:tc>
      </w:tr>
      <w:tr w14:paraId="52915F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2395" w:type="dxa"/>
            <w:vAlign w:val="center"/>
          </w:tcPr>
          <w:p w14:paraId="62FC49E0">
            <w:pPr>
              <w:ind w:firstLine="0" w:firstLineChars="0"/>
              <w:jc w:val="center"/>
              <w:rPr>
                <w:rFonts w:hint="eastAsia" w:cs="宋体"/>
                <w:color w:val="auto"/>
              </w:rPr>
            </w:pPr>
            <w:r>
              <w:rPr>
                <w:rFonts w:hint="eastAsia" w:cs="宋体"/>
                <w:color w:val="auto"/>
              </w:rPr>
              <w:t>参加政府采购活动前三年内，在经营活动中没有重大违法记录</w:t>
            </w:r>
          </w:p>
        </w:tc>
        <w:tc>
          <w:tcPr>
            <w:tcW w:w="6531" w:type="dxa"/>
            <w:vAlign w:val="center"/>
          </w:tcPr>
          <w:p w14:paraId="03AB02A6">
            <w:pPr>
              <w:pStyle w:val="52"/>
              <w:adjustRightInd/>
              <w:spacing w:line="360" w:lineRule="auto"/>
              <w:rPr>
                <w:rFonts w:hint="eastAsia" w:ascii="宋体" w:hAnsi="宋体" w:cs="宋体"/>
                <w:color w:val="auto"/>
                <w:sz w:val="21"/>
                <w:szCs w:val="21"/>
              </w:rPr>
            </w:pPr>
            <w:r>
              <w:rPr>
                <w:rFonts w:hint="eastAsia" w:ascii="宋体" w:hAnsi="宋体" w:cs="宋体"/>
                <w:color w:val="auto"/>
                <w:sz w:val="21"/>
                <w:szCs w:val="21"/>
              </w:rPr>
              <w:t>提供投标人参加政府采购活动前三年内，在经营活动中没有重大违法记录（重大违法记录，是指投标人因违法经营受到刑事处罚或者责令停产停业、吊销许可证或者执照、较大数额罚款等行政处罚）的承诺书；（</w:t>
            </w:r>
            <w:r>
              <w:rPr>
                <w:rFonts w:hint="eastAsia" w:ascii="宋体" w:hAnsi="宋体" w:cs="宋体"/>
                <w:b/>
                <w:bCs/>
                <w:color w:val="auto"/>
                <w:sz w:val="21"/>
                <w:szCs w:val="21"/>
              </w:rPr>
              <w:t>格式自拟。</w:t>
            </w:r>
            <w:r>
              <w:rPr>
                <w:rFonts w:hint="eastAsia" w:ascii="宋体" w:hAnsi="宋体" w:cs="宋体"/>
                <w:color w:val="auto"/>
                <w:sz w:val="21"/>
                <w:szCs w:val="21"/>
              </w:rPr>
              <w:t>）</w:t>
            </w:r>
          </w:p>
        </w:tc>
      </w:tr>
      <w:tr w14:paraId="0E7781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2395" w:type="dxa"/>
            <w:vAlign w:val="center"/>
          </w:tcPr>
          <w:p w14:paraId="2E168429">
            <w:pPr>
              <w:ind w:firstLine="0" w:firstLineChars="0"/>
              <w:jc w:val="center"/>
              <w:rPr>
                <w:rFonts w:hint="eastAsia" w:cs="宋体"/>
                <w:color w:val="auto"/>
              </w:rPr>
            </w:pPr>
            <w:r>
              <w:rPr>
                <w:rFonts w:hint="eastAsia" w:cs="宋体"/>
                <w:color w:val="auto"/>
              </w:rPr>
              <w:t>法律、行政法规规定的其他条件</w:t>
            </w:r>
          </w:p>
        </w:tc>
        <w:tc>
          <w:tcPr>
            <w:tcW w:w="6531" w:type="dxa"/>
            <w:vAlign w:val="center"/>
          </w:tcPr>
          <w:p w14:paraId="30D8F68E">
            <w:pPr>
              <w:ind w:firstLine="0" w:firstLineChars="0"/>
              <w:rPr>
                <w:rFonts w:hint="eastAsia" w:cs="宋体"/>
                <w:color w:val="auto"/>
              </w:rPr>
            </w:pPr>
            <w:r>
              <w:rPr>
                <w:rFonts w:hint="eastAsia" w:cs="宋体"/>
                <w:color w:val="auto"/>
              </w:rPr>
              <w:t>无；</w:t>
            </w:r>
          </w:p>
        </w:tc>
      </w:tr>
      <w:tr w14:paraId="2709C4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2395" w:type="dxa"/>
            <w:vAlign w:val="center"/>
          </w:tcPr>
          <w:p w14:paraId="19AB06E9">
            <w:pPr>
              <w:ind w:firstLine="0" w:firstLineChars="0"/>
              <w:jc w:val="center"/>
              <w:rPr>
                <w:rFonts w:hint="eastAsia" w:cs="宋体"/>
                <w:color w:val="auto"/>
              </w:rPr>
            </w:pPr>
            <w:r>
              <w:rPr>
                <w:rFonts w:hint="eastAsia" w:cs="宋体"/>
                <w:color w:val="auto"/>
              </w:rPr>
              <w:t>采购人根据本项目的特殊要求规定投标人应具备的特定条件</w:t>
            </w:r>
          </w:p>
        </w:tc>
        <w:tc>
          <w:tcPr>
            <w:tcW w:w="6531" w:type="dxa"/>
            <w:vAlign w:val="center"/>
          </w:tcPr>
          <w:p w14:paraId="49507129">
            <w:pPr>
              <w:ind w:firstLine="0" w:firstLineChars="0"/>
              <w:rPr>
                <w:rFonts w:hint="eastAsia" w:cs="宋体"/>
                <w:color w:val="auto"/>
              </w:rPr>
            </w:pPr>
            <w:r>
              <w:rPr>
                <w:rFonts w:hint="eastAsia" w:cs="宋体"/>
                <w:color w:val="auto"/>
              </w:rPr>
              <w:t>1.</w:t>
            </w:r>
            <w:r>
              <w:rPr>
                <w:rFonts w:hint="eastAsia"/>
                <w:color w:val="auto"/>
              </w:rPr>
              <w:t xml:space="preserve"> 投标人须具有食品生产许可证或食品经营许可证或食品生产经营许可证或食品安全监督管理部门备案证明材料</w:t>
            </w:r>
            <w:r>
              <w:rPr>
                <w:rFonts w:hint="eastAsia" w:cs="宋体"/>
                <w:color w:val="auto"/>
              </w:rPr>
              <w:t>；</w:t>
            </w:r>
            <w:r>
              <w:rPr>
                <w:rFonts w:hint="eastAsia" w:cs="宋体"/>
                <w:b/>
                <w:bCs/>
                <w:color w:val="auto"/>
              </w:rPr>
              <w:t>（提供证书扫描件。）</w:t>
            </w:r>
          </w:p>
          <w:p w14:paraId="0C9E1149">
            <w:pPr>
              <w:ind w:firstLine="0" w:firstLineChars="0"/>
              <w:rPr>
                <w:rFonts w:hint="eastAsia" w:cs="宋体"/>
                <w:color w:val="auto"/>
              </w:rPr>
            </w:pPr>
            <w:r>
              <w:rPr>
                <w:rFonts w:hint="eastAsia" w:cs="宋体"/>
                <w:color w:val="auto"/>
              </w:rPr>
              <w:t>2.本采购项目不</w:t>
            </w:r>
            <w:r>
              <w:rPr>
                <w:rFonts w:hint="eastAsia" w:cs="宋体"/>
                <w:b/>
                <w:bCs/>
                <w:color w:val="auto"/>
              </w:rPr>
              <w:t>接受</w:t>
            </w:r>
            <w:r>
              <w:rPr>
                <w:rFonts w:hint="eastAsia" w:cs="宋体"/>
                <w:color w:val="auto"/>
              </w:rPr>
              <w:t>联合体投标。</w:t>
            </w:r>
          </w:p>
        </w:tc>
      </w:tr>
    </w:tbl>
    <w:p w14:paraId="3CC66DC7">
      <w:pPr>
        <w:rPr>
          <w:rFonts w:hint="eastAsia" w:cs="宋体"/>
          <w:color w:val="auto"/>
        </w:rPr>
      </w:pPr>
      <w:bookmarkStart w:id="856" w:name="_Toc35701035"/>
      <w:bookmarkStart w:id="857" w:name="_Toc18287454"/>
      <w:bookmarkStart w:id="858" w:name="_Toc7171"/>
      <w:bookmarkStart w:id="859" w:name="_Toc36116115"/>
      <w:bookmarkStart w:id="860" w:name="_Toc35700964"/>
      <w:bookmarkStart w:id="861" w:name="_Toc35701821"/>
    </w:p>
    <w:p w14:paraId="236E3E3E">
      <w:pPr>
        <w:pStyle w:val="5"/>
        <w:rPr>
          <w:rFonts w:hint="eastAsia" w:hAnsi="宋体" w:eastAsia="宋体" w:cs="宋体"/>
          <w:color w:val="auto"/>
        </w:rPr>
      </w:pPr>
      <w:bookmarkStart w:id="862" w:name="_Toc5536"/>
      <w:bookmarkStart w:id="863" w:name="_Toc25023"/>
      <w:r>
        <w:rPr>
          <w:rFonts w:hint="eastAsia" w:hAnsi="宋体" w:eastAsia="宋体" w:cs="宋体"/>
          <w:color w:val="auto"/>
        </w:rPr>
        <w:t>1.资格审查</w:t>
      </w:r>
      <w:bookmarkEnd w:id="856"/>
      <w:bookmarkEnd w:id="857"/>
      <w:bookmarkEnd w:id="858"/>
      <w:bookmarkEnd w:id="859"/>
      <w:bookmarkEnd w:id="860"/>
      <w:bookmarkEnd w:id="861"/>
      <w:bookmarkEnd w:id="862"/>
      <w:bookmarkEnd w:id="863"/>
    </w:p>
    <w:p w14:paraId="575686EC">
      <w:pPr>
        <w:rPr>
          <w:rFonts w:hint="eastAsia" w:cs="宋体"/>
          <w:color w:val="auto"/>
        </w:rPr>
      </w:pPr>
      <w:r>
        <w:rPr>
          <w:rFonts w:hint="eastAsia" w:cs="宋体"/>
          <w:color w:val="auto"/>
        </w:rPr>
        <w:t>1.1 开</w:t>
      </w:r>
      <w:bookmarkStart w:id="864" w:name="_Toc246996207"/>
      <w:bookmarkStart w:id="865" w:name="_Toc152045563"/>
      <w:bookmarkStart w:id="866" w:name="_Toc296602452"/>
      <w:bookmarkStart w:id="867" w:name="_Toc246996950"/>
      <w:bookmarkStart w:id="868" w:name="_Toc144974531"/>
      <w:bookmarkStart w:id="869" w:name="_Toc179632581"/>
      <w:bookmarkStart w:id="870" w:name="_Toc247085721"/>
      <w:bookmarkStart w:id="871" w:name="_Toc152042339"/>
      <w:r>
        <w:rPr>
          <w:rFonts w:hint="eastAsia" w:cs="宋体"/>
          <w:color w:val="auto"/>
        </w:rPr>
        <w:t>标结束后，采</w:t>
      </w:r>
      <w:bookmarkEnd w:id="864"/>
      <w:bookmarkEnd w:id="865"/>
      <w:bookmarkEnd w:id="866"/>
      <w:bookmarkEnd w:id="867"/>
      <w:bookmarkEnd w:id="868"/>
      <w:bookmarkEnd w:id="869"/>
      <w:bookmarkEnd w:id="870"/>
      <w:bookmarkEnd w:id="871"/>
      <w:r>
        <w:rPr>
          <w:rFonts w:hint="eastAsia" w:cs="宋体"/>
          <w:color w:val="auto"/>
        </w:rPr>
        <w:t>购人或者采购代理机构将依法对投标人的资格进行审查，合格投标人不足3家的，不得评标。</w:t>
      </w:r>
    </w:p>
    <w:p w14:paraId="2D82E0A1">
      <w:pPr>
        <w:rPr>
          <w:rFonts w:hint="eastAsia" w:cs="宋体"/>
          <w:color w:val="auto"/>
        </w:rPr>
      </w:pPr>
      <w:r>
        <w:rPr>
          <w:rFonts w:hint="eastAsia" w:cs="宋体"/>
          <w:color w:val="auto"/>
        </w:rPr>
        <w:t>1.2 采购人或者采购代理机构按照招标文件的规定对投标人电子投标文件中资格证明文件及采购人、采购代理机构通过互联网或者相关信息系统的查询结果进行审查。</w:t>
      </w:r>
    </w:p>
    <w:p w14:paraId="10F0529D">
      <w:pPr>
        <w:rPr>
          <w:rFonts w:hint="eastAsia" w:cs="宋体"/>
          <w:color w:val="auto"/>
        </w:rPr>
      </w:pPr>
      <w:r>
        <w:rPr>
          <w:rFonts w:hint="eastAsia" w:cs="宋体"/>
          <w:color w:val="auto"/>
        </w:rPr>
        <w:t>1.3 如投标人为满足投标人资格要求提供虚假材料，一经查实，视为未实质性响应招标文件，投标人投标文件将按无效处理。</w:t>
      </w:r>
    </w:p>
    <w:p w14:paraId="6E9E0781">
      <w:pPr>
        <w:rPr>
          <w:rFonts w:hint="eastAsia" w:cs="宋体"/>
          <w:color w:val="auto"/>
        </w:rPr>
      </w:pPr>
      <w:r>
        <w:rPr>
          <w:rFonts w:hint="eastAsia" w:cs="宋体"/>
          <w:color w:val="auto"/>
        </w:rPr>
        <w:t>1.4单位负责人为同一人或者存在直接控股、管理关系的不同投标人，不得参加同一合同项下的政府采购活动。</w:t>
      </w:r>
    </w:p>
    <w:p w14:paraId="3F92E217">
      <w:pPr>
        <w:rPr>
          <w:rFonts w:hint="eastAsia" w:cs="宋体"/>
          <w:color w:val="auto"/>
        </w:rPr>
      </w:pPr>
      <w:r>
        <w:rPr>
          <w:rFonts w:hint="eastAsia" w:cs="宋体"/>
          <w:color w:val="auto"/>
        </w:rPr>
        <w:t>1.5与采购人存在利害关系可能影响采购公正性的法人、其他组织或者个人，不得参加投标。</w:t>
      </w:r>
    </w:p>
    <w:p w14:paraId="00F85A83">
      <w:pPr>
        <w:rPr>
          <w:rFonts w:hint="eastAsia" w:cs="宋体"/>
          <w:color w:val="auto"/>
        </w:rPr>
      </w:pPr>
      <w:r>
        <w:rPr>
          <w:rFonts w:hint="eastAsia" w:cs="宋体"/>
          <w:color w:val="auto"/>
        </w:rPr>
        <w:t>1.6</w:t>
      </w:r>
      <w:r>
        <w:rPr>
          <w:rFonts w:hint="eastAsia" w:cs="宋体"/>
          <w:color w:val="auto"/>
          <w:kern w:val="0"/>
        </w:rPr>
        <w:t>投标人不得直接或间接地与为采购项目提供整体设计、规范编制和项目管理、监理、检测等服务，不得与采购人、采购代理机构或其附属机构有任何关联。</w:t>
      </w:r>
    </w:p>
    <w:p w14:paraId="52B4F203">
      <w:pPr>
        <w:rPr>
          <w:rFonts w:hint="eastAsia" w:cs="宋体"/>
          <w:color w:val="auto"/>
        </w:rPr>
      </w:pPr>
      <w:r>
        <w:rPr>
          <w:rFonts w:hint="eastAsia" w:cs="宋体"/>
          <w:color w:val="auto"/>
        </w:rPr>
        <w:t>1.7采购人或者采购代理机构在资格审查过程中发现投标人有一项不符合上述规定的，该投标文件按无效投标处理。</w:t>
      </w:r>
    </w:p>
    <w:p w14:paraId="02B52D32">
      <w:pPr>
        <w:pStyle w:val="5"/>
        <w:rPr>
          <w:rFonts w:hint="eastAsia" w:hAnsi="宋体" w:eastAsia="宋体" w:cs="宋体"/>
          <w:color w:val="auto"/>
        </w:rPr>
      </w:pPr>
      <w:bookmarkStart w:id="872" w:name="_Toc36116116"/>
      <w:bookmarkStart w:id="873" w:name="_Toc20558"/>
      <w:bookmarkStart w:id="874" w:name="_Toc35701822"/>
      <w:bookmarkStart w:id="875" w:name="_Toc35701036"/>
      <w:bookmarkStart w:id="876" w:name="_Toc4487"/>
      <w:bookmarkStart w:id="877" w:name="_Toc35700965"/>
      <w:r>
        <w:rPr>
          <w:rFonts w:hint="eastAsia" w:hAnsi="宋体" w:eastAsia="宋体" w:cs="宋体"/>
          <w:color w:val="auto"/>
        </w:rPr>
        <w:t>2.资格审查报告</w:t>
      </w:r>
      <w:bookmarkEnd w:id="872"/>
      <w:bookmarkEnd w:id="873"/>
      <w:bookmarkEnd w:id="874"/>
      <w:bookmarkEnd w:id="875"/>
      <w:bookmarkEnd w:id="876"/>
      <w:bookmarkEnd w:id="877"/>
    </w:p>
    <w:p w14:paraId="7B937668">
      <w:pPr>
        <w:rPr>
          <w:rFonts w:hint="eastAsia" w:cs="宋体"/>
          <w:color w:val="auto"/>
        </w:rPr>
      </w:pPr>
      <w:r>
        <w:rPr>
          <w:rFonts w:hint="eastAsia" w:cs="宋体"/>
          <w:color w:val="auto"/>
        </w:rPr>
        <w:t>采购人或者采购代理机构根据资格审查情况出具资格审查报告。</w:t>
      </w:r>
    </w:p>
    <w:p w14:paraId="63326A2B">
      <w:pPr>
        <w:pStyle w:val="44"/>
        <w:outlineLvl w:val="9"/>
        <w:rPr>
          <w:rFonts w:hint="eastAsia" w:eastAsia="宋体" w:cs="宋体"/>
          <w:color w:val="auto"/>
        </w:rPr>
      </w:pPr>
      <w:bookmarkStart w:id="878" w:name="_Toc35701823"/>
      <w:bookmarkStart w:id="879" w:name="_Toc36116117"/>
      <w:bookmarkStart w:id="880" w:name="_Toc35701037"/>
      <w:bookmarkStart w:id="881" w:name="_Toc35700966"/>
      <w:r>
        <w:rPr>
          <w:rFonts w:hint="eastAsia" w:eastAsia="宋体" w:cs="宋体"/>
          <w:color w:val="auto"/>
        </w:rPr>
        <w:br w:type="page"/>
      </w:r>
    </w:p>
    <w:bookmarkEnd w:id="878"/>
    <w:bookmarkEnd w:id="879"/>
    <w:bookmarkEnd w:id="880"/>
    <w:bookmarkEnd w:id="881"/>
    <w:p w14:paraId="201FE43E">
      <w:pPr>
        <w:pStyle w:val="3"/>
        <w:spacing w:before="120" w:after="120"/>
        <w:ind w:firstLine="723"/>
        <w:rPr>
          <w:rFonts w:hint="eastAsia" w:ascii="宋体" w:hAnsi="宋体" w:eastAsia="宋体" w:cs="宋体"/>
          <w:color w:val="auto"/>
          <w:sz w:val="32"/>
          <w:szCs w:val="18"/>
        </w:rPr>
      </w:pPr>
      <w:bookmarkStart w:id="882" w:name="_Toc36116118"/>
      <w:bookmarkStart w:id="883" w:name="_Toc35701038"/>
      <w:bookmarkStart w:id="884" w:name="_Toc35701824"/>
      <w:bookmarkStart w:id="885" w:name="_Toc29946"/>
      <w:bookmarkStart w:id="886" w:name="_Toc35700967"/>
      <w:r>
        <w:rPr>
          <w:rFonts w:hint="eastAsia" w:ascii="宋体" w:hAnsi="宋体" w:eastAsia="宋体" w:cs="宋体"/>
          <w:color w:val="auto"/>
          <w:sz w:val="32"/>
          <w:szCs w:val="18"/>
          <w:lang w:val="en-US" w:eastAsia="zh-CN"/>
        </w:rPr>
        <w:t xml:space="preserve"> </w:t>
      </w:r>
      <w:bookmarkStart w:id="887" w:name="_Toc27583"/>
      <w:r>
        <w:rPr>
          <w:rFonts w:hint="eastAsia" w:ascii="宋体" w:hAnsi="宋体" w:eastAsia="宋体" w:cs="宋体"/>
          <w:color w:val="auto"/>
          <w:sz w:val="32"/>
          <w:szCs w:val="18"/>
        </w:rPr>
        <w:t>第七章 评标方法（综合评分法）</w:t>
      </w:r>
      <w:bookmarkEnd w:id="887"/>
    </w:p>
    <w:p w14:paraId="0283D23A">
      <w:pPr>
        <w:pStyle w:val="5"/>
        <w:ind w:firstLine="0" w:firstLineChars="0"/>
        <w:jc w:val="center"/>
        <w:rPr>
          <w:rFonts w:hint="eastAsia" w:hAnsi="宋体" w:eastAsia="宋体" w:cs="宋体"/>
          <w:color w:val="auto"/>
        </w:rPr>
      </w:pPr>
      <w:bookmarkStart w:id="888" w:name="_Toc7277"/>
      <w:r>
        <w:rPr>
          <w:rFonts w:hint="eastAsia" w:hAnsi="宋体" w:eastAsia="宋体" w:cs="宋体"/>
          <w:color w:val="auto"/>
        </w:rPr>
        <w:t>评标方法前附表</w:t>
      </w:r>
      <w:bookmarkEnd w:id="882"/>
      <w:bookmarkEnd w:id="883"/>
      <w:bookmarkEnd w:id="884"/>
      <w:bookmarkEnd w:id="885"/>
      <w:bookmarkEnd w:id="886"/>
      <w:bookmarkEnd w:id="888"/>
    </w:p>
    <w:tbl>
      <w:tblPr>
        <w:tblStyle w:val="30"/>
        <w:tblW w:w="932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34"/>
        <w:gridCol w:w="709"/>
        <w:gridCol w:w="1577"/>
        <w:gridCol w:w="6509"/>
      </w:tblGrid>
      <w:tr w14:paraId="3C00C4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tblHeader/>
          <w:jc w:val="center"/>
        </w:trPr>
        <w:tc>
          <w:tcPr>
            <w:tcW w:w="1243" w:type="dxa"/>
            <w:gridSpan w:val="2"/>
            <w:vAlign w:val="center"/>
          </w:tcPr>
          <w:p w14:paraId="092B3102">
            <w:pPr>
              <w:ind w:firstLine="0" w:firstLineChars="0"/>
              <w:jc w:val="center"/>
              <w:rPr>
                <w:rFonts w:hint="eastAsia" w:ascii="宋体" w:hAnsi="宋体" w:eastAsia="宋体" w:cs="宋体"/>
                <w:b/>
                <w:color w:val="auto"/>
              </w:rPr>
            </w:pPr>
            <w:r>
              <w:rPr>
                <w:rFonts w:hint="eastAsia" w:ascii="宋体" w:hAnsi="宋体" w:eastAsia="宋体" w:cs="宋体"/>
                <w:b/>
                <w:color w:val="auto"/>
              </w:rPr>
              <w:t>条款号</w:t>
            </w:r>
          </w:p>
        </w:tc>
        <w:tc>
          <w:tcPr>
            <w:tcW w:w="1577" w:type="dxa"/>
            <w:vAlign w:val="center"/>
          </w:tcPr>
          <w:p w14:paraId="5903C3E9">
            <w:pPr>
              <w:ind w:firstLine="0" w:firstLineChars="0"/>
              <w:jc w:val="center"/>
              <w:rPr>
                <w:rFonts w:hint="eastAsia" w:ascii="宋体" w:hAnsi="宋体" w:eastAsia="宋体" w:cs="宋体"/>
                <w:b/>
                <w:color w:val="auto"/>
              </w:rPr>
            </w:pPr>
            <w:r>
              <w:rPr>
                <w:rFonts w:hint="eastAsia" w:ascii="宋体" w:hAnsi="宋体" w:eastAsia="宋体" w:cs="宋体"/>
                <w:b/>
                <w:color w:val="auto"/>
              </w:rPr>
              <w:t>评 审 因 素</w:t>
            </w:r>
          </w:p>
        </w:tc>
        <w:tc>
          <w:tcPr>
            <w:tcW w:w="6509" w:type="dxa"/>
            <w:vAlign w:val="center"/>
          </w:tcPr>
          <w:p w14:paraId="007FA59A">
            <w:pPr>
              <w:ind w:firstLine="0" w:firstLineChars="0"/>
              <w:jc w:val="center"/>
              <w:rPr>
                <w:rFonts w:hint="eastAsia" w:ascii="宋体" w:hAnsi="宋体" w:eastAsia="宋体" w:cs="宋体"/>
                <w:b/>
                <w:color w:val="auto"/>
              </w:rPr>
            </w:pPr>
            <w:r>
              <w:rPr>
                <w:rFonts w:hint="eastAsia" w:ascii="宋体" w:hAnsi="宋体" w:eastAsia="宋体" w:cs="宋体"/>
                <w:b/>
                <w:color w:val="auto"/>
              </w:rPr>
              <w:t>评 审 标 准</w:t>
            </w:r>
          </w:p>
        </w:tc>
      </w:tr>
      <w:tr w14:paraId="5E973B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4" w:type="dxa"/>
            <w:vMerge w:val="restart"/>
            <w:vAlign w:val="center"/>
          </w:tcPr>
          <w:p w14:paraId="0476047A">
            <w:pPr>
              <w:ind w:firstLine="0" w:firstLineChars="0"/>
              <w:rPr>
                <w:rFonts w:hint="eastAsia" w:ascii="宋体" w:hAnsi="宋体" w:eastAsia="宋体" w:cs="宋体"/>
                <w:color w:val="auto"/>
              </w:rPr>
            </w:pPr>
            <w:r>
              <w:rPr>
                <w:rFonts w:hint="eastAsia" w:ascii="宋体" w:hAnsi="宋体" w:eastAsia="宋体" w:cs="宋体"/>
                <w:color w:val="auto"/>
              </w:rPr>
              <w:t>1</w:t>
            </w:r>
          </w:p>
        </w:tc>
        <w:tc>
          <w:tcPr>
            <w:tcW w:w="709" w:type="dxa"/>
            <w:vMerge w:val="restart"/>
            <w:vAlign w:val="center"/>
          </w:tcPr>
          <w:p w14:paraId="3E967BDC">
            <w:pPr>
              <w:ind w:firstLine="0" w:firstLineChars="0"/>
              <w:jc w:val="center"/>
              <w:rPr>
                <w:rFonts w:hint="eastAsia" w:ascii="宋体" w:hAnsi="宋体" w:eastAsia="宋体" w:cs="宋体"/>
                <w:color w:val="auto"/>
              </w:rPr>
            </w:pPr>
            <w:r>
              <w:rPr>
                <w:rFonts w:hint="eastAsia" w:ascii="宋体" w:hAnsi="宋体" w:eastAsia="宋体" w:cs="宋体"/>
                <w:color w:val="auto"/>
              </w:rPr>
              <w:t>符合性审查</w:t>
            </w:r>
          </w:p>
        </w:tc>
        <w:tc>
          <w:tcPr>
            <w:tcW w:w="1577" w:type="dxa"/>
            <w:vAlign w:val="center"/>
          </w:tcPr>
          <w:p w14:paraId="2E1A81F6">
            <w:pPr>
              <w:ind w:firstLine="0" w:firstLineChars="0"/>
              <w:jc w:val="center"/>
              <w:rPr>
                <w:rFonts w:hint="eastAsia" w:ascii="宋体" w:hAnsi="宋体" w:eastAsia="宋体" w:cs="宋体"/>
                <w:color w:val="auto"/>
              </w:rPr>
            </w:pPr>
            <w:r>
              <w:rPr>
                <w:rFonts w:hint="eastAsia" w:ascii="宋体" w:hAnsi="宋体" w:eastAsia="宋体" w:cs="宋体"/>
                <w:color w:val="auto"/>
              </w:rPr>
              <w:t>投标报价</w:t>
            </w:r>
          </w:p>
        </w:tc>
        <w:tc>
          <w:tcPr>
            <w:tcW w:w="6509" w:type="dxa"/>
            <w:vAlign w:val="center"/>
          </w:tcPr>
          <w:p w14:paraId="49F88871">
            <w:pPr>
              <w:ind w:firstLine="0" w:firstLineChars="0"/>
              <w:rPr>
                <w:rFonts w:hint="eastAsia" w:ascii="宋体" w:hAnsi="宋体" w:eastAsia="宋体" w:cs="宋体"/>
                <w:color w:val="auto"/>
              </w:rPr>
            </w:pPr>
            <w:r>
              <w:rPr>
                <w:rFonts w:hint="eastAsia" w:ascii="宋体" w:hAnsi="宋体" w:eastAsia="宋体" w:cs="宋体"/>
                <w:color w:val="auto"/>
              </w:rPr>
              <w:t>未出现缺项、漏项，对所投</w:t>
            </w:r>
            <w:r>
              <w:rPr>
                <w:rFonts w:hint="eastAsia" w:cs="宋体"/>
                <w:color w:val="auto"/>
                <w:lang w:val="en-US" w:eastAsia="zh-CN"/>
              </w:rPr>
              <w:t>项目</w:t>
            </w:r>
            <w:r>
              <w:rPr>
                <w:rFonts w:hint="eastAsia" w:ascii="宋体" w:hAnsi="宋体" w:eastAsia="宋体" w:cs="宋体"/>
                <w:color w:val="auto"/>
              </w:rPr>
              <w:t>内所有内容作出完整唯一的投标报价，报价未超过上限价</w:t>
            </w:r>
          </w:p>
        </w:tc>
      </w:tr>
      <w:tr w14:paraId="0B9A23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4" w:type="dxa"/>
            <w:vMerge w:val="continue"/>
            <w:vAlign w:val="center"/>
          </w:tcPr>
          <w:p w14:paraId="6AC81AA7">
            <w:pPr>
              <w:ind w:firstLine="0" w:firstLineChars="0"/>
              <w:rPr>
                <w:rFonts w:hint="eastAsia" w:ascii="宋体" w:hAnsi="宋体" w:eastAsia="宋体" w:cs="宋体"/>
                <w:color w:val="auto"/>
              </w:rPr>
            </w:pPr>
          </w:p>
        </w:tc>
        <w:tc>
          <w:tcPr>
            <w:tcW w:w="709" w:type="dxa"/>
            <w:vMerge w:val="continue"/>
            <w:vAlign w:val="center"/>
          </w:tcPr>
          <w:p w14:paraId="19B358CE">
            <w:pPr>
              <w:ind w:firstLine="0" w:firstLineChars="0"/>
              <w:jc w:val="center"/>
              <w:rPr>
                <w:rFonts w:hint="eastAsia" w:ascii="宋体" w:hAnsi="宋体" w:eastAsia="宋体" w:cs="宋体"/>
                <w:color w:val="auto"/>
              </w:rPr>
            </w:pPr>
          </w:p>
        </w:tc>
        <w:tc>
          <w:tcPr>
            <w:tcW w:w="1577" w:type="dxa"/>
            <w:vAlign w:val="center"/>
          </w:tcPr>
          <w:p w14:paraId="10628C1D">
            <w:pPr>
              <w:ind w:firstLine="0" w:firstLineChars="0"/>
              <w:jc w:val="center"/>
              <w:rPr>
                <w:rFonts w:hint="eastAsia" w:ascii="宋体" w:hAnsi="宋体" w:eastAsia="宋体" w:cs="宋体"/>
                <w:color w:val="auto"/>
              </w:rPr>
            </w:pPr>
            <w:r>
              <w:rPr>
                <w:rFonts w:hint="eastAsia" w:ascii="宋体" w:hAnsi="宋体" w:eastAsia="宋体" w:cs="宋体"/>
                <w:color w:val="auto"/>
              </w:rPr>
              <w:t>投标有效期</w:t>
            </w:r>
          </w:p>
        </w:tc>
        <w:tc>
          <w:tcPr>
            <w:tcW w:w="6509" w:type="dxa"/>
            <w:vAlign w:val="center"/>
          </w:tcPr>
          <w:p w14:paraId="2FA5EDA2">
            <w:pPr>
              <w:ind w:firstLine="0" w:firstLineChars="0"/>
              <w:rPr>
                <w:rFonts w:hint="eastAsia" w:ascii="宋体" w:hAnsi="宋体" w:eastAsia="宋体" w:cs="宋体"/>
                <w:color w:val="auto"/>
              </w:rPr>
            </w:pPr>
            <w:r>
              <w:rPr>
                <w:rFonts w:hint="eastAsia" w:ascii="宋体" w:hAnsi="宋体" w:eastAsia="宋体" w:cs="宋体"/>
                <w:color w:val="auto"/>
              </w:rPr>
              <w:t>符合第二章《投标人须知》第17.1项规定</w:t>
            </w:r>
          </w:p>
        </w:tc>
      </w:tr>
      <w:tr w14:paraId="1C2C6C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4" w:type="dxa"/>
            <w:vMerge w:val="continue"/>
            <w:vAlign w:val="center"/>
          </w:tcPr>
          <w:p w14:paraId="333FF408">
            <w:pPr>
              <w:ind w:firstLine="0" w:firstLineChars="0"/>
              <w:rPr>
                <w:rFonts w:hint="eastAsia" w:ascii="宋体" w:hAnsi="宋体" w:eastAsia="宋体" w:cs="宋体"/>
                <w:color w:val="auto"/>
              </w:rPr>
            </w:pPr>
          </w:p>
        </w:tc>
        <w:tc>
          <w:tcPr>
            <w:tcW w:w="709" w:type="dxa"/>
            <w:vMerge w:val="continue"/>
            <w:vAlign w:val="center"/>
          </w:tcPr>
          <w:p w14:paraId="37819ADE">
            <w:pPr>
              <w:ind w:firstLine="0" w:firstLineChars="0"/>
              <w:rPr>
                <w:rFonts w:hint="eastAsia" w:ascii="宋体" w:hAnsi="宋体" w:eastAsia="宋体" w:cs="宋体"/>
                <w:color w:val="auto"/>
              </w:rPr>
            </w:pPr>
          </w:p>
        </w:tc>
        <w:tc>
          <w:tcPr>
            <w:tcW w:w="1577" w:type="dxa"/>
            <w:vAlign w:val="center"/>
          </w:tcPr>
          <w:p w14:paraId="021F06D3">
            <w:pPr>
              <w:ind w:firstLine="0" w:firstLineChars="0"/>
              <w:jc w:val="center"/>
              <w:rPr>
                <w:rFonts w:hint="eastAsia" w:ascii="宋体" w:hAnsi="宋体" w:eastAsia="宋体" w:cs="宋体"/>
                <w:color w:val="auto"/>
              </w:rPr>
            </w:pPr>
            <w:r>
              <w:rPr>
                <w:rFonts w:hint="eastAsia" w:ascii="宋体" w:hAnsi="宋体" w:eastAsia="宋体" w:cs="宋体"/>
                <w:color w:val="auto"/>
              </w:rPr>
              <w:t>投标文件格式</w:t>
            </w:r>
          </w:p>
        </w:tc>
        <w:tc>
          <w:tcPr>
            <w:tcW w:w="6509" w:type="dxa"/>
            <w:vAlign w:val="center"/>
          </w:tcPr>
          <w:p w14:paraId="7B558DC3">
            <w:pPr>
              <w:ind w:firstLine="0" w:firstLineChars="0"/>
              <w:rPr>
                <w:rFonts w:hint="eastAsia" w:ascii="宋体" w:hAnsi="宋体" w:eastAsia="宋体" w:cs="宋体"/>
                <w:color w:val="auto"/>
              </w:rPr>
            </w:pPr>
            <w:r>
              <w:rPr>
                <w:rFonts w:hint="eastAsia" w:ascii="宋体" w:hAnsi="宋体" w:eastAsia="宋体" w:cs="宋体"/>
                <w:color w:val="auto"/>
              </w:rPr>
              <w:t>按招标文件要求填写，内容齐全、关键字迹清晰（可辨）的；</w:t>
            </w:r>
          </w:p>
        </w:tc>
      </w:tr>
      <w:tr w14:paraId="633CE9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4" w:type="dxa"/>
            <w:vMerge w:val="continue"/>
            <w:vAlign w:val="center"/>
          </w:tcPr>
          <w:p w14:paraId="6F3CE2F6">
            <w:pPr>
              <w:ind w:firstLine="0" w:firstLineChars="0"/>
              <w:rPr>
                <w:rFonts w:hint="eastAsia" w:ascii="宋体" w:hAnsi="宋体" w:eastAsia="宋体" w:cs="宋体"/>
                <w:color w:val="auto"/>
              </w:rPr>
            </w:pPr>
          </w:p>
        </w:tc>
        <w:tc>
          <w:tcPr>
            <w:tcW w:w="709" w:type="dxa"/>
            <w:vMerge w:val="continue"/>
            <w:vAlign w:val="center"/>
          </w:tcPr>
          <w:p w14:paraId="0DDBE152">
            <w:pPr>
              <w:ind w:firstLine="0" w:firstLineChars="0"/>
              <w:rPr>
                <w:rFonts w:hint="eastAsia" w:ascii="宋体" w:hAnsi="宋体" w:eastAsia="宋体" w:cs="宋体"/>
                <w:color w:val="auto"/>
              </w:rPr>
            </w:pPr>
          </w:p>
        </w:tc>
        <w:tc>
          <w:tcPr>
            <w:tcW w:w="1577" w:type="dxa"/>
            <w:vAlign w:val="center"/>
          </w:tcPr>
          <w:p w14:paraId="475FB445">
            <w:pPr>
              <w:ind w:firstLine="0" w:firstLineChars="0"/>
              <w:jc w:val="center"/>
              <w:rPr>
                <w:rFonts w:hint="eastAsia" w:ascii="宋体" w:hAnsi="宋体" w:eastAsia="宋体" w:cs="宋体"/>
                <w:color w:val="auto"/>
              </w:rPr>
            </w:pPr>
            <w:r>
              <w:rPr>
                <w:rFonts w:hint="eastAsia" w:ascii="宋体" w:hAnsi="宋体" w:eastAsia="宋体" w:cs="宋体"/>
                <w:color w:val="auto"/>
              </w:rPr>
              <w:t>招标文件中要求电子签名（或签字或盖章）、电子签章（或盖单位公章）的地方</w:t>
            </w:r>
          </w:p>
        </w:tc>
        <w:tc>
          <w:tcPr>
            <w:tcW w:w="6509" w:type="dxa"/>
            <w:vAlign w:val="center"/>
          </w:tcPr>
          <w:p w14:paraId="3D939EB9">
            <w:pPr>
              <w:ind w:firstLine="0" w:firstLineChars="0"/>
              <w:rPr>
                <w:rFonts w:hint="eastAsia" w:ascii="宋体" w:hAnsi="宋体" w:eastAsia="宋体" w:cs="宋体"/>
                <w:color w:val="auto"/>
              </w:rPr>
            </w:pPr>
            <w:r>
              <w:rPr>
                <w:rFonts w:hint="eastAsia" w:ascii="宋体" w:hAnsi="宋体" w:eastAsia="宋体" w:cs="宋体"/>
                <w:color w:val="auto"/>
              </w:rPr>
              <w:t>按招标文件要求电子签名（或签字或盖章）、电子签章（或盖单位公章）；</w:t>
            </w:r>
          </w:p>
        </w:tc>
      </w:tr>
      <w:tr w14:paraId="6FF72B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4" w:type="dxa"/>
            <w:vMerge w:val="continue"/>
            <w:vAlign w:val="center"/>
          </w:tcPr>
          <w:p w14:paraId="32C3EEB5">
            <w:pPr>
              <w:ind w:firstLine="0" w:firstLineChars="0"/>
              <w:rPr>
                <w:rFonts w:hint="eastAsia" w:ascii="宋体" w:hAnsi="宋体" w:eastAsia="宋体" w:cs="宋体"/>
                <w:color w:val="auto"/>
              </w:rPr>
            </w:pPr>
          </w:p>
        </w:tc>
        <w:tc>
          <w:tcPr>
            <w:tcW w:w="709" w:type="dxa"/>
            <w:vMerge w:val="continue"/>
            <w:vAlign w:val="center"/>
          </w:tcPr>
          <w:p w14:paraId="21A96EB2">
            <w:pPr>
              <w:ind w:firstLine="0" w:firstLineChars="0"/>
              <w:rPr>
                <w:rFonts w:hint="eastAsia" w:ascii="宋体" w:hAnsi="宋体" w:eastAsia="宋体" w:cs="宋体"/>
                <w:color w:val="auto"/>
              </w:rPr>
            </w:pPr>
          </w:p>
        </w:tc>
        <w:tc>
          <w:tcPr>
            <w:tcW w:w="1577" w:type="dxa"/>
            <w:vAlign w:val="center"/>
          </w:tcPr>
          <w:p w14:paraId="7C086D70">
            <w:pPr>
              <w:ind w:firstLine="0" w:firstLineChars="0"/>
              <w:jc w:val="center"/>
              <w:rPr>
                <w:rFonts w:hint="eastAsia" w:ascii="宋体" w:hAnsi="宋体" w:eastAsia="宋体" w:cs="宋体"/>
                <w:color w:val="auto"/>
              </w:rPr>
            </w:pPr>
            <w:r>
              <w:rPr>
                <w:rFonts w:hint="eastAsia" w:ascii="宋体" w:hAnsi="宋体" w:eastAsia="宋体" w:cs="宋体"/>
                <w:color w:val="auto"/>
              </w:rPr>
              <w:t>其它实质性要求</w:t>
            </w:r>
          </w:p>
        </w:tc>
        <w:tc>
          <w:tcPr>
            <w:tcW w:w="6509" w:type="dxa"/>
            <w:vAlign w:val="center"/>
          </w:tcPr>
          <w:p w14:paraId="6A5B6C87">
            <w:pPr>
              <w:ind w:firstLine="0" w:firstLineChars="0"/>
              <w:rPr>
                <w:rFonts w:hint="eastAsia" w:ascii="宋体" w:hAnsi="宋体" w:eastAsia="宋体" w:cs="宋体"/>
                <w:color w:val="auto"/>
              </w:rPr>
            </w:pPr>
            <w:r>
              <w:rPr>
                <w:rFonts w:hint="eastAsia" w:ascii="宋体" w:hAnsi="宋体" w:eastAsia="宋体" w:cs="宋体"/>
                <w:color w:val="auto"/>
              </w:rPr>
              <w:t>1）招标文件中规定的</w:t>
            </w:r>
            <w:r>
              <w:rPr>
                <w:rFonts w:hint="eastAsia" w:ascii="宋体" w:hAnsi="宋体" w:eastAsia="宋体" w:cs="宋体"/>
                <w:color w:val="auto"/>
                <w:u w:val="single"/>
              </w:rPr>
              <w:t>合同履行期限、配送地点、</w:t>
            </w:r>
            <w:r>
              <w:rPr>
                <w:rFonts w:hint="eastAsia" w:ascii="宋体" w:hAnsi="宋体" w:eastAsia="宋体" w:cs="宋体"/>
                <w:bCs/>
                <w:color w:val="auto"/>
                <w:u w:val="single"/>
              </w:rPr>
              <w:t>价款结算、履约保证金</w:t>
            </w:r>
            <w:r>
              <w:rPr>
                <w:rFonts w:hint="eastAsia" w:ascii="宋体" w:hAnsi="宋体" w:eastAsia="宋体" w:cs="宋体"/>
                <w:color w:val="auto"/>
              </w:rPr>
              <w:t>不允许负偏离，否则其投标文件按无效投标处理；</w:t>
            </w:r>
          </w:p>
          <w:p w14:paraId="505F6736">
            <w:pPr>
              <w:ind w:firstLine="0" w:firstLineChars="0"/>
              <w:rPr>
                <w:rFonts w:hint="eastAsia" w:ascii="宋体" w:hAnsi="宋体" w:eastAsia="宋体" w:cs="宋体"/>
                <w:color w:val="auto"/>
              </w:rPr>
            </w:pPr>
            <w:r>
              <w:rPr>
                <w:rFonts w:hint="eastAsia" w:ascii="宋体" w:hAnsi="宋体" w:eastAsia="宋体" w:cs="宋体"/>
                <w:color w:val="auto"/>
              </w:rPr>
              <w:t>2）投标文件含有采购人不能接受的附加条件的；（如招标文件中明确规定不得改变双方的权利与义务、降低技术标准和要求等损害</w:t>
            </w:r>
            <w:r>
              <w:rPr>
                <w:rFonts w:hint="eastAsia" w:ascii="宋体" w:hAnsi="宋体" w:eastAsia="宋体" w:cs="宋体"/>
                <w:color w:val="auto"/>
                <w:lang w:eastAsia="zh-CN"/>
              </w:rPr>
              <w:t>采购人</w:t>
            </w:r>
            <w:r>
              <w:rPr>
                <w:rFonts w:hint="eastAsia" w:ascii="宋体" w:hAnsi="宋体" w:eastAsia="宋体" w:cs="宋体"/>
                <w:color w:val="auto"/>
              </w:rPr>
              <w:t>利益的行为）；</w:t>
            </w:r>
          </w:p>
          <w:p w14:paraId="7707593B">
            <w:pPr>
              <w:ind w:firstLine="0" w:firstLineChars="0"/>
              <w:rPr>
                <w:rFonts w:hint="eastAsia" w:ascii="宋体" w:hAnsi="宋体" w:eastAsia="宋体" w:cs="宋体"/>
                <w:color w:val="auto"/>
              </w:rPr>
            </w:pPr>
            <w:r>
              <w:rPr>
                <w:rFonts w:hint="eastAsia" w:ascii="宋体" w:hAnsi="宋体" w:eastAsia="宋体" w:cs="宋体"/>
                <w:color w:val="auto"/>
              </w:rPr>
              <w:t>3）法律、法规和招标文件明确规定的其他无效情形。</w:t>
            </w:r>
          </w:p>
        </w:tc>
      </w:tr>
      <w:tr w14:paraId="11443C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4" w:type="dxa"/>
            <w:vMerge w:val="restart"/>
            <w:vAlign w:val="center"/>
          </w:tcPr>
          <w:p w14:paraId="7855BC83">
            <w:pPr>
              <w:ind w:firstLine="0" w:firstLineChars="0"/>
              <w:rPr>
                <w:rFonts w:hint="eastAsia" w:ascii="宋体" w:hAnsi="宋体" w:eastAsia="宋体" w:cs="宋体"/>
                <w:color w:val="auto"/>
              </w:rPr>
            </w:pPr>
            <w:r>
              <w:rPr>
                <w:rFonts w:hint="eastAsia" w:ascii="宋体" w:hAnsi="宋体" w:eastAsia="宋体" w:cs="宋体"/>
                <w:color w:val="auto"/>
              </w:rPr>
              <w:t>2</w:t>
            </w:r>
          </w:p>
        </w:tc>
        <w:tc>
          <w:tcPr>
            <w:tcW w:w="709" w:type="dxa"/>
            <w:vMerge w:val="restart"/>
            <w:vAlign w:val="center"/>
          </w:tcPr>
          <w:p w14:paraId="0C2DD91E">
            <w:pPr>
              <w:ind w:firstLine="0" w:firstLineChars="0"/>
              <w:rPr>
                <w:rFonts w:hint="eastAsia" w:ascii="宋体" w:hAnsi="宋体" w:eastAsia="宋体" w:cs="宋体"/>
                <w:color w:val="auto"/>
              </w:rPr>
            </w:pPr>
            <w:r>
              <w:rPr>
                <w:rFonts w:hint="eastAsia" w:ascii="宋体" w:hAnsi="宋体" w:eastAsia="宋体" w:cs="宋体"/>
                <w:color w:val="auto"/>
              </w:rPr>
              <w:t>评审标准</w:t>
            </w:r>
          </w:p>
        </w:tc>
        <w:tc>
          <w:tcPr>
            <w:tcW w:w="1577" w:type="dxa"/>
            <w:vAlign w:val="center"/>
          </w:tcPr>
          <w:p w14:paraId="55EEFA30">
            <w:pPr>
              <w:ind w:firstLine="0" w:firstLineChars="0"/>
              <w:jc w:val="center"/>
              <w:rPr>
                <w:rFonts w:hint="eastAsia" w:ascii="宋体" w:hAnsi="宋体" w:eastAsia="宋体" w:cs="宋体"/>
                <w:color w:val="auto"/>
              </w:rPr>
            </w:pPr>
            <w:r>
              <w:rPr>
                <w:rFonts w:hint="eastAsia" w:ascii="宋体" w:hAnsi="宋体" w:eastAsia="宋体" w:cs="宋体"/>
                <w:color w:val="auto"/>
              </w:rPr>
              <w:t>（1）评标总得分计算公式</w:t>
            </w:r>
          </w:p>
        </w:tc>
        <w:tc>
          <w:tcPr>
            <w:tcW w:w="6509" w:type="dxa"/>
            <w:vAlign w:val="center"/>
          </w:tcPr>
          <w:p w14:paraId="4C00D64F">
            <w:pPr>
              <w:ind w:firstLine="0" w:firstLineChars="0"/>
              <w:rPr>
                <w:rFonts w:hint="eastAsia" w:ascii="宋体" w:hAnsi="宋体" w:eastAsia="宋体" w:cs="宋体"/>
                <w:color w:val="auto"/>
              </w:rPr>
            </w:pPr>
            <w:r>
              <w:rPr>
                <w:rFonts w:hint="eastAsia" w:ascii="宋体" w:hAnsi="宋体" w:eastAsia="宋体" w:cs="宋体"/>
                <w:color w:val="auto"/>
              </w:rPr>
              <w:t>投标人的评标总得分＝F1＋F2＋F3</w:t>
            </w:r>
          </w:p>
          <w:p w14:paraId="572A6A7E">
            <w:pPr>
              <w:ind w:firstLine="0" w:firstLineChars="0"/>
              <w:rPr>
                <w:rFonts w:hint="eastAsia" w:ascii="宋体" w:hAnsi="宋体" w:eastAsia="宋体" w:cs="宋体"/>
                <w:color w:val="auto"/>
              </w:rPr>
            </w:pPr>
            <w:r>
              <w:rPr>
                <w:rFonts w:hint="eastAsia" w:ascii="宋体" w:hAnsi="宋体" w:eastAsia="宋体" w:cs="宋体"/>
                <w:color w:val="auto"/>
              </w:rPr>
              <w:t>其中：F1、F2、F3分别为投标报价、技术部分、商务部分3项评分因素的汇总得分；</w:t>
            </w:r>
          </w:p>
        </w:tc>
      </w:tr>
      <w:tr w14:paraId="702AD8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534" w:type="dxa"/>
            <w:vMerge w:val="continue"/>
            <w:vAlign w:val="center"/>
          </w:tcPr>
          <w:p w14:paraId="01DCE322">
            <w:pPr>
              <w:ind w:firstLine="0" w:firstLineChars="0"/>
              <w:rPr>
                <w:rFonts w:hint="eastAsia" w:ascii="宋体" w:hAnsi="宋体" w:eastAsia="宋体" w:cs="宋体"/>
                <w:color w:val="auto"/>
              </w:rPr>
            </w:pPr>
          </w:p>
        </w:tc>
        <w:tc>
          <w:tcPr>
            <w:tcW w:w="709" w:type="dxa"/>
            <w:vMerge w:val="continue"/>
            <w:vAlign w:val="center"/>
          </w:tcPr>
          <w:p w14:paraId="12024959">
            <w:pPr>
              <w:ind w:firstLine="0" w:firstLineChars="0"/>
              <w:rPr>
                <w:rFonts w:hint="eastAsia" w:ascii="宋体" w:hAnsi="宋体" w:eastAsia="宋体" w:cs="宋体"/>
                <w:color w:val="auto"/>
              </w:rPr>
            </w:pPr>
          </w:p>
        </w:tc>
        <w:tc>
          <w:tcPr>
            <w:tcW w:w="1577" w:type="dxa"/>
            <w:vAlign w:val="center"/>
          </w:tcPr>
          <w:p w14:paraId="7CC4A56F">
            <w:pPr>
              <w:ind w:firstLine="0" w:firstLineChars="0"/>
              <w:jc w:val="center"/>
              <w:rPr>
                <w:rFonts w:hint="eastAsia" w:ascii="宋体" w:hAnsi="宋体" w:eastAsia="宋体" w:cs="宋体"/>
                <w:color w:val="auto"/>
              </w:rPr>
            </w:pPr>
            <w:r>
              <w:rPr>
                <w:rFonts w:hint="eastAsia" w:ascii="宋体" w:hAnsi="宋体" w:eastAsia="宋体" w:cs="宋体"/>
                <w:color w:val="auto"/>
              </w:rPr>
              <w:t>（2）评分因素权重</w:t>
            </w:r>
          </w:p>
        </w:tc>
        <w:tc>
          <w:tcPr>
            <w:tcW w:w="6509" w:type="dxa"/>
            <w:vAlign w:val="center"/>
          </w:tcPr>
          <w:p w14:paraId="1F0B9CD2">
            <w:pPr>
              <w:ind w:firstLine="0" w:firstLineChars="0"/>
              <w:rPr>
                <w:rFonts w:hint="eastAsia" w:ascii="宋体" w:hAnsi="宋体" w:eastAsia="宋体" w:cs="宋体"/>
                <w:color w:val="auto"/>
              </w:rPr>
            </w:pPr>
            <w:r>
              <w:rPr>
                <w:rFonts w:hint="eastAsia" w:ascii="宋体" w:hAnsi="宋体" w:eastAsia="宋体" w:cs="宋体"/>
                <w:color w:val="auto"/>
              </w:rPr>
              <w:t>投标报价F1：30分。</w:t>
            </w:r>
          </w:p>
          <w:p w14:paraId="1B8BE3C2">
            <w:pPr>
              <w:ind w:firstLine="0" w:firstLineChars="0"/>
              <w:rPr>
                <w:rFonts w:hint="eastAsia" w:ascii="宋体" w:hAnsi="宋体" w:eastAsia="宋体" w:cs="宋体"/>
                <w:color w:val="auto"/>
              </w:rPr>
            </w:pPr>
            <w:r>
              <w:rPr>
                <w:rFonts w:hint="eastAsia" w:ascii="宋体" w:hAnsi="宋体" w:eastAsia="宋体" w:cs="宋体"/>
                <w:color w:val="auto"/>
              </w:rPr>
              <w:t>技术部分F2：62分。</w:t>
            </w:r>
          </w:p>
          <w:p w14:paraId="60AD372E">
            <w:pPr>
              <w:ind w:firstLine="0" w:firstLineChars="0"/>
              <w:rPr>
                <w:rFonts w:hint="eastAsia" w:ascii="宋体" w:hAnsi="宋体" w:eastAsia="宋体" w:cs="宋体"/>
                <w:color w:val="auto"/>
              </w:rPr>
            </w:pPr>
            <w:r>
              <w:rPr>
                <w:rFonts w:hint="eastAsia" w:ascii="宋体" w:hAnsi="宋体" w:eastAsia="宋体" w:cs="宋体"/>
                <w:color w:val="auto"/>
              </w:rPr>
              <w:t>商务部分F3：8分。</w:t>
            </w:r>
          </w:p>
        </w:tc>
      </w:tr>
      <w:tr w14:paraId="2D674B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4" w:type="dxa"/>
            <w:vMerge w:val="continue"/>
            <w:vAlign w:val="center"/>
          </w:tcPr>
          <w:p w14:paraId="36B7B2DF">
            <w:pPr>
              <w:ind w:firstLine="0" w:firstLineChars="0"/>
              <w:rPr>
                <w:rFonts w:hint="eastAsia" w:ascii="宋体" w:hAnsi="宋体" w:eastAsia="宋体" w:cs="宋体"/>
                <w:color w:val="auto"/>
              </w:rPr>
            </w:pPr>
          </w:p>
        </w:tc>
        <w:tc>
          <w:tcPr>
            <w:tcW w:w="709" w:type="dxa"/>
            <w:vMerge w:val="continue"/>
            <w:vAlign w:val="center"/>
          </w:tcPr>
          <w:p w14:paraId="4055ECC1">
            <w:pPr>
              <w:ind w:firstLine="0" w:firstLineChars="0"/>
              <w:rPr>
                <w:rFonts w:hint="eastAsia" w:ascii="宋体" w:hAnsi="宋体" w:eastAsia="宋体" w:cs="宋体"/>
                <w:color w:val="auto"/>
              </w:rPr>
            </w:pPr>
          </w:p>
        </w:tc>
        <w:tc>
          <w:tcPr>
            <w:tcW w:w="1577" w:type="dxa"/>
            <w:vAlign w:val="center"/>
          </w:tcPr>
          <w:p w14:paraId="3B68767D">
            <w:pPr>
              <w:ind w:firstLine="0" w:firstLineChars="0"/>
              <w:jc w:val="center"/>
              <w:rPr>
                <w:rFonts w:hint="eastAsia" w:ascii="宋体" w:hAnsi="宋体" w:eastAsia="宋体" w:cs="宋体"/>
                <w:color w:val="auto"/>
              </w:rPr>
            </w:pPr>
            <w:r>
              <w:rPr>
                <w:rFonts w:hint="eastAsia" w:ascii="宋体" w:hAnsi="宋体" w:eastAsia="宋体" w:cs="宋体"/>
                <w:color w:val="auto"/>
              </w:rPr>
              <w:t>（3）投标报价得分F1（满分30分）</w:t>
            </w:r>
          </w:p>
        </w:tc>
        <w:tc>
          <w:tcPr>
            <w:tcW w:w="6509" w:type="dxa"/>
          </w:tcPr>
          <w:p w14:paraId="5602C504">
            <w:pPr>
              <w:ind w:firstLine="0" w:firstLineChars="0"/>
              <w:rPr>
                <w:rFonts w:hint="eastAsia" w:ascii="宋体" w:hAnsi="宋体" w:eastAsia="宋体" w:cs="宋体"/>
                <w:b/>
                <w:bCs/>
                <w:color w:val="auto"/>
              </w:rPr>
            </w:pPr>
            <w:r>
              <w:rPr>
                <w:rFonts w:hint="eastAsia" w:ascii="宋体" w:hAnsi="宋体" w:eastAsia="宋体" w:cs="宋体"/>
                <w:b/>
                <w:bCs/>
                <w:color w:val="auto"/>
              </w:rPr>
              <w:t>投标报价计算公式= 评标基准价/投标人参与评审的价格×30</w:t>
            </w:r>
          </w:p>
          <w:p w14:paraId="2131CF3C">
            <w:pPr>
              <w:ind w:firstLine="0" w:firstLineChars="0"/>
              <w:rPr>
                <w:rFonts w:hint="eastAsia" w:ascii="宋体" w:hAnsi="宋体" w:eastAsia="宋体" w:cs="宋体"/>
                <w:color w:val="auto"/>
              </w:rPr>
            </w:pPr>
            <w:r>
              <w:rPr>
                <w:rFonts w:hint="eastAsia" w:ascii="宋体" w:hAnsi="宋体" w:eastAsia="宋体" w:cs="宋体"/>
                <w:color w:val="auto"/>
              </w:rPr>
              <w:t>即：F1=[C/（B1，B2，…，Bn）]×30</w:t>
            </w:r>
          </w:p>
          <w:p w14:paraId="34FCEA73">
            <w:pPr>
              <w:ind w:firstLine="0" w:firstLineChars="0"/>
              <w:rPr>
                <w:rFonts w:hint="eastAsia" w:ascii="宋体" w:hAnsi="宋体" w:eastAsia="宋体" w:cs="宋体"/>
                <w:color w:val="auto"/>
              </w:rPr>
            </w:pPr>
            <w:r>
              <w:rPr>
                <w:rFonts w:hint="eastAsia" w:ascii="宋体" w:hAnsi="宋体" w:eastAsia="宋体" w:cs="宋体"/>
                <w:color w:val="auto"/>
              </w:rPr>
              <w:t>注：C为评标基准价，即初步审查合格且参与评审的</w:t>
            </w:r>
            <w:r>
              <w:rPr>
                <w:rFonts w:hint="eastAsia" w:cs="宋体"/>
                <w:color w:val="auto"/>
                <w:lang w:val="en-US" w:eastAsia="zh-CN"/>
              </w:rPr>
              <w:t>投标单价汇总报价</w:t>
            </w:r>
            <w:r>
              <w:rPr>
                <w:rFonts w:hint="eastAsia" w:ascii="宋体" w:hAnsi="宋体" w:eastAsia="宋体" w:cs="宋体"/>
                <w:color w:val="auto"/>
              </w:rPr>
              <w:t>中的最低价；B1，B2，…，Bn为第n个经初步审查合格且参与评审的价格。</w:t>
            </w:r>
          </w:p>
          <w:p w14:paraId="21C556F0">
            <w:pPr>
              <w:ind w:firstLine="0" w:firstLineChars="0"/>
              <w:jc w:val="left"/>
              <w:rPr>
                <w:rFonts w:hint="eastAsia" w:ascii="宋体" w:hAnsi="宋体" w:eastAsia="宋体" w:cs="宋体"/>
                <w:b/>
                <w:bCs/>
                <w:color w:val="auto"/>
              </w:rPr>
            </w:pPr>
            <w:r>
              <w:rPr>
                <w:rFonts w:hint="eastAsia" w:ascii="宋体" w:hAnsi="宋体" w:eastAsia="宋体" w:cs="宋体"/>
                <w:b/>
                <w:bCs/>
                <w:color w:val="auto"/>
              </w:rPr>
              <w:t>评标基准价=实质性要求审查合格且参与评审的</w:t>
            </w:r>
            <w:r>
              <w:rPr>
                <w:rFonts w:hint="eastAsia" w:cs="宋体"/>
                <w:color w:val="auto"/>
                <w:lang w:val="en-US" w:eastAsia="zh-CN"/>
              </w:rPr>
              <w:t>投标单价汇总报价</w:t>
            </w:r>
            <w:r>
              <w:rPr>
                <w:rFonts w:hint="eastAsia" w:ascii="宋体" w:hAnsi="宋体" w:eastAsia="宋体" w:cs="宋体"/>
                <w:b/>
                <w:bCs/>
                <w:color w:val="auto"/>
              </w:rPr>
              <w:t>中的最低价。</w:t>
            </w:r>
          </w:p>
          <w:p w14:paraId="6DBA04B3">
            <w:pPr>
              <w:ind w:firstLine="0" w:firstLineChars="0"/>
              <w:rPr>
                <w:rFonts w:hint="eastAsia" w:ascii="宋体" w:hAnsi="宋体" w:eastAsia="宋体" w:cs="宋体"/>
                <w:color w:val="auto"/>
              </w:rPr>
            </w:pPr>
            <w:r>
              <w:rPr>
                <w:rFonts w:hint="eastAsia" w:ascii="宋体" w:hAnsi="宋体" w:eastAsia="宋体" w:cs="宋体"/>
                <w:color w:val="auto"/>
              </w:rPr>
              <w:t>注：</w:t>
            </w:r>
          </w:p>
          <w:p w14:paraId="620DBCC3">
            <w:pPr>
              <w:ind w:firstLine="0" w:firstLineChars="0"/>
              <w:rPr>
                <w:rFonts w:hint="eastAsia" w:ascii="宋体" w:hAnsi="宋体" w:eastAsia="宋体" w:cs="宋体"/>
                <w:color w:val="auto"/>
              </w:rPr>
            </w:pPr>
            <w:r>
              <w:rPr>
                <w:rFonts w:hint="eastAsia" w:ascii="宋体" w:hAnsi="宋体" w:eastAsia="宋体" w:cs="宋体"/>
                <w:color w:val="auto"/>
              </w:rPr>
              <w:t>1）应落实政府采购政策进行价格调整的，以调整后的价格计算基准价；</w:t>
            </w:r>
          </w:p>
          <w:p w14:paraId="4E4B04D4">
            <w:pPr>
              <w:ind w:firstLine="0" w:firstLineChars="0"/>
              <w:rPr>
                <w:rFonts w:hint="eastAsia" w:ascii="宋体" w:hAnsi="宋体" w:eastAsia="宋体" w:cs="宋体"/>
                <w:color w:val="auto"/>
              </w:rPr>
            </w:pPr>
            <w:r>
              <w:rPr>
                <w:rFonts w:hint="eastAsia" w:ascii="宋体" w:hAnsi="宋体" w:eastAsia="宋体" w:cs="宋体"/>
                <w:color w:val="auto"/>
              </w:rPr>
              <w:t>2）若本次采购范围内所有标的物均由小微型企业承接或由以联合体形式投标的企业承接且联合体成员企业划型或小微企业承担的合同份额符合财政部门针对小微企业价格扣除政策要求的，请按第四章投标文件格式规定填写“中小企业声明函”，经评标委员会核实方可获得价格扣除；</w:t>
            </w:r>
          </w:p>
          <w:p w14:paraId="4A782329">
            <w:pPr>
              <w:ind w:firstLine="0" w:firstLineChars="0"/>
              <w:rPr>
                <w:rFonts w:hint="eastAsia" w:ascii="宋体" w:hAnsi="宋体" w:eastAsia="宋体" w:cs="宋体"/>
                <w:b/>
                <w:bCs/>
                <w:color w:val="auto"/>
              </w:rPr>
            </w:pPr>
            <w:r>
              <w:rPr>
                <w:rFonts w:hint="eastAsia" w:ascii="宋体" w:hAnsi="宋体" w:eastAsia="宋体" w:cs="宋体"/>
                <w:b/>
                <w:bCs/>
                <w:color w:val="auto"/>
              </w:rPr>
              <w:t>3）本项目在计算投标报价得分时，对提供的所有标的物均为小型和微型企业的投标人给予投标报价10%的扣除，用扣除后的投标报价参与评审。</w:t>
            </w:r>
          </w:p>
          <w:p w14:paraId="6B6D1EB1">
            <w:pPr>
              <w:ind w:firstLine="0" w:firstLineChars="0"/>
              <w:rPr>
                <w:rFonts w:hint="eastAsia" w:ascii="宋体" w:hAnsi="宋体" w:eastAsia="宋体" w:cs="宋体"/>
                <w:color w:val="auto"/>
              </w:rPr>
            </w:pPr>
            <w:r>
              <w:rPr>
                <w:rFonts w:hint="eastAsia" w:ascii="宋体" w:hAnsi="宋体" w:eastAsia="宋体" w:cs="宋体"/>
                <w:color w:val="auto"/>
              </w:rPr>
              <w:t>4）残疾人福利性单位（或监狱企业）产品视同小型、微型企业，享受同等价格扣除；针对小型和微型企业价格扣除政策，供应商仅能获得一种政策的价格扣除，不重复享受；</w:t>
            </w:r>
          </w:p>
          <w:p w14:paraId="101FC222">
            <w:pPr>
              <w:ind w:firstLine="0" w:firstLineChars="0"/>
              <w:jc w:val="left"/>
              <w:rPr>
                <w:rFonts w:hint="eastAsia" w:ascii="宋体" w:hAnsi="宋体" w:eastAsia="宋体" w:cs="宋体"/>
                <w:color w:val="auto"/>
              </w:rPr>
            </w:pPr>
            <w:r>
              <w:rPr>
                <w:rFonts w:hint="eastAsia" w:ascii="宋体" w:hAnsi="宋体" w:eastAsia="宋体" w:cs="宋体"/>
                <w:bCs/>
                <w:color w:val="auto"/>
              </w:rPr>
              <w:t>5）</w:t>
            </w:r>
            <w:r>
              <w:rPr>
                <w:rFonts w:hint="eastAsia" w:ascii="宋体" w:hAnsi="宋体" w:eastAsia="宋体" w:cs="宋体"/>
                <w:color w:val="auto"/>
              </w:rPr>
              <w:t>计算结果四舍五入保留至小数点后两位。</w:t>
            </w:r>
          </w:p>
        </w:tc>
      </w:tr>
      <w:tr w14:paraId="36FA51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4" w:type="dxa"/>
            <w:vMerge w:val="continue"/>
            <w:vAlign w:val="center"/>
          </w:tcPr>
          <w:p w14:paraId="6EB7DEA2">
            <w:pPr>
              <w:ind w:firstLine="0" w:firstLineChars="0"/>
              <w:rPr>
                <w:rFonts w:hint="eastAsia" w:ascii="宋体" w:hAnsi="宋体" w:eastAsia="宋体" w:cs="宋体"/>
                <w:color w:val="auto"/>
              </w:rPr>
            </w:pPr>
          </w:p>
        </w:tc>
        <w:tc>
          <w:tcPr>
            <w:tcW w:w="709" w:type="dxa"/>
            <w:vMerge w:val="continue"/>
            <w:vAlign w:val="center"/>
          </w:tcPr>
          <w:p w14:paraId="1EE4D8AD">
            <w:pPr>
              <w:ind w:firstLine="0" w:firstLineChars="0"/>
              <w:rPr>
                <w:rFonts w:hint="eastAsia" w:ascii="宋体" w:hAnsi="宋体" w:eastAsia="宋体" w:cs="宋体"/>
                <w:color w:val="auto"/>
              </w:rPr>
            </w:pPr>
          </w:p>
        </w:tc>
        <w:tc>
          <w:tcPr>
            <w:tcW w:w="1577" w:type="dxa"/>
            <w:vMerge w:val="restart"/>
            <w:vAlign w:val="center"/>
          </w:tcPr>
          <w:p w14:paraId="4C592702">
            <w:pPr>
              <w:ind w:firstLine="0" w:firstLineChars="0"/>
              <w:jc w:val="center"/>
              <w:rPr>
                <w:rFonts w:hint="eastAsia" w:ascii="宋体" w:hAnsi="宋体" w:eastAsia="宋体" w:cs="宋体"/>
                <w:color w:val="auto"/>
              </w:rPr>
            </w:pPr>
            <w:r>
              <w:rPr>
                <w:rFonts w:hint="eastAsia" w:ascii="宋体" w:hAnsi="宋体" w:eastAsia="宋体" w:cs="宋体"/>
                <w:color w:val="auto"/>
              </w:rPr>
              <w:t>（4）技术部分得分F2</w:t>
            </w:r>
          </w:p>
        </w:tc>
        <w:tc>
          <w:tcPr>
            <w:tcW w:w="6509" w:type="dxa"/>
            <w:tcBorders>
              <w:top w:val="single" w:color="auto" w:sz="4" w:space="0"/>
              <w:left w:val="single" w:color="auto" w:sz="4" w:space="0"/>
              <w:bottom w:val="single" w:color="auto" w:sz="4" w:space="0"/>
              <w:right w:val="single" w:color="auto" w:sz="4" w:space="0"/>
            </w:tcBorders>
            <w:vAlign w:val="center"/>
          </w:tcPr>
          <w:p w14:paraId="133A607B">
            <w:pPr>
              <w:ind w:firstLine="422"/>
              <w:rPr>
                <w:rFonts w:hint="eastAsia" w:ascii="宋体" w:hAnsi="宋体" w:eastAsia="宋体" w:cs="宋体"/>
                <w:b/>
                <w:color w:val="auto"/>
                <w:highlight w:val="none"/>
              </w:rPr>
            </w:pPr>
            <w:r>
              <w:rPr>
                <w:rFonts w:hint="eastAsia" w:ascii="宋体" w:hAnsi="宋体" w:eastAsia="宋体" w:cs="宋体"/>
                <w:b/>
                <w:color w:val="auto"/>
                <w:highlight w:val="none"/>
              </w:rPr>
              <w:t>1）技术规格及参数（</w:t>
            </w:r>
            <w:r>
              <w:rPr>
                <w:rFonts w:hint="eastAsia" w:ascii="宋体" w:hAnsi="宋体" w:eastAsia="宋体" w:cs="宋体"/>
                <w:b/>
                <w:bCs/>
                <w:color w:val="auto"/>
                <w:highlight w:val="none"/>
              </w:rPr>
              <w:t>满分15分</w:t>
            </w:r>
            <w:r>
              <w:rPr>
                <w:rFonts w:hint="eastAsia" w:ascii="宋体" w:hAnsi="宋体" w:eastAsia="宋体" w:cs="宋体"/>
                <w:b/>
                <w:color w:val="auto"/>
                <w:highlight w:val="none"/>
              </w:rPr>
              <w:t>）</w:t>
            </w:r>
          </w:p>
          <w:p w14:paraId="31A9F968">
            <w:pPr>
              <w:ind w:firstLine="0" w:firstLineChars="0"/>
              <w:rPr>
                <w:rFonts w:hint="eastAsia" w:ascii="宋体" w:hAnsi="宋体" w:eastAsia="宋体" w:cs="宋体"/>
                <w:color w:val="auto"/>
                <w:highlight w:val="none"/>
              </w:rPr>
            </w:pPr>
            <w:r>
              <w:rPr>
                <w:rFonts w:hint="eastAsia" w:ascii="宋体" w:hAnsi="宋体" w:eastAsia="宋体" w:cs="宋体"/>
                <w:b/>
                <w:bCs/>
                <w:color w:val="auto"/>
                <w:highlight w:val="none"/>
              </w:rPr>
              <w:t>第一档（15 分）</w:t>
            </w:r>
            <w:r>
              <w:rPr>
                <w:rFonts w:hint="default" w:ascii="宋体" w:hAnsi="宋体" w:eastAsia="宋体" w:cs="宋体"/>
                <w:color w:val="auto"/>
                <w:highlight w:val="none"/>
              </w:rPr>
              <w:t>​</w:t>
            </w:r>
          </w:p>
          <w:p w14:paraId="7F104A87">
            <w:pPr>
              <w:ind w:firstLine="0" w:firstLineChars="0"/>
              <w:rPr>
                <w:rFonts w:hint="default" w:ascii="宋体" w:hAnsi="宋体" w:eastAsia="宋体" w:cs="宋体"/>
                <w:color w:val="auto"/>
                <w:highlight w:val="none"/>
              </w:rPr>
            </w:pPr>
            <w:r>
              <w:rPr>
                <w:rFonts w:hint="default" w:ascii="宋体" w:hAnsi="宋体" w:eastAsia="宋体" w:cs="宋体"/>
                <w:color w:val="auto"/>
                <w:highlight w:val="none"/>
                <w:lang w:val="en-US" w:eastAsia="zh-CN"/>
              </w:rPr>
              <w:t>所有产品均符合国家质量标准，部分产品参数优于标准；资质材料齐全且新（检验报告 3 个月内）；包装标识完好清晰。​</w:t>
            </w:r>
          </w:p>
          <w:p w14:paraId="19A38985">
            <w:pPr>
              <w:ind w:firstLine="0" w:firstLineChars="0"/>
              <w:rPr>
                <w:rFonts w:hint="eastAsia" w:ascii="宋体" w:hAnsi="宋体" w:eastAsia="宋体" w:cs="宋体"/>
                <w:color w:val="auto"/>
                <w:highlight w:val="none"/>
              </w:rPr>
            </w:pPr>
            <w:r>
              <w:rPr>
                <w:rFonts w:hint="default" w:ascii="宋体" w:hAnsi="宋体" w:eastAsia="宋体" w:cs="宋体"/>
                <w:b/>
                <w:bCs/>
                <w:color w:val="auto"/>
                <w:highlight w:val="none"/>
              </w:rPr>
              <w:t>第二档（10 分）</w:t>
            </w:r>
            <w:r>
              <w:rPr>
                <w:rFonts w:hint="default" w:ascii="宋体" w:hAnsi="宋体" w:eastAsia="宋体" w:cs="宋体"/>
                <w:color w:val="auto"/>
                <w:highlight w:val="none"/>
              </w:rPr>
              <w:t>​</w:t>
            </w:r>
          </w:p>
          <w:p w14:paraId="72847AE2">
            <w:pPr>
              <w:ind w:firstLine="0" w:firstLineChars="0"/>
              <w:rPr>
                <w:rFonts w:hint="default" w:ascii="宋体" w:hAnsi="宋体" w:eastAsia="宋体" w:cs="宋体"/>
                <w:color w:val="auto"/>
                <w:highlight w:val="none"/>
              </w:rPr>
            </w:pPr>
            <w:r>
              <w:rPr>
                <w:rFonts w:hint="default" w:ascii="宋体" w:hAnsi="宋体" w:eastAsia="宋体" w:cs="宋体"/>
                <w:color w:val="auto"/>
                <w:highlight w:val="none"/>
                <w:lang w:val="en-US" w:eastAsia="zh-CN"/>
              </w:rPr>
              <w:t>所有产品符合国家质量标准；资质材料齐全（检验报告 6 个月内）；包装标识完整可辨，无破损。​</w:t>
            </w:r>
          </w:p>
          <w:p w14:paraId="174DF2D1">
            <w:pPr>
              <w:ind w:firstLine="0" w:firstLineChars="0"/>
              <w:rPr>
                <w:rFonts w:hint="eastAsia" w:ascii="宋体" w:hAnsi="宋体" w:eastAsia="宋体" w:cs="宋体"/>
                <w:b/>
                <w:bCs/>
                <w:color w:val="auto"/>
                <w:highlight w:val="none"/>
              </w:rPr>
            </w:pPr>
            <w:r>
              <w:rPr>
                <w:rFonts w:hint="default" w:ascii="宋体" w:hAnsi="宋体" w:eastAsia="宋体" w:cs="宋体"/>
                <w:b/>
                <w:bCs/>
                <w:color w:val="auto"/>
                <w:highlight w:val="none"/>
              </w:rPr>
              <w:t>第三档（5 分）​</w:t>
            </w:r>
          </w:p>
          <w:p w14:paraId="170457A7">
            <w:pPr>
              <w:ind w:firstLine="0" w:firstLineChars="0"/>
              <w:rPr>
                <w:rFonts w:hint="default" w:ascii="宋体" w:hAnsi="宋体" w:eastAsia="宋体" w:cs="宋体"/>
                <w:color w:val="auto"/>
                <w:highlight w:val="none"/>
              </w:rPr>
            </w:pPr>
            <w:r>
              <w:rPr>
                <w:rFonts w:hint="default" w:ascii="宋体" w:hAnsi="宋体" w:eastAsia="宋体" w:cs="宋体"/>
                <w:color w:val="auto"/>
                <w:highlight w:val="none"/>
                <w:lang w:val="en-US" w:eastAsia="zh-CN"/>
              </w:rPr>
              <w:t>多数产品符合标准，少量次要产品有轻微非关键偏差；资质材料齐全但部分报告时效较长（6-12 个月）；包装基本完好，标识核心信息可辨。​</w:t>
            </w:r>
          </w:p>
          <w:p w14:paraId="6A1FD4DD">
            <w:pPr>
              <w:ind w:firstLine="0" w:firstLineChars="0"/>
              <w:rPr>
                <w:rFonts w:hint="eastAsia" w:ascii="宋体" w:hAnsi="宋体" w:eastAsia="宋体" w:cs="宋体"/>
                <w:b/>
                <w:bCs/>
                <w:color w:val="auto"/>
                <w:highlight w:val="none"/>
              </w:rPr>
            </w:pPr>
            <w:r>
              <w:rPr>
                <w:rFonts w:hint="default" w:ascii="宋体" w:hAnsi="宋体" w:eastAsia="宋体" w:cs="宋体"/>
                <w:b/>
                <w:bCs/>
                <w:color w:val="auto"/>
                <w:highlight w:val="none"/>
              </w:rPr>
              <w:t>第四档（1 分）​</w:t>
            </w:r>
          </w:p>
          <w:p w14:paraId="1FC4DA09">
            <w:pPr>
              <w:ind w:firstLine="0" w:firstLineChars="0"/>
              <w:rPr>
                <w:rFonts w:hint="default" w:ascii="宋体" w:hAnsi="宋体" w:eastAsia="宋体" w:cs="宋体"/>
                <w:color w:val="auto"/>
                <w:highlight w:val="none"/>
              </w:rPr>
            </w:pPr>
            <w:r>
              <w:rPr>
                <w:rFonts w:hint="default" w:ascii="宋体" w:hAnsi="宋体" w:eastAsia="宋体" w:cs="宋体"/>
                <w:color w:val="auto"/>
                <w:highlight w:val="none"/>
                <w:lang w:val="en-US" w:eastAsia="zh-CN"/>
              </w:rPr>
              <w:t>主要产品无重大质量问题，少量产品有一般不达标且采购人接受；资质材料有少量缺漏但不影响核心判定；包装轻微破损未污染，标识无安全信息缺失。</w:t>
            </w:r>
          </w:p>
          <w:p w14:paraId="074BF6A1">
            <w:pPr>
              <w:ind w:firstLine="422"/>
              <w:rPr>
                <w:rFonts w:hint="eastAsia" w:ascii="宋体" w:hAnsi="宋体" w:eastAsia="宋体" w:cs="宋体"/>
                <w:b/>
                <w:color w:val="auto"/>
                <w:highlight w:val="none"/>
              </w:rPr>
            </w:pPr>
            <w:r>
              <w:rPr>
                <w:rFonts w:hint="eastAsia" w:ascii="宋体" w:hAnsi="宋体" w:eastAsia="宋体" w:cs="宋体"/>
                <w:b/>
                <w:color w:val="auto"/>
                <w:highlight w:val="none"/>
              </w:rPr>
              <w:t>2）样品评审（</w:t>
            </w:r>
            <w:r>
              <w:rPr>
                <w:rFonts w:hint="eastAsia" w:ascii="宋体" w:hAnsi="宋体" w:eastAsia="宋体" w:cs="宋体"/>
                <w:b/>
                <w:bCs/>
                <w:color w:val="auto"/>
                <w:highlight w:val="none"/>
              </w:rPr>
              <w:t>满分15分</w:t>
            </w:r>
            <w:r>
              <w:rPr>
                <w:rFonts w:hint="eastAsia" w:ascii="宋体" w:hAnsi="宋体" w:eastAsia="宋体" w:cs="宋体"/>
                <w:b/>
                <w:color w:val="auto"/>
                <w:highlight w:val="none"/>
              </w:rPr>
              <w:t>）</w:t>
            </w:r>
          </w:p>
          <w:p w14:paraId="6AC53278">
            <w:pPr>
              <w:ind w:left="0" w:leftChars="0" w:firstLine="0" w:firstLineChars="0"/>
              <w:rPr>
                <w:rFonts w:hint="eastAsia" w:ascii="宋体" w:hAnsi="宋体" w:eastAsia="宋体" w:cs="宋体"/>
                <w:b/>
                <w:bCs/>
                <w:color w:val="auto"/>
              </w:rPr>
            </w:pPr>
            <w:r>
              <w:rPr>
                <w:rFonts w:hint="eastAsia" w:ascii="宋体" w:hAnsi="宋体" w:eastAsia="宋体" w:cs="宋体"/>
                <w:b/>
                <w:bCs/>
                <w:color w:val="auto"/>
              </w:rPr>
              <w:t>第一档（15 分）​</w:t>
            </w:r>
          </w:p>
          <w:p w14:paraId="07D05F6C">
            <w:pPr>
              <w:rPr>
                <w:rFonts w:hint="eastAsia" w:ascii="宋体" w:hAnsi="宋体" w:eastAsia="宋体" w:cs="宋体"/>
                <w:color w:val="auto"/>
              </w:rPr>
            </w:pPr>
            <w:r>
              <w:rPr>
                <w:rFonts w:hint="eastAsia" w:ascii="宋体" w:hAnsi="宋体" w:eastAsia="宋体" w:cs="宋体"/>
                <w:color w:val="auto"/>
                <w:lang w:val="en-US" w:eastAsia="zh-CN"/>
              </w:rPr>
              <w:t>所有样品感官状态优良（食用油澄清无杂质、无异味；干货色泽自然、无霉变虫蛀），包装完好无损，标识与产品匹配且清晰。​</w:t>
            </w:r>
          </w:p>
          <w:p w14:paraId="4700CDEF">
            <w:pPr>
              <w:ind w:left="0" w:leftChars="0" w:firstLine="0" w:firstLineChars="0"/>
              <w:rPr>
                <w:rFonts w:hint="eastAsia" w:ascii="宋体" w:hAnsi="宋体" w:eastAsia="宋体" w:cs="宋体"/>
                <w:color w:val="auto"/>
              </w:rPr>
            </w:pPr>
            <w:r>
              <w:rPr>
                <w:rFonts w:hint="eastAsia" w:ascii="宋体" w:hAnsi="宋体" w:eastAsia="宋体" w:cs="宋体"/>
                <w:b/>
                <w:bCs/>
                <w:color w:val="auto"/>
              </w:rPr>
              <w:t>第二档（10 分）</w:t>
            </w:r>
            <w:r>
              <w:rPr>
                <w:rFonts w:hint="eastAsia" w:ascii="宋体" w:hAnsi="宋体" w:eastAsia="宋体" w:cs="宋体"/>
                <w:color w:val="auto"/>
              </w:rPr>
              <w:t>​</w:t>
            </w:r>
          </w:p>
          <w:p w14:paraId="5848784F">
            <w:pPr>
              <w:rPr>
                <w:rFonts w:hint="eastAsia" w:ascii="宋体" w:hAnsi="宋体" w:eastAsia="宋体" w:cs="宋体"/>
                <w:color w:val="auto"/>
              </w:rPr>
            </w:pPr>
            <w:r>
              <w:rPr>
                <w:rFonts w:hint="eastAsia" w:ascii="宋体" w:hAnsi="宋体" w:eastAsia="宋体" w:cs="宋体"/>
                <w:color w:val="auto"/>
                <w:lang w:val="en-US" w:eastAsia="zh-CN"/>
              </w:rPr>
              <w:t>所有样品感官状态良好（食用油无明显杂质和异味；干货无霉变，少量有轻微色差），包装完整，标识清晰可辨。​</w:t>
            </w:r>
          </w:p>
          <w:p w14:paraId="3BF20EDC">
            <w:pPr>
              <w:ind w:left="0" w:leftChars="0" w:firstLine="0" w:firstLineChars="0"/>
              <w:rPr>
                <w:rFonts w:hint="eastAsia" w:ascii="宋体" w:hAnsi="宋体" w:eastAsia="宋体" w:cs="宋体"/>
                <w:b/>
                <w:bCs/>
                <w:color w:val="auto"/>
              </w:rPr>
            </w:pPr>
            <w:r>
              <w:rPr>
                <w:rFonts w:hint="eastAsia" w:ascii="宋体" w:hAnsi="宋体" w:eastAsia="宋体" w:cs="宋体"/>
                <w:b/>
                <w:bCs/>
                <w:color w:val="auto"/>
              </w:rPr>
              <w:t>第三档（5 分）​</w:t>
            </w:r>
          </w:p>
          <w:p w14:paraId="5C051881">
            <w:pPr>
              <w:rPr>
                <w:rFonts w:hint="eastAsia" w:ascii="宋体" w:hAnsi="宋体" w:eastAsia="宋体" w:cs="宋体"/>
                <w:color w:val="auto"/>
              </w:rPr>
            </w:pPr>
            <w:r>
              <w:rPr>
                <w:rFonts w:hint="eastAsia" w:ascii="宋体" w:hAnsi="宋体" w:eastAsia="宋体" w:cs="宋体"/>
                <w:color w:val="auto"/>
                <w:lang w:val="en-US" w:eastAsia="zh-CN"/>
              </w:rPr>
              <w:t>多数样品感官状态正常（食用油偶有少量沉淀但无变质；干货少量有轻微碎渣），包装基本完好，标识核心信息可认。​</w:t>
            </w:r>
          </w:p>
          <w:p w14:paraId="55434457">
            <w:pPr>
              <w:ind w:left="0" w:leftChars="0" w:firstLine="0" w:firstLineChars="0"/>
              <w:rPr>
                <w:rFonts w:hint="eastAsia" w:ascii="宋体" w:hAnsi="宋体" w:eastAsia="宋体" w:cs="宋体"/>
                <w:color w:val="auto"/>
              </w:rPr>
            </w:pPr>
            <w:r>
              <w:rPr>
                <w:rFonts w:hint="eastAsia" w:ascii="宋体" w:hAnsi="宋体" w:eastAsia="宋体" w:cs="宋体"/>
                <w:b/>
                <w:bCs/>
                <w:color w:val="auto"/>
              </w:rPr>
              <w:t>第四档（1 分）</w:t>
            </w:r>
            <w:r>
              <w:rPr>
                <w:rFonts w:hint="eastAsia" w:ascii="宋体" w:hAnsi="宋体" w:eastAsia="宋体" w:cs="宋体"/>
                <w:color w:val="auto"/>
              </w:rPr>
              <w:t>​</w:t>
            </w:r>
          </w:p>
          <w:p w14:paraId="542CDB36">
            <w:pPr>
              <w:rPr>
                <w:rFonts w:hint="eastAsia" w:ascii="宋体" w:hAnsi="宋体" w:eastAsia="宋体" w:cs="宋体"/>
                <w:color w:val="auto"/>
                <w:lang w:val="en-US" w:eastAsia="zh-CN"/>
              </w:rPr>
            </w:pPr>
            <w:r>
              <w:rPr>
                <w:rFonts w:hint="eastAsia" w:ascii="宋体" w:hAnsi="宋体" w:eastAsia="宋体" w:cs="宋体"/>
                <w:color w:val="auto"/>
                <w:lang w:val="en-US" w:eastAsia="zh-CN"/>
              </w:rPr>
              <w:t>主要样品无明显质量问题（食用油轻微浑浊但无异味；干货少量有瑕疵但不影响使用），包装有轻微破损但未污染产品，标识无关键信息缺失。</w:t>
            </w:r>
          </w:p>
          <w:p w14:paraId="20EBD3D8">
            <w:pPr>
              <w:rPr>
                <w:rFonts w:hint="eastAsia" w:ascii="宋体" w:hAnsi="宋体" w:eastAsia="宋体" w:cs="宋体"/>
                <w:color w:val="auto"/>
              </w:rPr>
            </w:pPr>
            <w:r>
              <w:rPr>
                <w:rFonts w:hint="eastAsia" w:cs="宋体"/>
                <w:b/>
                <w:bCs/>
                <w:color w:val="auto"/>
                <w:lang w:val="en-US" w:eastAsia="zh-CN"/>
              </w:rPr>
              <w:t>注：1、</w:t>
            </w:r>
            <w:r>
              <w:rPr>
                <w:rFonts w:hint="eastAsia" w:ascii="宋体" w:hAnsi="宋体" w:eastAsia="宋体" w:cs="宋体"/>
                <w:color w:val="auto"/>
              </w:rPr>
              <w:t>供应商参与投标时，需提供本采购需求中列明的所有食用油及干货调味料样品，其中食用油样品需为小规格包装（如 1 升 / 瓶或 500 毫升 / 瓶），干货调味料样品需为满足质量检测及感官评估的适量包装（如 50 克 - 100 克 / 份）。样品需标注产品名称、品牌、规格、生产厂家及供应商名称，与投标文件一并提交。</w:t>
            </w:r>
            <w:r>
              <w:rPr>
                <w:rFonts w:hint="eastAsia" w:ascii="宋体" w:hAnsi="宋体" w:eastAsia="宋体" w:cs="宋体"/>
                <w:color w:val="auto"/>
                <w:lang w:val="en-US" w:eastAsia="zh-CN"/>
              </w:rPr>
              <w:t>评标委员会</w:t>
            </w:r>
            <w:r>
              <w:rPr>
                <w:rFonts w:hint="eastAsia" w:ascii="宋体" w:hAnsi="宋体" w:eastAsia="宋体" w:cs="宋体"/>
                <w:color w:val="auto"/>
              </w:rPr>
              <w:t>将对样品的外观、色泽、气味等进行初步评估，样品质量将作为投标评审的重要依据之一；未按要求提供样品的，</w:t>
            </w:r>
            <w:r>
              <w:rPr>
                <w:rFonts w:hint="eastAsia" w:ascii="宋体" w:hAnsi="宋体" w:eastAsia="宋体" w:cs="宋体"/>
                <w:color w:val="auto"/>
                <w:lang w:val="en-US" w:eastAsia="zh-CN"/>
              </w:rPr>
              <w:t>此项得0分</w:t>
            </w:r>
            <w:r>
              <w:rPr>
                <w:rFonts w:hint="eastAsia" w:ascii="宋体" w:hAnsi="宋体" w:eastAsia="宋体" w:cs="宋体"/>
                <w:color w:val="auto"/>
              </w:rPr>
              <w:t>。</w:t>
            </w:r>
          </w:p>
          <w:p w14:paraId="438FC5CC">
            <w:pPr>
              <w:pStyle w:val="2"/>
              <w:rPr>
                <w:rFonts w:hint="eastAsia" w:eastAsia="宋体"/>
                <w:color w:val="auto"/>
                <w:lang w:val="en-US" w:eastAsia="zh-CN"/>
              </w:rPr>
            </w:pPr>
            <w:r>
              <w:rPr>
                <w:rFonts w:hint="eastAsia" w:cs="宋体"/>
                <w:b/>
                <w:bCs/>
                <w:color w:val="auto"/>
                <w:lang w:val="en-US" w:eastAsia="zh-CN"/>
              </w:rPr>
              <w:t>2、</w:t>
            </w:r>
            <w:r>
              <w:rPr>
                <w:rFonts w:hint="eastAsia" w:cs="宋体"/>
                <w:b/>
                <w:bCs/>
                <w:color w:val="auto"/>
                <w:kern w:val="0"/>
                <w:lang w:val="en-US" w:eastAsia="zh-CN"/>
              </w:rPr>
              <w:t>供应商应在</w:t>
            </w:r>
            <w:r>
              <w:rPr>
                <w:rFonts w:hint="eastAsia" w:ascii="宋体" w:hAnsi="宋体" w:eastAsia="宋体" w:cs="宋体"/>
                <w:b/>
                <w:bCs/>
                <w:color w:val="auto"/>
                <w:kern w:val="0"/>
              </w:rPr>
              <w:t>同一单价的基础上，提供两种及以上品牌</w:t>
            </w:r>
            <w:r>
              <w:rPr>
                <w:rFonts w:hint="eastAsia" w:cs="宋体"/>
                <w:b/>
                <w:bCs/>
                <w:color w:val="auto"/>
                <w:kern w:val="0"/>
                <w:lang w:val="en-US" w:eastAsia="zh-CN"/>
              </w:rPr>
              <w:t>的样品</w:t>
            </w:r>
            <w:r>
              <w:rPr>
                <w:rFonts w:hint="eastAsia" w:ascii="宋体" w:hAnsi="宋体" w:eastAsia="宋体" w:cs="宋体"/>
                <w:b/>
                <w:bCs/>
                <w:color w:val="auto"/>
                <w:kern w:val="0"/>
              </w:rPr>
              <w:t>。</w:t>
            </w:r>
          </w:p>
          <w:p w14:paraId="08DD3316">
            <w:pPr>
              <w:rPr>
                <w:rFonts w:hint="eastAsia" w:ascii="宋体" w:hAnsi="宋体" w:eastAsia="宋体" w:cs="宋体"/>
                <w:color w:val="auto"/>
              </w:rPr>
            </w:pPr>
            <w:r>
              <w:rPr>
                <w:rFonts w:hint="eastAsia" w:cs="宋体"/>
                <w:color w:val="auto"/>
                <w:lang w:val="en-US" w:eastAsia="zh-CN"/>
              </w:rPr>
              <w:t>3、</w:t>
            </w:r>
            <w:r>
              <w:rPr>
                <w:rFonts w:hint="eastAsia" w:ascii="宋体" w:hAnsi="宋体" w:eastAsia="宋体" w:cs="宋体"/>
                <w:color w:val="auto"/>
              </w:rPr>
              <w:t>未中标的供应商样品在中标公示期结束后退还，中标单位的由采购人进行封存、保管，作为后期验收依据。</w:t>
            </w:r>
          </w:p>
          <w:p w14:paraId="28FD9288">
            <w:pPr>
              <w:ind w:left="0" w:leftChars="0" w:firstLine="422" w:firstLineChars="200"/>
              <w:rPr>
                <w:rFonts w:hint="eastAsia" w:ascii="宋体" w:hAnsi="宋体" w:eastAsia="宋体" w:cs="宋体"/>
                <w:color w:val="auto"/>
              </w:rPr>
            </w:pPr>
            <w:r>
              <w:rPr>
                <w:rFonts w:hint="eastAsia" w:cs="宋体"/>
                <w:b/>
                <w:bCs/>
                <w:color w:val="auto"/>
                <w:lang w:val="en-US" w:eastAsia="zh-CN"/>
              </w:rPr>
              <w:t>4、</w:t>
            </w:r>
            <w:r>
              <w:rPr>
                <w:rFonts w:hint="eastAsia" w:ascii="宋体" w:hAnsi="宋体" w:eastAsia="宋体" w:cs="宋体"/>
                <w:b/>
                <w:bCs/>
                <w:color w:val="auto"/>
              </w:rPr>
              <w:t>样品递交时间：</w:t>
            </w:r>
            <w:r>
              <w:rPr>
                <w:rFonts w:hint="eastAsia" w:ascii="宋体" w:hAnsi="宋体" w:eastAsia="宋体" w:cs="宋体"/>
                <w:color w:val="auto"/>
              </w:rPr>
              <w:t>开标当天递交，同投标文件递交截止时间；</w:t>
            </w:r>
          </w:p>
          <w:p w14:paraId="22EB4672">
            <w:pPr>
              <w:ind w:left="0" w:leftChars="0" w:firstLine="422" w:firstLineChars="200"/>
              <w:rPr>
                <w:rFonts w:hint="eastAsia" w:ascii="宋体" w:hAnsi="宋体" w:eastAsia="宋体" w:cs="宋体"/>
                <w:color w:val="auto"/>
              </w:rPr>
            </w:pPr>
            <w:r>
              <w:rPr>
                <w:rFonts w:hint="eastAsia" w:cs="宋体"/>
                <w:b/>
                <w:bCs/>
                <w:color w:val="auto"/>
                <w:lang w:val="en-US" w:eastAsia="zh-CN"/>
              </w:rPr>
              <w:t>5、</w:t>
            </w:r>
            <w:r>
              <w:rPr>
                <w:rFonts w:hint="eastAsia" w:ascii="宋体" w:hAnsi="宋体" w:eastAsia="宋体" w:cs="宋体"/>
                <w:b/>
                <w:bCs/>
                <w:color w:val="auto"/>
              </w:rPr>
              <w:t>样品递交地点：</w:t>
            </w:r>
            <w:r>
              <w:rPr>
                <w:rFonts w:hint="eastAsia" w:ascii="宋体" w:hAnsi="宋体" w:eastAsia="宋体" w:cs="宋体"/>
                <w:color w:val="auto"/>
              </w:rPr>
              <w:t>临沧市临翔区玉带路204号山水家园小区综合楼二楼开标厅。</w:t>
            </w:r>
          </w:p>
        </w:tc>
      </w:tr>
      <w:tr w14:paraId="1B7B0E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4" w:type="dxa"/>
            <w:vMerge w:val="continue"/>
            <w:vAlign w:val="center"/>
          </w:tcPr>
          <w:p w14:paraId="3C150C97">
            <w:pPr>
              <w:ind w:firstLine="0" w:firstLineChars="0"/>
              <w:rPr>
                <w:rFonts w:hint="eastAsia" w:ascii="宋体" w:hAnsi="宋体" w:eastAsia="宋体" w:cs="宋体"/>
                <w:color w:val="auto"/>
              </w:rPr>
            </w:pPr>
          </w:p>
        </w:tc>
        <w:tc>
          <w:tcPr>
            <w:tcW w:w="709" w:type="dxa"/>
            <w:vMerge w:val="continue"/>
            <w:vAlign w:val="center"/>
          </w:tcPr>
          <w:p w14:paraId="0E90D114">
            <w:pPr>
              <w:ind w:firstLine="0" w:firstLineChars="0"/>
              <w:rPr>
                <w:rFonts w:hint="eastAsia" w:ascii="宋体" w:hAnsi="宋体" w:eastAsia="宋体" w:cs="宋体"/>
                <w:color w:val="auto"/>
              </w:rPr>
            </w:pPr>
          </w:p>
        </w:tc>
        <w:tc>
          <w:tcPr>
            <w:tcW w:w="1577" w:type="dxa"/>
            <w:vMerge w:val="continue"/>
            <w:vAlign w:val="center"/>
          </w:tcPr>
          <w:p w14:paraId="64B1A609">
            <w:pPr>
              <w:ind w:firstLine="0" w:firstLineChars="0"/>
              <w:jc w:val="center"/>
              <w:rPr>
                <w:rFonts w:hint="eastAsia" w:ascii="宋体" w:hAnsi="宋体" w:eastAsia="宋体" w:cs="宋体"/>
                <w:color w:val="auto"/>
              </w:rPr>
            </w:pPr>
          </w:p>
        </w:tc>
        <w:tc>
          <w:tcPr>
            <w:tcW w:w="6509" w:type="dxa"/>
            <w:tcBorders>
              <w:top w:val="single" w:color="auto" w:sz="4" w:space="0"/>
              <w:left w:val="single" w:color="auto" w:sz="4" w:space="0"/>
              <w:bottom w:val="single" w:color="auto" w:sz="4" w:space="0"/>
              <w:right w:val="single" w:color="auto" w:sz="4" w:space="0"/>
            </w:tcBorders>
            <w:vAlign w:val="center"/>
          </w:tcPr>
          <w:p w14:paraId="0E3B82D6">
            <w:pPr>
              <w:ind w:firstLine="422"/>
              <w:rPr>
                <w:rFonts w:hint="eastAsia" w:ascii="宋体" w:hAnsi="宋体" w:eastAsia="宋体" w:cs="宋体"/>
                <w:b/>
                <w:color w:val="auto"/>
              </w:rPr>
            </w:pPr>
            <w:r>
              <w:rPr>
                <w:rFonts w:hint="eastAsia" w:ascii="宋体" w:hAnsi="宋体" w:eastAsia="宋体" w:cs="宋体"/>
                <w:b/>
                <w:color w:val="auto"/>
              </w:rPr>
              <w:t>3）针对本项目配送服务方案（</w:t>
            </w:r>
            <w:r>
              <w:rPr>
                <w:rFonts w:hint="eastAsia" w:ascii="宋体" w:hAnsi="宋体" w:eastAsia="宋体" w:cs="宋体"/>
                <w:b/>
                <w:bCs/>
                <w:color w:val="auto"/>
              </w:rPr>
              <w:t>满分为10分</w:t>
            </w:r>
            <w:r>
              <w:rPr>
                <w:rFonts w:hint="eastAsia" w:ascii="宋体" w:hAnsi="宋体" w:eastAsia="宋体" w:cs="宋体"/>
                <w:b/>
                <w:color w:val="auto"/>
              </w:rPr>
              <w:t>）</w:t>
            </w:r>
          </w:p>
          <w:p w14:paraId="1C16FDDF">
            <w:pPr>
              <w:jc w:val="left"/>
              <w:rPr>
                <w:rFonts w:hint="eastAsia" w:ascii="宋体" w:hAnsi="宋体" w:eastAsia="宋体" w:cs="宋体"/>
                <w:color w:val="auto"/>
              </w:rPr>
            </w:pPr>
            <w:r>
              <w:rPr>
                <w:rFonts w:hint="eastAsia" w:ascii="宋体" w:hAnsi="宋体" w:eastAsia="宋体" w:cs="宋体"/>
                <w:color w:val="auto"/>
              </w:rPr>
              <w:t>第一档（</w:t>
            </w:r>
            <w:r>
              <w:rPr>
                <w:rFonts w:hint="eastAsia" w:cs="宋体"/>
                <w:color w:val="auto"/>
                <w:lang w:val="en-US" w:eastAsia="zh-CN"/>
              </w:rPr>
              <w:t>10</w:t>
            </w:r>
            <w:r>
              <w:rPr>
                <w:rFonts w:hint="eastAsia" w:ascii="宋体" w:hAnsi="宋体" w:eastAsia="宋体" w:cs="宋体"/>
                <w:color w:val="auto"/>
              </w:rPr>
              <w:t>分）：供应商拟定日常配送流程和配送实施计划周全、科学、合理、可操作性强；配送服务方案符合项目实际，完全满足日常配送需求；送货车辆定车、定人、定点方案描述清晰，远距离与近距离送货责任划分明确；送货途中发生不可预见情形时的应急预案处理措施完整，方案合理、可行、能够很好的应对突发事件；配送延误违约责任承诺有详细描述、针对性强，内容具体的；</w:t>
            </w:r>
          </w:p>
          <w:p w14:paraId="39161B58">
            <w:pPr>
              <w:jc w:val="left"/>
              <w:rPr>
                <w:rFonts w:hint="eastAsia" w:ascii="宋体" w:hAnsi="宋体" w:eastAsia="宋体" w:cs="宋体"/>
                <w:color w:val="auto"/>
              </w:rPr>
            </w:pPr>
            <w:r>
              <w:rPr>
                <w:rFonts w:hint="eastAsia" w:ascii="宋体" w:hAnsi="宋体" w:eastAsia="宋体" w:cs="宋体"/>
                <w:color w:val="auto"/>
              </w:rPr>
              <w:t>第二档（</w:t>
            </w:r>
            <w:r>
              <w:rPr>
                <w:rFonts w:hint="eastAsia" w:cs="宋体"/>
                <w:color w:val="auto"/>
                <w:lang w:val="en-US" w:eastAsia="zh-CN"/>
              </w:rPr>
              <w:t>7</w:t>
            </w:r>
            <w:r>
              <w:rPr>
                <w:rFonts w:hint="eastAsia" w:ascii="宋体" w:hAnsi="宋体" w:eastAsia="宋体" w:cs="宋体"/>
                <w:color w:val="auto"/>
              </w:rPr>
              <w:t>分）：供应商拟定日常配送流程和配送实施计划合理、操作性一般；配送服务方案符合项目实际，基本满足日常配送需求；送货车辆定车、定人、定点方案描述基本合理，远距离与近距离送货责任划分基本明确；送货途中发生不可预见情形时的应急预案处理措施基本完整，方案基本可行、能够应对突发事件；配送延误违约责任承诺针对性有描述、针对性不强，内容基本合理的；</w:t>
            </w:r>
          </w:p>
          <w:p w14:paraId="2023D5D0">
            <w:pPr>
              <w:jc w:val="left"/>
              <w:rPr>
                <w:rFonts w:hint="eastAsia" w:ascii="宋体" w:hAnsi="宋体" w:eastAsia="宋体" w:cs="宋体"/>
                <w:color w:val="auto"/>
              </w:rPr>
            </w:pPr>
            <w:r>
              <w:rPr>
                <w:rFonts w:hint="eastAsia" w:ascii="宋体" w:hAnsi="宋体" w:eastAsia="宋体" w:cs="宋体"/>
                <w:color w:val="auto"/>
              </w:rPr>
              <w:t>第三档（</w:t>
            </w:r>
            <w:r>
              <w:rPr>
                <w:rFonts w:hint="eastAsia" w:cs="宋体"/>
                <w:color w:val="auto"/>
                <w:lang w:val="en-US" w:eastAsia="zh-CN"/>
              </w:rPr>
              <w:t>3</w:t>
            </w:r>
            <w:r>
              <w:rPr>
                <w:rFonts w:hint="eastAsia" w:ascii="宋体" w:hAnsi="宋体" w:eastAsia="宋体" w:cs="宋体"/>
                <w:color w:val="auto"/>
              </w:rPr>
              <w:t>分）：供应商拟定日常配送流程和配送实施计划不合理、不完整；配送服务方案不符合项目实际，不满足日常配送需求；送货车辆定车、定人、定点方案描述不完整，远距离与近距离送货责任划分不明确；送货途中发生不可预见情形时的应急预案处理措施不完整，存在一定遗漏，能够应对突发事件；配送延误违约责任承诺针对性有描述、无针对性，内容不具体的。</w:t>
            </w:r>
          </w:p>
          <w:p w14:paraId="19CE540C">
            <w:pPr>
              <w:overflowPunct w:val="0"/>
              <w:rPr>
                <w:rFonts w:hint="eastAsia" w:ascii="宋体" w:hAnsi="宋体" w:eastAsia="宋体" w:cs="宋体"/>
                <w:color w:val="auto"/>
              </w:rPr>
            </w:pPr>
            <w:r>
              <w:rPr>
                <w:rFonts w:hint="eastAsia" w:ascii="宋体" w:hAnsi="宋体" w:eastAsia="宋体" w:cs="宋体"/>
                <w:color w:val="auto"/>
              </w:rPr>
              <w:t>第四档（0分）：未提供不得分。</w:t>
            </w:r>
          </w:p>
        </w:tc>
      </w:tr>
      <w:tr w14:paraId="4782E1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4" w:type="dxa"/>
            <w:vMerge w:val="continue"/>
            <w:vAlign w:val="center"/>
          </w:tcPr>
          <w:p w14:paraId="5AF2A788">
            <w:pPr>
              <w:ind w:firstLine="0" w:firstLineChars="0"/>
              <w:rPr>
                <w:rFonts w:hint="eastAsia" w:ascii="宋体" w:hAnsi="宋体" w:eastAsia="宋体" w:cs="宋体"/>
                <w:color w:val="auto"/>
              </w:rPr>
            </w:pPr>
          </w:p>
        </w:tc>
        <w:tc>
          <w:tcPr>
            <w:tcW w:w="709" w:type="dxa"/>
            <w:vMerge w:val="continue"/>
            <w:vAlign w:val="center"/>
          </w:tcPr>
          <w:p w14:paraId="2A11F1F0">
            <w:pPr>
              <w:ind w:firstLine="0" w:firstLineChars="0"/>
              <w:rPr>
                <w:rFonts w:hint="eastAsia" w:ascii="宋体" w:hAnsi="宋体" w:eastAsia="宋体" w:cs="宋体"/>
                <w:color w:val="auto"/>
              </w:rPr>
            </w:pPr>
          </w:p>
        </w:tc>
        <w:tc>
          <w:tcPr>
            <w:tcW w:w="1577" w:type="dxa"/>
            <w:vMerge w:val="continue"/>
            <w:vAlign w:val="center"/>
          </w:tcPr>
          <w:p w14:paraId="0D7B3C63">
            <w:pPr>
              <w:ind w:firstLine="0" w:firstLineChars="0"/>
              <w:jc w:val="center"/>
              <w:rPr>
                <w:rFonts w:hint="eastAsia" w:ascii="宋体" w:hAnsi="宋体" w:eastAsia="宋体" w:cs="宋体"/>
                <w:color w:val="auto"/>
              </w:rPr>
            </w:pPr>
          </w:p>
        </w:tc>
        <w:tc>
          <w:tcPr>
            <w:tcW w:w="6509" w:type="dxa"/>
            <w:tcBorders>
              <w:top w:val="single" w:color="auto" w:sz="4" w:space="0"/>
              <w:left w:val="single" w:color="auto" w:sz="4" w:space="0"/>
              <w:bottom w:val="single" w:color="auto" w:sz="4" w:space="0"/>
              <w:right w:val="single" w:color="auto" w:sz="4" w:space="0"/>
            </w:tcBorders>
            <w:vAlign w:val="center"/>
          </w:tcPr>
          <w:p w14:paraId="4BC85E48">
            <w:pPr>
              <w:ind w:firstLine="422"/>
              <w:rPr>
                <w:rFonts w:hint="eastAsia" w:ascii="宋体" w:hAnsi="宋体" w:eastAsia="宋体" w:cs="宋体"/>
                <w:b/>
                <w:bCs/>
                <w:color w:val="auto"/>
              </w:rPr>
            </w:pPr>
            <w:r>
              <w:rPr>
                <w:rFonts w:hint="eastAsia" w:ascii="宋体" w:hAnsi="宋体" w:eastAsia="宋体" w:cs="宋体"/>
                <w:b/>
                <w:bCs/>
                <w:color w:val="auto"/>
              </w:rPr>
              <w:t>4）售后处理方案及承诺（10分）</w:t>
            </w:r>
          </w:p>
          <w:p w14:paraId="60D5D276">
            <w:pPr>
              <w:pStyle w:val="14"/>
              <w:rPr>
                <w:rFonts w:hint="eastAsia" w:ascii="宋体" w:hAnsi="宋体" w:eastAsia="宋体" w:cs="宋体"/>
                <w:color w:val="auto"/>
                <w:szCs w:val="21"/>
              </w:rPr>
            </w:pPr>
            <w:r>
              <w:rPr>
                <w:rFonts w:hint="eastAsia" w:ascii="宋体" w:hAnsi="宋体" w:eastAsia="宋体" w:cs="宋体"/>
                <w:color w:val="auto"/>
                <w:szCs w:val="21"/>
              </w:rPr>
              <w:t>第一档（</w:t>
            </w:r>
            <w:r>
              <w:rPr>
                <w:rFonts w:hint="eastAsia" w:hAnsi="宋体" w:cs="宋体"/>
                <w:color w:val="auto"/>
                <w:szCs w:val="21"/>
                <w:lang w:val="en-US" w:eastAsia="zh-CN"/>
              </w:rPr>
              <w:t>10</w:t>
            </w:r>
            <w:r>
              <w:rPr>
                <w:rFonts w:hint="eastAsia" w:ascii="宋体" w:hAnsi="宋体" w:eastAsia="宋体" w:cs="宋体"/>
                <w:color w:val="auto"/>
                <w:szCs w:val="21"/>
              </w:rPr>
              <w:t>分）：售后服务及退换货方案、承诺及保证完善具体，针对性强，具有快速化售后服务，可行较强，且有具体的违约责任承诺的，承诺中标后在项目所在地设有售后服务点或在当地已有售后服务点的；</w:t>
            </w:r>
          </w:p>
          <w:p w14:paraId="05F7DEB3">
            <w:pPr>
              <w:pStyle w:val="14"/>
              <w:rPr>
                <w:rFonts w:hint="eastAsia" w:ascii="宋体" w:hAnsi="宋体" w:eastAsia="宋体" w:cs="宋体"/>
                <w:color w:val="auto"/>
                <w:szCs w:val="21"/>
              </w:rPr>
            </w:pPr>
            <w:r>
              <w:rPr>
                <w:rFonts w:hint="eastAsia" w:ascii="宋体" w:hAnsi="宋体" w:eastAsia="宋体" w:cs="宋体"/>
                <w:color w:val="auto"/>
                <w:szCs w:val="21"/>
              </w:rPr>
              <w:t>第二档（</w:t>
            </w:r>
            <w:r>
              <w:rPr>
                <w:rFonts w:hint="eastAsia" w:hAnsi="宋体" w:cs="宋体"/>
                <w:color w:val="auto"/>
                <w:szCs w:val="21"/>
                <w:lang w:val="en-US" w:eastAsia="zh-CN"/>
              </w:rPr>
              <w:t>7</w:t>
            </w:r>
            <w:r>
              <w:rPr>
                <w:rFonts w:hint="eastAsia" w:ascii="宋体" w:hAnsi="宋体" w:eastAsia="宋体" w:cs="宋体"/>
                <w:color w:val="auto"/>
                <w:szCs w:val="21"/>
              </w:rPr>
              <w:t>分）：售后服务及退换货方案简单、可行性一般，有具体的违约责任承诺的，承诺中标后在项目所在地设有售后服务点；</w:t>
            </w:r>
          </w:p>
          <w:p w14:paraId="112726BD">
            <w:pPr>
              <w:pStyle w:val="14"/>
              <w:rPr>
                <w:rFonts w:hint="eastAsia" w:ascii="宋体" w:hAnsi="宋体" w:eastAsia="宋体" w:cs="宋体"/>
                <w:color w:val="auto"/>
                <w:szCs w:val="21"/>
              </w:rPr>
            </w:pPr>
            <w:r>
              <w:rPr>
                <w:rFonts w:hint="eastAsia" w:ascii="宋体" w:hAnsi="宋体" w:eastAsia="宋体" w:cs="宋体"/>
                <w:color w:val="auto"/>
                <w:szCs w:val="21"/>
              </w:rPr>
              <w:t>第三档（</w:t>
            </w:r>
            <w:r>
              <w:rPr>
                <w:rFonts w:hint="eastAsia" w:hAnsi="宋体" w:cs="宋体"/>
                <w:color w:val="auto"/>
                <w:szCs w:val="21"/>
                <w:lang w:val="en-US" w:eastAsia="zh-CN"/>
              </w:rPr>
              <w:t>3</w:t>
            </w:r>
            <w:r>
              <w:rPr>
                <w:rFonts w:hint="eastAsia" w:ascii="宋体" w:hAnsi="宋体" w:eastAsia="宋体" w:cs="宋体"/>
                <w:color w:val="auto"/>
                <w:szCs w:val="21"/>
              </w:rPr>
              <w:t>分）：售后服务及退换货方案不合理、可行性较差，没有具体的违约责任承诺的，无售后服务点的；</w:t>
            </w:r>
          </w:p>
          <w:p w14:paraId="2605CC7F">
            <w:pPr>
              <w:overflowPunct w:val="0"/>
              <w:rPr>
                <w:rFonts w:hint="eastAsia" w:ascii="宋体" w:hAnsi="宋体" w:eastAsia="宋体" w:cs="宋体"/>
                <w:color w:val="auto"/>
              </w:rPr>
            </w:pPr>
            <w:r>
              <w:rPr>
                <w:rFonts w:hint="eastAsia" w:ascii="宋体" w:hAnsi="宋体" w:eastAsia="宋体" w:cs="宋体"/>
                <w:color w:val="auto"/>
              </w:rPr>
              <w:t>第四档（0分）：未提供不得分。</w:t>
            </w:r>
          </w:p>
        </w:tc>
      </w:tr>
      <w:tr w14:paraId="2B594B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4" w:type="dxa"/>
            <w:vMerge w:val="continue"/>
            <w:vAlign w:val="center"/>
          </w:tcPr>
          <w:p w14:paraId="0314C283">
            <w:pPr>
              <w:ind w:firstLine="0" w:firstLineChars="0"/>
              <w:rPr>
                <w:rFonts w:hint="eastAsia" w:ascii="宋体" w:hAnsi="宋体" w:eastAsia="宋体" w:cs="宋体"/>
                <w:color w:val="auto"/>
              </w:rPr>
            </w:pPr>
          </w:p>
        </w:tc>
        <w:tc>
          <w:tcPr>
            <w:tcW w:w="709" w:type="dxa"/>
            <w:vMerge w:val="continue"/>
            <w:vAlign w:val="center"/>
          </w:tcPr>
          <w:p w14:paraId="4E76C39A">
            <w:pPr>
              <w:ind w:firstLine="0" w:firstLineChars="0"/>
              <w:rPr>
                <w:rFonts w:hint="eastAsia" w:ascii="宋体" w:hAnsi="宋体" w:eastAsia="宋体" w:cs="宋体"/>
                <w:color w:val="auto"/>
              </w:rPr>
            </w:pPr>
          </w:p>
        </w:tc>
        <w:tc>
          <w:tcPr>
            <w:tcW w:w="1577" w:type="dxa"/>
            <w:vMerge w:val="continue"/>
            <w:vAlign w:val="center"/>
          </w:tcPr>
          <w:p w14:paraId="3D3AC4A3">
            <w:pPr>
              <w:ind w:firstLine="0" w:firstLineChars="0"/>
              <w:jc w:val="center"/>
              <w:rPr>
                <w:rFonts w:hint="eastAsia" w:ascii="宋体" w:hAnsi="宋体" w:eastAsia="宋体" w:cs="宋体"/>
                <w:color w:val="auto"/>
              </w:rPr>
            </w:pPr>
          </w:p>
        </w:tc>
        <w:tc>
          <w:tcPr>
            <w:tcW w:w="6509" w:type="dxa"/>
            <w:tcBorders>
              <w:top w:val="single" w:color="auto" w:sz="4" w:space="0"/>
              <w:left w:val="single" w:color="auto" w:sz="4" w:space="0"/>
              <w:bottom w:val="single" w:color="auto" w:sz="4" w:space="0"/>
              <w:right w:val="single" w:color="auto" w:sz="4" w:space="0"/>
            </w:tcBorders>
            <w:vAlign w:val="center"/>
          </w:tcPr>
          <w:p w14:paraId="12967BF5">
            <w:pPr>
              <w:ind w:firstLine="422"/>
              <w:rPr>
                <w:rFonts w:hint="eastAsia" w:ascii="宋体" w:hAnsi="宋体" w:eastAsia="宋体" w:cs="宋体"/>
                <w:b/>
                <w:bCs/>
                <w:color w:val="auto"/>
              </w:rPr>
            </w:pPr>
            <w:r>
              <w:rPr>
                <w:rFonts w:hint="eastAsia" w:ascii="宋体" w:hAnsi="宋体" w:eastAsia="宋体" w:cs="宋体"/>
                <w:b/>
                <w:bCs/>
                <w:color w:val="auto"/>
              </w:rPr>
              <w:t>5）食品卫生安全承诺及保证措施（4分）</w:t>
            </w:r>
          </w:p>
          <w:p w14:paraId="321E1835">
            <w:pPr>
              <w:pStyle w:val="14"/>
              <w:rPr>
                <w:rFonts w:hint="eastAsia" w:ascii="宋体" w:hAnsi="宋体" w:eastAsia="宋体" w:cs="宋体"/>
                <w:color w:val="auto"/>
                <w:szCs w:val="21"/>
              </w:rPr>
            </w:pPr>
            <w:r>
              <w:rPr>
                <w:rFonts w:hint="eastAsia" w:ascii="宋体" w:hAnsi="宋体" w:eastAsia="宋体" w:cs="宋体"/>
                <w:color w:val="auto"/>
                <w:szCs w:val="21"/>
              </w:rPr>
              <w:t>第一档（4分）：食品卫生安全承诺满足招标文件要求，保证措施针对性强、措施明确具体符合项目实际情况的，供应商认为有助于预防食品安全事故的其他合理建议优的；</w:t>
            </w:r>
          </w:p>
          <w:p w14:paraId="4793778E">
            <w:pPr>
              <w:pStyle w:val="14"/>
              <w:rPr>
                <w:rFonts w:hint="eastAsia" w:ascii="宋体" w:hAnsi="宋体" w:eastAsia="宋体" w:cs="宋体"/>
                <w:color w:val="auto"/>
                <w:szCs w:val="21"/>
              </w:rPr>
            </w:pPr>
            <w:r>
              <w:rPr>
                <w:rFonts w:hint="eastAsia" w:ascii="宋体" w:hAnsi="宋体" w:eastAsia="宋体" w:cs="宋体"/>
                <w:color w:val="auto"/>
                <w:szCs w:val="21"/>
              </w:rPr>
              <w:t>第二档（</w:t>
            </w:r>
            <w:r>
              <w:rPr>
                <w:rFonts w:hint="eastAsia" w:hAnsi="宋体" w:cs="宋体"/>
                <w:color w:val="auto"/>
                <w:szCs w:val="21"/>
                <w:lang w:val="en-US" w:eastAsia="zh-CN"/>
              </w:rPr>
              <w:t>3</w:t>
            </w:r>
            <w:r>
              <w:rPr>
                <w:rFonts w:hint="eastAsia" w:ascii="宋体" w:hAnsi="宋体" w:eastAsia="宋体" w:cs="宋体"/>
                <w:color w:val="auto"/>
                <w:szCs w:val="21"/>
              </w:rPr>
              <w:t>分）：食品卫生安全承诺满足招标文件要求，保证措施针对性一般、措施一般，与项目实际情况符合度一般的，供应商认为有助于预防食品安全事故的其他合理建议一般的；</w:t>
            </w:r>
          </w:p>
          <w:p w14:paraId="7F5E554E">
            <w:pPr>
              <w:pStyle w:val="14"/>
              <w:rPr>
                <w:rFonts w:hint="eastAsia" w:ascii="宋体" w:hAnsi="宋体" w:eastAsia="宋体" w:cs="宋体"/>
                <w:color w:val="auto"/>
                <w:szCs w:val="21"/>
              </w:rPr>
            </w:pPr>
            <w:r>
              <w:rPr>
                <w:rFonts w:hint="eastAsia" w:ascii="宋体" w:hAnsi="宋体" w:eastAsia="宋体" w:cs="宋体"/>
                <w:color w:val="auto"/>
                <w:szCs w:val="21"/>
              </w:rPr>
              <w:t>第三档（1分）：食品卫生安全承诺满足招标文件要求，保证措施针对性较弱、措施单一，与项目实际情况符合度较低的，供应商认为有助于预防食品安全事故的其他合理建议较差的；</w:t>
            </w:r>
          </w:p>
          <w:p w14:paraId="60FB7F8E">
            <w:pPr>
              <w:overflowPunct w:val="0"/>
              <w:rPr>
                <w:rFonts w:hint="eastAsia" w:ascii="宋体" w:hAnsi="宋体" w:eastAsia="宋体" w:cs="宋体"/>
                <w:bCs/>
                <w:color w:val="auto"/>
              </w:rPr>
            </w:pPr>
            <w:r>
              <w:rPr>
                <w:rFonts w:hint="eastAsia" w:ascii="宋体" w:hAnsi="宋体" w:eastAsia="宋体" w:cs="宋体"/>
                <w:color w:val="auto"/>
              </w:rPr>
              <w:t>第四档（0分）：未提供不得分。</w:t>
            </w:r>
          </w:p>
        </w:tc>
      </w:tr>
      <w:tr w14:paraId="134A50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2" w:hRule="atLeast"/>
          <w:jc w:val="center"/>
        </w:trPr>
        <w:tc>
          <w:tcPr>
            <w:tcW w:w="534" w:type="dxa"/>
            <w:vMerge w:val="continue"/>
            <w:vAlign w:val="center"/>
          </w:tcPr>
          <w:p w14:paraId="1BC24E57">
            <w:pPr>
              <w:ind w:firstLine="0" w:firstLineChars="0"/>
              <w:rPr>
                <w:rFonts w:hint="eastAsia" w:ascii="宋体" w:hAnsi="宋体" w:eastAsia="宋体" w:cs="宋体"/>
                <w:color w:val="auto"/>
              </w:rPr>
            </w:pPr>
          </w:p>
        </w:tc>
        <w:tc>
          <w:tcPr>
            <w:tcW w:w="709" w:type="dxa"/>
            <w:vMerge w:val="continue"/>
            <w:vAlign w:val="center"/>
          </w:tcPr>
          <w:p w14:paraId="08441C87">
            <w:pPr>
              <w:ind w:firstLine="0" w:firstLineChars="0"/>
              <w:rPr>
                <w:rFonts w:hint="eastAsia" w:ascii="宋体" w:hAnsi="宋体" w:eastAsia="宋体" w:cs="宋体"/>
                <w:color w:val="auto"/>
              </w:rPr>
            </w:pPr>
          </w:p>
        </w:tc>
        <w:tc>
          <w:tcPr>
            <w:tcW w:w="1577" w:type="dxa"/>
            <w:vMerge w:val="continue"/>
            <w:vAlign w:val="center"/>
          </w:tcPr>
          <w:p w14:paraId="38070E02">
            <w:pPr>
              <w:ind w:firstLine="0" w:firstLineChars="0"/>
              <w:jc w:val="center"/>
              <w:rPr>
                <w:rFonts w:hint="eastAsia" w:ascii="宋体" w:hAnsi="宋体" w:eastAsia="宋体" w:cs="宋体"/>
                <w:color w:val="auto"/>
              </w:rPr>
            </w:pPr>
          </w:p>
        </w:tc>
        <w:tc>
          <w:tcPr>
            <w:tcW w:w="6509" w:type="dxa"/>
            <w:tcBorders>
              <w:top w:val="single" w:color="auto" w:sz="4" w:space="0"/>
              <w:left w:val="single" w:color="auto" w:sz="4" w:space="0"/>
              <w:bottom w:val="single" w:color="auto" w:sz="4" w:space="0"/>
              <w:right w:val="single" w:color="auto" w:sz="4" w:space="0"/>
            </w:tcBorders>
            <w:vAlign w:val="center"/>
          </w:tcPr>
          <w:p w14:paraId="01B12797">
            <w:pPr>
              <w:ind w:firstLine="422"/>
              <w:rPr>
                <w:rFonts w:hint="eastAsia" w:ascii="宋体" w:hAnsi="宋体" w:eastAsia="宋体" w:cs="宋体"/>
                <w:b/>
                <w:bCs/>
                <w:color w:val="auto"/>
              </w:rPr>
            </w:pPr>
            <w:r>
              <w:rPr>
                <w:rFonts w:hint="eastAsia" w:ascii="宋体" w:hAnsi="宋体" w:eastAsia="宋体" w:cs="宋体"/>
                <w:b/>
                <w:bCs/>
                <w:color w:val="auto"/>
              </w:rPr>
              <w:t>6）应急预案（4分）</w:t>
            </w:r>
          </w:p>
          <w:p w14:paraId="04487C90">
            <w:pPr>
              <w:pStyle w:val="14"/>
              <w:rPr>
                <w:rFonts w:hint="eastAsia" w:ascii="宋体" w:hAnsi="宋体" w:eastAsia="宋体" w:cs="宋体"/>
                <w:color w:val="auto"/>
                <w:szCs w:val="21"/>
              </w:rPr>
            </w:pPr>
            <w:r>
              <w:rPr>
                <w:rFonts w:hint="eastAsia" w:ascii="宋体" w:hAnsi="宋体" w:eastAsia="宋体" w:cs="宋体"/>
                <w:color w:val="auto"/>
                <w:szCs w:val="21"/>
              </w:rPr>
              <w:t>针对可能会发生的特殊（紧急）情况制定的应急预案，应急预案包含突发事件发生、报告、响应、结束、善后处置等各环节：</w:t>
            </w:r>
          </w:p>
          <w:p w14:paraId="6BDF5656">
            <w:pPr>
              <w:pStyle w:val="14"/>
              <w:rPr>
                <w:rFonts w:hint="eastAsia" w:ascii="宋体" w:hAnsi="宋体" w:eastAsia="宋体" w:cs="宋体"/>
                <w:color w:val="auto"/>
                <w:szCs w:val="21"/>
              </w:rPr>
            </w:pPr>
            <w:r>
              <w:rPr>
                <w:rFonts w:hint="eastAsia" w:ascii="宋体" w:hAnsi="宋体" w:eastAsia="宋体" w:cs="宋体"/>
                <w:color w:val="auto"/>
                <w:szCs w:val="21"/>
              </w:rPr>
              <w:t>第一档（</w:t>
            </w:r>
            <w:r>
              <w:rPr>
                <w:rFonts w:hint="eastAsia" w:hAnsi="宋体" w:cs="宋体"/>
                <w:color w:val="auto"/>
                <w:szCs w:val="21"/>
                <w:lang w:val="en-US" w:eastAsia="zh-CN"/>
              </w:rPr>
              <w:t>4</w:t>
            </w:r>
            <w:r>
              <w:rPr>
                <w:rFonts w:hint="eastAsia" w:ascii="宋体" w:hAnsi="宋体" w:eastAsia="宋体" w:cs="宋体"/>
                <w:color w:val="auto"/>
                <w:szCs w:val="21"/>
              </w:rPr>
              <w:t>分）：应急预案考虑周全，处理方法得当的；</w:t>
            </w:r>
          </w:p>
          <w:p w14:paraId="720010A6">
            <w:pPr>
              <w:pStyle w:val="14"/>
              <w:rPr>
                <w:rFonts w:hint="eastAsia" w:ascii="宋体" w:hAnsi="宋体" w:eastAsia="宋体" w:cs="宋体"/>
                <w:color w:val="auto"/>
                <w:szCs w:val="21"/>
              </w:rPr>
            </w:pPr>
            <w:r>
              <w:rPr>
                <w:rFonts w:hint="eastAsia" w:ascii="宋体" w:hAnsi="宋体" w:eastAsia="宋体" w:cs="宋体"/>
                <w:color w:val="auto"/>
                <w:szCs w:val="21"/>
              </w:rPr>
              <w:t>第二档（</w:t>
            </w:r>
            <w:r>
              <w:rPr>
                <w:rFonts w:hint="eastAsia" w:hAnsi="宋体" w:cs="宋体"/>
                <w:color w:val="auto"/>
                <w:szCs w:val="21"/>
                <w:lang w:val="en-US" w:eastAsia="zh-CN"/>
              </w:rPr>
              <w:t>2</w:t>
            </w:r>
            <w:r>
              <w:rPr>
                <w:rFonts w:hint="eastAsia" w:ascii="宋体" w:hAnsi="宋体" w:eastAsia="宋体" w:cs="宋体"/>
                <w:color w:val="auto"/>
                <w:szCs w:val="21"/>
              </w:rPr>
              <w:t>分）：有应急预案，考虑不够周全，处理方法欠缺的；</w:t>
            </w:r>
          </w:p>
          <w:p w14:paraId="078BA51F">
            <w:pPr>
              <w:overflowPunct w:val="0"/>
              <w:rPr>
                <w:rFonts w:hint="eastAsia" w:ascii="宋体" w:hAnsi="宋体" w:eastAsia="宋体" w:cs="宋体"/>
                <w:bCs/>
                <w:color w:val="auto"/>
                <w:lang w:bidi="en-US"/>
              </w:rPr>
            </w:pPr>
            <w:r>
              <w:rPr>
                <w:rFonts w:hint="eastAsia" w:ascii="宋体" w:hAnsi="宋体" w:eastAsia="宋体" w:cs="宋体"/>
                <w:color w:val="auto"/>
              </w:rPr>
              <w:t>第三档（0分）：无应急预案或无处理能力或处理方法的。</w:t>
            </w:r>
          </w:p>
        </w:tc>
      </w:tr>
      <w:tr w14:paraId="2CA1AA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4" w:type="dxa"/>
            <w:vMerge w:val="continue"/>
            <w:vAlign w:val="center"/>
          </w:tcPr>
          <w:p w14:paraId="25041D70">
            <w:pPr>
              <w:ind w:firstLine="0" w:firstLineChars="0"/>
              <w:rPr>
                <w:rFonts w:hint="eastAsia" w:ascii="宋体" w:hAnsi="宋体" w:eastAsia="宋体" w:cs="宋体"/>
                <w:color w:val="auto"/>
              </w:rPr>
            </w:pPr>
          </w:p>
        </w:tc>
        <w:tc>
          <w:tcPr>
            <w:tcW w:w="709" w:type="dxa"/>
            <w:vMerge w:val="continue"/>
            <w:vAlign w:val="center"/>
          </w:tcPr>
          <w:p w14:paraId="29EA0936">
            <w:pPr>
              <w:ind w:firstLine="0" w:firstLineChars="0"/>
              <w:rPr>
                <w:rFonts w:hint="eastAsia" w:ascii="宋体" w:hAnsi="宋体" w:eastAsia="宋体" w:cs="宋体"/>
                <w:color w:val="auto"/>
              </w:rPr>
            </w:pPr>
          </w:p>
        </w:tc>
        <w:tc>
          <w:tcPr>
            <w:tcW w:w="1577" w:type="dxa"/>
            <w:vMerge w:val="continue"/>
            <w:vAlign w:val="center"/>
          </w:tcPr>
          <w:p w14:paraId="127026F3">
            <w:pPr>
              <w:ind w:firstLine="0" w:firstLineChars="0"/>
              <w:jc w:val="center"/>
              <w:rPr>
                <w:rFonts w:hint="eastAsia" w:ascii="宋体" w:hAnsi="宋体" w:eastAsia="宋体" w:cs="宋体"/>
                <w:color w:val="auto"/>
              </w:rPr>
            </w:pPr>
          </w:p>
        </w:tc>
        <w:tc>
          <w:tcPr>
            <w:tcW w:w="6509" w:type="dxa"/>
            <w:tcBorders>
              <w:top w:val="single" w:color="auto" w:sz="4" w:space="0"/>
              <w:left w:val="single" w:color="auto" w:sz="4" w:space="0"/>
              <w:bottom w:val="single" w:color="auto" w:sz="4" w:space="0"/>
              <w:right w:val="single" w:color="auto" w:sz="4" w:space="0"/>
            </w:tcBorders>
            <w:vAlign w:val="center"/>
          </w:tcPr>
          <w:p w14:paraId="7392F2F2">
            <w:pPr>
              <w:ind w:firstLine="422"/>
              <w:rPr>
                <w:rFonts w:hint="eastAsia" w:ascii="宋体" w:hAnsi="宋体" w:eastAsia="宋体" w:cs="宋体"/>
                <w:b/>
                <w:bCs/>
                <w:color w:val="auto"/>
              </w:rPr>
            </w:pPr>
            <w:r>
              <w:rPr>
                <w:rFonts w:hint="eastAsia" w:ascii="宋体" w:hAnsi="宋体" w:eastAsia="宋体" w:cs="宋体"/>
                <w:b/>
                <w:bCs/>
                <w:color w:val="auto"/>
              </w:rPr>
              <w:t>7）违约责任承诺（4分）</w:t>
            </w:r>
          </w:p>
          <w:p w14:paraId="677F105E">
            <w:pPr>
              <w:pStyle w:val="14"/>
              <w:rPr>
                <w:rFonts w:hint="eastAsia" w:ascii="宋体" w:hAnsi="宋体" w:eastAsia="宋体" w:cs="宋体"/>
                <w:color w:val="auto"/>
                <w:szCs w:val="21"/>
              </w:rPr>
            </w:pPr>
            <w:r>
              <w:rPr>
                <w:rFonts w:hint="eastAsia" w:ascii="宋体" w:hAnsi="宋体" w:eastAsia="宋体" w:cs="宋体"/>
                <w:color w:val="auto"/>
                <w:szCs w:val="21"/>
              </w:rPr>
              <w:t>第一档（</w:t>
            </w:r>
            <w:r>
              <w:rPr>
                <w:rFonts w:hint="eastAsia" w:hAnsi="宋体" w:cs="宋体"/>
                <w:color w:val="auto"/>
                <w:szCs w:val="21"/>
                <w:lang w:val="en-US" w:eastAsia="zh-CN"/>
              </w:rPr>
              <w:t>4</w:t>
            </w:r>
            <w:r>
              <w:rPr>
                <w:rFonts w:hint="eastAsia" w:ascii="宋体" w:hAnsi="宋体" w:eastAsia="宋体" w:cs="宋体"/>
                <w:color w:val="auto"/>
                <w:szCs w:val="21"/>
              </w:rPr>
              <w:t>分）：违约责任承诺考虑全面，内容较为完整，针对性较强，且具有明确具体的违约责任惩罚措施，能较好满足项目需求；</w:t>
            </w:r>
          </w:p>
          <w:p w14:paraId="10A3DA11">
            <w:pPr>
              <w:pStyle w:val="14"/>
              <w:rPr>
                <w:rFonts w:hint="eastAsia" w:ascii="宋体" w:hAnsi="宋体" w:eastAsia="宋体" w:cs="宋体"/>
                <w:color w:val="auto"/>
                <w:szCs w:val="21"/>
              </w:rPr>
            </w:pPr>
            <w:r>
              <w:rPr>
                <w:rFonts w:hint="eastAsia" w:ascii="宋体" w:hAnsi="宋体" w:eastAsia="宋体" w:cs="宋体"/>
                <w:color w:val="auto"/>
                <w:szCs w:val="21"/>
              </w:rPr>
              <w:t>第二档（2分）：违约责任承诺基本完整，针对性一般，违约责任惩罚措施可行性一般，满足项目需求；</w:t>
            </w:r>
          </w:p>
          <w:p w14:paraId="78F17193">
            <w:pPr>
              <w:pStyle w:val="14"/>
              <w:rPr>
                <w:rFonts w:hint="eastAsia" w:ascii="宋体" w:hAnsi="宋体" w:eastAsia="宋体" w:cs="宋体"/>
                <w:color w:val="auto"/>
                <w:szCs w:val="21"/>
              </w:rPr>
            </w:pPr>
            <w:r>
              <w:rPr>
                <w:rFonts w:hint="eastAsia" w:ascii="宋体" w:hAnsi="宋体" w:eastAsia="宋体" w:cs="宋体"/>
                <w:color w:val="auto"/>
                <w:szCs w:val="21"/>
              </w:rPr>
              <w:t>第三档（1分）：违约责任承诺不完整，针对性不强，违约责任惩罚措施不具有可行性，不满足项目需求；</w:t>
            </w:r>
          </w:p>
          <w:p w14:paraId="619F0578">
            <w:pPr>
              <w:overflowPunct w:val="0"/>
              <w:rPr>
                <w:rFonts w:hint="eastAsia" w:ascii="宋体" w:hAnsi="宋体" w:eastAsia="宋体" w:cs="宋体"/>
                <w:bCs/>
                <w:color w:val="auto"/>
              </w:rPr>
            </w:pPr>
            <w:r>
              <w:rPr>
                <w:rFonts w:hint="eastAsia" w:ascii="宋体" w:hAnsi="宋体" w:eastAsia="宋体" w:cs="宋体"/>
                <w:color w:val="auto"/>
              </w:rPr>
              <w:t>第四档（0分）：未提供不得分。</w:t>
            </w:r>
          </w:p>
        </w:tc>
      </w:tr>
      <w:tr w14:paraId="73DDFA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4" w:type="dxa"/>
            <w:vMerge w:val="continue"/>
            <w:vAlign w:val="center"/>
          </w:tcPr>
          <w:p w14:paraId="510A7B87">
            <w:pPr>
              <w:ind w:firstLine="0" w:firstLineChars="0"/>
              <w:rPr>
                <w:rFonts w:hint="eastAsia" w:ascii="宋体" w:hAnsi="宋体" w:eastAsia="宋体" w:cs="宋体"/>
                <w:color w:val="auto"/>
              </w:rPr>
            </w:pPr>
          </w:p>
        </w:tc>
        <w:tc>
          <w:tcPr>
            <w:tcW w:w="709" w:type="dxa"/>
            <w:vMerge w:val="continue"/>
            <w:vAlign w:val="center"/>
          </w:tcPr>
          <w:p w14:paraId="1A31DB90">
            <w:pPr>
              <w:ind w:firstLine="0" w:firstLineChars="0"/>
              <w:rPr>
                <w:rFonts w:hint="eastAsia" w:ascii="宋体" w:hAnsi="宋体" w:eastAsia="宋体" w:cs="宋体"/>
                <w:color w:val="auto"/>
              </w:rPr>
            </w:pPr>
          </w:p>
        </w:tc>
        <w:tc>
          <w:tcPr>
            <w:tcW w:w="1577" w:type="dxa"/>
            <w:vMerge w:val="restart"/>
            <w:vAlign w:val="center"/>
          </w:tcPr>
          <w:p w14:paraId="05C0DDE9">
            <w:pPr>
              <w:ind w:firstLine="0" w:firstLineChars="0"/>
              <w:jc w:val="center"/>
              <w:rPr>
                <w:rFonts w:hint="eastAsia" w:ascii="宋体" w:hAnsi="宋体" w:eastAsia="宋体" w:cs="宋体"/>
                <w:color w:val="auto"/>
              </w:rPr>
            </w:pPr>
            <w:r>
              <w:rPr>
                <w:rFonts w:hint="eastAsia" w:ascii="宋体" w:hAnsi="宋体" w:eastAsia="宋体" w:cs="宋体"/>
                <w:color w:val="auto"/>
              </w:rPr>
              <w:t>（5）商务部分得分F3</w:t>
            </w:r>
          </w:p>
        </w:tc>
        <w:tc>
          <w:tcPr>
            <w:tcW w:w="6509" w:type="dxa"/>
            <w:tcBorders>
              <w:top w:val="single" w:color="auto" w:sz="4" w:space="0"/>
              <w:left w:val="single" w:color="auto" w:sz="4" w:space="0"/>
              <w:right w:val="single" w:color="auto" w:sz="4" w:space="0"/>
            </w:tcBorders>
            <w:vAlign w:val="center"/>
          </w:tcPr>
          <w:p w14:paraId="530DE8C5">
            <w:pPr>
              <w:ind w:firstLine="422"/>
              <w:rPr>
                <w:rFonts w:hint="eastAsia" w:ascii="宋体" w:hAnsi="宋体" w:eastAsia="宋体" w:cs="宋体"/>
                <w:b/>
                <w:bCs/>
                <w:color w:val="auto"/>
              </w:rPr>
            </w:pPr>
            <w:r>
              <w:rPr>
                <w:rFonts w:hint="eastAsia" w:ascii="宋体" w:hAnsi="宋体" w:eastAsia="宋体" w:cs="宋体"/>
                <w:b/>
                <w:bCs/>
                <w:color w:val="auto"/>
              </w:rPr>
              <w:t>1）配送车辆及车辆日常管理措施（4分）</w:t>
            </w:r>
          </w:p>
          <w:p w14:paraId="3638EBC1">
            <w:pPr>
              <w:pStyle w:val="14"/>
              <w:rPr>
                <w:rFonts w:hint="eastAsia" w:ascii="宋体" w:hAnsi="宋体" w:eastAsia="宋体" w:cs="宋体"/>
                <w:color w:val="auto"/>
                <w:szCs w:val="21"/>
              </w:rPr>
            </w:pPr>
            <w:r>
              <w:rPr>
                <w:rFonts w:hint="eastAsia" w:ascii="宋体" w:hAnsi="宋体" w:eastAsia="宋体" w:cs="宋体"/>
                <w:color w:val="auto"/>
                <w:szCs w:val="21"/>
              </w:rPr>
              <w:t>1、供应商提供自有运输车辆或承诺若中标后以租赁或其它方式获取运输车辆的得1分，没有的不得分。</w:t>
            </w:r>
          </w:p>
          <w:p w14:paraId="548F00CF">
            <w:pPr>
              <w:pStyle w:val="14"/>
              <w:rPr>
                <w:rFonts w:hint="eastAsia" w:ascii="宋体" w:hAnsi="宋体" w:eastAsia="宋体" w:cs="宋体"/>
                <w:color w:val="auto"/>
                <w:szCs w:val="21"/>
              </w:rPr>
            </w:pPr>
            <w:r>
              <w:rPr>
                <w:rFonts w:hint="eastAsia" w:ascii="宋体" w:hAnsi="宋体" w:eastAsia="宋体" w:cs="宋体"/>
                <w:color w:val="auto"/>
                <w:szCs w:val="21"/>
              </w:rPr>
              <w:t>2、配送车辆日常管理措施：每提供一项承诺得0.5分，最多得3分。</w:t>
            </w:r>
          </w:p>
          <w:p w14:paraId="0D1EDBAB">
            <w:pPr>
              <w:ind w:firstLine="0" w:firstLineChars="0"/>
              <w:rPr>
                <w:rFonts w:hint="eastAsia" w:ascii="宋体" w:hAnsi="宋体" w:eastAsia="宋体" w:cs="宋体"/>
                <w:color w:val="auto"/>
              </w:rPr>
            </w:pPr>
            <w:r>
              <w:rPr>
                <w:rFonts w:hint="eastAsia" w:ascii="宋体" w:hAnsi="宋体" w:eastAsia="宋体" w:cs="宋体"/>
                <w:color w:val="auto"/>
              </w:rPr>
              <w:t>①运输车辆内外必须清洁干净、无污渍、无异味、保持通风良好。②包装严密。③送货器具保持干净，无污渍。④运输车在运输食品前，必须进行消毒，并设有专人负责监督执行。⑤运输车在运输过程中，应有防雨措施。⑥在运输食品时，不得同时装有有毒有害物质，防止食品污染。</w:t>
            </w:r>
          </w:p>
        </w:tc>
      </w:tr>
      <w:tr w14:paraId="5359FB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41" w:hRule="atLeast"/>
          <w:jc w:val="center"/>
        </w:trPr>
        <w:tc>
          <w:tcPr>
            <w:tcW w:w="534" w:type="dxa"/>
            <w:vMerge w:val="continue"/>
            <w:vAlign w:val="center"/>
          </w:tcPr>
          <w:p w14:paraId="25D170A6">
            <w:pPr>
              <w:ind w:firstLine="0" w:firstLineChars="0"/>
              <w:rPr>
                <w:rFonts w:hint="eastAsia" w:ascii="宋体" w:hAnsi="宋体" w:eastAsia="宋体" w:cs="宋体"/>
                <w:color w:val="auto"/>
              </w:rPr>
            </w:pPr>
          </w:p>
        </w:tc>
        <w:tc>
          <w:tcPr>
            <w:tcW w:w="709" w:type="dxa"/>
            <w:vMerge w:val="continue"/>
            <w:vAlign w:val="center"/>
          </w:tcPr>
          <w:p w14:paraId="6EDB4DAB">
            <w:pPr>
              <w:ind w:firstLine="0" w:firstLineChars="0"/>
              <w:rPr>
                <w:rFonts w:hint="eastAsia" w:ascii="宋体" w:hAnsi="宋体" w:eastAsia="宋体" w:cs="宋体"/>
                <w:color w:val="auto"/>
              </w:rPr>
            </w:pPr>
          </w:p>
        </w:tc>
        <w:tc>
          <w:tcPr>
            <w:tcW w:w="1577" w:type="dxa"/>
            <w:vMerge w:val="continue"/>
            <w:vAlign w:val="center"/>
          </w:tcPr>
          <w:p w14:paraId="6E3F9041">
            <w:pPr>
              <w:ind w:firstLine="0" w:firstLineChars="0"/>
              <w:jc w:val="center"/>
              <w:rPr>
                <w:rFonts w:hint="eastAsia" w:ascii="宋体" w:hAnsi="宋体" w:eastAsia="宋体" w:cs="宋体"/>
                <w:color w:val="auto"/>
              </w:rPr>
            </w:pPr>
          </w:p>
        </w:tc>
        <w:tc>
          <w:tcPr>
            <w:tcW w:w="6509" w:type="dxa"/>
            <w:tcBorders>
              <w:left w:val="single" w:color="auto" w:sz="4" w:space="0"/>
              <w:right w:val="single" w:color="auto" w:sz="4" w:space="0"/>
            </w:tcBorders>
            <w:vAlign w:val="center"/>
          </w:tcPr>
          <w:p w14:paraId="178E06A0">
            <w:pPr>
              <w:ind w:firstLine="422"/>
              <w:rPr>
                <w:rFonts w:hint="eastAsia" w:ascii="宋体" w:hAnsi="宋体" w:eastAsia="宋体" w:cs="宋体"/>
                <w:b/>
                <w:bCs/>
                <w:color w:val="auto"/>
              </w:rPr>
            </w:pPr>
            <w:r>
              <w:rPr>
                <w:rFonts w:hint="eastAsia" w:ascii="宋体" w:hAnsi="宋体" w:eastAsia="宋体" w:cs="宋体"/>
                <w:b/>
                <w:bCs/>
                <w:color w:val="auto"/>
              </w:rPr>
              <w:t>2）拟派本项目人员配置（4分）</w:t>
            </w:r>
          </w:p>
          <w:p w14:paraId="3EA0E917">
            <w:pPr>
              <w:pStyle w:val="14"/>
              <w:rPr>
                <w:rFonts w:hint="eastAsia" w:ascii="宋体" w:hAnsi="宋体" w:eastAsia="宋体" w:cs="宋体"/>
                <w:color w:val="auto"/>
                <w:szCs w:val="21"/>
              </w:rPr>
            </w:pPr>
            <w:r>
              <w:rPr>
                <w:rFonts w:hint="eastAsia" w:ascii="宋体" w:hAnsi="宋体" w:eastAsia="宋体" w:cs="宋体"/>
                <w:color w:val="auto"/>
                <w:szCs w:val="21"/>
              </w:rPr>
              <w:t>对供应商拟派本项目的人员配置情况进行综合评审打分，评分标准如下：</w:t>
            </w:r>
          </w:p>
          <w:p w14:paraId="3E1ADD57">
            <w:pPr>
              <w:pStyle w:val="14"/>
              <w:rPr>
                <w:rFonts w:hint="eastAsia" w:ascii="宋体" w:hAnsi="宋体" w:eastAsia="宋体" w:cs="宋体"/>
                <w:color w:val="auto"/>
                <w:szCs w:val="21"/>
              </w:rPr>
            </w:pPr>
            <w:r>
              <w:rPr>
                <w:rFonts w:hint="eastAsia" w:ascii="宋体" w:hAnsi="宋体" w:eastAsia="宋体" w:cs="宋体"/>
                <w:color w:val="auto"/>
                <w:szCs w:val="21"/>
              </w:rPr>
              <w:t>第一档（</w:t>
            </w:r>
            <w:r>
              <w:rPr>
                <w:rFonts w:hint="eastAsia" w:hAnsi="宋体" w:cs="宋体"/>
                <w:color w:val="auto"/>
                <w:szCs w:val="21"/>
                <w:lang w:val="en-US" w:eastAsia="zh-CN"/>
              </w:rPr>
              <w:t>4</w:t>
            </w:r>
            <w:r>
              <w:rPr>
                <w:rFonts w:hint="eastAsia" w:ascii="宋体" w:hAnsi="宋体" w:eastAsia="宋体" w:cs="宋体"/>
                <w:color w:val="auto"/>
                <w:szCs w:val="21"/>
              </w:rPr>
              <w:t>分）：供应商拟派本项目的人员配置情况科学、合理，包含管理人员、配送人员等配置方案完全符合项目实际要求，搭配合理、准确，人员证书（如健康证等）齐全；</w:t>
            </w:r>
          </w:p>
          <w:p w14:paraId="27AA1F1C">
            <w:pPr>
              <w:pStyle w:val="14"/>
              <w:rPr>
                <w:rFonts w:hint="eastAsia" w:ascii="宋体" w:hAnsi="宋体" w:eastAsia="宋体" w:cs="宋体"/>
                <w:color w:val="auto"/>
                <w:szCs w:val="21"/>
              </w:rPr>
            </w:pPr>
            <w:r>
              <w:rPr>
                <w:rFonts w:hint="eastAsia" w:ascii="宋体" w:hAnsi="宋体" w:eastAsia="宋体" w:cs="宋体"/>
                <w:color w:val="auto"/>
                <w:szCs w:val="21"/>
              </w:rPr>
              <w:t>第二档（2分）：供应商拟派本项目的人员配置情况一般，包含管理人员、配送人员人员等配置方案基本满足项目实际要求，搭配合理，人员证书（如健康证等）基本齐全；</w:t>
            </w:r>
          </w:p>
          <w:p w14:paraId="44783A1B">
            <w:pPr>
              <w:rPr>
                <w:rFonts w:hint="eastAsia" w:ascii="宋体" w:hAnsi="宋体" w:eastAsia="宋体" w:cs="宋体"/>
                <w:color w:val="auto"/>
              </w:rPr>
            </w:pPr>
            <w:r>
              <w:rPr>
                <w:rFonts w:hint="eastAsia" w:ascii="宋体" w:hAnsi="宋体" w:eastAsia="宋体" w:cs="宋体"/>
                <w:color w:val="auto"/>
              </w:rPr>
              <w:t>第三档（1分）：供应商拟派本项目的人员配置情况不科学、不合理，包含管理人员、配送人员人员等配置方案与项目实际要求不相符，人员证书（如健康证等）基本齐全。</w:t>
            </w:r>
          </w:p>
        </w:tc>
      </w:tr>
    </w:tbl>
    <w:p w14:paraId="6F404DC8">
      <w:pPr>
        <w:bidi w:val="0"/>
        <w:rPr>
          <w:rFonts w:hint="eastAsia"/>
          <w:color w:val="auto"/>
        </w:rPr>
      </w:pPr>
    </w:p>
    <w:p w14:paraId="13873FE8">
      <w:pPr>
        <w:keepNext/>
        <w:tabs>
          <w:tab w:val="left" w:pos="1021"/>
        </w:tabs>
        <w:adjustRightInd w:val="0"/>
        <w:ind w:firstLine="0" w:firstLineChars="0"/>
        <w:textAlignment w:val="baseline"/>
        <w:outlineLvl w:val="2"/>
        <w:rPr>
          <w:rFonts w:hint="eastAsia" w:cs="宋体"/>
          <w:b/>
          <w:color w:val="auto"/>
          <w:kern w:val="0"/>
          <w:sz w:val="28"/>
          <w:szCs w:val="28"/>
        </w:rPr>
      </w:pPr>
      <w:bookmarkStart w:id="889" w:name="_Toc26783937"/>
      <w:bookmarkStart w:id="890" w:name="_Toc4369"/>
      <w:bookmarkStart w:id="891" w:name="_Toc326218111"/>
      <w:bookmarkStart w:id="892" w:name="_Toc21859"/>
      <w:r>
        <w:rPr>
          <w:rFonts w:hint="eastAsia" w:cs="宋体"/>
          <w:bCs/>
          <w:color w:val="auto"/>
          <w:kern w:val="0"/>
          <w:sz w:val="24"/>
          <w:szCs w:val="20"/>
        </w:rPr>
        <w:t>一、</w:t>
      </w:r>
      <w:r>
        <w:rPr>
          <w:rFonts w:hint="eastAsia" w:cs="宋体"/>
          <w:b/>
          <w:color w:val="auto"/>
          <w:kern w:val="0"/>
          <w:sz w:val="28"/>
          <w:szCs w:val="28"/>
        </w:rPr>
        <w:t>评标方法</w:t>
      </w:r>
      <w:bookmarkEnd w:id="889"/>
      <w:bookmarkEnd w:id="890"/>
      <w:bookmarkEnd w:id="891"/>
      <w:bookmarkEnd w:id="892"/>
    </w:p>
    <w:p w14:paraId="46AB6CAA">
      <w:pPr>
        <w:adjustRightInd w:val="0"/>
        <w:rPr>
          <w:rFonts w:hint="eastAsia" w:cs="宋体"/>
          <w:color w:val="auto"/>
        </w:rPr>
      </w:pPr>
      <w:r>
        <w:rPr>
          <w:rFonts w:hint="eastAsia" w:cs="宋体"/>
          <w:color w:val="auto"/>
        </w:rPr>
        <w:t>根据《中华人民共和国政府采购法》、《中华人民共和国政府采购法实施条例》、《政府采购货物和服务招标投标管理办法（财政部87号令）》、《 财政部关于进一步规范政府采购评审工作有关问题的通知》（ 财政部财库[2012]69号）等有关法律规定，结合本采购实际情况指定本办法。</w:t>
      </w:r>
    </w:p>
    <w:p w14:paraId="5EEC4D32">
      <w:pPr>
        <w:adjustRightInd w:val="0"/>
        <w:rPr>
          <w:rFonts w:hint="eastAsia" w:ascii="宋体" w:hAnsi="宋体" w:eastAsia="宋体" w:cs="宋体"/>
          <w:color w:val="auto"/>
        </w:rPr>
      </w:pPr>
      <w:bookmarkStart w:id="893" w:name="_Toc26783938"/>
      <w:bookmarkStart w:id="894" w:name="_Toc314817934"/>
      <w:bookmarkStart w:id="895" w:name="_Toc326218112"/>
      <w:bookmarkStart w:id="896" w:name="_Toc13453"/>
      <w:r>
        <w:rPr>
          <w:rFonts w:hint="eastAsia" w:ascii="宋体" w:hAnsi="宋体" w:eastAsia="宋体" w:cs="宋体"/>
          <w:color w:val="auto"/>
        </w:rPr>
        <w:t>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48DAE510">
      <w:pPr>
        <w:keepNext/>
        <w:tabs>
          <w:tab w:val="left" w:pos="1021"/>
        </w:tabs>
        <w:adjustRightInd w:val="0"/>
        <w:ind w:firstLine="0" w:firstLineChars="0"/>
        <w:textAlignment w:val="baseline"/>
        <w:outlineLvl w:val="2"/>
        <w:rPr>
          <w:rFonts w:hint="eastAsia" w:cs="宋体"/>
          <w:b/>
          <w:color w:val="auto"/>
          <w:kern w:val="0"/>
          <w:sz w:val="28"/>
          <w:szCs w:val="28"/>
        </w:rPr>
      </w:pPr>
      <w:bookmarkStart w:id="897" w:name="_Toc12295"/>
      <w:r>
        <w:rPr>
          <w:rFonts w:hint="eastAsia" w:cs="宋体"/>
          <w:b/>
          <w:color w:val="auto"/>
          <w:kern w:val="0"/>
          <w:sz w:val="28"/>
          <w:szCs w:val="28"/>
        </w:rPr>
        <w:t>二、评审标准</w:t>
      </w:r>
      <w:bookmarkEnd w:id="893"/>
      <w:bookmarkEnd w:id="894"/>
      <w:bookmarkEnd w:id="895"/>
      <w:bookmarkEnd w:id="896"/>
      <w:bookmarkEnd w:id="897"/>
    </w:p>
    <w:p w14:paraId="109271DB">
      <w:pPr>
        <w:tabs>
          <w:tab w:val="left" w:pos="900"/>
          <w:tab w:val="left" w:pos="1588"/>
        </w:tabs>
        <w:adjustRightInd w:val="0"/>
        <w:ind w:firstLine="0" w:firstLineChars="0"/>
        <w:textAlignment w:val="baseline"/>
        <w:outlineLvl w:val="3"/>
        <w:rPr>
          <w:rFonts w:hint="eastAsia" w:cs="宋体"/>
          <w:b/>
          <w:color w:val="auto"/>
          <w:kern w:val="0"/>
          <w:sz w:val="24"/>
          <w:szCs w:val="24"/>
        </w:rPr>
      </w:pPr>
      <w:bookmarkStart w:id="898" w:name="_Toc326218113"/>
      <w:bookmarkStart w:id="899" w:name="_Toc314817935"/>
      <w:bookmarkStart w:id="900" w:name="_Toc26783939"/>
      <w:r>
        <w:rPr>
          <w:rFonts w:hint="eastAsia" w:cs="宋体"/>
          <w:b/>
          <w:color w:val="auto"/>
          <w:kern w:val="0"/>
          <w:sz w:val="24"/>
          <w:szCs w:val="24"/>
        </w:rPr>
        <w:t>1.符合性评审标准</w:t>
      </w:r>
      <w:bookmarkEnd w:id="898"/>
      <w:bookmarkEnd w:id="899"/>
      <w:bookmarkEnd w:id="900"/>
    </w:p>
    <w:p w14:paraId="5D268645">
      <w:pPr>
        <w:tabs>
          <w:tab w:val="left" w:pos="2472"/>
        </w:tabs>
        <w:rPr>
          <w:rFonts w:hint="eastAsia" w:cs="宋体"/>
          <w:color w:val="auto"/>
        </w:rPr>
      </w:pPr>
      <w:r>
        <w:rPr>
          <w:rFonts w:hint="eastAsia" w:cs="宋体"/>
          <w:color w:val="auto"/>
        </w:rPr>
        <w:t>评标委员会依据招标文件的规定，从投标文件的有效性、完整性和对招标文件的响应程度进行审查，以确定是否对招标文件的实质性要求作出响应；见评标方法前附表。</w:t>
      </w:r>
    </w:p>
    <w:p w14:paraId="29F9E93F">
      <w:pPr>
        <w:tabs>
          <w:tab w:val="left" w:pos="900"/>
          <w:tab w:val="left" w:pos="1588"/>
        </w:tabs>
        <w:adjustRightInd w:val="0"/>
        <w:ind w:firstLine="0" w:firstLineChars="0"/>
        <w:textAlignment w:val="baseline"/>
        <w:outlineLvl w:val="3"/>
        <w:rPr>
          <w:rFonts w:hint="eastAsia" w:cs="宋体"/>
          <w:b/>
          <w:color w:val="auto"/>
          <w:kern w:val="0"/>
          <w:sz w:val="24"/>
          <w:szCs w:val="24"/>
        </w:rPr>
      </w:pPr>
      <w:bookmarkStart w:id="901" w:name="_Toc326218114"/>
      <w:bookmarkStart w:id="902" w:name="_Toc26783940"/>
      <w:bookmarkStart w:id="903" w:name="_Toc314817936"/>
      <w:r>
        <w:rPr>
          <w:rFonts w:hint="eastAsia" w:cs="宋体"/>
          <w:b/>
          <w:color w:val="auto"/>
          <w:kern w:val="0"/>
          <w:sz w:val="24"/>
          <w:szCs w:val="24"/>
        </w:rPr>
        <w:t>2. 分值构成与评分标准</w:t>
      </w:r>
      <w:bookmarkEnd w:id="901"/>
      <w:bookmarkEnd w:id="902"/>
      <w:bookmarkEnd w:id="903"/>
    </w:p>
    <w:p w14:paraId="7375EA1A">
      <w:pPr>
        <w:tabs>
          <w:tab w:val="left" w:pos="2472"/>
        </w:tabs>
        <w:rPr>
          <w:rFonts w:hint="eastAsia" w:cs="宋体"/>
          <w:color w:val="auto"/>
        </w:rPr>
      </w:pPr>
      <w:r>
        <w:rPr>
          <w:rFonts w:hint="eastAsia" w:cs="宋体"/>
          <w:color w:val="auto"/>
        </w:rPr>
        <w:t>2.1 分值构成</w:t>
      </w:r>
    </w:p>
    <w:p w14:paraId="0DA2EDF2">
      <w:pPr>
        <w:tabs>
          <w:tab w:val="left" w:pos="2472"/>
        </w:tabs>
        <w:rPr>
          <w:rFonts w:hint="eastAsia" w:cs="宋体"/>
          <w:color w:val="auto"/>
        </w:rPr>
      </w:pPr>
      <w:r>
        <w:rPr>
          <w:rFonts w:hint="eastAsia" w:cs="宋体"/>
          <w:color w:val="auto"/>
        </w:rPr>
        <w:t>（1）投标报价：见评标方法前附表；</w:t>
      </w:r>
    </w:p>
    <w:p w14:paraId="3E8F1230">
      <w:pPr>
        <w:tabs>
          <w:tab w:val="left" w:pos="2472"/>
        </w:tabs>
        <w:rPr>
          <w:rFonts w:hint="eastAsia" w:cs="宋体"/>
          <w:color w:val="auto"/>
        </w:rPr>
      </w:pPr>
      <w:r>
        <w:rPr>
          <w:rFonts w:hint="eastAsia" w:cs="宋体"/>
          <w:color w:val="auto"/>
        </w:rPr>
        <w:t>（2）技术部分：见评标方法前附表；</w:t>
      </w:r>
    </w:p>
    <w:p w14:paraId="11B99AE6">
      <w:pPr>
        <w:tabs>
          <w:tab w:val="left" w:pos="2472"/>
        </w:tabs>
        <w:rPr>
          <w:rFonts w:hint="eastAsia" w:cs="宋体"/>
          <w:color w:val="auto"/>
        </w:rPr>
      </w:pPr>
      <w:r>
        <w:rPr>
          <w:rFonts w:hint="eastAsia" w:cs="宋体"/>
          <w:color w:val="auto"/>
        </w:rPr>
        <w:t>（3）商务部分：见评标方法前附表。</w:t>
      </w:r>
    </w:p>
    <w:p w14:paraId="18782CC5">
      <w:pPr>
        <w:tabs>
          <w:tab w:val="left" w:pos="2472"/>
        </w:tabs>
        <w:rPr>
          <w:rFonts w:hint="eastAsia" w:cs="宋体"/>
          <w:color w:val="auto"/>
        </w:rPr>
      </w:pPr>
      <w:r>
        <w:rPr>
          <w:rFonts w:hint="eastAsia" w:cs="宋体"/>
          <w:color w:val="auto"/>
        </w:rPr>
        <w:t>2.2 评标基准价计算方法：见评标方法前附表。</w:t>
      </w:r>
    </w:p>
    <w:p w14:paraId="555A326B">
      <w:pPr>
        <w:tabs>
          <w:tab w:val="left" w:pos="2472"/>
        </w:tabs>
        <w:rPr>
          <w:rFonts w:hint="eastAsia" w:cs="宋体"/>
          <w:color w:val="auto"/>
        </w:rPr>
      </w:pPr>
      <w:r>
        <w:rPr>
          <w:rFonts w:hint="eastAsia" w:cs="宋体"/>
          <w:color w:val="auto"/>
        </w:rPr>
        <w:t>2.3 评分标准</w:t>
      </w:r>
    </w:p>
    <w:p w14:paraId="004D1D33">
      <w:pPr>
        <w:tabs>
          <w:tab w:val="left" w:pos="2472"/>
        </w:tabs>
        <w:rPr>
          <w:rFonts w:hint="eastAsia" w:cs="宋体"/>
          <w:color w:val="auto"/>
        </w:rPr>
      </w:pPr>
      <w:r>
        <w:rPr>
          <w:rFonts w:hint="eastAsia" w:cs="宋体"/>
          <w:color w:val="auto"/>
        </w:rPr>
        <w:t>按招标文件中规定的评标方法和标准，对资格评审和符合性评审合格的投标文件进行商务和技术评估，综合比较与评价。</w:t>
      </w:r>
    </w:p>
    <w:p w14:paraId="2965D757">
      <w:pPr>
        <w:tabs>
          <w:tab w:val="left" w:pos="2472"/>
        </w:tabs>
        <w:rPr>
          <w:rFonts w:hint="eastAsia" w:cs="宋体"/>
          <w:color w:val="auto"/>
        </w:rPr>
      </w:pPr>
      <w:r>
        <w:rPr>
          <w:rFonts w:hint="eastAsia" w:cs="宋体"/>
          <w:color w:val="auto"/>
        </w:rPr>
        <w:t>（1）投标报价评分标准：见评标方法前附表；</w:t>
      </w:r>
    </w:p>
    <w:p w14:paraId="4302E5B8">
      <w:pPr>
        <w:tabs>
          <w:tab w:val="left" w:pos="2472"/>
        </w:tabs>
        <w:rPr>
          <w:rFonts w:hint="eastAsia" w:cs="宋体"/>
          <w:color w:val="auto"/>
        </w:rPr>
      </w:pPr>
      <w:r>
        <w:rPr>
          <w:rFonts w:hint="eastAsia" w:cs="宋体"/>
          <w:color w:val="auto"/>
        </w:rPr>
        <w:t>（2）技术部分评分标准：见评标方法前附表；</w:t>
      </w:r>
    </w:p>
    <w:p w14:paraId="6133A626">
      <w:pPr>
        <w:tabs>
          <w:tab w:val="left" w:pos="2472"/>
        </w:tabs>
        <w:rPr>
          <w:rFonts w:hint="eastAsia" w:cs="宋体"/>
          <w:color w:val="auto"/>
        </w:rPr>
      </w:pPr>
      <w:r>
        <w:rPr>
          <w:rFonts w:hint="eastAsia" w:cs="宋体"/>
          <w:color w:val="auto"/>
        </w:rPr>
        <w:t>（3）商务部分评分标准：见评标方法前附表。</w:t>
      </w:r>
    </w:p>
    <w:p w14:paraId="1579E5A3">
      <w:pPr>
        <w:keepNext/>
        <w:tabs>
          <w:tab w:val="left" w:pos="1021"/>
        </w:tabs>
        <w:adjustRightInd w:val="0"/>
        <w:ind w:firstLine="0" w:firstLineChars="0"/>
        <w:textAlignment w:val="baseline"/>
        <w:outlineLvl w:val="2"/>
        <w:rPr>
          <w:rFonts w:hint="eastAsia" w:cs="宋体"/>
          <w:b/>
          <w:color w:val="auto"/>
          <w:kern w:val="0"/>
          <w:sz w:val="28"/>
          <w:szCs w:val="28"/>
        </w:rPr>
      </w:pPr>
      <w:bookmarkStart w:id="904" w:name="_Toc13713"/>
      <w:bookmarkStart w:id="905" w:name="_Toc314817937"/>
      <w:bookmarkStart w:id="906" w:name="_Toc27056"/>
      <w:bookmarkStart w:id="907" w:name="_Toc326218115"/>
      <w:bookmarkStart w:id="908" w:name="_Toc26783941"/>
      <w:r>
        <w:rPr>
          <w:rFonts w:hint="eastAsia" w:cs="宋体"/>
          <w:b/>
          <w:color w:val="auto"/>
          <w:kern w:val="0"/>
          <w:sz w:val="28"/>
          <w:szCs w:val="28"/>
        </w:rPr>
        <w:t>三、评标程序</w:t>
      </w:r>
      <w:bookmarkEnd w:id="904"/>
      <w:bookmarkEnd w:id="905"/>
      <w:bookmarkEnd w:id="906"/>
      <w:bookmarkEnd w:id="907"/>
      <w:bookmarkEnd w:id="908"/>
    </w:p>
    <w:p w14:paraId="006B4BED">
      <w:pPr>
        <w:tabs>
          <w:tab w:val="left" w:pos="900"/>
          <w:tab w:val="left" w:pos="1588"/>
        </w:tabs>
        <w:adjustRightInd w:val="0"/>
        <w:ind w:firstLine="0" w:firstLineChars="0"/>
        <w:textAlignment w:val="baseline"/>
        <w:outlineLvl w:val="3"/>
        <w:rPr>
          <w:rFonts w:hint="eastAsia" w:cs="宋体"/>
          <w:b/>
          <w:color w:val="auto"/>
          <w:kern w:val="0"/>
          <w:sz w:val="24"/>
          <w:szCs w:val="24"/>
        </w:rPr>
      </w:pPr>
      <w:bookmarkStart w:id="909" w:name="_Toc314817938"/>
      <w:bookmarkStart w:id="910" w:name="_Toc326218116"/>
      <w:bookmarkStart w:id="911" w:name="_Toc26783942"/>
      <w:r>
        <w:rPr>
          <w:rFonts w:hint="eastAsia" w:cs="宋体"/>
          <w:b/>
          <w:color w:val="auto"/>
          <w:kern w:val="0"/>
          <w:sz w:val="24"/>
          <w:szCs w:val="24"/>
        </w:rPr>
        <w:t>1.符合性评审</w:t>
      </w:r>
      <w:bookmarkEnd w:id="909"/>
      <w:bookmarkEnd w:id="910"/>
      <w:bookmarkEnd w:id="911"/>
    </w:p>
    <w:p w14:paraId="2F4C6EEF">
      <w:pPr>
        <w:tabs>
          <w:tab w:val="left" w:pos="2472"/>
        </w:tabs>
        <w:rPr>
          <w:rFonts w:hint="eastAsia" w:cs="宋体"/>
          <w:color w:val="auto"/>
        </w:rPr>
      </w:pPr>
      <w:r>
        <w:rPr>
          <w:rFonts w:hint="eastAsia" w:cs="宋体"/>
          <w:color w:val="auto"/>
        </w:rPr>
        <w:t>1.1评标委员会依据本章“二、评审标准”第1项规定的标准对投标文件进行符合性评审。有一项不符合评审标准的，作无效投标处理。</w:t>
      </w:r>
    </w:p>
    <w:p w14:paraId="22488445">
      <w:pPr>
        <w:tabs>
          <w:tab w:val="left" w:pos="2472"/>
        </w:tabs>
        <w:rPr>
          <w:rFonts w:hint="eastAsia" w:cs="宋体"/>
          <w:color w:val="auto"/>
        </w:rPr>
      </w:pPr>
      <w:r>
        <w:rPr>
          <w:rFonts w:hint="eastAsia" w:cs="宋体"/>
          <w:color w:val="auto"/>
        </w:rPr>
        <w:t>1.2 投标人有以下情形之一的，其投标作无效投标处理：</w:t>
      </w:r>
    </w:p>
    <w:p w14:paraId="530707F2">
      <w:pPr>
        <w:tabs>
          <w:tab w:val="left" w:pos="2472"/>
        </w:tabs>
        <w:rPr>
          <w:rFonts w:hint="eastAsia" w:cs="宋体"/>
          <w:color w:val="auto"/>
        </w:rPr>
      </w:pPr>
      <w:r>
        <w:rPr>
          <w:rFonts w:hint="eastAsia" w:cs="宋体"/>
          <w:color w:val="auto"/>
        </w:rPr>
        <w:t>（1）串通投标或弄虚作假或有其他违法行为的；</w:t>
      </w:r>
    </w:p>
    <w:p w14:paraId="4FC8ABF0">
      <w:pPr>
        <w:tabs>
          <w:tab w:val="left" w:pos="2472"/>
        </w:tabs>
        <w:rPr>
          <w:rFonts w:hint="eastAsia" w:cs="宋体"/>
          <w:color w:val="auto"/>
        </w:rPr>
      </w:pPr>
      <w:r>
        <w:rPr>
          <w:rFonts w:hint="eastAsia" w:cs="宋体"/>
          <w:color w:val="auto"/>
        </w:rPr>
        <w:t>（2）不按评标委员会要求澄清、说明或补正的。</w:t>
      </w:r>
    </w:p>
    <w:p w14:paraId="6078F040">
      <w:pPr>
        <w:tabs>
          <w:tab w:val="left" w:pos="2472"/>
        </w:tabs>
        <w:rPr>
          <w:rFonts w:hint="eastAsia" w:cs="宋体"/>
          <w:color w:val="auto"/>
        </w:rPr>
      </w:pPr>
      <w:r>
        <w:rPr>
          <w:rFonts w:hint="eastAsia" w:cs="宋体"/>
          <w:color w:val="auto"/>
        </w:rPr>
        <w:t>（3）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应当将其作为无效投标处理。</w:t>
      </w:r>
    </w:p>
    <w:p w14:paraId="1AA5ADD4">
      <w:pPr>
        <w:tabs>
          <w:tab w:val="left" w:pos="2472"/>
        </w:tabs>
        <w:rPr>
          <w:rFonts w:hint="eastAsia" w:cs="宋体"/>
          <w:color w:val="auto"/>
        </w:rPr>
      </w:pPr>
      <w:r>
        <w:rPr>
          <w:rFonts w:hint="eastAsia" w:cs="宋体"/>
          <w:color w:val="auto"/>
        </w:rPr>
        <w:t>1.3 投标文件如果出现计算或表达上的错误，修正错误的原则如下：</w:t>
      </w:r>
    </w:p>
    <w:p w14:paraId="610A6B0A">
      <w:pPr>
        <w:tabs>
          <w:tab w:val="left" w:pos="2472"/>
        </w:tabs>
        <w:rPr>
          <w:rFonts w:hint="eastAsia" w:cs="宋体"/>
          <w:color w:val="auto"/>
        </w:rPr>
      </w:pPr>
      <w:r>
        <w:rPr>
          <w:rFonts w:hint="eastAsia" w:cs="宋体"/>
          <w:color w:val="auto"/>
        </w:rPr>
        <w:t>（一）投标文件中开标一览表（报价表）内容与投标文件中相应内容不一致的，以开标一览表（报价表）为准；</w:t>
      </w:r>
    </w:p>
    <w:p w14:paraId="67B95458">
      <w:pPr>
        <w:tabs>
          <w:tab w:val="left" w:pos="2472"/>
        </w:tabs>
        <w:rPr>
          <w:rFonts w:hint="eastAsia" w:cs="宋体"/>
          <w:color w:val="auto"/>
        </w:rPr>
      </w:pPr>
      <w:r>
        <w:rPr>
          <w:rFonts w:hint="eastAsia" w:cs="宋体"/>
          <w:color w:val="auto"/>
        </w:rPr>
        <w:t>（二）大写金额和小写金额不一致的，以大写金额为准；</w:t>
      </w:r>
    </w:p>
    <w:p w14:paraId="4BE59B85">
      <w:pPr>
        <w:tabs>
          <w:tab w:val="left" w:pos="2472"/>
        </w:tabs>
        <w:rPr>
          <w:rFonts w:hint="eastAsia" w:cs="宋体"/>
          <w:color w:val="auto"/>
        </w:rPr>
      </w:pPr>
      <w:r>
        <w:rPr>
          <w:rFonts w:hint="eastAsia" w:cs="宋体"/>
          <w:color w:val="auto"/>
        </w:rPr>
        <w:t>（三）单价金额小数点或者百分比有明显错位的，以开标一览表的总价为准，并修改单价；</w:t>
      </w:r>
    </w:p>
    <w:p w14:paraId="428C1834">
      <w:pPr>
        <w:tabs>
          <w:tab w:val="left" w:pos="2472"/>
        </w:tabs>
        <w:rPr>
          <w:rFonts w:hint="eastAsia" w:cs="宋体"/>
          <w:color w:val="auto"/>
        </w:rPr>
      </w:pPr>
      <w:r>
        <w:rPr>
          <w:rFonts w:hint="eastAsia" w:cs="宋体"/>
          <w:color w:val="auto"/>
        </w:rPr>
        <w:t>（四）总价金额与按单价汇总金额不一致的，以单价金额计算结果为准。</w:t>
      </w:r>
    </w:p>
    <w:p w14:paraId="13896965">
      <w:pPr>
        <w:tabs>
          <w:tab w:val="left" w:pos="2472"/>
        </w:tabs>
        <w:rPr>
          <w:rFonts w:hint="eastAsia" w:cs="宋体"/>
          <w:color w:val="auto"/>
        </w:rPr>
      </w:pPr>
      <w:r>
        <w:rPr>
          <w:rFonts w:hint="eastAsia" w:cs="宋体"/>
          <w:color w:val="auto"/>
        </w:rPr>
        <w:t>同时出现两种以上不一致的，按照前款规定的顺序修正。修正后的报价经投标人确认后产生约束力，投标人不确认的，其投标无效。</w:t>
      </w:r>
    </w:p>
    <w:p w14:paraId="199D0DC1">
      <w:pPr>
        <w:tabs>
          <w:tab w:val="left" w:pos="900"/>
          <w:tab w:val="left" w:pos="1588"/>
        </w:tabs>
        <w:adjustRightInd w:val="0"/>
        <w:ind w:firstLine="0" w:firstLineChars="0"/>
        <w:textAlignment w:val="baseline"/>
        <w:outlineLvl w:val="3"/>
        <w:rPr>
          <w:rFonts w:hint="eastAsia" w:cs="宋体"/>
          <w:b/>
          <w:color w:val="auto"/>
          <w:kern w:val="0"/>
          <w:sz w:val="24"/>
          <w:szCs w:val="24"/>
        </w:rPr>
      </w:pPr>
      <w:bookmarkStart w:id="912" w:name="_Toc326218117"/>
      <w:bookmarkStart w:id="913" w:name="_Toc314817939"/>
      <w:bookmarkStart w:id="914" w:name="_Toc26783943"/>
      <w:r>
        <w:rPr>
          <w:rFonts w:hint="eastAsia" w:cs="宋体"/>
          <w:b/>
          <w:color w:val="auto"/>
          <w:kern w:val="0"/>
          <w:sz w:val="24"/>
          <w:szCs w:val="24"/>
        </w:rPr>
        <w:t>2. 详细评审</w:t>
      </w:r>
      <w:bookmarkEnd w:id="912"/>
      <w:bookmarkEnd w:id="913"/>
      <w:bookmarkEnd w:id="914"/>
    </w:p>
    <w:p w14:paraId="39255239">
      <w:pPr>
        <w:tabs>
          <w:tab w:val="left" w:pos="2472"/>
        </w:tabs>
        <w:rPr>
          <w:rFonts w:hint="eastAsia" w:cs="宋体"/>
          <w:color w:val="auto"/>
        </w:rPr>
      </w:pPr>
      <w:r>
        <w:rPr>
          <w:rFonts w:hint="eastAsia" w:cs="宋体"/>
          <w:color w:val="auto"/>
        </w:rPr>
        <w:t>2.1 评标委员会按本章</w:t>
      </w:r>
      <w:bookmarkStart w:id="915" w:name="_Hlk478979552"/>
      <w:r>
        <w:rPr>
          <w:rFonts w:hint="eastAsia" w:cs="宋体"/>
          <w:color w:val="auto"/>
        </w:rPr>
        <w:t>“二、评审标准”第2.3款</w:t>
      </w:r>
      <w:bookmarkEnd w:id="915"/>
      <w:r>
        <w:rPr>
          <w:rFonts w:hint="eastAsia" w:cs="宋体"/>
          <w:color w:val="auto"/>
        </w:rPr>
        <w:t>规定的量化因素和分值进行打分，并计算出投标人的评标总得分。</w:t>
      </w:r>
    </w:p>
    <w:p w14:paraId="67D01585">
      <w:pPr>
        <w:tabs>
          <w:tab w:val="left" w:pos="2472"/>
        </w:tabs>
        <w:rPr>
          <w:rFonts w:hint="eastAsia" w:cs="宋体"/>
          <w:color w:val="auto"/>
        </w:rPr>
      </w:pPr>
      <w:r>
        <w:rPr>
          <w:rFonts w:hint="eastAsia" w:cs="宋体"/>
          <w:color w:val="auto"/>
        </w:rPr>
        <w:t>（1）按本章第2.3（1）目规定的评审因素和分值对投标报价计算出得分F1；</w:t>
      </w:r>
    </w:p>
    <w:p w14:paraId="34D66DBA">
      <w:pPr>
        <w:tabs>
          <w:tab w:val="left" w:pos="2472"/>
        </w:tabs>
        <w:rPr>
          <w:rFonts w:hint="eastAsia" w:cs="宋体"/>
          <w:color w:val="auto"/>
        </w:rPr>
      </w:pPr>
      <w:r>
        <w:rPr>
          <w:rFonts w:hint="eastAsia" w:cs="宋体"/>
          <w:color w:val="auto"/>
        </w:rPr>
        <w:t>（2）按本章第2.3（2）目规定的评审因素和分值对技术部分计算出得分F2；</w:t>
      </w:r>
    </w:p>
    <w:p w14:paraId="213C4D51">
      <w:pPr>
        <w:tabs>
          <w:tab w:val="left" w:pos="2472"/>
        </w:tabs>
        <w:rPr>
          <w:rFonts w:hint="eastAsia" w:cs="宋体"/>
          <w:color w:val="auto"/>
        </w:rPr>
      </w:pPr>
      <w:r>
        <w:rPr>
          <w:rFonts w:hint="eastAsia" w:cs="宋体"/>
          <w:color w:val="auto"/>
        </w:rPr>
        <w:t>（3）按本章第2.3（3）目规定的评审因素和分值对商务部分计算出得分F3；</w:t>
      </w:r>
    </w:p>
    <w:p w14:paraId="216EE09D">
      <w:pPr>
        <w:tabs>
          <w:tab w:val="left" w:pos="2472"/>
        </w:tabs>
        <w:ind w:left="1080" w:hanging="600" w:firstLineChars="0"/>
        <w:rPr>
          <w:rFonts w:hint="eastAsia" w:cs="宋体"/>
          <w:color w:val="auto"/>
        </w:rPr>
      </w:pPr>
      <w:r>
        <w:rPr>
          <w:rFonts w:hint="eastAsia" w:cs="宋体"/>
          <w:color w:val="auto"/>
        </w:rPr>
        <w:t>（4）汇总F1、F2、F3得分即为评标总得分。</w:t>
      </w:r>
    </w:p>
    <w:p w14:paraId="35ABA5C0">
      <w:pPr>
        <w:rPr>
          <w:rFonts w:hint="eastAsia" w:cs="宋体"/>
          <w:color w:val="auto"/>
        </w:rPr>
      </w:pPr>
      <w:r>
        <w:rPr>
          <w:rFonts w:hint="eastAsia" w:cs="宋体"/>
          <w:color w:val="auto"/>
        </w:rPr>
        <w:t>2.2技术部分（F2）和商务部分（F3）得分由评标委员会成员独立评分，计算各投标人得分的算术平均值计入各投标人总分。评分分值计算保留小数点后两位，小数点后第三位“四舍五入”。</w:t>
      </w:r>
    </w:p>
    <w:p w14:paraId="150291DE">
      <w:pPr>
        <w:rPr>
          <w:rFonts w:hint="eastAsia" w:cs="宋体"/>
          <w:color w:val="auto"/>
        </w:rPr>
      </w:pPr>
      <w:r>
        <w:rPr>
          <w:rFonts w:hint="eastAsia" w:cs="宋体"/>
          <w:color w:val="auto"/>
        </w:rPr>
        <w:t>2.3评标委员会成员要依法独立评审，并对评审意见承担个人责任。评标委员会成员对需要共同认定的事项存在争议的，应当按照少数服从多数的原则作出结论。持不同意见的评标委员会成员应当在评标报告上签署不同意见及理由，否则视为同意评标报告。</w:t>
      </w:r>
    </w:p>
    <w:p w14:paraId="1EA2A055">
      <w:pPr>
        <w:rPr>
          <w:rFonts w:hint="eastAsia" w:cs="宋体"/>
          <w:color w:val="auto"/>
        </w:rPr>
      </w:pPr>
      <w:r>
        <w:rPr>
          <w:rFonts w:hint="eastAsia" w:cs="宋体"/>
          <w:color w:val="auto"/>
        </w:rPr>
        <w:t>2.4评标中若遇特殊问题，由评标委员会根据有关法律、法规研究决定。</w:t>
      </w:r>
    </w:p>
    <w:p w14:paraId="5FED9692">
      <w:pPr>
        <w:tabs>
          <w:tab w:val="left" w:pos="900"/>
          <w:tab w:val="left" w:pos="1588"/>
        </w:tabs>
        <w:adjustRightInd w:val="0"/>
        <w:ind w:firstLine="0" w:firstLineChars="0"/>
        <w:textAlignment w:val="baseline"/>
        <w:outlineLvl w:val="3"/>
        <w:rPr>
          <w:rFonts w:hint="eastAsia" w:cs="宋体"/>
          <w:b/>
          <w:color w:val="auto"/>
          <w:kern w:val="0"/>
          <w:sz w:val="24"/>
          <w:szCs w:val="24"/>
        </w:rPr>
      </w:pPr>
      <w:bookmarkStart w:id="916" w:name="_Toc26783944"/>
      <w:bookmarkStart w:id="917" w:name="_Toc326218118"/>
      <w:bookmarkStart w:id="918" w:name="_Toc314817940"/>
      <w:r>
        <w:rPr>
          <w:rFonts w:hint="eastAsia" w:cs="宋体"/>
          <w:b/>
          <w:color w:val="auto"/>
          <w:kern w:val="0"/>
          <w:sz w:val="24"/>
          <w:szCs w:val="24"/>
        </w:rPr>
        <w:t>3. 投标文件的澄清和补正原则</w:t>
      </w:r>
      <w:bookmarkEnd w:id="916"/>
      <w:bookmarkEnd w:id="917"/>
      <w:bookmarkEnd w:id="918"/>
    </w:p>
    <w:p w14:paraId="38B659FF">
      <w:pPr>
        <w:rPr>
          <w:rFonts w:hint="eastAsia" w:cs="宋体"/>
          <w:color w:val="auto"/>
        </w:rPr>
      </w:pPr>
      <w:r>
        <w:rPr>
          <w:rFonts w:hint="eastAsia" w:cs="宋体"/>
          <w:color w:val="auto"/>
        </w:rPr>
        <w:t>3.1 在评标过程中，评标委员会可以书面形式（应当由评标委员会专家签字）要求投标人对所提交的投标文件中含义不明确、同类问题表述不一致或者有明显文字和计算错误的内容，进行书面澄清或说明，或者对细微偏差进行补正。评标委员会不接受投标人主动提出的澄清、说明或补正。</w:t>
      </w:r>
    </w:p>
    <w:p w14:paraId="46A7683F">
      <w:pPr>
        <w:rPr>
          <w:rFonts w:hint="eastAsia" w:cs="宋体"/>
          <w:color w:val="auto"/>
        </w:rPr>
      </w:pPr>
      <w:r>
        <w:rPr>
          <w:rFonts w:hint="eastAsia" w:cs="宋体"/>
          <w:color w:val="auto"/>
        </w:rPr>
        <w:t>3.2 投标人的澄清、说明或者补正应当采用书面形式，并加盖公章，或者由法定代表人或其授权的代表签字，并不得改变投标文件的实质性内容（算术性错误修正的除外）。投标人的书面澄清、说明和补正属于投标文件的组成部分。</w:t>
      </w:r>
    </w:p>
    <w:p w14:paraId="1F572636">
      <w:pPr>
        <w:rPr>
          <w:rFonts w:hint="eastAsia" w:cs="宋体"/>
          <w:color w:val="auto"/>
        </w:rPr>
      </w:pPr>
      <w:r>
        <w:rPr>
          <w:rFonts w:hint="eastAsia" w:cs="宋体"/>
          <w:color w:val="auto"/>
        </w:rPr>
        <w:t>3.3 评标委员会对投标人提交的澄清、说明或补正有疑问的，可以要求投标人进一步澄清、说明或补正，直至满足评标委员会的要求。</w:t>
      </w:r>
    </w:p>
    <w:p w14:paraId="6D61999D">
      <w:pPr>
        <w:tabs>
          <w:tab w:val="left" w:pos="900"/>
          <w:tab w:val="left" w:pos="1588"/>
        </w:tabs>
        <w:adjustRightInd w:val="0"/>
        <w:ind w:firstLine="0" w:firstLineChars="0"/>
        <w:textAlignment w:val="baseline"/>
        <w:outlineLvl w:val="3"/>
        <w:rPr>
          <w:rFonts w:hint="eastAsia" w:cs="宋体"/>
          <w:b/>
          <w:color w:val="auto"/>
          <w:kern w:val="0"/>
          <w:sz w:val="24"/>
          <w:szCs w:val="24"/>
        </w:rPr>
      </w:pPr>
      <w:bookmarkStart w:id="919" w:name="_Toc326218119"/>
      <w:bookmarkStart w:id="920" w:name="_Toc26783945"/>
      <w:bookmarkStart w:id="921" w:name="_Toc314817941"/>
      <w:r>
        <w:rPr>
          <w:rFonts w:hint="eastAsia" w:cs="宋体"/>
          <w:b/>
          <w:color w:val="auto"/>
          <w:kern w:val="0"/>
          <w:sz w:val="24"/>
          <w:szCs w:val="24"/>
        </w:rPr>
        <w:t>4. 评标结果</w:t>
      </w:r>
      <w:bookmarkEnd w:id="919"/>
      <w:bookmarkEnd w:id="920"/>
      <w:bookmarkEnd w:id="921"/>
    </w:p>
    <w:p w14:paraId="544F1E7C">
      <w:pPr>
        <w:rPr>
          <w:rFonts w:hint="eastAsia" w:cs="宋体"/>
          <w:color w:val="auto"/>
        </w:rPr>
      </w:pPr>
      <w:r>
        <w:rPr>
          <w:rFonts w:hint="eastAsia" w:cs="宋体"/>
          <w:color w:val="auto"/>
        </w:rPr>
        <w:t>4.1 评标委员会按得分由高到低顺序排列。得分相同的，按投标报价由低到高顺序排列。得分且投标报价相同的并列。投标文件满足招标文件全部实质性要求，且按照评审因素的量化指标评审得分最高的投标人为排名第一的中标候选人，并提出评标报告。</w:t>
      </w:r>
    </w:p>
    <w:p w14:paraId="7A515E06">
      <w:pPr>
        <w:rPr>
          <w:rFonts w:hint="eastAsia" w:cs="宋体"/>
          <w:color w:val="auto"/>
        </w:rPr>
      </w:pPr>
      <w:r>
        <w:rPr>
          <w:rFonts w:hint="eastAsia" w:cs="宋体"/>
          <w:color w:val="auto"/>
        </w:rPr>
        <w:t>4.2 采购人根据评标委员会提出的书面评标报告和推荐的中标候选人名单，确定中标人，</w:t>
      </w:r>
    </w:p>
    <w:p w14:paraId="1E910A5C">
      <w:pPr>
        <w:rPr>
          <w:rFonts w:hint="eastAsia" w:cs="宋体"/>
          <w:color w:val="auto"/>
        </w:rPr>
      </w:pPr>
      <w:r>
        <w:rPr>
          <w:rFonts w:hint="eastAsia" w:cs="宋体"/>
          <w:color w:val="auto"/>
        </w:rPr>
        <w:t>4.3 中标候选人并列的，由采购人按技术部分得分高低顺序确定中标人，依然无法确定的由采购人采取随机抽取的方式确定。</w:t>
      </w:r>
    </w:p>
    <w:p w14:paraId="3D4740C4">
      <w:pPr>
        <w:rPr>
          <w:rFonts w:hint="eastAsia" w:cs="宋体"/>
          <w:color w:val="auto"/>
        </w:rPr>
      </w:pPr>
      <w:r>
        <w:rPr>
          <w:rFonts w:hint="eastAsia" w:cs="宋体"/>
          <w:color w:val="auto"/>
        </w:rPr>
        <w:t>4.4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718C74C5">
      <w:pPr>
        <w:keepNext/>
        <w:tabs>
          <w:tab w:val="left" w:pos="1021"/>
        </w:tabs>
        <w:adjustRightInd w:val="0"/>
        <w:ind w:firstLine="0" w:firstLineChars="0"/>
        <w:textAlignment w:val="baseline"/>
        <w:outlineLvl w:val="2"/>
        <w:rPr>
          <w:rFonts w:hint="eastAsia" w:cs="宋体"/>
          <w:b/>
          <w:color w:val="auto"/>
          <w:kern w:val="0"/>
          <w:sz w:val="28"/>
          <w:szCs w:val="28"/>
        </w:rPr>
      </w:pPr>
      <w:bookmarkStart w:id="922" w:name="_Toc4483"/>
      <w:bookmarkStart w:id="923" w:name="_Toc14314"/>
      <w:bookmarkStart w:id="924" w:name="_Toc26783946"/>
      <w:r>
        <w:rPr>
          <w:rFonts w:hint="eastAsia" w:cs="宋体"/>
          <w:b/>
          <w:color w:val="auto"/>
          <w:kern w:val="0"/>
          <w:sz w:val="28"/>
          <w:szCs w:val="28"/>
        </w:rPr>
        <w:t>四、其它</w:t>
      </w:r>
      <w:bookmarkEnd w:id="922"/>
      <w:bookmarkEnd w:id="923"/>
      <w:bookmarkEnd w:id="924"/>
    </w:p>
    <w:p w14:paraId="3468940A">
      <w:pPr>
        <w:spacing w:before="156"/>
        <w:ind w:firstLine="422"/>
        <w:rPr>
          <w:rFonts w:hint="eastAsia" w:cs="宋体"/>
          <w:b/>
          <w:bCs/>
          <w:color w:val="auto"/>
        </w:rPr>
      </w:pPr>
      <w:bookmarkStart w:id="925" w:name="_Toc117503149"/>
      <w:bookmarkStart w:id="926" w:name="_Toc26783947"/>
      <w:r>
        <w:rPr>
          <w:rFonts w:hint="eastAsia" w:cs="宋体"/>
          <w:b/>
          <w:bCs/>
          <w:color w:val="auto"/>
        </w:rPr>
        <w:t>1. 关于中小企业</w:t>
      </w:r>
      <w:bookmarkEnd w:id="925"/>
      <w:bookmarkEnd w:id="926"/>
    </w:p>
    <w:p w14:paraId="2B0421D2">
      <w:pPr>
        <w:rPr>
          <w:rFonts w:hint="eastAsia" w:cs="宋体"/>
          <w:color w:val="auto"/>
        </w:rPr>
      </w:pPr>
      <w:r>
        <w:rPr>
          <w:rFonts w:hint="eastAsia" w:cs="宋体"/>
          <w:color w:val="auto"/>
        </w:rPr>
        <w:t>1.1根据《关于印发&lt;政府采购促进中小企业发展管理办法&gt;的通知》（财库〔2020〕46号）的规定，中小企业（含中型、小型、微型企业，下同）应当同时符合以下条件：</w:t>
      </w:r>
    </w:p>
    <w:p w14:paraId="58923520">
      <w:pPr>
        <w:rPr>
          <w:rFonts w:hint="eastAsia" w:cs="宋体"/>
          <w:color w:val="auto"/>
        </w:rPr>
      </w:pPr>
      <w:r>
        <w:rPr>
          <w:rFonts w:hint="eastAsia" w:cs="宋体"/>
          <w:color w:val="auto"/>
        </w:rPr>
        <w:t>（1）在中华人民共和国境内依法设立，依据国务院批准的中小企业划分标准确定的中型企业、小型企业和微型企业，但与大企业的负责人为同一人，或者与大企业存在直接控股、管理关系的除外；</w:t>
      </w:r>
    </w:p>
    <w:p w14:paraId="7C0D0388">
      <w:pPr>
        <w:rPr>
          <w:rFonts w:hint="eastAsia" w:cs="宋体"/>
          <w:color w:val="auto"/>
        </w:rPr>
      </w:pPr>
      <w:r>
        <w:rPr>
          <w:rFonts w:hint="eastAsia" w:cs="宋体"/>
          <w:color w:val="auto"/>
        </w:rPr>
        <w:t>（2）符合中小企业划分标准的个体工商户，在政府采购活动中视同中小企业。</w:t>
      </w:r>
    </w:p>
    <w:p w14:paraId="1A4D82BA">
      <w:pPr>
        <w:rPr>
          <w:rFonts w:hint="eastAsia" w:cs="宋体"/>
          <w:color w:val="auto"/>
        </w:rPr>
      </w:pPr>
      <w:r>
        <w:rPr>
          <w:rFonts w:hint="eastAsia" w:cs="宋体"/>
          <w:color w:val="auto"/>
        </w:rPr>
        <w:t>1.2本规定所称中小企业划分标准，是指国务院有关部门根据企业从业人员、营业收入、资产总额等指标制定的中小企业划型标准，详见《关于印发中小企业划型标准规定的通知》（工信部联企业〔2011〕300号）。</w:t>
      </w:r>
    </w:p>
    <w:p w14:paraId="2A9CD909">
      <w:pPr>
        <w:rPr>
          <w:rFonts w:hint="eastAsia" w:cs="宋体"/>
          <w:color w:val="auto"/>
        </w:rPr>
      </w:pPr>
      <w:r>
        <w:rPr>
          <w:rFonts w:hint="eastAsia" w:cs="宋体"/>
          <w:color w:val="auto"/>
        </w:rPr>
        <w:t>1.3在政府采购活动中，投标人提供的货物、工程或者服务符合下列情形的，享受本办法规定的中小企业扶持政策：</w:t>
      </w:r>
    </w:p>
    <w:p w14:paraId="5E3F0256">
      <w:pPr>
        <w:rPr>
          <w:rFonts w:hint="eastAsia" w:cs="宋体"/>
          <w:color w:val="auto"/>
        </w:rPr>
      </w:pPr>
      <w:r>
        <w:rPr>
          <w:rFonts w:hint="eastAsia" w:cs="宋体"/>
          <w:color w:val="auto"/>
        </w:rPr>
        <w:t>（1）在货物采购项目中，货物由中小企业制造，即货物由中小企业生产且使用该中小企业商号或者注册商标；</w:t>
      </w:r>
    </w:p>
    <w:p w14:paraId="324995CE">
      <w:pPr>
        <w:rPr>
          <w:rFonts w:hint="eastAsia" w:cs="宋体"/>
          <w:color w:val="auto"/>
        </w:rPr>
      </w:pPr>
      <w:r>
        <w:rPr>
          <w:rFonts w:hint="eastAsia" w:cs="宋体"/>
          <w:color w:val="auto"/>
        </w:rPr>
        <w:t>（2）在工程采购项目中，工程由中小企业承建，即工程施工单位为中小企业；</w:t>
      </w:r>
    </w:p>
    <w:p w14:paraId="4C04BD47">
      <w:pPr>
        <w:rPr>
          <w:rFonts w:hint="eastAsia" w:cs="宋体"/>
          <w:color w:val="auto"/>
        </w:rPr>
      </w:pPr>
      <w:r>
        <w:rPr>
          <w:rFonts w:hint="eastAsia" w:cs="宋体"/>
          <w:color w:val="auto"/>
        </w:rPr>
        <w:t>（3）在服务采购项目中，服务由中小企业承接，即提供服务的人员为中小企业依照《中华人民共和国劳动合同法》订立劳动合同的从业人员。</w:t>
      </w:r>
    </w:p>
    <w:p w14:paraId="6CDE2488">
      <w:pPr>
        <w:rPr>
          <w:rFonts w:hint="eastAsia" w:cs="宋体"/>
          <w:color w:val="auto"/>
        </w:rPr>
      </w:pPr>
      <w:r>
        <w:rPr>
          <w:rFonts w:hint="eastAsia" w:cs="宋体"/>
          <w:color w:val="auto"/>
        </w:rPr>
        <w:t>1.4在货物采购项目中，投标人提供的货物既有中小企业制造货物，也有大型企业制造货物的，不享受《关于印发&lt;政府采购促进中小企业发展管理办法&gt;的通知》（财库〔2020〕46号）中规定的中小企业扶持政策。</w:t>
      </w:r>
    </w:p>
    <w:p w14:paraId="212C6A26">
      <w:pPr>
        <w:rPr>
          <w:rFonts w:hint="eastAsia" w:cs="宋体"/>
          <w:color w:val="auto"/>
        </w:rPr>
      </w:pPr>
      <w:r>
        <w:rPr>
          <w:rFonts w:hint="eastAsia" w:cs="宋体"/>
          <w:color w:val="auto"/>
        </w:rPr>
        <w:t>1.5以联合体形式参加政府采购活动，联合体各方均为中小企业的，联合体视同中小企业。其中，联合体各方均为小微企业的，联合体视同小微企业。</w:t>
      </w:r>
    </w:p>
    <w:p w14:paraId="3FF0E748">
      <w:pPr>
        <w:rPr>
          <w:rFonts w:hint="eastAsia" w:cs="宋体"/>
          <w:color w:val="auto"/>
        </w:rPr>
      </w:pPr>
      <w:r>
        <w:rPr>
          <w:rFonts w:hint="eastAsia" w:cs="宋体"/>
          <w:color w:val="auto"/>
        </w:rPr>
        <w:t>1.6中小企业参加政府采购活动，应当出具《关于印发&lt;政府采购促进中小企业发展管理办法&gt;的通知》（财库〔2020〕46号）规定的《中小企业声明函》，否则不得享受相关中小企业扶持政策。</w:t>
      </w:r>
    </w:p>
    <w:p w14:paraId="17E586D5">
      <w:pPr>
        <w:rPr>
          <w:rFonts w:hint="eastAsia" w:cs="宋体"/>
          <w:color w:val="auto"/>
        </w:rPr>
      </w:pPr>
      <w:r>
        <w:rPr>
          <w:rFonts w:hint="eastAsia" w:cs="宋体"/>
          <w:color w:val="auto"/>
        </w:rPr>
        <w:t>1.7</w:t>
      </w:r>
      <w:r>
        <w:rPr>
          <w:rFonts w:hint="eastAsia" w:cs="宋体"/>
          <w:bCs/>
          <w:color w:val="auto"/>
        </w:rPr>
        <w:t>享受中小企业扶持政策获得政府采购合同的，小微企业不得将合同分包给大中型企业，中型企业不得将合同分包给大型企业。</w:t>
      </w:r>
    </w:p>
    <w:p w14:paraId="5B724C67">
      <w:pPr>
        <w:ind w:firstLine="422"/>
        <w:rPr>
          <w:rFonts w:hint="eastAsia" w:cs="宋体"/>
          <w:b/>
          <w:color w:val="auto"/>
        </w:rPr>
      </w:pPr>
      <w:r>
        <w:rPr>
          <w:rFonts w:hint="eastAsia" w:cs="宋体"/>
          <w:b/>
          <w:color w:val="auto"/>
        </w:rPr>
        <w:t>1.8投标人提供的《中小企业声明函》声明函内容不实的，属于提供虚假材料谋取中标、成交，依照《中华人民共和国政府采购法》等国家有关规定追究相应责任。</w:t>
      </w:r>
    </w:p>
    <w:p w14:paraId="4AEA0002">
      <w:pPr>
        <w:pStyle w:val="2"/>
        <w:rPr>
          <w:rFonts w:hint="eastAsia" w:cs="宋体"/>
          <w:color w:val="auto"/>
        </w:rPr>
      </w:pPr>
      <w:bookmarkStart w:id="927" w:name="_Hlk110266772"/>
      <w:r>
        <w:rPr>
          <w:rFonts w:hint="eastAsia" w:cs="宋体"/>
          <w:color w:val="auto"/>
        </w:rPr>
        <w:t>1.9根据《关于进一步加大政府采购支持中小企业力度的通知》财库〔2022〕19号精神，调整对小微企业的价格评审优惠幅度。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本项目价格扣除优惠幅度以评标办法中明确为准。</w:t>
      </w:r>
      <w:bookmarkEnd w:id="927"/>
    </w:p>
    <w:p w14:paraId="0E0F187C">
      <w:pPr>
        <w:spacing w:before="156"/>
        <w:ind w:firstLine="422"/>
        <w:rPr>
          <w:rFonts w:hint="eastAsia" w:cs="宋体"/>
          <w:b/>
          <w:bCs/>
          <w:color w:val="auto"/>
        </w:rPr>
      </w:pPr>
      <w:bookmarkStart w:id="928" w:name="_Toc117503150"/>
      <w:bookmarkStart w:id="929" w:name="_Toc26783948"/>
      <w:r>
        <w:rPr>
          <w:rFonts w:hint="eastAsia" w:cs="宋体"/>
          <w:b/>
          <w:bCs/>
          <w:color w:val="auto"/>
        </w:rPr>
        <w:t>2. 关于节能产品及环境标志产品</w:t>
      </w:r>
      <w:bookmarkEnd w:id="928"/>
      <w:bookmarkEnd w:id="929"/>
    </w:p>
    <w:p w14:paraId="742AF2A8">
      <w:pPr>
        <w:rPr>
          <w:rFonts w:hint="eastAsia" w:cs="宋体"/>
          <w:color w:val="auto"/>
        </w:rPr>
      </w:pPr>
      <w:r>
        <w:rPr>
          <w:rFonts w:hint="eastAsia" w:cs="宋体"/>
          <w:color w:val="auto"/>
        </w:rPr>
        <w:t>2.1根据《财政部 发展改革委 生态环境部 市场监管总局 关于调整优化节能产品、环境标志产品政府采购执行机制的通知》（财库〔2019〕9号），对政府采购节能产品、环境标志产品实施品目清单管理。</w:t>
      </w:r>
    </w:p>
    <w:p w14:paraId="2EAC1E47">
      <w:pPr>
        <w:rPr>
          <w:rFonts w:hint="eastAsia" w:cs="宋体"/>
          <w:color w:val="auto"/>
        </w:rPr>
      </w:pPr>
      <w:r>
        <w:rPr>
          <w:rFonts w:hint="eastAsia" w:cs="宋体"/>
          <w:color w:val="auto"/>
        </w:rPr>
        <w:t>2.2节能产品是指列入财政部和发展改革委公布的《关于印发节能产品政府采购品目清单的通知》（财库〔2019〕19号）《节能产品政府采购品目清单》中的产品，其中以“★”标注的为政府强制采购产品。</w:t>
      </w:r>
    </w:p>
    <w:p w14:paraId="1C125E64">
      <w:pPr>
        <w:rPr>
          <w:rFonts w:hint="eastAsia" w:cs="宋体"/>
          <w:color w:val="auto"/>
        </w:rPr>
      </w:pPr>
      <w:r>
        <w:rPr>
          <w:rFonts w:hint="eastAsia" w:cs="宋体"/>
          <w:color w:val="auto"/>
        </w:rPr>
        <w:t>2.3环境标志产品是指列入财政部和生态环境部公布的《关于印发环境标志产品政府采购品目清单的通知》（财库〔2019〕18号）《环境标志产品政府采购品目清单》中的产品。</w:t>
      </w:r>
    </w:p>
    <w:p w14:paraId="07BBD894">
      <w:pPr>
        <w:rPr>
          <w:rFonts w:hint="eastAsia" w:cs="宋体"/>
          <w:color w:val="auto"/>
        </w:rPr>
      </w:pPr>
      <w:r>
        <w:rPr>
          <w:rFonts w:hint="eastAsia" w:cs="宋体"/>
          <w:color w:val="auto"/>
        </w:rPr>
        <w:t>2.4产品属于节能产品或环境标志产品的，投标人需在投标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4C706CB9">
      <w:pPr>
        <w:rPr>
          <w:rFonts w:hint="eastAsia" w:cs="宋体"/>
          <w:color w:val="auto"/>
        </w:rPr>
      </w:pPr>
      <w:r>
        <w:rPr>
          <w:rFonts w:hint="eastAsia" w:cs="宋体"/>
          <w:color w:val="auto"/>
        </w:rPr>
        <w:t>2.5若投标人在投标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果投标人自行承担。</w:t>
      </w:r>
    </w:p>
    <w:p w14:paraId="1007CF93">
      <w:pPr>
        <w:spacing w:before="156"/>
        <w:ind w:firstLine="422"/>
        <w:rPr>
          <w:rFonts w:hint="eastAsia" w:cs="宋体"/>
          <w:b/>
          <w:bCs/>
          <w:color w:val="auto"/>
        </w:rPr>
      </w:pPr>
      <w:bookmarkStart w:id="930" w:name="_Toc117503151"/>
      <w:r>
        <w:rPr>
          <w:rFonts w:hint="eastAsia" w:cs="宋体"/>
          <w:b/>
          <w:bCs/>
          <w:color w:val="auto"/>
        </w:rPr>
        <w:t>3. 关于监狱企业</w:t>
      </w:r>
      <w:bookmarkEnd w:id="930"/>
    </w:p>
    <w:p w14:paraId="16B2F021">
      <w:pPr>
        <w:rPr>
          <w:rFonts w:hint="eastAsia" w:cs="宋体"/>
          <w:color w:val="auto"/>
        </w:rPr>
      </w:pPr>
      <w:r>
        <w:rPr>
          <w:rFonts w:hint="eastAsia" w:cs="宋体"/>
          <w:color w:val="auto"/>
        </w:rPr>
        <w:t>3.1根据《财政部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9B2DE87">
      <w:pPr>
        <w:rPr>
          <w:rFonts w:hint="eastAsia" w:cs="宋体"/>
          <w:color w:val="auto"/>
        </w:rPr>
      </w:pPr>
      <w:r>
        <w:rPr>
          <w:rFonts w:hint="eastAsia" w:cs="宋体"/>
          <w:color w:val="auto"/>
        </w:rPr>
        <w:t>3.2监狱企业参加政府采购活动时，应当提供由省级以上监狱管理局、戒毒管理局（含新疆生产建设兵团）出具的属于监狱企业的证明文件。</w:t>
      </w:r>
    </w:p>
    <w:p w14:paraId="0E0FD842">
      <w:pPr>
        <w:rPr>
          <w:rFonts w:hint="eastAsia" w:cs="宋体"/>
          <w:color w:val="auto"/>
        </w:rPr>
      </w:pPr>
      <w:r>
        <w:rPr>
          <w:rFonts w:hint="eastAsia" w:cs="宋体"/>
          <w:color w:val="auto"/>
        </w:rPr>
        <w:t>3.3在政府采购活动中，监狱企业视同小型、微型企业，享受预留份额、评审中价格扣除等政府采购促进中小企业发展的政府采购政策。</w:t>
      </w:r>
    </w:p>
    <w:p w14:paraId="10E80F15">
      <w:pPr>
        <w:spacing w:before="156"/>
        <w:ind w:firstLine="422"/>
        <w:rPr>
          <w:rFonts w:hint="eastAsia" w:cs="宋体"/>
          <w:b/>
          <w:bCs/>
          <w:color w:val="auto"/>
        </w:rPr>
      </w:pPr>
      <w:bookmarkStart w:id="931" w:name="_Toc117503152"/>
      <w:r>
        <w:rPr>
          <w:rFonts w:hint="eastAsia" w:cs="宋体"/>
          <w:b/>
          <w:bCs/>
          <w:color w:val="auto"/>
        </w:rPr>
        <w:t>4. 关于残疾人福利性单位</w:t>
      </w:r>
      <w:bookmarkEnd w:id="931"/>
    </w:p>
    <w:p w14:paraId="31974776">
      <w:pPr>
        <w:rPr>
          <w:rFonts w:hint="eastAsia" w:cs="宋体"/>
          <w:color w:val="auto"/>
        </w:rPr>
      </w:pPr>
      <w:r>
        <w:rPr>
          <w:rFonts w:hint="eastAsia" w:cs="宋体"/>
          <w:color w:val="auto"/>
        </w:rPr>
        <w:t>4.1符合条件的残疾人福利性单位在参加政府采购活动时，应当按《三部门联合发布关于促进残疾人就业政府采购政策的通知》（财库〔2017〕141号）提供规定的《残疾人福利性单位声明函》，并对声明的真实性负责。</w:t>
      </w:r>
    </w:p>
    <w:p w14:paraId="139D4180">
      <w:pPr>
        <w:rPr>
          <w:rFonts w:hint="eastAsia" w:cs="宋体"/>
          <w:color w:val="auto"/>
        </w:rPr>
      </w:pPr>
      <w:r>
        <w:rPr>
          <w:rFonts w:hint="eastAsia" w:cs="宋体"/>
          <w:color w:val="auto"/>
        </w:rPr>
        <w:t>4.2本项目针对残疾人福利性单位产品的价格给予价格扣除，用扣除后的价格参与评审。残疾人福利性单位属于小型、微型企业的，不重复享受政策。</w:t>
      </w:r>
    </w:p>
    <w:p w14:paraId="12E697DB">
      <w:pPr>
        <w:spacing w:before="156"/>
        <w:ind w:firstLine="422"/>
        <w:rPr>
          <w:rFonts w:hint="eastAsia" w:cs="宋体"/>
          <w:b/>
          <w:bCs/>
          <w:color w:val="auto"/>
        </w:rPr>
      </w:pPr>
      <w:bookmarkStart w:id="932" w:name="_Toc117503153"/>
      <w:bookmarkStart w:id="933" w:name="_Toc26783949"/>
      <w:r>
        <w:rPr>
          <w:rFonts w:hint="eastAsia" w:cs="宋体"/>
          <w:b/>
          <w:bCs/>
          <w:color w:val="auto"/>
        </w:rPr>
        <w:t>5. 其他</w:t>
      </w:r>
      <w:bookmarkEnd w:id="932"/>
      <w:bookmarkEnd w:id="933"/>
    </w:p>
    <w:p w14:paraId="335C638F">
      <w:pPr>
        <w:rPr>
          <w:rFonts w:hint="eastAsia" w:cs="宋体"/>
          <w:color w:val="auto"/>
        </w:rPr>
      </w:pPr>
      <w:r>
        <w:rPr>
          <w:rFonts w:hint="eastAsia" w:cs="宋体"/>
          <w:color w:val="auto"/>
        </w:rPr>
        <w:t>5.1提供相同品牌产品且通过资格审查、符合性审查的不同投标人参加同一合同项下投标的，按一家投标人计算，评审后得分最高的同品牌投标人获得中标人推荐资格；评审得分相同的，由评标委员会投票推荐（少数服从多数的原则）的方式确定一个投标人获得中标人推荐资格，其他同品牌投标人不作为中标候选人。</w:t>
      </w:r>
    </w:p>
    <w:p w14:paraId="7A6424DC">
      <w:pPr>
        <w:rPr>
          <w:rFonts w:hint="eastAsia" w:cs="宋体"/>
          <w:color w:val="auto"/>
        </w:rPr>
      </w:pPr>
      <w:r>
        <w:rPr>
          <w:rFonts w:hint="eastAsia" w:cs="宋体"/>
          <w:color w:val="auto"/>
        </w:rPr>
        <w:t>5.2非单一产品采购项目，多家投标人提供的核心产品品牌（核心产品由采购人根据采购项目技术构成、产品价格比重等确定）相同的，按前款规定处理。</w:t>
      </w:r>
    </w:p>
    <w:p w14:paraId="6EE709CD">
      <w:pPr>
        <w:rPr>
          <w:rFonts w:hint="eastAsia" w:cs="宋体"/>
          <w:color w:val="auto"/>
        </w:rPr>
      </w:pPr>
      <w:r>
        <w:rPr>
          <w:rFonts w:hint="eastAsia" w:cs="宋体"/>
          <w:color w:val="auto"/>
        </w:rPr>
        <w:t>5.3提供相同品牌产品且通过资格审查、符合性审查的不同投标人参加同一合同项下投标的，按一家投标人计算，评审后得分最高的同品牌供应商获得成交人推荐资格；评审得分相同的，由磋商小组投票推荐（少数服从多数的原则）的方式确定一个供应商获得成交人候选推荐资格，其他同品牌供应商不作为成交候选人。</w:t>
      </w:r>
    </w:p>
    <w:p w14:paraId="306FDD4F">
      <w:pPr>
        <w:rPr>
          <w:rFonts w:hint="eastAsia" w:cs="宋体"/>
          <w:color w:val="auto"/>
        </w:rPr>
      </w:pPr>
      <w:r>
        <w:rPr>
          <w:rFonts w:hint="eastAsia" w:cs="宋体"/>
          <w:color w:val="auto"/>
        </w:rPr>
        <w:t>5.4非单一产品采购项目，多家供应商提供的核心产品品牌（核心产品由采购人根据采购项目技术构成、产品价格比重等确定）相同的，按前款规定处理。</w:t>
      </w:r>
    </w:p>
    <w:p w14:paraId="32B9D151">
      <w:pPr>
        <w:rPr>
          <w:rFonts w:hint="eastAsia" w:cs="宋体"/>
          <w:color w:val="auto"/>
        </w:rPr>
        <w:sectPr>
          <w:pgSz w:w="11900" w:h="16838"/>
          <w:pgMar w:top="1417" w:right="1417" w:bottom="1417" w:left="1417" w:header="850" w:footer="850" w:gutter="0"/>
          <w:cols w:space="0" w:num="1"/>
          <w:titlePg/>
          <w:docGrid w:linePitch="360" w:charSpace="0"/>
        </w:sectPr>
      </w:pPr>
    </w:p>
    <w:p w14:paraId="1A4EA1D0">
      <w:pPr>
        <w:pStyle w:val="10"/>
        <w:ind w:firstLine="0" w:firstLineChars="0"/>
        <w:rPr>
          <w:rFonts w:hint="eastAsia" w:cs="宋体"/>
          <w:color w:val="auto"/>
          <w:sz w:val="21"/>
        </w:rPr>
      </w:pPr>
      <w:r>
        <w:rPr>
          <w:rFonts w:hint="eastAsia" w:cs="宋体"/>
          <w:color w:val="auto"/>
          <w:sz w:val="21"/>
        </w:rPr>
        <w:t>附件：</w:t>
      </w:r>
    </w:p>
    <w:p w14:paraId="55A26A46">
      <w:pPr>
        <w:pStyle w:val="10"/>
        <w:ind w:firstLine="422"/>
        <w:jc w:val="center"/>
        <w:rPr>
          <w:rFonts w:hint="eastAsia" w:cs="宋体"/>
          <w:b/>
          <w:bCs/>
          <w:color w:val="auto"/>
          <w:sz w:val="21"/>
        </w:rPr>
      </w:pPr>
      <w:r>
        <w:rPr>
          <w:rFonts w:hint="eastAsia" w:cs="宋体"/>
          <w:b/>
          <w:bCs/>
          <w:color w:val="auto"/>
          <w:sz w:val="21"/>
        </w:rPr>
        <w:t>《关于印发中小企业划型标准规定的通知》（工信部联企业〔2011〕300号）</w:t>
      </w:r>
    </w:p>
    <w:p w14:paraId="52D3E4BB">
      <w:pPr>
        <w:pStyle w:val="10"/>
        <w:ind w:firstLine="422"/>
        <w:jc w:val="center"/>
        <w:rPr>
          <w:rFonts w:hint="eastAsia" w:cs="宋体"/>
          <w:b/>
          <w:bCs/>
          <w:color w:val="auto"/>
          <w:sz w:val="21"/>
        </w:rPr>
      </w:pPr>
      <w:r>
        <w:rPr>
          <w:rFonts w:hint="eastAsia" w:cs="宋体"/>
          <w:b/>
          <w:bCs/>
          <w:color w:val="auto"/>
          <w:sz w:val="21"/>
        </w:rPr>
        <w:t>中小企业划型标准规定</w:t>
      </w:r>
    </w:p>
    <w:p w14:paraId="25FAC9F4">
      <w:pPr>
        <w:pStyle w:val="10"/>
        <w:rPr>
          <w:rFonts w:hint="eastAsia" w:cs="宋体"/>
          <w:color w:val="auto"/>
          <w:sz w:val="21"/>
        </w:rPr>
      </w:pPr>
    </w:p>
    <w:p w14:paraId="21225E53">
      <w:pPr>
        <w:pStyle w:val="11"/>
        <w:tabs>
          <w:tab w:val="left" w:pos="840"/>
        </w:tabs>
        <w:spacing w:after="0"/>
        <w:ind w:left="0" w:leftChars="0"/>
        <w:rPr>
          <w:rFonts w:hint="eastAsia" w:cs="宋体"/>
          <w:color w:val="auto"/>
        </w:rPr>
      </w:pPr>
      <w:r>
        <w:rPr>
          <w:rFonts w:hint="eastAsia" w:cs="宋体"/>
          <w:color w:val="auto"/>
        </w:rPr>
        <w:t>（一）农、林、牧、渔业：营业收入20000万元以下的为中小微型企业。其中，营业收入500万元及以上的为中型企业，营业收入50万元及以上的为小型企业，营业收入50万元以下的为微型企业。</w:t>
      </w:r>
    </w:p>
    <w:p w14:paraId="3E8950F9">
      <w:pPr>
        <w:pStyle w:val="11"/>
        <w:tabs>
          <w:tab w:val="left" w:pos="840"/>
        </w:tabs>
        <w:spacing w:after="0"/>
        <w:ind w:left="0" w:leftChars="0"/>
        <w:rPr>
          <w:rFonts w:hint="eastAsia" w:cs="宋体"/>
          <w:color w:val="auto"/>
        </w:rPr>
      </w:pPr>
      <w:r>
        <w:rPr>
          <w:rFonts w:hint="eastAsia" w:cs="宋体"/>
          <w:color w:val="auto"/>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4F42A7D">
      <w:pPr>
        <w:pStyle w:val="11"/>
        <w:tabs>
          <w:tab w:val="left" w:pos="840"/>
        </w:tabs>
        <w:spacing w:after="0"/>
        <w:ind w:left="0" w:leftChars="0"/>
        <w:rPr>
          <w:rFonts w:hint="eastAsia" w:cs="宋体"/>
          <w:color w:val="auto"/>
        </w:rPr>
      </w:pPr>
      <w:r>
        <w:rPr>
          <w:rFonts w:hint="eastAsia" w:cs="宋体"/>
          <w:color w:val="auto"/>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60EC292">
      <w:pPr>
        <w:pStyle w:val="11"/>
        <w:tabs>
          <w:tab w:val="left" w:pos="840"/>
        </w:tabs>
        <w:spacing w:after="0"/>
        <w:ind w:left="0" w:leftChars="0"/>
        <w:rPr>
          <w:rFonts w:hint="eastAsia" w:cs="宋体"/>
          <w:color w:val="auto"/>
        </w:rPr>
      </w:pPr>
      <w:r>
        <w:rPr>
          <w:rFonts w:hint="eastAsia" w:cs="宋体"/>
          <w:color w:val="auto"/>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F4B279D">
      <w:pPr>
        <w:pStyle w:val="11"/>
        <w:tabs>
          <w:tab w:val="left" w:pos="840"/>
        </w:tabs>
        <w:spacing w:after="0"/>
        <w:ind w:left="0" w:leftChars="0"/>
        <w:rPr>
          <w:rFonts w:hint="eastAsia" w:cs="宋体"/>
          <w:color w:val="auto"/>
        </w:rPr>
      </w:pPr>
      <w:r>
        <w:rPr>
          <w:rFonts w:hint="eastAsia" w:cs="宋体"/>
          <w:color w:val="auto"/>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13BA44E">
      <w:pPr>
        <w:pStyle w:val="11"/>
        <w:tabs>
          <w:tab w:val="left" w:pos="840"/>
        </w:tabs>
        <w:spacing w:after="0"/>
        <w:ind w:left="0" w:leftChars="0"/>
        <w:rPr>
          <w:rFonts w:hint="eastAsia" w:cs="宋体"/>
          <w:color w:val="auto"/>
        </w:rPr>
      </w:pPr>
      <w:r>
        <w:rPr>
          <w:rFonts w:hint="eastAsia" w:cs="宋体"/>
          <w:color w:val="auto"/>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81AF7E3">
      <w:pPr>
        <w:pStyle w:val="11"/>
        <w:tabs>
          <w:tab w:val="left" w:pos="840"/>
        </w:tabs>
        <w:spacing w:after="0"/>
        <w:ind w:left="0" w:leftChars="0"/>
        <w:rPr>
          <w:rFonts w:hint="eastAsia" w:cs="宋体"/>
          <w:color w:val="auto"/>
        </w:rPr>
      </w:pPr>
      <w:r>
        <w:rPr>
          <w:rFonts w:hint="eastAsia" w:cs="宋体"/>
          <w:color w:val="auto"/>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DA4981A">
      <w:pPr>
        <w:pStyle w:val="11"/>
        <w:tabs>
          <w:tab w:val="left" w:pos="840"/>
        </w:tabs>
        <w:spacing w:after="0"/>
        <w:ind w:left="0" w:leftChars="0"/>
        <w:rPr>
          <w:rFonts w:hint="eastAsia" w:cs="宋体"/>
          <w:color w:val="auto"/>
        </w:rPr>
      </w:pPr>
      <w:r>
        <w:rPr>
          <w:rFonts w:hint="eastAsia" w:cs="宋体"/>
          <w:color w:val="auto"/>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E6C1914">
      <w:pPr>
        <w:pStyle w:val="11"/>
        <w:tabs>
          <w:tab w:val="left" w:pos="840"/>
        </w:tabs>
        <w:spacing w:after="0"/>
        <w:ind w:left="0" w:leftChars="0"/>
        <w:rPr>
          <w:rFonts w:hint="eastAsia" w:cs="宋体"/>
          <w:color w:val="auto"/>
        </w:rPr>
      </w:pPr>
      <w:r>
        <w:rPr>
          <w:rFonts w:hint="eastAsia" w:cs="宋体"/>
          <w:color w:val="auto"/>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40AE305">
      <w:pPr>
        <w:pStyle w:val="11"/>
        <w:tabs>
          <w:tab w:val="left" w:pos="840"/>
        </w:tabs>
        <w:spacing w:after="0"/>
        <w:ind w:left="0" w:leftChars="0"/>
        <w:rPr>
          <w:rFonts w:hint="eastAsia" w:cs="宋体"/>
          <w:color w:val="auto"/>
        </w:rPr>
      </w:pPr>
      <w:r>
        <w:rPr>
          <w:rFonts w:hint="eastAsia" w:cs="宋体"/>
          <w:color w:val="auto"/>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0B3E69F">
      <w:pPr>
        <w:pStyle w:val="11"/>
        <w:tabs>
          <w:tab w:val="left" w:pos="840"/>
        </w:tabs>
        <w:spacing w:after="0"/>
        <w:ind w:left="0" w:leftChars="0"/>
        <w:rPr>
          <w:rFonts w:hint="eastAsia" w:cs="宋体"/>
          <w:color w:val="auto"/>
        </w:rPr>
      </w:pPr>
      <w:r>
        <w:rPr>
          <w:rFonts w:hint="eastAsia" w:cs="宋体"/>
          <w:color w:val="auto"/>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0A33742">
      <w:pPr>
        <w:pStyle w:val="11"/>
        <w:tabs>
          <w:tab w:val="left" w:pos="840"/>
        </w:tabs>
        <w:spacing w:after="0"/>
        <w:ind w:left="0" w:leftChars="0"/>
        <w:rPr>
          <w:rFonts w:hint="eastAsia" w:cs="宋体"/>
          <w:color w:val="auto"/>
        </w:rPr>
      </w:pPr>
      <w:r>
        <w:rPr>
          <w:rFonts w:hint="eastAsia" w:cs="宋体"/>
          <w:color w:val="auto"/>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08B9C1F">
      <w:pPr>
        <w:pStyle w:val="11"/>
        <w:tabs>
          <w:tab w:val="left" w:pos="840"/>
        </w:tabs>
        <w:spacing w:after="0"/>
        <w:ind w:left="0" w:leftChars="0"/>
        <w:rPr>
          <w:rFonts w:hint="eastAsia" w:cs="宋体"/>
          <w:color w:val="auto"/>
        </w:rPr>
      </w:pPr>
      <w:r>
        <w:rPr>
          <w:rFonts w:hint="eastAsia" w:cs="宋体"/>
          <w:color w:val="auto"/>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6F10D21">
      <w:pPr>
        <w:pStyle w:val="11"/>
        <w:tabs>
          <w:tab w:val="left" w:pos="840"/>
        </w:tabs>
        <w:spacing w:after="0"/>
        <w:ind w:left="0" w:leftChars="0"/>
        <w:rPr>
          <w:rFonts w:hint="eastAsia" w:cs="宋体"/>
          <w:color w:val="auto"/>
        </w:rPr>
      </w:pPr>
      <w:r>
        <w:rPr>
          <w:rFonts w:hint="eastAsia" w:cs="宋体"/>
          <w:color w:val="auto"/>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8919559">
      <w:pPr>
        <w:pStyle w:val="11"/>
        <w:tabs>
          <w:tab w:val="left" w:pos="840"/>
        </w:tabs>
        <w:spacing w:after="0"/>
        <w:ind w:left="0" w:leftChars="0"/>
        <w:rPr>
          <w:rFonts w:hint="eastAsia" w:cs="宋体"/>
          <w:color w:val="auto"/>
        </w:rPr>
      </w:pPr>
      <w:r>
        <w:rPr>
          <w:rFonts w:hint="eastAsia" w:cs="宋体"/>
          <w:color w:val="auto"/>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66D4B49">
      <w:pPr>
        <w:pStyle w:val="11"/>
        <w:tabs>
          <w:tab w:val="left" w:pos="840"/>
        </w:tabs>
        <w:spacing w:after="0"/>
        <w:ind w:left="0" w:leftChars="0"/>
        <w:rPr>
          <w:rFonts w:hint="eastAsia" w:cs="宋体"/>
          <w:color w:val="auto"/>
        </w:rPr>
      </w:pPr>
      <w:r>
        <w:rPr>
          <w:rFonts w:hint="eastAsia" w:cs="宋体"/>
          <w:color w:val="auto"/>
        </w:rPr>
        <w:t>（十六）其他未列明行业：从业人员300人以下的为中小微型企业。其中，从业人员100人及以上的为中型企业；从业人员10人及以上的为小型企业；从业人员10人以下的为微型企业。</w:t>
      </w:r>
    </w:p>
    <w:sectPr>
      <w:pgSz w:w="11900" w:h="16838"/>
      <w:pgMar w:top="1417" w:right="1417" w:bottom="1417" w:left="1417" w:header="850" w:footer="850" w:gutter="0"/>
      <w:cols w:space="0" w:num="1"/>
      <w:titlePg/>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Consolas">
    <w:panose1 w:val="020B0609020204030204"/>
    <w:charset w:val="00"/>
    <w:family w:val="modern"/>
    <w:pitch w:val="default"/>
    <w:sig w:usb0="E00006FF" w:usb1="0000FCFF" w:usb2="00000001" w:usb3="00000000" w:csb0="6000019F" w:csb1="DFD70000"/>
  </w:font>
  <w:font w:name="华文楷体">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汉仪书宋二S">
    <w:altName w:val="宋体"/>
    <w:panose1 w:val="00000000000000000000"/>
    <w:charset w:val="00"/>
    <w:family w:val="auto"/>
    <w:pitch w:val="default"/>
    <w:sig w:usb0="00000000" w:usb1="00000000" w:usb2="00000000" w:usb3="00000000" w:csb0="00000000" w:csb1="00000000"/>
  </w:font>
  <w:font w:name="方正仿宋_GBK">
    <w:altName w:val="微软雅黑"/>
    <w:panose1 w:val="00000000000000000000"/>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C1CF27">
    <w:pPr>
      <w:pStyle w:val="18"/>
      <w:ind w:firstLine="360"/>
      <w:rPr>
        <w:rFonts w:hint="eastAsia"/>
      </w:rPr>
    </w:pPr>
    <w:r>
      <w:rPr>
        <w:rFonts w:hint="eastAsia"/>
      </w:rPr>
      <w:pict>
        <v:shape id="_x0000_s1046" o:spid="_x0000_s1046"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49FB979E">
                <w:pPr>
                  <w:pStyle w:val="18"/>
                  <w:ind w:firstLine="360"/>
                  <w:rPr>
                    <w:rFonts w:hint="eastAsia"/>
                  </w:rPr>
                </w:pPr>
                <w:r>
                  <w:fldChar w:fldCharType="begin"/>
                </w:r>
                <w:r>
                  <w:instrText xml:space="preserve"> PAGE  \* MERGEFORMAT </w:instrText>
                </w:r>
                <w:r>
                  <w:fldChar w:fldCharType="separate"/>
                </w:r>
                <w:r>
                  <w:t>II</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8F8B09">
    <w:pPr>
      <w:pStyle w:val="18"/>
      <w:ind w:firstLine="360"/>
      <w:rPr>
        <w:rFonts w:hint="eastAsia"/>
      </w:rPr>
    </w:pPr>
    <w:r>
      <w:rPr>
        <w:rFonts w:hint="eastAsia"/>
      </w:rPr>
      <w:pict>
        <v:shape id="_x0000_s1047" o:spid="_x0000_s1047"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joinstyle="miter"/>
          <v:imagedata o:title=""/>
          <o:lock v:ext="edit"/>
          <v:textbox inset="0mm,0mm,0mm,0mm" style="mso-fit-shape-to-text:t;">
            <w:txbxContent>
              <w:p w14:paraId="2E7C414D">
                <w:pPr>
                  <w:pStyle w:val="18"/>
                  <w:ind w:firstLine="360"/>
                  <w:rPr>
                    <w:rFonts w:hint="eastAsia"/>
                  </w:rPr>
                </w:pPr>
                <w:r>
                  <w:fldChar w:fldCharType="begin"/>
                </w:r>
                <w:r>
                  <w:instrText xml:space="preserve"> PAGE  \* MERGEFORMAT </w:instrText>
                </w:r>
                <w:r>
                  <w:fldChar w:fldCharType="separate"/>
                </w:r>
                <w:r>
                  <w:t>I</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DF70B0">
    <w:pPr>
      <w:pStyle w:val="18"/>
      <w:ind w:firstLine="360"/>
      <w:rPr>
        <w:rFonts w:hint="eastAsia"/>
      </w:rPr>
    </w:pPr>
    <w:r>
      <w:rPr>
        <w:rFonts w:hint="eastAsia"/>
      </w:rPr>
      <w:pict>
        <v:shape id="_x0000_s1050" o:spid="_x0000_s1050"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joinstyle="miter"/>
          <v:imagedata o:title=""/>
          <o:lock v:ext="edit"/>
          <v:textbox inset="0mm,0mm,0mm,0mm" style="mso-fit-shape-to-text:t;">
            <w:txbxContent>
              <w:p w14:paraId="1CAAC510">
                <w:pPr>
                  <w:pStyle w:val="18"/>
                  <w:ind w:firstLine="360"/>
                  <w:rPr>
                    <w:rFonts w:hint="eastAsia"/>
                  </w:rPr>
                </w:pPr>
                <w:r>
                  <w:fldChar w:fldCharType="begin"/>
                </w:r>
                <w:r>
                  <w:instrText xml:space="preserve"> PAGE  \* MERGEFORMAT </w:instrText>
                </w:r>
                <w:r>
                  <w:fldChar w:fldCharType="separate"/>
                </w:r>
                <w:r>
                  <w:t>VI</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04C8B1">
    <w:pPr>
      <w:pStyle w:val="18"/>
      <w:ind w:firstLine="360"/>
      <w:rPr>
        <w:rFonts w:hint="eastAsia"/>
      </w:rPr>
    </w:pPr>
    <w:r>
      <w:rPr>
        <w:rFonts w:hint="eastAsia"/>
      </w:rPr>
      <w:pict>
        <v:shape id="_x0000_s1051" o:spid="_x0000_s1051"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joinstyle="miter"/>
          <v:imagedata o:title=""/>
          <o:lock v:ext="edit"/>
          <v:textbox inset="0mm,0mm,0mm,0mm" style="mso-fit-shape-to-text:t;">
            <w:txbxContent>
              <w:p w14:paraId="60DF960A">
                <w:pPr>
                  <w:pStyle w:val="18"/>
                  <w:ind w:firstLine="360"/>
                  <w:rPr>
                    <w:rFonts w:hint="eastAsia"/>
                  </w:rPr>
                </w:pPr>
                <w:r>
                  <w:fldChar w:fldCharType="begin"/>
                </w:r>
                <w:r>
                  <w:instrText xml:space="preserve"> PAGE  \* MERGEFORMAT </w:instrText>
                </w:r>
                <w:r>
                  <w:fldChar w:fldCharType="separate"/>
                </w:r>
                <w:r>
                  <w:t>I</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C51800">
    <w:pPr>
      <w:pStyle w:val="1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DA56C">
    <w:pPr>
      <w:pStyle w:val="18"/>
      <w:tabs>
        <w:tab w:val="left" w:pos="6765"/>
        <w:tab w:val="clear" w:pos="4153"/>
        <w:tab w:val="clear" w:pos="8306"/>
      </w:tabs>
      <w:ind w:firstLine="360"/>
      <w:rPr>
        <w:rFonts w:hint="eastAsia"/>
      </w:rPr>
    </w:pPr>
    <w:r>
      <w:rPr>
        <w:rFonts w:hint="eastAsia"/>
      </w:rPr>
      <w:pict>
        <v:shape id="文本框 4" o:spid="_x0000_s1056"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joinstyle="miter"/>
          <v:imagedata o:title=""/>
          <o:lock v:ext="edit"/>
          <v:textbox inset="0mm,0mm,0mm,0mm" style="mso-fit-shape-to-text:t;">
            <w:txbxContent>
              <w:p w14:paraId="3E0927F8">
                <w:pPr>
                  <w:pStyle w:val="18"/>
                  <w:rPr>
                    <w:rFonts w:hint="eastAsia" w:cs="宋体"/>
                    <w:sz w:val="21"/>
                    <w:szCs w:val="21"/>
                  </w:rPr>
                </w:pPr>
                <w:r>
                  <w:rPr>
                    <w:rFonts w:hint="eastAsia" w:cs="宋体"/>
                    <w:sz w:val="21"/>
                    <w:szCs w:val="21"/>
                  </w:rPr>
                  <w:fldChar w:fldCharType="begin"/>
                </w:r>
                <w:r>
                  <w:rPr>
                    <w:rFonts w:hint="eastAsia" w:cs="宋体"/>
                    <w:sz w:val="21"/>
                    <w:szCs w:val="21"/>
                  </w:rPr>
                  <w:instrText xml:space="preserve"> PAGE  \* MERGEFORMAT </w:instrText>
                </w:r>
                <w:r>
                  <w:rPr>
                    <w:rFonts w:hint="eastAsia" w:cs="宋体"/>
                    <w:sz w:val="21"/>
                    <w:szCs w:val="21"/>
                  </w:rPr>
                  <w:fldChar w:fldCharType="separate"/>
                </w:r>
                <w:r>
                  <w:rPr>
                    <w:rFonts w:hint="eastAsia" w:cs="宋体"/>
                    <w:sz w:val="21"/>
                    <w:szCs w:val="21"/>
                  </w:rPr>
                  <w:t>31</w:t>
                </w:r>
                <w:r>
                  <w:rPr>
                    <w:rFonts w:hint="eastAsia" w:cs="宋体"/>
                    <w:sz w:val="21"/>
                    <w:szCs w:val="21"/>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6A59EA">
    <w:pPr>
      <w:pStyle w:val="19"/>
      <w:pBdr>
        <w:bottom w:val="thinThickSmallGap" w:color="auto" w:sz="12" w:space="1"/>
      </w:pBdr>
      <w:ind w:firstLine="0" w:firstLineChars="0"/>
      <w:jc w:val="distribute"/>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2EDE58">
    <w:pPr>
      <w:pStyle w:val="19"/>
      <w:pBdr>
        <w:bottom w:val="thinThickSmallGap" w:color="auto" w:sz="12" w:space="1"/>
      </w:pBdr>
      <w:ind w:firstLine="0" w:firstLineChars="0"/>
      <w:jc w:val="both"/>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A591E">
    <w:pPr>
      <w:pStyle w:val="1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6E257F"/>
    <w:multiLevelType w:val="singleLevel"/>
    <w:tmpl w:val="9D6E257F"/>
    <w:lvl w:ilvl="0" w:tentative="0">
      <w:start w:val="1"/>
      <w:numFmt w:val="decimal"/>
      <w:suff w:val="space"/>
      <w:lvlText w:val="%1."/>
      <w:lvlJc w:val="left"/>
    </w:lvl>
  </w:abstractNum>
  <w:abstractNum w:abstractNumId="1">
    <w:nsid w:val="9DB5AC5F"/>
    <w:multiLevelType w:val="singleLevel"/>
    <w:tmpl w:val="9DB5AC5F"/>
    <w:lvl w:ilvl="0" w:tentative="0">
      <w:start w:val="1"/>
      <w:numFmt w:val="decimal"/>
      <w:suff w:val="nothing"/>
      <w:lvlText w:val="（%1）"/>
      <w:lvlJc w:val="left"/>
    </w:lvl>
  </w:abstractNum>
  <w:abstractNum w:abstractNumId="2">
    <w:nsid w:val="BF6BC116"/>
    <w:multiLevelType w:val="singleLevel"/>
    <w:tmpl w:val="BF6BC116"/>
    <w:lvl w:ilvl="0" w:tentative="0">
      <w:start w:val="16"/>
      <w:numFmt w:val="decimal"/>
      <w:suff w:val="space"/>
      <w:lvlText w:val="%1."/>
      <w:lvlJc w:val="left"/>
    </w:lvl>
  </w:abstractNum>
  <w:abstractNum w:abstractNumId="3">
    <w:nsid w:val="CFE7C3F8"/>
    <w:multiLevelType w:val="singleLevel"/>
    <w:tmpl w:val="CFE7C3F8"/>
    <w:lvl w:ilvl="0" w:tentative="0">
      <w:start w:val="1"/>
      <w:numFmt w:val="decimal"/>
      <w:suff w:val="nothing"/>
      <w:lvlText w:val="（%1）"/>
      <w:lvlJc w:val="left"/>
    </w:lvl>
  </w:abstractNum>
  <w:abstractNum w:abstractNumId="4">
    <w:nsid w:val="DDECD3BC"/>
    <w:multiLevelType w:val="singleLevel"/>
    <w:tmpl w:val="DDECD3BC"/>
    <w:lvl w:ilvl="0" w:tentative="0">
      <w:start w:val="6"/>
      <w:numFmt w:val="decimal"/>
      <w:suff w:val="space"/>
      <w:lvlText w:val="%1."/>
      <w:lvlJc w:val="left"/>
    </w:lvl>
  </w:abstractNum>
  <w:abstractNum w:abstractNumId="5">
    <w:nsid w:val="DE759F4B"/>
    <w:multiLevelType w:val="singleLevel"/>
    <w:tmpl w:val="DE759F4B"/>
    <w:lvl w:ilvl="0" w:tentative="0">
      <w:start w:val="2"/>
      <w:numFmt w:val="decimal"/>
      <w:suff w:val="space"/>
      <w:lvlText w:val="%1."/>
      <w:lvlJc w:val="left"/>
    </w:lvl>
  </w:abstractNum>
  <w:abstractNum w:abstractNumId="6">
    <w:nsid w:val="DEABE1DB"/>
    <w:multiLevelType w:val="singleLevel"/>
    <w:tmpl w:val="DEABE1DB"/>
    <w:lvl w:ilvl="0" w:tentative="0">
      <w:start w:val="23"/>
      <w:numFmt w:val="decimal"/>
      <w:suff w:val="space"/>
      <w:lvlText w:val="%1."/>
      <w:lvlJc w:val="left"/>
    </w:lvl>
  </w:abstractNum>
  <w:abstractNum w:abstractNumId="7">
    <w:nsid w:val="FFEFC674"/>
    <w:multiLevelType w:val="singleLevel"/>
    <w:tmpl w:val="FFEFC674"/>
    <w:lvl w:ilvl="0" w:tentative="0">
      <w:start w:val="1"/>
      <w:numFmt w:val="decimal"/>
      <w:suff w:val="nothing"/>
      <w:lvlText w:val="（%1）"/>
      <w:lvlJc w:val="left"/>
    </w:lvl>
  </w:abstractNum>
  <w:abstractNum w:abstractNumId="8">
    <w:nsid w:val="53F5719E"/>
    <w:multiLevelType w:val="singleLevel"/>
    <w:tmpl w:val="53F5719E"/>
    <w:lvl w:ilvl="0" w:tentative="0">
      <w:start w:val="12"/>
      <w:numFmt w:val="chineseCounting"/>
      <w:suff w:val="nothing"/>
      <w:lvlText w:val="（%1）"/>
      <w:lvlJc w:val="left"/>
      <w:rPr>
        <w:rFonts w:hint="eastAsia"/>
      </w:rPr>
    </w:lvl>
  </w:abstractNum>
  <w:abstractNum w:abstractNumId="9">
    <w:nsid w:val="7A0F6431"/>
    <w:multiLevelType w:val="singleLevel"/>
    <w:tmpl w:val="7A0F6431"/>
    <w:lvl w:ilvl="0" w:tentative="0">
      <w:start w:val="1"/>
      <w:numFmt w:val="decimal"/>
      <w:suff w:val="space"/>
      <w:lvlText w:val="%1."/>
      <w:lvlJc w:val="left"/>
    </w:lvl>
  </w:abstractNum>
  <w:num w:numId="1">
    <w:abstractNumId w:val="1"/>
  </w:num>
  <w:num w:numId="2">
    <w:abstractNumId w:val="0"/>
  </w:num>
  <w:num w:numId="3">
    <w:abstractNumId w:val="9"/>
  </w:num>
  <w:num w:numId="4">
    <w:abstractNumId w:val="3"/>
  </w:num>
  <w:num w:numId="5">
    <w:abstractNumId w:val="7"/>
  </w:num>
  <w:num w:numId="6">
    <w:abstractNumId w:val="5"/>
  </w:num>
  <w:num w:numId="7">
    <w:abstractNumId w:val="4"/>
  </w:num>
  <w:num w:numId="8">
    <w:abstractNumId w:val="2"/>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210"/>
  <w:drawingGridVerticalSpacing w:val="-7946"/>
  <w:displayHorizontalDrawingGridEvery w:val="1"/>
  <w:displayVerticalDrawingGridEvery w:val="1"/>
  <w:noPunctuationKerning w:val="1"/>
  <w:characterSpacingControl w:val="compressPunctuation"/>
  <w:hdrShapeDefaults>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EwNTM5NzYwMDRjMzkwZTVkZjY2ODkwMGIxNGU0OTUifQ=="/>
  </w:docVars>
  <w:rsids>
    <w:rsidRoot w:val="001B7B6F"/>
    <w:rsid w:val="00012461"/>
    <w:rsid w:val="00013233"/>
    <w:rsid w:val="00014C80"/>
    <w:rsid w:val="000159BF"/>
    <w:rsid w:val="000164CF"/>
    <w:rsid w:val="000207CB"/>
    <w:rsid w:val="000252D9"/>
    <w:rsid w:val="00026F68"/>
    <w:rsid w:val="00031A02"/>
    <w:rsid w:val="00032E68"/>
    <w:rsid w:val="00033629"/>
    <w:rsid w:val="000356FC"/>
    <w:rsid w:val="000361CA"/>
    <w:rsid w:val="0004497C"/>
    <w:rsid w:val="00050F14"/>
    <w:rsid w:val="00052281"/>
    <w:rsid w:val="000523DA"/>
    <w:rsid w:val="000567DF"/>
    <w:rsid w:val="00057026"/>
    <w:rsid w:val="00057536"/>
    <w:rsid w:val="00062601"/>
    <w:rsid w:val="00064CBE"/>
    <w:rsid w:val="00072A0F"/>
    <w:rsid w:val="00073E4E"/>
    <w:rsid w:val="0007663B"/>
    <w:rsid w:val="000806C8"/>
    <w:rsid w:val="00080709"/>
    <w:rsid w:val="00084D7D"/>
    <w:rsid w:val="000956EC"/>
    <w:rsid w:val="0009693E"/>
    <w:rsid w:val="000A0ADD"/>
    <w:rsid w:val="000A1880"/>
    <w:rsid w:val="000A7E48"/>
    <w:rsid w:val="000B0CE5"/>
    <w:rsid w:val="000B0E4B"/>
    <w:rsid w:val="000B6D62"/>
    <w:rsid w:val="000C04DA"/>
    <w:rsid w:val="000C173D"/>
    <w:rsid w:val="000C19FD"/>
    <w:rsid w:val="000C591E"/>
    <w:rsid w:val="000D4F2F"/>
    <w:rsid w:val="000E0558"/>
    <w:rsid w:val="000E1D12"/>
    <w:rsid w:val="000E397A"/>
    <w:rsid w:val="000E4177"/>
    <w:rsid w:val="000F1D1E"/>
    <w:rsid w:val="000F3060"/>
    <w:rsid w:val="000F3FC3"/>
    <w:rsid w:val="000F6B19"/>
    <w:rsid w:val="00100C1B"/>
    <w:rsid w:val="00104E0A"/>
    <w:rsid w:val="00113094"/>
    <w:rsid w:val="0012551B"/>
    <w:rsid w:val="001267D6"/>
    <w:rsid w:val="00130666"/>
    <w:rsid w:val="00135A8E"/>
    <w:rsid w:val="00135FEA"/>
    <w:rsid w:val="001450D4"/>
    <w:rsid w:val="00151E30"/>
    <w:rsid w:val="00153D33"/>
    <w:rsid w:val="00153E1E"/>
    <w:rsid w:val="0015526A"/>
    <w:rsid w:val="0015697A"/>
    <w:rsid w:val="001579A1"/>
    <w:rsid w:val="00161AD6"/>
    <w:rsid w:val="00162D7C"/>
    <w:rsid w:val="00165BCA"/>
    <w:rsid w:val="00175008"/>
    <w:rsid w:val="0017508E"/>
    <w:rsid w:val="00175DEF"/>
    <w:rsid w:val="00184B95"/>
    <w:rsid w:val="001907AE"/>
    <w:rsid w:val="001943AD"/>
    <w:rsid w:val="00194C7F"/>
    <w:rsid w:val="0019516C"/>
    <w:rsid w:val="001952EE"/>
    <w:rsid w:val="001A4B7A"/>
    <w:rsid w:val="001B0C57"/>
    <w:rsid w:val="001B7B6F"/>
    <w:rsid w:val="001C0303"/>
    <w:rsid w:val="001C0E32"/>
    <w:rsid w:val="001C64A9"/>
    <w:rsid w:val="001C70AA"/>
    <w:rsid w:val="001C72F3"/>
    <w:rsid w:val="001D0CB7"/>
    <w:rsid w:val="001D1E92"/>
    <w:rsid w:val="001D261B"/>
    <w:rsid w:val="001D2905"/>
    <w:rsid w:val="001D3B6B"/>
    <w:rsid w:val="001D42DD"/>
    <w:rsid w:val="001D48D9"/>
    <w:rsid w:val="001E30FF"/>
    <w:rsid w:val="001E4E88"/>
    <w:rsid w:val="001F0C18"/>
    <w:rsid w:val="001F371A"/>
    <w:rsid w:val="001F58B9"/>
    <w:rsid w:val="001F5D17"/>
    <w:rsid w:val="001F791E"/>
    <w:rsid w:val="00202FB7"/>
    <w:rsid w:val="0020420B"/>
    <w:rsid w:val="00206434"/>
    <w:rsid w:val="00206D5B"/>
    <w:rsid w:val="00210D27"/>
    <w:rsid w:val="002204FC"/>
    <w:rsid w:val="00223562"/>
    <w:rsid w:val="00223EE8"/>
    <w:rsid w:val="0022414B"/>
    <w:rsid w:val="002259BD"/>
    <w:rsid w:val="00233ABF"/>
    <w:rsid w:val="00233BEB"/>
    <w:rsid w:val="00234466"/>
    <w:rsid w:val="00234DDF"/>
    <w:rsid w:val="0024086E"/>
    <w:rsid w:val="0024300A"/>
    <w:rsid w:val="002450CB"/>
    <w:rsid w:val="00245ECC"/>
    <w:rsid w:val="00246D77"/>
    <w:rsid w:val="00250DA9"/>
    <w:rsid w:val="00255D15"/>
    <w:rsid w:val="002566D0"/>
    <w:rsid w:val="0026051C"/>
    <w:rsid w:val="00262B71"/>
    <w:rsid w:val="00263F03"/>
    <w:rsid w:val="00264757"/>
    <w:rsid w:val="002656D8"/>
    <w:rsid w:val="00270FCA"/>
    <w:rsid w:val="00272B6D"/>
    <w:rsid w:val="00273E9A"/>
    <w:rsid w:val="0027428B"/>
    <w:rsid w:val="00283391"/>
    <w:rsid w:val="00285150"/>
    <w:rsid w:val="00285A08"/>
    <w:rsid w:val="00292AB0"/>
    <w:rsid w:val="0029378C"/>
    <w:rsid w:val="00293988"/>
    <w:rsid w:val="00295027"/>
    <w:rsid w:val="00296CC3"/>
    <w:rsid w:val="002A030A"/>
    <w:rsid w:val="002A09B2"/>
    <w:rsid w:val="002A39A9"/>
    <w:rsid w:val="002A4044"/>
    <w:rsid w:val="002A7393"/>
    <w:rsid w:val="002B44B2"/>
    <w:rsid w:val="002B4C92"/>
    <w:rsid w:val="002B4CF2"/>
    <w:rsid w:val="002B6DD6"/>
    <w:rsid w:val="002C0965"/>
    <w:rsid w:val="002C3C57"/>
    <w:rsid w:val="002C6724"/>
    <w:rsid w:val="002D24F2"/>
    <w:rsid w:val="002D353E"/>
    <w:rsid w:val="002D6312"/>
    <w:rsid w:val="002E08FB"/>
    <w:rsid w:val="002E490A"/>
    <w:rsid w:val="002F1E5B"/>
    <w:rsid w:val="002F2C6F"/>
    <w:rsid w:val="002F508E"/>
    <w:rsid w:val="002F5231"/>
    <w:rsid w:val="00301F15"/>
    <w:rsid w:val="00303805"/>
    <w:rsid w:val="00304883"/>
    <w:rsid w:val="00305491"/>
    <w:rsid w:val="00306BC7"/>
    <w:rsid w:val="003107B6"/>
    <w:rsid w:val="00310B96"/>
    <w:rsid w:val="0031443F"/>
    <w:rsid w:val="003231DA"/>
    <w:rsid w:val="0033396A"/>
    <w:rsid w:val="00340429"/>
    <w:rsid w:val="00345A45"/>
    <w:rsid w:val="00347C81"/>
    <w:rsid w:val="00350662"/>
    <w:rsid w:val="003526FA"/>
    <w:rsid w:val="0036211A"/>
    <w:rsid w:val="00363ABF"/>
    <w:rsid w:val="0036469F"/>
    <w:rsid w:val="003679FA"/>
    <w:rsid w:val="0037210F"/>
    <w:rsid w:val="0037434C"/>
    <w:rsid w:val="00374608"/>
    <w:rsid w:val="00376721"/>
    <w:rsid w:val="00382A9B"/>
    <w:rsid w:val="00385476"/>
    <w:rsid w:val="0038725B"/>
    <w:rsid w:val="00392302"/>
    <w:rsid w:val="00395C0B"/>
    <w:rsid w:val="003B5706"/>
    <w:rsid w:val="003B74D3"/>
    <w:rsid w:val="003B772F"/>
    <w:rsid w:val="003C5904"/>
    <w:rsid w:val="003D30D5"/>
    <w:rsid w:val="003D471A"/>
    <w:rsid w:val="003D6BF5"/>
    <w:rsid w:val="003E1380"/>
    <w:rsid w:val="003E334F"/>
    <w:rsid w:val="003F196D"/>
    <w:rsid w:val="003F31A7"/>
    <w:rsid w:val="003F7A75"/>
    <w:rsid w:val="00405735"/>
    <w:rsid w:val="0040595D"/>
    <w:rsid w:val="00406B9E"/>
    <w:rsid w:val="00410BA9"/>
    <w:rsid w:val="004262EC"/>
    <w:rsid w:val="00427AF0"/>
    <w:rsid w:val="004319AE"/>
    <w:rsid w:val="00432015"/>
    <w:rsid w:val="00432F52"/>
    <w:rsid w:val="00434921"/>
    <w:rsid w:val="0045323A"/>
    <w:rsid w:val="00453A58"/>
    <w:rsid w:val="00456C9E"/>
    <w:rsid w:val="004624A8"/>
    <w:rsid w:val="0046260D"/>
    <w:rsid w:val="00472066"/>
    <w:rsid w:val="00475EE2"/>
    <w:rsid w:val="00481F4B"/>
    <w:rsid w:val="00490CAB"/>
    <w:rsid w:val="00492F64"/>
    <w:rsid w:val="00494D09"/>
    <w:rsid w:val="00494D2F"/>
    <w:rsid w:val="004962A6"/>
    <w:rsid w:val="004976AB"/>
    <w:rsid w:val="004A048A"/>
    <w:rsid w:val="004A5411"/>
    <w:rsid w:val="004A574A"/>
    <w:rsid w:val="004A5D18"/>
    <w:rsid w:val="004A6E78"/>
    <w:rsid w:val="004B253B"/>
    <w:rsid w:val="004B38E4"/>
    <w:rsid w:val="004C1508"/>
    <w:rsid w:val="004C64D6"/>
    <w:rsid w:val="004D2BBD"/>
    <w:rsid w:val="004E4E1D"/>
    <w:rsid w:val="004E7666"/>
    <w:rsid w:val="004F1BB1"/>
    <w:rsid w:val="00501BF8"/>
    <w:rsid w:val="005024CB"/>
    <w:rsid w:val="00504FD3"/>
    <w:rsid w:val="00507F4B"/>
    <w:rsid w:val="00510C1E"/>
    <w:rsid w:val="00514E6A"/>
    <w:rsid w:val="00530CE5"/>
    <w:rsid w:val="005338F4"/>
    <w:rsid w:val="00536994"/>
    <w:rsid w:val="00543E2D"/>
    <w:rsid w:val="00546780"/>
    <w:rsid w:val="00562199"/>
    <w:rsid w:val="0056324A"/>
    <w:rsid w:val="005650FA"/>
    <w:rsid w:val="005668F7"/>
    <w:rsid w:val="005811B3"/>
    <w:rsid w:val="005862FB"/>
    <w:rsid w:val="0058652A"/>
    <w:rsid w:val="005912F1"/>
    <w:rsid w:val="00591419"/>
    <w:rsid w:val="00593F4E"/>
    <w:rsid w:val="00597E08"/>
    <w:rsid w:val="005A0DBA"/>
    <w:rsid w:val="005A1D52"/>
    <w:rsid w:val="005A3FC1"/>
    <w:rsid w:val="005A5687"/>
    <w:rsid w:val="005B0039"/>
    <w:rsid w:val="005B311C"/>
    <w:rsid w:val="005B31E2"/>
    <w:rsid w:val="005B43E3"/>
    <w:rsid w:val="005B686A"/>
    <w:rsid w:val="005C1037"/>
    <w:rsid w:val="005C1479"/>
    <w:rsid w:val="005C1482"/>
    <w:rsid w:val="005C260D"/>
    <w:rsid w:val="005C544A"/>
    <w:rsid w:val="005C562B"/>
    <w:rsid w:val="005D20BB"/>
    <w:rsid w:val="005D2925"/>
    <w:rsid w:val="005E0764"/>
    <w:rsid w:val="005E1896"/>
    <w:rsid w:val="005E4ACD"/>
    <w:rsid w:val="005F2CC7"/>
    <w:rsid w:val="005F46BE"/>
    <w:rsid w:val="005F7C0F"/>
    <w:rsid w:val="00605C42"/>
    <w:rsid w:val="0061156C"/>
    <w:rsid w:val="00615FCF"/>
    <w:rsid w:val="00616B76"/>
    <w:rsid w:val="00617301"/>
    <w:rsid w:val="0062007D"/>
    <w:rsid w:val="00625C65"/>
    <w:rsid w:val="00625F9F"/>
    <w:rsid w:val="00627F59"/>
    <w:rsid w:val="00630A30"/>
    <w:rsid w:val="006332F8"/>
    <w:rsid w:val="00635292"/>
    <w:rsid w:val="00643D9C"/>
    <w:rsid w:val="0064460C"/>
    <w:rsid w:val="00647217"/>
    <w:rsid w:val="0064755D"/>
    <w:rsid w:val="0065530D"/>
    <w:rsid w:val="00656C94"/>
    <w:rsid w:val="00662040"/>
    <w:rsid w:val="006633B6"/>
    <w:rsid w:val="00663D25"/>
    <w:rsid w:val="00671705"/>
    <w:rsid w:val="006739C2"/>
    <w:rsid w:val="00676144"/>
    <w:rsid w:val="0067661D"/>
    <w:rsid w:val="00680F25"/>
    <w:rsid w:val="0068349F"/>
    <w:rsid w:val="00683F1D"/>
    <w:rsid w:val="00684C57"/>
    <w:rsid w:val="00684C87"/>
    <w:rsid w:val="0068639A"/>
    <w:rsid w:val="006903FC"/>
    <w:rsid w:val="0069081C"/>
    <w:rsid w:val="00696045"/>
    <w:rsid w:val="0069649F"/>
    <w:rsid w:val="006A1E44"/>
    <w:rsid w:val="006A3250"/>
    <w:rsid w:val="006A345B"/>
    <w:rsid w:val="006A371E"/>
    <w:rsid w:val="006A678C"/>
    <w:rsid w:val="006A6E9E"/>
    <w:rsid w:val="006B0FEC"/>
    <w:rsid w:val="006B25DC"/>
    <w:rsid w:val="006B2FC8"/>
    <w:rsid w:val="006B3753"/>
    <w:rsid w:val="006C617F"/>
    <w:rsid w:val="006C699D"/>
    <w:rsid w:val="006C7F14"/>
    <w:rsid w:val="006D096D"/>
    <w:rsid w:val="006D13A9"/>
    <w:rsid w:val="006E12C9"/>
    <w:rsid w:val="006E618F"/>
    <w:rsid w:val="006E7D7A"/>
    <w:rsid w:val="006F6521"/>
    <w:rsid w:val="006F7761"/>
    <w:rsid w:val="006F7B8B"/>
    <w:rsid w:val="007017D3"/>
    <w:rsid w:val="00702612"/>
    <w:rsid w:val="007060FE"/>
    <w:rsid w:val="007215DB"/>
    <w:rsid w:val="00730466"/>
    <w:rsid w:val="0073150B"/>
    <w:rsid w:val="00733BCA"/>
    <w:rsid w:val="00734781"/>
    <w:rsid w:val="00735694"/>
    <w:rsid w:val="007379C8"/>
    <w:rsid w:val="007445C3"/>
    <w:rsid w:val="00746981"/>
    <w:rsid w:val="007470B0"/>
    <w:rsid w:val="007528A0"/>
    <w:rsid w:val="0076087C"/>
    <w:rsid w:val="007636C2"/>
    <w:rsid w:val="007662DA"/>
    <w:rsid w:val="007700A0"/>
    <w:rsid w:val="00772F3B"/>
    <w:rsid w:val="0077476E"/>
    <w:rsid w:val="0077534F"/>
    <w:rsid w:val="0077793D"/>
    <w:rsid w:val="00777BDA"/>
    <w:rsid w:val="0078051B"/>
    <w:rsid w:val="0079127F"/>
    <w:rsid w:val="0079242C"/>
    <w:rsid w:val="00793648"/>
    <w:rsid w:val="007964D4"/>
    <w:rsid w:val="007A2C9E"/>
    <w:rsid w:val="007A44CC"/>
    <w:rsid w:val="007A6F63"/>
    <w:rsid w:val="007A78A2"/>
    <w:rsid w:val="007C348C"/>
    <w:rsid w:val="007D0013"/>
    <w:rsid w:val="007D24BF"/>
    <w:rsid w:val="007D2BAF"/>
    <w:rsid w:val="007D645E"/>
    <w:rsid w:val="007E2406"/>
    <w:rsid w:val="007E4C17"/>
    <w:rsid w:val="007E6671"/>
    <w:rsid w:val="007E7FEE"/>
    <w:rsid w:val="007F0E7D"/>
    <w:rsid w:val="007F18BC"/>
    <w:rsid w:val="007F217F"/>
    <w:rsid w:val="007F69CE"/>
    <w:rsid w:val="00803834"/>
    <w:rsid w:val="00807436"/>
    <w:rsid w:val="00810045"/>
    <w:rsid w:val="00810B9A"/>
    <w:rsid w:val="00811E8B"/>
    <w:rsid w:val="008150E0"/>
    <w:rsid w:val="008208AC"/>
    <w:rsid w:val="00821774"/>
    <w:rsid w:val="00822116"/>
    <w:rsid w:val="008230C0"/>
    <w:rsid w:val="00823845"/>
    <w:rsid w:val="00825D08"/>
    <w:rsid w:val="0082706A"/>
    <w:rsid w:val="008323AD"/>
    <w:rsid w:val="00834068"/>
    <w:rsid w:val="00835E8F"/>
    <w:rsid w:val="008401E3"/>
    <w:rsid w:val="00841D26"/>
    <w:rsid w:val="008458CC"/>
    <w:rsid w:val="00845EFF"/>
    <w:rsid w:val="0085434B"/>
    <w:rsid w:val="00870DA8"/>
    <w:rsid w:val="008745D7"/>
    <w:rsid w:val="0087482D"/>
    <w:rsid w:val="00877B56"/>
    <w:rsid w:val="00880460"/>
    <w:rsid w:val="008842AD"/>
    <w:rsid w:val="008862C3"/>
    <w:rsid w:val="008872F6"/>
    <w:rsid w:val="008878D4"/>
    <w:rsid w:val="008A4822"/>
    <w:rsid w:val="008B0080"/>
    <w:rsid w:val="008C02FD"/>
    <w:rsid w:val="008D3ABB"/>
    <w:rsid w:val="008E5030"/>
    <w:rsid w:val="008E7AE9"/>
    <w:rsid w:val="008F72AA"/>
    <w:rsid w:val="009039FD"/>
    <w:rsid w:val="00904770"/>
    <w:rsid w:val="00906F38"/>
    <w:rsid w:val="00914535"/>
    <w:rsid w:val="00914EA8"/>
    <w:rsid w:val="00915890"/>
    <w:rsid w:val="0092397F"/>
    <w:rsid w:val="00924A4A"/>
    <w:rsid w:val="0092676F"/>
    <w:rsid w:val="00941C6D"/>
    <w:rsid w:val="00943EC5"/>
    <w:rsid w:val="009574EC"/>
    <w:rsid w:val="00957559"/>
    <w:rsid w:val="0095765C"/>
    <w:rsid w:val="009627F2"/>
    <w:rsid w:val="0096447D"/>
    <w:rsid w:val="0096795E"/>
    <w:rsid w:val="00972059"/>
    <w:rsid w:val="0097265A"/>
    <w:rsid w:val="00976B0E"/>
    <w:rsid w:val="009810EC"/>
    <w:rsid w:val="00985148"/>
    <w:rsid w:val="00985E4D"/>
    <w:rsid w:val="00997E7F"/>
    <w:rsid w:val="009A4A98"/>
    <w:rsid w:val="009A6C43"/>
    <w:rsid w:val="009B4DA6"/>
    <w:rsid w:val="009C53D9"/>
    <w:rsid w:val="009D0CAC"/>
    <w:rsid w:val="009D349D"/>
    <w:rsid w:val="009E2D96"/>
    <w:rsid w:val="009E3E1A"/>
    <w:rsid w:val="009F2663"/>
    <w:rsid w:val="009F274E"/>
    <w:rsid w:val="009F360B"/>
    <w:rsid w:val="009F386C"/>
    <w:rsid w:val="009F5BE1"/>
    <w:rsid w:val="009F5DDE"/>
    <w:rsid w:val="00A0172B"/>
    <w:rsid w:val="00A0424F"/>
    <w:rsid w:val="00A053C5"/>
    <w:rsid w:val="00A117EE"/>
    <w:rsid w:val="00A11E57"/>
    <w:rsid w:val="00A11F10"/>
    <w:rsid w:val="00A154A8"/>
    <w:rsid w:val="00A25DFF"/>
    <w:rsid w:val="00A30B66"/>
    <w:rsid w:val="00A339B3"/>
    <w:rsid w:val="00A34895"/>
    <w:rsid w:val="00A34F2F"/>
    <w:rsid w:val="00A37015"/>
    <w:rsid w:val="00A375AF"/>
    <w:rsid w:val="00A41CB3"/>
    <w:rsid w:val="00A46BDB"/>
    <w:rsid w:val="00A51291"/>
    <w:rsid w:val="00A52641"/>
    <w:rsid w:val="00A538EA"/>
    <w:rsid w:val="00A54EA5"/>
    <w:rsid w:val="00A5605A"/>
    <w:rsid w:val="00A566D5"/>
    <w:rsid w:val="00A57004"/>
    <w:rsid w:val="00A643FF"/>
    <w:rsid w:val="00A6750F"/>
    <w:rsid w:val="00A7331B"/>
    <w:rsid w:val="00A74568"/>
    <w:rsid w:val="00A75011"/>
    <w:rsid w:val="00A809AA"/>
    <w:rsid w:val="00A81D5F"/>
    <w:rsid w:val="00A829D7"/>
    <w:rsid w:val="00A831B6"/>
    <w:rsid w:val="00A8327A"/>
    <w:rsid w:val="00A83DF4"/>
    <w:rsid w:val="00A850EB"/>
    <w:rsid w:val="00A8751A"/>
    <w:rsid w:val="00A87654"/>
    <w:rsid w:val="00A900AC"/>
    <w:rsid w:val="00A93CC0"/>
    <w:rsid w:val="00A945D4"/>
    <w:rsid w:val="00A950B9"/>
    <w:rsid w:val="00AA5EA2"/>
    <w:rsid w:val="00AB590F"/>
    <w:rsid w:val="00AC06F8"/>
    <w:rsid w:val="00AC4CB3"/>
    <w:rsid w:val="00AC6437"/>
    <w:rsid w:val="00AC6D2F"/>
    <w:rsid w:val="00AD0123"/>
    <w:rsid w:val="00AD035E"/>
    <w:rsid w:val="00AD08E6"/>
    <w:rsid w:val="00AD2148"/>
    <w:rsid w:val="00AD3D44"/>
    <w:rsid w:val="00AD55E9"/>
    <w:rsid w:val="00AD56C8"/>
    <w:rsid w:val="00AD650C"/>
    <w:rsid w:val="00AE538C"/>
    <w:rsid w:val="00AF080B"/>
    <w:rsid w:val="00AF3BA0"/>
    <w:rsid w:val="00AF6E42"/>
    <w:rsid w:val="00B01FA1"/>
    <w:rsid w:val="00B02853"/>
    <w:rsid w:val="00B066C3"/>
    <w:rsid w:val="00B10701"/>
    <w:rsid w:val="00B10FE5"/>
    <w:rsid w:val="00B1130C"/>
    <w:rsid w:val="00B126DD"/>
    <w:rsid w:val="00B16413"/>
    <w:rsid w:val="00B16E30"/>
    <w:rsid w:val="00B24AE3"/>
    <w:rsid w:val="00B24EF2"/>
    <w:rsid w:val="00B262DE"/>
    <w:rsid w:val="00B341F9"/>
    <w:rsid w:val="00B35627"/>
    <w:rsid w:val="00B35D73"/>
    <w:rsid w:val="00B37350"/>
    <w:rsid w:val="00B378AA"/>
    <w:rsid w:val="00B40DE8"/>
    <w:rsid w:val="00B42C6C"/>
    <w:rsid w:val="00B46A6F"/>
    <w:rsid w:val="00B47E4C"/>
    <w:rsid w:val="00B55693"/>
    <w:rsid w:val="00B574DB"/>
    <w:rsid w:val="00B759D6"/>
    <w:rsid w:val="00B75A87"/>
    <w:rsid w:val="00B75CE8"/>
    <w:rsid w:val="00B770A3"/>
    <w:rsid w:val="00B80670"/>
    <w:rsid w:val="00B8201A"/>
    <w:rsid w:val="00B8577D"/>
    <w:rsid w:val="00B87664"/>
    <w:rsid w:val="00B90F11"/>
    <w:rsid w:val="00B940D3"/>
    <w:rsid w:val="00B94F04"/>
    <w:rsid w:val="00BA1ED7"/>
    <w:rsid w:val="00BA5199"/>
    <w:rsid w:val="00BA6902"/>
    <w:rsid w:val="00BB140A"/>
    <w:rsid w:val="00BB4BA9"/>
    <w:rsid w:val="00BB5C6B"/>
    <w:rsid w:val="00BC09C8"/>
    <w:rsid w:val="00BC1B64"/>
    <w:rsid w:val="00BC5ED5"/>
    <w:rsid w:val="00BD193F"/>
    <w:rsid w:val="00BD1CF3"/>
    <w:rsid w:val="00BD2912"/>
    <w:rsid w:val="00BD5ABD"/>
    <w:rsid w:val="00BD5C72"/>
    <w:rsid w:val="00BE0055"/>
    <w:rsid w:val="00BE2D74"/>
    <w:rsid w:val="00BE3E68"/>
    <w:rsid w:val="00BE6C60"/>
    <w:rsid w:val="00BE79CB"/>
    <w:rsid w:val="00BF43E8"/>
    <w:rsid w:val="00BF6327"/>
    <w:rsid w:val="00BF6E62"/>
    <w:rsid w:val="00C017D6"/>
    <w:rsid w:val="00C027A5"/>
    <w:rsid w:val="00C0303F"/>
    <w:rsid w:val="00C04956"/>
    <w:rsid w:val="00C05DFB"/>
    <w:rsid w:val="00C076E3"/>
    <w:rsid w:val="00C138A9"/>
    <w:rsid w:val="00C1686B"/>
    <w:rsid w:val="00C16B78"/>
    <w:rsid w:val="00C23376"/>
    <w:rsid w:val="00C23B09"/>
    <w:rsid w:val="00C23E70"/>
    <w:rsid w:val="00C3549F"/>
    <w:rsid w:val="00C35FEA"/>
    <w:rsid w:val="00C36800"/>
    <w:rsid w:val="00C37CA8"/>
    <w:rsid w:val="00C4404F"/>
    <w:rsid w:val="00C467D9"/>
    <w:rsid w:val="00C525C1"/>
    <w:rsid w:val="00C53603"/>
    <w:rsid w:val="00C606C0"/>
    <w:rsid w:val="00C617D3"/>
    <w:rsid w:val="00C645DB"/>
    <w:rsid w:val="00C679C8"/>
    <w:rsid w:val="00C71D15"/>
    <w:rsid w:val="00C71EFA"/>
    <w:rsid w:val="00C725A0"/>
    <w:rsid w:val="00C73601"/>
    <w:rsid w:val="00C879E1"/>
    <w:rsid w:val="00C87D23"/>
    <w:rsid w:val="00C953D9"/>
    <w:rsid w:val="00C959CD"/>
    <w:rsid w:val="00C96745"/>
    <w:rsid w:val="00C96D4F"/>
    <w:rsid w:val="00CA39B5"/>
    <w:rsid w:val="00CB151F"/>
    <w:rsid w:val="00CB5441"/>
    <w:rsid w:val="00CB695F"/>
    <w:rsid w:val="00CB7478"/>
    <w:rsid w:val="00CC0967"/>
    <w:rsid w:val="00CC2C3D"/>
    <w:rsid w:val="00CC30B2"/>
    <w:rsid w:val="00CC4061"/>
    <w:rsid w:val="00CC5186"/>
    <w:rsid w:val="00CC5CAA"/>
    <w:rsid w:val="00CD1D06"/>
    <w:rsid w:val="00CD2F2D"/>
    <w:rsid w:val="00CD302C"/>
    <w:rsid w:val="00CD3CC0"/>
    <w:rsid w:val="00CD65BC"/>
    <w:rsid w:val="00CD75D5"/>
    <w:rsid w:val="00CE0D0A"/>
    <w:rsid w:val="00CE3F9A"/>
    <w:rsid w:val="00CE76A3"/>
    <w:rsid w:val="00CF03D2"/>
    <w:rsid w:val="00CF0CD2"/>
    <w:rsid w:val="00CF4DA2"/>
    <w:rsid w:val="00CF5FFB"/>
    <w:rsid w:val="00CF7A31"/>
    <w:rsid w:val="00CF7B28"/>
    <w:rsid w:val="00D01F96"/>
    <w:rsid w:val="00D03955"/>
    <w:rsid w:val="00D0456F"/>
    <w:rsid w:val="00D05804"/>
    <w:rsid w:val="00D10A40"/>
    <w:rsid w:val="00D11934"/>
    <w:rsid w:val="00D1217D"/>
    <w:rsid w:val="00D129B3"/>
    <w:rsid w:val="00D13D70"/>
    <w:rsid w:val="00D16C27"/>
    <w:rsid w:val="00D3011F"/>
    <w:rsid w:val="00D45B2D"/>
    <w:rsid w:val="00D5030F"/>
    <w:rsid w:val="00D55B82"/>
    <w:rsid w:val="00D70082"/>
    <w:rsid w:val="00D75BB6"/>
    <w:rsid w:val="00D77F3F"/>
    <w:rsid w:val="00D80742"/>
    <w:rsid w:val="00D86324"/>
    <w:rsid w:val="00D867E0"/>
    <w:rsid w:val="00D87103"/>
    <w:rsid w:val="00D918E0"/>
    <w:rsid w:val="00D959AC"/>
    <w:rsid w:val="00D962DB"/>
    <w:rsid w:val="00D96330"/>
    <w:rsid w:val="00DA0654"/>
    <w:rsid w:val="00DA0DF8"/>
    <w:rsid w:val="00DA11DF"/>
    <w:rsid w:val="00DA39F4"/>
    <w:rsid w:val="00DA46B1"/>
    <w:rsid w:val="00DA5F85"/>
    <w:rsid w:val="00DA7EAB"/>
    <w:rsid w:val="00DB08BC"/>
    <w:rsid w:val="00DB4387"/>
    <w:rsid w:val="00DB5FEE"/>
    <w:rsid w:val="00DC09E6"/>
    <w:rsid w:val="00DD24B5"/>
    <w:rsid w:val="00DE2462"/>
    <w:rsid w:val="00DE32C5"/>
    <w:rsid w:val="00DE75B5"/>
    <w:rsid w:val="00DE7C4B"/>
    <w:rsid w:val="00DF1A33"/>
    <w:rsid w:val="00DF26DE"/>
    <w:rsid w:val="00DF2EA9"/>
    <w:rsid w:val="00DF4EF3"/>
    <w:rsid w:val="00DF4F8F"/>
    <w:rsid w:val="00E03664"/>
    <w:rsid w:val="00E06A57"/>
    <w:rsid w:val="00E06C56"/>
    <w:rsid w:val="00E07863"/>
    <w:rsid w:val="00E10D82"/>
    <w:rsid w:val="00E1553A"/>
    <w:rsid w:val="00E20404"/>
    <w:rsid w:val="00E22E59"/>
    <w:rsid w:val="00E236DF"/>
    <w:rsid w:val="00E2634C"/>
    <w:rsid w:val="00E269B5"/>
    <w:rsid w:val="00E26EB2"/>
    <w:rsid w:val="00E301A7"/>
    <w:rsid w:val="00E306C4"/>
    <w:rsid w:val="00E32504"/>
    <w:rsid w:val="00E33B7D"/>
    <w:rsid w:val="00E3453E"/>
    <w:rsid w:val="00E34CF5"/>
    <w:rsid w:val="00E355C8"/>
    <w:rsid w:val="00E52E52"/>
    <w:rsid w:val="00E56740"/>
    <w:rsid w:val="00E56ACA"/>
    <w:rsid w:val="00E642C4"/>
    <w:rsid w:val="00E668CC"/>
    <w:rsid w:val="00E76BB6"/>
    <w:rsid w:val="00E84E3C"/>
    <w:rsid w:val="00E92770"/>
    <w:rsid w:val="00E93757"/>
    <w:rsid w:val="00E94D3F"/>
    <w:rsid w:val="00EA0C6A"/>
    <w:rsid w:val="00EA5656"/>
    <w:rsid w:val="00EA6E2A"/>
    <w:rsid w:val="00EB0276"/>
    <w:rsid w:val="00EC294C"/>
    <w:rsid w:val="00EC5152"/>
    <w:rsid w:val="00EC5407"/>
    <w:rsid w:val="00EC6DA3"/>
    <w:rsid w:val="00EC71AA"/>
    <w:rsid w:val="00ED0BE4"/>
    <w:rsid w:val="00ED58C0"/>
    <w:rsid w:val="00ED6D5C"/>
    <w:rsid w:val="00EE06D4"/>
    <w:rsid w:val="00EE4FCC"/>
    <w:rsid w:val="00EE5D97"/>
    <w:rsid w:val="00EF1FA9"/>
    <w:rsid w:val="00EF3FB6"/>
    <w:rsid w:val="00EF443A"/>
    <w:rsid w:val="00EF4AE3"/>
    <w:rsid w:val="00EF4ED4"/>
    <w:rsid w:val="00EF5507"/>
    <w:rsid w:val="00F03A63"/>
    <w:rsid w:val="00F03E8E"/>
    <w:rsid w:val="00F068CE"/>
    <w:rsid w:val="00F12346"/>
    <w:rsid w:val="00F242E0"/>
    <w:rsid w:val="00F301A6"/>
    <w:rsid w:val="00F3171F"/>
    <w:rsid w:val="00F3525B"/>
    <w:rsid w:val="00F37898"/>
    <w:rsid w:val="00F40FC9"/>
    <w:rsid w:val="00F4396E"/>
    <w:rsid w:val="00F50C73"/>
    <w:rsid w:val="00F5489D"/>
    <w:rsid w:val="00F558BB"/>
    <w:rsid w:val="00F56D96"/>
    <w:rsid w:val="00F606EE"/>
    <w:rsid w:val="00F61587"/>
    <w:rsid w:val="00F65274"/>
    <w:rsid w:val="00F70768"/>
    <w:rsid w:val="00F70A70"/>
    <w:rsid w:val="00F73305"/>
    <w:rsid w:val="00F7403C"/>
    <w:rsid w:val="00F80090"/>
    <w:rsid w:val="00F8110E"/>
    <w:rsid w:val="00F81770"/>
    <w:rsid w:val="00F83E52"/>
    <w:rsid w:val="00F92135"/>
    <w:rsid w:val="00F933EC"/>
    <w:rsid w:val="00F94EB9"/>
    <w:rsid w:val="00FA1A3B"/>
    <w:rsid w:val="00FA1C59"/>
    <w:rsid w:val="00FA64BC"/>
    <w:rsid w:val="00FA7671"/>
    <w:rsid w:val="00FB0780"/>
    <w:rsid w:val="00FB3DA9"/>
    <w:rsid w:val="00FB6889"/>
    <w:rsid w:val="00FC4205"/>
    <w:rsid w:val="00FC4657"/>
    <w:rsid w:val="00FD2FD9"/>
    <w:rsid w:val="00FD4D5F"/>
    <w:rsid w:val="00FD7DD9"/>
    <w:rsid w:val="00FE3CD5"/>
    <w:rsid w:val="00FF05CC"/>
    <w:rsid w:val="00FF35E9"/>
    <w:rsid w:val="00FF385D"/>
    <w:rsid w:val="00FF3F97"/>
    <w:rsid w:val="00FF43BC"/>
    <w:rsid w:val="00FF516F"/>
    <w:rsid w:val="00FF5757"/>
    <w:rsid w:val="00FF6EAF"/>
    <w:rsid w:val="00FF6F15"/>
    <w:rsid w:val="00FF722A"/>
    <w:rsid w:val="01064C9A"/>
    <w:rsid w:val="01814321"/>
    <w:rsid w:val="01964270"/>
    <w:rsid w:val="01F236BF"/>
    <w:rsid w:val="01F62F61"/>
    <w:rsid w:val="02247FD0"/>
    <w:rsid w:val="026E6F9B"/>
    <w:rsid w:val="02A46519"/>
    <w:rsid w:val="02B228B6"/>
    <w:rsid w:val="02E64D83"/>
    <w:rsid w:val="032575CE"/>
    <w:rsid w:val="033865C2"/>
    <w:rsid w:val="03C20355"/>
    <w:rsid w:val="03C63664"/>
    <w:rsid w:val="042E301D"/>
    <w:rsid w:val="04342FEA"/>
    <w:rsid w:val="043F152C"/>
    <w:rsid w:val="04CC30E2"/>
    <w:rsid w:val="05080FE1"/>
    <w:rsid w:val="050C25A7"/>
    <w:rsid w:val="05A47696"/>
    <w:rsid w:val="05FC644F"/>
    <w:rsid w:val="06024ECD"/>
    <w:rsid w:val="063813A4"/>
    <w:rsid w:val="065B3392"/>
    <w:rsid w:val="065E2E82"/>
    <w:rsid w:val="071F6AB6"/>
    <w:rsid w:val="07420759"/>
    <w:rsid w:val="07802F03"/>
    <w:rsid w:val="07925BCE"/>
    <w:rsid w:val="07966D78"/>
    <w:rsid w:val="07A31337"/>
    <w:rsid w:val="07C430CE"/>
    <w:rsid w:val="07DA1BF5"/>
    <w:rsid w:val="08117029"/>
    <w:rsid w:val="08521399"/>
    <w:rsid w:val="08733B60"/>
    <w:rsid w:val="08B6391C"/>
    <w:rsid w:val="08C416C3"/>
    <w:rsid w:val="08ED773F"/>
    <w:rsid w:val="09746C47"/>
    <w:rsid w:val="09BB7189"/>
    <w:rsid w:val="09D461DB"/>
    <w:rsid w:val="09D82C55"/>
    <w:rsid w:val="0A4D04B8"/>
    <w:rsid w:val="0AAC2D33"/>
    <w:rsid w:val="0B640F3B"/>
    <w:rsid w:val="0B6447DE"/>
    <w:rsid w:val="0B924EA6"/>
    <w:rsid w:val="0BA8707A"/>
    <w:rsid w:val="0BCD6B90"/>
    <w:rsid w:val="0BD55995"/>
    <w:rsid w:val="0CBD3F55"/>
    <w:rsid w:val="0CD345CA"/>
    <w:rsid w:val="0CE642FD"/>
    <w:rsid w:val="0D0F1177"/>
    <w:rsid w:val="0D44754B"/>
    <w:rsid w:val="0D7774BC"/>
    <w:rsid w:val="0DA11FD2"/>
    <w:rsid w:val="0DAE2970"/>
    <w:rsid w:val="0DF43C22"/>
    <w:rsid w:val="0E1A4C1D"/>
    <w:rsid w:val="0E1C5AFD"/>
    <w:rsid w:val="0E605FA9"/>
    <w:rsid w:val="0EEA1757"/>
    <w:rsid w:val="0EF43790"/>
    <w:rsid w:val="0EFB6149"/>
    <w:rsid w:val="0F470958"/>
    <w:rsid w:val="0F7A6F7F"/>
    <w:rsid w:val="0F931DEF"/>
    <w:rsid w:val="0FD76906"/>
    <w:rsid w:val="0FE67C36"/>
    <w:rsid w:val="10202516"/>
    <w:rsid w:val="10533EA5"/>
    <w:rsid w:val="10976B58"/>
    <w:rsid w:val="10CD1330"/>
    <w:rsid w:val="10CE224E"/>
    <w:rsid w:val="10CF6E57"/>
    <w:rsid w:val="10FD72CB"/>
    <w:rsid w:val="11212652"/>
    <w:rsid w:val="11401CDB"/>
    <w:rsid w:val="11A42091"/>
    <w:rsid w:val="11C269BB"/>
    <w:rsid w:val="11C5663B"/>
    <w:rsid w:val="11C91AF8"/>
    <w:rsid w:val="11DC5CCF"/>
    <w:rsid w:val="11E206AB"/>
    <w:rsid w:val="12543AB7"/>
    <w:rsid w:val="12656788"/>
    <w:rsid w:val="127203E1"/>
    <w:rsid w:val="12BE6D19"/>
    <w:rsid w:val="12C765B7"/>
    <w:rsid w:val="12D9391D"/>
    <w:rsid w:val="1324792E"/>
    <w:rsid w:val="137F11A6"/>
    <w:rsid w:val="13943975"/>
    <w:rsid w:val="13A75E69"/>
    <w:rsid w:val="13B93E94"/>
    <w:rsid w:val="141E247E"/>
    <w:rsid w:val="149646D5"/>
    <w:rsid w:val="14B00D4D"/>
    <w:rsid w:val="1590079B"/>
    <w:rsid w:val="15982CE0"/>
    <w:rsid w:val="15AC7766"/>
    <w:rsid w:val="15FD01D9"/>
    <w:rsid w:val="16337E88"/>
    <w:rsid w:val="1647748F"/>
    <w:rsid w:val="16993825"/>
    <w:rsid w:val="16AF5260"/>
    <w:rsid w:val="16BA4105"/>
    <w:rsid w:val="16DB6126"/>
    <w:rsid w:val="17606A5A"/>
    <w:rsid w:val="17740758"/>
    <w:rsid w:val="18267CA4"/>
    <w:rsid w:val="183E6584"/>
    <w:rsid w:val="186A29D5"/>
    <w:rsid w:val="1884416E"/>
    <w:rsid w:val="18B271DA"/>
    <w:rsid w:val="190B50EC"/>
    <w:rsid w:val="193E6D83"/>
    <w:rsid w:val="19900D6F"/>
    <w:rsid w:val="19FE7829"/>
    <w:rsid w:val="1A41446C"/>
    <w:rsid w:val="1A4A39F2"/>
    <w:rsid w:val="1A6A7BF0"/>
    <w:rsid w:val="1A7171D0"/>
    <w:rsid w:val="1AD05CA5"/>
    <w:rsid w:val="1AEE25CF"/>
    <w:rsid w:val="1B2328D9"/>
    <w:rsid w:val="1B4E7817"/>
    <w:rsid w:val="1C025407"/>
    <w:rsid w:val="1C646FED"/>
    <w:rsid w:val="1C8C6B54"/>
    <w:rsid w:val="1C965444"/>
    <w:rsid w:val="1C9936BB"/>
    <w:rsid w:val="1CC47A8B"/>
    <w:rsid w:val="1D04553C"/>
    <w:rsid w:val="1DE877AA"/>
    <w:rsid w:val="1DEF0B38"/>
    <w:rsid w:val="1EEE7042"/>
    <w:rsid w:val="1F2111C5"/>
    <w:rsid w:val="1FC61D6D"/>
    <w:rsid w:val="1FEF3071"/>
    <w:rsid w:val="1FFA7A87"/>
    <w:rsid w:val="20513931"/>
    <w:rsid w:val="21B55BF5"/>
    <w:rsid w:val="227B6E3E"/>
    <w:rsid w:val="22A10AED"/>
    <w:rsid w:val="22B92EFC"/>
    <w:rsid w:val="22BA4C63"/>
    <w:rsid w:val="231B417D"/>
    <w:rsid w:val="235F406A"/>
    <w:rsid w:val="237A5348"/>
    <w:rsid w:val="238D6DA2"/>
    <w:rsid w:val="23B07C48"/>
    <w:rsid w:val="23D04F68"/>
    <w:rsid w:val="23D513E6"/>
    <w:rsid w:val="23ED1676"/>
    <w:rsid w:val="25212C50"/>
    <w:rsid w:val="25496C25"/>
    <w:rsid w:val="256672FD"/>
    <w:rsid w:val="257D111F"/>
    <w:rsid w:val="25E940BF"/>
    <w:rsid w:val="25EB6089"/>
    <w:rsid w:val="260E28FB"/>
    <w:rsid w:val="261163E2"/>
    <w:rsid w:val="26690F27"/>
    <w:rsid w:val="267A0A7C"/>
    <w:rsid w:val="269D1AE9"/>
    <w:rsid w:val="26C31CF7"/>
    <w:rsid w:val="271275A1"/>
    <w:rsid w:val="272D447F"/>
    <w:rsid w:val="275A0D51"/>
    <w:rsid w:val="2797267C"/>
    <w:rsid w:val="27E96F43"/>
    <w:rsid w:val="28017DE6"/>
    <w:rsid w:val="28050C14"/>
    <w:rsid w:val="28191AAB"/>
    <w:rsid w:val="281C3E0C"/>
    <w:rsid w:val="281E3F54"/>
    <w:rsid w:val="283A5D85"/>
    <w:rsid w:val="284D4DD9"/>
    <w:rsid w:val="287A1946"/>
    <w:rsid w:val="28875A28"/>
    <w:rsid w:val="289E5635"/>
    <w:rsid w:val="28D80731"/>
    <w:rsid w:val="28E84B02"/>
    <w:rsid w:val="28FD4E55"/>
    <w:rsid w:val="29355F4C"/>
    <w:rsid w:val="29F101C9"/>
    <w:rsid w:val="2A122930"/>
    <w:rsid w:val="2A67055A"/>
    <w:rsid w:val="2A6E1037"/>
    <w:rsid w:val="2A92516B"/>
    <w:rsid w:val="2A944132"/>
    <w:rsid w:val="2B530B5A"/>
    <w:rsid w:val="2B645225"/>
    <w:rsid w:val="2B7F799F"/>
    <w:rsid w:val="2B8D2A88"/>
    <w:rsid w:val="2BBE7D9C"/>
    <w:rsid w:val="2BBF2B14"/>
    <w:rsid w:val="2BFE692D"/>
    <w:rsid w:val="2C6B2B5A"/>
    <w:rsid w:val="2C8B5ED0"/>
    <w:rsid w:val="2C8D7E9A"/>
    <w:rsid w:val="2CDD4E56"/>
    <w:rsid w:val="2CE2411F"/>
    <w:rsid w:val="2CEB2B60"/>
    <w:rsid w:val="2CFD2F75"/>
    <w:rsid w:val="2D0B60C2"/>
    <w:rsid w:val="2D176EF5"/>
    <w:rsid w:val="2D190B64"/>
    <w:rsid w:val="2D8F23F0"/>
    <w:rsid w:val="2D931734"/>
    <w:rsid w:val="2DAC2191"/>
    <w:rsid w:val="2DD752A0"/>
    <w:rsid w:val="2DD91E5C"/>
    <w:rsid w:val="2DDD09AD"/>
    <w:rsid w:val="2DEA751A"/>
    <w:rsid w:val="2E13022D"/>
    <w:rsid w:val="2E312AA7"/>
    <w:rsid w:val="2E6857F7"/>
    <w:rsid w:val="2E7806D6"/>
    <w:rsid w:val="2E9F315C"/>
    <w:rsid w:val="2EA420B8"/>
    <w:rsid w:val="2EED4C20"/>
    <w:rsid w:val="2F1A0E44"/>
    <w:rsid w:val="2F1F653D"/>
    <w:rsid w:val="2F715273"/>
    <w:rsid w:val="2F7D000B"/>
    <w:rsid w:val="2FD3019E"/>
    <w:rsid w:val="2FF44BB5"/>
    <w:rsid w:val="2FF818BA"/>
    <w:rsid w:val="30544711"/>
    <w:rsid w:val="30605C02"/>
    <w:rsid w:val="31175B1D"/>
    <w:rsid w:val="316114EF"/>
    <w:rsid w:val="31AF2660"/>
    <w:rsid w:val="31B065E9"/>
    <w:rsid w:val="31C67770"/>
    <w:rsid w:val="31E16592"/>
    <w:rsid w:val="31EE13DB"/>
    <w:rsid w:val="32717916"/>
    <w:rsid w:val="32B65F9A"/>
    <w:rsid w:val="32BC1C5D"/>
    <w:rsid w:val="334A6D87"/>
    <w:rsid w:val="336D543A"/>
    <w:rsid w:val="33B977C6"/>
    <w:rsid w:val="33C5714F"/>
    <w:rsid w:val="33EA5BD2"/>
    <w:rsid w:val="3428494C"/>
    <w:rsid w:val="34362BC5"/>
    <w:rsid w:val="350F1E20"/>
    <w:rsid w:val="35132F06"/>
    <w:rsid w:val="35143245"/>
    <w:rsid w:val="351B603F"/>
    <w:rsid w:val="358F4547"/>
    <w:rsid w:val="35956011"/>
    <w:rsid w:val="35BE10C4"/>
    <w:rsid w:val="363650FE"/>
    <w:rsid w:val="364E2639"/>
    <w:rsid w:val="364F3704"/>
    <w:rsid w:val="3656754F"/>
    <w:rsid w:val="366D533F"/>
    <w:rsid w:val="3680105A"/>
    <w:rsid w:val="368816D2"/>
    <w:rsid w:val="36A92D84"/>
    <w:rsid w:val="36BD144F"/>
    <w:rsid w:val="377F4CB6"/>
    <w:rsid w:val="379245B6"/>
    <w:rsid w:val="388A013B"/>
    <w:rsid w:val="38B9333E"/>
    <w:rsid w:val="39944B9A"/>
    <w:rsid w:val="39D4521C"/>
    <w:rsid w:val="39D709A6"/>
    <w:rsid w:val="39D92970"/>
    <w:rsid w:val="3A083C9F"/>
    <w:rsid w:val="3A0D4C7D"/>
    <w:rsid w:val="3A226729"/>
    <w:rsid w:val="3A3F654C"/>
    <w:rsid w:val="3A967EAA"/>
    <w:rsid w:val="3AF03326"/>
    <w:rsid w:val="3AF364B7"/>
    <w:rsid w:val="3B236D6B"/>
    <w:rsid w:val="3B9A7EDD"/>
    <w:rsid w:val="3BA23479"/>
    <w:rsid w:val="3BBB1CFC"/>
    <w:rsid w:val="3C1D1B4E"/>
    <w:rsid w:val="3C291261"/>
    <w:rsid w:val="3DD14817"/>
    <w:rsid w:val="3E2A3F0B"/>
    <w:rsid w:val="3E300685"/>
    <w:rsid w:val="3E810EE1"/>
    <w:rsid w:val="3E891477"/>
    <w:rsid w:val="3EBF1057"/>
    <w:rsid w:val="3EFD1A4B"/>
    <w:rsid w:val="3F1E4B9D"/>
    <w:rsid w:val="3F79605C"/>
    <w:rsid w:val="3FAC2F42"/>
    <w:rsid w:val="3FE536F1"/>
    <w:rsid w:val="4013025E"/>
    <w:rsid w:val="401561AB"/>
    <w:rsid w:val="405A40DF"/>
    <w:rsid w:val="40A92185"/>
    <w:rsid w:val="40B27110"/>
    <w:rsid w:val="41073749"/>
    <w:rsid w:val="41200E85"/>
    <w:rsid w:val="41350B31"/>
    <w:rsid w:val="41790595"/>
    <w:rsid w:val="417A47C5"/>
    <w:rsid w:val="418514BA"/>
    <w:rsid w:val="41B15F81"/>
    <w:rsid w:val="41C757A4"/>
    <w:rsid w:val="421E51F7"/>
    <w:rsid w:val="42723962"/>
    <w:rsid w:val="42737B66"/>
    <w:rsid w:val="434567A1"/>
    <w:rsid w:val="435F025C"/>
    <w:rsid w:val="43776020"/>
    <w:rsid w:val="437D1B11"/>
    <w:rsid w:val="4387229F"/>
    <w:rsid w:val="43BE6733"/>
    <w:rsid w:val="43C16EF5"/>
    <w:rsid w:val="43D4429C"/>
    <w:rsid w:val="43EA577A"/>
    <w:rsid w:val="44340084"/>
    <w:rsid w:val="44626E27"/>
    <w:rsid w:val="44CD1324"/>
    <w:rsid w:val="45165DA8"/>
    <w:rsid w:val="45561DE1"/>
    <w:rsid w:val="455A1F7B"/>
    <w:rsid w:val="461F720A"/>
    <w:rsid w:val="464E1EF3"/>
    <w:rsid w:val="46557F55"/>
    <w:rsid w:val="46596E4E"/>
    <w:rsid w:val="46717570"/>
    <w:rsid w:val="4762337B"/>
    <w:rsid w:val="47900A69"/>
    <w:rsid w:val="47A46988"/>
    <w:rsid w:val="47BE729C"/>
    <w:rsid w:val="47E979DB"/>
    <w:rsid w:val="483452FF"/>
    <w:rsid w:val="483F42E6"/>
    <w:rsid w:val="485F6737"/>
    <w:rsid w:val="49283A51"/>
    <w:rsid w:val="4938307D"/>
    <w:rsid w:val="498578A3"/>
    <w:rsid w:val="49B22896"/>
    <w:rsid w:val="49CF51F6"/>
    <w:rsid w:val="4A176B9D"/>
    <w:rsid w:val="4A4C4A99"/>
    <w:rsid w:val="4A575386"/>
    <w:rsid w:val="4AB46078"/>
    <w:rsid w:val="4AD55620"/>
    <w:rsid w:val="4ADB406F"/>
    <w:rsid w:val="4B3C67D0"/>
    <w:rsid w:val="4B502367"/>
    <w:rsid w:val="4B610F29"/>
    <w:rsid w:val="4BDA4326"/>
    <w:rsid w:val="4BE53D21"/>
    <w:rsid w:val="4C7B3413"/>
    <w:rsid w:val="4C8A5D4C"/>
    <w:rsid w:val="4CEB2C23"/>
    <w:rsid w:val="4D0B6860"/>
    <w:rsid w:val="4D322D6F"/>
    <w:rsid w:val="4D5B4478"/>
    <w:rsid w:val="4D7034CA"/>
    <w:rsid w:val="4D86543A"/>
    <w:rsid w:val="4D9603BC"/>
    <w:rsid w:val="4DB41096"/>
    <w:rsid w:val="4E05046A"/>
    <w:rsid w:val="4E3E294A"/>
    <w:rsid w:val="4EB40E5E"/>
    <w:rsid w:val="4F142761"/>
    <w:rsid w:val="4F6B3C13"/>
    <w:rsid w:val="4F8C3B89"/>
    <w:rsid w:val="4FAC15D6"/>
    <w:rsid w:val="504F19B7"/>
    <w:rsid w:val="50970A38"/>
    <w:rsid w:val="513E0EB3"/>
    <w:rsid w:val="515B73D1"/>
    <w:rsid w:val="51A258E6"/>
    <w:rsid w:val="51E60AEB"/>
    <w:rsid w:val="52043EAB"/>
    <w:rsid w:val="5205630C"/>
    <w:rsid w:val="525F235D"/>
    <w:rsid w:val="52C673B2"/>
    <w:rsid w:val="52EF6909"/>
    <w:rsid w:val="53141610"/>
    <w:rsid w:val="533D58C6"/>
    <w:rsid w:val="5358625C"/>
    <w:rsid w:val="53682217"/>
    <w:rsid w:val="537E1CE8"/>
    <w:rsid w:val="538176EC"/>
    <w:rsid w:val="5385101B"/>
    <w:rsid w:val="53976E07"/>
    <w:rsid w:val="53B93181"/>
    <w:rsid w:val="53BA1776"/>
    <w:rsid w:val="53C33F66"/>
    <w:rsid w:val="546A2B5F"/>
    <w:rsid w:val="54751090"/>
    <w:rsid w:val="54A44B50"/>
    <w:rsid w:val="54C916E2"/>
    <w:rsid w:val="54CC5154"/>
    <w:rsid w:val="54D027E6"/>
    <w:rsid w:val="54E0475B"/>
    <w:rsid w:val="55164621"/>
    <w:rsid w:val="555650C2"/>
    <w:rsid w:val="557372BD"/>
    <w:rsid w:val="557D2294"/>
    <w:rsid w:val="55E307C3"/>
    <w:rsid w:val="55FF082E"/>
    <w:rsid w:val="560A18A0"/>
    <w:rsid w:val="56186177"/>
    <w:rsid w:val="56B0015D"/>
    <w:rsid w:val="572F5C15"/>
    <w:rsid w:val="573624F0"/>
    <w:rsid w:val="576D24F2"/>
    <w:rsid w:val="5782300E"/>
    <w:rsid w:val="57A85FDD"/>
    <w:rsid w:val="586616BE"/>
    <w:rsid w:val="586E599C"/>
    <w:rsid w:val="58701E6B"/>
    <w:rsid w:val="587F0709"/>
    <w:rsid w:val="58B44A65"/>
    <w:rsid w:val="58DF19DA"/>
    <w:rsid w:val="58DF5AA2"/>
    <w:rsid w:val="58F326A0"/>
    <w:rsid w:val="5903310E"/>
    <w:rsid w:val="59265E7F"/>
    <w:rsid w:val="599C4367"/>
    <w:rsid w:val="59B65F51"/>
    <w:rsid w:val="59F709D1"/>
    <w:rsid w:val="5A2C087E"/>
    <w:rsid w:val="5A474E64"/>
    <w:rsid w:val="5A7824D1"/>
    <w:rsid w:val="5A875679"/>
    <w:rsid w:val="5AA20705"/>
    <w:rsid w:val="5ACB5808"/>
    <w:rsid w:val="5AD4114F"/>
    <w:rsid w:val="5AED7BD2"/>
    <w:rsid w:val="5AF34ABD"/>
    <w:rsid w:val="5B025F81"/>
    <w:rsid w:val="5B045237"/>
    <w:rsid w:val="5B4238A9"/>
    <w:rsid w:val="5B4A24A8"/>
    <w:rsid w:val="5B621564"/>
    <w:rsid w:val="5B720E3D"/>
    <w:rsid w:val="5B8A27C8"/>
    <w:rsid w:val="5B8F0C89"/>
    <w:rsid w:val="5BA17C7C"/>
    <w:rsid w:val="5BC22E0D"/>
    <w:rsid w:val="5BDA3AC8"/>
    <w:rsid w:val="5BF1724E"/>
    <w:rsid w:val="5C2F5FC8"/>
    <w:rsid w:val="5C593045"/>
    <w:rsid w:val="5C594DF3"/>
    <w:rsid w:val="5CE768A3"/>
    <w:rsid w:val="5D1310DA"/>
    <w:rsid w:val="5D8A5BAC"/>
    <w:rsid w:val="5DA05B70"/>
    <w:rsid w:val="5DD269C1"/>
    <w:rsid w:val="5DE66B5A"/>
    <w:rsid w:val="5E0538FE"/>
    <w:rsid w:val="5E234E40"/>
    <w:rsid w:val="5E314503"/>
    <w:rsid w:val="5E3C3095"/>
    <w:rsid w:val="5E5428BD"/>
    <w:rsid w:val="5E667901"/>
    <w:rsid w:val="5E6B0AA7"/>
    <w:rsid w:val="5E80006A"/>
    <w:rsid w:val="5E92012D"/>
    <w:rsid w:val="5E9A161A"/>
    <w:rsid w:val="5ED2780B"/>
    <w:rsid w:val="5F324C8B"/>
    <w:rsid w:val="5F4C2934"/>
    <w:rsid w:val="5F867CB5"/>
    <w:rsid w:val="5FEB599C"/>
    <w:rsid w:val="5FFA2438"/>
    <w:rsid w:val="603649E8"/>
    <w:rsid w:val="603E2C7E"/>
    <w:rsid w:val="60623479"/>
    <w:rsid w:val="608E7761"/>
    <w:rsid w:val="611B1B3D"/>
    <w:rsid w:val="611B5BF1"/>
    <w:rsid w:val="612668C8"/>
    <w:rsid w:val="61457497"/>
    <w:rsid w:val="615362B5"/>
    <w:rsid w:val="61744C62"/>
    <w:rsid w:val="617526CF"/>
    <w:rsid w:val="61A6612B"/>
    <w:rsid w:val="61E635CD"/>
    <w:rsid w:val="620134C0"/>
    <w:rsid w:val="62015DC4"/>
    <w:rsid w:val="62570027"/>
    <w:rsid w:val="62D6719E"/>
    <w:rsid w:val="63091D31"/>
    <w:rsid w:val="6318342A"/>
    <w:rsid w:val="631E1DF6"/>
    <w:rsid w:val="63503528"/>
    <w:rsid w:val="63534C92"/>
    <w:rsid w:val="635602DE"/>
    <w:rsid w:val="63737AAA"/>
    <w:rsid w:val="63903C4D"/>
    <w:rsid w:val="63C16238"/>
    <w:rsid w:val="64862C51"/>
    <w:rsid w:val="64986E00"/>
    <w:rsid w:val="64993218"/>
    <w:rsid w:val="64AD572B"/>
    <w:rsid w:val="64D158FD"/>
    <w:rsid w:val="65073BFF"/>
    <w:rsid w:val="653603C7"/>
    <w:rsid w:val="657607C4"/>
    <w:rsid w:val="65E41BD1"/>
    <w:rsid w:val="661029C7"/>
    <w:rsid w:val="668B0FA4"/>
    <w:rsid w:val="66AF0431"/>
    <w:rsid w:val="66B72512"/>
    <w:rsid w:val="66BE76B4"/>
    <w:rsid w:val="66CF6FDC"/>
    <w:rsid w:val="66E947FF"/>
    <w:rsid w:val="673426E5"/>
    <w:rsid w:val="677D4646"/>
    <w:rsid w:val="67A930D3"/>
    <w:rsid w:val="67D84D8B"/>
    <w:rsid w:val="67FC2F18"/>
    <w:rsid w:val="68334B2A"/>
    <w:rsid w:val="68616285"/>
    <w:rsid w:val="68836A93"/>
    <w:rsid w:val="68867C3E"/>
    <w:rsid w:val="689340DA"/>
    <w:rsid w:val="690221A1"/>
    <w:rsid w:val="693075FF"/>
    <w:rsid w:val="694D5CE0"/>
    <w:rsid w:val="69703918"/>
    <w:rsid w:val="69A07559"/>
    <w:rsid w:val="69B91512"/>
    <w:rsid w:val="69D63F27"/>
    <w:rsid w:val="69D76AE7"/>
    <w:rsid w:val="69F764C9"/>
    <w:rsid w:val="6A53650D"/>
    <w:rsid w:val="6ABF7DA9"/>
    <w:rsid w:val="6AC326FD"/>
    <w:rsid w:val="6B4B637F"/>
    <w:rsid w:val="6B77103C"/>
    <w:rsid w:val="6B7E7978"/>
    <w:rsid w:val="6B947BF6"/>
    <w:rsid w:val="6BED64B6"/>
    <w:rsid w:val="6C0F1FBF"/>
    <w:rsid w:val="6C116AA3"/>
    <w:rsid w:val="6C225202"/>
    <w:rsid w:val="6C75701C"/>
    <w:rsid w:val="6C77554D"/>
    <w:rsid w:val="6C8E61D8"/>
    <w:rsid w:val="6C9F0E5B"/>
    <w:rsid w:val="6CC43915"/>
    <w:rsid w:val="6CCC3C75"/>
    <w:rsid w:val="6D120C30"/>
    <w:rsid w:val="6D2A190E"/>
    <w:rsid w:val="6D3B47CD"/>
    <w:rsid w:val="6D486EEA"/>
    <w:rsid w:val="6DA537AE"/>
    <w:rsid w:val="6DF92F05"/>
    <w:rsid w:val="6DFC39FA"/>
    <w:rsid w:val="6E16029F"/>
    <w:rsid w:val="6E7A7577"/>
    <w:rsid w:val="6EE40F43"/>
    <w:rsid w:val="6F225F31"/>
    <w:rsid w:val="6F5A290B"/>
    <w:rsid w:val="6F824A6A"/>
    <w:rsid w:val="6F96218E"/>
    <w:rsid w:val="6F9B59F7"/>
    <w:rsid w:val="6FB70DC1"/>
    <w:rsid w:val="6FE3114C"/>
    <w:rsid w:val="703A5210"/>
    <w:rsid w:val="70545BA6"/>
    <w:rsid w:val="70645DE9"/>
    <w:rsid w:val="706504C5"/>
    <w:rsid w:val="706C592C"/>
    <w:rsid w:val="707029DF"/>
    <w:rsid w:val="714D2D21"/>
    <w:rsid w:val="71A3735A"/>
    <w:rsid w:val="71B55D17"/>
    <w:rsid w:val="71E41925"/>
    <w:rsid w:val="71E51A64"/>
    <w:rsid w:val="71EB7235"/>
    <w:rsid w:val="71FC523D"/>
    <w:rsid w:val="72654B2E"/>
    <w:rsid w:val="7274608B"/>
    <w:rsid w:val="729A3D44"/>
    <w:rsid w:val="72C151CC"/>
    <w:rsid w:val="72F5541E"/>
    <w:rsid w:val="73165394"/>
    <w:rsid w:val="73256C08"/>
    <w:rsid w:val="732A2866"/>
    <w:rsid w:val="73595BCD"/>
    <w:rsid w:val="738E13CF"/>
    <w:rsid w:val="73B13A3B"/>
    <w:rsid w:val="73D6553F"/>
    <w:rsid w:val="741D3D69"/>
    <w:rsid w:val="744321B9"/>
    <w:rsid w:val="747765A2"/>
    <w:rsid w:val="74AC79BB"/>
    <w:rsid w:val="74CC6652"/>
    <w:rsid w:val="756B5E01"/>
    <w:rsid w:val="75713487"/>
    <w:rsid w:val="75752F79"/>
    <w:rsid w:val="757545F4"/>
    <w:rsid w:val="75967642"/>
    <w:rsid w:val="759D0F75"/>
    <w:rsid w:val="75BC57F3"/>
    <w:rsid w:val="75D166E3"/>
    <w:rsid w:val="75D83EC7"/>
    <w:rsid w:val="762A1882"/>
    <w:rsid w:val="76391AC6"/>
    <w:rsid w:val="765E152C"/>
    <w:rsid w:val="76E36998"/>
    <w:rsid w:val="76EA7F47"/>
    <w:rsid w:val="77022596"/>
    <w:rsid w:val="77226859"/>
    <w:rsid w:val="77573059"/>
    <w:rsid w:val="775F730A"/>
    <w:rsid w:val="77972148"/>
    <w:rsid w:val="7797301C"/>
    <w:rsid w:val="782C7B34"/>
    <w:rsid w:val="784A6072"/>
    <w:rsid w:val="78786731"/>
    <w:rsid w:val="78827400"/>
    <w:rsid w:val="78827754"/>
    <w:rsid w:val="788D0BDF"/>
    <w:rsid w:val="78AF69D1"/>
    <w:rsid w:val="79874197"/>
    <w:rsid w:val="799F7F8D"/>
    <w:rsid w:val="79D43A67"/>
    <w:rsid w:val="79E677C0"/>
    <w:rsid w:val="7A2D5371"/>
    <w:rsid w:val="7A3B5F53"/>
    <w:rsid w:val="7A6E5A2D"/>
    <w:rsid w:val="7AAC6572"/>
    <w:rsid w:val="7ACA2448"/>
    <w:rsid w:val="7B0A1C83"/>
    <w:rsid w:val="7B3A19A7"/>
    <w:rsid w:val="7BE86732"/>
    <w:rsid w:val="7C330511"/>
    <w:rsid w:val="7C58040C"/>
    <w:rsid w:val="7CA3474E"/>
    <w:rsid w:val="7CA45077"/>
    <w:rsid w:val="7CF67D45"/>
    <w:rsid w:val="7D085397"/>
    <w:rsid w:val="7D747E86"/>
    <w:rsid w:val="7D772516"/>
    <w:rsid w:val="7DA63D14"/>
    <w:rsid w:val="7DE87768"/>
    <w:rsid w:val="7EC81C39"/>
    <w:rsid w:val="7F0E2B74"/>
    <w:rsid w:val="7F242A5A"/>
    <w:rsid w:val="7F251DB6"/>
    <w:rsid w:val="7F4F5EB6"/>
    <w:rsid w:val="7FC412E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99" w:semiHidden="0" w:name="Normal Indent"/>
    <w:lsdException w:uiPriority="99" w:name="footnote text"/>
    <w:lsdException w:qFormat="1" w:uiPriority="0" w:semiHidden="0" w:name="annotation text"/>
    <w:lsdException w:qFormat="1" w:uiPriority="0" w:semiHidden="0" w:name="header"/>
    <w:lsdException w:qFormat="1" w:uiPriority="0" w:semiHidden="0" w:name="footer"/>
    <w:lsdException w:uiPriority="99" w:name="index heading"/>
    <w:lsdException w:qFormat="1" w:uiPriority="35" w:name="caption"/>
    <w:lsdException w:qFormat="1" w:unhideWhenUsed="0" w:uiPriority="0" w:semiHidden="0"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qFormat="1" w:uiPriority="99" w:name="Date"/>
    <w:lsdException w:qFormat="1" w:unhideWhenUsed="0" w:uiPriority="0" w:semiHidden="0" w:name="Body Text First Indent"/>
    <w:lsdException w:uiPriority="99"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420" w:firstLineChars="200"/>
      <w:jc w:val="both"/>
    </w:pPr>
    <w:rPr>
      <w:rFonts w:ascii="宋体" w:hAnsi="宋体" w:eastAsia="宋体" w:cstheme="minorBidi"/>
      <w:kern w:val="2"/>
      <w:sz w:val="21"/>
      <w:szCs w:val="21"/>
      <w:lang w:val="en-US" w:eastAsia="zh-CN" w:bidi="ar-SA"/>
    </w:rPr>
  </w:style>
  <w:style w:type="paragraph" w:styleId="3">
    <w:name w:val="heading 1"/>
    <w:basedOn w:val="1"/>
    <w:next w:val="1"/>
    <w:link w:val="49"/>
    <w:qFormat/>
    <w:uiPriority w:val="0"/>
    <w:pPr>
      <w:keepNext/>
      <w:keepLines/>
      <w:spacing w:beforeLines="50" w:afterLines="50"/>
      <w:jc w:val="center"/>
      <w:outlineLvl w:val="0"/>
    </w:pPr>
    <w:rPr>
      <w:rFonts w:ascii="Calibri" w:hAnsi="Calibri" w:eastAsia="黑体" w:cs="Times New Roman"/>
      <w:b/>
      <w:spacing w:val="20"/>
      <w:kern w:val="44"/>
      <w:sz w:val="36"/>
      <w:szCs w:val="20"/>
    </w:rPr>
  </w:style>
  <w:style w:type="paragraph" w:styleId="4">
    <w:name w:val="heading 2"/>
    <w:basedOn w:val="1"/>
    <w:next w:val="1"/>
    <w:link w:val="53"/>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51"/>
    <w:qFormat/>
    <w:uiPriority w:val="0"/>
    <w:pPr>
      <w:keepNext/>
      <w:keepLines/>
      <w:ind w:firstLine="364" w:firstLineChars="151"/>
      <w:jc w:val="left"/>
      <w:outlineLvl w:val="2"/>
    </w:pPr>
    <w:rPr>
      <w:rFonts w:hAnsi="Calibri" w:eastAsia="黑体" w:cs="Times New Roman"/>
      <w:b/>
      <w:sz w:val="24"/>
      <w:szCs w:val="24"/>
    </w:rPr>
  </w:style>
  <w:style w:type="paragraph" w:styleId="6">
    <w:name w:val="heading 4"/>
    <w:basedOn w:val="1"/>
    <w:next w:val="1"/>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99"/>
  </w:style>
  <w:style w:type="paragraph" w:styleId="7">
    <w:name w:val="toc 7"/>
    <w:basedOn w:val="1"/>
    <w:next w:val="1"/>
    <w:qFormat/>
    <w:uiPriority w:val="39"/>
    <w:pPr>
      <w:spacing w:line="240" w:lineRule="auto"/>
      <w:ind w:left="1260"/>
      <w:jc w:val="left"/>
    </w:pPr>
    <w:rPr>
      <w:rFonts w:ascii="Calibri" w:hAnsi="Calibri" w:cs="Times New Roman"/>
      <w:sz w:val="18"/>
      <w:szCs w:val="18"/>
    </w:rPr>
  </w:style>
  <w:style w:type="paragraph" w:styleId="8">
    <w:name w:val="Document Map"/>
    <w:basedOn w:val="1"/>
    <w:qFormat/>
    <w:uiPriority w:val="0"/>
    <w:pPr>
      <w:shd w:val="clear" w:color="auto" w:fill="000080"/>
    </w:pPr>
  </w:style>
  <w:style w:type="paragraph" w:styleId="9">
    <w:name w:val="annotation text"/>
    <w:basedOn w:val="1"/>
    <w:link w:val="61"/>
    <w:unhideWhenUsed/>
    <w:qFormat/>
    <w:uiPriority w:val="0"/>
    <w:pPr>
      <w:jc w:val="left"/>
    </w:pPr>
  </w:style>
  <w:style w:type="paragraph" w:styleId="10">
    <w:name w:val="Body Text"/>
    <w:basedOn w:val="1"/>
    <w:next w:val="1"/>
    <w:link w:val="78"/>
    <w:unhideWhenUsed/>
    <w:qFormat/>
    <w:uiPriority w:val="0"/>
    <w:pPr>
      <w:spacing w:after="120"/>
    </w:pPr>
    <w:rPr>
      <w:kern w:val="0"/>
      <w:sz w:val="24"/>
    </w:rPr>
  </w:style>
  <w:style w:type="paragraph" w:styleId="11">
    <w:name w:val="Body Text Indent"/>
    <w:basedOn w:val="1"/>
    <w:qFormat/>
    <w:uiPriority w:val="0"/>
    <w:pPr>
      <w:spacing w:after="120"/>
      <w:ind w:left="420" w:leftChars="200"/>
    </w:pPr>
  </w:style>
  <w:style w:type="paragraph" w:styleId="12">
    <w:name w:val="toc 5"/>
    <w:basedOn w:val="1"/>
    <w:next w:val="1"/>
    <w:unhideWhenUsed/>
    <w:qFormat/>
    <w:uiPriority w:val="39"/>
    <w:pPr>
      <w:spacing w:line="240" w:lineRule="auto"/>
      <w:ind w:left="1680" w:leftChars="800"/>
    </w:pPr>
    <w:rPr>
      <w:rFonts w:asciiTheme="minorHAnsi" w:hAnsiTheme="minorHAnsi" w:eastAsiaTheme="minorEastAsia"/>
    </w:rPr>
  </w:style>
  <w:style w:type="paragraph" w:styleId="13">
    <w:name w:val="toc 3"/>
    <w:basedOn w:val="1"/>
    <w:next w:val="1"/>
    <w:unhideWhenUsed/>
    <w:qFormat/>
    <w:uiPriority w:val="39"/>
    <w:pPr>
      <w:ind w:left="840" w:leftChars="400"/>
    </w:pPr>
  </w:style>
  <w:style w:type="paragraph" w:styleId="14">
    <w:name w:val="Plain Text"/>
    <w:basedOn w:val="1"/>
    <w:link w:val="54"/>
    <w:unhideWhenUsed/>
    <w:qFormat/>
    <w:uiPriority w:val="0"/>
    <w:rPr>
      <w:rFonts w:hAnsi="Calibri" w:cs="Times New Roman"/>
      <w:szCs w:val="20"/>
    </w:rPr>
  </w:style>
  <w:style w:type="paragraph" w:styleId="15">
    <w:name w:val="toc 8"/>
    <w:basedOn w:val="1"/>
    <w:next w:val="1"/>
    <w:unhideWhenUsed/>
    <w:qFormat/>
    <w:uiPriority w:val="39"/>
    <w:pPr>
      <w:spacing w:line="240" w:lineRule="auto"/>
      <w:ind w:left="2940" w:leftChars="1400"/>
    </w:pPr>
    <w:rPr>
      <w:rFonts w:asciiTheme="minorHAnsi" w:hAnsiTheme="minorHAnsi" w:eastAsiaTheme="minorEastAsia"/>
    </w:rPr>
  </w:style>
  <w:style w:type="paragraph" w:styleId="16">
    <w:name w:val="Date"/>
    <w:basedOn w:val="1"/>
    <w:next w:val="1"/>
    <w:link w:val="65"/>
    <w:semiHidden/>
    <w:unhideWhenUsed/>
    <w:qFormat/>
    <w:uiPriority w:val="99"/>
    <w:pPr>
      <w:ind w:left="100" w:leftChars="2500"/>
    </w:pPr>
  </w:style>
  <w:style w:type="paragraph" w:styleId="17">
    <w:name w:val="Balloon Text"/>
    <w:basedOn w:val="1"/>
    <w:link w:val="63"/>
    <w:semiHidden/>
    <w:unhideWhenUsed/>
    <w:qFormat/>
    <w:uiPriority w:val="99"/>
    <w:pPr>
      <w:spacing w:line="240" w:lineRule="auto"/>
    </w:pPr>
    <w:rPr>
      <w:sz w:val="18"/>
      <w:szCs w:val="18"/>
    </w:rPr>
  </w:style>
  <w:style w:type="paragraph" w:styleId="18">
    <w:name w:val="footer"/>
    <w:basedOn w:val="1"/>
    <w:link w:val="60"/>
    <w:unhideWhenUsed/>
    <w:qFormat/>
    <w:uiPriority w:val="0"/>
    <w:pPr>
      <w:tabs>
        <w:tab w:val="center" w:pos="4153"/>
        <w:tab w:val="right" w:pos="8306"/>
      </w:tabs>
      <w:snapToGrid w:val="0"/>
      <w:spacing w:line="240" w:lineRule="auto"/>
      <w:jc w:val="left"/>
    </w:pPr>
    <w:rPr>
      <w:sz w:val="18"/>
      <w:szCs w:val="18"/>
    </w:rPr>
  </w:style>
  <w:style w:type="paragraph" w:styleId="19">
    <w:name w:val="header"/>
    <w:basedOn w:val="1"/>
    <w:link w:val="59"/>
    <w:unhideWhenUsed/>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20">
    <w:name w:val="toc 1"/>
    <w:basedOn w:val="1"/>
    <w:next w:val="1"/>
    <w:unhideWhenUsed/>
    <w:qFormat/>
    <w:uiPriority w:val="39"/>
  </w:style>
  <w:style w:type="paragraph" w:styleId="21">
    <w:name w:val="toc 4"/>
    <w:basedOn w:val="1"/>
    <w:next w:val="1"/>
    <w:unhideWhenUsed/>
    <w:qFormat/>
    <w:uiPriority w:val="39"/>
    <w:pPr>
      <w:spacing w:line="240" w:lineRule="auto"/>
      <w:ind w:left="1260" w:leftChars="600"/>
    </w:pPr>
    <w:rPr>
      <w:rFonts w:asciiTheme="minorHAnsi" w:hAnsiTheme="minorHAnsi" w:eastAsiaTheme="minorEastAsia"/>
    </w:rPr>
  </w:style>
  <w:style w:type="paragraph" w:styleId="22">
    <w:name w:val="toc 6"/>
    <w:basedOn w:val="1"/>
    <w:next w:val="1"/>
    <w:unhideWhenUsed/>
    <w:qFormat/>
    <w:uiPriority w:val="39"/>
    <w:pPr>
      <w:spacing w:line="240" w:lineRule="auto"/>
      <w:ind w:left="2100" w:leftChars="1000"/>
    </w:pPr>
    <w:rPr>
      <w:rFonts w:asciiTheme="minorHAnsi" w:hAnsiTheme="minorHAnsi" w:eastAsiaTheme="minorEastAsia"/>
    </w:rPr>
  </w:style>
  <w:style w:type="paragraph" w:styleId="23">
    <w:name w:val="table of figures"/>
    <w:basedOn w:val="1"/>
    <w:next w:val="1"/>
    <w:qFormat/>
    <w:uiPriority w:val="0"/>
    <w:pPr>
      <w:ind w:left="400" w:leftChars="200" w:hanging="200" w:hangingChars="200"/>
    </w:pPr>
  </w:style>
  <w:style w:type="paragraph" w:styleId="24">
    <w:name w:val="toc 2"/>
    <w:basedOn w:val="1"/>
    <w:next w:val="1"/>
    <w:unhideWhenUsed/>
    <w:qFormat/>
    <w:uiPriority w:val="39"/>
    <w:pPr>
      <w:ind w:left="420" w:leftChars="200"/>
    </w:pPr>
  </w:style>
  <w:style w:type="paragraph" w:styleId="25">
    <w:name w:val="toc 9"/>
    <w:basedOn w:val="1"/>
    <w:next w:val="1"/>
    <w:unhideWhenUsed/>
    <w:qFormat/>
    <w:uiPriority w:val="39"/>
    <w:pPr>
      <w:spacing w:line="240" w:lineRule="auto"/>
      <w:ind w:left="3360" w:leftChars="1600"/>
    </w:pPr>
    <w:rPr>
      <w:rFonts w:asciiTheme="minorHAnsi" w:hAnsiTheme="minorHAnsi" w:eastAsiaTheme="minorEastAsia"/>
    </w:rPr>
  </w:style>
  <w:style w:type="paragraph" w:styleId="26">
    <w:name w:val="Body Text 2"/>
    <w:basedOn w:val="1"/>
    <w:qFormat/>
    <w:uiPriority w:val="99"/>
    <w:rPr>
      <w:kern w:val="0"/>
      <w:sz w:val="20"/>
      <w:szCs w:val="20"/>
    </w:rPr>
  </w:style>
  <w:style w:type="paragraph" w:styleId="27">
    <w:name w:val="Normal (Web)"/>
    <w:basedOn w:val="1"/>
    <w:link w:val="55"/>
    <w:qFormat/>
    <w:uiPriority w:val="0"/>
    <w:pPr>
      <w:widowControl/>
      <w:spacing w:before="100" w:beforeAutospacing="1" w:after="100" w:afterAutospacing="1"/>
      <w:jc w:val="left"/>
    </w:pPr>
    <w:rPr>
      <w:rFonts w:cs="Times New Roman"/>
      <w:kern w:val="0"/>
      <w:szCs w:val="24"/>
    </w:rPr>
  </w:style>
  <w:style w:type="paragraph" w:styleId="28">
    <w:name w:val="annotation subject"/>
    <w:basedOn w:val="9"/>
    <w:next w:val="9"/>
    <w:link w:val="62"/>
    <w:semiHidden/>
    <w:unhideWhenUsed/>
    <w:qFormat/>
    <w:uiPriority w:val="99"/>
    <w:rPr>
      <w:b/>
      <w:bCs/>
    </w:rPr>
  </w:style>
  <w:style w:type="paragraph" w:styleId="29">
    <w:name w:val="Body Text First Indent"/>
    <w:basedOn w:val="10"/>
    <w:qFormat/>
    <w:uiPriority w:val="0"/>
    <w:pPr>
      <w:ind w:firstLine="100" w:firstLineChars="100"/>
    </w:pPr>
    <w:rPr>
      <w:rFonts w:ascii="Calibri" w:hAnsi="Calibri"/>
      <w:sz w:val="21"/>
    </w:rPr>
  </w:style>
  <w:style w:type="table" w:styleId="31">
    <w:name w:val="Table Grid"/>
    <w:basedOn w:val="3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qFormat/>
    <w:uiPriority w:val="0"/>
    <w:rPr>
      <w:b/>
      <w:bCs/>
    </w:rPr>
  </w:style>
  <w:style w:type="character" w:styleId="34">
    <w:name w:val="FollowedHyperlink"/>
    <w:basedOn w:val="32"/>
    <w:semiHidden/>
    <w:unhideWhenUsed/>
    <w:qFormat/>
    <w:uiPriority w:val="99"/>
    <w:rPr>
      <w:rFonts w:hint="eastAsia" w:ascii="微软雅黑" w:hAnsi="微软雅黑" w:eastAsia="微软雅黑" w:cs="微软雅黑"/>
      <w:color w:val="428BCA"/>
      <w:u w:val="none"/>
    </w:rPr>
  </w:style>
  <w:style w:type="character" w:styleId="35">
    <w:name w:val="Emphasis"/>
    <w:basedOn w:val="32"/>
    <w:qFormat/>
    <w:uiPriority w:val="20"/>
    <w:rPr>
      <w:i/>
    </w:rPr>
  </w:style>
  <w:style w:type="character" w:styleId="36">
    <w:name w:val="HTML Definition"/>
    <w:basedOn w:val="32"/>
    <w:semiHidden/>
    <w:unhideWhenUsed/>
    <w:qFormat/>
    <w:uiPriority w:val="99"/>
    <w:rPr>
      <w:i/>
      <w:bdr w:val="single" w:color="AAAAAA" w:sz="4" w:space="0"/>
      <w:shd w:val="clear" w:color="auto" w:fill="FFFFFF"/>
    </w:rPr>
  </w:style>
  <w:style w:type="character" w:styleId="37">
    <w:name w:val="Hyperlink"/>
    <w:basedOn w:val="32"/>
    <w:unhideWhenUsed/>
    <w:qFormat/>
    <w:uiPriority w:val="99"/>
    <w:rPr>
      <w:color w:val="0563C1" w:themeColor="hyperlink"/>
      <w:u w:val="single"/>
    </w:rPr>
  </w:style>
  <w:style w:type="character" w:styleId="38">
    <w:name w:val="HTML Code"/>
    <w:basedOn w:val="32"/>
    <w:semiHidden/>
    <w:unhideWhenUsed/>
    <w:qFormat/>
    <w:uiPriority w:val="99"/>
    <w:rPr>
      <w:rFonts w:ascii="Consolas" w:hAnsi="Consolas" w:eastAsia="Consolas" w:cs="Consolas"/>
      <w:color w:val="C7254E"/>
      <w:sz w:val="21"/>
      <w:szCs w:val="21"/>
      <w:shd w:val="clear" w:color="auto" w:fill="F9F2F4"/>
    </w:rPr>
  </w:style>
  <w:style w:type="character" w:styleId="39">
    <w:name w:val="annotation reference"/>
    <w:basedOn w:val="32"/>
    <w:unhideWhenUsed/>
    <w:qFormat/>
    <w:uiPriority w:val="0"/>
    <w:rPr>
      <w:sz w:val="21"/>
      <w:szCs w:val="21"/>
    </w:rPr>
  </w:style>
  <w:style w:type="character" w:styleId="40">
    <w:name w:val="HTML Keyboard"/>
    <w:basedOn w:val="32"/>
    <w:semiHidden/>
    <w:unhideWhenUsed/>
    <w:qFormat/>
    <w:uiPriority w:val="99"/>
    <w:rPr>
      <w:rFonts w:hint="default" w:ascii="Consolas" w:hAnsi="Consolas" w:eastAsia="Consolas" w:cs="Consolas"/>
      <w:color w:val="FFFFFF"/>
      <w:sz w:val="21"/>
      <w:szCs w:val="21"/>
      <w:shd w:val="clear" w:color="auto" w:fill="333333"/>
    </w:rPr>
  </w:style>
  <w:style w:type="character" w:styleId="41">
    <w:name w:val="HTML Sample"/>
    <w:basedOn w:val="32"/>
    <w:semiHidden/>
    <w:unhideWhenUsed/>
    <w:qFormat/>
    <w:uiPriority w:val="99"/>
    <w:rPr>
      <w:rFonts w:hint="default" w:ascii="Consolas" w:hAnsi="Consolas" w:eastAsia="Consolas" w:cs="Consolas"/>
      <w:sz w:val="21"/>
      <w:szCs w:val="21"/>
    </w:rPr>
  </w:style>
  <w:style w:type="paragraph" w:customStyle="1" w:styleId="4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3">
    <w:name w:val="font5"/>
    <w:basedOn w:val="1"/>
    <w:qFormat/>
    <w:uiPriority w:val="0"/>
    <w:pPr>
      <w:widowControl/>
      <w:spacing w:before="100" w:beforeAutospacing="1" w:after="100" w:afterAutospacing="1"/>
      <w:jc w:val="left"/>
    </w:pPr>
    <w:rPr>
      <w:rFonts w:cs="宋体"/>
      <w:kern w:val="0"/>
      <w:sz w:val="18"/>
      <w:szCs w:val="18"/>
    </w:rPr>
  </w:style>
  <w:style w:type="paragraph" w:customStyle="1" w:styleId="44">
    <w:name w:val="标题2"/>
    <w:basedOn w:val="4"/>
    <w:link w:val="46"/>
    <w:qFormat/>
    <w:uiPriority w:val="0"/>
    <w:pPr>
      <w:spacing w:before="120" w:after="120" w:line="240" w:lineRule="auto"/>
      <w:ind w:firstLine="0" w:firstLineChars="0"/>
      <w:jc w:val="center"/>
    </w:pPr>
    <w:rPr>
      <w:rFonts w:ascii="宋体" w:hAnsi="宋体" w:eastAsia="黑体"/>
      <w:kern w:val="0"/>
      <w:sz w:val="28"/>
      <w:szCs w:val="30"/>
    </w:rPr>
  </w:style>
  <w:style w:type="paragraph" w:customStyle="1" w:styleId="45">
    <w:name w:val="标题3"/>
    <w:basedOn w:val="1"/>
    <w:link w:val="48"/>
    <w:qFormat/>
    <w:uiPriority w:val="0"/>
    <w:pPr>
      <w:ind w:firstLine="371" w:firstLineChars="176"/>
      <w:jc w:val="left"/>
    </w:pPr>
    <w:rPr>
      <w:b/>
    </w:rPr>
  </w:style>
  <w:style w:type="character" w:customStyle="1" w:styleId="46">
    <w:name w:val="标题2 字符"/>
    <w:basedOn w:val="32"/>
    <w:link w:val="44"/>
    <w:qFormat/>
    <w:uiPriority w:val="0"/>
    <w:rPr>
      <w:rFonts w:ascii="宋体" w:hAnsi="宋体" w:eastAsia="黑体" w:cstheme="majorBidi"/>
      <w:b/>
      <w:bCs/>
      <w:sz w:val="28"/>
      <w:szCs w:val="30"/>
    </w:rPr>
  </w:style>
  <w:style w:type="paragraph" w:customStyle="1" w:styleId="47">
    <w:name w:val="标题4"/>
    <w:basedOn w:val="1"/>
    <w:link w:val="50"/>
    <w:qFormat/>
    <w:uiPriority w:val="0"/>
    <w:rPr>
      <w:b/>
      <w:szCs w:val="24"/>
    </w:rPr>
  </w:style>
  <w:style w:type="character" w:customStyle="1" w:styleId="48">
    <w:name w:val="标题3 字符"/>
    <w:basedOn w:val="32"/>
    <w:link w:val="45"/>
    <w:qFormat/>
    <w:uiPriority w:val="0"/>
    <w:rPr>
      <w:rFonts w:ascii="宋体" w:hAnsi="宋体" w:eastAsia="宋体"/>
      <w:b/>
      <w:kern w:val="2"/>
      <w:sz w:val="21"/>
      <w:szCs w:val="21"/>
    </w:rPr>
  </w:style>
  <w:style w:type="character" w:customStyle="1" w:styleId="49">
    <w:name w:val="标题 1 字符"/>
    <w:basedOn w:val="32"/>
    <w:link w:val="3"/>
    <w:qFormat/>
    <w:uiPriority w:val="0"/>
    <w:rPr>
      <w:rFonts w:ascii="Calibri" w:hAnsi="Calibri" w:eastAsia="黑体" w:cs="Times New Roman"/>
      <w:b/>
      <w:spacing w:val="20"/>
      <w:kern w:val="44"/>
      <w:sz w:val="36"/>
      <w:szCs w:val="20"/>
    </w:rPr>
  </w:style>
  <w:style w:type="character" w:customStyle="1" w:styleId="50">
    <w:name w:val="标题4 字符"/>
    <w:basedOn w:val="32"/>
    <w:link w:val="47"/>
    <w:qFormat/>
    <w:uiPriority w:val="0"/>
    <w:rPr>
      <w:rFonts w:ascii="宋体" w:hAnsi="宋体" w:eastAsia="宋体"/>
      <w:b/>
      <w:sz w:val="24"/>
      <w:szCs w:val="24"/>
    </w:rPr>
  </w:style>
  <w:style w:type="character" w:customStyle="1" w:styleId="51">
    <w:name w:val="标题 3 字符"/>
    <w:basedOn w:val="32"/>
    <w:link w:val="5"/>
    <w:qFormat/>
    <w:uiPriority w:val="0"/>
    <w:rPr>
      <w:rFonts w:ascii="宋体" w:hAnsi="Calibri" w:eastAsia="黑体" w:cs="Times New Roman"/>
      <w:b/>
      <w:kern w:val="2"/>
      <w:sz w:val="24"/>
      <w:szCs w:val="24"/>
    </w:rPr>
  </w:style>
  <w:style w:type="paragraph" w:customStyle="1" w:styleId="52">
    <w:name w:val="样式"/>
    <w:qFormat/>
    <w:uiPriority w:val="0"/>
    <w:pPr>
      <w:widowControl w:val="0"/>
      <w:autoSpaceDE w:val="0"/>
      <w:autoSpaceDN w:val="0"/>
      <w:adjustRightInd w:val="0"/>
    </w:pPr>
    <w:rPr>
      <w:rFonts w:ascii="Times New Roman" w:hAnsi="Times New Roman" w:eastAsia="宋体" w:cs="Times New Roman"/>
      <w:sz w:val="24"/>
      <w:szCs w:val="24"/>
      <w:lang w:val="en-US" w:eastAsia="zh-CN" w:bidi="ar-SA"/>
    </w:rPr>
  </w:style>
  <w:style w:type="character" w:customStyle="1" w:styleId="53">
    <w:name w:val="标题 2 字符"/>
    <w:basedOn w:val="32"/>
    <w:link w:val="4"/>
    <w:qFormat/>
    <w:uiPriority w:val="9"/>
    <w:rPr>
      <w:rFonts w:asciiTheme="majorHAnsi" w:hAnsiTheme="majorHAnsi" w:eastAsiaTheme="majorEastAsia" w:cstheme="majorBidi"/>
      <w:b/>
      <w:bCs/>
      <w:sz w:val="32"/>
      <w:szCs w:val="32"/>
    </w:rPr>
  </w:style>
  <w:style w:type="character" w:customStyle="1" w:styleId="54">
    <w:name w:val="纯文本 字符"/>
    <w:basedOn w:val="32"/>
    <w:link w:val="14"/>
    <w:qFormat/>
    <w:uiPriority w:val="99"/>
    <w:rPr>
      <w:rFonts w:ascii="宋体" w:hAnsi="Calibri" w:eastAsia="宋体" w:cs="Times New Roman"/>
      <w:szCs w:val="20"/>
    </w:rPr>
  </w:style>
  <w:style w:type="character" w:customStyle="1" w:styleId="55">
    <w:name w:val="普通(网站) 字符"/>
    <w:link w:val="27"/>
    <w:qFormat/>
    <w:uiPriority w:val="99"/>
    <w:rPr>
      <w:rFonts w:ascii="宋体" w:hAnsi="宋体" w:eastAsia="宋体" w:cs="Times New Roman"/>
      <w:kern w:val="0"/>
      <w:sz w:val="24"/>
      <w:szCs w:val="24"/>
    </w:rPr>
  </w:style>
  <w:style w:type="paragraph" w:customStyle="1" w:styleId="56">
    <w:name w:val="列出段落1"/>
    <w:basedOn w:val="1"/>
    <w:qFormat/>
    <w:uiPriority w:val="0"/>
    <w:pPr>
      <w:spacing w:line="240" w:lineRule="auto"/>
    </w:pPr>
    <w:rPr>
      <w:rFonts w:ascii="Calibri" w:hAnsi="Calibri" w:cs="Times New Roman"/>
      <w:szCs w:val="24"/>
    </w:rPr>
  </w:style>
  <w:style w:type="paragraph" w:customStyle="1" w:styleId="57">
    <w:name w:val="GP正文(首行缩进)"/>
    <w:basedOn w:val="1"/>
    <w:qFormat/>
    <w:uiPriority w:val="0"/>
    <w:pPr>
      <w:spacing w:line="240" w:lineRule="auto"/>
      <w:ind w:firstLine="200"/>
      <w:jc w:val="left"/>
    </w:pPr>
    <w:rPr>
      <w:rFonts w:ascii="Times New Roman" w:hAnsi="Times New Roman" w:cs="Times New Roman"/>
    </w:rPr>
  </w:style>
  <w:style w:type="paragraph" w:customStyle="1" w:styleId="58">
    <w:name w:val="样式 首行缩进:  0 字符"/>
    <w:basedOn w:val="1"/>
    <w:qFormat/>
    <w:uiPriority w:val="0"/>
    <w:pPr>
      <w:spacing w:line="240" w:lineRule="auto"/>
      <w:ind w:firstLine="200"/>
    </w:pPr>
    <w:rPr>
      <w:rFonts w:ascii="Verdana" w:hAnsi="Verdana" w:cs="宋体"/>
      <w:szCs w:val="20"/>
    </w:rPr>
  </w:style>
  <w:style w:type="character" w:customStyle="1" w:styleId="59">
    <w:name w:val="页眉 字符"/>
    <w:basedOn w:val="32"/>
    <w:link w:val="19"/>
    <w:qFormat/>
    <w:uiPriority w:val="99"/>
    <w:rPr>
      <w:rFonts w:ascii="宋体" w:hAnsi="宋体" w:eastAsia="宋体"/>
      <w:sz w:val="18"/>
      <w:szCs w:val="18"/>
    </w:rPr>
  </w:style>
  <w:style w:type="character" w:customStyle="1" w:styleId="60">
    <w:name w:val="页脚 字符"/>
    <w:basedOn w:val="32"/>
    <w:link w:val="18"/>
    <w:qFormat/>
    <w:uiPriority w:val="99"/>
    <w:rPr>
      <w:rFonts w:ascii="宋体" w:hAnsi="宋体" w:eastAsia="宋体"/>
      <w:sz w:val="18"/>
      <w:szCs w:val="18"/>
    </w:rPr>
  </w:style>
  <w:style w:type="character" w:customStyle="1" w:styleId="61">
    <w:name w:val="批注文字 字符"/>
    <w:basedOn w:val="32"/>
    <w:link w:val="9"/>
    <w:semiHidden/>
    <w:qFormat/>
    <w:uiPriority w:val="99"/>
    <w:rPr>
      <w:rFonts w:ascii="宋体" w:hAnsi="宋体" w:eastAsia="宋体"/>
    </w:rPr>
  </w:style>
  <w:style w:type="character" w:customStyle="1" w:styleId="62">
    <w:name w:val="批注主题 字符"/>
    <w:basedOn w:val="61"/>
    <w:link w:val="28"/>
    <w:semiHidden/>
    <w:qFormat/>
    <w:uiPriority w:val="99"/>
    <w:rPr>
      <w:rFonts w:ascii="宋体" w:hAnsi="宋体" w:eastAsia="宋体"/>
      <w:b/>
      <w:bCs/>
    </w:rPr>
  </w:style>
  <w:style w:type="character" w:customStyle="1" w:styleId="63">
    <w:name w:val="批注框文本 字符"/>
    <w:basedOn w:val="32"/>
    <w:link w:val="17"/>
    <w:semiHidden/>
    <w:qFormat/>
    <w:uiPriority w:val="99"/>
    <w:rPr>
      <w:rFonts w:ascii="宋体" w:hAnsi="宋体" w:eastAsia="宋体"/>
      <w:sz w:val="18"/>
      <w:szCs w:val="18"/>
    </w:rPr>
  </w:style>
  <w:style w:type="paragraph" w:styleId="64">
    <w:name w:val="List Paragraph"/>
    <w:basedOn w:val="1"/>
    <w:qFormat/>
    <w:uiPriority w:val="34"/>
  </w:style>
  <w:style w:type="character" w:customStyle="1" w:styleId="65">
    <w:name w:val="日期 字符"/>
    <w:basedOn w:val="32"/>
    <w:link w:val="16"/>
    <w:semiHidden/>
    <w:qFormat/>
    <w:uiPriority w:val="99"/>
    <w:rPr>
      <w:rFonts w:ascii="宋体" w:hAnsi="宋体" w:eastAsia="宋体"/>
    </w:rPr>
  </w:style>
  <w:style w:type="paragraph" w:customStyle="1" w:styleId="66">
    <w:name w:val="Normal_1"/>
    <w:qFormat/>
    <w:uiPriority w:val="0"/>
    <w:pPr>
      <w:widowControl w:val="0"/>
      <w:jc w:val="both"/>
    </w:pPr>
    <w:rPr>
      <w:rFonts w:ascii="Calibri" w:hAnsi="Calibri" w:eastAsia="宋体" w:cs="Times New Roman"/>
      <w:lang w:val="en-US" w:eastAsia="zh-CN" w:bidi="ar-SA"/>
    </w:rPr>
  </w:style>
  <w:style w:type="character" w:customStyle="1" w:styleId="67">
    <w:name w:val="fontstyle01"/>
    <w:qFormat/>
    <w:uiPriority w:val="0"/>
    <w:rPr>
      <w:rFonts w:hint="eastAsia" w:ascii="宋体" w:hAnsi="宋体" w:eastAsia="宋体"/>
      <w:color w:val="000000"/>
      <w:sz w:val="24"/>
      <w:szCs w:val="24"/>
    </w:rPr>
  </w:style>
  <w:style w:type="character" w:customStyle="1" w:styleId="68">
    <w:name w:val="纯文本 字符2"/>
    <w:qFormat/>
    <w:uiPriority w:val="0"/>
    <w:rPr>
      <w:rFonts w:ascii="宋体"/>
      <w:kern w:val="2"/>
      <w:sz w:val="21"/>
    </w:rPr>
  </w:style>
  <w:style w:type="paragraph" w:customStyle="1" w:styleId="69">
    <w:name w:val="TOC 标题1"/>
    <w:basedOn w:val="3"/>
    <w:next w:val="1"/>
    <w:unhideWhenUsed/>
    <w:qFormat/>
    <w:uiPriority w:val="39"/>
    <w:pPr>
      <w:widowControl/>
      <w:spacing w:beforeLines="0" w:afterLines="0" w:line="259" w:lineRule="auto"/>
      <w:ind w:firstLine="0" w:firstLineChars="0"/>
      <w:jc w:val="left"/>
      <w:outlineLvl w:val="9"/>
    </w:pPr>
    <w:rPr>
      <w:rFonts w:asciiTheme="majorHAnsi" w:hAnsiTheme="majorHAnsi" w:eastAsiaTheme="majorEastAsia" w:cstheme="majorBidi"/>
      <w:b w:val="0"/>
      <w:color w:val="2E75B5" w:themeColor="accent1" w:themeShade="BF"/>
      <w:spacing w:val="0"/>
      <w:kern w:val="0"/>
      <w:sz w:val="32"/>
      <w:szCs w:val="32"/>
    </w:rPr>
  </w:style>
  <w:style w:type="paragraph" w:customStyle="1" w:styleId="70">
    <w:name w:val="FMmc"/>
    <w:basedOn w:val="1"/>
    <w:link w:val="71"/>
    <w:qFormat/>
    <w:uiPriority w:val="0"/>
    <w:pPr>
      <w:jc w:val="center"/>
    </w:pPr>
    <w:rPr>
      <w:rFonts w:ascii="华文中宋" w:hAnsi="华文中宋" w:eastAsia="华文中宋" w:cs="Times New Roman"/>
      <w:b/>
      <w:bCs/>
      <w:sz w:val="48"/>
      <w:szCs w:val="48"/>
    </w:rPr>
  </w:style>
  <w:style w:type="character" w:customStyle="1" w:styleId="71">
    <w:name w:val="FMmc 字符"/>
    <w:basedOn w:val="32"/>
    <w:link w:val="70"/>
    <w:qFormat/>
    <w:uiPriority w:val="0"/>
    <w:rPr>
      <w:rFonts w:ascii="华文中宋" w:hAnsi="华文中宋" w:eastAsia="华文中宋" w:cs="Times New Roman"/>
      <w:b/>
      <w:bCs/>
      <w:kern w:val="2"/>
      <w:sz w:val="48"/>
      <w:szCs w:val="48"/>
    </w:rPr>
  </w:style>
  <w:style w:type="table" w:customStyle="1" w:styleId="72">
    <w:name w:val="网格型1"/>
    <w:basedOn w:val="3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3">
    <w:name w:val="未处理的提及1"/>
    <w:basedOn w:val="32"/>
    <w:semiHidden/>
    <w:unhideWhenUsed/>
    <w:qFormat/>
    <w:uiPriority w:val="99"/>
    <w:rPr>
      <w:color w:val="605E5C"/>
      <w:shd w:val="clear" w:color="auto" w:fill="E1DFDD"/>
    </w:rPr>
  </w:style>
  <w:style w:type="paragraph" w:customStyle="1" w:styleId="74">
    <w:name w:val="Header or footer|1"/>
    <w:basedOn w:val="1"/>
    <w:qFormat/>
    <w:uiPriority w:val="0"/>
    <w:rPr>
      <w:sz w:val="18"/>
      <w:szCs w:val="18"/>
      <w:lang w:val="zh-TW" w:eastAsia="zh-TW" w:bidi="zh-TW"/>
    </w:rPr>
  </w:style>
  <w:style w:type="character" w:customStyle="1" w:styleId="75">
    <w:name w:val="未处理的提及2"/>
    <w:basedOn w:val="32"/>
    <w:semiHidden/>
    <w:unhideWhenUsed/>
    <w:qFormat/>
    <w:uiPriority w:val="99"/>
    <w:rPr>
      <w:color w:val="605E5C"/>
      <w:shd w:val="clear" w:color="auto" w:fill="E1DFDD"/>
    </w:rPr>
  </w:style>
  <w:style w:type="paragraph" w:customStyle="1" w:styleId="76">
    <w:name w:val="Body text|1"/>
    <w:basedOn w:val="1"/>
    <w:qFormat/>
    <w:uiPriority w:val="0"/>
    <w:pPr>
      <w:shd w:val="clear" w:color="auto" w:fill="FFFFFF"/>
      <w:spacing w:line="394" w:lineRule="auto"/>
      <w:ind w:firstLine="400"/>
    </w:pPr>
    <w:rPr>
      <w:rFonts w:cs="宋体"/>
      <w:sz w:val="30"/>
      <w:szCs w:val="30"/>
      <w:lang w:val="zh-CN" w:bidi="zh-CN"/>
    </w:rPr>
  </w:style>
  <w:style w:type="character" w:customStyle="1" w:styleId="77">
    <w:name w:val="grame"/>
    <w:qFormat/>
    <w:uiPriority w:val="0"/>
  </w:style>
  <w:style w:type="character" w:customStyle="1" w:styleId="78">
    <w:name w:val="正文文本 字符"/>
    <w:link w:val="10"/>
    <w:qFormat/>
    <w:uiPriority w:val="0"/>
    <w:rPr>
      <w:rFonts w:ascii="宋体" w:hAnsi="宋体" w:cstheme="minorBidi"/>
      <w:sz w:val="24"/>
      <w:szCs w:val="21"/>
    </w:rPr>
  </w:style>
  <w:style w:type="character" w:customStyle="1" w:styleId="79">
    <w:name w:val="font41"/>
    <w:basedOn w:val="32"/>
    <w:qFormat/>
    <w:uiPriority w:val="0"/>
    <w:rPr>
      <w:rFonts w:hint="default" w:ascii="Times New Roman" w:hAnsi="Times New Roman" w:cs="Times New Roman"/>
      <w:color w:val="000000"/>
      <w:sz w:val="28"/>
      <w:szCs w:val="28"/>
      <w:u w:val="none"/>
    </w:rPr>
  </w:style>
  <w:style w:type="character" w:customStyle="1" w:styleId="80">
    <w:name w:val="font01"/>
    <w:basedOn w:val="32"/>
    <w:qFormat/>
    <w:uiPriority w:val="0"/>
    <w:rPr>
      <w:rFonts w:hint="eastAsia" w:ascii="宋体" w:hAnsi="宋体" w:eastAsia="宋体" w:cs="宋体"/>
      <w:color w:val="000000"/>
      <w:sz w:val="28"/>
      <w:szCs w:val="28"/>
      <w:u w:val="none"/>
    </w:rPr>
  </w:style>
  <w:style w:type="paragraph" w:customStyle="1" w:styleId="81">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character" w:customStyle="1" w:styleId="82">
    <w:name w:val="Unresolved Mention"/>
    <w:basedOn w:val="32"/>
    <w:semiHidden/>
    <w:unhideWhenUsed/>
    <w:qFormat/>
    <w:uiPriority w:val="99"/>
    <w:rPr>
      <w:color w:val="605E5C"/>
      <w:shd w:val="clear" w:color="auto" w:fill="E1DFDD"/>
    </w:rPr>
  </w:style>
  <w:style w:type="paragraph" w:customStyle="1" w:styleId="83">
    <w:name w:val="目录 53"/>
    <w:next w:val="1"/>
    <w:qFormat/>
    <w:uiPriority w:val="0"/>
    <w:pPr>
      <w:wordWrap w:val="0"/>
      <w:ind w:left="1275"/>
      <w:jc w:val="both"/>
    </w:pPr>
    <w:rPr>
      <w:rFonts w:ascii="Times New Roman" w:hAnsi="Times New Roman" w:eastAsia="宋体" w:cs="Times New Roman"/>
      <w:sz w:val="21"/>
      <w:lang w:val="en-US" w:eastAsia="zh-CN" w:bidi="ar-SA"/>
    </w:rPr>
  </w:style>
  <w:style w:type="paragraph" w:customStyle="1" w:styleId="84">
    <w:name w:val="正文缩进11"/>
    <w:basedOn w:val="1"/>
    <w:qFormat/>
    <w:uiPriority w:val="0"/>
    <w:pPr>
      <w:ind w:firstLine="420"/>
    </w:pPr>
  </w:style>
  <w:style w:type="character" w:customStyle="1" w:styleId="85">
    <w:name w:val="font51"/>
    <w:basedOn w:val="32"/>
    <w:qFormat/>
    <w:uiPriority w:val="0"/>
    <w:rPr>
      <w:rFonts w:hint="default" w:ascii="Times New Roman" w:hAnsi="Times New Roman" w:cs="Times New Roman"/>
      <w:color w:val="000000"/>
      <w:sz w:val="24"/>
      <w:szCs w:val="24"/>
      <w:u w:val="none"/>
    </w:rPr>
  </w:style>
  <w:style w:type="character" w:customStyle="1" w:styleId="86">
    <w:name w:val="font101"/>
    <w:basedOn w:val="32"/>
    <w:qFormat/>
    <w:uiPriority w:val="0"/>
    <w:rPr>
      <w:rFonts w:hint="default" w:ascii="Times New Roman" w:hAnsi="Times New Roman" w:cs="Times New Roman"/>
      <w:b/>
      <w:bCs/>
      <w:color w:val="FF0000"/>
      <w:sz w:val="22"/>
      <w:szCs w:val="22"/>
      <w:u w:val="none"/>
    </w:rPr>
  </w:style>
  <w:style w:type="character" w:customStyle="1" w:styleId="87">
    <w:name w:val="font112"/>
    <w:basedOn w:val="32"/>
    <w:qFormat/>
    <w:uiPriority w:val="0"/>
    <w:rPr>
      <w:rFonts w:hint="default" w:ascii="Times New Roman" w:hAnsi="Times New Roman" w:cs="Times New Roman"/>
      <w:color w:val="000000"/>
      <w:sz w:val="22"/>
      <w:szCs w:val="22"/>
      <w:u w:val="none"/>
    </w:rPr>
  </w:style>
  <w:style w:type="character" w:customStyle="1" w:styleId="88">
    <w:name w:val="font11"/>
    <w:basedOn w:val="32"/>
    <w:qFormat/>
    <w:uiPriority w:val="0"/>
    <w:rPr>
      <w:rFonts w:hint="eastAsia" w:ascii="宋体" w:hAnsi="宋体" w:eastAsia="宋体" w:cs="宋体"/>
      <w:color w:val="000000"/>
      <w:sz w:val="22"/>
      <w:szCs w:val="22"/>
      <w:u w:val="none"/>
    </w:rPr>
  </w:style>
  <w:style w:type="character" w:customStyle="1" w:styleId="89">
    <w:name w:val="font121"/>
    <w:basedOn w:val="32"/>
    <w:qFormat/>
    <w:uiPriority w:val="0"/>
    <w:rPr>
      <w:rFonts w:hint="default" w:ascii="Times New Roman" w:hAnsi="Times New Roman" w:cs="Times New Roman"/>
      <w:color w:val="000000"/>
      <w:sz w:val="20"/>
      <w:szCs w:val="20"/>
      <w:u w:val="none"/>
    </w:rPr>
  </w:style>
  <w:style w:type="character" w:customStyle="1" w:styleId="90">
    <w:name w:val="font21"/>
    <w:basedOn w:val="32"/>
    <w:qFormat/>
    <w:uiPriority w:val="0"/>
    <w:rPr>
      <w:rFonts w:hint="eastAsia" w:ascii="宋体" w:hAnsi="宋体" w:eastAsia="宋体" w:cs="宋体"/>
      <w:color w:val="000000"/>
      <w:sz w:val="20"/>
      <w:szCs w:val="20"/>
      <w:u w:val="none"/>
    </w:rPr>
  </w:style>
  <w:style w:type="character" w:customStyle="1" w:styleId="91">
    <w:name w:val="font71"/>
    <w:basedOn w:val="32"/>
    <w:qFormat/>
    <w:uiPriority w:val="0"/>
    <w:rPr>
      <w:rFonts w:hint="eastAsia" w:ascii="宋体" w:hAnsi="宋体" w:eastAsia="宋体" w:cs="宋体"/>
      <w:b/>
      <w:bCs/>
      <w:color w:val="FF0000"/>
      <w:sz w:val="20"/>
      <w:szCs w:val="20"/>
      <w:u w:val="none"/>
    </w:rPr>
  </w:style>
  <w:style w:type="character" w:customStyle="1" w:styleId="92">
    <w:name w:val="font81"/>
    <w:basedOn w:val="32"/>
    <w:qFormat/>
    <w:uiPriority w:val="0"/>
    <w:rPr>
      <w:rFonts w:hint="default" w:ascii="Times New Roman" w:hAnsi="Times New Roman" w:cs="Times New Roman"/>
      <w:b/>
      <w:bCs/>
      <w:color w:val="FF0000"/>
      <w:sz w:val="20"/>
      <w:szCs w:val="20"/>
      <w:u w:val="none"/>
    </w:rPr>
  </w:style>
  <w:style w:type="character" w:customStyle="1" w:styleId="93">
    <w:name w:val="font91"/>
    <w:basedOn w:val="32"/>
    <w:qFormat/>
    <w:uiPriority w:val="0"/>
    <w:rPr>
      <w:rFonts w:hint="default" w:ascii="Times New Roman" w:hAnsi="Times New Roman" w:cs="Times New Roman"/>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46"/>
    <customShpInfo spid="_x0000_s1047"/>
    <customShpInfo spid="_x0000_s1050"/>
    <customShpInfo spid="_x0000_s1051"/>
    <customShpInfo spid="_x0000_s1056"/>
  </customShpExts>
</s:customData>
</file>

<file path=customXml/item2.xml><?xml version="1.0" encoding="utf-8"?>
<b:Sources xmlns:b="http://schemas.openxmlformats.org/officeDocument/2006/bibliography" xmlns="http://schemas.openxmlformats.org/officeDocument/2006/bibliography" SelectedStyle="\GostTitle.XSL" StyleName="GOST - 标题排序" Version="2003"/>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2E160C9-F5E3-41C3-8FB9-F9C2C72BECEA}">
  <ds:schemaRefs/>
</ds:datastoreItem>
</file>

<file path=docProps/app.xml><?xml version="1.0" encoding="utf-8"?>
<Properties xmlns="http://schemas.openxmlformats.org/officeDocument/2006/extended-properties" xmlns:vt="http://schemas.openxmlformats.org/officeDocument/2006/docPropsVTypes">
  <Template>Normal.dotm</Template>
  <Company>KG</Company>
  <Pages>121</Pages>
  <Words>6681</Words>
  <Characters>7601</Characters>
  <Lines>447</Lines>
  <Paragraphs>126</Paragraphs>
  <TotalTime>33</TotalTime>
  <ScaleCrop>false</ScaleCrop>
  <LinksUpToDate>false</LinksUpToDate>
  <CharactersWithSpaces>7964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2020-03-21T10:02:00Z</dcterms:created>
  <dc:creator>Administrator</dc:creator>
  <cp:lastModifiedBy>阿静ღ</cp:lastModifiedBy>
  <cp:lastPrinted>2020-08-23T02:17:00Z</cp:lastPrinted>
  <dcterms:modified xsi:type="dcterms:W3CDTF">2025-08-09T08:23:17Z</dcterms:modified>
  <cp:revision>512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CDA63B8587304D82892DCA8C9F7304C8_12</vt:lpwstr>
  </property>
  <property fmtid="{D5CDD505-2E9C-101B-9397-08002B2CF9AE}" pid="3" name="KSOProductBuildVer">
    <vt:lpwstr>2052-12.1.0.21915</vt:lpwstr>
  </property>
  <property fmtid="{D5CDD505-2E9C-101B-9397-08002B2CF9AE}" pid="4" name="KSOTemplateDocerSaveRecord">
    <vt:lpwstr>eyJoZGlkIjoiZDNhMjllMDRhOWQxMWU1NjY2ZmM3NWMxYmFmMDc2MDAiLCJ1c2VySWQiOiIzMjM1ODk2NzMifQ==</vt:lpwstr>
  </property>
</Properties>
</file>