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CE45">
      <w:pPr>
        <w:pStyle w:val="11"/>
        <w:spacing w:before="936" w:beforeLines="300" w:line="360" w:lineRule="auto"/>
        <w:jc w:val="center"/>
        <w:rPr>
          <w:rFonts w:hint="eastAsia" w:ascii="宋体" w:hAnsi="宋体" w:eastAsia="宋体" w:cs="宋体"/>
          <w:b/>
          <w:bCs/>
          <w:color w:val="auto"/>
          <w:spacing w:val="20"/>
          <w:sz w:val="56"/>
          <w:szCs w:val="56"/>
          <w:highlight w:val="none"/>
          <w:lang w:eastAsia="zh-CN"/>
        </w:rPr>
      </w:pPr>
      <w:bookmarkStart w:id="0" w:name="OLE_LINK6"/>
      <w:r>
        <w:rPr>
          <w:rFonts w:hint="eastAsia" w:hAnsi="宋体" w:cs="宋体"/>
          <w:b/>
          <w:bCs/>
          <w:color w:val="auto"/>
          <w:spacing w:val="20"/>
          <w:sz w:val="56"/>
          <w:szCs w:val="56"/>
          <w:highlight w:val="none"/>
          <w:lang w:eastAsia="zh-CN"/>
        </w:rPr>
        <w:t>云南财经职业学院大数据中心软件升级-图书与信息中心数据管理与服务平台升级项目</w:t>
      </w:r>
    </w:p>
    <w:p w14:paraId="738F1F64">
      <w:pPr>
        <w:pStyle w:val="18"/>
        <w:spacing w:before="624" w:beforeLines="200" w:line="360" w:lineRule="auto"/>
        <w:jc w:val="center"/>
        <w:rPr>
          <w:rFonts w:hint="eastAsia" w:ascii="宋体" w:hAnsi="宋体" w:eastAsia="宋体" w:cs="宋体"/>
          <w:color w:val="auto"/>
          <w:highlight w:val="none"/>
          <w:lang w:eastAsia="zh-CN"/>
        </w:rPr>
      </w:pPr>
      <w:bookmarkStart w:id="1" w:name="OLE_LINK3"/>
      <w:bookmarkStart w:id="2" w:name="_Toc1387"/>
      <w:r>
        <w:rPr>
          <w:rFonts w:hint="eastAsia" w:ascii="宋体" w:hAnsi="宋体" w:eastAsia="宋体" w:cs="宋体"/>
          <w:b/>
          <w:bCs/>
          <w:color w:val="auto"/>
          <w:sz w:val="36"/>
          <w:szCs w:val="36"/>
          <w:highlight w:val="none"/>
        </w:rPr>
        <w:t>项目编号：</w:t>
      </w:r>
      <w:bookmarkEnd w:id="1"/>
      <w:bookmarkEnd w:id="2"/>
      <w:r>
        <w:rPr>
          <w:rFonts w:hint="eastAsia" w:hAnsi="宋体" w:cs="宋体"/>
          <w:b/>
          <w:bCs/>
          <w:color w:val="auto"/>
          <w:sz w:val="36"/>
          <w:szCs w:val="36"/>
          <w:highlight w:val="none"/>
          <w:lang w:eastAsia="zh-CN"/>
        </w:rPr>
        <w:t>YNZC2025-D1-03562-YNZZ-0275</w:t>
      </w:r>
    </w:p>
    <w:p w14:paraId="717CE6E0">
      <w:pPr>
        <w:jc w:val="center"/>
        <w:rPr>
          <w:rFonts w:hint="eastAsia" w:ascii="宋体" w:hAnsi="宋体" w:eastAsia="宋体" w:cs="宋体"/>
          <w:color w:val="auto"/>
          <w:highlight w:val="none"/>
        </w:rPr>
      </w:pPr>
    </w:p>
    <w:p w14:paraId="72719FE4">
      <w:pPr>
        <w:spacing w:before="1560" w:beforeLines="500" w:after="1560" w:afterLines="500"/>
        <w:jc w:val="center"/>
        <w:rPr>
          <w:rFonts w:hint="eastAsia" w:ascii="宋体" w:hAnsi="宋体" w:eastAsia="宋体" w:cs="宋体"/>
          <w:b/>
          <w:color w:val="auto"/>
          <w:sz w:val="96"/>
          <w:szCs w:val="96"/>
          <w:highlight w:val="none"/>
        </w:rPr>
      </w:pPr>
      <w:bookmarkStart w:id="3" w:name="_Toc22868"/>
      <w:bookmarkStart w:id="4" w:name="OLE_LINK5"/>
      <w:r>
        <w:rPr>
          <w:rFonts w:hint="eastAsia" w:ascii="宋体" w:hAnsi="宋体" w:eastAsia="宋体" w:cs="宋体"/>
          <w:b/>
          <w:color w:val="auto"/>
          <w:sz w:val="96"/>
          <w:szCs w:val="96"/>
          <w:highlight w:val="none"/>
        </w:rPr>
        <w:t>单一来源采购文件</w:t>
      </w:r>
      <w:bookmarkEnd w:id="3"/>
    </w:p>
    <w:bookmarkEnd w:id="4"/>
    <w:p w14:paraId="311E1161">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36"/>
          <w:szCs w:val="36"/>
          <w:highlight w:val="none"/>
        </w:rPr>
      </w:pPr>
      <w:bookmarkStart w:id="5" w:name="_Toc3735"/>
      <w:bookmarkStart w:id="6" w:name="OLE_LINK8"/>
    </w:p>
    <w:p w14:paraId="16F90A24">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采购人：</w:t>
      </w:r>
      <w:bookmarkEnd w:id="5"/>
      <w:r>
        <w:rPr>
          <w:rFonts w:hint="eastAsia" w:ascii="宋体" w:hAnsi="宋体" w:eastAsia="宋体" w:cs="宋体"/>
          <w:b/>
          <w:bCs/>
          <w:color w:val="auto"/>
          <w:sz w:val="36"/>
          <w:szCs w:val="36"/>
          <w:highlight w:val="none"/>
          <w:lang w:eastAsia="zh-CN"/>
        </w:rPr>
        <w:t>云南财经职业学院</w:t>
      </w:r>
    </w:p>
    <w:p w14:paraId="00C1587D">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36"/>
          <w:szCs w:val="36"/>
          <w:highlight w:val="none"/>
        </w:rPr>
      </w:pPr>
      <w:bookmarkStart w:id="7" w:name="_Toc9413"/>
      <w:r>
        <w:rPr>
          <w:rFonts w:hint="eastAsia" w:ascii="宋体" w:hAnsi="宋体" w:eastAsia="宋体" w:cs="宋体"/>
          <w:b/>
          <w:bCs/>
          <w:color w:val="auto"/>
          <w:sz w:val="36"/>
          <w:szCs w:val="36"/>
          <w:highlight w:val="none"/>
        </w:rPr>
        <w:t>采购代理机构：云南中咨海外咨询有限公司</w:t>
      </w:r>
      <w:bookmarkEnd w:id="7"/>
    </w:p>
    <w:p w14:paraId="5FA80D9A">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36"/>
          <w:szCs w:val="36"/>
          <w:highlight w:val="none"/>
        </w:rPr>
        <w:sectPr>
          <w:headerReference r:id="rId4" w:type="first"/>
          <w:footerReference r:id="rId6" w:type="first"/>
          <w:headerReference r:id="rId3" w:type="default"/>
          <w:footerReference r:id="rId5" w:type="default"/>
          <w:pgSz w:w="11906" w:h="16838"/>
          <w:pgMar w:top="1440" w:right="1800" w:bottom="1440" w:left="1800" w:header="510" w:footer="680" w:gutter="0"/>
          <w:pgNumType w:start="0"/>
          <w:cols w:space="720" w:num="1"/>
          <w:titlePg/>
          <w:docGrid w:type="linesAndChars" w:linePitch="312" w:charSpace="0"/>
        </w:sectPr>
      </w:pPr>
      <w:bookmarkStart w:id="8" w:name="OLE_LINK9"/>
      <w:bookmarkStart w:id="9" w:name="OLE_LINK260"/>
      <w:bookmarkStart w:id="10" w:name="_Toc9604"/>
      <w:r>
        <w:rPr>
          <w:rFonts w:hint="eastAsia" w:ascii="宋体" w:hAnsi="宋体" w:eastAsia="宋体" w:cs="宋体"/>
          <w:b/>
          <w:bCs/>
          <w:color w:val="auto"/>
          <w:sz w:val="36"/>
          <w:szCs w:val="36"/>
          <w:highlight w:val="none"/>
        </w:rPr>
        <w:t>日期：</w:t>
      </w:r>
      <w:bookmarkEnd w:id="8"/>
      <w:r>
        <w:rPr>
          <w:rFonts w:hint="eastAsia" w:ascii="宋体" w:hAnsi="宋体" w:eastAsia="宋体" w:cs="宋体"/>
          <w:b/>
          <w:bCs/>
          <w:color w:val="auto"/>
          <w:sz w:val="36"/>
          <w:szCs w:val="36"/>
          <w:highlight w:val="none"/>
        </w:rPr>
        <w:t>二○二</w:t>
      </w:r>
      <w:bookmarkStart w:id="11" w:name="OLE_LINK118"/>
      <w:r>
        <w:rPr>
          <w:rFonts w:hint="eastAsia" w:ascii="宋体" w:hAnsi="宋体" w:eastAsia="宋体" w:cs="宋体"/>
          <w:b/>
          <w:bCs/>
          <w:color w:val="auto"/>
          <w:sz w:val="36"/>
          <w:szCs w:val="36"/>
          <w:highlight w:val="none"/>
        </w:rPr>
        <w:t>五年</w:t>
      </w:r>
      <w:bookmarkEnd w:id="6"/>
      <w:bookmarkEnd w:id="9"/>
      <w:bookmarkEnd w:id="11"/>
      <w:r>
        <w:rPr>
          <w:rFonts w:hint="eastAsia" w:ascii="宋体" w:hAnsi="宋体" w:eastAsia="宋体" w:cs="宋体"/>
          <w:b/>
          <w:bCs/>
          <w:color w:val="auto"/>
          <w:sz w:val="36"/>
          <w:szCs w:val="36"/>
          <w:highlight w:val="none"/>
          <w:lang w:val="en-US" w:eastAsia="zh-CN"/>
        </w:rPr>
        <w:t>六</w:t>
      </w:r>
      <w:r>
        <w:rPr>
          <w:rFonts w:hint="eastAsia" w:ascii="宋体" w:hAnsi="宋体" w:eastAsia="宋体" w:cs="宋体"/>
          <w:b/>
          <w:bCs/>
          <w:color w:val="auto"/>
          <w:sz w:val="36"/>
          <w:szCs w:val="36"/>
          <w:highlight w:val="none"/>
        </w:rPr>
        <w:t>月</w:t>
      </w:r>
      <w:bookmarkEnd w:id="10"/>
    </w:p>
    <w:bookmarkEnd w:id="0"/>
    <w:sdt>
      <w:sdtPr>
        <w:rPr>
          <w:rFonts w:hint="eastAsia" w:ascii="宋体" w:hAnsi="宋体" w:eastAsia="宋体" w:cs="宋体"/>
          <w:color w:val="auto"/>
          <w:sz w:val="36"/>
          <w:szCs w:val="36"/>
          <w:highlight w:val="none"/>
        </w:rPr>
        <w:id w:val="147482616"/>
        <w15:color w:val="DBDBDB"/>
        <w:docPartObj>
          <w:docPartGallery w:val="Table of Contents"/>
          <w:docPartUnique/>
        </w:docPartObj>
      </w:sdtPr>
      <w:sdtEndPr>
        <w:rPr>
          <w:rFonts w:hint="eastAsia" w:ascii="宋体" w:hAnsi="宋体" w:eastAsia="宋体" w:cs="宋体"/>
          <w:color w:val="auto"/>
          <w:sz w:val="28"/>
          <w:szCs w:val="28"/>
          <w:highlight w:val="none"/>
        </w:rPr>
      </w:sdtEndPr>
      <w:sdtContent>
        <w:p w14:paraId="44D6087A">
          <w:pPr>
            <w:spacing w:line="720" w:lineRule="auto"/>
            <w:jc w:val="center"/>
            <w:rPr>
              <w:rFonts w:hint="eastAsia" w:ascii="宋体" w:hAnsi="宋体" w:eastAsia="宋体" w:cs="宋体"/>
              <w:b/>
              <w:bCs/>
              <w:color w:val="auto"/>
              <w:sz w:val="36"/>
              <w:szCs w:val="36"/>
              <w:highlight w:val="none"/>
            </w:rPr>
          </w:pPr>
          <w:bookmarkStart w:id="12" w:name="OLE_LINK129"/>
          <w:bookmarkStart w:id="13" w:name="OLE_LINK127"/>
          <w:r>
            <w:rPr>
              <w:rFonts w:hint="eastAsia" w:ascii="宋体" w:hAnsi="宋体" w:eastAsia="宋体" w:cs="宋体"/>
              <w:b/>
              <w:bCs/>
              <w:color w:val="auto"/>
              <w:sz w:val="36"/>
              <w:szCs w:val="36"/>
              <w:highlight w:val="none"/>
            </w:rPr>
            <w:t>目  录</w:t>
          </w:r>
        </w:p>
        <w:p w14:paraId="7BC736BD">
          <w:pPr>
            <w:pStyle w:val="25"/>
            <w:tabs>
              <w:tab w:val="right" w:leader="dot" w:pos="8306"/>
            </w:tabs>
            <w:spacing w:line="480" w:lineRule="auto"/>
            <w:rPr>
              <w:rFonts w:hint="eastAsia" w:ascii="宋体" w:hAnsi="宋体" w:eastAsia="宋体" w:cs="宋体"/>
              <w:b/>
              <w:bCs/>
              <w:sz w:val="24"/>
              <w:szCs w:val="32"/>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4"/>
              <w:szCs w:val="36"/>
              <w:highlight w:val="none"/>
            </w:rPr>
            <w:fldChar w:fldCharType="begin"/>
          </w:r>
          <w:r>
            <w:rPr>
              <w:rFonts w:hint="eastAsia" w:ascii="宋体" w:hAnsi="宋体" w:eastAsia="宋体" w:cs="宋体"/>
              <w:b/>
              <w:bCs/>
              <w:sz w:val="24"/>
              <w:szCs w:val="36"/>
              <w:highlight w:val="none"/>
            </w:rPr>
            <w:instrText xml:space="preserve"> HYPERLINK \l _Toc29112 </w:instrText>
          </w:r>
          <w:r>
            <w:rPr>
              <w:rFonts w:hint="eastAsia" w:ascii="宋体" w:hAnsi="宋体" w:eastAsia="宋体" w:cs="宋体"/>
              <w:b/>
              <w:bCs/>
              <w:sz w:val="24"/>
              <w:szCs w:val="36"/>
              <w:highlight w:val="none"/>
            </w:rPr>
            <w:fldChar w:fldCharType="separate"/>
          </w:r>
          <w:r>
            <w:rPr>
              <w:rFonts w:hint="eastAsia" w:ascii="宋体" w:hAnsi="宋体" w:eastAsia="宋体" w:cs="宋体"/>
              <w:b/>
              <w:bCs/>
              <w:kern w:val="44"/>
              <w:sz w:val="24"/>
              <w:szCs w:val="40"/>
              <w:highlight w:val="none"/>
            </w:rPr>
            <w:t>第一章  单一来源采购邀请书</w:t>
          </w:r>
          <w:r>
            <w:rPr>
              <w:rFonts w:hint="eastAsia" w:ascii="宋体" w:hAnsi="宋体" w:eastAsia="宋体" w:cs="宋体"/>
              <w:b/>
              <w:bCs/>
              <w:sz w:val="24"/>
              <w:szCs w:val="32"/>
              <w:highlight w:val="none"/>
            </w:rPr>
            <w:tab/>
          </w:r>
          <w:r>
            <w:rPr>
              <w:rFonts w:hint="eastAsia" w:ascii="宋体" w:hAnsi="宋体" w:eastAsia="宋体" w:cs="宋体"/>
              <w:b/>
              <w:bCs/>
              <w:sz w:val="24"/>
              <w:szCs w:val="32"/>
              <w:highlight w:val="none"/>
            </w:rPr>
            <w:fldChar w:fldCharType="begin"/>
          </w:r>
          <w:r>
            <w:rPr>
              <w:rFonts w:hint="eastAsia" w:ascii="宋体" w:hAnsi="宋体" w:eastAsia="宋体" w:cs="宋体"/>
              <w:b/>
              <w:bCs/>
              <w:sz w:val="24"/>
              <w:szCs w:val="32"/>
              <w:highlight w:val="none"/>
            </w:rPr>
            <w:instrText xml:space="preserve"> PAGEREF _Toc29112 \h </w:instrText>
          </w:r>
          <w:r>
            <w:rPr>
              <w:rFonts w:hint="eastAsia" w:ascii="宋体" w:hAnsi="宋体" w:eastAsia="宋体" w:cs="宋体"/>
              <w:b/>
              <w:bCs/>
              <w:sz w:val="24"/>
              <w:szCs w:val="32"/>
              <w:highlight w:val="none"/>
            </w:rPr>
            <w:fldChar w:fldCharType="separate"/>
          </w:r>
          <w:r>
            <w:rPr>
              <w:rFonts w:hint="eastAsia" w:ascii="宋体" w:hAnsi="宋体" w:eastAsia="宋体" w:cs="宋体"/>
              <w:b/>
              <w:bCs/>
              <w:sz w:val="24"/>
              <w:szCs w:val="32"/>
              <w:highlight w:val="none"/>
            </w:rPr>
            <w:t>1</w:t>
          </w:r>
          <w:r>
            <w:rPr>
              <w:rFonts w:hint="eastAsia" w:ascii="宋体" w:hAnsi="宋体" w:eastAsia="宋体" w:cs="宋体"/>
              <w:b/>
              <w:bCs/>
              <w:sz w:val="24"/>
              <w:szCs w:val="32"/>
              <w:highlight w:val="none"/>
            </w:rPr>
            <w:fldChar w:fldCharType="end"/>
          </w:r>
          <w:r>
            <w:rPr>
              <w:rFonts w:hint="eastAsia" w:ascii="宋体" w:hAnsi="宋体" w:eastAsia="宋体" w:cs="宋体"/>
              <w:b/>
              <w:bCs/>
              <w:color w:val="auto"/>
              <w:sz w:val="24"/>
              <w:szCs w:val="36"/>
              <w:highlight w:val="none"/>
            </w:rPr>
            <w:fldChar w:fldCharType="end"/>
          </w:r>
        </w:p>
        <w:p w14:paraId="25AF8B0D">
          <w:pPr>
            <w:pStyle w:val="25"/>
            <w:tabs>
              <w:tab w:val="right" w:leader="dot" w:pos="8306"/>
            </w:tabs>
            <w:spacing w:line="480" w:lineRule="auto"/>
            <w:rPr>
              <w:rFonts w:hint="eastAsia" w:ascii="宋体" w:hAnsi="宋体" w:eastAsia="宋体" w:cs="宋体"/>
              <w:b/>
              <w:bCs/>
              <w:sz w:val="24"/>
              <w:szCs w:val="32"/>
              <w:highlight w:val="none"/>
            </w:rPr>
          </w:pPr>
          <w:r>
            <w:rPr>
              <w:rFonts w:hint="eastAsia" w:ascii="宋体" w:hAnsi="宋体" w:eastAsia="宋体" w:cs="宋体"/>
              <w:b/>
              <w:bCs/>
              <w:color w:val="auto"/>
              <w:sz w:val="24"/>
              <w:szCs w:val="36"/>
              <w:highlight w:val="none"/>
            </w:rPr>
            <w:fldChar w:fldCharType="begin"/>
          </w:r>
          <w:r>
            <w:rPr>
              <w:rFonts w:hint="eastAsia" w:ascii="宋体" w:hAnsi="宋体" w:eastAsia="宋体" w:cs="宋体"/>
              <w:b/>
              <w:bCs/>
              <w:sz w:val="24"/>
              <w:szCs w:val="36"/>
              <w:highlight w:val="none"/>
            </w:rPr>
            <w:instrText xml:space="preserve"> HYPERLINK \l _Toc6737 </w:instrText>
          </w:r>
          <w:r>
            <w:rPr>
              <w:rFonts w:hint="eastAsia" w:ascii="宋体" w:hAnsi="宋体" w:eastAsia="宋体" w:cs="宋体"/>
              <w:b/>
              <w:bCs/>
              <w:sz w:val="24"/>
              <w:szCs w:val="36"/>
              <w:highlight w:val="none"/>
            </w:rPr>
            <w:fldChar w:fldCharType="separate"/>
          </w:r>
          <w:r>
            <w:rPr>
              <w:rFonts w:hint="eastAsia" w:ascii="宋体" w:hAnsi="宋体" w:eastAsia="宋体" w:cs="宋体"/>
              <w:b/>
              <w:bCs/>
              <w:kern w:val="44"/>
              <w:sz w:val="24"/>
              <w:szCs w:val="40"/>
              <w:highlight w:val="none"/>
            </w:rPr>
            <w:t>第二章  供应商须知</w:t>
          </w:r>
          <w:r>
            <w:rPr>
              <w:rFonts w:hint="eastAsia" w:ascii="宋体" w:hAnsi="宋体" w:eastAsia="宋体" w:cs="宋体"/>
              <w:b/>
              <w:bCs/>
              <w:sz w:val="24"/>
              <w:szCs w:val="32"/>
              <w:highlight w:val="none"/>
            </w:rPr>
            <w:tab/>
          </w:r>
          <w:r>
            <w:rPr>
              <w:rFonts w:hint="eastAsia" w:ascii="宋体" w:hAnsi="宋体" w:eastAsia="宋体" w:cs="宋体"/>
              <w:b/>
              <w:bCs/>
              <w:sz w:val="24"/>
              <w:szCs w:val="32"/>
              <w:highlight w:val="none"/>
            </w:rPr>
            <w:fldChar w:fldCharType="begin"/>
          </w:r>
          <w:r>
            <w:rPr>
              <w:rFonts w:hint="eastAsia" w:ascii="宋体" w:hAnsi="宋体" w:eastAsia="宋体" w:cs="宋体"/>
              <w:b/>
              <w:bCs/>
              <w:sz w:val="24"/>
              <w:szCs w:val="32"/>
              <w:highlight w:val="none"/>
            </w:rPr>
            <w:instrText xml:space="preserve"> PAGEREF _Toc6737 \h </w:instrText>
          </w:r>
          <w:r>
            <w:rPr>
              <w:rFonts w:hint="eastAsia" w:ascii="宋体" w:hAnsi="宋体" w:eastAsia="宋体" w:cs="宋体"/>
              <w:b/>
              <w:bCs/>
              <w:sz w:val="24"/>
              <w:szCs w:val="32"/>
              <w:highlight w:val="none"/>
            </w:rPr>
            <w:fldChar w:fldCharType="separate"/>
          </w:r>
          <w:r>
            <w:rPr>
              <w:rFonts w:hint="eastAsia" w:ascii="宋体" w:hAnsi="宋体" w:eastAsia="宋体" w:cs="宋体"/>
              <w:b/>
              <w:bCs/>
              <w:sz w:val="24"/>
              <w:szCs w:val="32"/>
              <w:highlight w:val="none"/>
            </w:rPr>
            <w:t>6</w:t>
          </w:r>
          <w:r>
            <w:rPr>
              <w:rFonts w:hint="eastAsia" w:ascii="宋体" w:hAnsi="宋体" w:eastAsia="宋体" w:cs="宋体"/>
              <w:b/>
              <w:bCs/>
              <w:sz w:val="24"/>
              <w:szCs w:val="32"/>
              <w:highlight w:val="none"/>
            </w:rPr>
            <w:fldChar w:fldCharType="end"/>
          </w:r>
          <w:r>
            <w:rPr>
              <w:rFonts w:hint="eastAsia" w:ascii="宋体" w:hAnsi="宋体" w:eastAsia="宋体" w:cs="宋体"/>
              <w:b/>
              <w:bCs/>
              <w:color w:val="auto"/>
              <w:sz w:val="24"/>
              <w:szCs w:val="36"/>
              <w:highlight w:val="none"/>
            </w:rPr>
            <w:fldChar w:fldCharType="end"/>
          </w:r>
        </w:p>
        <w:p w14:paraId="0A6A302D">
          <w:pPr>
            <w:pStyle w:val="25"/>
            <w:tabs>
              <w:tab w:val="right" w:leader="dot" w:pos="8306"/>
            </w:tabs>
            <w:spacing w:line="480" w:lineRule="auto"/>
            <w:rPr>
              <w:rFonts w:hint="eastAsia" w:ascii="宋体" w:hAnsi="宋体" w:eastAsia="宋体" w:cs="宋体"/>
              <w:b/>
              <w:bCs/>
              <w:sz w:val="24"/>
              <w:szCs w:val="32"/>
              <w:highlight w:val="none"/>
            </w:rPr>
          </w:pPr>
          <w:r>
            <w:rPr>
              <w:rFonts w:hint="eastAsia" w:ascii="宋体" w:hAnsi="宋体" w:eastAsia="宋体" w:cs="宋体"/>
              <w:b/>
              <w:bCs/>
              <w:color w:val="auto"/>
              <w:sz w:val="24"/>
              <w:szCs w:val="36"/>
              <w:highlight w:val="none"/>
            </w:rPr>
            <w:fldChar w:fldCharType="begin"/>
          </w:r>
          <w:r>
            <w:rPr>
              <w:rFonts w:hint="eastAsia" w:ascii="宋体" w:hAnsi="宋体" w:eastAsia="宋体" w:cs="宋体"/>
              <w:b/>
              <w:bCs/>
              <w:sz w:val="24"/>
              <w:szCs w:val="36"/>
              <w:highlight w:val="none"/>
            </w:rPr>
            <w:instrText xml:space="preserve"> HYPERLINK \l _Toc28280 </w:instrText>
          </w:r>
          <w:r>
            <w:rPr>
              <w:rFonts w:hint="eastAsia" w:ascii="宋体" w:hAnsi="宋体" w:eastAsia="宋体" w:cs="宋体"/>
              <w:b/>
              <w:bCs/>
              <w:sz w:val="24"/>
              <w:szCs w:val="36"/>
              <w:highlight w:val="none"/>
            </w:rPr>
            <w:fldChar w:fldCharType="separate"/>
          </w:r>
          <w:r>
            <w:rPr>
              <w:rFonts w:hint="eastAsia" w:ascii="宋体" w:hAnsi="宋体" w:eastAsia="宋体" w:cs="宋体"/>
              <w:b/>
              <w:bCs/>
              <w:kern w:val="2"/>
              <w:sz w:val="24"/>
              <w:szCs w:val="40"/>
              <w:highlight w:val="none"/>
            </w:rPr>
            <w:t>第三章  合同书样式及主要条款</w:t>
          </w:r>
          <w:r>
            <w:rPr>
              <w:rFonts w:hint="eastAsia" w:ascii="宋体" w:hAnsi="宋体" w:eastAsia="宋体" w:cs="宋体"/>
              <w:b/>
              <w:bCs/>
              <w:sz w:val="24"/>
              <w:szCs w:val="32"/>
              <w:highlight w:val="none"/>
            </w:rPr>
            <w:tab/>
          </w:r>
          <w:r>
            <w:rPr>
              <w:rFonts w:hint="eastAsia" w:ascii="宋体" w:hAnsi="宋体" w:eastAsia="宋体" w:cs="宋体"/>
              <w:b/>
              <w:bCs/>
              <w:sz w:val="24"/>
              <w:szCs w:val="32"/>
              <w:highlight w:val="none"/>
            </w:rPr>
            <w:fldChar w:fldCharType="begin"/>
          </w:r>
          <w:r>
            <w:rPr>
              <w:rFonts w:hint="eastAsia" w:ascii="宋体" w:hAnsi="宋体" w:eastAsia="宋体" w:cs="宋体"/>
              <w:b/>
              <w:bCs/>
              <w:sz w:val="24"/>
              <w:szCs w:val="32"/>
              <w:highlight w:val="none"/>
            </w:rPr>
            <w:instrText xml:space="preserve"> PAGEREF _Toc28280 \h </w:instrText>
          </w:r>
          <w:r>
            <w:rPr>
              <w:rFonts w:hint="eastAsia" w:ascii="宋体" w:hAnsi="宋体" w:eastAsia="宋体" w:cs="宋体"/>
              <w:b/>
              <w:bCs/>
              <w:sz w:val="24"/>
              <w:szCs w:val="32"/>
              <w:highlight w:val="none"/>
            </w:rPr>
            <w:fldChar w:fldCharType="separate"/>
          </w:r>
          <w:r>
            <w:rPr>
              <w:rFonts w:hint="eastAsia" w:ascii="宋体" w:hAnsi="宋体" w:eastAsia="宋体" w:cs="宋体"/>
              <w:b/>
              <w:bCs/>
              <w:sz w:val="24"/>
              <w:szCs w:val="32"/>
              <w:highlight w:val="none"/>
            </w:rPr>
            <w:t>19</w:t>
          </w:r>
          <w:r>
            <w:rPr>
              <w:rFonts w:hint="eastAsia" w:ascii="宋体" w:hAnsi="宋体" w:eastAsia="宋体" w:cs="宋体"/>
              <w:b/>
              <w:bCs/>
              <w:sz w:val="24"/>
              <w:szCs w:val="32"/>
              <w:highlight w:val="none"/>
            </w:rPr>
            <w:fldChar w:fldCharType="end"/>
          </w:r>
          <w:r>
            <w:rPr>
              <w:rFonts w:hint="eastAsia" w:ascii="宋体" w:hAnsi="宋体" w:eastAsia="宋体" w:cs="宋体"/>
              <w:b/>
              <w:bCs/>
              <w:color w:val="auto"/>
              <w:sz w:val="24"/>
              <w:szCs w:val="36"/>
              <w:highlight w:val="none"/>
            </w:rPr>
            <w:fldChar w:fldCharType="end"/>
          </w:r>
        </w:p>
        <w:p w14:paraId="01AEDF76">
          <w:pPr>
            <w:pStyle w:val="25"/>
            <w:tabs>
              <w:tab w:val="right" w:leader="dot" w:pos="8306"/>
            </w:tabs>
            <w:spacing w:line="480" w:lineRule="auto"/>
            <w:rPr>
              <w:rFonts w:hint="eastAsia" w:ascii="宋体" w:hAnsi="宋体" w:eastAsia="宋体" w:cs="宋体"/>
              <w:b/>
              <w:bCs/>
              <w:sz w:val="24"/>
              <w:szCs w:val="32"/>
              <w:highlight w:val="none"/>
            </w:rPr>
          </w:pPr>
          <w:r>
            <w:rPr>
              <w:rFonts w:hint="eastAsia" w:ascii="宋体" w:hAnsi="宋体" w:eastAsia="宋体" w:cs="宋体"/>
              <w:b/>
              <w:bCs/>
              <w:color w:val="auto"/>
              <w:sz w:val="24"/>
              <w:szCs w:val="36"/>
              <w:highlight w:val="none"/>
            </w:rPr>
            <w:fldChar w:fldCharType="begin"/>
          </w:r>
          <w:r>
            <w:rPr>
              <w:rFonts w:hint="eastAsia" w:ascii="宋体" w:hAnsi="宋体" w:eastAsia="宋体" w:cs="宋体"/>
              <w:b/>
              <w:bCs/>
              <w:sz w:val="24"/>
              <w:szCs w:val="36"/>
              <w:highlight w:val="none"/>
            </w:rPr>
            <w:instrText xml:space="preserve"> HYPERLINK \l _Toc32542 </w:instrText>
          </w:r>
          <w:r>
            <w:rPr>
              <w:rFonts w:hint="eastAsia" w:ascii="宋体" w:hAnsi="宋体" w:eastAsia="宋体" w:cs="宋体"/>
              <w:b/>
              <w:bCs/>
              <w:sz w:val="24"/>
              <w:szCs w:val="36"/>
              <w:highlight w:val="none"/>
            </w:rPr>
            <w:fldChar w:fldCharType="separate"/>
          </w:r>
          <w:r>
            <w:rPr>
              <w:rFonts w:hint="eastAsia" w:ascii="宋体" w:hAnsi="宋体" w:eastAsia="宋体" w:cs="宋体"/>
              <w:b/>
              <w:bCs/>
              <w:kern w:val="44"/>
              <w:sz w:val="24"/>
              <w:szCs w:val="40"/>
              <w:highlight w:val="none"/>
            </w:rPr>
            <w:t>第四章  响应文件格式</w:t>
          </w:r>
          <w:r>
            <w:rPr>
              <w:rFonts w:hint="eastAsia" w:ascii="宋体" w:hAnsi="宋体" w:eastAsia="宋体" w:cs="宋体"/>
              <w:b/>
              <w:bCs/>
              <w:sz w:val="24"/>
              <w:szCs w:val="32"/>
              <w:highlight w:val="none"/>
            </w:rPr>
            <w:tab/>
          </w:r>
          <w:r>
            <w:rPr>
              <w:rFonts w:hint="eastAsia" w:ascii="宋体" w:hAnsi="宋体" w:eastAsia="宋体" w:cs="宋体"/>
              <w:b/>
              <w:bCs/>
              <w:sz w:val="24"/>
              <w:szCs w:val="32"/>
              <w:highlight w:val="none"/>
            </w:rPr>
            <w:fldChar w:fldCharType="begin"/>
          </w:r>
          <w:r>
            <w:rPr>
              <w:rFonts w:hint="eastAsia" w:ascii="宋体" w:hAnsi="宋体" w:eastAsia="宋体" w:cs="宋体"/>
              <w:b/>
              <w:bCs/>
              <w:sz w:val="24"/>
              <w:szCs w:val="32"/>
              <w:highlight w:val="none"/>
            </w:rPr>
            <w:instrText xml:space="preserve"> PAGEREF _Toc32542 \h </w:instrText>
          </w:r>
          <w:r>
            <w:rPr>
              <w:rFonts w:hint="eastAsia" w:ascii="宋体" w:hAnsi="宋体" w:eastAsia="宋体" w:cs="宋体"/>
              <w:b/>
              <w:bCs/>
              <w:sz w:val="24"/>
              <w:szCs w:val="32"/>
              <w:highlight w:val="none"/>
            </w:rPr>
            <w:fldChar w:fldCharType="separate"/>
          </w:r>
          <w:r>
            <w:rPr>
              <w:rFonts w:hint="eastAsia" w:ascii="宋体" w:hAnsi="宋体" w:eastAsia="宋体" w:cs="宋体"/>
              <w:b/>
              <w:bCs/>
              <w:sz w:val="24"/>
              <w:szCs w:val="32"/>
              <w:highlight w:val="none"/>
            </w:rPr>
            <w:t>20</w:t>
          </w:r>
          <w:r>
            <w:rPr>
              <w:rFonts w:hint="eastAsia" w:ascii="宋体" w:hAnsi="宋体" w:eastAsia="宋体" w:cs="宋体"/>
              <w:b/>
              <w:bCs/>
              <w:sz w:val="24"/>
              <w:szCs w:val="32"/>
              <w:highlight w:val="none"/>
            </w:rPr>
            <w:fldChar w:fldCharType="end"/>
          </w:r>
          <w:r>
            <w:rPr>
              <w:rFonts w:hint="eastAsia" w:ascii="宋体" w:hAnsi="宋体" w:eastAsia="宋体" w:cs="宋体"/>
              <w:b/>
              <w:bCs/>
              <w:color w:val="auto"/>
              <w:sz w:val="24"/>
              <w:szCs w:val="36"/>
              <w:highlight w:val="none"/>
            </w:rPr>
            <w:fldChar w:fldCharType="end"/>
          </w:r>
        </w:p>
        <w:p w14:paraId="1B6C3E93">
          <w:pPr>
            <w:pStyle w:val="25"/>
            <w:tabs>
              <w:tab w:val="right" w:leader="dot" w:pos="8306"/>
            </w:tabs>
            <w:spacing w:line="480" w:lineRule="auto"/>
            <w:rPr>
              <w:rFonts w:hint="eastAsia" w:ascii="宋体" w:hAnsi="宋体" w:eastAsia="宋体" w:cs="宋体"/>
              <w:b/>
              <w:bCs/>
              <w:sz w:val="24"/>
              <w:szCs w:val="32"/>
              <w:highlight w:val="none"/>
            </w:rPr>
          </w:pPr>
          <w:r>
            <w:rPr>
              <w:rFonts w:hint="eastAsia" w:ascii="宋体" w:hAnsi="宋体" w:eastAsia="宋体" w:cs="宋体"/>
              <w:b/>
              <w:bCs/>
              <w:color w:val="auto"/>
              <w:sz w:val="24"/>
              <w:szCs w:val="36"/>
              <w:highlight w:val="none"/>
            </w:rPr>
            <w:fldChar w:fldCharType="begin"/>
          </w:r>
          <w:r>
            <w:rPr>
              <w:rFonts w:hint="eastAsia" w:ascii="宋体" w:hAnsi="宋体" w:eastAsia="宋体" w:cs="宋体"/>
              <w:b/>
              <w:bCs/>
              <w:sz w:val="24"/>
              <w:szCs w:val="36"/>
              <w:highlight w:val="none"/>
            </w:rPr>
            <w:instrText xml:space="preserve"> HYPERLINK \l _Toc261 </w:instrText>
          </w:r>
          <w:r>
            <w:rPr>
              <w:rFonts w:hint="eastAsia" w:ascii="宋体" w:hAnsi="宋体" w:eastAsia="宋体" w:cs="宋体"/>
              <w:b/>
              <w:bCs/>
              <w:sz w:val="24"/>
              <w:szCs w:val="36"/>
              <w:highlight w:val="none"/>
            </w:rPr>
            <w:fldChar w:fldCharType="separate"/>
          </w:r>
          <w:r>
            <w:rPr>
              <w:rFonts w:hint="eastAsia" w:ascii="宋体" w:hAnsi="宋体" w:eastAsia="宋体" w:cs="宋体"/>
              <w:b/>
              <w:bCs/>
              <w:kern w:val="44"/>
              <w:sz w:val="24"/>
              <w:szCs w:val="40"/>
              <w:highlight w:val="none"/>
            </w:rPr>
            <w:t>第五章  采购需求</w:t>
          </w:r>
          <w:r>
            <w:rPr>
              <w:rFonts w:hint="eastAsia" w:ascii="宋体" w:hAnsi="宋体" w:eastAsia="宋体" w:cs="宋体"/>
              <w:b/>
              <w:bCs/>
              <w:sz w:val="24"/>
              <w:szCs w:val="32"/>
              <w:highlight w:val="none"/>
            </w:rPr>
            <w:tab/>
          </w:r>
          <w:r>
            <w:rPr>
              <w:rFonts w:hint="eastAsia" w:ascii="宋体" w:hAnsi="宋体" w:eastAsia="宋体" w:cs="宋体"/>
              <w:b/>
              <w:bCs/>
              <w:sz w:val="24"/>
              <w:szCs w:val="32"/>
              <w:highlight w:val="none"/>
            </w:rPr>
            <w:fldChar w:fldCharType="begin"/>
          </w:r>
          <w:r>
            <w:rPr>
              <w:rFonts w:hint="eastAsia" w:ascii="宋体" w:hAnsi="宋体" w:eastAsia="宋体" w:cs="宋体"/>
              <w:b/>
              <w:bCs/>
              <w:sz w:val="24"/>
              <w:szCs w:val="32"/>
              <w:highlight w:val="none"/>
            </w:rPr>
            <w:instrText xml:space="preserve"> PAGEREF _Toc261 \h </w:instrText>
          </w:r>
          <w:r>
            <w:rPr>
              <w:rFonts w:hint="eastAsia" w:ascii="宋体" w:hAnsi="宋体" w:eastAsia="宋体" w:cs="宋体"/>
              <w:b/>
              <w:bCs/>
              <w:sz w:val="24"/>
              <w:szCs w:val="32"/>
              <w:highlight w:val="none"/>
            </w:rPr>
            <w:fldChar w:fldCharType="separate"/>
          </w:r>
          <w:r>
            <w:rPr>
              <w:rFonts w:hint="eastAsia" w:ascii="宋体" w:hAnsi="宋体" w:eastAsia="宋体" w:cs="宋体"/>
              <w:b/>
              <w:bCs/>
              <w:sz w:val="24"/>
              <w:szCs w:val="32"/>
              <w:highlight w:val="none"/>
            </w:rPr>
            <w:t>41</w:t>
          </w:r>
          <w:r>
            <w:rPr>
              <w:rFonts w:hint="eastAsia" w:ascii="宋体" w:hAnsi="宋体" w:eastAsia="宋体" w:cs="宋体"/>
              <w:b/>
              <w:bCs/>
              <w:sz w:val="24"/>
              <w:szCs w:val="32"/>
              <w:highlight w:val="none"/>
            </w:rPr>
            <w:fldChar w:fldCharType="end"/>
          </w:r>
          <w:r>
            <w:rPr>
              <w:rFonts w:hint="eastAsia" w:ascii="宋体" w:hAnsi="宋体" w:eastAsia="宋体" w:cs="宋体"/>
              <w:b/>
              <w:bCs/>
              <w:color w:val="auto"/>
              <w:sz w:val="24"/>
              <w:szCs w:val="36"/>
              <w:highlight w:val="none"/>
            </w:rPr>
            <w:fldChar w:fldCharType="end"/>
          </w:r>
        </w:p>
        <w:p w14:paraId="40E81A52">
          <w:pPr>
            <w:pStyle w:val="25"/>
            <w:tabs>
              <w:tab w:val="right" w:leader="dot" w:pos="8306"/>
            </w:tabs>
            <w:spacing w:line="480" w:lineRule="auto"/>
            <w:rPr>
              <w:rFonts w:hint="eastAsia" w:ascii="宋体" w:hAnsi="宋体" w:eastAsia="宋体" w:cs="宋体"/>
              <w:highlight w:val="none"/>
            </w:rPr>
          </w:pPr>
          <w:r>
            <w:rPr>
              <w:rFonts w:hint="eastAsia" w:ascii="宋体" w:hAnsi="宋体" w:eastAsia="宋体" w:cs="宋体"/>
              <w:b/>
              <w:bCs/>
              <w:color w:val="auto"/>
              <w:sz w:val="24"/>
              <w:szCs w:val="36"/>
              <w:highlight w:val="none"/>
            </w:rPr>
            <w:fldChar w:fldCharType="begin"/>
          </w:r>
          <w:r>
            <w:rPr>
              <w:rFonts w:hint="eastAsia" w:ascii="宋体" w:hAnsi="宋体" w:eastAsia="宋体" w:cs="宋体"/>
              <w:b/>
              <w:bCs/>
              <w:sz w:val="24"/>
              <w:szCs w:val="36"/>
              <w:highlight w:val="none"/>
            </w:rPr>
            <w:instrText xml:space="preserve"> HYPERLINK \l _Toc3638 </w:instrText>
          </w:r>
          <w:r>
            <w:rPr>
              <w:rFonts w:hint="eastAsia" w:ascii="宋体" w:hAnsi="宋体" w:eastAsia="宋体" w:cs="宋体"/>
              <w:b/>
              <w:bCs/>
              <w:sz w:val="24"/>
              <w:szCs w:val="36"/>
              <w:highlight w:val="none"/>
            </w:rPr>
            <w:fldChar w:fldCharType="separate"/>
          </w:r>
          <w:r>
            <w:rPr>
              <w:rFonts w:hint="eastAsia" w:ascii="宋体" w:hAnsi="宋体" w:eastAsia="宋体" w:cs="宋体"/>
              <w:b/>
              <w:bCs/>
              <w:kern w:val="44"/>
              <w:sz w:val="24"/>
              <w:szCs w:val="40"/>
              <w:highlight w:val="none"/>
            </w:rPr>
            <w:t>第六章  评审方法</w:t>
          </w:r>
          <w:r>
            <w:rPr>
              <w:rFonts w:hint="eastAsia" w:ascii="宋体" w:hAnsi="宋体" w:eastAsia="宋体" w:cs="宋体"/>
              <w:b/>
              <w:bCs/>
              <w:sz w:val="24"/>
              <w:szCs w:val="32"/>
              <w:highlight w:val="none"/>
            </w:rPr>
            <w:tab/>
          </w:r>
          <w:r>
            <w:rPr>
              <w:rFonts w:hint="eastAsia" w:ascii="宋体" w:hAnsi="宋体" w:eastAsia="宋体" w:cs="宋体"/>
              <w:b/>
              <w:bCs/>
              <w:sz w:val="24"/>
              <w:szCs w:val="32"/>
              <w:highlight w:val="none"/>
            </w:rPr>
            <w:fldChar w:fldCharType="begin"/>
          </w:r>
          <w:r>
            <w:rPr>
              <w:rFonts w:hint="eastAsia" w:ascii="宋体" w:hAnsi="宋体" w:eastAsia="宋体" w:cs="宋体"/>
              <w:b/>
              <w:bCs/>
              <w:sz w:val="24"/>
              <w:szCs w:val="32"/>
              <w:highlight w:val="none"/>
            </w:rPr>
            <w:instrText xml:space="preserve"> PAGEREF _Toc3638 \h </w:instrText>
          </w:r>
          <w:r>
            <w:rPr>
              <w:rFonts w:hint="eastAsia" w:ascii="宋体" w:hAnsi="宋体" w:eastAsia="宋体" w:cs="宋体"/>
              <w:b/>
              <w:bCs/>
              <w:sz w:val="24"/>
              <w:szCs w:val="32"/>
              <w:highlight w:val="none"/>
            </w:rPr>
            <w:fldChar w:fldCharType="separate"/>
          </w:r>
          <w:r>
            <w:rPr>
              <w:rFonts w:hint="eastAsia" w:ascii="宋体" w:hAnsi="宋体" w:eastAsia="宋体" w:cs="宋体"/>
              <w:b/>
              <w:bCs/>
              <w:sz w:val="24"/>
              <w:szCs w:val="32"/>
              <w:highlight w:val="none"/>
            </w:rPr>
            <w:t>80</w:t>
          </w:r>
          <w:r>
            <w:rPr>
              <w:rFonts w:hint="eastAsia" w:ascii="宋体" w:hAnsi="宋体" w:eastAsia="宋体" w:cs="宋体"/>
              <w:b/>
              <w:bCs/>
              <w:sz w:val="24"/>
              <w:szCs w:val="32"/>
              <w:highlight w:val="none"/>
            </w:rPr>
            <w:fldChar w:fldCharType="end"/>
          </w:r>
          <w:r>
            <w:rPr>
              <w:rFonts w:hint="eastAsia" w:ascii="宋体" w:hAnsi="宋体" w:eastAsia="宋体" w:cs="宋体"/>
              <w:b/>
              <w:bCs/>
              <w:color w:val="auto"/>
              <w:sz w:val="24"/>
              <w:szCs w:val="36"/>
              <w:highlight w:val="none"/>
            </w:rPr>
            <w:fldChar w:fldCharType="end"/>
          </w:r>
        </w:p>
        <w:p w14:paraId="0035B11F">
          <w:pPr>
            <w:pStyle w:val="17"/>
            <w:tabs>
              <w:tab w:val="right" w:leader="dot" w:pos="9525"/>
              <w:tab w:val="clear" w:pos="9515"/>
            </w:tabs>
            <w:spacing w:line="480" w:lineRule="auto"/>
            <w:ind w:left="840"/>
            <w:jc w:val="center"/>
            <w:rPr>
              <w:rFonts w:hint="eastAsia" w:ascii="宋体" w:hAnsi="宋体" w:eastAsia="宋体" w:cs="宋体"/>
              <w:color w:val="auto"/>
              <w:highlight w:val="none"/>
            </w:rPr>
          </w:pPr>
          <w:r>
            <w:rPr>
              <w:rFonts w:hint="eastAsia" w:ascii="宋体" w:hAnsi="宋体" w:eastAsia="宋体" w:cs="宋体"/>
              <w:bCs/>
              <w:color w:val="auto"/>
              <w:szCs w:val="28"/>
              <w:highlight w:val="none"/>
            </w:rPr>
            <w:fldChar w:fldCharType="end"/>
          </w:r>
          <w:bookmarkEnd w:id="12"/>
          <w:bookmarkEnd w:id="13"/>
        </w:p>
      </w:sdtContent>
    </w:sdt>
    <w:p w14:paraId="49522A72">
      <w:pPr>
        <w:rPr>
          <w:rFonts w:hint="eastAsia" w:ascii="宋体" w:hAnsi="宋体" w:eastAsia="宋体" w:cs="宋体"/>
          <w:color w:val="auto"/>
          <w:highlight w:val="none"/>
        </w:rPr>
      </w:pPr>
    </w:p>
    <w:p w14:paraId="1F064BCD">
      <w:pPr>
        <w:pStyle w:val="2"/>
        <w:jc w:val="center"/>
        <w:rPr>
          <w:rFonts w:hint="eastAsia" w:ascii="宋体" w:hAnsi="宋体" w:eastAsia="宋体" w:cs="宋体"/>
          <w:color w:val="auto"/>
          <w:sz w:val="32"/>
          <w:highlight w:val="none"/>
        </w:rPr>
        <w:sectPr>
          <w:footerReference r:id="rId9" w:type="first"/>
          <w:headerReference r:id="rId7" w:type="default"/>
          <w:footerReference r:id="rId8" w:type="default"/>
          <w:pgSz w:w="11906" w:h="16838"/>
          <w:pgMar w:top="1440" w:right="1800" w:bottom="1440" w:left="1800" w:header="510" w:footer="680" w:gutter="0"/>
          <w:pgNumType w:start="1"/>
          <w:cols w:space="720" w:num="1"/>
          <w:docGrid w:type="linesAndChars" w:linePitch="312" w:charSpace="0"/>
        </w:sectPr>
      </w:pPr>
    </w:p>
    <w:p w14:paraId="6877BB69">
      <w:pPr>
        <w:pStyle w:val="2"/>
        <w:keepLines/>
        <w:autoSpaceDE/>
        <w:autoSpaceDN/>
        <w:adjustRightInd/>
        <w:spacing w:before="156" w:beforeLines="50" w:line="360" w:lineRule="auto"/>
        <w:jc w:val="center"/>
        <w:rPr>
          <w:rFonts w:hint="eastAsia" w:ascii="宋体" w:hAnsi="宋体" w:eastAsia="宋体" w:cs="宋体"/>
          <w:color w:val="auto"/>
          <w:kern w:val="44"/>
          <w:sz w:val="32"/>
          <w:szCs w:val="32"/>
          <w:highlight w:val="none"/>
        </w:rPr>
      </w:pPr>
      <w:bookmarkStart w:id="14" w:name="_Toc17280"/>
      <w:bookmarkStart w:id="15" w:name="_Toc29618"/>
      <w:bookmarkStart w:id="16" w:name="_Toc29112"/>
      <w:r>
        <w:rPr>
          <w:rFonts w:hint="eastAsia" w:ascii="宋体" w:hAnsi="宋体" w:eastAsia="宋体" w:cs="宋体"/>
          <w:color w:val="auto"/>
          <w:kern w:val="44"/>
          <w:sz w:val="32"/>
          <w:szCs w:val="32"/>
          <w:highlight w:val="none"/>
        </w:rPr>
        <w:t>第一章  单一来源采购邀请书</w:t>
      </w:r>
      <w:bookmarkEnd w:id="14"/>
      <w:bookmarkEnd w:id="15"/>
      <w:bookmarkEnd w:id="16"/>
    </w:p>
    <w:p w14:paraId="15F2DEDD">
      <w:pPr>
        <w:pStyle w:val="3"/>
        <w:spacing w:before="0" w:after="0"/>
        <w:jc w:val="both"/>
        <w:rPr>
          <w:rFonts w:hint="eastAsia" w:ascii="宋体" w:hAnsi="宋体" w:eastAsia="宋体" w:cs="宋体"/>
          <w:bCs w:val="0"/>
          <w:snapToGrid w:val="0"/>
          <w:color w:val="auto"/>
          <w:kern w:val="21"/>
          <w:szCs w:val="28"/>
          <w:highlight w:val="none"/>
        </w:rPr>
      </w:pPr>
      <w:bookmarkStart w:id="17" w:name="_Toc15500"/>
      <w:bookmarkStart w:id="18" w:name="_Toc462330055"/>
      <w:bookmarkStart w:id="19" w:name="_Toc5592"/>
      <w:bookmarkStart w:id="20" w:name="_Toc86124033"/>
      <w:bookmarkStart w:id="21" w:name="_Toc490305676"/>
      <w:bookmarkStart w:id="22" w:name="_Toc498050621"/>
      <w:r>
        <w:rPr>
          <w:rFonts w:hint="eastAsia" w:ascii="宋体" w:hAnsi="宋体" w:eastAsia="宋体" w:cs="宋体"/>
          <w:bCs w:val="0"/>
          <w:snapToGrid w:val="0"/>
          <w:color w:val="auto"/>
          <w:kern w:val="21"/>
          <w:szCs w:val="28"/>
          <w:highlight w:val="none"/>
        </w:rPr>
        <w:t>一、单一</w:t>
      </w:r>
      <w:bookmarkStart w:id="23" w:name="OLE_LINK12"/>
      <w:r>
        <w:rPr>
          <w:rFonts w:hint="eastAsia" w:ascii="宋体" w:hAnsi="宋体" w:eastAsia="宋体" w:cs="宋体"/>
          <w:bCs w:val="0"/>
          <w:snapToGrid w:val="0"/>
          <w:color w:val="auto"/>
          <w:kern w:val="21"/>
          <w:szCs w:val="28"/>
          <w:highlight w:val="none"/>
        </w:rPr>
        <w:t>来源采购条件</w:t>
      </w:r>
      <w:bookmarkEnd w:id="17"/>
      <w:bookmarkEnd w:id="18"/>
      <w:bookmarkEnd w:id="19"/>
      <w:bookmarkEnd w:id="20"/>
      <w:bookmarkEnd w:id="21"/>
      <w:bookmarkEnd w:id="22"/>
      <w:bookmarkEnd w:id="23"/>
    </w:p>
    <w:p w14:paraId="4CD472FE">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根据《中华人民共和国政府采购法》、</w:t>
      </w:r>
      <w:r>
        <w:rPr>
          <w:rFonts w:hint="eastAsia" w:ascii="宋体" w:hAnsi="宋体" w:eastAsia="宋体" w:cs="宋体"/>
          <w:color w:val="auto"/>
          <w:highlight w:val="none"/>
        </w:rPr>
        <w:t>《中华人民共和国政府采购法实施条例》、</w:t>
      </w:r>
      <w:r>
        <w:rPr>
          <w:rFonts w:hint="eastAsia" w:ascii="宋体" w:hAnsi="宋体" w:eastAsia="宋体" w:cs="宋体"/>
          <w:color w:val="auto"/>
          <w:szCs w:val="21"/>
          <w:highlight w:val="none"/>
        </w:rPr>
        <w:t>《政府采购非招标采购方式管理办法》（财政部令第74号）等有关法律、法规和规章</w:t>
      </w:r>
      <w:r>
        <w:rPr>
          <w:rFonts w:hint="eastAsia" w:ascii="宋体" w:hAnsi="宋体" w:eastAsia="宋体" w:cs="宋体"/>
          <w:bCs/>
          <w:color w:val="auto"/>
          <w:szCs w:val="21"/>
          <w:highlight w:val="none"/>
        </w:rPr>
        <w:t>的规定</w:t>
      </w:r>
      <w:r>
        <w:rPr>
          <w:rFonts w:hint="eastAsia" w:ascii="宋体" w:hAnsi="宋体" w:eastAsia="宋体" w:cs="宋体"/>
          <w:color w:val="auto"/>
          <w:szCs w:val="21"/>
          <w:highlight w:val="none"/>
        </w:rPr>
        <w:t>，云南中咨海外咨询有限公司（以下简称：“采购代理机构”）受采购人的委托，就“</w:t>
      </w:r>
      <w:r>
        <w:rPr>
          <w:rFonts w:hint="eastAsia" w:ascii="宋体" w:hAnsi="宋体" w:cs="宋体"/>
          <w:color w:val="auto"/>
          <w:szCs w:val="21"/>
          <w:highlight w:val="none"/>
          <w:u w:val="single"/>
          <w:lang w:eastAsia="zh-CN"/>
        </w:rPr>
        <w:t>云南财经职业学院大数据中心软件升级-图书与信息中心数据管理与服务平台升级项目</w:t>
      </w:r>
      <w:r>
        <w:rPr>
          <w:rFonts w:hint="eastAsia" w:ascii="宋体" w:hAnsi="宋体" w:eastAsia="宋体" w:cs="宋体"/>
          <w:color w:val="auto"/>
          <w:szCs w:val="21"/>
          <w:highlight w:val="none"/>
        </w:rPr>
        <w:t>”向本项目供应</w:t>
      </w:r>
      <w:r>
        <w:rPr>
          <w:rFonts w:hint="eastAsia" w:ascii="宋体" w:hAnsi="宋体" w:eastAsia="宋体" w:cs="宋体"/>
          <w:bCs/>
          <w:color w:val="auto"/>
          <w:szCs w:val="21"/>
          <w:highlight w:val="none"/>
        </w:rPr>
        <w:t>商</w:t>
      </w:r>
      <w:r>
        <w:rPr>
          <w:rFonts w:hint="eastAsia" w:ascii="宋体" w:hAnsi="宋体" w:eastAsia="宋体" w:cs="宋体"/>
          <w:b/>
          <w:bCs w:val="0"/>
          <w:color w:val="auto"/>
          <w:szCs w:val="21"/>
          <w:highlight w:val="none"/>
          <w:u w:val="single"/>
          <w:lang w:val="en-US" w:eastAsia="zh-CN"/>
        </w:rPr>
        <w:t xml:space="preserve"> </w:t>
      </w:r>
      <w:r>
        <w:rPr>
          <w:rFonts w:hint="eastAsia" w:ascii="宋体" w:hAnsi="宋体" w:cs="宋体"/>
          <w:b/>
          <w:bCs w:val="0"/>
          <w:color w:val="auto"/>
          <w:szCs w:val="21"/>
          <w:highlight w:val="none"/>
          <w:u w:val="single"/>
          <w:lang w:val="en-US" w:eastAsia="zh-CN"/>
        </w:rPr>
        <w:t>联奕科技股份有限公司</w:t>
      </w:r>
      <w:r>
        <w:rPr>
          <w:rFonts w:hint="eastAsia" w:ascii="宋体" w:hAnsi="宋体" w:eastAsia="宋体" w:cs="宋体"/>
          <w:b/>
          <w:bCs w:val="0"/>
          <w:color w:val="auto"/>
          <w:szCs w:val="21"/>
          <w:highlight w:val="none"/>
          <w:u w:val="single"/>
          <w:lang w:val="en-US" w:eastAsia="zh-CN"/>
        </w:rPr>
        <w:t xml:space="preserve"> </w:t>
      </w:r>
      <w:r>
        <w:rPr>
          <w:rFonts w:hint="eastAsia" w:ascii="宋体" w:hAnsi="宋体" w:eastAsia="宋体" w:cs="宋体"/>
          <w:bCs/>
          <w:color w:val="auto"/>
          <w:szCs w:val="21"/>
          <w:highlight w:val="none"/>
        </w:rPr>
        <w:t>采用</w:t>
      </w:r>
      <w:r>
        <w:rPr>
          <w:rFonts w:hint="eastAsia" w:ascii="宋体" w:hAnsi="宋体" w:eastAsia="宋体" w:cs="宋体"/>
          <w:color w:val="auto"/>
          <w:szCs w:val="21"/>
          <w:highlight w:val="none"/>
        </w:rPr>
        <w:t>单</w:t>
      </w:r>
      <w:r>
        <w:rPr>
          <w:rFonts w:hint="eastAsia" w:ascii="宋体" w:hAnsi="宋体" w:eastAsia="宋体" w:cs="宋体"/>
          <w:bCs/>
          <w:color w:val="auto"/>
          <w:szCs w:val="21"/>
          <w:highlight w:val="none"/>
        </w:rPr>
        <w:t>一来源采购方式进行采购。</w:t>
      </w:r>
    </w:p>
    <w:p w14:paraId="629E3D7E">
      <w:pPr>
        <w:pStyle w:val="3"/>
        <w:spacing w:before="0" w:after="0"/>
        <w:jc w:val="both"/>
        <w:rPr>
          <w:rFonts w:hint="eastAsia" w:ascii="宋体" w:hAnsi="宋体" w:eastAsia="宋体" w:cs="宋体"/>
          <w:bCs w:val="0"/>
          <w:snapToGrid w:val="0"/>
          <w:color w:val="auto"/>
          <w:kern w:val="21"/>
          <w:szCs w:val="28"/>
          <w:highlight w:val="none"/>
        </w:rPr>
      </w:pPr>
      <w:bookmarkStart w:id="24" w:name="_Toc28145"/>
      <w:bookmarkStart w:id="25" w:name="_Toc498050622"/>
      <w:bookmarkStart w:id="26" w:name="_Toc462330056"/>
      <w:bookmarkStart w:id="27" w:name="_Toc490305677"/>
      <w:bookmarkStart w:id="28" w:name="_Toc23937"/>
      <w:r>
        <w:rPr>
          <w:rFonts w:hint="eastAsia" w:ascii="宋体" w:hAnsi="宋体" w:eastAsia="宋体" w:cs="宋体"/>
          <w:bCs w:val="0"/>
          <w:snapToGrid w:val="0"/>
          <w:color w:val="auto"/>
          <w:kern w:val="21"/>
          <w:szCs w:val="28"/>
          <w:highlight w:val="none"/>
        </w:rPr>
        <w:t>二</w:t>
      </w:r>
      <w:bookmarkStart w:id="29" w:name="OLE_LINK28"/>
      <w:r>
        <w:rPr>
          <w:rFonts w:hint="eastAsia" w:ascii="宋体" w:hAnsi="宋体" w:eastAsia="宋体" w:cs="宋体"/>
          <w:bCs w:val="0"/>
          <w:snapToGrid w:val="0"/>
          <w:color w:val="auto"/>
          <w:kern w:val="21"/>
          <w:szCs w:val="28"/>
          <w:highlight w:val="none"/>
        </w:rPr>
        <w:t>、项目概况</w:t>
      </w:r>
      <w:bookmarkEnd w:id="24"/>
      <w:bookmarkEnd w:id="25"/>
      <w:bookmarkEnd w:id="26"/>
      <w:bookmarkEnd w:id="27"/>
      <w:bookmarkEnd w:id="28"/>
      <w:bookmarkEnd w:id="29"/>
    </w:p>
    <w:p w14:paraId="13DC3C31">
      <w:pPr>
        <w:spacing w:line="360" w:lineRule="auto"/>
        <w:ind w:firstLine="420" w:firstLineChars="200"/>
        <w:rPr>
          <w:rFonts w:hint="eastAsia" w:ascii="宋体" w:hAnsi="宋体" w:eastAsia="宋体" w:cs="宋体"/>
          <w:color w:val="auto"/>
          <w:szCs w:val="21"/>
          <w:highlight w:val="none"/>
          <w:lang w:eastAsia="zh-CN"/>
        </w:rPr>
      </w:pPr>
      <w:bookmarkStart w:id="30" w:name="OLE_LINK19"/>
      <w:r>
        <w:rPr>
          <w:rFonts w:hint="eastAsia" w:ascii="宋体" w:hAnsi="宋体" w:eastAsia="宋体" w:cs="宋体"/>
          <w:b/>
          <w:bCs/>
          <w:color w:val="auto"/>
          <w:szCs w:val="21"/>
          <w:highlight w:val="none"/>
        </w:rPr>
        <w:t>1.项目</w:t>
      </w:r>
      <w:bookmarkStart w:id="31" w:name="OLE_LINK18"/>
      <w:r>
        <w:rPr>
          <w:rFonts w:hint="eastAsia" w:ascii="宋体" w:hAnsi="宋体" w:eastAsia="宋体" w:cs="宋体"/>
          <w:b/>
          <w:bCs/>
          <w:color w:val="auto"/>
          <w:szCs w:val="21"/>
          <w:highlight w:val="none"/>
        </w:rPr>
        <w:t>名称：</w:t>
      </w:r>
      <w:r>
        <w:rPr>
          <w:rFonts w:hint="eastAsia" w:ascii="宋体" w:hAnsi="宋体" w:cs="宋体"/>
          <w:color w:val="auto"/>
          <w:szCs w:val="21"/>
          <w:highlight w:val="none"/>
          <w:lang w:eastAsia="zh-CN"/>
        </w:rPr>
        <w:t>云南财经职业学院大数据中心软件升级-图书与信息中心数据管理与服务平台升级项目</w:t>
      </w:r>
    </w:p>
    <w:p w14:paraId="24076E80">
      <w:pPr>
        <w:spacing w:line="360" w:lineRule="auto"/>
        <w:ind w:firstLine="420" w:firstLineChars="200"/>
        <w:rPr>
          <w:rFonts w:hint="eastAsia" w:ascii="宋体" w:hAnsi="宋体" w:eastAsia="宋体" w:cs="宋体"/>
          <w:color w:val="auto"/>
          <w:szCs w:val="21"/>
          <w:highlight w:val="none"/>
          <w:lang w:eastAsia="zh-CN"/>
        </w:rPr>
      </w:pPr>
      <w:bookmarkStart w:id="32" w:name="OLE_LINK13"/>
      <w:r>
        <w:rPr>
          <w:rFonts w:hint="eastAsia" w:ascii="宋体" w:hAnsi="宋体" w:eastAsia="宋体" w:cs="宋体"/>
          <w:b/>
          <w:bCs/>
          <w:color w:val="auto"/>
          <w:szCs w:val="21"/>
          <w:highlight w:val="none"/>
        </w:rPr>
        <w:t>2.项目编号：</w:t>
      </w:r>
      <w:bookmarkEnd w:id="32"/>
      <w:r>
        <w:rPr>
          <w:rFonts w:hint="eastAsia" w:ascii="宋体" w:hAnsi="宋体" w:cs="宋体"/>
          <w:color w:val="auto"/>
          <w:szCs w:val="21"/>
          <w:highlight w:val="none"/>
          <w:lang w:eastAsia="zh-CN"/>
        </w:rPr>
        <w:t>YNZC2025-D1-03562-YNZZ-0275</w:t>
      </w:r>
    </w:p>
    <w:p w14:paraId="53046B5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3.采购方式：</w:t>
      </w:r>
      <w:r>
        <w:rPr>
          <w:rFonts w:hint="eastAsia" w:ascii="宋体" w:hAnsi="宋体" w:eastAsia="宋体" w:cs="宋体"/>
          <w:color w:val="auto"/>
          <w:szCs w:val="21"/>
          <w:highlight w:val="none"/>
        </w:rPr>
        <w:t>单一来源</w:t>
      </w:r>
    </w:p>
    <w:p w14:paraId="1D05B811">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4.预算金额：</w:t>
      </w:r>
      <w:r>
        <w:rPr>
          <w:rFonts w:hint="eastAsia" w:ascii="宋体" w:hAnsi="宋体" w:eastAsia="宋体" w:cs="宋体"/>
          <w:b w:val="0"/>
          <w:bCs w:val="0"/>
          <w:color w:val="auto"/>
          <w:szCs w:val="21"/>
          <w:highlight w:val="none"/>
          <w:lang w:eastAsia="zh-CN"/>
        </w:rPr>
        <w:t>1200000.00</w:t>
      </w:r>
      <w:r>
        <w:rPr>
          <w:rFonts w:hint="eastAsia" w:ascii="宋体" w:hAnsi="宋体" w:cs="宋体"/>
          <w:b w:val="0"/>
          <w:bCs w:val="0"/>
          <w:color w:val="auto"/>
          <w:szCs w:val="21"/>
          <w:highlight w:val="none"/>
          <w:lang w:val="en-US" w:eastAsia="zh-CN"/>
        </w:rPr>
        <w:t>元</w:t>
      </w:r>
      <w:r>
        <w:rPr>
          <w:rFonts w:hint="eastAsia" w:ascii="宋体" w:hAnsi="宋体" w:eastAsia="宋体" w:cs="宋体"/>
          <w:b/>
          <w:bCs/>
          <w:color w:val="auto"/>
          <w:szCs w:val="21"/>
          <w:highlight w:val="none"/>
          <w:lang w:eastAsia="zh-CN"/>
        </w:rPr>
        <w:t>；</w:t>
      </w:r>
    </w:p>
    <w:p w14:paraId="137C711E">
      <w:pPr>
        <w:spacing w:line="360" w:lineRule="auto"/>
        <w:ind w:firstLine="420" w:firstLineChars="200"/>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auto"/>
          <w:szCs w:val="21"/>
          <w:highlight w:val="none"/>
        </w:rPr>
        <w:t>5.最高限价：</w:t>
      </w:r>
      <w:r>
        <w:rPr>
          <w:rFonts w:hint="eastAsia" w:ascii="宋体" w:hAnsi="宋体" w:eastAsia="宋体" w:cs="宋体"/>
          <w:b w:val="0"/>
          <w:bCs w:val="0"/>
          <w:color w:val="auto"/>
          <w:szCs w:val="21"/>
          <w:highlight w:val="none"/>
          <w:lang w:eastAsia="zh-CN"/>
        </w:rPr>
        <w:t>1200000.00</w:t>
      </w:r>
      <w:r>
        <w:rPr>
          <w:rFonts w:hint="eastAsia" w:ascii="宋体" w:hAnsi="宋体" w:cs="宋体"/>
          <w:b w:val="0"/>
          <w:bCs w:val="0"/>
          <w:color w:val="auto"/>
          <w:szCs w:val="21"/>
          <w:highlight w:val="none"/>
          <w:lang w:val="en-US" w:eastAsia="zh-CN"/>
        </w:rPr>
        <w:t>元</w:t>
      </w:r>
      <w:r>
        <w:rPr>
          <w:rFonts w:hint="eastAsia" w:ascii="宋体" w:hAnsi="宋体" w:eastAsia="宋体" w:cs="宋体"/>
          <w:b w:val="0"/>
          <w:bCs w:val="0"/>
          <w:color w:val="auto"/>
          <w:szCs w:val="21"/>
          <w:highlight w:val="none"/>
          <w:lang w:eastAsia="zh-CN"/>
        </w:rPr>
        <w:t>；</w:t>
      </w:r>
    </w:p>
    <w:bookmarkEnd w:id="30"/>
    <w:bookmarkEnd w:id="31"/>
    <w:p w14:paraId="1607959B">
      <w:pPr>
        <w:spacing w:line="360" w:lineRule="auto"/>
        <w:ind w:firstLine="420"/>
        <w:rPr>
          <w:rFonts w:hint="eastAsia" w:ascii="宋体" w:hAnsi="宋体" w:eastAsia="宋体" w:cs="宋体"/>
          <w:b/>
          <w:bCs/>
          <w:color w:val="auto"/>
          <w:szCs w:val="21"/>
          <w:highlight w:val="none"/>
        </w:rPr>
      </w:pPr>
      <w:bookmarkStart w:id="33" w:name="OLE_LINK23"/>
      <w:r>
        <w:rPr>
          <w:rFonts w:hint="eastAsia" w:ascii="宋体" w:hAnsi="宋体" w:eastAsia="宋体" w:cs="宋体"/>
          <w:b/>
          <w:bCs/>
          <w:color w:val="auto"/>
          <w:szCs w:val="21"/>
          <w:highlight w:val="none"/>
        </w:rPr>
        <w:t>6.采购需求：</w:t>
      </w:r>
    </w:p>
    <w:bookmarkEnd w:id="33"/>
    <w:tbl>
      <w:tblPr>
        <w:tblStyle w:val="38"/>
        <w:tblW w:w="47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1698"/>
        <w:gridCol w:w="700"/>
        <w:gridCol w:w="1146"/>
        <w:gridCol w:w="1411"/>
        <w:gridCol w:w="2259"/>
      </w:tblGrid>
      <w:tr w14:paraId="3B77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503" w:type="pct"/>
            <w:shd w:val="clear" w:color="000000" w:fill="FFFFFF"/>
            <w:vAlign w:val="center"/>
          </w:tcPr>
          <w:p w14:paraId="2CB6538E">
            <w:pPr>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b/>
                <w:bCs/>
                <w:kern w:val="0"/>
                <w:szCs w:val="21"/>
                <w:highlight w:val="none"/>
              </w:rPr>
            </w:pPr>
            <w:bookmarkStart w:id="34" w:name="OLE_LINK20" w:colFirst="1" w:colLast="2"/>
            <w:bookmarkStart w:id="35" w:name="OLE_LINK21" w:colFirst="0" w:colLast="0"/>
            <w:r>
              <w:rPr>
                <w:rStyle w:val="41"/>
                <w:rFonts w:hint="eastAsia" w:ascii="宋体" w:hAnsi="宋体" w:eastAsia="宋体" w:cs="宋体"/>
                <w:kern w:val="0"/>
                <w:szCs w:val="21"/>
                <w:highlight w:val="none"/>
                <w:lang w:val="en-US" w:eastAsia="zh-CN"/>
              </w:rPr>
              <w:t>序号</w:t>
            </w:r>
          </w:p>
        </w:tc>
        <w:tc>
          <w:tcPr>
            <w:tcW w:w="1058" w:type="pct"/>
            <w:shd w:val="clear" w:color="000000" w:fill="FFFFFF"/>
            <w:vAlign w:val="center"/>
          </w:tcPr>
          <w:p w14:paraId="70C8BBB4">
            <w:pPr>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highlight w:val="none"/>
                <w:lang w:val="en-US" w:eastAsia="zh-CN" w:bidi="ar-SA"/>
              </w:rPr>
            </w:pPr>
            <w:r>
              <w:rPr>
                <w:rStyle w:val="41"/>
                <w:rFonts w:hint="eastAsia" w:ascii="宋体" w:hAnsi="宋体" w:eastAsia="宋体" w:cs="宋体"/>
                <w:kern w:val="0"/>
                <w:szCs w:val="21"/>
                <w:highlight w:val="none"/>
                <w:lang w:val="en-US" w:eastAsia="zh-CN"/>
              </w:rPr>
              <w:t>标的</w:t>
            </w:r>
            <w:r>
              <w:rPr>
                <w:rStyle w:val="41"/>
                <w:rFonts w:hint="eastAsia" w:ascii="宋体" w:hAnsi="宋体" w:eastAsia="宋体" w:cs="宋体"/>
                <w:kern w:val="0"/>
                <w:szCs w:val="21"/>
                <w:highlight w:val="none"/>
              </w:rPr>
              <w:t>名称</w:t>
            </w:r>
          </w:p>
        </w:tc>
        <w:tc>
          <w:tcPr>
            <w:tcW w:w="436" w:type="pct"/>
            <w:shd w:val="clear" w:color="000000" w:fill="FFFFFF"/>
            <w:vAlign w:val="center"/>
          </w:tcPr>
          <w:p w14:paraId="678B913F">
            <w:pPr>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highlight w:val="none"/>
                <w:lang w:val="en-US" w:eastAsia="zh-CN" w:bidi="ar-SA"/>
              </w:rPr>
            </w:pPr>
            <w:r>
              <w:rPr>
                <w:rStyle w:val="41"/>
                <w:rFonts w:hint="eastAsia" w:ascii="宋体" w:hAnsi="宋体" w:eastAsia="宋体" w:cs="宋体"/>
                <w:kern w:val="0"/>
                <w:szCs w:val="21"/>
                <w:highlight w:val="none"/>
              </w:rPr>
              <w:t>数量</w:t>
            </w:r>
          </w:p>
        </w:tc>
        <w:tc>
          <w:tcPr>
            <w:tcW w:w="714" w:type="pct"/>
            <w:shd w:val="clear" w:color="000000" w:fill="FFFFFF"/>
            <w:vAlign w:val="center"/>
          </w:tcPr>
          <w:p w14:paraId="4E595998">
            <w:pPr>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highlight w:val="none"/>
                <w:lang w:val="en-US" w:eastAsia="zh-CN" w:bidi="ar-SA"/>
              </w:rPr>
            </w:pPr>
            <w:r>
              <w:rPr>
                <w:rStyle w:val="41"/>
                <w:rFonts w:hint="eastAsia" w:ascii="宋体" w:hAnsi="宋体" w:eastAsia="宋体" w:cs="宋体"/>
                <w:kern w:val="0"/>
                <w:szCs w:val="21"/>
                <w:highlight w:val="none"/>
              </w:rPr>
              <w:t>计量单位</w:t>
            </w:r>
          </w:p>
        </w:tc>
        <w:tc>
          <w:tcPr>
            <w:tcW w:w="879" w:type="pct"/>
            <w:shd w:val="clear" w:color="000000" w:fill="FFFFFF"/>
            <w:vAlign w:val="center"/>
          </w:tcPr>
          <w:p w14:paraId="37C6BE80">
            <w:pPr>
              <w:pageBreakBefore w:val="0"/>
              <w:widowControl w:val="0"/>
              <w:kinsoku/>
              <w:overflowPunct/>
              <w:topLinePunct w:val="0"/>
              <w:autoSpaceDE/>
              <w:autoSpaceDN/>
              <w:bidi w:val="0"/>
              <w:adjustRightInd/>
              <w:snapToGrid/>
              <w:spacing w:line="360" w:lineRule="auto"/>
              <w:jc w:val="center"/>
              <w:textAlignment w:val="auto"/>
              <w:rPr>
                <w:rStyle w:val="41"/>
                <w:rFonts w:hint="eastAsia" w:ascii="宋体" w:hAnsi="宋体" w:eastAsia="宋体" w:cs="宋体"/>
                <w:kern w:val="0"/>
                <w:szCs w:val="21"/>
                <w:highlight w:val="none"/>
              </w:rPr>
            </w:pPr>
            <w:r>
              <w:rPr>
                <w:rStyle w:val="41"/>
                <w:rFonts w:hint="eastAsia" w:ascii="宋体" w:hAnsi="宋体" w:eastAsia="宋体" w:cs="宋体"/>
                <w:b/>
                <w:bCs/>
                <w:color w:val="auto"/>
                <w:kern w:val="0"/>
                <w:szCs w:val="21"/>
                <w:highlight w:val="none"/>
              </w:rPr>
              <w:t>▲单价最高限价（元）</w:t>
            </w:r>
          </w:p>
        </w:tc>
        <w:tc>
          <w:tcPr>
            <w:tcW w:w="1407" w:type="pct"/>
            <w:shd w:val="clear" w:color="000000" w:fill="FFFFFF"/>
            <w:vAlign w:val="center"/>
          </w:tcPr>
          <w:p w14:paraId="6922879B">
            <w:pPr>
              <w:pageBreakBefore w:val="0"/>
              <w:widowControl w:val="0"/>
              <w:kinsoku/>
              <w:overflowPunct/>
              <w:topLinePunct w:val="0"/>
              <w:autoSpaceDE/>
              <w:autoSpaceDN/>
              <w:bidi w:val="0"/>
              <w:adjustRightInd/>
              <w:snapToGrid/>
              <w:spacing w:line="360" w:lineRule="auto"/>
              <w:jc w:val="center"/>
              <w:textAlignment w:val="auto"/>
              <w:rPr>
                <w:rStyle w:val="41"/>
                <w:rFonts w:hint="eastAsia" w:ascii="宋体" w:hAnsi="宋体" w:eastAsia="宋体" w:cs="宋体"/>
                <w:kern w:val="0"/>
                <w:szCs w:val="21"/>
                <w:highlight w:val="none"/>
              </w:rPr>
            </w:pPr>
            <w:r>
              <w:rPr>
                <w:rFonts w:hint="eastAsia" w:ascii="宋体" w:hAnsi="宋体" w:eastAsia="宋体" w:cs="宋体"/>
                <w:b/>
                <w:szCs w:val="21"/>
                <w:highlight w:val="none"/>
                <w:lang w:val="en-US" w:eastAsia="zh-CN"/>
              </w:rPr>
              <w:t>简要技术（服务）需求</w:t>
            </w:r>
          </w:p>
        </w:tc>
      </w:tr>
      <w:bookmarkEnd w:id="34"/>
      <w:tr w14:paraId="5EF1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3" w:type="pct"/>
            <w:vAlign w:val="center"/>
          </w:tcPr>
          <w:p w14:paraId="72EABDB0">
            <w:pPr>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w:t>
            </w:r>
          </w:p>
        </w:tc>
        <w:tc>
          <w:tcPr>
            <w:tcW w:w="1058" w:type="pct"/>
            <w:vAlign w:val="center"/>
          </w:tcPr>
          <w:p w14:paraId="6091FE3A">
            <w:pPr>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云南财经职业学院大数据中心软件升级-图书与信息中心数据管理与服务平台升级项目</w:t>
            </w:r>
          </w:p>
        </w:tc>
        <w:tc>
          <w:tcPr>
            <w:tcW w:w="436" w:type="pct"/>
            <w:vAlign w:val="center"/>
          </w:tcPr>
          <w:p w14:paraId="4E7B1F1B">
            <w:pPr>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714" w:type="pct"/>
            <w:vAlign w:val="center"/>
          </w:tcPr>
          <w:p w14:paraId="18C6CF2E">
            <w:pPr>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项</w:t>
            </w:r>
          </w:p>
        </w:tc>
        <w:tc>
          <w:tcPr>
            <w:tcW w:w="879" w:type="pct"/>
            <w:vAlign w:val="center"/>
          </w:tcPr>
          <w:p w14:paraId="4F83A4C5">
            <w:pPr>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1200000.00</w:t>
            </w:r>
          </w:p>
        </w:tc>
        <w:tc>
          <w:tcPr>
            <w:tcW w:w="1407" w:type="pct"/>
            <w:vAlign w:val="center"/>
          </w:tcPr>
          <w:p w14:paraId="79ECC77F">
            <w:pPr>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Cs w:val="21"/>
                <w:highlight w:val="none"/>
                <w:lang w:val="en-US" w:eastAsia="zh-CN"/>
              </w:rPr>
            </w:pPr>
            <w:r>
              <w:rPr>
                <w:rFonts w:hint="eastAsia" w:ascii="宋体" w:hAnsi="宋体" w:eastAsia="宋体" w:cs="宋体"/>
                <w:lang w:val="en-US" w:eastAsia="zh-CN"/>
              </w:rPr>
              <w:t>本项目拟采购一套数据管理与服务平台，对旧平台进行升级迭代。具体需求详见“第五章 采购需求”。</w:t>
            </w:r>
          </w:p>
        </w:tc>
      </w:tr>
      <w:bookmarkEnd w:id="35"/>
    </w:tbl>
    <w:p w14:paraId="46A40E8F">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w:t>
      </w:r>
    </w:p>
    <w:p w14:paraId="4A53484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（1）本项目共设</w:t>
      </w:r>
      <w:r>
        <w:rPr>
          <w:rFonts w:hint="eastAsia" w:ascii="宋体" w:hAnsi="宋体" w:eastAsia="宋体" w:cs="宋体"/>
          <w:b/>
          <w:color w:val="auto"/>
          <w:szCs w:val="21"/>
          <w:highlight w:val="none"/>
          <w:u w:val="single"/>
          <w:lang w:val="en-US" w:eastAsia="zh-CN"/>
        </w:rPr>
        <w:t>1</w:t>
      </w:r>
      <w:r>
        <w:rPr>
          <w:rFonts w:hint="eastAsia" w:ascii="宋体" w:hAnsi="宋体" w:eastAsia="宋体" w:cs="宋体"/>
          <w:bCs/>
          <w:color w:val="auto"/>
          <w:szCs w:val="21"/>
          <w:highlight w:val="none"/>
        </w:rPr>
        <w:t>个标段，供应商必须对所参与标段内所有内容作出完整唯一的报价，且不得出现缺项、漏项或无报价情况，否则响应文件将按无效处理</w:t>
      </w:r>
      <w:r>
        <w:rPr>
          <w:rFonts w:hint="eastAsia" w:ascii="宋体" w:hAnsi="宋体" w:eastAsia="宋体" w:cs="宋体"/>
          <w:color w:val="auto"/>
          <w:szCs w:val="21"/>
          <w:highlight w:val="none"/>
        </w:rPr>
        <w:t>。</w:t>
      </w:r>
    </w:p>
    <w:p w14:paraId="198CBEBE">
      <w:pP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（2）具体要求等详见本</w:t>
      </w:r>
      <w:r>
        <w:rPr>
          <w:rFonts w:hint="eastAsia" w:ascii="宋体" w:hAnsi="宋体" w:eastAsia="宋体" w:cs="宋体"/>
          <w:color w:val="auto"/>
          <w:szCs w:val="21"/>
          <w:highlight w:val="none"/>
        </w:rPr>
        <w:t>单一来源采购文件</w:t>
      </w:r>
      <w:r>
        <w:rPr>
          <w:rFonts w:hint="eastAsia" w:ascii="宋体" w:hAnsi="宋体" w:eastAsia="宋体" w:cs="宋体"/>
          <w:bCs/>
          <w:color w:val="auto"/>
          <w:szCs w:val="21"/>
          <w:highlight w:val="none"/>
        </w:rPr>
        <w:t>第五章《采购需求》</w:t>
      </w:r>
      <w:r>
        <w:rPr>
          <w:rFonts w:hint="eastAsia" w:ascii="宋体" w:hAnsi="宋体" w:eastAsia="宋体" w:cs="宋体"/>
          <w:bCs/>
          <w:color w:val="auto"/>
          <w:szCs w:val="21"/>
          <w:highlight w:val="none"/>
          <w:lang w:eastAsia="zh-CN"/>
        </w:rPr>
        <w:t>。</w:t>
      </w:r>
    </w:p>
    <w:p w14:paraId="1A7ABC9E">
      <w:pPr>
        <w:spacing w:line="360" w:lineRule="auto"/>
        <w:ind w:firstLine="420" w:firstLineChars="200"/>
        <w:rPr>
          <w:rFonts w:hint="eastAsia" w:ascii="宋体" w:hAnsi="宋体" w:eastAsia="宋体" w:cs="宋体"/>
          <w:b/>
          <w:bCs/>
          <w:color w:val="auto"/>
          <w:szCs w:val="21"/>
          <w:highlight w:val="none"/>
          <w:lang w:val="en-US" w:eastAsia="zh-CN"/>
        </w:rPr>
      </w:pPr>
      <w:bookmarkStart w:id="36" w:name="_Toc462330057"/>
      <w:bookmarkStart w:id="37" w:name="_Toc490305678"/>
      <w:bookmarkStart w:id="38" w:name="_Toc86124035"/>
      <w:bookmarkStart w:id="39" w:name="_Toc28774"/>
      <w:bookmarkStart w:id="40" w:name="_Toc12884"/>
      <w:r>
        <w:rPr>
          <w:rFonts w:hint="eastAsia" w:ascii="宋体" w:hAnsi="宋体" w:eastAsia="宋体" w:cs="宋体"/>
          <w:b/>
          <w:bCs/>
          <w:color w:val="auto"/>
          <w:szCs w:val="21"/>
          <w:highlight w:val="none"/>
        </w:rPr>
        <w:t>7.</w:t>
      </w:r>
      <w:r>
        <w:rPr>
          <w:rFonts w:hint="eastAsia" w:ascii="宋体" w:hAnsi="宋体" w:eastAsia="宋体" w:cs="宋体"/>
          <w:b/>
          <w:bCs/>
          <w:color w:val="auto"/>
          <w:szCs w:val="21"/>
          <w:highlight w:val="none"/>
          <w:lang w:eastAsia="zh-CN"/>
        </w:rPr>
        <w:t>合同履行期限（服务期限）</w:t>
      </w:r>
      <w:r>
        <w:rPr>
          <w:rFonts w:hint="eastAsia" w:ascii="宋体" w:hAnsi="宋体" w:eastAsia="宋体" w:cs="宋体"/>
          <w:b/>
          <w:bCs/>
          <w:color w:val="auto"/>
          <w:szCs w:val="21"/>
          <w:highlight w:val="none"/>
        </w:rPr>
        <w:t>：</w:t>
      </w:r>
      <w:bookmarkStart w:id="41" w:name="OLE_LINK26"/>
      <w:r>
        <w:rPr>
          <w:rFonts w:hint="eastAsia" w:ascii="宋体" w:hAnsi="宋体" w:eastAsia="宋体" w:cs="宋体"/>
          <w:b w:val="0"/>
          <w:bCs w:val="0"/>
          <w:color w:val="auto"/>
          <w:kern w:val="2"/>
          <w:sz w:val="21"/>
          <w:szCs w:val="21"/>
          <w:highlight w:val="none"/>
          <w:lang w:eastAsia="zh-CN"/>
        </w:rPr>
        <w:t>2025年9月30日之前完成安装调试、培训，并通过采购人验收</w:t>
      </w:r>
      <w:r>
        <w:rPr>
          <w:rFonts w:hint="eastAsia" w:ascii="宋体" w:hAnsi="宋体" w:eastAsia="宋体" w:cs="宋体"/>
          <w:b w:val="0"/>
          <w:bCs w:val="0"/>
          <w:color w:val="auto"/>
          <w:szCs w:val="21"/>
          <w:highlight w:val="none"/>
          <w:lang w:eastAsia="zh-CN"/>
        </w:rPr>
        <w:t>。</w:t>
      </w:r>
    </w:p>
    <w:p w14:paraId="338B01DD">
      <w:pPr>
        <w:spacing w:line="360" w:lineRule="auto"/>
        <w:ind w:firstLine="420"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8.服务地点：</w:t>
      </w:r>
      <w:r>
        <w:rPr>
          <w:rFonts w:hint="eastAsia" w:ascii="宋体" w:hAnsi="宋体" w:eastAsia="宋体" w:cs="宋体"/>
          <w:b w:val="0"/>
          <w:bCs w:val="0"/>
          <w:color w:val="auto"/>
          <w:szCs w:val="21"/>
          <w:highlight w:val="none"/>
          <w:lang w:val="en-US" w:eastAsia="zh-CN"/>
        </w:rPr>
        <w:t>云南财经职业学院（云南省昆明市龙泉路408号）。</w:t>
      </w:r>
    </w:p>
    <w:p w14:paraId="761D7208">
      <w:pPr>
        <w:spacing w:line="360" w:lineRule="auto"/>
        <w:ind w:firstLine="420"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9.</w:t>
      </w:r>
      <w:r>
        <w:rPr>
          <w:rFonts w:hint="eastAsia" w:ascii="宋体" w:hAnsi="宋体" w:eastAsia="宋体" w:cs="宋体"/>
          <w:lang w:val="en-US" w:eastAsia="zh-CN"/>
        </w:rPr>
        <w:t>4.</w:t>
      </w:r>
      <w:r>
        <w:rPr>
          <w:rFonts w:hint="eastAsia" w:ascii="宋体" w:hAnsi="宋体" w:eastAsia="宋体" w:cs="宋体"/>
          <w:color w:val="auto"/>
          <w:szCs w:val="21"/>
          <w:highlight w:val="none"/>
        </w:rPr>
        <w:t>本项目</w:t>
      </w:r>
      <w:r>
        <w:rPr>
          <w:rFonts w:hint="eastAsia" w:ascii="宋体" w:hAnsi="宋体" w:eastAsia="宋体" w:cs="宋体"/>
          <w:b/>
          <w:bCs/>
          <w:color w:val="auto"/>
          <w:szCs w:val="21"/>
          <w:highlight w:val="none"/>
          <w:u w:val="single"/>
        </w:rPr>
        <w:t>不接受</w:t>
      </w:r>
      <w:r>
        <w:rPr>
          <w:rFonts w:hint="eastAsia" w:ascii="宋体" w:hAnsi="宋体" w:eastAsia="宋体" w:cs="宋体"/>
          <w:color w:val="auto"/>
          <w:szCs w:val="21"/>
          <w:highlight w:val="none"/>
        </w:rPr>
        <w:t>联合体。</w:t>
      </w:r>
    </w:p>
    <w:bookmarkEnd w:id="41"/>
    <w:p w14:paraId="06523737">
      <w:pPr>
        <w:spacing w:line="360" w:lineRule="auto"/>
        <w:outlineLvl w:val="1"/>
        <w:rPr>
          <w:rFonts w:hint="eastAsia" w:ascii="宋体" w:hAnsi="宋体" w:eastAsia="宋体" w:cs="宋体"/>
          <w:b/>
          <w:snapToGrid w:val="0"/>
          <w:color w:val="auto"/>
          <w:kern w:val="21"/>
          <w:sz w:val="28"/>
          <w:szCs w:val="28"/>
          <w:highlight w:val="none"/>
        </w:rPr>
      </w:pPr>
      <w:r>
        <w:rPr>
          <w:rFonts w:hint="eastAsia" w:ascii="宋体" w:hAnsi="宋体" w:eastAsia="宋体" w:cs="宋体"/>
          <w:b/>
          <w:snapToGrid w:val="0"/>
          <w:color w:val="auto"/>
          <w:kern w:val="21"/>
          <w:sz w:val="28"/>
          <w:szCs w:val="28"/>
          <w:highlight w:val="none"/>
        </w:rPr>
        <w:t>三、供应商资格要求</w:t>
      </w:r>
      <w:bookmarkEnd w:id="36"/>
      <w:bookmarkEnd w:id="37"/>
      <w:bookmarkEnd w:id="38"/>
      <w:bookmarkEnd w:id="39"/>
      <w:bookmarkEnd w:id="40"/>
    </w:p>
    <w:p w14:paraId="01A3D25B">
      <w:pPr>
        <w:spacing w:line="360" w:lineRule="auto"/>
        <w:jc w:val="left"/>
        <w:outlineLvl w:val="1"/>
        <w:rPr>
          <w:rFonts w:hint="eastAsia" w:ascii="宋体" w:hAnsi="宋体" w:eastAsia="宋体" w:cs="宋体"/>
          <w:color w:val="auto"/>
          <w:kern w:val="0"/>
          <w:szCs w:val="21"/>
          <w:highlight w:val="none"/>
        </w:rPr>
      </w:pPr>
      <w:bookmarkStart w:id="42" w:name="_Toc86124036"/>
      <w:bookmarkStart w:id="43" w:name="_Toc18510"/>
      <w:bookmarkStart w:id="44" w:name="_Toc490305679"/>
      <w:bookmarkStart w:id="45" w:name="_Toc498050623"/>
      <w:bookmarkStart w:id="46" w:name="_Toc9763"/>
      <w:bookmarkStart w:id="47" w:name="_Toc462330058"/>
      <w:r>
        <w:rPr>
          <w:rFonts w:hint="eastAsia" w:ascii="宋体" w:hAnsi="宋体" w:eastAsia="宋体" w:cs="宋体"/>
          <w:b/>
          <w:bCs/>
          <w:color w:val="auto"/>
          <w:szCs w:val="21"/>
          <w:highlight w:val="none"/>
        </w:rPr>
        <w:t>1.满足《中华人民共和国政府采购法》第二十二条规定：</w:t>
      </w:r>
    </w:p>
    <w:p w14:paraId="7F012006">
      <w:pPr>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1.1</w:t>
      </w:r>
      <w:r>
        <w:rPr>
          <w:rFonts w:hint="eastAsia" w:ascii="宋体" w:hAnsi="宋体" w:eastAsia="宋体" w:cs="宋体"/>
          <w:b/>
          <w:bCs/>
          <w:color w:val="auto"/>
          <w:kern w:val="0"/>
          <w:szCs w:val="21"/>
          <w:highlight w:val="none"/>
        </w:rPr>
        <w:t>具有独立承担民事责任的能力：</w:t>
      </w:r>
      <w:r>
        <w:rPr>
          <w:rFonts w:hint="eastAsia" w:ascii="宋体" w:hAnsi="宋体" w:eastAsia="宋体" w:cs="宋体"/>
          <w:color w:val="auto"/>
          <w:kern w:val="0"/>
          <w:szCs w:val="21"/>
          <w:highlight w:val="none"/>
        </w:rPr>
        <w:t>供应商为法人、其他组织或者自然人，提供有效的营业执照或事业单位法人证书或民办非企业登记证书或执业许可证或社会团体登记证或自然人身份证明；</w:t>
      </w:r>
      <w:r>
        <w:rPr>
          <w:rFonts w:hint="eastAsia" w:ascii="宋体" w:hAnsi="宋体" w:eastAsia="宋体" w:cs="宋体"/>
          <w:color w:val="auto"/>
          <w:szCs w:val="21"/>
          <w:highlight w:val="none"/>
        </w:rPr>
        <w:t>（①若供应商是企业，提供有效的“营业执照”；②若供应商是事业单位，提供有效的“事业单位法人证书”；③若供应商是非企业专业服务机构的，提供有效的法定证明文件；④若供应商是个体工商户，提供有效的“个体工商户营业执照”；⑤若供应商是自然人，提供有效的自然人身份证明）。</w:t>
      </w:r>
    </w:p>
    <w:p w14:paraId="6B6F3CF9">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1.2具有良好的商业信誉和健全的财务会计制度：</w:t>
      </w:r>
    </w:p>
    <w:p w14:paraId="016139CB">
      <w:pPr>
        <w:spacing w:line="360" w:lineRule="auto"/>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1.2.1具有良好的商业信誉：</w:t>
      </w:r>
      <w:r>
        <w:rPr>
          <w:rFonts w:hint="eastAsia" w:ascii="宋体" w:hAnsi="宋体" w:eastAsia="宋体" w:cs="宋体"/>
          <w:color w:val="auto"/>
          <w:szCs w:val="21"/>
          <w:highlight w:val="none"/>
        </w:rPr>
        <w:t>供应商在本项目提交响应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3D8AFF52">
      <w:pPr>
        <w:spacing w:line="360" w:lineRule="auto"/>
        <w:ind w:firstLine="422"/>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1.2.2</w:t>
      </w:r>
      <w:r>
        <w:rPr>
          <w:rFonts w:hint="eastAsia" w:ascii="宋体" w:hAnsi="宋体" w:eastAsia="宋体" w:cs="宋体"/>
          <w:b/>
          <w:bCs/>
          <w:color w:val="auto"/>
          <w:kern w:val="0"/>
          <w:szCs w:val="21"/>
          <w:highlight w:val="none"/>
        </w:rPr>
        <w:t>具有健全的财务会计制度</w:t>
      </w:r>
    </w:p>
    <w:p w14:paraId="3FE84A0B">
      <w:pPr>
        <w:spacing w:line="360" w:lineRule="auto"/>
        <w:ind w:firstLine="422"/>
        <w:rPr>
          <w:rFonts w:hint="eastAsia" w:ascii="宋体" w:hAnsi="宋体" w:eastAsia="宋体" w:cs="宋体"/>
          <w:color w:val="auto"/>
          <w:highlight w:val="none"/>
        </w:rPr>
      </w:pPr>
      <w:r>
        <w:rPr>
          <w:rFonts w:hint="eastAsia" w:ascii="宋体" w:hAnsi="宋体" w:eastAsia="宋体" w:cs="宋体"/>
          <w:color w:val="auto"/>
          <w:kern w:val="0"/>
          <w:szCs w:val="21"/>
          <w:highlight w:val="none"/>
        </w:rPr>
        <w:t>供应商须提供2023年或2024年经第三方审计的财务报告及报表（包括资产负债表、利润表、现金流量表、所有者权益变动表及其附注），或提供自本项目提交响应文件截止时间前三个月内基本开户银行出具的资信证明。新成立企业，成立时间不足一年的，提供自本项目提交响应文件截止时间前三个月内基本开户银行出具的资信证明或自成立至今经第三方审计的财务报告及报表（包括资产负债表、利润表、现金流量表、所有者权益变动表及其附注）；</w:t>
      </w:r>
    </w:p>
    <w:p w14:paraId="184292C3">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1.3供应商须具有履行合同所必需的设备和专业技术能力（提供说明承诺或其他证明材料）；</w:t>
      </w:r>
    </w:p>
    <w:p w14:paraId="01E26610">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1.4供应商须具有依法缴纳税收和社会保障资金的良好记录：</w:t>
      </w:r>
    </w:p>
    <w:p w14:paraId="5631F6CF">
      <w:pPr>
        <w:spacing w:line="360" w:lineRule="auto"/>
        <w:ind w:firstLine="422"/>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供应商须提供缴税所属时间在提交响应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供应商依法免税的，应提供依法免税的相关证明文件；</w:t>
      </w:r>
    </w:p>
    <w:p w14:paraId="6B8365C6">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1.4.2供应商须提供缴费所属时间在提交响应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供应商依法免缴的，应提供依法免缴的相关证明文件；</w:t>
      </w:r>
    </w:p>
    <w:p w14:paraId="1FE994E2">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1.5参加政府采购活动前三年内，在经营活动中没有重大违法记录：</w:t>
      </w:r>
      <w:r>
        <w:rPr>
          <w:rFonts w:hint="eastAsia" w:ascii="宋体" w:hAnsi="宋体" w:eastAsia="宋体" w:cs="宋体"/>
          <w:color w:val="auto"/>
          <w:szCs w:val="21"/>
          <w:highlight w:val="none"/>
        </w:rPr>
        <w:t>供应商须提供参加政府采购活动前三年内，在经营活动中没有重大违法记录（重大违法记录，是指供应商因违法经营受到刑事处罚或者责令停产停业、吊销许可证或者执照、较大数额罚款等行政处罚）的书面声明。</w:t>
      </w:r>
    </w:p>
    <w:p w14:paraId="3A4C4218">
      <w:pPr>
        <w:spacing w:line="360" w:lineRule="auto"/>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2.落实政府采购政策需满足的资格要求：</w:t>
      </w:r>
      <w:r>
        <w:rPr>
          <w:rFonts w:hint="eastAsia" w:ascii="宋体" w:hAnsi="宋体" w:eastAsia="宋体" w:cs="宋体"/>
          <w:b/>
          <w:bCs/>
          <w:szCs w:val="21"/>
          <w:lang w:val="en-US" w:eastAsia="zh-CN"/>
        </w:rPr>
        <w:t>无</w:t>
      </w:r>
      <w:r>
        <w:rPr>
          <w:rFonts w:hint="eastAsia" w:ascii="宋体" w:hAnsi="宋体" w:eastAsia="宋体" w:cs="宋体"/>
          <w:color w:val="auto"/>
          <w:szCs w:val="21"/>
          <w:highlight w:val="none"/>
        </w:rPr>
        <w:t>。</w:t>
      </w:r>
    </w:p>
    <w:p w14:paraId="3831411B">
      <w:pPr>
        <w:spacing w:line="360" w:lineRule="auto"/>
        <w:ind w:firstLine="420" w:firstLineChars="200"/>
        <w:rPr>
          <w:rFonts w:hint="eastAsia" w:ascii="宋体" w:hAnsi="宋体" w:eastAsia="宋体" w:cs="宋体"/>
          <w:lang w:val="en-US" w:eastAsia="zh-CN"/>
        </w:rPr>
      </w:pPr>
      <w:r>
        <w:rPr>
          <w:rFonts w:hint="eastAsia" w:ascii="宋体" w:hAnsi="宋体" w:eastAsia="宋体" w:cs="宋体"/>
          <w:b/>
          <w:bCs/>
          <w:color w:val="auto"/>
          <w:szCs w:val="21"/>
          <w:highlight w:val="none"/>
        </w:rPr>
        <w:t>3.本项目的特定资格要求：</w:t>
      </w:r>
      <w:r>
        <w:rPr>
          <w:rFonts w:hint="eastAsia" w:ascii="宋体" w:hAnsi="宋体" w:eastAsia="宋体" w:cs="宋体"/>
          <w:color w:val="auto"/>
          <w:szCs w:val="21"/>
          <w:highlight w:val="none"/>
        </w:rPr>
        <w:t>无。</w:t>
      </w:r>
    </w:p>
    <w:bookmarkEnd w:id="42"/>
    <w:bookmarkEnd w:id="43"/>
    <w:bookmarkEnd w:id="44"/>
    <w:bookmarkEnd w:id="45"/>
    <w:bookmarkEnd w:id="46"/>
    <w:bookmarkEnd w:id="47"/>
    <w:p w14:paraId="31CD0869">
      <w:pPr>
        <w:spacing w:line="360" w:lineRule="auto"/>
        <w:outlineLvl w:val="1"/>
        <w:rPr>
          <w:rFonts w:hint="eastAsia" w:ascii="宋体" w:hAnsi="宋体" w:eastAsia="宋体" w:cs="宋体"/>
          <w:b/>
          <w:color w:val="auto"/>
          <w:sz w:val="28"/>
          <w:szCs w:val="28"/>
          <w:highlight w:val="none"/>
        </w:rPr>
      </w:pPr>
      <w:bookmarkStart w:id="48" w:name="_Toc24075"/>
      <w:r>
        <w:rPr>
          <w:rFonts w:hint="eastAsia" w:ascii="宋体" w:hAnsi="宋体" w:eastAsia="宋体" w:cs="宋体"/>
          <w:b/>
          <w:color w:val="auto"/>
          <w:sz w:val="28"/>
          <w:szCs w:val="28"/>
          <w:highlight w:val="none"/>
        </w:rPr>
        <w:t>四、获取</w:t>
      </w:r>
      <w:bookmarkStart w:id="49" w:name="OLE_LINK130"/>
      <w:r>
        <w:rPr>
          <w:rFonts w:hint="eastAsia" w:ascii="宋体" w:hAnsi="宋体" w:eastAsia="宋体" w:cs="宋体"/>
          <w:b/>
          <w:color w:val="auto"/>
          <w:sz w:val="28"/>
          <w:szCs w:val="28"/>
          <w:highlight w:val="none"/>
        </w:rPr>
        <w:t>采购文件</w:t>
      </w:r>
      <w:bookmarkEnd w:id="48"/>
      <w:bookmarkEnd w:id="49"/>
    </w:p>
    <w:p w14:paraId="58F0ABCE">
      <w:pPr>
        <w:spacing w:line="360" w:lineRule="auto"/>
        <w:ind w:firstLine="54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时间：</w:t>
      </w:r>
      <w:bookmarkStart w:id="50" w:name="OLE_LINK131"/>
      <w:r>
        <w:rPr>
          <w:rFonts w:hint="eastAsia" w:ascii="宋体" w:hAnsi="宋体" w:eastAsia="宋体" w:cs="宋体"/>
          <w:color w:val="auto"/>
          <w:szCs w:val="21"/>
          <w:highlight w:val="none"/>
        </w:rPr>
        <w:t>2025年</w:t>
      </w:r>
      <w:r>
        <w:rPr>
          <w:rFonts w:hint="eastAsia" w:ascii="宋体" w:hAnsi="宋体" w:cs="宋体"/>
          <w:color w:val="auto"/>
          <w:szCs w:val="21"/>
          <w:highlight w:val="none"/>
          <w:lang w:val="en-US" w:eastAsia="zh-CN"/>
        </w:rPr>
        <w:t>06</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19</w:t>
      </w:r>
      <w:r>
        <w:rPr>
          <w:rFonts w:hint="eastAsia" w:ascii="宋体" w:hAnsi="宋体" w:eastAsia="宋体" w:cs="宋体"/>
          <w:color w:val="auto"/>
          <w:szCs w:val="21"/>
          <w:highlight w:val="none"/>
        </w:rPr>
        <w:t>日至2025年</w:t>
      </w:r>
      <w:r>
        <w:rPr>
          <w:rFonts w:hint="eastAsia" w:ascii="宋体" w:hAnsi="宋体" w:cs="宋体"/>
          <w:color w:val="auto"/>
          <w:szCs w:val="21"/>
          <w:highlight w:val="none"/>
          <w:lang w:val="en-US" w:eastAsia="zh-CN"/>
        </w:rPr>
        <w:t>06</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23</w:t>
      </w:r>
      <w:r>
        <w:rPr>
          <w:rFonts w:hint="eastAsia" w:ascii="宋体" w:hAnsi="宋体" w:eastAsia="宋体" w:cs="宋体"/>
          <w:color w:val="auto"/>
          <w:szCs w:val="21"/>
          <w:highlight w:val="none"/>
        </w:rPr>
        <w:t>日每天上午06:00至12:00，下午12:00至23:59（北京时间）</w:t>
      </w:r>
      <w:bookmarkEnd w:id="50"/>
      <w:r>
        <w:rPr>
          <w:rFonts w:hint="eastAsia" w:ascii="宋体" w:hAnsi="宋体" w:eastAsia="宋体" w:cs="宋体"/>
          <w:color w:val="auto"/>
          <w:szCs w:val="21"/>
          <w:highlight w:val="none"/>
        </w:rPr>
        <w:t>。</w:t>
      </w:r>
    </w:p>
    <w:p w14:paraId="261DFBB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地点：</w:t>
      </w:r>
      <w:bookmarkStart w:id="51" w:name="OLE_LINK132"/>
      <w:r>
        <w:rPr>
          <w:rFonts w:hint="eastAsia" w:ascii="宋体" w:hAnsi="宋体" w:eastAsia="宋体" w:cs="宋体"/>
          <w:color w:val="auto"/>
          <w:szCs w:val="21"/>
          <w:highlight w:val="none"/>
        </w:rPr>
        <w:t>政采云平台（https://www.zcygov.cn/）（操作路径：登录政府采购云平台-项目采购-获取采购文件-找到本项目-点击“申请获取采购文件”）</w:t>
      </w:r>
      <w:bookmarkEnd w:id="51"/>
      <w:r>
        <w:rPr>
          <w:rFonts w:hint="eastAsia" w:ascii="宋体" w:hAnsi="宋体" w:eastAsia="宋体" w:cs="宋体"/>
          <w:color w:val="auto"/>
          <w:szCs w:val="21"/>
          <w:highlight w:val="none"/>
        </w:rPr>
        <w:t>。</w:t>
      </w:r>
    </w:p>
    <w:p w14:paraId="32868C12">
      <w:pPr>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方式：</w:t>
      </w:r>
      <w:r>
        <w:rPr>
          <w:rFonts w:hint="eastAsia" w:ascii="宋体" w:hAnsi="宋体" w:eastAsia="宋体" w:cs="宋体"/>
          <w:color w:val="auto"/>
          <w:szCs w:val="21"/>
          <w:highlight w:val="none"/>
        </w:rPr>
        <w:t>1.供应商须在政采云平台办理数字证书（CA），并在政采云绑定数字证书（CA）后线上获取单一来源采购文件及其他采购资料。CA申领链接：http：//yzt.ynsmartcert.cn/cms/yztynzzhw.html（壹证通客服热线：0871-67276028＜紧急可拨19988166369&gt;）或https：//middle.zcygov.cn/ca/apply/list?_app_=zcy.sys（政采云），CA申领后需登录政采云平台完成数字证书（CA）绑定才可以使用，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府采购云平台办理的其他CA可直接使用，无需重复办理；2.按上述要求获取单一来源采购文件的潜在供应商视为合法获取了本项目单一来源采购文件，</w:t>
      </w:r>
      <w:r>
        <w:rPr>
          <w:rFonts w:hint="eastAsia" w:ascii="宋体" w:hAnsi="宋体" w:eastAsia="宋体" w:cs="宋体"/>
          <w:color w:val="auto"/>
          <w:highlight w:val="none"/>
        </w:rPr>
        <w:t>可以参与本项目协商</w:t>
      </w:r>
      <w:r>
        <w:rPr>
          <w:rFonts w:hint="eastAsia" w:ascii="宋体" w:hAnsi="宋体" w:eastAsia="宋体" w:cs="宋体"/>
          <w:color w:val="auto"/>
          <w:szCs w:val="21"/>
          <w:highlight w:val="none"/>
        </w:rPr>
        <w:t>。</w:t>
      </w:r>
    </w:p>
    <w:p w14:paraId="0F776594">
      <w:pPr>
        <w:spacing w:line="360" w:lineRule="auto"/>
        <w:ind w:firstLine="403" w:firstLineChars="19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售价：</w:t>
      </w:r>
      <w:r>
        <w:rPr>
          <w:rFonts w:hint="eastAsia" w:ascii="宋体" w:hAnsi="宋体" w:eastAsia="宋体" w:cs="宋体"/>
          <w:color w:val="auto"/>
          <w:szCs w:val="21"/>
          <w:highlight w:val="none"/>
          <w:u w:val="single"/>
        </w:rPr>
        <w:t>0</w:t>
      </w:r>
      <w:r>
        <w:rPr>
          <w:rFonts w:hint="eastAsia" w:ascii="宋体" w:hAnsi="宋体" w:eastAsia="宋体" w:cs="宋体"/>
          <w:color w:val="auto"/>
          <w:szCs w:val="21"/>
          <w:highlight w:val="none"/>
        </w:rPr>
        <w:t>元。</w:t>
      </w:r>
    </w:p>
    <w:p w14:paraId="63A688CA">
      <w:pPr>
        <w:spacing w:line="360" w:lineRule="auto"/>
        <w:outlineLvl w:val="1"/>
        <w:rPr>
          <w:rFonts w:hint="eastAsia" w:ascii="宋体" w:hAnsi="宋体" w:eastAsia="宋体" w:cs="宋体"/>
          <w:b/>
          <w:color w:val="auto"/>
          <w:sz w:val="28"/>
          <w:szCs w:val="28"/>
          <w:highlight w:val="none"/>
        </w:rPr>
      </w:pPr>
      <w:bookmarkStart w:id="52" w:name="_Toc28359005"/>
      <w:bookmarkStart w:id="53" w:name="_Toc28359082"/>
      <w:bookmarkStart w:id="54" w:name="_Toc35393793"/>
      <w:bookmarkStart w:id="55" w:name="_Toc35393624"/>
      <w:bookmarkStart w:id="56" w:name="_Toc15462"/>
      <w:bookmarkStart w:id="57" w:name="_Toc21820"/>
      <w:bookmarkStart w:id="58" w:name="_Toc31031"/>
      <w:bookmarkStart w:id="59" w:name="_Toc498050625"/>
      <w:bookmarkStart w:id="60" w:name="_Toc27637"/>
      <w:bookmarkStart w:id="61" w:name="_Toc25878"/>
      <w:r>
        <w:rPr>
          <w:rFonts w:hint="eastAsia" w:ascii="宋体" w:hAnsi="宋体" w:eastAsia="宋体" w:cs="宋体"/>
          <w:b/>
          <w:color w:val="auto"/>
          <w:sz w:val="28"/>
          <w:szCs w:val="28"/>
          <w:highlight w:val="none"/>
        </w:rPr>
        <w:t>五、</w:t>
      </w:r>
      <w:bookmarkEnd w:id="52"/>
      <w:bookmarkEnd w:id="53"/>
      <w:bookmarkStart w:id="62" w:name="OLE_LINK274"/>
      <w:r>
        <w:rPr>
          <w:rFonts w:hint="eastAsia" w:ascii="宋体" w:hAnsi="宋体" w:eastAsia="宋体" w:cs="宋体"/>
          <w:b/>
          <w:color w:val="auto"/>
          <w:sz w:val="28"/>
          <w:szCs w:val="28"/>
          <w:highlight w:val="none"/>
        </w:rPr>
        <w:t>响应文件</w:t>
      </w:r>
      <w:bookmarkEnd w:id="54"/>
      <w:bookmarkEnd w:id="55"/>
      <w:r>
        <w:rPr>
          <w:rFonts w:hint="eastAsia" w:ascii="宋体" w:hAnsi="宋体" w:eastAsia="宋体" w:cs="宋体"/>
          <w:b/>
          <w:color w:val="auto"/>
          <w:sz w:val="28"/>
          <w:szCs w:val="28"/>
          <w:highlight w:val="none"/>
        </w:rPr>
        <w:t>提交</w:t>
      </w:r>
      <w:bookmarkEnd w:id="56"/>
      <w:bookmarkEnd w:id="57"/>
      <w:bookmarkEnd w:id="58"/>
      <w:bookmarkEnd w:id="62"/>
    </w:p>
    <w:p w14:paraId="6C13FDB8">
      <w:pPr>
        <w:spacing w:line="360" w:lineRule="auto"/>
        <w:ind w:firstLine="420"/>
        <w:rPr>
          <w:rFonts w:hint="eastAsia" w:ascii="宋体" w:hAnsi="宋体" w:eastAsia="宋体" w:cs="宋体"/>
          <w:bCs/>
          <w:color w:val="auto"/>
          <w:szCs w:val="21"/>
          <w:highlight w:val="none"/>
          <w:u w:val="single"/>
        </w:rPr>
      </w:pPr>
      <w:r>
        <w:rPr>
          <w:rFonts w:hint="eastAsia" w:ascii="宋体" w:hAnsi="宋体" w:eastAsia="宋体" w:cs="宋体"/>
          <w:b/>
          <w:bCs/>
          <w:color w:val="auto"/>
          <w:szCs w:val="21"/>
          <w:highlight w:val="none"/>
        </w:rPr>
        <w:t>截止时间：</w:t>
      </w:r>
      <w:bookmarkStart w:id="63" w:name="OLE_LINK134"/>
      <w:r>
        <w:rPr>
          <w:rFonts w:hint="eastAsia" w:ascii="宋体" w:hAnsi="宋体" w:eastAsia="宋体" w:cs="宋体"/>
          <w:color w:val="auto"/>
          <w:szCs w:val="21"/>
          <w:highlight w:val="none"/>
        </w:rPr>
        <w:t>2025年</w:t>
      </w:r>
      <w:r>
        <w:rPr>
          <w:rFonts w:hint="eastAsia" w:ascii="宋体" w:hAnsi="宋体" w:cs="宋体"/>
          <w:color w:val="auto"/>
          <w:szCs w:val="21"/>
          <w:highlight w:val="none"/>
          <w:lang w:val="en-US" w:eastAsia="zh-CN"/>
        </w:rPr>
        <w:t>06</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24</w:t>
      </w:r>
      <w:r>
        <w:rPr>
          <w:rFonts w:hint="eastAsia" w:ascii="宋体" w:hAnsi="宋体" w:eastAsia="宋体" w:cs="宋体"/>
          <w:color w:val="auto"/>
          <w:szCs w:val="21"/>
          <w:highlight w:val="none"/>
        </w:rPr>
        <w:t>日</w:t>
      </w:r>
      <w:r>
        <w:rPr>
          <w:rFonts w:hint="eastAsia" w:ascii="宋体" w:hAnsi="宋体" w:cs="宋体"/>
          <w:color w:val="auto"/>
          <w:szCs w:val="21"/>
          <w:highlight w:val="none"/>
          <w:lang w:val="en-US" w:eastAsia="zh-CN"/>
        </w:rPr>
        <w:t>17</w:t>
      </w:r>
      <w:r>
        <w:rPr>
          <w:rFonts w:hint="eastAsia" w:ascii="宋体" w:hAnsi="宋体" w:eastAsia="宋体" w:cs="宋体"/>
          <w:color w:val="auto"/>
          <w:szCs w:val="21"/>
          <w:highlight w:val="none"/>
        </w:rPr>
        <w:t>点</w:t>
      </w:r>
      <w:r>
        <w:rPr>
          <w:rFonts w:hint="eastAsia" w:ascii="宋体" w:hAnsi="宋体" w:cs="宋体"/>
          <w:color w:val="auto"/>
          <w:szCs w:val="21"/>
          <w:highlight w:val="none"/>
          <w:lang w:val="en-US" w:eastAsia="zh-CN"/>
        </w:rPr>
        <w:t>00</w:t>
      </w:r>
      <w:r>
        <w:rPr>
          <w:rFonts w:hint="eastAsia" w:ascii="宋体" w:hAnsi="宋体" w:eastAsia="宋体" w:cs="宋体"/>
          <w:color w:val="auto"/>
          <w:szCs w:val="21"/>
          <w:highlight w:val="none"/>
        </w:rPr>
        <w:t>分</w:t>
      </w:r>
      <w:r>
        <w:rPr>
          <w:rFonts w:hint="eastAsia" w:ascii="宋体" w:hAnsi="宋体" w:eastAsia="宋体" w:cs="宋体"/>
          <w:bCs/>
          <w:color w:val="auto"/>
          <w:szCs w:val="21"/>
          <w:highlight w:val="none"/>
        </w:rPr>
        <w:t>（北京时间）</w:t>
      </w:r>
      <w:bookmarkEnd w:id="63"/>
      <w:r>
        <w:rPr>
          <w:rFonts w:hint="eastAsia" w:ascii="宋体" w:hAnsi="宋体" w:eastAsia="宋体" w:cs="宋体"/>
          <w:bCs/>
          <w:color w:val="auto"/>
          <w:szCs w:val="21"/>
          <w:highlight w:val="none"/>
        </w:rPr>
        <w:t>。</w:t>
      </w:r>
    </w:p>
    <w:p w14:paraId="79A0E423">
      <w:pPr>
        <w:spacing w:line="360" w:lineRule="auto"/>
        <w:ind w:firstLine="42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地点：</w:t>
      </w:r>
      <w:bookmarkStart w:id="64" w:name="OLE_LINK135"/>
      <w:r>
        <w:rPr>
          <w:rFonts w:hint="eastAsia" w:ascii="宋体" w:hAnsi="宋体" w:eastAsia="宋体" w:cs="宋体"/>
          <w:color w:val="auto"/>
          <w:szCs w:val="21"/>
          <w:highlight w:val="none"/>
        </w:rPr>
        <w:t>供应商应按照本项目单一来源采购文件和政府采购云平台的要求编制、加密响应文件后在响应文件提交截止时间前上传至政府采购云平台，供应商须在</w:t>
      </w:r>
      <w:bookmarkStart w:id="65" w:name="OLE_LINK243"/>
      <w:r>
        <w:rPr>
          <w:rFonts w:hint="eastAsia" w:ascii="宋体" w:hAnsi="宋体" w:eastAsia="宋体" w:cs="宋体"/>
          <w:color w:val="auto"/>
          <w:szCs w:val="21"/>
          <w:highlight w:val="none"/>
        </w:rPr>
        <w:t>响应文件提交</w:t>
      </w:r>
      <w:bookmarkEnd w:id="65"/>
      <w:r>
        <w:rPr>
          <w:rFonts w:hint="eastAsia" w:ascii="宋体" w:hAnsi="宋体" w:eastAsia="宋体" w:cs="宋体"/>
          <w:color w:val="auto"/>
          <w:szCs w:val="21"/>
          <w:highlight w:val="none"/>
        </w:rPr>
        <w:t>截止时间前完成所有电子响应文件的上传，响应文件提交截止时间前未完成响应文件传输的，视为撤回响应文件。供应商在政府采购云平台提交电子版响应文件时，请填写参加远程采购活动经办人联系方式。供应商无需到达开启地点，</w:t>
      </w:r>
      <w:r>
        <w:rPr>
          <w:rFonts w:hint="eastAsia" w:ascii="宋体" w:hAnsi="宋体" w:eastAsia="宋体" w:cs="宋体"/>
          <w:color w:val="auto"/>
          <w:highlight w:val="none"/>
        </w:rPr>
        <w:t>须在</w:t>
      </w:r>
      <w:r>
        <w:rPr>
          <w:rFonts w:hint="eastAsia" w:ascii="宋体" w:hAnsi="宋体" w:eastAsia="宋体" w:cs="宋体"/>
          <w:color w:val="auto"/>
          <w:szCs w:val="21"/>
          <w:highlight w:val="none"/>
        </w:rPr>
        <w:t>政府采购云平台</w:t>
      </w:r>
      <w:r>
        <w:rPr>
          <w:rFonts w:hint="eastAsia" w:ascii="宋体" w:hAnsi="宋体" w:eastAsia="宋体" w:cs="宋体"/>
          <w:color w:val="auto"/>
          <w:highlight w:val="none"/>
        </w:rPr>
        <w:t>进行</w:t>
      </w:r>
      <w:r>
        <w:rPr>
          <w:rFonts w:hint="eastAsia" w:ascii="宋体" w:hAnsi="宋体" w:eastAsia="宋体" w:cs="宋体"/>
          <w:b/>
          <w:bCs/>
          <w:color w:val="auto"/>
          <w:highlight w:val="none"/>
        </w:rPr>
        <w:t>远程解密</w:t>
      </w:r>
      <w:r>
        <w:rPr>
          <w:rFonts w:hint="eastAsia" w:ascii="宋体" w:hAnsi="宋体" w:eastAsia="宋体" w:cs="宋体"/>
          <w:color w:val="auto"/>
          <w:highlight w:val="none"/>
        </w:rPr>
        <w:t>电子版响应文件</w:t>
      </w:r>
      <w:bookmarkEnd w:id="64"/>
      <w:r>
        <w:rPr>
          <w:rFonts w:hint="eastAsia" w:ascii="宋体" w:hAnsi="宋体" w:eastAsia="宋体" w:cs="宋体"/>
          <w:color w:val="auto"/>
          <w:highlight w:val="none"/>
        </w:rPr>
        <w:t>。</w:t>
      </w:r>
    </w:p>
    <w:p w14:paraId="4B92D9E1">
      <w:pPr>
        <w:spacing w:line="360" w:lineRule="auto"/>
        <w:outlineLvl w:val="1"/>
        <w:rPr>
          <w:rFonts w:hint="eastAsia" w:ascii="宋体" w:hAnsi="宋体" w:eastAsia="宋体" w:cs="宋体"/>
          <w:b/>
          <w:color w:val="auto"/>
          <w:sz w:val="28"/>
          <w:szCs w:val="28"/>
          <w:highlight w:val="none"/>
        </w:rPr>
      </w:pPr>
      <w:bookmarkStart w:id="66" w:name="_Toc1475"/>
      <w:bookmarkStart w:id="67" w:name="_Toc4635"/>
      <w:bookmarkStart w:id="68" w:name="_Toc5598"/>
      <w:bookmarkStart w:id="69" w:name="OLE_LINK29"/>
      <w:r>
        <w:rPr>
          <w:rFonts w:hint="eastAsia" w:ascii="宋体" w:hAnsi="宋体" w:eastAsia="宋体" w:cs="宋体"/>
          <w:b/>
          <w:color w:val="auto"/>
          <w:sz w:val="28"/>
          <w:szCs w:val="28"/>
          <w:highlight w:val="none"/>
        </w:rPr>
        <w:t>六、开启</w:t>
      </w:r>
      <w:bookmarkEnd w:id="66"/>
      <w:bookmarkEnd w:id="67"/>
      <w:bookmarkEnd w:id="68"/>
    </w:p>
    <w:p w14:paraId="2A643625">
      <w:pPr>
        <w:spacing w:line="360" w:lineRule="auto"/>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
          <w:bCs/>
          <w:color w:val="auto"/>
          <w:szCs w:val="21"/>
          <w:highlight w:val="none"/>
        </w:rPr>
        <w:t>时间：</w:t>
      </w:r>
      <w:r>
        <w:rPr>
          <w:rFonts w:hint="eastAsia" w:ascii="宋体" w:hAnsi="宋体" w:eastAsia="宋体" w:cs="宋体"/>
          <w:color w:val="auto"/>
          <w:szCs w:val="21"/>
          <w:highlight w:val="none"/>
        </w:rPr>
        <w:t>2025年</w:t>
      </w:r>
      <w:r>
        <w:rPr>
          <w:rFonts w:hint="eastAsia" w:ascii="宋体" w:hAnsi="宋体" w:cs="宋体"/>
          <w:color w:val="auto"/>
          <w:szCs w:val="21"/>
          <w:highlight w:val="none"/>
          <w:lang w:val="en-US" w:eastAsia="zh-CN"/>
        </w:rPr>
        <w:t>06</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24</w:t>
      </w:r>
      <w:r>
        <w:rPr>
          <w:rFonts w:hint="eastAsia" w:ascii="宋体" w:hAnsi="宋体" w:eastAsia="宋体" w:cs="宋体"/>
          <w:color w:val="auto"/>
          <w:szCs w:val="21"/>
          <w:highlight w:val="none"/>
        </w:rPr>
        <w:t>日</w:t>
      </w:r>
      <w:r>
        <w:rPr>
          <w:rFonts w:hint="eastAsia" w:ascii="宋体" w:hAnsi="宋体" w:cs="宋体"/>
          <w:color w:val="auto"/>
          <w:szCs w:val="21"/>
          <w:highlight w:val="none"/>
          <w:lang w:val="en-US" w:eastAsia="zh-CN"/>
        </w:rPr>
        <w:t>17</w:t>
      </w:r>
      <w:r>
        <w:rPr>
          <w:rFonts w:hint="eastAsia" w:ascii="宋体" w:hAnsi="宋体" w:eastAsia="宋体" w:cs="宋体"/>
          <w:color w:val="auto"/>
          <w:szCs w:val="21"/>
          <w:highlight w:val="none"/>
        </w:rPr>
        <w:t>点</w:t>
      </w:r>
      <w:r>
        <w:rPr>
          <w:rFonts w:hint="eastAsia" w:ascii="宋体" w:hAnsi="宋体" w:cs="宋体"/>
          <w:color w:val="auto"/>
          <w:szCs w:val="21"/>
          <w:highlight w:val="none"/>
          <w:lang w:val="en-US" w:eastAsia="zh-CN"/>
        </w:rPr>
        <w:t>00</w:t>
      </w:r>
      <w:r>
        <w:rPr>
          <w:rFonts w:hint="eastAsia" w:ascii="宋体" w:hAnsi="宋体" w:eastAsia="宋体" w:cs="宋体"/>
          <w:color w:val="auto"/>
          <w:szCs w:val="21"/>
          <w:highlight w:val="none"/>
        </w:rPr>
        <w:t>分（北京时间）。</w:t>
      </w:r>
    </w:p>
    <w:p w14:paraId="45ADBDE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b/>
          <w:bCs/>
          <w:color w:val="auto"/>
          <w:szCs w:val="21"/>
          <w:highlight w:val="none"/>
        </w:rPr>
        <w:t>地点：</w:t>
      </w:r>
      <w:bookmarkStart w:id="70" w:name="OLE_LINK137"/>
      <w:r>
        <w:rPr>
          <w:rFonts w:hint="eastAsia" w:ascii="宋体" w:hAnsi="宋体" w:eastAsia="宋体" w:cs="宋体"/>
          <w:color w:val="auto"/>
          <w:szCs w:val="21"/>
          <w:highlight w:val="none"/>
        </w:rPr>
        <w:t>云南中咨海外咨询有限公司三楼</w:t>
      </w:r>
      <w:r>
        <w:rPr>
          <w:rFonts w:hint="eastAsia" w:ascii="宋体" w:hAnsi="宋体" w:eastAsia="宋体" w:cs="宋体"/>
          <w:color w:val="auto"/>
          <w:szCs w:val="21"/>
          <w:highlight w:val="none"/>
          <w:lang w:val="en-US" w:eastAsia="zh-CN"/>
        </w:rPr>
        <w:t>评标</w:t>
      </w:r>
      <w:r>
        <w:rPr>
          <w:rFonts w:hint="eastAsia" w:ascii="宋体" w:hAnsi="宋体" w:cs="宋体"/>
          <w:color w:val="auto"/>
          <w:szCs w:val="21"/>
          <w:highlight w:val="none"/>
          <w:lang w:val="en-US" w:eastAsia="zh-CN"/>
        </w:rPr>
        <w:t>四</w:t>
      </w:r>
      <w:bookmarkStart w:id="567" w:name="_GoBack"/>
      <w:bookmarkEnd w:id="567"/>
      <w:r>
        <w:rPr>
          <w:rFonts w:hint="eastAsia" w:ascii="宋体" w:hAnsi="宋体" w:eastAsia="宋体" w:cs="宋体"/>
          <w:color w:val="auto"/>
          <w:szCs w:val="21"/>
          <w:highlight w:val="none"/>
          <w:lang w:val="en-US" w:eastAsia="zh-CN"/>
        </w:rPr>
        <w:t>厅</w:t>
      </w:r>
      <w:r>
        <w:rPr>
          <w:rFonts w:hint="eastAsia" w:ascii="宋体" w:hAnsi="宋体" w:eastAsia="宋体" w:cs="宋体"/>
          <w:color w:val="auto"/>
          <w:szCs w:val="21"/>
          <w:highlight w:val="none"/>
        </w:rPr>
        <w:t>（云南省昆明市滇池度假区中天融域小区17幢1单元）。供应商无需到达开启地点，须在政府采购云平台进行远程解密电子版响应文件</w:t>
      </w:r>
      <w:bookmarkEnd w:id="70"/>
      <w:r>
        <w:rPr>
          <w:rFonts w:hint="eastAsia" w:ascii="宋体" w:hAnsi="宋体" w:eastAsia="宋体" w:cs="宋体"/>
          <w:color w:val="auto"/>
          <w:szCs w:val="21"/>
          <w:highlight w:val="none"/>
        </w:rPr>
        <w:t>。</w:t>
      </w:r>
    </w:p>
    <w:p w14:paraId="68AE40F6">
      <w:pPr>
        <w:spacing w:line="360" w:lineRule="auto"/>
        <w:outlineLvl w:val="1"/>
        <w:rPr>
          <w:rFonts w:hint="eastAsia" w:ascii="宋体" w:hAnsi="宋体" w:eastAsia="宋体" w:cs="宋体"/>
          <w:color w:val="auto"/>
          <w:sz w:val="24"/>
          <w:highlight w:val="none"/>
        </w:rPr>
      </w:pPr>
      <w:bookmarkStart w:id="71" w:name="_Toc11955"/>
      <w:bookmarkStart w:id="72" w:name="_Toc35393795"/>
      <w:bookmarkStart w:id="73" w:name="_Toc13851"/>
      <w:bookmarkStart w:id="74" w:name="_Toc35393626"/>
      <w:bookmarkStart w:id="75" w:name="_Toc32472"/>
      <w:r>
        <w:rPr>
          <w:rFonts w:hint="eastAsia" w:ascii="宋体" w:hAnsi="宋体" w:eastAsia="宋体" w:cs="宋体"/>
          <w:b/>
          <w:color w:val="auto"/>
          <w:sz w:val="28"/>
          <w:szCs w:val="28"/>
          <w:highlight w:val="none"/>
        </w:rPr>
        <w:t>七、其他补充事宜</w:t>
      </w:r>
      <w:bookmarkEnd w:id="71"/>
      <w:bookmarkEnd w:id="72"/>
      <w:bookmarkEnd w:id="73"/>
      <w:bookmarkEnd w:id="74"/>
      <w:bookmarkEnd w:id="75"/>
    </w:p>
    <w:p w14:paraId="106800E1">
      <w:pPr>
        <w:spacing w:line="360" w:lineRule="auto"/>
        <w:ind w:firstLine="420"/>
        <w:rPr>
          <w:rFonts w:hint="eastAsia" w:ascii="宋体" w:hAnsi="宋体" w:eastAsia="宋体" w:cs="宋体"/>
          <w:bCs/>
          <w:color w:val="auto"/>
          <w:szCs w:val="21"/>
          <w:highlight w:val="none"/>
        </w:rPr>
      </w:pPr>
      <w:bookmarkStart w:id="76" w:name="_Toc19860"/>
      <w:bookmarkStart w:id="77" w:name="OLE_LINK140"/>
      <w:r>
        <w:rPr>
          <w:rFonts w:hint="eastAsia" w:ascii="宋体" w:hAnsi="宋体" w:eastAsia="宋体" w:cs="宋体"/>
          <w:bCs/>
          <w:color w:val="auto"/>
          <w:szCs w:val="21"/>
          <w:highlight w:val="none"/>
        </w:rPr>
        <w:t>1.</w:t>
      </w:r>
      <w:bookmarkEnd w:id="76"/>
      <w:r>
        <w:rPr>
          <w:rFonts w:hint="eastAsia" w:ascii="宋体" w:hAnsi="宋体" w:eastAsia="宋体" w:cs="宋体"/>
          <w:bCs/>
          <w:color w:val="auto"/>
          <w:szCs w:val="21"/>
          <w:highlight w:val="none"/>
        </w:rPr>
        <w:t>本项目需要落实</w:t>
      </w:r>
      <w:bookmarkStart w:id="78" w:name="OLE_LINK144"/>
      <w:r>
        <w:rPr>
          <w:rFonts w:hint="eastAsia" w:ascii="宋体" w:hAnsi="宋体" w:eastAsia="宋体" w:cs="宋体"/>
          <w:bCs/>
          <w:color w:val="auto"/>
          <w:szCs w:val="21"/>
          <w:highlight w:val="none"/>
        </w:rPr>
        <w:t>的政府采购政策：</w:t>
      </w:r>
      <w:r>
        <w:rPr>
          <w:rFonts w:hint="eastAsia" w:ascii="宋体" w:hAnsi="宋体" w:eastAsia="宋体" w:cs="宋体"/>
          <w:b/>
          <w:bCs w:val="0"/>
          <w:color w:val="auto"/>
          <w:szCs w:val="21"/>
          <w:highlight w:val="none"/>
        </w:rPr>
        <w:t>政府采购节能产品、环境标志产品政策，政府采购促进中小企业发展政策，政府采购支持监狱企业发展政策</w:t>
      </w:r>
      <w:bookmarkEnd w:id="78"/>
      <w:r>
        <w:rPr>
          <w:rFonts w:hint="eastAsia" w:ascii="宋体" w:hAnsi="宋体" w:eastAsia="宋体" w:cs="宋体"/>
          <w:b/>
          <w:bCs w:val="0"/>
          <w:color w:val="auto"/>
          <w:szCs w:val="21"/>
          <w:highlight w:val="none"/>
        </w:rPr>
        <w:t>，政府采购促进残疾人就业等</w:t>
      </w:r>
      <w:r>
        <w:rPr>
          <w:rFonts w:hint="eastAsia" w:ascii="宋体" w:hAnsi="宋体" w:eastAsia="宋体" w:cs="宋体"/>
          <w:bCs/>
          <w:color w:val="auto"/>
          <w:szCs w:val="21"/>
          <w:highlight w:val="none"/>
        </w:rPr>
        <w:t>。</w:t>
      </w:r>
    </w:p>
    <w:p w14:paraId="38A8A7A7">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snapToGrid w:val="0"/>
          <w:color w:val="auto"/>
          <w:kern w:val="21"/>
          <w:szCs w:val="21"/>
          <w:highlight w:val="none"/>
        </w:rPr>
        <w:t>本项目实行网上采购，采用电子响应文件。供应商按照采购文件规定和电子交易平台操作流程要求，参加政府采购电子化交易活动。因未完成注册、未办理CA数字证书等原因造成无法响应或响应失败的，自行承担责任</w:t>
      </w:r>
      <w:r>
        <w:rPr>
          <w:rFonts w:hint="eastAsia" w:ascii="宋体" w:hAnsi="宋体" w:eastAsia="宋体" w:cs="宋体"/>
          <w:bCs/>
          <w:color w:val="auto"/>
          <w:szCs w:val="21"/>
          <w:highlight w:val="none"/>
        </w:rPr>
        <w:t>。</w:t>
      </w:r>
    </w:p>
    <w:bookmarkEnd w:id="77"/>
    <w:p w14:paraId="25A0E222">
      <w:pPr>
        <w:spacing w:line="360" w:lineRule="auto"/>
        <w:outlineLvl w:val="1"/>
        <w:rPr>
          <w:rFonts w:hint="eastAsia" w:ascii="宋体" w:hAnsi="宋体" w:eastAsia="宋体" w:cs="宋体"/>
          <w:color w:val="auto"/>
          <w:sz w:val="24"/>
          <w:highlight w:val="none"/>
        </w:rPr>
      </w:pPr>
      <w:bookmarkStart w:id="79" w:name="_Toc35393796"/>
      <w:bookmarkStart w:id="80" w:name="_Toc23274"/>
      <w:bookmarkStart w:id="81" w:name="_Toc28359085"/>
      <w:bookmarkStart w:id="82" w:name="_Toc13696"/>
      <w:bookmarkStart w:id="83" w:name="_Toc35393627"/>
      <w:bookmarkStart w:id="84" w:name="_Toc28683"/>
      <w:bookmarkStart w:id="85" w:name="_Toc28359008"/>
      <w:r>
        <w:rPr>
          <w:rFonts w:hint="eastAsia" w:ascii="宋体" w:hAnsi="宋体" w:eastAsia="宋体" w:cs="宋体"/>
          <w:b/>
          <w:color w:val="auto"/>
          <w:sz w:val="28"/>
          <w:szCs w:val="28"/>
          <w:highlight w:val="none"/>
        </w:rPr>
        <w:t>八、凡对本次采购提出询问，请按以下方式联系</w:t>
      </w:r>
      <w:bookmarkEnd w:id="79"/>
      <w:bookmarkEnd w:id="80"/>
      <w:bookmarkEnd w:id="81"/>
      <w:bookmarkEnd w:id="82"/>
      <w:bookmarkEnd w:id="83"/>
      <w:bookmarkEnd w:id="84"/>
      <w:bookmarkEnd w:id="85"/>
    </w:p>
    <w:bookmarkEnd w:id="59"/>
    <w:bookmarkEnd w:id="60"/>
    <w:bookmarkEnd w:id="61"/>
    <w:bookmarkEnd w:id="69"/>
    <w:p w14:paraId="446B9B45">
      <w:pPr>
        <w:spacing w:line="360" w:lineRule="auto"/>
        <w:ind w:firstLine="420" w:firstLineChars="200"/>
        <w:rPr>
          <w:rFonts w:hint="eastAsia" w:ascii="宋体" w:hAnsi="宋体" w:eastAsia="宋体" w:cs="宋体"/>
          <w:b/>
          <w:bCs/>
          <w:color w:val="auto"/>
          <w:szCs w:val="21"/>
          <w:highlight w:val="none"/>
        </w:rPr>
      </w:pPr>
      <w:bookmarkStart w:id="86" w:name="_Toc12799"/>
      <w:r>
        <w:rPr>
          <w:rFonts w:hint="eastAsia" w:ascii="宋体" w:hAnsi="宋体" w:eastAsia="宋体" w:cs="宋体"/>
          <w:b/>
          <w:bCs/>
          <w:color w:val="auto"/>
          <w:szCs w:val="21"/>
          <w:highlight w:val="none"/>
        </w:rPr>
        <w:t>1.采购人信息</w:t>
      </w:r>
      <w:bookmarkEnd w:id="86"/>
      <w:r>
        <w:rPr>
          <w:rFonts w:hint="eastAsia" w:ascii="宋体" w:hAnsi="宋体" w:eastAsia="宋体" w:cs="宋体"/>
          <w:b/>
          <w:bCs/>
          <w:color w:val="auto"/>
          <w:szCs w:val="21"/>
          <w:highlight w:val="none"/>
        </w:rPr>
        <w:t xml:space="preserve"> </w:t>
      </w:r>
    </w:p>
    <w:p w14:paraId="019D50A5">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lang w:eastAsia="zh-CN"/>
        </w:rPr>
        <w:t>云南财经职业学院</w:t>
      </w:r>
    </w:p>
    <w:p w14:paraId="2A1A84C8">
      <w:pPr>
        <w:spacing w:line="360" w:lineRule="auto"/>
        <w:ind w:firstLine="420" w:firstLineChars="200"/>
        <w:rPr>
          <w:rFonts w:hint="eastAsia" w:ascii="宋体" w:hAnsi="宋体" w:eastAsia="宋体" w:cs="宋体"/>
          <w:color w:val="auto"/>
          <w:szCs w:val="21"/>
          <w:highlight w:val="none"/>
          <w:lang w:eastAsia="zh-CN"/>
        </w:rPr>
      </w:pPr>
      <w:bookmarkStart w:id="87" w:name="_Toc7066"/>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lang w:eastAsia="zh-CN"/>
        </w:rPr>
        <w:t>昆明市龙泉路408号</w:t>
      </w:r>
    </w:p>
    <w:p w14:paraId="4308A5B6">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联系方式：</w:t>
      </w:r>
      <w:r>
        <w:rPr>
          <w:rFonts w:hint="eastAsia" w:ascii="宋体" w:hAnsi="宋体" w:cs="宋体"/>
          <w:color w:val="auto"/>
          <w:szCs w:val="21"/>
          <w:highlight w:val="none"/>
          <w:lang w:val="en-US" w:eastAsia="zh-CN"/>
        </w:rPr>
        <w:t>杨老师</w:t>
      </w:r>
      <w:r>
        <w:rPr>
          <w:rFonts w:hint="eastAsia" w:ascii="宋体" w:hAnsi="宋体" w:eastAsia="宋体" w:cs="宋体"/>
          <w:color w:val="auto"/>
          <w:szCs w:val="21"/>
          <w:highlight w:val="none"/>
          <w:lang w:eastAsia="zh-CN"/>
        </w:rPr>
        <w:t xml:space="preserve">、周老师 </w:t>
      </w:r>
      <w:r>
        <w:rPr>
          <w:rFonts w:hint="eastAsia" w:ascii="宋体" w:hAnsi="宋体" w:cs="宋体"/>
          <w:color w:val="auto"/>
          <w:szCs w:val="21"/>
          <w:highlight w:val="none"/>
          <w:lang w:val="en-US" w:eastAsia="zh-CN"/>
        </w:rPr>
        <w:t>18088315989</w:t>
      </w:r>
      <w:r>
        <w:rPr>
          <w:rFonts w:hint="eastAsia" w:ascii="宋体" w:hAnsi="宋体" w:eastAsia="宋体" w:cs="宋体"/>
          <w:color w:val="auto"/>
          <w:szCs w:val="21"/>
          <w:highlight w:val="none"/>
          <w:lang w:eastAsia="zh-CN"/>
        </w:rPr>
        <w:t>、0871-65815458</w:t>
      </w:r>
    </w:p>
    <w:p w14:paraId="43F568A3">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2.采购代理机构信息</w:t>
      </w:r>
      <w:bookmarkEnd w:id="87"/>
    </w:p>
    <w:p w14:paraId="26D7F1D7">
      <w:pPr>
        <w:spacing w:line="360" w:lineRule="auto"/>
        <w:ind w:firstLine="420" w:firstLineChars="200"/>
        <w:rPr>
          <w:rFonts w:hint="eastAsia" w:ascii="宋体" w:hAnsi="宋体" w:eastAsia="宋体" w:cs="宋体"/>
          <w:color w:val="auto"/>
          <w:szCs w:val="21"/>
          <w:highlight w:val="none"/>
        </w:rPr>
      </w:pPr>
      <w:bookmarkStart w:id="88" w:name="_Toc17267"/>
      <w:r>
        <w:rPr>
          <w:rFonts w:hint="eastAsia" w:ascii="宋体" w:hAnsi="宋体" w:eastAsia="宋体" w:cs="宋体"/>
          <w:color w:val="auto"/>
          <w:szCs w:val="21"/>
          <w:highlight w:val="none"/>
        </w:rPr>
        <w:t>名    称：云南中咨海外咨询有限公司</w:t>
      </w:r>
    </w:p>
    <w:p w14:paraId="67A5E4D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bookmarkStart w:id="89" w:name="OLE_LINK218"/>
      <w:r>
        <w:rPr>
          <w:rFonts w:hint="eastAsia" w:ascii="宋体" w:hAnsi="宋体" w:eastAsia="宋体" w:cs="宋体"/>
          <w:color w:val="auto"/>
          <w:szCs w:val="21"/>
          <w:highlight w:val="none"/>
        </w:rPr>
        <w:t>云南省昆明市滇池度假区中天融域小区17幢1单元4楼</w:t>
      </w:r>
      <w:bookmarkEnd w:id="89"/>
    </w:p>
    <w:p w14:paraId="6E690D1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联系方式：0871-68103662</w:t>
      </w:r>
    </w:p>
    <w:p w14:paraId="1B41364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邮箱：zzhw02@vip.163.com</w:t>
      </w:r>
    </w:p>
    <w:p w14:paraId="055B5F67">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3.项目联系方式</w:t>
      </w:r>
      <w:bookmarkEnd w:id="88"/>
    </w:p>
    <w:p w14:paraId="3137848E">
      <w:pPr>
        <w:spacing w:line="360" w:lineRule="auto"/>
        <w:ind w:firstLine="420" w:firstLineChars="200"/>
        <w:rPr>
          <w:rFonts w:hint="eastAsia" w:ascii="宋体" w:hAnsi="宋体" w:eastAsia="宋体" w:cs="宋体"/>
          <w:color w:val="auto"/>
          <w:szCs w:val="21"/>
          <w:highlight w:val="none"/>
        </w:rPr>
      </w:pPr>
      <w:bookmarkStart w:id="90" w:name="_Toc25986"/>
      <w:r>
        <w:rPr>
          <w:rFonts w:hint="eastAsia" w:ascii="宋体" w:hAnsi="宋体" w:eastAsia="宋体" w:cs="宋体"/>
          <w:color w:val="auto"/>
          <w:szCs w:val="21"/>
          <w:highlight w:val="none"/>
        </w:rPr>
        <w:t>项目联系人：</w:t>
      </w:r>
      <w:r>
        <w:rPr>
          <w:rFonts w:hint="eastAsia" w:ascii="宋体" w:hAnsi="宋体" w:eastAsia="宋体" w:cs="宋体"/>
          <w:color w:val="auto"/>
          <w:szCs w:val="21"/>
          <w:highlight w:val="none"/>
          <w:lang w:val="en-US" w:eastAsia="zh-CN"/>
        </w:rPr>
        <w:t>龙昱其、杨洁轶、张艳、胡小丽、阮斌丽、王柯懿、杨俊、丁红梅、李杰</w:t>
      </w:r>
    </w:p>
    <w:p w14:paraId="0AE01F62">
      <w:pPr>
        <w:spacing w:line="360" w:lineRule="auto"/>
        <w:ind w:firstLine="420" w:firstLineChars="200"/>
        <w:rPr>
          <w:rFonts w:hint="eastAsia" w:ascii="宋体" w:hAnsi="宋体" w:eastAsia="宋体" w:cs="宋体"/>
          <w:color w:val="auto"/>
          <w:szCs w:val="21"/>
          <w:highlight w:val="none"/>
        </w:rPr>
        <w:sectPr>
          <w:footerReference r:id="rId12" w:type="first"/>
          <w:headerReference r:id="rId10" w:type="default"/>
          <w:footerReference r:id="rId11" w:type="default"/>
          <w:pgSz w:w="11906" w:h="16838"/>
          <w:pgMar w:top="1440" w:right="1797" w:bottom="1440" w:left="1797" w:header="510" w:footer="680" w:gutter="0"/>
          <w:pgNumType w:fmt="decimal" w:start="1"/>
          <w:cols w:space="720" w:num="1"/>
          <w:titlePg/>
          <w:docGrid w:type="linesAndChars" w:linePitch="312" w:charSpace="0"/>
        </w:sectPr>
      </w:pPr>
      <w:r>
        <w:rPr>
          <w:rFonts w:hint="eastAsia" w:ascii="宋体" w:hAnsi="宋体" w:eastAsia="宋体" w:cs="宋体"/>
          <w:color w:val="auto"/>
          <w:szCs w:val="21"/>
          <w:highlight w:val="none"/>
        </w:rPr>
        <w:t>电      话：0871-68103662</w:t>
      </w:r>
    </w:p>
    <w:p w14:paraId="48C3C720">
      <w:pPr>
        <w:spacing w:line="360" w:lineRule="auto"/>
        <w:ind w:firstLine="200"/>
        <w:jc w:val="center"/>
        <w:outlineLvl w:val="0"/>
        <w:rPr>
          <w:rFonts w:hint="eastAsia" w:ascii="宋体" w:hAnsi="宋体" w:eastAsia="宋体" w:cs="宋体"/>
          <w:b/>
          <w:bCs/>
          <w:color w:val="auto"/>
          <w:kern w:val="44"/>
          <w:sz w:val="32"/>
          <w:szCs w:val="32"/>
          <w:highlight w:val="none"/>
        </w:rPr>
      </w:pPr>
      <w:bookmarkStart w:id="91" w:name="_Toc6737"/>
      <w:r>
        <w:rPr>
          <w:rFonts w:hint="eastAsia" w:ascii="宋体" w:hAnsi="宋体" w:eastAsia="宋体" w:cs="宋体"/>
          <w:b/>
          <w:bCs/>
          <w:color w:val="auto"/>
          <w:kern w:val="44"/>
          <w:sz w:val="32"/>
          <w:szCs w:val="32"/>
          <w:highlight w:val="none"/>
        </w:rPr>
        <w:t>第二章</w:t>
      </w:r>
      <w:bookmarkEnd w:id="90"/>
      <w:r>
        <w:rPr>
          <w:rFonts w:hint="eastAsia" w:ascii="宋体" w:hAnsi="宋体" w:eastAsia="宋体" w:cs="宋体"/>
          <w:b/>
          <w:bCs/>
          <w:color w:val="auto"/>
          <w:kern w:val="44"/>
          <w:sz w:val="32"/>
          <w:szCs w:val="32"/>
          <w:highlight w:val="none"/>
        </w:rPr>
        <w:t xml:space="preserve">  </w:t>
      </w:r>
      <w:bookmarkStart w:id="92" w:name="_Toc6310"/>
      <w:r>
        <w:rPr>
          <w:rFonts w:hint="eastAsia" w:ascii="宋体" w:hAnsi="宋体" w:eastAsia="宋体" w:cs="宋体"/>
          <w:b/>
          <w:bCs/>
          <w:color w:val="auto"/>
          <w:kern w:val="44"/>
          <w:sz w:val="32"/>
          <w:szCs w:val="32"/>
          <w:highlight w:val="none"/>
        </w:rPr>
        <w:t>供应</w:t>
      </w:r>
      <w:bookmarkStart w:id="93" w:name="OLE_LINK30"/>
      <w:r>
        <w:rPr>
          <w:rFonts w:hint="eastAsia" w:ascii="宋体" w:hAnsi="宋体" w:eastAsia="宋体" w:cs="宋体"/>
          <w:b/>
          <w:bCs/>
          <w:color w:val="auto"/>
          <w:kern w:val="44"/>
          <w:sz w:val="32"/>
          <w:szCs w:val="32"/>
          <w:highlight w:val="none"/>
        </w:rPr>
        <w:t>商须</w:t>
      </w:r>
      <w:bookmarkEnd w:id="93"/>
      <w:r>
        <w:rPr>
          <w:rFonts w:hint="eastAsia" w:ascii="宋体" w:hAnsi="宋体" w:eastAsia="宋体" w:cs="宋体"/>
          <w:b/>
          <w:bCs/>
          <w:color w:val="auto"/>
          <w:kern w:val="44"/>
          <w:sz w:val="32"/>
          <w:szCs w:val="32"/>
          <w:highlight w:val="none"/>
        </w:rPr>
        <w:t>知</w:t>
      </w:r>
      <w:bookmarkEnd w:id="91"/>
      <w:bookmarkEnd w:id="92"/>
    </w:p>
    <w:p w14:paraId="7F31C641">
      <w:pPr>
        <w:pStyle w:val="3"/>
        <w:spacing w:before="0" w:after="0"/>
        <w:rPr>
          <w:rFonts w:hint="eastAsia" w:ascii="宋体" w:hAnsi="宋体" w:eastAsia="宋体" w:cs="宋体"/>
          <w:snapToGrid w:val="0"/>
          <w:color w:val="auto"/>
          <w:kern w:val="21"/>
          <w:highlight w:val="none"/>
        </w:rPr>
      </w:pPr>
      <w:bookmarkStart w:id="94" w:name="_Toc25497"/>
      <w:bookmarkStart w:id="95" w:name="_Toc27252"/>
      <w:bookmarkStart w:id="96" w:name="_Toc86124039"/>
      <w:bookmarkStart w:id="97" w:name="_Toc498050627"/>
      <w:bookmarkStart w:id="98" w:name="OLE_LINK35"/>
      <w:r>
        <w:rPr>
          <w:rFonts w:hint="eastAsia" w:ascii="宋体" w:hAnsi="宋体" w:eastAsia="宋体" w:cs="宋体"/>
          <w:snapToGrid w:val="0"/>
          <w:color w:val="auto"/>
          <w:kern w:val="21"/>
          <w:highlight w:val="none"/>
        </w:rPr>
        <w:t>供应商须知</w:t>
      </w:r>
      <w:bookmarkStart w:id="99" w:name="OLE_LINK31"/>
      <w:r>
        <w:rPr>
          <w:rFonts w:hint="eastAsia" w:ascii="宋体" w:hAnsi="宋体" w:eastAsia="宋体" w:cs="宋体"/>
          <w:snapToGrid w:val="0"/>
          <w:color w:val="auto"/>
          <w:kern w:val="21"/>
          <w:highlight w:val="none"/>
        </w:rPr>
        <w:t>前</w:t>
      </w:r>
      <w:bookmarkEnd w:id="99"/>
      <w:r>
        <w:rPr>
          <w:rFonts w:hint="eastAsia" w:ascii="宋体" w:hAnsi="宋体" w:eastAsia="宋体" w:cs="宋体"/>
          <w:snapToGrid w:val="0"/>
          <w:color w:val="auto"/>
          <w:kern w:val="21"/>
          <w:highlight w:val="none"/>
        </w:rPr>
        <w:t>附表</w:t>
      </w:r>
      <w:bookmarkEnd w:id="94"/>
      <w:bookmarkEnd w:id="95"/>
      <w:bookmarkEnd w:id="96"/>
      <w:bookmarkEnd w:id="97"/>
    </w:p>
    <w:tbl>
      <w:tblPr>
        <w:tblStyle w:val="38"/>
        <w:tblW w:w="95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1"/>
        <w:gridCol w:w="2457"/>
        <w:gridCol w:w="6405"/>
      </w:tblGrid>
      <w:tr w14:paraId="1A1184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tblHeader/>
          <w:jc w:val="center"/>
        </w:trPr>
        <w:tc>
          <w:tcPr>
            <w:tcW w:w="731" w:type="dxa"/>
            <w:tcBorders>
              <w:tl2br w:val="nil"/>
              <w:tr2bl w:val="nil"/>
            </w:tcBorders>
            <w:vAlign w:val="center"/>
          </w:tcPr>
          <w:p w14:paraId="72011CE2">
            <w:pPr>
              <w:pStyle w:val="18"/>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457" w:type="dxa"/>
            <w:tcBorders>
              <w:tl2br w:val="nil"/>
              <w:tr2bl w:val="nil"/>
            </w:tcBorders>
            <w:vAlign w:val="center"/>
          </w:tcPr>
          <w:p w14:paraId="43AA9B00">
            <w:pPr>
              <w:pStyle w:val="18"/>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条款名称</w:t>
            </w:r>
          </w:p>
        </w:tc>
        <w:tc>
          <w:tcPr>
            <w:tcW w:w="6405" w:type="dxa"/>
            <w:tcBorders>
              <w:tl2br w:val="nil"/>
              <w:tr2bl w:val="nil"/>
            </w:tcBorders>
            <w:vAlign w:val="center"/>
          </w:tcPr>
          <w:p w14:paraId="44987B17">
            <w:pPr>
              <w:pStyle w:val="18"/>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内容</w:t>
            </w:r>
          </w:p>
        </w:tc>
      </w:tr>
      <w:tr w14:paraId="7B48C0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731" w:type="dxa"/>
            <w:tcBorders>
              <w:tl2br w:val="nil"/>
              <w:tr2bl w:val="nil"/>
            </w:tcBorders>
            <w:vAlign w:val="center"/>
          </w:tcPr>
          <w:p w14:paraId="0075B8A4">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2457" w:type="dxa"/>
            <w:tcBorders>
              <w:tl2br w:val="nil"/>
              <w:tr2bl w:val="nil"/>
            </w:tcBorders>
            <w:vAlign w:val="center"/>
          </w:tcPr>
          <w:p w14:paraId="14CDCFF4">
            <w:pPr>
              <w:pStyle w:val="18"/>
              <w:spacing w:line="360" w:lineRule="auto"/>
              <w:jc w:val="center"/>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采购人</w:t>
            </w:r>
          </w:p>
        </w:tc>
        <w:tc>
          <w:tcPr>
            <w:tcW w:w="6405" w:type="dxa"/>
            <w:tcBorders>
              <w:tl2br w:val="nil"/>
              <w:tr2bl w:val="nil"/>
            </w:tcBorders>
            <w:vAlign w:val="center"/>
          </w:tcPr>
          <w:p w14:paraId="637DC3A1">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云南财经职业学院</w:t>
            </w:r>
          </w:p>
        </w:tc>
      </w:tr>
      <w:tr w14:paraId="0CAC04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8" w:hRule="atLeast"/>
          <w:jc w:val="center"/>
        </w:trPr>
        <w:tc>
          <w:tcPr>
            <w:tcW w:w="731" w:type="dxa"/>
            <w:tcBorders>
              <w:tl2br w:val="nil"/>
              <w:tr2bl w:val="nil"/>
            </w:tcBorders>
            <w:vAlign w:val="center"/>
          </w:tcPr>
          <w:p w14:paraId="5A7EE08A">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2457" w:type="dxa"/>
            <w:tcBorders>
              <w:tl2br w:val="nil"/>
              <w:tr2bl w:val="nil"/>
            </w:tcBorders>
            <w:vAlign w:val="center"/>
          </w:tcPr>
          <w:p w14:paraId="1E0E9835">
            <w:pPr>
              <w:pStyle w:val="18"/>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采购代理机构</w:t>
            </w:r>
          </w:p>
        </w:tc>
        <w:tc>
          <w:tcPr>
            <w:tcW w:w="6405" w:type="dxa"/>
            <w:tcBorders>
              <w:tl2br w:val="nil"/>
              <w:tr2bl w:val="nil"/>
            </w:tcBorders>
            <w:vAlign w:val="center"/>
          </w:tcPr>
          <w:p w14:paraId="2ECBAFC8">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云南中咨海外咨询有限公司</w:t>
            </w:r>
          </w:p>
        </w:tc>
      </w:tr>
      <w:tr w14:paraId="4A6C31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731" w:type="dxa"/>
            <w:tcBorders>
              <w:tl2br w:val="nil"/>
              <w:tr2bl w:val="nil"/>
            </w:tcBorders>
            <w:vAlign w:val="center"/>
          </w:tcPr>
          <w:p w14:paraId="0B7FBFFF">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457" w:type="dxa"/>
            <w:tcBorders>
              <w:tl2br w:val="nil"/>
              <w:tr2bl w:val="nil"/>
            </w:tcBorders>
            <w:vAlign w:val="center"/>
          </w:tcPr>
          <w:p w14:paraId="641621FD">
            <w:pPr>
              <w:spacing w:line="360" w:lineRule="auto"/>
              <w:jc w:val="center"/>
              <w:rPr>
                <w:rFonts w:hint="eastAsia" w:ascii="宋体" w:hAnsi="宋体" w:eastAsia="宋体" w:cs="宋体"/>
                <w:color w:val="auto"/>
                <w:szCs w:val="21"/>
                <w:highlight w:val="none"/>
              </w:rPr>
            </w:pPr>
            <w:bookmarkStart w:id="100" w:name="OLE_LINK149"/>
            <w:r>
              <w:rPr>
                <w:rFonts w:hint="eastAsia" w:ascii="宋体" w:hAnsi="宋体" w:eastAsia="宋体" w:cs="宋体"/>
                <w:color w:val="auto"/>
                <w:szCs w:val="21"/>
                <w:highlight w:val="none"/>
              </w:rPr>
              <w:t>项目名称及项目编号</w:t>
            </w:r>
            <w:bookmarkEnd w:id="100"/>
          </w:p>
        </w:tc>
        <w:tc>
          <w:tcPr>
            <w:tcW w:w="6405" w:type="dxa"/>
            <w:tcBorders>
              <w:tl2br w:val="nil"/>
              <w:tr2bl w:val="nil"/>
            </w:tcBorders>
            <w:vAlign w:val="center"/>
          </w:tcPr>
          <w:p w14:paraId="7262028E">
            <w:pPr>
              <w:pStyle w:val="18"/>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hAnsi="宋体" w:cs="宋体"/>
                <w:color w:val="auto"/>
                <w:sz w:val="21"/>
                <w:szCs w:val="21"/>
                <w:highlight w:val="none"/>
                <w:lang w:eastAsia="zh-CN"/>
              </w:rPr>
              <w:t>云南财经职业学院大数据中心软件升级-图书与信息中心数据管理与服务平台升级项目</w:t>
            </w:r>
          </w:p>
          <w:p w14:paraId="58A2B286">
            <w:pPr>
              <w:pStyle w:val="18"/>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项目编号：</w:t>
            </w:r>
            <w:r>
              <w:rPr>
                <w:rFonts w:hint="eastAsia" w:hAnsi="宋体" w:cs="宋体"/>
                <w:color w:val="auto"/>
                <w:sz w:val="21"/>
                <w:szCs w:val="21"/>
                <w:highlight w:val="none"/>
                <w:lang w:eastAsia="zh-CN"/>
              </w:rPr>
              <w:t>YNZC2025-D1-03562-YNZZ-0275</w:t>
            </w:r>
          </w:p>
        </w:tc>
      </w:tr>
      <w:tr w14:paraId="494A50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731" w:type="dxa"/>
            <w:tcBorders>
              <w:tl2br w:val="nil"/>
              <w:tr2bl w:val="nil"/>
            </w:tcBorders>
            <w:vAlign w:val="center"/>
          </w:tcPr>
          <w:p w14:paraId="7162675A">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2457" w:type="dxa"/>
            <w:tcBorders>
              <w:tl2br w:val="nil"/>
              <w:tr2bl w:val="nil"/>
            </w:tcBorders>
            <w:vAlign w:val="center"/>
          </w:tcPr>
          <w:p w14:paraId="25725280">
            <w:pPr>
              <w:autoSpaceDE w:val="0"/>
              <w:autoSpaceDN w:val="0"/>
              <w:snapToGrid w:val="0"/>
              <w:spacing w:line="360" w:lineRule="auto"/>
              <w:jc w:val="center"/>
              <w:textAlignment w:val="bottom"/>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预算金额及最高限价</w:t>
            </w:r>
          </w:p>
        </w:tc>
        <w:tc>
          <w:tcPr>
            <w:tcW w:w="6405" w:type="dxa"/>
            <w:tcBorders>
              <w:tl2br w:val="nil"/>
              <w:tr2bl w:val="nil"/>
            </w:tcBorders>
            <w:vAlign w:val="center"/>
          </w:tcPr>
          <w:p w14:paraId="4F21599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详见单一来源采购文件第一章《单一来源采购邀请书》</w:t>
            </w:r>
          </w:p>
        </w:tc>
      </w:tr>
      <w:tr w14:paraId="737ABE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4059AEC3">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p>
        </w:tc>
        <w:tc>
          <w:tcPr>
            <w:tcW w:w="2457" w:type="dxa"/>
            <w:tcBorders>
              <w:tl2br w:val="nil"/>
              <w:tr2bl w:val="nil"/>
            </w:tcBorders>
            <w:vAlign w:val="center"/>
          </w:tcPr>
          <w:p w14:paraId="3B803CA3">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采购需求</w:t>
            </w:r>
          </w:p>
        </w:tc>
        <w:tc>
          <w:tcPr>
            <w:tcW w:w="6405" w:type="dxa"/>
            <w:tcBorders>
              <w:tl2br w:val="nil"/>
              <w:tr2bl w:val="nil"/>
            </w:tcBorders>
            <w:vAlign w:val="center"/>
          </w:tcPr>
          <w:p w14:paraId="2E3B5492">
            <w:pPr>
              <w:pStyle w:val="18"/>
              <w:spacing w:line="360" w:lineRule="auto"/>
              <w:rPr>
                <w:rFonts w:hint="eastAsia" w:ascii="宋体" w:hAnsi="宋体" w:eastAsia="宋体" w:cs="宋体"/>
                <w:color w:val="auto"/>
                <w:sz w:val="21"/>
                <w:szCs w:val="21"/>
                <w:highlight w:val="none"/>
              </w:rPr>
            </w:pPr>
            <w:bookmarkStart w:id="101" w:name="OLE_LINK36"/>
            <w:r>
              <w:rPr>
                <w:rFonts w:hint="eastAsia" w:ascii="宋体" w:hAnsi="宋体" w:eastAsia="宋体" w:cs="宋体"/>
                <w:color w:val="auto"/>
                <w:sz w:val="21"/>
                <w:szCs w:val="21"/>
                <w:highlight w:val="none"/>
              </w:rPr>
              <w:t>详见单一来源采购文件第一章《单一来源采购邀请书》</w:t>
            </w:r>
            <w:bookmarkEnd w:id="101"/>
          </w:p>
        </w:tc>
      </w:tr>
      <w:tr w14:paraId="606A2B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6FA73E4E">
            <w:pPr>
              <w:pStyle w:val="18"/>
              <w:spacing w:line="360" w:lineRule="auto"/>
              <w:jc w:val="center"/>
              <w:rPr>
                <w:rFonts w:hint="eastAsia" w:ascii="宋体" w:hAnsi="宋体" w:eastAsia="宋体" w:cs="宋体"/>
                <w:color w:val="auto"/>
                <w:sz w:val="21"/>
                <w:szCs w:val="21"/>
                <w:highlight w:val="none"/>
              </w:rPr>
            </w:pPr>
            <w:bookmarkStart w:id="102" w:name="OLE_LINK37" w:colFirst="2" w:colLast="2"/>
            <w:r>
              <w:rPr>
                <w:rFonts w:hint="eastAsia" w:ascii="宋体" w:hAnsi="宋体" w:eastAsia="宋体" w:cs="宋体"/>
                <w:color w:val="auto"/>
                <w:sz w:val="21"/>
                <w:szCs w:val="21"/>
                <w:highlight w:val="none"/>
              </w:rPr>
              <w:t>2.4</w:t>
            </w:r>
          </w:p>
        </w:tc>
        <w:tc>
          <w:tcPr>
            <w:tcW w:w="2457" w:type="dxa"/>
            <w:tcBorders>
              <w:tl2br w:val="nil"/>
              <w:tr2bl w:val="nil"/>
            </w:tcBorders>
            <w:shd w:val="clear" w:color="auto" w:fill="auto"/>
            <w:vAlign w:val="center"/>
          </w:tcPr>
          <w:p w14:paraId="3C4F7E43">
            <w:pPr>
              <w:adjustRightInd w:val="0"/>
              <w:spacing w:line="360" w:lineRule="auto"/>
              <w:ind w:firstLine="105" w:firstLineChars="5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合同履行期限（服务期限）</w:t>
            </w:r>
          </w:p>
        </w:tc>
        <w:tc>
          <w:tcPr>
            <w:tcW w:w="6405" w:type="dxa"/>
            <w:tcBorders>
              <w:tl2br w:val="nil"/>
              <w:tr2bl w:val="nil"/>
            </w:tcBorders>
            <w:vAlign w:val="center"/>
          </w:tcPr>
          <w:p w14:paraId="4915C18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详见单一来源采购文件第一章《单一来源采购邀请书》</w:t>
            </w:r>
          </w:p>
        </w:tc>
      </w:tr>
      <w:tr w14:paraId="0D9436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04868CF9">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2457" w:type="dxa"/>
            <w:tcBorders>
              <w:tl2br w:val="nil"/>
              <w:tr2bl w:val="nil"/>
            </w:tcBorders>
            <w:shd w:val="clear" w:color="auto" w:fill="auto"/>
            <w:vAlign w:val="center"/>
          </w:tcPr>
          <w:p w14:paraId="0D4F6F20">
            <w:pPr>
              <w:adjustRightInd w:val="0"/>
              <w:spacing w:line="360" w:lineRule="auto"/>
              <w:ind w:firstLine="105" w:firstLineChars="5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服务地点</w:t>
            </w:r>
          </w:p>
        </w:tc>
        <w:tc>
          <w:tcPr>
            <w:tcW w:w="6405" w:type="dxa"/>
            <w:tcBorders>
              <w:tl2br w:val="nil"/>
              <w:tr2bl w:val="nil"/>
            </w:tcBorders>
            <w:vAlign w:val="center"/>
          </w:tcPr>
          <w:p w14:paraId="33856E9D">
            <w:pPr>
              <w:spacing w:line="360" w:lineRule="auto"/>
              <w:rPr>
                <w:rFonts w:hint="eastAsia" w:ascii="宋体" w:hAnsi="宋体" w:eastAsia="宋体" w:cs="宋体"/>
                <w:color w:val="auto"/>
                <w:szCs w:val="21"/>
                <w:highlight w:val="none"/>
              </w:rPr>
            </w:pPr>
            <w:bookmarkStart w:id="103" w:name="OLE_LINK38"/>
            <w:r>
              <w:rPr>
                <w:rFonts w:hint="eastAsia" w:ascii="宋体" w:hAnsi="宋体" w:eastAsia="宋体" w:cs="宋体"/>
                <w:color w:val="auto"/>
                <w:szCs w:val="21"/>
                <w:highlight w:val="none"/>
              </w:rPr>
              <w:t>详见单一来源采购文件第一章《单一来源采购邀请书》</w:t>
            </w:r>
            <w:bookmarkEnd w:id="103"/>
          </w:p>
        </w:tc>
      </w:tr>
      <w:tr w14:paraId="4D0E8C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01751CA1">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2457" w:type="dxa"/>
            <w:tcBorders>
              <w:tl2br w:val="nil"/>
              <w:tr2bl w:val="nil"/>
            </w:tcBorders>
            <w:shd w:val="clear" w:color="auto" w:fill="auto"/>
            <w:vAlign w:val="center"/>
          </w:tcPr>
          <w:p w14:paraId="0686118A">
            <w:pPr>
              <w:spacing w:line="360" w:lineRule="auto"/>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供应商资格要求</w:t>
            </w:r>
          </w:p>
        </w:tc>
        <w:tc>
          <w:tcPr>
            <w:tcW w:w="6405" w:type="dxa"/>
            <w:tcBorders>
              <w:tl2br w:val="nil"/>
              <w:tr2bl w:val="nil"/>
            </w:tcBorders>
            <w:shd w:val="clear" w:color="auto" w:fill="auto"/>
            <w:vAlign w:val="center"/>
          </w:tcPr>
          <w:p w14:paraId="49F6C05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详见单一来源采购文件第一章《单一来源采购邀请书》</w:t>
            </w:r>
          </w:p>
        </w:tc>
      </w:tr>
      <w:bookmarkEnd w:id="102"/>
      <w:tr w14:paraId="490683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31" w:type="dxa"/>
            <w:tcBorders>
              <w:tl2br w:val="nil"/>
              <w:tr2bl w:val="nil"/>
            </w:tcBorders>
            <w:vAlign w:val="center"/>
          </w:tcPr>
          <w:p w14:paraId="07FF28DD">
            <w:pPr>
              <w:pStyle w:val="18"/>
              <w:spacing w:line="360" w:lineRule="auto"/>
              <w:jc w:val="center"/>
              <w:rPr>
                <w:rFonts w:hint="eastAsia" w:ascii="宋体" w:hAnsi="宋体" w:eastAsia="宋体" w:cs="宋体"/>
                <w:color w:val="auto"/>
                <w:sz w:val="21"/>
                <w:szCs w:val="21"/>
                <w:highlight w:val="none"/>
              </w:rPr>
            </w:pPr>
            <w:bookmarkStart w:id="104" w:name="OLE_LINK41" w:colFirst="2" w:colLast="2"/>
            <w:bookmarkStart w:id="105" w:name="OLE_LINK39" w:colFirst="1" w:colLast="1"/>
            <w:r>
              <w:rPr>
                <w:rFonts w:hint="eastAsia" w:ascii="宋体" w:hAnsi="宋体" w:eastAsia="宋体" w:cs="宋体"/>
                <w:color w:val="auto"/>
                <w:sz w:val="21"/>
                <w:szCs w:val="21"/>
                <w:highlight w:val="none"/>
              </w:rPr>
              <w:t>3.2</w:t>
            </w:r>
          </w:p>
        </w:tc>
        <w:tc>
          <w:tcPr>
            <w:tcW w:w="2457" w:type="dxa"/>
            <w:tcBorders>
              <w:tl2br w:val="nil"/>
              <w:tr2bl w:val="nil"/>
            </w:tcBorders>
            <w:vAlign w:val="center"/>
          </w:tcPr>
          <w:p w14:paraId="4491DE56">
            <w:pPr>
              <w:spacing w:line="360" w:lineRule="auto"/>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落实政府采购政策需满足的资格要求</w:t>
            </w:r>
          </w:p>
        </w:tc>
        <w:tc>
          <w:tcPr>
            <w:tcW w:w="6405" w:type="dxa"/>
            <w:tcBorders>
              <w:tl2br w:val="nil"/>
              <w:tr2bl w:val="nil"/>
            </w:tcBorders>
            <w:vAlign w:val="center"/>
          </w:tcPr>
          <w:p w14:paraId="00A8497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详见单一来源采购文件第一章《单一来源采购邀请书》</w:t>
            </w:r>
          </w:p>
        </w:tc>
      </w:tr>
      <w:tr w14:paraId="40B845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31" w:type="dxa"/>
            <w:tcBorders>
              <w:tl2br w:val="nil"/>
              <w:tr2bl w:val="nil"/>
            </w:tcBorders>
            <w:vAlign w:val="center"/>
          </w:tcPr>
          <w:p w14:paraId="5D8CFF5A">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p>
        </w:tc>
        <w:tc>
          <w:tcPr>
            <w:tcW w:w="2457" w:type="dxa"/>
            <w:tcBorders>
              <w:tl2br w:val="nil"/>
              <w:tr2bl w:val="nil"/>
            </w:tcBorders>
            <w:vAlign w:val="center"/>
          </w:tcPr>
          <w:p w14:paraId="73522FE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本项目的特定资格要求</w:t>
            </w:r>
          </w:p>
        </w:tc>
        <w:tc>
          <w:tcPr>
            <w:tcW w:w="6405" w:type="dxa"/>
            <w:tcBorders>
              <w:tl2br w:val="nil"/>
              <w:tr2bl w:val="nil"/>
            </w:tcBorders>
            <w:vAlign w:val="center"/>
          </w:tcPr>
          <w:p w14:paraId="70A5A162">
            <w:pPr>
              <w:spacing w:line="360" w:lineRule="auto"/>
              <w:rPr>
                <w:rFonts w:hint="eastAsia" w:ascii="宋体" w:hAnsi="宋体" w:eastAsia="宋体" w:cs="宋体"/>
                <w:color w:val="auto"/>
                <w:szCs w:val="21"/>
                <w:highlight w:val="none"/>
              </w:rPr>
            </w:pPr>
            <w:bookmarkStart w:id="106" w:name="OLE_LINK45"/>
            <w:r>
              <w:rPr>
                <w:rFonts w:hint="eastAsia" w:ascii="宋体" w:hAnsi="宋体" w:eastAsia="宋体" w:cs="宋体"/>
                <w:color w:val="auto"/>
                <w:szCs w:val="21"/>
                <w:highlight w:val="none"/>
              </w:rPr>
              <w:t>详见单一来源采购文件第一章《单一来源采购邀请书》</w:t>
            </w:r>
            <w:bookmarkEnd w:id="106"/>
          </w:p>
        </w:tc>
      </w:tr>
      <w:tr w14:paraId="5329A1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31" w:type="dxa"/>
            <w:tcBorders>
              <w:tl2br w:val="nil"/>
              <w:tr2bl w:val="nil"/>
            </w:tcBorders>
            <w:vAlign w:val="center"/>
          </w:tcPr>
          <w:p w14:paraId="45E8B7B6">
            <w:pPr>
              <w:pStyle w:val="18"/>
              <w:spacing w:line="360" w:lineRule="auto"/>
              <w:jc w:val="center"/>
              <w:rPr>
                <w:rFonts w:hint="eastAsia" w:ascii="宋体" w:hAnsi="宋体" w:eastAsia="宋体" w:cs="宋体"/>
                <w:color w:val="auto"/>
                <w:sz w:val="21"/>
                <w:szCs w:val="21"/>
                <w:highlight w:val="none"/>
              </w:rPr>
            </w:pPr>
            <w:bookmarkStart w:id="107" w:name="OLE_LINK42" w:colFirst="2" w:colLast="2"/>
            <w:r>
              <w:rPr>
                <w:rFonts w:hint="eastAsia" w:ascii="宋体" w:hAnsi="宋体" w:eastAsia="宋体" w:cs="宋体"/>
                <w:color w:val="auto"/>
                <w:sz w:val="21"/>
                <w:szCs w:val="21"/>
                <w:highlight w:val="none"/>
              </w:rPr>
              <w:t>4.1</w:t>
            </w:r>
          </w:p>
        </w:tc>
        <w:tc>
          <w:tcPr>
            <w:tcW w:w="2457" w:type="dxa"/>
            <w:tcBorders>
              <w:tl2br w:val="nil"/>
              <w:tr2bl w:val="nil"/>
            </w:tcBorders>
            <w:vAlign w:val="center"/>
          </w:tcPr>
          <w:p w14:paraId="0CC70B6E">
            <w:pPr>
              <w:adjustRightInd w:val="0"/>
              <w:spacing w:line="360" w:lineRule="auto"/>
              <w:ind w:firstLine="105" w:firstLineChars="50"/>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是否接受联合体</w:t>
            </w:r>
          </w:p>
        </w:tc>
        <w:tc>
          <w:tcPr>
            <w:tcW w:w="6405" w:type="dxa"/>
            <w:tcBorders>
              <w:tl2br w:val="nil"/>
              <w:tr2bl w:val="nil"/>
            </w:tcBorders>
            <w:vAlign w:val="center"/>
          </w:tcPr>
          <w:p w14:paraId="1C9C101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详见单一来源采购文件第一章《单一来源采购邀请书》</w:t>
            </w:r>
          </w:p>
        </w:tc>
      </w:tr>
      <w:bookmarkEnd w:id="104"/>
      <w:bookmarkEnd w:id="105"/>
      <w:tr w14:paraId="2B989E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798E2056">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457" w:type="dxa"/>
            <w:tcBorders>
              <w:tl2br w:val="nil"/>
              <w:tr2bl w:val="nil"/>
            </w:tcBorders>
            <w:vAlign w:val="center"/>
          </w:tcPr>
          <w:p w14:paraId="5CB21CF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现场考察</w:t>
            </w:r>
          </w:p>
        </w:tc>
        <w:tc>
          <w:tcPr>
            <w:tcW w:w="6405" w:type="dxa"/>
            <w:tcBorders>
              <w:tl2br w:val="nil"/>
              <w:tr2bl w:val="nil"/>
            </w:tcBorders>
            <w:vAlign w:val="center"/>
          </w:tcPr>
          <w:p w14:paraId="4306726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☑不组织 </w:t>
            </w:r>
          </w:p>
          <w:p w14:paraId="3C597A5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w:t>
            </w:r>
          </w:p>
          <w:p w14:paraId="7A8C173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考察时间：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分 </w:t>
            </w:r>
          </w:p>
          <w:p w14:paraId="3609E37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考察地点：____________ </w:t>
            </w:r>
          </w:p>
        </w:tc>
      </w:tr>
      <w:tr w14:paraId="33DC30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33A0E9D8">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p>
        </w:tc>
        <w:tc>
          <w:tcPr>
            <w:tcW w:w="2457" w:type="dxa"/>
            <w:tcBorders>
              <w:tl2br w:val="nil"/>
              <w:tr2bl w:val="nil"/>
            </w:tcBorders>
            <w:vAlign w:val="center"/>
          </w:tcPr>
          <w:p w14:paraId="2FEC9719">
            <w:pPr>
              <w:spacing w:line="360" w:lineRule="auto"/>
              <w:jc w:val="center"/>
              <w:rPr>
                <w:rFonts w:hint="eastAsia" w:ascii="宋体" w:hAnsi="宋体" w:eastAsia="宋体" w:cs="宋体"/>
                <w:color w:val="auto"/>
                <w:szCs w:val="21"/>
                <w:highlight w:val="none"/>
              </w:rPr>
            </w:pPr>
            <w:bookmarkStart w:id="108" w:name="OLE_LINK43"/>
            <w:r>
              <w:rPr>
                <w:rFonts w:hint="eastAsia" w:ascii="宋体" w:hAnsi="宋体" w:eastAsia="宋体" w:cs="宋体"/>
                <w:color w:val="auto"/>
                <w:szCs w:val="21"/>
                <w:highlight w:val="none"/>
              </w:rPr>
              <w:t>采购</w:t>
            </w:r>
            <w:bookmarkEnd w:id="108"/>
            <w:r>
              <w:rPr>
                <w:rFonts w:hint="eastAsia" w:ascii="宋体" w:hAnsi="宋体" w:eastAsia="宋体" w:cs="宋体"/>
                <w:color w:val="auto"/>
                <w:szCs w:val="21"/>
                <w:highlight w:val="none"/>
              </w:rPr>
              <w:t>前答疑会</w:t>
            </w:r>
          </w:p>
        </w:tc>
        <w:tc>
          <w:tcPr>
            <w:tcW w:w="6405" w:type="dxa"/>
            <w:tcBorders>
              <w:tl2br w:val="nil"/>
              <w:tr2bl w:val="nil"/>
            </w:tcBorders>
            <w:vAlign w:val="center"/>
          </w:tcPr>
          <w:p w14:paraId="6EF4F14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☑不召开</w:t>
            </w:r>
          </w:p>
          <w:p w14:paraId="77223D2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□召开</w:t>
            </w:r>
          </w:p>
          <w:p w14:paraId="685232B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召开时间：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分 </w:t>
            </w:r>
          </w:p>
          <w:p w14:paraId="2FAE871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召开地点：____________ </w:t>
            </w:r>
          </w:p>
        </w:tc>
      </w:tr>
      <w:bookmarkEnd w:id="107"/>
      <w:tr w14:paraId="0F9508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31" w:type="dxa"/>
            <w:tcBorders>
              <w:tl2br w:val="nil"/>
              <w:tr2bl w:val="nil"/>
            </w:tcBorders>
            <w:vAlign w:val="center"/>
          </w:tcPr>
          <w:p w14:paraId="00B24A1A">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2457" w:type="dxa"/>
            <w:tcBorders>
              <w:tl2br w:val="nil"/>
              <w:tr2bl w:val="nil"/>
            </w:tcBorders>
            <w:vAlign w:val="center"/>
          </w:tcPr>
          <w:p w14:paraId="474328A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询问</w:t>
            </w:r>
          </w:p>
        </w:tc>
        <w:tc>
          <w:tcPr>
            <w:tcW w:w="6405" w:type="dxa"/>
            <w:tcBorders>
              <w:tl2br w:val="nil"/>
              <w:tr2bl w:val="nil"/>
            </w:tcBorders>
            <w:vAlign w:val="center"/>
          </w:tcPr>
          <w:p w14:paraId="30E505EE">
            <w:pPr>
              <w:autoSpaceDE w:val="0"/>
              <w:autoSpaceDN w:val="0"/>
              <w:adjustRightInd w:val="0"/>
              <w:spacing w:line="360" w:lineRule="auto"/>
              <w:jc w:val="left"/>
              <w:rPr>
                <w:rFonts w:hint="eastAsia" w:ascii="宋体" w:hAnsi="宋体" w:eastAsia="宋体" w:cs="宋体"/>
                <w:color w:val="auto"/>
                <w:szCs w:val="21"/>
                <w:highlight w:val="none"/>
              </w:rPr>
            </w:pPr>
            <w:bookmarkStart w:id="109" w:name="OLE_LINK48"/>
            <w:r>
              <w:rPr>
                <w:rFonts w:hint="eastAsia" w:ascii="宋体" w:hAnsi="宋体" w:eastAsia="宋体" w:cs="宋体"/>
                <w:color w:val="auto"/>
                <w:szCs w:val="21"/>
                <w:highlight w:val="none"/>
              </w:rPr>
              <w:t>供应商应认真阅读单一来源采购文件，如有疑问的，供应商可以向采购人或采购代理机构提出询问，采购人或者采购代理机构在接到询问后</w:t>
            </w:r>
            <w:bookmarkStart w:id="110" w:name="OLE_LINK47"/>
            <w:r>
              <w:rPr>
                <w:rFonts w:hint="eastAsia" w:ascii="宋体" w:hAnsi="宋体" w:eastAsia="宋体" w:cs="宋体"/>
                <w:color w:val="auto"/>
                <w:szCs w:val="21"/>
                <w:highlight w:val="none"/>
              </w:rPr>
              <w:t>的3个工作</w:t>
            </w:r>
            <w:bookmarkEnd w:id="110"/>
            <w:r>
              <w:rPr>
                <w:rFonts w:hint="eastAsia" w:ascii="宋体" w:hAnsi="宋体" w:eastAsia="宋体" w:cs="宋体"/>
                <w:color w:val="auto"/>
                <w:szCs w:val="21"/>
                <w:highlight w:val="none"/>
              </w:rPr>
              <w:t>日内对供应商依法提出的询问作出答复，但答复的内容不涉及商业秘密。</w:t>
            </w:r>
            <w:bookmarkEnd w:id="109"/>
          </w:p>
        </w:tc>
      </w:tr>
      <w:tr w14:paraId="6DF0AF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31" w:type="dxa"/>
            <w:tcBorders>
              <w:tl2br w:val="nil"/>
              <w:tr2bl w:val="nil"/>
            </w:tcBorders>
            <w:vAlign w:val="center"/>
          </w:tcPr>
          <w:p w14:paraId="00B6F783">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2457" w:type="dxa"/>
            <w:tcBorders>
              <w:tl2br w:val="nil"/>
              <w:tr2bl w:val="nil"/>
            </w:tcBorders>
            <w:vAlign w:val="center"/>
          </w:tcPr>
          <w:p w14:paraId="5C28726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询问联系方式</w:t>
            </w:r>
          </w:p>
        </w:tc>
        <w:tc>
          <w:tcPr>
            <w:tcW w:w="6405" w:type="dxa"/>
            <w:tcBorders>
              <w:tl2br w:val="nil"/>
              <w:tr2bl w:val="nil"/>
            </w:tcBorders>
            <w:vAlign w:val="center"/>
          </w:tcPr>
          <w:p w14:paraId="60CEAE0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详见单一来源采购文件第一章《单一来源采购邀请书》</w:t>
            </w:r>
          </w:p>
        </w:tc>
      </w:tr>
      <w:tr w14:paraId="601BB1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731" w:type="dxa"/>
            <w:tcBorders>
              <w:tl2br w:val="nil"/>
              <w:tr2bl w:val="nil"/>
            </w:tcBorders>
            <w:vAlign w:val="center"/>
          </w:tcPr>
          <w:p w14:paraId="594781CE">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2457" w:type="dxa"/>
            <w:tcBorders>
              <w:tl2br w:val="nil"/>
              <w:tr2bl w:val="nil"/>
            </w:tcBorders>
            <w:vAlign w:val="center"/>
          </w:tcPr>
          <w:p w14:paraId="12264FA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单一来源采购文件澄清、修改时间</w:t>
            </w:r>
          </w:p>
        </w:tc>
        <w:tc>
          <w:tcPr>
            <w:tcW w:w="6405" w:type="dxa"/>
            <w:tcBorders>
              <w:tl2br w:val="nil"/>
              <w:tr2bl w:val="nil"/>
            </w:tcBorders>
            <w:vAlign w:val="center"/>
          </w:tcPr>
          <w:p w14:paraId="2DAD0D53">
            <w:pPr>
              <w:autoSpaceDE w:val="0"/>
              <w:autoSpaceDN w:val="0"/>
              <w:adjustRightInd w:val="0"/>
              <w:spacing w:line="360" w:lineRule="auto"/>
              <w:jc w:val="left"/>
              <w:rPr>
                <w:rFonts w:hint="eastAsia" w:ascii="宋体" w:hAnsi="宋体" w:eastAsia="宋体" w:cs="宋体"/>
                <w:color w:val="auto"/>
                <w:szCs w:val="21"/>
                <w:highlight w:val="none"/>
              </w:rPr>
            </w:pPr>
            <w:bookmarkStart w:id="111" w:name="OLE_LINK46"/>
            <w:r>
              <w:rPr>
                <w:rFonts w:hint="eastAsia" w:ascii="宋体" w:hAnsi="宋体" w:eastAsia="宋体" w:cs="宋体"/>
                <w:color w:val="auto"/>
                <w:szCs w:val="21"/>
                <w:highlight w:val="none"/>
              </w:rPr>
              <w:t>采购人、采购代理机构可以对已发出的单一来源采购文件进行必要的澄清或者修改，澄清或者修改的内容作为单一来源采购文件的组成部分。澄清或者修改的内容可能影响响应文件编制的，采购人、采购代理机构将在提交首次响应文件截止之日3个工作日前，以书面形式通知获取单一来源采购文件的供应商，不足3个工作日的，将顺延提交首次响应文件截止之日。</w:t>
            </w:r>
            <w:bookmarkEnd w:id="111"/>
          </w:p>
        </w:tc>
      </w:tr>
      <w:tr w14:paraId="279DC1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60F47D72">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w:t>
            </w:r>
          </w:p>
        </w:tc>
        <w:tc>
          <w:tcPr>
            <w:tcW w:w="2457" w:type="dxa"/>
            <w:tcBorders>
              <w:tl2br w:val="nil"/>
              <w:tr2bl w:val="nil"/>
            </w:tcBorders>
            <w:vAlign w:val="center"/>
          </w:tcPr>
          <w:p w14:paraId="140A47D9">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w:t>
            </w:r>
          </w:p>
        </w:tc>
        <w:tc>
          <w:tcPr>
            <w:tcW w:w="6405" w:type="dxa"/>
            <w:tcBorders>
              <w:tl2br w:val="nil"/>
              <w:tr2bl w:val="nil"/>
            </w:tcBorders>
            <w:vAlign w:val="center"/>
          </w:tcPr>
          <w:p w14:paraId="084541D4">
            <w:pPr>
              <w:pStyle w:val="1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响应文件提交截止之日起</w:t>
            </w:r>
            <w:bookmarkStart w:id="112" w:name="OLE_LINK49"/>
            <w:r>
              <w:rPr>
                <w:rFonts w:hint="eastAsia" w:ascii="宋体" w:hAnsi="宋体" w:eastAsia="宋体" w:cs="宋体"/>
                <w:color w:val="auto"/>
                <w:sz w:val="21"/>
                <w:szCs w:val="21"/>
                <w:highlight w:val="none"/>
              </w:rPr>
              <w:t>90</w:t>
            </w:r>
            <w:bookmarkEnd w:id="112"/>
            <w:r>
              <w:rPr>
                <w:rFonts w:hint="eastAsia" w:ascii="宋体" w:hAnsi="宋体" w:eastAsia="宋体" w:cs="宋体"/>
                <w:color w:val="auto"/>
                <w:sz w:val="21"/>
                <w:szCs w:val="21"/>
                <w:highlight w:val="none"/>
              </w:rPr>
              <w:t>天</w:t>
            </w:r>
          </w:p>
        </w:tc>
      </w:tr>
      <w:tr w14:paraId="451470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110E3053">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w:t>
            </w:r>
          </w:p>
        </w:tc>
        <w:tc>
          <w:tcPr>
            <w:tcW w:w="2457" w:type="dxa"/>
            <w:tcBorders>
              <w:tl2br w:val="nil"/>
              <w:tr2bl w:val="nil"/>
            </w:tcBorders>
            <w:vAlign w:val="center"/>
          </w:tcPr>
          <w:p w14:paraId="5019347F">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w:t>
            </w:r>
          </w:p>
        </w:tc>
        <w:tc>
          <w:tcPr>
            <w:tcW w:w="6405" w:type="dxa"/>
            <w:tcBorders>
              <w:tl2br w:val="nil"/>
              <w:tr2bl w:val="nil"/>
            </w:tcBorders>
            <w:vAlign w:val="center"/>
          </w:tcPr>
          <w:p w14:paraId="1CC59868">
            <w:pPr>
              <w:topLinePunct/>
              <w:autoSpaceDE w:val="0"/>
              <w:autoSpaceDN w:val="0"/>
              <w:adjustRightInd w:val="0"/>
              <w:snapToGrid w:val="0"/>
              <w:spacing w:line="360" w:lineRule="auto"/>
              <w:rPr>
                <w:rFonts w:hint="eastAsia" w:ascii="宋体" w:hAnsi="宋体" w:eastAsia="宋体" w:cs="宋体"/>
                <w:snapToGrid w:val="0"/>
                <w:color w:val="auto"/>
                <w:szCs w:val="21"/>
                <w:highlight w:val="none"/>
                <w:lang w:val="zh-CN"/>
              </w:rPr>
            </w:pPr>
            <w:bookmarkStart w:id="113" w:name="OLE_LINK153"/>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不要求提供</w:t>
            </w:r>
          </w:p>
          <w:p w14:paraId="54EF0DC1">
            <w:pPr>
              <w:pStyle w:val="8"/>
              <w:spacing w:before="0" w:beforeAutospacing="0" w:after="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要求提供：</w:t>
            </w:r>
          </w:p>
          <w:p w14:paraId="6BE8A23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保证金的形式：网银、电汇、支票、汇票、本票、保函等非现金方式缴纳或提交。</w:t>
            </w:r>
          </w:p>
          <w:p w14:paraId="2BF03071">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保证金金额：小写：</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10000</w:t>
            </w:r>
            <w:r>
              <w:rPr>
                <w:rFonts w:hint="eastAsia" w:ascii="宋体" w:hAnsi="宋体" w:eastAsia="宋体" w:cs="宋体"/>
                <w:color w:val="auto"/>
                <w:szCs w:val="21"/>
                <w:highlight w:val="none"/>
                <w:u w:val="single"/>
              </w:rPr>
              <w:t>.00元</w:t>
            </w:r>
            <w:r>
              <w:rPr>
                <w:rFonts w:hint="eastAsia" w:ascii="宋体" w:hAnsi="宋体" w:eastAsia="宋体" w:cs="宋体"/>
                <w:color w:val="auto"/>
                <w:szCs w:val="21"/>
                <w:highlight w:val="none"/>
              </w:rPr>
              <w:t>（大写：人民币</w:t>
            </w:r>
            <w:r>
              <w:rPr>
                <w:rFonts w:hint="eastAsia" w:ascii="宋体" w:hAnsi="宋体" w:eastAsia="宋体" w:cs="宋体"/>
                <w:color w:val="auto"/>
                <w:szCs w:val="21"/>
                <w:highlight w:val="none"/>
                <w:lang w:val="en-US" w:eastAsia="zh-CN"/>
              </w:rPr>
              <w:t>壹万元整</w:t>
            </w:r>
            <w:r>
              <w:rPr>
                <w:rFonts w:hint="eastAsia" w:ascii="宋体" w:hAnsi="宋体" w:eastAsia="宋体" w:cs="宋体"/>
                <w:color w:val="auto"/>
                <w:szCs w:val="21"/>
                <w:highlight w:val="none"/>
              </w:rPr>
              <w:t>）</w:t>
            </w:r>
          </w:p>
          <w:p w14:paraId="29AE85F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保证金按规定数额从供应商基本账户缴纳至：</w:t>
            </w:r>
          </w:p>
          <w:p w14:paraId="39F5744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开户名称：云南中咨海外咨询有限公司</w:t>
            </w:r>
          </w:p>
          <w:p w14:paraId="166A9A0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开户银行：平安银行昆明南亚支行</w:t>
            </w:r>
          </w:p>
          <w:p w14:paraId="2AAC72C0">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账    号：30205378463407</w:t>
            </w:r>
          </w:p>
          <w:p w14:paraId="1943EA6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保证金缴纳说明：</w:t>
            </w:r>
          </w:p>
          <w:p w14:paraId="4734A39A">
            <w:pPr>
              <w:pageBreakBefore w:val="0"/>
              <w:kinsoku/>
              <w:wordWrap/>
              <w:overflowPunct/>
              <w:bidi w:val="0"/>
              <w:spacing w:beforeAutospacing="0" w:afterAutospacing="0" w:line="360" w:lineRule="auto"/>
              <w:textAlignment w:val="auto"/>
              <w:rPr>
                <w:rFonts w:hint="eastAsia" w:ascii="宋体" w:hAnsi="宋体" w:eastAsia="宋体" w:cs="宋体"/>
                <w:szCs w:val="21"/>
                <w:highlight w:val="none"/>
              </w:rPr>
            </w:pPr>
            <w:r>
              <w:rPr>
                <w:rFonts w:hint="eastAsia" w:ascii="宋体" w:hAnsi="宋体" w:eastAsia="宋体" w:cs="宋体"/>
                <w:color w:val="auto"/>
                <w:szCs w:val="21"/>
                <w:highlight w:val="none"/>
              </w:rPr>
              <w:t>1.</w:t>
            </w:r>
            <w:r>
              <w:rPr>
                <w:rFonts w:hint="eastAsia" w:ascii="宋体" w:hAnsi="宋体" w:eastAsia="宋体" w:cs="宋体"/>
                <w:szCs w:val="21"/>
                <w:highlight w:val="none"/>
              </w:rPr>
              <w:t>网银或电汇</w:t>
            </w:r>
            <w:r>
              <w:rPr>
                <w:rFonts w:hint="eastAsia" w:ascii="宋体" w:hAnsi="宋体" w:eastAsia="宋体" w:cs="宋体"/>
                <w:szCs w:val="21"/>
                <w:highlight w:val="none"/>
                <w:lang w:val="en-US" w:eastAsia="zh-CN"/>
              </w:rPr>
              <w:t>或电子保函</w:t>
            </w:r>
            <w:r>
              <w:rPr>
                <w:rFonts w:hint="eastAsia" w:ascii="宋体" w:hAnsi="宋体" w:eastAsia="宋体" w:cs="宋体"/>
                <w:szCs w:val="21"/>
                <w:highlight w:val="none"/>
              </w:rPr>
              <w:t>方式提交的，</w:t>
            </w:r>
            <w:r>
              <w:rPr>
                <w:rFonts w:hint="eastAsia" w:ascii="宋体" w:hAnsi="宋体" w:eastAsia="宋体" w:cs="宋体"/>
                <w:szCs w:val="21"/>
                <w:highlight w:val="none"/>
                <w:lang w:val="en-US" w:eastAsia="zh-CN"/>
              </w:rPr>
              <w:t>缴款回单或电子凭证</w:t>
            </w:r>
            <w:r>
              <w:rPr>
                <w:rFonts w:hint="eastAsia" w:ascii="宋体" w:hAnsi="宋体" w:eastAsia="宋体" w:cs="宋体"/>
                <w:szCs w:val="21"/>
                <w:highlight w:val="none"/>
              </w:rPr>
              <w:t>即为</w:t>
            </w:r>
            <w:r>
              <w:rPr>
                <w:rFonts w:hint="eastAsia" w:ascii="宋体" w:hAnsi="宋体" w:eastAsia="宋体" w:cs="宋体"/>
                <w:szCs w:val="21"/>
                <w:highlight w:val="none"/>
                <w:lang w:val="en-US" w:eastAsia="zh-CN"/>
              </w:rPr>
              <w:t>缴纳</w:t>
            </w:r>
            <w:r>
              <w:rPr>
                <w:rFonts w:hint="eastAsia" w:ascii="宋体" w:hAnsi="宋体" w:eastAsia="宋体" w:cs="宋体"/>
                <w:szCs w:val="21"/>
                <w:highlight w:val="none"/>
              </w:rPr>
              <w:t>凭证；其他方式</w:t>
            </w:r>
            <w:r>
              <w:rPr>
                <w:rFonts w:hint="eastAsia" w:ascii="宋体" w:hAnsi="宋体" w:eastAsia="宋体" w:cs="宋体"/>
                <w:szCs w:val="21"/>
                <w:highlight w:val="none"/>
                <w:lang w:val="en-US" w:eastAsia="zh-CN"/>
              </w:rPr>
              <w:t>提交</w:t>
            </w:r>
            <w:r>
              <w:rPr>
                <w:rFonts w:hint="eastAsia" w:ascii="宋体" w:hAnsi="宋体" w:eastAsia="宋体" w:cs="宋体"/>
                <w:szCs w:val="21"/>
                <w:highlight w:val="none"/>
              </w:rPr>
              <w:t>保证金的</w:t>
            </w:r>
            <w:r>
              <w:rPr>
                <w:rFonts w:hint="eastAsia" w:ascii="宋体" w:hAnsi="宋体" w:eastAsia="宋体" w:cs="宋体"/>
                <w:szCs w:val="21"/>
                <w:highlight w:val="none"/>
                <w:lang w:val="en-US" w:eastAsia="zh-CN"/>
              </w:rPr>
              <w:t>供应商应</w:t>
            </w:r>
            <w:r>
              <w:rPr>
                <w:rFonts w:hint="eastAsia" w:ascii="宋体" w:hAnsi="宋体" w:eastAsia="宋体" w:cs="宋体"/>
                <w:szCs w:val="21"/>
                <w:highlight w:val="none"/>
              </w:rPr>
              <w:t>持有效凭证（</w:t>
            </w:r>
            <w:r>
              <w:rPr>
                <w:rFonts w:hint="eastAsia" w:ascii="宋体" w:hAnsi="宋体" w:eastAsia="宋体" w:cs="宋体"/>
                <w:szCs w:val="21"/>
                <w:highlight w:val="none"/>
                <w:lang w:val="en-US" w:eastAsia="zh-CN"/>
              </w:rPr>
              <w:t>纸质</w:t>
            </w:r>
            <w:r>
              <w:rPr>
                <w:rFonts w:hint="eastAsia" w:ascii="宋体" w:hAnsi="宋体" w:eastAsia="宋体" w:cs="宋体"/>
                <w:szCs w:val="21"/>
                <w:highlight w:val="none"/>
              </w:rPr>
              <w:t>原件）至云南中咨海外咨询有限公司财务室换取保证金收据。</w:t>
            </w:r>
            <w:r>
              <w:rPr>
                <w:rFonts w:hint="eastAsia" w:ascii="宋体" w:hAnsi="宋体" w:eastAsia="宋体" w:cs="宋体"/>
                <w:szCs w:val="21"/>
                <w:highlight w:val="none"/>
                <w:lang w:val="en-US" w:eastAsia="zh-CN"/>
              </w:rPr>
              <w:t xml:space="preserve">联系人：赵咏春 联系方式：0871-63104709     </w:t>
            </w:r>
          </w:p>
          <w:p w14:paraId="7A244FA7">
            <w:pPr>
              <w:spacing w:line="360" w:lineRule="auto"/>
              <w:jc w:val="left"/>
              <w:rPr>
                <w:rFonts w:hint="eastAsia" w:ascii="宋体" w:hAnsi="宋体" w:eastAsia="宋体" w:cs="宋体"/>
                <w:color w:val="auto"/>
                <w:szCs w:val="21"/>
                <w:highlight w:val="none"/>
              </w:rPr>
            </w:pPr>
            <w:r>
              <w:rPr>
                <w:rFonts w:hint="eastAsia" w:ascii="宋体" w:hAnsi="宋体" w:eastAsia="宋体" w:cs="宋体"/>
                <w:szCs w:val="21"/>
                <w:highlight w:val="none"/>
                <w:lang w:val="en-US" w:eastAsia="zh-CN"/>
              </w:rPr>
              <w:t>2.供应商</w:t>
            </w:r>
            <w:r>
              <w:rPr>
                <w:rFonts w:hint="eastAsia" w:ascii="宋体" w:hAnsi="宋体" w:eastAsia="宋体" w:cs="宋体"/>
                <w:szCs w:val="21"/>
                <w:highlight w:val="none"/>
              </w:rPr>
              <w:t>未按照</w:t>
            </w:r>
            <w:r>
              <w:rPr>
                <w:rFonts w:hint="eastAsia" w:ascii="宋体" w:hAnsi="宋体" w:eastAsia="宋体" w:cs="宋体"/>
                <w:szCs w:val="21"/>
                <w:highlight w:val="none"/>
                <w:lang w:val="en-US" w:eastAsia="zh-CN"/>
              </w:rPr>
              <w:t>单一来源采购文件</w:t>
            </w:r>
            <w:r>
              <w:rPr>
                <w:rFonts w:hint="eastAsia" w:ascii="宋体" w:hAnsi="宋体" w:eastAsia="宋体" w:cs="宋体"/>
                <w:szCs w:val="21"/>
                <w:highlight w:val="none"/>
              </w:rPr>
              <w:t>要求提交保证金的，其</w:t>
            </w:r>
            <w:r>
              <w:rPr>
                <w:rFonts w:hint="eastAsia" w:ascii="宋体" w:hAnsi="宋体" w:eastAsia="宋体" w:cs="宋体"/>
                <w:szCs w:val="21"/>
                <w:highlight w:val="none"/>
                <w:lang w:eastAsia="zh-CN"/>
              </w:rPr>
              <w:t>响应无效</w:t>
            </w:r>
            <w:r>
              <w:rPr>
                <w:rFonts w:hint="eastAsia" w:ascii="宋体" w:hAnsi="宋体" w:eastAsia="宋体" w:cs="宋体"/>
                <w:color w:val="auto"/>
                <w:szCs w:val="21"/>
                <w:highlight w:val="none"/>
              </w:rPr>
              <w:t>。</w:t>
            </w:r>
            <w:bookmarkEnd w:id="113"/>
          </w:p>
        </w:tc>
      </w:tr>
      <w:tr w14:paraId="6089F9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31" w:type="dxa"/>
            <w:tcBorders>
              <w:tl2br w:val="nil"/>
              <w:tr2bl w:val="nil"/>
            </w:tcBorders>
            <w:vAlign w:val="center"/>
          </w:tcPr>
          <w:p w14:paraId="33165512">
            <w:pPr>
              <w:pStyle w:val="18"/>
              <w:spacing w:line="360" w:lineRule="auto"/>
              <w:jc w:val="center"/>
              <w:rPr>
                <w:rFonts w:hint="eastAsia" w:ascii="宋体" w:hAnsi="宋体" w:eastAsia="宋体" w:cs="宋体"/>
                <w:color w:val="auto"/>
                <w:sz w:val="21"/>
                <w:szCs w:val="21"/>
                <w:highlight w:val="none"/>
              </w:rPr>
            </w:pPr>
            <w:bookmarkStart w:id="114" w:name="OLE_LINK50" w:colFirst="1" w:colLast="2"/>
            <w:r>
              <w:rPr>
                <w:rFonts w:hint="eastAsia" w:ascii="宋体" w:hAnsi="宋体" w:eastAsia="宋体" w:cs="宋体"/>
                <w:color w:val="auto"/>
                <w:sz w:val="21"/>
                <w:szCs w:val="21"/>
                <w:highlight w:val="none"/>
              </w:rPr>
              <w:t>19.4</w:t>
            </w:r>
          </w:p>
        </w:tc>
        <w:tc>
          <w:tcPr>
            <w:tcW w:w="2457" w:type="dxa"/>
            <w:tcBorders>
              <w:tl2br w:val="nil"/>
              <w:tr2bl w:val="nil"/>
            </w:tcBorders>
            <w:shd w:val="clear" w:color="auto" w:fill="auto"/>
            <w:vAlign w:val="center"/>
          </w:tcPr>
          <w:p w14:paraId="70357C81">
            <w:pPr>
              <w:spacing w:line="360" w:lineRule="auto"/>
              <w:jc w:val="center"/>
              <w:rPr>
                <w:rFonts w:hint="eastAsia" w:ascii="宋体" w:hAnsi="宋体" w:eastAsia="宋体" w:cs="宋体"/>
                <w:bCs/>
                <w:snapToGrid w:val="0"/>
                <w:color w:val="auto"/>
                <w:kern w:val="21"/>
                <w:szCs w:val="21"/>
                <w:highlight w:val="none"/>
              </w:rPr>
            </w:pPr>
            <w:r>
              <w:rPr>
                <w:rFonts w:hint="eastAsia" w:ascii="宋体" w:hAnsi="宋体" w:eastAsia="宋体" w:cs="宋体"/>
                <w:bCs/>
                <w:color w:val="auto"/>
                <w:szCs w:val="21"/>
                <w:highlight w:val="none"/>
              </w:rPr>
              <w:t>响应文件盖章及签署</w:t>
            </w:r>
          </w:p>
        </w:tc>
        <w:tc>
          <w:tcPr>
            <w:tcW w:w="6405" w:type="dxa"/>
            <w:tcBorders>
              <w:tl2br w:val="nil"/>
              <w:tr2bl w:val="nil"/>
            </w:tcBorders>
            <w:shd w:val="clear" w:color="auto" w:fill="auto"/>
            <w:vAlign w:val="center"/>
          </w:tcPr>
          <w:p w14:paraId="639E6AF0">
            <w:pPr>
              <w:spacing w:line="360" w:lineRule="auto"/>
              <w:rPr>
                <w:rFonts w:hint="eastAsia" w:ascii="宋体" w:hAnsi="宋体" w:eastAsia="宋体" w:cs="宋体"/>
                <w:snapToGrid w:val="0"/>
                <w:color w:val="auto"/>
                <w:kern w:val="21"/>
                <w:szCs w:val="21"/>
                <w:highlight w:val="none"/>
              </w:rPr>
            </w:pPr>
            <w:r>
              <w:rPr>
                <w:rFonts w:hint="eastAsia" w:ascii="宋体" w:hAnsi="宋体" w:eastAsia="宋体" w:cs="宋体"/>
                <w:color w:val="auto"/>
                <w:szCs w:val="21"/>
                <w:highlight w:val="none"/>
              </w:rPr>
              <w:t>响应文件应按本单一来源采购文件中响应文件格式规定的</w:t>
            </w:r>
            <w:r>
              <w:rPr>
                <w:rFonts w:hint="eastAsia" w:ascii="宋体" w:hAnsi="宋体" w:eastAsia="宋体" w:cs="宋体"/>
                <w:b/>
                <w:bCs/>
                <w:color w:val="auto"/>
                <w:szCs w:val="21"/>
                <w:highlight w:val="none"/>
              </w:rPr>
              <w:t>签名或签章处逐一电子签名或电子签章，要求盖章处盖供应商电子签章</w:t>
            </w:r>
            <w:r>
              <w:rPr>
                <w:rFonts w:hint="eastAsia" w:ascii="宋体" w:hAnsi="宋体" w:eastAsia="宋体" w:cs="宋体"/>
                <w:color w:val="auto"/>
                <w:highlight w:val="none"/>
              </w:rPr>
              <w:t>。要求第三方出具的盖章件原件（如联合体协议、分包意向协议、制造商授权书等），响应文件中应使用原件的扫描件或照片等电子件。</w:t>
            </w:r>
          </w:p>
        </w:tc>
      </w:tr>
      <w:tr w14:paraId="21C8AB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31" w:type="dxa"/>
            <w:tcBorders>
              <w:tl2br w:val="nil"/>
              <w:tr2bl w:val="nil"/>
            </w:tcBorders>
            <w:vAlign w:val="center"/>
          </w:tcPr>
          <w:p w14:paraId="4A8911B8">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p>
        </w:tc>
        <w:tc>
          <w:tcPr>
            <w:tcW w:w="2457" w:type="dxa"/>
            <w:tcBorders>
              <w:tl2br w:val="nil"/>
              <w:tr2bl w:val="nil"/>
            </w:tcBorders>
            <w:shd w:val="clear" w:color="auto" w:fill="auto"/>
            <w:vAlign w:val="center"/>
          </w:tcPr>
          <w:p w14:paraId="3ED3486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w:t>
            </w:r>
          </w:p>
        </w:tc>
        <w:tc>
          <w:tcPr>
            <w:tcW w:w="6405" w:type="dxa"/>
            <w:tcBorders>
              <w:tl2br w:val="nil"/>
              <w:tr2bl w:val="nil"/>
            </w:tcBorders>
            <w:shd w:val="clear" w:color="auto" w:fill="auto"/>
            <w:vAlign w:val="center"/>
          </w:tcPr>
          <w:p w14:paraId="3B210617">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（1）供应商必须对本次采购范围内所有内容作出完整唯一的报价，不得缺项、漏项，否则响应文件将按无效响应处理。</w:t>
            </w:r>
          </w:p>
          <w:p w14:paraId="0AA51846">
            <w:pPr>
              <w:spacing w:line="360"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（2）供应商的报价应包括但不限于下列内容：</w:t>
            </w:r>
          </w:p>
          <w:p w14:paraId="7B68685B">
            <w:pPr>
              <w:spacing w:line="360"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人工工资、税金、运维服务、采购代理服务费、企业管理费、利润、税金等全部费用的总和。</w:t>
            </w:r>
          </w:p>
          <w:p w14:paraId="6C76171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（3）该报价应符合市场行情并能保证供应商完成履行合同所需的一切工作。</w:t>
            </w:r>
          </w:p>
        </w:tc>
      </w:tr>
      <w:bookmarkEnd w:id="114"/>
      <w:tr w14:paraId="55B568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31" w:type="dxa"/>
            <w:tcBorders>
              <w:tl2br w:val="nil"/>
              <w:tr2bl w:val="nil"/>
            </w:tcBorders>
            <w:vAlign w:val="center"/>
          </w:tcPr>
          <w:p w14:paraId="35577B0F">
            <w:pPr>
              <w:pStyle w:val="18"/>
              <w:spacing w:line="360" w:lineRule="auto"/>
              <w:jc w:val="center"/>
              <w:rPr>
                <w:rFonts w:hint="eastAsia" w:ascii="宋体" w:hAnsi="宋体" w:eastAsia="宋体" w:cs="宋体"/>
                <w:color w:val="auto"/>
                <w:sz w:val="21"/>
                <w:szCs w:val="21"/>
                <w:highlight w:val="none"/>
              </w:rPr>
            </w:pPr>
            <w:bookmarkStart w:id="115" w:name="OLE_LINK51" w:colFirst="1" w:colLast="2"/>
            <w:r>
              <w:rPr>
                <w:rFonts w:hint="eastAsia" w:ascii="宋体" w:hAnsi="宋体" w:eastAsia="宋体" w:cs="宋体"/>
                <w:color w:val="auto"/>
                <w:sz w:val="21"/>
                <w:szCs w:val="21"/>
                <w:highlight w:val="none"/>
              </w:rPr>
              <w:t>21.1</w:t>
            </w:r>
          </w:p>
        </w:tc>
        <w:tc>
          <w:tcPr>
            <w:tcW w:w="2457" w:type="dxa"/>
            <w:tcBorders>
              <w:tl2br w:val="nil"/>
              <w:tr2bl w:val="nil"/>
            </w:tcBorders>
            <w:vAlign w:val="center"/>
          </w:tcPr>
          <w:p w14:paraId="46F5E54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响应文件的加密</w:t>
            </w:r>
          </w:p>
        </w:tc>
        <w:tc>
          <w:tcPr>
            <w:tcW w:w="6405" w:type="dxa"/>
            <w:tcBorders>
              <w:tl2br w:val="nil"/>
              <w:tr2bl w:val="nil"/>
            </w:tcBorders>
            <w:vAlign w:val="center"/>
          </w:tcPr>
          <w:p w14:paraId="504187D7">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供应商应按照</w:t>
            </w:r>
            <w:r>
              <w:rPr>
                <w:rFonts w:hint="eastAsia" w:ascii="宋体" w:hAnsi="宋体" w:eastAsia="宋体" w:cs="宋体"/>
                <w:color w:val="auto"/>
                <w:szCs w:val="21"/>
                <w:highlight w:val="none"/>
              </w:rPr>
              <w:t>政府采购云平台</w:t>
            </w:r>
            <w:r>
              <w:rPr>
                <w:rFonts w:hint="eastAsia" w:ascii="宋体" w:hAnsi="宋体" w:eastAsia="宋体" w:cs="宋体"/>
                <w:color w:val="auto"/>
                <w:highlight w:val="none"/>
              </w:rPr>
              <w:t>的要求编制、加密响应文件。</w:t>
            </w:r>
          </w:p>
        </w:tc>
      </w:tr>
      <w:bookmarkEnd w:id="115"/>
      <w:tr w14:paraId="100B4C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31" w:type="dxa"/>
            <w:tcBorders>
              <w:tl2br w:val="nil"/>
              <w:tr2bl w:val="nil"/>
            </w:tcBorders>
            <w:vAlign w:val="center"/>
          </w:tcPr>
          <w:p w14:paraId="39FF617F">
            <w:pPr>
              <w:pStyle w:val="18"/>
              <w:spacing w:line="360" w:lineRule="auto"/>
              <w:jc w:val="center"/>
              <w:rPr>
                <w:rFonts w:hint="eastAsia" w:ascii="宋体" w:hAnsi="宋体" w:eastAsia="宋体" w:cs="宋体"/>
                <w:color w:val="auto"/>
                <w:sz w:val="21"/>
                <w:szCs w:val="21"/>
                <w:highlight w:val="none"/>
              </w:rPr>
            </w:pPr>
            <w:bookmarkStart w:id="116" w:name="OLE_LINK52" w:colFirst="1" w:colLast="2"/>
            <w:r>
              <w:rPr>
                <w:rFonts w:hint="eastAsia" w:ascii="宋体" w:hAnsi="宋体" w:eastAsia="宋体" w:cs="宋体"/>
                <w:color w:val="auto"/>
                <w:sz w:val="21"/>
                <w:szCs w:val="21"/>
                <w:highlight w:val="none"/>
              </w:rPr>
              <w:t>22.1</w:t>
            </w:r>
          </w:p>
        </w:tc>
        <w:tc>
          <w:tcPr>
            <w:tcW w:w="2457" w:type="dxa"/>
            <w:tcBorders>
              <w:tl2br w:val="nil"/>
              <w:tr2bl w:val="nil"/>
            </w:tcBorders>
            <w:vAlign w:val="center"/>
          </w:tcPr>
          <w:p w14:paraId="28F9141F">
            <w:pPr>
              <w:pStyle w:val="8"/>
              <w:spacing w:before="0" w:beforeAutospacing="0" w:after="0" w:afterAutospacing="0" w:line="360" w:lineRule="auto"/>
              <w:ind w:left="119" w:leftChars="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响应文件提交截止时间及地点</w:t>
            </w:r>
          </w:p>
        </w:tc>
        <w:tc>
          <w:tcPr>
            <w:tcW w:w="6405" w:type="dxa"/>
            <w:tcBorders>
              <w:tl2br w:val="nil"/>
              <w:tr2bl w:val="nil"/>
            </w:tcBorders>
            <w:vAlign w:val="center"/>
          </w:tcPr>
          <w:p w14:paraId="26B237CA">
            <w:pPr>
              <w:pStyle w:val="8"/>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详见单一来源采购文件第一章《单一来源采购邀请书》</w:t>
            </w:r>
          </w:p>
        </w:tc>
      </w:tr>
      <w:bookmarkEnd w:id="116"/>
      <w:tr w14:paraId="5E0839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31" w:type="dxa"/>
            <w:tcBorders>
              <w:tl2br w:val="nil"/>
              <w:tr2bl w:val="nil"/>
            </w:tcBorders>
            <w:vAlign w:val="center"/>
          </w:tcPr>
          <w:p w14:paraId="4B35ED8F">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w:t>
            </w:r>
          </w:p>
        </w:tc>
        <w:tc>
          <w:tcPr>
            <w:tcW w:w="2457" w:type="dxa"/>
            <w:tcBorders>
              <w:tl2br w:val="nil"/>
              <w:tr2bl w:val="nil"/>
            </w:tcBorders>
            <w:vAlign w:val="center"/>
          </w:tcPr>
          <w:p w14:paraId="342601CA">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w:t>
            </w:r>
          </w:p>
        </w:tc>
        <w:tc>
          <w:tcPr>
            <w:tcW w:w="6405" w:type="dxa"/>
            <w:tcBorders>
              <w:tl2br w:val="nil"/>
              <w:tr2bl w:val="nil"/>
            </w:tcBorders>
            <w:vAlign w:val="center"/>
          </w:tcPr>
          <w:p w14:paraId="4A0D2A19">
            <w:pPr>
              <w:pStyle w:val="1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一来源采购人员由采购人的代表和有关技术、经济等方面的专家组成，单一来源采购人员人数应当为3人以上单数。其中，技术、经济等方面的专家不得少于单一来源采购人员总数的三分之二。单一来源采购人员应当推选组长，但采购人代表不得担任组长。</w:t>
            </w:r>
          </w:p>
        </w:tc>
      </w:tr>
      <w:tr w14:paraId="713E74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31" w:type="dxa"/>
            <w:tcBorders>
              <w:tl2br w:val="nil"/>
              <w:tr2bl w:val="nil"/>
            </w:tcBorders>
            <w:shd w:val="clear" w:color="auto" w:fill="auto"/>
            <w:vAlign w:val="center"/>
          </w:tcPr>
          <w:p w14:paraId="19E3FB06">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457" w:type="dxa"/>
            <w:tcBorders>
              <w:tl2br w:val="nil"/>
              <w:tr2bl w:val="nil"/>
            </w:tcBorders>
            <w:shd w:val="clear" w:color="auto" w:fill="auto"/>
            <w:vAlign w:val="center"/>
          </w:tcPr>
          <w:p w14:paraId="354C0069">
            <w:pPr>
              <w:spacing w:line="360" w:lineRule="auto"/>
              <w:jc w:val="center"/>
              <w:rPr>
                <w:rFonts w:hint="eastAsia" w:ascii="宋体" w:hAnsi="宋体" w:eastAsia="宋体" w:cs="宋体"/>
                <w:snapToGrid w:val="0"/>
                <w:color w:val="auto"/>
                <w:kern w:val="21"/>
                <w:szCs w:val="21"/>
                <w:highlight w:val="none"/>
              </w:rPr>
            </w:pPr>
            <w:r>
              <w:rPr>
                <w:rFonts w:hint="eastAsia" w:ascii="宋体" w:hAnsi="宋体" w:eastAsia="宋体" w:cs="宋体"/>
                <w:color w:val="auto"/>
                <w:szCs w:val="21"/>
                <w:highlight w:val="none"/>
              </w:rPr>
              <w:t>分包</w:t>
            </w:r>
          </w:p>
        </w:tc>
        <w:tc>
          <w:tcPr>
            <w:tcW w:w="6405" w:type="dxa"/>
            <w:tcBorders>
              <w:tl2br w:val="nil"/>
              <w:tr2bl w:val="nil"/>
            </w:tcBorders>
            <w:shd w:val="clear" w:color="auto" w:fill="auto"/>
            <w:vAlign w:val="center"/>
          </w:tcPr>
          <w:p w14:paraId="79C4BFF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本项目的非主体、非关键性工作是否允许分包： </w:t>
            </w:r>
          </w:p>
          <w:p w14:paraId="35DA762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 xml:space="preserve">不允许 </w:t>
            </w:r>
          </w:p>
          <w:p w14:paraId="41BD3FB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 xml:space="preserve">允许，具体要求： </w:t>
            </w:r>
          </w:p>
          <w:p w14:paraId="742C4E9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（1）可以分包履行的具体内容：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4CAA99C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（2）允许分包的金额或者比例：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42520435">
            <w:pPr>
              <w:spacing w:line="360" w:lineRule="auto"/>
              <w:rPr>
                <w:rFonts w:hint="eastAsia" w:ascii="宋体" w:hAnsi="宋体" w:eastAsia="宋体" w:cs="宋体"/>
                <w:snapToGrid w:val="0"/>
                <w:color w:val="auto"/>
                <w:kern w:val="21"/>
                <w:szCs w:val="21"/>
                <w:highlight w:val="none"/>
              </w:rPr>
            </w:pPr>
            <w:r>
              <w:rPr>
                <w:rFonts w:hint="eastAsia" w:ascii="宋体" w:hAnsi="宋体" w:eastAsia="宋体" w:cs="宋体"/>
                <w:color w:val="auto"/>
                <w:szCs w:val="21"/>
                <w:highlight w:val="none"/>
              </w:rPr>
              <w:t>（3）其他要求：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c>
      </w:tr>
      <w:tr w14:paraId="3165DD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31" w:type="dxa"/>
            <w:tcBorders>
              <w:tl2br w:val="nil"/>
              <w:tr2bl w:val="nil"/>
            </w:tcBorders>
            <w:vAlign w:val="center"/>
          </w:tcPr>
          <w:p w14:paraId="663D3009">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457" w:type="dxa"/>
            <w:tcBorders>
              <w:tl2br w:val="nil"/>
              <w:tr2bl w:val="nil"/>
            </w:tcBorders>
            <w:vAlign w:val="center"/>
          </w:tcPr>
          <w:p w14:paraId="71FF50E7">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w:t>
            </w:r>
          </w:p>
        </w:tc>
        <w:tc>
          <w:tcPr>
            <w:tcW w:w="6405" w:type="dxa"/>
            <w:tcBorders>
              <w:tl2br w:val="nil"/>
              <w:tr2bl w:val="nil"/>
            </w:tcBorders>
            <w:vAlign w:val="center"/>
          </w:tcPr>
          <w:p w14:paraId="03E47920">
            <w:pPr>
              <w:pStyle w:val="8"/>
              <w:topLinePunct/>
              <w:autoSpaceDE w:val="0"/>
              <w:autoSpaceDN w:val="0"/>
              <w:adjustRightInd w:val="0"/>
              <w:snapToGrid w:val="0"/>
              <w:rPr>
                <w:rFonts w:hint="eastAsia" w:ascii="宋体" w:hAnsi="宋体" w:eastAsia="宋体" w:cs="宋体"/>
                <w:snapToGrid/>
                <w:color w:val="auto"/>
                <w:kern w:val="2"/>
                <w:sz w:val="21"/>
                <w:szCs w:val="21"/>
                <w:highlight w:val="none"/>
                <w:lang w:val="en-US"/>
              </w:rPr>
            </w:pPr>
            <w:r>
              <w:rPr>
                <w:rFonts w:hint="eastAsia" w:ascii="宋体" w:hAnsi="宋体" w:eastAsia="宋体" w:cs="宋体"/>
                <w:color w:val="auto"/>
                <w:kern w:val="2"/>
                <w:sz w:val="21"/>
                <w:szCs w:val="21"/>
                <w:highlight w:val="none"/>
              </w:rPr>
              <w:sym w:font="Wingdings 2" w:char="0052"/>
            </w:r>
            <w:r>
              <w:rPr>
                <w:rFonts w:hint="eastAsia" w:ascii="宋体" w:hAnsi="宋体" w:eastAsia="宋体" w:cs="宋体"/>
                <w:color w:val="auto"/>
                <w:kern w:val="2"/>
                <w:sz w:val="21"/>
                <w:szCs w:val="21"/>
                <w:highlight w:val="none"/>
              </w:rPr>
              <w:t>不要求提供</w:t>
            </w:r>
          </w:p>
          <w:p w14:paraId="5983A45B">
            <w:pPr>
              <w:pStyle w:val="8"/>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sym w:font="Wingdings 2" w:char="00A3"/>
            </w:r>
            <w:r>
              <w:rPr>
                <w:rFonts w:hint="eastAsia" w:ascii="宋体" w:hAnsi="宋体" w:eastAsia="宋体" w:cs="宋体"/>
                <w:color w:val="auto"/>
                <w:kern w:val="2"/>
                <w:sz w:val="21"/>
                <w:szCs w:val="21"/>
                <w:highlight w:val="none"/>
              </w:rPr>
              <w:t>要求提供：</w:t>
            </w:r>
          </w:p>
        </w:tc>
      </w:tr>
      <w:tr w14:paraId="4DA02E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31" w:type="dxa"/>
            <w:tcBorders>
              <w:tl2br w:val="nil"/>
              <w:tr2bl w:val="nil"/>
            </w:tcBorders>
            <w:vAlign w:val="center"/>
          </w:tcPr>
          <w:p w14:paraId="4AE07134">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w:t>
            </w:r>
          </w:p>
        </w:tc>
        <w:tc>
          <w:tcPr>
            <w:tcW w:w="2457" w:type="dxa"/>
            <w:tcBorders>
              <w:tl2br w:val="nil"/>
              <w:tr2bl w:val="nil"/>
            </w:tcBorders>
            <w:vAlign w:val="center"/>
          </w:tcPr>
          <w:p w14:paraId="624E15B1">
            <w:pPr>
              <w:spacing w:line="36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采购代理服务费</w:t>
            </w:r>
          </w:p>
        </w:tc>
        <w:tc>
          <w:tcPr>
            <w:tcW w:w="6405" w:type="dxa"/>
            <w:tcBorders>
              <w:tl2br w:val="nil"/>
              <w:tr2bl w:val="nil"/>
            </w:tcBorders>
          </w:tcPr>
          <w:p w14:paraId="040F8EE5">
            <w:pPr>
              <w:spacing w:line="36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采购代理服务费按计价格［2002］1980号文规定的收费标准及发改办价格[2003]857号文规定的收费标准下浮25%收取，由成交人承担（计算基准价为</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lang w:eastAsia="zh-CN"/>
              </w:rPr>
              <w:t>金额）。</w:t>
            </w:r>
          </w:p>
        </w:tc>
      </w:tr>
      <w:tr w14:paraId="076118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31" w:type="dxa"/>
            <w:tcBorders>
              <w:tl2br w:val="nil"/>
              <w:tr2bl w:val="nil"/>
            </w:tcBorders>
            <w:vAlign w:val="center"/>
          </w:tcPr>
          <w:p w14:paraId="738BB547">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w:t>
            </w:r>
          </w:p>
        </w:tc>
        <w:tc>
          <w:tcPr>
            <w:tcW w:w="8862" w:type="dxa"/>
            <w:gridSpan w:val="2"/>
            <w:tcBorders>
              <w:tl2br w:val="nil"/>
              <w:tr2bl w:val="nil"/>
            </w:tcBorders>
            <w:vAlign w:val="center"/>
          </w:tcPr>
          <w:p w14:paraId="1965394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需要补充的其他内容：</w:t>
            </w:r>
          </w:p>
        </w:tc>
      </w:tr>
      <w:tr w14:paraId="20C67D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31" w:type="dxa"/>
            <w:tcBorders>
              <w:tl2br w:val="nil"/>
              <w:tr2bl w:val="nil"/>
            </w:tcBorders>
            <w:vAlign w:val="center"/>
          </w:tcPr>
          <w:p w14:paraId="14422DFB">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w:t>
            </w:r>
          </w:p>
        </w:tc>
        <w:tc>
          <w:tcPr>
            <w:tcW w:w="2457" w:type="dxa"/>
            <w:tcBorders>
              <w:tl2br w:val="nil"/>
              <w:tr2bl w:val="nil"/>
            </w:tcBorders>
            <w:vAlign w:val="center"/>
          </w:tcPr>
          <w:p w14:paraId="094AF1EC">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撤回响应文件或其响应文件无效情形</w:t>
            </w:r>
          </w:p>
        </w:tc>
        <w:tc>
          <w:tcPr>
            <w:tcW w:w="6405" w:type="dxa"/>
            <w:tcBorders>
              <w:tl2br w:val="nil"/>
              <w:tr2bl w:val="nil"/>
            </w:tcBorders>
            <w:vAlign w:val="center"/>
          </w:tcPr>
          <w:p w14:paraId="2F0515CC">
            <w:pPr>
              <w:pStyle w:val="8"/>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以下情况视为供应商同意撤回已上传系统的响应文件或其响应文件无效：</w:t>
            </w:r>
          </w:p>
          <w:p w14:paraId="4C6871E8">
            <w:pPr>
              <w:pStyle w:val="8"/>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（1）政采云电子平台显示供应商未上传响应文件； </w:t>
            </w:r>
          </w:p>
          <w:p w14:paraId="331A2DBE">
            <w:pPr>
              <w:pStyle w:val="8"/>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（2）因供应商原因上传的响应文件在开启文件时无法解密。</w:t>
            </w:r>
          </w:p>
          <w:p w14:paraId="68AAB605">
            <w:pPr>
              <w:pStyle w:val="8"/>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（3）因供应商自身原因导致未在规定时间内完成响应文件解密。</w:t>
            </w:r>
          </w:p>
        </w:tc>
      </w:tr>
      <w:tr w14:paraId="676BEA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31" w:type="dxa"/>
            <w:tcBorders>
              <w:tl2br w:val="nil"/>
              <w:tr2bl w:val="nil"/>
            </w:tcBorders>
            <w:vAlign w:val="center"/>
          </w:tcPr>
          <w:p w14:paraId="0C253AA7">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w:t>
            </w:r>
          </w:p>
        </w:tc>
        <w:tc>
          <w:tcPr>
            <w:tcW w:w="2457" w:type="dxa"/>
            <w:tcBorders>
              <w:tl2br w:val="nil"/>
              <w:tr2bl w:val="nil"/>
            </w:tcBorders>
            <w:shd w:val="clear" w:color="auto" w:fill="auto"/>
            <w:vAlign w:val="center"/>
          </w:tcPr>
          <w:p w14:paraId="4150625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知识产权</w:t>
            </w:r>
          </w:p>
        </w:tc>
        <w:tc>
          <w:tcPr>
            <w:tcW w:w="6405" w:type="dxa"/>
            <w:tcBorders>
              <w:tl2br w:val="nil"/>
              <w:tr2bl w:val="nil"/>
            </w:tcBorders>
            <w:shd w:val="clear" w:color="auto" w:fill="auto"/>
            <w:vAlign w:val="center"/>
          </w:tcPr>
          <w:p w14:paraId="60ADAAC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构成本项目单一来源采购文件各个组成部分的文件，未经采购人书面同意，供应商不得擅自复印和用于非本采购项目所需的其他目的。采购人全部或者部分使用未成交人响应文件中的技术成果或技术方案时，需征得其书面同意，并不得擅自复印或提供给第三人。</w:t>
            </w:r>
          </w:p>
        </w:tc>
      </w:tr>
      <w:tr w14:paraId="4A08D0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731" w:type="dxa"/>
            <w:tcBorders>
              <w:tl2br w:val="nil"/>
              <w:tr2bl w:val="nil"/>
            </w:tcBorders>
            <w:vAlign w:val="center"/>
          </w:tcPr>
          <w:p w14:paraId="3DD3DE8C">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2457" w:type="dxa"/>
            <w:tcBorders>
              <w:tl2br w:val="nil"/>
              <w:tr2bl w:val="nil"/>
            </w:tcBorders>
            <w:shd w:val="clear" w:color="auto" w:fill="auto"/>
            <w:vAlign w:val="center"/>
          </w:tcPr>
          <w:p w14:paraId="4A922CB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解释权</w:t>
            </w:r>
          </w:p>
        </w:tc>
        <w:tc>
          <w:tcPr>
            <w:tcW w:w="6405" w:type="dxa"/>
            <w:tcBorders>
              <w:tl2br w:val="nil"/>
              <w:tr2bl w:val="nil"/>
            </w:tcBorders>
            <w:shd w:val="clear" w:color="auto" w:fill="auto"/>
            <w:vAlign w:val="center"/>
          </w:tcPr>
          <w:p w14:paraId="09DFBD0F">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构成本单一来源采购文件的各个组成文件应互为解释，互为说明；如有不明确或不一致，同一组成文件不同版本之间有不一致的，以形成时间在后者为准。按本款前述规定仍不能形成结论的，由采购人或采购代理机构负责解释。</w:t>
            </w:r>
          </w:p>
          <w:p w14:paraId="706E4086">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单一来源采购文件中引用某一供应商的技术规格或要求，只是为了准确或清楚地说明拟采购范围的技术规格，未含有倾向或者排斥潜在供应商的意思，供应商所投内容的技术标准可优于或相当于此采购范围的技术要求。</w:t>
            </w:r>
          </w:p>
          <w:p w14:paraId="02C25534">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（3）供应商须知正文内容如与本前附表不一致的，以本前附表为准。</w:t>
            </w:r>
          </w:p>
        </w:tc>
      </w:tr>
    </w:tbl>
    <w:p w14:paraId="2907552A">
      <w:pPr>
        <w:spacing w:line="360" w:lineRule="auto"/>
        <w:rPr>
          <w:rFonts w:hint="eastAsia" w:ascii="宋体" w:hAnsi="宋体" w:eastAsia="宋体" w:cs="宋体"/>
          <w:color w:val="auto"/>
          <w:highlight w:val="none"/>
        </w:rPr>
      </w:pPr>
      <w:bookmarkStart w:id="117" w:name="_Toc86124040"/>
      <w:r>
        <w:rPr>
          <w:rFonts w:hint="eastAsia" w:ascii="宋体" w:hAnsi="宋体" w:eastAsia="宋体" w:cs="宋体"/>
          <w:color w:val="auto"/>
          <w:highlight w:val="none"/>
        </w:rPr>
        <w:br w:type="page"/>
      </w:r>
    </w:p>
    <w:bookmarkEnd w:id="98"/>
    <w:p w14:paraId="64CCB259">
      <w:pPr>
        <w:pStyle w:val="3"/>
        <w:spacing w:before="0" w:after="0" w:line="440" w:lineRule="exact"/>
        <w:rPr>
          <w:rFonts w:hint="eastAsia" w:ascii="宋体" w:hAnsi="宋体" w:eastAsia="宋体" w:cs="宋体"/>
          <w:bCs w:val="0"/>
          <w:snapToGrid w:val="0"/>
          <w:color w:val="auto"/>
          <w:kern w:val="21"/>
          <w:szCs w:val="28"/>
          <w:highlight w:val="none"/>
        </w:rPr>
      </w:pPr>
      <w:bookmarkStart w:id="118" w:name="_Toc462330062"/>
      <w:bookmarkStart w:id="119" w:name="_Toc4517"/>
      <w:bookmarkStart w:id="120" w:name="_Toc498050628"/>
      <w:bookmarkStart w:id="121" w:name="_Toc428490720"/>
      <w:bookmarkStart w:id="122" w:name="_Toc23051"/>
      <w:bookmarkStart w:id="123" w:name="_Toc490305683"/>
      <w:r>
        <w:rPr>
          <w:rFonts w:hint="eastAsia" w:ascii="宋体" w:hAnsi="宋体" w:eastAsia="宋体" w:cs="宋体"/>
          <w:bCs w:val="0"/>
          <w:snapToGrid w:val="0"/>
          <w:color w:val="auto"/>
          <w:kern w:val="21"/>
          <w:szCs w:val="28"/>
          <w:highlight w:val="none"/>
        </w:rPr>
        <w:t>一、总则</w:t>
      </w:r>
      <w:bookmarkEnd w:id="117"/>
      <w:bookmarkEnd w:id="118"/>
      <w:bookmarkEnd w:id="119"/>
      <w:bookmarkEnd w:id="120"/>
      <w:bookmarkEnd w:id="121"/>
      <w:bookmarkEnd w:id="122"/>
      <w:bookmarkEnd w:id="123"/>
      <w:bookmarkStart w:id="124" w:name="_Toc462330063"/>
      <w:bookmarkStart w:id="125" w:name="_Toc327533961"/>
      <w:bookmarkStart w:id="126" w:name="_Toc428490721"/>
    </w:p>
    <w:p w14:paraId="3B895167">
      <w:pPr>
        <w:tabs>
          <w:tab w:val="left" w:pos="3150"/>
          <w:tab w:val="center" w:pos="4734"/>
        </w:tabs>
        <w:spacing w:line="360" w:lineRule="auto"/>
        <w:ind w:firstLine="480" w:firstLineChars="200"/>
        <w:jc w:val="left"/>
        <w:outlineLvl w:val="2"/>
        <w:rPr>
          <w:rFonts w:hint="eastAsia" w:ascii="宋体" w:hAnsi="宋体" w:eastAsia="宋体" w:cs="宋体"/>
          <w:b/>
          <w:color w:val="auto"/>
          <w:sz w:val="24"/>
          <w:highlight w:val="none"/>
        </w:rPr>
      </w:pPr>
      <w:bookmarkStart w:id="127" w:name="_Toc25195"/>
      <w:bookmarkStart w:id="128" w:name="_Toc490305684"/>
      <w:bookmarkStart w:id="129" w:name="_Toc498050629"/>
      <w:bookmarkStart w:id="130" w:name="_Toc9091"/>
      <w:r>
        <w:rPr>
          <w:rFonts w:hint="eastAsia" w:ascii="宋体" w:hAnsi="宋体" w:eastAsia="宋体" w:cs="宋体"/>
          <w:b/>
          <w:color w:val="auto"/>
          <w:sz w:val="24"/>
          <w:highlight w:val="none"/>
        </w:rPr>
        <w:t>1.</w:t>
      </w:r>
      <w:bookmarkStart w:id="131" w:name="OLE_LINK159"/>
      <w:r>
        <w:rPr>
          <w:rFonts w:hint="eastAsia" w:ascii="宋体" w:hAnsi="宋体" w:eastAsia="宋体" w:cs="宋体"/>
          <w:b/>
          <w:color w:val="auto"/>
          <w:sz w:val="24"/>
          <w:highlight w:val="none"/>
        </w:rPr>
        <w:t>采购人、采购代理机构</w:t>
      </w:r>
      <w:bookmarkEnd w:id="127"/>
    </w:p>
    <w:bookmarkEnd w:id="131"/>
    <w:p w14:paraId="60607D6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1.1采购人：详见《供应商须知前附表》。</w:t>
      </w:r>
    </w:p>
    <w:p w14:paraId="3BBDCDA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1.2采购代理机构：详见《供应商须知前附表》。</w:t>
      </w:r>
    </w:p>
    <w:p w14:paraId="38B90F48">
      <w:pPr>
        <w:tabs>
          <w:tab w:val="left" w:pos="3150"/>
          <w:tab w:val="center" w:pos="4734"/>
        </w:tabs>
        <w:spacing w:line="360" w:lineRule="auto"/>
        <w:ind w:firstLine="480" w:firstLineChars="200"/>
        <w:jc w:val="left"/>
        <w:outlineLvl w:val="2"/>
        <w:rPr>
          <w:rFonts w:hint="eastAsia" w:ascii="宋体" w:hAnsi="宋体" w:eastAsia="宋体" w:cs="宋体"/>
          <w:b/>
          <w:color w:val="auto"/>
          <w:sz w:val="24"/>
          <w:highlight w:val="none"/>
        </w:rPr>
      </w:pPr>
      <w:bookmarkStart w:id="132" w:name="_Toc31782"/>
      <w:r>
        <w:rPr>
          <w:rFonts w:hint="eastAsia" w:ascii="宋体" w:hAnsi="宋体" w:eastAsia="宋体" w:cs="宋体"/>
          <w:b/>
          <w:color w:val="auto"/>
          <w:sz w:val="24"/>
          <w:highlight w:val="none"/>
        </w:rPr>
        <w:t>2</w:t>
      </w:r>
      <w:bookmarkEnd w:id="132"/>
      <w:r>
        <w:rPr>
          <w:rFonts w:hint="eastAsia" w:ascii="宋体" w:hAnsi="宋体" w:eastAsia="宋体" w:cs="宋体"/>
          <w:b/>
          <w:color w:val="auto"/>
          <w:sz w:val="24"/>
          <w:highlight w:val="none"/>
        </w:rPr>
        <w:t>.项目基本情况</w:t>
      </w:r>
    </w:p>
    <w:p w14:paraId="7766FB6C">
      <w:pPr>
        <w:spacing w:line="360" w:lineRule="auto"/>
        <w:ind w:firstLine="420" w:firstLineChars="200"/>
        <w:jc w:val="left"/>
        <w:rPr>
          <w:rFonts w:hint="eastAsia" w:ascii="宋体" w:hAnsi="宋体" w:eastAsia="宋体" w:cs="宋体"/>
          <w:color w:val="auto"/>
          <w:szCs w:val="21"/>
          <w:highlight w:val="none"/>
        </w:rPr>
      </w:pPr>
      <w:bookmarkStart w:id="133" w:name="OLE_LINK160"/>
      <w:r>
        <w:rPr>
          <w:rFonts w:hint="eastAsia" w:ascii="宋体" w:hAnsi="宋体" w:eastAsia="宋体" w:cs="宋体"/>
          <w:color w:val="auto"/>
          <w:szCs w:val="21"/>
          <w:highlight w:val="none"/>
        </w:rPr>
        <w:t>2.1项目名称及项目编号：详见《供应商须知前附表》。</w:t>
      </w:r>
    </w:p>
    <w:p w14:paraId="7381E9C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2.2预算金额及最高限价：详见《供应商须知前附表》。</w:t>
      </w:r>
    </w:p>
    <w:p w14:paraId="1971E9B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2.3采购需求：详见《供应商须知前附表》。</w:t>
      </w:r>
    </w:p>
    <w:p w14:paraId="6C17D03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r>
        <w:rPr>
          <w:rFonts w:hint="eastAsia" w:ascii="宋体" w:hAnsi="宋体" w:eastAsia="宋体" w:cs="宋体"/>
          <w:color w:val="auto"/>
          <w:szCs w:val="21"/>
          <w:highlight w:val="none"/>
          <w:lang w:eastAsia="zh-CN"/>
        </w:rPr>
        <w:t>合同履行期限（服务期限）</w:t>
      </w:r>
      <w:r>
        <w:rPr>
          <w:rFonts w:hint="eastAsia" w:ascii="宋体" w:hAnsi="宋体" w:eastAsia="宋体" w:cs="宋体"/>
          <w:color w:val="auto"/>
          <w:szCs w:val="21"/>
          <w:highlight w:val="none"/>
        </w:rPr>
        <w:t>：详见《供应商须知前附表》。</w:t>
      </w:r>
    </w:p>
    <w:p w14:paraId="09B7979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r>
        <w:rPr>
          <w:rFonts w:hint="eastAsia" w:ascii="宋体" w:hAnsi="宋体" w:eastAsia="宋体" w:cs="宋体"/>
          <w:color w:val="auto"/>
          <w:szCs w:val="21"/>
          <w:highlight w:val="none"/>
          <w:lang w:eastAsia="zh-CN"/>
        </w:rPr>
        <w:t>服务地点</w:t>
      </w:r>
      <w:r>
        <w:rPr>
          <w:rFonts w:hint="eastAsia" w:ascii="宋体" w:hAnsi="宋体" w:eastAsia="宋体" w:cs="宋体"/>
          <w:color w:val="auto"/>
          <w:szCs w:val="21"/>
          <w:highlight w:val="none"/>
        </w:rPr>
        <w:t>：详见《供应商须知前附表》。</w:t>
      </w:r>
    </w:p>
    <w:bookmarkEnd w:id="133"/>
    <w:p w14:paraId="6901E87C">
      <w:pPr>
        <w:tabs>
          <w:tab w:val="left" w:pos="3150"/>
          <w:tab w:val="center" w:pos="4734"/>
        </w:tabs>
        <w:spacing w:line="360" w:lineRule="auto"/>
        <w:ind w:firstLine="480" w:firstLineChars="200"/>
        <w:jc w:val="left"/>
        <w:outlineLvl w:val="2"/>
        <w:rPr>
          <w:rFonts w:hint="eastAsia" w:ascii="宋体" w:hAnsi="宋体" w:eastAsia="宋体" w:cs="宋体"/>
          <w:b/>
          <w:color w:val="auto"/>
          <w:sz w:val="24"/>
          <w:highlight w:val="none"/>
        </w:rPr>
      </w:pPr>
      <w:bookmarkStart w:id="134" w:name="_Toc19644"/>
      <w:r>
        <w:rPr>
          <w:rFonts w:hint="eastAsia" w:ascii="宋体" w:hAnsi="宋体" w:eastAsia="宋体" w:cs="宋体"/>
          <w:b/>
          <w:color w:val="auto"/>
          <w:sz w:val="24"/>
          <w:highlight w:val="none"/>
        </w:rPr>
        <w:t>3.</w:t>
      </w:r>
      <w:bookmarkStart w:id="135" w:name="OLE_LINK161"/>
      <w:r>
        <w:rPr>
          <w:rFonts w:hint="eastAsia" w:ascii="宋体" w:hAnsi="宋体" w:eastAsia="宋体" w:cs="宋体"/>
          <w:b/>
          <w:color w:val="auto"/>
          <w:sz w:val="24"/>
          <w:highlight w:val="none"/>
        </w:rPr>
        <w:t>供应商资格要求</w:t>
      </w:r>
      <w:bookmarkEnd w:id="134"/>
      <w:bookmarkEnd w:id="135"/>
    </w:p>
    <w:p w14:paraId="70AC5484">
      <w:pPr>
        <w:spacing w:line="360" w:lineRule="auto"/>
        <w:ind w:firstLine="420"/>
        <w:rPr>
          <w:rFonts w:hint="eastAsia" w:ascii="宋体" w:hAnsi="宋体" w:eastAsia="宋体" w:cs="宋体"/>
          <w:color w:val="auto"/>
          <w:highlight w:val="none"/>
        </w:rPr>
      </w:pPr>
      <w:bookmarkStart w:id="136" w:name="OLE_LINK162"/>
      <w:r>
        <w:rPr>
          <w:rFonts w:hint="eastAsia" w:ascii="宋体" w:hAnsi="宋体" w:eastAsia="宋体" w:cs="宋体"/>
          <w:color w:val="auto"/>
          <w:highlight w:val="none"/>
        </w:rPr>
        <w:t>3.1满足《中华人民共和国政府采购法》第二十二条规定：详见《供应商须知前附表》。</w:t>
      </w:r>
    </w:p>
    <w:p w14:paraId="622F0D8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3.2落实采购政策需满足的资格要求：详见《供应商须知前附表》。</w:t>
      </w:r>
    </w:p>
    <w:p w14:paraId="6802904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3.3本项目的特定资格要求：详见《供应商须知前附表》。</w:t>
      </w:r>
    </w:p>
    <w:p w14:paraId="049111D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3.4供应商为满足供应商的资格要求提供虚假材料，一经查实，视为未实质性响应单一来源采购文件，响应文件按无效处理。</w:t>
      </w:r>
    </w:p>
    <w:bookmarkEnd w:id="136"/>
    <w:p w14:paraId="20B2B605">
      <w:pPr>
        <w:tabs>
          <w:tab w:val="left" w:pos="3150"/>
          <w:tab w:val="center" w:pos="4734"/>
        </w:tabs>
        <w:spacing w:line="500" w:lineRule="exact"/>
        <w:ind w:firstLine="480" w:firstLineChars="200"/>
        <w:jc w:val="left"/>
        <w:outlineLvl w:val="2"/>
        <w:rPr>
          <w:rFonts w:hint="eastAsia" w:ascii="宋体" w:hAnsi="宋体" w:eastAsia="宋体" w:cs="宋体"/>
          <w:b/>
          <w:color w:val="auto"/>
          <w:sz w:val="24"/>
          <w:highlight w:val="none"/>
        </w:rPr>
      </w:pPr>
      <w:bookmarkStart w:id="137" w:name="_Toc10682"/>
      <w:r>
        <w:rPr>
          <w:rFonts w:hint="eastAsia" w:ascii="宋体" w:hAnsi="宋体" w:eastAsia="宋体" w:cs="宋体"/>
          <w:b/>
          <w:color w:val="auto"/>
          <w:sz w:val="24"/>
          <w:highlight w:val="none"/>
        </w:rPr>
        <w:t>4.联合体</w:t>
      </w:r>
      <w:bookmarkEnd w:id="137"/>
    </w:p>
    <w:p w14:paraId="6D3F7E4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4.1《供应商须知前附表》规定接受联合体的，联合体各方还应遵守以下规定：</w:t>
      </w:r>
    </w:p>
    <w:p w14:paraId="16BCE74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4.1.1两个以上的自然人、法人或者其他组织可以组成一个联合体，以一个供应商的身份共同参加单一来源采购。</w:t>
      </w:r>
    </w:p>
    <w:p w14:paraId="61E539F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4.1.2联合体各方应共同签订联合协议，并向采购人、采购代理机构提交联合协议。联合协议中应明确联合体牵头人及联合体成员并载明联合体各方承担的工作和义务。成交后联合体各方应共同与采购人签订采购合同，就采购合同约定的事项对采购人承担连带责任。</w:t>
      </w:r>
    </w:p>
    <w:p w14:paraId="555FBAE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4.1.3联合体各方均应满足单一来源采购文件中对供应商的资格要求，单一来源采购文件中有特定资格要求的，联合体各方应根据联合协议中各自</w:t>
      </w:r>
      <w:bookmarkStart w:id="138" w:name="OLE_LINK53"/>
      <w:r>
        <w:rPr>
          <w:rFonts w:hint="eastAsia" w:ascii="宋体" w:hAnsi="宋体" w:eastAsia="宋体" w:cs="宋体"/>
          <w:color w:val="auto"/>
          <w:highlight w:val="none"/>
        </w:rPr>
        <w:t>承担的工作提供</w:t>
      </w:r>
      <w:bookmarkEnd w:id="138"/>
      <w:r>
        <w:rPr>
          <w:rFonts w:hint="eastAsia" w:ascii="宋体" w:hAnsi="宋体" w:eastAsia="宋体" w:cs="宋体"/>
          <w:color w:val="auto"/>
          <w:highlight w:val="none"/>
        </w:rPr>
        <w:t>相应的特定资格要求证明文件，联合体各方中有同类资质并根据联合协议承担相同工作的，按照资质等级较低的确定。</w:t>
      </w:r>
    </w:p>
    <w:bookmarkEnd w:id="124"/>
    <w:bookmarkEnd w:id="125"/>
    <w:bookmarkEnd w:id="126"/>
    <w:bookmarkEnd w:id="128"/>
    <w:bookmarkEnd w:id="129"/>
    <w:bookmarkEnd w:id="130"/>
    <w:p w14:paraId="147D992A">
      <w:pPr>
        <w:tabs>
          <w:tab w:val="left" w:pos="3150"/>
          <w:tab w:val="center" w:pos="4734"/>
        </w:tabs>
        <w:spacing w:line="500" w:lineRule="exact"/>
        <w:ind w:firstLine="480" w:firstLineChars="200"/>
        <w:jc w:val="left"/>
        <w:outlineLvl w:val="2"/>
        <w:rPr>
          <w:rFonts w:hint="eastAsia" w:ascii="宋体" w:hAnsi="宋体" w:eastAsia="宋体" w:cs="宋体"/>
          <w:b/>
          <w:color w:val="auto"/>
          <w:sz w:val="24"/>
          <w:highlight w:val="none"/>
        </w:rPr>
      </w:pPr>
      <w:bookmarkStart w:id="139" w:name="_Toc7150"/>
      <w:bookmarkStart w:id="140" w:name="OLE_LINK164"/>
      <w:r>
        <w:rPr>
          <w:rFonts w:hint="eastAsia" w:ascii="宋体" w:hAnsi="宋体" w:eastAsia="宋体" w:cs="宋体"/>
          <w:b/>
          <w:color w:val="auto"/>
          <w:sz w:val="24"/>
          <w:highlight w:val="none"/>
        </w:rPr>
        <w:t>5.现场考察</w:t>
      </w:r>
      <w:bookmarkEnd w:id="139"/>
    </w:p>
    <w:p w14:paraId="3B05624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5.1《供应商须知前附表》规定组织现场考察的，采购人将按规定的时间、地点组织已获取单一来源采购文件的潜在供应商现场考察。 </w:t>
      </w:r>
    </w:p>
    <w:p w14:paraId="2A00C09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5.2现场考察所发生的费用由潜在供应商自理。</w:t>
      </w:r>
    </w:p>
    <w:p w14:paraId="0711DF2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5.3 除采购人的原因外，潜在供应商自行负责在现场考察中所发生的人员伤亡和财产损失。</w:t>
      </w:r>
    </w:p>
    <w:p w14:paraId="1C01BACA">
      <w:pPr>
        <w:autoSpaceDE w:val="0"/>
        <w:autoSpaceDN w:val="0"/>
        <w:adjustRightInd w:val="0"/>
        <w:spacing w:line="440" w:lineRule="exact"/>
        <w:ind w:firstLine="420" w:firstLineChars="200"/>
        <w:rPr>
          <w:rFonts w:hint="eastAsia" w:ascii="宋体" w:hAnsi="宋体" w:eastAsia="宋体" w:cs="宋体"/>
          <w:b/>
          <w:bCs/>
          <w:color w:val="auto"/>
          <w:sz w:val="24"/>
          <w:highlight w:val="none"/>
        </w:rPr>
      </w:pPr>
      <w:r>
        <w:rPr>
          <w:rFonts w:hint="eastAsia" w:ascii="宋体" w:hAnsi="宋体" w:eastAsia="宋体" w:cs="宋体"/>
          <w:color w:val="auto"/>
          <w:highlight w:val="none"/>
        </w:rPr>
        <w:t>5.4 采购人在现场考察中介绍的项目基本情况，仅供潜在供应商在编制响应文件时参考，采购人不对潜在供应商据此作出的判断和决策负责。</w:t>
      </w:r>
    </w:p>
    <w:p w14:paraId="33531AB2">
      <w:pPr>
        <w:tabs>
          <w:tab w:val="left" w:pos="3150"/>
          <w:tab w:val="center" w:pos="4734"/>
        </w:tabs>
        <w:spacing w:line="500" w:lineRule="exact"/>
        <w:ind w:firstLine="480" w:firstLineChars="200"/>
        <w:jc w:val="left"/>
        <w:outlineLvl w:val="2"/>
        <w:rPr>
          <w:rFonts w:hint="eastAsia" w:ascii="宋体" w:hAnsi="宋体" w:eastAsia="宋体" w:cs="宋体"/>
          <w:b/>
          <w:color w:val="auto"/>
          <w:sz w:val="24"/>
          <w:highlight w:val="none"/>
        </w:rPr>
      </w:pPr>
      <w:bookmarkStart w:id="141" w:name="_Toc7633"/>
      <w:r>
        <w:rPr>
          <w:rFonts w:hint="eastAsia" w:ascii="宋体" w:hAnsi="宋体" w:eastAsia="宋体" w:cs="宋体"/>
          <w:b/>
          <w:color w:val="auto"/>
          <w:sz w:val="24"/>
          <w:highlight w:val="none"/>
        </w:rPr>
        <w:t>6.采购前答疑会</w:t>
      </w:r>
      <w:bookmarkEnd w:id="141"/>
    </w:p>
    <w:p w14:paraId="6309542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w:t>
      </w:r>
      <w:r>
        <w:rPr>
          <w:rFonts w:hint="eastAsia" w:ascii="宋体" w:hAnsi="宋体" w:eastAsia="宋体" w:cs="宋体"/>
          <w:color w:val="auto"/>
          <w:highlight w:val="none"/>
        </w:rPr>
        <w:t>《供应商须知前附表》规定召开采购前答疑会的，采购人将按规定的时间、地点组织已获取单一来源采购文件的潜在供应商召开采购前答疑会</w:t>
      </w:r>
      <w:r>
        <w:rPr>
          <w:rFonts w:hint="eastAsia" w:ascii="宋体" w:hAnsi="宋体" w:eastAsia="宋体" w:cs="宋体"/>
          <w:color w:val="auto"/>
          <w:szCs w:val="21"/>
          <w:highlight w:val="none"/>
        </w:rPr>
        <w:t>。</w:t>
      </w:r>
    </w:p>
    <w:p w14:paraId="38F5DEBC">
      <w:pPr>
        <w:tabs>
          <w:tab w:val="left" w:pos="3150"/>
          <w:tab w:val="center" w:pos="4734"/>
        </w:tabs>
        <w:spacing w:line="500" w:lineRule="exact"/>
        <w:ind w:firstLine="480" w:firstLineChars="200"/>
        <w:jc w:val="left"/>
        <w:outlineLvl w:val="2"/>
        <w:rPr>
          <w:rFonts w:hint="eastAsia" w:ascii="宋体" w:hAnsi="宋体" w:eastAsia="宋体" w:cs="宋体"/>
          <w:b/>
          <w:color w:val="auto"/>
          <w:sz w:val="24"/>
          <w:highlight w:val="none"/>
        </w:rPr>
      </w:pPr>
      <w:bookmarkStart w:id="142" w:name="_Toc29331"/>
      <w:r>
        <w:rPr>
          <w:rFonts w:hint="eastAsia" w:ascii="宋体" w:hAnsi="宋体" w:eastAsia="宋体" w:cs="宋体"/>
          <w:b/>
          <w:color w:val="auto"/>
          <w:sz w:val="24"/>
          <w:highlight w:val="none"/>
        </w:rPr>
        <w:t>7.费用承担</w:t>
      </w:r>
    </w:p>
    <w:p w14:paraId="415DC5D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7.1无论是否成交，供应商自行承担所有与参加本次单一来源采购活动所产生的全部费用。</w:t>
      </w:r>
      <w:bookmarkEnd w:id="140"/>
      <w:bookmarkEnd w:id="142"/>
    </w:p>
    <w:p w14:paraId="7B21AD73">
      <w:pPr>
        <w:pStyle w:val="3"/>
        <w:spacing w:before="0" w:after="0" w:line="440" w:lineRule="exact"/>
        <w:rPr>
          <w:rFonts w:hint="eastAsia" w:ascii="宋体" w:hAnsi="宋体" w:eastAsia="宋体" w:cs="宋体"/>
          <w:bCs w:val="0"/>
          <w:snapToGrid w:val="0"/>
          <w:color w:val="auto"/>
          <w:kern w:val="21"/>
          <w:szCs w:val="28"/>
          <w:highlight w:val="none"/>
        </w:rPr>
      </w:pPr>
      <w:bookmarkStart w:id="143" w:name="_Toc428490726"/>
      <w:bookmarkStart w:id="144" w:name="_Toc498050638"/>
      <w:bookmarkStart w:id="145" w:name="_Toc462330068"/>
      <w:bookmarkStart w:id="146" w:name="_Toc490305693"/>
      <w:bookmarkStart w:id="147" w:name="_Toc17371"/>
      <w:bookmarkStart w:id="148" w:name="_Toc86124047"/>
      <w:bookmarkStart w:id="149" w:name="_Toc10288"/>
      <w:r>
        <w:rPr>
          <w:rFonts w:hint="eastAsia" w:ascii="宋体" w:hAnsi="宋体" w:eastAsia="宋体" w:cs="宋体"/>
          <w:bCs w:val="0"/>
          <w:snapToGrid w:val="0"/>
          <w:color w:val="auto"/>
          <w:kern w:val="21"/>
          <w:szCs w:val="28"/>
          <w:highlight w:val="none"/>
        </w:rPr>
        <w:t>二、采购文件</w:t>
      </w:r>
      <w:bookmarkEnd w:id="143"/>
      <w:bookmarkEnd w:id="144"/>
      <w:bookmarkEnd w:id="145"/>
      <w:bookmarkEnd w:id="146"/>
      <w:bookmarkEnd w:id="147"/>
      <w:bookmarkEnd w:id="148"/>
      <w:bookmarkEnd w:id="149"/>
    </w:p>
    <w:p w14:paraId="2013D950">
      <w:pPr>
        <w:tabs>
          <w:tab w:val="left" w:pos="3150"/>
          <w:tab w:val="center" w:pos="4734"/>
        </w:tabs>
        <w:spacing w:line="500" w:lineRule="exact"/>
        <w:ind w:firstLine="480" w:firstLineChars="200"/>
        <w:jc w:val="left"/>
        <w:outlineLvl w:val="2"/>
        <w:rPr>
          <w:rFonts w:hint="eastAsia" w:ascii="宋体" w:hAnsi="宋体" w:eastAsia="宋体" w:cs="宋体"/>
          <w:b/>
          <w:color w:val="auto"/>
          <w:sz w:val="24"/>
          <w:highlight w:val="none"/>
        </w:rPr>
      </w:pPr>
      <w:bookmarkStart w:id="150" w:name="_Toc13810"/>
      <w:bookmarkStart w:id="151" w:name="OLE_LINK166"/>
      <w:bookmarkStart w:id="152" w:name="_Toc428490727"/>
      <w:bookmarkStart w:id="153" w:name="_Toc498050639"/>
      <w:bookmarkStart w:id="154" w:name="_Toc490305694"/>
      <w:bookmarkStart w:id="155" w:name="_Toc327533967"/>
      <w:bookmarkStart w:id="156" w:name="_Toc462330069"/>
      <w:bookmarkStart w:id="157" w:name="_Toc20982"/>
      <w:r>
        <w:rPr>
          <w:rFonts w:hint="eastAsia" w:ascii="宋体" w:hAnsi="宋体" w:eastAsia="宋体" w:cs="宋体"/>
          <w:b/>
          <w:color w:val="auto"/>
          <w:sz w:val="24"/>
          <w:highlight w:val="none"/>
        </w:rPr>
        <w:t>8.</w:t>
      </w:r>
      <w:bookmarkStart w:id="158" w:name="OLE_LINK54"/>
      <w:r>
        <w:rPr>
          <w:rFonts w:hint="eastAsia" w:ascii="宋体" w:hAnsi="宋体" w:eastAsia="宋体" w:cs="宋体"/>
          <w:b/>
          <w:color w:val="auto"/>
          <w:sz w:val="24"/>
          <w:highlight w:val="none"/>
        </w:rPr>
        <w:t>采购</w:t>
      </w:r>
      <w:bookmarkEnd w:id="158"/>
      <w:r>
        <w:rPr>
          <w:rFonts w:hint="eastAsia" w:ascii="宋体" w:hAnsi="宋体" w:eastAsia="宋体" w:cs="宋体"/>
          <w:b/>
          <w:color w:val="auto"/>
          <w:sz w:val="24"/>
          <w:highlight w:val="none"/>
        </w:rPr>
        <w:t>文件编制依据</w:t>
      </w:r>
      <w:bookmarkEnd w:id="150"/>
    </w:p>
    <w:p w14:paraId="0CB71146">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w:t>
      </w:r>
      <w:r>
        <w:rPr>
          <w:rFonts w:hint="eastAsia" w:ascii="宋体" w:hAnsi="宋体" w:eastAsia="宋体" w:cs="宋体"/>
          <w:color w:val="auto"/>
          <w:highlight w:val="none"/>
        </w:rPr>
        <w:t>本项目单一来源采购文件根据《中华人民共和国政府采购法》、</w:t>
      </w:r>
      <w:bookmarkStart w:id="159" w:name="OLE_LINK90"/>
      <w:r>
        <w:rPr>
          <w:rFonts w:hint="eastAsia" w:ascii="宋体" w:hAnsi="宋体" w:eastAsia="宋体" w:cs="宋体"/>
          <w:color w:val="auto"/>
          <w:highlight w:val="none"/>
        </w:rPr>
        <w:t>《中华人民共和国政府采购法实施条例》</w:t>
      </w:r>
      <w:bookmarkEnd w:id="159"/>
      <w:r>
        <w:rPr>
          <w:rFonts w:hint="eastAsia" w:ascii="宋体" w:hAnsi="宋体" w:eastAsia="宋体" w:cs="宋体"/>
          <w:color w:val="auto"/>
          <w:szCs w:val="21"/>
          <w:highlight w:val="none"/>
        </w:rPr>
        <w:t>、《政府采购非招标采购方式管理办法》</w:t>
      </w:r>
      <w:r>
        <w:rPr>
          <w:rFonts w:hint="eastAsia" w:ascii="宋体" w:hAnsi="宋体" w:eastAsia="宋体" w:cs="宋体"/>
          <w:color w:val="auto"/>
          <w:highlight w:val="none"/>
        </w:rPr>
        <w:t>等有关法律、法规编制，解释权属于采购人、采购代理机构</w:t>
      </w:r>
      <w:r>
        <w:rPr>
          <w:rFonts w:hint="eastAsia" w:ascii="宋体" w:hAnsi="宋体" w:eastAsia="宋体" w:cs="宋体"/>
          <w:color w:val="auto"/>
          <w:szCs w:val="21"/>
          <w:highlight w:val="none"/>
        </w:rPr>
        <w:t>。</w:t>
      </w:r>
      <w:bookmarkEnd w:id="151"/>
    </w:p>
    <w:p w14:paraId="5F019B19">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r>
        <w:rPr>
          <w:rFonts w:hint="eastAsia" w:ascii="宋体" w:hAnsi="宋体" w:eastAsia="宋体" w:cs="宋体"/>
          <w:bCs w:val="0"/>
          <w:snapToGrid w:val="0"/>
          <w:color w:val="auto"/>
          <w:kern w:val="21"/>
          <w:szCs w:val="24"/>
          <w:highlight w:val="none"/>
        </w:rPr>
        <w:t>9.</w:t>
      </w:r>
      <w:bookmarkStart w:id="160" w:name="OLE_LINK59"/>
      <w:r>
        <w:rPr>
          <w:rFonts w:hint="eastAsia" w:ascii="宋体" w:hAnsi="宋体" w:eastAsia="宋体" w:cs="宋体"/>
          <w:bCs w:val="0"/>
          <w:snapToGrid w:val="0"/>
          <w:color w:val="auto"/>
          <w:kern w:val="21"/>
          <w:szCs w:val="24"/>
          <w:highlight w:val="none"/>
        </w:rPr>
        <w:t>采购文件</w:t>
      </w:r>
      <w:bookmarkEnd w:id="160"/>
      <w:r>
        <w:rPr>
          <w:rFonts w:hint="eastAsia" w:ascii="宋体" w:hAnsi="宋体" w:eastAsia="宋体" w:cs="宋体"/>
          <w:bCs w:val="0"/>
          <w:snapToGrid w:val="0"/>
          <w:color w:val="auto"/>
          <w:kern w:val="21"/>
          <w:szCs w:val="24"/>
          <w:highlight w:val="none"/>
        </w:rPr>
        <w:t>的组成</w:t>
      </w:r>
      <w:bookmarkEnd w:id="152"/>
      <w:bookmarkEnd w:id="153"/>
      <w:bookmarkEnd w:id="154"/>
      <w:bookmarkEnd w:id="155"/>
      <w:bookmarkEnd w:id="156"/>
      <w:bookmarkEnd w:id="157"/>
    </w:p>
    <w:p w14:paraId="39D69785">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9.1采购人要求提供的</w:t>
      </w:r>
      <w:r>
        <w:rPr>
          <w:rFonts w:hint="eastAsia" w:ascii="宋体" w:hAnsi="宋体" w:eastAsia="宋体" w:cs="宋体"/>
          <w:color w:val="auto"/>
          <w:kern w:val="0"/>
          <w:szCs w:val="21"/>
          <w:highlight w:val="none"/>
        </w:rPr>
        <w:t>货物、工程或者服务</w:t>
      </w:r>
      <w:r>
        <w:rPr>
          <w:rFonts w:hint="eastAsia" w:ascii="宋体" w:hAnsi="宋体" w:eastAsia="宋体" w:cs="宋体"/>
          <w:color w:val="auto"/>
          <w:szCs w:val="21"/>
          <w:highlight w:val="none"/>
        </w:rPr>
        <w:t>及合同条款在</w:t>
      </w:r>
      <w:bookmarkStart w:id="161" w:name="OLE_LINK58"/>
      <w:r>
        <w:rPr>
          <w:rFonts w:hint="eastAsia" w:ascii="宋体" w:hAnsi="宋体" w:eastAsia="宋体" w:cs="宋体"/>
          <w:color w:val="auto"/>
          <w:szCs w:val="21"/>
          <w:highlight w:val="none"/>
        </w:rPr>
        <w:t>单一来源采购文件</w:t>
      </w:r>
      <w:bookmarkEnd w:id="161"/>
      <w:r>
        <w:rPr>
          <w:rFonts w:hint="eastAsia" w:ascii="宋体" w:hAnsi="宋体" w:eastAsia="宋体" w:cs="宋体"/>
          <w:color w:val="auto"/>
          <w:szCs w:val="21"/>
          <w:highlight w:val="none"/>
        </w:rPr>
        <w:t>中均有说明，单一来源采购文件共六章，各章的内容</w:t>
      </w:r>
      <w:bookmarkStart w:id="162" w:name="OLE_LINK56"/>
      <w:r>
        <w:rPr>
          <w:rFonts w:hint="eastAsia" w:ascii="宋体" w:hAnsi="宋体" w:eastAsia="宋体" w:cs="宋体"/>
          <w:color w:val="auto"/>
          <w:szCs w:val="21"/>
          <w:highlight w:val="none"/>
        </w:rPr>
        <w:t>如下：</w:t>
      </w:r>
      <w:bookmarkEnd w:id="162"/>
    </w:p>
    <w:p w14:paraId="458A1FA7">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单一来源采购邀请书</w:t>
      </w:r>
    </w:p>
    <w:p w14:paraId="7248EC2A">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供应商须知</w:t>
      </w:r>
    </w:p>
    <w:p w14:paraId="06F27BB9">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合同书样式及主要条款</w:t>
      </w:r>
    </w:p>
    <w:p w14:paraId="2A498D1D">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响应文件格式</w:t>
      </w:r>
    </w:p>
    <w:p w14:paraId="6CC3F1A8">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采购需求</w:t>
      </w:r>
    </w:p>
    <w:p w14:paraId="660F8783">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评审方法</w:t>
      </w:r>
    </w:p>
    <w:p w14:paraId="6DEBC859">
      <w:pPr>
        <w:spacing w:line="440" w:lineRule="exact"/>
        <w:ind w:firstLine="420" w:firstLineChars="200"/>
        <w:rPr>
          <w:rFonts w:hint="eastAsia" w:ascii="宋体" w:hAnsi="宋体" w:eastAsia="宋体" w:cs="宋体"/>
          <w:color w:val="auto"/>
          <w:szCs w:val="21"/>
          <w:highlight w:val="none"/>
        </w:rPr>
      </w:pPr>
      <w:bookmarkStart w:id="163" w:name="OLE_LINK57"/>
      <w:bookmarkStart w:id="164" w:name="_Toc86124049"/>
      <w:bookmarkStart w:id="165" w:name="_Toc327533968"/>
      <w:bookmarkStart w:id="166" w:name="_Toc462330070"/>
      <w:bookmarkStart w:id="167" w:name="_Toc490305695"/>
      <w:bookmarkStart w:id="168" w:name="_Toc11286"/>
      <w:bookmarkStart w:id="169" w:name="_Toc428490728"/>
      <w:bookmarkStart w:id="170" w:name="_Toc498050640"/>
      <w:r>
        <w:rPr>
          <w:rFonts w:hint="eastAsia" w:ascii="宋体" w:hAnsi="宋体" w:eastAsia="宋体" w:cs="宋体"/>
          <w:color w:val="auto"/>
          <w:highlight w:val="none"/>
        </w:rPr>
        <w:t>9.2 根据本章规定对</w:t>
      </w:r>
      <w:r>
        <w:rPr>
          <w:rFonts w:hint="eastAsia" w:ascii="宋体" w:hAnsi="宋体" w:eastAsia="宋体" w:cs="宋体"/>
          <w:color w:val="auto"/>
          <w:szCs w:val="21"/>
          <w:highlight w:val="none"/>
        </w:rPr>
        <w:t>单一来源采购文件</w:t>
      </w:r>
      <w:r>
        <w:rPr>
          <w:rFonts w:hint="eastAsia" w:ascii="宋体" w:hAnsi="宋体" w:eastAsia="宋体" w:cs="宋体"/>
          <w:color w:val="auto"/>
          <w:highlight w:val="none"/>
        </w:rPr>
        <w:t>所做的澄清、修改构成</w:t>
      </w:r>
      <w:r>
        <w:rPr>
          <w:rFonts w:hint="eastAsia" w:ascii="宋体" w:hAnsi="宋体" w:eastAsia="宋体" w:cs="宋体"/>
          <w:color w:val="auto"/>
          <w:szCs w:val="21"/>
          <w:highlight w:val="none"/>
        </w:rPr>
        <w:t>单一来源采购文件</w:t>
      </w:r>
      <w:r>
        <w:rPr>
          <w:rFonts w:hint="eastAsia" w:ascii="宋体" w:hAnsi="宋体" w:eastAsia="宋体" w:cs="宋体"/>
          <w:color w:val="auto"/>
          <w:highlight w:val="none"/>
        </w:rPr>
        <w:t>的组成部分。</w:t>
      </w:r>
    </w:p>
    <w:bookmarkEnd w:id="163"/>
    <w:p w14:paraId="52DBFD5E">
      <w:pPr>
        <w:tabs>
          <w:tab w:val="left" w:pos="3150"/>
          <w:tab w:val="center" w:pos="4734"/>
        </w:tabs>
        <w:spacing w:line="500" w:lineRule="exact"/>
        <w:ind w:firstLine="480" w:firstLineChars="200"/>
        <w:jc w:val="left"/>
        <w:outlineLvl w:val="2"/>
        <w:rPr>
          <w:rFonts w:hint="eastAsia" w:ascii="宋体" w:hAnsi="宋体" w:eastAsia="宋体" w:cs="宋体"/>
          <w:b/>
          <w:color w:val="auto"/>
          <w:sz w:val="24"/>
          <w:highlight w:val="none"/>
        </w:rPr>
      </w:pPr>
      <w:bookmarkStart w:id="171" w:name="_Toc21830"/>
      <w:r>
        <w:rPr>
          <w:rFonts w:hint="eastAsia" w:ascii="宋体" w:hAnsi="宋体" w:eastAsia="宋体" w:cs="宋体"/>
          <w:b/>
          <w:color w:val="auto"/>
          <w:sz w:val="24"/>
          <w:highlight w:val="none"/>
        </w:rPr>
        <w:t>10.</w:t>
      </w:r>
      <w:bookmarkStart w:id="172" w:name="OLE_LINK62"/>
      <w:r>
        <w:rPr>
          <w:rFonts w:hint="eastAsia" w:ascii="宋体" w:hAnsi="宋体" w:eastAsia="宋体" w:cs="宋体"/>
          <w:b/>
          <w:snapToGrid w:val="0"/>
          <w:color w:val="auto"/>
          <w:kern w:val="21"/>
          <w:sz w:val="24"/>
          <w:highlight w:val="none"/>
        </w:rPr>
        <w:t>采</w:t>
      </w:r>
      <w:bookmarkStart w:id="173" w:name="OLE_LINK63"/>
      <w:r>
        <w:rPr>
          <w:rFonts w:hint="eastAsia" w:ascii="宋体" w:hAnsi="宋体" w:eastAsia="宋体" w:cs="宋体"/>
          <w:b/>
          <w:snapToGrid w:val="0"/>
          <w:color w:val="auto"/>
          <w:kern w:val="21"/>
          <w:sz w:val="24"/>
          <w:highlight w:val="none"/>
        </w:rPr>
        <w:t>购文件</w:t>
      </w:r>
      <w:bookmarkEnd w:id="172"/>
      <w:r>
        <w:rPr>
          <w:rFonts w:hint="eastAsia" w:ascii="宋体" w:hAnsi="宋体" w:eastAsia="宋体" w:cs="宋体"/>
          <w:b/>
          <w:color w:val="auto"/>
          <w:sz w:val="24"/>
          <w:highlight w:val="none"/>
        </w:rPr>
        <w:t>的询问</w:t>
      </w:r>
      <w:bookmarkEnd w:id="171"/>
      <w:bookmarkEnd w:id="173"/>
    </w:p>
    <w:p w14:paraId="0210D9E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供应商应认真阅读单一来源采购文件，如有疑问的，供应商可以向采购人或采购代理机构提出询问，采购人或者采购代理机构在接到询问后的3个工作日内对供应商依法提出的询问作出答复，但答复的内容不涉及商业秘密。</w:t>
      </w:r>
    </w:p>
    <w:p w14:paraId="6349BCDC">
      <w:pPr>
        <w:ind w:firstLine="420" w:firstLineChars="200"/>
        <w:rPr>
          <w:rFonts w:hint="eastAsia" w:ascii="宋体" w:hAnsi="宋体" w:eastAsia="宋体" w:cs="宋体"/>
          <w:color w:val="auto"/>
          <w:szCs w:val="21"/>
          <w:highlight w:val="none"/>
        </w:rPr>
      </w:pPr>
      <w:bookmarkStart w:id="174" w:name="OLE_LINK170"/>
      <w:r>
        <w:rPr>
          <w:rFonts w:hint="eastAsia" w:ascii="宋体" w:hAnsi="宋体" w:eastAsia="宋体" w:cs="宋体"/>
          <w:color w:val="auto"/>
          <w:highlight w:val="none"/>
        </w:rPr>
        <w:t>10.2 供应商应仔细阅读</w:t>
      </w:r>
      <w:bookmarkStart w:id="175" w:name="OLE_LINK60"/>
      <w:r>
        <w:rPr>
          <w:rFonts w:hint="eastAsia" w:ascii="宋体" w:hAnsi="宋体" w:eastAsia="宋体" w:cs="宋体"/>
          <w:color w:val="auto"/>
          <w:highlight w:val="none"/>
        </w:rPr>
        <w:t>和检查</w:t>
      </w:r>
      <w:bookmarkStart w:id="176" w:name="OLE_LINK55"/>
      <w:r>
        <w:rPr>
          <w:rFonts w:hint="eastAsia" w:ascii="宋体" w:hAnsi="宋体" w:eastAsia="宋体" w:cs="宋体"/>
          <w:color w:val="auto"/>
          <w:szCs w:val="21"/>
          <w:highlight w:val="none"/>
        </w:rPr>
        <w:t>单一</w:t>
      </w:r>
      <w:bookmarkEnd w:id="175"/>
      <w:r>
        <w:rPr>
          <w:rFonts w:hint="eastAsia" w:ascii="宋体" w:hAnsi="宋体" w:eastAsia="宋体" w:cs="宋体"/>
          <w:color w:val="auto"/>
          <w:szCs w:val="21"/>
          <w:highlight w:val="none"/>
        </w:rPr>
        <w:t>来源采购文件</w:t>
      </w:r>
      <w:bookmarkEnd w:id="176"/>
      <w:r>
        <w:rPr>
          <w:rFonts w:hint="eastAsia" w:ascii="宋体" w:hAnsi="宋体" w:eastAsia="宋体" w:cs="宋体"/>
          <w:color w:val="auto"/>
          <w:highlight w:val="none"/>
        </w:rPr>
        <w:t>的全部内容</w:t>
      </w:r>
      <w:bookmarkEnd w:id="174"/>
      <w:r>
        <w:rPr>
          <w:rFonts w:hint="eastAsia" w:ascii="宋体" w:hAnsi="宋体" w:eastAsia="宋体" w:cs="宋体"/>
          <w:color w:val="auto"/>
          <w:highlight w:val="none"/>
        </w:rPr>
        <w:t>。</w:t>
      </w:r>
    </w:p>
    <w:p w14:paraId="21CD10F1">
      <w:pPr>
        <w:spacing w:line="440" w:lineRule="exact"/>
        <w:ind w:firstLine="420" w:firstLineChars="200"/>
        <w:rPr>
          <w:rFonts w:hint="eastAsia" w:ascii="宋体" w:hAnsi="宋体" w:eastAsia="宋体" w:cs="宋体"/>
          <w:color w:val="auto"/>
          <w:highlight w:val="none"/>
        </w:rPr>
      </w:pPr>
      <w:bookmarkStart w:id="177" w:name="OLE_LINK61"/>
      <w:r>
        <w:rPr>
          <w:rFonts w:hint="eastAsia" w:ascii="宋体" w:hAnsi="宋体" w:eastAsia="宋体" w:cs="宋体"/>
          <w:color w:val="auto"/>
          <w:highlight w:val="none"/>
        </w:rPr>
        <w:t>10.3单一来源采购文件询问联系方式：详见《供应商须知前附</w:t>
      </w:r>
      <w:bookmarkStart w:id="178" w:name="OLE_LINK169"/>
      <w:r>
        <w:rPr>
          <w:rFonts w:hint="eastAsia" w:ascii="宋体" w:hAnsi="宋体" w:eastAsia="宋体" w:cs="宋体"/>
          <w:color w:val="auto"/>
          <w:highlight w:val="none"/>
        </w:rPr>
        <w:t>表》</w:t>
      </w:r>
      <w:bookmarkEnd w:id="178"/>
      <w:r>
        <w:rPr>
          <w:rFonts w:hint="eastAsia" w:ascii="宋体" w:hAnsi="宋体" w:eastAsia="宋体" w:cs="宋体"/>
          <w:color w:val="auto"/>
          <w:highlight w:val="none"/>
        </w:rPr>
        <w:t>。</w:t>
      </w:r>
    </w:p>
    <w:bookmarkEnd w:id="177"/>
    <w:p w14:paraId="5281D1FA">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r>
        <w:rPr>
          <w:rFonts w:hint="eastAsia" w:ascii="宋体" w:hAnsi="宋体" w:eastAsia="宋体" w:cs="宋体"/>
          <w:bCs w:val="0"/>
          <w:snapToGrid w:val="0"/>
          <w:color w:val="auto"/>
          <w:kern w:val="21"/>
          <w:szCs w:val="24"/>
          <w:highlight w:val="none"/>
        </w:rPr>
        <w:t>11.采购文件的澄清</w:t>
      </w:r>
      <w:bookmarkEnd w:id="164"/>
      <w:r>
        <w:rPr>
          <w:rFonts w:hint="eastAsia" w:ascii="宋体" w:hAnsi="宋体" w:eastAsia="宋体" w:cs="宋体"/>
          <w:bCs w:val="0"/>
          <w:snapToGrid w:val="0"/>
          <w:color w:val="auto"/>
          <w:kern w:val="21"/>
          <w:szCs w:val="24"/>
          <w:highlight w:val="none"/>
        </w:rPr>
        <w:t>、修改</w:t>
      </w:r>
      <w:bookmarkEnd w:id="165"/>
      <w:bookmarkEnd w:id="166"/>
      <w:bookmarkEnd w:id="167"/>
      <w:bookmarkEnd w:id="168"/>
      <w:bookmarkEnd w:id="169"/>
      <w:bookmarkEnd w:id="170"/>
    </w:p>
    <w:p w14:paraId="448032D1">
      <w:pPr>
        <w:spacing w:line="360" w:lineRule="auto"/>
        <w:ind w:firstLine="420" w:firstLineChars="200"/>
        <w:jc w:val="left"/>
        <w:rPr>
          <w:rFonts w:hint="eastAsia" w:ascii="宋体" w:hAnsi="宋体" w:eastAsia="宋体" w:cs="宋体"/>
          <w:color w:val="auto"/>
          <w:szCs w:val="21"/>
          <w:highlight w:val="none"/>
        </w:rPr>
      </w:pPr>
      <w:bookmarkStart w:id="179" w:name="OLE_LINK298"/>
      <w:r>
        <w:rPr>
          <w:rFonts w:hint="eastAsia" w:ascii="宋体" w:hAnsi="宋体" w:eastAsia="宋体" w:cs="宋体"/>
          <w:color w:val="auto"/>
          <w:szCs w:val="21"/>
          <w:highlight w:val="none"/>
        </w:rPr>
        <w:t>11.1提交首次响应文件截止之日前，采购人、采购代理机构可以对已发出的单一来源采购文件进行必要的澄清或者修改，澄清或者修改的内容作为单一来源采购文件的组成部分。澄清或者修改的内容可能影响响应文件编制的，采购人、采购代理机构将在提交首次响应文件截止之日3个工作日前，以书面形式通知获取单一来源采购文件的供应商，不足3个工作日的，将顺延提交首次响应文件截止之日。</w:t>
      </w:r>
    </w:p>
    <w:p w14:paraId="72D04139">
      <w:pPr>
        <w:spacing w:line="360" w:lineRule="auto"/>
        <w:ind w:firstLine="420" w:firstLineChars="200"/>
        <w:jc w:val="left"/>
        <w:rPr>
          <w:rFonts w:hint="eastAsia" w:ascii="宋体" w:hAnsi="宋体" w:eastAsia="宋体" w:cs="宋体"/>
          <w:color w:val="auto"/>
          <w:szCs w:val="21"/>
          <w:highlight w:val="none"/>
        </w:rPr>
      </w:pPr>
      <w:bookmarkStart w:id="180" w:name="OLE_LINK71"/>
      <w:r>
        <w:rPr>
          <w:rFonts w:hint="eastAsia" w:ascii="宋体" w:hAnsi="宋体" w:eastAsia="宋体" w:cs="宋体"/>
          <w:color w:val="auto"/>
          <w:szCs w:val="21"/>
          <w:highlight w:val="none"/>
        </w:rPr>
        <w:t>11.2采购人、采购代理机构将同时发布澄清、修改文件进行说明以保证供应商能重新下载并用于编制响应文件。</w:t>
      </w:r>
    </w:p>
    <w:p w14:paraId="446E81D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11.3单一来源采购文件的澄清、修改内容均以网上电子文件为准，当单一来源采购文件、单一来源采购文件澄清、修改后文件内容前后相互矛盾时，以最后发出的为准。</w:t>
      </w:r>
      <w:bookmarkEnd w:id="179"/>
      <w:bookmarkEnd w:id="180"/>
    </w:p>
    <w:p w14:paraId="2BB0713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11.4如因供应商自身原因导致未及时查看有关该项目单一来源采购文件的澄清、修改内容，由此造成的一切后果由供应商自行承担。</w:t>
      </w:r>
    </w:p>
    <w:p w14:paraId="669C37A2">
      <w:pPr>
        <w:pStyle w:val="3"/>
        <w:spacing w:before="0" w:after="0" w:line="440" w:lineRule="exact"/>
        <w:rPr>
          <w:rFonts w:hint="eastAsia" w:ascii="宋体" w:hAnsi="宋体" w:eastAsia="宋体" w:cs="宋体"/>
          <w:bCs w:val="0"/>
          <w:snapToGrid w:val="0"/>
          <w:color w:val="auto"/>
          <w:kern w:val="21"/>
          <w:szCs w:val="28"/>
          <w:highlight w:val="none"/>
        </w:rPr>
      </w:pPr>
      <w:bookmarkStart w:id="181" w:name="_Toc498050641"/>
      <w:bookmarkStart w:id="182" w:name="_Toc428490729"/>
      <w:bookmarkStart w:id="183" w:name="_Toc490305696"/>
      <w:bookmarkStart w:id="184" w:name="_Toc462330071"/>
      <w:bookmarkStart w:id="185" w:name="_Toc3217"/>
      <w:bookmarkStart w:id="186" w:name="_Toc17205"/>
      <w:bookmarkStart w:id="187" w:name="_Toc86124051"/>
      <w:r>
        <w:rPr>
          <w:rFonts w:hint="eastAsia" w:ascii="宋体" w:hAnsi="宋体" w:eastAsia="宋体" w:cs="宋体"/>
          <w:bCs w:val="0"/>
          <w:snapToGrid w:val="0"/>
          <w:color w:val="auto"/>
          <w:kern w:val="21"/>
          <w:szCs w:val="28"/>
          <w:highlight w:val="none"/>
        </w:rPr>
        <w:t>三、响应文件</w:t>
      </w:r>
      <w:bookmarkEnd w:id="181"/>
      <w:bookmarkEnd w:id="182"/>
      <w:bookmarkEnd w:id="183"/>
      <w:bookmarkEnd w:id="184"/>
      <w:bookmarkEnd w:id="185"/>
      <w:bookmarkEnd w:id="186"/>
      <w:bookmarkEnd w:id="187"/>
    </w:p>
    <w:p w14:paraId="45E4B5FA">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188" w:name="_Toc428490730"/>
      <w:bookmarkStart w:id="189" w:name="_Toc498050642"/>
      <w:bookmarkStart w:id="190" w:name="_Toc462330072"/>
      <w:bookmarkStart w:id="191" w:name="_Toc490305697"/>
      <w:bookmarkStart w:id="192" w:name="_Toc27132"/>
      <w:bookmarkStart w:id="193" w:name="_Toc86124052"/>
      <w:bookmarkStart w:id="194" w:name="_Toc327533970"/>
      <w:r>
        <w:rPr>
          <w:rFonts w:hint="eastAsia" w:ascii="宋体" w:hAnsi="宋体" w:eastAsia="宋体" w:cs="宋体"/>
          <w:bCs w:val="0"/>
          <w:snapToGrid w:val="0"/>
          <w:color w:val="auto"/>
          <w:kern w:val="21"/>
          <w:szCs w:val="24"/>
          <w:highlight w:val="none"/>
        </w:rPr>
        <w:t>12.响应文件</w:t>
      </w:r>
      <w:bookmarkStart w:id="195" w:name="OLE_LINK65"/>
      <w:r>
        <w:rPr>
          <w:rFonts w:hint="eastAsia" w:ascii="宋体" w:hAnsi="宋体" w:eastAsia="宋体" w:cs="宋体"/>
          <w:bCs w:val="0"/>
          <w:snapToGrid w:val="0"/>
          <w:color w:val="auto"/>
          <w:kern w:val="21"/>
          <w:szCs w:val="24"/>
          <w:highlight w:val="none"/>
        </w:rPr>
        <w:t>编写注意事项</w:t>
      </w:r>
      <w:bookmarkEnd w:id="188"/>
      <w:bookmarkEnd w:id="189"/>
      <w:bookmarkEnd w:id="190"/>
      <w:bookmarkEnd w:id="191"/>
      <w:bookmarkEnd w:id="192"/>
      <w:bookmarkEnd w:id="193"/>
      <w:bookmarkEnd w:id="194"/>
      <w:bookmarkEnd w:id="195"/>
    </w:p>
    <w:p w14:paraId="5DD01EAF">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12.1供应商应认真阅读</w:t>
      </w:r>
      <w:bookmarkStart w:id="196" w:name="OLE_LINK70"/>
      <w:r>
        <w:rPr>
          <w:rFonts w:hint="eastAsia" w:ascii="宋体" w:hAnsi="宋体" w:eastAsia="宋体" w:cs="宋体"/>
          <w:color w:val="auto"/>
          <w:szCs w:val="21"/>
          <w:highlight w:val="none"/>
        </w:rPr>
        <w:t>单一来源采购文件</w:t>
      </w:r>
      <w:bookmarkEnd w:id="196"/>
      <w:r>
        <w:rPr>
          <w:rFonts w:hint="eastAsia" w:ascii="宋体" w:hAnsi="宋体" w:eastAsia="宋体" w:cs="宋体"/>
          <w:color w:val="auto"/>
          <w:szCs w:val="21"/>
          <w:highlight w:val="none"/>
        </w:rPr>
        <w:t>，在完全了解采购内容、技术性能要求和商务条件后，根据单一来源采购文件要求编写响应文件。</w:t>
      </w:r>
    </w:p>
    <w:p w14:paraId="65834250">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对单一来源采购文件提出的实质性要求和条件作出响应是指供应商的响应文件必须对单一来源采购文件中规定的实质性要求和条件作出满足或者优于原要求和条件的承诺，并提供相应的证明材料，否则按无效处理。</w:t>
      </w:r>
    </w:p>
    <w:p w14:paraId="45BBBFB6">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197" w:name="_Toc13015"/>
      <w:bookmarkStart w:id="198" w:name="_Toc490305698"/>
      <w:bookmarkStart w:id="199" w:name="_Toc498050643"/>
      <w:r>
        <w:rPr>
          <w:rFonts w:hint="eastAsia" w:ascii="宋体" w:hAnsi="宋体" w:eastAsia="宋体" w:cs="宋体"/>
          <w:bCs w:val="0"/>
          <w:snapToGrid w:val="0"/>
          <w:color w:val="auto"/>
          <w:kern w:val="21"/>
          <w:szCs w:val="24"/>
          <w:highlight w:val="none"/>
        </w:rPr>
        <w:t>13.语言文字</w:t>
      </w:r>
      <w:bookmarkEnd w:id="197"/>
      <w:bookmarkEnd w:id="198"/>
      <w:bookmarkEnd w:id="199"/>
    </w:p>
    <w:p w14:paraId="7CD2819A">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13.1供应商的响应文件以及供应商与采购代理机构就有关本项目的所有来往函电统一使用中文（特别规定除外）。</w:t>
      </w:r>
    </w:p>
    <w:p w14:paraId="6CDE9FB8">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200" w:name="_Toc23519"/>
      <w:bookmarkStart w:id="201" w:name="_Toc490305699"/>
      <w:bookmarkStart w:id="202" w:name="_Toc498050644"/>
      <w:r>
        <w:rPr>
          <w:rFonts w:hint="eastAsia" w:ascii="宋体" w:hAnsi="宋体" w:eastAsia="宋体" w:cs="宋体"/>
          <w:bCs w:val="0"/>
          <w:snapToGrid w:val="0"/>
          <w:color w:val="auto"/>
          <w:kern w:val="21"/>
          <w:szCs w:val="24"/>
          <w:highlight w:val="none"/>
        </w:rPr>
        <w:t>14.计</w:t>
      </w:r>
      <w:bookmarkStart w:id="203" w:name="OLE_LINK66"/>
      <w:r>
        <w:rPr>
          <w:rFonts w:hint="eastAsia" w:ascii="宋体" w:hAnsi="宋体" w:eastAsia="宋体" w:cs="宋体"/>
          <w:bCs w:val="0"/>
          <w:snapToGrid w:val="0"/>
          <w:color w:val="auto"/>
          <w:kern w:val="21"/>
          <w:szCs w:val="24"/>
          <w:highlight w:val="none"/>
        </w:rPr>
        <w:t>量单</w:t>
      </w:r>
      <w:bookmarkEnd w:id="203"/>
      <w:r>
        <w:rPr>
          <w:rFonts w:hint="eastAsia" w:ascii="宋体" w:hAnsi="宋体" w:eastAsia="宋体" w:cs="宋体"/>
          <w:bCs w:val="0"/>
          <w:snapToGrid w:val="0"/>
          <w:color w:val="auto"/>
          <w:kern w:val="21"/>
          <w:szCs w:val="24"/>
          <w:highlight w:val="none"/>
        </w:rPr>
        <w:t>位</w:t>
      </w:r>
      <w:bookmarkEnd w:id="200"/>
      <w:bookmarkEnd w:id="201"/>
      <w:bookmarkEnd w:id="202"/>
    </w:p>
    <w:p w14:paraId="17D87B04">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14.1响应文件中使用的计量单位除单一来源采购文件中有特殊规定外，一律使用中国法定计量单位。</w:t>
      </w:r>
    </w:p>
    <w:p w14:paraId="2EBB70DA">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204" w:name="_Toc8493"/>
      <w:bookmarkStart w:id="205" w:name="_Toc327533971"/>
      <w:bookmarkStart w:id="206" w:name="_Toc498050645"/>
      <w:bookmarkStart w:id="207" w:name="_Toc490305700"/>
      <w:bookmarkStart w:id="208" w:name="_Toc462330073"/>
      <w:bookmarkStart w:id="209" w:name="_Toc86124054"/>
      <w:bookmarkStart w:id="210" w:name="_Toc428490731"/>
      <w:r>
        <w:rPr>
          <w:rFonts w:hint="eastAsia" w:ascii="宋体" w:hAnsi="宋体" w:eastAsia="宋体" w:cs="宋体"/>
          <w:bCs w:val="0"/>
          <w:snapToGrid w:val="0"/>
          <w:color w:val="auto"/>
          <w:kern w:val="21"/>
          <w:szCs w:val="24"/>
          <w:highlight w:val="none"/>
        </w:rPr>
        <w:t>15.响应</w:t>
      </w:r>
      <w:bookmarkStart w:id="211" w:name="OLE_LINK67"/>
      <w:r>
        <w:rPr>
          <w:rFonts w:hint="eastAsia" w:ascii="宋体" w:hAnsi="宋体" w:eastAsia="宋体" w:cs="宋体"/>
          <w:bCs w:val="0"/>
          <w:snapToGrid w:val="0"/>
          <w:color w:val="auto"/>
          <w:kern w:val="21"/>
          <w:szCs w:val="24"/>
          <w:highlight w:val="none"/>
        </w:rPr>
        <w:t>文件</w:t>
      </w:r>
      <w:bookmarkEnd w:id="204"/>
      <w:bookmarkEnd w:id="205"/>
      <w:bookmarkEnd w:id="206"/>
      <w:bookmarkEnd w:id="207"/>
      <w:bookmarkEnd w:id="208"/>
      <w:bookmarkEnd w:id="209"/>
      <w:bookmarkEnd w:id="210"/>
      <w:r>
        <w:rPr>
          <w:rFonts w:hint="eastAsia" w:ascii="宋体" w:hAnsi="宋体" w:eastAsia="宋体" w:cs="宋体"/>
          <w:bCs w:val="0"/>
          <w:snapToGrid w:val="0"/>
          <w:color w:val="auto"/>
          <w:kern w:val="21"/>
          <w:szCs w:val="24"/>
          <w:highlight w:val="none"/>
        </w:rPr>
        <w:t>组成</w:t>
      </w:r>
      <w:bookmarkEnd w:id="211"/>
    </w:p>
    <w:p w14:paraId="690AE075">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w:t>
      </w:r>
      <w:bookmarkStart w:id="212" w:name="OLE_LINK172"/>
      <w:r>
        <w:rPr>
          <w:rFonts w:hint="eastAsia" w:ascii="宋体" w:hAnsi="宋体" w:eastAsia="宋体" w:cs="宋体"/>
          <w:color w:val="auto"/>
          <w:szCs w:val="21"/>
          <w:highlight w:val="none"/>
        </w:rPr>
        <w:t>供应商编写的响应文件按第四章《响应文件格式》</w:t>
      </w:r>
      <w:bookmarkEnd w:id="212"/>
      <w:r>
        <w:rPr>
          <w:rFonts w:hint="eastAsia" w:ascii="宋体" w:hAnsi="宋体" w:eastAsia="宋体" w:cs="宋体"/>
          <w:color w:val="auto"/>
          <w:szCs w:val="21"/>
          <w:highlight w:val="none"/>
        </w:rPr>
        <w:t>提供的格式编写。</w:t>
      </w:r>
    </w:p>
    <w:p w14:paraId="3B555FF0">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w:t>
      </w:r>
      <w:bookmarkStart w:id="213" w:name="OLE_LINK173"/>
      <w:r>
        <w:rPr>
          <w:rFonts w:hint="eastAsia" w:ascii="宋体" w:hAnsi="宋体" w:eastAsia="宋体" w:cs="宋体"/>
          <w:color w:val="auto"/>
          <w:szCs w:val="22"/>
          <w:highlight w:val="none"/>
        </w:rPr>
        <w:t>响应描述与证明材料不一致或多份证明材料之间不一致的，造成的后果由供应商自行承担责任</w:t>
      </w:r>
      <w:bookmarkEnd w:id="213"/>
      <w:r>
        <w:rPr>
          <w:rFonts w:hint="eastAsia" w:ascii="宋体" w:hAnsi="宋体" w:eastAsia="宋体" w:cs="宋体"/>
          <w:color w:val="auto"/>
          <w:szCs w:val="21"/>
          <w:highlight w:val="none"/>
        </w:rPr>
        <w:t>。</w:t>
      </w:r>
    </w:p>
    <w:p w14:paraId="5BB75719">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214" w:name="_Toc490305701"/>
      <w:bookmarkStart w:id="215" w:name="_Toc28293"/>
      <w:bookmarkStart w:id="216" w:name="_Toc498050646"/>
      <w:bookmarkStart w:id="217" w:name="_Toc86124056"/>
      <w:bookmarkStart w:id="218" w:name="_Toc462330074"/>
      <w:bookmarkStart w:id="219" w:name="_Toc327533972"/>
      <w:bookmarkStart w:id="220" w:name="_Toc428490732"/>
      <w:r>
        <w:rPr>
          <w:rFonts w:hint="eastAsia" w:ascii="宋体" w:hAnsi="宋体" w:eastAsia="宋体" w:cs="宋体"/>
          <w:bCs w:val="0"/>
          <w:snapToGrid w:val="0"/>
          <w:color w:val="auto"/>
          <w:kern w:val="21"/>
          <w:szCs w:val="24"/>
          <w:highlight w:val="none"/>
        </w:rPr>
        <w:t>16.响应文件的</w:t>
      </w:r>
      <w:bookmarkStart w:id="221" w:name="OLE_LINK68"/>
      <w:r>
        <w:rPr>
          <w:rFonts w:hint="eastAsia" w:ascii="宋体" w:hAnsi="宋体" w:eastAsia="宋体" w:cs="宋体"/>
          <w:bCs w:val="0"/>
          <w:snapToGrid w:val="0"/>
          <w:color w:val="auto"/>
          <w:kern w:val="21"/>
          <w:szCs w:val="24"/>
          <w:highlight w:val="none"/>
        </w:rPr>
        <w:t>格式要求</w:t>
      </w:r>
      <w:bookmarkEnd w:id="214"/>
      <w:bookmarkEnd w:id="215"/>
      <w:bookmarkEnd w:id="216"/>
      <w:bookmarkEnd w:id="221"/>
    </w:p>
    <w:p w14:paraId="7B2A3024">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w:t>
      </w:r>
      <w:bookmarkStart w:id="222" w:name="OLE_LINK174"/>
      <w:r>
        <w:rPr>
          <w:rFonts w:hint="eastAsia" w:ascii="宋体" w:hAnsi="宋体" w:eastAsia="宋体" w:cs="宋体"/>
          <w:color w:val="auto"/>
          <w:szCs w:val="21"/>
          <w:highlight w:val="none"/>
        </w:rPr>
        <w:t>供应商应按第四章《响应文件格式》提供的格式完整地填写</w:t>
      </w:r>
      <w:bookmarkEnd w:id="222"/>
      <w:r>
        <w:rPr>
          <w:rFonts w:hint="eastAsia" w:ascii="宋体" w:hAnsi="宋体" w:eastAsia="宋体" w:cs="宋体"/>
          <w:color w:val="auto"/>
          <w:szCs w:val="21"/>
          <w:highlight w:val="none"/>
        </w:rPr>
        <w:t>。</w:t>
      </w:r>
    </w:p>
    <w:p w14:paraId="22B34F16">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223" w:name="_Toc490305702"/>
      <w:bookmarkStart w:id="224" w:name="_Toc498050647"/>
      <w:bookmarkStart w:id="225" w:name="_Toc21351"/>
      <w:r>
        <w:rPr>
          <w:rFonts w:hint="eastAsia" w:ascii="宋体" w:hAnsi="宋体" w:eastAsia="宋体" w:cs="宋体"/>
          <w:bCs w:val="0"/>
          <w:snapToGrid w:val="0"/>
          <w:color w:val="auto"/>
          <w:kern w:val="21"/>
          <w:szCs w:val="24"/>
          <w:highlight w:val="none"/>
        </w:rPr>
        <w:t>17</w:t>
      </w:r>
      <w:bookmarkEnd w:id="223"/>
      <w:r>
        <w:rPr>
          <w:rFonts w:hint="eastAsia" w:ascii="宋体" w:hAnsi="宋体" w:eastAsia="宋体" w:cs="宋体"/>
          <w:bCs w:val="0"/>
          <w:snapToGrid w:val="0"/>
          <w:color w:val="auto"/>
          <w:kern w:val="21"/>
          <w:szCs w:val="24"/>
          <w:highlight w:val="none"/>
        </w:rPr>
        <w:t>.响应文</w:t>
      </w:r>
      <w:bookmarkStart w:id="226" w:name="OLE_LINK69"/>
      <w:r>
        <w:rPr>
          <w:rFonts w:hint="eastAsia" w:ascii="宋体" w:hAnsi="宋体" w:eastAsia="宋体" w:cs="宋体"/>
          <w:bCs w:val="0"/>
          <w:snapToGrid w:val="0"/>
          <w:color w:val="auto"/>
          <w:kern w:val="21"/>
          <w:szCs w:val="24"/>
          <w:highlight w:val="none"/>
        </w:rPr>
        <w:t>件有效期</w:t>
      </w:r>
      <w:bookmarkEnd w:id="224"/>
      <w:bookmarkEnd w:id="225"/>
      <w:bookmarkEnd w:id="226"/>
    </w:p>
    <w:p w14:paraId="2306C739">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bookmarkStart w:id="227" w:name="_Toc247085708"/>
      <w:bookmarkStart w:id="228" w:name="_Toc152042325"/>
      <w:bookmarkStart w:id="229" w:name="_Toc296602439"/>
      <w:bookmarkStart w:id="230" w:name="_Toc246996937"/>
      <w:bookmarkStart w:id="231" w:name="_Toc246996194"/>
      <w:bookmarkStart w:id="232" w:name="_Toc144974517"/>
      <w:bookmarkStart w:id="233" w:name="_Toc179632567"/>
      <w:bookmarkStart w:id="234" w:name="_Toc152045549"/>
      <w:r>
        <w:rPr>
          <w:rFonts w:hint="eastAsia" w:ascii="宋体" w:hAnsi="宋体" w:eastAsia="宋体" w:cs="宋体"/>
          <w:color w:val="auto"/>
          <w:szCs w:val="21"/>
          <w:highlight w:val="none"/>
        </w:rPr>
        <w:t>17.1</w:t>
      </w:r>
      <w:bookmarkEnd w:id="227"/>
      <w:bookmarkEnd w:id="228"/>
      <w:bookmarkEnd w:id="229"/>
      <w:bookmarkEnd w:id="230"/>
      <w:bookmarkEnd w:id="231"/>
      <w:bookmarkEnd w:id="232"/>
      <w:bookmarkEnd w:id="233"/>
      <w:bookmarkEnd w:id="234"/>
      <w:r>
        <w:rPr>
          <w:rFonts w:hint="eastAsia" w:ascii="宋体" w:hAnsi="宋体" w:eastAsia="宋体" w:cs="宋体"/>
          <w:color w:val="auto"/>
          <w:szCs w:val="21"/>
          <w:highlight w:val="none"/>
        </w:rPr>
        <w:t>在《供应商须知前附表》规定的有效期内，供应商不得要求撤销或修改其响应文件。</w:t>
      </w:r>
    </w:p>
    <w:p w14:paraId="474CEE0F">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因特殊情况需要延长响应文件有效期的，采购代理机构以书面形式通知供应商延长有效期。供应商同意延长的，应相应延长其响应文件中所有内容及保证金的有效期，但不得要求或被允许修改或撤销其响应文件；供应商拒绝延长的，其响应文件失效，但供应商有权收回其保证金。</w:t>
      </w:r>
    </w:p>
    <w:p w14:paraId="75F3ACC2">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235" w:name="_Toc498050648"/>
      <w:bookmarkStart w:id="236" w:name="_Toc4077"/>
      <w:bookmarkStart w:id="237" w:name="_Toc490305703"/>
      <w:r>
        <w:rPr>
          <w:rFonts w:hint="eastAsia" w:ascii="宋体" w:hAnsi="宋体" w:eastAsia="宋体" w:cs="宋体"/>
          <w:bCs w:val="0"/>
          <w:snapToGrid w:val="0"/>
          <w:color w:val="auto"/>
          <w:kern w:val="21"/>
          <w:szCs w:val="24"/>
          <w:highlight w:val="none"/>
        </w:rPr>
        <w:t>18</w:t>
      </w:r>
      <w:bookmarkStart w:id="238" w:name="OLE_LINK72"/>
      <w:r>
        <w:rPr>
          <w:rFonts w:hint="eastAsia" w:ascii="宋体" w:hAnsi="宋体" w:eastAsia="宋体" w:cs="宋体"/>
          <w:bCs w:val="0"/>
          <w:snapToGrid w:val="0"/>
          <w:color w:val="auto"/>
          <w:kern w:val="21"/>
          <w:szCs w:val="24"/>
          <w:highlight w:val="none"/>
        </w:rPr>
        <w:t>.保证金</w:t>
      </w:r>
      <w:bookmarkEnd w:id="235"/>
      <w:bookmarkEnd w:id="236"/>
      <w:bookmarkEnd w:id="237"/>
      <w:bookmarkEnd w:id="238"/>
    </w:p>
    <w:p w14:paraId="5DFF61DC">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239" w:name="_Toc296602440"/>
      <w:bookmarkStart w:id="240" w:name="_Toc152042326"/>
      <w:bookmarkStart w:id="241" w:name="_Toc152045550"/>
      <w:bookmarkStart w:id="242" w:name="_Toc179632568"/>
      <w:bookmarkStart w:id="243" w:name="_Toc144974518"/>
      <w:bookmarkStart w:id="244" w:name="_Toc246996195"/>
      <w:bookmarkStart w:id="245" w:name="_Toc246996938"/>
      <w:bookmarkStart w:id="246" w:name="_Toc247085709"/>
      <w:r>
        <w:rPr>
          <w:rFonts w:hint="eastAsia" w:ascii="宋体" w:hAnsi="宋体" w:eastAsia="宋体" w:cs="宋体"/>
          <w:color w:val="auto"/>
          <w:szCs w:val="21"/>
          <w:highlight w:val="none"/>
        </w:rPr>
        <w:t>8.1</w:t>
      </w:r>
      <w:bookmarkEnd w:id="239"/>
      <w:bookmarkEnd w:id="240"/>
      <w:bookmarkEnd w:id="241"/>
      <w:bookmarkEnd w:id="242"/>
      <w:bookmarkEnd w:id="243"/>
      <w:bookmarkEnd w:id="244"/>
      <w:bookmarkEnd w:id="245"/>
      <w:bookmarkEnd w:id="246"/>
      <w:bookmarkStart w:id="247" w:name="OLE_LINK175"/>
      <w:bookmarkStart w:id="248" w:name="OLE_LINK304"/>
      <w:r>
        <w:rPr>
          <w:rFonts w:hint="eastAsia" w:ascii="宋体" w:hAnsi="宋体" w:eastAsia="宋体" w:cs="宋体"/>
          <w:color w:val="auto"/>
          <w:szCs w:val="21"/>
          <w:highlight w:val="none"/>
        </w:rPr>
        <w:t>供应商应按《供应商须知前附表》规定的金额、形式向采购代理机构交纳保证金，保证金须在响应文件提交截止时间前从供应商基本账户交纳到云南中咨海外咨询有限公司指定的账户，供应商未按照单一来源采购文件要求提交保证金的，</w:t>
      </w:r>
      <w:bookmarkEnd w:id="247"/>
      <w:r>
        <w:rPr>
          <w:rFonts w:hint="eastAsia" w:ascii="宋体" w:hAnsi="宋体" w:eastAsia="宋体" w:cs="宋体"/>
          <w:color w:val="auto"/>
          <w:szCs w:val="21"/>
          <w:highlight w:val="none"/>
        </w:rPr>
        <w:t>响应无效</w:t>
      </w:r>
      <w:bookmarkEnd w:id="248"/>
      <w:r>
        <w:rPr>
          <w:rFonts w:hint="eastAsia" w:ascii="宋体" w:hAnsi="宋体" w:eastAsia="宋体" w:cs="宋体"/>
          <w:color w:val="auto"/>
          <w:szCs w:val="21"/>
          <w:highlight w:val="none"/>
        </w:rPr>
        <w:t>。</w:t>
      </w:r>
    </w:p>
    <w:p w14:paraId="011AF6CB">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采购代理机构在成交通知书发出后5个工作日内退还未成交供应商的保证金，成交供应商的保证金在采购合同签订后5个工作日内退还，但因供应商自身原因导致无法及时退还的除外。出现下列情形之一的，采购保证金不予退还：</w:t>
      </w:r>
    </w:p>
    <w:p w14:paraId="7D96237C">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（1）供应商在提交响应文件截止时间后撤销响应文件的；</w:t>
      </w:r>
    </w:p>
    <w:p w14:paraId="5D588060">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（2）供应商在响应文件中提供虚假材料的；</w:t>
      </w:r>
    </w:p>
    <w:p w14:paraId="5310F59A">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（3）除因不可抗力或单一来源采购文件认可的情形以外，供应商不与采购人签订合同的；</w:t>
      </w:r>
    </w:p>
    <w:p w14:paraId="6834FA76">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（4）供应商与采购人、其他供应商或者采购代理机构恶意串通的；</w:t>
      </w:r>
    </w:p>
    <w:p w14:paraId="714D9DE6">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bookmarkStart w:id="249" w:name="OLE_LINK73"/>
      <w:r>
        <w:rPr>
          <w:rFonts w:hint="eastAsia" w:ascii="宋体" w:hAnsi="宋体" w:eastAsia="宋体" w:cs="宋体"/>
          <w:color w:val="auto"/>
          <w:szCs w:val="21"/>
          <w:highlight w:val="none"/>
        </w:rPr>
        <w:t>单一来源采购文件</w:t>
      </w:r>
      <w:bookmarkEnd w:id="249"/>
      <w:r>
        <w:rPr>
          <w:rFonts w:hint="eastAsia" w:ascii="宋体" w:hAnsi="宋体" w:eastAsia="宋体" w:cs="宋体"/>
          <w:color w:val="auto"/>
          <w:szCs w:val="21"/>
          <w:highlight w:val="none"/>
        </w:rPr>
        <w:t>规定的其他情形。</w:t>
      </w:r>
    </w:p>
    <w:p w14:paraId="0D29075C">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250" w:name="_Toc25350"/>
      <w:bookmarkStart w:id="251" w:name="_Toc498050649"/>
      <w:bookmarkStart w:id="252" w:name="_Toc490305704"/>
      <w:r>
        <w:rPr>
          <w:rFonts w:hint="eastAsia" w:ascii="宋体" w:hAnsi="宋体" w:eastAsia="宋体" w:cs="宋体"/>
          <w:bCs w:val="0"/>
          <w:snapToGrid w:val="0"/>
          <w:color w:val="auto"/>
          <w:kern w:val="21"/>
          <w:szCs w:val="24"/>
          <w:highlight w:val="none"/>
        </w:rPr>
        <w:t>19.响应文件的编制</w:t>
      </w:r>
      <w:bookmarkEnd w:id="250"/>
      <w:bookmarkEnd w:id="251"/>
      <w:bookmarkEnd w:id="252"/>
      <w:bookmarkStart w:id="253" w:name="_Toc296602442"/>
    </w:p>
    <w:p w14:paraId="7DFAA56B">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w:t>
      </w:r>
      <w:r>
        <w:rPr>
          <w:rFonts w:hint="eastAsia" w:ascii="宋体" w:hAnsi="宋体" w:eastAsia="宋体" w:cs="宋体"/>
          <w:color w:val="auto"/>
          <w:szCs w:val="22"/>
          <w:highlight w:val="none"/>
        </w:rPr>
        <w:t>本</w:t>
      </w:r>
      <w:bookmarkStart w:id="254" w:name="OLE_LINK178"/>
      <w:r>
        <w:rPr>
          <w:rFonts w:hint="eastAsia" w:ascii="宋体" w:hAnsi="宋体" w:eastAsia="宋体" w:cs="宋体"/>
          <w:color w:val="auto"/>
          <w:szCs w:val="22"/>
          <w:highlight w:val="none"/>
        </w:rPr>
        <w:t>项目实行</w:t>
      </w:r>
      <w:r>
        <w:rPr>
          <w:rFonts w:hint="eastAsia" w:ascii="宋体" w:hAnsi="宋体" w:eastAsia="宋体" w:cs="宋体"/>
          <w:bCs/>
          <w:color w:val="auto"/>
          <w:highlight w:val="none"/>
        </w:rPr>
        <w:t>网上</w:t>
      </w:r>
      <w:bookmarkEnd w:id="254"/>
      <w:r>
        <w:rPr>
          <w:rFonts w:hint="eastAsia" w:ascii="宋体" w:hAnsi="宋体" w:eastAsia="宋体" w:cs="宋体"/>
          <w:bCs/>
          <w:color w:val="auto"/>
          <w:highlight w:val="none"/>
        </w:rPr>
        <w:t>响应，采用电子响应文件。</w:t>
      </w:r>
      <w:r>
        <w:rPr>
          <w:rFonts w:hint="eastAsia" w:ascii="宋体" w:hAnsi="宋体" w:eastAsia="宋体" w:cs="宋体"/>
          <w:color w:val="auto"/>
          <w:szCs w:val="22"/>
          <w:highlight w:val="none"/>
        </w:rPr>
        <w:t>供应商按照采购文件规定和电子交易平台操作流程要求，参加政府采购电子化交易活动。因未完成注册、未办理CA数字证书等原因造成无法响应或响应失败的，自行承担责任</w:t>
      </w:r>
      <w:r>
        <w:rPr>
          <w:rFonts w:hint="eastAsia" w:ascii="宋体" w:hAnsi="宋体" w:eastAsia="宋体" w:cs="宋体"/>
          <w:color w:val="auto"/>
          <w:szCs w:val="21"/>
          <w:highlight w:val="none"/>
        </w:rPr>
        <w:t>。</w:t>
      </w:r>
      <w:bookmarkEnd w:id="253"/>
    </w:p>
    <w:p w14:paraId="5C5C81B2">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w:t>
      </w:r>
      <w:r>
        <w:rPr>
          <w:rFonts w:hint="eastAsia" w:ascii="宋体" w:hAnsi="宋体" w:eastAsia="宋体" w:cs="宋体"/>
          <w:color w:val="auto"/>
          <w:highlight w:val="none"/>
        </w:rPr>
        <w:t>供应商将政采云电子交易客户端下载、安装完成后，可通过账号密码或CA登录客户端进行响应文件的制作。在使用政采云投标客户端时，建议使用WIN7（64位）及以上操作系统。客户端请至政府采购云平台网站进行查看下载，如有问题可拨打政采云客户服务热线400-881-7190进行咨询以及云南CA操作问题：请致电云南CA，4006727666；云南CA紧急联系方式：15288315056。如因供应商自身原因导致在规定时间内无法正常解密的（如：浏览器故障、未安装相关驱动、网络故障、加密CA与解密CA不一致等），</w:t>
      </w:r>
      <w:r>
        <w:rPr>
          <w:rFonts w:hint="eastAsia" w:ascii="宋体" w:hAnsi="宋体" w:eastAsia="宋体" w:cs="宋体"/>
          <w:color w:val="auto"/>
          <w:szCs w:val="21"/>
          <w:highlight w:val="none"/>
        </w:rPr>
        <w:t>其响应文件将不予受理。</w:t>
      </w:r>
    </w:p>
    <w:p w14:paraId="3AE49F43">
      <w:pPr>
        <w:tabs>
          <w:tab w:val="left" w:pos="3150"/>
          <w:tab w:val="center" w:pos="4734"/>
        </w:tabs>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w:t>
      </w:r>
      <w:r>
        <w:rPr>
          <w:rFonts w:hint="eastAsia" w:ascii="宋体" w:hAnsi="宋体" w:eastAsia="宋体" w:cs="宋体"/>
          <w:color w:val="auto"/>
          <w:highlight w:val="none"/>
        </w:rPr>
        <w:t>响应文件中提供的资料（包括扫描件、照片等）、关键内容必须清晰可辨，若出现字迹潦草、表达不清、未按要求填写而导致非唯一理解产生的后果由供应商自行承担</w:t>
      </w:r>
      <w:r>
        <w:rPr>
          <w:rFonts w:hint="eastAsia" w:ascii="宋体" w:hAnsi="宋体" w:eastAsia="宋体" w:cs="宋体"/>
          <w:color w:val="auto"/>
          <w:szCs w:val="21"/>
          <w:highlight w:val="none"/>
        </w:rPr>
        <w:t>。</w:t>
      </w:r>
    </w:p>
    <w:p w14:paraId="14DAB3F6">
      <w:pPr>
        <w:tabs>
          <w:tab w:val="left" w:pos="3150"/>
          <w:tab w:val="center" w:pos="4734"/>
        </w:tabs>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19.4响应文件盖章及签署：详见《供应商须知前附表》。</w:t>
      </w:r>
    </w:p>
    <w:p w14:paraId="2949AA48">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bookmarkStart w:id="255" w:name="_Toc490305705"/>
      <w:bookmarkStart w:id="256" w:name="_Toc498050650"/>
      <w:bookmarkStart w:id="257" w:name="_Toc12590"/>
      <w:r>
        <w:rPr>
          <w:rFonts w:hint="eastAsia" w:ascii="宋体" w:hAnsi="宋体" w:eastAsia="宋体" w:cs="宋体"/>
          <w:bCs w:val="0"/>
          <w:snapToGrid w:val="0"/>
          <w:color w:val="auto"/>
          <w:kern w:val="21"/>
          <w:szCs w:val="24"/>
          <w:highlight w:val="none"/>
        </w:rPr>
        <w:t>20.报价和报价货币</w:t>
      </w:r>
      <w:bookmarkEnd w:id="255"/>
      <w:bookmarkEnd w:id="256"/>
      <w:bookmarkEnd w:id="257"/>
      <w:bookmarkStart w:id="258" w:name="_Toc482343737"/>
      <w:bookmarkStart w:id="259" w:name="_Toc432106486"/>
      <w:bookmarkStart w:id="260" w:name="_Toc329810197"/>
      <w:bookmarkStart w:id="261" w:name="_Toc383175287"/>
      <w:bookmarkStart w:id="262" w:name="_Toc432194837"/>
      <w:bookmarkStart w:id="263" w:name="_Toc383175063"/>
      <w:bookmarkStart w:id="264" w:name="_Toc383175485"/>
      <w:bookmarkStart w:id="265" w:name="_Toc470507051"/>
    </w:p>
    <w:bookmarkEnd w:id="258"/>
    <w:bookmarkEnd w:id="259"/>
    <w:bookmarkEnd w:id="260"/>
    <w:bookmarkEnd w:id="261"/>
    <w:bookmarkEnd w:id="262"/>
    <w:bookmarkEnd w:id="263"/>
    <w:bookmarkEnd w:id="264"/>
    <w:bookmarkEnd w:id="265"/>
    <w:p w14:paraId="591A5005">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20.1响应报价：详见《供应商须知前附表》</w:t>
      </w:r>
      <w:r>
        <w:rPr>
          <w:rFonts w:hint="eastAsia" w:ascii="宋体" w:hAnsi="宋体" w:eastAsia="宋体" w:cs="宋体"/>
          <w:color w:val="auto"/>
          <w:szCs w:val="21"/>
          <w:highlight w:val="none"/>
        </w:rPr>
        <w:t>。</w:t>
      </w:r>
    </w:p>
    <w:p w14:paraId="4667003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20.2供应商的报价将被视为已经包含了所有与项目相关的费用。由于供应商不清楚或存在其它任何失误所导致的任何不利后果均由供应商自行承担。</w:t>
      </w:r>
    </w:p>
    <w:p w14:paraId="08A9C42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w:t>
      </w:r>
      <w:r>
        <w:rPr>
          <w:rFonts w:hint="eastAsia" w:ascii="宋体" w:hAnsi="宋体" w:eastAsia="宋体" w:cs="宋体"/>
          <w:color w:val="auto"/>
          <w:highlight w:val="none"/>
        </w:rPr>
        <w:t>供应商应保证其提供的货物、工程或者服务是全新的，供应商应保证其提供的货物、工程或者服务在采购人使用期间不受第三方可能提出的所有权、用益物权、担保物权、占有等一切涉及物权及知识产权、商标权、专利权、著作权等相关权利的起诉</w:t>
      </w:r>
      <w:r>
        <w:rPr>
          <w:rFonts w:hint="eastAsia" w:ascii="宋体" w:hAnsi="宋体" w:eastAsia="宋体" w:cs="宋体"/>
          <w:color w:val="auto"/>
          <w:szCs w:val="21"/>
          <w:highlight w:val="none"/>
        </w:rPr>
        <w:t>。</w:t>
      </w:r>
    </w:p>
    <w:p w14:paraId="59352F8A">
      <w:pPr>
        <w:spacing w:line="360" w:lineRule="auto"/>
        <w:ind w:firstLine="420" w:firstLineChars="200"/>
        <w:jc w:val="left"/>
        <w:rPr>
          <w:rFonts w:hint="eastAsia" w:ascii="宋体" w:hAnsi="宋体" w:eastAsia="宋体" w:cs="宋体"/>
          <w:color w:val="auto"/>
          <w:highlight w:val="none"/>
        </w:rPr>
      </w:pPr>
      <w:bookmarkStart w:id="266" w:name="OLE_LINK179"/>
      <w:r>
        <w:rPr>
          <w:rFonts w:hint="eastAsia" w:ascii="宋体" w:hAnsi="宋体" w:eastAsia="宋体" w:cs="宋体"/>
          <w:color w:val="auto"/>
          <w:szCs w:val="21"/>
          <w:highlight w:val="none"/>
        </w:rPr>
        <w:t>20.4</w:t>
      </w:r>
      <w:r>
        <w:rPr>
          <w:rFonts w:hint="eastAsia" w:ascii="宋体" w:hAnsi="宋体" w:eastAsia="宋体" w:cs="宋体"/>
          <w:color w:val="auto"/>
          <w:highlight w:val="none"/>
        </w:rPr>
        <w:t>报价货币：人民币</w:t>
      </w:r>
      <w:r>
        <w:rPr>
          <w:rFonts w:hint="eastAsia" w:ascii="宋体" w:hAnsi="宋体" w:eastAsia="宋体" w:cs="宋体"/>
          <w:color w:val="auto"/>
          <w:szCs w:val="21"/>
          <w:highlight w:val="none"/>
        </w:rPr>
        <w:t>。</w:t>
      </w:r>
    </w:p>
    <w:bookmarkEnd w:id="217"/>
    <w:bookmarkEnd w:id="218"/>
    <w:bookmarkEnd w:id="219"/>
    <w:bookmarkEnd w:id="220"/>
    <w:bookmarkEnd w:id="266"/>
    <w:p w14:paraId="3211DDD5">
      <w:pPr>
        <w:pStyle w:val="3"/>
        <w:spacing w:before="0" w:after="0" w:line="440" w:lineRule="exact"/>
        <w:rPr>
          <w:rFonts w:hint="eastAsia" w:ascii="宋体" w:hAnsi="宋体" w:eastAsia="宋体" w:cs="宋体"/>
          <w:bCs w:val="0"/>
          <w:snapToGrid w:val="0"/>
          <w:color w:val="auto"/>
          <w:kern w:val="21"/>
          <w:szCs w:val="28"/>
          <w:highlight w:val="none"/>
        </w:rPr>
      </w:pPr>
      <w:bookmarkStart w:id="267" w:name="_Toc86124061"/>
      <w:bookmarkStart w:id="268" w:name="_Toc490305706"/>
      <w:bookmarkStart w:id="269" w:name="_Toc3084"/>
      <w:bookmarkStart w:id="270" w:name="_Toc428490736"/>
      <w:bookmarkStart w:id="271" w:name="_Toc462330078"/>
      <w:bookmarkStart w:id="272" w:name="_Toc3387"/>
      <w:bookmarkStart w:id="273" w:name="_Toc498050651"/>
      <w:r>
        <w:rPr>
          <w:rFonts w:hint="eastAsia" w:ascii="宋体" w:hAnsi="宋体" w:eastAsia="宋体" w:cs="宋体"/>
          <w:bCs w:val="0"/>
          <w:snapToGrid w:val="0"/>
          <w:color w:val="auto"/>
          <w:kern w:val="21"/>
          <w:szCs w:val="28"/>
          <w:highlight w:val="none"/>
        </w:rPr>
        <w:t>四、</w:t>
      </w:r>
      <w:bookmarkEnd w:id="267"/>
      <w:bookmarkEnd w:id="268"/>
      <w:bookmarkEnd w:id="269"/>
      <w:bookmarkEnd w:id="270"/>
      <w:bookmarkEnd w:id="271"/>
      <w:bookmarkEnd w:id="272"/>
      <w:bookmarkEnd w:id="273"/>
      <w:r>
        <w:rPr>
          <w:rFonts w:hint="eastAsia" w:ascii="宋体" w:hAnsi="宋体" w:eastAsia="宋体" w:cs="宋体"/>
          <w:color w:val="auto"/>
          <w:szCs w:val="28"/>
          <w:highlight w:val="none"/>
        </w:rPr>
        <w:t>提交</w:t>
      </w:r>
      <w:bookmarkStart w:id="274" w:name="OLE_LINK309"/>
      <w:r>
        <w:rPr>
          <w:rFonts w:hint="eastAsia" w:ascii="宋体" w:hAnsi="宋体" w:eastAsia="宋体" w:cs="宋体"/>
          <w:color w:val="auto"/>
          <w:szCs w:val="28"/>
          <w:highlight w:val="none"/>
        </w:rPr>
        <w:t>电子响应文件</w:t>
      </w:r>
      <w:bookmarkEnd w:id="274"/>
    </w:p>
    <w:p w14:paraId="04641C45">
      <w:pPr>
        <w:pStyle w:val="4"/>
        <w:spacing w:before="0" w:after="0" w:line="440" w:lineRule="exact"/>
        <w:ind w:firstLine="482"/>
        <w:jc w:val="both"/>
        <w:rPr>
          <w:rFonts w:hint="eastAsia" w:ascii="宋体" w:hAnsi="宋体" w:eastAsia="宋体" w:cs="宋体"/>
          <w:bCs w:val="0"/>
          <w:color w:val="auto"/>
          <w:highlight w:val="none"/>
        </w:rPr>
      </w:pPr>
      <w:bookmarkStart w:id="275" w:name="_Toc490305707"/>
      <w:bookmarkStart w:id="276" w:name="_Toc6238"/>
      <w:bookmarkStart w:id="277" w:name="_Toc498050652"/>
      <w:r>
        <w:rPr>
          <w:rFonts w:hint="eastAsia" w:ascii="宋体" w:hAnsi="宋体" w:eastAsia="宋体" w:cs="宋体"/>
          <w:bCs w:val="0"/>
          <w:color w:val="auto"/>
          <w:highlight w:val="none"/>
        </w:rPr>
        <w:t>21.</w:t>
      </w:r>
      <w:bookmarkEnd w:id="275"/>
      <w:bookmarkEnd w:id="276"/>
      <w:bookmarkEnd w:id="277"/>
      <w:bookmarkStart w:id="278" w:name="_Toc296602444"/>
      <w:bookmarkStart w:id="279" w:name="_Toc152045556"/>
      <w:bookmarkStart w:id="280" w:name="_Toc179632574"/>
      <w:bookmarkStart w:id="281" w:name="_Toc246996200"/>
      <w:bookmarkStart w:id="282" w:name="_Toc152042332"/>
      <w:bookmarkStart w:id="283" w:name="_Toc247085714"/>
      <w:bookmarkStart w:id="284" w:name="_Toc246996943"/>
      <w:bookmarkStart w:id="285" w:name="_Toc144974524"/>
      <w:r>
        <w:rPr>
          <w:rFonts w:hint="eastAsia" w:ascii="宋体" w:hAnsi="宋体" w:eastAsia="宋体" w:cs="宋体"/>
          <w:bCs w:val="0"/>
          <w:color w:val="auto"/>
          <w:highlight w:val="none"/>
        </w:rPr>
        <w:t>响应文件</w:t>
      </w:r>
      <w:bookmarkStart w:id="286" w:name="OLE_LINK75"/>
      <w:r>
        <w:rPr>
          <w:rFonts w:hint="eastAsia" w:ascii="宋体" w:hAnsi="宋体" w:eastAsia="宋体" w:cs="宋体"/>
          <w:bCs w:val="0"/>
          <w:color w:val="auto"/>
          <w:highlight w:val="none"/>
        </w:rPr>
        <w:t>的加密</w:t>
      </w:r>
      <w:bookmarkEnd w:id="286"/>
    </w:p>
    <w:p w14:paraId="756347CD">
      <w:pPr>
        <w:autoSpaceDE w:val="0"/>
        <w:autoSpaceDN w:val="0"/>
        <w:adjustRightInd w:val="0"/>
        <w:spacing w:line="360" w:lineRule="auto"/>
        <w:ind w:firstLine="415" w:firstLineChars="198"/>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w:t>
      </w:r>
      <w:bookmarkEnd w:id="278"/>
      <w:bookmarkEnd w:id="279"/>
      <w:bookmarkEnd w:id="280"/>
      <w:bookmarkEnd w:id="281"/>
      <w:bookmarkEnd w:id="282"/>
      <w:bookmarkEnd w:id="283"/>
      <w:bookmarkEnd w:id="284"/>
      <w:bookmarkEnd w:id="285"/>
      <w:r>
        <w:rPr>
          <w:rFonts w:hint="eastAsia" w:ascii="宋体" w:hAnsi="宋体" w:eastAsia="宋体" w:cs="宋体"/>
          <w:color w:val="auto"/>
          <w:szCs w:val="21"/>
          <w:highlight w:val="none"/>
        </w:rPr>
        <w:t>供应商应按照政府采购云平台的要求编制、加密响应文件。</w:t>
      </w:r>
    </w:p>
    <w:p w14:paraId="796827FA">
      <w:pPr>
        <w:autoSpaceDE w:val="0"/>
        <w:autoSpaceDN w:val="0"/>
        <w:adjustRightInd w:val="0"/>
        <w:spacing w:line="360" w:lineRule="auto"/>
        <w:ind w:firstLine="415" w:firstLineChars="198"/>
        <w:rPr>
          <w:rFonts w:hint="eastAsia" w:ascii="宋体" w:hAnsi="宋体" w:eastAsia="宋体" w:cs="宋体"/>
          <w:color w:val="auto"/>
          <w:szCs w:val="21"/>
          <w:highlight w:val="none"/>
        </w:rPr>
      </w:pPr>
      <w:r>
        <w:rPr>
          <w:rFonts w:hint="eastAsia" w:ascii="宋体" w:hAnsi="宋体" w:eastAsia="宋体" w:cs="宋体"/>
          <w:color w:val="auto"/>
          <w:highlight w:val="none"/>
        </w:rPr>
        <w:t>21.2</w:t>
      </w:r>
      <w:r>
        <w:rPr>
          <w:rFonts w:hint="eastAsia" w:ascii="宋体" w:hAnsi="宋体" w:eastAsia="宋体" w:cs="宋体"/>
          <w:color w:val="auto"/>
          <w:szCs w:val="22"/>
          <w:highlight w:val="none"/>
        </w:rPr>
        <w:t>为确保网上操作合法、有效和安全，</w:t>
      </w:r>
      <w:r>
        <w:rPr>
          <w:rFonts w:hint="eastAsia" w:ascii="宋体" w:hAnsi="宋体" w:eastAsia="宋体" w:cs="宋体"/>
          <w:color w:val="auto"/>
          <w:szCs w:val="21"/>
          <w:highlight w:val="none"/>
        </w:rPr>
        <w:t>供应商</w:t>
      </w:r>
      <w:r>
        <w:rPr>
          <w:rFonts w:hint="eastAsia" w:ascii="宋体" w:hAnsi="宋体" w:eastAsia="宋体" w:cs="宋体"/>
          <w:color w:val="auto"/>
          <w:szCs w:val="22"/>
          <w:highlight w:val="none"/>
        </w:rPr>
        <w:t>应当在响应文件提交截止时间前完成在政府采购云平台的身份认证，确保在电子交易过程中能够对相关数据电文进行加密。</w:t>
      </w:r>
    </w:p>
    <w:p w14:paraId="02F0E143">
      <w:pPr>
        <w:pStyle w:val="4"/>
        <w:spacing w:before="0" w:after="0" w:line="440" w:lineRule="exact"/>
        <w:ind w:firstLine="482"/>
        <w:jc w:val="both"/>
        <w:rPr>
          <w:rFonts w:hint="eastAsia" w:ascii="宋体" w:hAnsi="宋体" w:eastAsia="宋体" w:cs="宋体"/>
          <w:bCs w:val="0"/>
          <w:color w:val="auto"/>
          <w:highlight w:val="none"/>
        </w:rPr>
      </w:pPr>
      <w:bookmarkStart w:id="287" w:name="_Toc490305708"/>
      <w:bookmarkStart w:id="288" w:name="_Toc498050653"/>
      <w:bookmarkStart w:id="289" w:name="_Toc5588"/>
      <w:r>
        <w:rPr>
          <w:rFonts w:hint="eastAsia" w:ascii="宋体" w:hAnsi="宋体" w:eastAsia="宋体" w:cs="宋体"/>
          <w:bCs w:val="0"/>
          <w:color w:val="auto"/>
          <w:highlight w:val="none"/>
        </w:rPr>
        <w:t>22.响应</w:t>
      </w:r>
      <w:bookmarkStart w:id="290" w:name="OLE_LINK76"/>
      <w:r>
        <w:rPr>
          <w:rFonts w:hint="eastAsia" w:ascii="宋体" w:hAnsi="宋体" w:eastAsia="宋体" w:cs="宋体"/>
          <w:bCs w:val="0"/>
          <w:color w:val="auto"/>
          <w:highlight w:val="none"/>
        </w:rPr>
        <w:t>文件的提交</w:t>
      </w:r>
      <w:bookmarkEnd w:id="287"/>
      <w:bookmarkEnd w:id="288"/>
      <w:bookmarkEnd w:id="289"/>
      <w:bookmarkEnd w:id="290"/>
    </w:p>
    <w:p w14:paraId="3ED83DDA">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bookmarkStart w:id="291" w:name="_Toc296602445"/>
      <w:r>
        <w:rPr>
          <w:rFonts w:hint="eastAsia" w:ascii="宋体" w:hAnsi="宋体" w:eastAsia="宋体" w:cs="宋体"/>
          <w:color w:val="auto"/>
          <w:szCs w:val="21"/>
          <w:highlight w:val="none"/>
        </w:rPr>
        <w:t>22.1</w:t>
      </w:r>
      <w:bookmarkEnd w:id="291"/>
      <w:bookmarkStart w:id="292" w:name="OLE_LINK183"/>
      <w:r>
        <w:rPr>
          <w:rFonts w:hint="eastAsia" w:ascii="宋体" w:hAnsi="宋体" w:eastAsia="宋体" w:cs="宋体"/>
          <w:color w:val="auto"/>
          <w:szCs w:val="21"/>
          <w:highlight w:val="none"/>
        </w:rPr>
        <w:t>响应文件提交截止时间、</w:t>
      </w:r>
      <w:bookmarkStart w:id="293" w:name="OLE_LINK182"/>
      <w:r>
        <w:rPr>
          <w:rFonts w:hint="eastAsia" w:ascii="宋体" w:hAnsi="宋体" w:eastAsia="宋体" w:cs="宋体"/>
          <w:color w:val="auto"/>
          <w:szCs w:val="21"/>
          <w:highlight w:val="none"/>
        </w:rPr>
        <w:t>响应文件</w:t>
      </w:r>
      <w:bookmarkEnd w:id="293"/>
      <w:r>
        <w:rPr>
          <w:rFonts w:hint="eastAsia" w:ascii="宋体" w:hAnsi="宋体" w:eastAsia="宋体" w:cs="宋体"/>
          <w:color w:val="auto"/>
          <w:szCs w:val="21"/>
          <w:highlight w:val="none"/>
        </w:rPr>
        <w:t>提交的地点：详见《供应商须知前附表</w:t>
      </w:r>
      <w:bookmarkEnd w:id="292"/>
      <w:r>
        <w:rPr>
          <w:rFonts w:hint="eastAsia" w:ascii="宋体" w:hAnsi="宋体" w:eastAsia="宋体" w:cs="宋体"/>
          <w:color w:val="auto"/>
          <w:szCs w:val="21"/>
          <w:highlight w:val="none"/>
        </w:rPr>
        <w:t>》。</w:t>
      </w:r>
    </w:p>
    <w:p w14:paraId="694BD40A">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bookmarkStart w:id="294" w:name="OLE_LINK184"/>
      <w:r>
        <w:rPr>
          <w:rFonts w:hint="eastAsia" w:ascii="宋体" w:hAnsi="宋体" w:eastAsia="宋体" w:cs="宋体"/>
          <w:color w:val="auto"/>
          <w:highlight w:val="none"/>
        </w:rPr>
        <w:t>本项目采用电子采购，</w:t>
      </w:r>
      <w:r>
        <w:rPr>
          <w:rFonts w:hint="eastAsia" w:ascii="宋体" w:hAnsi="宋体" w:eastAsia="宋体" w:cs="宋体"/>
          <w:color w:val="auto"/>
          <w:szCs w:val="21"/>
          <w:highlight w:val="none"/>
        </w:rPr>
        <w:t>供应商应按照本项目采购文件和政府采购云平台的要求编制、加密后在响应文件提交截止时间前上传至</w:t>
      </w:r>
      <w:r>
        <w:rPr>
          <w:rFonts w:hint="eastAsia" w:ascii="宋体" w:hAnsi="宋体" w:eastAsia="宋体" w:cs="宋体"/>
          <w:color w:val="auto"/>
          <w:highlight w:val="none"/>
        </w:rPr>
        <w:t>政府采购云平台</w:t>
      </w:r>
      <w:r>
        <w:rPr>
          <w:rFonts w:hint="eastAsia" w:ascii="宋体" w:hAnsi="宋体" w:eastAsia="宋体" w:cs="宋体"/>
          <w:color w:val="auto"/>
          <w:szCs w:val="21"/>
          <w:highlight w:val="none"/>
        </w:rPr>
        <w:t>，响应文件提交截止时间前未完成响应文件上传的，视为撤回响应文件。供应商在</w:t>
      </w:r>
      <w:r>
        <w:rPr>
          <w:rFonts w:hint="eastAsia" w:ascii="宋体" w:hAnsi="宋体" w:eastAsia="宋体" w:cs="宋体"/>
          <w:color w:val="auto"/>
          <w:highlight w:val="none"/>
        </w:rPr>
        <w:t>政府采购云平台</w:t>
      </w:r>
      <w:r>
        <w:rPr>
          <w:rFonts w:hint="eastAsia" w:ascii="宋体" w:hAnsi="宋体" w:eastAsia="宋体" w:cs="宋体"/>
          <w:color w:val="auto"/>
          <w:szCs w:val="21"/>
          <w:highlight w:val="none"/>
        </w:rPr>
        <w:t>提交电子版响应文件时，请填写参加远程采购活动经办人联系方式</w:t>
      </w:r>
      <w:bookmarkEnd w:id="294"/>
      <w:r>
        <w:rPr>
          <w:rFonts w:hint="eastAsia" w:ascii="宋体" w:hAnsi="宋体" w:eastAsia="宋体" w:cs="宋体"/>
          <w:color w:val="auto"/>
          <w:szCs w:val="21"/>
          <w:highlight w:val="none"/>
        </w:rPr>
        <w:t>。</w:t>
      </w:r>
    </w:p>
    <w:p w14:paraId="7DBC91DC">
      <w:pPr>
        <w:pStyle w:val="4"/>
        <w:spacing w:before="0" w:after="0" w:line="440" w:lineRule="exact"/>
        <w:ind w:firstLine="482"/>
        <w:jc w:val="both"/>
        <w:rPr>
          <w:rFonts w:hint="eastAsia" w:ascii="宋体" w:hAnsi="宋体" w:eastAsia="宋体" w:cs="宋体"/>
          <w:bCs w:val="0"/>
          <w:color w:val="auto"/>
          <w:highlight w:val="none"/>
        </w:rPr>
      </w:pPr>
      <w:bookmarkStart w:id="295" w:name="_Toc2723"/>
      <w:bookmarkStart w:id="296" w:name="_Toc490305709"/>
      <w:bookmarkStart w:id="297" w:name="_Toc498050654"/>
      <w:r>
        <w:rPr>
          <w:rFonts w:hint="eastAsia" w:ascii="宋体" w:hAnsi="宋体" w:eastAsia="宋体" w:cs="宋体"/>
          <w:bCs w:val="0"/>
          <w:color w:val="auto"/>
          <w:highlight w:val="none"/>
        </w:rPr>
        <w:t>23.响应文件的补充、</w:t>
      </w:r>
      <w:bookmarkStart w:id="298" w:name="_Toc152042334"/>
      <w:bookmarkStart w:id="299" w:name="_Toc247085716"/>
      <w:bookmarkStart w:id="300" w:name="_Toc296602446"/>
      <w:bookmarkStart w:id="301" w:name="_Toc144974526"/>
      <w:bookmarkStart w:id="302" w:name="_Toc152045558"/>
      <w:bookmarkStart w:id="303" w:name="_Toc246996945"/>
      <w:bookmarkStart w:id="304" w:name="_Toc246996202"/>
      <w:bookmarkStart w:id="305" w:name="_Toc179632576"/>
      <w:r>
        <w:rPr>
          <w:rFonts w:hint="eastAsia" w:ascii="宋体" w:hAnsi="宋体" w:eastAsia="宋体" w:cs="宋体"/>
          <w:bCs w:val="0"/>
          <w:color w:val="auto"/>
          <w:highlight w:val="none"/>
        </w:rPr>
        <w:t>修改或者撤回</w:t>
      </w:r>
      <w:bookmarkEnd w:id="295"/>
      <w:bookmarkEnd w:id="296"/>
      <w:bookmarkEnd w:id="297"/>
    </w:p>
    <w:p w14:paraId="7A78C42E">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bookmarkEnd w:id="298"/>
      <w:bookmarkEnd w:id="299"/>
      <w:bookmarkEnd w:id="300"/>
      <w:bookmarkEnd w:id="301"/>
      <w:bookmarkEnd w:id="302"/>
      <w:bookmarkEnd w:id="303"/>
      <w:bookmarkEnd w:id="304"/>
      <w:bookmarkEnd w:id="305"/>
      <w:r>
        <w:rPr>
          <w:rFonts w:hint="eastAsia" w:ascii="宋体" w:hAnsi="宋体" w:eastAsia="宋体" w:cs="宋体"/>
          <w:color w:val="auto"/>
          <w:szCs w:val="21"/>
          <w:highlight w:val="none"/>
        </w:rPr>
        <w:t>.1</w:t>
      </w:r>
      <w:r>
        <w:rPr>
          <w:rFonts w:hint="eastAsia" w:ascii="宋体" w:hAnsi="宋体" w:eastAsia="宋体" w:cs="宋体"/>
          <w:color w:val="auto"/>
          <w:highlight w:val="none"/>
        </w:rPr>
        <w:t>在提交响应文件截止时间前，供应商可以对所提交的响应文件进行补充、修改或者撤回，</w:t>
      </w:r>
      <w:r>
        <w:rPr>
          <w:rFonts w:hint="eastAsia" w:ascii="宋体" w:hAnsi="宋体" w:eastAsia="宋体" w:cs="宋体"/>
          <w:color w:val="auto"/>
          <w:szCs w:val="21"/>
          <w:highlight w:val="none"/>
        </w:rPr>
        <w:t>补充、修改的内容应当按照单一来源采购文件要求签名、签章，作为响应文件的组成部分。补充、修改的内容与响应文件不一致的，以补充、修改的内容为准。</w:t>
      </w:r>
    </w:p>
    <w:p w14:paraId="5AFD51BF">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 </w:t>
      </w:r>
      <w:r>
        <w:rPr>
          <w:rFonts w:hint="eastAsia" w:ascii="宋体" w:hAnsi="宋体" w:eastAsia="宋体" w:cs="宋体"/>
          <w:color w:val="auto"/>
          <w:highlight w:val="none"/>
        </w:rPr>
        <w:t>供应商</w:t>
      </w:r>
      <w:r>
        <w:rPr>
          <w:rFonts w:hint="eastAsia" w:ascii="宋体" w:hAnsi="宋体" w:eastAsia="宋体" w:cs="宋体"/>
          <w:color w:val="auto"/>
          <w:szCs w:val="21"/>
          <w:highlight w:val="none"/>
        </w:rPr>
        <w:t>应按照本项目单一来源采购文件和政府采购云平台的要求编制、加密后在响应文件提交截止时间前重新上传至政府采购云平台，响应文件提交截止时间前未完成响应文件上传的，视为撤回响应文件。</w:t>
      </w:r>
    </w:p>
    <w:p w14:paraId="6C4172F8">
      <w:pPr>
        <w:tabs>
          <w:tab w:val="left" w:pos="3150"/>
          <w:tab w:val="center" w:pos="4734"/>
        </w:tabs>
        <w:spacing w:line="360" w:lineRule="auto"/>
        <w:ind w:firstLine="280" w:firstLineChars="100"/>
        <w:jc w:val="center"/>
        <w:outlineLvl w:val="1"/>
        <w:rPr>
          <w:rFonts w:hint="eastAsia" w:ascii="宋体" w:hAnsi="宋体" w:eastAsia="宋体" w:cs="宋体"/>
          <w:b/>
          <w:color w:val="auto"/>
          <w:sz w:val="28"/>
          <w:szCs w:val="28"/>
          <w:highlight w:val="none"/>
        </w:rPr>
      </w:pPr>
      <w:bookmarkStart w:id="306" w:name="_Toc490305710"/>
      <w:bookmarkStart w:id="307" w:name="_Toc86124064"/>
      <w:bookmarkStart w:id="308" w:name="_Toc428490739"/>
      <w:bookmarkStart w:id="309" w:name="_Toc498050655"/>
      <w:bookmarkStart w:id="310" w:name="_Toc10066"/>
      <w:bookmarkStart w:id="311" w:name="_Toc462330081"/>
      <w:bookmarkStart w:id="312" w:name="_Toc7069"/>
      <w:r>
        <w:rPr>
          <w:rFonts w:hint="eastAsia" w:ascii="宋体" w:hAnsi="宋体" w:eastAsia="宋体" w:cs="宋体"/>
          <w:b/>
          <w:color w:val="auto"/>
          <w:sz w:val="28"/>
          <w:szCs w:val="28"/>
          <w:highlight w:val="none"/>
        </w:rPr>
        <w:t>五、响应文件开启</w:t>
      </w:r>
      <w:bookmarkStart w:id="313" w:name="OLE_LINK78"/>
      <w:r>
        <w:rPr>
          <w:rFonts w:hint="eastAsia" w:ascii="宋体" w:hAnsi="宋体" w:eastAsia="宋体" w:cs="宋体"/>
          <w:b/>
          <w:color w:val="auto"/>
          <w:sz w:val="28"/>
          <w:szCs w:val="28"/>
          <w:highlight w:val="none"/>
        </w:rPr>
        <w:t>及响应文件</w:t>
      </w:r>
      <w:bookmarkEnd w:id="313"/>
      <w:r>
        <w:rPr>
          <w:rFonts w:hint="eastAsia" w:ascii="宋体" w:hAnsi="宋体" w:eastAsia="宋体" w:cs="宋体"/>
          <w:b/>
          <w:color w:val="auto"/>
          <w:sz w:val="28"/>
          <w:szCs w:val="28"/>
          <w:highlight w:val="none"/>
        </w:rPr>
        <w:t>解密</w:t>
      </w:r>
    </w:p>
    <w:p w14:paraId="028F98C0">
      <w:pPr>
        <w:tabs>
          <w:tab w:val="left" w:pos="3150"/>
          <w:tab w:val="center" w:pos="4734"/>
        </w:tabs>
        <w:spacing w:line="500" w:lineRule="exact"/>
        <w:ind w:firstLine="480" w:firstLineChars="200"/>
        <w:jc w:val="left"/>
        <w:outlineLvl w:val="2"/>
        <w:rPr>
          <w:rFonts w:hint="eastAsia" w:ascii="宋体" w:hAnsi="宋体" w:eastAsia="宋体" w:cs="宋体"/>
          <w:color w:val="auto"/>
          <w:szCs w:val="21"/>
          <w:highlight w:val="none"/>
        </w:rPr>
      </w:pPr>
      <w:r>
        <w:rPr>
          <w:rFonts w:hint="eastAsia" w:ascii="宋体" w:hAnsi="宋体" w:eastAsia="宋体" w:cs="宋体"/>
          <w:b/>
          <w:color w:val="auto"/>
          <w:sz w:val="24"/>
          <w:highlight w:val="none"/>
        </w:rPr>
        <w:t>24.响应文件的开启</w:t>
      </w:r>
    </w:p>
    <w:p w14:paraId="334E574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24.1供应商在响应文件开启前应确保成为政府采购云平台供应商，并完成CA数字证书申领。因未注册入库、未办理CA数字证书等原因造成无法响应或响应失败等后果由供应商自行承担</w:t>
      </w:r>
    </w:p>
    <w:p w14:paraId="1997F20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24.2采购代理机构将在</w:t>
      </w:r>
      <w:r>
        <w:rPr>
          <w:rFonts w:hint="eastAsia" w:ascii="宋体" w:hAnsi="宋体" w:eastAsia="宋体" w:cs="宋体"/>
          <w:color w:val="auto"/>
          <w:highlight w:val="none"/>
        </w:rPr>
        <w:t>《供应商须知前附表》</w:t>
      </w:r>
      <w:r>
        <w:rPr>
          <w:rFonts w:hint="eastAsia" w:ascii="宋体" w:hAnsi="宋体" w:eastAsia="宋体" w:cs="宋体"/>
          <w:color w:val="auto"/>
          <w:szCs w:val="21"/>
          <w:highlight w:val="none"/>
        </w:rPr>
        <w:t>规定的时间和地点进行开启。</w:t>
      </w:r>
    </w:p>
    <w:p w14:paraId="31FF2816">
      <w:pPr>
        <w:tabs>
          <w:tab w:val="left" w:pos="3150"/>
          <w:tab w:val="center" w:pos="4734"/>
        </w:tabs>
        <w:spacing w:line="500" w:lineRule="exact"/>
        <w:ind w:firstLine="480" w:firstLineChars="200"/>
        <w:jc w:val="left"/>
        <w:outlineLvl w:val="2"/>
        <w:rPr>
          <w:rFonts w:hint="eastAsia" w:ascii="宋体" w:hAnsi="宋体" w:eastAsia="宋体" w:cs="宋体"/>
          <w:color w:val="auto"/>
          <w:szCs w:val="21"/>
          <w:highlight w:val="none"/>
        </w:rPr>
      </w:pPr>
      <w:r>
        <w:rPr>
          <w:rFonts w:hint="eastAsia" w:ascii="宋体" w:hAnsi="宋体" w:eastAsia="宋体" w:cs="宋体"/>
          <w:b/>
          <w:color w:val="auto"/>
          <w:sz w:val="24"/>
          <w:highlight w:val="none"/>
        </w:rPr>
        <w:t>25.响</w:t>
      </w:r>
      <w:bookmarkStart w:id="314" w:name="OLE_LINK79"/>
      <w:r>
        <w:rPr>
          <w:rFonts w:hint="eastAsia" w:ascii="宋体" w:hAnsi="宋体" w:eastAsia="宋体" w:cs="宋体"/>
          <w:b/>
          <w:color w:val="auto"/>
          <w:sz w:val="24"/>
          <w:highlight w:val="none"/>
        </w:rPr>
        <w:t>应文件的解</w:t>
      </w:r>
      <w:bookmarkEnd w:id="314"/>
      <w:r>
        <w:rPr>
          <w:rFonts w:hint="eastAsia" w:ascii="宋体" w:hAnsi="宋体" w:eastAsia="宋体" w:cs="宋体"/>
          <w:b/>
          <w:color w:val="auto"/>
          <w:sz w:val="24"/>
          <w:highlight w:val="none"/>
        </w:rPr>
        <w:t>密</w:t>
      </w:r>
    </w:p>
    <w:p w14:paraId="48B6EC8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响应文件开启时，供应商登录政府采购云平台完成远程解密、查看开标一览表等相关操作。本项目解密时间会在政采云系统显示，若供应商未在规定时间完成所有响应文件解密，则视为无效响应，不再进入协商阶段。</w:t>
      </w:r>
    </w:p>
    <w:p w14:paraId="741E29D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25.1电子响应文件解密：采购代理机构依托电子交易平台发起开始解密指令，供应商须使用加密时所用的 CA 锁按平台提示和竞争性磋商文件的规定登录到政府采购云平台电子开标大厅，并在发起解密指令之时起</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分钟内完成对电子响应文件在线解密。</w:t>
      </w:r>
    </w:p>
    <w:p w14:paraId="31A498B6">
      <w:pPr>
        <w:pStyle w:val="3"/>
        <w:spacing w:before="0" w:after="0" w:line="440" w:lineRule="exact"/>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t>六、</w:t>
      </w:r>
      <w:bookmarkEnd w:id="306"/>
      <w:bookmarkEnd w:id="307"/>
      <w:bookmarkEnd w:id="308"/>
      <w:bookmarkEnd w:id="309"/>
      <w:bookmarkEnd w:id="310"/>
      <w:bookmarkEnd w:id="311"/>
      <w:bookmarkEnd w:id="312"/>
      <w:bookmarkStart w:id="315" w:name="OLE_LINK77"/>
      <w:r>
        <w:rPr>
          <w:rFonts w:hint="eastAsia" w:ascii="宋体" w:hAnsi="宋体" w:eastAsia="宋体" w:cs="宋体"/>
          <w:bCs w:val="0"/>
          <w:color w:val="auto"/>
          <w:szCs w:val="28"/>
          <w:highlight w:val="none"/>
        </w:rPr>
        <w:t>协商</w:t>
      </w:r>
    </w:p>
    <w:bookmarkEnd w:id="315"/>
    <w:p w14:paraId="60B347A1">
      <w:pPr>
        <w:pStyle w:val="4"/>
        <w:spacing w:before="0" w:after="0" w:line="440" w:lineRule="exact"/>
        <w:ind w:firstLine="482"/>
        <w:jc w:val="both"/>
        <w:rPr>
          <w:rFonts w:hint="eastAsia" w:ascii="宋体" w:hAnsi="宋体" w:eastAsia="宋体" w:cs="宋体"/>
          <w:bCs w:val="0"/>
          <w:color w:val="auto"/>
          <w:szCs w:val="24"/>
          <w:highlight w:val="none"/>
        </w:rPr>
      </w:pPr>
      <w:bookmarkStart w:id="316" w:name="_Toc498050656"/>
      <w:bookmarkStart w:id="317" w:name="_Toc490305711"/>
      <w:bookmarkStart w:id="318" w:name="_Toc22493"/>
      <w:r>
        <w:rPr>
          <w:rFonts w:hint="eastAsia" w:ascii="宋体" w:hAnsi="宋体" w:eastAsia="宋体" w:cs="宋体"/>
          <w:bCs w:val="0"/>
          <w:color w:val="auto"/>
          <w:szCs w:val="24"/>
          <w:highlight w:val="none"/>
        </w:rPr>
        <w:t>26.</w:t>
      </w:r>
      <w:bookmarkEnd w:id="316"/>
      <w:bookmarkEnd w:id="317"/>
      <w:bookmarkEnd w:id="318"/>
      <w:bookmarkStart w:id="319" w:name="OLE_LINK80"/>
      <w:r>
        <w:rPr>
          <w:rFonts w:hint="eastAsia" w:ascii="宋体" w:hAnsi="宋体" w:eastAsia="宋体" w:cs="宋体"/>
          <w:bCs w:val="0"/>
          <w:color w:val="auto"/>
          <w:szCs w:val="24"/>
          <w:highlight w:val="none"/>
        </w:rPr>
        <w:t>单</w:t>
      </w:r>
      <w:bookmarkStart w:id="320" w:name="OLE_LINK81"/>
      <w:r>
        <w:rPr>
          <w:rFonts w:hint="eastAsia" w:ascii="宋体" w:hAnsi="宋体" w:eastAsia="宋体" w:cs="宋体"/>
          <w:bCs w:val="0"/>
          <w:color w:val="auto"/>
          <w:szCs w:val="24"/>
          <w:highlight w:val="none"/>
        </w:rPr>
        <w:t>一来源采购人员</w:t>
      </w:r>
      <w:bookmarkEnd w:id="319"/>
      <w:bookmarkEnd w:id="320"/>
    </w:p>
    <w:p w14:paraId="45C5A5A9">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26.1采购代理机构将在《供应商须知前附表》规定的时间和地点进行采购，供应商的法定代表人或其委托代理人应按时参加线上协商。</w:t>
      </w:r>
    </w:p>
    <w:p w14:paraId="5FFDB038">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 采购由单一来源采购人员负责。单一来源采购人员由采购人的代表和有关技术、经济等方面的专家组成，单一来源采购人员人数应当为3人以上单数。其中，技术、经济等方面的专家不得少于单一来源采购人员总数的三分之二。单一来源采购人员应当推选组长，但采购人代表不得担任组长。</w:t>
      </w:r>
    </w:p>
    <w:p w14:paraId="09986624">
      <w:pPr>
        <w:topLinePunct/>
        <w:autoSpaceDE w:val="0"/>
        <w:autoSpaceDN w:val="0"/>
        <w:adjustRightInd w:val="0"/>
        <w:snapToGrid w:val="0"/>
        <w:spacing w:line="360" w:lineRule="auto"/>
        <w:ind w:firstLine="480" w:firstLineChars="200"/>
        <w:outlineLvl w:val="2"/>
        <w:rPr>
          <w:rFonts w:hint="eastAsia" w:ascii="宋体" w:hAnsi="宋体" w:eastAsia="宋体" w:cs="宋体"/>
          <w:b/>
          <w:color w:val="auto"/>
          <w:sz w:val="24"/>
          <w:highlight w:val="none"/>
        </w:rPr>
      </w:pPr>
      <w:bookmarkStart w:id="321" w:name="_Toc498050657"/>
      <w:bookmarkStart w:id="322" w:name="_Toc2725"/>
      <w:bookmarkStart w:id="323" w:name="_Toc327533982"/>
      <w:bookmarkStart w:id="324" w:name="_Toc462330083"/>
      <w:bookmarkStart w:id="325" w:name="_Toc490305712"/>
      <w:bookmarkStart w:id="326" w:name="_Toc428490741"/>
      <w:bookmarkStart w:id="327" w:name="_Toc86124067"/>
      <w:r>
        <w:rPr>
          <w:rFonts w:hint="eastAsia" w:ascii="宋体" w:hAnsi="宋体" w:eastAsia="宋体" w:cs="宋体"/>
          <w:b/>
          <w:color w:val="auto"/>
          <w:sz w:val="24"/>
          <w:highlight w:val="none"/>
        </w:rPr>
        <w:t>2</w:t>
      </w:r>
      <w:bookmarkStart w:id="328" w:name="OLE_LINK82"/>
      <w:r>
        <w:rPr>
          <w:rFonts w:hint="eastAsia" w:ascii="宋体" w:hAnsi="宋体" w:eastAsia="宋体" w:cs="宋体"/>
          <w:b/>
          <w:color w:val="auto"/>
          <w:sz w:val="24"/>
          <w:highlight w:val="none"/>
        </w:rPr>
        <w:t>7.协商过程</w:t>
      </w:r>
      <w:bookmarkEnd w:id="328"/>
    </w:p>
    <w:p w14:paraId="08E88659">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271单一来源采购人员所有成员应当集中与供应商进行协商。</w:t>
      </w:r>
    </w:p>
    <w:p w14:paraId="61730EC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27.2在协商过程中，单一来源采购人员可以根据协商情况变动采购文件的内容。</w:t>
      </w:r>
    </w:p>
    <w:p w14:paraId="04DDE16F">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27.3采购人员与供应商就合同主要条款及价格进行协商，在保证采购质量前提和项目预算范围内，确定合同主要条款及合理的成交价格。</w:t>
      </w:r>
    </w:p>
    <w:p w14:paraId="0945B68D">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27.4对采购文件作出的变动是采购文件的有效组成部分，单一来源采购人员应当及时以书面形式通知供应商。</w:t>
      </w:r>
    </w:p>
    <w:p w14:paraId="026EE1F1">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27.5供应商应当按照采购文件的变动情况和单一来源采购人员的要求重新提交响应文件，并由其法定代表人或授权代表签字或者加盖公章。由授权代表签字的，应当附法定代表人授权书。供应商为自然人的，应当由本人签字并附身份证明。</w:t>
      </w:r>
    </w:p>
    <w:p w14:paraId="5784FB5B">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27.6协商后，供应商应再次提交报价。若单一来源采购人员认为供应商的报价不合理的，可多次与供应商进行价格协商，直至单一来源采购人员认为供应商的报价合理且能保证采购项目质量。</w:t>
      </w:r>
    </w:p>
    <w:p w14:paraId="36139476">
      <w:pPr>
        <w:tabs>
          <w:tab w:val="left" w:pos="3150"/>
          <w:tab w:val="center" w:pos="4734"/>
        </w:tabs>
        <w:spacing w:line="500" w:lineRule="exact"/>
        <w:ind w:firstLine="480" w:firstLineChars="200"/>
        <w:jc w:val="left"/>
        <w:outlineLvl w:val="2"/>
        <w:rPr>
          <w:rFonts w:hint="eastAsia" w:ascii="宋体" w:hAnsi="宋体" w:eastAsia="宋体" w:cs="宋体"/>
          <w:color w:val="auto"/>
          <w:szCs w:val="21"/>
          <w:highlight w:val="none"/>
        </w:rPr>
      </w:pPr>
      <w:r>
        <w:rPr>
          <w:rFonts w:hint="eastAsia" w:ascii="宋体" w:hAnsi="宋体" w:eastAsia="宋体" w:cs="宋体"/>
          <w:b/>
          <w:color w:val="auto"/>
          <w:sz w:val="24"/>
          <w:highlight w:val="none"/>
        </w:rPr>
        <w:t>28.响应文件的澄清和补正原则</w:t>
      </w:r>
    </w:p>
    <w:p w14:paraId="20CD433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w:t>
      </w:r>
      <w:bookmarkStart w:id="329" w:name="OLE_LINK85"/>
      <w:r>
        <w:rPr>
          <w:rFonts w:hint="eastAsia" w:ascii="宋体" w:hAnsi="宋体" w:eastAsia="宋体" w:cs="宋体"/>
          <w:color w:val="auto"/>
          <w:szCs w:val="21"/>
          <w:highlight w:val="none"/>
        </w:rPr>
        <w:t>单一来源采购</w:t>
      </w:r>
      <w:bookmarkStart w:id="330" w:name="OLE_LINK83"/>
      <w:r>
        <w:rPr>
          <w:rFonts w:hint="eastAsia" w:ascii="宋体" w:hAnsi="宋体" w:eastAsia="宋体" w:cs="宋体"/>
          <w:color w:val="auto"/>
          <w:szCs w:val="21"/>
          <w:highlight w:val="none"/>
        </w:rPr>
        <w:t>人员</w:t>
      </w:r>
      <w:bookmarkEnd w:id="329"/>
      <w:r>
        <w:rPr>
          <w:rFonts w:hint="eastAsia" w:ascii="宋体" w:hAnsi="宋体" w:eastAsia="宋体" w:cs="宋体"/>
          <w:color w:val="auto"/>
          <w:szCs w:val="21"/>
          <w:highlight w:val="none"/>
        </w:rPr>
        <w:t>在对响应文件的有效性、完整性和响应程度进行审查时，可以要求供应商对响应文件中含义不明确、同类问题表述不一致或者有明显文字和计算错误的内容等作出必要的澄清、说明或者更正。供</w:t>
      </w:r>
      <w:bookmarkEnd w:id="330"/>
      <w:r>
        <w:rPr>
          <w:rFonts w:hint="eastAsia" w:ascii="宋体" w:hAnsi="宋体" w:eastAsia="宋体" w:cs="宋体"/>
          <w:color w:val="auto"/>
          <w:szCs w:val="21"/>
          <w:highlight w:val="none"/>
        </w:rPr>
        <w:t>应商的澄清、 说明或者更正不得超出响应文件的范围或者改变响应文件的</w:t>
      </w:r>
      <w:bookmarkStart w:id="331" w:name="OLE_LINK84"/>
      <w:r>
        <w:rPr>
          <w:rFonts w:hint="eastAsia" w:ascii="宋体" w:hAnsi="宋体" w:eastAsia="宋体" w:cs="宋体"/>
          <w:color w:val="auto"/>
          <w:szCs w:val="21"/>
          <w:highlight w:val="none"/>
        </w:rPr>
        <w:t>实质性内容。</w:t>
      </w:r>
    </w:p>
    <w:p w14:paraId="479D4D2A">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28.2单一来源采购人员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bookmarkEnd w:id="321"/>
    <w:bookmarkEnd w:id="322"/>
    <w:bookmarkEnd w:id="323"/>
    <w:bookmarkEnd w:id="324"/>
    <w:bookmarkEnd w:id="325"/>
    <w:bookmarkEnd w:id="326"/>
    <w:bookmarkEnd w:id="327"/>
    <w:bookmarkEnd w:id="331"/>
    <w:p w14:paraId="2F4B6FD6">
      <w:pPr>
        <w:tabs>
          <w:tab w:val="left" w:pos="3150"/>
          <w:tab w:val="center" w:pos="4734"/>
        </w:tabs>
        <w:spacing w:line="360" w:lineRule="auto"/>
        <w:ind w:firstLine="480" w:firstLineChars="200"/>
        <w:jc w:val="left"/>
        <w:outlineLvl w:val="2"/>
        <w:rPr>
          <w:rFonts w:hint="eastAsia" w:ascii="宋体" w:hAnsi="宋体" w:eastAsia="宋体" w:cs="宋体"/>
          <w:color w:val="auto"/>
          <w:szCs w:val="21"/>
          <w:highlight w:val="none"/>
        </w:rPr>
      </w:pPr>
      <w:bookmarkStart w:id="332" w:name="OLE_LINK191"/>
      <w:bookmarkStart w:id="333" w:name="_Toc490305713"/>
      <w:bookmarkStart w:id="334" w:name="_Toc462330084"/>
      <w:bookmarkStart w:id="335" w:name="_Toc327533983"/>
      <w:bookmarkStart w:id="336" w:name="_Toc428490742"/>
      <w:bookmarkStart w:id="337" w:name="_Toc86124068"/>
      <w:bookmarkStart w:id="338" w:name="_Toc498050658"/>
      <w:bookmarkStart w:id="339" w:name="_Toc23687"/>
      <w:r>
        <w:rPr>
          <w:rFonts w:hint="eastAsia" w:ascii="宋体" w:hAnsi="宋体" w:eastAsia="宋体" w:cs="宋体"/>
          <w:b/>
          <w:color w:val="auto"/>
          <w:sz w:val="24"/>
          <w:highlight w:val="none"/>
        </w:rPr>
        <w:t>29</w:t>
      </w:r>
      <w:bookmarkStart w:id="340" w:name="OLE_LINK86"/>
      <w:r>
        <w:rPr>
          <w:rFonts w:hint="eastAsia" w:ascii="宋体" w:hAnsi="宋体" w:eastAsia="宋体" w:cs="宋体"/>
          <w:b/>
          <w:color w:val="auto"/>
          <w:sz w:val="24"/>
          <w:highlight w:val="none"/>
        </w:rPr>
        <w:t>.协商终止</w:t>
      </w:r>
      <w:bookmarkEnd w:id="340"/>
    </w:p>
    <w:bookmarkEnd w:id="332"/>
    <w:bookmarkEnd w:id="333"/>
    <w:bookmarkEnd w:id="334"/>
    <w:bookmarkEnd w:id="335"/>
    <w:bookmarkEnd w:id="336"/>
    <w:bookmarkEnd w:id="337"/>
    <w:bookmarkEnd w:id="338"/>
    <w:p w14:paraId="7D2F8051">
      <w:pPr>
        <w:spacing w:line="440" w:lineRule="exact"/>
        <w:ind w:firstLine="420" w:firstLineChars="200"/>
        <w:rPr>
          <w:rFonts w:hint="eastAsia" w:ascii="宋体" w:hAnsi="宋体" w:eastAsia="宋体" w:cs="宋体"/>
          <w:color w:val="auto"/>
          <w:szCs w:val="21"/>
          <w:highlight w:val="none"/>
        </w:rPr>
      </w:pPr>
      <w:bookmarkStart w:id="341" w:name="OLE_LINK133"/>
      <w:r>
        <w:rPr>
          <w:rFonts w:hint="eastAsia" w:ascii="宋体" w:hAnsi="宋体" w:eastAsia="宋体" w:cs="宋体"/>
          <w:color w:val="auto"/>
          <w:szCs w:val="21"/>
          <w:highlight w:val="none"/>
        </w:rPr>
        <w:t>29.1出现下列情形之一的，采购人或者采购代理机构将终止协商活动，发布项目终止公告并说明原因，重新开展采购活动：</w:t>
      </w:r>
      <w:bookmarkEnd w:id="339"/>
    </w:p>
    <w:bookmarkEnd w:id="341"/>
    <w:p w14:paraId="50CEDE98">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（1）因情况变化，不再符合规定的单一来源采购方式适用情形的；</w:t>
      </w:r>
    </w:p>
    <w:p w14:paraId="0C6276DB">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66D3F1AF">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（3）报价超过采购预算的。</w:t>
      </w:r>
      <w:bookmarkStart w:id="342" w:name="_Toc12807"/>
      <w:bookmarkStart w:id="343" w:name="_Toc86124069"/>
      <w:bookmarkStart w:id="344" w:name="_Toc16864"/>
      <w:bookmarkStart w:id="345" w:name="_Toc498050659"/>
      <w:bookmarkStart w:id="346" w:name="_Toc462330085"/>
      <w:bookmarkStart w:id="347" w:name="_Toc490305714"/>
      <w:bookmarkStart w:id="348" w:name="_Toc428490743"/>
    </w:p>
    <w:p w14:paraId="543AD39C">
      <w:pPr>
        <w:pStyle w:val="3"/>
        <w:spacing w:before="0" w:after="0" w:line="440" w:lineRule="exact"/>
        <w:rPr>
          <w:rFonts w:hint="eastAsia" w:ascii="宋体" w:hAnsi="宋体" w:eastAsia="宋体" w:cs="宋体"/>
          <w:bCs w:val="0"/>
          <w:snapToGrid w:val="0"/>
          <w:color w:val="auto"/>
          <w:kern w:val="21"/>
          <w:szCs w:val="28"/>
          <w:highlight w:val="none"/>
        </w:rPr>
      </w:pPr>
      <w:r>
        <w:rPr>
          <w:rFonts w:hint="eastAsia" w:ascii="宋体" w:hAnsi="宋体" w:eastAsia="宋体" w:cs="宋体"/>
          <w:bCs w:val="0"/>
          <w:snapToGrid w:val="0"/>
          <w:color w:val="auto"/>
          <w:kern w:val="21"/>
          <w:szCs w:val="28"/>
          <w:highlight w:val="none"/>
        </w:rPr>
        <w:t>七、成交结果</w:t>
      </w:r>
      <w:bookmarkEnd w:id="342"/>
      <w:bookmarkEnd w:id="343"/>
      <w:bookmarkEnd w:id="344"/>
      <w:bookmarkEnd w:id="345"/>
      <w:bookmarkEnd w:id="346"/>
      <w:bookmarkEnd w:id="347"/>
      <w:bookmarkEnd w:id="348"/>
    </w:p>
    <w:p w14:paraId="75689AEF">
      <w:pPr>
        <w:pStyle w:val="4"/>
        <w:spacing w:before="0" w:after="0" w:line="440" w:lineRule="exact"/>
        <w:ind w:firstLine="482"/>
        <w:jc w:val="both"/>
        <w:rPr>
          <w:rFonts w:hint="eastAsia" w:ascii="宋体" w:hAnsi="宋体" w:eastAsia="宋体" w:cs="宋体"/>
          <w:bCs w:val="0"/>
          <w:color w:val="auto"/>
          <w:szCs w:val="24"/>
          <w:highlight w:val="none"/>
        </w:rPr>
      </w:pPr>
      <w:bookmarkStart w:id="349" w:name="_Toc327533985"/>
      <w:bookmarkStart w:id="350" w:name="_Toc428490744"/>
      <w:bookmarkStart w:id="351" w:name="_Toc498050660"/>
      <w:bookmarkStart w:id="352" w:name="_Toc29638"/>
      <w:bookmarkStart w:id="353" w:name="_Toc490305715"/>
      <w:bookmarkStart w:id="354" w:name="_Toc86124070"/>
      <w:bookmarkStart w:id="355" w:name="_Toc462330086"/>
      <w:r>
        <w:rPr>
          <w:rFonts w:hint="eastAsia" w:ascii="宋体" w:hAnsi="宋体" w:eastAsia="宋体" w:cs="宋体"/>
          <w:bCs w:val="0"/>
          <w:color w:val="auto"/>
          <w:szCs w:val="24"/>
          <w:highlight w:val="none"/>
        </w:rPr>
        <w:t>30.成交</w:t>
      </w:r>
      <w:bookmarkStart w:id="356" w:name="OLE_LINK87"/>
      <w:r>
        <w:rPr>
          <w:rFonts w:hint="eastAsia" w:ascii="宋体" w:hAnsi="宋体" w:eastAsia="宋体" w:cs="宋体"/>
          <w:bCs w:val="0"/>
          <w:color w:val="auto"/>
          <w:szCs w:val="24"/>
          <w:highlight w:val="none"/>
        </w:rPr>
        <w:t>供应商的确定</w:t>
      </w:r>
      <w:bookmarkEnd w:id="349"/>
      <w:bookmarkEnd w:id="350"/>
      <w:bookmarkEnd w:id="351"/>
      <w:bookmarkEnd w:id="352"/>
      <w:bookmarkEnd w:id="353"/>
      <w:bookmarkEnd w:id="354"/>
      <w:bookmarkEnd w:id="355"/>
      <w:bookmarkEnd w:id="356"/>
    </w:p>
    <w:p w14:paraId="3E0EDCE6">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30.1采购代理机构在评审结束后2个工作日内将评审报告送采购人确认。</w:t>
      </w:r>
    </w:p>
    <w:p w14:paraId="4F508B82">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30.2采购人在收到评审报告后5个工作日内确定成交供应商。</w:t>
      </w:r>
    </w:p>
    <w:p w14:paraId="1544C91A">
      <w:pPr>
        <w:pStyle w:val="4"/>
        <w:spacing w:before="0" w:after="0" w:line="440" w:lineRule="exact"/>
        <w:ind w:firstLine="482"/>
        <w:jc w:val="both"/>
        <w:rPr>
          <w:rFonts w:hint="eastAsia" w:ascii="宋体" w:hAnsi="宋体" w:eastAsia="宋体" w:cs="宋体"/>
          <w:bCs w:val="0"/>
          <w:color w:val="auto"/>
          <w:szCs w:val="24"/>
          <w:highlight w:val="none"/>
        </w:rPr>
      </w:pPr>
      <w:bookmarkStart w:id="357" w:name="_Toc8052"/>
      <w:bookmarkStart w:id="358" w:name="_Toc490305716"/>
      <w:bookmarkStart w:id="359" w:name="_Toc498050661"/>
      <w:bookmarkStart w:id="360" w:name="_Toc327533986"/>
      <w:bookmarkStart w:id="361" w:name="_Toc428490745"/>
      <w:bookmarkStart w:id="362" w:name="_Toc462330087"/>
      <w:r>
        <w:rPr>
          <w:rFonts w:hint="eastAsia" w:ascii="宋体" w:hAnsi="宋体" w:eastAsia="宋体" w:cs="宋体"/>
          <w:bCs w:val="0"/>
          <w:color w:val="auto"/>
          <w:szCs w:val="24"/>
          <w:highlight w:val="none"/>
        </w:rPr>
        <w:t>31.</w:t>
      </w:r>
      <w:bookmarkStart w:id="363" w:name="OLE_LINK88"/>
      <w:r>
        <w:rPr>
          <w:rFonts w:hint="eastAsia" w:ascii="宋体" w:hAnsi="宋体" w:eastAsia="宋体" w:cs="宋体"/>
          <w:bCs w:val="0"/>
          <w:color w:val="auto"/>
          <w:szCs w:val="24"/>
          <w:highlight w:val="none"/>
        </w:rPr>
        <w:t>成交通知书</w:t>
      </w:r>
      <w:bookmarkEnd w:id="357"/>
      <w:bookmarkEnd w:id="358"/>
      <w:bookmarkEnd w:id="359"/>
      <w:bookmarkEnd w:id="360"/>
      <w:bookmarkEnd w:id="361"/>
      <w:bookmarkEnd w:id="362"/>
      <w:bookmarkEnd w:id="363"/>
    </w:p>
    <w:p w14:paraId="5C716BB2">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31.1成交供应商确定后，采购代理机构将在成交供应商确定后2个工作日内在云南省政府采购网上公告，同时向成交供应商发出成交通知书。成交公告期限为1个工作日。</w:t>
      </w:r>
    </w:p>
    <w:p w14:paraId="22F6F159">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31.2成交通知书是合同的一个组成部分。</w:t>
      </w:r>
    </w:p>
    <w:p w14:paraId="06CBCD3E">
      <w:pPr>
        <w:pStyle w:val="4"/>
        <w:spacing w:before="0" w:after="0" w:line="440" w:lineRule="exact"/>
        <w:ind w:firstLine="482"/>
        <w:jc w:val="both"/>
        <w:rPr>
          <w:rFonts w:hint="eastAsia" w:ascii="宋体" w:hAnsi="宋体" w:eastAsia="宋体" w:cs="宋体"/>
          <w:bCs w:val="0"/>
          <w:color w:val="auto"/>
          <w:szCs w:val="24"/>
          <w:highlight w:val="none"/>
        </w:rPr>
      </w:pPr>
      <w:bookmarkStart w:id="364" w:name="_Toc498050662"/>
      <w:bookmarkStart w:id="365" w:name="_Toc327533987"/>
      <w:bookmarkStart w:id="366" w:name="_Toc25273"/>
      <w:bookmarkStart w:id="367" w:name="_Toc462330088"/>
      <w:bookmarkStart w:id="368" w:name="_Toc490305717"/>
      <w:bookmarkStart w:id="369" w:name="_Toc86124072"/>
      <w:bookmarkStart w:id="370" w:name="_Toc428490746"/>
      <w:r>
        <w:rPr>
          <w:rFonts w:hint="eastAsia" w:ascii="宋体" w:hAnsi="宋体" w:eastAsia="宋体" w:cs="宋体"/>
          <w:bCs w:val="0"/>
          <w:color w:val="auto"/>
          <w:szCs w:val="24"/>
          <w:highlight w:val="none"/>
        </w:rPr>
        <w:t>32.签订合同</w:t>
      </w:r>
      <w:bookmarkEnd w:id="364"/>
      <w:bookmarkEnd w:id="365"/>
      <w:bookmarkEnd w:id="366"/>
      <w:bookmarkEnd w:id="367"/>
      <w:bookmarkEnd w:id="368"/>
      <w:bookmarkEnd w:id="369"/>
      <w:bookmarkEnd w:id="370"/>
    </w:p>
    <w:p w14:paraId="55C6F150">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32.1采购人与成交供应商应当自成交通知书发出之日起30日内，按照单一来源采购文件确定的合同文本以及采购标的、规格型号、采购金额、采购数量、技术和服务要求等事项签订政府采购合同。</w:t>
      </w:r>
    </w:p>
    <w:p w14:paraId="4F2D16FF">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 成交供应商因不可抗力或者自身原因不能履行政府采购合同的，项目采购失败。</w:t>
      </w:r>
    </w:p>
    <w:p w14:paraId="19F58C90">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w:t>
      </w:r>
      <w:r>
        <w:rPr>
          <w:rFonts w:hint="eastAsia" w:ascii="宋体" w:hAnsi="宋体" w:eastAsia="宋体" w:cs="宋体"/>
          <w:color w:val="auto"/>
          <w:highlight w:val="none"/>
        </w:rPr>
        <w:t>采购人允许采用分包方式履行合同的，成交人可以依法在成交后将成交项目的非主体、非关键性工作采取分包方式履行合同。本项目的非主体、非关键性工作是否允许分包，见《供应商须知前附表》。政府采购合同分包履行的，应当在响应文件中载明分包承担主体，分包承担主体应当具备相应资质条件且不得再次分包，否则响应无效。成交人就采购项目和分包项目向采购人负责，分包供应商就分包项目承担责任</w:t>
      </w:r>
      <w:r>
        <w:rPr>
          <w:rFonts w:hint="eastAsia" w:ascii="宋体" w:hAnsi="宋体" w:eastAsia="宋体" w:cs="宋体"/>
          <w:color w:val="auto"/>
          <w:szCs w:val="21"/>
          <w:highlight w:val="none"/>
        </w:rPr>
        <w:t>。</w:t>
      </w:r>
    </w:p>
    <w:p w14:paraId="77D0659F">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32.4政府采购合同履行中，采购人需追加与合同标的相同的货物的，在不改变合同其他条款的前提下，可以与成交供应商协商签订补充合同，但所有补充合同的采购金额不得超过原合同采购金额的百分之十。</w:t>
      </w:r>
    </w:p>
    <w:p w14:paraId="159E4B26">
      <w:pPr>
        <w:spacing w:line="360" w:lineRule="auto"/>
        <w:ind w:firstLine="420" w:firstLineChars="200"/>
        <w:jc w:val="left"/>
        <w:rPr>
          <w:rFonts w:hint="eastAsia" w:ascii="宋体" w:hAnsi="宋体" w:eastAsia="宋体" w:cs="宋体"/>
          <w:b/>
          <w:snapToGrid w:val="0"/>
          <w:color w:val="auto"/>
          <w:kern w:val="21"/>
          <w:sz w:val="24"/>
          <w:highlight w:val="none"/>
        </w:rPr>
      </w:pPr>
      <w:bookmarkStart w:id="371" w:name="_Toc498050663"/>
      <w:bookmarkStart w:id="372" w:name="_Toc490305718"/>
      <w:bookmarkStart w:id="373" w:name="_Toc26282"/>
      <w:bookmarkStart w:id="374" w:name="_Toc327533988"/>
      <w:bookmarkStart w:id="375" w:name="_Toc86124073"/>
      <w:bookmarkStart w:id="376" w:name="_Toc462330089"/>
      <w:bookmarkStart w:id="377" w:name="_Toc428490747"/>
      <w:r>
        <w:rPr>
          <w:rFonts w:hint="eastAsia" w:ascii="宋体" w:hAnsi="宋体" w:eastAsia="宋体" w:cs="宋体"/>
          <w:color w:val="auto"/>
          <w:szCs w:val="21"/>
          <w:highlight w:val="none"/>
        </w:rPr>
        <w:t>32.5成交供应商拒绝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14:paraId="76EFB8B5">
      <w:pPr>
        <w:pStyle w:val="4"/>
        <w:spacing w:before="0" w:after="0" w:line="440" w:lineRule="exact"/>
        <w:ind w:firstLine="482"/>
        <w:jc w:val="both"/>
        <w:rPr>
          <w:rFonts w:hint="eastAsia" w:ascii="宋体" w:hAnsi="宋体" w:eastAsia="宋体" w:cs="宋体"/>
          <w:bCs w:val="0"/>
          <w:snapToGrid w:val="0"/>
          <w:color w:val="auto"/>
          <w:kern w:val="21"/>
          <w:szCs w:val="24"/>
          <w:highlight w:val="none"/>
        </w:rPr>
      </w:pPr>
      <w:r>
        <w:rPr>
          <w:rFonts w:hint="eastAsia" w:ascii="宋体" w:hAnsi="宋体" w:eastAsia="宋体" w:cs="宋体"/>
          <w:bCs w:val="0"/>
          <w:snapToGrid w:val="0"/>
          <w:color w:val="auto"/>
          <w:kern w:val="21"/>
          <w:szCs w:val="24"/>
          <w:highlight w:val="none"/>
        </w:rPr>
        <w:t>33.履约保证金</w:t>
      </w:r>
      <w:bookmarkEnd w:id="371"/>
      <w:bookmarkEnd w:id="372"/>
      <w:bookmarkEnd w:id="373"/>
      <w:bookmarkEnd w:id="374"/>
      <w:bookmarkEnd w:id="375"/>
      <w:bookmarkEnd w:id="376"/>
      <w:bookmarkEnd w:id="377"/>
    </w:p>
    <w:p w14:paraId="0E19D4CB">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 </w:t>
      </w:r>
      <w:bookmarkStart w:id="378" w:name="OLE_LINK91"/>
      <w:r>
        <w:rPr>
          <w:rFonts w:hint="eastAsia" w:ascii="宋体" w:hAnsi="宋体" w:eastAsia="宋体" w:cs="宋体"/>
          <w:color w:val="auto"/>
          <w:szCs w:val="21"/>
          <w:highlight w:val="none"/>
        </w:rPr>
        <w:t>《供应商须知前附表》规定收取履约保证金的，供应商应按《供应商须知前附表》确定的履约保证金的金额及形式，向采购人提交履约保证金，联合体成交的，其履约保证金由牵头人提交。否则，视为放弃成交项目，保证金将不予退还</w:t>
      </w:r>
      <w:bookmarkEnd w:id="378"/>
      <w:r>
        <w:rPr>
          <w:rFonts w:hint="eastAsia" w:ascii="宋体" w:hAnsi="宋体" w:eastAsia="宋体" w:cs="宋体"/>
          <w:color w:val="auto"/>
          <w:szCs w:val="21"/>
          <w:highlight w:val="none"/>
        </w:rPr>
        <w:t>。</w:t>
      </w:r>
    </w:p>
    <w:p w14:paraId="6397E32A">
      <w:pPr>
        <w:autoSpaceDE w:val="0"/>
        <w:autoSpaceDN w:val="0"/>
        <w:adjustRightIn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 </w:t>
      </w:r>
      <w:bookmarkStart w:id="379" w:name="OLE_LINK194"/>
      <w:r>
        <w:rPr>
          <w:rFonts w:hint="eastAsia" w:ascii="宋体" w:hAnsi="宋体" w:eastAsia="宋体" w:cs="宋体"/>
          <w:color w:val="auto"/>
          <w:szCs w:val="21"/>
          <w:highlight w:val="none"/>
        </w:rPr>
        <w:t>签订合同后，如供应商不按双方签订合同约定履约，则没收其全部履约保证金，给采购人造成的损失超过履约保证金数额的，供应商还应当对超过部分予以赔偿</w:t>
      </w:r>
      <w:bookmarkEnd w:id="379"/>
      <w:r>
        <w:rPr>
          <w:rFonts w:hint="eastAsia" w:ascii="宋体" w:hAnsi="宋体" w:eastAsia="宋体" w:cs="宋体"/>
          <w:color w:val="auto"/>
          <w:szCs w:val="21"/>
          <w:highlight w:val="none"/>
        </w:rPr>
        <w:t>。</w:t>
      </w:r>
    </w:p>
    <w:p w14:paraId="2B1371CA">
      <w:pPr>
        <w:tabs>
          <w:tab w:val="left" w:pos="3150"/>
          <w:tab w:val="center" w:pos="4734"/>
        </w:tabs>
        <w:spacing w:line="500" w:lineRule="exact"/>
        <w:ind w:firstLine="280" w:firstLineChars="100"/>
        <w:jc w:val="center"/>
        <w:outlineLvl w:val="1"/>
        <w:rPr>
          <w:rFonts w:hint="eastAsia" w:ascii="宋体" w:hAnsi="宋体" w:eastAsia="宋体" w:cs="宋体"/>
          <w:b/>
          <w:color w:val="auto"/>
          <w:sz w:val="28"/>
          <w:szCs w:val="28"/>
          <w:highlight w:val="none"/>
        </w:rPr>
      </w:pPr>
      <w:bookmarkStart w:id="380" w:name="_Toc13284_WPSOffice_Level2"/>
      <w:bookmarkStart w:id="381" w:name="_Toc132880280"/>
      <w:bookmarkStart w:id="382" w:name="_Toc23713"/>
      <w:bookmarkStart w:id="383" w:name="OLE_LINK195"/>
      <w:r>
        <w:rPr>
          <w:rFonts w:hint="eastAsia" w:ascii="宋体" w:hAnsi="宋体" w:eastAsia="宋体" w:cs="宋体"/>
          <w:b/>
          <w:color w:val="auto"/>
          <w:sz w:val="28"/>
          <w:szCs w:val="28"/>
          <w:highlight w:val="none"/>
        </w:rPr>
        <w:t>八、质疑</w:t>
      </w:r>
      <w:bookmarkEnd w:id="380"/>
      <w:bookmarkEnd w:id="381"/>
      <w:r>
        <w:rPr>
          <w:rFonts w:hint="eastAsia" w:ascii="宋体" w:hAnsi="宋体" w:eastAsia="宋体" w:cs="宋体"/>
          <w:b/>
          <w:color w:val="auto"/>
          <w:sz w:val="28"/>
          <w:szCs w:val="28"/>
          <w:highlight w:val="none"/>
        </w:rPr>
        <w:t>投诉</w:t>
      </w:r>
      <w:bookmarkEnd w:id="382"/>
    </w:p>
    <w:p w14:paraId="5EB82209">
      <w:pPr>
        <w:tabs>
          <w:tab w:val="left" w:pos="3150"/>
          <w:tab w:val="center" w:pos="4734"/>
        </w:tabs>
        <w:spacing w:line="360" w:lineRule="auto"/>
        <w:ind w:firstLine="480" w:firstLineChars="200"/>
        <w:jc w:val="left"/>
        <w:outlineLvl w:val="2"/>
        <w:rPr>
          <w:rFonts w:hint="eastAsia" w:ascii="宋体" w:hAnsi="宋体" w:eastAsia="宋体" w:cs="宋体"/>
          <w:b/>
          <w:color w:val="auto"/>
          <w:sz w:val="24"/>
          <w:highlight w:val="none"/>
        </w:rPr>
      </w:pPr>
      <w:bookmarkStart w:id="384" w:name="OLE_LINK254"/>
      <w:r>
        <w:rPr>
          <w:rFonts w:hint="eastAsia" w:ascii="宋体" w:hAnsi="宋体" w:eastAsia="宋体" w:cs="宋体"/>
          <w:b/>
          <w:color w:val="auto"/>
          <w:sz w:val="24"/>
          <w:highlight w:val="none"/>
        </w:rPr>
        <w:t>34.质疑</w:t>
      </w:r>
    </w:p>
    <w:bookmarkEnd w:id="383"/>
    <w:bookmarkEnd w:id="384"/>
    <w:p w14:paraId="6F19E45A">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34.1供应商认为</w:t>
      </w:r>
      <w:bookmarkStart w:id="385" w:name="OLE_LINK89"/>
      <w:r>
        <w:rPr>
          <w:rFonts w:hint="eastAsia" w:ascii="宋体" w:hAnsi="宋体" w:eastAsia="宋体" w:cs="宋体"/>
          <w:color w:val="auto"/>
          <w:highlight w:val="none"/>
        </w:rPr>
        <w:t>单一来源采购文件</w:t>
      </w:r>
      <w:bookmarkEnd w:id="385"/>
      <w:r>
        <w:rPr>
          <w:rFonts w:hint="eastAsia" w:ascii="宋体" w:hAnsi="宋体" w:eastAsia="宋体" w:cs="宋体"/>
          <w:color w:val="auto"/>
          <w:highlight w:val="none"/>
        </w:rPr>
        <w:t>、采购过程、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6B4F936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34.2单一来源采购文件中“知道或者应知其权益受到损害之日”是指：</w:t>
      </w:r>
    </w:p>
    <w:p w14:paraId="74E4929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（1）对可以质疑的采购文件提出质疑的，为收到采购文件之日或者采购文件公告期限届满之日；</w:t>
      </w:r>
    </w:p>
    <w:p w14:paraId="4337AFB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（2）对采购过程提出质疑的，为各采购程序环节结束之日；</w:t>
      </w:r>
    </w:p>
    <w:p w14:paraId="4F940A1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（3）对成交结果提出质疑的，为成交结果公告期限届满之日。</w:t>
      </w:r>
    </w:p>
    <w:p w14:paraId="53F5E93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3FABE65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提出质疑的供应商应当是参与所质疑项目采购活动的供应商。</w:t>
      </w:r>
    </w:p>
    <w:p w14:paraId="611D526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3DE8DBA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（1）供应商的姓名或者名称、地址、邮编、联系人及联系电话；</w:t>
      </w:r>
    </w:p>
    <w:p w14:paraId="789FC83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（2）质疑项目的名称、编号；</w:t>
      </w:r>
    </w:p>
    <w:p w14:paraId="31CC7CD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（3）具体、明确的质疑事项和与质疑事项相关的请求；</w:t>
      </w:r>
    </w:p>
    <w:p w14:paraId="1996E81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（4）事实依据；</w:t>
      </w:r>
    </w:p>
    <w:p w14:paraId="47EFC87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（5）必要的法律依据；</w:t>
      </w:r>
    </w:p>
    <w:p w14:paraId="2505C22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（6）提出质疑的日期。</w:t>
      </w:r>
    </w:p>
    <w:p w14:paraId="4054A2A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供应商为自然人的，应当由本人签字；供应商为法人或者其他组织的，应当由法定代表人、主要负责人，或者其授权代表签字或者盖章，并加盖公章。</w:t>
      </w:r>
    </w:p>
    <w:p w14:paraId="5227E1A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34.5供应商不得捏造事实、提供虚假材料或者以非法手段取得证明材料。</w:t>
      </w:r>
    </w:p>
    <w:p w14:paraId="479FB30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34.6质疑函应当使用中文。相关当事人提供外文书证或者外国语视听资料的，应当附有中文译本，由翻译机构盖章或者翻译人员签名。</w:t>
      </w:r>
    </w:p>
    <w:p w14:paraId="5932D35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34.7采购人、采购代理机构将在收到供应商质疑函后七个工作日内作出答复，但质疑答复的内容不涉及商业秘密。</w:t>
      </w:r>
    </w:p>
    <w:p w14:paraId="47E6B88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34.8供应商对评审过程、成交结果提出质疑的，采购人、采购代理机构可以组织原单一来源采购人员协助答复质疑。质疑答复导致成交结果改变的，采购人或者采购代理机构会将有关情况书面报告本级财政部门。</w:t>
      </w:r>
    </w:p>
    <w:p w14:paraId="18270D5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34.9接收质疑函的方式：书面方式；接收质疑函的部门：云南中咨海外咨询有限公司；联系人、联系电话：同询问联系方式；通讯地址：云南省昆明市滇池度假区中天融域小区17幢1单元4楼。</w:t>
      </w:r>
    </w:p>
    <w:p w14:paraId="21F591C7">
      <w:pPr>
        <w:tabs>
          <w:tab w:val="left" w:pos="3150"/>
          <w:tab w:val="center" w:pos="4734"/>
        </w:tabs>
        <w:spacing w:line="360" w:lineRule="auto"/>
        <w:ind w:firstLine="480" w:firstLineChars="200"/>
        <w:jc w:val="left"/>
        <w:outlineLvl w:val="2"/>
        <w:rPr>
          <w:rFonts w:hint="eastAsia" w:ascii="宋体" w:hAnsi="宋体" w:eastAsia="宋体" w:cs="宋体"/>
          <w:b/>
          <w:color w:val="auto"/>
          <w:sz w:val="24"/>
          <w:highlight w:val="none"/>
        </w:rPr>
      </w:pPr>
      <w:bookmarkStart w:id="386" w:name="_Toc489197816"/>
      <w:bookmarkStart w:id="387" w:name="_Toc16110"/>
      <w:bookmarkStart w:id="388" w:name="_Toc30469"/>
      <w:bookmarkStart w:id="389" w:name="_Toc15777"/>
      <w:bookmarkStart w:id="390" w:name="_Toc37716357"/>
      <w:bookmarkStart w:id="391" w:name="_Toc489145712"/>
      <w:bookmarkStart w:id="392" w:name="_Toc38338277"/>
      <w:r>
        <w:rPr>
          <w:rFonts w:hint="eastAsia" w:ascii="宋体" w:hAnsi="宋体" w:eastAsia="宋体" w:cs="宋体"/>
          <w:b/>
          <w:color w:val="auto"/>
          <w:sz w:val="24"/>
          <w:highlight w:val="none"/>
        </w:rPr>
        <w:t>35.投诉</w:t>
      </w:r>
      <w:bookmarkEnd w:id="386"/>
      <w:bookmarkEnd w:id="387"/>
      <w:bookmarkEnd w:id="388"/>
      <w:bookmarkEnd w:id="389"/>
      <w:bookmarkEnd w:id="390"/>
      <w:bookmarkEnd w:id="391"/>
      <w:bookmarkEnd w:id="392"/>
    </w:p>
    <w:p w14:paraId="2EE55B42">
      <w:pPr>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highlight w:val="none"/>
        </w:rPr>
        <w:t>35.1</w:t>
      </w:r>
      <w:r>
        <w:rPr>
          <w:rFonts w:hint="eastAsia" w:ascii="宋体" w:hAnsi="宋体" w:eastAsia="宋体" w:cs="宋体"/>
          <w:color w:val="auto"/>
          <w:kern w:val="0"/>
          <w:highlight w:val="none"/>
        </w:rPr>
        <w:t>投诉</w:t>
      </w:r>
      <w:r>
        <w:rPr>
          <w:rFonts w:hint="eastAsia" w:ascii="宋体" w:hAnsi="宋体" w:eastAsia="宋体" w:cs="宋体"/>
          <w:color w:val="auto"/>
          <w:highlight w:val="none"/>
        </w:rPr>
        <w:t>必须首先经过质疑程序。质疑供应商对采购人、采购代理机构的答复不满意，或者采购人、采购代理机构未在规定时间内作出答复的，可以在答复期满后十五个工作日内书面向财政部门提起投诉。</w:t>
      </w:r>
    </w:p>
    <w:p w14:paraId="2A28546D">
      <w:pPr>
        <w:pStyle w:val="3"/>
        <w:spacing w:before="0" w:after="0" w:line="440" w:lineRule="exact"/>
        <w:ind w:left="-600"/>
        <w:rPr>
          <w:rFonts w:hint="eastAsia" w:ascii="宋体" w:hAnsi="宋体" w:eastAsia="宋体" w:cs="宋体"/>
          <w:bCs w:val="0"/>
          <w:snapToGrid w:val="0"/>
          <w:color w:val="auto"/>
          <w:kern w:val="21"/>
          <w:szCs w:val="28"/>
          <w:highlight w:val="none"/>
        </w:rPr>
      </w:pPr>
      <w:bookmarkStart w:id="393" w:name="_Toc20362"/>
      <w:bookmarkStart w:id="394" w:name="_Toc498050664"/>
      <w:bookmarkStart w:id="395" w:name="_Toc428490748"/>
      <w:bookmarkStart w:id="396" w:name="_Toc21829"/>
      <w:bookmarkStart w:id="397" w:name="_Toc86124074"/>
      <w:bookmarkStart w:id="398" w:name="_Toc462330090"/>
      <w:bookmarkStart w:id="399" w:name="_Toc490305719"/>
      <w:r>
        <w:rPr>
          <w:rFonts w:hint="eastAsia" w:ascii="宋体" w:hAnsi="宋体" w:eastAsia="宋体" w:cs="宋体"/>
          <w:bCs w:val="0"/>
          <w:snapToGrid w:val="0"/>
          <w:color w:val="auto"/>
          <w:kern w:val="21"/>
          <w:szCs w:val="28"/>
          <w:highlight w:val="none"/>
        </w:rPr>
        <w:t>九、其他事项</w:t>
      </w:r>
      <w:bookmarkEnd w:id="393"/>
      <w:bookmarkEnd w:id="394"/>
      <w:bookmarkEnd w:id="395"/>
      <w:bookmarkEnd w:id="396"/>
      <w:bookmarkEnd w:id="397"/>
      <w:bookmarkEnd w:id="398"/>
      <w:bookmarkEnd w:id="399"/>
    </w:p>
    <w:p w14:paraId="237DF4D8">
      <w:pPr>
        <w:tabs>
          <w:tab w:val="left" w:pos="3150"/>
          <w:tab w:val="center" w:pos="4734"/>
        </w:tabs>
        <w:spacing w:line="500" w:lineRule="exact"/>
        <w:ind w:firstLine="480" w:firstLineChars="200"/>
        <w:jc w:val="left"/>
        <w:outlineLvl w:val="2"/>
        <w:rPr>
          <w:rFonts w:hint="eastAsia" w:ascii="宋体" w:hAnsi="宋体" w:eastAsia="宋体" w:cs="宋体"/>
          <w:b/>
          <w:color w:val="auto"/>
          <w:sz w:val="24"/>
          <w:highlight w:val="none"/>
        </w:rPr>
      </w:pPr>
      <w:bookmarkStart w:id="400" w:name="OLE_LINK196"/>
      <w:r>
        <w:rPr>
          <w:rFonts w:hint="eastAsia" w:ascii="宋体" w:hAnsi="宋体" w:eastAsia="宋体" w:cs="宋体"/>
          <w:b/>
          <w:color w:val="auto"/>
          <w:sz w:val="24"/>
          <w:highlight w:val="none"/>
        </w:rPr>
        <w:t>36.采购代理服务费</w:t>
      </w:r>
    </w:p>
    <w:p w14:paraId="65896CB9">
      <w:pPr>
        <w:keepNext w:val="0"/>
        <w:keepLines w:val="0"/>
        <w:pageBreakBefore w:val="0"/>
        <w:widowControl/>
        <w:suppressLineNumbers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bookmarkStart w:id="401" w:name="OLE_LINK325"/>
      <w:r>
        <w:rPr>
          <w:rFonts w:hint="eastAsia" w:ascii="宋体" w:hAnsi="宋体" w:eastAsia="宋体" w:cs="宋体"/>
          <w:color w:val="auto"/>
          <w:szCs w:val="21"/>
          <w:highlight w:val="none"/>
        </w:rPr>
        <w:t>36.1采购代理服务费按中华人民共和国国家计划委员会[计价格[2002]1980号]文件规定的收费标准及《国家发展改革委办公厅关于招标代理服务收费有关问题的通知》[2003]857号文的规定下浮25%收取，由成交人承担（计算基准价为成交金额）。</w:t>
      </w:r>
    </w:p>
    <w:p w14:paraId="6D01D95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36.2</w:t>
      </w:r>
      <w:bookmarkEnd w:id="400"/>
      <w:bookmarkEnd w:id="401"/>
      <w:r>
        <w:rPr>
          <w:rFonts w:hint="eastAsia" w:ascii="宋体" w:hAnsi="宋体" w:eastAsia="宋体" w:cs="宋体"/>
          <w:color w:val="auto"/>
          <w:kern w:val="0"/>
          <w:szCs w:val="21"/>
          <w:highlight w:val="none"/>
        </w:rPr>
        <w:t>付费方</w:t>
      </w:r>
      <w:r>
        <w:rPr>
          <w:rFonts w:hint="eastAsia" w:ascii="宋体" w:hAnsi="宋体" w:eastAsia="宋体" w:cs="宋体"/>
          <w:color w:val="auto"/>
          <w:szCs w:val="21"/>
          <w:highlight w:val="none"/>
        </w:rPr>
        <w:t>应按委托代理合同约定或在成交人接受“成交通知书”前向采购代理机构一次付清采购代理服务费。</w:t>
      </w:r>
    </w:p>
    <w:p w14:paraId="522EECE3">
      <w:pPr>
        <w:tabs>
          <w:tab w:val="left" w:pos="3150"/>
          <w:tab w:val="center" w:pos="4734"/>
        </w:tabs>
        <w:spacing w:line="500" w:lineRule="exact"/>
        <w:ind w:firstLine="480" w:firstLineChars="200"/>
        <w:jc w:val="left"/>
        <w:outlineLvl w:val="2"/>
        <w:rPr>
          <w:rFonts w:hint="eastAsia" w:ascii="宋体" w:hAnsi="宋体" w:eastAsia="宋体" w:cs="宋体"/>
          <w:b/>
          <w:color w:val="auto"/>
          <w:sz w:val="24"/>
          <w:highlight w:val="none"/>
        </w:rPr>
      </w:pPr>
      <w:bookmarkStart w:id="402" w:name="_Toc3097"/>
      <w:bookmarkStart w:id="403" w:name="OLE_LINK197"/>
      <w:r>
        <w:rPr>
          <w:rFonts w:hint="eastAsia" w:ascii="宋体" w:hAnsi="宋体" w:eastAsia="宋体" w:cs="宋体"/>
          <w:b/>
          <w:color w:val="auto"/>
          <w:sz w:val="24"/>
          <w:highlight w:val="none"/>
        </w:rPr>
        <w:t>37.需要补充的其他内容</w:t>
      </w:r>
      <w:bookmarkEnd w:id="402"/>
    </w:p>
    <w:p w14:paraId="616BB3B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highlight w:val="none"/>
        </w:rPr>
        <w:t>37.1其他需要补充的其他内容：详见《供应商须知前附表》</w:t>
      </w:r>
      <w:r>
        <w:rPr>
          <w:rFonts w:hint="eastAsia" w:ascii="宋体" w:hAnsi="宋体" w:eastAsia="宋体" w:cs="宋体"/>
          <w:color w:val="auto"/>
          <w:szCs w:val="21"/>
          <w:highlight w:val="none"/>
        </w:rPr>
        <w:t>。</w:t>
      </w:r>
    </w:p>
    <w:bookmarkEnd w:id="403"/>
    <w:p w14:paraId="0ABCDA7B">
      <w:pPr>
        <w:pStyle w:val="2"/>
        <w:jc w:val="center"/>
        <w:rPr>
          <w:rFonts w:hint="eastAsia" w:ascii="宋体" w:hAnsi="宋体" w:eastAsia="宋体" w:cs="宋体"/>
          <w:color w:val="auto"/>
          <w:sz w:val="32"/>
          <w:szCs w:val="32"/>
          <w:highlight w:val="none"/>
        </w:rPr>
      </w:pPr>
      <w:bookmarkStart w:id="404" w:name="_Toc86124078"/>
      <w:bookmarkStart w:id="405" w:name="_Toc28280"/>
      <w:bookmarkStart w:id="406" w:name="_Toc30341"/>
      <w:bookmarkStart w:id="407" w:name="OLE_LINK92"/>
      <w:bookmarkStart w:id="408" w:name="_Toc19928"/>
      <w:r>
        <w:rPr>
          <w:rFonts w:hint="eastAsia" w:ascii="宋体" w:hAnsi="宋体" w:eastAsia="宋体" w:cs="宋体"/>
          <w:bCs w:val="0"/>
          <w:color w:val="auto"/>
          <w:kern w:val="2"/>
          <w:sz w:val="32"/>
          <w:szCs w:val="32"/>
          <w:highlight w:val="none"/>
        </w:rPr>
        <w:t>第三章  合同书样式及主要条款</w:t>
      </w:r>
      <w:bookmarkEnd w:id="404"/>
      <w:bookmarkEnd w:id="405"/>
      <w:bookmarkEnd w:id="406"/>
      <w:bookmarkEnd w:id="407"/>
      <w:bookmarkEnd w:id="408"/>
    </w:p>
    <w:p w14:paraId="517416BE">
      <w:pPr>
        <w:pStyle w:val="3"/>
        <w:spacing w:before="0"/>
        <w:rPr>
          <w:rFonts w:hint="eastAsia" w:ascii="宋体" w:hAnsi="宋体" w:eastAsia="宋体" w:cs="宋体"/>
          <w:color w:val="auto"/>
          <w:szCs w:val="28"/>
          <w:highlight w:val="none"/>
        </w:rPr>
      </w:pPr>
      <w:bookmarkStart w:id="409" w:name="_Toc86124079"/>
      <w:bookmarkStart w:id="410" w:name="_Toc492340338"/>
      <w:bookmarkStart w:id="411" w:name="_Toc25107"/>
      <w:bookmarkStart w:id="412" w:name="_Toc32658"/>
      <w:bookmarkStart w:id="413" w:name="_Toc14109"/>
      <w:bookmarkStart w:id="414" w:name="_Toc86124081"/>
      <w:r>
        <w:rPr>
          <w:rFonts w:hint="eastAsia" w:ascii="宋体" w:hAnsi="宋体" w:eastAsia="宋体" w:cs="宋体"/>
          <w:color w:val="auto"/>
          <w:szCs w:val="28"/>
          <w:highlight w:val="none"/>
        </w:rPr>
        <w:t>合同条款前附表</w:t>
      </w:r>
      <w:bookmarkEnd w:id="409"/>
      <w:bookmarkEnd w:id="410"/>
      <w:bookmarkEnd w:id="411"/>
    </w:p>
    <w:tbl>
      <w:tblPr>
        <w:tblStyle w:val="38"/>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137"/>
        <w:gridCol w:w="5682"/>
      </w:tblGrid>
      <w:tr w14:paraId="2B12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5AE608A9">
            <w:pPr>
              <w:pStyle w:val="18"/>
              <w:spacing w:line="4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137" w:type="dxa"/>
            <w:tcBorders>
              <w:bottom w:val="single" w:color="auto" w:sz="4" w:space="0"/>
            </w:tcBorders>
            <w:vAlign w:val="center"/>
          </w:tcPr>
          <w:p w14:paraId="02F33568">
            <w:pPr>
              <w:pStyle w:val="18"/>
              <w:spacing w:line="4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   容</w:t>
            </w:r>
          </w:p>
        </w:tc>
        <w:tc>
          <w:tcPr>
            <w:tcW w:w="5682" w:type="dxa"/>
            <w:tcBorders>
              <w:bottom w:val="single" w:color="auto" w:sz="4" w:space="0"/>
            </w:tcBorders>
            <w:vAlign w:val="center"/>
          </w:tcPr>
          <w:p w14:paraId="31DE7AC3">
            <w:pPr>
              <w:pStyle w:val="18"/>
              <w:spacing w:line="4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要   求</w:t>
            </w:r>
          </w:p>
        </w:tc>
      </w:tr>
      <w:tr w14:paraId="4236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55CEFE14">
            <w:pPr>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1</w:t>
            </w:r>
          </w:p>
        </w:tc>
        <w:tc>
          <w:tcPr>
            <w:tcW w:w="2137" w:type="dxa"/>
            <w:tcBorders>
              <w:top w:val="single" w:color="auto" w:sz="4" w:space="0"/>
              <w:left w:val="single" w:color="auto" w:sz="4" w:space="0"/>
              <w:bottom w:val="single" w:color="auto" w:sz="4" w:space="0"/>
            </w:tcBorders>
            <w:vAlign w:val="center"/>
          </w:tcPr>
          <w:p w14:paraId="51B93888">
            <w:pPr>
              <w:pStyle w:val="18"/>
              <w:autoSpaceDE/>
              <w:autoSpaceDN/>
              <w:adjustRightInd/>
              <w:spacing w:line="360" w:lineRule="auto"/>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合同履行期限（服务期限）</w:t>
            </w:r>
          </w:p>
        </w:tc>
        <w:tc>
          <w:tcPr>
            <w:tcW w:w="5682" w:type="dxa"/>
            <w:tcBorders>
              <w:top w:val="single" w:color="auto" w:sz="4" w:space="0"/>
              <w:left w:val="single" w:color="auto" w:sz="4" w:space="0"/>
              <w:bottom w:val="single" w:color="auto" w:sz="4" w:space="0"/>
            </w:tcBorders>
            <w:vAlign w:val="center"/>
          </w:tcPr>
          <w:p w14:paraId="1D7A0161">
            <w:pPr>
              <w:pStyle w:val="18"/>
              <w:autoSpaceDE/>
              <w:autoSpaceDN/>
              <w:adjustRightInd/>
              <w:spacing w:line="360" w:lineRule="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2025年9月30日之前完成安装调试、培训，并通过采购人验收。</w:t>
            </w:r>
          </w:p>
        </w:tc>
      </w:tr>
      <w:tr w14:paraId="788D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122" w:type="dxa"/>
            <w:tcBorders>
              <w:top w:val="single" w:color="auto" w:sz="4" w:space="0"/>
            </w:tcBorders>
            <w:vAlign w:val="center"/>
          </w:tcPr>
          <w:p w14:paraId="5304A9B9">
            <w:pPr>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2</w:t>
            </w:r>
          </w:p>
        </w:tc>
        <w:tc>
          <w:tcPr>
            <w:tcW w:w="2137" w:type="dxa"/>
            <w:tcBorders>
              <w:top w:val="single" w:color="auto" w:sz="4" w:space="0"/>
            </w:tcBorders>
            <w:vAlign w:val="center"/>
          </w:tcPr>
          <w:p w14:paraId="4DAF5BEE">
            <w:pPr>
              <w:spacing w:line="40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服务地点</w:t>
            </w:r>
          </w:p>
        </w:tc>
        <w:tc>
          <w:tcPr>
            <w:tcW w:w="5682" w:type="dxa"/>
            <w:tcBorders>
              <w:top w:val="single" w:color="auto" w:sz="4" w:space="0"/>
            </w:tcBorders>
            <w:vAlign w:val="center"/>
          </w:tcPr>
          <w:p w14:paraId="39DF277D">
            <w:pPr>
              <w:spacing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lang w:eastAsia="zh-CN"/>
                <w14:textFill>
                  <w14:solidFill>
                    <w14:schemeClr w14:val="tx1"/>
                  </w14:solidFill>
                </w14:textFill>
              </w:rPr>
              <w:t>云南财经职业学院（云南省昆明市龙泉路408号）</w:t>
            </w:r>
            <w:r>
              <w:rPr>
                <w:rFonts w:hint="eastAsia" w:ascii="宋体" w:hAnsi="宋体" w:eastAsia="宋体" w:cs="宋体"/>
                <w:color w:val="000000" w:themeColor="text1"/>
                <w:szCs w:val="21"/>
                <w:highlight w:val="none"/>
                <w14:textFill>
                  <w14:solidFill>
                    <w14:schemeClr w14:val="tx1"/>
                  </w14:solidFill>
                </w14:textFill>
              </w:rPr>
              <w:t>。</w:t>
            </w:r>
          </w:p>
        </w:tc>
      </w:tr>
      <w:tr w14:paraId="3C315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62B0B722">
            <w:pPr>
              <w:jc w:val="center"/>
              <w:rPr>
                <w:rFonts w:hint="eastAsia" w:ascii="宋体" w:hAnsi="宋体" w:eastAsia="宋体" w:cs="宋体"/>
                <w:bCs/>
                <w:color w:val="auto"/>
                <w:szCs w:val="21"/>
                <w:highlight w:val="none"/>
                <w:lang w:eastAsia="zh-CN"/>
              </w:rPr>
            </w:pPr>
            <w:r>
              <w:rPr>
                <w:rFonts w:hint="eastAsia" w:ascii="宋体" w:hAnsi="宋体" w:eastAsia="宋体" w:cs="宋体"/>
                <w:szCs w:val="21"/>
                <w:highlight w:val="none"/>
              </w:rPr>
              <w:t>▲</w:t>
            </w:r>
            <w:r>
              <w:rPr>
                <w:rFonts w:hint="eastAsia" w:ascii="宋体" w:hAnsi="宋体" w:eastAsia="宋体" w:cs="宋体"/>
                <w:bCs/>
                <w:color w:val="auto"/>
                <w:szCs w:val="21"/>
                <w:highlight w:val="none"/>
                <w:lang w:val="en-US" w:eastAsia="zh-CN"/>
              </w:rPr>
              <w:t>3</w:t>
            </w:r>
          </w:p>
        </w:tc>
        <w:tc>
          <w:tcPr>
            <w:tcW w:w="2137" w:type="dxa"/>
            <w:vAlign w:val="center"/>
          </w:tcPr>
          <w:p w14:paraId="590FC469">
            <w:pPr>
              <w:spacing w:line="360" w:lineRule="auto"/>
              <w:jc w:val="center"/>
              <w:rPr>
                <w:rFonts w:hint="eastAsia" w:ascii="宋体" w:hAnsi="宋体" w:eastAsia="宋体" w:cs="宋体"/>
                <w:color w:val="auto"/>
                <w:szCs w:val="21"/>
                <w:highlight w:val="none"/>
              </w:rPr>
            </w:pPr>
            <w:r>
              <w:rPr>
                <w:rFonts w:hint="eastAsia" w:ascii="宋体" w:hAnsi="宋体" w:eastAsia="宋体" w:cs="宋体"/>
                <w:szCs w:val="21"/>
                <w:highlight w:val="none"/>
              </w:rPr>
              <w:t>付款方式</w:t>
            </w:r>
          </w:p>
        </w:tc>
        <w:tc>
          <w:tcPr>
            <w:tcW w:w="5682" w:type="dxa"/>
            <w:vAlign w:val="center"/>
          </w:tcPr>
          <w:p w14:paraId="5B4CCC8A">
            <w:pPr>
              <w:spacing w:line="360" w:lineRule="auto"/>
              <w:rPr>
                <w:rFonts w:hint="eastAsia" w:ascii="宋体" w:hAnsi="宋体" w:eastAsia="宋体" w:cs="宋体"/>
                <w:highlight w:val="none"/>
                <w:lang w:val="en-US" w:eastAsia="zh-CN"/>
              </w:rPr>
            </w:pPr>
            <w:r>
              <w:rPr>
                <w:rFonts w:hint="eastAsia" w:ascii="宋体" w:hAnsi="宋体" w:cs="宋体"/>
              </w:rPr>
              <w:t>自合同签订之日起三十日内，支付合同总额的</w:t>
            </w:r>
            <w:r>
              <w:rPr>
                <w:rFonts w:hint="eastAsia" w:ascii="宋体" w:hAnsi="宋体" w:cs="宋体"/>
                <w:lang w:eastAsia="zh-CN"/>
              </w:rPr>
              <w:t>5</w:t>
            </w:r>
            <w:r>
              <w:rPr>
                <w:rFonts w:hint="eastAsia" w:ascii="宋体" w:hAnsi="宋体" w:cs="宋体"/>
                <w:lang w:val="en-US" w:eastAsia="zh-CN"/>
              </w:rPr>
              <w:t>0</w:t>
            </w:r>
            <w:r>
              <w:rPr>
                <w:rFonts w:hint="eastAsia" w:ascii="宋体" w:hAnsi="宋体" w:cs="宋体"/>
              </w:rPr>
              <w:t>%</w:t>
            </w:r>
            <w:r>
              <w:rPr>
                <w:rFonts w:hint="eastAsia" w:ascii="宋体" w:hAnsi="宋体" w:cs="宋体"/>
                <w:lang w:val="en-US" w:eastAsia="zh-CN"/>
              </w:rPr>
              <w:t>首付款</w:t>
            </w:r>
            <w:r>
              <w:rPr>
                <w:rFonts w:hint="eastAsia" w:ascii="宋体" w:hAnsi="宋体" w:cs="宋体"/>
              </w:rPr>
              <w:t>至乙方指定账户，完成整个项目的全部服务内容并验收合格后30日内支付合同金额的</w:t>
            </w:r>
            <w:r>
              <w:rPr>
                <w:rFonts w:hint="eastAsia" w:ascii="宋体" w:hAnsi="宋体" w:cs="宋体"/>
                <w:lang w:eastAsia="zh-CN"/>
              </w:rPr>
              <w:t>5</w:t>
            </w:r>
            <w:r>
              <w:rPr>
                <w:rFonts w:hint="eastAsia" w:ascii="宋体" w:hAnsi="宋体" w:cs="宋体"/>
                <w:lang w:val="en-US" w:eastAsia="zh-CN"/>
              </w:rPr>
              <w:t>0</w:t>
            </w:r>
            <w:r>
              <w:rPr>
                <w:rFonts w:hint="eastAsia" w:ascii="宋体" w:hAnsi="宋体" w:cs="宋体"/>
              </w:rPr>
              <w:t>%</w:t>
            </w:r>
            <w:r>
              <w:rPr>
                <w:rFonts w:hint="eastAsia" w:ascii="宋体" w:hAnsi="宋体" w:cs="宋体"/>
                <w:lang w:val="en-US" w:eastAsia="zh-CN"/>
              </w:rPr>
              <w:t>尾款</w:t>
            </w:r>
            <w:r>
              <w:rPr>
                <w:rFonts w:hint="eastAsia" w:ascii="宋体" w:hAnsi="宋体" w:cs="宋体"/>
              </w:rPr>
              <w:t>至乙方指定账户。付款时乙方需提供增值税普通发票。</w:t>
            </w:r>
          </w:p>
        </w:tc>
      </w:tr>
    </w:tbl>
    <w:p w14:paraId="331C5642">
      <w:pPr>
        <w:pStyle w:val="2"/>
        <w:keepLines/>
        <w:autoSpaceDE/>
        <w:autoSpaceDN/>
        <w:adjustRightInd/>
        <w:jc w:val="center"/>
        <w:rPr>
          <w:rFonts w:hint="eastAsia" w:ascii="宋体" w:hAnsi="宋体" w:eastAsia="宋体" w:cs="宋体"/>
          <w:color w:val="auto"/>
          <w:kern w:val="44"/>
          <w:sz w:val="32"/>
          <w:szCs w:val="32"/>
          <w:highlight w:val="none"/>
        </w:rPr>
        <w:sectPr>
          <w:pgSz w:w="11906" w:h="16838"/>
          <w:pgMar w:top="1417" w:right="1417" w:bottom="1417" w:left="1417" w:header="510" w:footer="680" w:gutter="0"/>
          <w:pgNumType w:fmt="decimal"/>
          <w:cols w:space="720" w:num="1"/>
          <w:titlePg/>
          <w:docGrid w:type="linesAndChars" w:linePitch="312" w:charSpace="0"/>
        </w:sectPr>
      </w:pPr>
    </w:p>
    <w:p w14:paraId="145B0439">
      <w:pPr>
        <w:spacing w:before="162" w:line="221" w:lineRule="auto"/>
        <w:ind w:firstLine="1040"/>
        <w:jc w:val="center"/>
        <w:rPr>
          <w:rFonts w:hint="eastAsia" w:ascii="宋体" w:hAnsi="宋体" w:eastAsia="宋体" w:cs="宋体"/>
          <w:spacing w:val="10"/>
          <w:sz w:val="50"/>
          <w:szCs w:val="50"/>
          <w:highlight w:val="none"/>
        </w:rPr>
      </w:pPr>
      <w:bookmarkStart w:id="415" w:name="_Toc32542"/>
    </w:p>
    <w:p w14:paraId="53773A24">
      <w:pPr>
        <w:spacing w:before="162" w:line="221" w:lineRule="auto"/>
        <w:ind w:firstLine="1040"/>
        <w:jc w:val="center"/>
        <w:rPr>
          <w:rFonts w:hint="eastAsia" w:ascii="宋体" w:hAnsi="宋体" w:eastAsia="宋体" w:cs="宋体"/>
          <w:spacing w:val="10"/>
          <w:sz w:val="50"/>
          <w:szCs w:val="50"/>
          <w:highlight w:val="none"/>
        </w:rPr>
      </w:pPr>
    </w:p>
    <w:p w14:paraId="4FCF5B55">
      <w:pPr>
        <w:spacing w:line="221" w:lineRule="auto"/>
        <w:jc w:val="center"/>
        <w:rPr>
          <w:rFonts w:hint="eastAsia" w:ascii="宋体" w:hAnsi="宋体" w:eastAsia="宋体" w:cs="宋体"/>
          <w:spacing w:val="10"/>
          <w:sz w:val="50"/>
          <w:szCs w:val="50"/>
          <w:highlight w:val="none"/>
        </w:rPr>
      </w:pPr>
    </w:p>
    <w:p w14:paraId="747F8E7B">
      <w:pPr>
        <w:spacing w:line="221" w:lineRule="auto"/>
        <w:jc w:val="center"/>
        <w:rPr>
          <w:rFonts w:hint="eastAsia" w:ascii="宋体" w:hAnsi="宋体" w:eastAsia="宋体" w:cs="宋体"/>
          <w:spacing w:val="10"/>
          <w:sz w:val="50"/>
          <w:szCs w:val="50"/>
          <w:highlight w:val="none"/>
        </w:rPr>
      </w:pPr>
    </w:p>
    <w:p w14:paraId="16F8174C">
      <w:pPr>
        <w:spacing w:line="221" w:lineRule="auto"/>
        <w:jc w:val="center"/>
        <w:rPr>
          <w:rFonts w:hint="eastAsia" w:ascii="宋体" w:hAnsi="宋体" w:eastAsia="宋体" w:cs="宋体"/>
          <w:sz w:val="50"/>
          <w:szCs w:val="50"/>
          <w:highlight w:val="none"/>
        </w:rPr>
      </w:pPr>
      <w:r>
        <w:rPr>
          <w:rFonts w:hint="eastAsia" w:ascii="宋体" w:hAnsi="宋体" w:eastAsia="宋体" w:cs="宋体"/>
          <w:spacing w:val="10"/>
          <w:sz w:val="50"/>
          <w:szCs w:val="50"/>
          <w:highlight w:val="none"/>
        </w:rPr>
        <w:t>政府采购合同</w:t>
      </w:r>
    </w:p>
    <w:p w14:paraId="0C7D2D82">
      <w:pPr>
        <w:pStyle w:val="14"/>
        <w:adjustRightInd/>
        <w:jc w:val="center"/>
        <w:rPr>
          <w:rFonts w:hint="eastAsia" w:ascii="宋体" w:hAnsi="宋体" w:eastAsia="宋体" w:cs="宋体"/>
          <w:highlight w:val="none"/>
        </w:rPr>
      </w:pPr>
    </w:p>
    <w:p w14:paraId="13E52137">
      <w:pPr>
        <w:pStyle w:val="14"/>
        <w:adjustRightInd/>
        <w:jc w:val="center"/>
        <w:rPr>
          <w:rFonts w:hint="eastAsia" w:ascii="宋体" w:hAnsi="宋体" w:eastAsia="宋体" w:cs="宋体"/>
          <w:highlight w:val="none"/>
        </w:rPr>
      </w:pPr>
    </w:p>
    <w:p w14:paraId="0C1EA38C">
      <w:pPr>
        <w:pStyle w:val="14"/>
        <w:adjustRightInd/>
        <w:jc w:val="center"/>
        <w:rPr>
          <w:rFonts w:hint="eastAsia" w:ascii="宋体" w:hAnsi="宋体" w:eastAsia="宋体" w:cs="宋体"/>
          <w:highlight w:val="none"/>
        </w:rPr>
      </w:pPr>
    </w:p>
    <w:p w14:paraId="68BB4000">
      <w:pPr>
        <w:pStyle w:val="14"/>
        <w:adjustRightInd/>
        <w:jc w:val="center"/>
        <w:rPr>
          <w:rFonts w:hint="eastAsia" w:ascii="宋体" w:hAnsi="宋体" w:eastAsia="宋体" w:cs="宋体"/>
          <w:highlight w:val="none"/>
        </w:rPr>
      </w:pPr>
    </w:p>
    <w:p w14:paraId="4493B154">
      <w:pPr>
        <w:pStyle w:val="14"/>
        <w:adjustRightInd/>
        <w:jc w:val="center"/>
        <w:rPr>
          <w:rFonts w:hint="eastAsia" w:ascii="宋体" w:hAnsi="宋体" w:eastAsia="宋体" w:cs="宋体"/>
          <w:highlight w:val="none"/>
        </w:rPr>
      </w:pPr>
    </w:p>
    <w:tbl>
      <w:tblPr>
        <w:tblStyle w:val="39"/>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7674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48BCDCC">
            <w:pPr>
              <w:widowControl/>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 目 名 称：</w:t>
            </w:r>
          </w:p>
        </w:tc>
        <w:tc>
          <w:tcPr>
            <w:tcW w:w="4428" w:type="dxa"/>
            <w:tcBorders>
              <w:top w:val="nil"/>
              <w:left w:val="nil"/>
              <w:bottom w:val="nil"/>
              <w:right w:val="nil"/>
            </w:tcBorders>
          </w:tcPr>
          <w:p w14:paraId="396D242D">
            <w:pPr>
              <w:widowControl/>
              <w:snapToGrid w:val="0"/>
              <w:spacing w:line="360" w:lineRule="auto"/>
              <w:jc w:val="center"/>
              <w:rPr>
                <w:rFonts w:hint="eastAsia" w:ascii="宋体" w:hAnsi="宋体" w:eastAsia="宋体" w:cs="宋体"/>
                <w:b/>
                <w:bCs/>
                <w:sz w:val="28"/>
                <w:szCs w:val="28"/>
                <w:highlight w:val="none"/>
              </w:rPr>
            </w:pPr>
          </w:p>
        </w:tc>
      </w:tr>
      <w:tr w14:paraId="5E00C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EC2EDE0">
            <w:pPr>
              <w:widowControl/>
              <w:snapToGrid w:val="0"/>
              <w:spacing w:line="360" w:lineRule="auto"/>
              <w:jc w:val="center"/>
              <w:rPr>
                <w:rFonts w:hint="eastAsia" w:ascii="宋体" w:hAnsi="宋体" w:eastAsia="宋体" w:cs="宋体"/>
                <w:sz w:val="24"/>
                <w:highlight w:val="none"/>
              </w:rPr>
            </w:pPr>
            <w:r>
              <w:rPr>
                <w:rFonts w:hint="eastAsia" w:ascii="宋体" w:hAnsi="宋体" w:eastAsia="宋体" w:cs="宋体"/>
                <w:spacing w:val="-2"/>
                <w:sz w:val="24"/>
                <w:highlight w:val="none"/>
              </w:rPr>
              <w:t>合</w:t>
            </w:r>
            <w:r>
              <w:rPr>
                <w:rFonts w:hint="eastAsia" w:ascii="宋体" w:hAnsi="宋体" w:eastAsia="宋体" w:cs="宋体"/>
                <w:spacing w:val="39"/>
                <w:sz w:val="24"/>
                <w:highlight w:val="none"/>
              </w:rPr>
              <w:t xml:space="preserve"> </w:t>
            </w:r>
            <w:r>
              <w:rPr>
                <w:rFonts w:hint="eastAsia" w:ascii="宋体" w:hAnsi="宋体" w:eastAsia="宋体" w:cs="宋体"/>
                <w:spacing w:val="-1"/>
                <w:sz w:val="24"/>
                <w:highlight w:val="none"/>
              </w:rPr>
              <w:t>同 编 号：</w:t>
            </w:r>
          </w:p>
        </w:tc>
        <w:tc>
          <w:tcPr>
            <w:tcW w:w="4428" w:type="dxa"/>
            <w:tcBorders>
              <w:top w:val="nil"/>
              <w:left w:val="nil"/>
              <w:bottom w:val="nil"/>
              <w:right w:val="nil"/>
            </w:tcBorders>
          </w:tcPr>
          <w:p w14:paraId="2CE4FC92">
            <w:pPr>
              <w:widowControl/>
              <w:snapToGrid w:val="0"/>
              <w:spacing w:line="360" w:lineRule="auto"/>
              <w:jc w:val="center"/>
              <w:rPr>
                <w:rFonts w:hint="eastAsia" w:ascii="宋体" w:hAnsi="宋体" w:eastAsia="宋体" w:cs="宋体"/>
                <w:b/>
                <w:bCs/>
                <w:sz w:val="28"/>
                <w:szCs w:val="28"/>
                <w:highlight w:val="none"/>
              </w:rPr>
            </w:pPr>
            <w:r>
              <w:rPr>
                <w:rFonts w:hint="eastAsia" w:ascii="宋体" w:hAnsi="宋体" w:eastAsia="宋体" w:cs="宋体"/>
                <w:spacing w:val="-1"/>
                <w:sz w:val="19"/>
                <w:szCs w:val="19"/>
                <w:highlight w:val="none"/>
              </w:rPr>
              <w:t>（系统编号）</w:t>
            </w:r>
          </w:p>
        </w:tc>
      </w:tr>
      <w:tr w14:paraId="5E34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8979DD2">
            <w:pPr>
              <w:widowControl/>
              <w:snapToGrid w:val="0"/>
              <w:spacing w:line="360" w:lineRule="auto"/>
              <w:jc w:val="center"/>
              <w:rPr>
                <w:rFonts w:hint="eastAsia" w:ascii="宋体" w:hAnsi="宋体" w:eastAsia="宋体" w:cs="宋体"/>
                <w:sz w:val="24"/>
                <w:highlight w:val="none"/>
              </w:rPr>
            </w:pPr>
          </w:p>
        </w:tc>
        <w:tc>
          <w:tcPr>
            <w:tcW w:w="4428" w:type="dxa"/>
            <w:tcBorders>
              <w:top w:val="nil"/>
              <w:left w:val="nil"/>
              <w:bottom w:val="nil"/>
              <w:right w:val="nil"/>
            </w:tcBorders>
          </w:tcPr>
          <w:p w14:paraId="1599C603">
            <w:pPr>
              <w:widowControl/>
              <w:snapToGrid w:val="0"/>
              <w:spacing w:line="360" w:lineRule="auto"/>
              <w:jc w:val="center"/>
              <w:rPr>
                <w:rFonts w:hint="eastAsia" w:ascii="宋体" w:hAnsi="宋体" w:eastAsia="宋体" w:cs="宋体"/>
                <w:spacing w:val="-1"/>
                <w:sz w:val="19"/>
                <w:szCs w:val="19"/>
                <w:highlight w:val="none"/>
              </w:rPr>
            </w:pPr>
            <w:r>
              <w:rPr>
                <w:rFonts w:hint="eastAsia" w:ascii="宋体" w:hAnsi="宋体" w:eastAsia="宋体" w:cs="宋体"/>
                <w:spacing w:val="-1"/>
                <w:sz w:val="19"/>
                <w:szCs w:val="19"/>
                <w:highlight w:val="none"/>
              </w:rPr>
              <w:t>（自编号，如有）</w:t>
            </w:r>
          </w:p>
        </w:tc>
      </w:tr>
      <w:tr w14:paraId="186B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7BECEABA">
            <w:pPr>
              <w:widowControl/>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甲       方：</w:t>
            </w:r>
          </w:p>
        </w:tc>
        <w:tc>
          <w:tcPr>
            <w:tcW w:w="4428" w:type="dxa"/>
            <w:tcBorders>
              <w:top w:val="nil"/>
              <w:left w:val="nil"/>
              <w:bottom w:val="nil"/>
              <w:right w:val="nil"/>
            </w:tcBorders>
          </w:tcPr>
          <w:p w14:paraId="2917C820">
            <w:pPr>
              <w:widowControl/>
              <w:snapToGrid w:val="0"/>
              <w:spacing w:line="360" w:lineRule="auto"/>
              <w:jc w:val="center"/>
              <w:rPr>
                <w:rFonts w:hint="eastAsia" w:ascii="宋体" w:hAnsi="宋体" w:eastAsia="宋体" w:cs="宋体"/>
                <w:spacing w:val="-1"/>
                <w:sz w:val="19"/>
                <w:szCs w:val="19"/>
                <w:highlight w:val="none"/>
              </w:rPr>
            </w:pPr>
          </w:p>
        </w:tc>
      </w:tr>
      <w:tr w14:paraId="115F9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A282715">
            <w:pPr>
              <w:widowControl/>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乙       方：</w:t>
            </w:r>
          </w:p>
        </w:tc>
        <w:tc>
          <w:tcPr>
            <w:tcW w:w="4428" w:type="dxa"/>
            <w:tcBorders>
              <w:top w:val="nil"/>
              <w:left w:val="nil"/>
              <w:bottom w:val="nil"/>
              <w:right w:val="nil"/>
            </w:tcBorders>
          </w:tcPr>
          <w:p w14:paraId="4F33B3FA">
            <w:pPr>
              <w:widowControl/>
              <w:snapToGrid w:val="0"/>
              <w:spacing w:line="360" w:lineRule="auto"/>
              <w:jc w:val="center"/>
              <w:rPr>
                <w:rFonts w:hint="eastAsia" w:ascii="宋体" w:hAnsi="宋体" w:eastAsia="宋体" w:cs="宋体"/>
                <w:spacing w:val="-1"/>
                <w:sz w:val="19"/>
                <w:szCs w:val="19"/>
                <w:highlight w:val="none"/>
              </w:rPr>
            </w:pPr>
          </w:p>
        </w:tc>
      </w:tr>
    </w:tbl>
    <w:p w14:paraId="2BD3C2DA">
      <w:pPr>
        <w:widowControl/>
        <w:ind w:firstLine="482"/>
        <w:jc w:val="center"/>
        <w:rPr>
          <w:rFonts w:hint="eastAsia" w:ascii="宋体" w:hAnsi="宋体" w:eastAsia="宋体" w:cs="宋体"/>
          <w:b/>
          <w:bCs/>
          <w:sz w:val="24"/>
          <w:highlight w:val="none"/>
        </w:rPr>
      </w:pPr>
      <w:r>
        <w:rPr>
          <w:rFonts w:hint="eastAsia" w:ascii="宋体" w:hAnsi="宋体" w:eastAsia="宋体" w:cs="宋体"/>
          <w:b/>
          <w:bCs/>
          <w:sz w:val="24"/>
          <w:highlight w:val="none"/>
        </w:rPr>
        <w:br w:type="page"/>
      </w:r>
    </w:p>
    <w:tbl>
      <w:tblPr>
        <w:tblStyle w:val="38"/>
        <w:tblW w:w="9263" w:type="dxa"/>
        <w:jc w:val="center"/>
        <w:tblCellSpacing w:w="0" w:type="dxa"/>
        <w:tblLayout w:type="fixed"/>
        <w:tblCellMar>
          <w:top w:w="0" w:type="dxa"/>
          <w:left w:w="0" w:type="dxa"/>
          <w:bottom w:w="0" w:type="dxa"/>
          <w:right w:w="0" w:type="dxa"/>
        </w:tblCellMar>
      </w:tblPr>
      <w:tblGrid>
        <w:gridCol w:w="9263"/>
      </w:tblGrid>
      <w:tr w14:paraId="29235B22">
        <w:tblPrEx>
          <w:tblCellMar>
            <w:top w:w="0" w:type="dxa"/>
            <w:left w:w="0" w:type="dxa"/>
            <w:bottom w:w="0" w:type="dxa"/>
            <w:right w:w="0" w:type="dxa"/>
          </w:tblCellMar>
        </w:tblPrEx>
        <w:trPr>
          <w:tblCellSpacing w:w="0" w:type="dxa"/>
          <w:jc w:val="center"/>
        </w:trPr>
        <w:tc>
          <w:tcPr>
            <w:tcW w:w="9263" w:type="dxa"/>
            <w:vAlign w:val="center"/>
          </w:tcPr>
          <w:p w14:paraId="6DEFF65E">
            <w:pPr>
              <w:widowControl/>
              <w:spacing w:after="240"/>
              <w:jc w:val="left"/>
              <w:rPr>
                <w:rFonts w:hint="eastAsia" w:ascii="宋体" w:hAnsi="宋体" w:eastAsia="宋体" w:cs="宋体"/>
                <w:highlight w:val="none"/>
              </w:rPr>
            </w:pPr>
          </w:p>
          <w:p w14:paraId="125A08EC">
            <w:pPr>
              <w:pStyle w:val="11"/>
              <w:spacing w:before="156"/>
              <w:ind w:firstLine="420"/>
              <w:rPr>
                <w:rFonts w:hint="eastAsia" w:ascii="宋体" w:hAnsi="宋体" w:eastAsia="宋体" w:cs="宋体"/>
                <w:highlight w:val="none"/>
              </w:rPr>
            </w:pPr>
          </w:p>
          <w:tbl>
            <w:tblPr>
              <w:tblStyle w:val="38"/>
              <w:tblW w:w="9750" w:type="dxa"/>
              <w:jc w:val="center"/>
              <w:tblCellSpacing w:w="0" w:type="dxa"/>
              <w:tblLayout w:type="fixed"/>
              <w:tblCellMar>
                <w:top w:w="0" w:type="dxa"/>
                <w:left w:w="0" w:type="dxa"/>
                <w:bottom w:w="0" w:type="dxa"/>
                <w:right w:w="0" w:type="dxa"/>
              </w:tblCellMar>
            </w:tblPr>
            <w:tblGrid>
              <w:gridCol w:w="1657"/>
              <w:gridCol w:w="8093"/>
            </w:tblGrid>
            <w:tr w14:paraId="3C10D63C">
              <w:tblPrEx>
                <w:tblCellMar>
                  <w:top w:w="0" w:type="dxa"/>
                  <w:left w:w="0" w:type="dxa"/>
                  <w:bottom w:w="0" w:type="dxa"/>
                  <w:right w:w="0" w:type="dxa"/>
                </w:tblCellMar>
              </w:tblPrEx>
              <w:trPr>
                <w:trHeight w:val="524" w:hRule="atLeast"/>
                <w:tblCellSpacing w:w="0" w:type="dxa"/>
                <w:jc w:val="center"/>
              </w:trPr>
              <w:tc>
                <w:tcPr>
                  <w:tcW w:w="9750" w:type="dxa"/>
                  <w:gridSpan w:val="2"/>
                  <w:vAlign w:val="center"/>
                </w:tcPr>
                <w:p w14:paraId="34D14B81">
                  <w:pPr>
                    <w:widowControl/>
                    <w:spacing w:after="240"/>
                    <w:ind w:firstLine="420" w:firstLineChars="200"/>
                    <w:rPr>
                      <w:rFonts w:hint="eastAsia" w:ascii="宋体" w:hAnsi="宋体" w:eastAsia="宋体" w:cs="宋体"/>
                      <w:sz w:val="18"/>
                      <w:szCs w:val="20"/>
                      <w:highlight w:val="none"/>
                    </w:rPr>
                  </w:pPr>
                  <w:r>
                    <w:rPr>
                      <w:rFonts w:hint="eastAsia" w:ascii="宋体" w:hAnsi="宋体" w:eastAsia="宋体" w:cs="宋体"/>
                      <w:szCs w:val="20"/>
                      <w:highlight w:val="none"/>
                    </w:rPr>
                    <w:t>甲方（采购人公章）名 称：</w:t>
                  </w:r>
                </w:p>
              </w:tc>
            </w:tr>
            <w:tr w14:paraId="11B5734D">
              <w:tblPrEx>
                <w:tblCellMar>
                  <w:top w:w="0" w:type="dxa"/>
                  <w:left w:w="0" w:type="dxa"/>
                  <w:bottom w:w="0" w:type="dxa"/>
                  <w:right w:w="0" w:type="dxa"/>
                </w:tblCellMar>
              </w:tblPrEx>
              <w:trPr>
                <w:tblCellSpacing w:w="0" w:type="dxa"/>
                <w:jc w:val="center"/>
              </w:trPr>
              <w:tc>
                <w:tcPr>
                  <w:tcW w:w="1657" w:type="dxa"/>
                  <w:vAlign w:val="center"/>
                </w:tcPr>
                <w:p w14:paraId="1805513D">
                  <w:pPr>
                    <w:jc w:val="center"/>
                    <w:rPr>
                      <w:rFonts w:hint="eastAsia" w:ascii="宋体" w:hAnsi="宋体" w:eastAsia="宋体" w:cs="宋体"/>
                      <w:szCs w:val="20"/>
                      <w:highlight w:val="none"/>
                    </w:rPr>
                  </w:pPr>
                </w:p>
              </w:tc>
              <w:tc>
                <w:tcPr>
                  <w:tcW w:w="8093" w:type="dxa"/>
                  <w:vAlign w:val="center"/>
                </w:tcPr>
                <w:p w14:paraId="0CE3F239">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地 址：</w:t>
                  </w:r>
                </w:p>
              </w:tc>
            </w:tr>
            <w:tr w14:paraId="73F7C740">
              <w:tblPrEx>
                <w:tblCellMar>
                  <w:top w:w="0" w:type="dxa"/>
                  <w:left w:w="0" w:type="dxa"/>
                  <w:bottom w:w="0" w:type="dxa"/>
                  <w:right w:w="0" w:type="dxa"/>
                </w:tblCellMar>
              </w:tblPrEx>
              <w:trPr>
                <w:tblCellSpacing w:w="0" w:type="dxa"/>
                <w:jc w:val="center"/>
              </w:trPr>
              <w:tc>
                <w:tcPr>
                  <w:tcW w:w="1657" w:type="dxa"/>
                  <w:vAlign w:val="center"/>
                </w:tcPr>
                <w:p w14:paraId="634A7AE6">
                  <w:pPr>
                    <w:jc w:val="center"/>
                    <w:rPr>
                      <w:rFonts w:hint="eastAsia" w:ascii="宋体" w:hAnsi="宋体" w:eastAsia="宋体" w:cs="宋体"/>
                      <w:szCs w:val="20"/>
                      <w:highlight w:val="none"/>
                    </w:rPr>
                  </w:pPr>
                </w:p>
              </w:tc>
              <w:tc>
                <w:tcPr>
                  <w:tcW w:w="8093" w:type="dxa"/>
                  <w:vAlign w:val="center"/>
                </w:tcPr>
                <w:p w14:paraId="164488B6">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邮 编：</w:t>
                  </w:r>
                </w:p>
              </w:tc>
            </w:tr>
            <w:tr w14:paraId="5ED8CCDE">
              <w:tblPrEx>
                <w:tblCellMar>
                  <w:top w:w="0" w:type="dxa"/>
                  <w:left w:w="0" w:type="dxa"/>
                  <w:bottom w:w="0" w:type="dxa"/>
                  <w:right w:w="0" w:type="dxa"/>
                </w:tblCellMar>
              </w:tblPrEx>
              <w:trPr>
                <w:tblCellSpacing w:w="0" w:type="dxa"/>
                <w:jc w:val="center"/>
              </w:trPr>
              <w:tc>
                <w:tcPr>
                  <w:tcW w:w="1657" w:type="dxa"/>
                  <w:vAlign w:val="center"/>
                </w:tcPr>
                <w:p w14:paraId="74B314F7">
                  <w:pPr>
                    <w:jc w:val="center"/>
                    <w:rPr>
                      <w:rFonts w:hint="eastAsia" w:ascii="宋体" w:hAnsi="宋体" w:eastAsia="宋体" w:cs="宋体"/>
                      <w:szCs w:val="20"/>
                      <w:highlight w:val="none"/>
                    </w:rPr>
                  </w:pPr>
                </w:p>
              </w:tc>
              <w:tc>
                <w:tcPr>
                  <w:tcW w:w="8093" w:type="dxa"/>
                  <w:vAlign w:val="center"/>
                </w:tcPr>
                <w:p w14:paraId="3DF5D09D">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法定代表人或委托代理人：</w:t>
                  </w:r>
                </w:p>
              </w:tc>
            </w:tr>
            <w:tr w14:paraId="3F608C32">
              <w:tblPrEx>
                <w:tblCellMar>
                  <w:top w:w="0" w:type="dxa"/>
                  <w:left w:w="0" w:type="dxa"/>
                  <w:bottom w:w="0" w:type="dxa"/>
                  <w:right w:w="0" w:type="dxa"/>
                </w:tblCellMar>
              </w:tblPrEx>
              <w:trPr>
                <w:tblCellSpacing w:w="0" w:type="dxa"/>
                <w:jc w:val="center"/>
              </w:trPr>
              <w:tc>
                <w:tcPr>
                  <w:tcW w:w="1657" w:type="dxa"/>
                  <w:vAlign w:val="center"/>
                </w:tcPr>
                <w:p w14:paraId="36560D32">
                  <w:pPr>
                    <w:jc w:val="center"/>
                    <w:rPr>
                      <w:rFonts w:hint="eastAsia" w:ascii="宋体" w:hAnsi="宋体" w:eastAsia="宋体" w:cs="宋体"/>
                      <w:szCs w:val="20"/>
                      <w:highlight w:val="none"/>
                    </w:rPr>
                  </w:pPr>
                </w:p>
              </w:tc>
              <w:tc>
                <w:tcPr>
                  <w:tcW w:w="8093" w:type="dxa"/>
                  <w:vAlign w:val="center"/>
                </w:tcPr>
                <w:p w14:paraId="30E31807">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项目（技术）负责人：</w:t>
                  </w:r>
                </w:p>
              </w:tc>
            </w:tr>
            <w:tr w14:paraId="68BB0022">
              <w:tblPrEx>
                <w:tblCellMar>
                  <w:top w:w="0" w:type="dxa"/>
                  <w:left w:w="0" w:type="dxa"/>
                  <w:bottom w:w="0" w:type="dxa"/>
                  <w:right w:w="0" w:type="dxa"/>
                </w:tblCellMar>
              </w:tblPrEx>
              <w:trPr>
                <w:tblCellSpacing w:w="0" w:type="dxa"/>
                <w:jc w:val="center"/>
              </w:trPr>
              <w:tc>
                <w:tcPr>
                  <w:tcW w:w="1657" w:type="dxa"/>
                  <w:vAlign w:val="center"/>
                </w:tcPr>
                <w:p w14:paraId="0F06B9ED">
                  <w:pPr>
                    <w:jc w:val="center"/>
                    <w:rPr>
                      <w:rFonts w:hint="eastAsia" w:ascii="宋体" w:hAnsi="宋体" w:eastAsia="宋体" w:cs="宋体"/>
                      <w:szCs w:val="20"/>
                      <w:highlight w:val="none"/>
                    </w:rPr>
                  </w:pPr>
                </w:p>
              </w:tc>
              <w:tc>
                <w:tcPr>
                  <w:tcW w:w="8093" w:type="dxa"/>
                  <w:vAlign w:val="center"/>
                </w:tcPr>
                <w:p w14:paraId="2F55D68A">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电 话：</w:t>
                  </w:r>
                </w:p>
              </w:tc>
            </w:tr>
            <w:tr w14:paraId="5DFA9B89">
              <w:tblPrEx>
                <w:tblCellMar>
                  <w:top w:w="0" w:type="dxa"/>
                  <w:left w:w="0" w:type="dxa"/>
                  <w:bottom w:w="0" w:type="dxa"/>
                  <w:right w:w="0" w:type="dxa"/>
                </w:tblCellMar>
              </w:tblPrEx>
              <w:trPr>
                <w:tblCellSpacing w:w="0" w:type="dxa"/>
                <w:jc w:val="center"/>
              </w:trPr>
              <w:tc>
                <w:tcPr>
                  <w:tcW w:w="1657" w:type="dxa"/>
                  <w:vAlign w:val="center"/>
                </w:tcPr>
                <w:p w14:paraId="5A690418">
                  <w:pPr>
                    <w:jc w:val="center"/>
                    <w:rPr>
                      <w:rFonts w:hint="eastAsia" w:ascii="宋体" w:hAnsi="宋体" w:eastAsia="宋体" w:cs="宋体"/>
                      <w:szCs w:val="20"/>
                      <w:highlight w:val="none"/>
                    </w:rPr>
                  </w:pPr>
                </w:p>
              </w:tc>
              <w:tc>
                <w:tcPr>
                  <w:tcW w:w="8093" w:type="dxa"/>
                  <w:vAlign w:val="center"/>
                </w:tcPr>
                <w:p w14:paraId="148DE939">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签订日期：</w:t>
                  </w:r>
                </w:p>
              </w:tc>
            </w:tr>
            <w:tr w14:paraId="094FB2B6">
              <w:tblPrEx>
                <w:tblCellMar>
                  <w:top w:w="0" w:type="dxa"/>
                  <w:left w:w="0" w:type="dxa"/>
                  <w:bottom w:w="0" w:type="dxa"/>
                  <w:right w:w="0" w:type="dxa"/>
                </w:tblCellMar>
              </w:tblPrEx>
              <w:trPr>
                <w:tblCellSpacing w:w="0" w:type="dxa"/>
                <w:jc w:val="center"/>
              </w:trPr>
              <w:tc>
                <w:tcPr>
                  <w:tcW w:w="9750" w:type="dxa"/>
                  <w:gridSpan w:val="2"/>
                  <w:vAlign w:val="center"/>
                </w:tcPr>
                <w:p w14:paraId="6C538DCC">
                  <w:pPr>
                    <w:widowControl/>
                    <w:spacing w:after="240"/>
                    <w:ind w:firstLine="420" w:firstLineChars="200"/>
                    <w:jc w:val="left"/>
                    <w:rPr>
                      <w:rFonts w:hint="eastAsia" w:ascii="宋体" w:hAnsi="宋体" w:eastAsia="宋体" w:cs="宋体"/>
                      <w:sz w:val="18"/>
                      <w:szCs w:val="20"/>
                      <w:highlight w:val="none"/>
                    </w:rPr>
                  </w:pPr>
                  <w:r>
                    <w:rPr>
                      <w:rFonts w:hint="eastAsia" w:ascii="宋体" w:hAnsi="宋体" w:eastAsia="宋体" w:cs="宋体"/>
                      <w:szCs w:val="20"/>
                      <w:highlight w:val="none"/>
                    </w:rPr>
                    <w:t>乙方（供应商公章）名 称：</w:t>
                  </w:r>
                </w:p>
              </w:tc>
            </w:tr>
            <w:tr w14:paraId="1EE2B6C7">
              <w:tblPrEx>
                <w:tblCellMar>
                  <w:top w:w="0" w:type="dxa"/>
                  <w:left w:w="0" w:type="dxa"/>
                  <w:bottom w:w="0" w:type="dxa"/>
                  <w:right w:w="0" w:type="dxa"/>
                </w:tblCellMar>
              </w:tblPrEx>
              <w:trPr>
                <w:tblCellSpacing w:w="0" w:type="dxa"/>
                <w:jc w:val="center"/>
              </w:trPr>
              <w:tc>
                <w:tcPr>
                  <w:tcW w:w="1657" w:type="dxa"/>
                  <w:vAlign w:val="center"/>
                </w:tcPr>
                <w:p w14:paraId="6D4C9946">
                  <w:pPr>
                    <w:jc w:val="center"/>
                    <w:rPr>
                      <w:rFonts w:hint="eastAsia" w:ascii="宋体" w:hAnsi="宋体" w:eastAsia="宋体" w:cs="宋体"/>
                      <w:szCs w:val="20"/>
                      <w:highlight w:val="none"/>
                    </w:rPr>
                  </w:pPr>
                </w:p>
              </w:tc>
              <w:tc>
                <w:tcPr>
                  <w:tcW w:w="8093" w:type="dxa"/>
                  <w:vAlign w:val="center"/>
                </w:tcPr>
                <w:p w14:paraId="7FE618C9">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地 址：</w:t>
                  </w:r>
                </w:p>
              </w:tc>
            </w:tr>
            <w:tr w14:paraId="242FD78F">
              <w:tblPrEx>
                <w:tblCellMar>
                  <w:top w:w="0" w:type="dxa"/>
                  <w:left w:w="0" w:type="dxa"/>
                  <w:bottom w:w="0" w:type="dxa"/>
                  <w:right w:w="0" w:type="dxa"/>
                </w:tblCellMar>
              </w:tblPrEx>
              <w:trPr>
                <w:tblCellSpacing w:w="0" w:type="dxa"/>
                <w:jc w:val="center"/>
              </w:trPr>
              <w:tc>
                <w:tcPr>
                  <w:tcW w:w="1657" w:type="dxa"/>
                  <w:vAlign w:val="center"/>
                </w:tcPr>
                <w:p w14:paraId="4ED76220">
                  <w:pPr>
                    <w:jc w:val="center"/>
                    <w:rPr>
                      <w:rFonts w:hint="eastAsia" w:ascii="宋体" w:hAnsi="宋体" w:eastAsia="宋体" w:cs="宋体"/>
                      <w:szCs w:val="20"/>
                      <w:highlight w:val="none"/>
                    </w:rPr>
                  </w:pPr>
                </w:p>
              </w:tc>
              <w:tc>
                <w:tcPr>
                  <w:tcW w:w="8093" w:type="dxa"/>
                  <w:vAlign w:val="center"/>
                </w:tcPr>
                <w:p w14:paraId="0855E34F">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邮 编：</w:t>
                  </w:r>
                </w:p>
              </w:tc>
            </w:tr>
            <w:tr w14:paraId="30785981">
              <w:tblPrEx>
                <w:tblCellMar>
                  <w:top w:w="0" w:type="dxa"/>
                  <w:left w:w="0" w:type="dxa"/>
                  <w:bottom w:w="0" w:type="dxa"/>
                  <w:right w:w="0" w:type="dxa"/>
                </w:tblCellMar>
              </w:tblPrEx>
              <w:trPr>
                <w:tblCellSpacing w:w="0" w:type="dxa"/>
                <w:jc w:val="center"/>
              </w:trPr>
              <w:tc>
                <w:tcPr>
                  <w:tcW w:w="1657" w:type="dxa"/>
                  <w:vAlign w:val="center"/>
                </w:tcPr>
                <w:p w14:paraId="3B93891C">
                  <w:pPr>
                    <w:jc w:val="center"/>
                    <w:rPr>
                      <w:rFonts w:hint="eastAsia" w:ascii="宋体" w:hAnsi="宋体" w:eastAsia="宋体" w:cs="宋体"/>
                      <w:szCs w:val="20"/>
                      <w:highlight w:val="none"/>
                    </w:rPr>
                  </w:pPr>
                </w:p>
              </w:tc>
              <w:tc>
                <w:tcPr>
                  <w:tcW w:w="8093" w:type="dxa"/>
                  <w:vAlign w:val="center"/>
                </w:tcPr>
                <w:p w14:paraId="07CDA097">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法定代表人或委托代理人：</w:t>
                  </w:r>
                </w:p>
              </w:tc>
            </w:tr>
            <w:tr w14:paraId="3170D1B8">
              <w:tblPrEx>
                <w:tblCellMar>
                  <w:top w:w="0" w:type="dxa"/>
                  <w:left w:w="0" w:type="dxa"/>
                  <w:bottom w:w="0" w:type="dxa"/>
                  <w:right w:w="0" w:type="dxa"/>
                </w:tblCellMar>
              </w:tblPrEx>
              <w:trPr>
                <w:tblCellSpacing w:w="0" w:type="dxa"/>
                <w:jc w:val="center"/>
              </w:trPr>
              <w:tc>
                <w:tcPr>
                  <w:tcW w:w="1657" w:type="dxa"/>
                  <w:vAlign w:val="center"/>
                </w:tcPr>
                <w:p w14:paraId="6F115185">
                  <w:pPr>
                    <w:jc w:val="center"/>
                    <w:rPr>
                      <w:rFonts w:hint="eastAsia" w:ascii="宋体" w:hAnsi="宋体" w:eastAsia="宋体" w:cs="宋体"/>
                      <w:szCs w:val="20"/>
                      <w:highlight w:val="none"/>
                    </w:rPr>
                  </w:pPr>
                </w:p>
              </w:tc>
              <w:tc>
                <w:tcPr>
                  <w:tcW w:w="8093" w:type="dxa"/>
                  <w:vAlign w:val="center"/>
                </w:tcPr>
                <w:p w14:paraId="18B6E05A">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经办人：</w:t>
                  </w:r>
                </w:p>
              </w:tc>
            </w:tr>
            <w:tr w14:paraId="36099932">
              <w:tblPrEx>
                <w:tblCellMar>
                  <w:top w:w="0" w:type="dxa"/>
                  <w:left w:w="0" w:type="dxa"/>
                  <w:bottom w:w="0" w:type="dxa"/>
                  <w:right w:w="0" w:type="dxa"/>
                </w:tblCellMar>
              </w:tblPrEx>
              <w:trPr>
                <w:tblCellSpacing w:w="0" w:type="dxa"/>
                <w:jc w:val="center"/>
              </w:trPr>
              <w:tc>
                <w:tcPr>
                  <w:tcW w:w="1657" w:type="dxa"/>
                  <w:vAlign w:val="center"/>
                </w:tcPr>
                <w:p w14:paraId="694E0D71">
                  <w:pPr>
                    <w:jc w:val="center"/>
                    <w:rPr>
                      <w:rFonts w:hint="eastAsia" w:ascii="宋体" w:hAnsi="宋体" w:eastAsia="宋体" w:cs="宋体"/>
                      <w:szCs w:val="20"/>
                      <w:highlight w:val="none"/>
                    </w:rPr>
                  </w:pPr>
                </w:p>
              </w:tc>
              <w:tc>
                <w:tcPr>
                  <w:tcW w:w="8093" w:type="dxa"/>
                  <w:vAlign w:val="center"/>
                </w:tcPr>
                <w:p w14:paraId="307FB574">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电 话：</w:t>
                  </w:r>
                </w:p>
              </w:tc>
            </w:tr>
            <w:tr w14:paraId="6AA1F332">
              <w:tblPrEx>
                <w:tblCellMar>
                  <w:top w:w="0" w:type="dxa"/>
                  <w:left w:w="0" w:type="dxa"/>
                  <w:bottom w:w="0" w:type="dxa"/>
                  <w:right w:w="0" w:type="dxa"/>
                </w:tblCellMar>
              </w:tblPrEx>
              <w:trPr>
                <w:tblCellSpacing w:w="0" w:type="dxa"/>
                <w:jc w:val="center"/>
              </w:trPr>
              <w:tc>
                <w:tcPr>
                  <w:tcW w:w="1657" w:type="dxa"/>
                  <w:vAlign w:val="center"/>
                </w:tcPr>
                <w:p w14:paraId="14767F2B">
                  <w:pPr>
                    <w:jc w:val="center"/>
                    <w:rPr>
                      <w:rFonts w:hint="eastAsia" w:ascii="宋体" w:hAnsi="宋体" w:eastAsia="宋体" w:cs="宋体"/>
                      <w:szCs w:val="20"/>
                      <w:highlight w:val="none"/>
                    </w:rPr>
                  </w:pPr>
                </w:p>
              </w:tc>
              <w:tc>
                <w:tcPr>
                  <w:tcW w:w="8093" w:type="dxa"/>
                  <w:vAlign w:val="center"/>
                </w:tcPr>
                <w:p w14:paraId="511F0888">
                  <w:pPr>
                    <w:widowControl/>
                    <w:spacing w:after="240"/>
                    <w:jc w:val="left"/>
                    <w:rPr>
                      <w:rFonts w:hint="eastAsia" w:ascii="宋体" w:hAnsi="宋体" w:eastAsia="宋体" w:cs="宋体"/>
                      <w:sz w:val="18"/>
                      <w:szCs w:val="20"/>
                      <w:highlight w:val="none"/>
                    </w:rPr>
                  </w:pPr>
                  <w:r>
                    <w:rPr>
                      <w:rFonts w:hint="eastAsia" w:ascii="宋体" w:hAnsi="宋体" w:eastAsia="宋体" w:cs="宋体"/>
                      <w:szCs w:val="20"/>
                      <w:highlight w:val="none"/>
                    </w:rPr>
                    <w:t>签订日期：</w:t>
                  </w:r>
                </w:p>
              </w:tc>
            </w:tr>
          </w:tbl>
          <w:p w14:paraId="0E66C8A5">
            <w:pPr>
              <w:jc w:val="left"/>
              <w:rPr>
                <w:rFonts w:hint="eastAsia" w:ascii="宋体" w:hAnsi="宋体" w:eastAsia="宋体" w:cs="宋体"/>
                <w:highlight w:val="none"/>
              </w:rPr>
            </w:pPr>
          </w:p>
        </w:tc>
      </w:tr>
    </w:tbl>
    <w:p w14:paraId="23902F68">
      <w:pPr>
        <w:rPr>
          <w:rFonts w:hint="eastAsia" w:ascii="宋体" w:hAnsi="宋体" w:eastAsia="宋体" w:cs="宋体"/>
          <w:b/>
          <w:color w:val="000000" w:themeColor="text1"/>
          <w:szCs w:val="21"/>
          <w:highlight w:val="none"/>
          <w14:textFill>
            <w14:solidFill>
              <w14:schemeClr w14:val="tx1"/>
            </w14:solidFill>
          </w14:textFill>
        </w:rPr>
        <w:sectPr>
          <w:headerReference r:id="rId13" w:type="first"/>
          <w:footerReference r:id="rId15" w:type="first"/>
          <w:footerReference r:id="rId14" w:type="default"/>
          <w:pgSz w:w="11906" w:h="16838"/>
          <w:pgMar w:top="1417" w:right="1417" w:bottom="1417" w:left="1417" w:header="680" w:footer="680" w:gutter="0"/>
          <w:pgNumType w:fmt="decimal"/>
          <w:cols w:space="720" w:num="1"/>
          <w:titlePg/>
          <w:docGrid w:type="linesAndChars" w:linePitch="312" w:charSpace="0"/>
        </w:sectPr>
      </w:pPr>
      <w:r>
        <w:rPr>
          <w:rFonts w:hint="eastAsia" w:ascii="宋体" w:hAnsi="宋体" w:eastAsia="宋体" w:cs="宋体"/>
          <w:b/>
          <w:color w:val="000000" w:themeColor="text1"/>
          <w:szCs w:val="21"/>
          <w:highlight w:val="none"/>
          <w14:textFill>
            <w14:solidFill>
              <w14:schemeClr w14:val="tx1"/>
            </w14:solidFill>
          </w14:textFill>
        </w:rPr>
        <w:br w:type="page"/>
      </w:r>
    </w:p>
    <w:p w14:paraId="44A1B882">
      <w:pPr>
        <w:spacing w:before="312" w:beforeLines="100" w:after="312" w:afterLines="100"/>
        <w:jc w:val="center"/>
        <w:rPr>
          <w:rFonts w:hint="eastAsia" w:ascii="宋体" w:hAnsi="宋体" w:eastAsia="宋体" w:cs="宋体"/>
          <w:bCs/>
          <w:sz w:val="44"/>
          <w:szCs w:val="44"/>
          <w:highlight w:val="none"/>
        </w:rPr>
      </w:pPr>
      <w:r>
        <w:rPr>
          <w:rFonts w:hint="eastAsia" w:ascii="宋体" w:hAnsi="宋体" w:eastAsia="宋体" w:cs="宋体"/>
          <w:bCs/>
          <w:sz w:val="44"/>
          <w:szCs w:val="44"/>
          <w:highlight w:val="none"/>
          <w:lang w:eastAsia="zh-CN"/>
        </w:rPr>
        <w:t>云南财经职业学院</w:t>
      </w:r>
      <w:r>
        <w:rPr>
          <w:rFonts w:hint="eastAsia" w:ascii="宋体" w:hAnsi="宋体" w:eastAsia="宋体" w:cs="宋体"/>
          <w:bCs/>
          <w:sz w:val="44"/>
          <w:szCs w:val="44"/>
          <w:highlight w:val="none"/>
        </w:rPr>
        <w:t>服务采购合同</w:t>
      </w:r>
    </w:p>
    <w:p w14:paraId="01E7F59E">
      <w:pPr>
        <w:tabs>
          <w:tab w:val="right" w:pos="8222"/>
        </w:tabs>
        <w:rPr>
          <w:rFonts w:hint="eastAsia" w:ascii="宋体" w:hAnsi="宋体" w:eastAsia="宋体" w:cs="宋体"/>
          <w:bCs/>
          <w:sz w:val="24"/>
          <w:highlight w:val="none"/>
        </w:rPr>
      </w:pPr>
      <w:r>
        <w:rPr>
          <w:rFonts w:hint="eastAsia" w:ascii="宋体" w:hAnsi="宋体" w:eastAsia="宋体" w:cs="宋体"/>
          <w:bCs/>
          <w:sz w:val="24"/>
          <w:highlight w:val="none"/>
        </w:rPr>
        <w:t xml:space="preserve">计划编号：                      </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     合同编号：</w:t>
      </w:r>
    </w:p>
    <w:p w14:paraId="4376C9D7">
      <w:pPr>
        <w:rPr>
          <w:rFonts w:hint="eastAsia" w:ascii="宋体" w:hAnsi="宋体" w:eastAsia="宋体" w:cs="宋体"/>
          <w:bCs/>
          <w:sz w:val="24"/>
          <w:highlight w:val="none"/>
        </w:rPr>
      </w:pPr>
    </w:p>
    <w:p w14:paraId="2AB1E65B">
      <w:pPr>
        <w:rPr>
          <w:rFonts w:hint="eastAsia" w:ascii="宋体" w:hAnsi="宋体" w:eastAsia="宋体" w:cs="宋体"/>
          <w:bCs/>
          <w:sz w:val="24"/>
          <w:highlight w:val="none"/>
          <w:lang w:eastAsia="zh-CN"/>
        </w:rPr>
      </w:pPr>
      <w:r>
        <w:rPr>
          <w:rFonts w:hint="eastAsia" w:ascii="宋体" w:hAnsi="宋体" w:eastAsia="宋体" w:cs="宋体"/>
          <w:bCs/>
          <w:sz w:val="24"/>
          <w:highlight w:val="none"/>
        </w:rPr>
        <w:t>采购方（甲方）：</w:t>
      </w:r>
      <w:r>
        <w:rPr>
          <w:rFonts w:hint="eastAsia" w:ascii="宋体" w:hAnsi="宋体" w:eastAsia="宋体" w:cs="宋体"/>
          <w:bCs/>
          <w:sz w:val="24"/>
          <w:highlight w:val="none"/>
          <w:lang w:eastAsia="zh-CN"/>
        </w:rPr>
        <w:t>云南财经职业学院</w:t>
      </w:r>
    </w:p>
    <w:p w14:paraId="450DBFE0">
      <w:pPr>
        <w:rPr>
          <w:rFonts w:hint="eastAsia" w:ascii="宋体" w:hAnsi="宋体" w:eastAsia="宋体" w:cs="宋体"/>
          <w:bCs/>
          <w:sz w:val="24"/>
          <w:highlight w:val="none"/>
          <w:lang w:eastAsia="zh-CN"/>
        </w:rPr>
      </w:pPr>
      <w:r>
        <w:rPr>
          <w:rFonts w:hint="eastAsia" w:ascii="宋体" w:hAnsi="宋体" w:eastAsia="宋体" w:cs="宋体"/>
          <w:bCs/>
          <w:sz w:val="24"/>
          <w:highlight w:val="none"/>
        </w:rPr>
        <w:t>统一社会信用代码：</w:t>
      </w:r>
    </w:p>
    <w:p w14:paraId="1A31FB7D">
      <w:pPr>
        <w:rPr>
          <w:rFonts w:hint="eastAsia" w:ascii="宋体" w:hAnsi="宋体" w:eastAsia="宋体" w:cs="宋体"/>
          <w:bCs/>
          <w:sz w:val="24"/>
          <w:highlight w:val="none"/>
          <w:lang w:eastAsia="zh-CN"/>
        </w:rPr>
      </w:pPr>
      <w:r>
        <w:rPr>
          <w:rFonts w:hint="eastAsia" w:ascii="宋体" w:hAnsi="宋体" w:eastAsia="宋体" w:cs="宋体"/>
          <w:bCs/>
          <w:sz w:val="24"/>
          <w:highlight w:val="none"/>
        </w:rPr>
        <w:t>地址：</w:t>
      </w:r>
      <w:r>
        <w:rPr>
          <w:rFonts w:hint="eastAsia" w:ascii="宋体" w:hAnsi="宋体" w:eastAsia="宋体" w:cs="宋体"/>
          <w:bCs/>
          <w:sz w:val="24"/>
          <w:highlight w:val="none"/>
          <w:lang w:eastAsia="zh-CN"/>
        </w:rPr>
        <w:t>昆明市龙泉路408号</w:t>
      </w:r>
    </w:p>
    <w:p w14:paraId="035E1573">
      <w:pPr>
        <w:rPr>
          <w:rFonts w:hint="eastAsia" w:ascii="宋体" w:hAnsi="宋体" w:eastAsia="宋体" w:cs="宋体"/>
          <w:bCs/>
          <w:sz w:val="24"/>
          <w:highlight w:val="none"/>
          <w:lang w:eastAsia="zh-CN"/>
        </w:rPr>
      </w:pPr>
      <w:r>
        <w:rPr>
          <w:rFonts w:hint="eastAsia" w:ascii="宋体" w:hAnsi="宋体" w:eastAsia="宋体" w:cs="宋体"/>
          <w:bCs/>
          <w:sz w:val="24"/>
          <w:highlight w:val="none"/>
        </w:rPr>
        <w:t>电话：</w:t>
      </w:r>
    </w:p>
    <w:p w14:paraId="0B296B31">
      <w:pPr>
        <w:rPr>
          <w:rFonts w:hint="eastAsia" w:ascii="宋体" w:hAnsi="宋体" w:eastAsia="宋体" w:cs="宋体"/>
          <w:bCs/>
          <w:sz w:val="24"/>
          <w:highlight w:val="none"/>
        </w:rPr>
      </w:pPr>
    </w:p>
    <w:p w14:paraId="118604E7">
      <w:pPr>
        <w:rPr>
          <w:rFonts w:hint="eastAsia" w:ascii="宋体" w:hAnsi="宋体" w:eastAsia="宋体" w:cs="宋体"/>
          <w:bCs/>
          <w:sz w:val="24"/>
          <w:highlight w:val="none"/>
        </w:rPr>
      </w:pPr>
      <w:r>
        <w:rPr>
          <w:rFonts w:hint="eastAsia" w:ascii="宋体" w:hAnsi="宋体" w:eastAsia="宋体" w:cs="宋体"/>
          <w:bCs/>
          <w:sz w:val="24"/>
          <w:highlight w:val="none"/>
        </w:rPr>
        <w:t xml:space="preserve">服务提供方（乙方）： </w:t>
      </w:r>
    </w:p>
    <w:p w14:paraId="1816AB0E">
      <w:pPr>
        <w:rPr>
          <w:rFonts w:hint="eastAsia" w:ascii="宋体" w:hAnsi="宋体" w:eastAsia="宋体" w:cs="宋体"/>
          <w:bCs/>
          <w:sz w:val="24"/>
          <w:highlight w:val="none"/>
        </w:rPr>
      </w:pPr>
      <w:r>
        <w:rPr>
          <w:rFonts w:hint="eastAsia" w:ascii="宋体" w:hAnsi="宋体" w:eastAsia="宋体" w:cs="宋体"/>
          <w:bCs/>
          <w:sz w:val="24"/>
          <w:highlight w:val="none"/>
        </w:rPr>
        <w:t xml:space="preserve">统一社会信用代码： </w:t>
      </w:r>
    </w:p>
    <w:p w14:paraId="0F3AF0C5">
      <w:pPr>
        <w:tabs>
          <w:tab w:val="right" w:pos="9639"/>
        </w:tabs>
        <w:rPr>
          <w:rFonts w:hint="eastAsia" w:ascii="宋体" w:hAnsi="宋体" w:eastAsia="宋体" w:cs="宋体"/>
          <w:bCs/>
          <w:sz w:val="24"/>
          <w:highlight w:val="none"/>
        </w:rPr>
      </w:pPr>
      <w:r>
        <w:rPr>
          <w:rFonts w:hint="eastAsia" w:ascii="宋体" w:hAnsi="宋体" w:eastAsia="宋体" w:cs="宋体"/>
          <w:bCs/>
          <w:sz w:val="24"/>
          <w:highlight w:val="none"/>
        </w:rPr>
        <w:t xml:space="preserve">地址： </w:t>
      </w:r>
    </w:p>
    <w:p w14:paraId="76BB341D">
      <w:pPr>
        <w:tabs>
          <w:tab w:val="right" w:pos="9639"/>
        </w:tabs>
        <w:rPr>
          <w:rFonts w:hint="eastAsia" w:ascii="宋体" w:hAnsi="宋体" w:eastAsia="宋体" w:cs="宋体"/>
          <w:bCs/>
          <w:sz w:val="24"/>
          <w:highlight w:val="none"/>
        </w:rPr>
      </w:pPr>
      <w:r>
        <w:rPr>
          <w:rFonts w:hint="eastAsia" w:ascii="宋体" w:hAnsi="宋体" w:eastAsia="宋体" w:cs="宋体"/>
          <w:bCs/>
          <w:sz w:val="24"/>
          <w:highlight w:val="none"/>
        </w:rPr>
        <w:t>电话：</w:t>
      </w:r>
    </w:p>
    <w:p w14:paraId="66BD67CC">
      <w:pPr>
        <w:ind w:firstLine="480" w:firstLineChars="200"/>
        <w:rPr>
          <w:rFonts w:hint="eastAsia" w:ascii="宋体" w:hAnsi="宋体" w:eastAsia="宋体" w:cs="宋体"/>
          <w:bCs/>
          <w:sz w:val="24"/>
          <w:highlight w:val="none"/>
        </w:rPr>
      </w:pPr>
    </w:p>
    <w:p w14:paraId="481337DF">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根据       的结果（项目编号：），按照《中华人民共和国民法典》、《中华人民共和国政府采购法》等法律法规和相关文件的规定，甲、乙双方在自愿、平等、协商一致的基础上，签订以下合同条款。</w:t>
      </w:r>
    </w:p>
    <w:p w14:paraId="5EF29605">
      <w:pPr>
        <w:ind w:firstLine="420"/>
        <w:rPr>
          <w:rFonts w:hint="eastAsia" w:ascii="宋体" w:hAnsi="宋体" w:eastAsia="宋体" w:cs="宋体"/>
          <w:bCs/>
          <w:sz w:val="24"/>
          <w:highlight w:val="none"/>
        </w:rPr>
      </w:pPr>
      <w:r>
        <w:rPr>
          <w:rFonts w:hint="eastAsia" w:ascii="宋体" w:hAnsi="宋体" w:eastAsia="宋体" w:cs="宋体"/>
          <w:bCs/>
          <w:sz w:val="24"/>
          <w:highlight w:val="none"/>
        </w:rPr>
        <w:t>一、合同标的及要求</w:t>
      </w:r>
    </w:p>
    <w:p w14:paraId="7F584FF8">
      <w:pPr>
        <w:ind w:firstLine="420"/>
        <w:rPr>
          <w:rFonts w:hint="eastAsia" w:ascii="宋体" w:hAnsi="宋体" w:eastAsia="宋体" w:cs="宋体"/>
          <w:bCs/>
          <w:sz w:val="24"/>
          <w:highlight w:val="none"/>
        </w:rPr>
      </w:pPr>
      <w:r>
        <w:rPr>
          <w:rFonts w:hint="eastAsia" w:ascii="宋体" w:hAnsi="宋体" w:eastAsia="宋体" w:cs="宋体"/>
          <w:bCs/>
          <w:sz w:val="24"/>
          <w:highlight w:val="none"/>
        </w:rPr>
        <w:t>（一）服务项目</w:t>
      </w:r>
    </w:p>
    <w:p w14:paraId="06E729B9">
      <w:pPr>
        <w:ind w:firstLine="420"/>
        <w:rPr>
          <w:rFonts w:hint="eastAsia" w:ascii="宋体" w:hAnsi="宋体" w:eastAsia="宋体" w:cs="宋体"/>
          <w:bCs/>
          <w:sz w:val="24"/>
          <w:highlight w:val="none"/>
        </w:rPr>
      </w:pPr>
    </w:p>
    <w:p w14:paraId="2C35083E">
      <w:pPr>
        <w:ind w:firstLine="420"/>
        <w:rPr>
          <w:rFonts w:hint="eastAsia" w:ascii="宋体" w:hAnsi="宋体" w:eastAsia="宋体" w:cs="宋体"/>
          <w:bCs/>
          <w:sz w:val="24"/>
          <w:highlight w:val="none"/>
        </w:rPr>
      </w:pPr>
      <w:r>
        <w:rPr>
          <w:rFonts w:hint="eastAsia" w:ascii="宋体" w:hAnsi="宋体" w:eastAsia="宋体" w:cs="宋体"/>
          <w:bCs/>
          <w:sz w:val="24"/>
          <w:highlight w:val="none"/>
        </w:rPr>
        <w:t>（二）服务内容</w:t>
      </w:r>
    </w:p>
    <w:p w14:paraId="680B9825">
      <w:pPr>
        <w:ind w:firstLine="420"/>
        <w:rPr>
          <w:rFonts w:hint="eastAsia" w:ascii="宋体" w:hAnsi="宋体" w:eastAsia="宋体" w:cs="宋体"/>
          <w:bCs/>
          <w:sz w:val="24"/>
          <w:highlight w:val="none"/>
        </w:rPr>
      </w:pPr>
    </w:p>
    <w:p w14:paraId="729191FE">
      <w:pPr>
        <w:ind w:firstLine="420"/>
        <w:rPr>
          <w:rFonts w:hint="eastAsia" w:ascii="宋体" w:hAnsi="宋体" w:eastAsia="宋体" w:cs="宋体"/>
          <w:bCs/>
          <w:sz w:val="24"/>
          <w:highlight w:val="none"/>
        </w:rPr>
      </w:pPr>
      <w:r>
        <w:rPr>
          <w:rFonts w:hint="eastAsia" w:ascii="宋体" w:hAnsi="宋体" w:eastAsia="宋体" w:cs="宋体"/>
          <w:bCs/>
          <w:sz w:val="24"/>
          <w:highlight w:val="none"/>
        </w:rPr>
        <w:t>（三）服务标准及要求</w:t>
      </w:r>
    </w:p>
    <w:p w14:paraId="7A1A4F9F">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1.具体服务标准及要求详见附件。</w:t>
      </w:r>
    </w:p>
    <w:p w14:paraId="75AF70DA">
      <w:pPr>
        <w:ind w:firstLine="480" w:firstLineChars="200"/>
        <w:rPr>
          <w:rFonts w:hint="eastAsia" w:ascii="宋体" w:hAnsi="宋体" w:eastAsia="宋体" w:cs="宋体"/>
          <w:bCs/>
          <w:sz w:val="24"/>
          <w:highlight w:val="none"/>
          <w:u w:val="single"/>
          <w:lang w:val="en-US" w:eastAsia="zh-CN"/>
        </w:rPr>
      </w:pPr>
      <w:r>
        <w:rPr>
          <w:rFonts w:hint="eastAsia" w:ascii="宋体" w:hAnsi="宋体" w:eastAsia="宋体" w:cs="宋体"/>
          <w:bCs/>
          <w:sz w:val="24"/>
          <w:highlight w:val="none"/>
        </w:rPr>
        <w:t>2.其他：</w:t>
      </w:r>
      <w:r>
        <w:rPr>
          <w:rFonts w:hint="eastAsia" w:ascii="宋体" w:hAnsi="宋体" w:eastAsia="宋体" w:cs="宋体"/>
          <w:bCs/>
          <w:sz w:val="24"/>
          <w:highlight w:val="none"/>
          <w:lang w:val="en-US" w:eastAsia="zh-CN"/>
        </w:rPr>
        <w:t>/</w:t>
      </w:r>
    </w:p>
    <w:p w14:paraId="56BAD98A">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二、合同期限</w:t>
      </w:r>
    </w:p>
    <w:p w14:paraId="67EB0417">
      <w:pPr>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自合同签订之日起至服务完成之日止。</w:t>
      </w:r>
    </w:p>
    <w:p w14:paraId="43C039C0">
      <w:pPr>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rPr>
        <w:t>注：（写明具体期限或具体日期）</w:t>
      </w:r>
      <w:r>
        <w:rPr>
          <w:rFonts w:hint="eastAsia" w:ascii="宋体" w:hAnsi="宋体" w:eastAsia="宋体" w:cs="宋体"/>
          <w:bCs/>
          <w:sz w:val="24"/>
          <w:highlight w:val="none"/>
        </w:rPr>
        <w:t xml:space="preserve"> </w:t>
      </w:r>
    </w:p>
    <w:p w14:paraId="234B89A2">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三、合同价款与结算</w:t>
      </w:r>
    </w:p>
    <w:p w14:paraId="2806548C">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（一）合同价款</w:t>
      </w:r>
    </w:p>
    <w:tbl>
      <w:tblPr>
        <w:tblStyle w:val="38"/>
        <w:tblW w:w="835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09"/>
        <w:gridCol w:w="2967"/>
        <w:gridCol w:w="860"/>
        <w:gridCol w:w="709"/>
        <w:gridCol w:w="1549"/>
        <w:gridCol w:w="1560"/>
      </w:tblGrid>
      <w:tr w14:paraId="1CD10C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709" w:type="dxa"/>
            <w:vAlign w:val="center"/>
          </w:tcPr>
          <w:p w14:paraId="263ED46D">
            <w:pPr>
              <w:pStyle w:val="18"/>
              <w:jc w:val="center"/>
              <w:rPr>
                <w:rFonts w:hint="eastAsia" w:ascii="宋体" w:hAnsi="宋体" w:eastAsia="宋体" w:cs="宋体"/>
                <w:bCs/>
                <w:highlight w:val="none"/>
              </w:rPr>
            </w:pPr>
            <w:r>
              <w:rPr>
                <w:rFonts w:hint="eastAsia" w:ascii="宋体" w:hAnsi="宋体" w:eastAsia="宋体" w:cs="宋体"/>
                <w:bCs/>
                <w:highlight w:val="none"/>
              </w:rPr>
              <w:t>序号</w:t>
            </w:r>
          </w:p>
        </w:tc>
        <w:tc>
          <w:tcPr>
            <w:tcW w:w="2967" w:type="dxa"/>
            <w:vAlign w:val="center"/>
          </w:tcPr>
          <w:p w14:paraId="34DD2D85">
            <w:pPr>
              <w:pStyle w:val="18"/>
              <w:jc w:val="center"/>
              <w:rPr>
                <w:rFonts w:hint="eastAsia" w:ascii="宋体" w:hAnsi="宋体" w:eastAsia="宋体" w:cs="宋体"/>
                <w:bCs/>
                <w:highlight w:val="none"/>
              </w:rPr>
            </w:pPr>
            <w:r>
              <w:rPr>
                <w:rFonts w:hint="eastAsia" w:ascii="宋体" w:hAnsi="宋体" w:eastAsia="宋体" w:cs="宋体"/>
                <w:bCs/>
                <w:highlight w:val="none"/>
              </w:rPr>
              <w:t>项目名称</w:t>
            </w:r>
          </w:p>
        </w:tc>
        <w:tc>
          <w:tcPr>
            <w:tcW w:w="860" w:type="dxa"/>
            <w:vAlign w:val="center"/>
          </w:tcPr>
          <w:p w14:paraId="24D0D4B9">
            <w:pPr>
              <w:pStyle w:val="18"/>
              <w:jc w:val="center"/>
              <w:rPr>
                <w:rFonts w:hint="eastAsia" w:ascii="宋体" w:hAnsi="宋体" w:eastAsia="宋体" w:cs="宋体"/>
                <w:bCs/>
                <w:highlight w:val="none"/>
              </w:rPr>
            </w:pPr>
            <w:r>
              <w:rPr>
                <w:rFonts w:hint="eastAsia" w:ascii="宋体" w:hAnsi="宋体" w:eastAsia="宋体" w:cs="宋体"/>
                <w:bCs/>
                <w:highlight w:val="none"/>
              </w:rPr>
              <w:t>数量</w:t>
            </w:r>
          </w:p>
        </w:tc>
        <w:tc>
          <w:tcPr>
            <w:tcW w:w="709" w:type="dxa"/>
            <w:vAlign w:val="center"/>
          </w:tcPr>
          <w:p w14:paraId="1F998183">
            <w:pPr>
              <w:pStyle w:val="18"/>
              <w:jc w:val="center"/>
              <w:rPr>
                <w:rFonts w:hint="eastAsia" w:ascii="宋体" w:hAnsi="宋体" w:eastAsia="宋体" w:cs="宋体"/>
                <w:bCs/>
                <w:highlight w:val="none"/>
              </w:rPr>
            </w:pPr>
            <w:r>
              <w:rPr>
                <w:rFonts w:hint="eastAsia" w:ascii="宋体" w:hAnsi="宋体" w:eastAsia="宋体" w:cs="宋体"/>
                <w:bCs/>
                <w:highlight w:val="none"/>
              </w:rPr>
              <w:t>单位</w:t>
            </w:r>
          </w:p>
        </w:tc>
        <w:tc>
          <w:tcPr>
            <w:tcW w:w="1549" w:type="dxa"/>
            <w:vAlign w:val="center"/>
          </w:tcPr>
          <w:p w14:paraId="7CAF0ED7">
            <w:pPr>
              <w:pStyle w:val="18"/>
              <w:jc w:val="center"/>
              <w:rPr>
                <w:rFonts w:hint="eastAsia" w:ascii="宋体" w:hAnsi="宋体" w:eastAsia="宋体" w:cs="宋体"/>
                <w:bCs/>
                <w:highlight w:val="none"/>
              </w:rPr>
            </w:pPr>
            <w:r>
              <w:rPr>
                <w:rFonts w:hint="eastAsia" w:ascii="宋体" w:hAnsi="宋体" w:eastAsia="宋体" w:cs="宋体"/>
                <w:bCs/>
                <w:highlight w:val="none"/>
              </w:rPr>
              <w:t>单价（元）</w:t>
            </w:r>
          </w:p>
        </w:tc>
        <w:tc>
          <w:tcPr>
            <w:tcW w:w="1560" w:type="dxa"/>
            <w:vAlign w:val="center"/>
          </w:tcPr>
          <w:p w14:paraId="5742F5D9">
            <w:pPr>
              <w:pStyle w:val="18"/>
              <w:jc w:val="center"/>
              <w:rPr>
                <w:rFonts w:hint="eastAsia" w:ascii="宋体" w:hAnsi="宋体" w:eastAsia="宋体" w:cs="宋体"/>
                <w:bCs/>
                <w:highlight w:val="none"/>
              </w:rPr>
            </w:pPr>
            <w:r>
              <w:rPr>
                <w:rFonts w:hint="eastAsia" w:ascii="宋体" w:hAnsi="宋体" w:eastAsia="宋体" w:cs="宋体"/>
                <w:bCs/>
                <w:highlight w:val="none"/>
              </w:rPr>
              <w:t>小计（元）</w:t>
            </w:r>
          </w:p>
        </w:tc>
      </w:tr>
      <w:tr w14:paraId="5DF74D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709" w:type="dxa"/>
            <w:vAlign w:val="center"/>
          </w:tcPr>
          <w:p w14:paraId="31415EE4">
            <w:pPr>
              <w:jc w:val="center"/>
              <w:rPr>
                <w:rFonts w:hint="eastAsia" w:ascii="宋体" w:hAnsi="宋体" w:eastAsia="宋体" w:cs="宋体"/>
                <w:bCs/>
                <w:highlight w:val="none"/>
              </w:rPr>
            </w:pPr>
            <w:r>
              <w:rPr>
                <w:rFonts w:hint="eastAsia" w:ascii="宋体" w:hAnsi="宋体" w:eastAsia="宋体" w:cs="宋体"/>
                <w:bCs/>
                <w:highlight w:val="none"/>
              </w:rPr>
              <w:t>1</w:t>
            </w:r>
          </w:p>
        </w:tc>
        <w:tc>
          <w:tcPr>
            <w:tcW w:w="2967" w:type="dxa"/>
            <w:vAlign w:val="center"/>
          </w:tcPr>
          <w:p w14:paraId="31A3B47B">
            <w:pPr>
              <w:jc w:val="center"/>
              <w:rPr>
                <w:rFonts w:hint="eastAsia" w:ascii="宋体" w:hAnsi="宋体" w:eastAsia="宋体" w:cs="宋体"/>
                <w:bCs/>
                <w:szCs w:val="21"/>
                <w:highlight w:val="none"/>
              </w:rPr>
            </w:pPr>
          </w:p>
        </w:tc>
        <w:tc>
          <w:tcPr>
            <w:tcW w:w="860" w:type="dxa"/>
            <w:vAlign w:val="center"/>
          </w:tcPr>
          <w:p w14:paraId="3BB22C3A">
            <w:pPr>
              <w:spacing w:line="300" w:lineRule="exact"/>
              <w:ind w:firstLine="2" w:firstLineChars="1"/>
              <w:jc w:val="center"/>
              <w:rPr>
                <w:rFonts w:hint="eastAsia" w:ascii="宋体" w:hAnsi="宋体" w:eastAsia="宋体" w:cs="宋体"/>
                <w:bCs/>
                <w:highlight w:val="none"/>
              </w:rPr>
            </w:pPr>
          </w:p>
        </w:tc>
        <w:tc>
          <w:tcPr>
            <w:tcW w:w="709" w:type="dxa"/>
            <w:vAlign w:val="center"/>
          </w:tcPr>
          <w:p w14:paraId="63D4E3FE">
            <w:pPr>
              <w:jc w:val="center"/>
              <w:rPr>
                <w:rFonts w:hint="eastAsia" w:ascii="宋体" w:hAnsi="宋体" w:eastAsia="宋体" w:cs="宋体"/>
                <w:bCs/>
                <w:highlight w:val="none"/>
              </w:rPr>
            </w:pPr>
          </w:p>
        </w:tc>
        <w:tc>
          <w:tcPr>
            <w:tcW w:w="1549" w:type="dxa"/>
            <w:vAlign w:val="center"/>
          </w:tcPr>
          <w:p w14:paraId="1B47ACD3">
            <w:pPr>
              <w:pStyle w:val="18"/>
              <w:jc w:val="center"/>
              <w:rPr>
                <w:rFonts w:hint="eastAsia" w:ascii="宋体" w:hAnsi="宋体" w:eastAsia="宋体" w:cs="宋体"/>
                <w:bCs/>
                <w:highlight w:val="none"/>
              </w:rPr>
            </w:pPr>
          </w:p>
        </w:tc>
        <w:tc>
          <w:tcPr>
            <w:tcW w:w="1560" w:type="dxa"/>
            <w:vAlign w:val="center"/>
          </w:tcPr>
          <w:p w14:paraId="7627050D">
            <w:pPr>
              <w:pStyle w:val="18"/>
              <w:jc w:val="center"/>
              <w:rPr>
                <w:rFonts w:hint="eastAsia" w:ascii="宋体" w:hAnsi="宋体" w:eastAsia="宋体" w:cs="宋体"/>
                <w:bCs/>
                <w:szCs w:val="24"/>
                <w:highlight w:val="none"/>
              </w:rPr>
            </w:pPr>
          </w:p>
        </w:tc>
      </w:tr>
      <w:tr w14:paraId="76711C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245" w:type="dxa"/>
            <w:gridSpan w:val="4"/>
            <w:vAlign w:val="center"/>
          </w:tcPr>
          <w:p w14:paraId="3EBA03BA">
            <w:pPr>
              <w:jc w:val="center"/>
              <w:rPr>
                <w:rFonts w:hint="eastAsia" w:ascii="宋体" w:hAnsi="宋体" w:eastAsia="宋体" w:cs="宋体"/>
                <w:bCs/>
                <w:highlight w:val="none"/>
              </w:rPr>
            </w:pPr>
            <w:r>
              <w:rPr>
                <w:rFonts w:hint="eastAsia" w:ascii="宋体" w:hAnsi="宋体" w:eastAsia="宋体" w:cs="宋体"/>
                <w:bCs/>
                <w:highlight w:val="none"/>
              </w:rPr>
              <w:t>合计（元）</w:t>
            </w:r>
          </w:p>
        </w:tc>
        <w:tc>
          <w:tcPr>
            <w:tcW w:w="3109" w:type="dxa"/>
            <w:gridSpan w:val="2"/>
            <w:vAlign w:val="center"/>
          </w:tcPr>
          <w:p w14:paraId="74ED2B86">
            <w:pPr>
              <w:pStyle w:val="18"/>
              <w:jc w:val="right"/>
              <w:rPr>
                <w:rFonts w:hint="eastAsia" w:ascii="宋体" w:hAnsi="宋体" w:eastAsia="宋体" w:cs="宋体"/>
                <w:bCs/>
                <w:szCs w:val="24"/>
                <w:highlight w:val="none"/>
              </w:rPr>
            </w:pPr>
          </w:p>
        </w:tc>
      </w:tr>
    </w:tbl>
    <w:p w14:paraId="2495DDE0">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以上合同总价包含乙方为履行本合同而向甲方提供全部服务的一切费用，包括但不限于：乙方应当提供的伴随服务/售后服务费用、免费提供的增值服务费用、税费等，并不得再有其他费用,否则甲方有权拒付。</w:t>
      </w:r>
    </w:p>
    <w:p w14:paraId="740B7595">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（二）结算</w:t>
      </w:r>
      <w:bookmarkStart w:id="416" w:name="OLE_LINK4"/>
      <w:bookmarkStart w:id="417" w:name="OLE_LINK2"/>
    </w:p>
    <w:p w14:paraId="1087DD43">
      <w:pPr>
        <w:tabs>
          <w:tab w:val="left" w:pos="6930"/>
        </w:tabs>
        <w:autoSpaceDE w:val="0"/>
        <w:autoSpaceDN w:val="0"/>
        <w:adjustRightInd w:val="0"/>
        <w:ind w:right="-154"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bookmarkEnd w:id="416"/>
      <w:bookmarkEnd w:id="417"/>
      <w:r>
        <w:rPr>
          <w:rFonts w:hint="eastAsia" w:ascii="宋体" w:hAnsi="宋体" w:eastAsia="宋体" w:cs="宋体"/>
          <w:bCs/>
          <w:sz w:val="24"/>
          <w:highlight w:val="none"/>
        </w:rPr>
        <w:t>付款方式：</w:t>
      </w:r>
    </w:p>
    <w:p w14:paraId="5C766A45">
      <w:pPr>
        <w:tabs>
          <w:tab w:val="left" w:pos="6930"/>
        </w:tabs>
        <w:autoSpaceDE w:val="0"/>
        <w:autoSpaceDN w:val="0"/>
        <w:adjustRightInd w:val="0"/>
        <w:ind w:right="-154"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rPr>
        <w:t>.乙方指定银行账户信息如下：</w:t>
      </w:r>
    </w:p>
    <w:p w14:paraId="72143685">
      <w:pPr>
        <w:tabs>
          <w:tab w:val="left" w:pos="6930"/>
        </w:tabs>
        <w:autoSpaceDE w:val="0"/>
        <w:autoSpaceDN w:val="0"/>
        <w:adjustRightInd w:val="0"/>
        <w:ind w:right="-154"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账户名称：</w:t>
      </w:r>
    </w:p>
    <w:p w14:paraId="7C5DFB9D">
      <w:pPr>
        <w:tabs>
          <w:tab w:val="left" w:pos="6930"/>
        </w:tabs>
        <w:autoSpaceDE w:val="0"/>
        <w:autoSpaceDN w:val="0"/>
        <w:adjustRightInd w:val="0"/>
        <w:ind w:right="-154"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 xml:space="preserve">开户银行： </w:t>
      </w:r>
    </w:p>
    <w:p w14:paraId="678939DC">
      <w:pPr>
        <w:tabs>
          <w:tab w:val="left" w:pos="6930"/>
        </w:tabs>
        <w:autoSpaceDE w:val="0"/>
        <w:autoSpaceDN w:val="0"/>
        <w:adjustRightInd w:val="0"/>
        <w:ind w:right="-154"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账号：</w:t>
      </w:r>
    </w:p>
    <w:p w14:paraId="4FE5A9B3">
      <w:pPr>
        <w:tabs>
          <w:tab w:val="left" w:pos="6930"/>
        </w:tabs>
        <w:autoSpaceDE w:val="0"/>
        <w:autoSpaceDN w:val="0"/>
        <w:adjustRightInd w:val="0"/>
        <w:ind w:right="-154"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若乙方指定银行账户信息发生变更，乙方应在甲方付款前10个工作日书面告知甲方，否则乙方自行承担相关责任和后果。</w:t>
      </w:r>
    </w:p>
    <w:p w14:paraId="6B5F785C">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rPr>
        <w:t>.若乙方存在违约行为，按本合同约定应向甲方支付违约金</w:t>
      </w:r>
      <w:r>
        <w:rPr>
          <w:rFonts w:hint="eastAsia" w:ascii="宋体" w:hAnsi="宋体" w:eastAsia="宋体" w:cs="宋体"/>
          <w:bCs/>
          <w:sz w:val="24"/>
          <w:highlight w:val="none"/>
          <w:lang w:val="en-US" w:eastAsia="zh-CN"/>
        </w:rPr>
        <w:t>且履约保证金不足抵扣违约金的</w:t>
      </w:r>
      <w:r>
        <w:rPr>
          <w:rFonts w:hint="eastAsia" w:ascii="宋体" w:hAnsi="宋体" w:eastAsia="宋体" w:cs="宋体"/>
          <w:bCs/>
          <w:sz w:val="24"/>
          <w:highlight w:val="none"/>
        </w:rPr>
        <w:t>，</w:t>
      </w:r>
      <w:r>
        <w:rPr>
          <w:rFonts w:hint="eastAsia" w:ascii="宋体" w:hAnsi="宋体" w:eastAsia="宋体" w:cs="宋体"/>
          <w:bCs/>
          <w:sz w:val="24"/>
          <w:highlight w:val="none"/>
          <w:lang w:val="en-US"/>
        </w:rPr>
        <w:t>则扣除乙方</w:t>
      </w:r>
      <w:r>
        <w:rPr>
          <w:rFonts w:hint="eastAsia" w:ascii="宋体" w:hAnsi="宋体" w:eastAsia="宋体" w:cs="宋体"/>
          <w:bCs/>
          <w:sz w:val="24"/>
          <w:highlight w:val="none"/>
          <w:lang w:val="en-US" w:eastAsia="zh-CN"/>
        </w:rPr>
        <w:t>剩余</w:t>
      </w:r>
      <w:r>
        <w:rPr>
          <w:rFonts w:hint="eastAsia" w:ascii="宋体" w:hAnsi="宋体" w:eastAsia="宋体" w:cs="宋体"/>
          <w:bCs/>
          <w:sz w:val="24"/>
          <w:highlight w:val="none"/>
          <w:lang w:val="en-US"/>
        </w:rPr>
        <w:t>应付违约金后的金额作为合同</w:t>
      </w:r>
      <w:r>
        <w:rPr>
          <w:rFonts w:hint="eastAsia" w:ascii="宋体" w:hAnsi="宋体" w:eastAsia="宋体" w:cs="宋体"/>
          <w:bCs/>
          <w:sz w:val="24"/>
          <w:highlight w:val="none"/>
          <w:lang w:val="en-US" w:eastAsia="zh-CN"/>
        </w:rPr>
        <w:t>价款</w:t>
      </w:r>
      <w:r>
        <w:rPr>
          <w:rFonts w:hint="eastAsia" w:ascii="宋体" w:hAnsi="宋体" w:eastAsia="宋体" w:cs="宋体"/>
          <w:bCs/>
          <w:sz w:val="24"/>
          <w:highlight w:val="none"/>
          <w:lang w:val="en-US"/>
        </w:rPr>
        <w:t>最终结算金额，并据此核定单价</w:t>
      </w:r>
      <w:r>
        <w:rPr>
          <w:rFonts w:hint="eastAsia" w:ascii="宋体" w:hAnsi="宋体" w:eastAsia="宋体" w:cs="宋体"/>
          <w:bCs/>
          <w:sz w:val="24"/>
          <w:highlight w:val="none"/>
        </w:rPr>
        <w:t>。</w:t>
      </w:r>
    </w:p>
    <w:p w14:paraId="39F46DD9">
      <w:pPr>
        <w:ind w:firstLine="420"/>
        <w:rPr>
          <w:rFonts w:hint="eastAsia" w:ascii="宋体" w:hAnsi="宋体" w:eastAsia="宋体" w:cs="宋体"/>
          <w:bCs/>
          <w:sz w:val="24"/>
          <w:highlight w:val="none"/>
        </w:rPr>
      </w:pPr>
      <w:r>
        <w:rPr>
          <w:rFonts w:hint="eastAsia" w:ascii="宋体" w:hAnsi="宋体" w:eastAsia="宋体" w:cs="宋体"/>
          <w:bCs/>
          <w:sz w:val="24"/>
          <w:highlight w:val="none"/>
        </w:rPr>
        <w:t>四、甲、乙双方的权利和义务</w:t>
      </w:r>
    </w:p>
    <w:p w14:paraId="3C1D0003">
      <w:pPr>
        <w:ind w:firstLine="420"/>
        <w:rPr>
          <w:rFonts w:hint="eastAsia" w:ascii="宋体" w:hAnsi="宋体" w:eastAsia="宋体" w:cs="宋体"/>
          <w:bCs/>
          <w:sz w:val="24"/>
          <w:highlight w:val="none"/>
        </w:rPr>
      </w:pPr>
      <w:r>
        <w:rPr>
          <w:rFonts w:hint="eastAsia" w:ascii="宋体" w:hAnsi="宋体" w:eastAsia="宋体" w:cs="宋体"/>
          <w:bCs/>
          <w:sz w:val="24"/>
          <w:highlight w:val="none"/>
        </w:rPr>
        <w:t>（一）甲方的权利和义务</w:t>
      </w:r>
    </w:p>
    <w:p w14:paraId="5E972941">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1.甲方及用户单位有权对乙方提供的服务进行监督、检查并提出改进意见，并有权制止乙方将要或正在损害甲方利益的行为。甲方用户单位及联系人、联系方式：</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w:t>
      </w:r>
    </w:p>
    <w:p w14:paraId="6533FF2B">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2.甲方及用户单位为乙方提供涉及实施本项目必要的服务条件。若有特殊要求，须经甲方书面同意。</w:t>
      </w:r>
    </w:p>
    <w:p w14:paraId="27A3B709">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3.甲方用户单位负责组织成立验收组对乙方提供的服务项目进行验收并签署验收报告。</w:t>
      </w:r>
    </w:p>
    <w:p w14:paraId="22F59867">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4.甲方对乙方及其服务人员在提供服务过程中非因甲方原因造成的人身及财产损害，不负任何责任。</w:t>
      </w:r>
    </w:p>
    <w:p w14:paraId="214A7502">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5.甲方及用户单位对乙方违反甲方管理制度的行为，可以根据情节轻重，采取劝阻、制止、要求整改、要求更换服务人员等措施，或选择单方解除合同。</w:t>
      </w:r>
    </w:p>
    <w:p w14:paraId="688B55A0">
      <w:pPr>
        <w:ind w:firstLine="420"/>
        <w:rPr>
          <w:rFonts w:hint="eastAsia" w:ascii="宋体" w:hAnsi="宋体" w:eastAsia="宋体" w:cs="宋体"/>
          <w:bCs/>
          <w:sz w:val="24"/>
          <w:highlight w:val="none"/>
        </w:rPr>
      </w:pPr>
      <w:r>
        <w:rPr>
          <w:rFonts w:hint="eastAsia" w:ascii="宋体" w:hAnsi="宋体" w:eastAsia="宋体" w:cs="宋体"/>
          <w:bCs/>
          <w:sz w:val="24"/>
          <w:highlight w:val="none"/>
        </w:rPr>
        <w:t>（二）乙方的权利和义务</w:t>
      </w:r>
    </w:p>
    <w:p w14:paraId="33CFFFBB">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1.乙方保证己方为依法设立并合法存续的企业，有权签署并有资质及能力履行本合同，并应于合同签订前提供己方及实施本项目相关人员资质证明文件交由甲方存档备查。</w:t>
      </w:r>
    </w:p>
    <w:p w14:paraId="194FB162">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2.乙方应根据合同约定向甲方提供服务，并接受甲方及其用户单位的监督。</w:t>
      </w:r>
    </w:p>
    <w:p w14:paraId="4D019200">
      <w:pPr>
        <w:pStyle w:val="11"/>
        <w:ind w:firstLine="480" w:firstLineChars="200"/>
        <w:rPr>
          <w:rFonts w:hint="eastAsia" w:ascii="宋体" w:hAnsi="宋体" w:eastAsia="宋体" w:cs="宋体"/>
          <w:bCs/>
          <w:highlight w:val="none"/>
        </w:rPr>
      </w:pPr>
      <w:r>
        <w:rPr>
          <w:rFonts w:hint="eastAsia" w:ascii="宋体" w:hAnsi="宋体" w:eastAsia="宋体" w:cs="宋体"/>
          <w:bCs/>
          <w:sz w:val="24"/>
          <w:highlight w:val="none"/>
        </w:rPr>
        <w:t>3.乙方不得将其应当提供的全部或部分服务转委托给第三人。</w:t>
      </w:r>
    </w:p>
    <w:p w14:paraId="5BB28B07">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4.乙方应严格遵守投标、技术澄清、谈判、中标所承诺的一切规定和条款。</w:t>
      </w:r>
    </w:p>
    <w:p w14:paraId="482388B8">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5.乙方应配合甲方及用户单位进行服务项目的验收。</w:t>
      </w:r>
    </w:p>
    <w:p w14:paraId="66C4C186">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6.乙方保证其提供的服务及服务方案不侵犯任何第三方的知识产权，若因此而引起纠纷及法律责任，由乙方自行承担；若甲方因此而遭受损失，乙方应向甲方进行赔偿。</w:t>
      </w:r>
    </w:p>
    <w:p w14:paraId="2E9EEAA8">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7.承担因乙方及其派出工作人员原因（包括但不限于：提供服务的自身缺陷、违反甲方管理制度、不符合相关法律法规要求、不符合相关国家标准或行业标准等）给甲方或第三人造成的任何损失、责任；若甲方因此而遭受损失，乙方应向甲方进行赔偿。</w:t>
      </w:r>
    </w:p>
    <w:p w14:paraId="0C12AB76">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8.乙方所提供服务人员须经过上岗培训（包括但不限于服务过程中的安全教育和培训）。若涉及需要服务人员资质的，应符合相关规定。</w:t>
      </w:r>
    </w:p>
    <w:p w14:paraId="454C1941">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9.乙方须管理好己方服务人员，需要统一着装的，则应统一着装；若乙方服务人员在为甲方提供服务过程中发生受伤、摔倒等安全事故及财产损失的，乙方应自行妥善处理。</w:t>
      </w:r>
    </w:p>
    <w:p w14:paraId="10919339">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10.乙方须按照国家劳动法及云南省规定与选派至本合同服务处人员订立劳动合同，并按照规定缴纳社会保险；发生劳动纠纷或争议等事项，乙方自行处理；如因此影响甲方（或使用单位）正常使用或造成甲方声誉受损等情形时，甲方有权解除本合同，另聘用第三方提供服务，未支付乙方的费用不再支付，已支付的服务费用乙方应向甲方全部返还，由此发生的损失，由乙方负担。</w:t>
      </w:r>
    </w:p>
    <w:p w14:paraId="1B90EE03">
      <w:pPr>
        <w:ind w:firstLine="464" w:firstLineChars="200"/>
        <w:rPr>
          <w:rFonts w:hint="eastAsia" w:ascii="宋体" w:hAnsi="宋体" w:eastAsia="宋体" w:cs="宋体"/>
          <w:bCs/>
          <w:spacing w:val="-4"/>
          <w:sz w:val="24"/>
          <w:highlight w:val="none"/>
        </w:rPr>
      </w:pPr>
      <w:r>
        <w:rPr>
          <w:rFonts w:hint="eastAsia" w:ascii="宋体" w:hAnsi="宋体" w:eastAsia="宋体" w:cs="宋体"/>
          <w:bCs/>
          <w:spacing w:val="-4"/>
          <w:sz w:val="24"/>
          <w:highlight w:val="none"/>
        </w:rPr>
        <w:t>11.乙方服务人员应遵守甲方的管理制度。乙方入校提供服务人员，需提前报甲方同意并备案，同时应向甲方申请办理相关入校手续；若有人员变动，需书面通知甲方，经甲方同意并备案后，方可更换。</w:t>
      </w:r>
    </w:p>
    <w:p w14:paraId="69CB12F2">
      <w:pPr>
        <w:ind w:firstLine="464" w:firstLineChars="200"/>
        <w:rPr>
          <w:rFonts w:hint="eastAsia" w:ascii="宋体" w:hAnsi="宋体" w:eastAsia="宋体" w:cs="宋体"/>
          <w:bCs/>
          <w:spacing w:val="-4"/>
          <w:sz w:val="24"/>
          <w:highlight w:val="none"/>
        </w:rPr>
      </w:pPr>
      <w:r>
        <w:rPr>
          <w:rFonts w:hint="eastAsia" w:ascii="宋体" w:hAnsi="宋体" w:eastAsia="宋体" w:cs="宋体"/>
          <w:bCs/>
          <w:spacing w:val="-4"/>
          <w:sz w:val="24"/>
          <w:highlight w:val="none"/>
        </w:rPr>
        <w:t>12.提供服务期间，涉及现场施工时，乙方有义务保持甲方现场财产的安全和完整，且须按甲方要求进行现场施工，如因乙方原因造成甲方财产损失，由乙方负责恢复原状，若无法恢复原状的，由乙方负责赔偿。</w:t>
      </w:r>
    </w:p>
    <w:p w14:paraId="40EE9962">
      <w:pPr>
        <w:ind w:firstLine="464" w:firstLineChars="200"/>
        <w:rPr>
          <w:rFonts w:hint="eastAsia" w:ascii="宋体" w:hAnsi="宋体" w:eastAsia="宋体" w:cs="宋体"/>
          <w:bCs/>
          <w:spacing w:val="-4"/>
          <w:sz w:val="24"/>
          <w:highlight w:val="none"/>
        </w:rPr>
      </w:pPr>
      <w:r>
        <w:rPr>
          <w:rFonts w:hint="eastAsia" w:ascii="宋体" w:hAnsi="宋体" w:eastAsia="宋体" w:cs="宋体"/>
          <w:bCs/>
          <w:spacing w:val="-4"/>
          <w:sz w:val="24"/>
          <w:highlight w:val="none"/>
        </w:rPr>
        <w:t>13.甲方因乙方提供的服务受到国家、地方相关行政部门的行政处罚的，乙方应赔偿甲方因此受到的全部损失。</w:t>
      </w:r>
    </w:p>
    <w:p w14:paraId="64555BC7">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14.本合同终止时，乙方应向甲方做好服务的交接和善后工作，移交全部档案及相关资料，并在3个工作日内撤场并搬离乙方物品；否则，甲方有权代为处理，甲方代为处理的费用，有权向乙方追偿；同时，甲方对代为处理的物品不承担任何责任。</w:t>
      </w:r>
    </w:p>
    <w:p w14:paraId="7AB9B264">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15.相关法律法规及政策规定应由乙方承担的其他责任。</w:t>
      </w:r>
    </w:p>
    <w:p w14:paraId="0A07CB0F">
      <w:pPr>
        <w:ind w:firstLine="420"/>
        <w:rPr>
          <w:rFonts w:hint="eastAsia" w:ascii="宋体" w:hAnsi="宋体" w:eastAsia="宋体" w:cs="宋体"/>
          <w:bCs/>
          <w:sz w:val="24"/>
          <w:highlight w:val="none"/>
        </w:rPr>
      </w:pPr>
      <w:bookmarkStart w:id="418" w:name="_Toc9512"/>
      <w:r>
        <w:rPr>
          <w:rFonts w:hint="eastAsia" w:ascii="宋体" w:hAnsi="宋体" w:eastAsia="宋体" w:cs="宋体"/>
          <w:bCs/>
          <w:sz w:val="24"/>
          <w:highlight w:val="none"/>
        </w:rPr>
        <w:t>五、验收</w:t>
      </w:r>
      <w:bookmarkEnd w:id="418"/>
    </w:p>
    <w:p w14:paraId="2FAB725C">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（一）验收时间</w:t>
      </w:r>
    </w:p>
    <w:p w14:paraId="62FA8200">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项目完成后，由甲方用户单位组织验收。</w:t>
      </w:r>
    </w:p>
    <w:p w14:paraId="4BB9FA2E">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（二）验收方法</w:t>
      </w:r>
    </w:p>
    <w:p w14:paraId="24F0DD3E">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应当按照采购合同相关文件规定的服务、安全标准组织对乙方履约情况进行验收，并出具验收书，验收书应当包括每一项服务、安全标准的履约情况，一式三份，经甲乙双方签字确认，作为归档、结算的依据。</w:t>
      </w:r>
    </w:p>
    <w:p w14:paraId="3CA71B11">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（三）验收标准</w:t>
      </w:r>
    </w:p>
    <w:p w14:paraId="649D4401">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应当符合合同相关文件的约定，未进行相应约定的，应当符合国家强制性规定、政策要求、安全标准、行业或企业有关标准等。</w:t>
      </w:r>
    </w:p>
    <w:p w14:paraId="2A3BA6E3">
      <w:pPr>
        <w:ind w:firstLine="420"/>
        <w:rPr>
          <w:rFonts w:hint="eastAsia" w:ascii="宋体" w:hAnsi="宋体" w:eastAsia="宋体" w:cs="宋体"/>
          <w:bCs/>
          <w:sz w:val="24"/>
          <w:highlight w:val="none"/>
        </w:rPr>
      </w:pPr>
      <w:r>
        <w:rPr>
          <w:rFonts w:hint="eastAsia" w:ascii="宋体" w:hAnsi="宋体" w:eastAsia="宋体" w:cs="宋体"/>
          <w:bCs/>
          <w:sz w:val="24"/>
          <w:highlight w:val="none"/>
        </w:rPr>
        <w:t>六、辅助服务标准及要求</w:t>
      </w:r>
    </w:p>
    <w:p w14:paraId="1DB3F5B9">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1.合同执行过程中乙方应提供及时有效的技术支持及服务。</w:t>
      </w:r>
    </w:p>
    <w:p w14:paraId="5AB2D704">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2.乙方本项目联系人：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，联系电话：</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w:t>
      </w:r>
    </w:p>
    <w:p w14:paraId="7F0B6B34">
      <w:pPr>
        <w:pStyle w:val="11"/>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乙方变更联系人及联系方式的，应于变更后3日内书面通知甲方。否则，因联系方式的错误致使甲方无法联系而造成的不利后果均由乙方承担。</w:t>
      </w:r>
    </w:p>
    <w:p w14:paraId="7A14915E">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乙方所提供的服务应与甲方在合同相关文件中的要求一致，若无特殊说明，则按国家有关部门最新颁布的标准及规范为准。</w:t>
      </w:r>
    </w:p>
    <w:p w14:paraId="5E7E2828">
      <w:pPr>
        <w:ind w:firstLine="420"/>
        <w:rPr>
          <w:rFonts w:hint="eastAsia" w:ascii="宋体" w:hAnsi="宋体" w:eastAsia="宋体" w:cs="宋体"/>
          <w:bCs/>
          <w:sz w:val="24"/>
          <w:highlight w:val="none"/>
        </w:rPr>
      </w:pPr>
      <w:r>
        <w:rPr>
          <w:rFonts w:hint="eastAsia" w:ascii="宋体" w:hAnsi="宋体" w:eastAsia="宋体" w:cs="宋体"/>
          <w:bCs/>
          <w:sz w:val="24"/>
          <w:highlight w:val="none"/>
        </w:rPr>
        <w:t>七、合同的变更必须经甲、乙双方协商一致，并按照相关的变更程序加以书面确认后方可进行。</w:t>
      </w:r>
    </w:p>
    <w:p w14:paraId="26CA371E">
      <w:pPr>
        <w:ind w:firstLine="420"/>
        <w:rPr>
          <w:rFonts w:hint="eastAsia" w:ascii="宋体" w:hAnsi="宋体" w:eastAsia="宋体" w:cs="宋体"/>
          <w:bCs/>
          <w:sz w:val="24"/>
          <w:highlight w:val="none"/>
        </w:rPr>
      </w:pPr>
      <w:r>
        <w:rPr>
          <w:rFonts w:hint="eastAsia" w:ascii="宋体" w:hAnsi="宋体" w:eastAsia="宋体" w:cs="宋体"/>
          <w:bCs/>
          <w:sz w:val="24"/>
          <w:highlight w:val="none"/>
        </w:rPr>
        <w:t>八、违约责任</w:t>
      </w:r>
    </w:p>
    <w:p w14:paraId="1AFE0857">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甲方无正当理由拒绝接受服务、拒付合同价款的，每逾期1天，甲方应向乙方支付合同价款5‰的违约金。如甲方逾期30天以上（含本数）未按约定接受服务和支付合同价款的，甲方应向乙方支付合同价款30%的违约金，同时乙方有权选择单方解除合同，解除合同的通知自到达甲方时生效。</w:t>
      </w:r>
    </w:p>
    <w:p w14:paraId="39D5C623">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乙方逾期提供服务的，每逾期1天，乙方应向甲方支付合同价款5‰的违约金。如乙方逾期30天以上（含本数）未按约定向甲方提供服务的，乙方应向甲方支付合同价款30%的违约金，同时甲方有权选择单方解除合同，解除合同的通知自到达乙方时生效。</w:t>
      </w:r>
    </w:p>
    <w:p w14:paraId="7054B530">
      <w:pPr>
        <w:autoSpaceDE w:val="0"/>
        <w:autoSpaceDN w:val="0"/>
        <w:adjustRightInd w:val="0"/>
        <w:ind w:firstLine="480" w:firstLineChars="200"/>
        <w:jc w:val="left"/>
        <w:rPr>
          <w:rFonts w:hint="eastAsia" w:ascii="宋体" w:hAnsi="宋体" w:eastAsia="宋体" w:cs="宋体"/>
          <w:bCs/>
          <w:sz w:val="24"/>
          <w:highlight w:val="none"/>
        </w:rPr>
      </w:pPr>
      <w:r>
        <w:rPr>
          <w:rFonts w:hint="eastAsia" w:ascii="宋体" w:hAnsi="宋体" w:eastAsia="宋体" w:cs="宋体"/>
          <w:bCs/>
          <w:sz w:val="24"/>
          <w:highlight w:val="none"/>
        </w:rPr>
        <w:t>3.若乙方不能按合同约定提供服务的，则视为违约。若乙方能及时提出符合服务要求的其他替代方案，并经甲方同意，甲乙双方就替代方案签订补充协议；若乙方不能及时提出或甲乙双方不能就替代方案协商一致，则甲方可以选择解除合同，并要求乙方支付合同价款30%的违约金。</w:t>
      </w:r>
    </w:p>
    <w:p w14:paraId="3D35D967">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4.在乙方的服务履行期内（包括售后服务期间），乙方未按本合同的约定和“服务承诺”提供伴随服务/售后服务的，除应继续提供伴随服务/售后服务外，还应按合同价格的30%向甲方承担违约责任。</w:t>
      </w:r>
    </w:p>
    <w:p w14:paraId="7CEBA4A6">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5.甲乙双方中的任何一方还有其他违约行为的，违约一方应赔偿守约一方的损失。</w:t>
      </w:r>
    </w:p>
    <w:p w14:paraId="5CCD1018">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6.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356DC040">
      <w:pPr>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7.甲乙双方在履行本合同过程中，任何一方违反本合同约定，均为违约。违约方除向守约方支付违约金或赔偿损失外，还应承担守约方为取得此等违约金或赔偿而支出的所有费用，包括但不限于诉讼费、仲裁费、律师费、差旅费等。</w:t>
      </w:r>
    </w:p>
    <w:p w14:paraId="0B877141">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九、甲方有权拒付合同价以外的任何费用；乙方有权拒绝合同整体范围以外的不合理条件。</w:t>
      </w:r>
    </w:p>
    <w:p w14:paraId="658673C2">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十、除《中华人民共和国政府采购法》第49条、第50条第二款规定的情形外，本合同一经签订，甲、乙双方不得擅自变更、中止或终止合同。乙方不得擅自部分或全部转让其应履行的合同义务。</w:t>
      </w:r>
    </w:p>
    <w:p w14:paraId="04D59146">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十一、经甲、乙双方协商一致，可以就本合同中的相关事宜签订补充协议，但不得违反相关法律法规规定。</w:t>
      </w:r>
    </w:p>
    <w:p w14:paraId="38743350">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二、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1548EFA5">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十三、本合同其他未尽事宜，按《中华人民共和国民法典》有关规定处理。</w:t>
      </w:r>
    </w:p>
    <w:p w14:paraId="4C7196F3">
      <w:pPr>
        <w:pStyle w:val="11"/>
        <w:ind w:firstLine="0"/>
        <w:rPr>
          <w:rFonts w:hint="eastAsia" w:ascii="宋体" w:hAnsi="宋体" w:eastAsia="宋体" w:cs="宋体"/>
          <w:highlight w:val="none"/>
        </w:rPr>
      </w:pPr>
      <w:r>
        <w:rPr>
          <w:rFonts w:hint="eastAsia" w:ascii="宋体" w:hAnsi="宋体" w:eastAsia="宋体" w:cs="宋体"/>
          <w:bCs/>
          <w:sz w:val="24"/>
          <w:highlight w:val="none"/>
        </w:rPr>
        <w:t>★  十四、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4182CD32">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十五、本合同一式八份，甲方七份（含用于结算支付的一份），乙方一份。</w:t>
      </w:r>
    </w:p>
    <w:p w14:paraId="4FC2659B">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十六、本合同自签订之日起生效。</w:t>
      </w:r>
    </w:p>
    <w:p w14:paraId="1457ECFE">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十七、本合同不可分割之部分及解释顺序：</w:t>
      </w:r>
    </w:p>
    <w:p w14:paraId="3FF650A0">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1.合同书及附件。</w:t>
      </w:r>
    </w:p>
    <w:p w14:paraId="1206832D">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rPr>
        <w:t>.服务承诺。</w:t>
      </w:r>
    </w:p>
    <w:p w14:paraId="77765329">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rPr>
        <w:t>.成交通知书。</w:t>
      </w:r>
    </w:p>
    <w:p w14:paraId="3CC38E84">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rPr>
        <w:t>.成交人响应文件及澄清。</w:t>
      </w:r>
    </w:p>
    <w:p w14:paraId="6F50BAED">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5</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单一来源采购</w:t>
      </w:r>
      <w:r>
        <w:rPr>
          <w:rFonts w:hint="eastAsia" w:ascii="宋体" w:hAnsi="宋体" w:eastAsia="宋体" w:cs="宋体"/>
          <w:bCs/>
          <w:sz w:val="24"/>
          <w:highlight w:val="none"/>
        </w:rPr>
        <w:t>文件。</w:t>
      </w:r>
    </w:p>
    <w:p w14:paraId="42E32731">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6</w:t>
      </w:r>
      <w:r>
        <w:rPr>
          <w:rFonts w:hint="eastAsia" w:ascii="宋体" w:hAnsi="宋体" w:eastAsia="宋体" w:cs="宋体"/>
          <w:bCs/>
          <w:sz w:val="24"/>
          <w:highlight w:val="none"/>
        </w:rPr>
        <w:t>.款项支付计划表。</w:t>
      </w:r>
    </w:p>
    <w:p w14:paraId="253D2005">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7</w:t>
      </w:r>
      <w:r>
        <w:rPr>
          <w:rFonts w:hint="eastAsia" w:ascii="宋体" w:hAnsi="宋体" w:eastAsia="宋体" w:cs="宋体"/>
          <w:bCs/>
          <w:sz w:val="24"/>
          <w:highlight w:val="none"/>
        </w:rPr>
        <w:t>.甲乙双方商定的其他文件。</w:t>
      </w:r>
    </w:p>
    <w:p w14:paraId="3ADA24E8">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十八、合同签订地点：</w:t>
      </w:r>
      <w:r>
        <w:rPr>
          <w:rFonts w:hint="eastAsia" w:ascii="宋体" w:hAnsi="宋体" w:eastAsia="宋体" w:cs="宋体"/>
          <w:bCs/>
          <w:sz w:val="24"/>
          <w:highlight w:val="none"/>
          <w:u w:val="single"/>
        </w:rPr>
        <w:t>云南省昆明市</w:t>
      </w:r>
      <w:r>
        <w:rPr>
          <w:rFonts w:hint="eastAsia" w:ascii="宋体" w:hAnsi="宋体" w:eastAsia="宋体" w:cs="宋体"/>
          <w:bCs/>
          <w:sz w:val="24"/>
          <w:highlight w:val="none"/>
        </w:rPr>
        <w:t>。</w:t>
      </w:r>
    </w:p>
    <w:p w14:paraId="6921F775">
      <w:pPr>
        <w:ind w:firstLine="480" w:firstLineChars="200"/>
        <w:rPr>
          <w:rFonts w:hint="eastAsia" w:ascii="宋体" w:hAnsi="宋体" w:eastAsia="宋体" w:cs="宋体"/>
          <w:bCs/>
          <w:sz w:val="24"/>
          <w:highlight w:val="none"/>
        </w:rPr>
      </w:pPr>
      <w:bookmarkStart w:id="419" w:name="_Toc31941"/>
      <w:r>
        <w:rPr>
          <w:rFonts w:hint="eastAsia" w:ascii="宋体" w:hAnsi="宋体" w:eastAsia="宋体" w:cs="宋体"/>
          <w:bCs/>
          <w:sz w:val="24"/>
          <w:highlight w:val="none"/>
        </w:rPr>
        <w:t>十九、附件（有）</w:t>
      </w:r>
      <w:bookmarkEnd w:id="419"/>
    </w:p>
    <w:p w14:paraId="32CFEAC5">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附件1.服务要求</w:t>
      </w:r>
    </w:p>
    <w:p w14:paraId="386A54D0">
      <w:pPr>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附件2.服务承诺</w:t>
      </w:r>
    </w:p>
    <w:p w14:paraId="22EEE144">
      <w:pPr>
        <w:widowControl/>
        <w:jc w:val="center"/>
        <w:rPr>
          <w:rFonts w:hint="eastAsia" w:ascii="宋体" w:hAnsi="宋体" w:eastAsia="宋体" w:cs="宋体"/>
          <w:bCs/>
          <w:sz w:val="24"/>
          <w:highlight w:val="none"/>
        </w:rPr>
      </w:pPr>
      <w:r>
        <w:rPr>
          <w:rFonts w:hint="eastAsia" w:ascii="宋体" w:hAnsi="宋体" w:eastAsia="宋体" w:cs="宋体"/>
          <w:bCs/>
          <w:sz w:val="24"/>
          <w:highlight w:val="none"/>
        </w:rPr>
        <w:br w:type="page"/>
      </w:r>
    </w:p>
    <w:p w14:paraId="3EF96FC0">
      <w:pPr>
        <w:spacing w:line="200" w:lineRule="atLeast"/>
        <w:jc w:val="center"/>
        <w:rPr>
          <w:rFonts w:hint="eastAsia" w:ascii="宋体" w:hAnsi="宋体" w:eastAsia="宋体" w:cs="宋体"/>
          <w:bCs/>
          <w:sz w:val="24"/>
          <w:highlight w:val="none"/>
        </w:rPr>
      </w:pPr>
      <w:r>
        <w:rPr>
          <w:rFonts w:hint="eastAsia" w:ascii="宋体" w:hAnsi="宋体" w:eastAsia="宋体" w:cs="宋体"/>
          <w:bCs/>
          <w:sz w:val="24"/>
          <w:highlight w:val="none"/>
        </w:rPr>
        <w:t>（以下无正文，为双方签章页）</w:t>
      </w:r>
    </w:p>
    <w:p w14:paraId="5FD9DC10">
      <w:pPr>
        <w:spacing w:line="200" w:lineRule="atLeast"/>
        <w:rPr>
          <w:rFonts w:hint="eastAsia" w:ascii="宋体" w:hAnsi="宋体" w:eastAsia="宋体" w:cs="宋体"/>
          <w:bCs/>
          <w:sz w:val="24"/>
          <w:highlight w:val="none"/>
        </w:rPr>
      </w:pPr>
    </w:p>
    <w:p w14:paraId="282BDA5A">
      <w:pPr>
        <w:spacing w:line="200" w:lineRule="atLeast"/>
        <w:rPr>
          <w:rFonts w:hint="eastAsia" w:ascii="宋体" w:hAnsi="宋体" w:eastAsia="宋体" w:cs="宋体"/>
          <w:bCs/>
          <w:sz w:val="24"/>
          <w:highlight w:val="none"/>
        </w:rPr>
      </w:pPr>
    </w:p>
    <w:p w14:paraId="44340F23">
      <w:pPr>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采购方（甲方）：</w:t>
      </w:r>
      <w:r>
        <w:rPr>
          <w:rFonts w:hint="eastAsia" w:ascii="宋体" w:hAnsi="宋体" w:eastAsia="宋体" w:cs="宋体"/>
          <w:bCs/>
          <w:sz w:val="24"/>
          <w:highlight w:val="none"/>
          <w:lang w:eastAsia="zh-CN"/>
        </w:rPr>
        <w:t>云南财经职业学院</w:t>
      </w:r>
    </w:p>
    <w:p w14:paraId="35C0D1B4">
      <w:pPr>
        <w:spacing w:line="360" w:lineRule="auto"/>
        <w:rPr>
          <w:rFonts w:hint="eastAsia" w:ascii="宋体" w:hAnsi="宋体" w:eastAsia="宋体" w:cs="宋体"/>
          <w:bCs/>
          <w:sz w:val="24"/>
          <w:highlight w:val="none"/>
        </w:rPr>
      </w:pPr>
    </w:p>
    <w:p w14:paraId="2BB7A779">
      <w:pPr>
        <w:tabs>
          <w:tab w:val="left" w:pos="5529"/>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法定代表人或委托代理人:</w:t>
      </w:r>
      <w:r>
        <w:rPr>
          <w:rFonts w:hint="eastAsia" w:ascii="宋体" w:hAnsi="宋体" w:eastAsia="宋体" w:cs="宋体"/>
          <w:bCs/>
          <w:sz w:val="24"/>
          <w:highlight w:val="none"/>
        </w:rPr>
        <w:tab/>
      </w:r>
    </w:p>
    <w:p w14:paraId="28E755B6">
      <w:pPr>
        <w:tabs>
          <w:tab w:val="left" w:pos="5529"/>
        </w:tabs>
        <w:spacing w:line="360" w:lineRule="auto"/>
        <w:rPr>
          <w:rFonts w:hint="eastAsia" w:ascii="宋体" w:hAnsi="宋体" w:eastAsia="宋体" w:cs="宋体"/>
          <w:bCs/>
          <w:sz w:val="24"/>
          <w:highlight w:val="none"/>
        </w:rPr>
      </w:pPr>
    </w:p>
    <w:p w14:paraId="320E084D">
      <w:pPr>
        <w:tabs>
          <w:tab w:val="left" w:pos="5529"/>
        </w:tabs>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电话：</w:t>
      </w:r>
      <w:r>
        <w:rPr>
          <w:rFonts w:hint="eastAsia" w:ascii="宋体" w:hAnsi="宋体" w:eastAsia="宋体" w:cs="宋体"/>
          <w:bCs/>
          <w:sz w:val="24"/>
          <w:highlight w:val="none"/>
        </w:rPr>
        <w:tab/>
      </w:r>
      <w:r>
        <w:rPr>
          <w:rFonts w:hint="eastAsia" w:ascii="宋体" w:hAnsi="宋体" w:eastAsia="宋体" w:cs="宋体"/>
          <w:bCs/>
          <w:sz w:val="24"/>
          <w:highlight w:val="none"/>
        </w:rPr>
        <w:t>传真：</w:t>
      </w:r>
    </w:p>
    <w:p w14:paraId="2AF8C13D">
      <w:pPr>
        <w:tabs>
          <w:tab w:val="left" w:pos="5529"/>
        </w:tabs>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地址：</w:t>
      </w:r>
      <w:r>
        <w:rPr>
          <w:rFonts w:hint="eastAsia" w:ascii="宋体" w:hAnsi="宋体" w:eastAsia="宋体" w:cs="宋体"/>
          <w:bCs/>
          <w:sz w:val="24"/>
          <w:highlight w:val="none"/>
          <w:lang w:eastAsia="zh-CN"/>
        </w:rPr>
        <w:t>昆明市龙泉路408号</w:t>
      </w:r>
      <w:r>
        <w:rPr>
          <w:rFonts w:hint="eastAsia" w:ascii="宋体" w:hAnsi="宋体" w:eastAsia="宋体" w:cs="宋体"/>
          <w:bCs/>
          <w:sz w:val="24"/>
          <w:highlight w:val="none"/>
        </w:rPr>
        <w:tab/>
      </w:r>
      <w:r>
        <w:rPr>
          <w:rFonts w:hint="eastAsia" w:ascii="宋体" w:hAnsi="宋体" w:eastAsia="宋体" w:cs="宋体"/>
          <w:bCs/>
          <w:sz w:val="24"/>
          <w:highlight w:val="none"/>
        </w:rPr>
        <w:t>邮编：</w:t>
      </w:r>
    </w:p>
    <w:p w14:paraId="09FE95BD">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签订日期：</w:t>
      </w:r>
    </w:p>
    <w:p w14:paraId="0A65224A">
      <w:pPr>
        <w:pStyle w:val="11"/>
        <w:rPr>
          <w:rFonts w:hint="eastAsia" w:ascii="宋体" w:hAnsi="宋体" w:eastAsia="宋体" w:cs="宋体"/>
          <w:bCs/>
          <w:sz w:val="24"/>
          <w:highlight w:val="none"/>
        </w:rPr>
      </w:pPr>
    </w:p>
    <w:p w14:paraId="5F2C4455">
      <w:pPr>
        <w:pStyle w:val="11"/>
        <w:rPr>
          <w:rFonts w:hint="eastAsia" w:ascii="宋体" w:hAnsi="宋体" w:eastAsia="宋体" w:cs="宋体"/>
          <w:bCs/>
          <w:sz w:val="24"/>
          <w:highlight w:val="none"/>
        </w:rPr>
      </w:pPr>
    </w:p>
    <w:p w14:paraId="488A1B31">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服务提供方（乙方）： </w:t>
      </w:r>
    </w:p>
    <w:p w14:paraId="3A741EF3">
      <w:pPr>
        <w:tabs>
          <w:tab w:val="left" w:pos="5529"/>
        </w:tabs>
        <w:spacing w:line="360" w:lineRule="auto"/>
        <w:rPr>
          <w:rFonts w:hint="eastAsia" w:ascii="宋体" w:hAnsi="宋体" w:eastAsia="宋体" w:cs="宋体"/>
          <w:bCs/>
          <w:sz w:val="24"/>
          <w:highlight w:val="none"/>
        </w:rPr>
      </w:pPr>
    </w:p>
    <w:p w14:paraId="3687C7A7">
      <w:pPr>
        <w:tabs>
          <w:tab w:val="left" w:pos="5529"/>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法定代表人或委托代理人:</w:t>
      </w:r>
      <w:r>
        <w:rPr>
          <w:rFonts w:hint="eastAsia" w:ascii="宋体" w:hAnsi="宋体" w:eastAsia="宋体" w:cs="宋体"/>
          <w:bCs/>
          <w:sz w:val="24"/>
          <w:highlight w:val="none"/>
        </w:rPr>
        <w:tab/>
      </w:r>
      <w:r>
        <w:rPr>
          <w:rFonts w:hint="eastAsia" w:ascii="宋体" w:hAnsi="宋体" w:eastAsia="宋体" w:cs="宋体"/>
          <w:bCs/>
          <w:sz w:val="24"/>
          <w:highlight w:val="none"/>
        </w:rPr>
        <w:t>经办人：</w:t>
      </w:r>
    </w:p>
    <w:p w14:paraId="21FC88EE">
      <w:pPr>
        <w:keepNext w:val="0"/>
        <w:keepLines w:val="0"/>
        <w:pageBreakBefore w:val="0"/>
        <w:widowControl w:val="0"/>
        <w:tabs>
          <w:tab w:val="right" w:pos="9639"/>
        </w:tabs>
        <w:kinsoku/>
        <w:wordWrap/>
        <w:overflowPunct/>
        <w:topLinePunct w:val="0"/>
        <w:autoSpaceDE/>
        <w:autoSpaceDN/>
        <w:bidi w:val="0"/>
        <w:adjustRightInd/>
        <w:snapToGrid/>
        <w:spacing w:line="360" w:lineRule="auto"/>
        <w:textAlignment w:val="auto"/>
        <w:rPr>
          <w:rFonts w:hint="eastAsia" w:ascii="宋体" w:hAnsi="宋体" w:eastAsia="宋体" w:cs="宋体"/>
          <w:bCs/>
          <w:sz w:val="24"/>
          <w:highlight w:val="none"/>
        </w:rPr>
      </w:pPr>
    </w:p>
    <w:p w14:paraId="02BF9D86">
      <w:pPr>
        <w:keepNext w:val="0"/>
        <w:keepLines w:val="0"/>
        <w:pageBreakBefore w:val="0"/>
        <w:widowControl w:val="0"/>
        <w:tabs>
          <w:tab w:val="right" w:pos="9639"/>
        </w:tabs>
        <w:kinsoku/>
        <w:wordWrap/>
        <w:overflowPunct/>
        <w:topLinePunct w:val="0"/>
        <w:autoSpaceDE/>
        <w:autoSpaceDN/>
        <w:bidi w:val="0"/>
        <w:adjustRightInd/>
        <w:snapToGrid/>
        <w:spacing w:line="360" w:lineRule="auto"/>
        <w:textAlignment w:val="auto"/>
        <w:rPr>
          <w:rFonts w:hint="eastAsia" w:ascii="宋体" w:hAnsi="宋体" w:eastAsia="宋体" w:cs="宋体"/>
          <w:bCs/>
          <w:sz w:val="24"/>
          <w:highlight w:val="none"/>
        </w:rPr>
      </w:pPr>
      <w:r>
        <w:rPr>
          <w:rFonts w:hint="eastAsia" w:ascii="宋体" w:hAnsi="宋体" w:eastAsia="宋体" w:cs="宋体"/>
          <w:bCs/>
          <w:sz w:val="24"/>
          <w:highlight w:val="none"/>
        </w:rPr>
        <w:t>地址：                                        传真：</w:t>
      </w:r>
    </w:p>
    <w:p w14:paraId="50896F0F">
      <w:pPr>
        <w:keepNext w:val="0"/>
        <w:keepLines w:val="0"/>
        <w:pageBreakBefore w:val="0"/>
        <w:widowControl w:val="0"/>
        <w:tabs>
          <w:tab w:val="right" w:pos="9639"/>
        </w:tabs>
        <w:kinsoku/>
        <w:wordWrap/>
        <w:overflowPunct/>
        <w:topLinePunct w:val="0"/>
        <w:autoSpaceDE/>
        <w:autoSpaceDN/>
        <w:bidi w:val="0"/>
        <w:adjustRightInd/>
        <w:snapToGrid/>
        <w:spacing w:line="360" w:lineRule="auto"/>
        <w:textAlignment w:val="auto"/>
        <w:rPr>
          <w:rFonts w:hint="eastAsia" w:ascii="宋体" w:hAnsi="宋体" w:eastAsia="宋体" w:cs="宋体"/>
          <w:bCs/>
          <w:sz w:val="24"/>
          <w:highlight w:val="none"/>
        </w:rPr>
      </w:pPr>
      <w:r>
        <w:rPr>
          <w:rFonts w:hint="eastAsia" w:ascii="宋体" w:hAnsi="宋体" w:eastAsia="宋体" w:cs="宋体"/>
          <w:bCs/>
          <w:sz w:val="24"/>
          <w:highlight w:val="none"/>
        </w:rPr>
        <w:t>电话：                                        邮编：</w:t>
      </w:r>
    </w:p>
    <w:p w14:paraId="41CF804D">
      <w:pPr>
        <w:keepNext w:val="0"/>
        <w:keepLines w:val="0"/>
        <w:pageBreakBefore w:val="0"/>
        <w:widowControl w:val="0"/>
        <w:tabs>
          <w:tab w:val="left" w:pos="5529"/>
        </w:tabs>
        <w:kinsoku/>
        <w:wordWrap/>
        <w:overflowPunct/>
        <w:topLinePunct w:val="0"/>
        <w:autoSpaceDE/>
        <w:autoSpaceDN/>
        <w:bidi w:val="0"/>
        <w:adjustRightInd/>
        <w:snapToGrid/>
        <w:spacing w:line="360" w:lineRule="auto"/>
        <w:textAlignment w:val="auto"/>
        <w:rPr>
          <w:rFonts w:hint="eastAsia" w:ascii="宋体" w:hAnsi="宋体" w:eastAsia="宋体" w:cs="宋体"/>
          <w:bCs/>
          <w:sz w:val="24"/>
          <w:highlight w:val="none"/>
        </w:rPr>
      </w:pPr>
      <w:r>
        <w:rPr>
          <w:rFonts w:hint="eastAsia" w:ascii="宋体" w:hAnsi="宋体" w:eastAsia="宋体" w:cs="宋体"/>
          <w:bCs/>
          <w:sz w:val="24"/>
          <w:highlight w:val="none"/>
        </w:rPr>
        <w:t>签订日期：</w:t>
      </w:r>
    </w:p>
    <w:p w14:paraId="57F562C0">
      <w:pPr>
        <w:tabs>
          <w:tab w:val="right" w:pos="9639"/>
        </w:tabs>
        <w:rPr>
          <w:rFonts w:hint="eastAsia" w:ascii="宋体" w:hAnsi="宋体" w:eastAsia="宋体" w:cs="宋体"/>
          <w:bCs/>
          <w:sz w:val="24"/>
          <w:highlight w:val="none"/>
        </w:rPr>
      </w:pPr>
    </w:p>
    <w:p w14:paraId="5582EFE5">
      <w:pPr>
        <w:tabs>
          <w:tab w:val="left" w:pos="5529"/>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p>
    <w:p w14:paraId="14124C3D">
      <w:pPr>
        <w:pStyle w:val="11"/>
        <w:rPr>
          <w:rFonts w:hint="eastAsia" w:ascii="宋体" w:hAnsi="宋体" w:eastAsia="宋体" w:cs="宋体"/>
          <w:highlight w:val="none"/>
        </w:rPr>
      </w:pPr>
      <w:r>
        <w:rPr>
          <w:rFonts w:hint="eastAsia" w:ascii="宋体" w:hAnsi="宋体" w:eastAsia="宋体" w:cs="宋体"/>
          <w:highlight w:val="none"/>
        </w:rPr>
        <w:br w:type="page"/>
      </w:r>
    </w:p>
    <w:p w14:paraId="74138275">
      <w:pPr>
        <w:tabs>
          <w:tab w:val="left" w:pos="5529"/>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附件一 服务要求</w:t>
      </w:r>
    </w:p>
    <w:p w14:paraId="35B8B0BD">
      <w:pPr>
        <w:tabs>
          <w:tab w:val="left" w:pos="5529"/>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p>
    <w:p w14:paraId="1E407FB9">
      <w:pPr>
        <w:pStyle w:val="11"/>
        <w:rPr>
          <w:rFonts w:hint="eastAsia" w:ascii="宋体" w:hAnsi="宋体" w:eastAsia="宋体" w:cs="宋体"/>
          <w:highlight w:val="none"/>
        </w:rPr>
      </w:pPr>
      <w:r>
        <w:rPr>
          <w:rFonts w:hint="eastAsia" w:ascii="宋体" w:hAnsi="宋体" w:eastAsia="宋体" w:cs="宋体"/>
          <w:highlight w:val="none"/>
        </w:rPr>
        <w:br w:type="page"/>
      </w:r>
    </w:p>
    <w:p w14:paraId="7B52D12D">
      <w:pPr>
        <w:tabs>
          <w:tab w:val="left" w:pos="5529"/>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附件二 服务承诺</w:t>
      </w:r>
    </w:p>
    <w:p w14:paraId="2FDDB936">
      <w:pPr>
        <w:tabs>
          <w:tab w:val="left" w:pos="5529"/>
        </w:tabs>
        <w:spacing w:line="360" w:lineRule="auto"/>
        <w:rPr>
          <w:rFonts w:hint="eastAsia" w:ascii="宋体" w:hAnsi="宋体" w:eastAsia="宋体" w:cs="宋体"/>
          <w:bCs/>
          <w:highlight w:val="none"/>
        </w:rPr>
      </w:pPr>
      <w:r>
        <w:rPr>
          <w:rFonts w:hint="eastAsia" w:ascii="宋体" w:hAnsi="宋体" w:eastAsia="宋体" w:cs="宋体"/>
          <w:bCs/>
          <w:sz w:val="24"/>
          <w:highlight w:val="none"/>
        </w:rPr>
        <w:t xml:space="preserve">                                       </w:t>
      </w:r>
    </w:p>
    <w:p w14:paraId="2C483567">
      <w:pPr>
        <w:pStyle w:val="11"/>
        <w:ind w:firstLine="0"/>
        <w:rPr>
          <w:rFonts w:hint="eastAsia" w:ascii="宋体" w:hAnsi="宋体" w:eastAsia="宋体" w:cs="宋体"/>
          <w:sz w:val="24"/>
          <w:highlight w:val="none"/>
        </w:rPr>
        <w:sectPr>
          <w:headerReference r:id="rId16" w:type="first"/>
          <w:footerReference r:id="rId18" w:type="first"/>
          <w:footerReference r:id="rId17" w:type="default"/>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27EA1BB0">
      <w:pPr>
        <w:pStyle w:val="11"/>
        <w:ind w:firstLine="0"/>
        <w:rPr>
          <w:rFonts w:hint="eastAsia" w:ascii="宋体" w:hAnsi="宋体" w:eastAsia="宋体" w:cs="宋体"/>
          <w:sz w:val="24"/>
          <w:highlight w:val="none"/>
        </w:rPr>
      </w:pPr>
    </w:p>
    <w:p w14:paraId="09A8C98A">
      <w:pPr>
        <w:pStyle w:val="2"/>
        <w:keepLines/>
        <w:autoSpaceDE/>
        <w:autoSpaceDN/>
        <w:adjustRightInd/>
        <w:jc w:val="center"/>
        <w:rPr>
          <w:rFonts w:hint="eastAsia" w:ascii="宋体" w:hAnsi="宋体" w:eastAsia="宋体" w:cs="宋体"/>
          <w:color w:val="auto"/>
          <w:kern w:val="44"/>
          <w:sz w:val="32"/>
          <w:szCs w:val="32"/>
          <w:highlight w:val="none"/>
        </w:rPr>
      </w:pPr>
      <w:r>
        <w:rPr>
          <w:rFonts w:hint="eastAsia" w:ascii="宋体" w:hAnsi="宋体" w:eastAsia="宋体" w:cs="宋体"/>
          <w:color w:val="auto"/>
          <w:kern w:val="44"/>
          <w:sz w:val="32"/>
          <w:szCs w:val="32"/>
          <w:highlight w:val="none"/>
        </w:rPr>
        <w:t>第四章  响应文件格式</w:t>
      </w:r>
      <w:bookmarkEnd w:id="412"/>
      <w:bookmarkEnd w:id="413"/>
      <w:bookmarkEnd w:id="414"/>
      <w:bookmarkEnd w:id="415"/>
    </w:p>
    <w:p w14:paraId="586FB14A">
      <w:pPr>
        <w:widowControl/>
        <w:spacing w:line="360" w:lineRule="auto"/>
        <w:ind w:firstLine="420" w:firstLineChars="200"/>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1.供应商按照本部分的要求编制响应文件，编制中涉及格式资料的，应按照本部分提供的内容和格式（所有表格的格式可扩展）填写提交。</w:t>
      </w:r>
    </w:p>
    <w:p w14:paraId="4475A9E3">
      <w:pPr>
        <w:widowControl/>
        <w:spacing w:line="360" w:lineRule="auto"/>
        <w:ind w:firstLine="42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格式中标记了▲号的为实质性格式文件，供应商不得改变格式中给定的文字所表达的含义，不得删减格式中的实质性内容，不得自行添加与格式中给定的文字内容相矛盾的内容，不得对应当实质性响应的内容不实质性响应，否则响应无效。未标记▲号的格式文件和单一来源采购文件未提供格式的内容，可由供应商自行编写。 </w:t>
      </w:r>
    </w:p>
    <w:p w14:paraId="04C16FA9">
      <w:pPr>
        <w:widowControl/>
        <w:spacing w:line="360" w:lineRule="auto"/>
        <w:ind w:firstLine="422"/>
        <w:jc w:val="lef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3.全部声明和问题的回答及所附材料必须是真实的、准确的和完整的。</w:t>
      </w:r>
    </w:p>
    <w:p w14:paraId="741EDB61">
      <w:pPr>
        <w:spacing w:line="360" w:lineRule="auto"/>
        <w:ind w:firstLine="420" w:firstLineChars="200"/>
        <w:jc w:val="left"/>
        <w:rPr>
          <w:rFonts w:hint="eastAsia" w:ascii="宋体" w:hAnsi="宋体" w:eastAsia="宋体" w:cs="宋体"/>
          <w:b/>
          <w:bCs/>
          <w:color w:val="auto"/>
          <w:kern w:val="0"/>
          <w:sz w:val="40"/>
          <w:szCs w:val="40"/>
          <w:highlight w:val="none"/>
        </w:rPr>
      </w:pPr>
      <w:r>
        <w:rPr>
          <w:rFonts w:hint="eastAsia" w:ascii="宋体" w:hAnsi="宋体" w:eastAsia="宋体" w:cs="宋体"/>
          <w:color w:val="auto"/>
          <w:szCs w:val="21"/>
          <w:highlight w:val="none"/>
          <w:lang w:bidi="ar"/>
        </w:rPr>
        <w:t>4.有关文件的提交如未特别注明需提供原件的，可提供扫描件或照片等形式的电子文件。</w:t>
      </w:r>
    </w:p>
    <w:p w14:paraId="20017280">
      <w:pPr>
        <w:spacing w:line="360" w:lineRule="auto"/>
        <w:jc w:val="left"/>
        <w:rPr>
          <w:rFonts w:hint="eastAsia" w:ascii="宋体" w:hAnsi="宋体" w:eastAsia="宋体" w:cs="宋体"/>
          <w:color w:val="auto"/>
          <w:sz w:val="24"/>
          <w:highlight w:val="none"/>
        </w:rPr>
      </w:pPr>
    </w:p>
    <w:p w14:paraId="5980DBF7">
      <w:pPr>
        <w:spacing w:line="360" w:lineRule="auto"/>
        <w:jc w:val="center"/>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br w:type="page"/>
      </w:r>
    </w:p>
    <w:p w14:paraId="12B6F695">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jc w:val="center"/>
        <w:textAlignment w:val="auto"/>
        <w:rPr>
          <w:rFonts w:hint="eastAsia" w:ascii="宋体" w:hAnsi="宋体" w:eastAsia="宋体" w:cs="宋体"/>
          <w:b/>
          <w:bCs w:val="0"/>
          <w:sz w:val="28"/>
          <w:szCs w:val="28"/>
          <w:highlight w:val="none"/>
        </w:rPr>
      </w:pPr>
      <w:bookmarkStart w:id="420" w:name="_Toc36116087"/>
      <w:bookmarkStart w:id="421" w:name="_Toc31707"/>
      <w:bookmarkStart w:id="422" w:name="OLE_LINK93"/>
      <w:bookmarkStart w:id="423" w:name="OLE_LINK200"/>
      <w:bookmarkStart w:id="424" w:name="OLE_LINK375"/>
      <w:r>
        <w:rPr>
          <w:rFonts w:hint="eastAsia" w:ascii="宋体" w:hAnsi="宋体" w:eastAsia="宋体" w:cs="宋体"/>
          <w:b/>
          <w:bCs w:val="0"/>
          <w:sz w:val="28"/>
          <w:szCs w:val="28"/>
          <w:highlight w:val="none"/>
          <w:lang w:val="en-US" w:eastAsia="zh-CN"/>
        </w:rPr>
        <w:t>一、</w:t>
      </w:r>
      <w:r>
        <w:rPr>
          <w:rFonts w:hint="eastAsia" w:ascii="宋体" w:hAnsi="宋体" w:eastAsia="宋体" w:cs="宋体"/>
          <w:b/>
          <w:bCs w:val="0"/>
          <w:sz w:val="28"/>
          <w:szCs w:val="28"/>
          <w:highlight w:val="none"/>
        </w:rPr>
        <w:t>资</w:t>
      </w:r>
      <w:bookmarkStart w:id="425" w:name="OLE_LINK201"/>
      <w:r>
        <w:rPr>
          <w:rFonts w:hint="eastAsia" w:ascii="宋体" w:hAnsi="宋体" w:eastAsia="宋体" w:cs="宋体"/>
          <w:b/>
          <w:bCs w:val="0"/>
          <w:sz w:val="28"/>
          <w:szCs w:val="28"/>
          <w:highlight w:val="none"/>
        </w:rPr>
        <w:t>格证明文</w:t>
      </w:r>
      <w:bookmarkEnd w:id="425"/>
      <w:r>
        <w:rPr>
          <w:rFonts w:hint="eastAsia" w:ascii="宋体" w:hAnsi="宋体" w:eastAsia="宋体" w:cs="宋体"/>
          <w:b/>
          <w:bCs w:val="0"/>
          <w:sz w:val="28"/>
          <w:szCs w:val="28"/>
          <w:highlight w:val="none"/>
        </w:rPr>
        <w:t>件部分</w:t>
      </w:r>
      <w:bookmarkEnd w:id="420"/>
      <w:bookmarkEnd w:id="421"/>
    </w:p>
    <w:bookmarkEnd w:id="422"/>
    <w:p w14:paraId="2F5E6E61">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jc w:val="center"/>
        <w:textAlignment w:val="auto"/>
        <w:outlineLvl w:val="2"/>
        <w:rPr>
          <w:rFonts w:hint="eastAsia" w:ascii="宋体" w:hAnsi="宋体" w:eastAsia="宋体" w:cs="宋体"/>
          <w:b w:val="0"/>
          <w:bCs w:val="0"/>
          <w:color w:val="auto"/>
          <w:sz w:val="28"/>
          <w:szCs w:val="28"/>
          <w:highlight w:val="none"/>
        </w:rPr>
      </w:pPr>
      <w:bookmarkStart w:id="426" w:name="_Toc19833"/>
      <w:r>
        <w:rPr>
          <w:rFonts w:hint="eastAsia" w:ascii="宋体" w:hAnsi="宋体" w:eastAsia="宋体" w:cs="宋体"/>
          <w:sz w:val="28"/>
          <w:szCs w:val="28"/>
          <w:highlight w:val="none"/>
        </w:rPr>
        <w:t>▲</w:t>
      </w:r>
      <w:r>
        <w:rPr>
          <w:rFonts w:hint="eastAsia" w:ascii="宋体" w:hAnsi="宋体" w:eastAsia="宋体" w:cs="宋体"/>
          <w:b w:val="0"/>
          <w:bCs w:val="0"/>
          <w:color w:val="auto"/>
          <w:sz w:val="28"/>
          <w:szCs w:val="28"/>
          <w:highlight w:val="none"/>
        </w:rPr>
        <w:t>营业执照等资格证明材料</w:t>
      </w:r>
      <w:bookmarkEnd w:id="426"/>
    </w:p>
    <w:p w14:paraId="1872BA75">
      <w:pPr>
        <w:keepNext/>
        <w:keepLines/>
        <w:pageBreakBefore w:val="0"/>
        <w:widowControl w:val="0"/>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b/>
          <w:szCs w:val="21"/>
          <w:highlight w:val="none"/>
          <w:lang w:eastAsia="zh-CN"/>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r>
        <w:rPr>
          <w:rFonts w:hint="eastAsia" w:ascii="宋体" w:hAnsi="宋体" w:eastAsia="宋体" w:cs="宋体"/>
          <w:b/>
          <w:bCs/>
          <w:szCs w:val="21"/>
          <w:highlight w:val="none"/>
          <w:lang w:val="en-US" w:eastAsia="zh-CN"/>
        </w:rPr>
        <w:t>供应商</w:t>
      </w:r>
      <w:r>
        <w:rPr>
          <w:rFonts w:hint="eastAsia" w:ascii="宋体" w:hAnsi="宋体" w:eastAsia="宋体" w:cs="宋体"/>
          <w:b/>
          <w:bCs/>
          <w:szCs w:val="21"/>
          <w:highlight w:val="none"/>
          <w:lang w:eastAsia="zh-CN"/>
        </w:rPr>
        <w:t>提供的资格证明</w:t>
      </w:r>
      <w:r>
        <w:rPr>
          <w:rFonts w:hint="eastAsia" w:ascii="宋体" w:hAnsi="宋体" w:eastAsia="宋体" w:cs="宋体"/>
          <w:szCs w:val="21"/>
          <w:highlight w:val="none"/>
        </w:rPr>
        <w:t>材料应满足本项目</w:t>
      </w:r>
      <w:r>
        <w:rPr>
          <w:rFonts w:hint="eastAsia" w:ascii="宋体" w:hAnsi="宋体" w:eastAsia="宋体" w:cs="宋体"/>
          <w:szCs w:val="21"/>
          <w:highlight w:val="none"/>
          <w:lang w:val="en-US" w:eastAsia="zh-CN"/>
        </w:rPr>
        <w:t>单一来源采购邀请书</w:t>
      </w:r>
      <w:r>
        <w:rPr>
          <w:rFonts w:hint="eastAsia" w:ascii="宋体" w:hAnsi="宋体" w:eastAsia="宋体" w:cs="宋体"/>
          <w:szCs w:val="21"/>
          <w:highlight w:val="none"/>
          <w:lang w:eastAsia="zh-CN"/>
        </w:rPr>
        <w:t>中</w:t>
      </w:r>
      <w:r>
        <w:rPr>
          <w:rFonts w:hint="eastAsia" w:ascii="宋体" w:hAnsi="宋体" w:eastAsia="宋体" w:cs="宋体"/>
          <w:szCs w:val="21"/>
          <w:highlight w:val="none"/>
        </w:rPr>
        <w:t>对</w:t>
      </w:r>
      <w:r>
        <w:rPr>
          <w:rFonts w:hint="eastAsia" w:ascii="宋体" w:hAnsi="宋体" w:eastAsia="宋体" w:cs="宋体"/>
          <w:szCs w:val="21"/>
          <w:highlight w:val="none"/>
          <w:lang w:val="en-US" w:eastAsia="zh-CN"/>
        </w:rPr>
        <w:t>申请人</w:t>
      </w:r>
      <w:r>
        <w:rPr>
          <w:rFonts w:hint="eastAsia" w:ascii="宋体" w:hAnsi="宋体" w:eastAsia="宋体" w:cs="宋体"/>
          <w:szCs w:val="21"/>
          <w:highlight w:val="none"/>
        </w:rPr>
        <w:t>资格要求，提供的材料不能证明其符合</w:t>
      </w:r>
      <w:r>
        <w:rPr>
          <w:rFonts w:hint="eastAsia" w:ascii="宋体" w:hAnsi="宋体" w:eastAsia="宋体" w:cs="宋体"/>
          <w:szCs w:val="21"/>
          <w:highlight w:val="none"/>
          <w:lang w:val="en-US" w:eastAsia="zh-CN"/>
        </w:rPr>
        <w:t>申请人</w:t>
      </w:r>
      <w:r>
        <w:rPr>
          <w:rFonts w:hint="eastAsia" w:ascii="宋体" w:hAnsi="宋体" w:eastAsia="宋体" w:cs="宋体"/>
          <w:szCs w:val="21"/>
          <w:highlight w:val="none"/>
        </w:rPr>
        <w:t>资格要求的，</w:t>
      </w:r>
      <w:r>
        <w:rPr>
          <w:rFonts w:hint="eastAsia" w:ascii="宋体" w:hAnsi="宋体" w:eastAsia="宋体" w:cs="宋体"/>
          <w:b/>
          <w:szCs w:val="21"/>
          <w:highlight w:val="none"/>
        </w:rPr>
        <w:t>其</w:t>
      </w:r>
      <w:r>
        <w:rPr>
          <w:rFonts w:hint="eastAsia" w:ascii="宋体" w:hAnsi="宋体" w:eastAsia="宋体" w:cs="宋体"/>
          <w:b/>
          <w:szCs w:val="21"/>
          <w:highlight w:val="none"/>
          <w:lang w:val="en-US" w:eastAsia="zh-CN"/>
        </w:rPr>
        <w:t>响应</w:t>
      </w:r>
      <w:r>
        <w:rPr>
          <w:rFonts w:hint="eastAsia" w:ascii="宋体" w:hAnsi="宋体" w:eastAsia="宋体" w:cs="宋体"/>
          <w:b/>
          <w:szCs w:val="21"/>
          <w:highlight w:val="none"/>
        </w:rPr>
        <w:t>文件无效</w:t>
      </w:r>
      <w:r>
        <w:rPr>
          <w:rFonts w:hint="eastAsia" w:ascii="宋体" w:hAnsi="宋体" w:eastAsia="宋体" w:cs="宋体"/>
          <w:b/>
          <w:szCs w:val="21"/>
          <w:highlight w:val="none"/>
          <w:lang w:eastAsia="zh-CN"/>
        </w:rPr>
        <w:t>。</w:t>
      </w:r>
    </w:p>
    <w:p w14:paraId="7E38E47A">
      <w:pPr>
        <w:widowControl/>
        <w:jc w:val="lef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格式1：</w:t>
      </w:r>
    </w:p>
    <w:p w14:paraId="4AAC3967">
      <w:pPr>
        <w:widowControl/>
        <w:ind w:firstLine="420" w:firstLineChars="200"/>
        <w:jc w:val="left"/>
        <w:rPr>
          <w:rFonts w:hint="eastAsia" w:ascii="宋体" w:hAnsi="宋体" w:eastAsia="宋体" w:cs="宋体"/>
          <w:b/>
          <w:szCs w:val="21"/>
          <w:highlight w:val="none"/>
          <w:lang w:val="en-US" w:eastAsia="zh-CN"/>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r>
        <w:rPr>
          <w:rFonts w:hint="eastAsia" w:ascii="宋体" w:hAnsi="宋体" w:eastAsia="宋体" w:cs="宋体"/>
          <w:b/>
          <w:szCs w:val="21"/>
          <w:highlight w:val="none"/>
        </w:rPr>
        <w:t>具有独立承担民事责任的能力：供应商为法人、其他组织或者自然人，提供有效的营业执照或事业单位法人证书或民办非企业登记证书或执业许可证或社会团体登记证或自然人身份证明；（①若供应商是企业，提供有效的“营业执照”；②若供应商是事业单位，提供有效的“事业单位法人证书”；③若供应商是非企业专业服务机构的，提供有效的法定证明文件；④若供应商是个体工商户，提供有效的“个体工商户营业执照”；⑤若供应商是自然人，提供有效的自然人身份证明）。</w:t>
      </w:r>
    </w:p>
    <w:p w14:paraId="37CD6305">
      <w:pPr>
        <w:widowControl/>
        <w:jc w:val="lef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格式2：</w:t>
      </w:r>
    </w:p>
    <w:p w14:paraId="34DDB5E5">
      <w:pPr>
        <w:widowControl/>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具有良好的商业信誉和健全的财务会计制度：</w:t>
      </w:r>
    </w:p>
    <w:p w14:paraId="7CB3F706">
      <w:pPr>
        <w:widowControl/>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1.具有良好的商业信誉：供应商在本项目提交响应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11D95C0E">
      <w:pPr>
        <w:widowControl/>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2.</w:t>
      </w:r>
      <w:r>
        <w:rPr>
          <w:rFonts w:hint="eastAsia" w:ascii="宋体" w:hAnsi="宋体" w:eastAsia="宋体" w:cs="宋体"/>
          <w:b/>
          <w:szCs w:val="21"/>
          <w:highlight w:val="none"/>
        </w:rPr>
        <w:t>具有健全的财务会计制度</w:t>
      </w:r>
    </w:p>
    <w:p w14:paraId="121B258A">
      <w:pPr>
        <w:widowControl/>
        <w:ind w:firstLine="420" w:firstLineChars="200"/>
        <w:jc w:val="left"/>
        <w:rPr>
          <w:rFonts w:hint="eastAsia" w:ascii="宋体" w:hAnsi="宋体" w:eastAsia="宋体" w:cs="宋体"/>
          <w:b/>
          <w:szCs w:val="21"/>
          <w:highlight w:val="none"/>
          <w:lang w:val="en-US" w:eastAsia="zh-CN"/>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r>
        <w:rPr>
          <w:rFonts w:hint="eastAsia" w:ascii="宋体" w:hAnsi="宋体" w:eastAsia="宋体" w:cs="宋体"/>
          <w:b/>
          <w:szCs w:val="21"/>
          <w:highlight w:val="none"/>
        </w:rPr>
        <w:t>供应商须提供2023年</w:t>
      </w:r>
      <w:r>
        <w:rPr>
          <w:rFonts w:hint="eastAsia" w:ascii="宋体" w:hAnsi="宋体" w:eastAsia="宋体" w:cs="宋体"/>
          <w:b/>
          <w:szCs w:val="21"/>
          <w:highlight w:val="none"/>
          <w:lang w:val="en-US" w:eastAsia="zh-CN"/>
        </w:rPr>
        <w:t>或2024年</w:t>
      </w:r>
      <w:r>
        <w:rPr>
          <w:rFonts w:hint="eastAsia" w:ascii="宋体" w:hAnsi="宋体" w:eastAsia="宋体" w:cs="宋体"/>
          <w:b/>
          <w:szCs w:val="21"/>
          <w:highlight w:val="none"/>
        </w:rPr>
        <w:t>经第三方审计的财务报告及报表（包括资产负债表、利润表、现金流量表、所有者权益变动表及其附注），或提供自本项目提交响应文件截止时间前三个月内基本开户银行出具的资信证明。新成立企业，成立时间不足一年的，提供自本项目提交响应文件截止时间前三个月内基本开户银行出具的资信证明或自成立至今经第三方审计的财务报告及报表（包括资产负债表、利润表、现金流量表、所有者权益变动表及其附注）</w:t>
      </w:r>
      <w:r>
        <w:rPr>
          <w:rFonts w:hint="eastAsia" w:ascii="宋体" w:hAnsi="宋体" w:eastAsia="宋体" w:cs="宋体"/>
          <w:b/>
          <w:szCs w:val="21"/>
          <w:highlight w:val="none"/>
          <w:lang w:eastAsia="zh-CN"/>
        </w:rPr>
        <w:t>；</w:t>
      </w:r>
    </w:p>
    <w:p w14:paraId="3570A826">
      <w:pPr>
        <w:widowControl/>
        <w:jc w:val="lef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格式3：</w:t>
      </w:r>
    </w:p>
    <w:p w14:paraId="13E97F70">
      <w:pPr>
        <w:widowControl/>
        <w:numPr>
          <w:ilvl w:val="0"/>
          <w:numId w:val="0"/>
        </w:numPr>
        <w:ind w:firstLine="420" w:firstLineChars="200"/>
        <w:jc w:val="left"/>
        <w:rPr>
          <w:rFonts w:hint="eastAsia" w:ascii="宋体" w:hAnsi="宋体" w:eastAsia="宋体" w:cs="宋体"/>
          <w:b/>
          <w:kern w:val="2"/>
          <w:sz w:val="21"/>
          <w:szCs w:val="21"/>
          <w:highlight w:val="none"/>
          <w:lang w:val="en-US" w:eastAsia="zh-CN" w:bidi="ar-SA"/>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r>
        <w:rPr>
          <w:rFonts w:hint="eastAsia" w:ascii="宋体" w:hAnsi="宋体" w:eastAsia="宋体" w:cs="宋体"/>
          <w:b/>
          <w:kern w:val="2"/>
          <w:sz w:val="21"/>
          <w:szCs w:val="21"/>
          <w:highlight w:val="none"/>
          <w:lang w:val="en-US" w:eastAsia="zh-CN" w:bidi="ar-SA"/>
        </w:rPr>
        <w:t>供应商须具有履行合同所必需的设备和专业技术能力（提供说明承诺或其他证明材料）；</w:t>
      </w:r>
    </w:p>
    <w:p w14:paraId="1638A627">
      <w:pPr>
        <w:widowControl/>
        <w:jc w:val="lef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格式4：</w:t>
      </w:r>
    </w:p>
    <w:p w14:paraId="7FAF8EF1">
      <w:pPr>
        <w:widowControl/>
        <w:numPr>
          <w:ilvl w:val="0"/>
          <w:numId w:val="0"/>
        </w:numPr>
        <w:ind w:firstLine="420" w:firstLineChars="200"/>
        <w:jc w:val="left"/>
        <w:rPr>
          <w:rFonts w:hint="eastAsia"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供应商须具有依法缴纳税收和社会保障资金的良好记录：</w:t>
      </w:r>
    </w:p>
    <w:p w14:paraId="2E7D447D">
      <w:pPr>
        <w:widowControl/>
        <w:numPr>
          <w:ilvl w:val="0"/>
          <w:numId w:val="0"/>
        </w:numPr>
        <w:ind w:firstLine="420" w:firstLineChars="200"/>
        <w:jc w:val="left"/>
        <w:rPr>
          <w:rFonts w:hint="eastAsia"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1.供应商须提供缴税所属时间在提交响应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供应商依法免税的，应提供依法免税的相关证明文件；</w:t>
      </w:r>
    </w:p>
    <w:p w14:paraId="278573D8">
      <w:pPr>
        <w:widowControl/>
        <w:numPr>
          <w:ilvl w:val="0"/>
          <w:numId w:val="0"/>
        </w:numPr>
        <w:ind w:firstLine="420" w:firstLineChars="200"/>
        <w:jc w:val="left"/>
        <w:rPr>
          <w:rFonts w:hint="eastAsia"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2.供应商须提供缴费所属时间在提交响应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供应商依法免缴的，应提供依法免缴的相关证明文件；</w:t>
      </w:r>
    </w:p>
    <w:p w14:paraId="45441B59">
      <w:pPr>
        <w:pStyle w:val="11"/>
        <w:widowControl w:val="0"/>
        <w:numPr>
          <w:ilvl w:val="0"/>
          <w:numId w:val="0"/>
        </w:numPr>
        <w:spacing w:beforeLines="50" w:line="300" w:lineRule="auto"/>
        <w:jc w:val="both"/>
        <w:rPr>
          <w:rFonts w:hint="eastAsia" w:ascii="宋体" w:hAnsi="宋体" w:eastAsia="宋体" w:cs="宋体"/>
          <w:b/>
          <w:kern w:val="2"/>
          <w:sz w:val="21"/>
          <w:szCs w:val="21"/>
          <w:highlight w:val="none"/>
          <w:lang w:val="en-US" w:eastAsia="zh-CN" w:bidi="ar-SA"/>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23083A7B">
      <w:pPr>
        <w:widowControl/>
        <w:jc w:val="lef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格式5：</w:t>
      </w:r>
    </w:p>
    <w:p w14:paraId="06250F20">
      <w:pPr>
        <w:widowControl/>
        <w:ind w:firstLine="420" w:firstLineChars="200"/>
        <w:jc w:val="left"/>
        <w:rPr>
          <w:rFonts w:hint="eastAsia" w:ascii="宋体" w:hAnsi="宋体" w:eastAsia="宋体" w:cs="宋体"/>
          <w:b/>
          <w:color w:val="auto"/>
          <w:szCs w:val="21"/>
          <w:highlight w:val="none"/>
        </w:rPr>
        <w:sectPr>
          <w:pgSz w:w="11906" w:h="16838"/>
          <w:pgMar w:top="1417" w:right="1417" w:bottom="1417" w:left="1417" w:header="510" w:footer="680" w:gutter="0"/>
          <w:pgNumType w:fmt="decimal"/>
          <w:cols w:space="720" w:num="1"/>
          <w:titlePg/>
          <w:docGrid w:type="linesAndChars" w:linePitch="312" w:charSpace="0"/>
        </w:sectPr>
      </w:pPr>
      <w:r>
        <w:rPr>
          <w:rFonts w:hint="eastAsia" w:ascii="宋体" w:hAnsi="宋体" w:eastAsia="宋体" w:cs="宋体"/>
          <w:b/>
          <w:kern w:val="2"/>
          <w:sz w:val="21"/>
          <w:szCs w:val="21"/>
          <w:highlight w:val="none"/>
          <w:lang w:val="en-US" w:eastAsia="zh-CN" w:bidi="ar-SA"/>
        </w:rPr>
        <w:t>参加政府采购活动前三年内，在经营活动中没有重大违法记录：供应商须提供参加政府采购活动前三年内，在经营活动中没有重大违法记录（重大违法记录，是指供应商因违法经营受到刑事处罚或者责令停产停业、吊销许可证或者执照、较大数额罚款等行政处罚）的书面声明。</w:t>
      </w:r>
      <w:bookmarkEnd w:id="423"/>
    </w:p>
    <w:p w14:paraId="3D276FA7">
      <w:pPr>
        <w:spacing w:line="360" w:lineRule="auto"/>
        <w:jc w:val="center"/>
        <w:outlineLvl w:val="2"/>
        <w:rPr>
          <w:rFonts w:hint="eastAsia" w:ascii="宋体" w:hAnsi="宋体" w:eastAsia="宋体" w:cs="宋体"/>
          <w:sz w:val="28"/>
          <w:szCs w:val="28"/>
          <w:highlight w:val="none"/>
        </w:rPr>
      </w:pPr>
      <w:bookmarkStart w:id="427" w:name="OLE_LINK381"/>
      <w:r>
        <w:rPr>
          <w:rFonts w:hint="eastAsia" w:ascii="宋体" w:hAnsi="宋体" w:eastAsia="宋体" w:cs="宋体"/>
          <w:sz w:val="28"/>
          <w:szCs w:val="28"/>
          <w:highlight w:val="none"/>
        </w:rPr>
        <w:t>中</w:t>
      </w:r>
      <w:bookmarkStart w:id="428" w:name="OLE_LINK384"/>
      <w:r>
        <w:rPr>
          <w:rFonts w:hint="eastAsia" w:ascii="宋体" w:hAnsi="宋体" w:eastAsia="宋体" w:cs="宋体"/>
          <w:sz w:val="28"/>
          <w:szCs w:val="28"/>
          <w:highlight w:val="none"/>
        </w:rPr>
        <w:t>小企业声明函（</w:t>
      </w:r>
      <w:r>
        <w:rPr>
          <w:rFonts w:hint="eastAsia" w:ascii="宋体" w:hAnsi="宋体" w:eastAsia="宋体" w:cs="宋体"/>
          <w:sz w:val="28"/>
          <w:szCs w:val="28"/>
          <w:highlight w:val="none"/>
          <w:lang w:val="en-US" w:eastAsia="zh-CN"/>
        </w:rPr>
        <w:t>服务</w:t>
      </w:r>
      <w:r>
        <w:rPr>
          <w:rFonts w:hint="eastAsia" w:ascii="宋体" w:hAnsi="宋体" w:eastAsia="宋体" w:cs="宋体"/>
          <w:sz w:val="28"/>
          <w:szCs w:val="28"/>
          <w:highlight w:val="none"/>
        </w:rPr>
        <w:t>）</w:t>
      </w:r>
    </w:p>
    <w:bookmarkEnd w:id="428"/>
    <w:p w14:paraId="21A9A330">
      <w:pPr>
        <w:spacing w:line="360" w:lineRule="auto"/>
        <w:ind w:right="415" w:firstLine="412"/>
        <w:rPr>
          <w:rFonts w:hint="eastAsia" w:ascii="宋体" w:hAnsi="宋体" w:eastAsia="宋体" w:cs="宋体"/>
          <w:szCs w:val="21"/>
          <w:highlight w:val="none"/>
        </w:rPr>
      </w:pPr>
      <w:r>
        <w:rPr>
          <w:rFonts w:hint="eastAsia" w:ascii="宋体" w:hAnsi="宋体" w:eastAsia="宋体" w:cs="宋体"/>
          <w:spacing w:val="-2"/>
          <w:szCs w:val="21"/>
          <w:highlight w:val="none"/>
        </w:rPr>
        <w:t>本公司（联合体）郑重声明，根据《政府采购促进中小企业发展管理办法</w:t>
      </w:r>
      <w:r>
        <w:rPr>
          <w:rFonts w:hint="eastAsia" w:ascii="宋体" w:hAnsi="宋体" w:eastAsia="宋体" w:cs="宋体"/>
          <w:spacing w:val="-18"/>
          <w:szCs w:val="21"/>
          <w:highlight w:val="none"/>
        </w:rPr>
        <w:t>》</w:t>
      </w:r>
      <w:r>
        <w:rPr>
          <w:rFonts w:hint="eastAsia" w:ascii="宋体" w:hAnsi="宋体" w:eastAsia="宋体" w:cs="宋体"/>
          <w:szCs w:val="21"/>
          <w:highlight w:val="none"/>
        </w:rPr>
        <w:t>（</w:t>
      </w:r>
      <w:r>
        <w:rPr>
          <w:rFonts w:hint="eastAsia" w:ascii="宋体" w:hAnsi="宋体" w:eastAsia="宋体" w:cs="宋体"/>
          <w:spacing w:val="5"/>
          <w:szCs w:val="21"/>
          <w:highlight w:val="none"/>
        </w:rPr>
        <w:t>财库</w:t>
      </w:r>
      <w:r>
        <w:rPr>
          <w:rFonts w:hint="eastAsia" w:ascii="宋体" w:hAnsi="宋体" w:eastAsia="宋体" w:cs="宋体"/>
          <w:szCs w:val="21"/>
          <w:highlight w:val="none"/>
        </w:rPr>
        <w:t>﹝2020﹞46</w:t>
      </w:r>
      <w:r>
        <w:rPr>
          <w:rFonts w:hint="eastAsia" w:ascii="宋体" w:hAnsi="宋体" w:eastAsia="宋体" w:cs="宋体"/>
          <w:spacing w:val="-38"/>
          <w:szCs w:val="21"/>
          <w:highlight w:val="none"/>
        </w:rPr>
        <w:t xml:space="preserve"> 号</w:t>
      </w:r>
      <w:r>
        <w:rPr>
          <w:rFonts w:hint="eastAsia" w:ascii="宋体" w:hAnsi="宋体" w:eastAsia="宋体" w:cs="宋体"/>
          <w:spacing w:val="5"/>
          <w:szCs w:val="21"/>
          <w:highlight w:val="none"/>
        </w:rPr>
        <w:t>）</w:t>
      </w:r>
      <w:r>
        <w:rPr>
          <w:rFonts w:hint="eastAsia" w:ascii="宋体" w:hAnsi="宋体" w:eastAsia="宋体" w:cs="宋体"/>
          <w:szCs w:val="21"/>
          <w:highlight w:val="none"/>
        </w:rPr>
        <w:t>的规定，本公司（联合体）</w:t>
      </w:r>
      <w:r>
        <w:rPr>
          <w:rFonts w:hint="eastAsia" w:ascii="宋体" w:hAnsi="宋体" w:eastAsia="宋体" w:cs="宋体"/>
          <w:spacing w:val="-2"/>
          <w:szCs w:val="21"/>
          <w:highlight w:val="none"/>
        </w:rPr>
        <w:t>参加</w:t>
      </w:r>
      <w:r>
        <w:rPr>
          <w:rFonts w:hint="eastAsia" w:ascii="宋体" w:hAnsi="宋体" w:eastAsia="宋体" w:cs="宋体"/>
          <w:b/>
          <w:spacing w:val="-2"/>
          <w:szCs w:val="21"/>
          <w:highlight w:val="none"/>
          <w:u w:val="single"/>
        </w:rPr>
        <w:t>（单位名称）</w:t>
      </w:r>
      <w:r>
        <w:rPr>
          <w:rFonts w:hint="eastAsia" w:ascii="宋体" w:hAnsi="宋体" w:eastAsia="宋体" w:cs="宋体"/>
          <w:spacing w:val="-2"/>
          <w:szCs w:val="21"/>
          <w:highlight w:val="none"/>
        </w:rPr>
        <w:t>的</w:t>
      </w:r>
      <w:r>
        <w:rPr>
          <w:rFonts w:hint="eastAsia" w:ascii="宋体" w:hAnsi="宋体" w:eastAsia="宋体" w:cs="宋体"/>
          <w:b/>
          <w:spacing w:val="-2"/>
          <w:szCs w:val="21"/>
          <w:highlight w:val="none"/>
          <w:u w:val="single"/>
        </w:rPr>
        <w:t>（项目名称）</w:t>
      </w:r>
      <w:r>
        <w:rPr>
          <w:rFonts w:hint="eastAsia" w:ascii="宋体" w:hAnsi="宋体" w:eastAsia="宋体" w:cs="宋体"/>
          <w:spacing w:val="-2"/>
          <w:szCs w:val="21"/>
          <w:highlight w:val="none"/>
        </w:rPr>
        <w:t>采购活动，提供的货物全部由符合政策要求的中小企业制造。相关企业（含联合体中的中小企业、签订分包意向协议的中小企业）的具体情况如下：</w:t>
      </w:r>
    </w:p>
    <w:p w14:paraId="2CA172D6">
      <w:pPr>
        <w:spacing w:line="360" w:lineRule="auto"/>
        <w:ind w:right="415" w:firstLine="412"/>
        <w:rPr>
          <w:rFonts w:hint="eastAsia" w:ascii="宋体" w:hAnsi="宋体" w:eastAsia="宋体" w:cs="宋体"/>
          <w:spacing w:val="5"/>
          <w:szCs w:val="21"/>
          <w:highlight w:val="none"/>
        </w:rPr>
      </w:pPr>
      <w:r>
        <w:rPr>
          <w:rFonts w:hint="eastAsia" w:ascii="宋体" w:hAnsi="宋体" w:eastAsia="宋体" w:cs="宋体"/>
          <w:spacing w:val="-2"/>
          <w:szCs w:val="21"/>
          <w:highlight w:val="none"/>
        </w:rPr>
        <w:t>1.</w:t>
      </w:r>
      <w:r>
        <w:rPr>
          <w:rFonts w:hint="eastAsia" w:ascii="宋体" w:hAnsi="宋体" w:eastAsia="宋体" w:cs="宋体"/>
          <w:b/>
          <w:spacing w:val="-2"/>
          <w:szCs w:val="21"/>
          <w:highlight w:val="none"/>
          <w:u w:val="single"/>
        </w:rPr>
        <w:t>（标的名称）</w:t>
      </w:r>
      <w:r>
        <w:rPr>
          <w:rFonts w:hint="eastAsia" w:ascii="宋体" w:hAnsi="宋体" w:eastAsia="宋体" w:cs="宋体"/>
          <w:spacing w:val="-2"/>
          <w:szCs w:val="21"/>
          <w:highlight w:val="none"/>
        </w:rPr>
        <w:t>，属于</w:t>
      </w:r>
      <w:r>
        <w:rPr>
          <w:rFonts w:hint="eastAsia" w:ascii="宋体" w:hAnsi="宋体" w:eastAsia="宋体" w:cs="宋体"/>
          <w:b/>
          <w:spacing w:val="-2"/>
          <w:szCs w:val="21"/>
          <w:highlight w:val="none"/>
          <w:u w:val="single"/>
        </w:rPr>
        <w:t>（采购文件中明确的所属行业）</w:t>
      </w:r>
      <w:r>
        <w:rPr>
          <w:rFonts w:hint="eastAsia" w:ascii="宋体" w:hAnsi="宋体" w:eastAsia="宋体" w:cs="宋体"/>
          <w:spacing w:val="-2"/>
          <w:szCs w:val="21"/>
          <w:highlight w:val="none"/>
        </w:rPr>
        <w:t>；</w:t>
      </w:r>
      <w:r>
        <w:rPr>
          <w:rFonts w:hint="eastAsia" w:ascii="宋体" w:hAnsi="宋体" w:eastAsia="宋体" w:cs="宋体"/>
          <w:spacing w:val="5"/>
          <w:szCs w:val="21"/>
          <w:highlight w:val="none"/>
        </w:rPr>
        <w:t>制造商为</w:t>
      </w:r>
      <w:r>
        <w:rPr>
          <w:rFonts w:hint="eastAsia" w:ascii="宋体" w:hAnsi="宋体" w:eastAsia="宋体" w:cs="宋体"/>
          <w:b/>
          <w:spacing w:val="5"/>
          <w:szCs w:val="21"/>
          <w:highlight w:val="none"/>
          <w:u w:val="single"/>
        </w:rPr>
        <w:t>（企业名称）</w:t>
      </w:r>
      <w:r>
        <w:rPr>
          <w:rFonts w:hint="eastAsia" w:ascii="宋体" w:hAnsi="宋体" w:eastAsia="宋体" w:cs="宋体"/>
          <w:spacing w:val="5"/>
          <w:szCs w:val="21"/>
          <w:highlight w:val="none"/>
        </w:rPr>
        <w:t>，从业人员</w:t>
      </w:r>
      <w:r>
        <w:rPr>
          <w:rFonts w:hint="eastAsia" w:ascii="宋体" w:hAnsi="宋体" w:eastAsia="宋体" w:cs="宋体"/>
          <w:spacing w:val="5"/>
          <w:szCs w:val="21"/>
          <w:highlight w:val="none"/>
          <w:u w:val="single"/>
        </w:rPr>
        <w:t xml:space="preserve">      </w:t>
      </w:r>
      <w:r>
        <w:rPr>
          <w:rFonts w:hint="eastAsia" w:ascii="宋体" w:hAnsi="宋体" w:eastAsia="宋体" w:cs="宋体"/>
          <w:spacing w:val="5"/>
          <w:szCs w:val="21"/>
          <w:highlight w:val="none"/>
        </w:rPr>
        <w:t>人，营业收入为</w:t>
      </w:r>
      <w:r>
        <w:rPr>
          <w:rFonts w:hint="eastAsia" w:ascii="宋体" w:hAnsi="宋体" w:eastAsia="宋体" w:cs="宋体"/>
          <w:spacing w:val="5"/>
          <w:szCs w:val="21"/>
          <w:highlight w:val="none"/>
          <w:u w:val="single"/>
        </w:rPr>
        <w:t xml:space="preserve">     </w:t>
      </w:r>
      <w:r>
        <w:rPr>
          <w:rFonts w:hint="eastAsia" w:ascii="宋体" w:hAnsi="宋体" w:eastAsia="宋体" w:cs="宋体"/>
          <w:spacing w:val="5"/>
          <w:szCs w:val="21"/>
          <w:highlight w:val="none"/>
        </w:rPr>
        <w:t>万元，资产总额为</w:t>
      </w:r>
      <w:r>
        <w:rPr>
          <w:rFonts w:hint="eastAsia" w:ascii="宋体" w:hAnsi="宋体" w:eastAsia="宋体" w:cs="宋体"/>
          <w:spacing w:val="5"/>
          <w:szCs w:val="21"/>
          <w:highlight w:val="none"/>
          <w:u w:val="single"/>
        </w:rPr>
        <w:t xml:space="preserve">    </w:t>
      </w:r>
      <w:r>
        <w:rPr>
          <w:rFonts w:hint="eastAsia" w:ascii="宋体" w:hAnsi="宋体" w:eastAsia="宋体" w:cs="宋体"/>
          <w:spacing w:val="5"/>
          <w:szCs w:val="21"/>
          <w:highlight w:val="none"/>
        </w:rPr>
        <w:t>万元，属于</w:t>
      </w:r>
      <w:r>
        <w:rPr>
          <w:rFonts w:hint="eastAsia" w:ascii="宋体" w:hAnsi="宋体" w:eastAsia="宋体" w:cs="宋体"/>
          <w:b/>
          <w:spacing w:val="5"/>
          <w:szCs w:val="21"/>
          <w:highlight w:val="none"/>
          <w:u w:val="single"/>
        </w:rPr>
        <w:t>（中型企业、小型企业、微型企业）</w:t>
      </w:r>
      <w:r>
        <w:rPr>
          <w:rFonts w:hint="eastAsia" w:ascii="宋体" w:hAnsi="宋体" w:eastAsia="宋体" w:cs="宋体"/>
          <w:spacing w:val="5"/>
          <w:szCs w:val="21"/>
          <w:highlight w:val="none"/>
        </w:rPr>
        <w:t>；</w:t>
      </w:r>
    </w:p>
    <w:p w14:paraId="4F31EBD3">
      <w:pPr>
        <w:tabs>
          <w:tab w:val="left" w:pos="1806"/>
          <w:tab w:val="left" w:pos="5005"/>
          <w:tab w:val="left" w:pos="7227"/>
        </w:tabs>
        <w:spacing w:line="360" w:lineRule="auto"/>
        <w:ind w:left="205" w:right="236" w:firstLine="440"/>
        <w:rPr>
          <w:rFonts w:hint="eastAsia" w:ascii="宋体" w:hAnsi="宋体" w:eastAsia="宋体" w:cs="宋体"/>
          <w:spacing w:val="5"/>
          <w:szCs w:val="21"/>
          <w:highlight w:val="none"/>
        </w:rPr>
      </w:pPr>
      <w:r>
        <w:rPr>
          <w:rFonts w:hint="eastAsia" w:ascii="宋体" w:hAnsi="宋体" w:eastAsia="宋体" w:cs="宋体"/>
          <w:spacing w:val="5"/>
          <w:szCs w:val="21"/>
          <w:highlight w:val="none"/>
        </w:rPr>
        <w:t>……</w:t>
      </w:r>
    </w:p>
    <w:p w14:paraId="7FE38E17">
      <w:pPr>
        <w:spacing w:line="360" w:lineRule="auto"/>
        <w:ind w:right="417" w:firstLine="408"/>
        <w:rPr>
          <w:rFonts w:hint="eastAsia" w:ascii="宋体" w:hAnsi="宋体" w:eastAsia="宋体" w:cs="宋体"/>
          <w:szCs w:val="21"/>
          <w:highlight w:val="none"/>
        </w:rPr>
      </w:pPr>
      <w:r>
        <w:rPr>
          <w:rFonts w:hint="eastAsia" w:ascii="宋体" w:hAnsi="宋体" w:eastAsia="宋体" w:cs="宋体"/>
          <w:spacing w:val="-3"/>
          <w:szCs w:val="21"/>
          <w:highlight w:val="none"/>
        </w:rPr>
        <w:t>以上企业，不属于大企业的分支机构，不存在控股股东</w:t>
      </w:r>
      <w:r>
        <w:rPr>
          <w:rFonts w:hint="eastAsia" w:ascii="宋体" w:hAnsi="宋体" w:eastAsia="宋体" w:cs="宋体"/>
          <w:spacing w:val="-5"/>
          <w:szCs w:val="21"/>
          <w:highlight w:val="none"/>
        </w:rPr>
        <w:t>为大企业的情形，也不存在与大企业的负责人为同一人的情形。</w:t>
      </w:r>
    </w:p>
    <w:p w14:paraId="01169278">
      <w:pPr>
        <w:widowControl/>
        <w:spacing w:line="360" w:lineRule="auto"/>
        <w:ind w:firstLine="420"/>
        <w:rPr>
          <w:rFonts w:hint="eastAsia" w:ascii="宋体" w:hAnsi="宋体" w:eastAsia="宋体" w:cs="宋体"/>
          <w:kern w:val="0"/>
          <w:szCs w:val="21"/>
          <w:highlight w:val="none"/>
        </w:rPr>
      </w:pPr>
      <w:r>
        <w:rPr>
          <w:rFonts w:hint="eastAsia" w:ascii="宋体" w:hAnsi="宋体" w:eastAsia="宋体" w:cs="宋体"/>
          <w:kern w:val="0"/>
          <w:szCs w:val="21"/>
          <w:highlight w:val="none"/>
        </w:rPr>
        <w:t>本企业对上述声明内容的真实性负责。如有虚假，将依法承担相应责任。</w:t>
      </w:r>
    </w:p>
    <w:p w14:paraId="5289C838">
      <w:pPr>
        <w:spacing w:line="360" w:lineRule="auto"/>
        <w:ind w:firstLine="420"/>
        <w:rPr>
          <w:rFonts w:hint="eastAsia" w:ascii="宋体" w:hAnsi="宋体" w:eastAsia="宋体" w:cs="宋体"/>
          <w:bCs/>
          <w:szCs w:val="21"/>
          <w:highlight w:val="none"/>
        </w:rPr>
      </w:pPr>
      <w:r>
        <w:rPr>
          <w:rFonts w:hint="eastAsia" w:ascii="宋体" w:hAnsi="宋体" w:eastAsia="宋体" w:cs="宋体"/>
          <w:b/>
          <w:bCs w:val="0"/>
          <w:szCs w:val="21"/>
          <w:highlight w:val="none"/>
        </w:rPr>
        <w:t>企业名称</w:t>
      </w:r>
      <w:r>
        <w:rPr>
          <w:rFonts w:hint="eastAsia" w:ascii="宋体" w:hAnsi="宋体" w:eastAsia="宋体" w:cs="宋体"/>
          <w:b/>
          <w:szCs w:val="21"/>
          <w:highlight w:val="none"/>
        </w:rPr>
        <w:t>（</w:t>
      </w:r>
      <w:r>
        <w:rPr>
          <w:rFonts w:hint="eastAsia" w:ascii="宋体" w:hAnsi="宋体" w:eastAsia="宋体" w:cs="宋体"/>
          <w:b/>
          <w:szCs w:val="21"/>
          <w:highlight w:val="none"/>
          <w:lang w:val="en-US" w:eastAsia="zh-CN"/>
        </w:rPr>
        <w:t>盖章</w:t>
      </w:r>
      <w:r>
        <w:rPr>
          <w:rFonts w:hint="eastAsia" w:ascii="宋体" w:hAnsi="宋体" w:eastAsia="宋体" w:cs="宋体"/>
          <w:b/>
          <w:szCs w:val="21"/>
          <w:highlight w:val="none"/>
        </w:rPr>
        <w:t>）</w:t>
      </w:r>
      <w:r>
        <w:rPr>
          <w:rFonts w:hint="eastAsia" w:ascii="宋体" w:hAnsi="宋体" w:eastAsia="宋体" w:cs="宋体"/>
          <w:bCs/>
          <w:szCs w:val="21"/>
          <w:highlight w:val="none"/>
        </w:rPr>
        <w:t>：</w:t>
      </w:r>
    </w:p>
    <w:p w14:paraId="05CF78BB">
      <w:pPr>
        <w:spacing w:line="360" w:lineRule="auto"/>
        <w:ind w:firstLine="420"/>
        <w:rPr>
          <w:rFonts w:hint="eastAsia" w:ascii="宋体" w:hAnsi="宋体" w:eastAsia="宋体" w:cs="宋体"/>
          <w:bCs/>
          <w:szCs w:val="21"/>
          <w:highlight w:val="none"/>
          <w:u w:val="single"/>
        </w:rPr>
      </w:pPr>
      <w:r>
        <w:rPr>
          <w:rFonts w:hint="eastAsia" w:ascii="宋体" w:hAnsi="宋体" w:eastAsia="宋体" w:cs="宋体"/>
          <w:bCs/>
          <w:szCs w:val="21"/>
          <w:highlight w:val="none"/>
        </w:rPr>
        <w:t>日期：</w:t>
      </w:r>
    </w:p>
    <w:p w14:paraId="43B95F5D">
      <w:pPr>
        <w:spacing w:line="360" w:lineRule="auto"/>
        <w:ind w:firstLine="422"/>
        <w:rPr>
          <w:rFonts w:hint="eastAsia" w:ascii="宋体" w:hAnsi="宋体" w:eastAsia="宋体" w:cs="宋体"/>
          <w:b/>
          <w:szCs w:val="21"/>
          <w:highlight w:val="none"/>
        </w:rPr>
      </w:pPr>
      <w:r>
        <w:rPr>
          <w:rFonts w:hint="eastAsia" w:ascii="宋体" w:hAnsi="宋体" w:eastAsia="宋体" w:cs="宋体"/>
          <w:b/>
          <w:szCs w:val="21"/>
          <w:highlight w:val="none"/>
        </w:rPr>
        <w:t>注:</w:t>
      </w:r>
    </w:p>
    <w:p w14:paraId="26DDB529">
      <w:pPr>
        <w:spacing w:line="360" w:lineRule="auto"/>
        <w:ind w:firstLine="422"/>
        <w:rPr>
          <w:rFonts w:hint="eastAsia" w:ascii="宋体" w:hAnsi="宋体" w:eastAsia="宋体" w:cs="宋体"/>
          <w:b/>
          <w:szCs w:val="21"/>
          <w:highlight w:val="none"/>
        </w:rPr>
      </w:pPr>
      <w:r>
        <w:rPr>
          <w:rFonts w:hint="eastAsia" w:ascii="宋体" w:hAnsi="宋体" w:eastAsia="宋体" w:cs="宋体"/>
          <w:b/>
          <w:szCs w:val="21"/>
          <w:highlight w:val="none"/>
        </w:rPr>
        <w:t>①从业人员、营业收入、资产总</w:t>
      </w:r>
      <w:bookmarkStart w:id="429" w:name="OLE_LINK383"/>
      <w:r>
        <w:rPr>
          <w:rFonts w:hint="eastAsia" w:ascii="宋体" w:hAnsi="宋体" w:eastAsia="宋体" w:cs="宋体"/>
          <w:b/>
          <w:szCs w:val="21"/>
          <w:highlight w:val="none"/>
        </w:rPr>
        <w:t>额填报上一年度数据</w:t>
      </w:r>
      <w:bookmarkEnd w:id="429"/>
      <w:r>
        <w:rPr>
          <w:rFonts w:hint="eastAsia" w:ascii="宋体" w:hAnsi="宋体" w:eastAsia="宋体" w:cs="宋体"/>
          <w:b/>
          <w:szCs w:val="21"/>
          <w:highlight w:val="none"/>
        </w:rPr>
        <w:t>，无上一年度数据的新成立企业可不填报；</w:t>
      </w:r>
    </w:p>
    <w:p w14:paraId="383A620B">
      <w:pPr>
        <w:spacing w:line="360" w:lineRule="auto"/>
        <w:ind w:firstLine="422"/>
        <w:rPr>
          <w:rFonts w:hint="eastAsia" w:ascii="宋体" w:hAnsi="宋体" w:eastAsia="宋体" w:cs="宋体"/>
          <w:b/>
          <w:szCs w:val="21"/>
          <w:highlight w:val="none"/>
        </w:rPr>
      </w:pPr>
      <w:bookmarkStart w:id="430" w:name="OLE_LINK380"/>
      <w:r>
        <w:rPr>
          <w:rFonts w:hint="eastAsia" w:ascii="宋体" w:hAnsi="宋体" w:eastAsia="宋体" w:cs="宋体"/>
          <w:b/>
          <w:szCs w:val="21"/>
          <w:highlight w:val="none"/>
        </w:rPr>
        <w:t>②“标的名称”</w:t>
      </w:r>
      <w:bookmarkEnd w:id="430"/>
      <w:r>
        <w:rPr>
          <w:rFonts w:hint="eastAsia" w:ascii="宋体" w:hAnsi="宋体" w:eastAsia="宋体" w:cs="宋体"/>
          <w:b/>
          <w:szCs w:val="21"/>
          <w:highlight w:val="none"/>
        </w:rPr>
        <w:t xml:space="preserve">、“采购文件中明确的所属行业”依据竞争性谈判文件第五章采购需求中明确的“标的名称及所属行业”逐一填写，不得缺漏； </w:t>
      </w:r>
    </w:p>
    <w:p w14:paraId="7BB06363">
      <w:pPr>
        <w:spacing w:line="360" w:lineRule="auto"/>
        <w:ind w:firstLine="422"/>
        <w:rPr>
          <w:rFonts w:hint="eastAsia" w:ascii="宋体" w:hAnsi="宋体" w:eastAsia="宋体" w:cs="宋体"/>
          <w:b/>
          <w:szCs w:val="21"/>
          <w:highlight w:val="none"/>
        </w:rPr>
      </w:pPr>
      <w:r>
        <w:rPr>
          <w:rFonts w:hint="eastAsia" w:ascii="宋体" w:hAnsi="宋体" w:eastAsia="宋体" w:cs="宋体"/>
          <w:b/>
          <w:szCs w:val="21"/>
          <w:highlight w:val="none"/>
        </w:rPr>
        <w:t>③联合体参与的，《中小企业声明函》可由牵头人出具。</w:t>
      </w:r>
    </w:p>
    <w:p w14:paraId="4C901493">
      <w:pPr>
        <w:widowControl/>
        <w:spacing w:line="360" w:lineRule="auto"/>
        <w:ind w:firstLine="422"/>
        <w:jc w:val="left"/>
        <w:rPr>
          <w:rFonts w:hint="eastAsia" w:ascii="宋体" w:hAnsi="宋体" w:eastAsia="宋体" w:cs="宋体"/>
          <w:b/>
          <w:szCs w:val="21"/>
          <w:highlight w:val="none"/>
          <w:lang w:bidi="ar"/>
        </w:rPr>
      </w:pPr>
      <w:r>
        <w:rPr>
          <w:rFonts w:hint="eastAsia" w:ascii="宋体" w:hAnsi="宋体" w:eastAsia="宋体" w:cs="宋体"/>
          <w:b/>
          <w:szCs w:val="21"/>
          <w:highlight w:val="none"/>
        </w:rPr>
        <w:t>④温馨提示：</w:t>
      </w:r>
      <w:r>
        <w:rPr>
          <w:rFonts w:hint="eastAsia" w:ascii="宋体" w:hAnsi="宋体" w:eastAsia="宋体" w:cs="宋体"/>
          <w:b/>
          <w:szCs w:val="21"/>
          <w:highlight w:val="none"/>
          <w:lang w:bidi="ar"/>
        </w:rPr>
        <w:t>供应商应充分、准确地了解所提供货物的制造企业信息。对相关情况了解不清楚的，不建议填报本声明函。</w:t>
      </w:r>
    </w:p>
    <w:p w14:paraId="43F01798">
      <w:pPr>
        <w:spacing w:line="360" w:lineRule="auto"/>
        <w:rPr>
          <w:rFonts w:hint="eastAsia" w:ascii="宋体" w:hAnsi="宋体" w:eastAsia="宋体" w:cs="宋体"/>
          <w:bCs/>
          <w:sz w:val="28"/>
          <w:szCs w:val="28"/>
          <w:highlight w:val="none"/>
        </w:rPr>
      </w:pPr>
    </w:p>
    <w:p w14:paraId="192851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p>
    <w:bookmarkEnd w:id="427"/>
    <w:p w14:paraId="1130208B">
      <w:pPr>
        <w:spacing w:line="360" w:lineRule="auto"/>
        <w:jc w:val="center"/>
        <w:outlineLvl w:val="2"/>
        <w:rPr>
          <w:rFonts w:hint="eastAsia" w:ascii="宋体" w:hAnsi="宋体" w:eastAsia="宋体" w:cs="宋体"/>
          <w:sz w:val="28"/>
          <w:szCs w:val="28"/>
          <w:highlight w:val="none"/>
        </w:rPr>
      </w:pPr>
      <w:r>
        <w:rPr>
          <w:rFonts w:hint="eastAsia" w:ascii="宋体" w:hAnsi="宋体" w:eastAsia="宋体" w:cs="宋体"/>
          <w:sz w:val="28"/>
          <w:szCs w:val="28"/>
          <w:highlight w:val="none"/>
        </w:rPr>
        <w:t>监狱企业证明文件</w:t>
      </w:r>
    </w:p>
    <w:p w14:paraId="7ECD93F1">
      <w:pPr>
        <w:spacing w:line="360" w:lineRule="auto"/>
        <w:jc w:val="center"/>
        <w:rPr>
          <w:rFonts w:hint="eastAsia" w:ascii="宋体" w:hAnsi="宋体" w:eastAsia="宋体" w:cs="宋体"/>
          <w:color w:val="FF0000"/>
          <w:szCs w:val="21"/>
          <w:highlight w:val="none"/>
        </w:rPr>
      </w:pPr>
      <w:r>
        <w:rPr>
          <w:rFonts w:hint="eastAsia" w:ascii="宋体" w:hAnsi="宋体" w:eastAsia="宋体" w:cs="宋体"/>
          <w:color w:val="FF0000"/>
          <w:highlight w:val="none"/>
        </w:rPr>
        <w:t>（不属于监狱企业的无需提供）</w:t>
      </w:r>
    </w:p>
    <w:p w14:paraId="463FBF4E">
      <w:pPr>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B6842">
      <w:pPr>
        <w:spacing w:line="360" w:lineRule="auto"/>
        <w:ind w:firstLine="420"/>
        <w:rPr>
          <w:rFonts w:hint="eastAsia" w:ascii="宋体" w:hAnsi="宋体" w:eastAsia="宋体" w:cs="宋体"/>
          <w:sz w:val="24"/>
          <w:highlight w:val="none"/>
        </w:rPr>
      </w:pPr>
      <w:r>
        <w:rPr>
          <w:rFonts w:hint="eastAsia" w:ascii="宋体" w:hAnsi="宋体" w:eastAsia="宋体" w:cs="宋体"/>
          <w:szCs w:val="21"/>
          <w:highlight w:val="none"/>
        </w:rPr>
        <w:t>监狱企业参加政府采购活动时，应当提供由省级以上监狱管理局、戒毒管理局（含新疆生产建设兵团）出具的属于监狱企业的证明文件。</w:t>
      </w:r>
    </w:p>
    <w:p w14:paraId="5ABD4CD9">
      <w:pPr>
        <w:tabs>
          <w:tab w:val="left" w:pos="4860"/>
        </w:tabs>
        <w:spacing w:line="360" w:lineRule="auto"/>
        <w:ind w:right="1560" w:firstLine="420"/>
        <w:jc w:val="left"/>
        <w:rPr>
          <w:rFonts w:hint="eastAsia" w:ascii="宋体" w:hAnsi="宋体" w:eastAsia="宋体" w:cs="宋体"/>
          <w:szCs w:val="20"/>
          <w:highlight w:val="none"/>
        </w:rPr>
      </w:pPr>
    </w:p>
    <w:p w14:paraId="62EF6A5B">
      <w:pPr>
        <w:spacing w:line="360" w:lineRule="auto"/>
        <w:rPr>
          <w:rFonts w:hint="eastAsia" w:ascii="宋体" w:hAnsi="宋体" w:eastAsia="宋体" w:cs="宋体"/>
          <w:sz w:val="24"/>
          <w:highlight w:val="none"/>
        </w:rPr>
      </w:pPr>
    </w:p>
    <w:p w14:paraId="6E4AD9FF">
      <w:pPr>
        <w:spacing w:line="360" w:lineRule="auto"/>
        <w:ind w:firstLine="420"/>
        <w:rPr>
          <w:rFonts w:hint="eastAsia" w:ascii="宋体" w:hAnsi="宋体" w:eastAsia="宋体" w:cs="宋体"/>
          <w:szCs w:val="21"/>
          <w:highlight w:val="none"/>
          <w:u w:val="single"/>
        </w:rPr>
      </w:pPr>
    </w:p>
    <w:p w14:paraId="7D71E5EF">
      <w:pPr>
        <w:pStyle w:val="11"/>
        <w:rPr>
          <w:rFonts w:hint="eastAsia" w:ascii="宋体" w:hAnsi="宋体" w:eastAsia="宋体" w:cs="宋体"/>
          <w:highlight w:val="none"/>
          <w:lang w:val="en-US" w:eastAsia="zh-CN"/>
        </w:rPr>
      </w:pPr>
      <w:r>
        <w:rPr>
          <w:rFonts w:hint="eastAsia" w:ascii="宋体" w:hAnsi="宋体" w:eastAsia="宋体" w:cs="宋体"/>
          <w:b/>
          <w:szCs w:val="21"/>
          <w:highlight w:val="none"/>
        </w:rPr>
        <w:t>注：符合条件的监狱企业在参加政府采购活动时，应当按《财政部 司法部关于政府采购支持监狱企业发展有关问题的通知》（财库[2014]68号）提供规定的《监狱企业证明文件》，并对提供的证明文件真实性负责。</w:t>
      </w:r>
    </w:p>
    <w:p w14:paraId="1A12897F">
      <w:pPr>
        <w:spacing w:line="360" w:lineRule="auto"/>
        <w:rPr>
          <w:rFonts w:hint="eastAsia" w:ascii="宋体" w:hAnsi="宋体" w:eastAsia="宋体" w:cs="宋体"/>
          <w:b/>
          <w:sz w:val="28"/>
          <w:szCs w:val="28"/>
          <w:highlight w:val="none"/>
          <w:lang w:val="en-US" w:eastAsia="zh-CN"/>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49ACFB7A">
      <w:pPr>
        <w:spacing w:line="360" w:lineRule="auto"/>
        <w:jc w:val="center"/>
        <w:outlineLvl w:val="2"/>
        <w:rPr>
          <w:rFonts w:hint="eastAsia" w:ascii="宋体" w:hAnsi="宋体" w:eastAsia="宋体" w:cs="宋体"/>
          <w:sz w:val="28"/>
          <w:szCs w:val="28"/>
          <w:highlight w:val="none"/>
        </w:rPr>
      </w:pPr>
      <w:r>
        <w:rPr>
          <w:rFonts w:hint="eastAsia" w:ascii="宋体" w:hAnsi="宋体" w:eastAsia="宋体" w:cs="宋体"/>
          <w:sz w:val="28"/>
          <w:szCs w:val="28"/>
          <w:highlight w:val="none"/>
        </w:rPr>
        <w:t>残疾人福利性单位声明函</w:t>
      </w:r>
    </w:p>
    <w:p w14:paraId="5540A607">
      <w:pPr>
        <w:spacing w:line="360" w:lineRule="auto"/>
        <w:jc w:val="center"/>
        <w:rPr>
          <w:rFonts w:hint="eastAsia" w:ascii="宋体" w:hAnsi="宋体" w:eastAsia="宋体" w:cs="宋体"/>
          <w:b/>
          <w:color w:val="FF0000"/>
          <w:spacing w:val="6"/>
          <w:szCs w:val="21"/>
          <w:highlight w:val="none"/>
        </w:rPr>
      </w:pPr>
      <w:r>
        <w:rPr>
          <w:rFonts w:hint="eastAsia" w:ascii="宋体" w:hAnsi="宋体" w:eastAsia="宋体" w:cs="宋体"/>
          <w:color w:val="FF0000"/>
          <w:szCs w:val="21"/>
          <w:highlight w:val="none"/>
        </w:rPr>
        <w:t>（不属于残疾人福利性单位的无需填写及提供）</w:t>
      </w:r>
    </w:p>
    <w:p w14:paraId="7A2E47DD">
      <w:pPr>
        <w:spacing w:line="360" w:lineRule="auto"/>
        <w:ind w:firstLine="444"/>
        <w:rPr>
          <w:rFonts w:hint="eastAsia" w:ascii="宋体" w:hAnsi="宋体" w:eastAsia="宋体" w:cs="宋体"/>
          <w:spacing w:val="6"/>
          <w:szCs w:val="21"/>
          <w:highlight w:val="none"/>
        </w:rPr>
      </w:pPr>
      <w:r>
        <w:rPr>
          <w:rFonts w:hint="eastAsia" w:ascii="宋体" w:hAnsi="宋体" w:eastAsia="宋体" w:cs="宋体"/>
          <w:spacing w:val="6"/>
          <w:szCs w:val="21"/>
          <w:highlight w:val="none"/>
        </w:rPr>
        <w:t>本单位郑重声明，根据《财政部 民政部 中国残疾人联合会关于促进残疾人就业政府采购政策的通知》（财库</w:t>
      </w:r>
      <w:r>
        <w:rPr>
          <w:rFonts w:hint="eastAsia" w:ascii="宋体" w:hAnsi="宋体" w:eastAsia="宋体" w:cs="宋体"/>
          <w:szCs w:val="21"/>
          <w:highlight w:val="none"/>
        </w:rPr>
        <w:t>〔2017〕 141</w:t>
      </w:r>
      <w:r>
        <w:rPr>
          <w:rFonts w:hint="eastAsia" w:ascii="宋体" w:hAnsi="宋体" w:eastAsia="宋体" w:cs="宋体"/>
          <w:spacing w:val="6"/>
          <w:szCs w:val="21"/>
          <w:highlight w:val="none"/>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2BFCF73E">
      <w:pPr>
        <w:spacing w:line="360" w:lineRule="auto"/>
        <w:ind w:firstLine="444"/>
        <w:rPr>
          <w:rFonts w:hint="eastAsia" w:ascii="宋体" w:hAnsi="宋体" w:eastAsia="宋体" w:cs="宋体"/>
          <w:spacing w:val="6"/>
          <w:szCs w:val="21"/>
          <w:highlight w:val="none"/>
        </w:rPr>
      </w:pPr>
      <w:r>
        <w:rPr>
          <w:rFonts w:hint="eastAsia" w:ascii="宋体" w:hAnsi="宋体" w:eastAsia="宋体" w:cs="宋体"/>
          <w:spacing w:val="6"/>
          <w:szCs w:val="21"/>
          <w:highlight w:val="none"/>
        </w:rPr>
        <w:t>本单位对上述声明的真实性负责。如有虚假，将依法承担相应责任。</w:t>
      </w:r>
    </w:p>
    <w:p w14:paraId="57B2EF14">
      <w:pPr>
        <w:spacing w:line="360" w:lineRule="auto"/>
        <w:ind w:firstLine="444"/>
        <w:rPr>
          <w:rFonts w:hint="eastAsia" w:ascii="宋体" w:hAnsi="宋体" w:eastAsia="宋体" w:cs="宋体"/>
          <w:spacing w:val="6"/>
          <w:szCs w:val="21"/>
          <w:highlight w:val="none"/>
        </w:rPr>
      </w:pPr>
    </w:p>
    <w:p w14:paraId="7AFCFED6">
      <w:pPr>
        <w:tabs>
          <w:tab w:val="left" w:pos="4860"/>
        </w:tabs>
        <w:spacing w:line="360" w:lineRule="auto"/>
        <w:ind w:right="1560" w:firstLine="420"/>
        <w:jc w:val="left"/>
        <w:rPr>
          <w:rFonts w:hint="eastAsia" w:ascii="宋体" w:hAnsi="宋体" w:eastAsia="宋体" w:cs="宋体"/>
          <w:szCs w:val="20"/>
          <w:highlight w:val="none"/>
        </w:rPr>
      </w:pPr>
      <w:r>
        <w:rPr>
          <w:rFonts w:hint="eastAsia" w:ascii="宋体" w:hAnsi="宋体" w:eastAsia="宋体" w:cs="宋体"/>
          <w:b/>
          <w:bCs/>
          <w:szCs w:val="20"/>
          <w:highlight w:val="none"/>
        </w:rPr>
        <w:t>单位名称</w:t>
      </w:r>
      <w:r>
        <w:rPr>
          <w:rFonts w:hint="eastAsia" w:ascii="宋体" w:hAnsi="宋体" w:eastAsia="宋体" w:cs="宋体"/>
          <w:b/>
          <w:szCs w:val="21"/>
          <w:highlight w:val="none"/>
        </w:rPr>
        <w:t>（</w:t>
      </w:r>
      <w:r>
        <w:rPr>
          <w:rFonts w:hint="eastAsia" w:ascii="宋体" w:hAnsi="宋体" w:eastAsia="宋体" w:cs="宋体"/>
          <w:b/>
          <w:szCs w:val="21"/>
          <w:highlight w:val="none"/>
          <w:lang w:val="en-US" w:eastAsia="zh-CN"/>
        </w:rPr>
        <w:t>盖章</w:t>
      </w:r>
      <w:r>
        <w:rPr>
          <w:rFonts w:hint="eastAsia" w:ascii="宋体" w:hAnsi="宋体" w:eastAsia="宋体" w:cs="宋体"/>
          <w:b/>
          <w:szCs w:val="21"/>
          <w:highlight w:val="none"/>
        </w:rPr>
        <w:t>）</w:t>
      </w:r>
      <w:r>
        <w:rPr>
          <w:rFonts w:hint="eastAsia" w:ascii="宋体" w:hAnsi="宋体" w:eastAsia="宋体" w:cs="宋体"/>
          <w:szCs w:val="20"/>
          <w:highlight w:val="none"/>
        </w:rPr>
        <w:t>：</w:t>
      </w:r>
    </w:p>
    <w:p w14:paraId="1540AE61">
      <w:pPr>
        <w:tabs>
          <w:tab w:val="left" w:pos="4860"/>
        </w:tabs>
        <w:spacing w:line="360" w:lineRule="auto"/>
        <w:ind w:right="1560" w:firstLine="420"/>
        <w:jc w:val="left"/>
        <w:rPr>
          <w:rFonts w:hint="eastAsia" w:ascii="宋体" w:hAnsi="宋体" w:eastAsia="宋体" w:cs="宋体"/>
          <w:szCs w:val="21"/>
          <w:highlight w:val="none"/>
          <w:u w:val="single"/>
        </w:rPr>
      </w:pPr>
      <w:r>
        <w:rPr>
          <w:rFonts w:hint="eastAsia" w:ascii="宋体" w:hAnsi="宋体" w:eastAsia="宋体" w:cs="宋体"/>
          <w:szCs w:val="20"/>
          <w:highlight w:val="none"/>
        </w:rPr>
        <w:t>日期：</w:t>
      </w:r>
    </w:p>
    <w:p w14:paraId="2C62E2F5">
      <w:pPr>
        <w:tabs>
          <w:tab w:val="left" w:pos="4860"/>
        </w:tabs>
        <w:spacing w:line="360" w:lineRule="auto"/>
        <w:ind w:right="1560" w:firstLine="444"/>
        <w:jc w:val="left"/>
        <w:rPr>
          <w:rFonts w:hint="eastAsia" w:ascii="宋体" w:hAnsi="宋体" w:eastAsia="宋体" w:cs="宋体"/>
          <w:spacing w:val="6"/>
          <w:szCs w:val="21"/>
          <w:highlight w:val="none"/>
        </w:rPr>
      </w:pPr>
    </w:p>
    <w:p w14:paraId="08B1BAFB">
      <w:pPr>
        <w:pStyle w:val="11"/>
        <w:rPr>
          <w:rFonts w:hint="eastAsia" w:ascii="宋体" w:hAnsi="宋体" w:eastAsia="宋体" w:cs="宋体"/>
          <w:b/>
          <w:sz w:val="28"/>
          <w:szCs w:val="28"/>
          <w:highlight w:val="none"/>
          <w:lang w:val="en-US" w:eastAsia="zh-CN"/>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r>
        <w:rPr>
          <w:rFonts w:hint="eastAsia" w:ascii="宋体" w:hAnsi="宋体" w:eastAsia="宋体" w:cs="宋体"/>
          <w:b/>
          <w:spacing w:val="6"/>
          <w:szCs w:val="21"/>
          <w:highlight w:val="none"/>
        </w:rPr>
        <w:t>注：符合条件的残疾人福利性单位在参加政府采购活动时，应当</w:t>
      </w:r>
      <w:r>
        <w:rPr>
          <w:rFonts w:hint="eastAsia" w:ascii="宋体" w:hAnsi="宋体" w:eastAsia="宋体" w:cs="宋体"/>
          <w:b/>
          <w:szCs w:val="21"/>
          <w:highlight w:val="none"/>
        </w:rPr>
        <w:t>按《三部门联合发布关于促进残疾人就业政府采购政策的通知》（财库〔2017〕141号）</w:t>
      </w:r>
      <w:r>
        <w:rPr>
          <w:rFonts w:hint="eastAsia" w:ascii="宋体" w:hAnsi="宋体" w:eastAsia="宋体" w:cs="宋体"/>
          <w:b/>
          <w:spacing w:val="6"/>
          <w:szCs w:val="21"/>
          <w:highlight w:val="none"/>
        </w:rPr>
        <w:t>提供规定的《残疾人福利性单位声明函》，并对声明的真实性负责。采购代理机构在随成交结果同时公告其《残疾人福利性单位声明函》，接受社会监督。供应商提供的《残疾人福利性单位声明函》与事实不符的，依照《政府采购法》第七十七条第一款的规定追究法律责任</w:t>
      </w:r>
      <w:r>
        <w:rPr>
          <w:rFonts w:hint="eastAsia" w:ascii="宋体" w:hAnsi="宋体" w:eastAsia="宋体" w:cs="宋体"/>
          <w:b/>
          <w:szCs w:val="21"/>
          <w:highlight w:val="none"/>
        </w:rPr>
        <w:t>。</w:t>
      </w:r>
    </w:p>
    <w:p w14:paraId="58EE2445">
      <w:pPr>
        <w:widowControl/>
        <w:jc w:val="left"/>
        <w:rPr>
          <w:rFonts w:hint="eastAsia" w:ascii="宋体" w:hAnsi="宋体" w:eastAsia="宋体" w:cs="宋体"/>
          <w:b/>
          <w:color w:val="auto"/>
          <w:szCs w:val="21"/>
          <w:highlight w:val="none"/>
        </w:rPr>
      </w:pPr>
    </w:p>
    <w:p w14:paraId="3E81A19F">
      <w:pPr>
        <w:widowControl/>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bookmarkEnd w:id="424"/>
      <w:r>
        <w:rPr>
          <w:rFonts w:hint="eastAsia" w:ascii="宋体" w:hAnsi="宋体" w:eastAsia="宋体" w:cs="宋体"/>
          <w:color w:val="auto"/>
          <w:sz w:val="28"/>
          <w:szCs w:val="28"/>
          <w:highlight w:val="none"/>
        </w:rPr>
        <w:t>承诺书</w:t>
      </w:r>
    </w:p>
    <w:p w14:paraId="65711489">
      <w:pPr>
        <w:widowControl/>
        <w:spacing w:line="48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（采购人名称）：</w:t>
      </w:r>
      <w:r>
        <w:rPr>
          <w:rFonts w:hint="eastAsia" w:ascii="宋体" w:hAnsi="宋体" w:eastAsia="宋体" w:cs="宋体"/>
          <w:color w:val="auto"/>
          <w:kern w:val="0"/>
          <w:szCs w:val="21"/>
          <w:highlight w:val="none"/>
          <w:lang w:bidi="ar"/>
        </w:rPr>
        <w:t xml:space="preserve"> </w:t>
      </w:r>
    </w:p>
    <w:p w14:paraId="3CD677CD">
      <w:pPr>
        <w:widowControl/>
        <w:spacing w:line="48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在参与本次项目协商中，我单位承诺：  </w:t>
      </w:r>
    </w:p>
    <w:p w14:paraId="2F5BF033">
      <w:pPr>
        <w:widowControl/>
        <w:spacing w:line="48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（1）具有履行合同所必需的设备和专业技术能力； </w:t>
      </w:r>
    </w:p>
    <w:p w14:paraId="38C91378">
      <w:pPr>
        <w:widowControl/>
        <w:spacing w:line="48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 xml:space="preserve">（2）参加政府采购活动前三年内，在经营活动中没有重大违法记录（重大违法记录指因违法经营受到刑事处罚或者责令停产停业、吊销许可证或者执照、较大数额罚款等行政处罚）； </w:t>
      </w:r>
    </w:p>
    <w:p w14:paraId="2F656B54">
      <w:pPr>
        <w:ind w:firstLine="422"/>
        <w:rPr>
          <w:rFonts w:hint="eastAsia" w:ascii="宋体" w:hAnsi="宋体" w:eastAsia="宋体" w:cs="宋体"/>
          <w:b/>
          <w:color w:val="auto"/>
          <w:szCs w:val="21"/>
          <w:highlight w:val="none"/>
        </w:rPr>
      </w:pPr>
    </w:p>
    <w:p w14:paraId="58C10ABC">
      <w:pPr>
        <w:spacing w:line="480" w:lineRule="auto"/>
        <w:jc w:val="left"/>
        <w:rPr>
          <w:rFonts w:hint="eastAsia" w:ascii="宋体" w:hAnsi="宋体" w:eastAsia="宋体" w:cs="宋体"/>
          <w:b/>
          <w:bCs/>
          <w:color w:val="auto"/>
          <w:szCs w:val="21"/>
          <w:highlight w:val="none"/>
        </w:rPr>
      </w:pPr>
    </w:p>
    <w:p w14:paraId="052F9957">
      <w:pPr>
        <w:spacing w:line="480" w:lineRule="auto"/>
        <w:jc w:val="left"/>
        <w:rPr>
          <w:rFonts w:hint="eastAsia" w:ascii="宋体" w:hAnsi="宋体" w:eastAsia="宋体" w:cs="宋体"/>
          <w:b/>
          <w:bCs/>
          <w:color w:val="auto"/>
          <w:szCs w:val="21"/>
          <w:highlight w:val="none"/>
        </w:rPr>
      </w:pPr>
    </w:p>
    <w:p w14:paraId="55535428">
      <w:pPr>
        <w:spacing w:line="480" w:lineRule="auto"/>
        <w:jc w:val="left"/>
        <w:rPr>
          <w:rFonts w:hint="eastAsia" w:ascii="宋体" w:hAnsi="宋体" w:eastAsia="宋体" w:cs="宋体"/>
          <w:b/>
          <w:bCs/>
          <w:color w:val="auto"/>
          <w:szCs w:val="21"/>
          <w:highlight w:val="none"/>
        </w:rPr>
      </w:pPr>
    </w:p>
    <w:p w14:paraId="68236273">
      <w:pPr>
        <w:spacing w:line="48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供应商：（盖章）</w:t>
      </w:r>
    </w:p>
    <w:p w14:paraId="37174B6B">
      <w:pPr>
        <w:ind w:firstLine="420" w:firstLineChars="200"/>
        <w:rPr>
          <w:rFonts w:hint="eastAsia" w:ascii="宋体" w:hAnsi="宋体" w:eastAsia="宋体" w:cs="宋体"/>
          <w:color w:val="auto"/>
          <w:highlight w:val="none"/>
        </w:rPr>
      </w:pPr>
      <w:r>
        <w:rPr>
          <w:rFonts w:hint="eastAsia" w:ascii="宋体" w:hAnsi="宋体" w:eastAsia="宋体" w:cs="宋体"/>
          <w:b/>
          <w:bCs/>
          <w:color w:val="auto"/>
          <w:szCs w:val="21"/>
          <w:highlight w:val="none"/>
        </w:rPr>
        <w:t>日期：</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年</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月</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日</w:t>
      </w:r>
    </w:p>
    <w:p w14:paraId="238C4739">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r>
    </w:p>
    <w:p w14:paraId="1B8DF642">
      <w:pPr>
        <w:pStyle w:val="3"/>
        <w:spacing w:before="0" w:after="0"/>
        <w:rPr>
          <w:rFonts w:hint="eastAsia" w:ascii="宋体" w:hAnsi="宋体" w:eastAsia="宋体" w:cs="宋体"/>
          <w:bCs w:val="0"/>
          <w:color w:val="auto"/>
          <w:szCs w:val="28"/>
          <w:highlight w:val="none"/>
        </w:rPr>
      </w:pPr>
      <w:bookmarkStart w:id="431" w:name="OLE_LINK94"/>
      <w:bookmarkStart w:id="432" w:name="OLE_LINK95"/>
      <w:bookmarkStart w:id="433" w:name="OLE_LINK96"/>
      <w:r>
        <w:rPr>
          <w:rFonts w:hint="eastAsia" w:ascii="宋体" w:hAnsi="宋体" w:eastAsia="宋体" w:cs="宋体"/>
          <w:bCs w:val="0"/>
          <w:color w:val="auto"/>
          <w:szCs w:val="28"/>
          <w:highlight w:val="none"/>
        </w:rPr>
        <w:t>二、报价文件部分</w:t>
      </w:r>
    </w:p>
    <w:bookmarkEnd w:id="431"/>
    <w:p w14:paraId="10EAB057">
      <w:pPr>
        <w:pStyle w:val="18"/>
        <w:spacing w:line="360" w:lineRule="auto"/>
        <w:jc w:val="center"/>
        <w:outlineLvl w:val="2"/>
        <w:rPr>
          <w:rFonts w:hint="eastAsia" w:ascii="宋体" w:hAnsi="宋体" w:eastAsia="宋体" w:cs="宋体"/>
          <w:color w:val="auto"/>
          <w:sz w:val="28"/>
          <w:szCs w:val="28"/>
          <w:highlight w:val="none"/>
        </w:rPr>
      </w:pPr>
      <w:bookmarkStart w:id="434" w:name="OLE_LINK205"/>
      <w:bookmarkStart w:id="435" w:name="OLE_LINK204"/>
      <w:bookmarkStart w:id="436" w:name="OLE_LINK331"/>
      <w:bookmarkStart w:id="437" w:name="OLE_LINK97"/>
      <w:r>
        <w:rPr>
          <w:rFonts w:hint="eastAsia" w:ascii="宋体" w:hAnsi="宋体" w:eastAsia="宋体" w:cs="宋体"/>
          <w:color w:val="auto"/>
          <w:sz w:val="28"/>
          <w:szCs w:val="28"/>
          <w:highlight w:val="none"/>
        </w:rPr>
        <w:t>▲</w:t>
      </w:r>
      <w:bookmarkEnd w:id="434"/>
      <w:bookmarkEnd w:id="435"/>
      <w:r>
        <w:rPr>
          <w:rFonts w:hint="eastAsia" w:ascii="宋体" w:hAnsi="宋体" w:eastAsia="宋体" w:cs="宋体"/>
          <w:color w:val="auto"/>
          <w:sz w:val="28"/>
          <w:szCs w:val="28"/>
          <w:highlight w:val="none"/>
        </w:rPr>
        <w:t>采购报价一览表</w:t>
      </w:r>
      <w:bookmarkEnd w:id="436"/>
    </w:p>
    <w:bookmarkEnd w:id="432"/>
    <w:bookmarkEnd w:id="433"/>
    <w:bookmarkEnd w:id="437"/>
    <w:tbl>
      <w:tblPr>
        <w:tblStyle w:val="3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4"/>
        <w:gridCol w:w="6522"/>
      </w:tblGrid>
      <w:tr w14:paraId="0D863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jc w:val="center"/>
        </w:trPr>
        <w:tc>
          <w:tcPr>
            <w:tcW w:w="1488" w:type="pct"/>
            <w:tcBorders>
              <w:top w:val="single" w:color="auto" w:sz="4" w:space="0"/>
              <w:left w:val="single" w:color="auto" w:sz="4" w:space="0"/>
              <w:bottom w:val="single" w:color="auto" w:sz="4" w:space="0"/>
              <w:right w:val="single" w:color="auto" w:sz="4" w:space="0"/>
            </w:tcBorders>
            <w:noWrap w:val="0"/>
            <w:vAlign w:val="center"/>
          </w:tcPr>
          <w:p w14:paraId="6252BEC2">
            <w:pPr>
              <w:spacing w:line="320" w:lineRule="exact"/>
              <w:jc w:val="center"/>
              <w:rPr>
                <w:rFonts w:hint="eastAsia" w:ascii="宋体" w:hAnsi="宋体" w:eastAsia="宋体" w:cs="宋体"/>
                <w:b w:val="0"/>
                <w:bCs w:val="0"/>
                <w:szCs w:val="21"/>
                <w:highlight w:val="none"/>
              </w:rPr>
            </w:pPr>
            <w:bookmarkStart w:id="438" w:name="OLE_LINK99"/>
            <w:r>
              <w:rPr>
                <w:rFonts w:hint="eastAsia" w:ascii="宋体" w:hAnsi="宋体" w:eastAsia="宋体" w:cs="宋体"/>
                <w:b w:val="0"/>
                <w:bCs w:val="0"/>
                <w:szCs w:val="21"/>
                <w:highlight w:val="none"/>
              </w:rPr>
              <w:t>供应商名称</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03A7D253">
            <w:pPr>
              <w:spacing w:line="360" w:lineRule="auto"/>
              <w:jc w:val="center"/>
              <w:rPr>
                <w:rFonts w:hint="eastAsia" w:ascii="宋体" w:hAnsi="宋体" w:eastAsia="宋体" w:cs="宋体"/>
                <w:b w:val="0"/>
                <w:bCs w:val="0"/>
                <w:szCs w:val="21"/>
                <w:highlight w:val="none"/>
              </w:rPr>
            </w:pPr>
          </w:p>
        </w:tc>
      </w:tr>
      <w:tr w14:paraId="1C26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9" w:hRule="atLeast"/>
          <w:jc w:val="center"/>
        </w:trPr>
        <w:tc>
          <w:tcPr>
            <w:tcW w:w="1488" w:type="pct"/>
            <w:tcBorders>
              <w:top w:val="single" w:color="auto" w:sz="4" w:space="0"/>
              <w:left w:val="single" w:color="auto" w:sz="4" w:space="0"/>
              <w:bottom w:val="single" w:color="auto" w:sz="4" w:space="0"/>
              <w:right w:val="single" w:color="auto" w:sz="4" w:space="0"/>
            </w:tcBorders>
            <w:noWrap w:val="0"/>
            <w:vAlign w:val="center"/>
          </w:tcPr>
          <w:p w14:paraId="276D76F0">
            <w:pPr>
              <w:spacing w:line="320" w:lineRule="exact"/>
              <w:jc w:val="center"/>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采购总</w:t>
            </w:r>
            <w:r>
              <w:rPr>
                <w:rFonts w:hint="eastAsia" w:ascii="宋体" w:hAnsi="宋体" w:eastAsia="宋体" w:cs="宋体"/>
                <w:b w:val="0"/>
                <w:bCs w:val="0"/>
                <w:szCs w:val="21"/>
                <w:highlight w:val="none"/>
              </w:rPr>
              <w:t>报价（元）</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3C30A209">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小写：¥</w:t>
            </w:r>
          </w:p>
          <w:p w14:paraId="364C98A9">
            <w:pPr>
              <w:spacing w:line="360" w:lineRule="auto"/>
              <w:rPr>
                <w:rFonts w:hint="eastAsia" w:ascii="宋体" w:hAnsi="宋体" w:eastAsia="宋体" w:cs="宋体"/>
                <w:b w:val="0"/>
                <w:bCs w:val="0"/>
                <w:szCs w:val="21"/>
                <w:highlight w:val="none"/>
              </w:rPr>
            </w:pPr>
            <w:r>
              <w:rPr>
                <w:rFonts w:hint="eastAsia" w:ascii="宋体" w:hAnsi="宋体" w:eastAsia="宋体" w:cs="宋体"/>
                <w:color w:val="000000" w:themeColor="text1"/>
                <w:szCs w:val="21"/>
                <w:highlight w:val="none"/>
                <w14:textFill>
                  <w14:solidFill>
                    <w14:schemeClr w14:val="tx1"/>
                  </w14:solidFill>
                </w14:textFill>
              </w:rPr>
              <w:t>大写：人民币</w:t>
            </w:r>
          </w:p>
        </w:tc>
      </w:tr>
      <w:tr w14:paraId="7981A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9" w:hRule="atLeast"/>
          <w:jc w:val="center"/>
        </w:trPr>
        <w:tc>
          <w:tcPr>
            <w:tcW w:w="1488" w:type="pct"/>
            <w:tcBorders>
              <w:top w:val="single" w:color="auto" w:sz="4" w:space="0"/>
              <w:left w:val="single" w:color="auto" w:sz="4" w:space="0"/>
              <w:bottom w:val="single" w:color="auto" w:sz="4" w:space="0"/>
              <w:right w:val="single" w:color="auto" w:sz="4" w:space="0"/>
            </w:tcBorders>
            <w:noWrap w:val="0"/>
            <w:vAlign w:val="center"/>
          </w:tcPr>
          <w:p w14:paraId="0B37D9CB">
            <w:pPr>
              <w:spacing w:line="320" w:lineRule="exact"/>
              <w:jc w:val="center"/>
              <w:rPr>
                <w:rFonts w:hint="eastAsia" w:ascii="宋体" w:hAnsi="宋体" w:eastAsia="宋体" w:cs="宋体"/>
                <w:b w:val="0"/>
                <w:bCs w:val="0"/>
                <w:szCs w:val="21"/>
                <w:highlight w:val="none"/>
              </w:rPr>
            </w:pPr>
            <w:bookmarkStart w:id="439" w:name="OLE_LINK208"/>
            <w:bookmarkStart w:id="440" w:name="OLE_LINK239" w:colFirst="0" w:colLast="0"/>
            <w:r>
              <w:rPr>
                <w:rFonts w:hint="eastAsia" w:ascii="宋体" w:hAnsi="宋体" w:eastAsia="宋体" w:cs="宋体"/>
                <w:b w:val="0"/>
                <w:bCs w:val="0"/>
                <w:szCs w:val="21"/>
                <w:highlight w:val="none"/>
              </w:rPr>
              <w:t>合同履行期限</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03539BF2">
            <w:pPr>
              <w:spacing w:line="360" w:lineRule="auto"/>
              <w:rPr>
                <w:rFonts w:hint="eastAsia" w:ascii="宋体" w:hAnsi="宋体" w:eastAsia="宋体" w:cs="宋体"/>
                <w:color w:val="FF0000"/>
                <w:szCs w:val="21"/>
                <w:highlight w:val="none"/>
                <w:lang w:val="en-US" w:eastAsia="zh-CN"/>
              </w:rPr>
            </w:pPr>
          </w:p>
        </w:tc>
      </w:tr>
      <w:bookmarkEnd w:id="439"/>
      <w:tr w14:paraId="2464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9" w:hRule="atLeast"/>
          <w:jc w:val="center"/>
        </w:trPr>
        <w:tc>
          <w:tcPr>
            <w:tcW w:w="1488" w:type="pct"/>
            <w:tcBorders>
              <w:top w:val="single" w:color="auto" w:sz="4" w:space="0"/>
              <w:left w:val="single" w:color="auto" w:sz="4" w:space="0"/>
              <w:bottom w:val="single" w:color="auto" w:sz="4" w:space="0"/>
              <w:right w:val="single" w:color="auto" w:sz="4" w:space="0"/>
            </w:tcBorders>
            <w:noWrap w:val="0"/>
            <w:vAlign w:val="center"/>
          </w:tcPr>
          <w:p w14:paraId="42E06F7C">
            <w:pPr>
              <w:jc w:val="center"/>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lang w:eastAsia="zh-CN"/>
              </w:rPr>
              <w:t>服务地点</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24AB6BB1">
            <w:pPr>
              <w:spacing w:line="360" w:lineRule="auto"/>
              <w:rPr>
                <w:rFonts w:hint="eastAsia" w:ascii="宋体" w:hAnsi="宋体" w:eastAsia="宋体" w:cs="宋体"/>
                <w:b w:val="0"/>
                <w:bCs w:val="0"/>
                <w:szCs w:val="21"/>
                <w:highlight w:val="none"/>
              </w:rPr>
            </w:pPr>
          </w:p>
        </w:tc>
      </w:tr>
      <w:bookmarkEnd w:id="440"/>
      <w:tr w14:paraId="0EF0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488" w:type="pct"/>
            <w:tcBorders>
              <w:top w:val="single" w:color="auto" w:sz="4" w:space="0"/>
              <w:left w:val="single" w:color="auto" w:sz="4" w:space="0"/>
              <w:bottom w:val="single" w:color="auto" w:sz="4" w:space="0"/>
              <w:right w:val="single" w:color="auto" w:sz="4" w:space="0"/>
            </w:tcBorders>
            <w:noWrap w:val="0"/>
            <w:vAlign w:val="center"/>
          </w:tcPr>
          <w:p w14:paraId="0134D214">
            <w:pPr>
              <w:jc w:val="center"/>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保证金</w:t>
            </w:r>
          </w:p>
          <w:p w14:paraId="0818A01B">
            <w:pPr>
              <w:jc w:val="center"/>
              <w:rPr>
                <w:rFonts w:hint="eastAsia" w:ascii="宋体" w:hAnsi="宋体" w:eastAsia="宋体" w:cs="宋体"/>
                <w:b w:val="0"/>
                <w:bCs w:val="0"/>
                <w:szCs w:val="21"/>
                <w:highlight w:val="none"/>
              </w:rPr>
            </w:pPr>
            <w:bookmarkStart w:id="441" w:name="OLE_LINK209"/>
            <w:r>
              <w:rPr>
                <w:rFonts w:hint="eastAsia" w:ascii="宋体" w:hAnsi="宋体" w:eastAsia="宋体" w:cs="宋体"/>
                <w:b w:val="0"/>
                <w:bCs w:val="0"/>
                <w:szCs w:val="21"/>
                <w:highlight w:val="none"/>
                <w:lang w:eastAsia="zh-CN"/>
              </w:rPr>
              <w:t>（</w:t>
            </w:r>
            <w:r>
              <w:rPr>
                <w:rFonts w:hint="eastAsia" w:ascii="宋体" w:hAnsi="宋体" w:eastAsia="宋体" w:cs="宋体"/>
                <w:b w:val="0"/>
                <w:bCs w:val="0"/>
                <w:szCs w:val="21"/>
                <w:highlight w:val="none"/>
              </w:rPr>
              <w:t>形式及金额</w:t>
            </w:r>
            <w:r>
              <w:rPr>
                <w:rFonts w:hint="eastAsia" w:ascii="宋体" w:hAnsi="宋体" w:eastAsia="宋体" w:cs="宋体"/>
                <w:b w:val="0"/>
                <w:bCs w:val="0"/>
                <w:szCs w:val="21"/>
                <w:highlight w:val="none"/>
                <w:lang w:eastAsia="zh-CN"/>
              </w:rPr>
              <w:t>）</w:t>
            </w:r>
            <w:bookmarkEnd w:id="441"/>
          </w:p>
        </w:tc>
        <w:tc>
          <w:tcPr>
            <w:tcW w:w="3511" w:type="pct"/>
            <w:tcBorders>
              <w:top w:val="single" w:color="auto" w:sz="4" w:space="0"/>
              <w:left w:val="single" w:color="auto" w:sz="4" w:space="0"/>
              <w:bottom w:val="single" w:color="auto" w:sz="4" w:space="0"/>
              <w:right w:val="single" w:color="auto" w:sz="4" w:space="0"/>
            </w:tcBorders>
            <w:noWrap w:val="0"/>
            <w:vAlign w:val="center"/>
          </w:tcPr>
          <w:p w14:paraId="6BF7A0A6">
            <w:pPr>
              <w:spacing w:line="360" w:lineRule="auto"/>
              <w:rPr>
                <w:rFonts w:hint="eastAsia" w:ascii="宋体" w:hAnsi="宋体" w:eastAsia="宋体" w:cs="宋体"/>
                <w:b w:val="0"/>
                <w:bCs w:val="0"/>
                <w:szCs w:val="21"/>
                <w:highlight w:val="none"/>
              </w:rPr>
            </w:pPr>
          </w:p>
        </w:tc>
      </w:tr>
    </w:tbl>
    <w:p w14:paraId="3D6C5ABC">
      <w:pPr>
        <w:pStyle w:val="1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highlight w:val="none"/>
        </w:rPr>
      </w:pPr>
      <w:r>
        <w:rPr>
          <w:rFonts w:hint="eastAsia" w:ascii="宋体" w:hAnsi="宋体" w:eastAsia="宋体" w:cs="宋体"/>
          <w:b/>
          <w:bCs/>
          <w:szCs w:val="21"/>
          <w:highlight w:val="none"/>
        </w:rPr>
        <w:t>注：</w:t>
      </w:r>
      <w:r>
        <w:rPr>
          <w:rFonts w:hint="eastAsia" w:ascii="宋体" w:hAnsi="宋体" w:eastAsia="宋体" w:cs="宋体"/>
          <w:b/>
          <w:bCs/>
          <w:szCs w:val="21"/>
          <w:highlight w:val="none"/>
          <w:lang w:val="en-US" w:eastAsia="zh-CN"/>
        </w:rPr>
        <w:t>因本项目为电子采购项目，上述采购报价一览表中供应商填写的内容应与电子交易系统中开标一览表填写内容一致，如出现不一致的情况以电子交易系统中开标一览表填写内容为准</w:t>
      </w:r>
      <w:r>
        <w:rPr>
          <w:rFonts w:hint="eastAsia" w:ascii="宋体" w:hAnsi="宋体" w:eastAsia="宋体" w:cs="宋体"/>
          <w:szCs w:val="21"/>
          <w:highlight w:val="none"/>
        </w:rPr>
        <w:t>。</w:t>
      </w:r>
    </w:p>
    <w:p w14:paraId="0488057D">
      <w:pPr>
        <w:spacing w:line="480" w:lineRule="auto"/>
        <w:jc w:val="left"/>
        <w:rPr>
          <w:rFonts w:hint="eastAsia" w:ascii="宋体" w:hAnsi="宋体" w:eastAsia="宋体" w:cs="宋体"/>
          <w:b/>
          <w:bCs/>
          <w:color w:val="auto"/>
          <w:szCs w:val="21"/>
          <w:highlight w:val="none"/>
        </w:rPr>
      </w:pPr>
    </w:p>
    <w:p w14:paraId="069DF099">
      <w:pPr>
        <w:tabs>
          <w:tab w:val="left" w:pos="4860"/>
        </w:tabs>
        <w:spacing w:line="480" w:lineRule="auto"/>
        <w:ind w:right="1560"/>
        <w:jc w:val="left"/>
        <w:rPr>
          <w:rFonts w:hint="eastAsia" w:ascii="宋体" w:hAnsi="宋体" w:eastAsia="宋体" w:cs="宋体"/>
          <w:b/>
          <w:bCs/>
          <w:color w:val="auto"/>
          <w:szCs w:val="21"/>
          <w:highlight w:val="none"/>
          <w:u w:val="single"/>
        </w:rPr>
      </w:pPr>
      <w:bookmarkStart w:id="442" w:name="OLE_LINK210"/>
    </w:p>
    <w:bookmarkEnd w:id="438"/>
    <w:bookmarkEnd w:id="442"/>
    <w:p w14:paraId="7D2D79A6">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14:paraId="1B18A72A">
      <w:pPr>
        <w:pStyle w:val="3"/>
        <w:spacing w:before="0" w:after="0"/>
        <w:jc w:val="center"/>
        <w:rPr>
          <w:rFonts w:hint="eastAsia" w:ascii="宋体" w:hAnsi="宋体" w:eastAsia="宋体" w:cs="宋体"/>
          <w:b/>
          <w:bCs w:val="0"/>
          <w:sz w:val="28"/>
          <w:szCs w:val="32"/>
          <w:highlight w:val="none"/>
        </w:rPr>
      </w:pPr>
      <w:bookmarkStart w:id="443" w:name="_Toc6246"/>
      <w:bookmarkStart w:id="444" w:name="_Toc78985509"/>
      <w:bookmarkStart w:id="445" w:name="_Toc385"/>
      <w:bookmarkStart w:id="446" w:name="_Toc488633629"/>
      <w:bookmarkStart w:id="447" w:name="_Toc8518"/>
      <w:bookmarkStart w:id="448" w:name="_Toc494043354"/>
      <w:bookmarkStart w:id="449" w:name="_Toc481694857"/>
      <w:bookmarkStart w:id="450" w:name="_Toc491307318"/>
      <w:bookmarkStart w:id="451" w:name="_Toc491307380"/>
      <w:bookmarkStart w:id="452" w:name="_Toc491307500"/>
      <w:bookmarkStart w:id="453" w:name="_Toc86124091"/>
      <w:bookmarkStart w:id="454" w:name="_Toc31532"/>
      <w:bookmarkStart w:id="455" w:name="_Toc261"/>
      <w:bookmarkStart w:id="456" w:name="_Toc22427"/>
      <w:r>
        <w:rPr>
          <w:rFonts w:hint="eastAsia" w:ascii="宋体" w:hAnsi="宋体" w:eastAsia="宋体" w:cs="宋体"/>
          <w:b/>
          <w:snapToGrid w:val="0"/>
          <w:kern w:val="21"/>
          <w:sz w:val="28"/>
          <w:szCs w:val="28"/>
          <w:highlight w:val="none"/>
        </w:rPr>
        <w:t>三、</w:t>
      </w:r>
      <w:bookmarkEnd w:id="443"/>
      <w:bookmarkEnd w:id="444"/>
      <w:r>
        <w:rPr>
          <w:rFonts w:hint="eastAsia" w:ascii="宋体" w:hAnsi="宋体" w:eastAsia="宋体" w:cs="宋体"/>
          <w:b/>
          <w:bCs w:val="0"/>
          <w:sz w:val="28"/>
          <w:szCs w:val="28"/>
          <w:highlight w:val="none"/>
          <w:lang w:val="en-US" w:eastAsia="zh-CN"/>
        </w:rPr>
        <w:t>技术</w:t>
      </w:r>
      <w:r>
        <w:rPr>
          <w:rFonts w:hint="eastAsia" w:ascii="宋体" w:hAnsi="宋体" w:eastAsia="宋体" w:cs="宋体"/>
          <w:b/>
          <w:bCs w:val="0"/>
          <w:sz w:val="28"/>
          <w:szCs w:val="28"/>
          <w:highlight w:val="none"/>
        </w:rPr>
        <w:t>商务文件部分</w:t>
      </w:r>
    </w:p>
    <w:p w14:paraId="3956B5CD">
      <w:pPr>
        <w:spacing w:line="360" w:lineRule="auto"/>
        <w:rPr>
          <w:rFonts w:hint="eastAsia" w:ascii="宋体" w:hAnsi="宋体" w:eastAsia="宋体" w:cs="宋体"/>
          <w:b/>
          <w:sz w:val="28"/>
          <w:szCs w:val="28"/>
          <w:highlight w:val="none"/>
          <w:lang w:val="en-US" w:eastAsia="zh-CN"/>
        </w:rPr>
      </w:pPr>
      <w:bookmarkStart w:id="457" w:name="OLE_LINK138"/>
      <w:bookmarkStart w:id="458" w:name="_Toc7678"/>
      <w:bookmarkStart w:id="459" w:name="_Toc30056"/>
      <w:r>
        <w:rPr>
          <w:rFonts w:hint="eastAsia" w:ascii="宋体" w:hAnsi="宋体" w:eastAsia="宋体" w:cs="宋体"/>
          <w:b/>
          <w:sz w:val="28"/>
          <w:szCs w:val="28"/>
          <w:highlight w:val="none"/>
          <w:lang w:val="en-US" w:eastAsia="zh-CN"/>
        </w:rPr>
        <w:t>格式1：</w:t>
      </w:r>
    </w:p>
    <w:p w14:paraId="659C5633">
      <w:pPr>
        <w:jc w:val="center"/>
        <w:outlineLvl w:val="2"/>
        <w:rPr>
          <w:rFonts w:hint="eastAsia" w:ascii="宋体" w:hAnsi="宋体" w:eastAsia="宋体" w:cs="宋体"/>
          <w:sz w:val="28"/>
          <w:szCs w:val="32"/>
          <w:highlight w:val="none"/>
        </w:rPr>
      </w:pPr>
      <w:r>
        <w:rPr>
          <w:rFonts w:hint="eastAsia" w:ascii="宋体" w:hAnsi="宋体" w:eastAsia="宋体" w:cs="宋体"/>
          <w:sz w:val="28"/>
          <w:szCs w:val="32"/>
          <w:highlight w:val="none"/>
        </w:rPr>
        <w:t>▲技术规格偏离表</w:t>
      </w:r>
    </w:p>
    <w:p w14:paraId="0C29F625">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请对应</w:t>
      </w:r>
      <w:r>
        <w:rPr>
          <w:rFonts w:hint="eastAsia" w:ascii="宋体" w:hAnsi="宋体" w:eastAsia="宋体" w:cs="宋体"/>
          <w:szCs w:val="21"/>
          <w:highlight w:val="none"/>
          <w:lang w:val="en-US" w:eastAsia="zh-CN"/>
        </w:rPr>
        <w:t>单一来源采购文件</w:t>
      </w:r>
      <w:r>
        <w:rPr>
          <w:rFonts w:hint="eastAsia" w:ascii="宋体" w:hAnsi="宋体" w:eastAsia="宋体" w:cs="宋体"/>
          <w:szCs w:val="21"/>
          <w:highlight w:val="none"/>
        </w:rPr>
        <w:t>第五章《采购需求》中</w:t>
      </w:r>
      <w:r>
        <w:rPr>
          <w:rFonts w:hint="eastAsia" w:ascii="宋体" w:hAnsi="宋体" w:eastAsia="宋体" w:cs="宋体"/>
          <w:szCs w:val="21"/>
          <w:highlight w:val="none"/>
          <w:lang w:val="en-US" w:eastAsia="zh-CN"/>
        </w:rPr>
        <w:t>二</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技术</w:t>
      </w:r>
      <w:r>
        <w:rPr>
          <w:rFonts w:hint="eastAsia" w:ascii="宋体" w:hAnsi="宋体" w:eastAsia="宋体" w:cs="宋体"/>
          <w:szCs w:val="21"/>
          <w:highlight w:val="none"/>
        </w:rPr>
        <w:t>要求</w:t>
      </w:r>
      <w:r>
        <w:rPr>
          <w:rFonts w:hint="eastAsia" w:ascii="宋体" w:hAnsi="宋体" w:eastAsia="宋体" w:cs="宋体"/>
          <w:sz w:val="21"/>
          <w:szCs w:val="21"/>
          <w:highlight w:val="none"/>
          <w:lang w:val="en-US" w:eastAsia="zh-CN"/>
        </w:rPr>
        <w:t>的内容</w:t>
      </w:r>
      <w:r>
        <w:rPr>
          <w:rFonts w:hint="eastAsia" w:ascii="宋体" w:hAnsi="宋体" w:eastAsia="宋体" w:cs="宋体"/>
          <w:sz w:val="21"/>
          <w:szCs w:val="21"/>
          <w:highlight w:val="none"/>
        </w:rPr>
        <w:t>认真填写该表</w:t>
      </w:r>
      <w:r>
        <w:rPr>
          <w:rFonts w:hint="eastAsia" w:ascii="宋体" w:hAnsi="宋体" w:eastAsia="宋体" w:cs="宋体"/>
          <w:sz w:val="21"/>
          <w:szCs w:val="21"/>
          <w:highlight w:val="none"/>
          <w:lang w:eastAsia="zh-CN"/>
        </w:rPr>
        <w:t>。</w:t>
      </w:r>
    </w:p>
    <w:p w14:paraId="0EB7050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A、□我公司已详细阅读</w:t>
      </w:r>
      <w:r>
        <w:rPr>
          <w:rFonts w:hint="eastAsia" w:ascii="宋体" w:hAnsi="宋体" w:eastAsia="宋体" w:cs="宋体"/>
          <w:b/>
          <w:bCs/>
          <w:color w:val="auto"/>
          <w:szCs w:val="21"/>
          <w:highlight w:val="none"/>
          <w:lang w:val="en-US" w:eastAsia="zh-CN"/>
        </w:rPr>
        <w:t>单一来源采购文件</w:t>
      </w:r>
      <w:r>
        <w:rPr>
          <w:rFonts w:hint="eastAsia" w:ascii="宋体" w:hAnsi="宋体" w:eastAsia="宋体" w:cs="宋体"/>
          <w:b/>
          <w:bCs/>
          <w:color w:val="auto"/>
          <w:sz w:val="21"/>
          <w:szCs w:val="21"/>
          <w:highlight w:val="none"/>
        </w:rPr>
        <w:t>中</w:t>
      </w:r>
      <w:r>
        <w:rPr>
          <w:rFonts w:hint="eastAsia" w:ascii="宋体" w:hAnsi="宋体" w:eastAsia="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要求，所有</w:t>
      </w:r>
      <w:r>
        <w:rPr>
          <w:rFonts w:hint="eastAsia" w:ascii="宋体" w:hAnsi="宋体" w:eastAsia="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要求均无偏离，</w:t>
      </w:r>
      <w:bookmarkStart w:id="460" w:name="OLE_LINK379"/>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rPr>
        <w:t>后我公司将严格遵照执行</w:t>
      </w:r>
      <w:bookmarkEnd w:id="460"/>
      <w:r>
        <w:rPr>
          <w:rFonts w:hint="eastAsia" w:ascii="宋体" w:hAnsi="宋体" w:eastAsia="宋体" w:cs="宋体"/>
          <w:b/>
          <w:bCs/>
          <w:color w:val="auto"/>
          <w:sz w:val="21"/>
          <w:szCs w:val="21"/>
          <w:highlight w:val="none"/>
        </w:rPr>
        <w:t>。</w:t>
      </w:r>
    </w:p>
    <w:p w14:paraId="44BB8DF8">
      <w:pPr>
        <w:pStyle w:val="11"/>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rPr>
        <w:t>B、□我公司已详细阅读</w:t>
      </w:r>
      <w:r>
        <w:rPr>
          <w:rFonts w:hint="eastAsia" w:ascii="宋体" w:hAnsi="宋体" w:eastAsia="宋体" w:cs="宋体"/>
          <w:b/>
          <w:bCs/>
          <w:color w:val="auto"/>
          <w:szCs w:val="21"/>
          <w:highlight w:val="none"/>
          <w:lang w:val="en-US" w:eastAsia="zh-CN"/>
        </w:rPr>
        <w:t>单一来源采购文件</w:t>
      </w:r>
      <w:r>
        <w:rPr>
          <w:rFonts w:hint="eastAsia" w:ascii="宋体" w:hAnsi="宋体" w:eastAsia="宋体" w:cs="宋体"/>
          <w:b/>
          <w:bCs/>
          <w:color w:val="auto"/>
          <w:sz w:val="21"/>
          <w:szCs w:val="21"/>
          <w:highlight w:val="none"/>
        </w:rPr>
        <w:t>中</w:t>
      </w:r>
      <w:r>
        <w:rPr>
          <w:rFonts w:hint="eastAsia" w:ascii="宋体" w:hAnsi="宋体" w:eastAsia="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要求，除下述条款有偏离外，其余条款我公司均予以认可，</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rPr>
        <w:t>后将严格遵照执行。</w:t>
      </w:r>
    </w:p>
    <w:tbl>
      <w:tblPr>
        <w:tblStyle w:val="38"/>
        <w:tblW w:w="499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1"/>
        <w:gridCol w:w="1270"/>
        <w:gridCol w:w="2514"/>
        <w:gridCol w:w="2046"/>
        <w:gridCol w:w="1077"/>
        <w:gridCol w:w="1711"/>
      </w:tblGrid>
      <w:tr w14:paraId="63446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6" w:type="pct"/>
            <w:vAlign w:val="center"/>
          </w:tcPr>
          <w:p w14:paraId="12A710B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684" w:type="pct"/>
            <w:vAlign w:val="center"/>
          </w:tcPr>
          <w:p w14:paraId="4561ED0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标的</w:t>
            </w:r>
            <w:r>
              <w:rPr>
                <w:rFonts w:hint="eastAsia" w:ascii="宋体" w:hAnsi="宋体" w:eastAsia="宋体" w:cs="宋体"/>
                <w:b/>
                <w:sz w:val="21"/>
                <w:szCs w:val="21"/>
                <w:highlight w:val="none"/>
              </w:rPr>
              <w:t>名称</w:t>
            </w:r>
          </w:p>
        </w:tc>
        <w:tc>
          <w:tcPr>
            <w:tcW w:w="1354" w:type="pct"/>
            <w:vAlign w:val="center"/>
          </w:tcPr>
          <w:p w14:paraId="5B9CB40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Cs w:val="21"/>
                <w:highlight w:val="none"/>
                <w:lang w:eastAsia="zh-CN"/>
              </w:rPr>
              <w:t>单一来源采购文件</w:t>
            </w:r>
            <w:r>
              <w:rPr>
                <w:rFonts w:hint="eastAsia" w:ascii="宋体" w:hAnsi="宋体" w:eastAsia="宋体" w:cs="宋体"/>
                <w:b/>
                <w:sz w:val="21"/>
                <w:szCs w:val="21"/>
                <w:highlight w:val="none"/>
              </w:rPr>
              <w:t>技术规范、要求</w:t>
            </w:r>
          </w:p>
        </w:tc>
        <w:tc>
          <w:tcPr>
            <w:tcW w:w="1102" w:type="pct"/>
            <w:vAlign w:val="center"/>
          </w:tcPr>
          <w:p w14:paraId="5B449B7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响应文件应答情况</w:t>
            </w:r>
          </w:p>
        </w:tc>
        <w:tc>
          <w:tcPr>
            <w:tcW w:w="580" w:type="pct"/>
            <w:vAlign w:val="center"/>
          </w:tcPr>
          <w:p w14:paraId="636CE3D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偏离</w:t>
            </w:r>
          </w:p>
        </w:tc>
        <w:tc>
          <w:tcPr>
            <w:tcW w:w="921" w:type="pct"/>
            <w:vAlign w:val="center"/>
          </w:tcPr>
          <w:p w14:paraId="3717A61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技术支持资料索引（页码及条目号等）</w:t>
            </w:r>
          </w:p>
        </w:tc>
      </w:tr>
      <w:tr w14:paraId="4A234F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6" w:type="pct"/>
            <w:vAlign w:val="center"/>
          </w:tcPr>
          <w:p w14:paraId="1F00B0D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3CC9C94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0CAA03C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2E157DD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1EC762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7204E4D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7DA03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5966069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1056B9F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7F5AFAC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7285FB3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50C913B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3D73822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684F5F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77004C0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483E7F8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5F28906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340C3E7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0F90480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77105FA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52B14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3F30F82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188706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5B825DA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71C1738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623C5B3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1156F39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02E09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7D119BF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2525174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73C6C5E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63247C8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6D9DA7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1869ED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10608F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0DADAED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6DCDA14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2AB3783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7F59BD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43896A5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2B20101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357601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5B3C70C7">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1"/>
                <w:szCs w:val="21"/>
                <w:highlight w:val="none"/>
              </w:rPr>
            </w:pPr>
          </w:p>
        </w:tc>
        <w:tc>
          <w:tcPr>
            <w:tcW w:w="684" w:type="pct"/>
            <w:vAlign w:val="center"/>
          </w:tcPr>
          <w:p w14:paraId="3EA50B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47C864C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3FD333D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7C0C73B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3971036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435B05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3A08956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740D129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09B6BF8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7486C7A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00E6E82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70839C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363965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199D0AF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6E265F3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5839E5B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4F9B8B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606AB7D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68CF27C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54998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59DC94E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580A493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456AE1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3986989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3A84ED4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2452EEC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bl>
    <w:p w14:paraId="153FD08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表格填写说明：</w:t>
      </w:r>
    </w:p>
    <w:p w14:paraId="24492578">
      <w:pPr>
        <w:pStyle w:val="11"/>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根据应根据实际投标情况，填写本表格，若无偏离，则</w:t>
      </w:r>
      <w:r>
        <w:rPr>
          <w:rFonts w:hint="eastAsia" w:ascii="宋体" w:hAnsi="宋体" w:eastAsia="宋体" w:cs="宋体"/>
          <w:b/>
          <w:bCs/>
          <w:color w:val="auto"/>
          <w:sz w:val="21"/>
          <w:szCs w:val="21"/>
          <w:highlight w:val="none"/>
        </w:rPr>
        <w:t>勾选A项</w:t>
      </w:r>
      <w:r>
        <w:rPr>
          <w:rFonts w:hint="eastAsia" w:ascii="宋体" w:hAnsi="宋体" w:eastAsia="宋体" w:cs="宋体"/>
          <w:color w:val="auto"/>
          <w:sz w:val="21"/>
          <w:szCs w:val="21"/>
          <w:highlight w:val="none"/>
        </w:rPr>
        <w:t>。若有偏离，则</w:t>
      </w:r>
      <w:r>
        <w:rPr>
          <w:rFonts w:hint="eastAsia" w:ascii="宋体" w:hAnsi="宋体" w:eastAsia="宋体" w:cs="宋体"/>
          <w:b/>
          <w:bCs/>
          <w:color w:val="auto"/>
          <w:sz w:val="21"/>
          <w:szCs w:val="21"/>
          <w:highlight w:val="none"/>
        </w:rPr>
        <w:t>勾选B项</w:t>
      </w:r>
      <w:r>
        <w:rPr>
          <w:rFonts w:hint="eastAsia" w:ascii="宋体" w:hAnsi="宋体" w:eastAsia="宋体" w:cs="宋体"/>
          <w:color w:val="auto"/>
          <w:sz w:val="21"/>
          <w:szCs w:val="21"/>
          <w:highlight w:val="none"/>
        </w:rPr>
        <w:t>，按表格要求及实际情况填写。表格中只需填写有“偏离”部分，“无偏离”部分不用填写。</w:t>
      </w:r>
      <w:bookmarkStart w:id="461" w:name="OLE_LINK33"/>
    </w:p>
    <w:p w14:paraId="6E21E49F">
      <w:pPr>
        <w:pStyle w:val="11"/>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bookmarkEnd w:id="461"/>
      <w:r>
        <w:rPr>
          <w:rFonts w:hint="eastAsia" w:ascii="宋体" w:hAnsi="宋体" w:eastAsia="宋体" w:cs="宋体"/>
          <w:color w:val="auto"/>
          <w:kern w:val="2"/>
          <w:sz w:val="21"/>
          <w:szCs w:val="21"/>
          <w:highlight w:val="none"/>
          <w:lang w:val="en-US" w:eastAsia="zh-CN" w:bidi="ar-SA"/>
        </w:rPr>
        <w:t>、“偏离”系指“正偏离”、“负偏离”或“无偏离”。</w:t>
      </w:r>
    </w:p>
    <w:p w14:paraId="43953924">
      <w:pPr>
        <w:pStyle w:val="11"/>
        <w:rPr>
          <w:rFonts w:hint="eastAsia" w:ascii="宋体" w:hAnsi="宋体" w:eastAsia="宋体" w:cs="宋体"/>
          <w:highlight w:val="none"/>
        </w:rPr>
      </w:pPr>
      <w:r>
        <w:rPr>
          <w:rFonts w:hint="eastAsia" w:ascii="宋体" w:hAnsi="宋体" w:eastAsia="宋体" w:cs="宋体"/>
          <w:color w:val="auto"/>
          <w:sz w:val="21"/>
          <w:szCs w:val="21"/>
          <w:highlight w:val="none"/>
        </w:rPr>
        <w:t>3、勾选示例：</w:t>
      </w:r>
      <w:r>
        <w:rPr>
          <w:rFonts w:hint="eastAsia" w:ascii="宋体" w:hAnsi="宋体" w:eastAsia="宋体" w:cs="宋体"/>
          <w:b/>
          <w:bCs/>
          <w:color w:val="auto"/>
          <w:sz w:val="21"/>
          <w:szCs w:val="21"/>
          <w:highlight w:val="none"/>
        </w:rPr>
        <w:sym w:font="Wingdings 2" w:char="0052"/>
      </w:r>
    </w:p>
    <w:p w14:paraId="7482C791">
      <w:pPr>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br w:type="page"/>
      </w:r>
    </w:p>
    <w:p w14:paraId="693ACDE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highlight w:val="none"/>
        </w:rPr>
      </w:pPr>
      <w:bookmarkStart w:id="462" w:name="OLE_LINK362"/>
      <w:bookmarkStart w:id="463" w:name="_Toc49935378"/>
      <w:bookmarkStart w:id="464" w:name="_Toc68090099"/>
      <w:bookmarkStart w:id="465" w:name="_Toc26783978"/>
      <w:bookmarkStart w:id="466" w:name="_Toc9178"/>
      <w:r>
        <w:rPr>
          <w:rFonts w:hint="eastAsia" w:ascii="宋体" w:hAnsi="宋体" w:eastAsia="宋体" w:cs="宋体"/>
          <w:b/>
          <w:sz w:val="28"/>
          <w:szCs w:val="28"/>
          <w:highlight w:val="none"/>
          <w:lang w:val="en-US" w:eastAsia="zh-CN"/>
        </w:rPr>
        <w:t>格式2：</w:t>
      </w:r>
      <w:bookmarkEnd w:id="462"/>
      <w:bookmarkEnd w:id="463"/>
      <w:bookmarkEnd w:id="464"/>
      <w:bookmarkEnd w:id="465"/>
      <w:bookmarkEnd w:id="466"/>
    </w:p>
    <w:p w14:paraId="3179EA32">
      <w:pPr>
        <w:keepNext w:val="0"/>
        <w:keepLines w:val="0"/>
        <w:pageBreakBefore w:val="0"/>
        <w:kinsoku/>
        <w:wordWrap/>
        <w:overflowPunct/>
        <w:topLinePunct w:val="0"/>
        <w:bidi w:val="0"/>
        <w:spacing w:line="360" w:lineRule="auto"/>
        <w:ind w:firstLine="0" w:firstLineChars="0"/>
        <w:jc w:val="center"/>
        <w:textAlignment w:val="auto"/>
        <w:outlineLvl w:val="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其它技术资料</w:t>
      </w:r>
    </w:p>
    <w:p w14:paraId="7077BC3E">
      <w:pPr>
        <w:spacing w:line="360" w:lineRule="auto"/>
        <w:ind w:firstLine="420" w:firstLineChars="200"/>
        <w:jc w:val="center"/>
        <w:rPr>
          <w:rFonts w:hint="eastAsia" w:ascii="宋体" w:hAnsi="宋体" w:eastAsia="宋体" w:cs="宋体"/>
          <w:b w:val="0"/>
          <w:bCs w:val="0"/>
          <w:szCs w:val="21"/>
          <w:highlight w:val="none"/>
        </w:rPr>
      </w:pPr>
      <w:bookmarkStart w:id="467" w:name="_Hlk478978464"/>
      <w:r>
        <w:rPr>
          <w:rFonts w:hint="eastAsia" w:ascii="宋体" w:hAnsi="宋体" w:eastAsia="宋体" w:cs="宋体"/>
          <w:b w:val="0"/>
          <w:bCs w:val="0"/>
          <w:szCs w:val="21"/>
          <w:highlight w:val="none"/>
        </w:rPr>
        <w:t>（由供应商按第五章“采购需求”中相应要求自行编写）</w:t>
      </w:r>
    </w:p>
    <w:p w14:paraId="48BEA52D">
      <w:pPr>
        <w:spacing w:line="360" w:lineRule="auto"/>
        <w:ind w:firstLine="420" w:firstLineChars="200"/>
        <w:rPr>
          <w:rFonts w:hint="eastAsia" w:ascii="宋体" w:hAnsi="宋体" w:eastAsia="宋体" w:cs="宋体"/>
          <w:b/>
          <w:bCs/>
          <w:szCs w:val="21"/>
          <w:highlight w:val="none"/>
        </w:rPr>
        <w:sectPr>
          <w:pgSz w:w="11906" w:h="16838"/>
          <w:pgMar w:top="1417" w:right="1417" w:bottom="1417" w:left="1417" w:header="510" w:footer="680" w:gutter="0"/>
          <w:pgNumType w:fmt="decimal"/>
          <w:cols w:space="720" w:num="1"/>
          <w:titlePg/>
          <w:docGrid w:type="linesAndChars" w:linePitch="312" w:charSpace="0"/>
        </w:sectPr>
      </w:pPr>
      <w:r>
        <w:rPr>
          <w:rFonts w:hint="eastAsia" w:ascii="宋体" w:hAnsi="宋体" w:eastAsia="宋体" w:cs="宋体"/>
          <w:b/>
          <w:bCs/>
          <w:szCs w:val="21"/>
          <w:highlight w:val="none"/>
        </w:rPr>
        <w:t>以下内容根据项目技术部分评分内容进行编制（格式自拟）：</w:t>
      </w:r>
    </w:p>
    <w:p w14:paraId="51F99C89">
      <w:pPr>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格式2-1：</w:t>
      </w:r>
    </w:p>
    <w:p w14:paraId="558E2F1E">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服务开展实施计划安排；</w:t>
      </w:r>
    </w:p>
    <w:p w14:paraId="18D3B569">
      <w:pPr>
        <w:rPr>
          <w:rFonts w:hint="eastAsia" w:ascii="宋体" w:hAnsi="宋体" w:eastAsia="宋体" w:cs="宋体"/>
          <w:highlight w:val="none"/>
        </w:rPr>
        <w:sectPr>
          <w:pgSz w:w="11906" w:h="16838"/>
          <w:pgMar w:top="1417" w:right="1417" w:bottom="1417" w:left="1417" w:header="510" w:footer="680" w:gutter="0"/>
          <w:pgNumType w:fmt="decimal"/>
          <w:cols w:space="720" w:num="1"/>
          <w:titlePg/>
          <w:docGrid w:type="linesAndChars" w:linePitch="312" w:charSpace="0"/>
        </w:sectPr>
      </w:pPr>
    </w:p>
    <w:p w14:paraId="7C75313F">
      <w:pPr>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格式2-2：</w:t>
      </w:r>
    </w:p>
    <w:p w14:paraId="0302A7F0">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网络巡检服务</w:t>
      </w:r>
      <w:r>
        <w:rPr>
          <w:rFonts w:hint="eastAsia" w:ascii="宋体" w:hAnsi="宋体" w:eastAsia="宋体" w:cs="宋体"/>
          <w:highlight w:val="none"/>
          <w:lang w:val="en-US" w:eastAsia="zh-CN"/>
        </w:rPr>
        <w:t>方案</w:t>
      </w:r>
      <w:r>
        <w:rPr>
          <w:rFonts w:hint="eastAsia" w:ascii="宋体" w:hAnsi="宋体" w:eastAsia="宋体" w:cs="宋体"/>
          <w:szCs w:val="21"/>
          <w:highlight w:val="none"/>
        </w:rPr>
        <w:t>；</w:t>
      </w:r>
    </w:p>
    <w:p w14:paraId="52DDA724">
      <w:pPr>
        <w:rPr>
          <w:rFonts w:hint="eastAsia" w:ascii="宋体" w:hAnsi="宋体" w:eastAsia="宋体" w:cs="宋体"/>
          <w:highlight w:val="none"/>
        </w:rPr>
        <w:sectPr>
          <w:pgSz w:w="11906" w:h="16838"/>
          <w:pgMar w:top="1417" w:right="1417" w:bottom="1417" w:left="1417" w:header="510" w:footer="680" w:gutter="0"/>
          <w:pgNumType w:fmt="decimal"/>
          <w:cols w:space="720" w:num="1"/>
          <w:titlePg/>
          <w:docGrid w:type="linesAndChars" w:linePitch="312" w:charSpace="0"/>
        </w:sectPr>
      </w:pPr>
    </w:p>
    <w:p w14:paraId="66F5C683">
      <w:pPr>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格式2-3：</w:t>
      </w:r>
    </w:p>
    <w:p w14:paraId="2A18594D">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highlight w:val="none"/>
          <w:lang w:val="en-US" w:eastAsia="zh-CN"/>
        </w:rPr>
        <w:t>服务承诺</w:t>
      </w:r>
      <w:r>
        <w:rPr>
          <w:rFonts w:hint="eastAsia" w:ascii="宋体" w:hAnsi="宋体" w:eastAsia="宋体" w:cs="宋体"/>
          <w:szCs w:val="21"/>
          <w:highlight w:val="none"/>
        </w:rPr>
        <w:t>；</w:t>
      </w:r>
    </w:p>
    <w:p w14:paraId="294988AE">
      <w:pPr>
        <w:rPr>
          <w:rFonts w:hint="eastAsia" w:ascii="宋体" w:hAnsi="宋体" w:eastAsia="宋体" w:cs="宋体"/>
          <w:highlight w:val="none"/>
        </w:rPr>
        <w:sectPr>
          <w:pgSz w:w="11906" w:h="16838"/>
          <w:pgMar w:top="1417" w:right="1417" w:bottom="1417" w:left="1417" w:header="510" w:footer="680" w:gutter="0"/>
          <w:pgNumType w:fmt="decimal"/>
          <w:cols w:space="720" w:num="1"/>
          <w:titlePg/>
          <w:docGrid w:type="linesAndChars" w:linePitch="312" w:charSpace="0"/>
        </w:sectPr>
      </w:pPr>
    </w:p>
    <w:p w14:paraId="6FE1B8FE">
      <w:pPr>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格式2-4：</w:t>
      </w:r>
    </w:p>
    <w:p w14:paraId="13BDC856">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单一来源采购文件要求及供应商认为有必要提供的其它技术资料；</w:t>
      </w:r>
    </w:p>
    <w:bookmarkEnd w:id="467"/>
    <w:p w14:paraId="616172A0">
      <w:pPr>
        <w:keepNext w:val="0"/>
        <w:keepLines w:val="0"/>
        <w:pageBreakBefore w:val="0"/>
        <w:kinsoku/>
        <w:wordWrap/>
        <w:overflowPunct/>
        <w:topLinePunct w:val="0"/>
        <w:bidi w:val="0"/>
        <w:spacing w:line="360" w:lineRule="auto"/>
        <w:textAlignment w:val="auto"/>
        <w:rPr>
          <w:rFonts w:hint="eastAsia" w:ascii="宋体" w:hAnsi="宋体" w:eastAsia="宋体" w:cs="宋体"/>
          <w:highlight w:val="none"/>
        </w:rPr>
      </w:pPr>
      <w:r>
        <w:rPr>
          <w:rFonts w:hint="eastAsia" w:ascii="宋体" w:hAnsi="宋体" w:eastAsia="宋体" w:cs="宋体"/>
          <w:highlight w:val="none"/>
        </w:rPr>
        <w:br w:type="page"/>
      </w:r>
    </w:p>
    <w:p w14:paraId="79A1F681">
      <w:pPr>
        <w:spacing w:line="360" w:lineRule="auto"/>
        <w:rPr>
          <w:rFonts w:hint="eastAsia" w:ascii="宋体" w:hAnsi="宋体" w:eastAsia="宋体" w:cs="宋体"/>
          <w:b/>
          <w:sz w:val="28"/>
          <w:szCs w:val="28"/>
          <w:highlight w:val="none"/>
          <w:lang w:val="en-US" w:eastAsia="zh-CN"/>
        </w:rPr>
      </w:pPr>
      <w:bookmarkStart w:id="468" w:name="_Toc26783971"/>
      <w:bookmarkStart w:id="469" w:name="_Toc498266849"/>
      <w:bookmarkStart w:id="470" w:name="_Toc18884"/>
      <w:bookmarkStart w:id="471" w:name="_Toc68090093"/>
      <w:bookmarkStart w:id="472" w:name="_Toc49935372"/>
      <w:r>
        <w:rPr>
          <w:rFonts w:hint="eastAsia" w:ascii="宋体" w:hAnsi="宋体" w:eastAsia="宋体" w:cs="宋体"/>
          <w:b/>
          <w:sz w:val="28"/>
          <w:szCs w:val="28"/>
          <w:highlight w:val="none"/>
          <w:lang w:val="en-US" w:eastAsia="zh-CN"/>
        </w:rPr>
        <w:t>格式3：</w:t>
      </w:r>
    </w:p>
    <w:bookmarkEnd w:id="468"/>
    <w:bookmarkEnd w:id="469"/>
    <w:bookmarkEnd w:id="470"/>
    <w:bookmarkEnd w:id="471"/>
    <w:bookmarkEnd w:id="472"/>
    <w:p w14:paraId="19F0A7F9">
      <w:pPr>
        <w:pStyle w:val="18"/>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outlineLvl w:val="2"/>
        <w:rPr>
          <w:rFonts w:hint="eastAsia" w:ascii="宋体" w:hAnsi="宋体" w:eastAsia="宋体" w:cs="宋体"/>
          <w:b/>
          <w:bCs/>
          <w:snapToGrid w:val="0"/>
          <w:kern w:val="21"/>
          <w:sz w:val="28"/>
          <w:szCs w:val="28"/>
          <w:highlight w:val="none"/>
        </w:rPr>
      </w:pPr>
      <w:r>
        <w:rPr>
          <w:rFonts w:hint="eastAsia" w:ascii="宋体" w:hAnsi="宋体" w:eastAsia="宋体" w:cs="宋体"/>
          <w:b w:val="0"/>
          <w:bCs w:val="0"/>
          <w:snapToGrid w:val="0"/>
          <w:kern w:val="21"/>
          <w:sz w:val="28"/>
          <w:szCs w:val="28"/>
          <w:highlight w:val="none"/>
        </w:rPr>
        <w:t>▲</w:t>
      </w:r>
      <w:bookmarkStart w:id="473" w:name="OLE_LINK1"/>
      <w:r>
        <w:rPr>
          <w:rFonts w:hint="eastAsia" w:ascii="宋体" w:hAnsi="宋体" w:eastAsia="宋体" w:cs="宋体"/>
          <w:b w:val="0"/>
          <w:bCs w:val="0"/>
          <w:snapToGrid w:val="0"/>
          <w:kern w:val="21"/>
          <w:sz w:val="28"/>
          <w:szCs w:val="28"/>
          <w:highlight w:val="none"/>
        </w:rPr>
        <w:t>商务条款偏离表</w:t>
      </w:r>
      <w:bookmarkEnd w:id="473"/>
    </w:p>
    <w:p w14:paraId="0C2035D3">
      <w:pPr>
        <w:keepNext w:val="0"/>
        <w:keepLines w:val="0"/>
        <w:pageBreakBefore w:val="0"/>
        <w:kinsoku/>
        <w:wordWrap/>
        <w:overflowPunct/>
        <w:topLinePunct w:val="0"/>
        <w:bidi w:val="0"/>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rPr>
        <w:t>请对应</w:t>
      </w:r>
      <w:r>
        <w:rPr>
          <w:rFonts w:hint="eastAsia" w:ascii="宋体" w:hAnsi="宋体" w:eastAsia="宋体" w:cs="宋体"/>
          <w:szCs w:val="21"/>
          <w:highlight w:val="none"/>
          <w:lang w:val="en-US" w:eastAsia="zh-CN"/>
        </w:rPr>
        <w:t>单一来源采购文件</w:t>
      </w:r>
      <w:r>
        <w:rPr>
          <w:rFonts w:hint="eastAsia" w:ascii="宋体" w:hAnsi="宋体" w:eastAsia="宋体" w:cs="宋体"/>
          <w:color w:val="auto"/>
          <w:szCs w:val="21"/>
          <w:highlight w:val="none"/>
        </w:rPr>
        <w:t>的合同履行期限（服务期限）</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eastAsia="zh-CN"/>
        </w:rPr>
        <w:t>服务地点</w:t>
      </w:r>
      <w:r>
        <w:rPr>
          <w:rFonts w:hint="eastAsia" w:ascii="宋体" w:hAnsi="宋体" w:eastAsia="宋体" w:cs="宋体"/>
          <w:b w:val="0"/>
          <w:bCs w:val="0"/>
          <w:color w:val="auto"/>
          <w:szCs w:val="21"/>
          <w:highlight w:val="none"/>
        </w:rPr>
        <w:t>、付款方式、验收要求</w:t>
      </w:r>
      <w:r>
        <w:rPr>
          <w:rFonts w:hint="eastAsia" w:ascii="宋体" w:hAnsi="宋体" w:eastAsia="宋体" w:cs="宋体"/>
          <w:b w:val="0"/>
          <w:bCs w:val="0"/>
          <w:color w:val="auto"/>
          <w:szCs w:val="21"/>
          <w:highlight w:val="none"/>
          <w:lang w:eastAsia="zh-CN"/>
        </w:rPr>
        <w:t>、售后服务要求</w:t>
      </w:r>
      <w:r>
        <w:rPr>
          <w:rFonts w:hint="eastAsia" w:ascii="宋体" w:hAnsi="宋体" w:eastAsia="宋体" w:cs="宋体"/>
          <w:b w:val="0"/>
          <w:bCs w:val="0"/>
          <w:color w:val="auto"/>
          <w:szCs w:val="21"/>
          <w:highlight w:val="none"/>
          <w:lang w:val="en-US" w:eastAsia="zh-CN"/>
        </w:rPr>
        <w:t>及其它等的</w:t>
      </w:r>
      <w:r>
        <w:rPr>
          <w:rFonts w:hint="eastAsia" w:ascii="宋体" w:hAnsi="宋体" w:eastAsia="宋体" w:cs="宋体"/>
          <w:b w:val="0"/>
          <w:bCs w:val="0"/>
          <w:color w:val="auto"/>
          <w:szCs w:val="21"/>
          <w:highlight w:val="none"/>
        </w:rPr>
        <w:t>要求认</w:t>
      </w:r>
      <w:r>
        <w:rPr>
          <w:rFonts w:hint="eastAsia" w:ascii="宋体" w:hAnsi="宋体" w:eastAsia="宋体" w:cs="宋体"/>
          <w:color w:val="auto"/>
          <w:szCs w:val="21"/>
          <w:highlight w:val="none"/>
        </w:rPr>
        <w:t>真填写该表</w:t>
      </w:r>
      <w:r>
        <w:rPr>
          <w:rFonts w:hint="eastAsia" w:ascii="宋体" w:hAnsi="宋体" w:eastAsia="宋体" w:cs="宋体"/>
          <w:szCs w:val="21"/>
          <w:highlight w:val="none"/>
        </w:rPr>
        <w:t>。</w:t>
      </w:r>
    </w:p>
    <w:p w14:paraId="6E797F56">
      <w:pPr>
        <w:keepNext w:val="0"/>
        <w:keepLines w:val="0"/>
        <w:pageBreakBefore w:val="0"/>
        <w:kinsoku/>
        <w:wordWrap/>
        <w:overflowPunct/>
        <w:topLinePunct w:val="0"/>
        <w:bidi w:val="0"/>
        <w:spacing w:line="360" w:lineRule="auto"/>
        <w:ind w:firstLine="420"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A、□我公司已详细阅读</w:t>
      </w:r>
      <w:r>
        <w:rPr>
          <w:rFonts w:hint="eastAsia" w:ascii="宋体" w:hAnsi="宋体" w:eastAsia="宋体" w:cs="宋体"/>
          <w:b/>
          <w:bCs/>
          <w:color w:val="auto"/>
          <w:szCs w:val="21"/>
          <w:highlight w:val="none"/>
          <w:lang w:val="en-US" w:eastAsia="zh-CN"/>
        </w:rPr>
        <w:t>单一来源采购文件</w:t>
      </w:r>
      <w:r>
        <w:rPr>
          <w:rFonts w:hint="eastAsia" w:ascii="宋体" w:hAnsi="宋体" w:eastAsia="宋体" w:cs="宋体"/>
          <w:b/>
          <w:bCs/>
          <w:color w:val="auto"/>
          <w:szCs w:val="21"/>
          <w:highlight w:val="none"/>
        </w:rPr>
        <w:t>中商务要求，所有商务要求均无偏离，</w:t>
      </w:r>
      <w:r>
        <w:rPr>
          <w:rFonts w:hint="eastAsia" w:ascii="宋体" w:hAnsi="宋体" w:eastAsia="宋体" w:cs="宋体"/>
          <w:b/>
          <w:bCs/>
          <w:color w:val="auto"/>
          <w:szCs w:val="21"/>
          <w:highlight w:val="none"/>
          <w:lang w:val="en-US" w:eastAsia="zh-CN"/>
        </w:rPr>
        <w:t>成交</w:t>
      </w:r>
      <w:r>
        <w:rPr>
          <w:rFonts w:hint="eastAsia" w:ascii="宋体" w:hAnsi="宋体" w:eastAsia="宋体" w:cs="宋体"/>
          <w:b/>
          <w:bCs/>
          <w:color w:val="auto"/>
          <w:szCs w:val="21"/>
          <w:highlight w:val="none"/>
        </w:rPr>
        <w:t>后我公司将严格遵照执行。</w:t>
      </w:r>
    </w:p>
    <w:p w14:paraId="35EDDB6A">
      <w:pPr>
        <w:pStyle w:val="11"/>
        <w:keepNext w:val="0"/>
        <w:keepLines w:val="0"/>
        <w:pageBreakBefore w:val="0"/>
        <w:kinsoku/>
        <w:wordWrap/>
        <w:overflowPunct/>
        <w:topLinePunct w:val="0"/>
        <w:bidi w:val="0"/>
        <w:spacing w:beforeLines="0" w:line="360" w:lineRule="auto"/>
        <w:ind w:firstLine="420"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B、□我公司已详细阅读</w:t>
      </w:r>
      <w:r>
        <w:rPr>
          <w:rFonts w:hint="eastAsia" w:ascii="宋体" w:hAnsi="宋体" w:eastAsia="宋体" w:cs="宋体"/>
          <w:b/>
          <w:bCs/>
          <w:color w:val="auto"/>
          <w:szCs w:val="21"/>
          <w:highlight w:val="none"/>
          <w:lang w:val="en-US" w:eastAsia="zh-CN"/>
        </w:rPr>
        <w:t>单一来源采购文件</w:t>
      </w:r>
      <w:r>
        <w:rPr>
          <w:rFonts w:hint="eastAsia" w:ascii="宋体" w:hAnsi="宋体" w:eastAsia="宋体" w:cs="宋体"/>
          <w:b/>
          <w:bCs/>
          <w:color w:val="auto"/>
          <w:szCs w:val="21"/>
          <w:highlight w:val="none"/>
        </w:rPr>
        <w:t>中商务要求，除下述条款有偏离外，其余条款我公司均予以认可，</w:t>
      </w:r>
      <w:r>
        <w:rPr>
          <w:rFonts w:hint="eastAsia" w:ascii="宋体" w:hAnsi="宋体" w:eastAsia="宋体" w:cs="宋体"/>
          <w:b/>
          <w:bCs/>
          <w:color w:val="auto"/>
          <w:szCs w:val="21"/>
          <w:highlight w:val="none"/>
          <w:lang w:val="en-US" w:eastAsia="zh-CN"/>
        </w:rPr>
        <w:t>成交</w:t>
      </w:r>
      <w:r>
        <w:rPr>
          <w:rFonts w:hint="eastAsia" w:ascii="宋体" w:hAnsi="宋体" w:eastAsia="宋体" w:cs="宋体"/>
          <w:b/>
          <w:bCs/>
          <w:color w:val="auto"/>
          <w:szCs w:val="21"/>
          <w:highlight w:val="none"/>
        </w:rPr>
        <w:t>后将严格遵照执行。</w:t>
      </w:r>
    </w:p>
    <w:tbl>
      <w:tblPr>
        <w:tblStyle w:val="38"/>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1740"/>
        <w:gridCol w:w="3098"/>
        <w:gridCol w:w="2243"/>
        <w:gridCol w:w="1241"/>
      </w:tblGrid>
      <w:tr w14:paraId="690D1F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517" w:type="pct"/>
            <w:tcBorders>
              <w:tl2br w:val="nil"/>
              <w:tr2bl w:val="nil"/>
            </w:tcBorders>
            <w:noWrap w:val="0"/>
            <w:vAlign w:val="center"/>
          </w:tcPr>
          <w:p w14:paraId="15A580AA">
            <w:pPr>
              <w:pStyle w:val="18"/>
              <w:keepNext w:val="0"/>
              <w:keepLines w:val="0"/>
              <w:pageBreakBefore w:val="0"/>
              <w:kinsoku/>
              <w:wordWrap/>
              <w:overflowPunct/>
              <w:topLinePunct w:val="0"/>
              <w:bidi w:val="0"/>
              <w:spacing w:line="360" w:lineRule="auto"/>
              <w:jc w:val="center"/>
              <w:textAlignment w:val="auto"/>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937" w:type="pct"/>
            <w:tcBorders>
              <w:tl2br w:val="nil"/>
              <w:tr2bl w:val="nil"/>
            </w:tcBorders>
            <w:noWrap w:val="0"/>
            <w:vAlign w:val="center"/>
          </w:tcPr>
          <w:p w14:paraId="1078BDE0">
            <w:pPr>
              <w:pStyle w:val="18"/>
              <w:keepNext w:val="0"/>
              <w:keepLines w:val="0"/>
              <w:pageBreakBefore w:val="0"/>
              <w:kinsoku/>
              <w:wordWrap/>
              <w:overflowPunct/>
              <w:topLinePunct w:val="0"/>
              <w:bidi w:val="0"/>
              <w:spacing w:line="360" w:lineRule="auto"/>
              <w:jc w:val="center"/>
              <w:textAlignment w:val="auto"/>
              <w:rPr>
                <w:rFonts w:hint="eastAsia" w:ascii="宋体" w:hAnsi="宋体" w:eastAsia="宋体" w:cs="宋体"/>
                <w:b/>
                <w:szCs w:val="21"/>
                <w:highlight w:val="none"/>
              </w:rPr>
            </w:pPr>
            <w:r>
              <w:rPr>
                <w:rFonts w:hint="eastAsia" w:ascii="宋体" w:hAnsi="宋体" w:eastAsia="宋体" w:cs="宋体"/>
                <w:b/>
                <w:szCs w:val="21"/>
                <w:highlight w:val="none"/>
                <w:lang w:eastAsia="zh-CN"/>
              </w:rPr>
              <w:t>单一来源采购文件</w:t>
            </w:r>
            <w:r>
              <w:rPr>
                <w:rFonts w:hint="eastAsia" w:ascii="宋体" w:hAnsi="宋体" w:eastAsia="宋体" w:cs="宋体"/>
                <w:b/>
                <w:szCs w:val="21"/>
                <w:highlight w:val="none"/>
              </w:rPr>
              <w:t>条目号</w:t>
            </w:r>
          </w:p>
        </w:tc>
        <w:tc>
          <w:tcPr>
            <w:tcW w:w="1668" w:type="pct"/>
            <w:tcBorders>
              <w:tl2br w:val="nil"/>
              <w:tr2bl w:val="nil"/>
            </w:tcBorders>
            <w:noWrap w:val="0"/>
            <w:vAlign w:val="center"/>
          </w:tcPr>
          <w:p w14:paraId="3F785EF6">
            <w:pPr>
              <w:pStyle w:val="18"/>
              <w:keepNext w:val="0"/>
              <w:keepLines w:val="0"/>
              <w:pageBreakBefore w:val="0"/>
              <w:kinsoku/>
              <w:wordWrap/>
              <w:overflowPunct/>
              <w:topLinePunct w:val="0"/>
              <w:bidi w:val="0"/>
              <w:spacing w:line="360" w:lineRule="auto"/>
              <w:jc w:val="center"/>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zCs w:val="21"/>
                <w:highlight w:val="none"/>
                <w:lang w:eastAsia="zh-CN"/>
              </w:rPr>
              <w:t>单一来源采购文件</w:t>
            </w:r>
            <w:r>
              <w:rPr>
                <w:rFonts w:hint="eastAsia" w:ascii="宋体" w:hAnsi="宋体" w:eastAsia="宋体" w:cs="宋体"/>
                <w:b/>
                <w:szCs w:val="21"/>
                <w:highlight w:val="none"/>
              </w:rPr>
              <w:t>商务要求</w:t>
            </w:r>
          </w:p>
        </w:tc>
        <w:tc>
          <w:tcPr>
            <w:tcW w:w="1208" w:type="pct"/>
            <w:tcBorders>
              <w:tl2br w:val="nil"/>
              <w:tr2bl w:val="nil"/>
            </w:tcBorders>
            <w:noWrap w:val="0"/>
            <w:vAlign w:val="center"/>
          </w:tcPr>
          <w:p w14:paraId="73A1ADE0">
            <w:pPr>
              <w:pStyle w:val="18"/>
              <w:keepNext w:val="0"/>
              <w:keepLines w:val="0"/>
              <w:pageBreakBefore w:val="0"/>
              <w:kinsoku/>
              <w:wordWrap/>
              <w:overflowPunct/>
              <w:topLinePunct w:val="0"/>
              <w:bidi w:val="0"/>
              <w:spacing w:line="360" w:lineRule="auto"/>
              <w:jc w:val="center"/>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zCs w:val="21"/>
                <w:highlight w:val="none"/>
              </w:rPr>
              <w:t>响应文件响应情况</w:t>
            </w:r>
          </w:p>
        </w:tc>
        <w:tc>
          <w:tcPr>
            <w:tcW w:w="668" w:type="pct"/>
            <w:tcBorders>
              <w:tl2br w:val="nil"/>
              <w:tr2bl w:val="nil"/>
            </w:tcBorders>
            <w:noWrap w:val="0"/>
            <w:vAlign w:val="center"/>
          </w:tcPr>
          <w:p w14:paraId="5B19D7B0">
            <w:pPr>
              <w:pStyle w:val="18"/>
              <w:keepNext w:val="0"/>
              <w:keepLines w:val="0"/>
              <w:pageBreakBefore w:val="0"/>
              <w:kinsoku/>
              <w:wordWrap/>
              <w:overflowPunct/>
              <w:topLinePunct w:val="0"/>
              <w:bidi w:val="0"/>
              <w:spacing w:line="360" w:lineRule="auto"/>
              <w:jc w:val="center"/>
              <w:textAlignment w:val="auto"/>
              <w:rPr>
                <w:rFonts w:hint="eastAsia" w:ascii="宋体" w:hAnsi="宋体" w:eastAsia="宋体" w:cs="宋体"/>
                <w:b/>
                <w:snapToGrid/>
                <w:kern w:val="2"/>
                <w:sz w:val="21"/>
                <w:szCs w:val="21"/>
                <w:highlight w:val="none"/>
                <w:lang w:val="en-US" w:eastAsia="zh-CN" w:bidi="ar-SA"/>
              </w:rPr>
            </w:pPr>
            <w:r>
              <w:rPr>
                <w:rFonts w:hint="eastAsia" w:ascii="宋体" w:hAnsi="宋体" w:eastAsia="宋体" w:cs="宋体"/>
                <w:b/>
                <w:szCs w:val="21"/>
                <w:highlight w:val="none"/>
              </w:rPr>
              <w:t>偏离</w:t>
            </w:r>
            <w:r>
              <w:rPr>
                <w:rFonts w:hint="eastAsia" w:ascii="宋体" w:hAnsi="宋体" w:eastAsia="宋体" w:cs="宋体"/>
                <w:b/>
                <w:szCs w:val="21"/>
                <w:highlight w:val="none"/>
                <w:lang w:val="en-US" w:eastAsia="zh-CN"/>
              </w:rPr>
              <w:t>说明</w:t>
            </w:r>
          </w:p>
        </w:tc>
      </w:tr>
      <w:tr w14:paraId="6E9D82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73990179">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79B37CA4">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180DD2FC">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407786E0">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3E1D8622">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r w14:paraId="686EB2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3886A016">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61A0337C">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1E1448FD">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7D099EB0">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064DCC19">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r w14:paraId="43359E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27A2C727">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0EBB5EC5">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063EEDB0">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4BFBF3D2">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0FFEA54F">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r w14:paraId="17F262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4C75FFF8">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7C1006D7">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6B624498">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17EC3332">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6703A36A">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r w14:paraId="7B55DD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1C9C466B">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7025D8F4">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06AB03AC">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1B2BCF2C">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6FB0BEBB">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r w14:paraId="156F36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24A97909">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6F8212FD">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60297524">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34FA8560">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2C395AFB">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r w14:paraId="5DFFFC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08DCBCAA">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0EF4D3B6">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59E22206">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1E5A8F3B">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58B5FE40">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r w14:paraId="786E19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52117D44">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3A020E66">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146DC551">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113E943F">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58D47370">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r w14:paraId="110C54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517" w:type="pct"/>
            <w:tcBorders>
              <w:tl2br w:val="nil"/>
              <w:tr2bl w:val="nil"/>
            </w:tcBorders>
            <w:noWrap w:val="0"/>
            <w:vAlign w:val="top"/>
          </w:tcPr>
          <w:p w14:paraId="0BFF9A8D">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937" w:type="pct"/>
            <w:tcBorders>
              <w:tl2br w:val="nil"/>
              <w:tr2bl w:val="nil"/>
            </w:tcBorders>
            <w:noWrap w:val="0"/>
            <w:vAlign w:val="top"/>
          </w:tcPr>
          <w:p w14:paraId="05011467">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668" w:type="pct"/>
            <w:tcBorders>
              <w:tl2br w:val="nil"/>
              <w:tr2bl w:val="nil"/>
            </w:tcBorders>
            <w:noWrap w:val="0"/>
            <w:vAlign w:val="top"/>
          </w:tcPr>
          <w:p w14:paraId="6DE40436">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1208" w:type="pct"/>
            <w:tcBorders>
              <w:tl2br w:val="nil"/>
              <w:tr2bl w:val="nil"/>
            </w:tcBorders>
            <w:noWrap w:val="0"/>
            <w:vAlign w:val="top"/>
          </w:tcPr>
          <w:p w14:paraId="5A5FF58E">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c>
          <w:tcPr>
            <w:tcW w:w="668" w:type="pct"/>
            <w:tcBorders>
              <w:tl2br w:val="nil"/>
              <w:tr2bl w:val="nil"/>
            </w:tcBorders>
            <w:noWrap w:val="0"/>
            <w:vAlign w:val="top"/>
          </w:tcPr>
          <w:p w14:paraId="38549ABD">
            <w:pPr>
              <w:pStyle w:val="18"/>
              <w:keepNext w:val="0"/>
              <w:keepLines w:val="0"/>
              <w:pageBreakBefore w:val="0"/>
              <w:kinsoku/>
              <w:wordWrap/>
              <w:overflowPunct/>
              <w:topLinePunct w:val="0"/>
              <w:bidi w:val="0"/>
              <w:spacing w:line="360" w:lineRule="auto"/>
              <w:textAlignment w:val="auto"/>
              <w:rPr>
                <w:rFonts w:hint="eastAsia" w:ascii="宋体" w:hAnsi="宋体" w:eastAsia="宋体" w:cs="宋体"/>
                <w:szCs w:val="21"/>
                <w:highlight w:val="none"/>
              </w:rPr>
            </w:pPr>
          </w:p>
        </w:tc>
      </w:tr>
    </w:tbl>
    <w:p w14:paraId="39D0374E">
      <w:pPr>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表格填写说明：</w:t>
      </w:r>
    </w:p>
    <w:p w14:paraId="52C2D0C3">
      <w:pPr>
        <w:pStyle w:val="11"/>
        <w:keepNext w:val="0"/>
        <w:keepLines w:val="0"/>
        <w:pageBreakBefore w:val="0"/>
        <w:kinsoku/>
        <w:wordWrap/>
        <w:overflowPunct/>
        <w:topLinePunct w:val="0"/>
        <w:bidi w:val="0"/>
        <w:spacing w:beforeLines="0"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根据应根据实际</w:t>
      </w:r>
      <w:r>
        <w:rPr>
          <w:rFonts w:hint="eastAsia" w:ascii="宋体" w:hAnsi="宋体" w:eastAsia="宋体" w:cs="宋体"/>
          <w:color w:val="auto"/>
          <w:szCs w:val="21"/>
          <w:highlight w:val="none"/>
          <w:lang w:eastAsia="zh-CN"/>
        </w:rPr>
        <w:t>响应</w:t>
      </w:r>
      <w:r>
        <w:rPr>
          <w:rFonts w:hint="eastAsia" w:ascii="宋体" w:hAnsi="宋体" w:eastAsia="宋体" w:cs="宋体"/>
          <w:color w:val="auto"/>
          <w:szCs w:val="21"/>
          <w:highlight w:val="none"/>
        </w:rPr>
        <w:t>情况，填写本表格，若无偏离，则</w:t>
      </w:r>
      <w:r>
        <w:rPr>
          <w:rFonts w:hint="eastAsia" w:ascii="宋体" w:hAnsi="宋体" w:eastAsia="宋体" w:cs="宋体"/>
          <w:b/>
          <w:bCs/>
          <w:color w:val="auto"/>
          <w:szCs w:val="21"/>
          <w:highlight w:val="none"/>
        </w:rPr>
        <w:t>勾选A项</w:t>
      </w:r>
      <w:r>
        <w:rPr>
          <w:rFonts w:hint="eastAsia" w:ascii="宋体" w:hAnsi="宋体" w:eastAsia="宋体" w:cs="宋体"/>
          <w:color w:val="auto"/>
          <w:szCs w:val="21"/>
          <w:highlight w:val="none"/>
        </w:rPr>
        <w:t>。若有偏离，则</w:t>
      </w:r>
      <w:r>
        <w:rPr>
          <w:rFonts w:hint="eastAsia" w:ascii="宋体" w:hAnsi="宋体" w:eastAsia="宋体" w:cs="宋体"/>
          <w:b/>
          <w:bCs/>
          <w:color w:val="auto"/>
          <w:szCs w:val="21"/>
          <w:highlight w:val="none"/>
        </w:rPr>
        <w:t>勾选B项</w:t>
      </w:r>
      <w:r>
        <w:rPr>
          <w:rFonts w:hint="eastAsia" w:ascii="宋体" w:hAnsi="宋体" w:eastAsia="宋体" w:cs="宋体"/>
          <w:color w:val="auto"/>
          <w:szCs w:val="21"/>
          <w:highlight w:val="none"/>
        </w:rPr>
        <w:t>，按表格要求及实际情况填写。表格中只需填写有“偏离”部分，“无偏离”部分不用填写。</w:t>
      </w:r>
    </w:p>
    <w:p w14:paraId="21A9992C">
      <w:pPr>
        <w:keepNext w:val="0"/>
        <w:keepLines w:val="0"/>
        <w:pageBreakBefore w:val="0"/>
        <w:kinsoku/>
        <w:wordWrap/>
        <w:overflowPunct/>
        <w:topLinePunct w:val="0"/>
        <w:bidi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 w:val="21"/>
          <w:szCs w:val="21"/>
          <w:highlight w:val="none"/>
        </w:rPr>
        <w:t>“偏离”系指“正偏离”、“负偏离”或“无偏离”</w:t>
      </w:r>
      <w:r>
        <w:rPr>
          <w:rFonts w:hint="eastAsia" w:ascii="宋体" w:hAnsi="宋体" w:eastAsia="宋体" w:cs="宋体"/>
          <w:color w:val="auto"/>
          <w:szCs w:val="21"/>
          <w:highlight w:val="none"/>
        </w:rPr>
        <w:t>。</w:t>
      </w:r>
    </w:p>
    <w:p w14:paraId="13FA7F7E">
      <w:pPr>
        <w:pStyle w:val="11"/>
        <w:keepNext w:val="0"/>
        <w:keepLines w:val="0"/>
        <w:pageBreakBefore w:val="0"/>
        <w:kinsoku/>
        <w:wordWrap/>
        <w:overflowPunct/>
        <w:topLinePunct w:val="0"/>
        <w:bidi w:val="0"/>
        <w:spacing w:beforeLines="0" w:line="360" w:lineRule="auto"/>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3、勾选示例：</w:t>
      </w:r>
      <w:r>
        <w:rPr>
          <w:rFonts w:hint="eastAsia" w:ascii="宋体" w:hAnsi="宋体" w:eastAsia="宋体" w:cs="宋体"/>
          <w:b/>
          <w:bCs/>
          <w:color w:val="auto"/>
          <w:szCs w:val="21"/>
          <w:highlight w:val="none"/>
        </w:rPr>
        <w:sym w:font="Wingdings 2" w:char="0052"/>
      </w:r>
    </w:p>
    <w:p w14:paraId="6360B124">
      <w:pPr>
        <w:keepNext w:val="0"/>
        <w:keepLines w:val="0"/>
        <w:pageBreakBefore w:val="0"/>
        <w:kinsoku/>
        <w:wordWrap/>
        <w:overflowPunct/>
        <w:topLinePunct w:val="0"/>
        <w:bidi w:val="0"/>
        <w:spacing w:line="360" w:lineRule="auto"/>
        <w:textAlignment w:val="auto"/>
        <w:rPr>
          <w:rFonts w:hint="eastAsia" w:ascii="宋体" w:hAnsi="宋体" w:eastAsia="宋体" w:cs="宋体"/>
          <w:highlight w:val="none"/>
        </w:rPr>
      </w:pPr>
      <w:r>
        <w:rPr>
          <w:rFonts w:hint="eastAsia" w:ascii="宋体" w:hAnsi="宋体" w:eastAsia="宋体" w:cs="宋体"/>
          <w:highlight w:val="none"/>
        </w:rPr>
        <w:br w:type="page"/>
      </w:r>
    </w:p>
    <w:p w14:paraId="61430D9A">
      <w:pPr>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格式4：</w:t>
      </w:r>
    </w:p>
    <w:p w14:paraId="1D38AF16">
      <w:pPr>
        <w:keepNext w:val="0"/>
        <w:keepLines w:val="0"/>
        <w:pageBreakBefore w:val="0"/>
        <w:kinsoku/>
        <w:wordWrap/>
        <w:overflowPunct/>
        <w:topLinePunct w:val="0"/>
        <w:bidi w:val="0"/>
        <w:spacing w:line="360" w:lineRule="auto"/>
        <w:ind w:firstLine="0" w:firstLineChars="0"/>
        <w:jc w:val="center"/>
        <w:textAlignment w:val="auto"/>
        <w:outlineLvl w:val="2"/>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其它</w:t>
      </w:r>
      <w:r>
        <w:rPr>
          <w:rFonts w:hint="eastAsia" w:ascii="宋体" w:hAnsi="宋体" w:eastAsia="宋体" w:cs="宋体"/>
          <w:b w:val="0"/>
          <w:bCs w:val="0"/>
          <w:sz w:val="28"/>
          <w:szCs w:val="28"/>
          <w:highlight w:val="none"/>
          <w:lang w:val="en-US" w:eastAsia="zh-CN"/>
        </w:rPr>
        <w:t>商务</w:t>
      </w:r>
      <w:r>
        <w:rPr>
          <w:rFonts w:hint="eastAsia" w:ascii="宋体" w:hAnsi="宋体" w:eastAsia="宋体" w:cs="宋体"/>
          <w:b w:val="0"/>
          <w:bCs w:val="0"/>
          <w:sz w:val="28"/>
          <w:szCs w:val="28"/>
          <w:highlight w:val="none"/>
        </w:rPr>
        <w:t>资料</w:t>
      </w:r>
    </w:p>
    <w:p w14:paraId="6468ECF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（由供应商按第五章“采购需求”中相应要求自行编写）</w:t>
      </w:r>
    </w:p>
    <w:p w14:paraId="79C1F6C2">
      <w:pPr>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格式4-1：</w:t>
      </w:r>
    </w:p>
    <w:p w14:paraId="60BA715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Cs w:val="21"/>
          <w:highlight w:val="none"/>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r>
        <w:rPr>
          <w:rFonts w:hint="eastAsia" w:ascii="宋体" w:hAnsi="宋体" w:eastAsia="宋体" w:cs="宋体"/>
          <w:szCs w:val="21"/>
          <w:highlight w:val="none"/>
        </w:rPr>
        <w:t>团队人员；（格式自拟）</w:t>
      </w:r>
    </w:p>
    <w:p w14:paraId="41D67910">
      <w:pPr>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格式4-2：</w:t>
      </w:r>
    </w:p>
    <w:p w14:paraId="4160E4BB">
      <w:pPr>
        <w:spacing w:line="360" w:lineRule="auto"/>
        <w:ind w:firstLine="420" w:firstLineChars="200"/>
        <w:jc w:val="center"/>
        <w:rPr>
          <w:rFonts w:hint="eastAsia" w:ascii="宋体" w:hAnsi="宋体" w:eastAsia="宋体" w:cs="宋体"/>
          <w:szCs w:val="21"/>
          <w:highlight w:val="none"/>
        </w:rPr>
      </w:pPr>
      <w:r>
        <w:rPr>
          <w:rFonts w:hint="eastAsia" w:ascii="宋体" w:hAnsi="宋体" w:eastAsia="宋体" w:cs="宋体"/>
          <w:szCs w:val="21"/>
          <w:highlight w:val="none"/>
        </w:rPr>
        <w:t>业绩列表</w:t>
      </w:r>
    </w:p>
    <w:tbl>
      <w:tblPr>
        <w:tblStyle w:val="38"/>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742"/>
        <w:gridCol w:w="814"/>
        <w:gridCol w:w="1006"/>
        <w:gridCol w:w="880"/>
        <w:gridCol w:w="844"/>
      </w:tblGrid>
      <w:tr w14:paraId="39694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vAlign w:val="center"/>
          </w:tcPr>
          <w:p w14:paraId="74D03147">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233" w:type="dxa"/>
            <w:vAlign w:val="center"/>
          </w:tcPr>
          <w:p w14:paraId="66C5BFF7">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项目名称</w:t>
            </w:r>
          </w:p>
        </w:tc>
        <w:tc>
          <w:tcPr>
            <w:tcW w:w="1322" w:type="dxa"/>
            <w:vAlign w:val="center"/>
          </w:tcPr>
          <w:p w14:paraId="5C9BAF30">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采购人</w:t>
            </w:r>
          </w:p>
        </w:tc>
        <w:tc>
          <w:tcPr>
            <w:tcW w:w="1179" w:type="dxa"/>
            <w:vAlign w:val="center"/>
          </w:tcPr>
          <w:p w14:paraId="0B26D368">
            <w:pPr>
              <w:spacing w:line="360" w:lineRule="auto"/>
              <w:jc w:val="center"/>
              <w:rPr>
                <w:rFonts w:hint="eastAsia" w:ascii="宋体" w:hAnsi="宋体" w:eastAsia="宋体" w:cs="宋体"/>
                <w:szCs w:val="21"/>
                <w:highlight w:val="none"/>
              </w:rPr>
            </w:pPr>
            <w:r>
              <w:rPr>
                <w:rFonts w:hint="eastAsia" w:ascii="宋体" w:hAnsi="宋体" w:eastAsia="宋体" w:cs="宋体"/>
                <w:szCs w:val="32"/>
                <w:highlight w:val="none"/>
              </w:rPr>
              <w:t>产品型号</w:t>
            </w:r>
          </w:p>
        </w:tc>
        <w:tc>
          <w:tcPr>
            <w:tcW w:w="742" w:type="dxa"/>
            <w:vAlign w:val="center"/>
          </w:tcPr>
          <w:p w14:paraId="3F472442">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814" w:type="dxa"/>
            <w:vAlign w:val="center"/>
          </w:tcPr>
          <w:p w14:paraId="135E86C4">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单位</w:t>
            </w:r>
          </w:p>
        </w:tc>
        <w:tc>
          <w:tcPr>
            <w:tcW w:w="1006" w:type="dxa"/>
            <w:vAlign w:val="center"/>
          </w:tcPr>
          <w:p w14:paraId="15470497">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联系人</w:t>
            </w:r>
          </w:p>
        </w:tc>
        <w:tc>
          <w:tcPr>
            <w:tcW w:w="880" w:type="dxa"/>
            <w:vAlign w:val="center"/>
          </w:tcPr>
          <w:p w14:paraId="1FAB2D9C">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电话</w:t>
            </w:r>
          </w:p>
        </w:tc>
        <w:tc>
          <w:tcPr>
            <w:tcW w:w="844" w:type="dxa"/>
            <w:vAlign w:val="center"/>
          </w:tcPr>
          <w:p w14:paraId="4266D600">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4307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61A334D6">
            <w:pPr>
              <w:spacing w:line="360" w:lineRule="auto"/>
              <w:rPr>
                <w:rFonts w:hint="eastAsia" w:ascii="宋体" w:hAnsi="宋体" w:eastAsia="宋体" w:cs="宋体"/>
                <w:szCs w:val="21"/>
                <w:highlight w:val="none"/>
              </w:rPr>
            </w:pPr>
          </w:p>
        </w:tc>
        <w:tc>
          <w:tcPr>
            <w:tcW w:w="1233" w:type="dxa"/>
          </w:tcPr>
          <w:p w14:paraId="23060A46">
            <w:pPr>
              <w:spacing w:line="360" w:lineRule="auto"/>
              <w:rPr>
                <w:rFonts w:hint="eastAsia" w:ascii="宋体" w:hAnsi="宋体" w:eastAsia="宋体" w:cs="宋体"/>
                <w:szCs w:val="21"/>
                <w:highlight w:val="none"/>
              </w:rPr>
            </w:pPr>
          </w:p>
        </w:tc>
        <w:tc>
          <w:tcPr>
            <w:tcW w:w="1322" w:type="dxa"/>
          </w:tcPr>
          <w:p w14:paraId="3C91C17D">
            <w:pPr>
              <w:spacing w:line="360" w:lineRule="auto"/>
              <w:rPr>
                <w:rFonts w:hint="eastAsia" w:ascii="宋体" w:hAnsi="宋体" w:eastAsia="宋体" w:cs="宋体"/>
                <w:szCs w:val="21"/>
                <w:highlight w:val="none"/>
              </w:rPr>
            </w:pPr>
          </w:p>
        </w:tc>
        <w:tc>
          <w:tcPr>
            <w:tcW w:w="1179" w:type="dxa"/>
          </w:tcPr>
          <w:p w14:paraId="29E7EFDA">
            <w:pPr>
              <w:spacing w:line="360" w:lineRule="auto"/>
              <w:rPr>
                <w:rFonts w:hint="eastAsia" w:ascii="宋体" w:hAnsi="宋体" w:eastAsia="宋体" w:cs="宋体"/>
                <w:szCs w:val="21"/>
                <w:highlight w:val="none"/>
              </w:rPr>
            </w:pPr>
          </w:p>
        </w:tc>
        <w:tc>
          <w:tcPr>
            <w:tcW w:w="742" w:type="dxa"/>
          </w:tcPr>
          <w:p w14:paraId="0DC13DBB">
            <w:pPr>
              <w:spacing w:line="360" w:lineRule="auto"/>
              <w:rPr>
                <w:rFonts w:hint="eastAsia" w:ascii="宋体" w:hAnsi="宋体" w:eastAsia="宋体" w:cs="宋体"/>
                <w:szCs w:val="21"/>
                <w:highlight w:val="none"/>
              </w:rPr>
            </w:pPr>
          </w:p>
        </w:tc>
        <w:tc>
          <w:tcPr>
            <w:tcW w:w="814" w:type="dxa"/>
          </w:tcPr>
          <w:p w14:paraId="5E5C5637">
            <w:pPr>
              <w:spacing w:line="360" w:lineRule="auto"/>
              <w:rPr>
                <w:rFonts w:hint="eastAsia" w:ascii="宋体" w:hAnsi="宋体" w:eastAsia="宋体" w:cs="宋体"/>
                <w:szCs w:val="21"/>
                <w:highlight w:val="none"/>
              </w:rPr>
            </w:pPr>
          </w:p>
        </w:tc>
        <w:tc>
          <w:tcPr>
            <w:tcW w:w="1006" w:type="dxa"/>
          </w:tcPr>
          <w:p w14:paraId="52C9FDA9">
            <w:pPr>
              <w:spacing w:line="360" w:lineRule="auto"/>
              <w:rPr>
                <w:rFonts w:hint="eastAsia" w:ascii="宋体" w:hAnsi="宋体" w:eastAsia="宋体" w:cs="宋体"/>
                <w:szCs w:val="21"/>
                <w:highlight w:val="none"/>
              </w:rPr>
            </w:pPr>
          </w:p>
        </w:tc>
        <w:tc>
          <w:tcPr>
            <w:tcW w:w="880" w:type="dxa"/>
          </w:tcPr>
          <w:p w14:paraId="4F497F10">
            <w:pPr>
              <w:spacing w:line="360" w:lineRule="auto"/>
              <w:rPr>
                <w:rFonts w:hint="eastAsia" w:ascii="宋体" w:hAnsi="宋体" w:eastAsia="宋体" w:cs="宋体"/>
                <w:szCs w:val="21"/>
                <w:highlight w:val="none"/>
              </w:rPr>
            </w:pPr>
          </w:p>
        </w:tc>
        <w:tc>
          <w:tcPr>
            <w:tcW w:w="844" w:type="dxa"/>
          </w:tcPr>
          <w:p w14:paraId="437E3C71">
            <w:pPr>
              <w:spacing w:line="360" w:lineRule="auto"/>
              <w:rPr>
                <w:rFonts w:hint="eastAsia" w:ascii="宋体" w:hAnsi="宋体" w:eastAsia="宋体" w:cs="宋体"/>
                <w:szCs w:val="21"/>
                <w:highlight w:val="none"/>
              </w:rPr>
            </w:pPr>
          </w:p>
        </w:tc>
      </w:tr>
      <w:tr w14:paraId="18A5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5C7A8F48">
            <w:pPr>
              <w:spacing w:line="360" w:lineRule="auto"/>
              <w:rPr>
                <w:rFonts w:hint="eastAsia" w:ascii="宋体" w:hAnsi="宋体" w:eastAsia="宋体" w:cs="宋体"/>
                <w:szCs w:val="21"/>
                <w:highlight w:val="none"/>
              </w:rPr>
            </w:pPr>
          </w:p>
        </w:tc>
        <w:tc>
          <w:tcPr>
            <w:tcW w:w="1233" w:type="dxa"/>
          </w:tcPr>
          <w:p w14:paraId="5B7161BB">
            <w:pPr>
              <w:spacing w:line="360" w:lineRule="auto"/>
              <w:rPr>
                <w:rFonts w:hint="eastAsia" w:ascii="宋体" w:hAnsi="宋体" w:eastAsia="宋体" w:cs="宋体"/>
                <w:szCs w:val="21"/>
                <w:highlight w:val="none"/>
              </w:rPr>
            </w:pPr>
          </w:p>
        </w:tc>
        <w:tc>
          <w:tcPr>
            <w:tcW w:w="1322" w:type="dxa"/>
          </w:tcPr>
          <w:p w14:paraId="3105230E">
            <w:pPr>
              <w:spacing w:line="360" w:lineRule="auto"/>
              <w:rPr>
                <w:rFonts w:hint="eastAsia" w:ascii="宋体" w:hAnsi="宋体" w:eastAsia="宋体" w:cs="宋体"/>
                <w:szCs w:val="21"/>
                <w:highlight w:val="none"/>
              </w:rPr>
            </w:pPr>
          </w:p>
        </w:tc>
        <w:tc>
          <w:tcPr>
            <w:tcW w:w="1179" w:type="dxa"/>
          </w:tcPr>
          <w:p w14:paraId="2B56F947">
            <w:pPr>
              <w:spacing w:line="360" w:lineRule="auto"/>
              <w:rPr>
                <w:rFonts w:hint="eastAsia" w:ascii="宋体" w:hAnsi="宋体" w:eastAsia="宋体" w:cs="宋体"/>
                <w:szCs w:val="21"/>
                <w:highlight w:val="none"/>
              </w:rPr>
            </w:pPr>
          </w:p>
        </w:tc>
        <w:tc>
          <w:tcPr>
            <w:tcW w:w="742" w:type="dxa"/>
          </w:tcPr>
          <w:p w14:paraId="5BDB9605">
            <w:pPr>
              <w:spacing w:line="360" w:lineRule="auto"/>
              <w:rPr>
                <w:rFonts w:hint="eastAsia" w:ascii="宋体" w:hAnsi="宋体" w:eastAsia="宋体" w:cs="宋体"/>
                <w:szCs w:val="21"/>
                <w:highlight w:val="none"/>
              </w:rPr>
            </w:pPr>
          </w:p>
        </w:tc>
        <w:tc>
          <w:tcPr>
            <w:tcW w:w="814" w:type="dxa"/>
          </w:tcPr>
          <w:p w14:paraId="18D555BD">
            <w:pPr>
              <w:spacing w:line="360" w:lineRule="auto"/>
              <w:rPr>
                <w:rFonts w:hint="eastAsia" w:ascii="宋体" w:hAnsi="宋体" w:eastAsia="宋体" w:cs="宋体"/>
                <w:szCs w:val="21"/>
                <w:highlight w:val="none"/>
              </w:rPr>
            </w:pPr>
          </w:p>
        </w:tc>
        <w:tc>
          <w:tcPr>
            <w:tcW w:w="1006" w:type="dxa"/>
          </w:tcPr>
          <w:p w14:paraId="580FEFCB">
            <w:pPr>
              <w:spacing w:line="360" w:lineRule="auto"/>
              <w:rPr>
                <w:rFonts w:hint="eastAsia" w:ascii="宋体" w:hAnsi="宋体" w:eastAsia="宋体" w:cs="宋体"/>
                <w:szCs w:val="21"/>
                <w:highlight w:val="none"/>
              </w:rPr>
            </w:pPr>
          </w:p>
        </w:tc>
        <w:tc>
          <w:tcPr>
            <w:tcW w:w="880" w:type="dxa"/>
          </w:tcPr>
          <w:p w14:paraId="364BDAD7">
            <w:pPr>
              <w:spacing w:line="360" w:lineRule="auto"/>
              <w:rPr>
                <w:rFonts w:hint="eastAsia" w:ascii="宋体" w:hAnsi="宋体" w:eastAsia="宋体" w:cs="宋体"/>
                <w:szCs w:val="21"/>
                <w:highlight w:val="none"/>
              </w:rPr>
            </w:pPr>
          </w:p>
        </w:tc>
        <w:tc>
          <w:tcPr>
            <w:tcW w:w="844" w:type="dxa"/>
          </w:tcPr>
          <w:p w14:paraId="158BE701">
            <w:pPr>
              <w:spacing w:line="360" w:lineRule="auto"/>
              <w:rPr>
                <w:rFonts w:hint="eastAsia" w:ascii="宋体" w:hAnsi="宋体" w:eastAsia="宋体" w:cs="宋体"/>
                <w:szCs w:val="21"/>
                <w:highlight w:val="none"/>
              </w:rPr>
            </w:pPr>
          </w:p>
        </w:tc>
      </w:tr>
      <w:tr w14:paraId="2679B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19055356">
            <w:pPr>
              <w:spacing w:line="360" w:lineRule="auto"/>
              <w:rPr>
                <w:rFonts w:hint="eastAsia" w:ascii="宋体" w:hAnsi="宋体" w:eastAsia="宋体" w:cs="宋体"/>
                <w:szCs w:val="21"/>
                <w:highlight w:val="none"/>
              </w:rPr>
            </w:pPr>
          </w:p>
        </w:tc>
        <w:tc>
          <w:tcPr>
            <w:tcW w:w="1233" w:type="dxa"/>
          </w:tcPr>
          <w:p w14:paraId="21274118">
            <w:pPr>
              <w:spacing w:line="360" w:lineRule="auto"/>
              <w:rPr>
                <w:rFonts w:hint="eastAsia" w:ascii="宋体" w:hAnsi="宋体" w:eastAsia="宋体" w:cs="宋体"/>
                <w:szCs w:val="21"/>
                <w:highlight w:val="none"/>
              </w:rPr>
            </w:pPr>
          </w:p>
        </w:tc>
        <w:tc>
          <w:tcPr>
            <w:tcW w:w="1322" w:type="dxa"/>
          </w:tcPr>
          <w:p w14:paraId="65843096">
            <w:pPr>
              <w:spacing w:line="360" w:lineRule="auto"/>
              <w:rPr>
                <w:rFonts w:hint="eastAsia" w:ascii="宋体" w:hAnsi="宋体" w:eastAsia="宋体" w:cs="宋体"/>
                <w:szCs w:val="21"/>
                <w:highlight w:val="none"/>
              </w:rPr>
            </w:pPr>
          </w:p>
        </w:tc>
        <w:tc>
          <w:tcPr>
            <w:tcW w:w="1179" w:type="dxa"/>
          </w:tcPr>
          <w:p w14:paraId="7AA38E15">
            <w:pPr>
              <w:spacing w:line="360" w:lineRule="auto"/>
              <w:rPr>
                <w:rFonts w:hint="eastAsia" w:ascii="宋体" w:hAnsi="宋体" w:eastAsia="宋体" w:cs="宋体"/>
                <w:szCs w:val="21"/>
                <w:highlight w:val="none"/>
              </w:rPr>
            </w:pPr>
          </w:p>
        </w:tc>
        <w:tc>
          <w:tcPr>
            <w:tcW w:w="742" w:type="dxa"/>
          </w:tcPr>
          <w:p w14:paraId="3D6CCBB6">
            <w:pPr>
              <w:spacing w:line="360" w:lineRule="auto"/>
              <w:rPr>
                <w:rFonts w:hint="eastAsia" w:ascii="宋体" w:hAnsi="宋体" w:eastAsia="宋体" w:cs="宋体"/>
                <w:szCs w:val="21"/>
                <w:highlight w:val="none"/>
              </w:rPr>
            </w:pPr>
          </w:p>
        </w:tc>
        <w:tc>
          <w:tcPr>
            <w:tcW w:w="814" w:type="dxa"/>
          </w:tcPr>
          <w:p w14:paraId="6006FE32">
            <w:pPr>
              <w:spacing w:line="360" w:lineRule="auto"/>
              <w:rPr>
                <w:rFonts w:hint="eastAsia" w:ascii="宋体" w:hAnsi="宋体" w:eastAsia="宋体" w:cs="宋体"/>
                <w:szCs w:val="21"/>
                <w:highlight w:val="none"/>
              </w:rPr>
            </w:pPr>
          </w:p>
        </w:tc>
        <w:tc>
          <w:tcPr>
            <w:tcW w:w="1006" w:type="dxa"/>
          </w:tcPr>
          <w:p w14:paraId="4A8880EE">
            <w:pPr>
              <w:spacing w:line="360" w:lineRule="auto"/>
              <w:rPr>
                <w:rFonts w:hint="eastAsia" w:ascii="宋体" w:hAnsi="宋体" w:eastAsia="宋体" w:cs="宋体"/>
                <w:szCs w:val="21"/>
                <w:highlight w:val="none"/>
              </w:rPr>
            </w:pPr>
          </w:p>
        </w:tc>
        <w:tc>
          <w:tcPr>
            <w:tcW w:w="880" w:type="dxa"/>
          </w:tcPr>
          <w:p w14:paraId="6816ADCE">
            <w:pPr>
              <w:spacing w:line="360" w:lineRule="auto"/>
              <w:rPr>
                <w:rFonts w:hint="eastAsia" w:ascii="宋体" w:hAnsi="宋体" w:eastAsia="宋体" w:cs="宋体"/>
                <w:szCs w:val="21"/>
                <w:highlight w:val="none"/>
              </w:rPr>
            </w:pPr>
          </w:p>
        </w:tc>
        <w:tc>
          <w:tcPr>
            <w:tcW w:w="844" w:type="dxa"/>
          </w:tcPr>
          <w:p w14:paraId="5FDECAD3">
            <w:pPr>
              <w:spacing w:line="360" w:lineRule="auto"/>
              <w:rPr>
                <w:rFonts w:hint="eastAsia" w:ascii="宋体" w:hAnsi="宋体" w:eastAsia="宋体" w:cs="宋体"/>
                <w:szCs w:val="21"/>
                <w:highlight w:val="none"/>
              </w:rPr>
            </w:pPr>
          </w:p>
        </w:tc>
      </w:tr>
    </w:tbl>
    <w:p w14:paraId="6D6DF5C0">
      <w:pPr>
        <w:rPr>
          <w:rFonts w:hint="eastAsia" w:ascii="宋体" w:hAnsi="宋体" w:eastAsia="宋体" w:cs="宋体"/>
          <w:szCs w:val="21"/>
          <w:highlight w:val="none"/>
        </w:rPr>
      </w:pPr>
    </w:p>
    <w:p w14:paraId="3A556F61">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注：</w:t>
      </w:r>
    </w:p>
    <w:p w14:paraId="15A91359">
      <w:pPr>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1.响应文件中须提供业绩列表及相对应的业绩证明材料，业绩证明材料为中标/成交通知书或合同（合同首页、标的及金额所在页及合同签字盖章页的复印件/扫描件）。无证明材料或证明材料不明确、无法体现业绩内容的，不予认可</w:t>
      </w:r>
      <w:r>
        <w:rPr>
          <w:rFonts w:hint="eastAsia" w:ascii="宋体" w:hAnsi="宋体" w:eastAsia="宋体" w:cs="宋体"/>
          <w:bCs/>
          <w:szCs w:val="21"/>
          <w:highlight w:val="none"/>
        </w:rPr>
        <w:t>。</w:t>
      </w:r>
    </w:p>
    <w:p w14:paraId="277E9644">
      <w:pPr>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2.供应商可根据实际情况拓展本表。</w:t>
      </w:r>
    </w:p>
    <w:p w14:paraId="10E5F6C0">
      <w:pPr>
        <w:pStyle w:val="11"/>
        <w:rPr>
          <w:rFonts w:hint="eastAsia" w:ascii="宋体" w:hAnsi="宋体" w:eastAsia="宋体" w:cs="宋体"/>
          <w:highlight w:val="none"/>
          <w:lang w:val="en-US" w:eastAsia="zh-CN"/>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4BBA46D4">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格式</w:t>
      </w:r>
      <w:r>
        <w:rPr>
          <w:rFonts w:hint="eastAsia" w:ascii="宋体" w:hAnsi="宋体" w:eastAsia="宋体" w:cs="宋体"/>
          <w:b/>
          <w:sz w:val="28"/>
          <w:szCs w:val="28"/>
          <w:highlight w:val="none"/>
          <w:lang w:val="en-US" w:eastAsia="zh-CN"/>
        </w:rPr>
        <w:t>4</w:t>
      </w:r>
      <w:r>
        <w:rPr>
          <w:rFonts w:hint="eastAsia" w:ascii="宋体" w:hAnsi="宋体" w:eastAsia="宋体" w:cs="宋体"/>
          <w:b/>
          <w:sz w:val="28"/>
          <w:szCs w:val="28"/>
          <w:highlight w:val="none"/>
        </w:rPr>
        <w:t>-3：</w:t>
      </w:r>
    </w:p>
    <w:p w14:paraId="03A164A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单一来源采购文件要求及供应商认为有必要提供的其它商务资料。</w:t>
      </w:r>
    </w:p>
    <w:p w14:paraId="26AC3492">
      <w:pPr>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br w:type="page"/>
      </w:r>
    </w:p>
    <w:p w14:paraId="6F83C20F">
      <w:pPr>
        <w:spacing w:line="360" w:lineRule="auto"/>
        <w:rPr>
          <w:rFonts w:hint="eastAsia" w:ascii="宋体" w:hAnsi="宋体" w:eastAsia="宋体" w:cs="宋体"/>
          <w:b w:val="0"/>
          <w:bCs w:val="0"/>
          <w:sz w:val="28"/>
          <w:szCs w:val="28"/>
          <w:highlight w:val="none"/>
        </w:rPr>
      </w:pPr>
      <w:bookmarkStart w:id="474" w:name="_Toc14586"/>
      <w:r>
        <w:rPr>
          <w:rFonts w:hint="eastAsia" w:ascii="宋体" w:hAnsi="宋体" w:eastAsia="宋体" w:cs="宋体"/>
          <w:b/>
          <w:sz w:val="28"/>
          <w:szCs w:val="28"/>
          <w:highlight w:val="none"/>
          <w:lang w:val="en-US" w:eastAsia="zh-CN"/>
        </w:rPr>
        <w:t>格式5：</w:t>
      </w:r>
    </w:p>
    <w:p w14:paraId="3BC4CE51">
      <w:pPr>
        <w:keepNext w:val="0"/>
        <w:keepLines w:val="0"/>
        <w:pageBreakBefore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bCs/>
          <w:sz w:val="21"/>
          <w:szCs w:val="21"/>
          <w:highlight w:val="none"/>
        </w:rPr>
      </w:pPr>
      <w:r>
        <w:rPr>
          <w:rFonts w:hint="eastAsia" w:ascii="宋体" w:hAnsi="宋体" w:eastAsia="宋体" w:cs="宋体"/>
          <w:b w:val="0"/>
          <w:bCs w:val="0"/>
          <w:sz w:val="28"/>
          <w:szCs w:val="28"/>
          <w:highlight w:val="none"/>
        </w:rPr>
        <w:t>▲</w:t>
      </w:r>
      <w:r>
        <w:rPr>
          <w:rFonts w:hint="eastAsia" w:ascii="宋体" w:hAnsi="宋体" w:eastAsia="宋体" w:cs="宋体"/>
          <w:b w:val="0"/>
          <w:bCs w:val="0"/>
          <w:sz w:val="28"/>
          <w:szCs w:val="28"/>
          <w:highlight w:val="none"/>
          <w:lang w:val="en-US" w:eastAsia="zh-CN"/>
        </w:rPr>
        <w:t>采购</w:t>
      </w:r>
      <w:r>
        <w:rPr>
          <w:rFonts w:hint="eastAsia" w:ascii="宋体" w:hAnsi="宋体" w:eastAsia="宋体" w:cs="宋体"/>
          <w:b w:val="0"/>
          <w:bCs w:val="0"/>
          <w:sz w:val="28"/>
          <w:szCs w:val="28"/>
          <w:highlight w:val="none"/>
        </w:rPr>
        <w:t>申请函</w:t>
      </w:r>
      <w:bookmarkEnd w:id="474"/>
    </w:p>
    <w:p w14:paraId="79F0932F">
      <w:pPr>
        <w:pStyle w:val="18"/>
        <w:spacing w:line="312" w:lineRule="auto"/>
        <w:rPr>
          <w:rFonts w:hint="eastAsia" w:ascii="宋体" w:hAnsi="宋体" w:eastAsia="宋体" w:cs="宋体"/>
          <w:szCs w:val="21"/>
          <w:highlight w:val="none"/>
        </w:rPr>
      </w:pPr>
      <w:bookmarkStart w:id="475" w:name="OLE_LINK213"/>
      <w:r>
        <w:rPr>
          <w:rFonts w:hint="eastAsia" w:ascii="宋体" w:hAnsi="宋体" w:eastAsia="宋体" w:cs="宋体"/>
          <w:szCs w:val="21"/>
          <w:highlight w:val="none"/>
        </w:rPr>
        <w:t>致：</w:t>
      </w:r>
      <w:r>
        <w:rPr>
          <w:rFonts w:hint="eastAsia" w:ascii="宋体" w:hAnsi="宋体" w:eastAsia="宋体" w:cs="宋体"/>
          <w:szCs w:val="21"/>
          <w:highlight w:val="none"/>
          <w:u w:val="single"/>
        </w:rPr>
        <w:t>（采购人名称）</w:t>
      </w:r>
    </w:p>
    <w:p w14:paraId="14B15F58">
      <w:pPr>
        <w:pStyle w:val="18"/>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Cs w:val="21"/>
          <w:highlight w:val="none"/>
        </w:rPr>
      </w:pPr>
      <w:r>
        <w:rPr>
          <w:rFonts w:hint="eastAsia" w:ascii="宋体" w:hAnsi="宋体" w:eastAsia="宋体" w:cs="宋体"/>
          <w:szCs w:val="21"/>
          <w:highlight w:val="none"/>
        </w:rPr>
        <w:t>我方仔细研究了</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w:t>
      </w:r>
      <w:bookmarkStart w:id="476" w:name="OLE_LINK108"/>
      <w:r>
        <w:rPr>
          <w:rFonts w:hint="eastAsia" w:ascii="宋体" w:hAnsi="宋体" w:eastAsia="宋体" w:cs="宋体"/>
          <w:szCs w:val="21"/>
          <w:highlight w:val="none"/>
          <w:u w:val="single"/>
        </w:rPr>
        <w:t>采购</w:t>
      </w:r>
      <w:bookmarkEnd w:id="476"/>
      <w:r>
        <w:rPr>
          <w:rFonts w:hint="eastAsia" w:ascii="宋体" w:hAnsi="宋体" w:eastAsia="宋体" w:cs="宋体"/>
          <w:szCs w:val="21"/>
          <w:highlight w:val="none"/>
          <w:u w:val="single"/>
        </w:rPr>
        <w:t xml:space="preserve">项目名称）  </w:t>
      </w:r>
      <w:r>
        <w:rPr>
          <w:rFonts w:hint="eastAsia" w:ascii="宋体" w:hAnsi="宋体" w:eastAsia="宋体" w:cs="宋体"/>
          <w:szCs w:val="21"/>
          <w:highlight w:val="none"/>
        </w:rPr>
        <w:t>（项目编号：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w:t>
      </w:r>
      <w:bookmarkStart w:id="477" w:name="OLE_LINK98"/>
      <w:r>
        <w:rPr>
          <w:rFonts w:hint="eastAsia" w:ascii="宋体" w:hAnsi="宋体" w:eastAsia="宋体" w:cs="宋体"/>
          <w:szCs w:val="21"/>
          <w:highlight w:val="none"/>
          <w:lang w:val="en-US" w:eastAsia="zh-CN"/>
        </w:rPr>
        <w:t>单一来源采购</w:t>
      </w:r>
      <w:r>
        <w:rPr>
          <w:rFonts w:hint="eastAsia" w:ascii="宋体" w:hAnsi="宋体" w:eastAsia="宋体" w:cs="宋体"/>
          <w:szCs w:val="21"/>
          <w:highlight w:val="none"/>
        </w:rPr>
        <w:t>文件</w:t>
      </w:r>
      <w:bookmarkEnd w:id="477"/>
      <w:r>
        <w:rPr>
          <w:rFonts w:hint="eastAsia" w:ascii="宋体" w:hAnsi="宋体" w:eastAsia="宋体" w:cs="宋体"/>
          <w:szCs w:val="21"/>
          <w:highlight w:val="none"/>
        </w:rPr>
        <w:t>的全部内容，正式授权</w:t>
      </w:r>
      <w:r>
        <w:rPr>
          <w:rFonts w:hint="eastAsia" w:ascii="宋体" w:hAnsi="宋体" w:eastAsia="宋体" w:cs="宋体"/>
          <w:szCs w:val="21"/>
          <w:highlight w:val="none"/>
          <w:u w:val="single"/>
        </w:rPr>
        <w:t xml:space="preserve">   （姓名和职务）  </w:t>
      </w:r>
      <w:r>
        <w:rPr>
          <w:rFonts w:hint="eastAsia" w:ascii="宋体" w:hAnsi="宋体" w:eastAsia="宋体" w:cs="宋体"/>
          <w:szCs w:val="21"/>
          <w:highlight w:val="none"/>
        </w:rPr>
        <w:t>全权代表供应商</w:t>
      </w:r>
      <w:r>
        <w:rPr>
          <w:rFonts w:hint="eastAsia" w:ascii="宋体" w:hAnsi="宋体" w:eastAsia="宋体" w:cs="宋体"/>
          <w:szCs w:val="21"/>
          <w:highlight w:val="none"/>
          <w:u w:val="single"/>
        </w:rPr>
        <w:t xml:space="preserve">  （供应商全称）   </w:t>
      </w:r>
      <w:r>
        <w:rPr>
          <w:rFonts w:hint="eastAsia" w:ascii="宋体" w:hAnsi="宋体" w:eastAsia="宋体" w:cs="宋体"/>
          <w:szCs w:val="21"/>
          <w:highlight w:val="none"/>
        </w:rPr>
        <w:t>参加</w:t>
      </w:r>
      <w:r>
        <w:rPr>
          <w:rFonts w:hint="eastAsia" w:ascii="宋体" w:hAnsi="宋体" w:eastAsia="宋体" w:cs="宋体"/>
          <w:szCs w:val="21"/>
          <w:highlight w:val="none"/>
          <w:lang w:val="en-US" w:eastAsia="zh-CN"/>
        </w:rPr>
        <w:t>协商</w:t>
      </w:r>
      <w:r>
        <w:rPr>
          <w:rFonts w:hint="eastAsia" w:ascii="宋体" w:hAnsi="宋体" w:eastAsia="宋体" w:cs="宋体"/>
          <w:szCs w:val="21"/>
          <w:highlight w:val="none"/>
        </w:rPr>
        <w:t>，并提交响应文件。</w:t>
      </w:r>
    </w:p>
    <w:p w14:paraId="32926552">
      <w:pPr>
        <w:pStyle w:val="18"/>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rPr>
        <w:t>据</w:t>
      </w:r>
      <w:r>
        <w:rPr>
          <w:rFonts w:hint="eastAsia" w:ascii="宋体" w:hAnsi="宋体" w:eastAsia="宋体" w:cs="宋体"/>
          <w:color w:val="auto"/>
          <w:szCs w:val="21"/>
          <w:highlight w:val="none"/>
        </w:rPr>
        <w:t>此函，</w:t>
      </w:r>
      <w:r>
        <w:rPr>
          <w:rFonts w:hint="eastAsia" w:ascii="宋体" w:hAnsi="宋体" w:eastAsia="宋体" w:cs="宋体"/>
          <w:color w:val="auto"/>
          <w:szCs w:val="21"/>
          <w:highlight w:val="none"/>
          <w:lang w:val="en-US" w:eastAsia="zh-CN"/>
        </w:rPr>
        <w:t>我方</w:t>
      </w:r>
      <w:r>
        <w:rPr>
          <w:rFonts w:hint="eastAsia" w:ascii="宋体" w:hAnsi="宋体" w:eastAsia="宋体" w:cs="宋体"/>
          <w:color w:val="auto"/>
          <w:szCs w:val="21"/>
          <w:highlight w:val="none"/>
        </w:rPr>
        <w:t>兹宣</w:t>
      </w:r>
      <w:r>
        <w:rPr>
          <w:rFonts w:hint="eastAsia" w:ascii="宋体" w:hAnsi="宋体" w:eastAsia="宋体" w:cs="宋体"/>
          <w:szCs w:val="21"/>
          <w:highlight w:val="none"/>
        </w:rPr>
        <w:t>布同意如下：</w:t>
      </w:r>
    </w:p>
    <w:p w14:paraId="1BBC78B9">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1、按单一来源采购文件及采购需求，以响应文件承诺的报价实施和完成本项目。</w:t>
      </w:r>
    </w:p>
    <w:p w14:paraId="0A5FADF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lang w:val="en-US" w:eastAsia="zh-CN"/>
        </w:rPr>
      </w:pPr>
      <w:bookmarkStart w:id="478" w:name="OLE_LINK110"/>
      <w:r>
        <w:rPr>
          <w:rFonts w:hint="eastAsia" w:ascii="宋体" w:hAnsi="宋体" w:eastAsia="宋体" w:cs="宋体"/>
          <w:szCs w:val="21"/>
          <w:highlight w:val="none"/>
          <w:lang w:val="en-US" w:eastAsia="zh-CN"/>
        </w:rPr>
        <w:t>2、</w:t>
      </w:r>
      <w:bookmarkStart w:id="479" w:name="OLE_LINK215"/>
      <w:r>
        <w:rPr>
          <w:rFonts w:hint="eastAsia" w:ascii="宋体" w:hAnsi="宋体" w:eastAsia="宋体" w:cs="宋体"/>
          <w:szCs w:val="21"/>
          <w:highlight w:val="none"/>
          <w:lang w:val="en-US" w:eastAsia="zh-CN"/>
        </w:rPr>
        <w:t>我方同意在</w:t>
      </w:r>
      <w:bookmarkStart w:id="480" w:name="OLE_LINK214"/>
      <w:r>
        <w:rPr>
          <w:rFonts w:hint="eastAsia" w:ascii="宋体" w:hAnsi="宋体" w:eastAsia="宋体" w:cs="宋体"/>
          <w:szCs w:val="21"/>
          <w:highlight w:val="none"/>
          <w:lang w:val="en-US" w:eastAsia="zh-CN"/>
        </w:rPr>
        <w:t>供应商</w:t>
      </w:r>
      <w:bookmarkEnd w:id="480"/>
      <w:r>
        <w:rPr>
          <w:rFonts w:hint="eastAsia" w:ascii="宋体" w:hAnsi="宋体" w:eastAsia="宋体" w:cs="宋体"/>
          <w:szCs w:val="21"/>
          <w:highlight w:val="none"/>
          <w:lang w:val="en-US" w:eastAsia="zh-CN"/>
        </w:rPr>
        <w:t>须知规定的开启日期起遵循本响应文件，并在供应商须知前附表规定的响应文件有效期满之前均具有约束力</w:t>
      </w:r>
      <w:bookmarkEnd w:id="479"/>
      <w:r>
        <w:rPr>
          <w:rFonts w:hint="eastAsia" w:ascii="宋体" w:hAnsi="宋体" w:eastAsia="宋体" w:cs="宋体"/>
          <w:szCs w:val="21"/>
          <w:highlight w:val="none"/>
          <w:lang w:val="en-US" w:eastAsia="zh-CN"/>
        </w:rPr>
        <w:t>。</w:t>
      </w:r>
    </w:p>
    <w:p w14:paraId="7BC5288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、我方承诺已经具备《中华人民共和国政府采购法》中规定的参加政府采购活动的</w:t>
      </w:r>
      <w:r>
        <w:rPr>
          <w:rFonts w:hint="eastAsia" w:ascii="宋体" w:hAnsi="宋体" w:eastAsia="宋体" w:cs="宋体"/>
          <w:szCs w:val="21"/>
          <w:highlight w:val="none"/>
          <w:lang w:val="en-US" w:eastAsia="zh-CN"/>
        </w:rPr>
        <w:t>供应商</w:t>
      </w:r>
      <w:r>
        <w:rPr>
          <w:rFonts w:hint="eastAsia" w:ascii="宋体" w:hAnsi="宋体" w:eastAsia="宋体" w:cs="宋体"/>
          <w:szCs w:val="21"/>
          <w:highlight w:val="none"/>
        </w:rPr>
        <w:t>应当具备的条件。</w:t>
      </w:r>
    </w:p>
    <w:p w14:paraId="2FFDEA4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、如我方</w:t>
      </w:r>
      <w:r>
        <w:rPr>
          <w:rFonts w:hint="eastAsia" w:ascii="宋体" w:hAnsi="宋体" w:eastAsia="宋体" w:cs="宋体"/>
          <w:szCs w:val="21"/>
          <w:highlight w:val="none"/>
          <w:lang w:val="en-US" w:eastAsia="zh-CN"/>
        </w:rPr>
        <w:t>响应</w:t>
      </w:r>
      <w:r>
        <w:rPr>
          <w:rFonts w:hint="eastAsia" w:ascii="宋体" w:hAnsi="宋体" w:eastAsia="宋体" w:cs="宋体"/>
          <w:szCs w:val="21"/>
          <w:highlight w:val="none"/>
        </w:rPr>
        <w:t>被接受，将保证忠实地执行买卖双方所</w:t>
      </w:r>
      <w:r>
        <w:rPr>
          <w:rFonts w:hint="eastAsia" w:ascii="宋体" w:hAnsi="宋体" w:eastAsia="宋体" w:cs="宋体"/>
          <w:szCs w:val="21"/>
          <w:highlight w:val="none"/>
          <w:lang w:val="en-US" w:eastAsia="zh-CN"/>
        </w:rPr>
        <w:t>签</w:t>
      </w:r>
      <w:r>
        <w:rPr>
          <w:rFonts w:hint="eastAsia" w:ascii="宋体" w:hAnsi="宋体" w:eastAsia="宋体" w:cs="宋体"/>
          <w:highlight w:val="none"/>
          <w:lang w:val="en-US" w:eastAsia="zh-CN"/>
        </w:rPr>
        <w:t>政府采购合同</w:t>
      </w:r>
      <w:r>
        <w:rPr>
          <w:rFonts w:hint="eastAsia" w:ascii="宋体" w:hAnsi="宋体" w:eastAsia="宋体" w:cs="宋体"/>
          <w:szCs w:val="21"/>
          <w:highlight w:val="none"/>
        </w:rPr>
        <w:t>，在承诺的期限内完成</w:t>
      </w:r>
      <w:r>
        <w:rPr>
          <w:rFonts w:hint="eastAsia" w:ascii="宋体" w:hAnsi="宋体" w:eastAsia="宋体" w:cs="宋体"/>
          <w:szCs w:val="21"/>
          <w:highlight w:val="none"/>
          <w:lang w:val="en-US" w:eastAsia="zh-CN"/>
        </w:rPr>
        <w:t>服务</w:t>
      </w:r>
      <w:r>
        <w:rPr>
          <w:rFonts w:hint="eastAsia" w:ascii="宋体" w:hAnsi="宋体" w:eastAsia="宋体" w:cs="宋体"/>
          <w:szCs w:val="21"/>
          <w:highlight w:val="none"/>
        </w:rPr>
        <w:t>（或交付使用），并承担合同规定的责任义务。</w:t>
      </w:r>
    </w:p>
    <w:p w14:paraId="67BFC4D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、如果在</w:t>
      </w:r>
      <w:r>
        <w:rPr>
          <w:rFonts w:hint="eastAsia" w:ascii="宋体" w:hAnsi="宋体" w:eastAsia="宋体" w:cs="宋体"/>
          <w:szCs w:val="21"/>
          <w:highlight w:val="none"/>
          <w:lang w:val="en-US" w:eastAsia="zh-CN"/>
        </w:rPr>
        <w:t>单一来源采购</w:t>
      </w:r>
      <w:r>
        <w:rPr>
          <w:rFonts w:hint="eastAsia" w:ascii="宋体" w:hAnsi="宋体" w:eastAsia="宋体" w:cs="宋体"/>
          <w:szCs w:val="21"/>
          <w:highlight w:val="none"/>
        </w:rPr>
        <w:t>文件有效期内撤回</w:t>
      </w:r>
      <w:r>
        <w:rPr>
          <w:rFonts w:hint="eastAsia" w:ascii="宋体" w:hAnsi="宋体" w:eastAsia="宋体" w:cs="宋体"/>
          <w:szCs w:val="21"/>
          <w:highlight w:val="none"/>
          <w:lang w:val="en-US" w:eastAsia="zh-CN"/>
        </w:rPr>
        <w:t>响应</w:t>
      </w:r>
      <w:r>
        <w:rPr>
          <w:rFonts w:hint="eastAsia" w:ascii="宋体" w:hAnsi="宋体" w:eastAsia="宋体" w:cs="宋体"/>
          <w:szCs w:val="21"/>
          <w:highlight w:val="none"/>
        </w:rPr>
        <w:t>或者有其他违约行为，我方的保证金可被贵方全部或部分没收。</w:t>
      </w:r>
    </w:p>
    <w:p w14:paraId="40F1FA3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、同意应贵方要求提供与本</w:t>
      </w:r>
      <w:r>
        <w:rPr>
          <w:rFonts w:hint="eastAsia" w:ascii="宋体" w:hAnsi="宋体" w:eastAsia="宋体" w:cs="宋体"/>
          <w:szCs w:val="21"/>
          <w:highlight w:val="none"/>
          <w:lang w:val="en-US" w:eastAsia="zh-CN"/>
        </w:rPr>
        <w:t>采购</w:t>
      </w:r>
      <w:r>
        <w:rPr>
          <w:rFonts w:hint="eastAsia" w:ascii="宋体" w:hAnsi="宋体" w:eastAsia="宋体" w:cs="宋体"/>
          <w:szCs w:val="21"/>
          <w:highlight w:val="none"/>
        </w:rPr>
        <w:t>有关的任何数据或资料。</w:t>
      </w:r>
    </w:p>
    <w:p w14:paraId="6C867E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、若贵方需要，我方愿意提供我方</w:t>
      </w:r>
      <w:r>
        <w:rPr>
          <w:rFonts w:hint="eastAsia" w:ascii="宋体" w:hAnsi="宋体" w:eastAsia="宋体" w:cs="宋体"/>
          <w:szCs w:val="21"/>
          <w:highlight w:val="none"/>
          <w:lang w:eastAsia="zh-CN"/>
        </w:rPr>
        <w:t>做出</w:t>
      </w:r>
      <w:r>
        <w:rPr>
          <w:rFonts w:hint="eastAsia" w:ascii="宋体" w:hAnsi="宋体" w:eastAsia="宋体" w:cs="宋体"/>
          <w:szCs w:val="21"/>
          <w:highlight w:val="none"/>
        </w:rPr>
        <w:t>的一切承诺的证明材料。</w:t>
      </w:r>
    </w:p>
    <w:p w14:paraId="320CF36A">
      <w:pPr>
        <w:pStyle w:val="18"/>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rPr>
        <w:t>与本</w:t>
      </w:r>
      <w:r>
        <w:rPr>
          <w:rFonts w:hint="eastAsia" w:ascii="宋体" w:hAnsi="宋体" w:eastAsia="宋体" w:cs="宋体"/>
          <w:szCs w:val="21"/>
          <w:highlight w:val="none"/>
          <w:lang w:eastAsia="zh-CN"/>
        </w:rPr>
        <w:t>响应</w:t>
      </w:r>
      <w:r>
        <w:rPr>
          <w:rFonts w:hint="eastAsia" w:ascii="宋体" w:hAnsi="宋体" w:eastAsia="宋体" w:cs="宋体"/>
          <w:szCs w:val="21"/>
          <w:highlight w:val="none"/>
        </w:rPr>
        <w:t>有关的正式通讯地址为：</w:t>
      </w:r>
      <w:bookmarkEnd w:id="478"/>
    </w:p>
    <w:p w14:paraId="05906FA3">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rPr>
        <w:t>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邮政编码：</w:t>
      </w:r>
      <w:r>
        <w:rPr>
          <w:rFonts w:hint="eastAsia" w:ascii="宋体" w:hAnsi="宋体" w:eastAsia="宋体" w:cs="宋体"/>
          <w:szCs w:val="21"/>
          <w:highlight w:val="none"/>
          <w:u w:val="single"/>
        </w:rPr>
        <w:t xml:space="preserve">             </w:t>
      </w:r>
    </w:p>
    <w:p w14:paraId="6AF4D863">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电话：</w:t>
      </w:r>
      <w:r>
        <w:rPr>
          <w:rFonts w:hint="eastAsia" w:ascii="宋体" w:hAnsi="宋体" w:eastAsia="宋体" w:cs="宋体"/>
          <w:szCs w:val="21"/>
          <w:highlight w:val="none"/>
          <w:u w:val="single"/>
        </w:rPr>
        <w:t xml:space="preserve">                  </w:t>
      </w:r>
      <w:bookmarkEnd w:id="475"/>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传真：</w:t>
      </w:r>
      <w:r>
        <w:rPr>
          <w:rFonts w:hint="eastAsia" w:ascii="宋体" w:hAnsi="宋体" w:eastAsia="宋体" w:cs="宋体"/>
          <w:szCs w:val="21"/>
          <w:highlight w:val="none"/>
          <w:u w:val="single"/>
        </w:rPr>
        <w:t>　　　　　　　　　</w:t>
      </w:r>
    </w:p>
    <w:p w14:paraId="5970C615">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开户名称：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开户银行：</w:t>
      </w:r>
      <w:r>
        <w:rPr>
          <w:rFonts w:hint="eastAsia" w:ascii="宋体" w:hAnsi="宋体" w:eastAsia="宋体" w:cs="宋体"/>
          <w:szCs w:val="21"/>
          <w:highlight w:val="none"/>
          <w:u w:val="single"/>
        </w:rPr>
        <w:t xml:space="preserve">                    </w:t>
      </w:r>
    </w:p>
    <w:p w14:paraId="6FCDB0C7">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rPr>
      </w:pPr>
      <w:r>
        <w:rPr>
          <w:rFonts w:hint="eastAsia" w:ascii="宋体" w:hAnsi="宋体" w:eastAsia="宋体" w:cs="宋体"/>
          <w:szCs w:val="21"/>
          <w:highlight w:val="none"/>
        </w:rPr>
        <w:t>账    号：</w:t>
      </w:r>
      <w:r>
        <w:rPr>
          <w:rFonts w:hint="eastAsia" w:ascii="宋体" w:hAnsi="宋体" w:eastAsia="宋体" w:cs="宋体"/>
          <w:szCs w:val="21"/>
          <w:highlight w:val="none"/>
          <w:u w:val="single"/>
        </w:rPr>
        <w:t xml:space="preserve">                       </w:t>
      </w:r>
    </w:p>
    <w:p w14:paraId="1034F8CD">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highlight w:val="none"/>
          <w:lang w:val="en-US" w:eastAsia="zh-CN"/>
        </w:rPr>
      </w:pPr>
    </w:p>
    <w:p w14:paraId="198EE7E0">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szCs w:val="21"/>
          <w:highlight w:val="none"/>
          <w:lang w:val="en-US" w:eastAsia="zh-CN"/>
        </w:rPr>
      </w:pPr>
    </w:p>
    <w:p w14:paraId="52CE8166">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供应商</w:t>
      </w:r>
      <w:r>
        <w:rPr>
          <w:rFonts w:hint="eastAsia" w:ascii="宋体" w:hAnsi="宋体" w:eastAsia="宋体" w:cs="宋体"/>
          <w:b/>
          <w:bCs/>
          <w:szCs w:val="21"/>
          <w:highlight w:val="none"/>
        </w:rPr>
        <w:t>：（</w:t>
      </w:r>
      <w:r>
        <w:rPr>
          <w:rFonts w:hint="eastAsia" w:ascii="宋体" w:hAnsi="宋体" w:eastAsia="宋体" w:cs="宋体"/>
          <w:b/>
          <w:bCs/>
          <w:szCs w:val="21"/>
          <w:highlight w:val="none"/>
          <w:lang w:val="en-US" w:eastAsia="zh-CN"/>
        </w:rPr>
        <w:t>盖章</w:t>
      </w:r>
      <w:r>
        <w:rPr>
          <w:rFonts w:hint="eastAsia" w:ascii="宋体" w:hAnsi="宋体" w:eastAsia="宋体" w:cs="宋体"/>
          <w:b/>
          <w:bCs/>
          <w:szCs w:val="21"/>
          <w:highlight w:val="none"/>
        </w:rPr>
        <w:t>）</w:t>
      </w:r>
    </w:p>
    <w:p w14:paraId="5A4EE274">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szCs w:val="21"/>
          <w:highlight w:val="none"/>
          <w:u w:val="single"/>
        </w:rPr>
      </w:pPr>
      <w:r>
        <w:rPr>
          <w:rFonts w:hint="eastAsia" w:ascii="宋体" w:hAnsi="宋体" w:eastAsia="宋体" w:cs="宋体"/>
          <w:b/>
          <w:bCs/>
          <w:szCs w:val="21"/>
          <w:highlight w:val="none"/>
        </w:rPr>
        <w:t>法定代表人</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单位负责人</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或委托代理人</w:t>
      </w:r>
      <w:r>
        <w:rPr>
          <w:rFonts w:hint="eastAsia" w:ascii="宋体" w:hAnsi="宋体" w:eastAsia="宋体" w:cs="宋体"/>
          <w:b/>
          <w:bCs/>
          <w:szCs w:val="21"/>
          <w:highlight w:val="none"/>
        </w:rPr>
        <w:t>：（签名或签章）</w:t>
      </w:r>
    </w:p>
    <w:p w14:paraId="2C6432A2">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hint="eastAsia" w:ascii="宋体" w:hAnsi="宋体" w:eastAsia="宋体" w:cs="宋体"/>
          <w:b/>
          <w:bCs/>
          <w:szCs w:val="21"/>
          <w:highlight w:val="none"/>
          <w:u w:val="none"/>
          <w:lang w:val="en-US" w:eastAsia="zh-CN"/>
        </w:rPr>
      </w:pPr>
      <w:r>
        <w:rPr>
          <w:rFonts w:hint="eastAsia" w:ascii="宋体" w:hAnsi="宋体" w:eastAsia="宋体" w:cs="宋体"/>
          <w:b/>
          <w:bCs/>
          <w:szCs w:val="21"/>
          <w:highlight w:val="none"/>
        </w:rPr>
        <w:t>日</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期：</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u w:val="none"/>
          <w:lang w:val="en-US" w:eastAsia="zh-CN"/>
        </w:rPr>
        <w:t>年</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u w:val="none"/>
          <w:lang w:val="en-US" w:eastAsia="zh-CN"/>
        </w:rPr>
        <w:t>月</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u w:val="none"/>
          <w:lang w:val="en-US" w:eastAsia="zh-CN"/>
        </w:rPr>
        <w:t>日</w:t>
      </w:r>
    </w:p>
    <w:p w14:paraId="7E7A861B">
      <w:pPr>
        <w:rPr>
          <w:rFonts w:hint="eastAsia" w:ascii="宋体" w:hAnsi="宋体" w:eastAsia="宋体" w:cs="宋体"/>
          <w:b/>
          <w:bCs/>
          <w:szCs w:val="21"/>
          <w:highlight w:val="none"/>
          <w:u w:val="none"/>
          <w:lang w:val="en-US" w:eastAsia="zh-CN"/>
        </w:rPr>
      </w:pPr>
      <w:r>
        <w:rPr>
          <w:rFonts w:hint="eastAsia" w:ascii="宋体" w:hAnsi="宋体" w:eastAsia="宋体" w:cs="宋体"/>
          <w:b/>
          <w:bCs/>
          <w:szCs w:val="21"/>
          <w:highlight w:val="none"/>
          <w:u w:val="none"/>
          <w:lang w:val="en-US" w:eastAsia="zh-CN"/>
        </w:rPr>
        <w:br w:type="page"/>
      </w:r>
    </w:p>
    <w:bookmarkEnd w:id="445"/>
    <w:bookmarkEnd w:id="446"/>
    <w:bookmarkEnd w:id="447"/>
    <w:bookmarkEnd w:id="448"/>
    <w:bookmarkEnd w:id="449"/>
    <w:bookmarkEnd w:id="450"/>
    <w:bookmarkEnd w:id="451"/>
    <w:bookmarkEnd w:id="452"/>
    <w:bookmarkEnd w:id="457"/>
    <w:bookmarkEnd w:id="458"/>
    <w:bookmarkEnd w:id="459"/>
    <w:p w14:paraId="749AE3C7">
      <w:pPr>
        <w:spacing w:line="360" w:lineRule="auto"/>
        <w:rPr>
          <w:rFonts w:hint="eastAsia" w:ascii="宋体" w:hAnsi="宋体" w:eastAsia="宋体" w:cs="宋体"/>
          <w:b w:val="0"/>
          <w:bCs w:val="0"/>
          <w:sz w:val="28"/>
          <w:szCs w:val="28"/>
          <w:highlight w:val="none"/>
        </w:rPr>
      </w:pPr>
      <w:bookmarkStart w:id="481" w:name="OLE_LINK285"/>
      <w:r>
        <w:rPr>
          <w:rFonts w:hint="eastAsia" w:ascii="宋体" w:hAnsi="宋体" w:eastAsia="宋体" w:cs="宋体"/>
          <w:b/>
          <w:sz w:val="28"/>
          <w:szCs w:val="28"/>
          <w:highlight w:val="none"/>
          <w:lang w:val="en-US" w:eastAsia="zh-CN"/>
        </w:rPr>
        <w:t>格式6：</w:t>
      </w:r>
    </w:p>
    <w:p w14:paraId="1D14B5E3">
      <w:pPr>
        <w:keepNext w:val="0"/>
        <w:keepLines w:val="0"/>
        <w:spacing w:before="0" w:beforeLines="0" w:after="0" w:afterLines="0" w:line="360" w:lineRule="auto"/>
        <w:ind w:left="0"/>
        <w:jc w:val="center"/>
        <w:outlineLvl w:val="2"/>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▲法定代表人</w:t>
      </w:r>
      <w:r>
        <w:rPr>
          <w:rFonts w:hint="eastAsia" w:ascii="宋体" w:hAnsi="宋体" w:eastAsia="宋体" w:cs="宋体"/>
          <w:b w:val="0"/>
          <w:bCs w:val="0"/>
          <w:sz w:val="28"/>
          <w:szCs w:val="28"/>
          <w:highlight w:val="none"/>
          <w:lang w:eastAsia="zh-CN"/>
        </w:rPr>
        <w:t>（</w:t>
      </w:r>
      <w:r>
        <w:rPr>
          <w:rFonts w:hint="eastAsia" w:ascii="宋体" w:hAnsi="宋体" w:eastAsia="宋体" w:cs="宋体"/>
          <w:b w:val="0"/>
          <w:bCs w:val="0"/>
          <w:sz w:val="28"/>
          <w:szCs w:val="28"/>
          <w:highlight w:val="none"/>
          <w:lang w:val="en-US" w:eastAsia="zh-CN"/>
        </w:rPr>
        <w:t>单位负责人</w:t>
      </w:r>
      <w:r>
        <w:rPr>
          <w:rFonts w:hint="eastAsia" w:ascii="宋体" w:hAnsi="宋体" w:eastAsia="宋体" w:cs="宋体"/>
          <w:b w:val="0"/>
          <w:bCs w:val="0"/>
          <w:sz w:val="28"/>
          <w:szCs w:val="28"/>
          <w:highlight w:val="none"/>
          <w:lang w:eastAsia="zh-CN"/>
        </w:rPr>
        <w:t>）</w:t>
      </w:r>
      <w:r>
        <w:rPr>
          <w:rFonts w:hint="eastAsia" w:ascii="宋体" w:hAnsi="宋体" w:eastAsia="宋体" w:cs="宋体"/>
          <w:b w:val="0"/>
          <w:bCs w:val="0"/>
          <w:sz w:val="28"/>
          <w:szCs w:val="28"/>
          <w:highlight w:val="none"/>
        </w:rPr>
        <w:t>身份证明书</w:t>
      </w:r>
    </w:p>
    <w:p w14:paraId="22FE1A91">
      <w:pPr>
        <w:spacing w:line="480" w:lineRule="auto"/>
        <w:rPr>
          <w:rFonts w:hint="eastAsia" w:ascii="宋体" w:hAnsi="宋体" w:eastAsia="宋体" w:cs="宋体"/>
          <w:szCs w:val="21"/>
          <w:highlight w:val="none"/>
        </w:rPr>
      </w:pPr>
    </w:p>
    <w:p w14:paraId="64DD97D7">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t>供应商名称：</w:t>
      </w:r>
      <w:r>
        <w:rPr>
          <w:rFonts w:hint="eastAsia" w:ascii="宋体" w:hAnsi="宋体" w:eastAsia="宋体" w:cs="宋体"/>
          <w:szCs w:val="21"/>
          <w:highlight w:val="none"/>
          <w:u w:val="single"/>
        </w:rPr>
        <w:t xml:space="preserve">                        </w:t>
      </w:r>
    </w:p>
    <w:p w14:paraId="0D769780">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t>单位性质：</w:t>
      </w:r>
      <w:r>
        <w:rPr>
          <w:rFonts w:hint="eastAsia" w:ascii="宋体" w:hAnsi="宋体" w:eastAsia="宋体" w:cs="宋体"/>
          <w:szCs w:val="21"/>
          <w:highlight w:val="none"/>
          <w:u w:val="single"/>
        </w:rPr>
        <w:t xml:space="preserve">                          </w:t>
      </w:r>
    </w:p>
    <w:p w14:paraId="011E7140">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t>成立时间：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2A1BD18C">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t>经营期限：</w:t>
      </w:r>
      <w:r>
        <w:rPr>
          <w:rFonts w:hint="eastAsia" w:ascii="宋体" w:hAnsi="宋体" w:eastAsia="宋体" w:cs="宋体"/>
          <w:szCs w:val="21"/>
          <w:highlight w:val="none"/>
          <w:u w:val="single"/>
        </w:rPr>
        <w:t xml:space="preserve">                          </w:t>
      </w:r>
    </w:p>
    <w:p w14:paraId="74B45DDB">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t>姓名：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性别：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职务：</w:t>
      </w:r>
      <w:r>
        <w:rPr>
          <w:rFonts w:hint="eastAsia" w:ascii="宋体" w:hAnsi="宋体" w:eastAsia="宋体" w:cs="宋体"/>
          <w:szCs w:val="21"/>
          <w:highlight w:val="none"/>
          <w:u w:val="single"/>
        </w:rPr>
        <w:t xml:space="preserve">            </w:t>
      </w:r>
    </w:p>
    <w:p w14:paraId="79950E68">
      <w:pPr>
        <w:spacing w:line="480" w:lineRule="auto"/>
        <w:rPr>
          <w:rFonts w:hint="eastAsia" w:ascii="宋体" w:hAnsi="宋体" w:eastAsia="宋体" w:cs="宋体"/>
          <w:szCs w:val="21"/>
          <w:highlight w:val="none"/>
        </w:rPr>
      </w:pPr>
      <w:r>
        <w:rPr>
          <w:rFonts w:hint="eastAsia" w:ascii="宋体" w:hAnsi="宋体" w:eastAsia="宋体" w:cs="宋体"/>
          <w:szCs w:val="21"/>
          <w:highlight w:val="none"/>
        </w:rPr>
        <w:t>系</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（供应商名称）的法定代表人。</w:t>
      </w:r>
    </w:p>
    <w:p w14:paraId="258DEA0C">
      <w:pPr>
        <w:spacing w:line="360" w:lineRule="auto"/>
        <w:rPr>
          <w:rFonts w:hint="eastAsia" w:ascii="宋体" w:hAnsi="宋体" w:eastAsia="宋体" w:cs="宋体"/>
          <w:szCs w:val="21"/>
          <w:highlight w:val="none"/>
        </w:rPr>
      </w:pPr>
    </w:p>
    <w:p w14:paraId="5805F3C6">
      <w:pPr>
        <w:spacing w:line="360" w:lineRule="auto"/>
        <w:ind w:firstLine="420" w:firstLineChars="200"/>
        <w:rPr>
          <w:rFonts w:hint="eastAsia" w:ascii="宋体" w:hAnsi="宋体" w:eastAsia="宋体" w:cs="宋体"/>
          <w:szCs w:val="21"/>
          <w:highlight w:val="none"/>
        </w:rPr>
      </w:pPr>
    </w:p>
    <w:p w14:paraId="00D711A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特此证明。</w:t>
      </w:r>
    </w:p>
    <w:p w14:paraId="0658D94C">
      <w:pPr>
        <w:spacing w:line="360" w:lineRule="auto"/>
        <w:rPr>
          <w:rFonts w:hint="eastAsia" w:ascii="宋体" w:hAnsi="宋体" w:eastAsia="宋体" w:cs="宋体"/>
          <w:szCs w:val="21"/>
          <w:highlight w:val="none"/>
        </w:rPr>
      </w:pPr>
    </w:p>
    <w:p w14:paraId="3CD000BE">
      <w:pPr>
        <w:spacing w:line="360" w:lineRule="auto"/>
        <w:jc w:val="left"/>
        <w:rPr>
          <w:rFonts w:hint="eastAsia" w:ascii="宋体" w:hAnsi="宋体" w:eastAsia="宋体" w:cs="宋体"/>
          <w:b/>
          <w:bCs/>
          <w:szCs w:val="21"/>
          <w:highlight w:val="none"/>
        </w:rPr>
      </w:pPr>
    </w:p>
    <w:p w14:paraId="3AA6C47F">
      <w:pPr>
        <w:spacing w:line="360" w:lineRule="auto"/>
        <w:jc w:val="left"/>
        <w:rPr>
          <w:rFonts w:hint="eastAsia" w:ascii="宋体" w:hAnsi="宋体" w:eastAsia="宋体" w:cs="宋体"/>
          <w:szCs w:val="21"/>
          <w:highlight w:val="none"/>
        </w:rPr>
      </w:pPr>
      <w:r>
        <w:rPr>
          <w:rFonts w:hint="eastAsia" w:ascii="宋体" w:hAnsi="宋体" w:eastAsia="宋体" w:cs="宋体"/>
          <w:b/>
          <w:bCs/>
          <w:szCs w:val="21"/>
          <w:highlight w:val="none"/>
        </w:rPr>
        <w:t>附</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rPr>
        <w:t>法定代表人</w:t>
      </w:r>
      <w:r>
        <w:rPr>
          <w:rFonts w:hint="eastAsia" w:ascii="宋体" w:hAnsi="宋体" w:eastAsia="宋体" w:cs="宋体"/>
          <w:b/>
          <w:bCs/>
          <w:szCs w:val="21"/>
          <w:highlight w:val="none"/>
          <w:lang w:eastAsia="zh-CN"/>
        </w:rPr>
        <w:t>（单位负责人）</w:t>
      </w:r>
      <w:r>
        <w:rPr>
          <w:rFonts w:hint="eastAsia" w:ascii="宋体" w:hAnsi="宋体" w:eastAsia="宋体" w:cs="宋体"/>
          <w:b/>
          <w:bCs/>
          <w:szCs w:val="21"/>
          <w:highlight w:val="none"/>
        </w:rPr>
        <w:t>身份证</w:t>
      </w:r>
      <w:r>
        <w:rPr>
          <w:rFonts w:hint="eastAsia" w:ascii="宋体" w:hAnsi="宋体" w:eastAsia="宋体" w:cs="宋体"/>
          <w:b/>
          <w:bCs/>
          <w:szCs w:val="21"/>
          <w:highlight w:val="none"/>
          <w:lang w:eastAsia="zh-CN"/>
        </w:rPr>
        <w:t>正反面</w:t>
      </w:r>
      <w:r>
        <w:rPr>
          <w:rFonts w:hint="eastAsia" w:ascii="宋体" w:hAnsi="宋体" w:eastAsia="宋体" w:cs="宋体"/>
          <w:b/>
          <w:bCs/>
          <w:szCs w:val="21"/>
          <w:highlight w:val="none"/>
          <w:lang w:val="en-US" w:eastAsia="zh-CN"/>
        </w:rPr>
        <w:t>电子件</w:t>
      </w:r>
      <w:r>
        <w:rPr>
          <w:rFonts w:hint="eastAsia" w:ascii="宋体" w:hAnsi="宋体" w:eastAsia="宋体" w:cs="宋体"/>
          <w:b/>
          <w:bCs/>
          <w:szCs w:val="21"/>
          <w:highlight w:val="none"/>
        </w:rPr>
        <w:t>。</w:t>
      </w:r>
    </w:p>
    <w:p w14:paraId="14DD512A">
      <w:pPr>
        <w:keepNext/>
        <w:keepLines/>
        <w:spacing w:after="0" w:line="360" w:lineRule="auto"/>
        <w:jc w:val="left"/>
        <w:rPr>
          <w:rFonts w:hint="eastAsia" w:ascii="宋体" w:hAnsi="宋体" w:eastAsia="宋体" w:cs="宋体"/>
          <w:sz w:val="24"/>
          <w:highlight w:val="none"/>
        </w:rPr>
      </w:pPr>
    </w:p>
    <w:p w14:paraId="46DB26E2">
      <w:pPr>
        <w:keepNext/>
        <w:keepLines/>
        <w:spacing w:after="0" w:line="360" w:lineRule="auto"/>
        <w:jc w:val="left"/>
        <w:rPr>
          <w:rFonts w:hint="eastAsia" w:ascii="宋体" w:hAnsi="宋体" w:eastAsia="宋体" w:cs="宋体"/>
          <w:sz w:val="24"/>
          <w:highlight w:val="none"/>
        </w:rPr>
      </w:pPr>
    </w:p>
    <w:p w14:paraId="49F9E0F5">
      <w:pPr>
        <w:keepNext/>
        <w:keepLines/>
        <w:spacing w:after="0" w:line="360" w:lineRule="auto"/>
        <w:jc w:val="left"/>
        <w:rPr>
          <w:rFonts w:hint="eastAsia" w:ascii="宋体" w:hAnsi="宋体" w:eastAsia="宋体" w:cs="宋体"/>
          <w:sz w:val="24"/>
          <w:highlight w:val="none"/>
        </w:rPr>
      </w:pPr>
    </w:p>
    <w:p w14:paraId="1D99E855">
      <w:pPr>
        <w:keepNext/>
        <w:keepLines/>
        <w:spacing w:after="0" w:line="360" w:lineRule="auto"/>
        <w:jc w:val="left"/>
        <w:rPr>
          <w:rFonts w:hint="eastAsia" w:ascii="宋体" w:hAnsi="宋体" w:eastAsia="宋体" w:cs="宋体"/>
          <w:sz w:val="24"/>
          <w:highlight w:val="none"/>
        </w:rPr>
      </w:pPr>
    </w:p>
    <w:p w14:paraId="3EA62433">
      <w:pPr>
        <w:keepNext/>
        <w:keepLines/>
        <w:spacing w:after="0" w:line="360" w:lineRule="auto"/>
        <w:jc w:val="left"/>
        <w:rPr>
          <w:rFonts w:hint="eastAsia" w:ascii="宋体" w:hAnsi="宋体" w:eastAsia="宋体" w:cs="宋体"/>
          <w:sz w:val="24"/>
          <w:highlight w:val="none"/>
        </w:rPr>
      </w:pPr>
    </w:p>
    <w:p w14:paraId="50D6B8EF">
      <w:pPr>
        <w:keepNext/>
        <w:keepLines/>
        <w:spacing w:after="0" w:line="360" w:lineRule="auto"/>
        <w:jc w:val="left"/>
        <w:rPr>
          <w:rFonts w:hint="eastAsia" w:ascii="宋体" w:hAnsi="宋体" w:eastAsia="宋体" w:cs="宋体"/>
          <w:sz w:val="24"/>
          <w:highlight w:val="none"/>
        </w:rPr>
      </w:pPr>
    </w:p>
    <w:p w14:paraId="298EC6D1">
      <w:pPr>
        <w:keepNext/>
        <w:keepLines/>
        <w:spacing w:after="0" w:line="360" w:lineRule="auto"/>
        <w:jc w:val="left"/>
        <w:rPr>
          <w:rFonts w:hint="eastAsia" w:ascii="宋体" w:hAnsi="宋体" w:eastAsia="宋体" w:cs="宋体"/>
          <w:sz w:val="24"/>
          <w:highlight w:val="none"/>
        </w:rPr>
      </w:pPr>
    </w:p>
    <w:p w14:paraId="5641D0C1">
      <w:pPr>
        <w:spacing w:line="240" w:lineRule="auto"/>
        <w:ind w:firstLine="5670" w:firstLineChars="2700"/>
        <w:jc w:val="both"/>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供应商</w:t>
      </w:r>
      <w:r>
        <w:rPr>
          <w:rFonts w:hint="eastAsia" w:ascii="宋体" w:hAnsi="宋体" w:eastAsia="宋体" w:cs="宋体"/>
          <w:b/>
          <w:bCs/>
          <w:szCs w:val="21"/>
          <w:highlight w:val="none"/>
        </w:rPr>
        <w:t>：（</w:t>
      </w:r>
      <w:r>
        <w:rPr>
          <w:rFonts w:hint="eastAsia" w:ascii="宋体" w:hAnsi="宋体" w:eastAsia="宋体" w:cs="宋体"/>
          <w:b/>
          <w:bCs/>
          <w:szCs w:val="21"/>
          <w:highlight w:val="none"/>
          <w:lang w:val="en-US" w:eastAsia="zh-CN"/>
        </w:rPr>
        <w:t>盖章</w:t>
      </w:r>
      <w:r>
        <w:rPr>
          <w:rFonts w:hint="eastAsia" w:ascii="宋体" w:hAnsi="宋体" w:eastAsia="宋体" w:cs="宋体"/>
          <w:b/>
          <w:bCs/>
          <w:szCs w:val="21"/>
          <w:highlight w:val="none"/>
        </w:rPr>
        <w:t>）</w:t>
      </w:r>
    </w:p>
    <w:p w14:paraId="4B0DDF4F">
      <w:pPr>
        <w:spacing w:line="240" w:lineRule="auto"/>
        <w:ind w:firstLine="0" w:firstLineChars="0"/>
        <w:rPr>
          <w:rFonts w:hint="eastAsia" w:ascii="宋体" w:hAnsi="宋体" w:eastAsia="宋体" w:cs="宋体"/>
          <w:b/>
          <w:bCs/>
          <w:szCs w:val="21"/>
          <w:highlight w:val="none"/>
        </w:rPr>
      </w:pPr>
    </w:p>
    <w:p w14:paraId="55D589C9">
      <w:pPr>
        <w:spacing w:line="240" w:lineRule="auto"/>
        <w:ind w:firstLine="0" w:firstLineChars="0"/>
        <w:rPr>
          <w:rFonts w:hint="eastAsia" w:ascii="宋体" w:hAnsi="宋体" w:eastAsia="宋体" w:cs="宋体"/>
          <w:b/>
          <w:bCs/>
          <w:szCs w:val="21"/>
          <w:highlight w:val="none"/>
        </w:rPr>
      </w:pPr>
    </w:p>
    <w:p w14:paraId="0BF5A6B5">
      <w:pPr>
        <w:ind w:firstLine="5670" w:firstLineChars="2700"/>
        <w:jc w:val="left"/>
        <w:rPr>
          <w:rFonts w:hint="eastAsia" w:ascii="宋体" w:hAnsi="宋体" w:eastAsia="宋体" w:cs="宋体"/>
          <w:b/>
          <w:bCs/>
          <w:sz w:val="21"/>
          <w:szCs w:val="21"/>
          <w:highlight w:val="none"/>
          <w:u w:val="single"/>
        </w:rPr>
      </w:pPr>
      <w:r>
        <w:rPr>
          <w:rFonts w:hint="eastAsia" w:ascii="宋体" w:hAnsi="宋体" w:eastAsia="宋体" w:cs="宋体"/>
          <w:b/>
          <w:bCs/>
          <w:szCs w:val="21"/>
          <w:highlight w:val="none"/>
        </w:rPr>
        <w:t>日期：</w:t>
      </w:r>
      <w:r>
        <w:rPr>
          <w:rFonts w:hint="eastAsia" w:ascii="宋体" w:hAnsi="宋体" w:eastAsia="宋体" w:cs="宋体"/>
          <w:b/>
          <w:bCs/>
          <w:szCs w:val="21"/>
          <w:highlight w:val="none"/>
          <w:u w:val="single"/>
        </w:rPr>
        <w:t>　　　</w:t>
      </w:r>
      <w:r>
        <w:rPr>
          <w:rFonts w:hint="eastAsia" w:ascii="宋体" w:hAnsi="宋体" w:eastAsia="宋体" w:cs="宋体"/>
          <w:b/>
          <w:bCs/>
          <w:szCs w:val="21"/>
          <w:highlight w:val="none"/>
        </w:rPr>
        <w:t>年</w:t>
      </w:r>
      <w:r>
        <w:rPr>
          <w:rFonts w:hint="eastAsia" w:ascii="宋体" w:hAnsi="宋体" w:eastAsia="宋体" w:cs="宋体"/>
          <w:b/>
          <w:bCs/>
          <w:szCs w:val="21"/>
          <w:highlight w:val="none"/>
          <w:u w:val="single"/>
        </w:rPr>
        <w:t>　</w:t>
      </w:r>
      <w:r>
        <w:rPr>
          <w:rFonts w:hint="eastAsia" w:ascii="宋体" w:hAnsi="宋体" w:eastAsia="宋体" w:cs="宋体"/>
          <w:b/>
          <w:bCs/>
          <w:szCs w:val="21"/>
          <w:highlight w:val="none"/>
          <w:u w:val="single"/>
          <w:lang w:val="en-US" w:eastAsia="zh-CN"/>
        </w:rPr>
        <w:t xml:space="preserve"> </w:t>
      </w:r>
      <w:r>
        <w:rPr>
          <w:rFonts w:hint="eastAsia" w:ascii="宋体" w:hAnsi="宋体" w:eastAsia="宋体" w:cs="宋体"/>
          <w:b/>
          <w:bCs/>
          <w:szCs w:val="21"/>
          <w:highlight w:val="none"/>
          <w:u w:val="single"/>
        </w:rPr>
        <w:t>　</w:t>
      </w:r>
      <w:r>
        <w:rPr>
          <w:rFonts w:hint="eastAsia" w:ascii="宋体" w:hAnsi="宋体" w:eastAsia="宋体" w:cs="宋体"/>
          <w:b/>
          <w:bCs/>
          <w:szCs w:val="21"/>
          <w:highlight w:val="none"/>
        </w:rPr>
        <w:t>月</w:t>
      </w:r>
      <w:r>
        <w:rPr>
          <w:rFonts w:hint="eastAsia" w:ascii="宋体" w:hAnsi="宋体" w:eastAsia="宋体" w:cs="宋体"/>
          <w:b/>
          <w:bCs/>
          <w:szCs w:val="21"/>
          <w:highlight w:val="none"/>
          <w:u w:val="single"/>
        </w:rPr>
        <w:t>　</w:t>
      </w:r>
      <w:r>
        <w:rPr>
          <w:rFonts w:hint="eastAsia" w:ascii="宋体" w:hAnsi="宋体" w:eastAsia="宋体" w:cs="宋体"/>
          <w:b/>
          <w:bCs/>
          <w:szCs w:val="21"/>
          <w:highlight w:val="none"/>
          <w:u w:val="single"/>
          <w:lang w:val="en-US" w:eastAsia="zh-CN"/>
        </w:rPr>
        <w:t xml:space="preserve"> </w:t>
      </w:r>
      <w:r>
        <w:rPr>
          <w:rFonts w:hint="eastAsia" w:ascii="宋体" w:hAnsi="宋体" w:eastAsia="宋体" w:cs="宋体"/>
          <w:b/>
          <w:bCs/>
          <w:szCs w:val="21"/>
          <w:highlight w:val="none"/>
          <w:u w:val="single"/>
        </w:rPr>
        <w:t>　</w:t>
      </w:r>
      <w:r>
        <w:rPr>
          <w:rFonts w:hint="eastAsia" w:ascii="宋体" w:hAnsi="宋体" w:eastAsia="宋体" w:cs="宋体"/>
          <w:b/>
          <w:bCs/>
          <w:szCs w:val="21"/>
          <w:highlight w:val="none"/>
        </w:rPr>
        <w:t>日</w:t>
      </w:r>
      <w:bookmarkEnd w:id="481"/>
    </w:p>
    <w:p w14:paraId="2073EE6B">
      <w:pPr>
        <w:rPr>
          <w:rFonts w:hint="eastAsia" w:ascii="宋体" w:hAnsi="宋体" w:eastAsia="宋体" w:cs="宋体"/>
          <w:bCs/>
          <w:sz w:val="32"/>
          <w:highlight w:val="none"/>
        </w:rPr>
      </w:pPr>
      <w:r>
        <w:rPr>
          <w:rFonts w:hint="eastAsia" w:ascii="宋体" w:hAnsi="宋体" w:eastAsia="宋体" w:cs="宋体"/>
          <w:bCs/>
          <w:sz w:val="32"/>
          <w:highlight w:val="none"/>
        </w:rPr>
        <w:br w:type="page"/>
      </w:r>
    </w:p>
    <w:p w14:paraId="6A85E332">
      <w:pPr>
        <w:spacing w:line="360" w:lineRule="auto"/>
        <w:rPr>
          <w:rFonts w:hint="eastAsia" w:ascii="宋体" w:hAnsi="宋体" w:eastAsia="宋体" w:cs="宋体"/>
          <w:b w:val="0"/>
          <w:bCs w:val="0"/>
          <w:sz w:val="28"/>
          <w:szCs w:val="28"/>
          <w:highlight w:val="none"/>
        </w:rPr>
      </w:pPr>
      <w:bookmarkStart w:id="482" w:name="_Toc488633630"/>
      <w:bookmarkStart w:id="483" w:name="_Toc491307382"/>
      <w:bookmarkStart w:id="484" w:name="_Toc6851"/>
      <w:bookmarkStart w:id="485" w:name="_Toc213141107"/>
      <w:bookmarkStart w:id="486" w:name="_Toc491307320"/>
      <w:bookmarkStart w:id="487" w:name="_Toc494043356"/>
      <w:bookmarkStart w:id="488" w:name="_Toc23594"/>
      <w:bookmarkStart w:id="489" w:name="_Toc491307502"/>
      <w:bookmarkStart w:id="490" w:name="_Toc12663"/>
      <w:bookmarkStart w:id="491" w:name="_Toc481694858"/>
      <w:bookmarkStart w:id="492" w:name="OLE_LINK212"/>
      <w:r>
        <w:rPr>
          <w:rFonts w:hint="eastAsia" w:ascii="宋体" w:hAnsi="宋体" w:eastAsia="宋体" w:cs="宋体"/>
          <w:b/>
          <w:sz w:val="28"/>
          <w:szCs w:val="28"/>
          <w:highlight w:val="none"/>
          <w:lang w:val="en-US" w:eastAsia="zh-CN"/>
        </w:rPr>
        <w:t>格式7：</w:t>
      </w:r>
    </w:p>
    <w:bookmarkEnd w:id="482"/>
    <w:bookmarkEnd w:id="483"/>
    <w:bookmarkEnd w:id="484"/>
    <w:bookmarkEnd w:id="485"/>
    <w:bookmarkEnd w:id="486"/>
    <w:bookmarkEnd w:id="487"/>
    <w:bookmarkEnd w:id="488"/>
    <w:bookmarkEnd w:id="489"/>
    <w:bookmarkEnd w:id="490"/>
    <w:bookmarkEnd w:id="491"/>
    <w:p w14:paraId="6F092EDB">
      <w:pPr>
        <w:keepNext w:val="0"/>
        <w:keepLines w:val="0"/>
        <w:spacing w:before="0" w:beforeLines="0" w:after="0" w:afterLines="0" w:line="360" w:lineRule="auto"/>
        <w:ind w:left="0"/>
        <w:jc w:val="center"/>
        <w:outlineLvl w:val="2"/>
        <w:rPr>
          <w:rFonts w:hint="eastAsia" w:ascii="宋体" w:hAnsi="宋体" w:eastAsia="宋体" w:cs="宋体"/>
          <w:szCs w:val="21"/>
          <w:highlight w:val="none"/>
        </w:rPr>
      </w:pPr>
      <w:r>
        <w:rPr>
          <w:rFonts w:hint="eastAsia" w:ascii="宋体" w:hAnsi="宋体" w:eastAsia="宋体" w:cs="宋体"/>
          <w:b w:val="0"/>
          <w:bCs w:val="0"/>
          <w:sz w:val="28"/>
          <w:szCs w:val="28"/>
          <w:highlight w:val="none"/>
        </w:rPr>
        <w:t>法定代表人</w:t>
      </w:r>
      <w:r>
        <w:rPr>
          <w:rFonts w:hint="eastAsia" w:ascii="宋体" w:hAnsi="宋体" w:eastAsia="宋体" w:cs="宋体"/>
          <w:b w:val="0"/>
          <w:bCs w:val="0"/>
          <w:sz w:val="28"/>
          <w:szCs w:val="28"/>
          <w:highlight w:val="none"/>
          <w:lang w:eastAsia="zh-CN"/>
        </w:rPr>
        <w:t>（</w:t>
      </w:r>
      <w:r>
        <w:rPr>
          <w:rFonts w:hint="eastAsia" w:ascii="宋体" w:hAnsi="宋体" w:eastAsia="宋体" w:cs="宋体"/>
          <w:b w:val="0"/>
          <w:bCs w:val="0"/>
          <w:sz w:val="28"/>
          <w:szCs w:val="28"/>
          <w:highlight w:val="none"/>
          <w:lang w:val="en-US" w:eastAsia="zh-CN"/>
        </w:rPr>
        <w:t>单位负责人</w:t>
      </w:r>
      <w:r>
        <w:rPr>
          <w:rFonts w:hint="eastAsia" w:ascii="宋体" w:hAnsi="宋体" w:eastAsia="宋体" w:cs="宋体"/>
          <w:b w:val="0"/>
          <w:bCs w:val="0"/>
          <w:sz w:val="28"/>
          <w:szCs w:val="28"/>
          <w:highlight w:val="none"/>
          <w:lang w:eastAsia="zh-CN"/>
        </w:rPr>
        <w:t>）</w:t>
      </w:r>
      <w:r>
        <w:rPr>
          <w:rFonts w:hint="eastAsia" w:ascii="宋体" w:hAnsi="宋体" w:eastAsia="宋体" w:cs="宋体"/>
          <w:b w:val="0"/>
          <w:bCs w:val="0"/>
          <w:sz w:val="28"/>
          <w:szCs w:val="28"/>
          <w:highlight w:val="none"/>
        </w:rPr>
        <w:t>授权委托书</w:t>
      </w:r>
    </w:p>
    <w:p w14:paraId="781027B4">
      <w:pPr>
        <w:spacing w:line="480" w:lineRule="auto"/>
        <w:ind w:firstLine="420" w:firstLineChars="0"/>
        <w:rPr>
          <w:rFonts w:hint="eastAsia" w:ascii="宋体" w:hAnsi="宋体" w:eastAsia="宋体" w:cs="宋体"/>
          <w:szCs w:val="21"/>
          <w:highlight w:val="none"/>
        </w:rPr>
      </w:pPr>
      <w:r>
        <w:rPr>
          <w:rFonts w:hint="eastAsia" w:ascii="宋体" w:hAnsi="宋体" w:eastAsia="宋体" w:cs="宋体"/>
          <w:szCs w:val="21"/>
          <w:highlight w:val="none"/>
        </w:rPr>
        <w:t>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供应商</w:t>
      </w:r>
      <w:r>
        <w:rPr>
          <w:rFonts w:hint="eastAsia" w:ascii="宋体" w:hAnsi="宋体" w:eastAsia="宋体" w:cs="宋体"/>
          <w:szCs w:val="21"/>
          <w:highlight w:val="none"/>
          <w:u w:val="single"/>
        </w:rPr>
        <w:t xml:space="preserve">全称） </w:t>
      </w:r>
      <w:r>
        <w:rPr>
          <w:rFonts w:hint="eastAsia" w:ascii="宋体" w:hAnsi="宋体" w:eastAsia="宋体" w:cs="宋体"/>
          <w:szCs w:val="21"/>
          <w:highlight w:val="none"/>
        </w:rPr>
        <w:t>的法定代表人代表本公司授权</w:t>
      </w:r>
      <w:r>
        <w:rPr>
          <w:rFonts w:hint="eastAsia" w:ascii="宋体" w:hAnsi="宋体" w:eastAsia="宋体" w:cs="宋体"/>
          <w:szCs w:val="21"/>
          <w:highlight w:val="none"/>
          <w:u w:val="single"/>
        </w:rPr>
        <w:t>（委托代理人姓名）</w:t>
      </w:r>
      <w:r>
        <w:rPr>
          <w:rFonts w:hint="eastAsia" w:ascii="宋体" w:hAnsi="宋体" w:eastAsia="宋体" w:cs="宋体"/>
          <w:szCs w:val="21"/>
          <w:highlight w:val="none"/>
        </w:rPr>
        <w:t>为本公司合法代理人，就贵方组织的有关</w:t>
      </w:r>
      <w:r>
        <w:rPr>
          <w:rFonts w:hint="eastAsia" w:ascii="宋体" w:hAnsi="宋体" w:eastAsia="宋体" w:cs="宋体"/>
          <w:szCs w:val="21"/>
          <w:highlight w:val="none"/>
          <w:u w:val="single"/>
        </w:rPr>
        <w:t>（采购项目名称）项目</w:t>
      </w:r>
      <w:r>
        <w:rPr>
          <w:rFonts w:hint="eastAsia" w:ascii="宋体" w:hAnsi="宋体" w:eastAsia="宋体" w:cs="宋体"/>
          <w:szCs w:val="21"/>
          <w:highlight w:val="none"/>
        </w:rPr>
        <w:t>（项目编号：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）的</w:t>
      </w:r>
      <w:r>
        <w:rPr>
          <w:rFonts w:hint="eastAsia" w:ascii="宋体" w:hAnsi="宋体" w:eastAsia="宋体" w:cs="宋体"/>
          <w:szCs w:val="21"/>
          <w:highlight w:val="none"/>
          <w:lang w:val="en-US" w:eastAsia="zh-CN"/>
        </w:rPr>
        <w:t>协商</w:t>
      </w:r>
      <w:r>
        <w:rPr>
          <w:rFonts w:hint="eastAsia" w:ascii="宋体" w:hAnsi="宋体" w:eastAsia="宋体" w:cs="宋体"/>
          <w:szCs w:val="21"/>
          <w:highlight w:val="none"/>
        </w:rPr>
        <w:t>，以本单位名义处理一切与之有关的事务。</w:t>
      </w:r>
    </w:p>
    <w:p w14:paraId="680E079A">
      <w:pPr>
        <w:spacing w:line="500" w:lineRule="exact"/>
        <w:ind w:firstLine="420" w:firstLineChars="0"/>
        <w:rPr>
          <w:rFonts w:hint="eastAsia" w:ascii="宋体" w:hAnsi="宋体" w:eastAsia="宋体" w:cs="宋体"/>
          <w:szCs w:val="21"/>
          <w:highlight w:val="none"/>
        </w:rPr>
      </w:pPr>
      <w:r>
        <w:rPr>
          <w:rFonts w:hint="eastAsia" w:ascii="宋体" w:hAnsi="宋体" w:eastAsia="宋体" w:cs="宋体"/>
          <w:szCs w:val="21"/>
          <w:highlight w:val="none"/>
          <w:lang w:val="en-US" w:eastAsia="zh-CN"/>
        </w:rPr>
        <w:t>委托期限：自本授权委托书签署之日起至单一来源采购有效期届满之日止。</w:t>
      </w:r>
    </w:p>
    <w:p w14:paraId="08AD7891">
      <w:pPr>
        <w:spacing w:line="500" w:lineRule="exact"/>
        <w:ind w:firstLine="420" w:firstLineChars="0"/>
        <w:rPr>
          <w:rFonts w:hint="eastAsia" w:ascii="宋体" w:hAnsi="宋体" w:eastAsia="宋体" w:cs="宋体"/>
          <w:szCs w:val="21"/>
          <w:highlight w:val="none"/>
        </w:rPr>
      </w:pPr>
      <w:r>
        <w:rPr>
          <w:rFonts w:hint="eastAsia" w:ascii="宋体" w:hAnsi="宋体" w:eastAsia="宋体" w:cs="宋体"/>
          <w:szCs w:val="21"/>
          <w:highlight w:val="none"/>
          <w:lang w:val="en-US" w:eastAsia="zh-CN"/>
        </w:rPr>
        <w:t>代理人无转委托权。</w:t>
      </w:r>
    </w:p>
    <w:p w14:paraId="110D5F86">
      <w:pPr>
        <w:spacing w:line="500" w:lineRule="exact"/>
        <w:ind w:firstLine="420" w:firstLineChars="0"/>
        <w:rPr>
          <w:rFonts w:hint="eastAsia" w:ascii="宋体" w:hAnsi="宋体" w:eastAsia="宋体" w:cs="宋体"/>
          <w:szCs w:val="21"/>
          <w:highlight w:val="none"/>
        </w:rPr>
      </w:pPr>
    </w:p>
    <w:p w14:paraId="3579F94A">
      <w:pPr>
        <w:spacing w:line="480" w:lineRule="auto"/>
        <w:ind w:firstLine="4830" w:firstLineChars="2300"/>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供应商</w:t>
      </w:r>
      <w:r>
        <w:rPr>
          <w:rFonts w:hint="eastAsia" w:ascii="宋体" w:hAnsi="宋体" w:eastAsia="宋体" w:cs="宋体"/>
          <w:b/>
          <w:bCs/>
          <w:szCs w:val="21"/>
          <w:highlight w:val="none"/>
        </w:rPr>
        <w:t>：（盖章）</w:t>
      </w:r>
    </w:p>
    <w:p w14:paraId="4BFAEB84">
      <w:pPr>
        <w:spacing w:line="480" w:lineRule="auto"/>
        <w:jc w:val="right"/>
        <w:rPr>
          <w:rFonts w:hint="eastAsia" w:ascii="宋体" w:hAnsi="宋体" w:eastAsia="宋体" w:cs="宋体"/>
          <w:b/>
          <w:bCs/>
          <w:szCs w:val="21"/>
          <w:highlight w:val="none"/>
        </w:rPr>
      </w:pPr>
      <w:bookmarkStart w:id="493" w:name="OLE_LINK102"/>
      <w:r>
        <w:rPr>
          <w:rFonts w:hint="eastAsia" w:ascii="宋体" w:hAnsi="宋体" w:eastAsia="宋体" w:cs="宋体"/>
          <w:b/>
          <w:bCs/>
          <w:szCs w:val="21"/>
          <w:highlight w:val="none"/>
        </w:rPr>
        <w:t>法定代表人</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单位负责人</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rPr>
        <w:t>：（</w:t>
      </w:r>
      <w:r>
        <w:rPr>
          <w:rFonts w:hint="eastAsia" w:ascii="宋体" w:hAnsi="宋体" w:eastAsia="宋体" w:cs="宋体"/>
          <w:b/>
          <w:bCs/>
          <w:szCs w:val="21"/>
          <w:highlight w:val="none"/>
          <w:lang w:val="en-US" w:eastAsia="zh-CN"/>
        </w:rPr>
        <w:t>电子</w:t>
      </w:r>
      <w:r>
        <w:rPr>
          <w:rFonts w:hint="eastAsia" w:ascii="宋体" w:hAnsi="宋体" w:eastAsia="宋体" w:cs="宋体"/>
          <w:b/>
          <w:bCs/>
          <w:szCs w:val="21"/>
          <w:highlight w:val="none"/>
        </w:rPr>
        <w:t>签字或电子签章）</w:t>
      </w:r>
    </w:p>
    <w:bookmarkEnd w:id="493"/>
    <w:p w14:paraId="286B1632">
      <w:pPr>
        <w:pBdr>
          <w:bottom w:val="single" w:color="auto" w:sz="12" w:space="1"/>
        </w:pBdr>
        <w:spacing w:line="480" w:lineRule="auto"/>
        <w:ind w:firstLine="4830" w:firstLineChars="2300"/>
        <w:rPr>
          <w:rFonts w:hint="eastAsia" w:ascii="宋体" w:hAnsi="宋体" w:eastAsia="宋体" w:cs="宋体"/>
          <w:b/>
          <w:bCs/>
          <w:szCs w:val="21"/>
          <w:highlight w:val="none"/>
        </w:rPr>
      </w:pPr>
      <w:r>
        <w:rPr>
          <w:rFonts w:hint="eastAsia" w:ascii="宋体" w:hAnsi="宋体" w:eastAsia="宋体" w:cs="宋体"/>
          <w:b/>
          <w:bCs/>
          <w:szCs w:val="21"/>
          <w:highlight w:val="none"/>
        </w:rPr>
        <w:t>日</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期：</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年</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月</w:t>
      </w:r>
      <w:r>
        <w:rPr>
          <w:rFonts w:hint="eastAsia" w:ascii="宋体" w:hAnsi="宋体" w:eastAsia="宋体" w:cs="宋体"/>
          <w:b/>
          <w:bCs/>
          <w:szCs w:val="21"/>
          <w:highlight w:val="none"/>
          <w:u w:val="single"/>
        </w:rPr>
        <w:t xml:space="preserve">   </w:t>
      </w:r>
      <w:r>
        <w:rPr>
          <w:rFonts w:hint="eastAsia" w:ascii="宋体" w:hAnsi="宋体" w:eastAsia="宋体" w:cs="宋体"/>
          <w:b/>
          <w:bCs/>
          <w:szCs w:val="21"/>
          <w:highlight w:val="none"/>
        </w:rPr>
        <w:t>日</w:t>
      </w:r>
    </w:p>
    <w:bookmarkEnd w:id="492"/>
    <w:p w14:paraId="21E8776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Cs w:val="21"/>
          <w:highlight w:val="none"/>
          <w:lang w:val="en-US" w:eastAsia="zh-CN"/>
        </w:rPr>
      </w:pPr>
      <w:bookmarkStart w:id="494" w:name="_Toc29148"/>
    </w:p>
    <w:p w14:paraId="20FBA1D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lang w:val="en-US" w:eastAsia="zh-CN"/>
        </w:rPr>
        <w:t>被授权</w:t>
      </w:r>
      <w:r>
        <w:rPr>
          <w:rFonts w:hint="eastAsia" w:ascii="宋体" w:hAnsi="宋体" w:eastAsia="宋体" w:cs="宋体"/>
          <w:szCs w:val="21"/>
          <w:highlight w:val="none"/>
        </w:rPr>
        <w:t>委托代理人姓名：</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186DD68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职务：</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51F4F3D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身份证号码：</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10B6427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详细地址：</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10EA6C1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Cs w:val="21"/>
          <w:highlight w:val="none"/>
        </w:rPr>
      </w:pPr>
      <w:r>
        <w:rPr>
          <w:rFonts w:hint="eastAsia" w:ascii="宋体" w:hAnsi="宋体" w:eastAsia="宋体" w:cs="宋体"/>
          <w:szCs w:val="21"/>
          <w:highlight w:val="none"/>
        </w:rPr>
        <w:t>电话：</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val="en-US" w:eastAsia="zh-CN"/>
        </w:rPr>
        <w:t xml:space="preserve">                 </w:t>
      </w:r>
    </w:p>
    <w:p w14:paraId="472A4601">
      <w:pPr>
        <w:spacing w:line="480" w:lineRule="auto"/>
        <w:ind w:firstLine="0" w:firstLineChars="0"/>
        <w:rPr>
          <w:rFonts w:hint="eastAsia" w:ascii="宋体" w:hAnsi="宋体" w:eastAsia="宋体" w:cs="宋体"/>
          <w:b/>
          <w:bCs/>
          <w:szCs w:val="21"/>
          <w:highlight w:val="none"/>
        </w:rPr>
      </w:pPr>
    </w:p>
    <w:p w14:paraId="3CD77B94">
      <w:pPr>
        <w:spacing w:line="480" w:lineRule="auto"/>
        <w:ind w:firstLine="0" w:firstLineChars="0"/>
        <w:rPr>
          <w:rFonts w:hint="eastAsia" w:ascii="宋体" w:hAnsi="宋体" w:eastAsia="宋体" w:cs="宋体"/>
          <w:b/>
          <w:bCs/>
          <w:szCs w:val="21"/>
          <w:highlight w:val="none"/>
        </w:rPr>
      </w:pPr>
      <w:r>
        <w:rPr>
          <w:rFonts w:hint="eastAsia" w:ascii="宋体" w:hAnsi="宋体" w:eastAsia="宋体" w:cs="宋体"/>
          <w:b/>
          <w:bCs/>
          <w:szCs w:val="21"/>
          <w:highlight w:val="none"/>
        </w:rPr>
        <w:t>附：</w:t>
      </w:r>
      <w:r>
        <w:rPr>
          <w:rFonts w:hint="eastAsia" w:ascii="宋体" w:hAnsi="宋体" w:eastAsia="宋体" w:cs="宋体"/>
          <w:b/>
          <w:bCs/>
          <w:szCs w:val="21"/>
          <w:highlight w:val="none"/>
          <w:lang w:val="en-US" w:eastAsia="zh-CN"/>
        </w:rPr>
        <w:t>被授权委托代理人</w:t>
      </w:r>
      <w:r>
        <w:rPr>
          <w:rFonts w:hint="eastAsia" w:ascii="宋体" w:hAnsi="宋体" w:eastAsia="宋体" w:cs="宋体"/>
          <w:b/>
          <w:bCs/>
          <w:szCs w:val="21"/>
          <w:highlight w:val="none"/>
        </w:rPr>
        <w:t>身份证</w:t>
      </w:r>
      <w:r>
        <w:rPr>
          <w:rFonts w:hint="eastAsia" w:ascii="宋体" w:hAnsi="宋体" w:eastAsia="宋体" w:cs="宋体"/>
          <w:b/>
          <w:bCs/>
          <w:szCs w:val="21"/>
          <w:highlight w:val="none"/>
          <w:lang w:eastAsia="zh-CN"/>
        </w:rPr>
        <w:t>正反面</w:t>
      </w:r>
      <w:r>
        <w:rPr>
          <w:rFonts w:hint="eastAsia" w:ascii="宋体" w:hAnsi="宋体" w:eastAsia="宋体" w:cs="宋体"/>
          <w:b/>
          <w:bCs/>
          <w:szCs w:val="21"/>
          <w:highlight w:val="none"/>
          <w:lang w:val="en-US" w:eastAsia="zh-CN"/>
        </w:rPr>
        <w:t>电子件。</w:t>
      </w:r>
    </w:p>
    <w:p w14:paraId="36A9E6C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b/>
          <w:bCs/>
          <w:szCs w:val="21"/>
          <w:highlight w:val="none"/>
        </w:rPr>
      </w:pPr>
    </w:p>
    <w:p w14:paraId="29B74D2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b/>
          <w:bCs/>
          <w:szCs w:val="21"/>
          <w:highlight w:val="none"/>
        </w:rPr>
      </w:pPr>
    </w:p>
    <w:p w14:paraId="59D5AFD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 </w:t>
      </w:r>
      <w:r>
        <w:rPr>
          <w:rFonts w:hint="eastAsia" w:ascii="宋体" w:hAnsi="宋体" w:eastAsia="宋体" w:cs="宋体"/>
          <w:b/>
          <w:bCs/>
          <w:kern w:val="2"/>
          <w:sz w:val="21"/>
          <w:szCs w:val="21"/>
          <w:highlight w:val="none"/>
          <w:lang w:val="en-US" w:eastAsia="zh-CN" w:bidi="ar"/>
        </w:rPr>
        <w:t xml:space="preserve">1.若供应商为事业单位或其他组织或分支机构，则法定代表人（单位负责人）处的签署人可为单位负责人。 </w:t>
      </w:r>
    </w:p>
    <w:p w14:paraId="03E4ED8C">
      <w:pPr>
        <w:pageBreakBefore w:val="0"/>
        <w:kinsoku/>
        <w:wordWrap/>
        <w:overflowPunct/>
        <w:topLinePunct w:val="0"/>
        <w:autoSpaceDE/>
        <w:autoSpaceDN/>
        <w:bidi w:val="0"/>
        <w:adjustRightInd/>
        <w:snapToGrid/>
        <w:spacing w:before="0" w:after="0" w:line="360" w:lineRule="auto"/>
        <w:ind w:firstLine="420" w:firstLineChars="200"/>
        <w:jc w:val="both"/>
        <w:textAlignment w:val="auto"/>
        <w:outlineLvl w:val="9"/>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2.若响应文件中签字之处均为法定代表人（单位负责人）本人签署，则可不提供本《授权委托书》，但须提供《法定代表人（单位负责人）身份证明书》。</w:t>
      </w:r>
    </w:p>
    <w:p w14:paraId="16570AE8">
      <w:pPr>
        <w:rPr>
          <w:rFonts w:hint="eastAsia" w:ascii="宋体" w:hAnsi="宋体" w:eastAsia="宋体" w:cs="宋体"/>
          <w:b w:val="0"/>
          <w:bCs w:val="0"/>
          <w:snapToGrid w:val="0"/>
          <w:kern w:val="21"/>
          <w:sz w:val="28"/>
          <w:szCs w:val="28"/>
          <w:highlight w:val="none"/>
        </w:rPr>
      </w:pPr>
      <w:r>
        <w:rPr>
          <w:rFonts w:hint="eastAsia" w:ascii="宋体" w:hAnsi="宋体" w:eastAsia="宋体" w:cs="宋体"/>
          <w:b w:val="0"/>
          <w:bCs w:val="0"/>
          <w:snapToGrid w:val="0"/>
          <w:kern w:val="21"/>
          <w:sz w:val="28"/>
          <w:szCs w:val="28"/>
          <w:highlight w:val="none"/>
        </w:rPr>
        <w:br w:type="page"/>
      </w:r>
    </w:p>
    <w:bookmarkEnd w:id="494"/>
    <w:p w14:paraId="2F6C3BFD">
      <w:pPr>
        <w:spacing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lang w:val="en-US" w:eastAsia="zh-CN"/>
        </w:rPr>
        <w:t>格式8：</w:t>
      </w:r>
    </w:p>
    <w:p w14:paraId="53B46E1A">
      <w:pPr>
        <w:spacing w:line="600" w:lineRule="exact"/>
        <w:ind w:firstLine="0" w:firstLineChars="0"/>
        <w:jc w:val="center"/>
        <w:outlineLvl w:val="2"/>
        <w:rPr>
          <w:rFonts w:hint="eastAsia" w:ascii="宋体" w:hAnsi="宋体" w:eastAsia="宋体" w:cs="宋体"/>
          <w:sz w:val="28"/>
          <w:szCs w:val="28"/>
          <w:highlight w:val="none"/>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协商</w:t>
      </w:r>
      <w:r>
        <w:rPr>
          <w:rFonts w:hint="eastAsia" w:ascii="宋体" w:hAnsi="宋体" w:eastAsia="宋体" w:cs="宋体"/>
          <w:sz w:val="28"/>
          <w:szCs w:val="28"/>
          <w:highlight w:val="none"/>
        </w:rPr>
        <w:t>保证金缴纳凭证</w:t>
      </w:r>
    </w:p>
    <w:p w14:paraId="759F8804">
      <w:pPr>
        <w:spacing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lang w:val="en-US" w:eastAsia="zh-CN"/>
        </w:rPr>
        <w:t>格式9：</w:t>
      </w:r>
    </w:p>
    <w:p w14:paraId="51A78FB8">
      <w:pPr>
        <w:spacing w:line="600" w:lineRule="exact"/>
        <w:ind w:firstLine="0" w:firstLineChars="0"/>
        <w:jc w:val="center"/>
        <w:outlineLvl w:val="2"/>
        <w:rPr>
          <w:rFonts w:hint="eastAsia" w:ascii="宋体" w:hAnsi="宋体" w:eastAsia="宋体" w:cs="宋体"/>
          <w:sz w:val="28"/>
          <w:szCs w:val="28"/>
          <w:highlight w:val="none"/>
        </w:rPr>
      </w:pPr>
      <w:r>
        <w:rPr>
          <w:rFonts w:hint="eastAsia" w:ascii="宋体" w:hAnsi="宋体" w:eastAsia="宋体" w:cs="宋体"/>
          <w:sz w:val="28"/>
          <w:szCs w:val="28"/>
          <w:highlight w:val="none"/>
        </w:rPr>
        <w:t>▲成交通知书送达确认的承诺</w:t>
      </w:r>
    </w:p>
    <w:p w14:paraId="192E88DC">
      <w:pPr>
        <w:pStyle w:val="11"/>
        <w:rPr>
          <w:rFonts w:hint="eastAsia" w:ascii="宋体" w:hAnsi="宋体" w:eastAsia="宋体" w:cs="宋体"/>
          <w:sz w:val="28"/>
          <w:szCs w:val="28"/>
          <w:highlight w:val="none"/>
        </w:rPr>
      </w:pPr>
    </w:p>
    <w:p w14:paraId="46A9F3E9">
      <w:pPr>
        <w:spacing w:line="360" w:lineRule="auto"/>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致：云南中咨海外咨询有限公司</w:t>
      </w:r>
    </w:p>
    <w:p w14:paraId="1742A6CE">
      <w:pPr>
        <w:spacing w:line="360" w:lineRule="auto"/>
        <w:ind w:firstLine="420" w:firstLineChars="200"/>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如我公司有幸成交</w:t>
      </w:r>
      <w:r>
        <w:rPr>
          <w:rFonts w:hint="eastAsia" w:ascii="宋体" w:hAnsi="宋体" w:eastAsia="宋体" w:cs="宋体"/>
          <w:szCs w:val="21"/>
          <w:highlight w:val="none"/>
          <w:u w:val="single"/>
          <w:shd w:val="clear" w:color="auto" w:fill="FFFFFF"/>
        </w:rPr>
        <w:t xml:space="preserve">    （项目名称）      </w:t>
      </w:r>
      <w:r>
        <w:rPr>
          <w:rFonts w:hint="eastAsia" w:ascii="宋体" w:hAnsi="宋体" w:eastAsia="宋体" w:cs="宋体"/>
          <w:szCs w:val="21"/>
          <w:highlight w:val="none"/>
          <w:shd w:val="clear" w:color="auto" w:fill="FFFFFF"/>
        </w:rPr>
        <w:t>项目，我公司同意贵单位将成交通知书（非原件）以电子邮件方式发送至我单位下述电子邮箱，并承诺在电子邮件进入我方电子邮箱时间的第二天内,由授权代表到贵公司办理领取成交通知书原件的签收及相关事宜，否则贵公司可视为我公司已签收了成交通知书。</w:t>
      </w:r>
    </w:p>
    <w:p w14:paraId="7AFA59E5">
      <w:pPr>
        <w:spacing w:line="360" w:lineRule="auto"/>
        <w:ind w:firstLine="420" w:firstLineChars="200"/>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收件人姓名：</w:t>
      </w:r>
    </w:p>
    <w:p w14:paraId="7B4D624F">
      <w:pPr>
        <w:spacing w:line="360" w:lineRule="auto"/>
        <w:ind w:firstLine="420" w:firstLineChars="200"/>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收件人电话号码：</w:t>
      </w:r>
    </w:p>
    <w:p w14:paraId="06A98CB6">
      <w:pPr>
        <w:spacing w:line="360" w:lineRule="auto"/>
        <w:ind w:firstLine="420" w:firstLineChars="200"/>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收件人电子邮箱：</w:t>
      </w:r>
    </w:p>
    <w:p w14:paraId="57E76DA1">
      <w:pPr>
        <w:spacing w:line="360" w:lineRule="auto"/>
        <w:ind w:firstLine="420" w:firstLineChars="200"/>
        <w:rPr>
          <w:rFonts w:hint="eastAsia"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以上内容如果因我方原因填写不正确，导致最终未收到代理机构发的邮件，一切造成的后果由我司承担。</w:t>
      </w:r>
    </w:p>
    <w:p w14:paraId="6897A43B">
      <w:pPr>
        <w:spacing w:line="552" w:lineRule="auto"/>
        <w:rPr>
          <w:rFonts w:hint="eastAsia" w:ascii="宋体" w:hAnsi="宋体" w:eastAsia="宋体" w:cs="宋体"/>
          <w:szCs w:val="21"/>
          <w:highlight w:val="none"/>
          <w:shd w:val="clear" w:color="auto" w:fill="FFFFFF"/>
        </w:rPr>
      </w:pPr>
    </w:p>
    <w:p w14:paraId="0B0670A9">
      <w:pPr>
        <w:spacing w:line="360" w:lineRule="auto"/>
        <w:ind w:firstLine="2" w:firstLineChars="1"/>
        <w:rPr>
          <w:rFonts w:hint="eastAsia" w:ascii="宋体" w:hAnsi="宋体" w:eastAsia="宋体" w:cs="宋体"/>
          <w:szCs w:val="21"/>
          <w:highlight w:val="none"/>
        </w:rPr>
      </w:pPr>
      <w:r>
        <w:rPr>
          <w:rFonts w:hint="eastAsia" w:ascii="宋体" w:hAnsi="宋体" w:eastAsia="宋体" w:cs="宋体"/>
          <w:szCs w:val="21"/>
          <w:highlight w:val="none"/>
        </w:rPr>
        <w:t>供应商：（盖单位电子公章）</w:t>
      </w:r>
    </w:p>
    <w:p w14:paraId="53387E98">
      <w:pPr>
        <w:rPr>
          <w:rFonts w:hint="eastAsia" w:ascii="宋体" w:hAnsi="宋体" w:eastAsia="宋体" w:cs="宋体"/>
          <w:highlight w:val="none"/>
        </w:rPr>
      </w:pPr>
    </w:p>
    <w:p w14:paraId="77C5B352">
      <w:pPr>
        <w:spacing w:line="360" w:lineRule="auto"/>
        <w:ind w:firstLine="2" w:firstLineChars="1"/>
        <w:rPr>
          <w:rFonts w:hint="eastAsia" w:ascii="宋体" w:hAnsi="宋体" w:eastAsia="宋体" w:cs="宋体"/>
          <w:szCs w:val="21"/>
          <w:highlight w:val="none"/>
        </w:rPr>
      </w:pPr>
      <w:r>
        <w:rPr>
          <w:rFonts w:hint="eastAsia" w:ascii="宋体" w:hAnsi="宋体" w:eastAsia="宋体" w:cs="宋体"/>
          <w:szCs w:val="21"/>
          <w:highlight w:val="none"/>
        </w:rPr>
        <w:t>年月日</w:t>
      </w:r>
    </w:p>
    <w:p w14:paraId="2E3A1F7B">
      <w:pPr>
        <w:pStyle w:val="11"/>
        <w:rPr>
          <w:rFonts w:hint="eastAsia" w:ascii="宋体" w:hAnsi="宋体" w:eastAsia="宋体" w:cs="宋体"/>
          <w:sz w:val="28"/>
          <w:szCs w:val="28"/>
          <w:highlight w:val="none"/>
        </w:rPr>
        <w:sectPr>
          <w:pgSz w:w="11906" w:h="16838"/>
          <w:pgMar w:top="1417" w:right="1417" w:bottom="1417" w:left="1417" w:header="680" w:footer="680"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10E65D60">
      <w:pPr>
        <w:pStyle w:val="2"/>
        <w:keepLines/>
        <w:autoSpaceDE/>
        <w:autoSpaceDN/>
        <w:adjustRightInd/>
        <w:jc w:val="center"/>
        <w:rPr>
          <w:rFonts w:hint="eastAsia" w:ascii="宋体" w:hAnsi="宋体" w:eastAsia="宋体" w:cs="宋体"/>
          <w:color w:val="auto"/>
          <w:kern w:val="44"/>
          <w:sz w:val="32"/>
          <w:szCs w:val="32"/>
          <w:highlight w:val="none"/>
        </w:rPr>
      </w:pPr>
      <w:r>
        <w:rPr>
          <w:rFonts w:hint="eastAsia" w:ascii="宋体" w:hAnsi="宋体" w:eastAsia="宋体" w:cs="宋体"/>
          <w:color w:val="auto"/>
          <w:kern w:val="44"/>
          <w:sz w:val="32"/>
          <w:szCs w:val="32"/>
          <w:highlight w:val="none"/>
        </w:rPr>
        <w:t xml:space="preserve">第五章  </w:t>
      </w:r>
      <w:bookmarkEnd w:id="453"/>
      <w:r>
        <w:rPr>
          <w:rFonts w:hint="eastAsia" w:ascii="宋体" w:hAnsi="宋体" w:eastAsia="宋体" w:cs="宋体"/>
          <w:color w:val="auto"/>
          <w:kern w:val="44"/>
          <w:sz w:val="32"/>
          <w:szCs w:val="32"/>
          <w:highlight w:val="none"/>
        </w:rPr>
        <w:t>采购需求</w:t>
      </w:r>
      <w:bookmarkEnd w:id="454"/>
      <w:bookmarkEnd w:id="455"/>
      <w:bookmarkEnd w:id="456"/>
    </w:p>
    <w:p w14:paraId="39448A35">
      <w:pPr>
        <w:spacing w:before="60" w:after="60" w:line="480" w:lineRule="auto"/>
        <w:ind w:firstLine="205" w:firstLineChars="98"/>
        <w:rPr>
          <w:rFonts w:hint="eastAsia" w:ascii="宋体" w:hAnsi="宋体" w:eastAsia="宋体" w:cs="宋体"/>
          <w:b/>
          <w:bCs/>
          <w:color w:val="auto"/>
          <w:szCs w:val="21"/>
          <w:highlight w:val="none"/>
        </w:rPr>
      </w:pPr>
      <w:bookmarkStart w:id="495" w:name="OLE_LINK337"/>
      <w:r>
        <w:rPr>
          <w:rFonts w:hint="eastAsia" w:ascii="宋体" w:hAnsi="宋体" w:eastAsia="宋体" w:cs="宋体"/>
          <w:b/>
          <w:bCs/>
          <w:color w:val="auto"/>
          <w:szCs w:val="21"/>
          <w:highlight w:val="none"/>
        </w:rPr>
        <w:t>说明：</w:t>
      </w:r>
    </w:p>
    <w:p w14:paraId="7EE1A707">
      <w:pPr>
        <w:spacing w:line="360" w:lineRule="auto"/>
        <w:ind w:firstLine="420" w:firstLineChars="200"/>
        <w:jc w:val="left"/>
        <w:rPr>
          <w:rFonts w:hint="eastAsia" w:ascii="宋体" w:hAnsi="宋体" w:eastAsia="宋体" w:cs="宋体"/>
          <w:color w:val="auto"/>
          <w:szCs w:val="21"/>
          <w:highlight w:val="none"/>
        </w:rPr>
      </w:pPr>
      <w:bookmarkStart w:id="496" w:name="_Toc3521"/>
      <w:r>
        <w:rPr>
          <w:rFonts w:hint="eastAsia" w:ascii="宋体" w:hAnsi="宋体" w:eastAsia="宋体" w:cs="宋体"/>
          <w:color w:val="auto"/>
          <w:szCs w:val="21"/>
          <w:highlight w:val="none"/>
        </w:rPr>
        <w:t>1.供应商必须对单一来源采购文件第五章《采购需求》中的规格、技术条款和性能要求作出全面、真实的反映，若响应文件中未对单一来源采购文件第五章《采购需求》中的规格、技术条款和性能要求作出全面、真实的反映，而供应商又未在响应文件中作出说明和解释的，单一来源采购人员在评审时可以视为不响应该条规格、技术条款和性能要求。</w:t>
      </w:r>
    </w:p>
    <w:p w14:paraId="2B52BE6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章各项规格、技术条款和性能要求如出现引用某一特定的专利技术、商标、名称、设计、原产地或供应者等情况，则仅起参考作用。供应商可选用实质上“相当于”或“优于”该参考规格、技术条款和性能要求的产品（服务）响应。</w:t>
      </w:r>
    </w:p>
    <w:p w14:paraId="798D21C2">
      <w:pPr>
        <w:spacing w:line="360" w:lineRule="auto"/>
        <w:ind w:firstLine="420" w:firstLineChars="200"/>
        <w:rPr>
          <w:rFonts w:hint="eastAsia" w:ascii="宋体" w:hAnsi="宋体" w:eastAsia="宋体" w:cs="宋体"/>
          <w:color w:val="auto"/>
          <w:szCs w:val="21"/>
          <w:highlight w:val="none"/>
        </w:rPr>
      </w:pPr>
      <w:bookmarkStart w:id="497" w:name="_Toc491307332"/>
      <w:bookmarkStart w:id="498" w:name="_Toc491307394"/>
      <w:r>
        <w:rPr>
          <w:rFonts w:hint="eastAsia" w:ascii="宋体" w:hAnsi="宋体" w:eastAsia="宋体" w:cs="宋体"/>
          <w:color w:val="auto"/>
          <w:szCs w:val="21"/>
          <w:highlight w:val="none"/>
        </w:rPr>
        <w:t>3.供应商应保证其提供的货物、工程或者服务在采购人使用期间不受第三方可能提出的侵犯其所有权、知识产权、商标权、专利权、著作权等相关权利的起诉。</w:t>
      </w:r>
    </w:p>
    <w:p w14:paraId="144085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4.供应商应对在合同履行的过程中，涉及到采购人的工作信息等秘密内容进行保密。双方应共同对采购过程中涉及的技术情报和资料进行保密。</w:t>
      </w:r>
    </w:p>
    <w:bookmarkEnd w:id="497"/>
    <w:bookmarkEnd w:id="498"/>
    <w:p w14:paraId="4E341D2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w:t>
      </w:r>
      <w:bookmarkStart w:id="499" w:name="OLE_LINK366"/>
      <w:r>
        <w:rPr>
          <w:rFonts w:hint="eastAsia" w:ascii="宋体" w:hAnsi="宋体" w:eastAsia="宋体" w:cs="宋体"/>
          <w:color w:val="auto"/>
          <w:highlight w:val="none"/>
        </w:rPr>
        <w:t>供应商应严格按照《中华人民共和国政府采购法》、《中华人民共和国政府采购法实施条例》、</w:t>
      </w:r>
      <w:bookmarkEnd w:id="499"/>
      <w:r>
        <w:rPr>
          <w:rFonts w:hint="eastAsia" w:ascii="宋体" w:hAnsi="宋体" w:eastAsia="宋体" w:cs="宋体"/>
          <w:color w:val="auto"/>
          <w:szCs w:val="21"/>
          <w:highlight w:val="none"/>
        </w:rPr>
        <w:t>《政府采购非招标采购方式管理办法》</w:t>
      </w:r>
      <w:r>
        <w:rPr>
          <w:rFonts w:hint="eastAsia" w:ascii="宋体" w:hAnsi="宋体" w:eastAsia="宋体" w:cs="宋体"/>
          <w:color w:val="auto"/>
          <w:highlight w:val="none"/>
        </w:rPr>
        <w:t>等有关法律、法规的规定进行协商，合同签订后采购人将按照成交人响应文件中所投服务进行验收，一旦发现虚假应标行为，取消该成交人的成交资格，并保留追究其法律责任的权利。</w:t>
      </w:r>
    </w:p>
    <w:p w14:paraId="1673808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6.本单一来源采购文件的解释权属于采购人、采购代理机构。</w:t>
      </w:r>
      <w:bookmarkEnd w:id="496"/>
    </w:p>
    <w:bookmarkEnd w:id="495"/>
    <w:p w14:paraId="0A890F10">
      <w:pPr>
        <w:pStyle w:val="11"/>
        <w:rPr>
          <w:rFonts w:hint="eastAsia" w:ascii="宋体" w:hAnsi="宋体" w:eastAsia="宋体" w:cs="宋体"/>
          <w:color w:val="auto"/>
          <w:highlight w:val="none"/>
        </w:rPr>
      </w:pPr>
    </w:p>
    <w:p w14:paraId="0271954A">
      <w:pPr>
        <w:rPr>
          <w:rFonts w:hint="eastAsia" w:ascii="宋体" w:hAnsi="宋体" w:eastAsia="宋体" w:cs="宋体"/>
          <w:b/>
          <w:bCs/>
          <w:color w:val="auto"/>
          <w:szCs w:val="21"/>
          <w:highlight w:val="none"/>
        </w:rPr>
      </w:pPr>
    </w:p>
    <w:p w14:paraId="79189B22">
      <w:pPr>
        <w:pStyle w:val="11"/>
        <w:rPr>
          <w:rFonts w:hint="eastAsia" w:ascii="宋体" w:hAnsi="宋体" w:eastAsia="宋体" w:cs="宋体"/>
          <w:color w:val="auto"/>
          <w:highlight w:val="none"/>
        </w:rPr>
      </w:pPr>
    </w:p>
    <w:p w14:paraId="30B956F5">
      <w:pPr>
        <w:rPr>
          <w:rFonts w:hint="eastAsia" w:ascii="宋体" w:hAnsi="宋体" w:eastAsia="宋体" w:cs="宋体"/>
          <w:b/>
          <w:bCs/>
          <w:color w:val="auto"/>
          <w:szCs w:val="21"/>
          <w:highlight w:val="none"/>
        </w:rPr>
      </w:pPr>
    </w:p>
    <w:p w14:paraId="0316A920">
      <w:pPr>
        <w:pStyle w:val="11"/>
        <w:rPr>
          <w:rFonts w:hint="eastAsia" w:ascii="宋体" w:hAnsi="宋体" w:eastAsia="宋体" w:cs="宋体"/>
          <w:color w:val="auto"/>
          <w:highlight w:val="none"/>
        </w:rPr>
      </w:pPr>
    </w:p>
    <w:p w14:paraId="29E3EEEE">
      <w:pPr>
        <w:rPr>
          <w:rFonts w:hint="eastAsia" w:ascii="宋体" w:hAnsi="宋体" w:eastAsia="宋体" w:cs="宋体"/>
          <w:b/>
          <w:bCs/>
          <w:color w:val="auto"/>
          <w:szCs w:val="21"/>
          <w:highlight w:val="none"/>
        </w:rPr>
      </w:pPr>
    </w:p>
    <w:p w14:paraId="2D3F50FA">
      <w:pPr>
        <w:pStyle w:val="11"/>
        <w:rPr>
          <w:rFonts w:hint="eastAsia" w:ascii="宋体" w:hAnsi="宋体" w:eastAsia="宋体" w:cs="宋体"/>
          <w:color w:val="auto"/>
          <w:highlight w:val="none"/>
        </w:rPr>
      </w:pPr>
    </w:p>
    <w:p w14:paraId="287B8E72">
      <w:pPr>
        <w:rPr>
          <w:rFonts w:hint="eastAsia" w:ascii="宋体" w:hAnsi="宋体" w:eastAsia="宋体" w:cs="宋体"/>
          <w:b/>
          <w:bCs/>
          <w:color w:val="auto"/>
          <w:szCs w:val="21"/>
          <w:highlight w:val="none"/>
        </w:rPr>
      </w:pPr>
    </w:p>
    <w:p w14:paraId="4DB926E4">
      <w:pPr>
        <w:pStyle w:val="11"/>
        <w:rPr>
          <w:rFonts w:hint="eastAsia" w:ascii="宋体" w:hAnsi="宋体" w:eastAsia="宋体" w:cs="宋体"/>
          <w:color w:val="auto"/>
          <w:highlight w:val="none"/>
        </w:rPr>
      </w:pPr>
    </w:p>
    <w:p w14:paraId="2C370FF3">
      <w:pPr>
        <w:pStyle w:val="3"/>
        <w:jc w:val="both"/>
        <w:rPr>
          <w:rFonts w:hint="eastAsia" w:ascii="宋体" w:hAnsi="宋体" w:eastAsia="宋体" w:cs="宋体"/>
          <w:highlight w:val="none"/>
        </w:rPr>
      </w:pPr>
      <w:r>
        <w:rPr>
          <w:rFonts w:hint="eastAsia" w:ascii="宋体" w:hAnsi="宋体" w:eastAsia="宋体" w:cs="宋体"/>
          <w:highlight w:val="none"/>
        </w:rPr>
        <w:t>一、采购需求一览表</w:t>
      </w:r>
    </w:p>
    <w:tbl>
      <w:tblPr>
        <w:tblStyle w:val="38"/>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3633"/>
        <w:gridCol w:w="952"/>
        <w:gridCol w:w="1309"/>
        <w:gridCol w:w="1647"/>
      </w:tblGrid>
      <w:tr w14:paraId="1E1F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082" w:type="dxa"/>
            <w:shd w:val="clear" w:color="000000" w:fill="FFFFFF"/>
            <w:vAlign w:val="center"/>
          </w:tcPr>
          <w:p w14:paraId="09747069">
            <w:pPr>
              <w:spacing w:line="400" w:lineRule="exact"/>
              <w:ind w:left="0" w:leftChars="-51" w:hanging="107" w:hangingChars="51"/>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序号</w:t>
            </w:r>
          </w:p>
        </w:tc>
        <w:tc>
          <w:tcPr>
            <w:tcW w:w="3633" w:type="dxa"/>
            <w:shd w:val="clear" w:color="000000" w:fill="FFFFFF"/>
            <w:vAlign w:val="center"/>
          </w:tcPr>
          <w:p w14:paraId="077C3866">
            <w:pPr>
              <w:spacing w:line="400" w:lineRule="exact"/>
              <w:ind w:left="0" w:leftChars="-51" w:hanging="107" w:hangingChars="51"/>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项目（产品）名称</w:t>
            </w:r>
          </w:p>
        </w:tc>
        <w:tc>
          <w:tcPr>
            <w:tcW w:w="952" w:type="dxa"/>
            <w:shd w:val="clear" w:color="000000" w:fill="FFFFFF"/>
            <w:vAlign w:val="center"/>
          </w:tcPr>
          <w:p w14:paraId="560FE76E">
            <w:pPr>
              <w:spacing w:line="400" w:lineRule="exact"/>
              <w:ind w:left="0" w:leftChars="-51" w:hanging="107" w:hangingChars="51"/>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数量</w:t>
            </w:r>
          </w:p>
        </w:tc>
        <w:tc>
          <w:tcPr>
            <w:tcW w:w="1309" w:type="dxa"/>
            <w:shd w:val="clear" w:color="000000" w:fill="FFFFFF"/>
            <w:vAlign w:val="center"/>
          </w:tcPr>
          <w:p w14:paraId="0D16AE85">
            <w:pPr>
              <w:spacing w:line="400" w:lineRule="exact"/>
              <w:ind w:left="0" w:leftChars="-51" w:hanging="107" w:hangingChars="51"/>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计量单位</w:t>
            </w:r>
          </w:p>
        </w:tc>
        <w:tc>
          <w:tcPr>
            <w:tcW w:w="1647" w:type="dxa"/>
            <w:shd w:val="clear" w:color="000000" w:fill="FFFFFF"/>
            <w:vAlign w:val="center"/>
          </w:tcPr>
          <w:p w14:paraId="377778C2">
            <w:pPr>
              <w:spacing w:line="400" w:lineRule="exact"/>
              <w:ind w:left="0" w:leftChars="-51" w:hanging="107" w:hangingChars="5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▲单价最高限价（元）</w:t>
            </w:r>
          </w:p>
        </w:tc>
      </w:tr>
      <w:tr w14:paraId="4A28E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2" w:type="dxa"/>
            <w:shd w:val="clear" w:color="000000" w:fill="FFFFFF"/>
            <w:vAlign w:val="center"/>
          </w:tcPr>
          <w:p w14:paraId="43D75E43">
            <w:pPr>
              <w:widowControl/>
              <w:spacing w:line="240" w:lineRule="exact"/>
              <w:jc w:val="center"/>
              <w:rPr>
                <w:rFonts w:hint="eastAsia" w:ascii="宋体" w:hAnsi="宋体" w:eastAsia="宋体" w:cs="宋体"/>
                <w:color w:val="000000"/>
                <w:kern w:val="0"/>
                <w:szCs w:val="21"/>
                <w:highlight w:val="none"/>
              </w:rPr>
            </w:pPr>
            <w:r>
              <w:rPr>
                <w:rFonts w:hint="eastAsia" w:ascii="宋体" w:hAnsi="宋体" w:eastAsia="宋体" w:cs="宋体"/>
                <w:bCs/>
                <w:color w:val="000000" w:themeColor="text1"/>
                <w:szCs w:val="21"/>
                <w:highlight w:val="none"/>
                <w14:textFill>
                  <w14:solidFill>
                    <w14:schemeClr w14:val="tx1"/>
                  </w14:solidFill>
                </w14:textFill>
              </w:rPr>
              <w:t>1</w:t>
            </w:r>
          </w:p>
        </w:tc>
        <w:tc>
          <w:tcPr>
            <w:tcW w:w="3633" w:type="dxa"/>
            <w:shd w:val="clear" w:color="000000" w:fill="FFFFFF"/>
            <w:vAlign w:val="center"/>
          </w:tcPr>
          <w:p w14:paraId="3C4724DE">
            <w:pPr>
              <w:widowControl/>
              <w:spacing w:line="360" w:lineRule="auto"/>
              <w:jc w:val="center"/>
              <w:textAlignment w:val="center"/>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lang w:eastAsia="zh-CN"/>
              </w:rPr>
              <w:t>云南财经职业学院大数据中心软件升级-图书与信息中心数据管理与服务平台升级项目</w:t>
            </w:r>
          </w:p>
        </w:tc>
        <w:tc>
          <w:tcPr>
            <w:tcW w:w="952" w:type="dxa"/>
            <w:shd w:val="clear" w:color="000000" w:fill="FFFFFF"/>
            <w:vAlign w:val="center"/>
          </w:tcPr>
          <w:p w14:paraId="0DB975FE">
            <w:pPr>
              <w:widowControl/>
              <w:spacing w:line="360" w:lineRule="auto"/>
              <w:jc w:val="center"/>
              <w:textAlignment w:val="center"/>
              <w:rPr>
                <w:rFonts w:hint="eastAsia" w:ascii="宋体" w:hAnsi="宋体" w:eastAsia="宋体" w:cs="宋体"/>
                <w:color w:val="000000"/>
                <w:kern w:val="0"/>
                <w:szCs w:val="21"/>
                <w:highlight w:val="none"/>
              </w:rPr>
            </w:pPr>
            <w:r>
              <w:rPr>
                <w:rFonts w:hint="eastAsia" w:ascii="宋体" w:hAnsi="宋体" w:eastAsia="宋体" w:cs="宋体"/>
                <w:kern w:val="0"/>
                <w:szCs w:val="21"/>
                <w:highlight w:val="none"/>
                <w:lang w:val="en-US" w:eastAsia="zh-CN"/>
              </w:rPr>
              <w:t>1</w:t>
            </w:r>
          </w:p>
        </w:tc>
        <w:tc>
          <w:tcPr>
            <w:tcW w:w="1309" w:type="dxa"/>
            <w:shd w:val="clear" w:color="000000" w:fill="FFFFFF"/>
            <w:vAlign w:val="center"/>
          </w:tcPr>
          <w:p w14:paraId="6614564C">
            <w:pPr>
              <w:widowControl/>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项</w:t>
            </w:r>
          </w:p>
        </w:tc>
        <w:tc>
          <w:tcPr>
            <w:tcW w:w="1647" w:type="dxa"/>
            <w:shd w:val="clear" w:color="000000" w:fill="FFFFFF"/>
            <w:vAlign w:val="center"/>
          </w:tcPr>
          <w:p w14:paraId="47DC802D">
            <w:pPr>
              <w:widowControl/>
              <w:spacing w:line="360" w:lineRule="auto"/>
              <w:jc w:val="center"/>
              <w:textAlignment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1200000.00</w:t>
            </w:r>
          </w:p>
        </w:tc>
      </w:tr>
    </w:tbl>
    <w:p w14:paraId="41E781B5">
      <w:pPr>
        <w:pStyle w:val="3"/>
        <w:jc w:val="both"/>
        <w:rPr>
          <w:rFonts w:hint="eastAsia" w:ascii="宋体" w:hAnsi="宋体" w:eastAsia="宋体" w:cs="宋体"/>
          <w:highlight w:val="none"/>
        </w:rPr>
      </w:pPr>
      <w:r>
        <w:rPr>
          <w:rFonts w:hint="eastAsia" w:ascii="宋体" w:hAnsi="宋体" w:eastAsia="宋体" w:cs="宋体"/>
          <w:highlight w:val="none"/>
        </w:rPr>
        <w:t>二、技术要求</w:t>
      </w:r>
    </w:p>
    <w:p w14:paraId="1A42EE40">
      <w:pPr>
        <w:autoSpaceDE w:val="0"/>
        <w:autoSpaceDN w:val="0"/>
        <w:adjustRightInd w:val="0"/>
        <w:spacing w:line="360" w:lineRule="auto"/>
        <w:ind w:firstLine="0" w:firstLineChars="0"/>
        <w:jc w:val="lef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（一）采购标的需实现的功能或者目标</w:t>
      </w:r>
    </w:p>
    <w:p w14:paraId="363308EC">
      <w:pPr>
        <w:autoSpaceDE w:val="0"/>
        <w:autoSpaceDN w:val="0"/>
        <w:adjustRightInd w:val="0"/>
        <w:spacing w:line="360" w:lineRule="auto"/>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目前我校数据中心的数据管理与服务平台由于建于2018年，版本较低，缺乏技术更迭，功能无法满足当前“双高”“信息化标杆学校”等重要项目以及未来新系统的数据对接和数据管理需求，对各部门业务系统的数据对接工作造成了阻碍，影响教职工在线办公的体验。本项目拟采购一套数据管理与服务平台，对旧平台进行升级迭代，包含主数据管理平台、数据交换平台、BI分析工具、融合服务门户和融合认证中心五个子系统。</w:t>
      </w:r>
    </w:p>
    <w:p w14:paraId="6857DF14">
      <w:pPr>
        <w:autoSpaceDE w:val="0"/>
        <w:autoSpaceDN w:val="0"/>
        <w:adjustRightInd w:val="0"/>
        <w:spacing w:line="360" w:lineRule="auto"/>
        <w:ind w:firstLine="0" w:firstLineChars="0"/>
        <w:jc w:val="left"/>
        <w:rPr>
          <w:rFonts w:hint="eastAsia" w:ascii="宋体" w:hAnsi="宋体" w:eastAsia="宋体" w:cs="宋体"/>
          <w:bCs/>
          <w:szCs w:val="21"/>
          <w:highlight w:val="none"/>
          <w:lang w:val="en-US" w:eastAsia="zh-CN"/>
        </w:rPr>
      </w:pPr>
      <w:r>
        <w:rPr>
          <w:rFonts w:hint="eastAsia" w:ascii="宋体" w:hAnsi="宋体" w:eastAsia="宋体" w:cs="宋体"/>
          <w:b/>
          <w:bCs w:val="0"/>
          <w:szCs w:val="21"/>
          <w:highlight w:val="none"/>
          <w:lang w:val="en-US" w:eastAsia="zh-CN"/>
        </w:rPr>
        <w:t>（二）采购标的需执行的国家相关标准、行业标准、地方标准或者其他标准、规范</w:t>
      </w:r>
    </w:p>
    <w:p w14:paraId="0105664E">
      <w:pPr>
        <w:autoSpaceDE w:val="0"/>
        <w:autoSpaceDN w:val="0"/>
        <w:adjustRightInd w:val="0"/>
        <w:spacing w:line="360" w:lineRule="auto"/>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根据《高等学校数字校园建设规范（试行）》《全国职业院校大数据中心建设指南》《职业院校数字校园规范》《教育信息化2.0行动计划》等文件要求，及其他标准、规范。</w:t>
      </w:r>
    </w:p>
    <w:p w14:paraId="3BAAB334">
      <w:pPr>
        <w:autoSpaceDE w:val="0"/>
        <w:autoSpaceDN w:val="0"/>
        <w:adjustRightInd w:val="0"/>
        <w:spacing w:line="360" w:lineRule="auto"/>
        <w:ind w:firstLine="0" w:firstLineChars="0"/>
        <w:jc w:val="lef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(三）采购标的需满足的质量、安全、技术规格、物理特性等要求</w:t>
      </w:r>
    </w:p>
    <w:p w14:paraId="471A922A">
      <w:pPr>
        <w:autoSpaceDE w:val="0"/>
        <w:autoSpaceDN w:val="0"/>
        <w:adjustRightInd w:val="0"/>
        <w:spacing w:line="360" w:lineRule="auto"/>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详见技术附件。</w:t>
      </w:r>
    </w:p>
    <w:p w14:paraId="0C95D112">
      <w:pPr>
        <w:autoSpaceDE w:val="0"/>
        <w:autoSpaceDN w:val="0"/>
        <w:adjustRightInd w:val="0"/>
        <w:spacing w:line="360" w:lineRule="auto"/>
        <w:ind w:firstLine="0" w:firstLineChars="0"/>
        <w:jc w:val="left"/>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三、商务要求</w:t>
      </w:r>
    </w:p>
    <w:p w14:paraId="36BBEFFF">
      <w:pPr>
        <w:autoSpaceDE w:val="0"/>
        <w:autoSpaceDN w:val="0"/>
        <w:adjustRightInd w:val="0"/>
        <w:spacing w:line="360" w:lineRule="auto"/>
        <w:ind w:firstLine="0" w:firstLineChars="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w:t>
      </w:r>
      <w:r>
        <w:rPr>
          <w:rFonts w:hint="eastAsia" w:ascii="宋体" w:hAnsi="宋体" w:eastAsia="宋体" w:cs="宋体"/>
          <w:b/>
          <w:bCs w:val="0"/>
          <w:szCs w:val="21"/>
          <w:highlight w:val="none"/>
          <w:lang w:val="en-US" w:eastAsia="zh-CN"/>
        </w:rPr>
        <w:t>1、</w:t>
      </w:r>
      <w:r>
        <w:rPr>
          <w:rFonts w:hint="eastAsia" w:ascii="宋体" w:hAnsi="宋体" w:eastAsia="宋体" w:cs="宋体"/>
          <w:b/>
          <w:bCs/>
          <w:color w:val="auto"/>
          <w:szCs w:val="21"/>
          <w:highlight w:val="none"/>
          <w:lang w:eastAsia="zh-CN"/>
        </w:rPr>
        <w:t>合同履行期限（服务期限）</w:t>
      </w:r>
      <w:r>
        <w:rPr>
          <w:rFonts w:hint="eastAsia" w:ascii="宋体" w:hAnsi="宋体" w:eastAsia="宋体" w:cs="宋体"/>
          <w:b/>
          <w:bCs w:val="0"/>
          <w:szCs w:val="21"/>
          <w:highlight w:val="none"/>
          <w:lang w:val="en-US" w:eastAsia="zh-CN"/>
        </w:rPr>
        <w:t>：</w:t>
      </w:r>
      <w:r>
        <w:rPr>
          <w:rFonts w:hint="eastAsia" w:ascii="宋体" w:hAnsi="宋体" w:eastAsia="宋体" w:cs="宋体"/>
          <w:bCs/>
          <w:szCs w:val="21"/>
          <w:highlight w:val="none"/>
          <w:lang w:val="en-US" w:eastAsia="zh-CN"/>
        </w:rPr>
        <w:t>2025年9月30日之前完成安装调试、培训，并通过采购人验收；</w:t>
      </w:r>
    </w:p>
    <w:p w14:paraId="20EAB107">
      <w:pPr>
        <w:autoSpaceDE w:val="0"/>
        <w:autoSpaceDN w:val="0"/>
        <w:adjustRightInd w:val="0"/>
        <w:spacing w:line="360" w:lineRule="auto"/>
        <w:ind w:firstLine="0" w:firstLineChars="0"/>
        <w:jc w:val="left"/>
        <w:rPr>
          <w:rFonts w:hint="eastAsia" w:ascii="宋体" w:hAnsi="宋体" w:eastAsia="宋体" w:cs="宋体"/>
          <w:bCs/>
          <w:szCs w:val="21"/>
          <w:highlight w:val="none"/>
          <w:lang w:val="en-US" w:eastAsia="zh-CN"/>
        </w:rPr>
      </w:pPr>
      <w:r>
        <w:rPr>
          <w:rFonts w:hint="eastAsia" w:ascii="宋体" w:hAnsi="宋体" w:eastAsia="宋体" w:cs="宋体"/>
          <w:b/>
          <w:bCs w:val="0"/>
          <w:kern w:val="0"/>
          <w:szCs w:val="21"/>
          <w:highlight w:val="none"/>
          <w:lang w:val="en-US" w:eastAsia="zh-CN"/>
        </w:rPr>
        <w:t>2、服务地点：</w:t>
      </w:r>
      <w:r>
        <w:rPr>
          <w:rFonts w:hint="eastAsia" w:ascii="宋体" w:hAnsi="宋体" w:eastAsia="宋体" w:cs="宋体"/>
          <w:bCs/>
          <w:szCs w:val="21"/>
          <w:highlight w:val="none"/>
          <w:lang w:val="en-US" w:eastAsia="zh-CN"/>
        </w:rPr>
        <w:t>云南财经职业学院（云南省昆明市龙泉路408号）；</w:t>
      </w:r>
    </w:p>
    <w:p w14:paraId="70D4FCB6">
      <w:pPr>
        <w:pStyle w:val="18"/>
        <w:tabs>
          <w:tab w:val="left" w:pos="1275"/>
          <w:tab w:val="left" w:pos="1440"/>
          <w:tab w:val="left" w:pos="1620"/>
        </w:tabs>
        <w:spacing w:line="460" w:lineRule="exact"/>
        <w:ind w:firstLine="0" w:firstLineChars="0"/>
        <w:rPr>
          <w:rFonts w:hint="eastAsia" w:ascii="宋体" w:hAnsi="宋体" w:eastAsia="宋体" w:cs="宋体"/>
          <w:b w:val="0"/>
          <w:bCs/>
          <w:kern w:val="2"/>
          <w:sz w:val="21"/>
          <w:szCs w:val="21"/>
          <w:highlight w:val="none"/>
          <w:lang w:val="en-US" w:eastAsia="zh-CN"/>
        </w:rPr>
      </w:pPr>
      <w:r>
        <w:rPr>
          <w:rFonts w:hint="eastAsia" w:ascii="宋体" w:hAnsi="宋体" w:eastAsia="宋体" w:cs="宋体"/>
          <w:b/>
          <w:bCs w:val="0"/>
          <w:sz w:val="21"/>
          <w:szCs w:val="21"/>
          <w:highlight w:val="none"/>
          <w:lang w:val="en-US" w:eastAsia="zh-CN"/>
        </w:rPr>
        <w:t>3、付款方式：</w:t>
      </w:r>
      <w:r>
        <w:rPr>
          <w:rFonts w:hint="eastAsia" w:ascii="宋体" w:hAnsi="宋体" w:eastAsia="宋体" w:cs="宋体"/>
          <w:b w:val="0"/>
          <w:bCs/>
          <w:kern w:val="2"/>
          <w:sz w:val="21"/>
          <w:szCs w:val="21"/>
          <w:highlight w:val="none"/>
          <w:lang w:val="en-US" w:eastAsia="zh-CN"/>
        </w:rPr>
        <w:t>自合同签订之日起三十日内，支付合同总额的50%首付款至乙方指定账户，完成整个项目的全部服务内容并验收合格后30日内支付合同金额的50%尾款至乙方指定账户。付款时乙方需提供增值税普通发票。</w:t>
      </w:r>
    </w:p>
    <w:p w14:paraId="05156814">
      <w:pPr>
        <w:pStyle w:val="18"/>
        <w:tabs>
          <w:tab w:val="left" w:pos="1275"/>
          <w:tab w:val="left" w:pos="1440"/>
          <w:tab w:val="left" w:pos="1620"/>
        </w:tabs>
        <w:spacing w:line="460" w:lineRule="exact"/>
        <w:ind w:firstLine="0" w:firstLineChars="0"/>
        <w:rPr>
          <w:rFonts w:hint="eastAsia" w:ascii="宋体" w:hAnsi="宋体" w:eastAsia="宋体" w:cs="宋体"/>
          <w:bCs/>
          <w:szCs w:val="21"/>
          <w:highlight w:val="none"/>
          <w:lang w:val="en-US" w:eastAsia="zh-CN"/>
        </w:rPr>
      </w:pPr>
      <w:r>
        <w:rPr>
          <w:rFonts w:hint="eastAsia" w:ascii="宋体" w:hAnsi="宋体" w:eastAsia="宋体" w:cs="宋体"/>
          <w:b/>
          <w:bCs w:val="0"/>
          <w:sz w:val="21"/>
          <w:szCs w:val="21"/>
          <w:highlight w:val="none"/>
          <w:lang w:val="en-US" w:eastAsia="zh-CN"/>
        </w:rPr>
        <w:t>4、 服务要求</w:t>
      </w:r>
    </w:p>
    <w:p w14:paraId="7EA3E0E9">
      <w:pPr>
        <w:autoSpaceDE w:val="0"/>
        <w:autoSpaceDN w:val="0"/>
        <w:adjustRightInd w:val="0"/>
        <w:spacing w:line="360" w:lineRule="auto"/>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（1）质保期不低于3年。</w:t>
      </w:r>
    </w:p>
    <w:p w14:paraId="5A37787D">
      <w:pPr>
        <w:autoSpaceDE w:val="0"/>
        <w:autoSpaceDN w:val="0"/>
        <w:adjustRightInd w:val="0"/>
        <w:spacing w:line="360" w:lineRule="auto"/>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（2）质保期内免费提供维修维护及软件升级服务，并提供一名驻场技术人员服务，办公地点由学校图书与信息中心提供；</w:t>
      </w:r>
    </w:p>
    <w:p w14:paraId="405A4C31">
      <w:pPr>
        <w:autoSpaceDE w:val="0"/>
        <w:autoSpaceDN w:val="0"/>
        <w:adjustRightInd w:val="0"/>
        <w:spacing w:line="360" w:lineRule="auto"/>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（3）响应时间：接采购人故障报修通知后15分钟内响应，24小时内修复故障，未能修复或需多个单位配合的，出具解决方案；</w:t>
      </w:r>
    </w:p>
    <w:p w14:paraId="459EE417">
      <w:pPr>
        <w:autoSpaceDE w:val="0"/>
        <w:autoSpaceDN w:val="0"/>
        <w:adjustRightInd w:val="0"/>
        <w:spacing w:line="360" w:lineRule="auto"/>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（4）质保期过后，提供终身优惠售后服务内容。</w:t>
      </w:r>
    </w:p>
    <w:p w14:paraId="16A33795">
      <w:pPr>
        <w:pStyle w:val="18"/>
        <w:tabs>
          <w:tab w:val="left" w:pos="1275"/>
          <w:tab w:val="left" w:pos="1440"/>
          <w:tab w:val="left" w:pos="1620"/>
        </w:tabs>
        <w:spacing w:line="460" w:lineRule="exact"/>
        <w:ind w:firstLine="0" w:firstLineChars="0"/>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5、验收标准</w:t>
      </w:r>
    </w:p>
    <w:p w14:paraId="41D815D7">
      <w:pPr>
        <w:autoSpaceDE w:val="0"/>
        <w:autoSpaceDN w:val="0"/>
        <w:adjustRightInd w:val="0"/>
        <w:spacing w:line="360" w:lineRule="auto"/>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采购人及供应方共同对软件进行验收。其中确认软件的产品名称、规格型号和数量由最终用户验收（初验）；再组织相关专业人员对软件系统的安装、调试结果、各功能模块进行逐项检查（终验）。</w:t>
      </w:r>
    </w:p>
    <w:p w14:paraId="4A3F0046">
      <w:pPr>
        <w:pStyle w:val="18"/>
        <w:tabs>
          <w:tab w:val="left" w:pos="1275"/>
          <w:tab w:val="left" w:pos="1440"/>
          <w:tab w:val="left" w:pos="1620"/>
        </w:tabs>
        <w:spacing w:line="4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6.</w:t>
      </w:r>
      <w:r>
        <w:rPr>
          <w:rFonts w:hint="eastAsia" w:ascii="宋体" w:hAnsi="宋体" w:eastAsia="宋体" w:cs="宋体"/>
          <w:b/>
          <w:sz w:val="21"/>
          <w:szCs w:val="21"/>
          <w:highlight w:val="none"/>
        </w:rPr>
        <w:t>其它</w:t>
      </w:r>
    </w:p>
    <w:p w14:paraId="4D6C2B35">
      <w:pPr>
        <w:pStyle w:val="18"/>
        <w:tabs>
          <w:tab w:val="left" w:pos="1275"/>
          <w:tab w:val="left" w:pos="1440"/>
          <w:tab w:val="left" w:pos="1620"/>
        </w:tabs>
        <w:spacing w:line="460" w:lineRule="exact"/>
        <w:ind w:firstLine="420" w:firstLineChars="200"/>
        <w:rPr>
          <w:rFonts w:hint="eastAsia" w:ascii="宋体" w:hAnsi="宋体" w:eastAsia="宋体" w:cs="宋体"/>
          <w:b/>
          <w:sz w:val="21"/>
          <w:szCs w:val="21"/>
          <w:highlight w:val="none"/>
          <w:lang w:val="en-US" w:eastAsia="zh-CN"/>
        </w:rPr>
      </w:pPr>
      <w:r>
        <w:rPr>
          <w:rFonts w:hint="eastAsia" w:ascii="宋体" w:hAnsi="宋体" w:eastAsia="宋体" w:cs="宋体"/>
          <w:b w:val="0"/>
          <w:bCs/>
          <w:sz w:val="21"/>
          <w:szCs w:val="21"/>
          <w:highlight w:val="none"/>
          <w:lang w:val="en-US" w:eastAsia="zh-CN"/>
        </w:rPr>
        <w:t>6.1</w:t>
      </w:r>
      <w:r>
        <w:rPr>
          <w:rFonts w:hint="eastAsia" w:ascii="宋体" w:hAnsi="宋体" w:eastAsia="宋体" w:cs="宋体"/>
          <w:bCs/>
          <w:szCs w:val="21"/>
          <w:highlight w:val="none"/>
          <w:lang w:val="en-US" w:eastAsia="zh-CN"/>
        </w:rPr>
        <w:t>要求提供旧平台数据迁移服务，保证业务不中断。</w:t>
      </w:r>
    </w:p>
    <w:p w14:paraId="45F43FA1">
      <w:pPr>
        <w:spacing w:line="460" w:lineRule="exact"/>
        <w:ind w:firstLine="420" w:firstLineChars="200"/>
        <w:rPr>
          <w:rFonts w:hint="eastAsia" w:ascii="宋体" w:hAnsi="宋体" w:eastAsia="宋体" w:cs="宋体"/>
          <w:szCs w:val="21"/>
          <w:highlight w:val="none"/>
        </w:rPr>
      </w:pPr>
      <w:bookmarkStart w:id="500" w:name="_Toc20911"/>
      <w:bookmarkStart w:id="501" w:name="_Toc9936"/>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成交供应商根据本项目</w:t>
      </w:r>
      <w:r>
        <w:rPr>
          <w:rFonts w:hint="eastAsia" w:ascii="宋体" w:hAnsi="宋体" w:eastAsia="宋体" w:cs="宋体"/>
          <w:szCs w:val="21"/>
          <w:highlight w:val="none"/>
          <w:lang w:val="en-US" w:eastAsia="zh-CN"/>
        </w:rPr>
        <w:t>单一来源采购</w:t>
      </w:r>
      <w:r>
        <w:rPr>
          <w:rFonts w:hint="eastAsia" w:ascii="宋体" w:hAnsi="宋体" w:eastAsia="宋体" w:cs="宋体"/>
          <w:szCs w:val="21"/>
          <w:highlight w:val="none"/>
        </w:rPr>
        <w:t>文件向采购人提供相关</w:t>
      </w:r>
      <w:r>
        <w:rPr>
          <w:rFonts w:hint="eastAsia" w:ascii="宋体" w:hAnsi="宋体" w:eastAsia="宋体" w:cs="宋体"/>
          <w:szCs w:val="21"/>
          <w:highlight w:val="none"/>
          <w:lang w:val="en-US" w:eastAsia="zh-CN"/>
        </w:rPr>
        <w:t>维保服务</w:t>
      </w:r>
      <w:r>
        <w:rPr>
          <w:rFonts w:hint="eastAsia" w:ascii="宋体" w:hAnsi="宋体" w:eastAsia="宋体" w:cs="宋体"/>
          <w:szCs w:val="21"/>
          <w:highlight w:val="none"/>
        </w:rPr>
        <w:t>，在履约过程中产生的一切成果资料其所有权和知识产权权利（包括但不限于：著作权、商标权、专利权、特殊标志所有权、技术秘密专有权等），成交供应商应当与采购人做出约定，履约过程中，成交供应商应保证在采购人使用期间不受第三方可能提出的所有权、用益物权、担保物权、占有等一切涉及物权及知识产权、商标权、专利权、著作权等相关权利的起诉。</w:t>
      </w:r>
    </w:p>
    <w:p w14:paraId="73253669">
      <w:pPr>
        <w:spacing w:line="46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成交供应商应对在项目维护的过程中，涉及到采购人的经营信息等商业秘密进行保密。双方应共同对项目中涉及的技术情报和资料进行保密。</w:t>
      </w:r>
      <w:bookmarkEnd w:id="500"/>
      <w:bookmarkEnd w:id="501"/>
    </w:p>
    <w:p w14:paraId="3FF83006">
      <w:pPr>
        <w:pStyle w:val="18"/>
        <w:tabs>
          <w:tab w:val="left" w:pos="1275"/>
          <w:tab w:val="left" w:pos="1440"/>
          <w:tab w:val="left" w:pos="1620"/>
        </w:tabs>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附注：</w:t>
      </w:r>
    </w:p>
    <w:p w14:paraId="1B68CAB9">
      <w:pPr>
        <w:pStyle w:val="18"/>
        <w:tabs>
          <w:tab w:val="left" w:pos="1275"/>
          <w:tab w:val="left" w:pos="1440"/>
          <w:tab w:val="left" w:pos="1620"/>
        </w:tabs>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4921"/>
        <w:gridCol w:w="3078"/>
      </w:tblGrid>
      <w:tr w14:paraId="1B15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689" w:type="pct"/>
            <w:shd w:val="clear" w:color="auto" w:fill="A5A5A5"/>
            <w:vAlign w:val="center"/>
          </w:tcPr>
          <w:p w14:paraId="579BB7ED">
            <w:pPr>
              <w:spacing w:line="360" w:lineRule="auto"/>
              <w:jc w:val="center"/>
              <w:textAlignment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651" w:type="pct"/>
            <w:shd w:val="clear" w:color="auto" w:fill="A5A5A5"/>
            <w:vAlign w:val="center"/>
          </w:tcPr>
          <w:p w14:paraId="6B1394C3">
            <w:pPr>
              <w:spacing w:line="360" w:lineRule="auto"/>
              <w:jc w:val="center"/>
              <w:textAlignment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标的名称</w:t>
            </w:r>
          </w:p>
        </w:tc>
        <w:tc>
          <w:tcPr>
            <w:tcW w:w="1658" w:type="pct"/>
            <w:shd w:val="clear" w:color="auto" w:fill="A5A5A5"/>
            <w:vAlign w:val="center"/>
          </w:tcPr>
          <w:p w14:paraId="6CC9F56C">
            <w:pPr>
              <w:spacing w:line="360" w:lineRule="auto"/>
              <w:jc w:val="center"/>
              <w:textAlignment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所属行业</w:t>
            </w:r>
          </w:p>
        </w:tc>
      </w:tr>
      <w:tr w14:paraId="599D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pct"/>
            <w:vAlign w:val="center"/>
          </w:tcPr>
          <w:p w14:paraId="0E16363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w:t>
            </w:r>
          </w:p>
        </w:tc>
        <w:tc>
          <w:tcPr>
            <w:tcW w:w="2651" w:type="pct"/>
            <w:vAlign w:val="center"/>
          </w:tcPr>
          <w:p w14:paraId="24F23A0B">
            <w:pPr>
              <w:keepNext w:val="0"/>
              <w:keepLines w:val="0"/>
              <w:widowControl/>
              <w:suppressLineNumbers w:val="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云南财经职业学院大数据中心软件升级-图书与信息中心数据管理与服务平台升级项目</w:t>
            </w:r>
          </w:p>
        </w:tc>
        <w:tc>
          <w:tcPr>
            <w:tcW w:w="1658" w:type="pct"/>
            <w:vAlign w:val="center"/>
          </w:tcPr>
          <w:p w14:paraId="5AE51D8F">
            <w:pPr>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软件和信息技术服务业</w:t>
            </w:r>
          </w:p>
        </w:tc>
      </w:tr>
    </w:tbl>
    <w:p w14:paraId="19CE75D4">
      <w:pPr>
        <w:autoSpaceDE w:val="0"/>
        <w:autoSpaceDN w:val="0"/>
        <w:adjustRightInd w:val="0"/>
        <w:spacing w:line="440" w:lineRule="exact"/>
        <w:ind w:firstLine="420" w:firstLineChars="200"/>
        <w:jc w:val="left"/>
        <w:rPr>
          <w:rFonts w:hint="eastAsia" w:ascii="宋体" w:hAnsi="宋体" w:eastAsia="宋体" w:cs="宋体"/>
          <w:b/>
          <w:bCs/>
          <w:color w:val="auto"/>
          <w:szCs w:val="21"/>
          <w:highlight w:val="none"/>
          <w:lang w:val="en-US"/>
        </w:rPr>
      </w:pPr>
      <w:r>
        <w:rPr>
          <w:rFonts w:hint="eastAsia" w:ascii="宋体" w:hAnsi="宋体" w:eastAsia="宋体" w:cs="宋体"/>
          <w:b/>
          <w:bCs/>
          <w:color w:val="auto"/>
          <w:szCs w:val="21"/>
          <w:highlight w:val="none"/>
          <w:lang w:val="en-US" w:eastAsia="zh-CN"/>
        </w:rPr>
        <w:t>注：供应商在填写《中小企业声明函》时，按照所投标段对应填写标的名称即可。</w:t>
      </w:r>
    </w:p>
    <w:p w14:paraId="69210F5E">
      <w:pPr>
        <w:autoSpaceDE w:val="0"/>
        <w:autoSpaceDN w:val="0"/>
        <w:adjustRightInd w:val="0"/>
        <w:spacing w:line="440" w:lineRule="exact"/>
        <w:ind w:firstLine="420" w:firstLineChars="200"/>
        <w:jc w:val="left"/>
        <w:rPr>
          <w:rFonts w:hint="eastAsia" w:ascii="宋体" w:hAnsi="宋体" w:eastAsia="宋体" w:cs="宋体"/>
          <w:b/>
          <w:color w:val="auto"/>
          <w:kern w:val="0"/>
          <w:szCs w:val="21"/>
          <w:highlight w:val="none"/>
        </w:rPr>
        <w:sectPr>
          <w:pgSz w:w="11906" w:h="16838"/>
          <w:pgMar w:top="1417" w:right="1417" w:bottom="1417" w:left="1417" w:header="680" w:footer="680" w:gutter="0"/>
          <w:pgNumType w:fmt="decimal"/>
          <w:cols w:space="720" w:num="1"/>
          <w:titlePg/>
          <w:docGrid w:type="linesAndChars" w:linePitch="312" w:charSpace="0"/>
        </w:sectPr>
      </w:pPr>
      <w:r>
        <w:rPr>
          <w:rFonts w:hint="eastAsia" w:ascii="宋体" w:hAnsi="宋体" w:eastAsia="宋体" w:cs="宋体"/>
          <w:b/>
          <w:bCs/>
          <w:color w:val="auto"/>
          <w:szCs w:val="21"/>
          <w:highlight w:val="none"/>
        </w:rPr>
        <w:t>软件和信息技术服务业</w:t>
      </w:r>
      <w:r>
        <w:rPr>
          <w:rFonts w:hint="eastAsia" w:ascii="宋体" w:hAnsi="宋体" w:eastAsia="宋体" w:cs="宋体"/>
          <w:b/>
          <w:color w:val="auto"/>
          <w:kern w:val="0"/>
          <w:szCs w:val="21"/>
          <w:highlight w:val="none"/>
        </w:rPr>
        <w:t>：</w:t>
      </w:r>
      <w:r>
        <w:rPr>
          <w:rFonts w:hint="eastAsia" w:ascii="宋体" w:hAnsi="宋体" w:eastAsia="宋体" w:cs="宋体"/>
          <w:b/>
          <w:bCs w:val="0"/>
          <w:snapToGrid/>
          <w:color w:val="auto"/>
          <w:kern w:val="2"/>
          <w:sz w:val="21"/>
          <w:szCs w:val="21"/>
          <w:highlight w:val="none"/>
          <w:lang w:val="en-US" w:eastAsia="zh-CN" w:bidi="ar-SA"/>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color w:val="auto"/>
          <w:kern w:val="0"/>
          <w:szCs w:val="21"/>
          <w:highlight w:val="none"/>
        </w:rPr>
        <w:t>。</w:t>
      </w:r>
    </w:p>
    <w:p w14:paraId="3AA6E0A8">
      <w:pPr>
        <w:pStyle w:val="3"/>
        <w:numPr>
          <w:ilvl w:val="1"/>
          <w:numId w:val="0"/>
        </w:numPr>
        <w:ind w:leftChars="0"/>
        <w:jc w:val="both"/>
        <w:rPr>
          <w:rFonts w:hint="eastAsia" w:ascii="宋体" w:hAnsi="宋体" w:eastAsia="宋体" w:cs="宋体"/>
          <w:sz w:val="28"/>
          <w:szCs w:val="28"/>
          <w:lang w:val="en-US" w:eastAsia="zh-CN"/>
        </w:rPr>
      </w:pPr>
      <w:bookmarkStart w:id="502" w:name="_Toc31176"/>
      <w:r>
        <w:rPr>
          <w:rFonts w:hint="eastAsia" w:ascii="宋体" w:hAnsi="宋体" w:eastAsia="宋体" w:cs="宋体"/>
          <w:sz w:val="24"/>
          <w:szCs w:val="24"/>
          <w:lang w:val="en-US" w:eastAsia="zh-CN"/>
        </w:rPr>
        <w:t>技术附件</w:t>
      </w:r>
      <w:r>
        <w:rPr>
          <w:rFonts w:hint="eastAsia" w:ascii="宋体" w:hAnsi="宋体" w:eastAsia="宋体" w:cs="宋体"/>
          <w:sz w:val="28"/>
          <w:szCs w:val="28"/>
          <w:lang w:val="en-US" w:eastAsia="zh-CN"/>
        </w:rPr>
        <w:t>：</w:t>
      </w:r>
    </w:p>
    <w:p w14:paraId="63795080">
      <w:pPr>
        <w:pStyle w:val="3"/>
        <w:jc w:val="both"/>
        <w:rPr>
          <w:rFonts w:hint="eastAsia" w:ascii="宋体" w:hAnsi="宋体" w:eastAsia="宋体" w:cs="宋体"/>
          <w:sz w:val="28"/>
          <w:szCs w:val="28"/>
        </w:rPr>
      </w:pPr>
      <w:r>
        <w:rPr>
          <w:rFonts w:hint="eastAsia" w:ascii="宋体" w:hAnsi="宋体" w:eastAsia="宋体" w:cs="宋体"/>
          <w:sz w:val="28"/>
          <w:szCs w:val="28"/>
          <w:lang w:val="en-US" w:eastAsia="zh-CN"/>
        </w:rPr>
        <w:t>1.1</w:t>
      </w:r>
      <w:r>
        <w:rPr>
          <w:rFonts w:hint="eastAsia" w:ascii="宋体" w:hAnsi="宋体" w:eastAsia="宋体" w:cs="宋体"/>
          <w:sz w:val="28"/>
          <w:szCs w:val="28"/>
        </w:rPr>
        <w:t>主数据管理平台（升级）</w:t>
      </w:r>
      <w:bookmarkEnd w:id="502"/>
    </w:p>
    <w:p w14:paraId="052420CB">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项目计划升级原有全量数据中心主数据平台。将原有的单一数据仓库系统，升级为当前主流的湖仓一体化数据中心结构，实现数据的建模、采集、清洗、整合、重组，便于学校后期更进一步实现数据的全面应用。</w:t>
      </w:r>
    </w:p>
    <w:p w14:paraId="2F748B10">
      <w:pPr>
        <w:spacing w:line="360" w:lineRule="auto"/>
        <w:ind w:firstLine="482"/>
        <w:rPr>
          <w:rFonts w:hint="eastAsia" w:ascii="宋体" w:hAnsi="宋体" w:eastAsia="宋体" w:cs="宋体"/>
          <w:b/>
          <w:bCs/>
          <w:sz w:val="21"/>
          <w:szCs w:val="21"/>
        </w:rPr>
      </w:pPr>
      <w:r>
        <w:rPr>
          <w:rFonts w:hint="eastAsia" w:ascii="宋体" w:hAnsi="宋体" w:eastAsia="宋体" w:cs="宋体"/>
          <w:b/>
          <w:bCs/>
          <w:sz w:val="21"/>
          <w:szCs w:val="21"/>
        </w:rPr>
        <w:t>（一）平台技术</w:t>
      </w:r>
    </w:p>
    <w:p w14:paraId="52FC0C5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从学校各部门的多个业务系统中整合最核心的、最需要共享的数据（主数据），按照信息标准集中进行数据的清洗和丰富，并且以服务的方式把统一的、完整的、准确的、具有权威性的主数据传送给学校范围内需要使用这些数据的应用系统和数据分析工具。根据全量标准建设全量数据库，覆盖整个学校业务域；依据信息标准规范，对全量数据库进行配置及备份，建设历史数据库；通过核验功能，对数据库的规范性进行定期校验，强化数据库的规范性；建设基于全量数据库的各类型可临时图形化配置的输入输出接口，为数据的共享提供便捷；提供数据仓库基础</w:t>
      </w:r>
      <w:r>
        <w:rPr>
          <w:rFonts w:hint="eastAsia" w:ascii="宋体" w:hAnsi="宋体" w:cs="宋体"/>
          <w:sz w:val="21"/>
          <w:szCs w:val="21"/>
          <w:lang w:val="en-US" w:eastAsia="zh-CN"/>
        </w:rPr>
        <w:t>实施</w:t>
      </w:r>
      <w:r>
        <w:rPr>
          <w:rFonts w:hint="eastAsia" w:ascii="宋体" w:hAnsi="宋体" w:eastAsia="宋体" w:cs="宋体"/>
          <w:sz w:val="21"/>
          <w:szCs w:val="21"/>
        </w:rPr>
        <w:t>维度管理，提供数据库监控管理，从各方面对整个数据库进行管理。</w:t>
      </w:r>
    </w:p>
    <w:p w14:paraId="510C114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提供统一的数据中心标准，统一的业务系统数据，统一的信息标准规范信息；构建全面的主数据中心、提供一致性的数据访问，在基于数据中心的全局数据库的基础上，建立统一的共享数据出口，一站式解决数据的一致性问题。</w:t>
      </w:r>
    </w:p>
    <w:p w14:paraId="4EACA9B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高价值、高共享：建立全局库，集成学校业务系统核心数据，是具有实际意义的数据资产，便于学校对学校整体数据进行可视化查看及管理，便于数据通过数据接口进行数据的共享。</w:t>
      </w:r>
    </w:p>
    <w:p w14:paraId="6D31DBFE">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相对稳定：建立历史库，历史库增加对历史数据的溯源，延长历史数据的生命周期，提供相对稳定的有效的数据。便于学校进行数据的溯源，查看增、删、改、查情况，便于学校进行状态数据上报。</w:t>
      </w:r>
    </w:p>
    <w:p w14:paraId="7CAE81FB">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（1）构建全局数据库，形成学校真正的数据资产</w:t>
      </w:r>
    </w:p>
    <w:p w14:paraId="2480189B">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基于全域标准，结合我校实际集成情况建设全局数据库。全局数据库是按照学校规范创建而成，具备全校最全面的数据，管理学校全域数据资产。在实现表权限管理的前提下，支持具有相应数据权限的管理员查询管理学校全域的数据内容，真正实现学校自主管理学校的数据资产。先将业务数据拷贝到数据湖，再通过信息标准在数据湖中对业务数据进行清洗、转换；前置库为原始的业务数据提供可视化查询业务原始数据功能；全局库为全量数据中心数据提供清洗、转换后的统一规范的数据的查询提供可视化的入口。</w:t>
      </w:r>
    </w:p>
    <w:p w14:paraId="578304C7">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（2）历史数据根据业务规则定时备存，延长数据生命周期</w:t>
      </w:r>
    </w:p>
    <w:p w14:paraId="12EEBF2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提供全量数据备份，以及所集成的业务数据情况的管理，要求具备分析历史库增量态势、各系统历史数据量分布及占比、基于日程的历史库任务监控、任务管理、任务日志等功能。为学校后续的跨年度纵向数据分析沉淀学校的数据资产。</w:t>
      </w:r>
    </w:p>
    <w:p w14:paraId="465E83AE">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历史数据的可视化查询和多样化查询历史变化数据和历史快照数据的查询，核心业务数据的变化快速知道。</w:t>
      </w:r>
    </w:p>
    <w:p w14:paraId="3FC24AB4">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（3）数据建仓，为决策分析提供坚实支撑</w:t>
      </w:r>
    </w:p>
    <w:p w14:paraId="7886598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仓库以高基表和综合分析为基础整理事实指标与维度，支持各类分析工具调用数据，来支撑数据敏捷化分析。数据仓库的数据从历史数据库中采集，届时一旦采集完成，不仅可以通过全局库反映出数据质量，同时也可以通过事实表数据的丰满程度来检测数据质量，并针对具体的情况处理制定不同的处理措施。通过自定义配置数据仓库主题、指标、维度和事实表等快速聚焦数据的中心点，自定义配置以教师和学生为主题的配置，并提供主题查询的可视化展示，方便学校师生个人数据集中查询。还可通过可视化监控数据库服务器的CPU、内存、硬盘和网络信息，并提供可配置阈值的监控告警功能，实现自动监控预警数据库服务器信息；同时支持对数据库的授权用户情况、SQL查询情况和死锁情况进行监控查询。</w:t>
      </w:r>
    </w:p>
    <w:p w14:paraId="753AD66D">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（4）数据核验，保证数据质量</w:t>
      </w:r>
    </w:p>
    <w:p w14:paraId="03D0B16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提供全域数据的采集、管理，并为各类数据服务需求提供数据支撑。通过数据库监控服务，对数据库运行情况、表权限、数据库资源、SQL语句等进行分析；通过数据库核验服务，按系统分类核验，形成报告，强化数据库的规范性。需提供自定义和任务核验全局库数据库中物理库的表和字段的信息与信息标准对全局库的表和字段的定义是否一致，支持通过订阅方式通知核验不一致的情况；及时知道非法修改物理库的信息和及时知道信息标准规范的修改，并提供修正的方案，降低集成数据到全量数据中心的影响，保证全量数据中心的规范性、准确性和权威性。</w:t>
      </w:r>
    </w:p>
    <w:p w14:paraId="413DD8E6">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（5）数据接口开放管理，管控学校数据资产调用</w:t>
      </w:r>
    </w:p>
    <w:p w14:paraId="76AF13BB">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通过对接口的配置授权，可以将数据开放给其他系统使用，支持可视化建设以全量数据中心和自定义数据源为基础的输入、输出接口；输入接口支持restful风格接口调用、webservice风格接口调用和excel导入数据，excel接口支持普通导入、初始化导入和删除导入三种模式，同时输入接口支持可配置审核入库的操作；输出接口支持table、sql方式创建restful风格接口和webservice风格接口；用户在使用接口时候需通过接口授权和应用绑定ip并采用auth2.0进行校验。通过无代码方式为敏感字段的自定义配置和一键配置脱敏算法处理输出，配置成功后将在全局库、历史库、数据仓库和接口等输出数据的功能生效，可通过授权方式切换获取真实数据，防止敏感字段的数据扩大查询，以保证敏感数据的安全。</w:t>
      </w:r>
    </w:p>
    <w:p w14:paraId="030C28E5">
      <w:pPr>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（二）数据迁移服务</w:t>
      </w:r>
    </w:p>
    <w:p w14:paraId="4886C014">
      <w:pPr>
        <w:spacing w:line="360" w:lineRule="auto"/>
        <w:ind w:firstLine="480"/>
        <w:rPr>
          <w:rFonts w:hint="eastAsia" w:ascii="宋体" w:hAnsi="宋体" w:eastAsia="宋体" w:cs="宋体"/>
          <w:bCs/>
          <w:sz w:val="21"/>
          <w:szCs w:val="21"/>
        </w:rPr>
      </w:pPr>
      <w:r>
        <w:rPr>
          <w:rFonts w:hint="eastAsia" w:ascii="宋体" w:hAnsi="宋体" w:eastAsia="宋体" w:cs="宋体"/>
          <w:bCs/>
          <w:sz w:val="21"/>
          <w:szCs w:val="21"/>
        </w:rPr>
        <w:t>建设数据仓库过程中，需对目前学校已建设系统进行数据迁移，以保证数据能够准确继承及运用，保证数据能够完全适应新建系统，为学校智慧校园平台数据基础提供有力保证，具体策略、过程及实现方法如下：</w:t>
      </w:r>
    </w:p>
    <w:p w14:paraId="07130111">
      <w:pPr>
        <w:spacing w:line="360" w:lineRule="auto"/>
        <w:ind w:firstLineChars="0"/>
        <w:rPr>
          <w:rFonts w:hint="eastAsia" w:ascii="宋体" w:hAnsi="宋体" w:eastAsia="宋体" w:cs="宋体"/>
          <w:b/>
          <w:bCs/>
          <w:sz w:val="21"/>
          <w:szCs w:val="21"/>
        </w:rPr>
      </w:pPr>
      <w:r>
        <w:rPr>
          <w:rFonts w:hint="eastAsia" w:ascii="宋体" w:hAnsi="宋体" w:eastAsia="宋体" w:cs="宋体"/>
          <w:b/>
          <w:bCs/>
          <w:sz w:val="21"/>
          <w:szCs w:val="21"/>
        </w:rPr>
        <w:t>（1）数据迁移策略</w:t>
      </w:r>
    </w:p>
    <w:p w14:paraId="182DBC9B">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1、系统切换前通过工具迁移：在系统切换前，利用工具把旧系统中的历史数据抽取、转换，并装载到新系统中去。其中迁移工具可以购买成熟的产品，也可以是自主开发的程序。这种方法是数据迁移最主要，也是最快捷的方法。其实施的前提是，历史数据可用并且能够映射到新系统中。</w:t>
      </w:r>
    </w:p>
    <w:p w14:paraId="09F98B3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2、系统切换前采用手工录入：在系统切换前，组织相关人员把需要的数据手工录入到新系统中。这种方法消耗的人力、物力比较大，同时出错率也比较高。主要是一些无法转换到新系统中的数据，和新系统启用时必需要而旧系统无法提供的数据采用这种方法，可作为第一种方法的有益补充。学校新系统由于增加了大量的原系统没有的功能，所以手工录入的工作量十分大；管理部门应该有效组织科室的工作人员做好数据的录入工作，同时承建厂商也需利用先进的技术手段减少业务部门的工作量，如在学校现有的资源（电子文档、文件）上进行扫描、识别等，可利用小程序转入数据库再进行数据的整理。</w:t>
      </w:r>
    </w:p>
    <w:p w14:paraId="48125ABB">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3、系统切换后通过新系统生成：在系统切换后，通过新系统的相关功能，或为此专门开发的配套程序生成所需要的数据。通常根据已经迁移到新系统中的数据来生成所需的信息。其实施的前提是，这些数据能够通过其它数据产生。</w:t>
      </w:r>
    </w:p>
    <w:p w14:paraId="58EEED8D">
      <w:pPr>
        <w:spacing w:line="360" w:lineRule="auto"/>
        <w:ind w:firstLine="0"/>
        <w:rPr>
          <w:rFonts w:hint="eastAsia" w:ascii="宋体" w:hAnsi="宋体" w:eastAsia="宋体" w:cs="宋体"/>
          <w:sz w:val="21"/>
          <w:szCs w:val="21"/>
        </w:rPr>
      </w:pPr>
      <w:r>
        <w:rPr>
          <w:rFonts w:hint="eastAsia" w:ascii="宋体" w:hAnsi="宋体" w:eastAsia="宋体" w:cs="宋体"/>
          <w:b/>
          <w:bCs/>
          <w:sz w:val="21"/>
          <w:szCs w:val="21"/>
        </w:rPr>
        <w:t>（2）数据迁移方法</w:t>
      </w:r>
    </w:p>
    <w:p w14:paraId="7E5E8B4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迁移的策略是指采用什么方式进行数据的迁移。结合不同的迁移方法，主要有一次迁移、分次迁移、先录后迁、先迁后补等几种方式可供选择。系统的数据量庞大，且各模块关联性大，各模块在学期不同的时间段使用，所以迁移方法需要选用分次迁移、先录后迁、先迁后补等几种方式的组合方式。</w:t>
      </w:r>
    </w:p>
    <w:p w14:paraId="650AC422">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1、分次迁移</w:t>
      </w:r>
    </w:p>
    <w:p w14:paraId="12BB49C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分次迁移是通过数据迁移工具或迁移程序，将需要的历史数据分几次迁移到新系统中。分次迁移可以将任务分开，有效地解决了数据量大和宕机时间短之间的矛盾。但是分次切换导致数据多次合并，增加了出错的概率，同时为了保持整体数据的一致性，分次迁移时需要对先切换的数据进行同步，增加了迁移的复杂度。由于要提前使用新系统的核心模块，数据的迁移至少要迁移两次。在每次大的数据迁移的过程中，还可以进行小的分次迁移。分次迁移一般在系统切换前先迁移静态数据和变化不频繁的数据，例如代码、用户信息等，然后在系统切换时迁移动态数据，例如交易信息，对于静态数据迁移之后发生的数据变更，可以每天同步到新系统中，也可以在系统切换时通过增量的方式一次同步到新系统中。</w:t>
      </w:r>
    </w:p>
    <w:p w14:paraId="37B9CEA1">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2、先录后迁</w:t>
      </w:r>
    </w:p>
    <w:p w14:paraId="7CDD2C5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先录后迁是在系统切换前，先通过手工把一些数据录入到新系统中，系统切换时再迁移其它的历史数据。先录后迁主要针对新旧系统数据结构存在特定差异的情况，即对于新系统启用时必需的期初数据，无法从现有的历史数据中得到。对于这部分期初数据，就可以在系统切换前通过手工录入，可通过小程序提高数据录入的效率。</w:t>
      </w:r>
    </w:p>
    <w:p w14:paraId="289EFED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3、先迁后补</w:t>
      </w:r>
    </w:p>
    <w:p w14:paraId="4768712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先迁后补是指在系统切换前通过数据迁移工具或迁移程序，将原始数据迁移到新系统中，然后通过新系统的相关功能，或为此专门编写的脚本或配套程序，根据已经迁移到新系统中的原始数据，生成所需要的结果数据，先迁后补可以减少迁移的数据量。</w:t>
      </w:r>
    </w:p>
    <w:p w14:paraId="60911E65">
      <w:pPr>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（3）数据迁移实现方法</w:t>
      </w:r>
    </w:p>
    <w:p w14:paraId="0D963C0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数据迁移的实现可以分为三个阶段：数据迁移前的准备、数据迁移的实施和数据迁移后的校验。</w:t>
      </w:r>
    </w:p>
    <w:p w14:paraId="01672DB3">
      <w:pPr>
        <w:spacing w:line="360" w:lineRule="auto"/>
        <w:ind w:firstLine="480"/>
        <w:jc w:val="center"/>
        <w:rPr>
          <w:rFonts w:hint="eastAsia" w:ascii="宋体" w:hAnsi="宋体" w:eastAsia="宋体" w:cs="宋体"/>
          <w:sz w:val="21"/>
          <w:szCs w:val="21"/>
        </w:rPr>
      </w:pPr>
      <w:r>
        <w:rPr>
          <w:rFonts w:hint="eastAsia" w:ascii="宋体" w:hAnsi="宋体" w:eastAsia="宋体" w:cs="宋体"/>
          <w:sz w:val="21"/>
          <w:szCs w:val="21"/>
        </w:rPr>
        <w:drawing>
          <wp:inline distT="0" distB="0" distL="0" distR="0">
            <wp:extent cx="3962400" cy="2522220"/>
            <wp:effectExtent l="0" t="0" r="0" b="11430"/>
            <wp:docPr id="278106099" name="图片 278106099" descr="数据迁移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06099" name="图片 278106099" descr="数据迁移流程图"/>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3962400" cy="2522220"/>
                    </a:xfrm>
                    <a:prstGeom prst="rect">
                      <a:avLst/>
                    </a:prstGeom>
                    <a:noFill/>
                    <a:ln>
                      <a:noFill/>
                    </a:ln>
                  </pic:spPr>
                </pic:pic>
              </a:graphicData>
            </a:graphic>
          </wp:inline>
        </w:drawing>
      </w:r>
    </w:p>
    <w:p w14:paraId="6DFC1FCE">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由于数据迁移的特点，大量的工作都需要在准备阶段完成，充分而周到的准备工作是完成数据迁移的主要基础。具体而言，要进行待迁移数据源的详细说明，包括数据的存放方式、数据量、数据的时间跨度，建立新旧系统数据库的数据字典，对旧系统的历史数据进行质量分析，新旧系统数据结构的差异分析；新旧系统代码数据的差异分析；建立新老系统数据库表的映射关系，对无法映射字段的处理方法，开发、部署ETL工具，编写数据转换的测试计划和校验程序，制定数据转换的应急措施。</w:t>
      </w:r>
    </w:p>
    <w:p w14:paraId="5BE2F7F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其中，数据迁移的实施是实现数据迁移的三个阶段中最重要的环节。它要求制定数据转换的详细实施步骤流程；准备数据迁移环境；业务上的准备，结束未处理完的业务事项，或将其告一段落；对数据迁移涉及的技术都得到测试；最后实施数据迁移。</w:t>
      </w:r>
    </w:p>
    <w:p w14:paraId="54FA231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迁移后的校验是对迁移工作的检查，数据校验的结果是判断新系统能否正式启用的重要依据。可以通过质量检查工具或编写检查程序进行数据校验，通过试运行新系统的功能模块，特别是查询、报表功能，检查数据的准确性。其中，数据迁移前的准备、数据迁移的实施和数据迁移后的校验三个步骤具体方案如下：</w:t>
      </w:r>
    </w:p>
    <w:p w14:paraId="24759895">
      <w:pPr>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1、数据迁移前的准备</w:t>
      </w:r>
      <w:r>
        <w:rPr>
          <w:rFonts w:hint="eastAsia" w:ascii="宋体" w:hAnsi="宋体" w:eastAsia="宋体" w:cs="宋体"/>
          <w:b/>
          <w:bCs/>
          <w:sz w:val="21"/>
          <w:szCs w:val="21"/>
          <w:lang w:eastAsia="zh-CN"/>
        </w:rPr>
        <w:t>：</w:t>
      </w:r>
    </w:p>
    <w:p w14:paraId="78B5954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数据转换与迁移通常包括多项工作：旧系统数据字典整理、旧系统数据质量分析、新系统数据字典整理、新旧系统数据差异分析、建立新旧系统数据之间的</w:t>
      </w:r>
      <w:r>
        <w:rPr>
          <w:rFonts w:hint="eastAsia" w:ascii="宋体" w:hAnsi="宋体" w:cs="宋体"/>
          <w:sz w:val="21"/>
          <w:szCs w:val="21"/>
          <w:lang w:val="en-US" w:eastAsia="zh-CN"/>
        </w:rPr>
        <w:t>映射</w:t>
      </w:r>
      <w:r>
        <w:rPr>
          <w:rFonts w:hint="eastAsia" w:ascii="宋体" w:hAnsi="宋体" w:eastAsia="宋体" w:cs="宋体"/>
          <w:sz w:val="21"/>
          <w:szCs w:val="21"/>
        </w:rPr>
        <w:t>关系、开发部署数据转换与迁移程序、制定数据转换与迁移过程中的应急方案、实施旧系统数据到新系统的转换与迁移工作、检查转换与迁移后数据的完整性与正确性。具体步骤为：</w:t>
      </w:r>
    </w:p>
    <w:p w14:paraId="6C0FB780">
      <w:pPr>
        <w:spacing w:line="360" w:lineRule="auto"/>
        <w:ind w:firstLine="482"/>
        <w:rPr>
          <w:rFonts w:hint="eastAsia" w:ascii="宋体" w:hAnsi="宋体" w:eastAsia="宋体" w:cs="宋体"/>
          <w:sz w:val="21"/>
          <w:szCs w:val="21"/>
        </w:rPr>
      </w:pPr>
      <w:r>
        <w:rPr>
          <w:rFonts w:hint="eastAsia" w:ascii="宋体" w:hAnsi="宋体" w:eastAsia="宋体" w:cs="宋体"/>
          <w:b/>
          <w:sz w:val="21"/>
          <w:szCs w:val="21"/>
        </w:rPr>
        <w:t>设计数据迁移方案：</w:t>
      </w:r>
      <w:r>
        <w:rPr>
          <w:rFonts w:hint="eastAsia" w:ascii="宋体" w:hAnsi="宋体" w:eastAsia="宋体" w:cs="宋体"/>
          <w:sz w:val="21"/>
          <w:szCs w:val="21"/>
        </w:rPr>
        <w:t>设计数据迁移方案主要包括以下几个方面工作：研究与数据迁移相关的资料，或在网站上查询相关内容、评估和选择数据迁移的软硬件平台、选择数据迁移方法、选择数据备份和恢复策略、设计数据迁移和测试方案等。</w:t>
      </w:r>
    </w:p>
    <w:p w14:paraId="61E4E76C">
      <w:pPr>
        <w:spacing w:line="360" w:lineRule="auto"/>
        <w:ind w:firstLine="482"/>
        <w:rPr>
          <w:rFonts w:hint="eastAsia" w:ascii="宋体" w:hAnsi="宋体" w:eastAsia="宋体" w:cs="宋体"/>
          <w:sz w:val="21"/>
          <w:szCs w:val="21"/>
        </w:rPr>
      </w:pPr>
      <w:r>
        <w:rPr>
          <w:rFonts w:hint="eastAsia" w:ascii="宋体" w:hAnsi="宋体" w:eastAsia="宋体" w:cs="宋体"/>
          <w:b/>
          <w:sz w:val="21"/>
          <w:szCs w:val="21"/>
        </w:rPr>
        <w:t>数据转换与迁移程序准备：</w:t>
      </w:r>
      <w:r>
        <w:rPr>
          <w:rFonts w:hint="eastAsia" w:ascii="宋体" w:hAnsi="宋体" w:eastAsia="宋体" w:cs="宋体"/>
          <w:sz w:val="21"/>
          <w:szCs w:val="21"/>
        </w:rPr>
        <w:t>数据转换是根据新旧系统数据库的映射关系进行的，而数据差异分析是建立映射关系的前提，这其中还包括对代码数据的差异分析。转换步骤一般还要包含数据清洗的过程，数据清洗主要是针对源数据库中，对出现二义性、重复、不完整、违反业务或逻辑规则等问题的数据进行相应的清洗操作，在清洗之前需要进行数据质量分析，以找出存在问题的数据，否则数据清洗将无从谈起。数据转换是通过迁移工具或自行编写的SQL程序或脚本将转换后的结果数据送到目标数据库中。所以，数据迁移的技术准备的首要任务就是数据转换与迁移程序的准备。</w:t>
      </w:r>
    </w:p>
    <w:p w14:paraId="75335F8E">
      <w:pPr>
        <w:spacing w:line="360" w:lineRule="auto"/>
        <w:ind w:firstLine="482"/>
        <w:rPr>
          <w:rFonts w:hint="eastAsia" w:ascii="宋体" w:hAnsi="宋体" w:eastAsia="宋体" w:cs="宋体"/>
          <w:sz w:val="21"/>
          <w:szCs w:val="21"/>
        </w:rPr>
      </w:pPr>
      <w:r>
        <w:rPr>
          <w:rFonts w:hint="eastAsia" w:ascii="宋体" w:hAnsi="宋体" w:eastAsia="宋体" w:cs="宋体"/>
          <w:b/>
          <w:sz w:val="21"/>
          <w:szCs w:val="21"/>
        </w:rPr>
        <w:t>数据迁移工具的选择：</w:t>
      </w:r>
      <w:r>
        <w:rPr>
          <w:rFonts w:hint="eastAsia" w:ascii="宋体" w:hAnsi="宋体" w:eastAsia="宋体" w:cs="宋体"/>
          <w:sz w:val="21"/>
          <w:szCs w:val="21"/>
        </w:rPr>
        <w:t>数据迁移程序的开发、部署主要有两种选择，即自主开发程序或选用成熟的产品。这两种选择都有各自不同的特点，选择时还要根据具体情况进行分析。数据迁移时多采用相对成熟的产品，迁移时有大量的历史数据、允许的宕机时间很短、面对大量的客户或用户、存在第三方系统接入、一旦失败所产生的影响面将很广。由于系统数据结构的变化，成熟工具不能胜任部分复杂的工作，自主开发程序也被广泛地采用。系统的数据迁移采用成熟的产品和自主开发程序相结合的方式进行。自主开发程序可用于用户维护的数据库导入导出及数据库比较的专用工具。</w:t>
      </w:r>
    </w:p>
    <w:p w14:paraId="3149F564">
      <w:pPr>
        <w:spacing w:line="360" w:lineRule="auto"/>
        <w:ind w:firstLine="482"/>
        <w:rPr>
          <w:rFonts w:hint="eastAsia" w:ascii="宋体" w:hAnsi="宋体" w:eastAsia="宋体" w:cs="宋体"/>
          <w:b/>
          <w:sz w:val="21"/>
          <w:szCs w:val="21"/>
        </w:rPr>
      </w:pPr>
      <w:r>
        <w:rPr>
          <w:rFonts w:hint="eastAsia" w:ascii="宋体" w:hAnsi="宋体" w:eastAsia="宋体" w:cs="宋体"/>
          <w:b/>
          <w:sz w:val="21"/>
          <w:szCs w:val="21"/>
        </w:rPr>
        <w:t>数据转换与迁移前的数据检查：</w:t>
      </w:r>
    </w:p>
    <w:p w14:paraId="139CF5F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数据格式检查：检查数据的格式是否一致和可用。</w:t>
      </w:r>
    </w:p>
    <w:p w14:paraId="48ECA53E">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数据长度检查：检查数据的有效长度。对于不同类型的字段转换，需要特别关注。</w:t>
      </w:r>
    </w:p>
    <w:p w14:paraId="2FF8861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 xml:space="preserve">区间范围检查：检查数据是否包含在定义的正确区间中； </w:t>
      </w:r>
    </w:p>
    <w:p w14:paraId="73BDF89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空值、默认值检查：检查新旧系统定义的空值、默认值是否相同，不同数据库系统对空值的定义可能不同，需要特别关注。</w:t>
      </w:r>
    </w:p>
    <w:p w14:paraId="09B9CF5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完整性检查：检查数据的关联完整性。如记录引用的代码值是否存在，特别需要注意的是有些系统在使用一段时间后，为了提高效率而去掉了外键约束。数据的完整性受到伤害。</w:t>
      </w:r>
    </w:p>
    <w:p w14:paraId="3BB62EE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一致性检查：检查逻辑上是否存在违反一致性的数据，特别是存在分别提交操作的系统。</w:t>
      </w:r>
    </w:p>
    <w:p w14:paraId="6F09A49F">
      <w:pPr>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2、数据迁移的实施：</w:t>
      </w:r>
    </w:p>
    <w:p w14:paraId="524D09AF">
      <w:pPr>
        <w:spacing w:line="360" w:lineRule="auto"/>
        <w:ind w:firstLine="482"/>
        <w:rPr>
          <w:rFonts w:hint="eastAsia" w:ascii="宋体" w:hAnsi="宋体" w:eastAsia="宋体" w:cs="宋体"/>
          <w:sz w:val="21"/>
          <w:szCs w:val="21"/>
        </w:rPr>
      </w:pPr>
      <w:r>
        <w:rPr>
          <w:rFonts w:hint="eastAsia" w:ascii="宋体" w:hAnsi="宋体" w:eastAsia="宋体" w:cs="宋体"/>
          <w:b/>
          <w:bCs/>
          <w:sz w:val="21"/>
          <w:szCs w:val="21"/>
        </w:rPr>
        <w:t>进行数据模拟迁移</w:t>
      </w:r>
      <w:r>
        <w:rPr>
          <w:rFonts w:hint="eastAsia" w:ascii="宋体" w:hAnsi="宋体" w:eastAsia="宋体" w:cs="宋体"/>
          <w:sz w:val="21"/>
          <w:szCs w:val="21"/>
        </w:rPr>
        <w:t>：根据预先设计的数据迁移方案，建立一个模拟的数据迁移环境，它既能仿真实际环境又不影响实际数据，然后在数据模拟迁移环境中测试数据迁移的效果。数据模拟迁移前也应按备份策略备份模拟数据，以便数据迁移后能按恢复策略进行恢复测试。</w:t>
      </w:r>
    </w:p>
    <w:p w14:paraId="6C298E7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测试数据模拟迁移：根据设计的数据迁移测试方案测试数据模拟迁移，也就是检查数据模拟迁移后数据和应用软件是否正常，主要包括：数据一致性测试、应用软件执行功能测试、性能测试和恢复测试等。数据一致性测试是为保证数据的规范性和一致性，应用软件执行功能测试应用软件所提供的功能是否能正确实现，应用软件执行功能测试由软件开发人员和各子系统业务人员共同参与完成，性能测试用来测试系统并发性和时效性，恢复测试用来测试系统的应急功能。</w:t>
      </w:r>
    </w:p>
    <w:p w14:paraId="593AA61D">
      <w:pPr>
        <w:spacing w:line="360" w:lineRule="auto"/>
        <w:ind w:firstLine="482"/>
        <w:rPr>
          <w:rFonts w:hint="eastAsia" w:ascii="宋体" w:hAnsi="宋体" w:eastAsia="宋体" w:cs="宋体"/>
          <w:sz w:val="21"/>
          <w:szCs w:val="21"/>
        </w:rPr>
      </w:pPr>
      <w:r>
        <w:rPr>
          <w:rFonts w:hint="eastAsia" w:ascii="宋体" w:hAnsi="宋体" w:eastAsia="宋体" w:cs="宋体"/>
          <w:b/>
          <w:bCs/>
          <w:sz w:val="21"/>
          <w:szCs w:val="21"/>
        </w:rPr>
        <w:t>准备实施数据迁移</w:t>
      </w:r>
      <w:r>
        <w:rPr>
          <w:rFonts w:hint="eastAsia" w:ascii="宋体" w:hAnsi="宋体" w:eastAsia="宋体" w:cs="宋体"/>
          <w:sz w:val="21"/>
          <w:szCs w:val="21"/>
        </w:rPr>
        <w:t>：数据模拟迁移测试成功后，在正式实施数据迁移前还需要做好以下几个方面工作：进行数据准备、完全数据备份、确定数据迁移方案、安装和配置软硬件等。</w:t>
      </w:r>
    </w:p>
    <w:p w14:paraId="16D4F327">
      <w:pPr>
        <w:spacing w:line="360" w:lineRule="auto"/>
        <w:ind w:firstLine="482"/>
        <w:rPr>
          <w:rFonts w:hint="eastAsia" w:ascii="宋体" w:hAnsi="宋体" w:eastAsia="宋体" w:cs="宋体"/>
          <w:sz w:val="21"/>
          <w:szCs w:val="21"/>
        </w:rPr>
      </w:pPr>
      <w:r>
        <w:rPr>
          <w:rFonts w:hint="eastAsia" w:ascii="宋体" w:hAnsi="宋体" w:eastAsia="宋体" w:cs="宋体"/>
          <w:b/>
          <w:bCs/>
          <w:sz w:val="21"/>
          <w:szCs w:val="21"/>
        </w:rPr>
        <w:t>正式实施数据迁移</w:t>
      </w:r>
      <w:r>
        <w:rPr>
          <w:rFonts w:hint="eastAsia" w:ascii="宋体" w:hAnsi="宋体" w:eastAsia="宋体" w:cs="宋体"/>
          <w:sz w:val="21"/>
          <w:szCs w:val="21"/>
        </w:rPr>
        <w:t>：按照确定的数据迁移方案，正式实施数据迁移。可以按照数据表的依赖关系，按顺序分步执行数据迁移，在数据迁移运行的同时，数据清理过程在后台运行。数据清理就是从数据源中清除错误数值和重复记录，从而提高数据迁移的质量。</w:t>
      </w:r>
    </w:p>
    <w:p w14:paraId="5F0356C1">
      <w:pPr>
        <w:spacing w:line="360" w:lineRule="auto"/>
        <w:ind w:firstLine="482"/>
        <w:rPr>
          <w:rFonts w:hint="eastAsia" w:ascii="宋体" w:hAnsi="宋体" w:eastAsia="宋体" w:cs="宋体"/>
          <w:sz w:val="21"/>
          <w:szCs w:val="21"/>
        </w:rPr>
      </w:pPr>
      <w:r>
        <w:rPr>
          <w:rFonts w:hint="eastAsia" w:ascii="宋体" w:hAnsi="宋体" w:eastAsia="宋体" w:cs="宋体"/>
          <w:b/>
          <w:bCs/>
          <w:sz w:val="21"/>
          <w:szCs w:val="21"/>
        </w:rPr>
        <w:t>监控数据迁移过程</w:t>
      </w:r>
      <w:r>
        <w:rPr>
          <w:rFonts w:hint="eastAsia" w:ascii="宋体" w:hAnsi="宋体" w:eastAsia="宋体" w:cs="宋体"/>
          <w:sz w:val="21"/>
          <w:szCs w:val="21"/>
        </w:rPr>
        <w:t>：数据迁移过程中，可能会出现一些不正常、难以预料的情况，如何有效地最大限度地防止这些异常情况的发生，可以运行监控软件（如系统监控软件可以实时监控系统资源、程序运行、数据传输等），同时信息技术人员全程跟踪监控，随时有情况马上报告并解决。</w:t>
      </w:r>
    </w:p>
    <w:p w14:paraId="1A793E5E">
      <w:pPr>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3、数据迁移后的校验</w:t>
      </w:r>
    </w:p>
    <w:p w14:paraId="60C9790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在数据迁移完成后，需要对迁移后的数据进行校验。数据迁移后的校验是对迁移质量的检查，同时数据校验的结果也是判断新系统能否正式启用的重要依据。可以通过两种方式对迁移后的数据进行校验。</w:t>
      </w:r>
    </w:p>
    <w:p w14:paraId="79B4D26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对迁移后的数据进行质量分析，可以通过数据质量检查工具，或编写有针对性的检查程序进行。对迁移后数据的校验有别于迁移前历史数据的质量分析，主要是检查指标的不同。迁移后数据校验的指标主要包括五方面：完整性检查，引用的外键是否存在；一致性检查，相同含义的数据在不同位置的值是否一致；总分平衡检查，例如总人数的总和与各学院人数的合计对比；记录条数检查，检查新旧数据库对应的记录条数是否一致；特殊样本数据的检查，检查同一样本在新旧数据库中是否一致。</w:t>
      </w:r>
    </w:p>
    <w:p w14:paraId="79F30DF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新旧系统查询数据对比检查，通过新旧系统各自的查询工具，对相同指标的数据进行查询，并比较最终的查询结果；先将新系统的数据恢复到旧系统迁移前一天的状态，然后将最后一天发生在旧系统上的业务全部补录到新系统，检查有无异常，并和旧系统比较最终产生的结果。</w:t>
      </w:r>
    </w:p>
    <w:p w14:paraId="5600657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测试数据迁移按照数据迁移测试方案测试数据迁移效果，程序运行结束后，在新系统数据显示窗口中检验迁移后的新系统中的数据，并手工迁移不符合系统预定义规则的数据，从而完成系统的数据迁移，并查看数据清理日志和数据迁移日志，检验数据迁移和数据清理的正确性，对数据迁移后的数据库参数和性能进行调整，使之满足数据迁移后实际应用系统的需要。</w:t>
      </w:r>
    </w:p>
    <w:p w14:paraId="06B34BE2">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以上的步骤可以多次在系统的数据模拟迁移中使用，整个系统必须在数据模拟迁移完全调试成功并反复验证后才能真正用于新旧系统的割接，系统割接时，数据迁移只作一次，成功则完成迁移，失败则需要回滚到系统割接之前的数据状态。</w:t>
      </w:r>
    </w:p>
    <w:p w14:paraId="41E5F560">
      <w:pPr>
        <w:pStyle w:val="3"/>
        <w:spacing w:line="360" w:lineRule="auto"/>
        <w:jc w:val="both"/>
        <w:rPr>
          <w:rFonts w:hint="eastAsia" w:ascii="宋体" w:hAnsi="宋体" w:eastAsia="宋体" w:cs="宋体"/>
          <w:sz w:val="28"/>
          <w:szCs w:val="28"/>
        </w:rPr>
      </w:pPr>
      <w:bookmarkStart w:id="503" w:name="_Toc9867"/>
      <w:r>
        <w:rPr>
          <w:rFonts w:hint="eastAsia" w:ascii="宋体" w:hAnsi="宋体" w:eastAsia="宋体" w:cs="宋体"/>
          <w:sz w:val="28"/>
          <w:szCs w:val="28"/>
          <w:lang w:val="en-US" w:eastAsia="zh-CN"/>
        </w:rPr>
        <w:t>1.2</w:t>
      </w:r>
      <w:r>
        <w:rPr>
          <w:rFonts w:hint="eastAsia" w:ascii="宋体" w:hAnsi="宋体" w:eastAsia="宋体" w:cs="宋体"/>
          <w:sz w:val="28"/>
          <w:szCs w:val="28"/>
        </w:rPr>
        <w:t>数据交换平台（升级）</w:t>
      </w:r>
      <w:bookmarkEnd w:id="503"/>
    </w:p>
    <w:p w14:paraId="6FE7624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项目计划升级原有数据交换平台。改变原有ODI的数据交换方式，采用最新的DTS交换方式，不仅保障了数据交换的效率与稳定性，也实现了数据的实时交换，满足更多数据共享场景；同时也能够实现文件、日志等非结构化、半结构化数据的集成，确保真正意义上的全量数据整合。</w:t>
      </w:r>
    </w:p>
    <w:p w14:paraId="36FD9851">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（一）平台技术</w:t>
      </w:r>
    </w:p>
    <w:p w14:paraId="6919E46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供给管理系统要求提供数据接口统计管理，实现系统之间的实时交互与共享。通过提供核心数据接口调用，解决系统之间交互的壁垒问题，同时也解决库与库之间的联动问题、部门与部门之间的接口申请问题。同时，提供了整套数据集成的标准化实施方案、集成过程监控体系以及可扩展的标准数据模式，在便于集成业务开展的同时为我校的综合数据利用及多平台展示提供了坚实的技术保障和完善的服务体系。</w:t>
      </w:r>
    </w:p>
    <w:p w14:paraId="2BB2F49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平台确定接口正常：学校为用户提供了已授权的接口在线调试功能，发现调用接口异常，都可以通过平台的在线调试功能来协助排查接口的异常。</w:t>
      </w:r>
    </w:p>
    <w:p w14:paraId="5FAE924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平台保证接口的安全：保障学校数据接口的安全。接口安全主要体现在三个方面，一是接口的应用授权，如果登录的应用没有授权，是不能在线调试和调用接口的；二是对接口的数据授权，接口的数据授权是控制不同的应用调用同一接口返回不同的数据来实现接口的数据安全；三是通过设置调用接口系统ip的黑白名单。</w:t>
      </w:r>
    </w:p>
    <w:p w14:paraId="018EFE91">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平台实现对接口的统一管理：便于用户管理学校数据接口。针对基于全量数据中心的数据源创建和发布接口，还支持基于多种类型（如：oracle、mysql、sqlserver等）业务系统的数据源创建和发布接口。</w:t>
      </w:r>
    </w:p>
    <w:p w14:paraId="4DDBFC3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数据供给管理系统作为数据存储的集中地，解决系统之间、数据之间交互的壁垒问题，系统需具备以下特点：</w:t>
      </w:r>
    </w:p>
    <w:p w14:paraId="5343B356">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（1）支持基于全量数据中心和异构数据源统一创建和发布接口</w:t>
      </w:r>
    </w:p>
    <w:p w14:paraId="0D24D5E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平台支持基于全量数据中心的数据源创建和发布接口和基于多种类型（如：oracle、mysql、sqlserver等）业务系统的异构数据源创建和发布接口。</w:t>
      </w:r>
    </w:p>
    <w:p w14:paraId="3B691265">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（2）支持多级授权，实现同一接口对应不同应用访问内容不一样</w:t>
      </w:r>
    </w:p>
    <w:p w14:paraId="50C5D50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接口支持应用授权，实现同一接口提供多个业务系统应用使用，提高接口的复用性，同时支持对已授权的应用数据授权，实现同一接口对不同的授权应用输出不同的数据，提高数据的安全性和进一步的接口复用。</w:t>
      </w:r>
    </w:p>
    <w:p w14:paraId="215F2D11">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（3）黑、白名单全局管控接口安全</w:t>
      </w:r>
    </w:p>
    <w:p w14:paraId="79C44F7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基于auth2.0技术，为系统接口调用和修改数据提供安全护航，同时系统支持通过设置调用接口系统ip的黑白名单实现对指定ip禁用/可调用接口的管理，配置黑名单后，黑名单的ip将不能访问和调用开发者平台上的接口，配置白名单则相反，是从全局管控接口的安全，防止接口被恶意的ip攻击。</w:t>
      </w:r>
    </w:p>
    <w:p w14:paraId="5FCFC459">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（4）简单易操作的接口在线调试功能</w:t>
      </w:r>
    </w:p>
    <w:p w14:paraId="369F5AF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系统应支持模拟应用集成接口调用的在线调试功能，让调试接口不用下载额外的工具和编写复杂的代码即可实现调试。</w:t>
      </w:r>
    </w:p>
    <w:p w14:paraId="2178528C">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（5）完善的API开发指南文档和接口调用demo</w:t>
      </w:r>
    </w:p>
    <w:p w14:paraId="7C9466B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系统要求可以在每个接口的详情里下载API开发指南和接口的调用demo代码，API开发指南详细</w:t>
      </w:r>
      <w:r>
        <w:rPr>
          <w:rFonts w:hint="eastAsia" w:ascii="宋体" w:hAnsi="宋体" w:cs="宋体"/>
          <w:sz w:val="21"/>
          <w:szCs w:val="21"/>
          <w:lang w:val="en-US" w:eastAsia="zh-CN"/>
        </w:rPr>
        <w:t>说明</w:t>
      </w:r>
      <w:r>
        <w:rPr>
          <w:rFonts w:hint="eastAsia" w:ascii="宋体" w:hAnsi="宋体" w:eastAsia="宋体" w:cs="宋体"/>
          <w:sz w:val="21"/>
          <w:szCs w:val="21"/>
        </w:rPr>
        <w:t>应用集成接口的步骤和流程及注意事项，接口调用demo代码则提供了多种类型（如：java、php、c#等）的代码调用demo。</w:t>
      </w:r>
    </w:p>
    <w:p w14:paraId="27052806">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（二）集成过程</w:t>
      </w:r>
    </w:p>
    <w:p w14:paraId="13DD9448">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（1）接口集成说明：</w:t>
      </w:r>
    </w:p>
    <w:p w14:paraId="2EFAFC61">
      <w:pPr>
        <w:spacing w:line="360" w:lineRule="auto"/>
        <w:ind w:firstLine="0" w:firstLineChars="0"/>
        <w:rPr>
          <w:rFonts w:hint="eastAsia" w:ascii="宋体" w:hAnsi="宋体" w:eastAsia="宋体" w:cs="宋体"/>
          <w:sz w:val="21"/>
          <w:szCs w:val="21"/>
        </w:rPr>
      </w:pPr>
      <w:r>
        <w:rPr>
          <w:rFonts w:hint="eastAsia" w:ascii="宋体" w:hAnsi="宋体" w:eastAsia="宋体" w:cs="宋体"/>
          <w:b/>
          <w:bCs/>
          <w:sz w:val="21"/>
          <w:szCs w:val="21"/>
        </w:rPr>
        <w:t xml:space="preserve">     </w:t>
      </w:r>
      <w:r>
        <w:rPr>
          <w:rFonts w:hint="eastAsia" w:ascii="宋体" w:hAnsi="宋体" w:eastAsia="宋体" w:cs="宋体"/>
          <w:sz w:val="21"/>
          <w:szCs w:val="21"/>
        </w:rPr>
        <w:t>从应用系统数据库中抽取出需要共享的数据，使公共数据平台成为全校范围内唯一的全面的数据源，完成数据层的集成，同时为相关应用系统提供共享数据访问服务，为在全校范围内进行综合数据分析服务提供完备、有效、可信的数据基础。</w:t>
      </w:r>
    </w:p>
    <w:p w14:paraId="7DE08515">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（2）工作概要</w:t>
      </w:r>
    </w:p>
    <w:p w14:paraId="4D21894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分析整理主要应用系统的数据字典，覆盖本平台所有数据集所需之数据；</w:t>
      </w:r>
    </w:p>
    <w:p w14:paraId="448965BC">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分析整理并撰写数据单一来源及数据流向规划报告；</w:t>
      </w:r>
    </w:p>
    <w:p w14:paraId="6FFCECF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分析整理并撰写各应用系统的数据质量分析报告，协助学校各单位提升数据质量；</w:t>
      </w:r>
    </w:p>
    <w:p w14:paraId="0F8E2EC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依据以上报告对各应用系统的可共享数据进行标准化转换清洗，存入学校主数据库；</w:t>
      </w:r>
    </w:p>
    <w:p w14:paraId="08FAF35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以信息标准库和主数据库为基础分主题建立学校主数据仓库，存放历史数据。</w:t>
      </w:r>
    </w:p>
    <w:p w14:paraId="19322C95">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（3）数据流整体设计</w:t>
      </w:r>
    </w:p>
    <w:p w14:paraId="4F700C30">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设计数据源与数据中心数据共享流程图，基于学校现有的数据管理平台的数据集成资源进行扩展建设。包括数据库，视图，存储过程，中间表，上行数据设计，下行数据设计等。具体的数据流设计内容和成果在项目实施中确定。数据流整体示意图如下（仅做参考，具体的流程整体设计在项目实施中根据学校的实际数据流程确定）：</w:t>
      </w:r>
    </w:p>
    <w:p w14:paraId="1600E6D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drawing>
          <wp:inline distT="0" distB="0" distL="0" distR="0">
            <wp:extent cx="5274310" cy="2740025"/>
            <wp:effectExtent l="0" t="0" r="2540" b="317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274310" cy="2740025"/>
                    </a:xfrm>
                    <a:prstGeom prst="rect">
                      <a:avLst/>
                    </a:prstGeom>
                    <a:noFill/>
                    <a:ln>
                      <a:noFill/>
                    </a:ln>
                  </pic:spPr>
                </pic:pic>
              </a:graphicData>
            </a:graphic>
          </wp:inline>
        </w:drawing>
      </w:r>
    </w:p>
    <w:p w14:paraId="61BC833B">
      <w:pPr>
        <w:spacing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（4）接口配置</w:t>
      </w:r>
    </w:p>
    <w:p w14:paraId="2E83579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对数据融合工作主要接口进行设计与实施。建设厂商将提供接口设计规范及学校接口清单。接口配置将会根据学校现有的数据管理平台和业务系统结构进行设计配置。</w:t>
      </w:r>
    </w:p>
    <w:p w14:paraId="2C2201D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接口设计规范包括：</w:t>
      </w:r>
    </w:p>
    <w:p w14:paraId="67251102">
      <w:pPr>
        <w:spacing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1、数据抽取接口</w:t>
      </w:r>
    </w:p>
    <w:p w14:paraId="7C3C5E2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要求系统以视图方式作为数据接口，可以通过数据交换工具ODI，直接读取视图数据进行数据交互操作。但该接口无法实现数据的增量抽取，导致每次数据交换都是全部抽取，严重影响数据交互的性能。因此，可以通过创建一个中间表，采用存储过程对视图数据实现增量方式。</w:t>
      </w:r>
    </w:p>
    <w:p w14:paraId="13DE10A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drawing>
          <wp:inline distT="0" distB="0" distL="0" distR="0">
            <wp:extent cx="5274310" cy="2399665"/>
            <wp:effectExtent l="0" t="0" r="2540" b="6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74310" cy="2399665"/>
                    </a:xfrm>
                    <a:prstGeom prst="rect">
                      <a:avLst/>
                    </a:prstGeom>
                    <a:noFill/>
                    <a:ln>
                      <a:noFill/>
                    </a:ln>
                  </pic:spPr>
                </pic:pic>
              </a:graphicData>
            </a:graphic>
          </wp:inline>
        </w:drawing>
      </w:r>
    </w:p>
    <w:p w14:paraId="4DE79234">
      <w:pPr>
        <w:spacing w:line="360" w:lineRule="auto"/>
        <w:ind w:firstLine="2940" w:firstLineChars="1400"/>
        <w:rPr>
          <w:rFonts w:hint="eastAsia" w:ascii="宋体" w:hAnsi="宋体" w:eastAsia="宋体" w:cs="宋体"/>
          <w:sz w:val="21"/>
          <w:szCs w:val="21"/>
        </w:rPr>
      </w:pPr>
      <w:r>
        <w:rPr>
          <w:rFonts w:hint="eastAsia" w:ascii="宋体" w:hAnsi="宋体" w:eastAsia="宋体" w:cs="宋体"/>
          <w:sz w:val="21"/>
          <w:szCs w:val="21"/>
        </w:rPr>
        <w:t>接口示意图</w:t>
      </w:r>
    </w:p>
    <w:p w14:paraId="0C1D60F5">
      <w:pPr>
        <w:spacing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2、数据转换与清洗</w:t>
      </w:r>
    </w:p>
    <w:p w14:paraId="33A1D4C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1）对照表方式转换</w:t>
      </w:r>
    </w:p>
    <w:p w14:paraId="06BFC10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由于各个业务系统的数据与信息标准中的代码集存在不一致的问题，为确保载入到数据中心的数据一致，需要对数据进行相应的转换。同时由于各个业务系统的数据存在不规范的问题，不能完全使用对照表的方式进行自动转换，有时需要手工对数据进行转换。</w:t>
      </w:r>
    </w:p>
    <w:p w14:paraId="241AD52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如抽取学生基本信息到数据中心中，假设需要对学生政治面貌信息进行自动转换，将模型中，分别将教务系统库模型中的学生基本信息，数据中心中的基本政治面貌对照表拖到源数据中，设置教务系统学生基本信息中的政治面貌字段与政治面貌对照表的字段进行连接，在载入数据中心学生基本信息的输出设置为政治面貌对照表需要输出的字段</w:t>
      </w:r>
      <w:r>
        <w:rPr>
          <w:rFonts w:hint="eastAsia" w:ascii="宋体" w:hAnsi="宋体" w:cs="宋体"/>
          <w:sz w:val="21"/>
          <w:szCs w:val="21"/>
          <w:lang w:val="en-US" w:eastAsia="zh-CN"/>
        </w:rPr>
        <w:t>便</w:t>
      </w:r>
      <w:r>
        <w:rPr>
          <w:rFonts w:hint="eastAsia" w:ascii="宋体" w:hAnsi="宋体" w:eastAsia="宋体" w:cs="宋体"/>
          <w:sz w:val="21"/>
          <w:szCs w:val="21"/>
        </w:rPr>
        <w:t>可以实现数据的主动转换。</w:t>
      </w:r>
    </w:p>
    <w:p w14:paraId="7A999D31">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2）代码方式转换</w:t>
      </w:r>
    </w:p>
    <w:p w14:paraId="45FE3FDE">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代码方式转换主要是针对不规则的数据进行，在编写视图代码时进行转换。如果不规则的数据量比较多，可以单独将该转换编写成函数包，视图直接进行调用。避免视图代码过多不容易维护。</w:t>
      </w:r>
    </w:p>
    <w:p w14:paraId="44133332">
      <w:pPr>
        <w:spacing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3、数据载入接口</w:t>
      </w:r>
    </w:p>
    <w:p w14:paraId="2683929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将数据载入目标表的方式有3种。</w:t>
      </w:r>
    </w:p>
    <w:p w14:paraId="071FE242">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drawing>
          <wp:inline distT="0" distB="0" distL="114300" distR="114300">
            <wp:extent cx="4763135" cy="3045460"/>
            <wp:effectExtent l="0" t="0" r="1841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3"/>
                    <a:stretch>
                      <a:fillRect/>
                    </a:stretch>
                  </pic:blipFill>
                  <pic:spPr>
                    <a:xfrm>
                      <a:off x="0" y="0"/>
                      <a:ext cx="4763135" cy="3045460"/>
                    </a:xfrm>
                    <a:prstGeom prst="rect">
                      <a:avLst/>
                    </a:prstGeom>
                    <a:noFill/>
                    <a:ln>
                      <a:noFill/>
                    </a:ln>
                  </pic:spPr>
                </pic:pic>
              </a:graphicData>
            </a:graphic>
          </wp:inline>
        </w:drawing>
      </w:r>
    </w:p>
    <w:p w14:paraId="31791C2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1）存储过程方式</w:t>
      </w:r>
    </w:p>
    <w:p w14:paraId="420F8CA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存储过程方式载入数据，主要针对没有提供数据接口的系统采用。可以方便对数据进行再次处理，或进行一些业务逻辑处理后将数据载入到目标中。</w:t>
      </w:r>
    </w:p>
    <w:p w14:paraId="6871FEE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存储过程对数据处理主要是根据中间表中的标示字段，对数据进行相应的增加、修改、删除操作。</w:t>
      </w:r>
    </w:p>
    <w:p w14:paraId="5C2A461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2）代码方式</w:t>
      </w:r>
    </w:p>
    <w:p w14:paraId="48D430A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代码方式载入数据，主要是针对提供数据接口的系统采用。一般是指业务系统已经对数据载入编写程序代码，并提供数据接口表。在数据集成过程中，只需要根据数据接口表的格式要求，将数据放入该数据接口表即可。</w:t>
      </w:r>
    </w:p>
    <w:p w14:paraId="58C3F1F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3）ODI直接推送方式</w:t>
      </w:r>
    </w:p>
    <w:p w14:paraId="2ED44E3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ODI直接推送方式载入数据，主要针对没有提供数据接口的系统，且数据结构简单、无业务逻辑情况采用。</w:t>
      </w:r>
    </w:p>
    <w:p w14:paraId="7584CDD7">
      <w:pPr>
        <w:spacing w:line="360" w:lineRule="auto"/>
        <w:ind w:firstLine="0" w:firstLineChars="0"/>
        <w:rPr>
          <w:rFonts w:hint="eastAsia" w:ascii="宋体" w:hAnsi="宋体" w:eastAsia="宋体" w:cs="宋体"/>
          <w:sz w:val="21"/>
          <w:szCs w:val="21"/>
        </w:rPr>
      </w:pPr>
      <w:r>
        <w:rPr>
          <w:rFonts w:hint="eastAsia" w:ascii="宋体" w:hAnsi="宋体" w:eastAsia="宋体" w:cs="宋体"/>
          <w:sz w:val="21"/>
          <w:szCs w:val="21"/>
        </w:rPr>
        <w:t>4、接口命名规范设计</w:t>
      </w:r>
    </w:p>
    <w:p w14:paraId="4E04DB9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接口清单整理通过对本项目范围内业务系统与数据中心融合过程中的接口信息，包括接口目标（完成业务系统通过何种方式抽取到中间表）等，接口编号，接口描述，上行数据接口（视图信息，存储过程名称，调度名称、调度时间、中间表信息等）。</w:t>
      </w:r>
    </w:p>
    <w:p w14:paraId="05A8744E">
      <w:pPr>
        <w:pStyle w:val="3"/>
        <w:spacing w:line="360" w:lineRule="auto"/>
        <w:jc w:val="both"/>
        <w:rPr>
          <w:rFonts w:hint="eastAsia" w:ascii="宋体" w:hAnsi="宋体" w:eastAsia="宋体" w:cs="宋体"/>
          <w:sz w:val="28"/>
          <w:szCs w:val="28"/>
        </w:rPr>
      </w:pPr>
      <w:bookmarkStart w:id="504" w:name="_Toc12498"/>
      <w:r>
        <w:rPr>
          <w:rFonts w:hint="eastAsia" w:ascii="宋体" w:hAnsi="宋体" w:eastAsia="宋体" w:cs="宋体"/>
          <w:sz w:val="28"/>
          <w:szCs w:val="28"/>
          <w:lang w:val="en-US" w:eastAsia="zh-CN"/>
        </w:rPr>
        <w:t xml:space="preserve">1.3 </w:t>
      </w:r>
      <w:r>
        <w:rPr>
          <w:rFonts w:hint="eastAsia" w:ascii="宋体" w:hAnsi="宋体" w:eastAsia="宋体" w:cs="宋体"/>
          <w:sz w:val="28"/>
          <w:szCs w:val="28"/>
        </w:rPr>
        <w:t>BI分析工具（升级）</w:t>
      </w:r>
      <w:bookmarkEnd w:id="504"/>
    </w:p>
    <w:p w14:paraId="674584B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本项目计划拓展数据分析工具。基于数据中心所整合的数据资产，用以构建各类数据报表与分析看板，有效呈现数据资产价值。</w:t>
      </w:r>
    </w:p>
    <w:p w14:paraId="1533A67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数据分析展示系统通过构建统一的、互通的数据体系，联通数据孤岛，驱动数据资产化，助力智慧校园，让数据产生决策参考价值。通过对数据的统计、钻取、分析、挖掘数据的蛛丝马迹，提出问题，找到原因，发现内在关系。该平台为多主题、多角度、大屏式的校情数据分析可视化展现平台，通过对各大业务主题域包括师资、学工、科研、资产等的分析，为管理者提供全方位的数据展示。同时拥有多种下钻方式，为使用者提供不同的数据探索方式，寻找数据决策点。</w:t>
      </w:r>
    </w:p>
    <w:p w14:paraId="1AAE0F4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通过数据分析构建领导驾驶舱，将组织过程行为数据，业务结果数据，物联终端设备数据、系统使用数据集中呈现。系统提供行为效率策略工具、业务数据分析、系统数据分析、一键查看等功能，完整呈现学校系统运行的关键指标, 将数据形象化、直观化、具体化，直观地监测教育系统的实时运营情况。</w:t>
      </w:r>
    </w:p>
    <w:p w14:paraId="55CB4DB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校情概况面向学校领导与管理人员，提供数据可视化、Word报告、大屏展现，进行数据分析直观展示，辅助校领导实时、便捷、科学的精准管理与决策。</w:t>
      </w:r>
    </w:p>
    <w:p w14:paraId="03A75FA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业务人员报表构建快速响应，业务人员可以通过拖拽式的分析操作。</w:t>
      </w:r>
    </w:p>
    <w:p w14:paraId="2DBA661C">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教学日常数据分析统计，通过工具实现学校日常管理的各类格式报表，轻松应对各类复杂的教学分析报表。</w:t>
      </w:r>
    </w:p>
    <w:p w14:paraId="0A741A5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移动端数据分析</w:t>
      </w:r>
      <w:r>
        <w:rPr>
          <w:rFonts w:hint="eastAsia" w:ascii="宋体" w:hAnsi="宋体" w:cs="宋体"/>
          <w:sz w:val="21"/>
          <w:szCs w:val="21"/>
          <w:lang w:val="en-US" w:eastAsia="zh-CN"/>
        </w:rPr>
        <w:t>查看</w:t>
      </w:r>
      <w:r>
        <w:rPr>
          <w:rFonts w:hint="eastAsia" w:ascii="宋体" w:hAnsi="宋体" w:eastAsia="宋体" w:cs="宋体"/>
          <w:sz w:val="21"/>
          <w:szCs w:val="21"/>
        </w:rPr>
        <w:t>，让师生随时随地参与和掌控数据动态。对于数据分析中的异常或者重点数据，可圈阅后发送给指定师生。</w:t>
      </w:r>
    </w:p>
    <w:p w14:paraId="24F181F7">
      <w:pPr>
        <w:spacing w:line="360" w:lineRule="auto"/>
        <w:ind w:firstLineChars="0"/>
        <w:rPr>
          <w:rFonts w:hint="eastAsia" w:ascii="宋体" w:hAnsi="宋体" w:eastAsia="宋体" w:cs="宋体"/>
          <w:b/>
          <w:sz w:val="21"/>
          <w:szCs w:val="21"/>
        </w:rPr>
      </w:pPr>
      <w:r>
        <w:rPr>
          <w:rFonts w:hint="eastAsia" w:ascii="宋体" w:hAnsi="宋体" w:eastAsia="宋体" w:cs="宋体"/>
          <w:sz w:val="21"/>
          <w:szCs w:val="21"/>
        </w:rPr>
        <w:t>数据分析展示系统对各大业务主题域的分析，进行全方位的</w:t>
      </w:r>
      <w:r>
        <w:rPr>
          <w:rFonts w:hint="eastAsia" w:ascii="宋体" w:hAnsi="宋体" w:eastAsia="宋体" w:cs="宋体"/>
          <w:sz w:val="21"/>
          <w:szCs w:val="21"/>
          <w:lang w:val="en-US" w:eastAsia="zh-CN"/>
        </w:rPr>
        <w:t>定制化</w:t>
      </w:r>
      <w:r>
        <w:rPr>
          <w:rFonts w:hint="eastAsia" w:ascii="宋体" w:hAnsi="宋体" w:eastAsia="宋体" w:cs="宋体"/>
          <w:sz w:val="21"/>
          <w:szCs w:val="21"/>
        </w:rPr>
        <w:t>数据展示，具体包括：</w:t>
      </w:r>
    </w:p>
    <w:p w14:paraId="689E4709">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（1）学生成长轨迹分析</w:t>
      </w:r>
    </w:p>
    <w:p w14:paraId="65D5E06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从时间和能力等维度，分析学生的上网行为、学习成绩、学生特长等，为未来规划教学资源提供方向和指引等。</w:t>
      </w:r>
    </w:p>
    <w:p w14:paraId="35B296F0">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（2）管理效能分析</w:t>
      </w:r>
    </w:p>
    <w:p w14:paraId="75B5EEF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基于各管理平台的申请、审批和响应执行等环节，综合分析学院及各职能部门的管理效能执行情况。</w:t>
      </w:r>
    </w:p>
    <w:p w14:paraId="30493CB4">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（3）数字资源使用分析</w:t>
      </w:r>
    </w:p>
    <w:p w14:paraId="6018CA80">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分析数字资源的使用的整体情况，包括资源热度排行、最新资源排行、最新资源排行等。</w:t>
      </w:r>
    </w:p>
    <w:p w14:paraId="722BFB1A">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（4）设备运行状态分析</w:t>
      </w:r>
    </w:p>
    <w:p w14:paraId="0532BECB">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根据维修维护服务工作开展情况，维修费用、配件费用支出情况，对校（院）设施设备运行状态进行评估</w:t>
      </w:r>
    </w:p>
    <w:p w14:paraId="645C4F11">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（5）科研项目立项分析</w:t>
      </w:r>
    </w:p>
    <w:p w14:paraId="448F901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根据科研体系和学科建设发展要求，分析当前科研课题、科研成果的分布情况，提供科研课题立项决策支持</w:t>
      </w:r>
    </w:p>
    <w:p w14:paraId="08BC6296">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（6）整体教学情况分析</w:t>
      </w:r>
    </w:p>
    <w:p w14:paraId="4796DF0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通过大屏展示，向教学管理人员展示权限内教学整体情况，当点击某项分析内容后系统自动链接对应的详细分析模块，以便获取更详细的信息。</w:t>
      </w:r>
    </w:p>
    <w:p w14:paraId="44C0151D">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（7）办事大厅效能统计分析</w:t>
      </w:r>
    </w:p>
    <w:p w14:paraId="53D1998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办事效能监控从学校一网通办服务事项的建设情况、服务事项的办理情况和用户使用情况三方面展开效能统计，向学校展示一网通办的整体建设效果，为学校后续的信息化建设提供真实有效的数据基础。</w:t>
      </w:r>
    </w:p>
    <w:p w14:paraId="2A264251">
      <w:pPr>
        <w:pStyle w:val="3"/>
        <w:spacing w:line="360" w:lineRule="auto"/>
        <w:jc w:val="both"/>
        <w:rPr>
          <w:rFonts w:hint="eastAsia" w:ascii="宋体" w:hAnsi="宋体" w:eastAsia="宋体" w:cs="宋体"/>
          <w:sz w:val="28"/>
          <w:szCs w:val="28"/>
        </w:rPr>
      </w:pPr>
      <w:bookmarkStart w:id="505" w:name="_Toc1594"/>
      <w:r>
        <w:rPr>
          <w:rFonts w:hint="eastAsia" w:ascii="宋体" w:hAnsi="宋体" w:eastAsia="宋体" w:cs="宋体"/>
          <w:sz w:val="28"/>
          <w:szCs w:val="28"/>
          <w:lang w:val="en-US" w:eastAsia="zh-CN"/>
        </w:rPr>
        <w:t>1.4</w:t>
      </w:r>
      <w:r>
        <w:rPr>
          <w:rFonts w:hint="eastAsia" w:ascii="宋体" w:hAnsi="宋体" w:eastAsia="宋体" w:cs="宋体"/>
          <w:sz w:val="28"/>
          <w:szCs w:val="28"/>
        </w:rPr>
        <w:t>融合认证中心（升级）</w:t>
      </w:r>
      <w:bookmarkEnd w:id="505"/>
    </w:p>
    <w:p w14:paraId="289E6B7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项目计划升级原有统一认证中心。拓展其认证能力，不再局限于统一认证、单点登录等基础能力，实现账号密码、指纹、人脸、一卡通等多样化的聚合认证，为后续学校搭建全域统一身份体系打下良好的基础条件。</w:t>
      </w:r>
    </w:p>
    <w:p w14:paraId="2231D64C">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随着学校数字校园应用建设的逐步深入，已经建成的和将要建成的各种应用系统存在不同的身份认证方式，安全信息各自管理，所有师生用户必须记忆不同的密码和身份。为了解决多账户问题，方便老师和学生使用数字校园的各个应用管理系统，迫切要求建立一套统一的身份管理平台，用户只需要在平台上登录一次就可以使用所有的数字校园内的应用软件系统。</w:t>
      </w:r>
    </w:p>
    <w:p w14:paraId="40708BF5">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统一身份认证系统主要完成在用户接入各业务系统前，进行统一的身份确认。也就是判断一个用户是否为合法用户的处理过程。统一身份认证平台能够通过平台绑定认证的账号登录、移动客户端扫码登陆、短信登录、指纹登录及ukey登录。</w:t>
      </w:r>
    </w:p>
    <w:p w14:paraId="48E551B3">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身份认证一般与授权控制相互联系。授权控制是指一旦用户的身份通过认证（单点登录）以后，确定哪些资源该用户可以访问、可以进行何种方式的访问操作等问题。但细的授权控制是由各应用系统自己管理。用户还可以实现用多个</w:t>
      </w:r>
      <w:r>
        <w:rPr>
          <w:rFonts w:hint="eastAsia" w:ascii="宋体" w:hAnsi="宋体" w:cs="宋体"/>
          <w:sz w:val="21"/>
          <w:szCs w:val="21"/>
          <w:lang w:val="en-US" w:eastAsia="zh-CN"/>
        </w:rPr>
        <w:t>账号</w:t>
      </w:r>
      <w:r>
        <w:rPr>
          <w:rFonts w:hint="eastAsia" w:ascii="宋体" w:hAnsi="宋体" w:eastAsia="宋体" w:cs="宋体"/>
          <w:sz w:val="21"/>
          <w:szCs w:val="21"/>
        </w:rPr>
        <w:t>进行认证，既可以建立统一</w:t>
      </w:r>
      <w:r>
        <w:rPr>
          <w:rFonts w:hint="eastAsia" w:ascii="宋体" w:hAnsi="宋体" w:cs="宋体"/>
          <w:sz w:val="21"/>
          <w:szCs w:val="21"/>
          <w:lang w:val="en-US" w:eastAsia="zh-CN"/>
        </w:rPr>
        <w:t>账号</w:t>
      </w:r>
      <w:r>
        <w:rPr>
          <w:rFonts w:hint="eastAsia" w:ascii="宋体" w:hAnsi="宋体" w:eastAsia="宋体" w:cs="宋体"/>
          <w:sz w:val="21"/>
          <w:szCs w:val="21"/>
        </w:rPr>
        <w:t>登录规则又可以保留用户之前使用的个性化</w:t>
      </w:r>
      <w:r>
        <w:rPr>
          <w:rFonts w:hint="eastAsia" w:ascii="宋体" w:hAnsi="宋体" w:cs="宋体"/>
          <w:sz w:val="21"/>
          <w:szCs w:val="21"/>
          <w:lang w:val="en-US" w:eastAsia="zh-CN"/>
        </w:rPr>
        <w:t>账号</w:t>
      </w:r>
      <w:r>
        <w:rPr>
          <w:rFonts w:hint="eastAsia" w:ascii="宋体" w:hAnsi="宋体" w:eastAsia="宋体" w:cs="宋体"/>
          <w:sz w:val="21"/>
          <w:szCs w:val="21"/>
        </w:rPr>
        <w:t>登录，实现权限统一。</w:t>
      </w:r>
    </w:p>
    <w:p w14:paraId="68202BF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统一身份认证系统作为数字校园的安全认证及授权中心，提供一系列全面认证、授权控制和管理工具，对数据的访问和使用进行全方位多层次的许可、控制和管理，并保护数据拥有者和使用者的数据安全。</w:t>
      </w:r>
    </w:p>
    <w:p w14:paraId="20E6FECF">
      <w:pPr>
        <w:pStyle w:val="153"/>
        <w:spacing w:line="360" w:lineRule="auto"/>
        <w:ind w:firstLine="360"/>
        <w:rPr>
          <w:rFonts w:hint="eastAsia" w:ascii="宋体" w:hAnsi="宋体" w:eastAsia="宋体" w:cs="宋体"/>
          <w:sz w:val="21"/>
          <w:szCs w:val="21"/>
        </w:rPr>
      </w:pPr>
      <w:r>
        <w:rPr>
          <w:rFonts w:hint="eastAsia" w:ascii="宋体" w:hAnsi="宋体" w:eastAsia="宋体" w:cs="宋体"/>
          <w:sz w:val="21"/>
          <w:szCs w:val="21"/>
        </w:rPr>
        <w:drawing>
          <wp:inline distT="0" distB="0" distL="0" distR="0">
            <wp:extent cx="5486400" cy="2186940"/>
            <wp:effectExtent l="0" t="0" r="0" b="3810"/>
            <wp:docPr id="28691" name="图片 2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91" name="图片 28691"/>
                    <pic:cNvPicPr>
                      <a:picLocks noChangeAspect="1"/>
                    </pic:cNvPicPr>
                  </pic:nvPicPr>
                  <pic:blipFill>
                    <a:blip r:embed="rId24"/>
                    <a:stretch>
                      <a:fillRect/>
                    </a:stretch>
                  </pic:blipFill>
                  <pic:spPr>
                    <a:xfrm>
                      <a:off x="0" y="0"/>
                      <a:ext cx="5486400" cy="2186940"/>
                    </a:xfrm>
                    <a:prstGeom prst="rect">
                      <a:avLst/>
                    </a:prstGeom>
                  </pic:spPr>
                </pic:pic>
              </a:graphicData>
            </a:graphic>
          </wp:inline>
        </w:drawing>
      </w:r>
      <w:r>
        <w:rPr>
          <w:rFonts w:hint="eastAsia" w:ascii="宋体" w:hAnsi="宋体" w:eastAsia="宋体" w:cs="宋体"/>
          <w:sz w:val="21"/>
          <w:szCs w:val="21"/>
        </w:rPr>
        <w:t xml:space="preserve"> </w:t>
      </w:r>
    </w:p>
    <w:p w14:paraId="6E55B8C8">
      <w:pPr>
        <w:pStyle w:val="153"/>
        <w:spacing w:line="360" w:lineRule="auto"/>
        <w:ind w:firstLine="360"/>
        <w:rPr>
          <w:rFonts w:hint="eastAsia" w:ascii="宋体" w:hAnsi="宋体" w:eastAsia="宋体" w:cs="宋体"/>
          <w:sz w:val="21"/>
          <w:szCs w:val="21"/>
        </w:rPr>
      </w:pPr>
      <w:r>
        <w:rPr>
          <w:rFonts w:hint="eastAsia" w:ascii="宋体" w:hAnsi="宋体" w:eastAsia="宋体" w:cs="宋体"/>
          <w:sz w:val="21"/>
          <w:szCs w:val="21"/>
        </w:rPr>
        <w:t>多种认证方式示意图</w:t>
      </w:r>
    </w:p>
    <w:p w14:paraId="0FC1CE1D">
      <w:pPr>
        <w:pStyle w:val="153"/>
        <w:spacing w:line="360" w:lineRule="auto"/>
        <w:ind w:firstLine="360"/>
        <w:rPr>
          <w:rFonts w:hint="eastAsia" w:ascii="宋体" w:hAnsi="宋体" w:eastAsia="宋体" w:cs="宋体"/>
          <w:sz w:val="21"/>
          <w:szCs w:val="21"/>
        </w:rPr>
      </w:pPr>
      <w:r>
        <w:rPr>
          <w:rFonts w:hint="eastAsia" w:ascii="宋体" w:hAnsi="宋体" w:eastAsia="宋体" w:cs="宋体"/>
          <w:sz w:val="21"/>
          <w:szCs w:val="21"/>
        </w:rPr>
        <w:drawing>
          <wp:inline distT="0" distB="0" distL="0" distR="0">
            <wp:extent cx="5399405" cy="2551430"/>
            <wp:effectExtent l="0" t="0" r="10795" b="1270"/>
            <wp:docPr id="28692" name="图片 2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92" name="图片 28692"/>
                    <pic:cNvPicPr>
                      <a:picLocks noChangeAspect="1"/>
                    </pic:cNvPicPr>
                  </pic:nvPicPr>
                  <pic:blipFill>
                    <a:blip r:embed="rId25"/>
                    <a:srcRect l="16672" t="33931" r="27260" b="18968"/>
                    <a:stretch>
                      <a:fillRect/>
                    </a:stretch>
                  </pic:blipFill>
                  <pic:spPr>
                    <a:xfrm>
                      <a:off x="0" y="0"/>
                      <a:ext cx="5428434" cy="2565168"/>
                    </a:xfrm>
                    <a:prstGeom prst="rect">
                      <a:avLst/>
                    </a:prstGeom>
                    <a:ln>
                      <a:noFill/>
                    </a:ln>
                  </pic:spPr>
                </pic:pic>
              </a:graphicData>
            </a:graphic>
          </wp:inline>
        </w:drawing>
      </w:r>
    </w:p>
    <w:p w14:paraId="17B29915">
      <w:pPr>
        <w:pStyle w:val="153"/>
        <w:spacing w:line="360" w:lineRule="auto"/>
        <w:ind w:firstLine="360"/>
        <w:rPr>
          <w:rFonts w:hint="eastAsia" w:ascii="宋体" w:hAnsi="宋体" w:eastAsia="宋体" w:cs="宋体"/>
          <w:sz w:val="21"/>
          <w:szCs w:val="21"/>
        </w:rPr>
      </w:pPr>
      <w:r>
        <w:rPr>
          <w:rFonts w:hint="eastAsia" w:ascii="宋体" w:hAnsi="宋体" w:eastAsia="宋体" w:cs="宋体"/>
          <w:sz w:val="21"/>
          <w:szCs w:val="21"/>
        </w:rPr>
        <w:t>统一权限管理</w:t>
      </w:r>
    </w:p>
    <w:p w14:paraId="79DC8683">
      <w:pPr>
        <w:pStyle w:val="153"/>
        <w:spacing w:line="360" w:lineRule="auto"/>
        <w:ind w:firstLine="500" w:firstLineChars="200"/>
        <w:jc w:val="both"/>
        <w:rPr>
          <w:rFonts w:hint="eastAsia" w:ascii="宋体" w:hAnsi="宋体" w:eastAsia="宋体" w:cs="宋体"/>
          <w:b w:val="0"/>
          <w:bCs/>
          <w:sz w:val="21"/>
          <w:szCs w:val="21"/>
        </w:rPr>
      </w:pPr>
      <w:r>
        <w:rPr>
          <w:rFonts w:hint="eastAsia" w:ascii="宋体" w:hAnsi="宋体" w:eastAsia="宋体" w:cs="宋体"/>
          <w:b w:val="0"/>
          <w:bCs/>
          <w:sz w:val="21"/>
          <w:szCs w:val="21"/>
        </w:rPr>
        <w:t>为了解决多账户登录问题以方便老师和学生使用数字校园的各个应用管理系统，对统一身份认证系统须具备以下要求：</w:t>
      </w:r>
    </w:p>
    <w:p w14:paraId="28C2526C">
      <w:pPr>
        <w:pStyle w:val="153"/>
        <w:spacing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（1）用户账号登录</w:t>
      </w:r>
    </w:p>
    <w:p w14:paraId="58B8DA2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系统支持用户使用学校标准账号和自定义账号登录（工号/学号/别名）；支持QQ、微信、钉钉联合登录；同时也须支持APP扫码、短信验证码登录，使全校师生能够拥有统一身份认证入口、账号唯一、单点登录、集中认证。</w:t>
      </w:r>
    </w:p>
    <w:p w14:paraId="3A73D6B8">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此外，还可支持通过和硬件设备的联通，提供指纹登录、Ukey登录和人脸识别等灵活的认证方式。</w:t>
      </w:r>
    </w:p>
    <w:p w14:paraId="2C9DFD40">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（2）安全管控要求</w:t>
      </w:r>
    </w:p>
    <w:p w14:paraId="3B77AD9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个人账号的安全，一直是用户关心之处，系统支持绑定QQ、微信、钉钉，设置密保问题、校验手机号、邮箱，绑定指纹等多种安全设置方式，能够提高用户登录安全性。同时在密码找回策略上，系统支持绑定密保找回、邮箱找回、短信找回、QQ联合找回、微信扫码找回、账号申诉等多种密码找回方式，给用户提供便捷的途径找回密码，同时也让管理员从后台手动修改还原用户密码的繁琐工作中解放出来。</w:t>
      </w:r>
    </w:p>
    <w:p w14:paraId="4232CED4">
      <w:pPr>
        <w:spacing w:line="360" w:lineRule="auto"/>
        <w:ind w:firstLine="0" w:firstLineChars="0"/>
        <w:rPr>
          <w:rFonts w:hint="eastAsia" w:ascii="宋体" w:hAnsi="宋体" w:eastAsia="宋体" w:cs="宋体"/>
          <w:sz w:val="21"/>
          <w:szCs w:val="21"/>
        </w:rPr>
      </w:pPr>
      <w:r>
        <w:rPr>
          <w:rFonts w:hint="eastAsia" w:ascii="宋体" w:hAnsi="宋体" w:eastAsia="宋体" w:cs="宋体"/>
          <w:b/>
          <w:bCs/>
          <w:sz w:val="21"/>
          <w:szCs w:val="21"/>
        </w:rPr>
        <w:t>（3）用户数据报告</w:t>
      </w:r>
    </w:p>
    <w:p w14:paraId="3010E28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能够获取用户个性分析报告得到个人对平台黏性（访问频率、访问时隔</w:t>
      </w:r>
      <w:r>
        <w:rPr>
          <w:rFonts w:hint="eastAsia" w:ascii="宋体" w:hAnsi="宋体" w:cs="宋体"/>
          <w:sz w:val="21"/>
          <w:szCs w:val="21"/>
          <w:lang w:val="en-US" w:eastAsia="zh-CN"/>
        </w:rPr>
        <w:t>时长</w:t>
      </w:r>
      <w:r>
        <w:rPr>
          <w:rFonts w:hint="eastAsia" w:ascii="宋体" w:hAnsi="宋体" w:eastAsia="宋体" w:cs="宋体"/>
          <w:sz w:val="21"/>
          <w:szCs w:val="21"/>
        </w:rPr>
        <w:t>）、活跃（平均访问页面/服务数）等信息，能够满足用户自我展示、自我记录的个性需求。</w:t>
      </w:r>
    </w:p>
    <w:p w14:paraId="2CEB6D14">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（4）后台管理要求</w:t>
      </w:r>
    </w:p>
    <w:p w14:paraId="79C60642">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 xml:space="preserve">管理人员可以在后台获取到全面的用户访问统计信息，直观了解认证平台当前的用户使用情况。而在更深层面，管理人员也可以通过系统提供的问题检测功能，对账号信息、应用信息自查确保数据唯一性、信息准确性，并能报告出问题账号和问题应用。 </w:t>
      </w:r>
    </w:p>
    <w:p w14:paraId="26D07F7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对于系统的安全性，密码连续错误后出现验证码校验，再连续错误即锁定账户，再则加入IP黑名单，防止暴力破解；支持敏感操作自动检测，比如短时间内频繁修改密码、发邮件等操作，加入IP黑名单锁定当前客户端；</w:t>
      </w:r>
    </w:p>
    <w:p w14:paraId="26D8F9D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须提供参数化的配置功能，包括基础设置、登录设置、消息设置、账号同步设置、邮箱设置、微信设置、密码策略、APP设置等内容，只需要通过便捷的设置即可实现已有逻辑的调整，通过配置模板实现同类功能配置。</w:t>
      </w:r>
    </w:p>
    <w:p w14:paraId="77C9F4C9">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（5）聚合认证服务</w:t>
      </w:r>
    </w:p>
    <w:p w14:paraId="76AC6D9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随着信息化升级和持续发展，认证系统要求能够结合线下设备如指纹设备、人脸识别设备等，协助学校建设生物特征库，打造多场景的聚合认证服务。</w:t>
      </w:r>
    </w:p>
    <w:p w14:paraId="6E52C8C9">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生物特征库中可以包括生理特性（指纹、</w:t>
      </w:r>
      <w:r>
        <w:rPr>
          <w:rFonts w:hint="eastAsia" w:ascii="宋体" w:hAnsi="宋体" w:cs="宋体"/>
          <w:sz w:val="21"/>
          <w:szCs w:val="21"/>
          <w:lang w:val="en-US" w:eastAsia="zh-CN"/>
        </w:rPr>
        <w:t>脸相</w:t>
      </w:r>
      <w:r>
        <w:rPr>
          <w:rFonts w:hint="eastAsia" w:ascii="宋体" w:hAnsi="宋体" w:eastAsia="宋体" w:cs="宋体"/>
          <w:sz w:val="21"/>
          <w:szCs w:val="21"/>
        </w:rPr>
        <w:t>、虹膜、静脉、手掌、基因等）和行为特征（笔迹、声音、步态），结合硬件设备，实现除了前面提到的指纹、人脸识别等方式进行系统登录之外，还可将应用场景推广到进出学校、寝室、图书馆、教室等诸多地点的门禁管理、人数统计之中，在人、证、权匹配之后放行，这样的场景在今年的疫情管控中取得了很好的服务效果。</w:t>
      </w:r>
    </w:p>
    <w:p w14:paraId="6E2F8B6B">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实现方式上，可由认证系统提供门禁等人脸识别系统的用户身份信息，用户的生物特征因子在后台核验后，快速匹配个人信息；另外，也可以由人脸识别系统提供算法或识别接口给认证系统，认证系统可以封装后自用或对外提供。</w:t>
      </w:r>
    </w:p>
    <w:p w14:paraId="625DA547">
      <w:pPr>
        <w:spacing w:line="360" w:lineRule="auto"/>
        <w:ind w:firstLine="482"/>
        <w:rPr>
          <w:rFonts w:hint="eastAsia" w:ascii="宋体" w:hAnsi="宋体" w:eastAsia="宋体" w:cs="宋体"/>
          <w:b/>
          <w:bCs/>
          <w:sz w:val="21"/>
          <w:szCs w:val="21"/>
        </w:rPr>
      </w:pPr>
      <w:r>
        <w:rPr>
          <w:rFonts w:hint="eastAsia" w:ascii="宋体" w:hAnsi="宋体" w:eastAsia="宋体" w:cs="宋体"/>
          <w:b/>
          <w:bCs/>
          <w:sz w:val="21"/>
          <w:szCs w:val="21"/>
        </w:rPr>
        <w:t>认证集成方式：</w:t>
      </w:r>
    </w:p>
    <w:p w14:paraId="69332271">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通过统一身份认证平台，确定一套用户身份信息，以WebService、API等方式完成目前适合集成认证的系统的集成工作，且实现身份数据与相关应用系统的同步。同时留有接口供后续建设的系统无缝的与统一身份认证进行集成。</w:t>
      </w:r>
    </w:p>
    <w:p w14:paraId="10B983DE">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经过对原有应用系统的数据库结构、应用程序语言等结合厂商配合力度考虑，认证集成方式主要提供三种方案实现，主要包括标准集成、认证接口、即插即用。具体实施步骤如下：</w:t>
      </w:r>
    </w:p>
    <w:p w14:paraId="172F8D3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第一步，选择“添加”，可以新添加一个系统集成配置，配置之后该系统便可以进行单点登录。</w:t>
      </w:r>
    </w:p>
    <w:p w14:paraId="61A8AE7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第二步，填写系统编号，是指每个系统的唯一编号，具体编码规则由每个学校确定，但编号必须唯一且必须由字母或数字组成。</w:t>
      </w:r>
    </w:p>
    <w:p w14:paraId="3973921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第三步，填写系统名称，系统的名称。例如“办公自动化系统”。</w:t>
      </w:r>
    </w:p>
    <w:p w14:paraId="5ECAECC7">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第四步，选择集成类型，包括“</w:t>
      </w:r>
      <w:r>
        <w:rPr>
          <w:rFonts w:hint="eastAsia" w:ascii="宋体" w:hAnsi="宋体" w:eastAsia="宋体" w:cs="宋体"/>
          <w:bCs/>
          <w:sz w:val="21"/>
          <w:szCs w:val="21"/>
        </w:rPr>
        <w:t>标准集成</w:t>
      </w:r>
      <w:r>
        <w:rPr>
          <w:rFonts w:hint="eastAsia" w:ascii="宋体" w:hAnsi="宋体" w:eastAsia="宋体" w:cs="宋体"/>
          <w:sz w:val="21"/>
          <w:szCs w:val="21"/>
        </w:rPr>
        <w:t>”、“</w:t>
      </w:r>
      <w:r>
        <w:rPr>
          <w:rFonts w:hint="eastAsia" w:ascii="宋体" w:hAnsi="宋体" w:eastAsia="宋体" w:cs="宋体"/>
          <w:bCs/>
          <w:sz w:val="21"/>
          <w:szCs w:val="21"/>
        </w:rPr>
        <w:t>认证接口</w:t>
      </w:r>
      <w:r>
        <w:rPr>
          <w:rFonts w:hint="eastAsia" w:ascii="宋体" w:hAnsi="宋体" w:eastAsia="宋体" w:cs="宋体"/>
          <w:sz w:val="21"/>
          <w:szCs w:val="21"/>
        </w:rPr>
        <w:t>”、“</w:t>
      </w:r>
      <w:r>
        <w:rPr>
          <w:rFonts w:hint="eastAsia" w:ascii="宋体" w:hAnsi="宋体" w:eastAsia="宋体" w:cs="宋体"/>
          <w:bCs/>
          <w:sz w:val="21"/>
          <w:szCs w:val="21"/>
        </w:rPr>
        <w:t>即插即用</w:t>
      </w:r>
      <w:r>
        <w:rPr>
          <w:rFonts w:hint="eastAsia" w:ascii="宋体" w:hAnsi="宋体" w:eastAsia="宋体" w:cs="宋体"/>
          <w:sz w:val="21"/>
          <w:szCs w:val="21"/>
        </w:rPr>
        <w:t>”。具体解释如下：</w:t>
      </w:r>
    </w:p>
    <w:p w14:paraId="5F5508DC">
      <w:pPr>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标准集成</w:t>
      </w:r>
    </w:p>
    <w:p w14:paraId="521F1826">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是指标准身份识别和访问控制平台的集成。用户使用的浏览器登陆身份识别和访问控制平台后，不关闭浏览器，不清除缓存的情况下，且该用户在该应用系统中有用户，用户无需二次登陆，就可以直接进入该应用系统，用户无需绑定任何用户名和密码。</w:t>
      </w:r>
    </w:p>
    <w:p w14:paraId="716EF050">
      <w:pPr>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认证接口</w:t>
      </w:r>
    </w:p>
    <w:p w14:paraId="1347F04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是指应用系统提供认证接口，身份识别和访问控制平台使用该应用系统的认证接口，就可以实现用户的登陆。该方式无需用户管理自己的用户名和密码，而是由应用系统管理员使用【认证管理】-&gt;【账号绑定】功能，统一管理用户在门户的编号与系统的用户名的映射关系。</w:t>
      </w:r>
    </w:p>
    <w:p w14:paraId="67BB7271">
      <w:pPr>
        <w:pStyle w:val="3"/>
        <w:spacing w:line="360" w:lineRule="auto"/>
        <w:jc w:val="both"/>
        <w:rPr>
          <w:rFonts w:hint="eastAsia" w:ascii="宋体" w:hAnsi="宋体" w:eastAsia="宋体" w:cs="宋体"/>
          <w:sz w:val="28"/>
          <w:szCs w:val="28"/>
        </w:rPr>
      </w:pPr>
      <w:bookmarkStart w:id="506" w:name="_Toc30586"/>
      <w:r>
        <w:rPr>
          <w:rFonts w:hint="eastAsia" w:ascii="宋体" w:hAnsi="宋体" w:eastAsia="宋体" w:cs="宋体"/>
          <w:sz w:val="28"/>
          <w:szCs w:val="28"/>
          <w:lang w:val="en-US" w:eastAsia="zh-CN"/>
        </w:rPr>
        <w:t>1.5</w:t>
      </w:r>
      <w:r>
        <w:rPr>
          <w:rFonts w:hint="eastAsia" w:ascii="宋体" w:hAnsi="宋体" w:eastAsia="宋体" w:cs="宋体"/>
          <w:sz w:val="28"/>
          <w:szCs w:val="28"/>
        </w:rPr>
        <w:t>融合服务门户（升级）</w:t>
      </w:r>
      <w:bookmarkEnd w:id="506"/>
    </w:p>
    <w:p w14:paraId="24355C61">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本项目计划升级原有统一信息门户。将其转变为全新的融合服务门户，实现整合校园应用、待办、消息、日程、制度等诸多服务要素于一体的融合型服务门户，全面消除校内业务应用孤岛，推动业务融合创新。</w:t>
      </w:r>
    </w:p>
    <w:p w14:paraId="6CEFE0B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融合门户在信息、应用和服务上的升级，助力从校领导、教职工到学生的工作生活服务提升。对于校领导来说，信息的价值在放大，可通过日程日历统一查看到工作安排，通过统一新闻进行各类通知的订阅和分类查看；对于教职工来说，应用的形式在拓宽，可通过不同的卡片查看到个人关心的应用信息如工资、考勤、借阅等，统一应用入口的基础上，统一服务入口，更少的跳转，定位所需界面；对于学生来说，服务的范围在扩展，越来越多的办事服务，只需要一个平台就能集中点击完成，状态的跟踪，服务的监控，超时的催办，要办好一件事变得越发的简单。信息、应用和服务这三要素，在融合门户的建设中，和不同用户群体一同聚力，打造全体用户的信息之窗，应用之门，服务之所。</w:t>
      </w:r>
    </w:p>
    <w:p w14:paraId="492B03CD">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（1）统一待办</w:t>
      </w:r>
    </w:p>
    <w:p w14:paraId="3BE5CFD4">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统一待办中心深度集成各业务系统中的待办事务，通过待办中心将用户的待办、申请、在办事项的进度、节点、时间、环节统一的呈现，无论是AIC、人事、学工、科研、资产、一卡通、安防、图书等系统，所有的事务进展都能在门户集中触达，进行办理。</w:t>
      </w:r>
    </w:p>
    <w:p w14:paraId="5BC009B6">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（2）统一资讯</w:t>
      </w:r>
    </w:p>
    <w:p w14:paraId="318CFCA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统一资讯中心把从信息梳理、分类再到订阅，把信息分为通知、公告信息、校园信息、公文或者个人信息等类别，通过权限控制以帮助用户更快的锁定自己需要的信息，通过消息进行提醒，实现更少的点击和跳转。</w:t>
      </w:r>
    </w:p>
    <w:p w14:paraId="45072A73">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（3）统一消息提醒</w:t>
      </w:r>
    </w:p>
    <w:p w14:paraId="6DD1F4FA">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把学校各渠道各部门各系统消息统一纳到一个平台，这一类的信息设置是以什么渠道什么时候发送给谁。比如对接学校会议信息，参会人员手机端可以主动接收到消息提醒。融合门户利用消息中心能力做到向不同用户提供个性化提醒策略，可以通过不同渠道进行消息精准触达（短信、邮件等多种方式），不打开门户界面情况下支持消息实时主动推送。</w:t>
      </w:r>
    </w:p>
    <w:p w14:paraId="17BA1467">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（4）统一服务入口</w:t>
      </w:r>
    </w:p>
    <w:p w14:paraId="1B9AE36C">
      <w:pPr>
        <w:spacing w:line="360" w:lineRule="auto"/>
        <w:ind w:firstLine="480"/>
        <w:rPr>
          <w:rFonts w:hint="eastAsia" w:ascii="宋体" w:hAnsi="宋体" w:eastAsia="宋体" w:cs="宋体"/>
          <w:b/>
          <w:bCs/>
          <w:sz w:val="21"/>
          <w:szCs w:val="21"/>
        </w:rPr>
      </w:pPr>
      <w:r>
        <w:rPr>
          <w:rFonts w:hint="eastAsia" w:ascii="宋体" w:hAnsi="宋体" w:eastAsia="宋体" w:cs="宋体"/>
          <w:sz w:val="21"/>
          <w:szCs w:val="21"/>
        </w:rPr>
        <w:t>融合学校在建已建将建的应用和服务入口，按照角色权限进行门户呈现，进行权限精准匹配和服务智能推荐，以提升师生用户的体验感，实现“最多点一次”。</w:t>
      </w:r>
    </w:p>
    <w:p w14:paraId="1AB32294">
      <w:pPr>
        <w:spacing w:line="360" w:lineRule="auto"/>
        <w:ind w:firstLine="0" w:firstLineChars="0"/>
        <w:rPr>
          <w:rFonts w:hint="eastAsia" w:ascii="宋体" w:hAnsi="宋体" w:eastAsia="宋体" w:cs="宋体"/>
          <w:b/>
          <w:bCs/>
          <w:sz w:val="21"/>
          <w:szCs w:val="21"/>
        </w:rPr>
      </w:pPr>
      <w:r>
        <w:rPr>
          <w:rFonts w:hint="eastAsia" w:ascii="宋体" w:hAnsi="宋体" w:eastAsia="宋体" w:cs="宋体"/>
          <w:b/>
          <w:bCs/>
          <w:sz w:val="21"/>
          <w:szCs w:val="21"/>
        </w:rPr>
        <w:t>（5）统一日程</w:t>
      </w:r>
    </w:p>
    <w:p w14:paraId="78A6365F">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平台贯彻从“人找服务”转向“服务找人”的理念，支持第三方系统写入，通过日程中心，直观查看重要事项，发布和接收通知与提醒。协同日程支持消息提醒，支持提醒时间设置，用户可以设置日程的提醒时间。</w:t>
      </w:r>
    </w:p>
    <w:p w14:paraId="54CEF9DB">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服务门户能为学校广大老师、学生、管理人员、领导等用户，提供统一的信息和服务的平台，能将分散、异构的应用和信息资源进行聚合，通过统一的访问入口，实现结构化数据资源、非结构化文档和互联网资源、各种应用系统跨数据库、跨系统平台的无缝接入和集成，提供灵活、多渠道的数据、服务内容整合工具，可以适应不同环境下的数据、服务展现需求，为数字校园信息化服务提供基础支撑。</w:t>
      </w:r>
    </w:p>
    <w:p w14:paraId="6F420CC2">
      <w:pPr>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（6）个性化门户界面</w:t>
      </w:r>
    </w:p>
    <w:p w14:paraId="446AE0DD">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基于融合认证中心的统一权限能力，为不同层级的用户提供不同的门户界面与服务内容，实现“千人千面”的个性化服务门户。</w:t>
      </w:r>
    </w:p>
    <w:p w14:paraId="2BFD1E30">
      <w:pPr>
        <w:spacing w:line="360" w:lineRule="auto"/>
        <w:ind w:firstLine="0" w:firstLineChars="0"/>
        <w:rPr>
          <w:rFonts w:hint="eastAsia" w:ascii="宋体" w:hAnsi="宋体" w:eastAsia="宋体" w:cs="宋体"/>
          <w:sz w:val="24"/>
          <w:szCs w:val="24"/>
        </w:rPr>
      </w:pPr>
      <w:r>
        <w:rPr>
          <w:rFonts w:hint="eastAsia" w:ascii="宋体" w:hAnsi="宋体" w:eastAsia="宋体" w:cs="宋体"/>
        </w:rPr>
        <w:drawing>
          <wp:inline distT="0" distB="0" distL="0" distR="0">
            <wp:extent cx="6058535" cy="6762750"/>
            <wp:effectExtent l="0" t="0" r="18415" b="0"/>
            <wp:docPr id="6813115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11540" name="图片 1"/>
                    <pic:cNvPicPr>
                      <a:picLocks noChangeAspect="1"/>
                    </pic:cNvPicPr>
                  </pic:nvPicPr>
                  <pic:blipFill>
                    <a:blip r:embed="rId26"/>
                    <a:stretch>
                      <a:fillRect/>
                    </a:stretch>
                  </pic:blipFill>
                  <pic:spPr>
                    <a:xfrm>
                      <a:off x="0" y="0"/>
                      <a:ext cx="6058535" cy="6762750"/>
                    </a:xfrm>
                    <a:prstGeom prst="rect">
                      <a:avLst/>
                    </a:prstGeom>
                  </pic:spPr>
                </pic:pic>
              </a:graphicData>
            </a:graphic>
          </wp:inline>
        </w:drawing>
      </w:r>
    </w:p>
    <w:p w14:paraId="23D6A1D9">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学生服务界面</w:t>
      </w:r>
    </w:p>
    <w:p w14:paraId="0DC7C95E">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rPr>
        <w:drawing>
          <wp:inline distT="0" distB="0" distL="0" distR="0">
            <wp:extent cx="6058535" cy="6784340"/>
            <wp:effectExtent l="0" t="0" r="18415" b="16510"/>
            <wp:docPr id="6062759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75916" name="图片 1"/>
                    <pic:cNvPicPr>
                      <a:picLocks noChangeAspect="1"/>
                    </pic:cNvPicPr>
                  </pic:nvPicPr>
                  <pic:blipFill>
                    <a:blip r:embed="rId27"/>
                    <a:stretch>
                      <a:fillRect/>
                    </a:stretch>
                  </pic:blipFill>
                  <pic:spPr>
                    <a:xfrm>
                      <a:off x="0" y="0"/>
                      <a:ext cx="6058535" cy="6784340"/>
                    </a:xfrm>
                    <a:prstGeom prst="rect">
                      <a:avLst/>
                    </a:prstGeom>
                  </pic:spPr>
                </pic:pic>
              </a:graphicData>
            </a:graphic>
          </wp:inline>
        </w:drawing>
      </w:r>
    </w:p>
    <w:p w14:paraId="4A373861">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教职工服务界面</w:t>
      </w:r>
    </w:p>
    <w:p w14:paraId="4E752A85">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rPr>
        <w:drawing>
          <wp:inline distT="0" distB="0" distL="0" distR="0">
            <wp:extent cx="6058535" cy="5875020"/>
            <wp:effectExtent l="0" t="0" r="18415" b="11430"/>
            <wp:docPr id="93034246" name="图片 1" descr="7b0a202020202266696c746572223a202230220a7d0a"/>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picid" s:val="{8d8d6d98-9bed-4806-80d9-db8adb94353f}"/>
                  </s:tag>
                </a:ext>
              </a:extLst>
            </wp:cNvGraphicFramePr>
            <a:graphic xmlns:a="http://schemas.openxmlformats.org/drawingml/2006/main">
              <a:graphicData uri="http://schemas.openxmlformats.org/drawingml/2006/picture">
                <pic:pic xmlns:pic="http://schemas.openxmlformats.org/drawingml/2006/picture">
                  <pic:nvPicPr>
                    <pic:cNvPr id="93034246" name="图片 1" descr="7b0a202020202266696c746572223a202230220a7d0a"/>
                    <pic:cNvPicPr>
                      <a:picLocks noChangeAspect="1"/>
                    </pic:cNvPicPr>
                  </pic:nvPicPr>
                  <pic:blipFill>
                    <a:blip r:embed="rId28"/>
                    <a:stretch>
                      <a:fillRect/>
                    </a:stretch>
                  </pic:blipFill>
                  <pic:spPr>
                    <a:xfrm>
                      <a:off x="0" y="0"/>
                      <a:ext cx="6058535" cy="5875020"/>
                    </a:xfrm>
                    <a:prstGeom prst="rect">
                      <a:avLst/>
                    </a:prstGeom>
                  </pic:spPr>
                </pic:pic>
              </a:graphicData>
            </a:graphic>
          </wp:inline>
        </w:drawing>
      </w:r>
    </w:p>
    <w:p w14:paraId="1C105E99">
      <w:pPr>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校领导服务界面</w:t>
      </w:r>
    </w:p>
    <w:p w14:paraId="2C229E6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门户集成方式：</w:t>
      </w:r>
    </w:p>
    <w:p w14:paraId="5D9D37A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不同应用系统之间实现功能的调用，通过集成页面实现不同系统功能和信息共享。同时，页面集成也可调用信息共享平台上部署的查询检索功能，统计分析功能，实现工具的集中部署，分别应用。在信息共享平台封装信息服务，通过WebService接口实现，供其它的应用系统调用。信息服务的结构要遵循应用接口标准，封装成XML格式，通过文件或文本流的形式传输。</w:t>
      </w:r>
    </w:p>
    <w:p w14:paraId="7355DE4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以公共数据平台中的数据为基础，通过服务门户平台为广大师生提供个性化的综合信息服务，扩展部门级管理信息系统的信息服务能力。考虑到原有应用系统的特殊性及某些系统的数据安全性，原有应用系统的信息门户集成方式，主要提供导入导出、标准集成、WebService接口等方式进行集成。</w:t>
      </w:r>
    </w:p>
    <w:p w14:paraId="5F5805C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通过开发WebService进行数据展示、定制的页面等方式形成一个个信息展示模块，可个性化拖拽集成到信息门户中，提供单选项卡或多选项卡形式展示。点击标题、数字可直接查看内容、办理事务或进入系统对应页面，不影响用户在单独在系统内和在平台上的操作。</w:t>
      </w:r>
    </w:p>
    <w:p w14:paraId="259C103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集成步骤：每个系统实现统一身份认证。调研及确认学校业务各部门集成需求；根据确认后调研集成需求，完成各个应用系统在信息门户中集成；双方配合测试。</w:t>
      </w:r>
    </w:p>
    <w:p w14:paraId="533AC804">
      <w:pPr>
        <w:rPr>
          <w:rFonts w:hint="eastAsia" w:ascii="宋体" w:hAnsi="宋体" w:eastAsia="宋体" w:cs="宋体"/>
        </w:rPr>
      </w:pPr>
    </w:p>
    <w:p w14:paraId="2BB913BA">
      <w:pPr>
        <w:pStyle w:val="33"/>
        <w:ind w:left="0" w:leftChars="0" w:firstLine="0" w:firstLineChars="0"/>
        <w:rPr>
          <w:rFonts w:hint="eastAsia" w:ascii="宋体" w:hAnsi="宋体" w:eastAsia="宋体" w:cs="宋体"/>
        </w:rPr>
        <w:sectPr>
          <w:pgSz w:w="11906" w:h="16838"/>
          <w:pgMar w:top="1417" w:right="1417" w:bottom="1417" w:left="1417" w:header="680" w:footer="680" w:gutter="0"/>
          <w:pgNumType w:fmt="decimal"/>
          <w:cols w:space="720" w:num="1"/>
          <w:titlePg/>
          <w:docGrid w:type="linesAndChars" w:linePitch="312" w:charSpace="0"/>
        </w:sectPr>
      </w:pPr>
    </w:p>
    <w:p w14:paraId="34D0C43A">
      <w:pPr>
        <w:spacing w:line="360" w:lineRule="auto"/>
        <w:jc w:val="center"/>
        <w:outlineLvl w:val="0"/>
        <w:rPr>
          <w:rFonts w:hint="eastAsia" w:ascii="宋体" w:hAnsi="宋体" w:eastAsia="宋体" w:cs="宋体"/>
          <w:b/>
          <w:bCs/>
          <w:color w:val="auto"/>
          <w:kern w:val="44"/>
          <w:sz w:val="32"/>
          <w:szCs w:val="32"/>
          <w:highlight w:val="none"/>
        </w:rPr>
      </w:pPr>
      <w:bookmarkStart w:id="507" w:name="_Toc86124092"/>
      <w:bookmarkStart w:id="508" w:name="_Toc3638"/>
      <w:bookmarkStart w:id="509" w:name="_Toc20835"/>
      <w:bookmarkStart w:id="510" w:name="OLE_LINK128"/>
      <w:r>
        <w:rPr>
          <w:rFonts w:hint="eastAsia" w:ascii="宋体" w:hAnsi="宋体" w:eastAsia="宋体" w:cs="宋体"/>
          <w:b/>
          <w:bCs/>
          <w:color w:val="auto"/>
          <w:kern w:val="44"/>
          <w:sz w:val="32"/>
          <w:szCs w:val="32"/>
          <w:highlight w:val="none"/>
        </w:rPr>
        <w:t xml:space="preserve">第六章  </w:t>
      </w:r>
      <w:bookmarkEnd w:id="507"/>
      <w:r>
        <w:rPr>
          <w:rFonts w:hint="eastAsia" w:ascii="宋体" w:hAnsi="宋体" w:eastAsia="宋体" w:cs="宋体"/>
          <w:b/>
          <w:bCs/>
          <w:color w:val="auto"/>
          <w:kern w:val="44"/>
          <w:sz w:val="32"/>
          <w:szCs w:val="32"/>
          <w:highlight w:val="none"/>
        </w:rPr>
        <w:t>评审方法</w:t>
      </w:r>
      <w:bookmarkEnd w:id="508"/>
      <w:bookmarkEnd w:id="509"/>
    </w:p>
    <w:p w14:paraId="053808B6">
      <w:pPr>
        <w:pStyle w:val="3"/>
        <w:spacing w:before="0" w:after="0"/>
        <w:rPr>
          <w:rFonts w:hint="eastAsia" w:ascii="宋体" w:hAnsi="宋体" w:eastAsia="宋体" w:cs="宋体"/>
          <w:snapToGrid w:val="0"/>
          <w:color w:val="auto"/>
          <w:kern w:val="21"/>
          <w:szCs w:val="28"/>
          <w:highlight w:val="none"/>
        </w:rPr>
      </w:pPr>
      <w:bookmarkStart w:id="511" w:name="_Toc498050689"/>
      <w:bookmarkStart w:id="512" w:name="_Toc86124093"/>
      <w:bookmarkStart w:id="513" w:name="_Toc191374457"/>
      <w:bookmarkStart w:id="514" w:name="_Toc9217"/>
      <w:bookmarkStart w:id="515" w:name="_Toc6198"/>
      <w:r>
        <w:rPr>
          <w:rFonts w:hint="eastAsia" w:ascii="宋体" w:hAnsi="宋体" w:eastAsia="宋体" w:cs="宋体"/>
          <w:snapToGrid w:val="0"/>
          <w:color w:val="auto"/>
          <w:kern w:val="21"/>
          <w:szCs w:val="28"/>
          <w:highlight w:val="none"/>
        </w:rPr>
        <w:t>评审方法前附表</w:t>
      </w:r>
      <w:bookmarkEnd w:id="511"/>
      <w:bookmarkEnd w:id="512"/>
      <w:bookmarkEnd w:id="513"/>
      <w:bookmarkEnd w:id="514"/>
      <w:bookmarkEnd w:id="515"/>
    </w:p>
    <w:tbl>
      <w:tblPr>
        <w:tblStyle w:val="38"/>
        <w:tblW w:w="9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002"/>
        <w:gridCol w:w="1821"/>
        <w:gridCol w:w="5940"/>
      </w:tblGrid>
      <w:tr w14:paraId="4FA1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blHeader/>
          <w:jc w:val="center"/>
        </w:trPr>
        <w:tc>
          <w:tcPr>
            <w:tcW w:w="1768" w:type="dxa"/>
            <w:gridSpan w:val="2"/>
            <w:vAlign w:val="center"/>
          </w:tcPr>
          <w:p w14:paraId="51264F3D">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条款号</w:t>
            </w:r>
          </w:p>
        </w:tc>
        <w:tc>
          <w:tcPr>
            <w:tcW w:w="1821" w:type="dxa"/>
            <w:vAlign w:val="center"/>
          </w:tcPr>
          <w:p w14:paraId="1FB170DA">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评审因素</w:t>
            </w:r>
          </w:p>
        </w:tc>
        <w:tc>
          <w:tcPr>
            <w:tcW w:w="5940" w:type="dxa"/>
            <w:vAlign w:val="center"/>
          </w:tcPr>
          <w:p w14:paraId="04B952CE">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评审标准</w:t>
            </w:r>
          </w:p>
        </w:tc>
      </w:tr>
      <w:tr w14:paraId="3B285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exact"/>
          <w:jc w:val="center"/>
        </w:trPr>
        <w:tc>
          <w:tcPr>
            <w:tcW w:w="766" w:type="dxa"/>
            <w:vMerge w:val="restart"/>
            <w:vAlign w:val="center"/>
          </w:tcPr>
          <w:p w14:paraId="1CC7F737">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2.1</w:t>
            </w:r>
          </w:p>
        </w:tc>
        <w:tc>
          <w:tcPr>
            <w:tcW w:w="1002" w:type="dxa"/>
            <w:vAlign w:val="center"/>
          </w:tcPr>
          <w:p w14:paraId="6110C714">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资格审</w:t>
            </w:r>
          </w:p>
          <w:p w14:paraId="17DB3572">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查</w:t>
            </w:r>
            <w:r>
              <w:rPr>
                <w:rFonts w:hint="eastAsia" w:ascii="宋体" w:hAnsi="宋体" w:eastAsia="宋体" w:cs="宋体"/>
                <w:sz w:val="21"/>
                <w:szCs w:val="21"/>
                <w:highlight w:val="none"/>
                <w:lang w:eastAsia="zh-CN"/>
              </w:rPr>
              <w:t>标准</w:t>
            </w:r>
          </w:p>
        </w:tc>
        <w:tc>
          <w:tcPr>
            <w:tcW w:w="1821" w:type="dxa"/>
            <w:vAlign w:val="center"/>
          </w:tcPr>
          <w:p w14:paraId="69ADCDAD">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资格条件</w:t>
            </w:r>
          </w:p>
        </w:tc>
        <w:tc>
          <w:tcPr>
            <w:tcW w:w="5940" w:type="dxa"/>
            <w:vAlign w:val="center"/>
          </w:tcPr>
          <w:p w14:paraId="026ECC8B">
            <w:pPr>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符合第二章“供应商须知”第</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项规定</w:t>
            </w:r>
          </w:p>
        </w:tc>
      </w:tr>
      <w:tr w14:paraId="66E2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766" w:type="dxa"/>
            <w:vMerge w:val="continue"/>
            <w:vAlign w:val="center"/>
          </w:tcPr>
          <w:p w14:paraId="2EC70204">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21"/>
                <w:szCs w:val="21"/>
                <w:highlight w:val="none"/>
                <w:lang w:val="en-US" w:eastAsia="zh-CN"/>
              </w:rPr>
            </w:pPr>
          </w:p>
        </w:tc>
        <w:tc>
          <w:tcPr>
            <w:tcW w:w="1002" w:type="dxa"/>
            <w:vMerge w:val="restart"/>
            <w:vAlign w:val="center"/>
          </w:tcPr>
          <w:p w14:paraId="38A78DF5">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其他</w:t>
            </w:r>
          </w:p>
        </w:tc>
        <w:tc>
          <w:tcPr>
            <w:tcW w:w="1821" w:type="dxa"/>
            <w:vAlign w:val="center"/>
          </w:tcPr>
          <w:p w14:paraId="4F6353C7">
            <w:pPr>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响应文件有效期</w:t>
            </w:r>
          </w:p>
        </w:tc>
        <w:tc>
          <w:tcPr>
            <w:tcW w:w="5940" w:type="dxa"/>
            <w:vAlign w:val="center"/>
          </w:tcPr>
          <w:p w14:paraId="2C1EC07D">
            <w:pPr>
              <w:pageBreakBefore w:val="0"/>
              <w:widowControl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符合第二章“供应商须知”第17.1项规定</w:t>
            </w:r>
          </w:p>
        </w:tc>
      </w:tr>
      <w:tr w14:paraId="1CC2F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66" w:type="dxa"/>
            <w:vMerge w:val="continue"/>
            <w:vAlign w:val="center"/>
          </w:tcPr>
          <w:p w14:paraId="11C30A17">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002" w:type="dxa"/>
            <w:vMerge w:val="continue"/>
            <w:vAlign w:val="center"/>
          </w:tcPr>
          <w:p w14:paraId="2B4BCA7F">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821" w:type="dxa"/>
            <w:vAlign w:val="center"/>
          </w:tcPr>
          <w:p w14:paraId="502E2891">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保证金</w:t>
            </w:r>
          </w:p>
        </w:tc>
        <w:tc>
          <w:tcPr>
            <w:tcW w:w="5940" w:type="dxa"/>
            <w:vAlign w:val="center"/>
          </w:tcPr>
          <w:p w14:paraId="19FB7957">
            <w:pPr>
              <w:pageBreakBefore w:val="0"/>
              <w:widowControl w:val="0"/>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符合第二章“供应商须知”第</w:t>
            </w:r>
            <w:bookmarkStart w:id="516" w:name="OLE_LINK103"/>
            <w:r>
              <w:rPr>
                <w:rFonts w:hint="eastAsia" w:ascii="宋体" w:hAnsi="宋体" w:eastAsia="宋体" w:cs="宋体"/>
                <w:color w:val="auto"/>
                <w:sz w:val="21"/>
                <w:szCs w:val="21"/>
                <w:highlight w:val="none"/>
                <w:lang w:val="en-US" w:eastAsia="zh-CN"/>
              </w:rPr>
              <w:t>18.1</w:t>
            </w:r>
            <w:bookmarkEnd w:id="516"/>
            <w:r>
              <w:rPr>
                <w:rFonts w:hint="eastAsia" w:ascii="宋体" w:hAnsi="宋体" w:eastAsia="宋体" w:cs="宋体"/>
                <w:color w:val="auto"/>
                <w:sz w:val="21"/>
                <w:szCs w:val="21"/>
                <w:highlight w:val="none"/>
                <w:lang w:val="en-US" w:eastAsia="zh-CN"/>
              </w:rPr>
              <w:t>项规定</w:t>
            </w:r>
          </w:p>
        </w:tc>
      </w:tr>
      <w:tr w14:paraId="16F1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66" w:type="dxa"/>
            <w:vMerge w:val="continue"/>
            <w:vAlign w:val="center"/>
          </w:tcPr>
          <w:p w14:paraId="2EB95C6A">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bookmarkStart w:id="517" w:name="OLE_LINK105" w:colFirst="2" w:colLast="3"/>
          </w:p>
        </w:tc>
        <w:tc>
          <w:tcPr>
            <w:tcW w:w="1002" w:type="dxa"/>
            <w:vMerge w:val="continue"/>
            <w:vAlign w:val="center"/>
          </w:tcPr>
          <w:p w14:paraId="58854956">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821" w:type="dxa"/>
            <w:vAlign w:val="center"/>
          </w:tcPr>
          <w:p w14:paraId="382F7C94">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采购申请</w:t>
            </w:r>
            <w:r>
              <w:rPr>
                <w:rFonts w:hint="eastAsia" w:ascii="宋体" w:hAnsi="宋体" w:eastAsia="宋体" w:cs="宋体"/>
                <w:sz w:val="21"/>
                <w:szCs w:val="21"/>
                <w:highlight w:val="none"/>
                <w:lang w:val="en-US" w:eastAsia="zh-CN"/>
              </w:rPr>
              <w:t>函</w:t>
            </w:r>
          </w:p>
        </w:tc>
        <w:tc>
          <w:tcPr>
            <w:tcW w:w="5940" w:type="dxa"/>
            <w:vAlign w:val="center"/>
          </w:tcPr>
          <w:p w14:paraId="3FCF869B">
            <w:pPr>
              <w:pageBreakBefore w:val="0"/>
              <w:widowControl w:val="0"/>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按</w:t>
            </w:r>
            <w:r>
              <w:rPr>
                <w:rFonts w:hint="eastAsia" w:ascii="宋体" w:hAnsi="宋体" w:eastAsia="宋体" w:cs="宋体"/>
                <w:color w:val="000000"/>
                <w:sz w:val="21"/>
                <w:szCs w:val="21"/>
                <w:highlight w:val="none"/>
                <w:lang w:val="en-US" w:eastAsia="zh-CN"/>
              </w:rPr>
              <w:t>单一来源采购</w:t>
            </w:r>
            <w:r>
              <w:rPr>
                <w:rFonts w:hint="eastAsia" w:ascii="宋体" w:hAnsi="宋体" w:eastAsia="宋体" w:cs="宋体"/>
                <w:color w:val="000000"/>
                <w:sz w:val="21"/>
                <w:szCs w:val="21"/>
                <w:highlight w:val="none"/>
              </w:rPr>
              <w:t>文件要求填写，内容齐全、关键字迹清晰（可辨）</w:t>
            </w:r>
            <w:r>
              <w:rPr>
                <w:rFonts w:hint="eastAsia" w:ascii="宋体" w:hAnsi="宋体" w:eastAsia="宋体" w:cs="宋体"/>
                <w:color w:val="auto"/>
                <w:sz w:val="21"/>
                <w:szCs w:val="21"/>
                <w:highlight w:val="none"/>
              </w:rPr>
              <w:t>；</w:t>
            </w:r>
          </w:p>
        </w:tc>
      </w:tr>
      <w:bookmarkEnd w:id="517"/>
      <w:tr w14:paraId="56E7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66" w:type="dxa"/>
            <w:vMerge w:val="continue"/>
            <w:vAlign w:val="center"/>
          </w:tcPr>
          <w:p w14:paraId="160F3B2D">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002" w:type="dxa"/>
            <w:vMerge w:val="continue"/>
            <w:vAlign w:val="center"/>
          </w:tcPr>
          <w:p w14:paraId="29459262">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821" w:type="dxa"/>
            <w:shd w:val="clear" w:color="auto" w:fill="auto"/>
            <w:vAlign w:val="center"/>
          </w:tcPr>
          <w:p w14:paraId="38F24FD9">
            <w:pPr>
              <w:pageBreakBefore w:val="0"/>
              <w:widowControl w:val="0"/>
              <w:kinsoku/>
              <w:wordWrap/>
              <w:overflowPunct/>
              <w:topLinePunct w:val="0"/>
              <w:autoSpaceDE/>
              <w:autoSpaceDN/>
              <w:bidi w:val="0"/>
              <w:snapToGrid/>
              <w:spacing w:beforeAutospacing="0" w:afterAutospacing="0" w:line="360" w:lineRule="auto"/>
              <w:ind w:firstLine="0" w:firstLineChars="0"/>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单一来源采购</w:t>
            </w:r>
            <w:r>
              <w:rPr>
                <w:rFonts w:hint="eastAsia" w:ascii="宋体" w:hAnsi="宋体" w:eastAsia="宋体" w:cs="宋体"/>
                <w:color w:val="000000"/>
                <w:sz w:val="21"/>
                <w:szCs w:val="21"/>
                <w:highlight w:val="none"/>
              </w:rPr>
              <w:t>文件中要</w:t>
            </w:r>
            <w:r>
              <w:rPr>
                <w:rFonts w:hint="eastAsia" w:ascii="宋体" w:hAnsi="宋体" w:eastAsia="宋体" w:cs="宋体"/>
                <w:color w:val="000000"/>
                <w:highlight w:val="none"/>
                <w:lang w:val="en-US" w:eastAsia="zh-CN"/>
              </w:rPr>
              <w:t>盖章、</w:t>
            </w:r>
            <w:r>
              <w:rPr>
                <w:rFonts w:hint="eastAsia" w:ascii="宋体" w:hAnsi="宋体" w:eastAsia="宋体" w:cs="宋体"/>
                <w:color w:val="auto"/>
                <w:szCs w:val="21"/>
                <w:highlight w:val="none"/>
                <w:lang w:val="en-US" w:eastAsia="zh-CN"/>
              </w:rPr>
              <w:t>签名或签章</w:t>
            </w:r>
            <w:r>
              <w:rPr>
                <w:rFonts w:hint="eastAsia" w:ascii="宋体" w:hAnsi="宋体" w:eastAsia="宋体" w:cs="宋体"/>
                <w:color w:val="000000"/>
                <w:highlight w:val="none"/>
              </w:rPr>
              <w:t>的地方</w:t>
            </w:r>
          </w:p>
        </w:tc>
        <w:tc>
          <w:tcPr>
            <w:tcW w:w="5940" w:type="dxa"/>
            <w:shd w:val="clear" w:color="auto" w:fill="auto"/>
            <w:vAlign w:val="center"/>
          </w:tcPr>
          <w:p w14:paraId="700F9EB2">
            <w:pPr>
              <w:pageBreakBefore w:val="0"/>
              <w:widowControl w:val="0"/>
              <w:kinsoku/>
              <w:wordWrap/>
              <w:overflowPunct/>
              <w:topLinePunct w:val="0"/>
              <w:autoSpaceDE/>
              <w:autoSpaceDN/>
              <w:bidi w:val="0"/>
              <w:snapToGrid/>
              <w:spacing w:beforeAutospacing="0" w:afterAutospacing="0" w:line="360" w:lineRule="auto"/>
              <w:ind w:firstLine="0" w:firstLineChars="0"/>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 w:val="21"/>
                <w:szCs w:val="21"/>
                <w:highlight w:val="none"/>
              </w:rPr>
              <w:t>按</w:t>
            </w:r>
            <w:r>
              <w:rPr>
                <w:rFonts w:hint="eastAsia" w:ascii="宋体" w:hAnsi="宋体" w:eastAsia="宋体" w:cs="宋体"/>
                <w:color w:val="000000"/>
                <w:sz w:val="21"/>
                <w:szCs w:val="21"/>
                <w:highlight w:val="none"/>
                <w:lang w:val="en-US" w:eastAsia="zh-CN"/>
              </w:rPr>
              <w:t>单一来源采购</w:t>
            </w:r>
            <w:r>
              <w:rPr>
                <w:rFonts w:hint="eastAsia" w:ascii="宋体" w:hAnsi="宋体" w:eastAsia="宋体" w:cs="宋体"/>
                <w:color w:val="000000"/>
                <w:sz w:val="21"/>
                <w:szCs w:val="21"/>
                <w:highlight w:val="none"/>
              </w:rPr>
              <w:t>文件要求</w:t>
            </w:r>
            <w:r>
              <w:rPr>
                <w:rFonts w:hint="eastAsia" w:ascii="宋体" w:hAnsi="宋体" w:eastAsia="宋体" w:cs="宋体"/>
                <w:color w:val="000000"/>
                <w:highlight w:val="none"/>
                <w:lang w:val="en-US" w:eastAsia="zh-CN"/>
              </w:rPr>
              <w:t>盖章、</w:t>
            </w:r>
            <w:r>
              <w:rPr>
                <w:rFonts w:hint="eastAsia" w:ascii="宋体" w:hAnsi="宋体" w:eastAsia="宋体" w:cs="宋体"/>
                <w:color w:val="auto"/>
                <w:szCs w:val="21"/>
                <w:highlight w:val="none"/>
                <w:lang w:val="en-US" w:eastAsia="zh-CN"/>
              </w:rPr>
              <w:t>签名或签章</w:t>
            </w:r>
            <w:r>
              <w:rPr>
                <w:rFonts w:hint="eastAsia" w:ascii="宋体" w:hAnsi="宋体" w:eastAsia="宋体" w:cs="宋体"/>
                <w:color w:val="000000"/>
                <w:sz w:val="21"/>
                <w:szCs w:val="21"/>
                <w:highlight w:val="none"/>
              </w:rPr>
              <w:t>；</w:t>
            </w:r>
          </w:p>
        </w:tc>
      </w:tr>
      <w:tr w14:paraId="6FD1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66" w:type="dxa"/>
            <w:vMerge w:val="continue"/>
            <w:vAlign w:val="center"/>
          </w:tcPr>
          <w:p w14:paraId="4AEF894F">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002" w:type="dxa"/>
            <w:vMerge w:val="continue"/>
            <w:vAlign w:val="center"/>
          </w:tcPr>
          <w:p w14:paraId="6BC59F21">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821" w:type="dxa"/>
            <w:vAlign w:val="center"/>
          </w:tcPr>
          <w:p w14:paraId="23FF331D">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w:t>
            </w:r>
          </w:p>
        </w:tc>
        <w:tc>
          <w:tcPr>
            <w:tcW w:w="5940" w:type="dxa"/>
            <w:vAlign w:val="center"/>
          </w:tcPr>
          <w:p w14:paraId="75031EC0">
            <w:pPr>
              <w:pageBreakBefore w:val="0"/>
              <w:widowControl w:val="0"/>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最后报价未超过预算金额</w:t>
            </w:r>
            <w:r>
              <w:rPr>
                <w:rFonts w:hint="eastAsia" w:ascii="宋体" w:hAnsi="宋体" w:eastAsia="宋体" w:cs="宋体"/>
                <w:b w:val="0"/>
                <w:bCs w:val="0"/>
                <w:color w:val="auto"/>
                <w:sz w:val="21"/>
                <w:szCs w:val="21"/>
                <w:highlight w:val="none"/>
                <w:lang w:val="en-US" w:eastAsia="zh-CN"/>
              </w:rPr>
              <w:t>或最高限价</w:t>
            </w:r>
            <w:r>
              <w:rPr>
                <w:rFonts w:hint="eastAsia" w:ascii="宋体" w:hAnsi="宋体" w:eastAsia="宋体" w:cs="宋体"/>
                <w:color w:val="auto"/>
                <w:sz w:val="21"/>
                <w:szCs w:val="21"/>
                <w:highlight w:val="none"/>
              </w:rPr>
              <w:t>；</w:t>
            </w:r>
          </w:p>
        </w:tc>
      </w:tr>
      <w:tr w14:paraId="65FF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766" w:type="dxa"/>
            <w:vMerge w:val="continue"/>
            <w:vAlign w:val="center"/>
          </w:tcPr>
          <w:p w14:paraId="4113FCC2">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002" w:type="dxa"/>
            <w:vMerge w:val="continue"/>
            <w:vAlign w:val="center"/>
          </w:tcPr>
          <w:p w14:paraId="47E7152A">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rPr>
            </w:pPr>
          </w:p>
        </w:tc>
        <w:tc>
          <w:tcPr>
            <w:tcW w:w="1821" w:type="dxa"/>
            <w:shd w:val="clear" w:color="auto" w:fill="auto"/>
            <w:vAlign w:val="center"/>
          </w:tcPr>
          <w:p w14:paraId="46DCEFCC">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其它实质性条件</w:t>
            </w:r>
          </w:p>
        </w:tc>
        <w:tc>
          <w:tcPr>
            <w:tcW w:w="5940" w:type="dxa"/>
            <w:shd w:val="clear" w:color="auto" w:fill="auto"/>
            <w:vAlign w:val="center"/>
          </w:tcPr>
          <w:p w14:paraId="4E860926">
            <w:pPr>
              <w:pageBreakBefore w:val="0"/>
              <w:widowControl w:val="0"/>
              <w:kinsoku/>
              <w:wordWrap/>
              <w:overflowPunct/>
              <w:topLinePunct w:val="0"/>
              <w:autoSpaceDE/>
              <w:autoSpaceDN/>
              <w:bidi w:val="0"/>
              <w:snapToGrid/>
              <w:spacing w:beforeAutospacing="0" w:afterAutospacing="0"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highlight w:val="none"/>
                <w:lang w:val="en-US" w:eastAsia="zh-CN" w:bidi="ar"/>
              </w:rPr>
              <w:t>单一来源采购文件中</w:t>
            </w:r>
            <w:r>
              <w:rPr>
                <w:rFonts w:hint="eastAsia" w:ascii="宋体" w:hAnsi="宋体" w:eastAsia="宋体" w:cs="宋体"/>
                <w:highlight w:val="none"/>
                <w:lang w:val="en-US" w:eastAsia="zh-CN"/>
              </w:rPr>
              <w:t>响应文件格式部</w:t>
            </w:r>
            <w:r>
              <w:rPr>
                <w:rFonts w:hint="eastAsia" w:ascii="宋体" w:hAnsi="宋体" w:eastAsia="宋体" w:cs="宋体"/>
                <w:color w:val="auto"/>
                <w:highlight w:val="none"/>
                <w:lang w:val="en-US" w:eastAsia="zh-CN"/>
              </w:rPr>
              <w:t>分标注</w:t>
            </w:r>
            <w:r>
              <w:rPr>
                <w:rFonts w:hint="eastAsia" w:ascii="宋体" w:hAnsi="宋体" w:eastAsia="宋体" w:cs="宋体"/>
                <w:color w:val="auto"/>
                <w:szCs w:val="21"/>
                <w:highlight w:val="none"/>
              </w:rPr>
              <w:t>▲</w:t>
            </w:r>
            <w:r>
              <w:rPr>
                <w:rFonts w:hint="eastAsia" w:ascii="宋体" w:hAnsi="宋体" w:eastAsia="宋体" w:cs="宋体"/>
                <w:color w:val="auto"/>
                <w:highlight w:val="none"/>
                <w:lang w:val="en-US" w:eastAsia="zh-CN"/>
              </w:rPr>
              <w:t>号的，</w:t>
            </w:r>
            <w:r>
              <w:rPr>
                <w:rFonts w:hint="eastAsia" w:ascii="宋体" w:hAnsi="宋体" w:eastAsia="宋体" w:cs="宋体"/>
                <w:highlight w:val="none"/>
                <w:lang w:val="en-US" w:eastAsia="zh-CN"/>
              </w:rPr>
              <w:t>供应商必须</w:t>
            </w:r>
            <w:r>
              <w:rPr>
                <w:rFonts w:hint="eastAsia" w:ascii="宋体" w:hAnsi="宋体" w:eastAsia="宋体" w:cs="宋体"/>
                <w:color w:val="000000"/>
                <w:highlight w:val="none"/>
              </w:rPr>
              <w:t>按</w:t>
            </w:r>
            <w:r>
              <w:rPr>
                <w:rFonts w:hint="eastAsia" w:ascii="宋体" w:hAnsi="宋体" w:eastAsia="宋体" w:cs="宋体"/>
                <w:highlight w:val="none"/>
                <w:lang w:val="en-US" w:eastAsia="zh-CN" w:bidi="ar"/>
              </w:rPr>
              <w:t>单一来源采购文件</w:t>
            </w:r>
            <w:r>
              <w:rPr>
                <w:rFonts w:hint="eastAsia" w:ascii="宋体" w:hAnsi="宋体" w:eastAsia="宋体" w:cs="宋体"/>
                <w:color w:val="000000"/>
                <w:highlight w:val="none"/>
              </w:rPr>
              <w:t>要求填写，</w:t>
            </w:r>
            <w:r>
              <w:rPr>
                <w:rFonts w:hint="eastAsia" w:ascii="宋体" w:hAnsi="宋体" w:eastAsia="宋体" w:cs="宋体"/>
                <w:highlight w:val="none"/>
                <w:lang w:bidi="ar"/>
              </w:rPr>
              <w:t>否则其</w:t>
            </w:r>
            <w:r>
              <w:rPr>
                <w:rFonts w:hint="eastAsia" w:ascii="宋体" w:hAnsi="宋体" w:eastAsia="宋体" w:cs="宋体"/>
                <w:highlight w:val="none"/>
                <w:lang w:val="en-US" w:eastAsia="zh-CN" w:bidi="ar"/>
              </w:rPr>
              <w:t>响应</w:t>
            </w:r>
            <w:r>
              <w:rPr>
                <w:rFonts w:hint="eastAsia" w:ascii="宋体" w:hAnsi="宋体" w:eastAsia="宋体" w:cs="宋体"/>
                <w:highlight w:val="none"/>
                <w:lang w:bidi="ar"/>
              </w:rPr>
              <w:t>文件按无效</w:t>
            </w:r>
            <w:r>
              <w:rPr>
                <w:rFonts w:hint="eastAsia" w:ascii="宋体" w:hAnsi="宋体" w:eastAsia="宋体" w:cs="宋体"/>
                <w:highlight w:val="none"/>
                <w:lang w:val="en-US" w:eastAsia="zh-CN" w:bidi="ar"/>
              </w:rPr>
              <w:t>响应</w:t>
            </w:r>
            <w:r>
              <w:rPr>
                <w:rFonts w:hint="eastAsia" w:ascii="宋体" w:hAnsi="宋体" w:eastAsia="宋体" w:cs="宋体"/>
                <w:highlight w:val="none"/>
                <w:lang w:bidi="ar"/>
              </w:rPr>
              <w:t>处理</w:t>
            </w:r>
            <w:r>
              <w:rPr>
                <w:rFonts w:hint="eastAsia" w:ascii="宋体" w:hAnsi="宋体" w:eastAsia="宋体" w:cs="宋体"/>
                <w:sz w:val="21"/>
                <w:szCs w:val="21"/>
                <w:highlight w:val="none"/>
              </w:rPr>
              <w:t>；</w:t>
            </w:r>
          </w:p>
          <w:p w14:paraId="65842C2D">
            <w:pPr>
              <w:pageBreakBefore w:val="0"/>
              <w:widowControl w:val="0"/>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highlight w:val="none"/>
              </w:rPr>
              <w:t>2）实质性响应单一来源采购文件中标注▲的条款。</w:t>
            </w:r>
          </w:p>
          <w:p w14:paraId="4673DC98">
            <w:pPr>
              <w:pageBreakBefore w:val="0"/>
              <w:widowControl w:val="0"/>
              <w:kinsoku/>
              <w:wordWrap/>
              <w:overflowPunct/>
              <w:topLinePunct w:val="0"/>
              <w:autoSpaceDE/>
              <w:autoSpaceDN/>
              <w:bidi w:val="0"/>
              <w:snapToGrid/>
              <w:spacing w:beforeAutospacing="0" w:afterAutospacing="0" w:line="360" w:lineRule="auto"/>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）法律、法规和</w:t>
            </w:r>
            <w:r>
              <w:rPr>
                <w:rFonts w:hint="eastAsia" w:ascii="宋体" w:hAnsi="宋体" w:eastAsia="宋体" w:cs="宋体"/>
                <w:color w:val="000000"/>
                <w:sz w:val="21"/>
                <w:szCs w:val="21"/>
                <w:highlight w:val="none"/>
                <w:lang w:val="en-US" w:eastAsia="zh-CN"/>
              </w:rPr>
              <w:t>单一来源采购</w:t>
            </w:r>
            <w:r>
              <w:rPr>
                <w:rFonts w:hint="eastAsia" w:ascii="宋体" w:hAnsi="宋体" w:eastAsia="宋体" w:cs="宋体"/>
                <w:color w:val="000000"/>
                <w:sz w:val="21"/>
                <w:szCs w:val="21"/>
                <w:highlight w:val="none"/>
              </w:rPr>
              <w:t>文件</w:t>
            </w:r>
            <w:r>
              <w:rPr>
                <w:rFonts w:hint="eastAsia" w:ascii="宋体" w:hAnsi="宋体" w:eastAsia="宋体" w:cs="宋体"/>
                <w:sz w:val="21"/>
                <w:szCs w:val="21"/>
                <w:highlight w:val="none"/>
              </w:rPr>
              <w:t>明确规定的其他</w:t>
            </w:r>
            <w:r>
              <w:rPr>
                <w:rFonts w:hint="eastAsia" w:ascii="宋体" w:hAnsi="宋体" w:eastAsia="宋体" w:cs="宋体"/>
                <w:sz w:val="21"/>
                <w:szCs w:val="21"/>
                <w:highlight w:val="none"/>
                <w:lang w:eastAsia="zh-CN"/>
              </w:rPr>
              <w:t>响应无效</w:t>
            </w:r>
            <w:r>
              <w:rPr>
                <w:rFonts w:hint="eastAsia" w:ascii="宋体" w:hAnsi="宋体" w:eastAsia="宋体" w:cs="宋体"/>
                <w:sz w:val="21"/>
                <w:szCs w:val="21"/>
                <w:highlight w:val="none"/>
              </w:rPr>
              <w:t>情形。</w:t>
            </w:r>
          </w:p>
        </w:tc>
      </w:tr>
      <w:tr w14:paraId="7DB5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766" w:type="dxa"/>
            <w:vAlign w:val="center"/>
          </w:tcPr>
          <w:p w14:paraId="07CDB4EE">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w:t>
            </w:r>
          </w:p>
        </w:tc>
        <w:tc>
          <w:tcPr>
            <w:tcW w:w="1002" w:type="dxa"/>
            <w:vAlign w:val="center"/>
          </w:tcPr>
          <w:p w14:paraId="3E62CE24">
            <w:pPr>
              <w:pageBreakBefore w:val="0"/>
              <w:widowControl w:val="0"/>
              <w:kinsoku/>
              <w:wordWrap/>
              <w:overflowPunct/>
              <w:topLinePunct w:val="0"/>
              <w:autoSpaceDE/>
              <w:autoSpaceDN/>
              <w:bidi w:val="0"/>
              <w:snapToGrid/>
              <w:spacing w:beforeAutospacing="0" w:afterAutospacing="0"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协商</w:t>
            </w:r>
          </w:p>
        </w:tc>
        <w:tc>
          <w:tcPr>
            <w:tcW w:w="7761" w:type="dxa"/>
            <w:gridSpan w:val="2"/>
            <w:vAlign w:val="center"/>
          </w:tcPr>
          <w:p w14:paraId="67A23F75">
            <w:pPr>
              <w:pageBreakBefore w:val="0"/>
              <w:widowControl w:val="0"/>
              <w:kinsoku/>
              <w:wordWrap/>
              <w:overflowPunct/>
              <w:topLinePunct w:val="0"/>
              <w:autoSpaceDE/>
              <w:autoSpaceDN/>
              <w:bidi w:val="0"/>
              <w:snapToGrid/>
              <w:spacing w:beforeAutospacing="0" w:afterAutospacing="0" w:line="360" w:lineRule="auto"/>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采购人员与供应商就合同主要条款及价格进行协商，在保证采购质量前提和项目预算范围内，确定合同主要条款及合理的成交价格</w:t>
            </w:r>
            <w:r>
              <w:rPr>
                <w:rFonts w:hint="eastAsia" w:ascii="宋体" w:hAnsi="宋体" w:eastAsia="宋体" w:cs="宋体"/>
                <w:sz w:val="21"/>
                <w:szCs w:val="21"/>
                <w:highlight w:val="none"/>
              </w:rPr>
              <w:t>。</w:t>
            </w:r>
          </w:p>
        </w:tc>
      </w:tr>
      <w:bookmarkEnd w:id="510"/>
    </w:tbl>
    <w:p w14:paraId="14B69C85">
      <w:pPr>
        <w:rPr>
          <w:rFonts w:hint="eastAsia" w:ascii="宋体" w:hAnsi="宋体" w:eastAsia="宋体" w:cs="宋体"/>
          <w:b/>
          <w:bCs/>
          <w:color w:val="auto"/>
          <w:sz w:val="24"/>
          <w:highlight w:val="none"/>
        </w:rPr>
      </w:pPr>
      <w:bookmarkStart w:id="518" w:name="_Toc14562"/>
      <w:bookmarkStart w:id="519" w:name="OLE_LINK310"/>
      <w:bookmarkStart w:id="520" w:name="_Toc498050690"/>
      <w:bookmarkStart w:id="521" w:name="_Toc15772"/>
      <w:bookmarkStart w:id="522" w:name="_Toc8474"/>
      <w:bookmarkStart w:id="523" w:name="OLE_LINK154"/>
      <w:bookmarkStart w:id="524" w:name="_Toc86124094"/>
      <w:r>
        <w:rPr>
          <w:rFonts w:hint="eastAsia" w:ascii="宋体" w:hAnsi="宋体" w:eastAsia="宋体" w:cs="宋体"/>
          <w:b/>
          <w:bCs/>
          <w:color w:val="auto"/>
          <w:sz w:val="24"/>
          <w:highlight w:val="none"/>
        </w:rPr>
        <w:br w:type="page"/>
      </w:r>
    </w:p>
    <w:p w14:paraId="1CBCDF8D">
      <w:pPr>
        <w:spacing w:before="156" w:beforeLines="50" w:line="360" w:lineRule="auto"/>
        <w:outlineLvl w:val="1"/>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一、评审方法</w:t>
      </w:r>
      <w:bookmarkEnd w:id="518"/>
      <w:bookmarkEnd w:id="519"/>
    </w:p>
    <w:bookmarkEnd w:id="520"/>
    <w:bookmarkEnd w:id="521"/>
    <w:bookmarkEnd w:id="522"/>
    <w:bookmarkEnd w:id="523"/>
    <w:bookmarkEnd w:id="524"/>
    <w:p w14:paraId="44DDCA40">
      <w:pPr>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根据《中华人民共和国政府采购法》、《中华人民共和国政府采购法实施条例》、关于印发《政府采购非招标采购方式管理办法》、《财政部关于进一步规范政府采购评审工作有关问题的通知》（ 财政部财库[2012]69号）等有关法律规定，结合本项目采购实际情况制定本办法。</w:t>
      </w:r>
    </w:p>
    <w:p w14:paraId="46E725FC">
      <w:pPr>
        <w:pStyle w:val="3"/>
        <w:spacing w:before="0" w:after="0" w:line="480" w:lineRule="exact"/>
        <w:jc w:val="both"/>
        <w:rPr>
          <w:rFonts w:hint="eastAsia" w:ascii="宋体" w:hAnsi="宋体" w:eastAsia="宋体" w:cs="宋体"/>
          <w:color w:val="auto"/>
          <w:sz w:val="24"/>
          <w:szCs w:val="24"/>
          <w:highlight w:val="none"/>
        </w:rPr>
      </w:pPr>
      <w:bookmarkStart w:id="525" w:name="_Toc481316974"/>
      <w:bookmarkStart w:id="526" w:name="_Toc496805443"/>
      <w:bookmarkStart w:id="527" w:name="_Toc86124095"/>
      <w:bookmarkStart w:id="528" w:name="_Toc492340367"/>
      <w:bookmarkStart w:id="529" w:name="_Toc347849270"/>
      <w:bookmarkStart w:id="530" w:name="_Toc438157954"/>
      <w:bookmarkStart w:id="531" w:name="_Toc464475985"/>
      <w:bookmarkStart w:id="532" w:name="_Toc8107"/>
      <w:bookmarkStart w:id="533" w:name="_Toc498050691"/>
      <w:bookmarkStart w:id="534" w:name="_Toc86124098"/>
      <w:bookmarkStart w:id="535" w:name="_Toc191374451"/>
      <w:bookmarkStart w:id="536" w:name="_Toc22853"/>
      <w:r>
        <w:rPr>
          <w:rFonts w:hint="eastAsia" w:ascii="宋体" w:hAnsi="宋体" w:eastAsia="宋体" w:cs="宋体"/>
          <w:color w:val="auto"/>
          <w:sz w:val="24"/>
          <w:szCs w:val="24"/>
          <w:highlight w:val="none"/>
        </w:rPr>
        <w:t>二</w:t>
      </w:r>
      <w:bookmarkStart w:id="537" w:name="OLE_LINK124"/>
      <w:r>
        <w:rPr>
          <w:rFonts w:hint="eastAsia" w:ascii="宋体" w:hAnsi="宋体" w:eastAsia="宋体" w:cs="宋体"/>
          <w:color w:val="auto"/>
          <w:sz w:val="24"/>
          <w:szCs w:val="24"/>
          <w:highlight w:val="none"/>
        </w:rPr>
        <w:t>、</w:t>
      </w:r>
      <w:bookmarkEnd w:id="525"/>
      <w:bookmarkEnd w:id="526"/>
      <w:bookmarkEnd w:id="527"/>
      <w:bookmarkEnd w:id="528"/>
      <w:bookmarkEnd w:id="529"/>
      <w:bookmarkEnd w:id="530"/>
      <w:bookmarkEnd w:id="531"/>
      <w:r>
        <w:rPr>
          <w:rFonts w:hint="eastAsia" w:ascii="宋体" w:hAnsi="宋体" w:eastAsia="宋体" w:cs="宋体"/>
          <w:color w:val="auto"/>
          <w:sz w:val="24"/>
          <w:szCs w:val="24"/>
          <w:highlight w:val="none"/>
        </w:rPr>
        <w:t>协商标准</w:t>
      </w:r>
      <w:bookmarkEnd w:id="537"/>
    </w:p>
    <w:bookmarkEnd w:id="532"/>
    <w:bookmarkEnd w:id="533"/>
    <w:bookmarkEnd w:id="534"/>
    <w:bookmarkEnd w:id="535"/>
    <w:bookmarkEnd w:id="536"/>
    <w:p w14:paraId="16B76C52">
      <w:pPr>
        <w:pStyle w:val="4"/>
        <w:tabs>
          <w:tab w:val="left" w:pos="900"/>
        </w:tabs>
        <w:spacing w:before="0" w:after="0"/>
        <w:ind w:firstLine="482"/>
        <w:jc w:val="left"/>
        <w:rPr>
          <w:rFonts w:hint="eastAsia" w:ascii="宋体" w:hAnsi="宋体" w:eastAsia="宋体" w:cs="宋体"/>
          <w:color w:val="auto"/>
          <w:szCs w:val="24"/>
          <w:highlight w:val="none"/>
        </w:rPr>
      </w:pPr>
      <w:bookmarkStart w:id="538" w:name="_Toc329810237"/>
      <w:bookmarkStart w:id="539" w:name="_Toc492340368"/>
      <w:bookmarkStart w:id="540" w:name="_Toc86124096"/>
      <w:bookmarkStart w:id="541" w:name="_Toc14548"/>
      <w:bookmarkStart w:id="542" w:name="_Toc347849271"/>
      <w:bookmarkStart w:id="543" w:name="_Toc481316975"/>
      <w:bookmarkStart w:id="544" w:name="_Toc464475986"/>
      <w:bookmarkStart w:id="545" w:name="_Toc191374449"/>
      <w:bookmarkStart w:id="546" w:name="_Toc48271429"/>
      <w:bookmarkStart w:id="547" w:name="_Toc496805444"/>
      <w:bookmarkStart w:id="548" w:name="_Toc438157955"/>
      <w:r>
        <w:rPr>
          <w:rFonts w:hint="eastAsia" w:ascii="宋体" w:hAnsi="宋体" w:eastAsia="宋体" w:cs="宋体"/>
          <w:color w:val="auto"/>
          <w:szCs w:val="24"/>
          <w:highlight w:val="none"/>
        </w:rPr>
        <w:t>1.资格审查</w:t>
      </w:r>
    </w:p>
    <w:p w14:paraId="7C7D3B4D">
      <w:pPr>
        <w:spacing w:line="360" w:lineRule="auto"/>
        <w:ind w:firstLine="420" w:firstLineChars="200"/>
        <w:jc w:val="left"/>
        <w:rPr>
          <w:rFonts w:hint="eastAsia" w:ascii="宋体" w:hAnsi="宋体" w:eastAsia="宋体" w:cs="宋体"/>
          <w:color w:val="auto"/>
          <w:szCs w:val="21"/>
          <w:highlight w:val="none"/>
        </w:rPr>
      </w:pPr>
      <w:bookmarkStart w:id="549" w:name="OLE_LINK146"/>
      <w:r>
        <w:rPr>
          <w:rFonts w:hint="eastAsia" w:ascii="宋体" w:hAnsi="宋体" w:eastAsia="宋体" w:cs="宋体"/>
          <w:color w:val="auto"/>
          <w:szCs w:val="21"/>
          <w:highlight w:val="none"/>
        </w:rPr>
        <w:t>单一来源采购人员依据单一来源采购文件第六章《评审方法》2.1资格审查标准规定的内容，对供应商响应文件中提供的资料进行审查，未通过单一来源采购文件资格审查标准的响应文件按无效响应处理。</w:t>
      </w:r>
      <w:bookmarkEnd w:id="549"/>
    </w:p>
    <w:p w14:paraId="01F71D5A">
      <w:pPr>
        <w:pStyle w:val="4"/>
        <w:tabs>
          <w:tab w:val="left" w:pos="900"/>
        </w:tabs>
        <w:spacing w:before="0" w:after="0"/>
        <w:ind w:firstLine="482"/>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bookmarkStart w:id="550" w:name="OLE_LINK147"/>
      <w:r>
        <w:rPr>
          <w:rFonts w:hint="eastAsia" w:ascii="宋体" w:hAnsi="宋体" w:eastAsia="宋体" w:cs="宋体"/>
          <w:color w:val="auto"/>
          <w:szCs w:val="24"/>
          <w:highlight w:val="none"/>
        </w:rPr>
        <w:t>.符合性</w:t>
      </w:r>
      <w:bookmarkStart w:id="551" w:name="OLE_LINK119"/>
      <w:r>
        <w:rPr>
          <w:rFonts w:hint="eastAsia" w:ascii="宋体" w:hAnsi="宋体" w:eastAsia="宋体" w:cs="宋体"/>
          <w:color w:val="auto"/>
          <w:szCs w:val="24"/>
          <w:highlight w:val="none"/>
        </w:rPr>
        <w:t>要求审查</w:t>
      </w:r>
      <w:bookmarkEnd w:id="538"/>
      <w:bookmarkEnd w:id="539"/>
      <w:bookmarkEnd w:id="540"/>
      <w:bookmarkEnd w:id="541"/>
      <w:bookmarkEnd w:id="542"/>
      <w:bookmarkEnd w:id="543"/>
      <w:bookmarkEnd w:id="544"/>
      <w:bookmarkEnd w:id="545"/>
      <w:bookmarkEnd w:id="546"/>
      <w:bookmarkEnd w:id="547"/>
      <w:bookmarkEnd w:id="548"/>
      <w:bookmarkEnd w:id="550"/>
      <w:bookmarkEnd w:id="551"/>
    </w:p>
    <w:p w14:paraId="17E00AA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单一来源采购人员依据单一来源采购文件第六章《评审方法》2.2符合性评审标准规定的内容，对供应商响应文件中提供的资料进行审查，未实质性响应单一来源采购文件的响应文件按无效响应处理</w:t>
      </w:r>
      <w:r>
        <w:rPr>
          <w:rFonts w:hint="eastAsia" w:ascii="宋体" w:hAnsi="宋体" w:eastAsia="宋体" w:cs="宋体"/>
          <w:bCs/>
          <w:color w:val="auto"/>
          <w:szCs w:val="21"/>
          <w:highlight w:val="none"/>
        </w:rPr>
        <w:t>。</w:t>
      </w:r>
    </w:p>
    <w:p w14:paraId="55149BDC">
      <w:pPr>
        <w:pStyle w:val="4"/>
        <w:spacing w:before="0" w:after="0"/>
        <w:ind w:firstLine="482"/>
        <w:jc w:val="both"/>
        <w:rPr>
          <w:rFonts w:hint="eastAsia" w:ascii="宋体" w:hAnsi="宋体" w:eastAsia="宋体" w:cs="宋体"/>
          <w:color w:val="auto"/>
          <w:szCs w:val="24"/>
          <w:highlight w:val="none"/>
        </w:rPr>
      </w:pPr>
      <w:bookmarkStart w:id="552" w:name="OLE_LINK120"/>
      <w:bookmarkStart w:id="553" w:name="_Toc191374454"/>
      <w:bookmarkStart w:id="554" w:name="_Toc86124101"/>
      <w:r>
        <w:rPr>
          <w:rFonts w:hint="eastAsia" w:ascii="宋体" w:hAnsi="宋体" w:eastAsia="宋体" w:cs="宋体"/>
          <w:color w:val="auto"/>
          <w:szCs w:val="24"/>
          <w:highlight w:val="none"/>
        </w:rPr>
        <w:t>3.协商</w:t>
      </w:r>
    </w:p>
    <w:bookmarkEnd w:id="552"/>
    <w:p w14:paraId="6E24E5D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3.1单一来源采购人员所有成员应当集中与供应商进行协商。</w:t>
      </w:r>
    </w:p>
    <w:p w14:paraId="135867E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3.2在协商过程中，单一来源采购人员可以根据协商情况变动采购文件的内容。</w:t>
      </w:r>
    </w:p>
    <w:p w14:paraId="4415DC88">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3.3采购人员与供应商就合同主要条款及价格进行协商，在保证采购质量前提和项目预算范围内，确定合同主要条款及合理的成交价格。</w:t>
      </w:r>
    </w:p>
    <w:p w14:paraId="67D4B501">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3.4对采购文件作出的变动是采购文件的有效组成部分，单一来源采购人员应当及时以书面形式通知供应商。</w:t>
      </w:r>
    </w:p>
    <w:p w14:paraId="252D8EB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供应商应当按照采购文件的变动情况和单一来源采购人员的要求重新提交响应文件，并由其法定代表人或授权代表签字或者加盖公章。由授权代表签字的，应当附法定代表人授权书。供应商为自然人的，应当由本人签字并附身份证明。</w:t>
      </w:r>
    </w:p>
    <w:p w14:paraId="19591B03">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3.6协商后，供应商应</w:t>
      </w:r>
      <w:bookmarkStart w:id="555" w:name="OLE_LINK126"/>
      <w:r>
        <w:rPr>
          <w:rFonts w:hint="eastAsia" w:ascii="宋体" w:hAnsi="宋体" w:eastAsia="宋体" w:cs="宋体"/>
          <w:color w:val="auto"/>
          <w:szCs w:val="21"/>
          <w:highlight w:val="none"/>
        </w:rPr>
        <w:t>再次提交报价。若单一来源采购人员认为供应商的报价不合理的，可多次与供应商进行价格协商，直至单一来源采</w:t>
      </w:r>
      <w:bookmarkEnd w:id="555"/>
      <w:r>
        <w:rPr>
          <w:rFonts w:hint="eastAsia" w:ascii="宋体" w:hAnsi="宋体" w:eastAsia="宋体" w:cs="宋体"/>
          <w:color w:val="auto"/>
          <w:szCs w:val="21"/>
          <w:highlight w:val="none"/>
        </w:rPr>
        <w:t>购人员认为供应商的报价合理且能保证采购项目质量。</w:t>
      </w:r>
    </w:p>
    <w:p w14:paraId="01B2BB24">
      <w:pPr>
        <w:pStyle w:val="4"/>
        <w:spacing w:before="0" w:after="0"/>
        <w:ind w:firstLine="482"/>
        <w:jc w:val="both"/>
        <w:rPr>
          <w:rFonts w:hint="eastAsia" w:ascii="宋体" w:hAnsi="宋体" w:eastAsia="宋体" w:cs="宋体"/>
          <w:color w:val="auto"/>
          <w:szCs w:val="24"/>
          <w:highlight w:val="none"/>
        </w:rPr>
      </w:pPr>
      <w:bookmarkStart w:id="556" w:name="_Toc327534016"/>
      <w:bookmarkStart w:id="557" w:name="_Toc498050694"/>
      <w:bookmarkStart w:id="558" w:name="_Toc18931"/>
      <w:bookmarkStart w:id="559" w:name="_Toc32052"/>
      <w:bookmarkStart w:id="560" w:name="_Toc490305744"/>
      <w:bookmarkStart w:id="561" w:name="OLE_LINK121"/>
      <w:r>
        <w:rPr>
          <w:rFonts w:hint="eastAsia" w:ascii="宋体" w:hAnsi="宋体" w:eastAsia="宋体" w:cs="宋体"/>
          <w:color w:val="auto"/>
          <w:szCs w:val="24"/>
          <w:highlight w:val="none"/>
        </w:rPr>
        <w:t>4.采购结果</w:t>
      </w:r>
      <w:bookmarkEnd w:id="556"/>
      <w:bookmarkEnd w:id="557"/>
      <w:bookmarkEnd w:id="558"/>
      <w:bookmarkEnd w:id="559"/>
      <w:bookmarkEnd w:id="560"/>
    </w:p>
    <w:bookmarkEnd w:id="553"/>
    <w:bookmarkEnd w:id="554"/>
    <w:bookmarkEnd w:id="561"/>
    <w:p w14:paraId="17B28F0B">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sectPr>
          <w:pgSz w:w="11906" w:h="16838"/>
          <w:pgMar w:top="1417" w:right="1417" w:bottom="1417" w:left="1417" w:header="680" w:footer="680" w:gutter="0"/>
          <w:pgNumType w:fmt="decimal"/>
          <w:cols w:space="720" w:num="1"/>
          <w:titlePg/>
          <w:docGrid w:type="linesAndChars" w:linePitch="312" w:charSpace="0"/>
        </w:sectPr>
      </w:pPr>
      <w:bookmarkStart w:id="562" w:name="OLE_LINK111"/>
      <w:bookmarkStart w:id="563" w:name="OLE_LINK125"/>
      <w:r>
        <w:rPr>
          <w:rFonts w:hint="eastAsia" w:ascii="宋体" w:hAnsi="宋体" w:eastAsia="宋体" w:cs="宋体"/>
          <w:color w:val="auto"/>
          <w:szCs w:val="21"/>
          <w:highlight w:val="none"/>
        </w:rPr>
        <w:t>4.1在保证采购项目质量和双方商定合理价格的基础上进行采购，并向采购人提交书面评审报告</w:t>
      </w:r>
      <w:bookmarkEnd w:id="562"/>
      <w:r>
        <w:rPr>
          <w:rFonts w:hint="eastAsia" w:ascii="宋体" w:hAnsi="宋体" w:eastAsia="宋体" w:cs="宋体"/>
          <w:color w:val="auto"/>
          <w:szCs w:val="21"/>
          <w:highlight w:val="none"/>
        </w:rPr>
        <w:t>。</w:t>
      </w:r>
    </w:p>
    <w:p w14:paraId="5101DCEC">
      <w:pPr>
        <w:topLinePunct/>
        <w:autoSpaceDE w:val="0"/>
        <w:autoSpaceDN w:val="0"/>
        <w:adjustRightInd w:val="0"/>
        <w:snapToGrid w:val="0"/>
        <w:spacing w:line="360" w:lineRule="auto"/>
        <w:rPr>
          <w:rFonts w:hint="eastAsia" w:ascii="宋体" w:hAnsi="宋体" w:eastAsia="宋体" w:cs="宋体"/>
          <w:color w:val="auto"/>
          <w:szCs w:val="21"/>
          <w:highlight w:val="none"/>
        </w:rPr>
      </w:pPr>
    </w:p>
    <w:bookmarkEnd w:id="563"/>
    <w:p w14:paraId="0EC1FD71">
      <w:pPr>
        <w:widowControl/>
        <w:jc w:val="center"/>
        <w:outlineLvl w:val="1"/>
        <w:rPr>
          <w:rFonts w:hint="eastAsia" w:ascii="宋体" w:hAnsi="宋体" w:eastAsia="宋体" w:cs="宋体"/>
          <w:b/>
          <w:color w:val="auto"/>
          <w:sz w:val="24"/>
          <w:highlight w:val="none"/>
        </w:rPr>
      </w:pPr>
      <w:r>
        <w:rPr>
          <w:rFonts w:hint="eastAsia" w:ascii="宋体" w:hAnsi="宋体" w:eastAsia="宋体" w:cs="宋体"/>
          <w:b/>
          <w:bCs/>
          <w:snapToGrid w:val="0"/>
          <w:color w:val="auto"/>
          <w:kern w:val="21"/>
          <w:sz w:val="28"/>
          <w:szCs w:val="28"/>
          <w:highlight w:val="none"/>
        </w:rPr>
        <w:t>协商承诺书</w:t>
      </w:r>
    </w:p>
    <w:tbl>
      <w:tblPr>
        <w:tblStyle w:val="38"/>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6"/>
      </w:tblGrid>
      <w:tr w14:paraId="1C91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076" w:type="dxa"/>
            <w:vAlign w:val="center"/>
          </w:tcPr>
          <w:p w14:paraId="5173BBB5">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cs="宋体"/>
                <w:color w:val="auto"/>
                <w:sz w:val="21"/>
                <w:szCs w:val="21"/>
                <w:highlight w:val="none"/>
                <w:lang w:eastAsia="zh-CN"/>
              </w:rPr>
              <w:t>云南财经职业学院大数据中心软件升级-图书与信息中心数据管理与服务平台升级项目</w:t>
            </w:r>
          </w:p>
        </w:tc>
      </w:tr>
      <w:tr w14:paraId="73F52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9076" w:type="dxa"/>
            <w:vAlign w:val="center"/>
          </w:tcPr>
          <w:p w14:paraId="0BD59257">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项目编号：</w:t>
            </w:r>
            <w:r>
              <w:rPr>
                <w:rFonts w:hint="eastAsia" w:ascii="宋体" w:hAnsi="宋体" w:cs="宋体"/>
                <w:color w:val="auto"/>
                <w:sz w:val="21"/>
                <w:szCs w:val="21"/>
                <w:highlight w:val="none"/>
                <w:lang w:eastAsia="zh-CN"/>
              </w:rPr>
              <w:t>YNZC2025-D1-03562-YNZZ-0275</w:t>
            </w:r>
          </w:p>
        </w:tc>
      </w:tr>
      <w:tr w14:paraId="134E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6" w:hRule="atLeast"/>
          <w:jc w:val="center"/>
        </w:trPr>
        <w:tc>
          <w:tcPr>
            <w:tcW w:w="9076" w:type="dxa"/>
          </w:tcPr>
          <w:p w14:paraId="4A555019">
            <w:pPr>
              <w:rPr>
                <w:rFonts w:hint="eastAsia" w:ascii="宋体" w:hAnsi="宋体" w:eastAsia="宋体" w:cs="宋体"/>
                <w:color w:val="auto"/>
                <w:sz w:val="22"/>
                <w:szCs w:val="22"/>
                <w:highlight w:val="none"/>
              </w:rPr>
            </w:pPr>
          </w:p>
          <w:p w14:paraId="365EE91C">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承诺内容：</w:t>
            </w:r>
          </w:p>
          <w:p w14:paraId="75848016">
            <w:pPr>
              <w:rPr>
                <w:rFonts w:hint="eastAsia" w:ascii="宋体" w:hAnsi="宋体" w:eastAsia="宋体" w:cs="宋体"/>
                <w:color w:val="auto"/>
                <w:sz w:val="22"/>
                <w:szCs w:val="22"/>
                <w:highlight w:val="none"/>
              </w:rPr>
            </w:pPr>
          </w:p>
          <w:p w14:paraId="1A90B487">
            <w:pPr>
              <w:rPr>
                <w:rFonts w:hint="eastAsia" w:ascii="宋体" w:hAnsi="宋体" w:eastAsia="宋体" w:cs="宋体"/>
                <w:color w:val="auto"/>
                <w:sz w:val="22"/>
                <w:szCs w:val="22"/>
                <w:highlight w:val="none"/>
              </w:rPr>
            </w:pPr>
          </w:p>
          <w:p w14:paraId="5636214D">
            <w:pPr>
              <w:rPr>
                <w:rFonts w:hint="eastAsia" w:ascii="宋体" w:hAnsi="宋体" w:eastAsia="宋体" w:cs="宋体"/>
                <w:color w:val="auto"/>
                <w:sz w:val="22"/>
                <w:szCs w:val="22"/>
                <w:highlight w:val="none"/>
              </w:rPr>
            </w:pPr>
          </w:p>
          <w:p w14:paraId="7BB2E496">
            <w:pPr>
              <w:rPr>
                <w:rFonts w:hint="eastAsia" w:ascii="宋体" w:hAnsi="宋体" w:eastAsia="宋体" w:cs="宋体"/>
                <w:color w:val="auto"/>
                <w:sz w:val="22"/>
                <w:szCs w:val="22"/>
                <w:highlight w:val="none"/>
              </w:rPr>
            </w:pPr>
          </w:p>
          <w:p w14:paraId="15BB1CFD">
            <w:pPr>
              <w:rPr>
                <w:rFonts w:hint="eastAsia" w:ascii="宋体" w:hAnsi="宋体" w:eastAsia="宋体" w:cs="宋体"/>
                <w:color w:val="auto"/>
                <w:sz w:val="22"/>
                <w:szCs w:val="22"/>
                <w:highlight w:val="none"/>
              </w:rPr>
            </w:pPr>
          </w:p>
          <w:p w14:paraId="760D6E63">
            <w:pPr>
              <w:rPr>
                <w:rFonts w:hint="eastAsia" w:ascii="宋体" w:hAnsi="宋体" w:eastAsia="宋体" w:cs="宋体"/>
                <w:color w:val="auto"/>
                <w:sz w:val="22"/>
                <w:szCs w:val="22"/>
                <w:highlight w:val="none"/>
              </w:rPr>
            </w:pPr>
          </w:p>
          <w:p w14:paraId="05ECA9FA">
            <w:pPr>
              <w:rPr>
                <w:rFonts w:hint="eastAsia" w:ascii="宋体" w:hAnsi="宋体" w:eastAsia="宋体" w:cs="宋体"/>
                <w:color w:val="auto"/>
                <w:sz w:val="22"/>
                <w:szCs w:val="22"/>
                <w:highlight w:val="none"/>
              </w:rPr>
            </w:pPr>
          </w:p>
          <w:p w14:paraId="78AEA821">
            <w:pPr>
              <w:rPr>
                <w:rFonts w:hint="eastAsia" w:ascii="宋体" w:hAnsi="宋体" w:eastAsia="宋体" w:cs="宋体"/>
                <w:color w:val="auto"/>
                <w:sz w:val="22"/>
                <w:szCs w:val="22"/>
                <w:highlight w:val="none"/>
              </w:rPr>
            </w:pPr>
          </w:p>
          <w:p w14:paraId="7FDB154D">
            <w:pPr>
              <w:rPr>
                <w:rFonts w:hint="eastAsia" w:ascii="宋体" w:hAnsi="宋体" w:eastAsia="宋体" w:cs="宋体"/>
                <w:color w:val="auto"/>
                <w:sz w:val="22"/>
                <w:szCs w:val="22"/>
                <w:highlight w:val="none"/>
              </w:rPr>
            </w:pPr>
          </w:p>
          <w:p w14:paraId="2C4601FE">
            <w:pPr>
              <w:rPr>
                <w:rFonts w:hint="eastAsia" w:ascii="宋体" w:hAnsi="宋体" w:eastAsia="宋体" w:cs="宋体"/>
                <w:color w:val="auto"/>
                <w:sz w:val="22"/>
                <w:szCs w:val="22"/>
                <w:highlight w:val="none"/>
              </w:rPr>
            </w:pPr>
          </w:p>
          <w:p w14:paraId="7AEAB5BD">
            <w:pPr>
              <w:rPr>
                <w:rFonts w:hint="eastAsia" w:ascii="宋体" w:hAnsi="宋体" w:eastAsia="宋体" w:cs="宋体"/>
                <w:color w:val="auto"/>
                <w:sz w:val="22"/>
                <w:szCs w:val="22"/>
                <w:highlight w:val="none"/>
              </w:rPr>
            </w:pPr>
          </w:p>
          <w:p w14:paraId="136A9DDF">
            <w:pPr>
              <w:rPr>
                <w:rFonts w:hint="eastAsia" w:ascii="宋体" w:hAnsi="宋体" w:eastAsia="宋体" w:cs="宋体"/>
                <w:color w:val="auto"/>
                <w:sz w:val="22"/>
                <w:szCs w:val="22"/>
                <w:highlight w:val="none"/>
              </w:rPr>
            </w:pPr>
          </w:p>
          <w:p w14:paraId="24D8D364">
            <w:pPr>
              <w:rPr>
                <w:rFonts w:hint="eastAsia" w:ascii="宋体" w:hAnsi="宋体" w:eastAsia="宋体" w:cs="宋体"/>
                <w:color w:val="auto"/>
                <w:sz w:val="22"/>
                <w:szCs w:val="22"/>
                <w:highlight w:val="none"/>
              </w:rPr>
            </w:pPr>
          </w:p>
          <w:p w14:paraId="60A87DB1">
            <w:pPr>
              <w:rPr>
                <w:rFonts w:hint="eastAsia" w:ascii="宋体" w:hAnsi="宋体" w:eastAsia="宋体" w:cs="宋体"/>
                <w:color w:val="auto"/>
                <w:sz w:val="22"/>
                <w:szCs w:val="22"/>
                <w:highlight w:val="none"/>
              </w:rPr>
            </w:pPr>
          </w:p>
          <w:p w14:paraId="00C131DC">
            <w:pPr>
              <w:rPr>
                <w:rFonts w:hint="eastAsia" w:ascii="宋体" w:hAnsi="宋体" w:eastAsia="宋体" w:cs="宋体"/>
                <w:color w:val="auto"/>
                <w:sz w:val="22"/>
                <w:szCs w:val="22"/>
                <w:highlight w:val="none"/>
              </w:rPr>
            </w:pPr>
          </w:p>
          <w:p w14:paraId="175F89C8">
            <w:pPr>
              <w:rPr>
                <w:rFonts w:hint="eastAsia" w:ascii="宋体" w:hAnsi="宋体" w:eastAsia="宋体" w:cs="宋体"/>
                <w:color w:val="auto"/>
                <w:sz w:val="22"/>
                <w:szCs w:val="22"/>
                <w:highlight w:val="none"/>
              </w:rPr>
            </w:pPr>
          </w:p>
          <w:p w14:paraId="4FF53AA5">
            <w:pPr>
              <w:rPr>
                <w:rFonts w:hint="eastAsia" w:ascii="宋体" w:hAnsi="宋体" w:eastAsia="宋体" w:cs="宋体"/>
                <w:color w:val="auto"/>
                <w:sz w:val="22"/>
                <w:szCs w:val="22"/>
                <w:highlight w:val="none"/>
              </w:rPr>
            </w:pPr>
          </w:p>
          <w:p w14:paraId="35F9179B">
            <w:pPr>
              <w:rPr>
                <w:rFonts w:hint="eastAsia" w:ascii="宋体" w:hAnsi="宋体" w:eastAsia="宋体" w:cs="宋体"/>
                <w:color w:val="auto"/>
                <w:sz w:val="22"/>
                <w:szCs w:val="22"/>
                <w:highlight w:val="none"/>
              </w:rPr>
            </w:pPr>
          </w:p>
          <w:p w14:paraId="59708DF7">
            <w:pPr>
              <w:rPr>
                <w:rFonts w:hint="eastAsia" w:ascii="宋体" w:hAnsi="宋体" w:eastAsia="宋体" w:cs="宋体"/>
                <w:color w:val="auto"/>
                <w:sz w:val="22"/>
                <w:szCs w:val="22"/>
                <w:highlight w:val="none"/>
              </w:rPr>
            </w:pPr>
          </w:p>
          <w:p w14:paraId="09442178">
            <w:pPr>
              <w:rPr>
                <w:rFonts w:hint="eastAsia" w:ascii="宋体" w:hAnsi="宋体" w:eastAsia="宋体" w:cs="宋体"/>
                <w:color w:val="auto"/>
                <w:sz w:val="22"/>
                <w:szCs w:val="22"/>
                <w:highlight w:val="none"/>
              </w:rPr>
            </w:pPr>
          </w:p>
        </w:tc>
      </w:tr>
      <w:tr w14:paraId="6C574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9076" w:type="dxa"/>
            <w:vAlign w:val="center"/>
          </w:tcPr>
          <w:p w14:paraId="174F4565">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供应商（盖章）：                 </w:t>
            </w:r>
          </w:p>
          <w:p w14:paraId="321253C7">
            <w:pPr>
              <w:rPr>
                <w:rFonts w:hint="eastAsia" w:ascii="宋体" w:hAnsi="宋体" w:eastAsia="宋体" w:cs="宋体"/>
                <w:color w:val="auto"/>
                <w:sz w:val="22"/>
                <w:szCs w:val="22"/>
                <w:highlight w:val="none"/>
              </w:rPr>
            </w:pPr>
          </w:p>
          <w:p w14:paraId="62E43904">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法定代表人（单位负责人）或其委托代理人（签名或签章）：</w:t>
            </w:r>
          </w:p>
          <w:p w14:paraId="5972ABE1">
            <w:pPr>
              <w:rPr>
                <w:rFonts w:hint="eastAsia" w:ascii="宋体" w:hAnsi="宋体" w:eastAsia="宋体" w:cs="宋体"/>
                <w:color w:val="auto"/>
                <w:sz w:val="22"/>
                <w:szCs w:val="22"/>
                <w:highlight w:val="none"/>
              </w:rPr>
            </w:pPr>
          </w:p>
          <w:p w14:paraId="0BC52BE2">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tc>
      </w:tr>
    </w:tbl>
    <w:p w14:paraId="07AAD1C3">
      <w:pPr>
        <w:pStyle w:val="18"/>
        <w:spacing w:line="0" w:lineRule="atLeas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注：此表不需放入响应文件中，评审专家在“政采云平台”与供应商协商时，供应商使用。</w:t>
      </w:r>
    </w:p>
    <w:p w14:paraId="32C0432D">
      <w:pPr>
        <w:pStyle w:val="11"/>
        <w:rPr>
          <w:rFonts w:hint="eastAsia" w:ascii="宋体" w:hAnsi="宋体" w:eastAsia="宋体" w:cs="宋体"/>
          <w:color w:val="auto"/>
          <w:highlight w:val="none"/>
        </w:rPr>
        <w:sectPr>
          <w:pgSz w:w="11906" w:h="16838"/>
          <w:pgMar w:top="1417" w:right="1417" w:bottom="1417" w:left="1417" w:header="680" w:footer="680" w:gutter="0"/>
          <w:pgNumType w:fmt="decimal"/>
          <w:cols w:space="720" w:num="1"/>
          <w:titlePg/>
          <w:docGrid w:type="linesAndChars" w:linePitch="312" w:charSpace="0"/>
        </w:sectPr>
      </w:pPr>
    </w:p>
    <w:p w14:paraId="2DC1DAD6">
      <w:pPr>
        <w:pStyle w:val="18"/>
        <w:spacing w:line="0" w:lineRule="atLeast"/>
        <w:jc w:val="center"/>
        <w:rPr>
          <w:rFonts w:hint="eastAsia" w:ascii="宋体" w:hAnsi="宋体" w:eastAsia="宋体" w:cs="宋体"/>
          <w:b/>
          <w:bCs/>
          <w:snapToGrid w:val="0"/>
          <w:color w:val="auto"/>
          <w:kern w:val="21"/>
          <w:sz w:val="28"/>
          <w:szCs w:val="28"/>
          <w:highlight w:val="none"/>
        </w:rPr>
      </w:pPr>
      <w:bookmarkStart w:id="564" w:name="_Toc29952"/>
      <w:bookmarkStart w:id="565" w:name="OLE_LINK123"/>
    </w:p>
    <w:p w14:paraId="193C7FB9">
      <w:pPr>
        <w:pStyle w:val="18"/>
        <w:spacing w:line="0" w:lineRule="atLeast"/>
        <w:jc w:val="center"/>
        <w:rPr>
          <w:rFonts w:hint="eastAsia" w:ascii="宋体" w:hAnsi="宋体" w:eastAsia="宋体" w:cs="宋体"/>
          <w:b/>
          <w:bCs/>
          <w:snapToGrid w:val="0"/>
          <w:color w:val="auto"/>
          <w:kern w:val="21"/>
          <w:sz w:val="28"/>
          <w:szCs w:val="28"/>
          <w:highlight w:val="none"/>
        </w:rPr>
      </w:pPr>
      <w:r>
        <w:rPr>
          <w:rFonts w:hint="eastAsia" w:ascii="宋体" w:hAnsi="宋体" w:eastAsia="宋体" w:cs="宋体"/>
          <w:b/>
          <w:bCs/>
          <w:snapToGrid w:val="0"/>
          <w:color w:val="auto"/>
          <w:kern w:val="21"/>
          <w:sz w:val="28"/>
          <w:szCs w:val="28"/>
          <w:highlight w:val="none"/>
        </w:rPr>
        <w:t>最后报价</w:t>
      </w:r>
      <w:bookmarkStart w:id="566" w:name="OLE_LINK344"/>
      <w:r>
        <w:rPr>
          <w:rFonts w:hint="eastAsia" w:ascii="宋体" w:hAnsi="宋体" w:eastAsia="宋体" w:cs="宋体"/>
          <w:b/>
          <w:bCs/>
          <w:snapToGrid w:val="0"/>
          <w:color w:val="auto"/>
          <w:kern w:val="21"/>
          <w:sz w:val="28"/>
          <w:szCs w:val="28"/>
          <w:highlight w:val="none"/>
        </w:rPr>
        <w:t>承诺书</w:t>
      </w:r>
      <w:bookmarkEnd w:id="566"/>
    </w:p>
    <w:tbl>
      <w:tblPr>
        <w:tblStyle w:val="38"/>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3"/>
      </w:tblGrid>
      <w:tr w14:paraId="1EF6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463" w:type="dxa"/>
            <w:vAlign w:val="center"/>
          </w:tcPr>
          <w:p w14:paraId="7E6D7332">
            <w:pP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cs="宋体"/>
                <w:color w:val="auto"/>
                <w:szCs w:val="21"/>
                <w:highlight w:val="none"/>
                <w:lang w:eastAsia="zh-CN"/>
              </w:rPr>
              <w:t>云南财经职业学院大数据中心软件升级-图书与信息中心数据管理与服务平台升级项目</w:t>
            </w:r>
          </w:p>
        </w:tc>
      </w:tr>
      <w:tr w14:paraId="7DC2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463" w:type="dxa"/>
            <w:vAlign w:val="center"/>
          </w:tcPr>
          <w:p w14:paraId="7A0C45E4">
            <w:pP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项目编号：</w:t>
            </w:r>
            <w:r>
              <w:rPr>
                <w:rFonts w:hint="eastAsia" w:ascii="宋体" w:hAnsi="宋体" w:cs="宋体"/>
                <w:color w:val="auto"/>
                <w:szCs w:val="21"/>
                <w:highlight w:val="none"/>
                <w:lang w:eastAsia="zh-CN"/>
              </w:rPr>
              <w:t>YNZC2025-D1-03562-YNZZ-0275</w:t>
            </w:r>
          </w:p>
        </w:tc>
      </w:tr>
      <w:tr w14:paraId="31B78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7" w:hRule="atLeast"/>
          <w:jc w:val="center"/>
        </w:trPr>
        <w:tc>
          <w:tcPr>
            <w:tcW w:w="9463" w:type="dxa"/>
            <w:vAlign w:val="center"/>
          </w:tcPr>
          <w:p w14:paraId="35FE9148">
            <w:pP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最后报价</w:t>
            </w:r>
          </w:p>
          <w:p w14:paraId="47864C8D">
            <w:pPr>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6C6E2BA4">
            <w:pP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p>
        </w:tc>
      </w:tr>
      <w:tr w14:paraId="67B1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3" w:hRule="atLeast"/>
          <w:jc w:val="center"/>
        </w:trPr>
        <w:tc>
          <w:tcPr>
            <w:tcW w:w="9463" w:type="dxa"/>
            <w:vAlign w:val="center"/>
          </w:tcPr>
          <w:p w14:paraId="2B7E34D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                   </w:t>
            </w:r>
          </w:p>
          <w:p w14:paraId="288540E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法定代表人（单位负责人）或其委托代理人（签名或签章）： </w:t>
            </w:r>
          </w:p>
          <w:p w14:paraId="3A0041E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tc>
      </w:tr>
    </w:tbl>
    <w:p w14:paraId="798EDBF5">
      <w:pPr>
        <w:rPr>
          <w:rFonts w:hint="eastAsia" w:ascii="宋体" w:hAnsi="宋体" w:eastAsia="宋体" w:cs="宋体"/>
          <w:b/>
          <w:bCs/>
          <w:snapToGrid w:val="0"/>
          <w:color w:val="auto"/>
          <w:kern w:val="21"/>
          <w:szCs w:val="21"/>
          <w:highlight w:val="none"/>
        </w:rPr>
      </w:pPr>
      <w:r>
        <w:rPr>
          <w:rFonts w:hint="eastAsia" w:ascii="宋体" w:hAnsi="宋体" w:eastAsia="宋体" w:cs="宋体"/>
          <w:b/>
          <w:bCs/>
          <w:snapToGrid w:val="0"/>
          <w:color w:val="auto"/>
          <w:kern w:val="21"/>
          <w:szCs w:val="21"/>
          <w:highlight w:val="none"/>
        </w:rPr>
        <w:t>注：此表不需放入响应文件中，供应商在政府采购云平台提交最后报价时使用。</w:t>
      </w:r>
      <w:bookmarkEnd w:id="564"/>
      <w:bookmarkEnd w:id="565"/>
    </w:p>
    <w:p w14:paraId="1639D4D5">
      <w:pPr>
        <w:spacing w:line="240" w:lineRule="auto"/>
        <w:ind w:firstLine="0" w:firstLineChars="0"/>
        <w:jc w:val="left"/>
        <w:outlineLvl w:val="9"/>
        <w:rPr>
          <w:rFonts w:hint="eastAsia" w:ascii="宋体" w:hAnsi="宋体" w:eastAsia="宋体" w:cs="宋体"/>
          <w:highlight w:val="none"/>
        </w:rPr>
      </w:pPr>
    </w:p>
    <w:sectPr>
      <w:pgSz w:w="11906" w:h="16838"/>
      <w:pgMar w:top="1417" w:right="1417" w:bottom="1417" w:left="1417" w:header="680" w:footer="680" w:gutter="0"/>
      <w:pgNumType w:fmt="decimal"/>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Narrow">
    <w:altName w:val="Arial"/>
    <w:panose1 w:val="020B0606020202030204"/>
    <w:charset w:val="00"/>
    <w:family w:val="swiss"/>
    <w:pitch w:val="default"/>
    <w:sig w:usb0="00000000"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Wingdings 2">
    <w:panose1 w:val="05020102010507070707"/>
    <w:charset w:val="02"/>
    <w:family w:val="roman"/>
    <w:pitch w:val="default"/>
    <w:sig w:usb0="00000000" w:usb1="00000000" w:usb2="00000000" w:usb3="00000000" w:csb0="80000000" w:csb1="00000000"/>
    <w:embedRegular r:id="rId1" w:fontKey="{CAE6B289-4C92-41BD-AC7D-17A6874F7116}"/>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AB136">
    <w:pPr>
      <w:pStyle w:val="23"/>
      <w:jc w:val="center"/>
    </w:pPr>
    <w:r>
      <w:drawing>
        <wp:anchor distT="0" distB="0" distL="114300" distR="114300" simplePos="0" relativeHeight="251659264" behindDoc="1" locked="0" layoutInCell="1" allowOverlap="1">
          <wp:simplePos x="0" y="0"/>
          <wp:positionH relativeFrom="column">
            <wp:posOffset>3663315</wp:posOffset>
          </wp:positionH>
          <wp:positionV relativeFrom="paragraph">
            <wp:posOffset>3175</wp:posOffset>
          </wp:positionV>
          <wp:extent cx="2478405" cy="415290"/>
          <wp:effectExtent l="0" t="0" r="5715" b="11430"/>
          <wp:wrapNone/>
          <wp:docPr id="336134339" name="图片 336134339" descr="lALPDgQ9rBnpWsTMrc0CSA_584_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134339" name="图片 336134339" descr="lALPDgQ9rBnpWsTMrc0CSA_584_173"/>
                  <pic:cNvPicPr>
                    <a:picLocks noChangeAspect="1"/>
                  </pic:cNvPicPr>
                </pic:nvPicPr>
                <pic:blipFill>
                  <a:blip r:embed="rId1"/>
                  <a:stretch>
                    <a:fillRect/>
                  </a:stretch>
                </pic:blipFill>
                <pic:spPr>
                  <a:xfrm>
                    <a:off x="0" y="0"/>
                    <a:ext cx="2478405" cy="415290"/>
                  </a:xfrm>
                  <a:prstGeom prst="rect">
                    <a:avLst/>
                  </a:prstGeom>
                </pic:spPr>
              </pic:pic>
            </a:graphicData>
          </a:graphic>
        </wp:anchor>
      </w:drawing>
    </w:r>
  </w:p>
  <w:p w14:paraId="493E90F8">
    <w:pPr>
      <w:pStyle w:val="23"/>
      <w:ind w:right="360"/>
      <w:jc w:val="right"/>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DD36E">
    <w:pPr>
      <w:pStyle w:val="23"/>
      <w:jc w:val="left"/>
    </w:pPr>
    <w:r>
      <w:rPr>
        <w:rFonts w:hint="eastAsia"/>
        <w:sz w:val="10"/>
        <w:szCs w:val="10"/>
      </w:rPr>
      <w:drawing>
        <wp:inline distT="0" distB="0" distL="114300" distR="114300">
          <wp:extent cx="2012315" cy="475615"/>
          <wp:effectExtent l="0" t="0" r="0" b="0"/>
          <wp:docPr id="1" name="图片 1"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ALPDgQ9utky90zMyM0C9g_758_200"/>
                  <pic:cNvPicPr>
                    <a:picLocks noChangeAspect="1"/>
                  </pic:cNvPicPr>
                </pic:nvPicPr>
                <pic:blipFill>
                  <a:blip r:embed="rId1"/>
                  <a:stretch>
                    <a:fillRect/>
                  </a:stretch>
                </pic:blipFill>
                <pic:spPr>
                  <a:xfrm>
                    <a:off x="0" y="0"/>
                    <a:ext cx="2012315" cy="47561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F5B74">
    <w:pPr>
      <w:pStyle w:val="23"/>
      <w:jc w:val="both"/>
    </w:pPr>
    <w:r>
      <w:rPr>
        <w:rFonts w:hint="eastAsia"/>
        <w:sz w:val="10"/>
        <w:szCs w:val="10"/>
      </w:rPr>
      <w:drawing>
        <wp:inline distT="0" distB="0" distL="114300" distR="114300">
          <wp:extent cx="2012315" cy="475615"/>
          <wp:effectExtent l="0" t="0" r="0" b="0"/>
          <wp:docPr id="1312613160" name="图片 1"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13160" name="图片 1" descr="lALPDgQ9utky90zMyM0C9g_758_200"/>
                  <pic:cNvPicPr>
                    <a:picLocks noChangeAspect="1"/>
                  </pic:cNvPicPr>
                </pic:nvPicPr>
                <pic:blipFill>
                  <a:blip r:embed="rId1"/>
                  <a:stretch>
                    <a:fillRect/>
                  </a:stretch>
                </pic:blipFill>
                <pic:spPr>
                  <a:xfrm>
                    <a:off x="0" y="0"/>
                    <a:ext cx="2012315" cy="475615"/>
                  </a:xfrm>
                  <a:prstGeom prst="rect">
                    <a:avLst/>
                  </a:prstGeom>
                  <a:noFill/>
                  <a:ln>
                    <a:noFill/>
                  </a:ln>
                </pic:spPr>
              </pic:pic>
            </a:graphicData>
          </a:graphic>
        </wp:inline>
      </w:drawing>
    </w:r>
  </w:p>
  <w:p w14:paraId="297ACEE0">
    <w:pPr>
      <w:pStyle w:val="23"/>
      <w:ind w:right="360"/>
      <w:jc w:val="right"/>
      <w:rPr>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EFCEA">
    <w:pPr>
      <w:pStyle w:val="23"/>
    </w:pPr>
    <w:r>
      <w:drawing>
        <wp:inline distT="0" distB="0" distL="114300" distR="114300">
          <wp:extent cx="1675130" cy="441960"/>
          <wp:effectExtent l="0" t="0" r="0" b="0"/>
          <wp:docPr id="1744102961" name="图片 1"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02961" name="图片 1" descr="lALPDgQ9utky90zMyM0C9g_758_200"/>
                  <pic:cNvPicPr>
                    <a:picLocks noChangeAspect="1"/>
                  </pic:cNvPicPr>
                </pic:nvPicPr>
                <pic:blipFill>
                  <a:blip r:embed="rId1"/>
                  <a:stretch>
                    <a:fillRect/>
                  </a:stretch>
                </pic:blipFill>
                <pic:spPr>
                  <a:xfrm>
                    <a:off x="0" y="0"/>
                    <a:ext cx="1675130" cy="441960"/>
                  </a:xfrm>
                  <a:prstGeom prst="rect">
                    <a:avLst/>
                  </a:prstGeom>
                  <a:noFill/>
                  <a:ln>
                    <a:noFill/>
                  </a:ln>
                </pic:spPr>
              </pic:pic>
            </a:graphicData>
          </a:graphic>
        </wp:inline>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52400"/>
              <wp:effectExtent l="0" t="0" r="0" b="0"/>
              <wp:wrapNone/>
              <wp:docPr id="6" name="Text Box 1"/>
              <wp:cNvGraphicFramePr/>
              <a:graphic xmlns:a="http://schemas.openxmlformats.org/drawingml/2006/main">
                <a:graphicData uri="http://schemas.microsoft.com/office/word/2010/wordprocessingShape">
                  <wps:wsp>
                    <wps:cNvSpPr txBox="1">
                      <a:spLocks noChangeArrowheads="1"/>
                    </wps:cNvSpPr>
                    <wps:spPr bwMode="auto">
                      <a:xfrm>
                        <a:off x="0" y="0"/>
                        <a:ext cx="57785" cy="152400"/>
                      </a:xfrm>
                      <a:prstGeom prst="rect">
                        <a:avLst/>
                      </a:prstGeom>
                      <a:noFill/>
                      <a:ln>
                        <a:noFill/>
                      </a:ln>
                    </wps:spPr>
                    <wps:txbx>
                      <w:txbxContent>
                        <w:p w14:paraId="2A92204B">
                          <w:pPr>
                            <w:pStyle w:val="23"/>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2pt;width:4.55pt;mso-position-horizontal:center;mso-position-horizontal-relative:margin;mso-wrap-style:none;z-index:251662336;mso-width-relative:page;mso-height-relative:page;" filled="f" stroked="f" coordsize="21600,21600" o:gfxdata="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d6w5A0AAAAAIBAAAPAAAAAAAAAAEAIAAAACIAAABkcnMvZG93bnJldi54bWxQSwECFAAU&#10;AAAACACHTuJApeelUvkBAAAABAAADgAAAAAAAAABACAAAAAfAQAAZHJzL2Uyb0RvYy54bWxQSwUG&#10;AAAAAAYABgBZAQAAigUAAAAA&#10;">
              <v:fill on="f" focussize="0,0"/>
              <v:stroke on="f"/>
              <v:imagedata o:title=""/>
              <o:lock v:ext="edit" aspectratio="f"/>
              <v:textbox inset="0mm,0mm,0mm,0mm" style="mso-fit-shape-to-text:t;">
                <w:txbxContent>
                  <w:p w14:paraId="2A92204B">
                    <w:pPr>
                      <w:pStyle w:val="23"/>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8E838">
    <w:pPr>
      <w:pStyle w:val="23"/>
      <w:jc w:val="right"/>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2D037">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DC2D037">
                    <w:pPr>
                      <w:pStyle w:val="23"/>
                    </w:pPr>
                    <w:r>
                      <w:fldChar w:fldCharType="begin"/>
                    </w:r>
                    <w:r>
                      <w:instrText xml:space="preserve"> PAGE  \* MERGEFORMAT </w:instrText>
                    </w:r>
                    <w:r>
                      <w:fldChar w:fldCharType="separate"/>
                    </w:r>
                    <w:r>
                      <w:t>2</w:t>
                    </w:r>
                    <w:r>
                      <w:fldChar w:fldCharType="end"/>
                    </w:r>
                  </w:p>
                </w:txbxContent>
              </v:textbox>
            </v:shape>
          </w:pict>
        </mc:Fallback>
      </mc:AlternateContent>
    </w:r>
  </w:p>
  <w:p w14:paraId="33980ADC">
    <w:r>
      <w:rPr>
        <w:sz w:val="24"/>
      </w:rPr>
      <w:drawing>
        <wp:inline distT="0" distB="0" distL="114300" distR="114300">
          <wp:extent cx="2012315" cy="360045"/>
          <wp:effectExtent l="0" t="0" r="6985" b="1905"/>
          <wp:docPr id="9585075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0759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89825">
    <w:pPr>
      <w:pStyle w:val="23"/>
      <w:jc w:val="right"/>
    </w:pPr>
    <w:r>
      <w:drawing>
        <wp:anchor distT="0" distB="0" distL="114300" distR="114300" simplePos="0" relativeHeight="251660288" behindDoc="0" locked="0" layoutInCell="1" allowOverlap="1">
          <wp:simplePos x="0" y="0"/>
          <wp:positionH relativeFrom="page">
            <wp:posOffset>902970</wp:posOffset>
          </wp:positionH>
          <wp:positionV relativeFrom="page">
            <wp:posOffset>9784080</wp:posOffset>
          </wp:positionV>
          <wp:extent cx="2012315" cy="531495"/>
          <wp:effectExtent l="0" t="0" r="6985" b="1905"/>
          <wp:wrapSquare wrapText="bothSides"/>
          <wp:docPr id="9432408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4081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82750" cy="444500"/>
                  </a:xfrm>
                  <a:prstGeom prst="rect">
                    <a:avLst/>
                  </a:prstGeom>
                  <a:noFill/>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048F61">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A048F61">
                    <w:pPr>
                      <w:pStyle w:val="23"/>
                    </w:pPr>
                    <w:r>
                      <w:fldChar w:fldCharType="begin"/>
                    </w:r>
                    <w:r>
                      <w:instrText xml:space="preserve"> PAGE  \* MERGEFORMAT </w:instrText>
                    </w:r>
                    <w:r>
                      <w:fldChar w:fldCharType="separate"/>
                    </w:r>
                    <w:r>
                      <w:t>1</w:t>
                    </w:r>
                    <w:r>
                      <w:fldChar w:fldCharType="end"/>
                    </w:r>
                  </w:p>
                </w:txbxContent>
              </v:textbox>
            </v:shape>
          </w:pict>
        </mc:Fallback>
      </mc:AlternateContent>
    </w:r>
  </w:p>
  <w:p w14:paraId="0BE3F0D7">
    <w:pPr>
      <w:pStyle w:val="23"/>
    </w:pPr>
  </w:p>
  <w:p w14:paraId="466D9118"/>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14456">
    <w:pPr>
      <w:pStyle w:val="23"/>
      <w:tabs>
        <w:tab w:val="center" w:pos="4550"/>
        <w:tab w:val="right" w:pos="9221"/>
      </w:tabs>
      <w:wordWrap w:val="0"/>
      <w:jc w:val="both"/>
      <w:rPr>
        <w:rStyle w:val="42"/>
      </w:rPr>
    </w:pPr>
    <w:r>
      <w:rPr>
        <w:sz w:val="1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6E992">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076E992">
                    <w:pPr>
                      <w:pStyle w:val="23"/>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sz w:val="10"/>
        <w:szCs w:val="10"/>
      </w:rPr>
      <w:drawing>
        <wp:inline distT="0" distB="0" distL="114300" distR="114300">
          <wp:extent cx="2012315" cy="475615"/>
          <wp:effectExtent l="0" t="0" r="0" b="0"/>
          <wp:docPr id="1063248989" name="图片 3"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48989" name="图片 3" descr="lALPDgQ9utky90zMyM0C9g_758_200"/>
                  <pic:cNvPicPr>
                    <a:picLocks noChangeAspect="1"/>
                  </pic:cNvPicPr>
                </pic:nvPicPr>
                <pic:blipFill>
                  <a:blip r:embed="rId1"/>
                  <a:stretch>
                    <a:fillRect/>
                  </a:stretch>
                </pic:blipFill>
                <pic:spPr>
                  <a:xfrm>
                    <a:off x="0" y="0"/>
                    <a:ext cx="2012315" cy="475615"/>
                  </a:xfrm>
                  <a:prstGeom prst="rect">
                    <a:avLst/>
                  </a:prstGeom>
                  <a:noFill/>
                  <a:ln>
                    <a:noFill/>
                  </a:ln>
                </pic:spPr>
              </pic:pic>
            </a:graphicData>
          </a:graphic>
        </wp:inline>
      </w:drawing>
    </w:r>
    <w:r>
      <w:rPr>
        <w:rFonts w:hint="eastAsia"/>
        <w:sz w:val="10"/>
        <w:szCs w:val="10"/>
      </w:rPr>
      <w:tab/>
    </w:r>
    <w:r>
      <w:rPr>
        <w:rFonts w:hint="eastAsia"/>
        <w:sz w:val="10"/>
        <w:szCs w:val="10"/>
      </w:rPr>
      <w:tab/>
    </w:r>
    <w:r>
      <w:rPr>
        <w:rFonts w:hint="eastAsia"/>
        <w:sz w:val="10"/>
        <w:szCs w:val="10"/>
      </w:rPr>
      <w:tab/>
    </w:r>
  </w:p>
  <w:p w14:paraId="4AF167C2">
    <w:pPr>
      <w:pStyle w:val="23"/>
      <w:ind w:right="105"/>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AB525">
    <w:pPr>
      <w:pStyle w:val="23"/>
      <w:jc w:val="righ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2371BB">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722371BB">
                    <w:pPr>
                      <w:pStyle w:val="23"/>
                    </w:pPr>
                    <w:r>
                      <w:fldChar w:fldCharType="begin"/>
                    </w:r>
                    <w:r>
                      <w:instrText xml:space="preserve"> PAGE  \* MERGEFORMAT </w:instrText>
                    </w:r>
                    <w:r>
                      <w:fldChar w:fldCharType="separate"/>
                    </w:r>
                    <w:r>
                      <w:t>1</w:t>
                    </w:r>
                    <w:r>
                      <w:fldChar w:fldCharType="end"/>
                    </w:r>
                  </w:p>
                </w:txbxContent>
              </v:textbox>
            </v:shape>
          </w:pict>
        </mc:Fallback>
      </mc:AlternateContent>
    </w:r>
  </w:p>
  <w:p w14:paraId="3A717719">
    <w:pPr>
      <w:pStyle w:val="23"/>
    </w:pPr>
    <w:r>
      <w:rPr>
        <w:rFonts w:hint="eastAsia"/>
        <w:sz w:val="10"/>
        <w:szCs w:val="10"/>
      </w:rPr>
      <w:drawing>
        <wp:inline distT="0" distB="0" distL="114300" distR="114300">
          <wp:extent cx="2012315" cy="551815"/>
          <wp:effectExtent l="0" t="0" r="0" b="0"/>
          <wp:docPr id="1544980250" name="图片 2"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80250" name="图片 2" descr="lALPDgQ9utky90zMyM0C9g_758_200"/>
                  <pic:cNvPicPr>
                    <a:picLocks noChangeAspect="1"/>
                  </pic:cNvPicPr>
                </pic:nvPicPr>
                <pic:blipFill>
                  <a:blip r:embed="rId1"/>
                  <a:stretch>
                    <a:fillRect/>
                  </a:stretch>
                </pic:blipFill>
                <pic:spPr>
                  <a:xfrm>
                    <a:off x="0" y="0"/>
                    <a:ext cx="2012315" cy="55181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F796C">
    <w:pPr>
      <w:pStyle w:val="23"/>
      <w:tabs>
        <w:tab w:val="center" w:pos="4550"/>
        <w:tab w:val="right" w:pos="9221"/>
      </w:tabs>
      <w:wordWrap w:val="0"/>
      <w:jc w:val="both"/>
      <w:rPr>
        <w:rStyle w:val="42"/>
        <w:rFonts w:hint="eastAsia"/>
      </w:rPr>
    </w:pPr>
    <w:r>
      <w:rPr>
        <w:sz w:val="1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3987DD">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B3987DD">
                    <w:pPr>
                      <w:pStyle w:val="23"/>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sz w:val="10"/>
        <w:szCs w:val="10"/>
      </w:rPr>
      <w:drawing>
        <wp:inline distT="0" distB="0" distL="114300" distR="114300">
          <wp:extent cx="2012315" cy="475615"/>
          <wp:effectExtent l="0" t="0" r="0" b="0"/>
          <wp:docPr id="11" name="图片 3"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lALPDgQ9utky90zMyM0C9g_758_200"/>
                  <pic:cNvPicPr>
                    <a:picLocks noChangeAspect="1"/>
                  </pic:cNvPicPr>
                </pic:nvPicPr>
                <pic:blipFill>
                  <a:blip r:embed="rId1"/>
                  <a:stretch>
                    <a:fillRect/>
                  </a:stretch>
                </pic:blipFill>
                <pic:spPr>
                  <a:xfrm>
                    <a:off x="0" y="0"/>
                    <a:ext cx="2012315" cy="475615"/>
                  </a:xfrm>
                  <a:prstGeom prst="rect">
                    <a:avLst/>
                  </a:prstGeom>
                  <a:noFill/>
                  <a:ln>
                    <a:noFill/>
                  </a:ln>
                </pic:spPr>
              </pic:pic>
            </a:graphicData>
          </a:graphic>
        </wp:inline>
      </w:drawing>
    </w:r>
    <w:r>
      <w:rPr>
        <w:rFonts w:hint="eastAsia"/>
        <w:sz w:val="10"/>
        <w:szCs w:val="10"/>
      </w:rPr>
      <w:tab/>
    </w:r>
    <w:r>
      <w:rPr>
        <w:rFonts w:hint="eastAsia"/>
        <w:sz w:val="10"/>
        <w:szCs w:val="10"/>
      </w:rPr>
      <w:tab/>
    </w:r>
    <w:r>
      <w:rPr>
        <w:rFonts w:hint="eastAsia"/>
        <w:sz w:val="10"/>
        <w:szCs w:val="10"/>
      </w:rPr>
      <w:tab/>
    </w:r>
  </w:p>
  <w:p w14:paraId="79D6630D">
    <w:pPr>
      <w:pStyle w:val="23"/>
      <w:ind w:right="105"/>
      <w:jc w:val="right"/>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CD676">
    <w:pPr>
      <w:pStyle w:val="23"/>
      <w:jc w:val="righ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A59C2C">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A59C2C">
                    <w:pPr>
                      <w:pStyle w:val="23"/>
                    </w:pPr>
                    <w:r>
                      <w:fldChar w:fldCharType="begin"/>
                    </w:r>
                    <w:r>
                      <w:instrText xml:space="preserve"> PAGE  \* MERGEFORMAT </w:instrText>
                    </w:r>
                    <w:r>
                      <w:fldChar w:fldCharType="separate"/>
                    </w:r>
                    <w:r>
                      <w:t>1</w:t>
                    </w:r>
                    <w:r>
                      <w:fldChar w:fldCharType="end"/>
                    </w:r>
                  </w:p>
                </w:txbxContent>
              </v:textbox>
            </v:shape>
          </w:pict>
        </mc:Fallback>
      </mc:AlternateContent>
    </w:r>
  </w:p>
  <w:p w14:paraId="12CE8238">
    <w:pPr>
      <w:pStyle w:val="23"/>
    </w:pPr>
    <w:r>
      <w:rPr>
        <w:rFonts w:hint="eastAsia"/>
        <w:sz w:val="10"/>
        <w:szCs w:val="10"/>
      </w:rPr>
      <w:drawing>
        <wp:inline distT="0" distB="0" distL="114300" distR="114300">
          <wp:extent cx="2012315" cy="551815"/>
          <wp:effectExtent l="0" t="0" r="0" b="0"/>
          <wp:docPr id="10" name="图片 2"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lALPDgQ9utky90zMyM0C9g_758_200"/>
                  <pic:cNvPicPr>
                    <a:picLocks noChangeAspect="1"/>
                  </pic:cNvPicPr>
                </pic:nvPicPr>
                <pic:blipFill>
                  <a:blip r:embed="rId1"/>
                  <a:stretch>
                    <a:fillRect/>
                  </a:stretch>
                </pic:blipFill>
                <pic:spPr>
                  <a:xfrm>
                    <a:off x="0" y="0"/>
                    <a:ext cx="2012315" cy="551815"/>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03467">
    <w:pPr>
      <w:pStyle w:val="24"/>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D6944">
    <w:pPr>
      <w:pStyle w:val="24"/>
      <w:pBdr>
        <w:bottom w:val="none" w:color="auto" w:sz="0" w:space="1"/>
      </w:pBdr>
      <w:jc w:val="left"/>
      <w:rPr>
        <w:rFonts w:hint="eastAsia"/>
        <w:u w:val="single"/>
        <w:lang w:val="en-US" w:eastAsia="zh-CN"/>
      </w:rPr>
    </w:pPr>
  </w:p>
  <w:p w14:paraId="5D47D3C2">
    <w:pPr>
      <w:pStyle w:val="24"/>
      <w:pBdr>
        <w:bottom w:val="none" w:color="auto" w:sz="0" w:space="1"/>
      </w:pBdr>
      <w:jc w:val="left"/>
    </w:pPr>
    <w:r>
      <w:rPr>
        <w:rFonts w:hint="eastAsia"/>
        <w:u w:val="single"/>
        <w:lang w:val="en-US" w:eastAsia="zh-CN"/>
      </w:rPr>
      <w:t>云南财经职业学院大数据中心软件升级-图书与信息中心数据管理与服务平台升级项目                                      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A8152">
    <w:pPr>
      <w:pStyle w:val="24"/>
      <w:pBdr>
        <w:bottom w:val="none" w:color="auto" w:sz="0" w:space="1"/>
      </w:pBdr>
    </w:pPr>
  </w:p>
  <w:p w14:paraId="034E1F04">
    <w:pPr>
      <w:pStyle w:val="24"/>
      <w:pBdr>
        <w:bottom w:val="none" w:color="auto" w:sz="0" w:space="1"/>
      </w:pBdr>
      <w:jc w:val="left"/>
    </w:pPr>
    <w:r>
      <w:rPr>
        <w:rFonts w:hint="eastAsia"/>
        <w:u w:val="single"/>
        <w:lang w:val="en-US" w:eastAsia="zh-CN"/>
      </w:rPr>
      <w:t>云南财经职业学院大数据中心软件升级-图书与信息中心数据管理与服务平台升级项目                                     单一来源采购文件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4E463">
    <w:pPr>
      <w:pStyle w:val="24"/>
      <w:pBdr>
        <w:bottom w:val="none" w:color="auto" w:sz="0" w:space="1"/>
      </w:pBdr>
      <w:jc w:val="both"/>
    </w:pPr>
  </w:p>
  <w:p w14:paraId="4560A392">
    <w:pPr>
      <w:pStyle w:val="24"/>
      <w:pBdr>
        <w:bottom w:val="none" w:color="auto" w:sz="0" w:space="1"/>
      </w:pBdr>
      <w:jc w:val="both"/>
    </w:pPr>
    <w:r>
      <w:rPr>
        <w:rFonts w:hint="eastAsia"/>
        <w:u w:val="single"/>
        <w:lang w:val="en-US" w:eastAsia="zh-CN"/>
      </w:rPr>
      <w:t>云南财经职业学院大数据中心软件升级-图书与信息中心数据管理与服务平台升级项目                                    单一来源采购文件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7A4E6">
    <w:pPr>
      <w:pStyle w:val="24"/>
      <w:pBdr>
        <w:bottom w:val="none" w:color="auto" w:sz="0" w:space="1"/>
      </w:pBdr>
      <w:jc w:val="left"/>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ABB96">
    <w:pPr>
      <w:pStyle w:val="24"/>
      <w:pBdr>
        <w:bottom w:val="none" w:color="auto" w:sz="0" w:space="1"/>
      </w:pBdr>
      <w:jc w:val="left"/>
      <w:rPr>
        <w:rFonts w:hint="eastAsia" w:ascii="宋体" w:hAnsi="宋体"/>
        <w:szCs w:val="21"/>
        <w:lang w:eastAsia="zh-CN"/>
      </w:rPr>
    </w:pPr>
  </w:p>
  <w:p w14:paraId="6EC35FF4">
    <w:pPr>
      <w:pStyle w:val="24"/>
      <w:pBdr>
        <w:bottom w:val="none" w:color="auto" w:sz="0" w:space="1"/>
      </w:pBdr>
      <w:jc w:val="left"/>
      <w:rPr>
        <w:u w:val="single"/>
      </w:rPr>
    </w:pPr>
    <w:r>
      <w:rPr>
        <w:rFonts w:hint="eastAsia"/>
        <w:u w:val="single"/>
        <w:lang w:val="en-US" w:eastAsia="zh-CN"/>
      </w:rPr>
      <w:t>云南财经职业学院大数据中心软件升级-图书与信息中心数据管理与服务平台升级项目                                              单一来源采购文件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050E36"/>
    <w:multiLevelType w:val="singleLevel"/>
    <w:tmpl w:val="EE050E36"/>
    <w:lvl w:ilvl="0" w:tentative="0">
      <w:start w:val="1"/>
      <w:numFmt w:val="decimal"/>
      <w:pStyle w:val="7"/>
      <w:lvlText w:val="%1."/>
      <w:lvlJc w:val="left"/>
      <w:pPr>
        <w:tabs>
          <w:tab w:val="left" w:pos="780"/>
        </w:tabs>
        <w:ind w:left="780" w:hanging="360"/>
      </w:pPr>
    </w:lvl>
  </w:abstractNum>
  <w:abstractNum w:abstractNumId="1">
    <w:nsid w:val="2FFE4FAD"/>
    <w:multiLevelType w:val="multilevel"/>
    <w:tmpl w:val="2FFE4FAD"/>
    <w:lvl w:ilvl="0" w:tentative="0">
      <w:start w:val="1"/>
      <w:numFmt w:val="decimal"/>
      <w:suff w:val="space"/>
      <w:lvlText w:val="%1"/>
      <w:lvlJc w:val="left"/>
      <w:pPr>
        <w:ind w:left="0" w:firstLine="0"/>
      </w:pPr>
    </w:lvl>
    <w:lvl w:ilvl="1" w:tentative="0">
      <w:start w:val="1"/>
      <w:numFmt w:val="decimal"/>
      <w:pStyle w:val="135"/>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trackRevisions w:val="1"/>
  <w:documentProtection w:enforcement="0"/>
  <w:defaultTabStop w:val="420"/>
  <w:drawingGridHorizontalSpacing w:val="0"/>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k3NjEyYzQxM2I3YzA4NjE5ODg3M2Y0NzcwOThjYWMifQ=="/>
  </w:docVars>
  <w:rsids>
    <w:rsidRoot w:val="00172A27"/>
    <w:rsid w:val="00002083"/>
    <w:rsid w:val="000022FE"/>
    <w:rsid w:val="00006165"/>
    <w:rsid w:val="000071F0"/>
    <w:rsid w:val="000074ED"/>
    <w:rsid w:val="00012EB4"/>
    <w:rsid w:val="00015DF1"/>
    <w:rsid w:val="00033699"/>
    <w:rsid w:val="0003662D"/>
    <w:rsid w:val="000413A6"/>
    <w:rsid w:val="00044FFA"/>
    <w:rsid w:val="000676C3"/>
    <w:rsid w:val="000679ED"/>
    <w:rsid w:val="00067A41"/>
    <w:rsid w:val="00075A90"/>
    <w:rsid w:val="00081413"/>
    <w:rsid w:val="00081D48"/>
    <w:rsid w:val="000934A9"/>
    <w:rsid w:val="00095480"/>
    <w:rsid w:val="000A01E5"/>
    <w:rsid w:val="000A142F"/>
    <w:rsid w:val="000A17DD"/>
    <w:rsid w:val="000A683F"/>
    <w:rsid w:val="000A7B80"/>
    <w:rsid w:val="000B10C1"/>
    <w:rsid w:val="000B30C6"/>
    <w:rsid w:val="000C3BE8"/>
    <w:rsid w:val="000D3A57"/>
    <w:rsid w:val="000F1705"/>
    <w:rsid w:val="00102E99"/>
    <w:rsid w:val="00110E4B"/>
    <w:rsid w:val="00121C90"/>
    <w:rsid w:val="001456E1"/>
    <w:rsid w:val="00145CF7"/>
    <w:rsid w:val="00155351"/>
    <w:rsid w:val="001607CD"/>
    <w:rsid w:val="001640D3"/>
    <w:rsid w:val="00165C13"/>
    <w:rsid w:val="00172A27"/>
    <w:rsid w:val="00180369"/>
    <w:rsid w:val="00187D2C"/>
    <w:rsid w:val="00196FCA"/>
    <w:rsid w:val="001A7E26"/>
    <w:rsid w:val="001B1A1D"/>
    <w:rsid w:val="001B74BD"/>
    <w:rsid w:val="001C01E6"/>
    <w:rsid w:val="001C1E9F"/>
    <w:rsid w:val="001D73D4"/>
    <w:rsid w:val="001E4152"/>
    <w:rsid w:val="001F295E"/>
    <w:rsid w:val="00202DCC"/>
    <w:rsid w:val="002035C4"/>
    <w:rsid w:val="00222553"/>
    <w:rsid w:val="00224C75"/>
    <w:rsid w:val="00235E89"/>
    <w:rsid w:val="002542BA"/>
    <w:rsid w:val="00256917"/>
    <w:rsid w:val="0025693B"/>
    <w:rsid w:val="00257F0C"/>
    <w:rsid w:val="00276C80"/>
    <w:rsid w:val="00292189"/>
    <w:rsid w:val="002A570D"/>
    <w:rsid w:val="002C4449"/>
    <w:rsid w:val="002C6FBA"/>
    <w:rsid w:val="002D1DFA"/>
    <w:rsid w:val="002D49EB"/>
    <w:rsid w:val="002E04BE"/>
    <w:rsid w:val="002E1640"/>
    <w:rsid w:val="002E3CF4"/>
    <w:rsid w:val="002E5E4B"/>
    <w:rsid w:val="002F241A"/>
    <w:rsid w:val="00304AD8"/>
    <w:rsid w:val="00310EF6"/>
    <w:rsid w:val="00311D41"/>
    <w:rsid w:val="00317669"/>
    <w:rsid w:val="00322E05"/>
    <w:rsid w:val="003407B8"/>
    <w:rsid w:val="00350B72"/>
    <w:rsid w:val="00351D58"/>
    <w:rsid w:val="00352CD3"/>
    <w:rsid w:val="003542C6"/>
    <w:rsid w:val="00360E52"/>
    <w:rsid w:val="00377AE4"/>
    <w:rsid w:val="00384365"/>
    <w:rsid w:val="00393668"/>
    <w:rsid w:val="00395CE4"/>
    <w:rsid w:val="00397F1D"/>
    <w:rsid w:val="003A177D"/>
    <w:rsid w:val="003A447B"/>
    <w:rsid w:val="003A6B66"/>
    <w:rsid w:val="003A6E53"/>
    <w:rsid w:val="003B0438"/>
    <w:rsid w:val="003B0BCC"/>
    <w:rsid w:val="003C53AA"/>
    <w:rsid w:val="003C6D42"/>
    <w:rsid w:val="003D164E"/>
    <w:rsid w:val="003D22CA"/>
    <w:rsid w:val="003D6656"/>
    <w:rsid w:val="003E2B64"/>
    <w:rsid w:val="003F1383"/>
    <w:rsid w:val="003F13D8"/>
    <w:rsid w:val="003F736F"/>
    <w:rsid w:val="00401BC7"/>
    <w:rsid w:val="0040200A"/>
    <w:rsid w:val="00411EED"/>
    <w:rsid w:val="004132E5"/>
    <w:rsid w:val="00414FE7"/>
    <w:rsid w:val="004159C8"/>
    <w:rsid w:val="004210A0"/>
    <w:rsid w:val="00431806"/>
    <w:rsid w:val="004368F3"/>
    <w:rsid w:val="00437338"/>
    <w:rsid w:val="004408B3"/>
    <w:rsid w:val="004409E1"/>
    <w:rsid w:val="00445F7F"/>
    <w:rsid w:val="00450406"/>
    <w:rsid w:val="004555D7"/>
    <w:rsid w:val="00456108"/>
    <w:rsid w:val="00470BA8"/>
    <w:rsid w:val="00470DC1"/>
    <w:rsid w:val="004758C6"/>
    <w:rsid w:val="004760A8"/>
    <w:rsid w:val="004A3D2F"/>
    <w:rsid w:val="004A3F4F"/>
    <w:rsid w:val="004B10EB"/>
    <w:rsid w:val="004B47A5"/>
    <w:rsid w:val="004B58F5"/>
    <w:rsid w:val="004C02DC"/>
    <w:rsid w:val="004C521F"/>
    <w:rsid w:val="004C6C6A"/>
    <w:rsid w:val="004D0E86"/>
    <w:rsid w:val="004D2300"/>
    <w:rsid w:val="004D5208"/>
    <w:rsid w:val="004F0B4E"/>
    <w:rsid w:val="00501C99"/>
    <w:rsid w:val="00503414"/>
    <w:rsid w:val="005151C5"/>
    <w:rsid w:val="00521E46"/>
    <w:rsid w:val="005240F3"/>
    <w:rsid w:val="00524E73"/>
    <w:rsid w:val="0052568A"/>
    <w:rsid w:val="00530F60"/>
    <w:rsid w:val="00535FB8"/>
    <w:rsid w:val="005376ED"/>
    <w:rsid w:val="00541E9D"/>
    <w:rsid w:val="00546690"/>
    <w:rsid w:val="00550566"/>
    <w:rsid w:val="00552CA7"/>
    <w:rsid w:val="0055476A"/>
    <w:rsid w:val="00560F59"/>
    <w:rsid w:val="0056159C"/>
    <w:rsid w:val="00564684"/>
    <w:rsid w:val="00565522"/>
    <w:rsid w:val="005712C3"/>
    <w:rsid w:val="005773F8"/>
    <w:rsid w:val="005838FB"/>
    <w:rsid w:val="005851B1"/>
    <w:rsid w:val="00586D72"/>
    <w:rsid w:val="00592C78"/>
    <w:rsid w:val="005A256A"/>
    <w:rsid w:val="005A2660"/>
    <w:rsid w:val="005B1F2A"/>
    <w:rsid w:val="005B58CB"/>
    <w:rsid w:val="005C45F6"/>
    <w:rsid w:val="005C4F11"/>
    <w:rsid w:val="005C7119"/>
    <w:rsid w:val="005D2652"/>
    <w:rsid w:val="005D426C"/>
    <w:rsid w:val="005D4309"/>
    <w:rsid w:val="005D4603"/>
    <w:rsid w:val="005D5633"/>
    <w:rsid w:val="005E2B32"/>
    <w:rsid w:val="005F1B55"/>
    <w:rsid w:val="0060161D"/>
    <w:rsid w:val="006069BC"/>
    <w:rsid w:val="00610E35"/>
    <w:rsid w:val="00615AA8"/>
    <w:rsid w:val="0061677F"/>
    <w:rsid w:val="006208BB"/>
    <w:rsid w:val="00627234"/>
    <w:rsid w:val="00637666"/>
    <w:rsid w:val="006452A7"/>
    <w:rsid w:val="00652DF8"/>
    <w:rsid w:val="006560BB"/>
    <w:rsid w:val="00656463"/>
    <w:rsid w:val="0066249E"/>
    <w:rsid w:val="00663A04"/>
    <w:rsid w:val="00665BAD"/>
    <w:rsid w:val="006759FA"/>
    <w:rsid w:val="00676A39"/>
    <w:rsid w:val="00683F23"/>
    <w:rsid w:val="00687E4E"/>
    <w:rsid w:val="00690918"/>
    <w:rsid w:val="00691A4F"/>
    <w:rsid w:val="0069544E"/>
    <w:rsid w:val="00695898"/>
    <w:rsid w:val="006A69D3"/>
    <w:rsid w:val="006A7BF9"/>
    <w:rsid w:val="006B03F3"/>
    <w:rsid w:val="006B0A80"/>
    <w:rsid w:val="006B2757"/>
    <w:rsid w:val="006B4911"/>
    <w:rsid w:val="006B4F3C"/>
    <w:rsid w:val="006B59D3"/>
    <w:rsid w:val="006B5ADF"/>
    <w:rsid w:val="006B6D1F"/>
    <w:rsid w:val="006C0C26"/>
    <w:rsid w:val="006C1434"/>
    <w:rsid w:val="006C22AB"/>
    <w:rsid w:val="006C39FE"/>
    <w:rsid w:val="006C47D3"/>
    <w:rsid w:val="006D5F19"/>
    <w:rsid w:val="006D72E5"/>
    <w:rsid w:val="006E7EB0"/>
    <w:rsid w:val="006F02F2"/>
    <w:rsid w:val="007007DA"/>
    <w:rsid w:val="007008D5"/>
    <w:rsid w:val="00717661"/>
    <w:rsid w:val="00726300"/>
    <w:rsid w:val="00745D77"/>
    <w:rsid w:val="0076659A"/>
    <w:rsid w:val="00767958"/>
    <w:rsid w:val="007720A3"/>
    <w:rsid w:val="0077510A"/>
    <w:rsid w:val="00776C40"/>
    <w:rsid w:val="0077736B"/>
    <w:rsid w:val="0078622F"/>
    <w:rsid w:val="00794485"/>
    <w:rsid w:val="007A7DD6"/>
    <w:rsid w:val="007B0C0E"/>
    <w:rsid w:val="007B2A0D"/>
    <w:rsid w:val="007B789C"/>
    <w:rsid w:val="007C1229"/>
    <w:rsid w:val="007C6980"/>
    <w:rsid w:val="007D223C"/>
    <w:rsid w:val="007D56DF"/>
    <w:rsid w:val="007F7B11"/>
    <w:rsid w:val="0080037D"/>
    <w:rsid w:val="00800794"/>
    <w:rsid w:val="00801E1E"/>
    <w:rsid w:val="0080525A"/>
    <w:rsid w:val="008104ED"/>
    <w:rsid w:val="00814E00"/>
    <w:rsid w:val="008317DA"/>
    <w:rsid w:val="00837695"/>
    <w:rsid w:val="00846617"/>
    <w:rsid w:val="00851679"/>
    <w:rsid w:val="00860204"/>
    <w:rsid w:val="00867505"/>
    <w:rsid w:val="00880459"/>
    <w:rsid w:val="00881DB4"/>
    <w:rsid w:val="0088706C"/>
    <w:rsid w:val="00891AA5"/>
    <w:rsid w:val="00892BB9"/>
    <w:rsid w:val="0089527D"/>
    <w:rsid w:val="0089601A"/>
    <w:rsid w:val="008968F1"/>
    <w:rsid w:val="008A6E0D"/>
    <w:rsid w:val="008A7BBD"/>
    <w:rsid w:val="008B0788"/>
    <w:rsid w:val="008B2EDE"/>
    <w:rsid w:val="008B73C2"/>
    <w:rsid w:val="008C24BD"/>
    <w:rsid w:val="008C312C"/>
    <w:rsid w:val="008D1573"/>
    <w:rsid w:val="008E520B"/>
    <w:rsid w:val="008E5328"/>
    <w:rsid w:val="008E58A9"/>
    <w:rsid w:val="00900D9E"/>
    <w:rsid w:val="0090304C"/>
    <w:rsid w:val="00906C7D"/>
    <w:rsid w:val="00933842"/>
    <w:rsid w:val="00937B14"/>
    <w:rsid w:val="009430DE"/>
    <w:rsid w:val="00945FF4"/>
    <w:rsid w:val="00954D69"/>
    <w:rsid w:val="00956F40"/>
    <w:rsid w:val="009612B1"/>
    <w:rsid w:val="009672D4"/>
    <w:rsid w:val="00983735"/>
    <w:rsid w:val="009B0C3A"/>
    <w:rsid w:val="009B78F6"/>
    <w:rsid w:val="009C1819"/>
    <w:rsid w:val="009D0417"/>
    <w:rsid w:val="009D2F02"/>
    <w:rsid w:val="009E087F"/>
    <w:rsid w:val="009E155B"/>
    <w:rsid w:val="009E33C1"/>
    <w:rsid w:val="009F3A93"/>
    <w:rsid w:val="00A02754"/>
    <w:rsid w:val="00A05E27"/>
    <w:rsid w:val="00A20826"/>
    <w:rsid w:val="00A20897"/>
    <w:rsid w:val="00A253EC"/>
    <w:rsid w:val="00A27140"/>
    <w:rsid w:val="00A3295D"/>
    <w:rsid w:val="00A41661"/>
    <w:rsid w:val="00A44170"/>
    <w:rsid w:val="00A4642C"/>
    <w:rsid w:val="00A516E1"/>
    <w:rsid w:val="00A5306E"/>
    <w:rsid w:val="00A53645"/>
    <w:rsid w:val="00A569ED"/>
    <w:rsid w:val="00A608FB"/>
    <w:rsid w:val="00A63190"/>
    <w:rsid w:val="00A70318"/>
    <w:rsid w:val="00A712FB"/>
    <w:rsid w:val="00A73191"/>
    <w:rsid w:val="00A73818"/>
    <w:rsid w:val="00A76A6B"/>
    <w:rsid w:val="00A80103"/>
    <w:rsid w:val="00A80BD3"/>
    <w:rsid w:val="00A81A29"/>
    <w:rsid w:val="00AA5976"/>
    <w:rsid w:val="00AA69FB"/>
    <w:rsid w:val="00AC13A2"/>
    <w:rsid w:val="00AD14ED"/>
    <w:rsid w:val="00AD19BB"/>
    <w:rsid w:val="00AD56A6"/>
    <w:rsid w:val="00AD66E3"/>
    <w:rsid w:val="00AE6590"/>
    <w:rsid w:val="00AF30D8"/>
    <w:rsid w:val="00AF40DE"/>
    <w:rsid w:val="00AF7FA0"/>
    <w:rsid w:val="00B17116"/>
    <w:rsid w:val="00B25FF2"/>
    <w:rsid w:val="00B31AF9"/>
    <w:rsid w:val="00B33962"/>
    <w:rsid w:val="00B341D4"/>
    <w:rsid w:val="00B3527C"/>
    <w:rsid w:val="00B36039"/>
    <w:rsid w:val="00B36968"/>
    <w:rsid w:val="00B43114"/>
    <w:rsid w:val="00B47CC6"/>
    <w:rsid w:val="00B501FD"/>
    <w:rsid w:val="00B539B5"/>
    <w:rsid w:val="00B53A52"/>
    <w:rsid w:val="00B56A78"/>
    <w:rsid w:val="00B64189"/>
    <w:rsid w:val="00B70B8F"/>
    <w:rsid w:val="00B77E7C"/>
    <w:rsid w:val="00B81FEC"/>
    <w:rsid w:val="00B84BAD"/>
    <w:rsid w:val="00B84CA7"/>
    <w:rsid w:val="00B91987"/>
    <w:rsid w:val="00B93A28"/>
    <w:rsid w:val="00B949EE"/>
    <w:rsid w:val="00BA1F6F"/>
    <w:rsid w:val="00BA383E"/>
    <w:rsid w:val="00BA428F"/>
    <w:rsid w:val="00BA5963"/>
    <w:rsid w:val="00BB1886"/>
    <w:rsid w:val="00BB3C80"/>
    <w:rsid w:val="00BB4597"/>
    <w:rsid w:val="00BC25F2"/>
    <w:rsid w:val="00BC3245"/>
    <w:rsid w:val="00BD208A"/>
    <w:rsid w:val="00BD39AB"/>
    <w:rsid w:val="00BD5F31"/>
    <w:rsid w:val="00BF627E"/>
    <w:rsid w:val="00BF7A23"/>
    <w:rsid w:val="00C01C04"/>
    <w:rsid w:val="00C04B53"/>
    <w:rsid w:val="00C04D75"/>
    <w:rsid w:val="00C1294A"/>
    <w:rsid w:val="00C13CC7"/>
    <w:rsid w:val="00C14488"/>
    <w:rsid w:val="00C31106"/>
    <w:rsid w:val="00C429A9"/>
    <w:rsid w:val="00C50435"/>
    <w:rsid w:val="00C60195"/>
    <w:rsid w:val="00C607E1"/>
    <w:rsid w:val="00C64676"/>
    <w:rsid w:val="00C662CA"/>
    <w:rsid w:val="00C75186"/>
    <w:rsid w:val="00C806C5"/>
    <w:rsid w:val="00C81177"/>
    <w:rsid w:val="00C816C5"/>
    <w:rsid w:val="00C85CB9"/>
    <w:rsid w:val="00CA393B"/>
    <w:rsid w:val="00CA497A"/>
    <w:rsid w:val="00CA6D60"/>
    <w:rsid w:val="00CA7BCF"/>
    <w:rsid w:val="00CB2E5C"/>
    <w:rsid w:val="00CB6CF2"/>
    <w:rsid w:val="00CC0C41"/>
    <w:rsid w:val="00CC0D27"/>
    <w:rsid w:val="00CC61A6"/>
    <w:rsid w:val="00CD1A15"/>
    <w:rsid w:val="00CD5FD8"/>
    <w:rsid w:val="00CE1210"/>
    <w:rsid w:val="00CE64A2"/>
    <w:rsid w:val="00CE6515"/>
    <w:rsid w:val="00CF694D"/>
    <w:rsid w:val="00D002F7"/>
    <w:rsid w:val="00D0201F"/>
    <w:rsid w:val="00D06561"/>
    <w:rsid w:val="00D1038F"/>
    <w:rsid w:val="00D176F8"/>
    <w:rsid w:val="00D30C87"/>
    <w:rsid w:val="00D32EA1"/>
    <w:rsid w:val="00D35724"/>
    <w:rsid w:val="00D36F04"/>
    <w:rsid w:val="00D53A37"/>
    <w:rsid w:val="00D54B97"/>
    <w:rsid w:val="00D55B2A"/>
    <w:rsid w:val="00D577B8"/>
    <w:rsid w:val="00D60203"/>
    <w:rsid w:val="00D621CA"/>
    <w:rsid w:val="00D622C7"/>
    <w:rsid w:val="00D65EBC"/>
    <w:rsid w:val="00D743B5"/>
    <w:rsid w:val="00D773D5"/>
    <w:rsid w:val="00D8162B"/>
    <w:rsid w:val="00D81963"/>
    <w:rsid w:val="00D84AD9"/>
    <w:rsid w:val="00D87306"/>
    <w:rsid w:val="00D94565"/>
    <w:rsid w:val="00DA20AC"/>
    <w:rsid w:val="00DA2373"/>
    <w:rsid w:val="00DA69D7"/>
    <w:rsid w:val="00DB4B02"/>
    <w:rsid w:val="00DC2B08"/>
    <w:rsid w:val="00DC486D"/>
    <w:rsid w:val="00DD2FCF"/>
    <w:rsid w:val="00DD5EFB"/>
    <w:rsid w:val="00DF22E3"/>
    <w:rsid w:val="00E07926"/>
    <w:rsid w:val="00E1184D"/>
    <w:rsid w:val="00E14DDC"/>
    <w:rsid w:val="00E1617B"/>
    <w:rsid w:val="00E2198C"/>
    <w:rsid w:val="00E21F46"/>
    <w:rsid w:val="00E24A0E"/>
    <w:rsid w:val="00E27D08"/>
    <w:rsid w:val="00E42954"/>
    <w:rsid w:val="00E5321E"/>
    <w:rsid w:val="00E57F04"/>
    <w:rsid w:val="00E57F52"/>
    <w:rsid w:val="00E6088C"/>
    <w:rsid w:val="00E63089"/>
    <w:rsid w:val="00E63F34"/>
    <w:rsid w:val="00E71DA6"/>
    <w:rsid w:val="00E724FD"/>
    <w:rsid w:val="00E77475"/>
    <w:rsid w:val="00E85356"/>
    <w:rsid w:val="00E85BAF"/>
    <w:rsid w:val="00E86683"/>
    <w:rsid w:val="00E91F46"/>
    <w:rsid w:val="00E932E1"/>
    <w:rsid w:val="00E93966"/>
    <w:rsid w:val="00E96175"/>
    <w:rsid w:val="00EA7359"/>
    <w:rsid w:val="00EA7EE9"/>
    <w:rsid w:val="00EB0D14"/>
    <w:rsid w:val="00EB3A93"/>
    <w:rsid w:val="00EB68A2"/>
    <w:rsid w:val="00EB7648"/>
    <w:rsid w:val="00ED06DF"/>
    <w:rsid w:val="00ED3259"/>
    <w:rsid w:val="00EE09F7"/>
    <w:rsid w:val="00EE2CD2"/>
    <w:rsid w:val="00EF4599"/>
    <w:rsid w:val="00EF48CE"/>
    <w:rsid w:val="00F02370"/>
    <w:rsid w:val="00F107A7"/>
    <w:rsid w:val="00F117EA"/>
    <w:rsid w:val="00F12701"/>
    <w:rsid w:val="00F17623"/>
    <w:rsid w:val="00F27940"/>
    <w:rsid w:val="00F367F9"/>
    <w:rsid w:val="00F41CFE"/>
    <w:rsid w:val="00F4418E"/>
    <w:rsid w:val="00F547F9"/>
    <w:rsid w:val="00F62829"/>
    <w:rsid w:val="00F70B62"/>
    <w:rsid w:val="00F81A34"/>
    <w:rsid w:val="00F824B4"/>
    <w:rsid w:val="00F95FC6"/>
    <w:rsid w:val="00FA650C"/>
    <w:rsid w:val="00FB2B4C"/>
    <w:rsid w:val="00FB3581"/>
    <w:rsid w:val="00FC3C1D"/>
    <w:rsid w:val="00FE13CF"/>
    <w:rsid w:val="00FE7664"/>
    <w:rsid w:val="00FE7D2F"/>
    <w:rsid w:val="00FF13FD"/>
    <w:rsid w:val="00FF4594"/>
    <w:rsid w:val="00FF56BA"/>
    <w:rsid w:val="01097436"/>
    <w:rsid w:val="01121891"/>
    <w:rsid w:val="01141165"/>
    <w:rsid w:val="0123584C"/>
    <w:rsid w:val="012D0479"/>
    <w:rsid w:val="014F6641"/>
    <w:rsid w:val="01534385"/>
    <w:rsid w:val="015C48BA"/>
    <w:rsid w:val="01635D69"/>
    <w:rsid w:val="017B5688"/>
    <w:rsid w:val="017D1741"/>
    <w:rsid w:val="018D7D3C"/>
    <w:rsid w:val="0192652E"/>
    <w:rsid w:val="01B764D8"/>
    <w:rsid w:val="01B82438"/>
    <w:rsid w:val="01E343C4"/>
    <w:rsid w:val="01ED623F"/>
    <w:rsid w:val="020C5DF0"/>
    <w:rsid w:val="021E308C"/>
    <w:rsid w:val="0224187C"/>
    <w:rsid w:val="022E26FA"/>
    <w:rsid w:val="02331ABF"/>
    <w:rsid w:val="02750329"/>
    <w:rsid w:val="0295277A"/>
    <w:rsid w:val="029A6337"/>
    <w:rsid w:val="029A7D90"/>
    <w:rsid w:val="02A37E02"/>
    <w:rsid w:val="02AB78A7"/>
    <w:rsid w:val="02B349AE"/>
    <w:rsid w:val="02B60F20"/>
    <w:rsid w:val="02BF068B"/>
    <w:rsid w:val="02C646E1"/>
    <w:rsid w:val="02CA0D4D"/>
    <w:rsid w:val="02D212D8"/>
    <w:rsid w:val="02DB07B7"/>
    <w:rsid w:val="02DC6436"/>
    <w:rsid w:val="02EE3C38"/>
    <w:rsid w:val="02F6117F"/>
    <w:rsid w:val="02FD0588"/>
    <w:rsid w:val="031B6DD5"/>
    <w:rsid w:val="032023C1"/>
    <w:rsid w:val="03257B30"/>
    <w:rsid w:val="03265180"/>
    <w:rsid w:val="033F6241"/>
    <w:rsid w:val="03402749"/>
    <w:rsid w:val="03435D32"/>
    <w:rsid w:val="03563CB7"/>
    <w:rsid w:val="03636E84"/>
    <w:rsid w:val="036504F1"/>
    <w:rsid w:val="036F2FCB"/>
    <w:rsid w:val="03717001"/>
    <w:rsid w:val="03942738"/>
    <w:rsid w:val="039C5BA3"/>
    <w:rsid w:val="03A9642F"/>
    <w:rsid w:val="03AD7D54"/>
    <w:rsid w:val="03AE3AF3"/>
    <w:rsid w:val="03BB6210"/>
    <w:rsid w:val="03CE5F43"/>
    <w:rsid w:val="03E47515"/>
    <w:rsid w:val="03EF2612"/>
    <w:rsid w:val="03F42E28"/>
    <w:rsid w:val="03F60236"/>
    <w:rsid w:val="03F914B2"/>
    <w:rsid w:val="03FD6AEB"/>
    <w:rsid w:val="040176AF"/>
    <w:rsid w:val="04133A5C"/>
    <w:rsid w:val="041476CE"/>
    <w:rsid w:val="042042C5"/>
    <w:rsid w:val="042B4D16"/>
    <w:rsid w:val="044043AC"/>
    <w:rsid w:val="04466EE6"/>
    <w:rsid w:val="046961B2"/>
    <w:rsid w:val="049802FF"/>
    <w:rsid w:val="04AB3936"/>
    <w:rsid w:val="04B7764D"/>
    <w:rsid w:val="04BD4881"/>
    <w:rsid w:val="04C45905"/>
    <w:rsid w:val="04E01B11"/>
    <w:rsid w:val="04EF018C"/>
    <w:rsid w:val="04EF43C3"/>
    <w:rsid w:val="050339CA"/>
    <w:rsid w:val="05091758"/>
    <w:rsid w:val="050F525C"/>
    <w:rsid w:val="051A51B8"/>
    <w:rsid w:val="053C512E"/>
    <w:rsid w:val="053F6283"/>
    <w:rsid w:val="054364BD"/>
    <w:rsid w:val="05634469"/>
    <w:rsid w:val="056F4927"/>
    <w:rsid w:val="057C552B"/>
    <w:rsid w:val="057E5747"/>
    <w:rsid w:val="059C5085"/>
    <w:rsid w:val="05A40222"/>
    <w:rsid w:val="05AF76AE"/>
    <w:rsid w:val="05B20F4D"/>
    <w:rsid w:val="05CC64B2"/>
    <w:rsid w:val="05F07650"/>
    <w:rsid w:val="05F67D64"/>
    <w:rsid w:val="05FD2B10"/>
    <w:rsid w:val="061614DB"/>
    <w:rsid w:val="06175254"/>
    <w:rsid w:val="061834A6"/>
    <w:rsid w:val="06231E4A"/>
    <w:rsid w:val="063674A8"/>
    <w:rsid w:val="06475B39"/>
    <w:rsid w:val="064F200A"/>
    <w:rsid w:val="0659586C"/>
    <w:rsid w:val="06997DBD"/>
    <w:rsid w:val="06A765D7"/>
    <w:rsid w:val="06B036DE"/>
    <w:rsid w:val="06E14AFA"/>
    <w:rsid w:val="06E8731C"/>
    <w:rsid w:val="06F04422"/>
    <w:rsid w:val="07397B77"/>
    <w:rsid w:val="073A744C"/>
    <w:rsid w:val="075F4E14"/>
    <w:rsid w:val="076D53B4"/>
    <w:rsid w:val="07704B6F"/>
    <w:rsid w:val="078832C6"/>
    <w:rsid w:val="079E20A9"/>
    <w:rsid w:val="07A44776"/>
    <w:rsid w:val="07A67838"/>
    <w:rsid w:val="07A832F4"/>
    <w:rsid w:val="07AF3996"/>
    <w:rsid w:val="07CC279A"/>
    <w:rsid w:val="07E35E41"/>
    <w:rsid w:val="07FB6BDB"/>
    <w:rsid w:val="081B6BA0"/>
    <w:rsid w:val="083420ED"/>
    <w:rsid w:val="08382C80"/>
    <w:rsid w:val="08422A5C"/>
    <w:rsid w:val="08800B63"/>
    <w:rsid w:val="088017D6"/>
    <w:rsid w:val="08844E22"/>
    <w:rsid w:val="08895D76"/>
    <w:rsid w:val="088F43C8"/>
    <w:rsid w:val="08986B20"/>
    <w:rsid w:val="08B03E69"/>
    <w:rsid w:val="08B65E83"/>
    <w:rsid w:val="08B67523"/>
    <w:rsid w:val="08C90A87"/>
    <w:rsid w:val="08D613F6"/>
    <w:rsid w:val="08DF2EBB"/>
    <w:rsid w:val="08E61C8C"/>
    <w:rsid w:val="08EB30F3"/>
    <w:rsid w:val="08EF1001"/>
    <w:rsid w:val="08EF53EB"/>
    <w:rsid w:val="091D0485"/>
    <w:rsid w:val="091F6B27"/>
    <w:rsid w:val="09393429"/>
    <w:rsid w:val="09490BCD"/>
    <w:rsid w:val="09497E1A"/>
    <w:rsid w:val="09732581"/>
    <w:rsid w:val="098472D0"/>
    <w:rsid w:val="098A75E3"/>
    <w:rsid w:val="098B0432"/>
    <w:rsid w:val="09A84B40"/>
    <w:rsid w:val="09C13E54"/>
    <w:rsid w:val="09C65AAB"/>
    <w:rsid w:val="09D047B5"/>
    <w:rsid w:val="0A065F87"/>
    <w:rsid w:val="0A1D67C1"/>
    <w:rsid w:val="0A2E773B"/>
    <w:rsid w:val="0A5179E3"/>
    <w:rsid w:val="0A663087"/>
    <w:rsid w:val="0A6749FB"/>
    <w:rsid w:val="0A722EAF"/>
    <w:rsid w:val="0A8F392A"/>
    <w:rsid w:val="0AC900F3"/>
    <w:rsid w:val="0AE147AE"/>
    <w:rsid w:val="0AE732BC"/>
    <w:rsid w:val="0AFA13CC"/>
    <w:rsid w:val="0B0F299D"/>
    <w:rsid w:val="0B19257F"/>
    <w:rsid w:val="0B24469B"/>
    <w:rsid w:val="0B266665"/>
    <w:rsid w:val="0B430D19"/>
    <w:rsid w:val="0B5062C3"/>
    <w:rsid w:val="0B7A5FA8"/>
    <w:rsid w:val="0B7B55AF"/>
    <w:rsid w:val="0B7D55A3"/>
    <w:rsid w:val="0B8C426E"/>
    <w:rsid w:val="0B942E6D"/>
    <w:rsid w:val="0B9C06D5"/>
    <w:rsid w:val="0BB63055"/>
    <w:rsid w:val="0BC612DE"/>
    <w:rsid w:val="0BE04A65"/>
    <w:rsid w:val="0C0370D4"/>
    <w:rsid w:val="0C08791D"/>
    <w:rsid w:val="0C0A3F57"/>
    <w:rsid w:val="0C0B7609"/>
    <w:rsid w:val="0C126BE9"/>
    <w:rsid w:val="0C22507E"/>
    <w:rsid w:val="0C2B072E"/>
    <w:rsid w:val="0C434FF4"/>
    <w:rsid w:val="0C5909AB"/>
    <w:rsid w:val="0C683832"/>
    <w:rsid w:val="0C741865"/>
    <w:rsid w:val="0C8877CD"/>
    <w:rsid w:val="0C8A3987"/>
    <w:rsid w:val="0CA75583"/>
    <w:rsid w:val="0CA912FB"/>
    <w:rsid w:val="0CAE6C6A"/>
    <w:rsid w:val="0CC233A9"/>
    <w:rsid w:val="0CDF2F6F"/>
    <w:rsid w:val="0CEA3E96"/>
    <w:rsid w:val="0CEE31B2"/>
    <w:rsid w:val="0CF408A5"/>
    <w:rsid w:val="0CFA1B57"/>
    <w:rsid w:val="0D0429D6"/>
    <w:rsid w:val="0D171D9B"/>
    <w:rsid w:val="0D40503E"/>
    <w:rsid w:val="0D492377"/>
    <w:rsid w:val="0D5C2817"/>
    <w:rsid w:val="0D634416"/>
    <w:rsid w:val="0D6B5CF0"/>
    <w:rsid w:val="0D703BC7"/>
    <w:rsid w:val="0D7641C1"/>
    <w:rsid w:val="0D772CF6"/>
    <w:rsid w:val="0D787911"/>
    <w:rsid w:val="0D8A769F"/>
    <w:rsid w:val="0D942F7B"/>
    <w:rsid w:val="0D944959"/>
    <w:rsid w:val="0D964AE4"/>
    <w:rsid w:val="0DB241E0"/>
    <w:rsid w:val="0DBC0BBA"/>
    <w:rsid w:val="0DCE3CFC"/>
    <w:rsid w:val="0DCE6B40"/>
    <w:rsid w:val="0DEE0F90"/>
    <w:rsid w:val="0E0B2B80"/>
    <w:rsid w:val="0E0B38F0"/>
    <w:rsid w:val="0E1A3B33"/>
    <w:rsid w:val="0E2A021A"/>
    <w:rsid w:val="0E2C5039"/>
    <w:rsid w:val="0E484B44"/>
    <w:rsid w:val="0E5242BB"/>
    <w:rsid w:val="0E550E35"/>
    <w:rsid w:val="0E6630F2"/>
    <w:rsid w:val="0E851495"/>
    <w:rsid w:val="0EA63619"/>
    <w:rsid w:val="0EAF453D"/>
    <w:rsid w:val="0EBB384D"/>
    <w:rsid w:val="0ED85EC8"/>
    <w:rsid w:val="0EF20571"/>
    <w:rsid w:val="0F121DA9"/>
    <w:rsid w:val="0F14113B"/>
    <w:rsid w:val="0F225CD7"/>
    <w:rsid w:val="0F290041"/>
    <w:rsid w:val="0F2E3D3A"/>
    <w:rsid w:val="0F4B1B02"/>
    <w:rsid w:val="0F4B48EC"/>
    <w:rsid w:val="0F4D3CE0"/>
    <w:rsid w:val="0F625791"/>
    <w:rsid w:val="0F6459AD"/>
    <w:rsid w:val="0F64775C"/>
    <w:rsid w:val="0F744C35"/>
    <w:rsid w:val="0F75242A"/>
    <w:rsid w:val="0F851480"/>
    <w:rsid w:val="0F9A13CF"/>
    <w:rsid w:val="0FAC27EA"/>
    <w:rsid w:val="0FC621C4"/>
    <w:rsid w:val="0FCA3251"/>
    <w:rsid w:val="0FD0094D"/>
    <w:rsid w:val="0FDF3A6B"/>
    <w:rsid w:val="0FE97876"/>
    <w:rsid w:val="0FF509EA"/>
    <w:rsid w:val="0FF80406"/>
    <w:rsid w:val="10036F54"/>
    <w:rsid w:val="10293806"/>
    <w:rsid w:val="1060257A"/>
    <w:rsid w:val="107F7994"/>
    <w:rsid w:val="108C5DA8"/>
    <w:rsid w:val="109401F4"/>
    <w:rsid w:val="10967DE9"/>
    <w:rsid w:val="10973B61"/>
    <w:rsid w:val="10AE08D0"/>
    <w:rsid w:val="10BB15FD"/>
    <w:rsid w:val="10BD1BE5"/>
    <w:rsid w:val="10C36704"/>
    <w:rsid w:val="10F42D61"/>
    <w:rsid w:val="10FF6CE8"/>
    <w:rsid w:val="10FF7D46"/>
    <w:rsid w:val="111034C9"/>
    <w:rsid w:val="111B64C0"/>
    <w:rsid w:val="112B0016"/>
    <w:rsid w:val="11376DEA"/>
    <w:rsid w:val="113A4C18"/>
    <w:rsid w:val="114C494B"/>
    <w:rsid w:val="11503293"/>
    <w:rsid w:val="11606D36"/>
    <w:rsid w:val="11833896"/>
    <w:rsid w:val="11854B72"/>
    <w:rsid w:val="11AC7198"/>
    <w:rsid w:val="11B83D8F"/>
    <w:rsid w:val="11BA57FF"/>
    <w:rsid w:val="11C20AD8"/>
    <w:rsid w:val="11D055BF"/>
    <w:rsid w:val="11ED5E5B"/>
    <w:rsid w:val="11F53491"/>
    <w:rsid w:val="1202500A"/>
    <w:rsid w:val="122777BF"/>
    <w:rsid w:val="12505591"/>
    <w:rsid w:val="12541D09"/>
    <w:rsid w:val="125C359E"/>
    <w:rsid w:val="127777A6"/>
    <w:rsid w:val="12B44556"/>
    <w:rsid w:val="12EF37E0"/>
    <w:rsid w:val="12FD414F"/>
    <w:rsid w:val="13294F44"/>
    <w:rsid w:val="133B1120"/>
    <w:rsid w:val="133B4C77"/>
    <w:rsid w:val="13697EDD"/>
    <w:rsid w:val="136B1AB0"/>
    <w:rsid w:val="137D5290"/>
    <w:rsid w:val="1382735C"/>
    <w:rsid w:val="138C493E"/>
    <w:rsid w:val="13AA5959"/>
    <w:rsid w:val="13AD4714"/>
    <w:rsid w:val="13B63B73"/>
    <w:rsid w:val="13C133CE"/>
    <w:rsid w:val="13C407C9"/>
    <w:rsid w:val="13C54541"/>
    <w:rsid w:val="13D76425"/>
    <w:rsid w:val="13E50081"/>
    <w:rsid w:val="13F0731C"/>
    <w:rsid w:val="140432A5"/>
    <w:rsid w:val="14134EBE"/>
    <w:rsid w:val="14144342"/>
    <w:rsid w:val="141B7478"/>
    <w:rsid w:val="14223741"/>
    <w:rsid w:val="142D2812"/>
    <w:rsid w:val="142E211F"/>
    <w:rsid w:val="144E09DA"/>
    <w:rsid w:val="144E4FCB"/>
    <w:rsid w:val="145317D4"/>
    <w:rsid w:val="145C6C53"/>
    <w:rsid w:val="14634486"/>
    <w:rsid w:val="14661880"/>
    <w:rsid w:val="14691370"/>
    <w:rsid w:val="1472706A"/>
    <w:rsid w:val="147F5E8B"/>
    <w:rsid w:val="148D32B1"/>
    <w:rsid w:val="14967BD4"/>
    <w:rsid w:val="14980BAF"/>
    <w:rsid w:val="14A32AD4"/>
    <w:rsid w:val="14A34882"/>
    <w:rsid w:val="14C75E7F"/>
    <w:rsid w:val="14EC4006"/>
    <w:rsid w:val="14F96B98"/>
    <w:rsid w:val="14FA19D0"/>
    <w:rsid w:val="14FB0F94"/>
    <w:rsid w:val="15014331"/>
    <w:rsid w:val="1505056F"/>
    <w:rsid w:val="15190FE8"/>
    <w:rsid w:val="15304554"/>
    <w:rsid w:val="1546345F"/>
    <w:rsid w:val="15606603"/>
    <w:rsid w:val="156404B5"/>
    <w:rsid w:val="15732CEC"/>
    <w:rsid w:val="15783F61"/>
    <w:rsid w:val="15794BB8"/>
    <w:rsid w:val="158C1D3F"/>
    <w:rsid w:val="15B0279D"/>
    <w:rsid w:val="15C03212"/>
    <w:rsid w:val="15D12754"/>
    <w:rsid w:val="15E2587E"/>
    <w:rsid w:val="15E55DD0"/>
    <w:rsid w:val="15E72021"/>
    <w:rsid w:val="15EA6350"/>
    <w:rsid w:val="15F07E45"/>
    <w:rsid w:val="15F45A7F"/>
    <w:rsid w:val="15FB4FA5"/>
    <w:rsid w:val="162419F3"/>
    <w:rsid w:val="1627221C"/>
    <w:rsid w:val="162733B6"/>
    <w:rsid w:val="162D4D4B"/>
    <w:rsid w:val="1638724C"/>
    <w:rsid w:val="163F4A7E"/>
    <w:rsid w:val="16485467"/>
    <w:rsid w:val="16716B52"/>
    <w:rsid w:val="16734728"/>
    <w:rsid w:val="16907088"/>
    <w:rsid w:val="169B6BC5"/>
    <w:rsid w:val="16B01083"/>
    <w:rsid w:val="16C55E11"/>
    <w:rsid w:val="16E3365C"/>
    <w:rsid w:val="170B670F"/>
    <w:rsid w:val="17123F41"/>
    <w:rsid w:val="171338FD"/>
    <w:rsid w:val="17143815"/>
    <w:rsid w:val="172123D6"/>
    <w:rsid w:val="17235EFF"/>
    <w:rsid w:val="17267694"/>
    <w:rsid w:val="174C1201"/>
    <w:rsid w:val="17531C1E"/>
    <w:rsid w:val="176A2023"/>
    <w:rsid w:val="177B3871"/>
    <w:rsid w:val="178C60AE"/>
    <w:rsid w:val="17D15BAA"/>
    <w:rsid w:val="17D66D1D"/>
    <w:rsid w:val="17EA2E42"/>
    <w:rsid w:val="17F04282"/>
    <w:rsid w:val="18332EF5"/>
    <w:rsid w:val="18363C5F"/>
    <w:rsid w:val="183A374F"/>
    <w:rsid w:val="183A72D9"/>
    <w:rsid w:val="1841024D"/>
    <w:rsid w:val="1874780E"/>
    <w:rsid w:val="1889480B"/>
    <w:rsid w:val="189C75FA"/>
    <w:rsid w:val="18AC17BB"/>
    <w:rsid w:val="18AC5CCF"/>
    <w:rsid w:val="18B3705E"/>
    <w:rsid w:val="18B7243D"/>
    <w:rsid w:val="1908399E"/>
    <w:rsid w:val="19232435"/>
    <w:rsid w:val="192B4E46"/>
    <w:rsid w:val="19300B06"/>
    <w:rsid w:val="194F322A"/>
    <w:rsid w:val="195A5B9A"/>
    <w:rsid w:val="195E16BF"/>
    <w:rsid w:val="197E5EF2"/>
    <w:rsid w:val="198E0830"/>
    <w:rsid w:val="19C808E7"/>
    <w:rsid w:val="19C92FDD"/>
    <w:rsid w:val="19E33973"/>
    <w:rsid w:val="19E51499"/>
    <w:rsid w:val="19FE5F37"/>
    <w:rsid w:val="1A1014B0"/>
    <w:rsid w:val="1A136E15"/>
    <w:rsid w:val="1A18186E"/>
    <w:rsid w:val="1A255D39"/>
    <w:rsid w:val="1A3A1D6C"/>
    <w:rsid w:val="1A4659A4"/>
    <w:rsid w:val="1A605EA9"/>
    <w:rsid w:val="1A8011C2"/>
    <w:rsid w:val="1A864A2A"/>
    <w:rsid w:val="1A9C3DE6"/>
    <w:rsid w:val="1AB64BE3"/>
    <w:rsid w:val="1AC45610"/>
    <w:rsid w:val="1AC82D00"/>
    <w:rsid w:val="1ADE68D0"/>
    <w:rsid w:val="1AE9320B"/>
    <w:rsid w:val="1AF06347"/>
    <w:rsid w:val="1B0D2935"/>
    <w:rsid w:val="1B2F369E"/>
    <w:rsid w:val="1B414DF5"/>
    <w:rsid w:val="1B494B83"/>
    <w:rsid w:val="1B4F7305"/>
    <w:rsid w:val="1B636E45"/>
    <w:rsid w:val="1B706B39"/>
    <w:rsid w:val="1B717C60"/>
    <w:rsid w:val="1B776A68"/>
    <w:rsid w:val="1B7A3430"/>
    <w:rsid w:val="1B80591D"/>
    <w:rsid w:val="1BC33A5C"/>
    <w:rsid w:val="1BC82CEC"/>
    <w:rsid w:val="1BEC4D61"/>
    <w:rsid w:val="1C1357D3"/>
    <w:rsid w:val="1C142509"/>
    <w:rsid w:val="1C146521"/>
    <w:rsid w:val="1C161DDD"/>
    <w:rsid w:val="1C310ECD"/>
    <w:rsid w:val="1C362480"/>
    <w:rsid w:val="1C3E30E2"/>
    <w:rsid w:val="1C47643B"/>
    <w:rsid w:val="1C643C8D"/>
    <w:rsid w:val="1C6F7740"/>
    <w:rsid w:val="1C7B60E4"/>
    <w:rsid w:val="1C7C3F39"/>
    <w:rsid w:val="1C8F7B04"/>
    <w:rsid w:val="1CB24B01"/>
    <w:rsid w:val="1CB3762C"/>
    <w:rsid w:val="1CC7757C"/>
    <w:rsid w:val="1CD94D1C"/>
    <w:rsid w:val="1CE53D0D"/>
    <w:rsid w:val="1CEF045F"/>
    <w:rsid w:val="1CF55E97"/>
    <w:rsid w:val="1CF87735"/>
    <w:rsid w:val="1CFD3156"/>
    <w:rsid w:val="1D044418"/>
    <w:rsid w:val="1D3958CF"/>
    <w:rsid w:val="1D3A7D4E"/>
    <w:rsid w:val="1D5A3826"/>
    <w:rsid w:val="1D7414B2"/>
    <w:rsid w:val="1D74500E"/>
    <w:rsid w:val="1D9F2587"/>
    <w:rsid w:val="1DA34D96"/>
    <w:rsid w:val="1DAD2E22"/>
    <w:rsid w:val="1DB116A8"/>
    <w:rsid w:val="1DB46B7E"/>
    <w:rsid w:val="1DB96234"/>
    <w:rsid w:val="1DB96EC4"/>
    <w:rsid w:val="1DBC3D9C"/>
    <w:rsid w:val="1DC82397"/>
    <w:rsid w:val="1DC87107"/>
    <w:rsid w:val="1DC92B72"/>
    <w:rsid w:val="1DD878A7"/>
    <w:rsid w:val="1DE70158"/>
    <w:rsid w:val="1DE96D78"/>
    <w:rsid w:val="1E114F52"/>
    <w:rsid w:val="1E171E3D"/>
    <w:rsid w:val="1E1C064C"/>
    <w:rsid w:val="1E2F7187"/>
    <w:rsid w:val="1E2F7B1E"/>
    <w:rsid w:val="1E522E75"/>
    <w:rsid w:val="1E5835A5"/>
    <w:rsid w:val="1E5B309D"/>
    <w:rsid w:val="1E65704C"/>
    <w:rsid w:val="1E6A00BB"/>
    <w:rsid w:val="1E722039"/>
    <w:rsid w:val="1E892D3B"/>
    <w:rsid w:val="1E9F1B15"/>
    <w:rsid w:val="1EB72B0C"/>
    <w:rsid w:val="1EC369D9"/>
    <w:rsid w:val="1ECA6EAF"/>
    <w:rsid w:val="1EDD3086"/>
    <w:rsid w:val="1EE40312"/>
    <w:rsid w:val="1EE560EB"/>
    <w:rsid w:val="1EEB7551"/>
    <w:rsid w:val="1EF83A1C"/>
    <w:rsid w:val="1EF83B5B"/>
    <w:rsid w:val="1EFC4A65"/>
    <w:rsid w:val="1F041EC6"/>
    <w:rsid w:val="1F0C75A9"/>
    <w:rsid w:val="1F0E3240"/>
    <w:rsid w:val="1F242A63"/>
    <w:rsid w:val="1F372797"/>
    <w:rsid w:val="1F4D7B8E"/>
    <w:rsid w:val="1F4E7243"/>
    <w:rsid w:val="1F5D7D23"/>
    <w:rsid w:val="1F6966C8"/>
    <w:rsid w:val="1F6F0182"/>
    <w:rsid w:val="1F76062C"/>
    <w:rsid w:val="1F845AC6"/>
    <w:rsid w:val="1F974FE3"/>
    <w:rsid w:val="1FE31210"/>
    <w:rsid w:val="200D2500"/>
    <w:rsid w:val="20361E8A"/>
    <w:rsid w:val="2040567B"/>
    <w:rsid w:val="204F2E6C"/>
    <w:rsid w:val="205E51E7"/>
    <w:rsid w:val="206823E9"/>
    <w:rsid w:val="20784E15"/>
    <w:rsid w:val="207F0E03"/>
    <w:rsid w:val="2081333F"/>
    <w:rsid w:val="20831A0C"/>
    <w:rsid w:val="208F37FB"/>
    <w:rsid w:val="20A00746"/>
    <w:rsid w:val="20C53EC7"/>
    <w:rsid w:val="20D14525"/>
    <w:rsid w:val="20D83B05"/>
    <w:rsid w:val="20E82FEF"/>
    <w:rsid w:val="20FE475E"/>
    <w:rsid w:val="2125431C"/>
    <w:rsid w:val="21284C86"/>
    <w:rsid w:val="21495609"/>
    <w:rsid w:val="214A7798"/>
    <w:rsid w:val="21720FE6"/>
    <w:rsid w:val="218A38D3"/>
    <w:rsid w:val="21B06830"/>
    <w:rsid w:val="21D106FB"/>
    <w:rsid w:val="21E07116"/>
    <w:rsid w:val="21EE1107"/>
    <w:rsid w:val="21F726B1"/>
    <w:rsid w:val="21F81C41"/>
    <w:rsid w:val="21FD5B01"/>
    <w:rsid w:val="21FF722F"/>
    <w:rsid w:val="22274D44"/>
    <w:rsid w:val="22280ABD"/>
    <w:rsid w:val="22280E3A"/>
    <w:rsid w:val="223B434C"/>
    <w:rsid w:val="224054D3"/>
    <w:rsid w:val="224156DA"/>
    <w:rsid w:val="225750AB"/>
    <w:rsid w:val="22747BFF"/>
    <w:rsid w:val="227E692E"/>
    <w:rsid w:val="228E19BD"/>
    <w:rsid w:val="229E0D7F"/>
    <w:rsid w:val="229E71D8"/>
    <w:rsid w:val="22B1460E"/>
    <w:rsid w:val="22C93762"/>
    <w:rsid w:val="22E54C6A"/>
    <w:rsid w:val="22F079A8"/>
    <w:rsid w:val="22FD3CF7"/>
    <w:rsid w:val="231D1CA3"/>
    <w:rsid w:val="234057AC"/>
    <w:rsid w:val="23474F72"/>
    <w:rsid w:val="23490CEA"/>
    <w:rsid w:val="234E00AF"/>
    <w:rsid w:val="23576666"/>
    <w:rsid w:val="235C0A1E"/>
    <w:rsid w:val="23971A56"/>
    <w:rsid w:val="23A3664D"/>
    <w:rsid w:val="23B202FB"/>
    <w:rsid w:val="23C91E2B"/>
    <w:rsid w:val="23CE7442"/>
    <w:rsid w:val="23D66B29"/>
    <w:rsid w:val="23FD618D"/>
    <w:rsid w:val="241D19BD"/>
    <w:rsid w:val="2481624A"/>
    <w:rsid w:val="24926B3B"/>
    <w:rsid w:val="24A75516"/>
    <w:rsid w:val="24D04C47"/>
    <w:rsid w:val="24D91E5B"/>
    <w:rsid w:val="24D93DE2"/>
    <w:rsid w:val="24D942F0"/>
    <w:rsid w:val="24E54593"/>
    <w:rsid w:val="24E72338"/>
    <w:rsid w:val="24EE26FA"/>
    <w:rsid w:val="24F26E40"/>
    <w:rsid w:val="251235CB"/>
    <w:rsid w:val="25357373"/>
    <w:rsid w:val="253A157D"/>
    <w:rsid w:val="25566D99"/>
    <w:rsid w:val="25822292"/>
    <w:rsid w:val="25BE697B"/>
    <w:rsid w:val="25D0124F"/>
    <w:rsid w:val="25D42A8C"/>
    <w:rsid w:val="25EC2454"/>
    <w:rsid w:val="25F5576B"/>
    <w:rsid w:val="260F3E45"/>
    <w:rsid w:val="26192BF6"/>
    <w:rsid w:val="26217CFD"/>
    <w:rsid w:val="264A7253"/>
    <w:rsid w:val="264F7989"/>
    <w:rsid w:val="26577E16"/>
    <w:rsid w:val="26720558"/>
    <w:rsid w:val="268A3AF4"/>
    <w:rsid w:val="26922766"/>
    <w:rsid w:val="26977FBF"/>
    <w:rsid w:val="26BB386E"/>
    <w:rsid w:val="26D11723"/>
    <w:rsid w:val="26D43C11"/>
    <w:rsid w:val="270976ED"/>
    <w:rsid w:val="270B5F28"/>
    <w:rsid w:val="272A0E33"/>
    <w:rsid w:val="27400656"/>
    <w:rsid w:val="274B012A"/>
    <w:rsid w:val="274D1554"/>
    <w:rsid w:val="2762237B"/>
    <w:rsid w:val="27666785"/>
    <w:rsid w:val="27775733"/>
    <w:rsid w:val="277D5407"/>
    <w:rsid w:val="277F6430"/>
    <w:rsid w:val="278C1FFF"/>
    <w:rsid w:val="278C389C"/>
    <w:rsid w:val="27A6495D"/>
    <w:rsid w:val="27BA089A"/>
    <w:rsid w:val="27BC1756"/>
    <w:rsid w:val="27D74B17"/>
    <w:rsid w:val="27F42C7E"/>
    <w:rsid w:val="27FF7BCA"/>
    <w:rsid w:val="2808663E"/>
    <w:rsid w:val="28094EEC"/>
    <w:rsid w:val="28096C9A"/>
    <w:rsid w:val="280B47C0"/>
    <w:rsid w:val="28193188"/>
    <w:rsid w:val="282C4737"/>
    <w:rsid w:val="284517CF"/>
    <w:rsid w:val="284657F9"/>
    <w:rsid w:val="28836BEF"/>
    <w:rsid w:val="288D3427"/>
    <w:rsid w:val="28A80261"/>
    <w:rsid w:val="28B409B4"/>
    <w:rsid w:val="28CE117E"/>
    <w:rsid w:val="28D01566"/>
    <w:rsid w:val="28D728F5"/>
    <w:rsid w:val="28E514B5"/>
    <w:rsid w:val="290D4B09"/>
    <w:rsid w:val="291D0C4F"/>
    <w:rsid w:val="29257B04"/>
    <w:rsid w:val="29361D11"/>
    <w:rsid w:val="293D1DB5"/>
    <w:rsid w:val="2952510D"/>
    <w:rsid w:val="296F5223"/>
    <w:rsid w:val="298A0B46"/>
    <w:rsid w:val="298F0FFB"/>
    <w:rsid w:val="29A44ECD"/>
    <w:rsid w:val="29A65C54"/>
    <w:rsid w:val="29AF6870"/>
    <w:rsid w:val="29BD1AEA"/>
    <w:rsid w:val="29C21829"/>
    <w:rsid w:val="29C574BD"/>
    <w:rsid w:val="29D07A70"/>
    <w:rsid w:val="29D3130E"/>
    <w:rsid w:val="29E74DB9"/>
    <w:rsid w:val="29EC6282"/>
    <w:rsid w:val="29F016D6"/>
    <w:rsid w:val="29FC6AB7"/>
    <w:rsid w:val="2A3D0E7D"/>
    <w:rsid w:val="2A463851"/>
    <w:rsid w:val="2A6308E4"/>
    <w:rsid w:val="2A6F77B4"/>
    <w:rsid w:val="2A796FA6"/>
    <w:rsid w:val="2A824CF7"/>
    <w:rsid w:val="2A855E4B"/>
    <w:rsid w:val="2A9C7CB2"/>
    <w:rsid w:val="2AC249CA"/>
    <w:rsid w:val="2AC3330D"/>
    <w:rsid w:val="2AD410C5"/>
    <w:rsid w:val="2ADE440E"/>
    <w:rsid w:val="2AE868ED"/>
    <w:rsid w:val="2AFD6C12"/>
    <w:rsid w:val="2B033E75"/>
    <w:rsid w:val="2B0E3986"/>
    <w:rsid w:val="2B184C54"/>
    <w:rsid w:val="2B2362C5"/>
    <w:rsid w:val="2B332476"/>
    <w:rsid w:val="2B3A132C"/>
    <w:rsid w:val="2B6E6292"/>
    <w:rsid w:val="2B7E174D"/>
    <w:rsid w:val="2B8E7BE2"/>
    <w:rsid w:val="2B8F03F7"/>
    <w:rsid w:val="2B9003E8"/>
    <w:rsid w:val="2B9B14A2"/>
    <w:rsid w:val="2BC27DAE"/>
    <w:rsid w:val="2BC917FD"/>
    <w:rsid w:val="2BD77ACC"/>
    <w:rsid w:val="2BDE567A"/>
    <w:rsid w:val="2C0C7456"/>
    <w:rsid w:val="2C356ED0"/>
    <w:rsid w:val="2C602C01"/>
    <w:rsid w:val="2C762C2C"/>
    <w:rsid w:val="2C8C78F6"/>
    <w:rsid w:val="2C8D2853"/>
    <w:rsid w:val="2CA22F62"/>
    <w:rsid w:val="2CA51BEC"/>
    <w:rsid w:val="2CB5119F"/>
    <w:rsid w:val="2CBA3FF6"/>
    <w:rsid w:val="2CD13FAC"/>
    <w:rsid w:val="2CDB2B1B"/>
    <w:rsid w:val="2CDD4252"/>
    <w:rsid w:val="2CEC3C4D"/>
    <w:rsid w:val="2CFD3C8F"/>
    <w:rsid w:val="2D087520"/>
    <w:rsid w:val="2D2325AC"/>
    <w:rsid w:val="2D2D342B"/>
    <w:rsid w:val="2D317860"/>
    <w:rsid w:val="2D5213B7"/>
    <w:rsid w:val="2D5E33D5"/>
    <w:rsid w:val="2D8F19F0"/>
    <w:rsid w:val="2D9E7E85"/>
    <w:rsid w:val="2DA51213"/>
    <w:rsid w:val="2DAA20D4"/>
    <w:rsid w:val="2DBB5BA6"/>
    <w:rsid w:val="2DC81197"/>
    <w:rsid w:val="2DCB1E21"/>
    <w:rsid w:val="2DD0534E"/>
    <w:rsid w:val="2DED2FCA"/>
    <w:rsid w:val="2E0E1865"/>
    <w:rsid w:val="2E0F0524"/>
    <w:rsid w:val="2E1D6FFC"/>
    <w:rsid w:val="2E1F0FC6"/>
    <w:rsid w:val="2E224612"/>
    <w:rsid w:val="2E36630F"/>
    <w:rsid w:val="2E513149"/>
    <w:rsid w:val="2E9F5C62"/>
    <w:rsid w:val="2EA56C77"/>
    <w:rsid w:val="2EB5368F"/>
    <w:rsid w:val="2EC90F31"/>
    <w:rsid w:val="2EC97183"/>
    <w:rsid w:val="2ECD6C74"/>
    <w:rsid w:val="2EED0B1B"/>
    <w:rsid w:val="2F041F69"/>
    <w:rsid w:val="2F0F463D"/>
    <w:rsid w:val="2F1228D8"/>
    <w:rsid w:val="2F2B2156"/>
    <w:rsid w:val="2F4B62EB"/>
    <w:rsid w:val="2F5702EB"/>
    <w:rsid w:val="2F6A2877"/>
    <w:rsid w:val="2F7112CC"/>
    <w:rsid w:val="2F8A35B4"/>
    <w:rsid w:val="2F961B57"/>
    <w:rsid w:val="2F9D3F01"/>
    <w:rsid w:val="2FA774C5"/>
    <w:rsid w:val="2FA86D99"/>
    <w:rsid w:val="2FB120F1"/>
    <w:rsid w:val="2FC751AB"/>
    <w:rsid w:val="2FC75CA4"/>
    <w:rsid w:val="2FF730A2"/>
    <w:rsid w:val="2FF82A40"/>
    <w:rsid w:val="2FFB44D6"/>
    <w:rsid w:val="30102265"/>
    <w:rsid w:val="301674AE"/>
    <w:rsid w:val="30194733"/>
    <w:rsid w:val="305801E3"/>
    <w:rsid w:val="308E5F8F"/>
    <w:rsid w:val="30A9726C"/>
    <w:rsid w:val="30B96C8A"/>
    <w:rsid w:val="30C377E2"/>
    <w:rsid w:val="310564A3"/>
    <w:rsid w:val="31130CB2"/>
    <w:rsid w:val="31333E95"/>
    <w:rsid w:val="315904A4"/>
    <w:rsid w:val="3166515D"/>
    <w:rsid w:val="316C47F3"/>
    <w:rsid w:val="31941D94"/>
    <w:rsid w:val="31AB377A"/>
    <w:rsid w:val="31AD4B3A"/>
    <w:rsid w:val="31CF2D03"/>
    <w:rsid w:val="32081D71"/>
    <w:rsid w:val="320E382B"/>
    <w:rsid w:val="324E1E79"/>
    <w:rsid w:val="32582CF8"/>
    <w:rsid w:val="326C2300"/>
    <w:rsid w:val="32790DF5"/>
    <w:rsid w:val="328B6C96"/>
    <w:rsid w:val="32AC3044"/>
    <w:rsid w:val="32B00D75"/>
    <w:rsid w:val="32B53CA7"/>
    <w:rsid w:val="32BA12BD"/>
    <w:rsid w:val="32D44667"/>
    <w:rsid w:val="32D7792E"/>
    <w:rsid w:val="32DA195F"/>
    <w:rsid w:val="32DD5447"/>
    <w:rsid w:val="32DF2AD1"/>
    <w:rsid w:val="32E91432"/>
    <w:rsid w:val="32F32A21"/>
    <w:rsid w:val="32FF4F22"/>
    <w:rsid w:val="330576B5"/>
    <w:rsid w:val="33377E06"/>
    <w:rsid w:val="3341343B"/>
    <w:rsid w:val="33613960"/>
    <w:rsid w:val="336B6393"/>
    <w:rsid w:val="336D45D4"/>
    <w:rsid w:val="336F56CA"/>
    <w:rsid w:val="338B0EAB"/>
    <w:rsid w:val="33934658"/>
    <w:rsid w:val="33AD45E5"/>
    <w:rsid w:val="33B2468A"/>
    <w:rsid w:val="33C71F73"/>
    <w:rsid w:val="33D613B9"/>
    <w:rsid w:val="33DB7AD7"/>
    <w:rsid w:val="33EB32D3"/>
    <w:rsid w:val="340772C6"/>
    <w:rsid w:val="341906A4"/>
    <w:rsid w:val="342A08B9"/>
    <w:rsid w:val="34337579"/>
    <w:rsid w:val="343468C1"/>
    <w:rsid w:val="344674E4"/>
    <w:rsid w:val="345A7E83"/>
    <w:rsid w:val="34675474"/>
    <w:rsid w:val="34825E0A"/>
    <w:rsid w:val="34934327"/>
    <w:rsid w:val="3495334C"/>
    <w:rsid w:val="34A546D3"/>
    <w:rsid w:val="34AB35B3"/>
    <w:rsid w:val="34AF16B6"/>
    <w:rsid w:val="34CC47FC"/>
    <w:rsid w:val="34CC4FFC"/>
    <w:rsid w:val="34D55A66"/>
    <w:rsid w:val="34E16FD5"/>
    <w:rsid w:val="34EA0642"/>
    <w:rsid w:val="34EE34A0"/>
    <w:rsid w:val="35054F3A"/>
    <w:rsid w:val="35074561"/>
    <w:rsid w:val="35187F1E"/>
    <w:rsid w:val="354D466A"/>
    <w:rsid w:val="35571045"/>
    <w:rsid w:val="35596F8F"/>
    <w:rsid w:val="355C177E"/>
    <w:rsid w:val="356312B0"/>
    <w:rsid w:val="35675000"/>
    <w:rsid w:val="3575600D"/>
    <w:rsid w:val="35812566"/>
    <w:rsid w:val="35904CE0"/>
    <w:rsid w:val="35AE5CA9"/>
    <w:rsid w:val="35C3492C"/>
    <w:rsid w:val="35D244E9"/>
    <w:rsid w:val="35DC779C"/>
    <w:rsid w:val="36017203"/>
    <w:rsid w:val="36057A3C"/>
    <w:rsid w:val="36062A6B"/>
    <w:rsid w:val="360D204B"/>
    <w:rsid w:val="36356EAC"/>
    <w:rsid w:val="3684257F"/>
    <w:rsid w:val="368518AA"/>
    <w:rsid w:val="368E0145"/>
    <w:rsid w:val="36B10C29"/>
    <w:rsid w:val="36B842A5"/>
    <w:rsid w:val="36D94127"/>
    <w:rsid w:val="36DE0160"/>
    <w:rsid w:val="36E20DE2"/>
    <w:rsid w:val="36FB72BC"/>
    <w:rsid w:val="370D39B2"/>
    <w:rsid w:val="371A67CE"/>
    <w:rsid w:val="372200CE"/>
    <w:rsid w:val="37241251"/>
    <w:rsid w:val="373804A9"/>
    <w:rsid w:val="373D070E"/>
    <w:rsid w:val="375D31F2"/>
    <w:rsid w:val="37625E8E"/>
    <w:rsid w:val="376E6B1A"/>
    <w:rsid w:val="37991DE9"/>
    <w:rsid w:val="379954F3"/>
    <w:rsid w:val="379C1149"/>
    <w:rsid w:val="37A429AC"/>
    <w:rsid w:val="37AC319E"/>
    <w:rsid w:val="37B00EE0"/>
    <w:rsid w:val="37C679BB"/>
    <w:rsid w:val="37C83786"/>
    <w:rsid w:val="37C93D50"/>
    <w:rsid w:val="37EB3CC7"/>
    <w:rsid w:val="37EF17A7"/>
    <w:rsid w:val="38146A41"/>
    <w:rsid w:val="38213B8C"/>
    <w:rsid w:val="384C2AB6"/>
    <w:rsid w:val="3862042D"/>
    <w:rsid w:val="38726196"/>
    <w:rsid w:val="38A9475B"/>
    <w:rsid w:val="38BB5D8F"/>
    <w:rsid w:val="38BB6474"/>
    <w:rsid w:val="38D47996"/>
    <w:rsid w:val="38ED3A34"/>
    <w:rsid w:val="38F4304F"/>
    <w:rsid w:val="38F53F2D"/>
    <w:rsid w:val="38FE4C6D"/>
    <w:rsid w:val="39237490"/>
    <w:rsid w:val="39324A4A"/>
    <w:rsid w:val="39333B77"/>
    <w:rsid w:val="393530EC"/>
    <w:rsid w:val="393C6ED0"/>
    <w:rsid w:val="393D79E7"/>
    <w:rsid w:val="39423DBA"/>
    <w:rsid w:val="395D6C15"/>
    <w:rsid w:val="39616936"/>
    <w:rsid w:val="3962445C"/>
    <w:rsid w:val="39673821"/>
    <w:rsid w:val="396B1563"/>
    <w:rsid w:val="399B14DC"/>
    <w:rsid w:val="39AA38FE"/>
    <w:rsid w:val="39B1494A"/>
    <w:rsid w:val="39B747A8"/>
    <w:rsid w:val="39C62C3D"/>
    <w:rsid w:val="39F172F1"/>
    <w:rsid w:val="3A06128C"/>
    <w:rsid w:val="3A13378B"/>
    <w:rsid w:val="3A2B6F44"/>
    <w:rsid w:val="3A2E433E"/>
    <w:rsid w:val="3A35391F"/>
    <w:rsid w:val="3A366135"/>
    <w:rsid w:val="3A5A5133"/>
    <w:rsid w:val="3A5A625F"/>
    <w:rsid w:val="3A6C6274"/>
    <w:rsid w:val="3A7A72A7"/>
    <w:rsid w:val="3A8838A6"/>
    <w:rsid w:val="3A8B353F"/>
    <w:rsid w:val="3A970136"/>
    <w:rsid w:val="3A9B5C99"/>
    <w:rsid w:val="3A9C74FA"/>
    <w:rsid w:val="3ACA050B"/>
    <w:rsid w:val="3AD924FC"/>
    <w:rsid w:val="3AEA2E8C"/>
    <w:rsid w:val="3B00217F"/>
    <w:rsid w:val="3B1D688D"/>
    <w:rsid w:val="3B201ED9"/>
    <w:rsid w:val="3B223CA0"/>
    <w:rsid w:val="3B227CE0"/>
    <w:rsid w:val="3B5F50F7"/>
    <w:rsid w:val="3B6444BC"/>
    <w:rsid w:val="3B6A197D"/>
    <w:rsid w:val="3B824942"/>
    <w:rsid w:val="3B86548E"/>
    <w:rsid w:val="3B920944"/>
    <w:rsid w:val="3B973689"/>
    <w:rsid w:val="3B9C55DA"/>
    <w:rsid w:val="3BD74C8E"/>
    <w:rsid w:val="3BDF30E8"/>
    <w:rsid w:val="3BE15B0C"/>
    <w:rsid w:val="3BE70C49"/>
    <w:rsid w:val="3BEE647B"/>
    <w:rsid w:val="3BF27D19"/>
    <w:rsid w:val="3C055C6C"/>
    <w:rsid w:val="3C224A54"/>
    <w:rsid w:val="3C472351"/>
    <w:rsid w:val="3C502C92"/>
    <w:rsid w:val="3C567360"/>
    <w:rsid w:val="3C5769CF"/>
    <w:rsid w:val="3C6A0720"/>
    <w:rsid w:val="3C7A386B"/>
    <w:rsid w:val="3C860462"/>
    <w:rsid w:val="3C97441D"/>
    <w:rsid w:val="3CAF4835"/>
    <w:rsid w:val="3CB46D7D"/>
    <w:rsid w:val="3CB609AC"/>
    <w:rsid w:val="3D0461E3"/>
    <w:rsid w:val="3D115FAC"/>
    <w:rsid w:val="3D32148F"/>
    <w:rsid w:val="3D3C6AA2"/>
    <w:rsid w:val="3D6562C9"/>
    <w:rsid w:val="3D7E3C72"/>
    <w:rsid w:val="3D880301"/>
    <w:rsid w:val="3D9A41C5"/>
    <w:rsid w:val="3DAB6A9A"/>
    <w:rsid w:val="3DC6585A"/>
    <w:rsid w:val="3DC73FA1"/>
    <w:rsid w:val="3DD0408A"/>
    <w:rsid w:val="3DE07CCC"/>
    <w:rsid w:val="3DEB2AA0"/>
    <w:rsid w:val="3DF47029"/>
    <w:rsid w:val="3DF673CE"/>
    <w:rsid w:val="3E01429C"/>
    <w:rsid w:val="3E1321C9"/>
    <w:rsid w:val="3E5019F8"/>
    <w:rsid w:val="3E52449B"/>
    <w:rsid w:val="3E5D7968"/>
    <w:rsid w:val="3E6447D3"/>
    <w:rsid w:val="3E6529C8"/>
    <w:rsid w:val="3E704F26"/>
    <w:rsid w:val="3E7A3FF6"/>
    <w:rsid w:val="3EA51073"/>
    <w:rsid w:val="3EA82911"/>
    <w:rsid w:val="3EAB2402"/>
    <w:rsid w:val="3EB7368C"/>
    <w:rsid w:val="3EBE3EE3"/>
    <w:rsid w:val="3EBF4EFF"/>
    <w:rsid w:val="3ECB05AF"/>
    <w:rsid w:val="3ED15FEF"/>
    <w:rsid w:val="3EEF5BD7"/>
    <w:rsid w:val="3EFB0C93"/>
    <w:rsid w:val="3F102BA7"/>
    <w:rsid w:val="3F15281F"/>
    <w:rsid w:val="3F2548AA"/>
    <w:rsid w:val="3F3B5533"/>
    <w:rsid w:val="3F5672FF"/>
    <w:rsid w:val="3F9609BC"/>
    <w:rsid w:val="3F9B2476"/>
    <w:rsid w:val="3F9F1F66"/>
    <w:rsid w:val="3FA46857"/>
    <w:rsid w:val="3FA66283"/>
    <w:rsid w:val="3FAE1861"/>
    <w:rsid w:val="3FC00E9D"/>
    <w:rsid w:val="3FD85478"/>
    <w:rsid w:val="3FE727C0"/>
    <w:rsid w:val="3FE82A49"/>
    <w:rsid w:val="3FF477B5"/>
    <w:rsid w:val="3FF85001"/>
    <w:rsid w:val="40381A73"/>
    <w:rsid w:val="40463F21"/>
    <w:rsid w:val="40556AC9"/>
    <w:rsid w:val="4069269E"/>
    <w:rsid w:val="406960D0"/>
    <w:rsid w:val="4081166C"/>
    <w:rsid w:val="40833636"/>
    <w:rsid w:val="409A6144"/>
    <w:rsid w:val="409C0254"/>
    <w:rsid w:val="40A811A3"/>
    <w:rsid w:val="40B61109"/>
    <w:rsid w:val="40C63523"/>
    <w:rsid w:val="40EA7211"/>
    <w:rsid w:val="40EB11DB"/>
    <w:rsid w:val="41080E82"/>
    <w:rsid w:val="412D43F6"/>
    <w:rsid w:val="4148607D"/>
    <w:rsid w:val="414E443A"/>
    <w:rsid w:val="415B010F"/>
    <w:rsid w:val="41687A48"/>
    <w:rsid w:val="417F1268"/>
    <w:rsid w:val="418331C2"/>
    <w:rsid w:val="41901C6D"/>
    <w:rsid w:val="41984EBF"/>
    <w:rsid w:val="41B17D2F"/>
    <w:rsid w:val="41BD66D4"/>
    <w:rsid w:val="41E73751"/>
    <w:rsid w:val="41F20426"/>
    <w:rsid w:val="420F30F2"/>
    <w:rsid w:val="420F3BE5"/>
    <w:rsid w:val="42147813"/>
    <w:rsid w:val="421D37F9"/>
    <w:rsid w:val="422F1498"/>
    <w:rsid w:val="424303C1"/>
    <w:rsid w:val="42507F9E"/>
    <w:rsid w:val="4255690C"/>
    <w:rsid w:val="42A930FC"/>
    <w:rsid w:val="42B41C5B"/>
    <w:rsid w:val="42B51AA1"/>
    <w:rsid w:val="42BA70B7"/>
    <w:rsid w:val="42BF05F1"/>
    <w:rsid w:val="42C121F4"/>
    <w:rsid w:val="42E3216A"/>
    <w:rsid w:val="42F02E45"/>
    <w:rsid w:val="42F567AE"/>
    <w:rsid w:val="42F75C15"/>
    <w:rsid w:val="43095949"/>
    <w:rsid w:val="430B52D2"/>
    <w:rsid w:val="430D2F90"/>
    <w:rsid w:val="432D532A"/>
    <w:rsid w:val="432D727E"/>
    <w:rsid w:val="43424B60"/>
    <w:rsid w:val="4349420A"/>
    <w:rsid w:val="434B5F61"/>
    <w:rsid w:val="43650DD1"/>
    <w:rsid w:val="43721740"/>
    <w:rsid w:val="43792ACE"/>
    <w:rsid w:val="438B205A"/>
    <w:rsid w:val="43930001"/>
    <w:rsid w:val="439B2A45"/>
    <w:rsid w:val="43A22D3A"/>
    <w:rsid w:val="43E41CCC"/>
    <w:rsid w:val="43E47B57"/>
    <w:rsid w:val="43EE7018"/>
    <w:rsid w:val="43FB4652"/>
    <w:rsid w:val="440A1978"/>
    <w:rsid w:val="440F0131"/>
    <w:rsid w:val="44113861"/>
    <w:rsid w:val="441F0ACE"/>
    <w:rsid w:val="44223166"/>
    <w:rsid w:val="44246EDE"/>
    <w:rsid w:val="443D5A77"/>
    <w:rsid w:val="444D2373"/>
    <w:rsid w:val="44520C3F"/>
    <w:rsid w:val="446217B4"/>
    <w:rsid w:val="4467031D"/>
    <w:rsid w:val="446C43E1"/>
    <w:rsid w:val="448E4357"/>
    <w:rsid w:val="44A65B45"/>
    <w:rsid w:val="44C07944"/>
    <w:rsid w:val="44C25C2C"/>
    <w:rsid w:val="44C30161"/>
    <w:rsid w:val="44C63EC1"/>
    <w:rsid w:val="44D426B2"/>
    <w:rsid w:val="44D77AAC"/>
    <w:rsid w:val="44E73A68"/>
    <w:rsid w:val="44E80FE1"/>
    <w:rsid w:val="44FF5255"/>
    <w:rsid w:val="45371EC4"/>
    <w:rsid w:val="453E25CC"/>
    <w:rsid w:val="456405E0"/>
    <w:rsid w:val="45665F5F"/>
    <w:rsid w:val="456F4189"/>
    <w:rsid w:val="45755214"/>
    <w:rsid w:val="4582210E"/>
    <w:rsid w:val="45876384"/>
    <w:rsid w:val="45961716"/>
    <w:rsid w:val="45992FB4"/>
    <w:rsid w:val="45BF12A0"/>
    <w:rsid w:val="45CF6D3E"/>
    <w:rsid w:val="45D16BF2"/>
    <w:rsid w:val="45F34DBA"/>
    <w:rsid w:val="45FB6CCD"/>
    <w:rsid w:val="46032B23"/>
    <w:rsid w:val="461D3BE5"/>
    <w:rsid w:val="4629258A"/>
    <w:rsid w:val="462D194E"/>
    <w:rsid w:val="46611345"/>
    <w:rsid w:val="46715E9D"/>
    <w:rsid w:val="46916381"/>
    <w:rsid w:val="469320F9"/>
    <w:rsid w:val="469B0FAE"/>
    <w:rsid w:val="46AB7443"/>
    <w:rsid w:val="46DF70EC"/>
    <w:rsid w:val="46F51EBF"/>
    <w:rsid w:val="46F732EC"/>
    <w:rsid w:val="46FB74A8"/>
    <w:rsid w:val="46FF778E"/>
    <w:rsid w:val="47095F17"/>
    <w:rsid w:val="47240FA3"/>
    <w:rsid w:val="47425AE8"/>
    <w:rsid w:val="474829B9"/>
    <w:rsid w:val="47482EE3"/>
    <w:rsid w:val="47486A40"/>
    <w:rsid w:val="475D3DA8"/>
    <w:rsid w:val="476615BC"/>
    <w:rsid w:val="478F7F92"/>
    <w:rsid w:val="479C322F"/>
    <w:rsid w:val="47AF1922"/>
    <w:rsid w:val="47BB279E"/>
    <w:rsid w:val="47BC76C3"/>
    <w:rsid w:val="47C7271A"/>
    <w:rsid w:val="47D42B47"/>
    <w:rsid w:val="47E2014E"/>
    <w:rsid w:val="47FF173E"/>
    <w:rsid w:val="480343A0"/>
    <w:rsid w:val="4819325C"/>
    <w:rsid w:val="483D648F"/>
    <w:rsid w:val="48451656"/>
    <w:rsid w:val="48474DA0"/>
    <w:rsid w:val="485458B8"/>
    <w:rsid w:val="487F3C5E"/>
    <w:rsid w:val="489218D0"/>
    <w:rsid w:val="489363E0"/>
    <w:rsid w:val="48AE66D4"/>
    <w:rsid w:val="48B9450D"/>
    <w:rsid w:val="48D96D35"/>
    <w:rsid w:val="48ED7C74"/>
    <w:rsid w:val="48FA5C96"/>
    <w:rsid w:val="49080B7C"/>
    <w:rsid w:val="490C7F41"/>
    <w:rsid w:val="49110E87"/>
    <w:rsid w:val="49176141"/>
    <w:rsid w:val="49300D43"/>
    <w:rsid w:val="49494CF1"/>
    <w:rsid w:val="49543A4B"/>
    <w:rsid w:val="496D0195"/>
    <w:rsid w:val="497004D0"/>
    <w:rsid w:val="497370EE"/>
    <w:rsid w:val="49741CC9"/>
    <w:rsid w:val="49830B9C"/>
    <w:rsid w:val="499D1F49"/>
    <w:rsid w:val="49AF0FF8"/>
    <w:rsid w:val="49B54134"/>
    <w:rsid w:val="49D40A5E"/>
    <w:rsid w:val="49E03F60"/>
    <w:rsid w:val="49E47D09"/>
    <w:rsid w:val="4A070E34"/>
    <w:rsid w:val="4A286FFC"/>
    <w:rsid w:val="4A38666D"/>
    <w:rsid w:val="4A3B0ADD"/>
    <w:rsid w:val="4A471230"/>
    <w:rsid w:val="4A547DF1"/>
    <w:rsid w:val="4A6022F2"/>
    <w:rsid w:val="4A642911"/>
    <w:rsid w:val="4A7721A2"/>
    <w:rsid w:val="4A842484"/>
    <w:rsid w:val="4A8F4985"/>
    <w:rsid w:val="4A91694F"/>
    <w:rsid w:val="4AA5206A"/>
    <w:rsid w:val="4AA7028D"/>
    <w:rsid w:val="4AB83EDC"/>
    <w:rsid w:val="4ABE1190"/>
    <w:rsid w:val="4AC50A1B"/>
    <w:rsid w:val="4AE713E9"/>
    <w:rsid w:val="4AEB42B2"/>
    <w:rsid w:val="4AEC627C"/>
    <w:rsid w:val="4AF33166"/>
    <w:rsid w:val="4AFE3E0E"/>
    <w:rsid w:val="4B004E37"/>
    <w:rsid w:val="4B0D3AC2"/>
    <w:rsid w:val="4B2D633B"/>
    <w:rsid w:val="4B306168"/>
    <w:rsid w:val="4B4713D1"/>
    <w:rsid w:val="4B4C32D4"/>
    <w:rsid w:val="4B504451"/>
    <w:rsid w:val="4B6A5CD6"/>
    <w:rsid w:val="4B944949"/>
    <w:rsid w:val="4B9E20E7"/>
    <w:rsid w:val="4BA45DF3"/>
    <w:rsid w:val="4BB44F0C"/>
    <w:rsid w:val="4BB83532"/>
    <w:rsid w:val="4BBA0128"/>
    <w:rsid w:val="4BC11171"/>
    <w:rsid w:val="4BCD1C09"/>
    <w:rsid w:val="4BD44D46"/>
    <w:rsid w:val="4BEB6533"/>
    <w:rsid w:val="4BED78D0"/>
    <w:rsid w:val="4BFA2D30"/>
    <w:rsid w:val="4BFF5B3B"/>
    <w:rsid w:val="4C062950"/>
    <w:rsid w:val="4C066EC9"/>
    <w:rsid w:val="4C105765"/>
    <w:rsid w:val="4C1A2B56"/>
    <w:rsid w:val="4C1E4213"/>
    <w:rsid w:val="4C280ED6"/>
    <w:rsid w:val="4C3B3017"/>
    <w:rsid w:val="4C3F2E5C"/>
    <w:rsid w:val="4C454224"/>
    <w:rsid w:val="4C813E8A"/>
    <w:rsid w:val="4C86526A"/>
    <w:rsid w:val="4C876F35"/>
    <w:rsid w:val="4C977DD2"/>
    <w:rsid w:val="4CE23289"/>
    <w:rsid w:val="4CEC4311"/>
    <w:rsid w:val="4CFA4C80"/>
    <w:rsid w:val="4D023B34"/>
    <w:rsid w:val="4D1C07FA"/>
    <w:rsid w:val="4D1F6494"/>
    <w:rsid w:val="4D4203D5"/>
    <w:rsid w:val="4D423F31"/>
    <w:rsid w:val="4D483448"/>
    <w:rsid w:val="4D5A3BC7"/>
    <w:rsid w:val="4D5E04AC"/>
    <w:rsid w:val="4D636650"/>
    <w:rsid w:val="4D650D4E"/>
    <w:rsid w:val="4D6E4D26"/>
    <w:rsid w:val="4D875DE8"/>
    <w:rsid w:val="4D8929FB"/>
    <w:rsid w:val="4DA370C6"/>
    <w:rsid w:val="4DA651AE"/>
    <w:rsid w:val="4DA92202"/>
    <w:rsid w:val="4DCF4F40"/>
    <w:rsid w:val="4DE10A64"/>
    <w:rsid w:val="4DED405F"/>
    <w:rsid w:val="4E037B64"/>
    <w:rsid w:val="4E094A4F"/>
    <w:rsid w:val="4E0B0F85"/>
    <w:rsid w:val="4E26221C"/>
    <w:rsid w:val="4E2C0010"/>
    <w:rsid w:val="4E5312C7"/>
    <w:rsid w:val="4E544FA0"/>
    <w:rsid w:val="4E6006D4"/>
    <w:rsid w:val="4E6B7198"/>
    <w:rsid w:val="4E6E7F54"/>
    <w:rsid w:val="4E806A8E"/>
    <w:rsid w:val="4E8D742E"/>
    <w:rsid w:val="4E914FA8"/>
    <w:rsid w:val="4E9F13AD"/>
    <w:rsid w:val="4EA2737D"/>
    <w:rsid w:val="4EA647B1"/>
    <w:rsid w:val="4EA81E2E"/>
    <w:rsid w:val="4EA96D63"/>
    <w:rsid w:val="4ECF7A46"/>
    <w:rsid w:val="4ED10F16"/>
    <w:rsid w:val="4ED11A10"/>
    <w:rsid w:val="4EF13E61"/>
    <w:rsid w:val="4F1B712F"/>
    <w:rsid w:val="4F1B7EFF"/>
    <w:rsid w:val="4F336227"/>
    <w:rsid w:val="4F3F2E1E"/>
    <w:rsid w:val="4F643538"/>
    <w:rsid w:val="4FA2515B"/>
    <w:rsid w:val="4FB03F6A"/>
    <w:rsid w:val="4FB102E7"/>
    <w:rsid w:val="4FB82BD0"/>
    <w:rsid w:val="4FD67ABB"/>
    <w:rsid w:val="4FD949C9"/>
    <w:rsid w:val="4FDA03CE"/>
    <w:rsid w:val="4FDA2077"/>
    <w:rsid w:val="4FF00C36"/>
    <w:rsid w:val="500303DF"/>
    <w:rsid w:val="50106568"/>
    <w:rsid w:val="50175D54"/>
    <w:rsid w:val="501871CB"/>
    <w:rsid w:val="50193DCD"/>
    <w:rsid w:val="501E0C85"/>
    <w:rsid w:val="501E5C27"/>
    <w:rsid w:val="50210434"/>
    <w:rsid w:val="5027335B"/>
    <w:rsid w:val="504113FA"/>
    <w:rsid w:val="504A1A7A"/>
    <w:rsid w:val="504B317E"/>
    <w:rsid w:val="50640BF4"/>
    <w:rsid w:val="506B7E3D"/>
    <w:rsid w:val="50886326"/>
    <w:rsid w:val="50901457"/>
    <w:rsid w:val="50B63831"/>
    <w:rsid w:val="50C335DB"/>
    <w:rsid w:val="50C852C3"/>
    <w:rsid w:val="50C8690D"/>
    <w:rsid w:val="50D47596"/>
    <w:rsid w:val="50F87728"/>
    <w:rsid w:val="50FB190C"/>
    <w:rsid w:val="511A139E"/>
    <w:rsid w:val="513D338D"/>
    <w:rsid w:val="5148007C"/>
    <w:rsid w:val="5167040A"/>
    <w:rsid w:val="516A2788"/>
    <w:rsid w:val="51704067"/>
    <w:rsid w:val="5180327A"/>
    <w:rsid w:val="51AE7211"/>
    <w:rsid w:val="51B04FDC"/>
    <w:rsid w:val="51B15B29"/>
    <w:rsid w:val="51B353FD"/>
    <w:rsid w:val="51E1640E"/>
    <w:rsid w:val="51E63A25"/>
    <w:rsid w:val="51E7154B"/>
    <w:rsid w:val="51F838D7"/>
    <w:rsid w:val="520774F7"/>
    <w:rsid w:val="520B6FE7"/>
    <w:rsid w:val="52171E2D"/>
    <w:rsid w:val="52341A3B"/>
    <w:rsid w:val="5257448C"/>
    <w:rsid w:val="527C6CBB"/>
    <w:rsid w:val="527D43C7"/>
    <w:rsid w:val="528D1839"/>
    <w:rsid w:val="52944A75"/>
    <w:rsid w:val="52B15A57"/>
    <w:rsid w:val="52B277E8"/>
    <w:rsid w:val="52CA00E9"/>
    <w:rsid w:val="52D41ACF"/>
    <w:rsid w:val="52D75447"/>
    <w:rsid w:val="52D81E9B"/>
    <w:rsid w:val="52DD4E28"/>
    <w:rsid w:val="52E67747"/>
    <w:rsid w:val="530771F6"/>
    <w:rsid w:val="53083527"/>
    <w:rsid w:val="530B611F"/>
    <w:rsid w:val="531609B9"/>
    <w:rsid w:val="532E5683"/>
    <w:rsid w:val="53407165"/>
    <w:rsid w:val="535717F8"/>
    <w:rsid w:val="53687981"/>
    <w:rsid w:val="536964D8"/>
    <w:rsid w:val="53767FD0"/>
    <w:rsid w:val="538D4E4F"/>
    <w:rsid w:val="53B65679"/>
    <w:rsid w:val="53C2102F"/>
    <w:rsid w:val="53CB371C"/>
    <w:rsid w:val="53EB5B60"/>
    <w:rsid w:val="53F326EE"/>
    <w:rsid w:val="540470C3"/>
    <w:rsid w:val="54047DE6"/>
    <w:rsid w:val="54063F0A"/>
    <w:rsid w:val="54077D27"/>
    <w:rsid w:val="541D74A6"/>
    <w:rsid w:val="542E16B3"/>
    <w:rsid w:val="544669FD"/>
    <w:rsid w:val="547A5F32"/>
    <w:rsid w:val="548E59B1"/>
    <w:rsid w:val="54927D67"/>
    <w:rsid w:val="54A40573"/>
    <w:rsid w:val="54B25E40"/>
    <w:rsid w:val="54BE06CB"/>
    <w:rsid w:val="54C618EB"/>
    <w:rsid w:val="54C8221B"/>
    <w:rsid w:val="54CD2C7A"/>
    <w:rsid w:val="54D062C6"/>
    <w:rsid w:val="54D95C81"/>
    <w:rsid w:val="54DD19AD"/>
    <w:rsid w:val="54EC75A4"/>
    <w:rsid w:val="54F760D5"/>
    <w:rsid w:val="54FC70BB"/>
    <w:rsid w:val="551E6A12"/>
    <w:rsid w:val="551E7032"/>
    <w:rsid w:val="552F123F"/>
    <w:rsid w:val="55452810"/>
    <w:rsid w:val="5559649A"/>
    <w:rsid w:val="5563713A"/>
    <w:rsid w:val="55816989"/>
    <w:rsid w:val="55A16DFF"/>
    <w:rsid w:val="55B41744"/>
    <w:rsid w:val="55C3384A"/>
    <w:rsid w:val="55C45E2B"/>
    <w:rsid w:val="55C70617"/>
    <w:rsid w:val="55DB3175"/>
    <w:rsid w:val="55FF146B"/>
    <w:rsid w:val="560426CB"/>
    <w:rsid w:val="560A3E85"/>
    <w:rsid w:val="560B68CD"/>
    <w:rsid w:val="560C5801"/>
    <w:rsid w:val="561623FF"/>
    <w:rsid w:val="5631596F"/>
    <w:rsid w:val="564012EE"/>
    <w:rsid w:val="564A666C"/>
    <w:rsid w:val="567118EB"/>
    <w:rsid w:val="56A94FDC"/>
    <w:rsid w:val="56AA66A0"/>
    <w:rsid w:val="56B20379"/>
    <w:rsid w:val="56B91708"/>
    <w:rsid w:val="56BE0ACC"/>
    <w:rsid w:val="56CB1B63"/>
    <w:rsid w:val="56CC7E92"/>
    <w:rsid w:val="56D403B0"/>
    <w:rsid w:val="56F20776"/>
    <w:rsid w:val="56F82AB6"/>
    <w:rsid w:val="57111B86"/>
    <w:rsid w:val="57144B90"/>
    <w:rsid w:val="572115E9"/>
    <w:rsid w:val="572B3C88"/>
    <w:rsid w:val="573214BA"/>
    <w:rsid w:val="574F3E1A"/>
    <w:rsid w:val="577218B7"/>
    <w:rsid w:val="57774FBD"/>
    <w:rsid w:val="578913B2"/>
    <w:rsid w:val="57893FD3"/>
    <w:rsid w:val="579161E1"/>
    <w:rsid w:val="57A001D2"/>
    <w:rsid w:val="57A174E9"/>
    <w:rsid w:val="57A852D8"/>
    <w:rsid w:val="5805272B"/>
    <w:rsid w:val="580F5357"/>
    <w:rsid w:val="580F68DA"/>
    <w:rsid w:val="582C7CDE"/>
    <w:rsid w:val="584A31CA"/>
    <w:rsid w:val="584D334A"/>
    <w:rsid w:val="585835F6"/>
    <w:rsid w:val="586E207E"/>
    <w:rsid w:val="5875165E"/>
    <w:rsid w:val="587A6C75"/>
    <w:rsid w:val="587B60AF"/>
    <w:rsid w:val="587D49B7"/>
    <w:rsid w:val="58807E28"/>
    <w:rsid w:val="58895AEB"/>
    <w:rsid w:val="58913FAE"/>
    <w:rsid w:val="5894028F"/>
    <w:rsid w:val="589C5E1C"/>
    <w:rsid w:val="58B008E9"/>
    <w:rsid w:val="58B2640F"/>
    <w:rsid w:val="58B71C77"/>
    <w:rsid w:val="58C85912"/>
    <w:rsid w:val="58D132E1"/>
    <w:rsid w:val="58E32A6C"/>
    <w:rsid w:val="58EF1411"/>
    <w:rsid w:val="58EF7663"/>
    <w:rsid w:val="58F033DB"/>
    <w:rsid w:val="58F10BED"/>
    <w:rsid w:val="59017396"/>
    <w:rsid w:val="59030A18"/>
    <w:rsid w:val="59140E77"/>
    <w:rsid w:val="59253085"/>
    <w:rsid w:val="59355D90"/>
    <w:rsid w:val="59505A7A"/>
    <w:rsid w:val="59592D2E"/>
    <w:rsid w:val="5960184D"/>
    <w:rsid w:val="59725B9E"/>
    <w:rsid w:val="59856687"/>
    <w:rsid w:val="59875AED"/>
    <w:rsid w:val="59933198"/>
    <w:rsid w:val="599E6821"/>
    <w:rsid w:val="59A3044D"/>
    <w:rsid w:val="59BB4449"/>
    <w:rsid w:val="59C97EB4"/>
    <w:rsid w:val="59D35814"/>
    <w:rsid w:val="59D8099D"/>
    <w:rsid w:val="59DC428A"/>
    <w:rsid w:val="59E6048B"/>
    <w:rsid w:val="5A054C64"/>
    <w:rsid w:val="5A184997"/>
    <w:rsid w:val="5A1D0200"/>
    <w:rsid w:val="5A276988"/>
    <w:rsid w:val="5A2D7D25"/>
    <w:rsid w:val="5A33513B"/>
    <w:rsid w:val="5A47702B"/>
    <w:rsid w:val="5A503771"/>
    <w:rsid w:val="5A70067A"/>
    <w:rsid w:val="5A907951"/>
    <w:rsid w:val="5A944CE3"/>
    <w:rsid w:val="5A971D60"/>
    <w:rsid w:val="5AB166D1"/>
    <w:rsid w:val="5AC16DDD"/>
    <w:rsid w:val="5AC468CD"/>
    <w:rsid w:val="5ACF3521"/>
    <w:rsid w:val="5AD65DF5"/>
    <w:rsid w:val="5AE168AC"/>
    <w:rsid w:val="5AEE5466"/>
    <w:rsid w:val="5AFE3B8D"/>
    <w:rsid w:val="5AFF5752"/>
    <w:rsid w:val="5B046CCA"/>
    <w:rsid w:val="5B161569"/>
    <w:rsid w:val="5B1F66E3"/>
    <w:rsid w:val="5B2474AC"/>
    <w:rsid w:val="5B5E462C"/>
    <w:rsid w:val="5B932108"/>
    <w:rsid w:val="5B97241C"/>
    <w:rsid w:val="5B9B6F49"/>
    <w:rsid w:val="5BD1128C"/>
    <w:rsid w:val="5BE32A33"/>
    <w:rsid w:val="5BED3C02"/>
    <w:rsid w:val="5BFB00CD"/>
    <w:rsid w:val="5BFF5E84"/>
    <w:rsid w:val="5C074CC3"/>
    <w:rsid w:val="5C090A3C"/>
    <w:rsid w:val="5C11169E"/>
    <w:rsid w:val="5C1458A2"/>
    <w:rsid w:val="5C2E2250"/>
    <w:rsid w:val="5C3544C8"/>
    <w:rsid w:val="5C4202EB"/>
    <w:rsid w:val="5C4E3516"/>
    <w:rsid w:val="5C846D00"/>
    <w:rsid w:val="5C877BB2"/>
    <w:rsid w:val="5C8B76A2"/>
    <w:rsid w:val="5CA70254"/>
    <w:rsid w:val="5CA756E9"/>
    <w:rsid w:val="5CCD7CBB"/>
    <w:rsid w:val="5CD97003"/>
    <w:rsid w:val="5CEE2868"/>
    <w:rsid w:val="5CF02414"/>
    <w:rsid w:val="5D015BB7"/>
    <w:rsid w:val="5D0336DD"/>
    <w:rsid w:val="5D121B72"/>
    <w:rsid w:val="5D207D53"/>
    <w:rsid w:val="5D283505"/>
    <w:rsid w:val="5D3970FE"/>
    <w:rsid w:val="5D3D6B62"/>
    <w:rsid w:val="5D42724F"/>
    <w:rsid w:val="5D4635C9"/>
    <w:rsid w:val="5D5061F6"/>
    <w:rsid w:val="5D795C02"/>
    <w:rsid w:val="5D847B0A"/>
    <w:rsid w:val="5D90409D"/>
    <w:rsid w:val="5D9205BD"/>
    <w:rsid w:val="5D921815"/>
    <w:rsid w:val="5DA86032"/>
    <w:rsid w:val="5DAD189A"/>
    <w:rsid w:val="5DBE13B2"/>
    <w:rsid w:val="5DE12315"/>
    <w:rsid w:val="5DE364EB"/>
    <w:rsid w:val="5DE3706A"/>
    <w:rsid w:val="5DEC4171"/>
    <w:rsid w:val="5DF845BE"/>
    <w:rsid w:val="5DFF4DB4"/>
    <w:rsid w:val="5E213869"/>
    <w:rsid w:val="5E227B93"/>
    <w:rsid w:val="5E5F0DE7"/>
    <w:rsid w:val="5E8C3199"/>
    <w:rsid w:val="5EA42C9D"/>
    <w:rsid w:val="5EAC2AAA"/>
    <w:rsid w:val="5ECE5829"/>
    <w:rsid w:val="5ED510A9"/>
    <w:rsid w:val="5EDF37B0"/>
    <w:rsid w:val="5EE40F07"/>
    <w:rsid w:val="5EE61002"/>
    <w:rsid w:val="5EEC3727"/>
    <w:rsid w:val="5EFC54DA"/>
    <w:rsid w:val="5F0B0627"/>
    <w:rsid w:val="5F1119B5"/>
    <w:rsid w:val="5F166FCB"/>
    <w:rsid w:val="5F23665C"/>
    <w:rsid w:val="5F3D09FC"/>
    <w:rsid w:val="5F400B8F"/>
    <w:rsid w:val="5F432510"/>
    <w:rsid w:val="5F447FDD"/>
    <w:rsid w:val="5F476EEF"/>
    <w:rsid w:val="5F4B56B1"/>
    <w:rsid w:val="5F5F6FA7"/>
    <w:rsid w:val="5F7206A6"/>
    <w:rsid w:val="5F84351F"/>
    <w:rsid w:val="5F8F276E"/>
    <w:rsid w:val="5F93686E"/>
    <w:rsid w:val="5F993D7A"/>
    <w:rsid w:val="5FA016B7"/>
    <w:rsid w:val="5FAE3785"/>
    <w:rsid w:val="5FBE05A1"/>
    <w:rsid w:val="5FFD7DE8"/>
    <w:rsid w:val="6005151A"/>
    <w:rsid w:val="601D520F"/>
    <w:rsid w:val="602F68B0"/>
    <w:rsid w:val="6042276E"/>
    <w:rsid w:val="60600E46"/>
    <w:rsid w:val="60754A82"/>
    <w:rsid w:val="607D7F84"/>
    <w:rsid w:val="608C0361"/>
    <w:rsid w:val="60A30D33"/>
    <w:rsid w:val="60AD570E"/>
    <w:rsid w:val="60BD609C"/>
    <w:rsid w:val="60CC3634"/>
    <w:rsid w:val="60D15180"/>
    <w:rsid w:val="60D86C2E"/>
    <w:rsid w:val="60F87661"/>
    <w:rsid w:val="61206FA0"/>
    <w:rsid w:val="613C3815"/>
    <w:rsid w:val="614E77C3"/>
    <w:rsid w:val="61736957"/>
    <w:rsid w:val="617579B0"/>
    <w:rsid w:val="61776447"/>
    <w:rsid w:val="61A26CE6"/>
    <w:rsid w:val="61A56C12"/>
    <w:rsid w:val="61B054B5"/>
    <w:rsid w:val="61C62F2B"/>
    <w:rsid w:val="61C86CA3"/>
    <w:rsid w:val="61D70C94"/>
    <w:rsid w:val="61D75993"/>
    <w:rsid w:val="61DA1363"/>
    <w:rsid w:val="61F41846"/>
    <w:rsid w:val="61FA2D70"/>
    <w:rsid w:val="61FF0E6B"/>
    <w:rsid w:val="620D481B"/>
    <w:rsid w:val="62195750"/>
    <w:rsid w:val="62285994"/>
    <w:rsid w:val="622E21B2"/>
    <w:rsid w:val="623954AB"/>
    <w:rsid w:val="62477B16"/>
    <w:rsid w:val="62682234"/>
    <w:rsid w:val="62683FE2"/>
    <w:rsid w:val="626C7A56"/>
    <w:rsid w:val="62882A9C"/>
    <w:rsid w:val="628E44C2"/>
    <w:rsid w:val="62B271B5"/>
    <w:rsid w:val="62D90A3C"/>
    <w:rsid w:val="62DD052C"/>
    <w:rsid w:val="62DD29E2"/>
    <w:rsid w:val="62E2748A"/>
    <w:rsid w:val="62E50B09"/>
    <w:rsid w:val="62EC717B"/>
    <w:rsid w:val="62ED5559"/>
    <w:rsid w:val="62F100A5"/>
    <w:rsid w:val="62F12229"/>
    <w:rsid w:val="62F87114"/>
    <w:rsid w:val="62FB00A1"/>
    <w:rsid w:val="62FB09B2"/>
    <w:rsid w:val="63081791"/>
    <w:rsid w:val="630F494A"/>
    <w:rsid w:val="63100901"/>
    <w:rsid w:val="631669F1"/>
    <w:rsid w:val="6331773C"/>
    <w:rsid w:val="633439CD"/>
    <w:rsid w:val="6334606D"/>
    <w:rsid w:val="6349526F"/>
    <w:rsid w:val="635E40A8"/>
    <w:rsid w:val="63604C5C"/>
    <w:rsid w:val="636B1616"/>
    <w:rsid w:val="636C22BA"/>
    <w:rsid w:val="63793D94"/>
    <w:rsid w:val="63963EF3"/>
    <w:rsid w:val="6398601C"/>
    <w:rsid w:val="639A1FC5"/>
    <w:rsid w:val="639F1C85"/>
    <w:rsid w:val="63A64CE9"/>
    <w:rsid w:val="63B55005"/>
    <w:rsid w:val="63B7451C"/>
    <w:rsid w:val="63B76FCF"/>
    <w:rsid w:val="63C14794"/>
    <w:rsid w:val="63D07F56"/>
    <w:rsid w:val="63F26259"/>
    <w:rsid w:val="63FA03FB"/>
    <w:rsid w:val="63FE35FF"/>
    <w:rsid w:val="641066DF"/>
    <w:rsid w:val="641C6E32"/>
    <w:rsid w:val="643D14BE"/>
    <w:rsid w:val="64403829"/>
    <w:rsid w:val="64483F2D"/>
    <w:rsid w:val="645974C4"/>
    <w:rsid w:val="64616ACC"/>
    <w:rsid w:val="64717082"/>
    <w:rsid w:val="6476579B"/>
    <w:rsid w:val="64874BF3"/>
    <w:rsid w:val="64965975"/>
    <w:rsid w:val="649E570E"/>
    <w:rsid w:val="64C91520"/>
    <w:rsid w:val="64CC14A5"/>
    <w:rsid w:val="64CD212B"/>
    <w:rsid w:val="64CE2783"/>
    <w:rsid w:val="64E738E4"/>
    <w:rsid w:val="65150451"/>
    <w:rsid w:val="652E32C1"/>
    <w:rsid w:val="65332685"/>
    <w:rsid w:val="653528B7"/>
    <w:rsid w:val="654A5C21"/>
    <w:rsid w:val="654E12AD"/>
    <w:rsid w:val="65736F26"/>
    <w:rsid w:val="657F58CB"/>
    <w:rsid w:val="658253BB"/>
    <w:rsid w:val="658513E1"/>
    <w:rsid w:val="65913850"/>
    <w:rsid w:val="65B17A4E"/>
    <w:rsid w:val="65BC2309"/>
    <w:rsid w:val="65DC2D1D"/>
    <w:rsid w:val="65E32DE0"/>
    <w:rsid w:val="65E63B9C"/>
    <w:rsid w:val="65E76E00"/>
    <w:rsid w:val="65EB2F60"/>
    <w:rsid w:val="65EF60CD"/>
    <w:rsid w:val="65F04A1A"/>
    <w:rsid w:val="65FA13F5"/>
    <w:rsid w:val="65FD6A51"/>
    <w:rsid w:val="660D737A"/>
    <w:rsid w:val="66270AA3"/>
    <w:rsid w:val="66287D10"/>
    <w:rsid w:val="662D3578"/>
    <w:rsid w:val="663A5C95"/>
    <w:rsid w:val="663B0302"/>
    <w:rsid w:val="66482160"/>
    <w:rsid w:val="66521231"/>
    <w:rsid w:val="66671894"/>
    <w:rsid w:val="666F1DE3"/>
    <w:rsid w:val="6684632B"/>
    <w:rsid w:val="66897701"/>
    <w:rsid w:val="66AC6B93"/>
    <w:rsid w:val="66C175F5"/>
    <w:rsid w:val="66C67529"/>
    <w:rsid w:val="66C82E62"/>
    <w:rsid w:val="66D165FA"/>
    <w:rsid w:val="66E0683D"/>
    <w:rsid w:val="66E3632D"/>
    <w:rsid w:val="67087B42"/>
    <w:rsid w:val="671B7875"/>
    <w:rsid w:val="671C7481"/>
    <w:rsid w:val="67265F53"/>
    <w:rsid w:val="672E1293"/>
    <w:rsid w:val="67460C83"/>
    <w:rsid w:val="67590963"/>
    <w:rsid w:val="67753429"/>
    <w:rsid w:val="67982C97"/>
    <w:rsid w:val="67B76EB7"/>
    <w:rsid w:val="67C5195C"/>
    <w:rsid w:val="67CB129B"/>
    <w:rsid w:val="67CD5013"/>
    <w:rsid w:val="67E233BE"/>
    <w:rsid w:val="67ED172A"/>
    <w:rsid w:val="67EE0AE5"/>
    <w:rsid w:val="67EE5661"/>
    <w:rsid w:val="67F105D6"/>
    <w:rsid w:val="68093B71"/>
    <w:rsid w:val="680D5484"/>
    <w:rsid w:val="68126ECA"/>
    <w:rsid w:val="681C1AF7"/>
    <w:rsid w:val="682006A0"/>
    <w:rsid w:val="683E4ABF"/>
    <w:rsid w:val="68566393"/>
    <w:rsid w:val="68703BF0"/>
    <w:rsid w:val="68716F5A"/>
    <w:rsid w:val="68725BBA"/>
    <w:rsid w:val="68732EBD"/>
    <w:rsid w:val="6894556A"/>
    <w:rsid w:val="68B7181F"/>
    <w:rsid w:val="68C92EEF"/>
    <w:rsid w:val="68CF4DBB"/>
    <w:rsid w:val="68DD3C7C"/>
    <w:rsid w:val="68EB0D11"/>
    <w:rsid w:val="68ED5EE2"/>
    <w:rsid w:val="69235F26"/>
    <w:rsid w:val="692541DB"/>
    <w:rsid w:val="69414F5A"/>
    <w:rsid w:val="696B3260"/>
    <w:rsid w:val="698C2CAC"/>
    <w:rsid w:val="69A4613C"/>
    <w:rsid w:val="69A47FF6"/>
    <w:rsid w:val="69AF0748"/>
    <w:rsid w:val="69B83AA1"/>
    <w:rsid w:val="69BB1BE2"/>
    <w:rsid w:val="69CB6033"/>
    <w:rsid w:val="69CE5072"/>
    <w:rsid w:val="69DB153D"/>
    <w:rsid w:val="69F81576"/>
    <w:rsid w:val="6A087881"/>
    <w:rsid w:val="6A0A0510"/>
    <w:rsid w:val="6A3273AF"/>
    <w:rsid w:val="6A4B0471"/>
    <w:rsid w:val="6A504121"/>
    <w:rsid w:val="6A5D1F52"/>
    <w:rsid w:val="6A5F3F1C"/>
    <w:rsid w:val="6A713533"/>
    <w:rsid w:val="6A813E93"/>
    <w:rsid w:val="6A90057A"/>
    <w:rsid w:val="6A972F71"/>
    <w:rsid w:val="6A9B7057"/>
    <w:rsid w:val="6AB62D79"/>
    <w:rsid w:val="6ABA5F47"/>
    <w:rsid w:val="6AD541DF"/>
    <w:rsid w:val="6AD95A7D"/>
    <w:rsid w:val="6AED1528"/>
    <w:rsid w:val="6AF428B7"/>
    <w:rsid w:val="6AFC0DCC"/>
    <w:rsid w:val="6B104DD6"/>
    <w:rsid w:val="6B2604E2"/>
    <w:rsid w:val="6B427AC6"/>
    <w:rsid w:val="6B453112"/>
    <w:rsid w:val="6B601CFA"/>
    <w:rsid w:val="6B6317EA"/>
    <w:rsid w:val="6B711AB5"/>
    <w:rsid w:val="6B732048"/>
    <w:rsid w:val="6B8E4AB9"/>
    <w:rsid w:val="6B973735"/>
    <w:rsid w:val="6BB169FA"/>
    <w:rsid w:val="6BD6119C"/>
    <w:rsid w:val="6BDA4331"/>
    <w:rsid w:val="6BDB75D3"/>
    <w:rsid w:val="6BDD77EF"/>
    <w:rsid w:val="6BF85AF8"/>
    <w:rsid w:val="6C127AB0"/>
    <w:rsid w:val="6C3118E9"/>
    <w:rsid w:val="6C32737C"/>
    <w:rsid w:val="6C7F5735"/>
    <w:rsid w:val="6C8163CC"/>
    <w:rsid w:val="6C904861"/>
    <w:rsid w:val="6C991968"/>
    <w:rsid w:val="6CB0535E"/>
    <w:rsid w:val="6CBB35C0"/>
    <w:rsid w:val="6CC055F4"/>
    <w:rsid w:val="6CD82AD2"/>
    <w:rsid w:val="6CDA788A"/>
    <w:rsid w:val="6CF272CA"/>
    <w:rsid w:val="6D010BA5"/>
    <w:rsid w:val="6D142D9C"/>
    <w:rsid w:val="6D196605"/>
    <w:rsid w:val="6D3D66F7"/>
    <w:rsid w:val="6D592EA5"/>
    <w:rsid w:val="6D7B106D"/>
    <w:rsid w:val="6D8A61B7"/>
    <w:rsid w:val="6D941ED2"/>
    <w:rsid w:val="6D980A5C"/>
    <w:rsid w:val="6DA66DF3"/>
    <w:rsid w:val="6DAA3B67"/>
    <w:rsid w:val="6DDE33AA"/>
    <w:rsid w:val="6DEC10B2"/>
    <w:rsid w:val="6DFE57FA"/>
    <w:rsid w:val="6DFF3A4C"/>
    <w:rsid w:val="6E016872"/>
    <w:rsid w:val="6E056B89"/>
    <w:rsid w:val="6E1119D2"/>
    <w:rsid w:val="6E34121C"/>
    <w:rsid w:val="6E453429"/>
    <w:rsid w:val="6E532712"/>
    <w:rsid w:val="6E5908C1"/>
    <w:rsid w:val="6E5D5891"/>
    <w:rsid w:val="6E625D89"/>
    <w:rsid w:val="6E7D0E15"/>
    <w:rsid w:val="6E9C1088"/>
    <w:rsid w:val="6E9E14B7"/>
    <w:rsid w:val="6EA225C7"/>
    <w:rsid w:val="6EA75E92"/>
    <w:rsid w:val="6ECD3B4B"/>
    <w:rsid w:val="6ED76777"/>
    <w:rsid w:val="6EDA443E"/>
    <w:rsid w:val="6EEB3194"/>
    <w:rsid w:val="6EFE6E63"/>
    <w:rsid w:val="6F0923A0"/>
    <w:rsid w:val="6F1A7464"/>
    <w:rsid w:val="6F1C3EBD"/>
    <w:rsid w:val="6F1E7F02"/>
    <w:rsid w:val="6F282B2F"/>
    <w:rsid w:val="6F451E70"/>
    <w:rsid w:val="6F492B85"/>
    <w:rsid w:val="6F5C6C7D"/>
    <w:rsid w:val="6F63000B"/>
    <w:rsid w:val="6F7E3C22"/>
    <w:rsid w:val="6FA06B69"/>
    <w:rsid w:val="6FAC7C04"/>
    <w:rsid w:val="6FB16FC8"/>
    <w:rsid w:val="6FBB7E47"/>
    <w:rsid w:val="6FC767EC"/>
    <w:rsid w:val="6FCA1E38"/>
    <w:rsid w:val="6FD8191A"/>
    <w:rsid w:val="6FDE58E3"/>
    <w:rsid w:val="6FE84594"/>
    <w:rsid w:val="6FEA24DA"/>
    <w:rsid w:val="6FEC6252"/>
    <w:rsid w:val="6FEF7AF1"/>
    <w:rsid w:val="6FF555EB"/>
    <w:rsid w:val="700D7719"/>
    <w:rsid w:val="701557A9"/>
    <w:rsid w:val="701E2184"/>
    <w:rsid w:val="70231548"/>
    <w:rsid w:val="70357BF9"/>
    <w:rsid w:val="7046283D"/>
    <w:rsid w:val="704F60B5"/>
    <w:rsid w:val="70526F4A"/>
    <w:rsid w:val="706109EE"/>
    <w:rsid w:val="707641F1"/>
    <w:rsid w:val="708B76CE"/>
    <w:rsid w:val="709B04C9"/>
    <w:rsid w:val="70C447D5"/>
    <w:rsid w:val="70C61622"/>
    <w:rsid w:val="70CC520D"/>
    <w:rsid w:val="70E433CD"/>
    <w:rsid w:val="70F24D12"/>
    <w:rsid w:val="70F44F53"/>
    <w:rsid w:val="70F829D5"/>
    <w:rsid w:val="7113780F"/>
    <w:rsid w:val="712B2DAA"/>
    <w:rsid w:val="71500A63"/>
    <w:rsid w:val="7150636D"/>
    <w:rsid w:val="716360A0"/>
    <w:rsid w:val="71663DE2"/>
    <w:rsid w:val="7168436D"/>
    <w:rsid w:val="716A11FC"/>
    <w:rsid w:val="7196487C"/>
    <w:rsid w:val="71A5490B"/>
    <w:rsid w:val="71B95510"/>
    <w:rsid w:val="71BC1C54"/>
    <w:rsid w:val="71C34ABF"/>
    <w:rsid w:val="71D15700"/>
    <w:rsid w:val="71D66D1E"/>
    <w:rsid w:val="71DF490D"/>
    <w:rsid w:val="71E52F59"/>
    <w:rsid w:val="72005FE5"/>
    <w:rsid w:val="720E1204"/>
    <w:rsid w:val="720E21AB"/>
    <w:rsid w:val="720E7AB2"/>
    <w:rsid w:val="720F447A"/>
    <w:rsid w:val="722C2936"/>
    <w:rsid w:val="722F711D"/>
    <w:rsid w:val="72335600"/>
    <w:rsid w:val="72347A3D"/>
    <w:rsid w:val="723657EC"/>
    <w:rsid w:val="72435ED2"/>
    <w:rsid w:val="725325B9"/>
    <w:rsid w:val="725F0F5E"/>
    <w:rsid w:val="72615EE6"/>
    <w:rsid w:val="727F515C"/>
    <w:rsid w:val="72890F86"/>
    <w:rsid w:val="72A6268E"/>
    <w:rsid w:val="72E90827"/>
    <w:rsid w:val="734508E8"/>
    <w:rsid w:val="73483566"/>
    <w:rsid w:val="734E76BA"/>
    <w:rsid w:val="73504D4A"/>
    <w:rsid w:val="7355410F"/>
    <w:rsid w:val="73572C3B"/>
    <w:rsid w:val="735859AD"/>
    <w:rsid w:val="7361190F"/>
    <w:rsid w:val="73641E9D"/>
    <w:rsid w:val="736667A4"/>
    <w:rsid w:val="73762592"/>
    <w:rsid w:val="73797DFD"/>
    <w:rsid w:val="738A3000"/>
    <w:rsid w:val="73A86934"/>
    <w:rsid w:val="73C67281"/>
    <w:rsid w:val="73DC0835"/>
    <w:rsid w:val="73E0037C"/>
    <w:rsid w:val="73E667EA"/>
    <w:rsid w:val="74157651"/>
    <w:rsid w:val="741B2182"/>
    <w:rsid w:val="74275AAB"/>
    <w:rsid w:val="74620891"/>
    <w:rsid w:val="74650381"/>
    <w:rsid w:val="74756912"/>
    <w:rsid w:val="747D1B6F"/>
    <w:rsid w:val="748A4E4F"/>
    <w:rsid w:val="748F3478"/>
    <w:rsid w:val="749D03A6"/>
    <w:rsid w:val="749E51BC"/>
    <w:rsid w:val="74B6225B"/>
    <w:rsid w:val="74C327EC"/>
    <w:rsid w:val="74C40DF7"/>
    <w:rsid w:val="74DD3606"/>
    <w:rsid w:val="74E4399C"/>
    <w:rsid w:val="750E6B1C"/>
    <w:rsid w:val="751460DD"/>
    <w:rsid w:val="751A73BE"/>
    <w:rsid w:val="752B3379"/>
    <w:rsid w:val="7531525F"/>
    <w:rsid w:val="753C7334"/>
    <w:rsid w:val="754B7577"/>
    <w:rsid w:val="755E2CB8"/>
    <w:rsid w:val="75622B13"/>
    <w:rsid w:val="757640DB"/>
    <w:rsid w:val="759D04EC"/>
    <w:rsid w:val="75A86778"/>
    <w:rsid w:val="75AB479D"/>
    <w:rsid w:val="75B570E6"/>
    <w:rsid w:val="75B96BD7"/>
    <w:rsid w:val="75C335B1"/>
    <w:rsid w:val="75CC5217"/>
    <w:rsid w:val="75E90518"/>
    <w:rsid w:val="75EA4FE2"/>
    <w:rsid w:val="75EB600B"/>
    <w:rsid w:val="75EC02BA"/>
    <w:rsid w:val="75ED7075"/>
    <w:rsid w:val="75EF6AF4"/>
    <w:rsid w:val="75F55349"/>
    <w:rsid w:val="75F8721C"/>
    <w:rsid w:val="75FE45EA"/>
    <w:rsid w:val="760832F5"/>
    <w:rsid w:val="76097ECD"/>
    <w:rsid w:val="76197675"/>
    <w:rsid w:val="762D1373"/>
    <w:rsid w:val="7634625D"/>
    <w:rsid w:val="76406AAD"/>
    <w:rsid w:val="76407E59"/>
    <w:rsid w:val="7657416A"/>
    <w:rsid w:val="766474B2"/>
    <w:rsid w:val="767D7C04"/>
    <w:rsid w:val="769027A6"/>
    <w:rsid w:val="76984446"/>
    <w:rsid w:val="769A6A08"/>
    <w:rsid w:val="76A076F1"/>
    <w:rsid w:val="76CA5354"/>
    <w:rsid w:val="76D264B7"/>
    <w:rsid w:val="76D26AA3"/>
    <w:rsid w:val="76DF2F23"/>
    <w:rsid w:val="76E2215D"/>
    <w:rsid w:val="76E934EC"/>
    <w:rsid w:val="76F20070"/>
    <w:rsid w:val="76F8699A"/>
    <w:rsid w:val="76FE4366"/>
    <w:rsid w:val="770E2F52"/>
    <w:rsid w:val="773146E4"/>
    <w:rsid w:val="77363560"/>
    <w:rsid w:val="77430E54"/>
    <w:rsid w:val="774E334F"/>
    <w:rsid w:val="774F2086"/>
    <w:rsid w:val="776923B8"/>
    <w:rsid w:val="777032C5"/>
    <w:rsid w:val="77811976"/>
    <w:rsid w:val="77882D05"/>
    <w:rsid w:val="77905715"/>
    <w:rsid w:val="77AB07A1"/>
    <w:rsid w:val="77B40D95"/>
    <w:rsid w:val="77B92EBE"/>
    <w:rsid w:val="77C91740"/>
    <w:rsid w:val="77DE0A93"/>
    <w:rsid w:val="77F71C38"/>
    <w:rsid w:val="78146346"/>
    <w:rsid w:val="7820319C"/>
    <w:rsid w:val="78216CB5"/>
    <w:rsid w:val="784A13C5"/>
    <w:rsid w:val="784F141F"/>
    <w:rsid w:val="78670B6C"/>
    <w:rsid w:val="78760DAF"/>
    <w:rsid w:val="787802D4"/>
    <w:rsid w:val="787A1809"/>
    <w:rsid w:val="78874D6A"/>
    <w:rsid w:val="78927F92"/>
    <w:rsid w:val="78952BE1"/>
    <w:rsid w:val="789D458E"/>
    <w:rsid w:val="78A23952"/>
    <w:rsid w:val="78A357D1"/>
    <w:rsid w:val="78EC2E1F"/>
    <w:rsid w:val="78FB6271"/>
    <w:rsid w:val="79075EAB"/>
    <w:rsid w:val="793C129B"/>
    <w:rsid w:val="793F73F3"/>
    <w:rsid w:val="794964C4"/>
    <w:rsid w:val="79523CB5"/>
    <w:rsid w:val="79584959"/>
    <w:rsid w:val="796335F1"/>
    <w:rsid w:val="796D56AB"/>
    <w:rsid w:val="796D743A"/>
    <w:rsid w:val="79746781"/>
    <w:rsid w:val="79951709"/>
    <w:rsid w:val="79975481"/>
    <w:rsid w:val="799B15C5"/>
    <w:rsid w:val="79AE6042"/>
    <w:rsid w:val="79B672FA"/>
    <w:rsid w:val="79CB0C87"/>
    <w:rsid w:val="79D51B05"/>
    <w:rsid w:val="79D73ACF"/>
    <w:rsid w:val="79DD02C6"/>
    <w:rsid w:val="79DD509F"/>
    <w:rsid w:val="79FA5A10"/>
    <w:rsid w:val="7A1A4D4A"/>
    <w:rsid w:val="7A274B2D"/>
    <w:rsid w:val="7A301431"/>
    <w:rsid w:val="7A601073"/>
    <w:rsid w:val="7A656789"/>
    <w:rsid w:val="7A6D1D3E"/>
    <w:rsid w:val="7A7B3077"/>
    <w:rsid w:val="7A7E3F4B"/>
    <w:rsid w:val="7A8552D9"/>
    <w:rsid w:val="7A8F7954"/>
    <w:rsid w:val="7A9B2D4F"/>
    <w:rsid w:val="7AB83901"/>
    <w:rsid w:val="7AC54306"/>
    <w:rsid w:val="7AD46261"/>
    <w:rsid w:val="7AD526A0"/>
    <w:rsid w:val="7ADD3367"/>
    <w:rsid w:val="7AE2157E"/>
    <w:rsid w:val="7B2A7C2F"/>
    <w:rsid w:val="7B4A49B3"/>
    <w:rsid w:val="7B4F383E"/>
    <w:rsid w:val="7B5239AA"/>
    <w:rsid w:val="7B556544"/>
    <w:rsid w:val="7B566C76"/>
    <w:rsid w:val="7B615D46"/>
    <w:rsid w:val="7B6F1AE6"/>
    <w:rsid w:val="7B75534E"/>
    <w:rsid w:val="7B8170F7"/>
    <w:rsid w:val="7B8A5F6C"/>
    <w:rsid w:val="7BC6132C"/>
    <w:rsid w:val="7BD1454E"/>
    <w:rsid w:val="7BDC361F"/>
    <w:rsid w:val="7BE20509"/>
    <w:rsid w:val="7BE36951"/>
    <w:rsid w:val="7BF85F7F"/>
    <w:rsid w:val="7C013085"/>
    <w:rsid w:val="7C30396B"/>
    <w:rsid w:val="7C304CD0"/>
    <w:rsid w:val="7C393337"/>
    <w:rsid w:val="7C3A702B"/>
    <w:rsid w:val="7C515D7C"/>
    <w:rsid w:val="7C5B57F3"/>
    <w:rsid w:val="7C695805"/>
    <w:rsid w:val="7C725D31"/>
    <w:rsid w:val="7C795DB1"/>
    <w:rsid w:val="7C923CDE"/>
    <w:rsid w:val="7C9424C4"/>
    <w:rsid w:val="7C9931A2"/>
    <w:rsid w:val="7CC04CEF"/>
    <w:rsid w:val="7CC52305"/>
    <w:rsid w:val="7CE704CD"/>
    <w:rsid w:val="7CF36E72"/>
    <w:rsid w:val="7D083FA0"/>
    <w:rsid w:val="7D26736A"/>
    <w:rsid w:val="7D2708CA"/>
    <w:rsid w:val="7D2E15C4"/>
    <w:rsid w:val="7D43322A"/>
    <w:rsid w:val="7D485EE2"/>
    <w:rsid w:val="7D4D1141"/>
    <w:rsid w:val="7D6624D5"/>
    <w:rsid w:val="7D813CE4"/>
    <w:rsid w:val="7DBF0B02"/>
    <w:rsid w:val="7DEA3FC2"/>
    <w:rsid w:val="7DFD787D"/>
    <w:rsid w:val="7E040C0B"/>
    <w:rsid w:val="7E172803"/>
    <w:rsid w:val="7E235535"/>
    <w:rsid w:val="7E251164"/>
    <w:rsid w:val="7E4747B6"/>
    <w:rsid w:val="7E494870"/>
    <w:rsid w:val="7E4C2943"/>
    <w:rsid w:val="7E553215"/>
    <w:rsid w:val="7E5E6C64"/>
    <w:rsid w:val="7E6071F0"/>
    <w:rsid w:val="7E6F077A"/>
    <w:rsid w:val="7E8171A1"/>
    <w:rsid w:val="7E843AFA"/>
    <w:rsid w:val="7E865AC4"/>
    <w:rsid w:val="7E9B2796"/>
    <w:rsid w:val="7EB42631"/>
    <w:rsid w:val="7EB700C8"/>
    <w:rsid w:val="7EB77A2B"/>
    <w:rsid w:val="7EC3792E"/>
    <w:rsid w:val="7F037115"/>
    <w:rsid w:val="7F111831"/>
    <w:rsid w:val="7F1B26B0"/>
    <w:rsid w:val="7F34107C"/>
    <w:rsid w:val="7F370B6C"/>
    <w:rsid w:val="7F547970"/>
    <w:rsid w:val="7F651B7D"/>
    <w:rsid w:val="7F6851CA"/>
    <w:rsid w:val="7F9209B5"/>
    <w:rsid w:val="7F995561"/>
    <w:rsid w:val="7FAB3A34"/>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8"/>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link w:val="73"/>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link w:val="56"/>
    <w:qFormat/>
    <w:uiPriority w:val="0"/>
    <w:pPr>
      <w:keepNext/>
      <w:keepLines/>
      <w:spacing w:before="120" w:after="120" w:line="360" w:lineRule="auto"/>
      <w:ind w:firstLine="200" w:firstLineChars="200"/>
      <w:jc w:val="center"/>
      <w:outlineLvl w:val="2"/>
    </w:pPr>
    <w:rPr>
      <w:rFonts w:ascii="宋体"/>
      <w:b/>
      <w:bCs/>
      <w:sz w:val="24"/>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6">
    <w:name w:val="heading 5"/>
    <w:basedOn w:val="7"/>
    <w:next w:val="8"/>
    <w:qFormat/>
    <w:uiPriority w:val="0"/>
    <w:pPr>
      <w:keepNext/>
      <w:keepLines/>
      <w:tabs>
        <w:tab w:val="left" w:pos="780"/>
      </w:tabs>
      <w:adjustRightInd w:val="0"/>
      <w:spacing w:before="280" w:after="290" w:line="376" w:lineRule="atLeast"/>
      <w:textAlignment w:val="baseline"/>
      <w:outlineLvl w:val="4"/>
    </w:pPr>
    <w:rPr>
      <w:b/>
      <w:kern w:val="0"/>
      <w:sz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7">
    <w:name w:val="List Number 2"/>
    <w:basedOn w:val="1"/>
    <w:qFormat/>
    <w:uiPriority w:val="0"/>
    <w:pPr>
      <w:numPr>
        <w:ilvl w:val="0"/>
        <w:numId w:val="1"/>
      </w:numPr>
    </w:p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9">
    <w:name w:val="toc 7"/>
    <w:basedOn w:val="1"/>
    <w:next w:val="1"/>
    <w:qFormat/>
    <w:uiPriority w:val="0"/>
    <w:pPr>
      <w:ind w:left="1200" w:leftChars="1200"/>
    </w:pPr>
  </w:style>
  <w:style w:type="paragraph" w:styleId="10">
    <w:name w:val="table of authorities"/>
    <w:basedOn w:val="1"/>
    <w:next w:val="1"/>
    <w:unhideWhenUsed/>
    <w:qFormat/>
    <w:uiPriority w:val="99"/>
    <w:pPr>
      <w:ind w:left="420" w:leftChars="200"/>
    </w:pPr>
  </w:style>
  <w:style w:type="paragraph" w:styleId="11">
    <w:name w:val="Normal Indent"/>
    <w:basedOn w:val="1"/>
    <w:link w:val="72"/>
    <w:qFormat/>
    <w:uiPriority w:val="0"/>
    <w:pPr>
      <w:tabs>
        <w:tab w:val="left" w:pos="750"/>
      </w:tabs>
      <w:spacing w:before="156" w:beforeLines="50" w:line="300" w:lineRule="auto"/>
      <w:jc w:val="left"/>
    </w:pPr>
    <w:rPr>
      <w:rFonts w:ascii="宋体"/>
      <w:szCs w:val="20"/>
    </w:rPr>
  </w:style>
  <w:style w:type="paragraph" w:styleId="12">
    <w:name w:val="Document Map"/>
    <w:basedOn w:val="1"/>
    <w:qFormat/>
    <w:uiPriority w:val="0"/>
    <w:pPr>
      <w:shd w:val="clear" w:color="auto" w:fill="000080"/>
    </w:pPr>
  </w:style>
  <w:style w:type="paragraph" w:styleId="13">
    <w:name w:val="annotation text"/>
    <w:basedOn w:val="1"/>
    <w:link w:val="57"/>
    <w:qFormat/>
    <w:uiPriority w:val="0"/>
    <w:pPr>
      <w:jc w:val="left"/>
    </w:pPr>
    <w:rPr>
      <w:szCs w:val="20"/>
    </w:rPr>
  </w:style>
  <w:style w:type="paragraph" w:styleId="14">
    <w:name w:val="Body Text"/>
    <w:basedOn w:val="1"/>
    <w:next w:val="1"/>
    <w:qFormat/>
    <w:uiPriority w:val="0"/>
    <w:pPr>
      <w:adjustRightInd w:val="0"/>
      <w:spacing w:line="360" w:lineRule="auto"/>
    </w:pPr>
    <w:rPr>
      <w:rFonts w:ascii="宋体"/>
      <w:bCs/>
      <w:iCs/>
      <w:color w:val="FF00FF"/>
      <w:kern w:val="44"/>
      <w:sz w:val="28"/>
      <w:szCs w:val="20"/>
    </w:rPr>
  </w:style>
  <w:style w:type="paragraph" w:styleId="15">
    <w:name w:val="Body Text Indent"/>
    <w:basedOn w:val="1"/>
    <w:link w:val="58"/>
    <w:qFormat/>
    <w:uiPriority w:val="99"/>
    <w:pPr>
      <w:ind w:firstLine="200" w:firstLineChars="200"/>
      <w:jc w:val="left"/>
    </w:pPr>
    <w:rPr>
      <w:rFonts w:ascii="仿宋_GB2312" w:eastAsia="仿宋_GB2312"/>
      <w:sz w:val="28"/>
    </w:rPr>
  </w:style>
  <w:style w:type="paragraph" w:styleId="16">
    <w:name w:val="toc 5"/>
    <w:basedOn w:val="1"/>
    <w:next w:val="1"/>
    <w:qFormat/>
    <w:uiPriority w:val="0"/>
    <w:pPr>
      <w:ind w:left="800" w:leftChars="800"/>
    </w:pPr>
  </w:style>
  <w:style w:type="paragraph" w:styleId="17">
    <w:name w:val="toc 3"/>
    <w:basedOn w:val="1"/>
    <w:next w:val="1"/>
    <w:qFormat/>
    <w:uiPriority w:val="39"/>
    <w:pPr>
      <w:tabs>
        <w:tab w:val="right" w:leader="dot" w:pos="9515"/>
      </w:tabs>
      <w:ind w:left="400" w:leftChars="400"/>
    </w:pPr>
  </w:style>
  <w:style w:type="paragraph" w:styleId="18">
    <w:name w:val="Plain Text"/>
    <w:basedOn w:val="1"/>
    <w:next w:val="1"/>
    <w:link w:val="70"/>
    <w:qFormat/>
    <w:uiPriority w:val="99"/>
    <w:pPr>
      <w:autoSpaceDE w:val="0"/>
      <w:autoSpaceDN w:val="0"/>
      <w:adjustRightInd w:val="0"/>
      <w:jc w:val="left"/>
    </w:pPr>
    <w:rPr>
      <w:rFonts w:ascii="宋体"/>
      <w:kern w:val="0"/>
      <w:sz w:val="20"/>
    </w:rPr>
  </w:style>
  <w:style w:type="paragraph" w:styleId="19">
    <w:name w:val="toc 8"/>
    <w:basedOn w:val="1"/>
    <w:next w:val="1"/>
    <w:qFormat/>
    <w:uiPriority w:val="0"/>
    <w:pPr>
      <w:ind w:left="1400" w:leftChars="1400"/>
    </w:pPr>
  </w:style>
  <w:style w:type="paragraph" w:styleId="20">
    <w:name w:val="Date"/>
    <w:basedOn w:val="1"/>
    <w:next w:val="1"/>
    <w:qFormat/>
    <w:uiPriority w:val="0"/>
    <w:pPr>
      <w:ind w:left="2500" w:leftChars="2500"/>
    </w:pPr>
    <w:rPr>
      <w:rFonts w:ascii="仿宋_GB2312" w:eastAsia="仿宋_GB2312"/>
      <w:sz w:val="28"/>
    </w:rPr>
  </w:style>
  <w:style w:type="paragraph" w:styleId="21">
    <w:name w:val="Body Text Indent 2"/>
    <w:basedOn w:val="1"/>
    <w:link w:val="69"/>
    <w:qFormat/>
    <w:uiPriority w:val="99"/>
    <w:pPr>
      <w:spacing w:line="60" w:lineRule="auto"/>
      <w:ind w:firstLine="128" w:firstLineChars="128"/>
    </w:pPr>
    <w:rPr>
      <w:rFonts w:ascii="仿宋_GB2312" w:eastAsia="仿宋_GB2312"/>
      <w:sz w:val="28"/>
    </w:rPr>
  </w:style>
  <w:style w:type="paragraph" w:styleId="22">
    <w:name w:val="Balloon Text"/>
    <w:basedOn w:val="1"/>
    <w:qFormat/>
    <w:uiPriority w:val="0"/>
    <w:rPr>
      <w:sz w:val="18"/>
      <w:szCs w:val="18"/>
    </w:rPr>
  </w:style>
  <w:style w:type="paragraph" w:styleId="23">
    <w:name w:val="footer"/>
    <w:basedOn w:val="1"/>
    <w:link w:val="64"/>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4">
    <w:name w:val="header"/>
    <w:basedOn w:val="1"/>
    <w:link w:val="53"/>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5">
    <w:name w:val="toc 1"/>
    <w:basedOn w:val="1"/>
    <w:next w:val="1"/>
    <w:qFormat/>
    <w:uiPriority w:val="39"/>
  </w:style>
  <w:style w:type="paragraph" w:styleId="26">
    <w:name w:val="toc 4"/>
    <w:basedOn w:val="1"/>
    <w:next w:val="1"/>
    <w:qFormat/>
    <w:uiPriority w:val="0"/>
    <w:pPr>
      <w:ind w:left="600" w:leftChars="600"/>
    </w:pPr>
  </w:style>
  <w:style w:type="paragraph" w:styleId="27">
    <w:name w:val="footnote text"/>
    <w:basedOn w:val="1"/>
    <w:qFormat/>
    <w:uiPriority w:val="0"/>
    <w:pPr>
      <w:snapToGrid w:val="0"/>
      <w:jc w:val="left"/>
    </w:pPr>
    <w:rPr>
      <w:sz w:val="18"/>
      <w:szCs w:val="18"/>
    </w:rPr>
  </w:style>
  <w:style w:type="paragraph" w:styleId="28">
    <w:name w:val="toc 6"/>
    <w:basedOn w:val="1"/>
    <w:next w:val="1"/>
    <w:qFormat/>
    <w:uiPriority w:val="0"/>
    <w:pPr>
      <w:ind w:left="1000" w:leftChars="1000"/>
    </w:pPr>
  </w:style>
  <w:style w:type="paragraph" w:styleId="29">
    <w:name w:val="Body Text Indent 3"/>
    <w:basedOn w:val="1"/>
    <w:qFormat/>
    <w:uiPriority w:val="0"/>
    <w:pPr>
      <w:spacing w:line="360" w:lineRule="auto"/>
      <w:ind w:firstLine="192" w:firstLineChars="192"/>
    </w:pPr>
    <w:rPr>
      <w:rFonts w:ascii="仿宋_GB2312" w:eastAsia="仿宋_GB2312"/>
      <w:color w:val="3366FF"/>
      <w:sz w:val="24"/>
    </w:rPr>
  </w:style>
  <w:style w:type="paragraph" w:styleId="30">
    <w:name w:val="toc 2"/>
    <w:basedOn w:val="1"/>
    <w:next w:val="1"/>
    <w:qFormat/>
    <w:uiPriority w:val="39"/>
    <w:pPr>
      <w:ind w:left="60" w:firstLine="300"/>
    </w:pPr>
  </w:style>
  <w:style w:type="paragraph" w:styleId="31">
    <w:name w:val="toc 9"/>
    <w:basedOn w:val="1"/>
    <w:next w:val="1"/>
    <w:qFormat/>
    <w:uiPriority w:val="0"/>
    <w:pPr>
      <w:ind w:left="1600" w:leftChars="1600"/>
    </w:pPr>
  </w:style>
  <w:style w:type="paragraph" w:styleId="32">
    <w:name w:val="Body Text 2"/>
    <w:basedOn w:val="1"/>
    <w:qFormat/>
    <w:uiPriority w:val="0"/>
    <w:rPr>
      <w:rFonts w:ascii="宋体"/>
      <w:sz w:val="13"/>
      <w:szCs w:val="20"/>
    </w:rPr>
  </w:style>
  <w:style w:type="paragraph" w:styleId="3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4">
    <w:name w:val="Title"/>
    <w:basedOn w:val="1"/>
    <w:next w:val="1"/>
    <w:qFormat/>
    <w:uiPriority w:val="0"/>
    <w:pPr>
      <w:spacing w:before="240" w:after="60"/>
      <w:jc w:val="center"/>
      <w:outlineLvl w:val="0"/>
    </w:pPr>
    <w:rPr>
      <w:rFonts w:ascii="Cambria" w:hAnsi="Cambria"/>
      <w:b/>
      <w:bCs/>
      <w:sz w:val="32"/>
      <w:szCs w:val="32"/>
    </w:rPr>
  </w:style>
  <w:style w:type="paragraph" w:styleId="35">
    <w:name w:val="annotation subject"/>
    <w:basedOn w:val="13"/>
    <w:next w:val="13"/>
    <w:link w:val="132"/>
    <w:qFormat/>
    <w:uiPriority w:val="0"/>
    <w:rPr>
      <w:b/>
      <w:bCs/>
      <w:szCs w:val="24"/>
    </w:rPr>
  </w:style>
  <w:style w:type="paragraph" w:styleId="36">
    <w:name w:val="Body Text First Indent"/>
    <w:basedOn w:val="14"/>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37">
    <w:name w:val="Body Text First Indent 2"/>
    <w:basedOn w:val="15"/>
    <w:link w:val="71"/>
    <w:unhideWhenUsed/>
    <w:qFormat/>
    <w:uiPriority w:val="99"/>
    <w:pPr>
      <w:spacing w:after="120"/>
      <w:ind w:left="420" w:leftChars="200" w:firstLine="420"/>
      <w:jc w:val="both"/>
    </w:pPr>
    <w:rPr>
      <w:rFonts w:ascii="Calibri" w:hAnsi="Calibri"/>
      <w:sz w:val="21"/>
      <w:szCs w:val="22"/>
    </w:rPr>
  </w:style>
  <w:style w:type="table" w:styleId="39">
    <w:name w:val="Table Grid"/>
    <w:basedOn w:val="3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qFormat/>
    <w:uiPriority w:val="0"/>
    <w:rPr>
      <w:b/>
      <w:bCs/>
    </w:rPr>
  </w:style>
  <w:style w:type="character" w:styleId="42">
    <w:name w:val="page number"/>
    <w:basedOn w:val="40"/>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basedOn w:val="40"/>
    <w:qFormat/>
    <w:uiPriority w:val="99"/>
    <w:rPr>
      <w:color w:val="0000FF"/>
      <w:u w:val="single"/>
    </w:rPr>
  </w:style>
  <w:style w:type="character" w:styleId="46">
    <w:name w:val="annotation reference"/>
    <w:qFormat/>
    <w:uiPriority w:val="0"/>
    <w:rPr>
      <w:sz w:val="21"/>
      <w:szCs w:val="21"/>
    </w:rPr>
  </w:style>
  <w:style w:type="paragraph" w:customStyle="1" w:styleId="47">
    <w:name w:val="样式 正文文字缩进 + 小四 首行缩进:  2 字符"/>
    <w:basedOn w:val="1"/>
    <w:qFormat/>
    <w:uiPriority w:val="0"/>
    <w:pPr>
      <w:spacing w:line="600" w:lineRule="exact"/>
      <w:jc w:val="center"/>
    </w:pPr>
    <w:rPr>
      <w:rFonts w:ascii="宋体"/>
      <w:b/>
      <w:u w:val="double"/>
    </w:rPr>
  </w:style>
  <w:style w:type="paragraph" w:customStyle="1" w:styleId="48">
    <w:name w:val="BodyText1I"/>
    <w:basedOn w:val="49"/>
    <w:qFormat/>
    <w:uiPriority w:val="0"/>
    <w:pPr>
      <w:ind w:firstLine="420" w:firstLineChars="100"/>
    </w:pPr>
  </w:style>
  <w:style w:type="paragraph" w:customStyle="1" w:styleId="49">
    <w:name w:val="BodyText"/>
    <w:basedOn w:val="1"/>
    <w:next w:val="50"/>
    <w:qFormat/>
    <w:uiPriority w:val="0"/>
    <w:pPr>
      <w:spacing w:line="480" w:lineRule="auto"/>
      <w:jc w:val="center"/>
    </w:pPr>
    <w:rPr>
      <w:rFonts w:ascii="宋体"/>
      <w:b/>
      <w:sz w:val="72"/>
    </w:rPr>
  </w:style>
  <w:style w:type="paragraph" w:customStyle="1" w:styleId="50">
    <w:name w:val="UserStyle_0"/>
    <w:next w:val="1"/>
    <w:qFormat/>
    <w:uiPriority w:val="0"/>
    <w:pPr>
      <w:ind w:left="850"/>
      <w:jc w:val="both"/>
      <w:textAlignment w:val="baseline"/>
    </w:pPr>
    <w:rPr>
      <w:rFonts w:ascii="Times New Roman" w:hAnsi="Times New Roman" w:eastAsia="宋体" w:cstheme="minorBidi"/>
      <w:sz w:val="21"/>
      <w:lang w:val="en-US" w:eastAsia="zh-CN" w:bidi="ar-SA"/>
    </w:rPr>
  </w:style>
  <w:style w:type="character" w:customStyle="1" w:styleId="51">
    <w:name w:val="普通文字 Char Char1"/>
    <w:qFormat/>
    <w:uiPriority w:val="0"/>
    <w:rPr>
      <w:rFonts w:ascii="宋体" w:eastAsia="宋体"/>
      <w:kern w:val="2"/>
      <w:sz w:val="21"/>
      <w:lang w:val="en-US" w:eastAsia="zh-CN" w:bidi="ar-SA"/>
    </w:rPr>
  </w:style>
  <w:style w:type="character" w:customStyle="1" w:styleId="52">
    <w:name w:val="grame"/>
    <w:basedOn w:val="40"/>
    <w:qFormat/>
    <w:uiPriority w:val="0"/>
  </w:style>
  <w:style w:type="character" w:customStyle="1" w:styleId="53">
    <w:name w:val="页眉 字符"/>
    <w:link w:val="24"/>
    <w:qFormat/>
    <w:uiPriority w:val="99"/>
    <w:rPr>
      <w:sz w:val="18"/>
    </w:rPr>
  </w:style>
  <w:style w:type="character" w:customStyle="1" w:styleId="54">
    <w:name w:val="样式3 Char Char"/>
    <w:link w:val="55"/>
    <w:qFormat/>
    <w:uiPriority w:val="0"/>
    <w:rPr>
      <w:sz w:val="28"/>
    </w:rPr>
  </w:style>
  <w:style w:type="paragraph" w:customStyle="1" w:styleId="55">
    <w:name w:val="样式3"/>
    <w:basedOn w:val="1"/>
    <w:link w:val="54"/>
    <w:qFormat/>
    <w:uiPriority w:val="0"/>
    <w:pPr>
      <w:spacing w:line="360" w:lineRule="auto"/>
      <w:ind w:left="520" w:leftChars="1" w:hanging="518" w:hangingChars="185"/>
    </w:pPr>
    <w:rPr>
      <w:kern w:val="0"/>
      <w:sz w:val="28"/>
      <w:szCs w:val="20"/>
    </w:rPr>
  </w:style>
  <w:style w:type="character" w:customStyle="1" w:styleId="56">
    <w:name w:val="标题 3 字符"/>
    <w:link w:val="4"/>
    <w:qFormat/>
    <w:uiPriority w:val="0"/>
    <w:rPr>
      <w:rFonts w:ascii="宋体"/>
      <w:b/>
      <w:bCs/>
      <w:kern w:val="2"/>
      <w:sz w:val="24"/>
      <w:szCs w:val="32"/>
    </w:rPr>
  </w:style>
  <w:style w:type="character" w:customStyle="1" w:styleId="57">
    <w:name w:val="批注文字 字符"/>
    <w:link w:val="13"/>
    <w:qFormat/>
    <w:uiPriority w:val="0"/>
    <w:rPr>
      <w:kern w:val="2"/>
      <w:sz w:val="21"/>
    </w:rPr>
  </w:style>
  <w:style w:type="character" w:customStyle="1" w:styleId="58">
    <w:name w:val="正文文本缩进 字符"/>
    <w:link w:val="15"/>
    <w:qFormat/>
    <w:uiPriority w:val="99"/>
    <w:rPr>
      <w:rFonts w:ascii="仿宋_GB2312" w:eastAsia="仿宋_GB2312"/>
      <w:kern w:val="2"/>
      <w:sz w:val="28"/>
      <w:szCs w:val="24"/>
    </w:rPr>
  </w:style>
  <w:style w:type="character" w:customStyle="1" w:styleId="59">
    <w:name w:val="招标 Char Char"/>
    <w:link w:val="60"/>
    <w:qFormat/>
    <w:uiPriority w:val="0"/>
    <w:rPr>
      <w:rFonts w:hAnsi="宋体"/>
      <w:sz w:val="24"/>
      <w:szCs w:val="24"/>
    </w:rPr>
  </w:style>
  <w:style w:type="paragraph" w:customStyle="1" w:styleId="60">
    <w:name w:val="招标"/>
    <w:basedOn w:val="18"/>
    <w:link w:val="59"/>
    <w:qFormat/>
    <w:uiPriority w:val="0"/>
    <w:pPr>
      <w:autoSpaceDE/>
      <w:autoSpaceDN/>
      <w:adjustRightInd/>
      <w:spacing w:line="276" w:lineRule="auto"/>
      <w:jc w:val="both"/>
    </w:pPr>
    <w:rPr>
      <w:rFonts w:ascii="Times New Roman" w:hAnsi="宋体"/>
      <w:sz w:val="24"/>
    </w:rPr>
  </w:style>
  <w:style w:type="character" w:customStyle="1" w:styleId="61">
    <w:name w:val="Body Char"/>
    <w:link w:val="62"/>
    <w:qFormat/>
    <w:uiPriority w:val="0"/>
    <w:rPr>
      <w:rFonts w:ascii="Arial" w:hAnsi="Arial"/>
      <w:sz w:val="32"/>
      <w:szCs w:val="21"/>
      <w:lang w:eastAsia="en-US"/>
    </w:rPr>
  </w:style>
  <w:style w:type="paragraph" w:customStyle="1" w:styleId="62">
    <w:name w:val="Body"/>
    <w:basedOn w:val="1"/>
    <w:link w:val="61"/>
    <w:qFormat/>
    <w:uiPriority w:val="0"/>
    <w:pPr>
      <w:widowControl/>
      <w:spacing w:before="120" w:line="288" w:lineRule="auto"/>
      <w:ind w:left="-283" w:leftChars="-135" w:firstLine="567" w:firstLineChars="270"/>
    </w:pPr>
    <w:rPr>
      <w:rFonts w:ascii="Arial" w:hAnsi="Arial"/>
      <w:kern w:val="0"/>
      <w:sz w:val="32"/>
      <w:szCs w:val="21"/>
      <w:lang w:eastAsia="en-US"/>
    </w:rPr>
  </w:style>
  <w:style w:type="character" w:customStyle="1" w:styleId="63">
    <w:name w:val="纯文本 Char1"/>
    <w:qFormat/>
    <w:uiPriority w:val="0"/>
    <w:rPr>
      <w:rFonts w:ascii="宋体"/>
      <w:szCs w:val="24"/>
    </w:rPr>
  </w:style>
  <w:style w:type="character" w:customStyle="1" w:styleId="64">
    <w:name w:val="页脚 字符"/>
    <w:link w:val="23"/>
    <w:qFormat/>
    <w:uiPriority w:val="99"/>
    <w:rPr>
      <w:sz w:val="18"/>
    </w:rPr>
  </w:style>
  <w:style w:type="character" w:customStyle="1" w:styleId="65">
    <w:name w:val="列出段落 Char"/>
    <w:link w:val="66"/>
    <w:qFormat/>
    <w:uiPriority w:val="0"/>
    <w:rPr>
      <w:kern w:val="2"/>
      <w:sz w:val="21"/>
      <w:szCs w:val="24"/>
    </w:rPr>
  </w:style>
  <w:style w:type="paragraph" w:customStyle="1" w:styleId="66">
    <w:name w:val="列出段落2"/>
    <w:basedOn w:val="1"/>
    <w:link w:val="65"/>
    <w:qFormat/>
    <w:uiPriority w:val="0"/>
    <w:pPr>
      <w:ind w:firstLine="420" w:firstLineChars="200"/>
    </w:pPr>
  </w:style>
  <w:style w:type="character" w:customStyle="1" w:styleId="67">
    <w:name w:val="页码1"/>
    <w:qFormat/>
    <w:uiPriority w:val="0"/>
    <w:rPr>
      <w:rFonts w:cs="Times New Roman"/>
      <w:sz w:val="20"/>
    </w:rPr>
  </w:style>
  <w:style w:type="character" w:customStyle="1" w:styleId="68">
    <w:name w:val="标题 1 字符"/>
    <w:link w:val="2"/>
    <w:qFormat/>
    <w:uiPriority w:val="0"/>
    <w:rPr>
      <w:rFonts w:ascii="仿宋_GB2312" w:eastAsia="仿宋_GB2312"/>
      <w:b/>
      <w:bCs/>
      <w:color w:val="000000"/>
      <w:sz w:val="28"/>
    </w:rPr>
  </w:style>
  <w:style w:type="character" w:customStyle="1" w:styleId="69">
    <w:name w:val="正文文本缩进 2 字符"/>
    <w:link w:val="21"/>
    <w:qFormat/>
    <w:uiPriority w:val="99"/>
    <w:rPr>
      <w:rFonts w:ascii="仿宋_GB2312" w:eastAsia="仿宋_GB2312"/>
      <w:kern w:val="2"/>
      <w:sz w:val="28"/>
      <w:szCs w:val="24"/>
    </w:rPr>
  </w:style>
  <w:style w:type="character" w:customStyle="1" w:styleId="70">
    <w:name w:val="纯文本 字符"/>
    <w:link w:val="18"/>
    <w:qFormat/>
    <w:uiPriority w:val="99"/>
    <w:rPr>
      <w:rFonts w:ascii="宋体"/>
      <w:szCs w:val="24"/>
    </w:rPr>
  </w:style>
  <w:style w:type="character" w:customStyle="1" w:styleId="71">
    <w:name w:val="正文文本首行缩进 2 字符"/>
    <w:link w:val="37"/>
    <w:qFormat/>
    <w:uiPriority w:val="99"/>
    <w:rPr>
      <w:rFonts w:ascii="Calibri" w:hAnsi="Calibri" w:eastAsia="仿宋_GB2312"/>
      <w:kern w:val="2"/>
      <w:sz w:val="21"/>
      <w:szCs w:val="22"/>
    </w:rPr>
  </w:style>
  <w:style w:type="character" w:customStyle="1" w:styleId="72">
    <w:name w:val="正文缩进 字符"/>
    <w:link w:val="11"/>
    <w:qFormat/>
    <w:uiPriority w:val="0"/>
    <w:rPr>
      <w:rFonts w:ascii="宋体"/>
      <w:kern w:val="2"/>
      <w:sz w:val="21"/>
    </w:rPr>
  </w:style>
  <w:style w:type="character" w:customStyle="1" w:styleId="73">
    <w:name w:val="标题 2 字符"/>
    <w:link w:val="3"/>
    <w:qFormat/>
    <w:uiPriority w:val="0"/>
    <w:rPr>
      <w:rFonts w:ascii="Arial" w:hAnsi="Arial"/>
      <w:b/>
      <w:bCs/>
      <w:kern w:val="2"/>
      <w:sz w:val="28"/>
      <w:szCs w:val="32"/>
    </w:rPr>
  </w:style>
  <w:style w:type="character" w:customStyle="1" w:styleId="74">
    <w:name w:val="正文文本缩进 Char"/>
    <w:semiHidden/>
    <w:qFormat/>
    <w:uiPriority w:val="99"/>
    <w:rPr>
      <w:kern w:val="2"/>
      <w:sz w:val="21"/>
      <w:szCs w:val="22"/>
    </w:rPr>
  </w:style>
  <w:style w:type="character" w:customStyle="1" w:styleId="75">
    <w:name w:val="para1"/>
    <w:qFormat/>
    <w:uiPriority w:val="0"/>
    <w:rPr>
      <w:rFonts w:hint="default" w:ascii="Arial" w:hAnsi="Arial" w:cs="Arial"/>
      <w:sz w:val="18"/>
      <w:szCs w:val="18"/>
    </w:rPr>
  </w:style>
  <w:style w:type="paragraph" w:customStyle="1" w:styleId="76">
    <w:name w:val="Char Char Char Char Char Char Char Char Char Char"/>
    <w:basedOn w:val="1"/>
    <w:qFormat/>
    <w:uiPriority w:val="0"/>
    <w:rPr>
      <w:rFonts w:ascii="Tahoma" w:hAnsi="Tahoma"/>
      <w:sz w:val="24"/>
      <w:szCs w:val="20"/>
    </w:rPr>
  </w:style>
  <w:style w:type="paragraph" w:customStyle="1" w:styleId="77">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78">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79">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80">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1">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2">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83">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4">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85">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86">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87">
    <w:name w:val="采购申报表正文"/>
    <w:basedOn w:val="1"/>
    <w:qFormat/>
    <w:uiPriority w:val="0"/>
    <w:rPr>
      <w:rFonts w:ascii="仿宋_GB2312" w:eastAsia="仿宋_GB2312"/>
      <w:szCs w:val="28"/>
    </w:rPr>
  </w:style>
  <w:style w:type="paragraph" w:customStyle="1" w:styleId="88">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9">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9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91">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92">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3">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94">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95">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96">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97">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98">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9">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00">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01">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2">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03">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04">
    <w:name w:val="font8"/>
    <w:basedOn w:val="1"/>
    <w:qFormat/>
    <w:uiPriority w:val="0"/>
    <w:pPr>
      <w:widowControl/>
      <w:spacing w:before="100" w:beforeAutospacing="1" w:after="100" w:afterAutospacing="1"/>
      <w:jc w:val="left"/>
    </w:pPr>
    <w:rPr>
      <w:kern w:val="0"/>
      <w:sz w:val="20"/>
      <w:szCs w:val="20"/>
    </w:rPr>
  </w:style>
  <w:style w:type="paragraph" w:customStyle="1" w:styleId="105">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06">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07">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8">
    <w:name w:val="正文文本缩进1"/>
    <w:basedOn w:val="1"/>
    <w:qFormat/>
    <w:uiPriority w:val="0"/>
    <w:pPr>
      <w:spacing w:line="360" w:lineRule="auto"/>
      <w:ind w:left="1"/>
    </w:pPr>
    <w:rPr>
      <w:kern w:val="0"/>
      <w:sz w:val="20"/>
      <w:szCs w:val="20"/>
    </w:rPr>
  </w:style>
  <w:style w:type="paragraph" w:customStyle="1" w:styleId="109">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0">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1">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112">
    <w:name w:val="xl23"/>
    <w:next w:val="97"/>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13">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14">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5">
    <w:name w:val="列出段落1"/>
    <w:basedOn w:val="1"/>
    <w:qFormat/>
    <w:uiPriority w:val="0"/>
    <w:pPr>
      <w:ind w:firstLine="420" w:firstLineChars="200"/>
    </w:pPr>
  </w:style>
  <w:style w:type="paragraph" w:customStyle="1" w:styleId="116">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7">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18">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9">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0">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21">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22">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23">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24">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5">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6">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7">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8">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29">
    <w:name w:val="Char"/>
    <w:basedOn w:val="1"/>
    <w:qFormat/>
    <w:uiPriority w:val="0"/>
  </w:style>
  <w:style w:type="paragraph" w:customStyle="1" w:styleId="130">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styleId="131">
    <w:name w:val="List Paragraph"/>
    <w:basedOn w:val="1"/>
    <w:qFormat/>
    <w:uiPriority w:val="34"/>
    <w:pPr>
      <w:ind w:firstLine="420" w:firstLineChars="200"/>
    </w:pPr>
    <w:rPr>
      <w:rFonts w:ascii="Calibri" w:hAnsi="Calibri"/>
      <w:szCs w:val="22"/>
    </w:rPr>
  </w:style>
  <w:style w:type="character" w:customStyle="1" w:styleId="132">
    <w:name w:val="批注主题 字符"/>
    <w:link w:val="35"/>
    <w:qFormat/>
    <w:uiPriority w:val="0"/>
    <w:rPr>
      <w:b/>
      <w:bCs/>
      <w:kern w:val="2"/>
      <w:sz w:val="21"/>
      <w:szCs w:val="24"/>
    </w:rPr>
  </w:style>
  <w:style w:type="paragraph" w:customStyle="1" w:styleId="133">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34">
    <w:name w:val="_Style 3"/>
    <w:basedOn w:val="1"/>
    <w:qFormat/>
    <w:uiPriority w:val="34"/>
    <w:pPr>
      <w:ind w:firstLine="420" w:firstLineChars="200"/>
    </w:pPr>
  </w:style>
  <w:style w:type="paragraph" w:customStyle="1" w:styleId="135">
    <w:name w:val="MM Topic 2"/>
    <w:basedOn w:val="3"/>
    <w:qFormat/>
    <w:uiPriority w:val="0"/>
    <w:pPr>
      <w:numPr>
        <w:ilvl w:val="1"/>
        <w:numId w:val="2"/>
      </w:numPr>
    </w:pPr>
    <w:rPr>
      <w:kern w:val="0"/>
    </w:rPr>
  </w:style>
  <w:style w:type="paragraph" w:customStyle="1" w:styleId="136">
    <w:name w:val="样式 四号2"/>
    <w:qFormat/>
    <w:uiPriority w:val="0"/>
    <w:pPr>
      <w:widowControl w:val="0"/>
      <w:spacing w:line="480" w:lineRule="exact"/>
      <w:jc w:val="both"/>
    </w:pPr>
    <w:rPr>
      <w:rFonts w:ascii="Calibri" w:hAnsi="Calibri" w:eastAsia="仿宋_GB2312" w:cs="Times New Roman"/>
      <w:kern w:val="2"/>
      <w:sz w:val="28"/>
      <w:szCs w:val="22"/>
      <w:lang w:val="en-US" w:eastAsia="zh-CN" w:bidi="ar-SA"/>
    </w:rPr>
  </w:style>
  <w:style w:type="character" w:customStyle="1" w:styleId="137">
    <w:name w:val="font111"/>
    <w:basedOn w:val="40"/>
    <w:qFormat/>
    <w:uiPriority w:val="0"/>
    <w:rPr>
      <w:rFonts w:ascii="仿宋" w:hAnsi="仿宋" w:eastAsia="仿宋" w:cs="仿宋"/>
      <w:color w:val="000000"/>
      <w:sz w:val="28"/>
      <w:szCs w:val="28"/>
      <w:u w:val="none"/>
    </w:rPr>
  </w:style>
  <w:style w:type="character" w:customStyle="1" w:styleId="138">
    <w:name w:val="font21"/>
    <w:basedOn w:val="40"/>
    <w:qFormat/>
    <w:uiPriority w:val="0"/>
    <w:rPr>
      <w:rFonts w:hint="eastAsia" w:ascii="仿宋" w:hAnsi="仿宋" w:eastAsia="仿宋" w:cs="仿宋"/>
      <w:color w:val="000000"/>
      <w:sz w:val="24"/>
      <w:szCs w:val="24"/>
      <w:u w:val="none"/>
    </w:rPr>
  </w:style>
  <w:style w:type="paragraph" w:customStyle="1" w:styleId="139">
    <w:name w:val="WPSOffice手动目录 1"/>
    <w:qFormat/>
    <w:uiPriority w:val="0"/>
    <w:rPr>
      <w:rFonts w:ascii="Times New Roman" w:hAnsi="Times New Roman" w:eastAsia="宋体" w:cs="Times New Roman"/>
      <w:lang w:val="en-US" w:eastAsia="zh-CN" w:bidi="ar-SA"/>
    </w:rPr>
  </w:style>
  <w:style w:type="paragraph" w:customStyle="1" w:styleId="14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41">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2">
    <w:name w:val="文档结构图1"/>
    <w:basedOn w:val="1"/>
    <w:qFormat/>
    <w:uiPriority w:val="0"/>
  </w:style>
  <w:style w:type="paragraph" w:customStyle="1" w:styleId="143">
    <w:name w:val="列出段落11"/>
    <w:basedOn w:val="1"/>
    <w:qFormat/>
    <w:uiPriority w:val="34"/>
    <w:pPr>
      <w:ind w:firstLine="420" w:firstLineChars="200"/>
    </w:pPr>
  </w:style>
  <w:style w:type="character" w:customStyle="1" w:styleId="144">
    <w:name w:val="NormalCharacter"/>
    <w:semiHidden/>
    <w:qFormat/>
    <w:uiPriority w:val="0"/>
  </w:style>
  <w:style w:type="paragraph" w:customStyle="1" w:styleId="145">
    <w:name w:val="小四"/>
    <w:basedOn w:val="1"/>
    <w:qFormat/>
    <w:uiPriority w:val="0"/>
    <w:pPr>
      <w:spacing w:line="360" w:lineRule="auto"/>
      <w:ind w:firstLine="480" w:firstLineChars="200"/>
    </w:pPr>
    <w:rPr>
      <w:rFonts w:cs="宋体"/>
      <w:sz w:val="24"/>
    </w:rPr>
  </w:style>
  <w:style w:type="paragraph" w:customStyle="1" w:styleId="146">
    <w:name w:val="样式1"/>
    <w:basedOn w:val="3"/>
    <w:qFormat/>
    <w:uiPriority w:val="0"/>
    <w:pPr>
      <w:adjustRightInd w:val="0"/>
      <w:spacing w:before="240" w:after="0" w:line="416" w:lineRule="atLeast"/>
      <w:jc w:val="left"/>
      <w:textAlignment w:val="baseline"/>
    </w:pPr>
    <w:rPr>
      <w:bCs w:val="0"/>
      <w:color w:val="000000"/>
      <w:kern w:val="0"/>
      <w:sz w:val="30"/>
      <w:szCs w:val="20"/>
    </w:rPr>
  </w:style>
  <w:style w:type="paragraph" w:customStyle="1" w:styleId="147">
    <w:name w:val="CM44"/>
    <w:basedOn w:val="141"/>
    <w:next w:val="141"/>
    <w:qFormat/>
    <w:uiPriority w:val="0"/>
    <w:pPr>
      <w:spacing w:line="440" w:lineRule="atLeast"/>
    </w:pPr>
    <w:rPr>
      <w:color w:val="auto"/>
    </w:rPr>
  </w:style>
  <w:style w:type="paragraph" w:customStyle="1" w:styleId="148">
    <w:name w:val="CM92"/>
    <w:basedOn w:val="141"/>
    <w:next w:val="141"/>
    <w:qFormat/>
    <w:uiPriority w:val="0"/>
    <w:pPr>
      <w:spacing w:after="530"/>
    </w:pPr>
    <w:rPr>
      <w:color w:val="auto"/>
    </w:rPr>
  </w:style>
  <w:style w:type="paragraph" w:customStyle="1" w:styleId="149">
    <w:name w:val="CM91"/>
    <w:basedOn w:val="141"/>
    <w:next w:val="141"/>
    <w:qFormat/>
    <w:uiPriority w:val="0"/>
    <w:pPr>
      <w:spacing w:after="160"/>
    </w:pPr>
    <w:rPr>
      <w:color w:val="auto"/>
    </w:rPr>
  </w:style>
  <w:style w:type="paragraph" w:customStyle="1" w:styleId="150">
    <w:name w:val="CM49"/>
    <w:basedOn w:val="141"/>
    <w:next w:val="141"/>
    <w:qFormat/>
    <w:uiPriority w:val="0"/>
    <w:pPr>
      <w:spacing w:line="440" w:lineRule="atLeast"/>
    </w:pPr>
    <w:rPr>
      <w:color w:val="auto"/>
    </w:rPr>
  </w:style>
  <w:style w:type="paragraph" w:customStyle="1" w:styleId="151">
    <w:name w:val="CM99"/>
    <w:basedOn w:val="141"/>
    <w:next w:val="141"/>
    <w:qFormat/>
    <w:uiPriority w:val="0"/>
    <w:pPr>
      <w:spacing w:after="443"/>
    </w:pPr>
    <w:rPr>
      <w:color w:val="auto"/>
    </w:rPr>
  </w:style>
  <w:style w:type="paragraph" w:customStyle="1" w:styleId="152">
    <w:name w:val="Table Text"/>
    <w:basedOn w:val="1"/>
    <w:semiHidden/>
    <w:qFormat/>
    <w:uiPriority w:val="0"/>
    <w:rPr>
      <w:rFonts w:ascii="宋体" w:hAnsi="宋体" w:eastAsia="宋体" w:cs="宋体"/>
      <w:sz w:val="20"/>
      <w:szCs w:val="20"/>
      <w:lang w:val="en-US" w:eastAsia="en-US" w:bidi="ar-SA"/>
    </w:rPr>
  </w:style>
  <w:style w:type="paragraph" w:customStyle="1" w:styleId="153">
    <w:name w:val="图"/>
    <w:basedOn w:val="1"/>
    <w:autoRedefine/>
    <w:qFormat/>
    <w:uiPriority w:val="0"/>
    <w:pPr>
      <w:adjustRightInd w:val="0"/>
      <w:spacing w:line="240" w:lineRule="auto"/>
      <w:ind w:firstLine="0" w:firstLineChars="0"/>
      <w:jc w:val="center"/>
      <w:textAlignment w:val="center"/>
    </w:pPr>
    <w:rPr>
      <w:rFonts w:ascii="Times New Roman" w:hAnsi="Times New Roman"/>
      <w:b/>
      <w:snapToGrid w:val="0"/>
      <w:spacing w:val="20"/>
      <w:kern w:val="0"/>
      <w:sz w:val="18"/>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emf"/><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5.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19393</Words>
  <Characters>20597</Characters>
  <Lines>240</Lines>
  <Paragraphs>67</Paragraphs>
  <TotalTime>78</TotalTime>
  <ScaleCrop>false</ScaleCrop>
  <LinksUpToDate>false</LinksUpToDate>
  <CharactersWithSpaces>21109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2025-03-13T03:48:00Z</dcterms:created>
  <dc:creator>z</dc:creator>
  <cp:lastModifiedBy>17</cp:lastModifiedBy>
  <cp:lastPrinted>2016-10-10T03:15:00Z</cp:lastPrinted>
  <dcterms:modified xsi:type="dcterms:W3CDTF">2025-06-18T13:17:21Z</dcterms:modified>
  <dc:title>询价书</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E2F6DE086F7F4F458D5BE51B4831F99A_13</vt:lpwstr>
  </property>
  <property fmtid="{D5CDD505-2E9C-101B-9397-08002B2CF9AE}" pid="4" name="KSOTemplateDocerSaveRecord">
    <vt:lpwstr>eyJoZGlkIjoiZWQyMzc1ZGJhZDM3ZGNiMDJkODg5NmYwMzcxNTk1MzIiLCJ1c2VySWQiOiI5ODgyNTA2NDkifQ==</vt:lpwstr>
  </property>
</Properties>
</file>