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A59FB4">
      <w:pPr>
        <w:spacing w:line="480" w:lineRule="exact"/>
        <w:jc w:val="center"/>
        <w:rPr>
          <w:rFonts w:hint="eastAsia" w:ascii="宋体" w:hAnsi="宋体" w:cs="宋体"/>
          <w:b/>
          <w:color w:val="auto"/>
          <w:sz w:val="48"/>
          <w:szCs w:val="48"/>
          <w:highlight w:val="none"/>
        </w:rPr>
      </w:pPr>
    </w:p>
    <w:p w14:paraId="19082C2D">
      <w:pPr>
        <w:outlineLvl w:val="9"/>
        <w:rPr>
          <w:rFonts w:hint="eastAsia"/>
          <w:color w:val="auto"/>
          <w:highlight w:val="none"/>
        </w:rPr>
      </w:pPr>
    </w:p>
    <w:p w14:paraId="54A31CF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72"/>
          <w:szCs w:val="240"/>
          <w:highlight w:val="none"/>
          <w:lang w:eastAsia="zh-CN"/>
        </w:rPr>
      </w:pPr>
      <w:r>
        <w:rPr>
          <w:rFonts w:hint="eastAsia" w:ascii="宋体" w:hAnsi="宋体" w:cs="宋体"/>
          <w:b/>
          <w:color w:val="auto"/>
          <w:sz w:val="72"/>
          <w:szCs w:val="240"/>
          <w:highlight w:val="none"/>
          <w:lang w:eastAsia="zh-CN"/>
        </w:rPr>
        <w:t>昆明市公安局商用密码应用安全性评估服务</w:t>
      </w:r>
    </w:p>
    <w:p w14:paraId="742688A5">
      <w:pPr>
        <w:spacing w:before="2184" w:beforeLines="700" w:line="360" w:lineRule="auto"/>
        <w:jc w:val="center"/>
        <w:rPr>
          <w:rFonts w:hint="eastAsia" w:ascii="宋体" w:hAnsi="宋体" w:cs="宋体"/>
          <w:b/>
          <w:color w:val="auto"/>
          <w:sz w:val="32"/>
          <w:szCs w:val="32"/>
          <w:highlight w:val="none"/>
        </w:rPr>
      </w:pPr>
      <w:r>
        <w:rPr>
          <w:rFonts w:hint="eastAsia" w:ascii="宋体" w:hAnsi="宋体" w:cs="宋体"/>
          <w:b/>
          <w:color w:val="auto"/>
          <w:sz w:val="72"/>
          <w:szCs w:val="72"/>
          <w:highlight w:val="none"/>
        </w:rPr>
        <w:t>竞争性磋商文件</w:t>
      </w:r>
    </w:p>
    <w:p w14:paraId="7396D137">
      <w:pPr>
        <w:tabs>
          <w:tab w:val="center" w:pos="4711"/>
          <w:tab w:val="left" w:pos="6544"/>
        </w:tabs>
        <w:spacing w:line="760" w:lineRule="exact"/>
        <w:jc w:val="left"/>
        <w:rPr>
          <w:rFonts w:hint="eastAsia" w:ascii="宋体" w:hAnsi="宋体" w:cs="宋体"/>
          <w:b/>
          <w:color w:val="auto"/>
          <w:sz w:val="32"/>
          <w:szCs w:val="32"/>
          <w:highlight w:val="none"/>
        </w:rPr>
      </w:pPr>
      <w:r>
        <w:rPr>
          <w:rFonts w:hint="eastAsia" w:ascii="宋体" w:hAnsi="宋体" w:cs="宋体"/>
          <w:b/>
          <w:color w:val="auto"/>
          <w:sz w:val="32"/>
          <w:szCs w:val="32"/>
          <w:highlight w:val="none"/>
        </w:rPr>
        <w:tab/>
      </w:r>
      <w:r>
        <w:rPr>
          <w:rFonts w:hint="eastAsia" w:ascii="宋体" w:hAnsi="宋体" w:cs="宋体"/>
          <w:b/>
          <w:color w:val="auto"/>
          <w:sz w:val="32"/>
          <w:szCs w:val="32"/>
          <w:highlight w:val="none"/>
        </w:rPr>
        <w:t>项目编号：</w:t>
      </w:r>
      <w:r>
        <w:rPr>
          <w:rFonts w:hint="eastAsia" w:ascii="宋体" w:hAnsi="宋体" w:cs="宋体"/>
          <w:b/>
          <w:color w:val="auto"/>
          <w:sz w:val="32"/>
          <w:szCs w:val="32"/>
          <w:highlight w:val="none"/>
          <w:lang w:val="en-US" w:eastAsia="zh-CN"/>
        </w:rPr>
        <w:t>KMZC2025-C3-01073-YNGR-0107</w:t>
      </w:r>
    </w:p>
    <w:p w14:paraId="74915974">
      <w:pPr>
        <w:spacing w:line="760" w:lineRule="exact"/>
        <w:jc w:val="center"/>
        <w:rPr>
          <w:rFonts w:hint="eastAsia" w:ascii="宋体" w:hAnsi="宋体" w:eastAsia="宋体" w:cs="宋体"/>
          <w:b/>
          <w:color w:val="auto"/>
          <w:sz w:val="32"/>
          <w:szCs w:val="32"/>
          <w:highlight w:val="none"/>
        </w:rPr>
      </w:pPr>
    </w:p>
    <w:p w14:paraId="252B5FC1">
      <w:pPr>
        <w:spacing w:line="760" w:lineRule="exact"/>
        <w:jc w:val="center"/>
        <w:rPr>
          <w:rFonts w:hint="eastAsia" w:ascii="宋体" w:hAnsi="宋体" w:eastAsia="宋体" w:cs="宋体"/>
          <w:b/>
          <w:color w:val="auto"/>
          <w:sz w:val="32"/>
          <w:szCs w:val="32"/>
          <w:highlight w:val="none"/>
        </w:rPr>
      </w:pPr>
    </w:p>
    <w:p w14:paraId="0D5199A7">
      <w:pPr>
        <w:spacing w:line="760" w:lineRule="exact"/>
        <w:jc w:val="center"/>
        <w:rPr>
          <w:rFonts w:hint="eastAsia" w:ascii="宋体" w:hAnsi="宋体" w:eastAsia="宋体" w:cs="宋体"/>
          <w:b/>
          <w:color w:val="auto"/>
          <w:sz w:val="32"/>
          <w:szCs w:val="32"/>
          <w:highlight w:val="none"/>
        </w:rPr>
      </w:pPr>
    </w:p>
    <w:p w14:paraId="77FD1761">
      <w:pPr>
        <w:spacing w:line="760" w:lineRule="exact"/>
        <w:jc w:val="center"/>
        <w:rPr>
          <w:rFonts w:hint="eastAsia" w:ascii="宋体" w:hAnsi="宋体" w:eastAsia="宋体" w:cs="宋体"/>
          <w:b/>
          <w:color w:val="auto"/>
          <w:sz w:val="32"/>
          <w:szCs w:val="32"/>
          <w:highlight w:val="none"/>
        </w:rPr>
      </w:pPr>
    </w:p>
    <w:p w14:paraId="19F01031">
      <w:pPr>
        <w:pStyle w:val="18"/>
        <w:spacing w:line="360" w:lineRule="auto"/>
        <w:jc w:val="center"/>
        <w:rPr>
          <w:rFonts w:hint="eastAsia" w:ascii="宋体" w:hAnsi="宋体" w:cs="宋体"/>
          <w:b/>
          <w:color w:val="auto"/>
          <w:sz w:val="32"/>
          <w:szCs w:val="32"/>
          <w:highlight w:val="none"/>
        </w:rPr>
      </w:pPr>
    </w:p>
    <w:p w14:paraId="5A9EFFA0">
      <w:pPr>
        <w:pStyle w:val="18"/>
        <w:spacing w:line="360" w:lineRule="auto"/>
        <w:jc w:val="center"/>
        <w:rPr>
          <w:rFonts w:hint="eastAsia" w:ascii="宋体" w:hAnsi="宋体" w:cs="宋体"/>
          <w:b/>
          <w:color w:val="auto"/>
          <w:sz w:val="32"/>
          <w:szCs w:val="32"/>
          <w:highlight w:val="none"/>
        </w:rPr>
      </w:pPr>
    </w:p>
    <w:p w14:paraId="0613F689">
      <w:pPr>
        <w:pStyle w:val="18"/>
        <w:spacing w:line="360" w:lineRule="auto"/>
        <w:jc w:val="center"/>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采购人：</w:t>
      </w:r>
      <w:r>
        <w:rPr>
          <w:rFonts w:hint="eastAsia" w:ascii="Times New Roman"/>
          <w:b/>
          <w:bCs/>
          <w:color w:val="auto"/>
          <w:sz w:val="32"/>
          <w:szCs w:val="32"/>
          <w:highlight w:val="none"/>
          <w:lang w:eastAsia="zh-CN"/>
        </w:rPr>
        <w:t>昆明市公安局</w:t>
      </w:r>
    </w:p>
    <w:p w14:paraId="214C0A53">
      <w:pPr>
        <w:spacing w:line="760" w:lineRule="exact"/>
        <w:jc w:val="center"/>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采购代理机构：</w:t>
      </w:r>
      <w:r>
        <w:rPr>
          <w:rFonts w:hint="eastAsia" w:ascii="宋体" w:hAnsi="宋体" w:cs="宋体"/>
          <w:b/>
          <w:color w:val="auto"/>
          <w:sz w:val="32"/>
          <w:szCs w:val="32"/>
          <w:highlight w:val="none"/>
          <w:lang w:eastAsia="zh-CN"/>
        </w:rPr>
        <w:t>云南冠睿咨询有限公司</w:t>
      </w:r>
    </w:p>
    <w:p w14:paraId="4C83E8B4">
      <w:pPr>
        <w:spacing w:line="760" w:lineRule="exact"/>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202</w:t>
      </w:r>
      <w:r>
        <w:rPr>
          <w:rFonts w:hint="eastAsia" w:ascii="宋体" w:hAnsi="宋体" w:cs="宋体"/>
          <w:b/>
          <w:color w:val="auto"/>
          <w:sz w:val="32"/>
          <w:szCs w:val="32"/>
          <w:highlight w:val="none"/>
          <w:lang w:val="en-US" w:eastAsia="zh-CN"/>
        </w:rPr>
        <w:t>5</w:t>
      </w:r>
      <w:r>
        <w:rPr>
          <w:rFonts w:hint="eastAsia" w:ascii="宋体" w:hAnsi="宋体" w:cs="宋体"/>
          <w:b/>
          <w:color w:val="auto"/>
          <w:sz w:val="32"/>
          <w:szCs w:val="32"/>
          <w:highlight w:val="none"/>
        </w:rPr>
        <w:t>年</w:t>
      </w:r>
      <w:r>
        <w:rPr>
          <w:rFonts w:hint="eastAsia" w:ascii="宋体" w:hAnsi="宋体" w:cs="宋体"/>
          <w:b/>
          <w:color w:val="auto"/>
          <w:sz w:val="32"/>
          <w:szCs w:val="32"/>
          <w:highlight w:val="none"/>
          <w:lang w:val="en-US" w:eastAsia="zh-CN"/>
        </w:rPr>
        <w:t>05</w:t>
      </w:r>
      <w:r>
        <w:rPr>
          <w:rFonts w:hint="eastAsia" w:ascii="宋体" w:hAnsi="宋体" w:cs="宋体"/>
          <w:b/>
          <w:color w:val="auto"/>
          <w:sz w:val="32"/>
          <w:szCs w:val="32"/>
          <w:highlight w:val="none"/>
        </w:rPr>
        <w:t>月</w:t>
      </w:r>
    </w:p>
    <w:p w14:paraId="3BC9587D">
      <w:pPr>
        <w:pStyle w:val="20"/>
        <w:tabs>
          <w:tab w:val="left" w:pos="105"/>
          <w:tab w:val="left" w:pos="945"/>
          <w:tab w:val="left" w:pos="3360"/>
        </w:tabs>
        <w:adjustRightInd w:val="0"/>
        <w:snapToGrid w:val="0"/>
        <w:spacing w:line="400" w:lineRule="exact"/>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r>
    </w:p>
    <w:p w14:paraId="7120F948">
      <w:pPr>
        <w:pStyle w:val="20"/>
        <w:tabs>
          <w:tab w:val="left" w:pos="105"/>
          <w:tab w:val="left" w:pos="945"/>
          <w:tab w:val="left" w:pos="3360"/>
        </w:tabs>
        <w:adjustRightInd w:val="0"/>
        <w:snapToGrid w:val="0"/>
        <w:spacing w:line="400" w:lineRule="exact"/>
        <w:jc w:val="center"/>
        <w:rPr>
          <w:rFonts w:hint="eastAsia" w:ascii="宋体" w:hAnsi="宋体" w:cs="宋体"/>
          <w:b/>
          <w:bCs w:val="0"/>
          <w:color w:val="auto"/>
          <w:sz w:val="40"/>
          <w:highlight w:val="none"/>
        </w:rPr>
      </w:pPr>
    </w:p>
    <w:p w14:paraId="65FAC974">
      <w:pPr>
        <w:pStyle w:val="20"/>
        <w:tabs>
          <w:tab w:val="left" w:pos="105"/>
          <w:tab w:val="left" w:pos="945"/>
          <w:tab w:val="left" w:pos="3360"/>
        </w:tabs>
        <w:adjustRightInd w:val="0"/>
        <w:snapToGrid w:val="0"/>
        <w:spacing w:line="480" w:lineRule="auto"/>
        <w:jc w:val="center"/>
        <w:rPr>
          <w:rFonts w:hint="eastAsia" w:ascii="宋体" w:hAnsi="宋体" w:cs="宋体"/>
          <w:b/>
          <w:bCs w:val="0"/>
          <w:color w:val="auto"/>
          <w:sz w:val="38"/>
          <w:highlight w:val="none"/>
        </w:rPr>
      </w:pPr>
      <w:r>
        <w:rPr>
          <w:rFonts w:hint="eastAsia" w:ascii="宋体" w:hAnsi="宋体" w:cs="宋体"/>
          <w:b/>
          <w:bCs w:val="0"/>
          <w:color w:val="auto"/>
          <w:sz w:val="40"/>
          <w:highlight w:val="none"/>
        </w:rPr>
        <w:t>目  录</w:t>
      </w:r>
    </w:p>
    <w:p w14:paraId="185E7DDF">
      <w:pPr>
        <w:pStyle w:val="25"/>
        <w:tabs>
          <w:tab w:val="right" w:leader="dot" w:pos="9301"/>
          <w:tab w:val="clear" w:pos="840"/>
          <w:tab w:val="clear" w:pos="9170"/>
        </w:tabs>
        <w:spacing w:line="48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bCs w:val="0"/>
          <w:color w:val="auto"/>
          <w:sz w:val="28"/>
          <w:szCs w:val="28"/>
          <w:highlight w:val="none"/>
        </w:rPr>
        <w:fldChar w:fldCharType="begin"/>
      </w:r>
      <w:r>
        <w:rPr>
          <w:rFonts w:hint="eastAsia" w:asciiTheme="minorEastAsia" w:hAnsiTheme="minorEastAsia" w:eastAsiaTheme="minorEastAsia" w:cstheme="minorEastAsia"/>
          <w:b/>
          <w:bCs w:val="0"/>
          <w:color w:val="auto"/>
          <w:sz w:val="28"/>
          <w:szCs w:val="28"/>
          <w:highlight w:val="none"/>
        </w:rPr>
        <w:instrText xml:space="preserve"> TOC \o "1-3" \h \z \u </w:instrText>
      </w:r>
      <w:r>
        <w:rPr>
          <w:rFonts w:hint="eastAsia" w:asciiTheme="minorEastAsia" w:hAnsiTheme="minorEastAsia" w:eastAsiaTheme="minorEastAsia" w:cstheme="minorEastAsia"/>
          <w:b/>
          <w:bCs w:val="0"/>
          <w:color w:val="auto"/>
          <w:sz w:val="28"/>
          <w:szCs w:val="28"/>
          <w:highlight w:val="none"/>
        </w:rPr>
        <w:fldChar w:fldCharType="separate"/>
      </w:r>
      <w:r>
        <w:rPr>
          <w:rFonts w:hint="eastAsia" w:asciiTheme="minorEastAsia" w:hAnsiTheme="minorEastAsia" w:eastAsiaTheme="minorEastAsia" w:cstheme="minorEastAsia"/>
          <w:bCs w:val="0"/>
          <w:color w:val="auto"/>
          <w:sz w:val="28"/>
          <w:szCs w:val="28"/>
          <w:highlight w:val="none"/>
        </w:rPr>
        <w:fldChar w:fldCharType="begin"/>
      </w:r>
      <w:r>
        <w:rPr>
          <w:rFonts w:hint="eastAsia" w:asciiTheme="minorEastAsia" w:hAnsiTheme="minorEastAsia" w:eastAsiaTheme="minorEastAsia" w:cstheme="minorEastAsia"/>
          <w:bCs w:val="0"/>
          <w:color w:val="auto"/>
          <w:sz w:val="28"/>
          <w:szCs w:val="28"/>
          <w:highlight w:val="none"/>
        </w:rPr>
        <w:instrText xml:space="preserve"> HYPERLINK \l _Toc14933 </w:instrText>
      </w:r>
      <w:r>
        <w:rPr>
          <w:rFonts w:hint="eastAsia" w:asciiTheme="minorEastAsia" w:hAnsiTheme="minorEastAsia" w:eastAsiaTheme="minorEastAsia" w:cstheme="minorEastAsia"/>
          <w:bCs w:val="0"/>
          <w:color w:val="auto"/>
          <w:sz w:val="28"/>
          <w:szCs w:val="28"/>
          <w:highlight w:val="none"/>
        </w:rPr>
        <w:fldChar w:fldCharType="separate"/>
      </w:r>
      <w:r>
        <w:rPr>
          <w:rFonts w:hint="eastAsia" w:asciiTheme="minorEastAsia" w:hAnsiTheme="minorEastAsia" w:eastAsiaTheme="minorEastAsia" w:cstheme="minorEastAsia"/>
          <w:bCs/>
          <w:color w:val="auto"/>
          <w:sz w:val="28"/>
          <w:szCs w:val="28"/>
          <w:highlight w:val="none"/>
        </w:rPr>
        <w:t>第</w:t>
      </w:r>
      <w:r>
        <w:rPr>
          <w:rFonts w:hint="eastAsia" w:asciiTheme="minorEastAsia" w:hAnsiTheme="minorEastAsia" w:eastAsiaTheme="minorEastAsia" w:cstheme="minorEastAsia"/>
          <w:bCs/>
          <w:color w:val="auto"/>
          <w:sz w:val="28"/>
          <w:szCs w:val="28"/>
          <w:highlight w:val="none"/>
          <w:lang w:eastAsia="zh-CN"/>
        </w:rPr>
        <w:t>一</w:t>
      </w:r>
      <w:r>
        <w:rPr>
          <w:rFonts w:hint="eastAsia" w:asciiTheme="minorEastAsia" w:hAnsiTheme="minorEastAsia" w:eastAsiaTheme="minorEastAsia" w:cstheme="minorEastAsia"/>
          <w:bCs/>
          <w:color w:val="auto"/>
          <w:sz w:val="28"/>
          <w:szCs w:val="28"/>
          <w:highlight w:val="none"/>
        </w:rPr>
        <w:t>章  竞争性</w:t>
      </w:r>
      <w:r>
        <w:rPr>
          <w:rFonts w:hint="eastAsia" w:asciiTheme="minorEastAsia" w:hAnsiTheme="minorEastAsia" w:eastAsiaTheme="minorEastAsia" w:cstheme="minorEastAsia"/>
          <w:bCs/>
          <w:color w:val="auto"/>
          <w:sz w:val="28"/>
          <w:szCs w:val="28"/>
          <w:highlight w:val="none"/>
          <w:lang w:eastAsia="zh-CN"/>
        </w:rPr>
        <w:t>磋商</w:t>
      </w:r>
      <w:r>
        <w:rPr>
          <w:rFonts w:hint="eastAsia" w:asciiTheme="minorEastAsia" w:hAnsiTheme="minorEastAsia" w:eastAsiaTheme="minorEastAsia" w:cstheme="minorEastAsia"/>
          <w:bCs/>
          <w:color w:val="auto"/>
          <w:sz w:val="28"/>
          <w:szCs w:val="28"/>
          <w:highlight w:val="none"/>
        </w:rPr>
        <w:t>公告</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_Toc14933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1</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bCs w:val="0"/>
          <w:color w:val="auto"/>
          <w:sz w:val="28"/>
          <w:szCs w:val="28"/>
          <w:highlight w:val="none"/>
        </w:rPr>
        <w:fldChar w:fldCharType="end"/>
      </w:r>
    </w:p>
    <w:p w14:paraId="4DB95282">
      <w:pPr>
        <w:pStyle w:val="25"/>
        <w:tabs>
          <w:tab w:val="right" w:leader="dot" w:pos="9301"/>
          <w:tab w:val="clear" w:pos="840"/>
          <w:tab w:val="clear" w:pos="9170"/>
        </w:tabs>
        <w:spacing w:line="48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val="0"/>
          <w:caps/>
          <w:color w:val="auto"/>
          <w:sz w:val="28"/>
          <w:szCs w:val="28"/>
          <w:highlight w:val="none"/>
        </w:rPr>
        <w:fldChar w:fldCharType="begin"/>
      </w:r>
      <w:r>
        <w:rPr>
          <w:rFonts w:hint="eastAsia" w:asciiTheme="minorEastAsia" w:hAnsiTheme="minorEastAsia" w:eastAsiaTheme="minorEastAsia" w:cstheme="minorEastAsia"/>
          <w:bCs w:val="0"/>
          <w:caps/>
          <w:color w:val="auto"/>
          <w:sz w:val="28"/>
          <w:szCs w:val="28"/>
          <w:highlight w:val="none"/>
        </w:rPr>
        <w:instrText xml:space="preserve"> HYPERLINK \l _Toc31324 </w:instrText>
      </w:r>
      <w:r>
        <w:rPr>
          <w:rFonts w:hint="eastAsia" w:asciiTheme="minorEastAsia" w:hAnsiTheme="minorEastAsia" w:eastAsiaTheme="minorEastAsia" w:cstheme="minorEastAsia"/>
          <w:bCs w:val="0"/>
          <w:caps/>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第二章  供应商须知</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_Toc31324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5</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bCs w:val="0"/>
          <w:caps/>
          <w:color w:val="auto"/>
          <w:sz w:val="28"/>
          <w:szCs w:val="28"/>
          <w:highlight w:val="none"/>
        </w:rPr>
        <w:fldChar w:fldCharType="end"/>
      </w:r>
    </w:p>
    <w:p w14:paraId="13EAF99C">
      <w:pPr>
        <w:pStyle w:val="17"/>
        <w:tabs>
          <w:tab w:val="right" w:leader="dot" w:pos="9301"/>
        </w:tabs>
        <w:spacing w:line="48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val="0"/>
          <w:caps/>
          <w:color w:val="auto"/>
          <w:sz w:val="28"/>
          <w:szCs w:val="28"/>
          <w:highlight w:val="none"/>
        </w:rPr>
        <w:fldChar w:fldCharType="begin"/>
      </w:r>
      <w:r>
        <w:rPr>
          <w:rFonts w:hint="eastAsia" w:asciiTheme="minorEastAsia" w:hAnsiTheme="minorEastAsia" w:eastAsiaTheme="minorEastAsia" w:cstheme="minorEastAsia"/>
          <w:bCs w:val="0"/>
          <w:caps/>
          <w:color w:val="auto"/>
          <w:sz w:val="28"/>
          <w:szCs w:val="28"/>
          <w:highlight w:val="none"/>
        </w:rPr>
        <w:instrText xml:space="preserve"> HYPERLINK \l _Toc15453 </w:instrText>
      </w:r>
      <w:r>
        <w:rPr>
          <w:rFonts w:hint="eastAsia" w:asciiTheme="minorEastAsia" w:hAnsiTheme="minorEastAsia" w:eastAsiaTheme="minorEastAsia" w:cstheme="minorEastAsia"/>
          <w:bCs w:val="0"/>
          <w:caps/>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供应商须知前附表</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_Toc15453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5</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bCs w:val="0"/>
          <w:caps/>
          <w:color w:val="auto"/>
          <w:sz w:val="28"/>
          <w:szCs w:val="28"/>
          <w:highlight w:val="none"/>
        </w:rPr>
        <w:fldChar w:fldCharType="end"/>
      </w:r>
    </w:p>
    <w:p w14:paraId="0B306CD5">
      <w:pPr>
        <w:pStyle w:val="25"/>
        <w:tabs>
          <w:tab w:val="right" w:leader="dot" w:pos="9301"/>
          <w:tab w:val="clear" w:pos="840"/>
          <w:tab w:val="clear" w:pos="9170"/>
        </w:tabs>
        <w:spacing w:line="48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val="0"/>
          <w:caps/>
          <w:color w:val="auto"/>
          <w:sz w:val="28"/>
          <w:szCs w:val="28"/>
          <w:highlight w:val="none"/>
        </w:rPr>
        <w:fldChar w:fldCharType="begin"/>
      </w:r>
      <w:r>
        <w:rPr>
          <w:rFonts w:hint="eastAsia" w:asciiTheme="minorEastAsia" w:hAnsiTheme="minorEastAsia" w:eastAsiaTheme="minorEastAsia" w:cstheme="minorEastAsia"/>
          <w:bCs w:val="0"/>
          <w:caps/>
          <w:color w:val="auto"/>
          <w:sz w:val="28"/>
          <w:szCs w:val="28"/>
          <w:highlight w:val="none"/>
        </w:rPr>
        <w:instrText xml:space="preserve"> HYPERLINK \l _Toc12761 </w:instrText>
      </w:r>
      <w:r>
        <w:rPr>
          <w:rFonts w:hint="eastAsia" w:asciiTheme="minorEastAsia" w:hAnsiTheme="minorEastAsia" w:eastAsiaTheme="minorEastAsia" w:cstheme="minorEastAsia"/>
          <w:bCs w:val="0"/>
          <w:caps/>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第三章  合同书样式及主要条款</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_Toc12761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21</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bCs w:val="0"/>
          <w:caps/>
          <w:color w:val="auto"/>
          <w:sz w:val="28"/>
          <w:szCs w:val="28"/>
          <w:highlight w:val="none"/>
        </w:rPr>
        <w:fldChar w:fldCharType="end"/>
      </w:r>
    </w:p>
    <w:p w14:paraId="3D59F586">
      <w:pPr>
        <w:pStyle w:val="17"/>
        <w:tabs>
          <w:tab w:val="right" w:leader="dot" w:pos="9301"/>
        </w:tabs>
        <w:spacing w:line="48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val="0"/>
          <w:caps/>
          <w:color w:val="auto"/>
          <w:sz w:val="28"/>
          <w:szCs w:val="28"/>
          <w:highlight w:val="none"/>
        </w:rPr>
        <w:fldChar w:fldCharType="begin"/>
      </w:r>
      <w:r>
        <w:rPr>
          <w:rFonts w:hint="eastAsia" w:asciiTheme="minorEastAsia" w:hAnsiTheme="minorEastAsia" w:eastAsiaTheme="minorEastAsia" w:cstheme="minorEastAsia"/>
          <w:bCs w:val="0"/>
          <w:caps/>
          <w:color w:val="auto"/>
          <w:sz w:val="28"/>
          <w:szCs w:val="28"/>
          <w:highlight w:val="none"/>
        </w:rPr>
        <w:instrText xml:space="preserve"> HYPERLINK \l _Toc24601 </w:instrText>
      </w:r>
      <w:r>
        <w:rPr>
          <w:rFonts w:hint="eastAsia" w:asciiTheme="minorEastAsia" w:hAnsiTheme="minorEastAsia" w:eastAsiaTheme="minorEastAsia" w:cstheme="minorEastAsia"/>
          <w:bCs w:val="0"/>
          <w:caps/>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合同条款前附表</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_Toc24601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23</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bCs w:val="0"/>
          <w:caps/>
          <w:color w:val="auto"/>
          <w:sz w:val="28"/>
          <w:szCs w:val="28"/>
          <w:highlight w:val="none"/>
        </w:rPr>
        <w:fldChar w:fldCharType="end"/>
      </w:r>
    </w:p>
    <w:p w14:paraId="1A960F22">
      <w:pPr>
        <w:pStyle w:val="25"/>
        <w:tabs>
          <w:tab w:val="right" w:leader="dot" w:pos="9301"/>
          <w:tab w:val="clear" w:pos="840"/>
          <w:tab w:val="clear" w:pos="9170"/>
        </w:tabs>
        <w:spacing w:line="48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val="0"/>
          <w:caps/>
          <w:color w:val="auto"/>
          <w:sz w:val="28"/>
          <w:szCs w:val="28"/>
          <w:highlight w:val="none"/>
        </w:rPr>
        <w:fldChar w:fldCharType="begin"/>
      </w:r>
      <w:r>
        <w:rPr>
          <w:rFonts w:hint="eastAsia" w:asciiTheme="minorEastAsia" w:hAnsiTheme="minorEastAsia" w:eastAsiaTheme="minorEastAsia" w:cstheme="minorEastAsia"/>
          <w:bCs w:val="0"/>
          <w:caps/>
          <w:color w:val="auto"/>
          <w:sz w:val="28"/>
          <w:szCs w:val="28"/>
          <w:highlight w:val="none"/>
        </w:rPr>
        <w:instrText xml:space="preserve"> HYPERLINK \l _Toc9644 </w:instrText>
      </w:r>
      <w:r>
        <w:rPr>
          <w:rFonts w:hint="eastAsia" w:asciiTheme="minorEastAsia" w:hAnsiTheme="minorEastAsia" w:eastAsiaTheme="minorEastAsia" w:cstheme="minorEastAsia"/>
          <w:bCs w:val="0"/>
          <w:caps/>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第四章  响应文件格式</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_Toc9644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32</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bCs w:val="0"/>
          <w:caps/>
          <w:color w:val="auto"/>
          <w:sz w:val="28"/>
          <w:szCs w:val="28"/>
          <w:highlight w:val="none"/>
        </w:rPr>
        <w:fldChar w:fldCharType="end"/>
      </w:r>
    </w:p>
    <w:p w14:paraId="39278368">
      <w:pPr>
        <w:pStyle w:val="25"/>
        <w:tabs>
          <w:tab w:val="right" w:leader="dot" w:pos="9301"/>
          <w:tab w:val="clear" w:pos="840"/>
          <w:tab w:val="clear" w:pos="9170"/>
        </w:tabs>
        <w:spacing w:line="48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val="0"/>
          <w:caps/>
          <w:color w:val="auto"/>
          <w:sz w:val="28"/>
          <w:szCs w:val="28"/>
          <w:highlight w:val="none"/>
        </w:rPr>
        <w:fldChar w:fldCharType="begin"/>
      </w:r>
      <w:r>
        <w:rPr>
          <w:rFonts w:hint="eastAsia" w:asciiTheme="minorEastAsia" w:hAnsiTheme="minorEastAsia" w:eastAsiaTheme="minorEastAsia" w:cstheme="minorEastAsia"/>
          <w:bCs w:val="0"/>
          <w:caps/>
          <w:color w:val="auto"/>
          <w:sz w:val="28"/>
          <w:szCs w:val="28"/>
          <w:highlight w:val="none"/>
        </w:rPr>
        <w:instrText xml:space="preserve"> HYPERLINK \l _Toc5327 </w:instrText>
      </w:r>
      <w:r>
        <w:rPr>
          <w:rFonts w:hint="eastAsia" w:asciiTheme="minorEastAsia" w:hAnsiTheme="minorEastAsia" w:eastAsiaTheme="minorEastAsia" w:cstheme="minorEastAsia"/>
          <w:bCs w:val="0"/>
          <w:caps/>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第五章  采购需求</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_Toc5327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60</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bCs w:val="0"/>
          <w:caps/>
          <w:color w:val="auto"/>
          <w:sz w:val="28"/>
          <w:szCs w:val="28"/>
          <w:highlight w:val="none"/>
        </w:rPr>
        <w:fldChar w:fldCharType="end"/>
      </w:r>
    </w:p>
    <w:p w14:paraId="4595A634">
      <w:pPr>
        <w:pStyle w:val="25"/>
        <w:tabs>
          <w:tab w:val="right" w:leader="dot" w:pos="9301"/>
          <w:tab w:val="clear" w:pos="840"/>
          <w:tab w:val="clear" w:pos="9170"/>
        </w:tabs>
        <w:spacing w:line="48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val="0"/>
          <w:caps/>
          <w:color w:val="auto"/>
          <w:sz w:val="28"/>
          <w:szCs w:val="28"/>
          <w:highlight w:val="none"/>
        </w:rPr>
        <w:fldChar w:fldCharType="begin"/>
      </w:r>
      <w:r>
        <w:rPr>
          <w:rFonts w:hint="eastAsia" w:asciiTheme="minorEastAsia" w:hAnsiTheme="minorEastAsia" w:eastAsiaTheme="minorEastAsia" w:cstheme="minorEastAsia"/>
          <w:bCs w:val="0"/>
          <w:caps/>
          <w:color w:val="auto"/>
          <w:sz w:val="28"/>
          <w:szCs w:val="28"/>
          <w:highlight w:val="none"/>
        </w:rPr>
        <w:instrText xml:space="preserve"> HYPERLINK \l _Toc22825 </w:instrText>
      </w:r>
      <w:r>
        <w:rPr>
          <w:rFonts w:hint="eastAsia" w:asciiTheme="minorEastAsia" w:hAnsiTheme="minorEastAsia" w:eastAsiaTheme="minorEastAsia" w:cstheme="minorEastAsia"/>
          <w:bCs w:val="0"/>
          <w:caps/>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lang w:val="en-US" w:eastAsia="zh-CN"/>
        </w:rPr>
        <w:t>第</w:t>
      </w:r>
      <w:r>
        <w:rPr>
          <w:rFonts w:hint="eastAsia" w:asciiTheme="minorEastAsia" w:hAnsiTheme="minorEastAsia" w:eastAsiaTheme="minorEastAsia" w:cstheme="minorEastAsia"/>
          <w:color w:val="auto"/>
          <w:sz w:val="28"/>
          <w:szCs w:val="28"/>
          <w:highlight w:val="none"/>
        </w:rPr>
        <w:t>六章  评审方法</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_Toc22825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64</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bCs w:val="0"/>
          <w:caps/>
          <w:color w:val="auto"/>
          <w:sz w:val="28"/>
          <w:szCs w:val="28"/>
          <w:highlight w:val="none"/>
        </w:rPr>
        <w:fldChar w:fldCharType="end"/>
      </w:r>
    </w:p>
    <w:p w14:paraId="4BF9F6F3">
      <w:pPr>
        <w:pStyle w:val="17"/>
        <w:tabs>
          <w:tab w:val="right" w:leader="dot" w:pos="9301"/>
        </w:tabs>
        <w:spacing w:line="48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val="0"/>
          <w:caps/>
          <w:color w:val="auto"/>
          <w:sz w:val="28"/>
          <w:szCs w:val="28"/>
          <w:highlight w:val="none"/>
        </w:rPr>
        <w:fldChar w:fldCharType="begin"/>
      </w:r>
      <w:r>
        <w:rPr>
          <w:rFonts w:hint="eastAsia" w:asciiTheme="minorEastAsia" w:hAnsiTheme="minorEastAsia" w:eastAsiaTheme="minorEastAsia" w:cstheme="minorEastAsia"/>
          <w:bCs w:val="0"/>
          <w:caps/>
          <w:color w:val="auto"/>
          <w:sz w:val="28"/>
          <w:szCs w:val="28"/>
          <w:highlight w:val="none"/>
        </w:rPr>
        <w:instrText xml:space="preserve"> HYPERLINK \l _Toc22698 </w:instrText>
      </w:r>
      <w:r>
        <w:rPr>
          <w:rFonts w:hint="eastAsia" w:asciiTheme="minorEastAsia" w:hAnsiTheme="minorEastAsia" w:eastAsiaTheme="minorEastAsia" w:cstheme="minorEastAsia"/>
          <w:bCs w:val="0"/>
          <w:caps/>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评审方法前附表</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_Toc22698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64</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bCs w:val="0"/>
          <w:caps/>
          <w:color w:val="auto"/>
          <w:sz w:val="28"/>
          <w:szCs w:val="28"/>
          <w:highlight w:val="none"/>
        </w:rPr>
        <w:fldChar w:fldCharType="end"/>
      </w:r>
    </w:p>
    <w:p w14:paraId="2E52C13C">
      <w:pPr>
        <w:keepNext w:val="0"/>
        <w:keepLines w:val="0"/>
        <w:pageBreakBefore w:val="0"/>
        <w:widowControl w:val="0"/>
        <w:tabs>
          <w:tab w:val="left" w:pos="3150"/>
          <w:tab w:val="center" w:pos="4734"/>
        </w:tabs>
        <w:kinsoku/>
        <w:wordWrap/>
        <w:overflowPunct/>
        <w:topLinePunct w:val="0"/>
        <w:autoSpaceDE/>
        <w:autoSpaceDN/>
        <w:bidi w:val="0"/>
        <w:adjustRightInd/>
        <w:snapToGrid/>
        <w:spacing w:line="480" w:lineRule="auto"/>
        <w:jc w:val="both"/>
        <w:textAlignment w:val="auto"/>
        <w:outlineLvl w:val="0"/>
        <w:rPr>
          <w:rFonts w:hint="eastAsia" w:ascii="宋体" w:hAnsi="宋体" w:cs="宋体"/>
          <w:b/>
          <w:bCs/>
          <w:color w:val="auto"/>
          <w:sz w:val="24"/>
          <w:highlight w:val="none"/>
        </w:rPr>
      </w:pPr>
      <w:r>
        <w:rPr>
          <w:rFonts w:hint="eastAsia" w:asciiTheme="minorEastAsia" w:hAnsiTheme="minorEastAsia" w:eastAsiaTheme="minorEastAsia" w:cstheme="minorEastAsia"/>
          <w:bCs w:val="0"/>
          <w:caps/>
          <w:color w:val="auto"/>
          <w:sz w:val="28"/>
          <w:szCs w:val="28"/>
          <w:highlight w:val="none"/>
        </w:rPr>
        <w:fldChar w:fldCharType="end"/>
      </w:r>
    </w:p>
    <w:p w14:paraId="53DC621A">
      <w:pPr>
        <w:spacing w:line="480" w:lineRule="auto"/>
        <w:rPr>
          <w:rFonts w:hint="eastAsia" w:ascii="宋体" w:hAnsi="宋体" w:cs="宋体"/>
          <w:color w:val="auto"/>
          <w:sz w:val="28"/>
          <w:szCs w:val="28"/>
          <w:highlight w:val="none"/>
        </w:rPr>
        <w:sectPr>
          <w:headerReference r:id="rId4" w:type="first"/>
          <w:headerReference r:id="rId3" w:type="default"/>
          <w:footerReference r:id="rId5" w:type="default"/>
          <w:pgSz w:w="11906" w:h="16838"/>
          <w:pgMar w:top="1531" w:right="1274" w:bottom="1531" w:left="1331" w:header="844" w:footer="442" w:gutter="0"/>
          <w:pgBorders>
            <w:top w:val="none" w:sz="0" w:space="0"/>
            <w:left w:val="none" w:sz="0" w:space="0"/>
            <w:bottom w:val="none" w:sz="0" w:space="0"/>
            <w:right w:val="none" w:sz="0" w:space="0"/>
          </w:pgBorders>
          <w:pgNumType w:start="0"/>
          <w:cols w:space="720" w:num="1"/>
          <w:titlePg/>
          <w:docGrid w:type="lines" w:linePitch="312" w:charSpace="0"/>
        </w:sectPr>
      </w:pPr>
    </w:p>
    <w:p w14:paraId="52AA87BD">
      <w:pPr>
        <w:pStyle w:val="3"/>
        <w:outlineLvl w:val="0"/>
        <w:rPr>
          <w:rFonts w:hint="eastAsia" w:eastAsia="宋体" w:cs="宋体"/>
          <w:b/>
          <w:bCs/>
          <w:color w:val="auto"/>
          <w:sz w:val="34"/>
          <w:szCs w:val="32"/>
          <w:highlight w:val="none"/>
        </w:rPr>
      </w:pPr>
      <w:bookmarkStart w:id="0" w:name="_Toc14933"/>
      <w:r>
        <w:rPr>
          <w:rFonts w:hint="eastAsia" w:eastAsia="宋体" w:cs="宋体"/>
          <w:b/>
          <w:bCs/>
          <w:color w:val="auto"/>
          <w:sz w:val="34"/>
          <w:szCs w:val="32"/>
          <w:highlight w:val="none"/>
        </w:rPr>
        <w:t>第</w:t>
      </w:r>
      <w:r>
        <w:rPr>
          <w:rFonts w:hint="eastAsia" w:eastAsia="宋体" w:cs="宋体"/>
          <w:b/>
          <w:bCs/>
          <w:color w:val="auto"/>
          <w:sz w:val="34"/>
          <w:szCs w:val="32"/>
          <w:highlight w:val="none"/>
          <w:lang w:eastAsia="zh-CN"/>
        </w:rPr>
        <w:t>一</w:t>
      </w:r>
      <w:r>
        <w:rPr>
          <w:rFonts w:hint="eastAsia" w:eastAsia="宋体" w:cs="宋体"/>
          <w:b/>
          <w:bCs/>
          <w:color w:val="auto"/>
          <w:sz w:val="34"/>
          <w:szCs w:val="32"/>
          <w:highlight w:val="none"/>
        </w:rPr>
        <w:t xml:space="preserve">章  </w:t>
      </w:r>
      <w:bookmarkStart w:id="1" w:name="_Toc213908411"/>
      <w:bookmarkStart w:id="2" w:name="_Toc333585170"/>
      <w:r>
        <w:rPr>
          <w:rFonts w:hint="eastAsia" w:eastAsia="宋体" w:cs="宋体"/>
          <w:b/>
          <w:bCs/>
          <w:color w:val="auto"/>
          <w:sz w:val="34"/>
          <w:szCs w:val="32"/>
          <w:highlight w:val="none"/>
        </w:rPr>
        <w:t>竞争性</w:t>
      </w:r>
      <w:r>
        <w:rPr>
          <w:rFonts w:hint="eastAsia" w:eastAsia="宋体" w:cs="宋体"/>
          <w:b/>
          <w:bCs/>
          <w:color w:val="auto"/>
          <w:sz w:val="34"/>
          <w:szCs w:val="32"/>
          <w:highlight w:val="none"/>
          <w:lang w:eastAsia="zh-CN"/>
        </w:rPr>
        <w:t>磋商</w:t>
      </w:r>
      <w:r>
        <w:rPr>
          <w:rFonts w:hint="eastAsia" w:eastAsia="宋体" w:cs="宋体"/>
          <w:b/>
          <w:bCs/>
          <w:color w:val="auto"/>
          <w:sz w:val="34"/>
          <w:szCs w:val="32"/>
          <w:highlight w:val="none"/>
        </w:rPr>
        <w:t>公告</w:t>
      </w:r>
      <w:bookmarkEnd w:id="0"/>
    </w:p>
    <w:p w14:paraId="17454FD0">
      <w:pPr>
        <w:pageBreakBefore w:val="0"/>
        <w:widowControl w:val="0"/>
        <w:pBdr>
          <w:top w:val="single" w:color="auto" w:sz="4" w:space="1"/>
          <w:left w:val="single" w:color="auto" w:sz="4" w:space="4"/>
          <w:bottom w:val="single" w:color="auto" w:sz="4" w:space="1"/>
          <w:right w:val="single" w:color="auto" w:sz="4" w:space="4"/>
        </w:pBdr>
        <w:kinsoku/>
        <w:wordWrap/>
        <w:overflowPunct/>
        <w:topLinePunct w:val="0"/>
        <w:bidi w:val="0"/>
        <w:snapToGrid/>
        <w:spacing w:line="360" w:lineRule="auto"/>
        <w:jc w:val="center"/>
        <w:textAlignment w:val="auto"/>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t>项目概况</w:t>
      </w:r>
    </w:p>
    <w:p w14:paraId="4880A392">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val="0"/>
        <w:overflowPunct/>
        <w:topLinePunct w:val="0"/>
        <w:autoSpaceDE/>
        <w:autoSpaceDN/>
        <w:bidi w:val="0"/>
        <w:adjustRightInd/>
        <w:snapToGrid/>
        <w:spacing w:line="360" w:lineRule="auto"/>
        <w:ind w:firstLine="210" w:firstLineChars="100"/>
        <w:jc w:val="left"/>
        <w:textAlignment w:val="auto"/>
        <w:rPr>
          <w:rFonts w:hint="eastAsia" w:ascii="宋体" w:hAnsi="宋体" w:eastAsia="宋体" w:cs="宋体"/>
          <w:i w:val="0"/>
          <w:iCs w:val="0"/>
          <w:color w:val="auto"/>
          <w:sz w:val="21"/>
          <w:szCs w:val="21"/>
          <w:highlight w:val="none"/>
          <w:u w:val="none"/>
          <w:lang w:eastAsia="zh-CN"/>
        </w:rPr>
      </w:pPr>
      <w:r>
        <w:rPr>
          <w:rFonts w:hint="eastAsia" w:ascii="宋体" w:hAnsi="宋体" w:cs="宋体"/>
          <w:color w:val="auto"/>
          <w:szCs w:val="21"/>
          <w:highlight w:val="none"/>
          <w:u w:val="none"/>
          <w:lang w:eastAsia="zh-CN"/>
        </w:rPr>
        <w:t>昆明市公安局商用密码应用安全性评估服务</w:t>
      </w:r>
      <w:r>
        <w:rPr>
          <w:rFonts w:hint="eastAsia" w:ascii="宋体" w:hAnsi="宋体" w:eastAsia="宋体" w:cs="宋体"/>
          <w:i w:val="0"/>
          <w:iCs w:val="0"/>
          <w:color w:val="auto"/>
          <w:sz w:val="21"/>
          <w:szCs w:val="21"/>
          <w:highlight w:val="none"/>
          <w:u w:val="none"/>
        </w:rPr>
        <w:t>的潜在供应商应在</w:t>
      </w:r>
      <w:r>
        <w:rPr>
          <w:rFonts w:hint="eastAsia" w:ascii="宋体" w:hAnsi="宋体"/>
          <w:color w:val="auto"/>
          <w:szCs w:val="21"/>
          <w:highlight w:val="none"/>
        </w:rPr>
        <w:t>政采云平台（https://www.zcygov.cn/）</w:t>
      </w:r>
      <w:r>
        <w:rPr>
          <w:rFonts w:hint="eastAsia" w:ascii="宋体" w:hAnsi="宋体" w:cs="宋体"/>
          <w:color w:val="auto"/>
          <w:highlight w:val="none"/>
          <w:u w:val="none"/>
          <w:lang w:eastAsia="zh-CN"/>
        </w:rPr>
        <w:t>线上</w:t>
      </w:r>
      <w:r>
        <w:rPr>
          <w:rFonts w:hint="eastAsia" w:ascii="宋体" w:hAnsi="宋体" w:cs="宋体"/>
          <w:color w:val="auto"/>
          <w:highlight w:val="none"/>
          <w:u w:val="none"/>
        </w:rPr>
        <w:t>获取</w:t>
      </w:r>
      <w:r>
        <w:rPr>
          <w:rFonts w:hint="eastAsia" w:ascii="宋体" w:hAnsi="宋体" w:eastAsia="宋体" w:cs="宋体"/>
          <w:i w:val="0"/>
          <w:iCs w:val="0"/>
          <w:color w:val="auto"/>
          <w:sz w:val="21"/>
          <w:szCs w:val="21"/>
          <w:highlight w:val="none"/>
          <w:u w:val="none"/>
        </w:rPr>
        <w:t>采购文件，</w:t>
      </w:r>
      <w:r>
        <w:rPr>
          <w:rFonts w:hint="eastAsia" w:ascii="宋体" w:hAnsi="宋体" w:cs="宋体"/>
          <w:color w:val="auto"/>
          <w:szCs w:val="21"/>
          <w:highlight w:val="none"/>
          <w:u w:val="none"/>
          <w:lang w:eastAsia="zh-CN"/>
        </w:rPr>
        <w:t>并于</w:t>
      </w:r>
      <w:r>
        <w:rPr>
          <w:rFonts w:hint="eastAsia" w:ascii="宋体" w:hAnsi="宋体" w:cs="宋体"/>
          <w:color w:val="auto"/>
          <w:szCs w:val="21"/>
          <w:highlight w:val="none"/>
          <w:u w:val="none"/>
          <w:lang w:val="en-US" w:eastAsia="zh-CN"/>
        </w:rPr>
        <w:t>2025年06月10日10点00分</w:t>
      </w:r>
      <w:r>
        <w:rPr>
          <w:rFonts w:hint="eastAsia" w:ascii="宋体" w:hAnsi="宋体" w:cs="宋体"/>
          <w:color w:val="auto"/>
          <w:szCs w:val="21"/>
          <w:highlight w:val="none"/>
          <w:u w:val="none"/>
          <w:lang w:eastAsia="zh-CN"/>
        </w:rPr>
        <w:t>（</w:t>
      </w:r>
      <w:r>
        <w:rPr>
          <w:rFonts w:hint="eastAsia" w:ascii="宋体" w:hAnsi="宋体" w:eastAsia="宋体" w:cs="宋体"/>
          <w:bCs/>
          <w:i w:val="0"/>
          <w:iCs w:val="0"/>
          <w:color w:val="auto"/>
          <w:sz w:val="21"/>
          <w:szCs w:val="21"/>
          <w:highlight w:val="none"/>
          <w:u w:val="none"/>
        </w:rPr>
        <w:t>北京时间）前提交响应文件</w:t>
      </w:r>
      <w:r>
        <w:rPr>
          <w:rFonts w:hint="eastAsia" w:ascii="宋体" w:hAnsi="宋体" w:eastAsia="宋体" w:cs="宋体"/>
          <w:bCs/>
          <w:i w:val="0"/>
          <w:iCs w:val="0"/>
          <w:color w:val="auto"/>
          <w:sz w:val="21"/>
          <w:szCs w:val="21"/>
          <w:highlight w:val="none"/>
          <w:u w:val="none"/>
          <w:lang w:eastAsia="zh-CN"/>
        </w:rPr>
        <w:t>。</w:t>
      </w:r>
    </w:p>
    <w:p w14:paraId="51E60FD3">
      <w:pPr>
        <w:pStyle w:val="4"/>
        <w:spacing w:before="0" w:beforeLines="0" w:after="0" w:afterLines="0"/>
        <w:jc w:val="both"/>
        <w:outlineLvl w:val="1"/>
        <w:rPr>
          <w:rFonts w:hint="eastAsia" w:ascii="宋体" w:hAnsi="宋体" w:eastAsia="宋体" w:cs="宋体"/>
          <w:b/>
          <w:bCs/>
          <w:i w:val="0"/>
          <w:iCs w:val="0"/>
          <w:snapToGrid/>
          <w:color w:val="auto"/>
          <w:kern w:val="2"/>
          <w:sz w:val="24"/>
          <w:szCs w:val="24"/>
          <w:highlight w:val="none"/>
          <w:u w:val="none"/>
          <w:lang w:val="en-US" w:eastAsia="zh-CN" w:bidi="ar-SA"/>
        </w:rPr>
      </w:pPr>
      <w:bookmarkStart w:id="3" w:name="_Toc10173"/>
      <w:bookmarkStart w:id="4" w:name="_Toc1602"/>
      <w:r>
        <w:rPr>
          <w:rFonts w:hint="eastAsia" w:ascii="宋体" w:hAnsi="宋体" w:eastAsia="宋体" w:cs="宋体"/>
          <w:b/>
          <w:bCs/>
          <w:i w:val="0"/>
          <w:iCs w:val="0"/>
          <w:snapToGrid/>
          <w:color w:val="auto"/>
          <w:kern w:val="2"/>
          <w:sz w:val="24"/>
          <w:szCs w:val="24"/>
          <w:highlight w:val="none"/>
          <w:u w:val="none"/>
          <w:lang w:val="en-US" w:eastAsia="zh-CN" w:bidi="ar-SA"/>
        </w:rPr>
        <w:t>一、项目基本情况</w:t>
      </w:r>
      <w:bookmarkEnd w:id="3"/>
      <w:bookmarkEnd w:id="4"/>
    </w:p>
    <w:p w14:paraId="62753C1D">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1.</w:t>
      </w:r>
      <w:r>
        <w:rPr>
          <w:rFonts w:hint="eastAsia" w:ascii="宋体" w:hAnsi="宋体" w:eastAsia="宋体" w:cs="宋体"/>
          <w:i w:val="0"/>
          <w:iCs w:val="0"/>
          <w:color w:val="auto"/>
          <w:sz w:val="21"/>
          <w:szCs w:val="21"/>
          <w:highlight w:val="none"/>
          <w:u w:val="none"/>
        </w:rPr>
        <w:t>项目编号：</w:t>
      </w:r>
      <w:r>
        <w:rPr>
          <w:rFonts w:hint="eastAsia" w:ascii="宋体" w:hAnsi="宋体" w:cs="宋体"/>
          <w:color w:val="auto"/>
          <w:szCs w:val="21"/>
          <w:highlight w:val="none"/>
          <w:lang w:eastAsia="zh-CN"/>
        </w:rPr>
        <w:t>KMZC2025-C3-01073-YNGR-0107</w:t>
      </w:r>
      <w:r>
        <w:rPr>
          <w:rFonts w:hint="eastAsia" w:ascii="宋体" w:hAnsi="宋体" w:eastAsia="宋体" w:cs="宋体"/>
          <w:color w:val="auto"/>
          <w:szCs w:val="21"/>
          <w:highlight w:val="none"/>
        </w:rPr>
        <w:t>；</w:t>
      </w:r>
    </w:p>
    <w:p w14:paraId="188A870E">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2.</w:t>
      </w:r>
      <w:r>
        <w:rPr>
          <w:rFonts w:hint="eastAsia" w:ascii="宋体" w:hAnsi="宋体" w:eastAsia="宋体" w:cs="宋体"/>
          <w:i w:val="0"/>
          <w:iCs w:val="0"/>
          <w:color w:val="auto"/>
          <w:sz w:val="21"/>
          <w:szCs w:val="21"/>
          <w:highlight w:val="none"/>
          <w:u w:val="none"/>
        </w:rPr>
        <w:t>项目名称：</w:t>
      </w:r>
      <w:r>
        <w:rPr>
          <w:rFonts w:hint="eastAsia" w:ascii="宋体" w:hAnsi="宋体" w:cs="宋体"/>
          <w:color w:val="auto"/>
          <w:szCs w:val="21"/>
          <w:highlight w:val="none"/>
          <w:lang w:eastAsia="zh-CN"/>
        </w:rPr>
        <w:t>昆明市公安局商用密码应用安全性评估服务</w:t>
      </w:r>
      <w:r>
        <w:rPr>
          <w:rFonts w:hint="eastAsia" w:ascii="宋体" w:hAnsi="宋体" w:eastAsia="宋体" w:cs="宋体"/>
          <w:color w:val="auto"/>
          <w:szCs w:val="21"/>
          <w:highlight w:val="none"/>
        </w:rPr>
        <w:t>；</w:t>
      </w:r>
    </w:p>
    <w:p w14:paraId="544BC01C">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val="en-US" w:eastAsia="zh-CN"/>
        </w:rPr>
        <w:t>3.</w:t>
      </w:r>
      <w:r>
        <w:rPr>
          <w:rFonts w:hint="eastAsia" w:ascii="宋体" w:hAnsi="宋体" w:eastAsia="宋体" w:cs="宋体"/>
          <w:i w:val="0"/>
          <w:iCs w:val="0"/>
          <w:color w:val="auto"/>
          <w:sz w:val="21"/>
          <w:szCs w:val="21"/>
          <w:highlight w:val="none"/>
          <w:u w:val="none"/>
        </w:rPr>
        <w:t>采购方式：竞争性磋商</w:t>
      </w:r>
      <w:r>
        <w:rPr>
          <w:rFonts w:hint="eastAsia" w:ascii="宋体" w:hAnsi="宋体" w:eastAsia="宋体" w:cs="宋体"/>
          <w:i w:val="0"/>
          <w:iCs w:val="0"/>
          <w:color w:val="auto"/>
          <w:sz w:val="21"/>
          <w:szCs w:val="21"/>
          <w:highlight w:val="none"/>
          <w:u w:val="none"/>
          <w:lang w:eastAsia="zh-CN"/>
        </w:rPr>
        <w:t>；</w:t>
      </w:r>
    </w:p>
    <w:p w14:paraId="2DA3CB3D">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Cs w:val="21"/>
          <w:highlight w:val="none"/>
          <w:lang w:val="en-US" w:eastAsia="zh-CN"/>
        </w:rPr>
        <w:t>4.预算金额：</w:t>
      </w:r>
      <w:r>
        <w:rPr>
          <w:rFonts w:hint="eastAsia" w:ascii="宋体" w:hAnsi="宋体" w:cs="宋体"/>
          <w:color w:val="auto"/>
          <w:szCs w:val="21"/>
          <w:highlight w:val="none"/>
          <w:lang w:val="en-US" w:eastAsia="zh-CN"/>
        </w:rPr>
        <w:t>1001000.00</w:t>
      </w:r>
      <w:r>
        <w:rPr>
          <w:rFonts w:hint="eastAsia" w:ascii="宋体" w:hAnsi="宋体" w:eastAsia="宋体" w:cs="宋体"/>
          <w:color w:val="auto"/>
          <w:szCs w:val="21"/>
          <w:highlight w:val="none"/>
          <w:lang w:val="en-US" w:eastAsia="zh-CN"/>
        </w:rPr>
        <w:t>元</w:t>
      </w:r>
      <w:r>
        <w:rPr>
          <w:rFonts w:hint="eastAsia" w:ascii="宋体" w:hAnsi="宋体" w:cs="宋体"/>
          <w:color w:val="auto"/>
          <w:szCs w:val="21"/>
          <w:highlight w:val="none"/>
          <w:lang w:eastAsia="zh-CN"/>
        </w:rPr>
        <w:t>；</w:t>
      </w:r>
    </w:p>
    <w:p w14:paraId="4087E899">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5.最高限价</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1001000.00</w:t>
      </w:r>
      <w:r>
        <w:rPr>
          <w:rFonts w:hint="eastAsia" w:ascii="宋体" w:hAnsi="宋体" w:cs="宋体"/>
          <w:color w:val="auto"/>
          <w:szCs w:val="21"/>
          <w:highlight w:val="none"/>
        </w:rPr>
        <w:t>元</w:t>
      </w:r>
      <w:r>
        <w:rPr>
          <w:rFonts w:hint="eastAsia" w:ascii="宋体" w:hAnsi="宋体" w:cs="宋体"/>
          <w:color w:val="auto"/>
          <w:szCs w:val="21"/>
          <w:highlight w:val="none"/>
          <w:lang w:eastAsia="zh-CN"/>
        </w:rPr>
        <w:t>；</w:t>
      </w:r>
    </w:p>
    <w:p w14:paraId="43A86023">
      <w:pPr>
        <w:pageBreakBefore w:val="0"/>
        <w:tabs>
          <w:tab w:val="left" w:pos="720"/>
          <w:tab w:val="left" w:pos="8295"/>
        </w:tabs>
        <w:kinsoku/>
        <w:overflowPunct/>
        <w:topLinePunct w:val="0"/>
        <w:autoSpaceDE/>
        <w:autoSpaceDN/>
        <w:bidi w:val="0"/>
        <w:adjustRightInd/>
        <w:snapToGrid/>
        <w:spacing w:line="360" w:lineRule="auto"/>
        <w:ind w:left="0" w:firstLine="420" w:firstLineChars="200"/>
        <w:rPr>
          <w:rFonts w:hint="eastAsia" w:ascii="宋体" w:hAnsi="宋体" w:eastAsia="宋体" w:cs="宋体"/>
          <w:color w:val="auto"/>
          <w:szCs w:val="21"/>
          <w:highlight w:val="none"/>
        </w:rPr>
      </w:pPr>
      <w:r>
        <w:rPr>
          <w:rFonts w:hint="eastAsia" w:ascii="宋体" w:hAnsi="宋体" w:eastAsia="宋体" w:cs="宋体"/>
          <w:i w:val="0"/>
          <w:iCs w:val="0"/>
          <w:color w:val="auto"/>
          <w:sz w:val="21"/>
          <w:szCs w:val="21"/>
          <w:highlight w:val="none"/>
          <w:u w:val="none"/>
          <w:lang w:val="en-US" w:eastAsia="zh-CN"/>
        </w:rPr>
        <w:t>6.</w:t>
      </w:r>
      <w:r>
        <w:rPr>
          <w:rFonts w:hint="eastAsia" w:ascii="宋体" w:hAnsi="宋体" w:eastAsia="宋体" w:cs="宋体"/>
          <w:i w:val="0"/>
          <w:iCs w:val="0"/>
          <w:color w:val="auto"/>
          <w:sz w:val="21"/>
          <w:szCs w:val="21"/>
          <w:highlight w:val="none"/>
          <w:u w:val="none"/>
        </w:rPr>
        <w:t>采购需求：</w:t>
      </w:r>
    </w:p>
    <w:tbl>
      <w:tblPr>
        <w:tblStyle w:val="36"/>
        <w:tblW w:w="9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12"/>
        <w:gridCol w:w="1971"/>
        <w:gridCol w:w="639"/>
        <w:gridCol w:w="927"/>
        <w:gridCol w:w="5010"/>
      </w:tblGrid>
      <w:tr w14:paraId="5F21B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9" w:hRule="atLeast"/>
          <w:jc w:val="center"/>
        </w:trPr>
        <w:tc>
          <w:tcPr>
            <w:tcW w:w="612" w:type="dxa"/>
            <w:noWrap w:val="0"/>
            <w:tcMar>
              <w:top w:w="15" w:type="dxa"/>
              <w:left w:w="15" w:type="dxa"/>
              <w:right w:w="15" w:type="dxa"/>
            </w:tcMar>
            <w:vAlign w:val="center"/>
          </w:tcPr>
          <w:p w14:paraId="411554B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1971" w:type="dxa"/>
            <w:noWrap w:val="0"/>
            <w:tcMar>
              <w:top w:w="15" w:type="dxa"/>
              <w:left w:w="15" w:type="dxa"/>
              <w:right w:w="15" w:type="dxa"/>
            </w:tcMar>
            <w:vAlign w:val="center"/>
          </w:tcPr>
          <w:p w14:paraId="2408953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项目</w:t>
            </w:r>
            <w:r>
              <w:rPr>
                <w:rFonts w:hint="eastAsia" w:ascii="宋体" w:hAnsi="宋体" w:eastAsia="宋体" w:cs="宋体"/>
                <w:b/>
                <w:color w:val="auto"/>
                <w:szCs w:val="21"/>
                <w:highlight w:val="none"/>
              </w:rPr>
              <w:t>名称</w:t>
            </w:r>
          </w:p>
        </w:tc>
        <w:tc>
          <w:tcPr>
            <w:tcW w:w="639" w:type="dxa"/>
            <w:noWrap w:val="0"/>
            <w:tcMar>
              <w:top w:w="15" w:type="dxa"/>
              <w:left w:w="15" w:type="dxa"/>
              <w:right w:w="15" w:type="dxa"/>
            </w:tcMar>
            <w:vAlign w:val="center"/>
          </w:tcPr>
          <w:p w14:paraId="40DB6E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数量</w:t>
            </w:r>
          </w:p>
        </w:tc>
        <w:tc>
          <w:tcPr>
            <w:tcW w:w="927" w:type="dxa"/>
            <w:noWrap w:val="0"/>
            <w:tcMar>
              <w:top w:w="15" w:type="dxa"/>
              <w:left w:w="15" w:type="dxa"/>
              <w:right w:w="15" w:type="dxa"/>
            </w:tcMar>
            <w:vAlign w:val="center"/>
          </w:tcPr>
          <w:p w14:paraId="0C3C437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计量单位</w:t>
            </w:r>
          </w:p>
        </w:tc>
        <w:tc>
          <w:tcPr>
            <w:tcW w:w="5010" w:type="dxa"/>
            <w:noWrap w:val="0"/>
            <w:tcMar>
              <w:top w:w="15" w:type="dxa"/>
              <w:left w:w="15" w:type="dxa"/>
              <w:right w:w="15" w:type="dxa"/>
            </w:tcMar>
            <w:vAlign w:val="center"/>
          </w:tcPr>
          <w:p w14:paraId="04C1F97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center"/>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服务范围</w:t>
            </w:r>
          </w:p>
        </w:tc>
      </w:tr>
      <w:tr w14:paraId="163FE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9" w:hRule="atLeast"/>
          <w:jc w:val="center"/>
        </w:trPr>
        <w:tc>
          <w:tcPr>
            <w:tcW w:w="612" w:type="dxa"/>
            <w:noWrap w:val="0"/>
            <w:tcMar>
              <w:top w:w="15" w:type="dxa"/>
              <w:left w:w="15" w:type="dxa"/>
              <w:right w:w="15" w:type="dxa"/>
            </w:tcMar>
            <w:vAlign w:val="center"/>
          </w:tcPr>
          <w:p w14:paraId="6A42040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bidi="ar"/>
              </w:rPr>
              <w:t>1</w:t>
            </w:r>
          </w:p>
        </w:tc>
        <w:tc>
          <w:tcPr>
            <w:tcW w:w="1971" w:type="dxa"/>
            <w:noWrap w:val="0"/>
            <w:tcMar>
              <w:top w:w="15" w:type="dxa"/>
              <w:left w:w="15" w:type="dxa"/>
              <w:right w:w="15" w:type="dxa"/>
            </w:tcMar>
            <w:vAlign w:val="center"/>
          </w:tcPr>
          <w:p w14:paraId="59EA610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商用密码应用安全性评估</w:t>
            </w:r>
          </w:p>
        </w:tc>
        <w:tc>
          <w:tcPr>
            <w:tcW w:w="639" w:type="dxa"/>
            <w:noWrap w:val="0"/>
            <w:tcMar>
              <w:top w:w="15" w:type="dxa"/>
              <w:left w:w="15" w:type="dxa"/>
              <w:right w:w="15" w:type="dxa"/>
            </w:tcMar>
            <w:vAlign w:val="center"/>
          </w:tcPr>
          <w:p w14:paraId="6613043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szCs w:val="21"/>
                <w:highlight w:val="none"/>
                <w:lang w:eastAsia="zh-CN"/>
              </w:rPr>
              <w:t>1</w:t>
            </w:r>
          </w:p>
        </w:tc>
        <w:tc>
          <w:tcPr>
            <w:tcW w:w="927" w:type="dxa"/>
            <w:noWrap w:val="0"/>
            <w:tcMar>
              <w:top w:w="15" w:type="dxa"/>
              <w:left w:w="15" w:type="dxa"/>
              <w:right w:w="15" w:type="dxa"/>
            </w:tcMar>
            <w:vAlign w:val="center"/>
          </w:tcPr>
          <w:p w14:paraId="6631E0F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szCs w:val="21"/>
                <w:highlight w:val="none"/>
                <w:lang w:eastAsia="zh-CN"/>
              </w:rPr>
              <w:t>项</w:t>
            </w:r>
          </w:p>
        </w:tc>
        <w:tc>
          <w:tcPr>
            <w:tcW w:w="5010" w:type="dxa"/>
            <w:noWrap w:val="0"/>
            <w:tcMar>
              <w:top w:w="15" w:type="dxa"/>
              <w:left w:w="15" w:type="dxa"/>
              <w:right w:w="15" w:type="dxa"/>
            </w:tcMar>
            <w:vAlign w:val="center"/>
          </w:tcPr>
          <w:p w14:paraId="74AF138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对昆明市公安局11个等保3级信息系统系统按第3级密码应用要求开展密码测评工作及密码改造服务方案测评，供应商协助采购人编制商用密码应用工作制度，提供符合相关要求的商用密码应用安全性评估报告，并协助在当地密码管理局备案。</w:t>
            </w:r>
          </w:p>
        </w:tc>
      </w:tr>
    </w:tbl>
    <w:p w14:paraId="46B6F4F0">
      <w:pPr>
        <w:pageBreakBefore w:val="0"/>
        <w:widowControl/>
        <w:kinsoku/>
        <w:overflowPunct/>
        <w:topLinePunct w:val="0"/>
        <w:autoSpaceDE/>
        <w:autoSpaceDN/>
        <w:bidi w:val="0"/>
        <w:adjustRightInd/>
        <w:snapToGrid/>
        <w:spacing w:line="360" w:lineRule="auto"/>
        <w:ind w:left="0" w:firstLine="420" w:firstLineChars="20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注：</w:t>
      </w:r>
      <w:r>
        <w:rPr>
          <w:rFonts w:hint="eastAsia" w:ascii="宋体" w:hAnsi="宋体" w:eastAsia="宋体" w:cs="宋体"/>
          <w:color w:val="auto"/>
          <w:szCs w:val="21"/>
          <w:highlight w:val="none"/>
        </w:rPr>
        <w:t>本项目</w:t>
      </w:r>
      <w:r>
        <w:rPr>
          <w:rFonts w:hint="eastAsia" w:ascii="宋体" w:hAnsi="宋体" w:eastAsia="宋体" w:cs="宋体"/>
          <w:color w:val="auto"/>
          <w:szCs w:val="21"/>
          <w:highlight w:val="none"/>
          <w:lang w:eastAsia="zh-CN"/>
        </w:rPr>
        <w:t>共设一个标段</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供应商必须对本项目所有内容进行完整报价，不得</w:t>
      </w:r>
      <w:r>
        <w:rPr>
          <w:rFonts w:hint="eastAsia" w:ascii="宋体" w:hAnsi="宋体" w:eastAsia="宋体" w:cs="宋体"/>
          <w:color w:val="auto"/>
          <w:szCs w:val="21"/>
          <w:highlight w:val="none"/>
          <w:lang w:eastAsia="zh-CN"/>
        </w:rPr>
        <w:t>出现</w:t>
      </w:r>
      <w:r>
        <w:rPr>
          <w:rFonts w:hint="eastAsia" w:ascii="宋体" w:hAnsi="宋体" w:eastAsia="宋体" w:cs="宋体"/>
          <w:color w:val="auto"/>
          <w:szCs w:val="21"/>
          <w:highlight w:val="none"/>
        </w:rPr>
        <w:t>缺项、漏项</w:t>
      </w:r>
      <w:r>
        <w:rPr>
          <w:rFonts w:hint="eastAsia" w:ascii="宋体" w:hAnsi="宋体" w:eastAsia="宋体" w:cs="宋体"/>
          <w:color w:val="auto"/>
          <w:szCs w:val="21"/>
          <w:highlight w:val="none"/>
          <w:lang w:eastAsia="zh-CN"/>
        </w:rPr>
        <w:t>或无报价的情况</w:t>
      </w:r>
      <w:r>
        <w:rPr>
          <w:rFonts w:hint="eastAsia" w:ascii="宋体" w:hAnsi="宋体" w:eastAsia="宋体" w:cs="宋体"/>
          <w:color w:val="auto"/>
          <w:szCs w:val="21"/>
          <w:highlight w:val="none"/>
        </w:rPr>
        <w:t>，</w:t>
      </w:r>
      <w:r>
        <w:rPr>
          <w:rFonts w:hint="eastAsia" w:ascii="宋体" w:hAnsi="宋体" w:cs="宋体"/>
          <w:bCs/>
          <w:color w:val="auto"/>
          <w:szCs w:val="21"/>
          <w:highlight w:val="none"/>
        </w:rPr>
        <w:t>否则响应文件将按无效处理</w:t>
      </w:r>
      <w:r>
        <w:rPr>
          <w:rFonts w:hint="eastAsia" w:ascii="宋体" w:hAnsi="宋体" w:eastAsia="宋体" w:cs="宋体"/>
          <w:bCs/>
          <w:color w:val="auto"/>
          <w:szCs w:val="21"/>
          <w:highlight w:val="none"/>
        </w:rPr>
        <w:t>。</w:t>
      </w:r>
    </w:p>
    <w:p w14:paraId="08CE3860">
      <w:pPr>
        <w:pageBreakBefore w:val="0"/>
        <w:tabs>
          <w:tab w:val="left" w:pos="720"/>
          <w:tab w:val="left" w:pos="8295"/>
        </w:tabs>
        <w:kinsoku/>
        <w:overflowPunct/>
        <w:topLinePunct w:val="0"/>
        <w:autoSpaceDE/>
        <w:autoSpaceDN/>
        <w:bidi w:val="0"/>
        <w:adjustRightInd/>
        <w:snapToGrid/>
        <w:spacing w:line="360" w:lineRule="auto"/>
        <w:ind w:left="0" w:firstLine="420" w:firstLineChars="200"/>
        <w:rPr>
          <w:rFonts w:hint="eastAsia" w:ascii="宋体" w:hAnsi="宋体" w:eastAsia="宋体" w:cs="宋体"/>
          <w:color w:val="auto"/>
          <w:highlight w:val="none"/>
        </w:rPr>
      </w:pPr>
      <w:r>
        <w:rPr>
          <w:rFonts w:hint="eastAsia" w:ascii="宋体" w:hAnsi="宋体" w:cs="宋体"/>
          <w:color w:val="auto"/>
          <w:szCs w:val="21"/>
          <w:highlight w:val="none"/>
          <w:lang w:val="en-US" w:eastAsia="zh-CN"/>
        </w:rPr>
        <w:t>7.</w:t>
      </w:r>
      <w:r>
        <w:rPr>
          <w:rFonts w:hint="eastAsia" w:ascii="宋体" w:hAnsi="宋体" w:cs="宋体"/>
          <w:color w:val="auto"/>
          <w:szCs w:val="21"/>
          <w:highlight w:val="none"/>
          <w:lang w:eastAsia="zh-CN"/>
        </w:rPr>
        <w:t>项目实施地点</w:t>
      </w:r>
      <w:r>
        <w:rPr>
          <w:rFonts w:hint="eastAsia" w:ascii="宋体" w:hAnsi="宋体" w:eastAsia="宋体" w:cs="宋体"/>
          <w:color w:val="auto"/>
          <w:szCs w:val="21"/>
          <w:highlight w:val="none"/>
        </w:rPr>
        <w:t>：</w:t>
      </w:r>
      <w:r>
        <w:rPr>
          <w:rFonts w:hint="eastAsia" w:ascii="宋体" w:hAnsi="宋体"/>
          <w:color w:val="auto"/>
          <w:szCs w:val="21"/>
          <w:highlight w:val="none"/>
          <w:lang w:eastAsia="zh-CN"/>
        </w:rPr>
        <w:t>昆明市公安局</w:t>
      </w:r>
      <w:r>
        <w:rPr>
          <w:rFonts w:hint="eastAsia" w:ascii="宋体" w:hAnsi="宋体"/>
          <w:color w:val="auto"/>
          <w:szCs w:val="21"/>
          <w:highlight w:val="none"/>
        </w:rPr>
        <w:t>指定地点</w:t>
      </w:r>
      <w:r>
        <w:rPr>
          <w:rFonts w:hint="eastAsia" w:ascii="宋体" w:hAnsi="宋体" w:eastAsia="宋体" w:cs="宋体"/>
          <w:color w:val="auto"/>
          <w:highlight w:val="none"/>
        </w:rPr>
        <w:t>。</w:t>
      </w:r>
    </w:p>
    <w:p w14:paraId="01265793">
      <w:pPr>
        <w:spacing w:line="360" w:lineRule="auto"/>
        <w:ind w:firstLine="420" w:firstLineChars="200"/>
        <w:rPr>
          <w:rFonts w:hint="eastAsia" w:eastAsia="宋体"/>
          <w:color w:val="auto"/>
          <w:highlight w:val="none"/>
          <w:lang w:eastAsia="zh-CN"/>
        </w:rPr>
      </w:pP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.合同履行期限：自合同签订之日起壹年</w:t>
      </w:r>
      <w:r>
        <w:rPr>
          <w:rFonts w:hint="eastAsia" w:ascii="宋体" w:hAnsi="宋体"/>
          <w:color w:val="auto"/>
          <w:szCs w:val="21"/>
          <w:highlight w:val="none"/>
          <w:lang w:eastAsia="zh-CN"/>
        </w:rPr>
        <w:t>。</w:t>
      </w:r>
    </w:p>
    <w:p w14:paraId="09F8E062">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sz w:val="21"/>
          <w:szCs w:val="21"/>
          <w:highlight w:val="none"/>
          <w:u w:val="none"/>
          <w:lang w:val="en-US" w:eastAsia="zh-CN"/>
        </w:rPr>
        <w:t>9</w:t>
      </w:r>
      <w:r>
        <w:rPr>
          <w:rFonts w:hint="eastAsia" w:ascii="宋体" w:hAnsi="宋体" w:eastAsia="宋体" w:cs="宋体"/>
          <w:i w:val="0"/>
          <w:iCs w:val="0"/>
          <w:color w:val="auto"/>
          <w:sz w:val="21"/>
          <w:szCs w:val="21"/>
          <w:highlight w:val="none"/>
          <w:u w:val="none"/>
          <w:lang w:val="en-US" w:eastAsia="zh-CN"/>
        </w:rPr>
        <w:t>.</w:t>
      </w:r>
      <w:r>
        <w:rPr>
          <w:rFonts w:hint="eastAsia" w:ascii="宋体" w:hAnsi="宋体" w:eastAsia="宋体" w:cs="宋体"/>
          <w:i w:val="0"/>
          <w:iCs w:val="0"/>
          <w:color w:val="auto"/>
          <w:sz w:val="21"/>
          <w:szCs w:val="21"/>
          <w:highlight w:val="none"/>
          <w:u w:val="none"/>
        </w:rPr>
        <w:t>本项目</w:t>
      </w:r>
      <w:r>
        <w:rPr>
          <w:rFonts w:hint="eastAsia" w:ascii="宋体" w:hAnsi="宋体" w:eastAsia="宋体" w:cs="宋体"/>
          <w:b/>
          <w:bCs/>
          <w:i w:val="0"/>
          <w:iCs w:val="0"/>
          <w:color w:val="auto"/>
          <w:sz w:val="21"/>
          <w:szCs w:val="21"/>
          <w:highlight w:val="none"/>
          <w:u w:val="single"/>
          <w:lang w:val="en-US" w:eastAsia="zh-CN"/>
        </w:rPr>
        <w:t>不</w:t>
      </w:r>
      <w:r>
        <w:rPr>
          <w:rFonts w:hint="eastAsia" w:ascii="宋体" w:hAnsi="宋体" w:eastAsia="宋体" w:cs="宋体"/>
          <w:b/>
          <w:bCs/>
          <w:i w:val="0"/>
          <w:iCs w:val="0"/>
          <w:color w:val="auto"/>
          <w:sz w:val="21"/>
          <w:szCs w:val="21"/>
          <w:highlight w:val="none"/>
          <w:u w:val="single"/>
        </w:rPr>
        <w:t>接受</w:t>
      </w:r>
      <w:r>
        <w:rPr>
          <w:rFonts w:hint="eastAsia" w:ascii="宋体" w:hAnsi="宋体" w:eastAsia="宋体" w:cs="宋体"/>
          <w:i w:val="0"/>
          <w:iCs w:val="0"/>
          <w:color w:val="auto"/>
          <w:sz w:val="21"/>
          <w:szCs w:val="21"/>
          <w:highlight w:val="none"/>
          <w:u w:val="none"/>
        </w:rPr>
        <w:t>联合体</w:t>
      </w:r>
      <w:r>
        <w:rPr>
          <w:rFonts w:hint="eastAsia" w:ascii="宋体" w:hAnsi="宋体" w:cs="宋体"/>
          <w:i w:val="0"/>
          <w:iCs w:val="0"/>
          <w:color w:val="auto"/>
          <w:sz w:val="21"/>
          <w:szCs w:val="21"/>
          <w:highlight w:val="none"/>
          <w:u w:val="none"/>
          <w:lang w:val="en-US" w:eastAsia="zh-CN"/>
        </w:rPr>
        <w:t>投标</w:t>
      </w:r>
      <w:r>
        <w:rPr>
          <w:rFonts w:hint="eastAsia" w:ascii="宋体" w:hAnsi="宋体" w:eastAsia="宋体" w:cs="宋体"/>
          <w:i w:val="0"/>
          <w:iCs w:val="0"/>
          <w:color w:val="auto"/>
          <w:sz w:val="21"/>
          <w:szCs w:val="21"/>
          <w:highlight w:val="none"/>
          <w:u w:val="none"/>
        </w:rPr>
        <w:t>。</w:t>
      </w:r>
    </w:p>
    <w:p w14:paraId="500258BD">
      <w:pPr>
        <w:pStyle w:val="4"/>
        <w:spacing w:before="0" w:beforeLines="0" w:after="0" w:afterLines="0"/>
        <w:jc w:val="both"/>
        <w:rPr>
          <w:rFonts w:hint="eastAsia" w:ascii="宋体" w:hAnsi="宋体" w:eastAsia="宋体" w:cs="宋体"/>
          <w:b/>
          <w:bCs/>
          <w:i w:val="0"/>
          <w:iCs w:val="0"/>
          <w:snapToGrid/>
          <w:color w:val="auto"/>
          <w:kern w:val="2"/>
          <w:sz w:val="24"/>
          <w:szCs w:val="24"/>
          <w:highlight w:val="none"/>
          <w:u w:val="none"/>
          <w:lang w:val="en-US" w:eastAsia="zh-CN" w:bidi="ar-SA"/>
        </w:rPr>
      </w:pPr>
      <w:bookmarkStart w:id="5" w:name="_Toc4828"/>
      <w:bookmarkStart w:id="6" w:name="_Toc29003"/>
      <w:r>
        <w:rPr>
          <w:rFonts w:hint="eastAsia" w:ascii="宋体" w:hAnsi="宋体" w:eastAsia="宋体" w:cs="宋体"/>
          <w:b/>
          <w:bCs/>
          <w:i w:val="0"/>
          <w:iCs w:val="0"/>
          <w:snapToGrid/>
          <w:color w:val="auto"/>
          <w:kern w:val="2"/>
          <w:sz w:val="24"/>
          <w:szCs w:val="24"/>
          <w:highlight w:val="none"/>
          <w:u w:val="none"/>
          <w:lang w:val="en-US" w:eastAsia="zh-CN" w:bidi="ar-SA"/>
        </w:rPr>
        <w:t>二、供应商资格要求</w:t>
      </w:r>
      <w:bookmarkEnd w:id="5"/>
      <w:bookmarkEnd w:id="6"/>
    </w:p>
    <w:p w14:paraId="57BCA689">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1.满足《中华人民共和国政府采购法》第二十二条规定；</w:t>
      </w:r>
    </w:p>
    <w:p w14:paraId="160BB05A">
      <w:pPr>
        <w:pageBreakBefore w:val="0"/>
        <w:tabs>
          <w:tab w:val="left" w:pos="720"/>
          <w:tab w:val="left" w:pos="8295"/>
        </w:tabs>
        <w:kinsoku/>
        <w:wordWrap w:val="0"/>
        <w:overflowPunct/>
        <w:topLinePunct w:val="0"/>
        <w:autoSpaceDE/>
        <w:autoSpaceDN/>
        <w:bidi w:val="0"/>
        <w:adjustRightInd/>
        <w:snapToGrid/>
        <w:spacing w:line="360" w:lineRule="auto"/>
        <w:ind w:left="0"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供应商须具有独立承担民事责任的能力：</w:t>
      </w:r>
      <w:r>
        <w:rPr>
          <w:rFonts w:hint="eastAsia" w:ascii="宋体" w:hAnsi="宋体" w:cs="宋体"/>
          <w:color w:val="auto"/>
          <w:szCs w:val="21"/>
          <w:highlight w:val="none"/>
          <w:lang w:eastAsia="zh-CN"/>
        </w:rPr>
        <w:t>供应商须在中华人民共和国境内注册，具有独立承担民事责任的能力,提供法人或者其他组织的营业执照等证明文件（扫描件加盖供应商电子公章）</w:t>
      </w:r>
      <w:r>
        <w:rPr>
          <w:rFonts w:hint="eastAsia" w:ascii="宋体" w:hAnsi="宋体" w:cs="宋体"/>
          <w:color w:val="auto"/>
          <w:szCs w:val="21"/>
          <w:highlight w:val="none"/>
        </w:rPr>
        <w:t>；</w:t>
      </w:r>
    </w:p>
    <w:p w14:paraId="52D45E4A">
      <w:pPr>
        <w:tabs>
          <w:tab w:val="left" w:pos="720"/>
          <w:tab w:val="left" w:pos="4200"/>
          <w:tab w:val="left" w:pos="8295"/>
        </w:tabs>
        <w:spacing w:line="360" w:lineRule="auto"/>
        <w:ind w:firstLine="420" w:firstLineChars="200"/>
        <w:jc w:val="left"/>
        <w:rPr>
          <w:rFonts w:hint="eastAsia" w:ascii="宋体" w:hAnsi="宋体" w:cs="宋体"/>
          <w:color w:val="auto"/>
          <w:szCs w:val="21"/>
          <w:highlight w:val="none"/>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.2</w:t>
      </w:r>
      <w:r>
        <w:rPr>
          <w:rFonts w:hint="eastAsia" w:ascii="宋体" w:hAnsi="宋体" w:cs="宋体"/>
          <w:color w:val="auto"/>
          <w:szCs w:val="21"/>
          <w:highlight w:val="none"/>
        </w:rPr>
        <w:t>供应商须具有良好的商业信誉和健全的财务会计制度</w:t>
      </w:r>
      <w:r>
        <w:rPr>
          <w:rFonts w:hint="eastAsia" w:ascii="宋体" w:hAnsi="宋体" w:eastAsia="宋体" w:cs="宋体"/>
          <w:color w:val="auto"/>
          <w:szCs w:val="21"/>
          <w:highlight w:val="none"/>
        </w:rPr>
        <w:t>：</w:t>
      </w:r>
      <w:r>
        <w:rPr>
          <w:rFonts w:hint="eastAsia" w:ascii="宋体" w:hAnsi="宋体" w:cs="宋体"/>
          <w:color w:val="auto"/>
          <w:szCs w:val="21"/>
          <w:highlight w:val="none"/>
          <w:lang w:eastAsia="zh-CN"/>
        </w:rPr>
        <w:t>提供供应商2022年至今任意一年度经第三方审计的财务报告及报表（报表至少应包括资产负债表、利润表（损益表）、现金流量表）或提供自提交响应文件截止时间前三个月内基本开户银行出具的资信证明（扫描件加盖供应商电子公章）</w:t>
      </w:r>
      <w:r>
        <w:rPr>
          <w:rFonts w:hint="eastAsia" w:ascii="宋体" w:hAnsi="宋体" w:cs="宋体"/>
          <w:color w:val="auto"/>
          <w:szCs w:val="21"/>
          <w:highlight w:val="none"/>
        </w:rPr>
        <w:t>；</w:t>
      </w:r>
    </w:p>
    <w:p w14:paraId="20D36BB3">
      <w:pPr>
        <w:tabs>
          <w:tab w:val="left" w:pos="720"/>
          <w:tab w:val="left" w:pos="8295"/>
        </w:tabs>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.3具有履行合同所必需的设备和专业技术能力：</w:t>
      </w:r>
      <w:r>
        <w:rPr>
          <w:rFonts w:hint="eastAsia" w:ascii="宋体" w:hAnsi="宋体" w:cs="宋体"/>
          <w:color w:val="auto"/>
          <w:szCs w:val="21"/>
          <w:highlight w:val="none"/>
          <w:lang w:eastAsia="zh-CN"/>
        </w:rPr>
        <w:t>供应商须具有履行合同所必需的设备和专业技术能力证明材料或书面声明（</w:t>
      </w:r>
      <w:r>
        <w:rPr>
          <w:rFonts w:hint="eastAsia" w:ascii="宋体" w:hAnsi="宋体" w:cs="宋体"/>
          <w:color w:val="auto"/>
          <w:szCs w:val="21"/>
          <w:highlight w:val="none"/>
          <w:lang w:val="en-US" w:eastAsia="zh-CN"/>
        </w:rPr>
        <w:t>加</w:t>
      </w:r>
      <w:r>
        <w:rPr>
          <w:rFonts w:hint="eastAsia" w:ascii="宋体" w:hAnsi="宋体" w:cs="宋体"/>
          <w:color w:val="auto"/>
          <w:szCs w:val="21"/>
          <w:highlight w:val="none"/>
          <w:lang w:eastAsia="zh-CN"/>
        </w:rPr>
        <w:t>盖供应商电子公章）</w:t>
      </w:r>
      <w:r>
        <w:rPr>
          <w:rFonts w:hint="eastAsia" w:ascii="宋体" w:hAnsi="宋体" w:cs="宋体"/>
          <w:color w:val="auto"/>
          <w:szCs w:val="21"/>
          <w:highlight w:val="none"/>
        </w:rPr>
        <w:t>；</w:t>
      </w:r>
    </w:p>
    <w:p w14:paraId="2F42EF18">
      <w:pPr>
        <w:tabs>
          <w:tab w:val="left" w:pos="720"/>
          <w:tab w:val="left" w:pos="8295"/>
        </w:tabs>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.4供应商须具有依法缴纳税收和社会保障资金的良好记录：</w:t>
      </w:r>
    </w:p>
    <w:p w14:paraId="504104D9">
      <w:pPr>
        <w:tabs>
          <w:tab w:val="left" w:pos="720"/>
          <w:tab w:val="left" w:pos="8295"/>
        </w:tabs>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.4.1</w:t>
      </w:r>
      <w:r>
        <w:rPr>
          <w:rFonts w:hint="eastAsia" w:ascii="宋体" w:hAnsi="宋体" w:cs="宋体"/>
          <w:color w:val="auto"/>
          <w:szCs w:val="21"/>
          <w:highlight w:val="none"/>
          <w:lang w:eastAsia="zh-CN"/>
        </w:rPr>
        <w:t>供应商须提供缴税所属时间在2023年01月至本项目提交响应文件截止时间前任意2个月的税务局税收通用缴款书或银行电子缴税（费）凭证或税务局出具纳税情况的相关证明，依法免税或免缴的，应提供相关证明文件（扫描件加盖供应商电子公章）或说明（加盖供应商电子公章），新成立未满一年的供应商，依法免税或免缴的，应提供相关证明文件（扫描件加盖供应商电子公章）或说明（加盖供应商电子公章）</w:t>
      </w:r>
      <w:r>
        <w:rPr>
          <w:rFonts w:hint="eastAsia" w:ascii="宋体" w:hAnsi="宋体" w:cs="宋体"/>
          <w:color w:val="auto"/>
          <w:szCs w:val="21"/>
          <w:highlight w:val="none"/>
        </w:rPr>
        <w:t>；</w:t>
      </w:r>
    </w:p>
    <w:p w14:paraId="4BA57D7D">
      <w:pPr>
        <w:tabs>
          <w:tab w:val="left" w:pos="720"/>
          <w:tab w:val="left" w:pos="8295"/>
        </w:tabs>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.4.2</w:t>
      </w:r>
      <w:r>
        <w:rPr>
          <w:rFonts w:hint="eastAsia" w:ascii="宋体" w:hAnsi="宋体" w:cs="宋体"/>
          <w:color w:val="auto"/>
          <w:szCs w:val="21"/>
          <w:highlight w:val="none"/>
          <w:lang w:eastAsia="zh-CN"/>
        </w:rPr>
        <w:t>供应商须提供缴费所属时间在2023年01月至本项目提交响应文件截止时间前任意2个月的社会保险费缴款书或银行电子缴税（费）凭证或社保管理部门出具的有效的缴款证明，依法免缴的，应提供依法免缴的相关证明文件（扫描件加盖供应商电子公章）或说明（加盖供应商电子公章），新成立未满一年的供应商，依法免缴的，应提供依法免缴的相关证明文件（扫描件加盖供应商电子公章）或说明（加盖供应商电子公章）</w:t>
      </w:r>
      <w:r>
        <w:rPr>
          <w:rFonts w:hint="eastAsia" w:ascii="宋体" w:hAnsi="宋体" w:cs="宋体"/>
          <w:color w:val="auto"/>
          <w:szCs w:val="21"/>
          <w:highlight w:val="none"/>
        </w:rPr>
        <w:t>；</w:t>
      </w:r>
    </w:p>
    <w:p w14:paraId="678D350B">
      <w:pPr>
        <w:tabs>
          <w:tab w:val="left" w:pos="720"/>
          <w:tab w:val="left" w:pos="8295"/>
        </w:tabs>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.5</w:t>
      </w:r>
      <w:r>
        <w:rPr>
          <w:rFonts w:hint="eastAsia" w:ascii="宋体" w:hAnsi="宋体" w:cs="宋体"/>
          <w:color w:val="auto"/>
          <w:highlight w:val="none"/>
        </w:rPr>
        <w:t>参加政府采购活动前三年内，在经营活动中没有重大违法记录：提供</w:t>
      </w:r>
      <w:r>
        <w:rPr>
          <w:rFonts w:hint="eastAsia" w:ascii="宋体" w:hAnsi="宋体" w:cs="宋体"/>
          <w:color w:val="auto"/>
          <w:szCs w:val="21"/>
          <w:highlight w:val="none"/>
        </w:rPr>
        <w:t>供应商参加政府采购活动前三年内，在经营活动中没有重大违法记录（重大违法记录，是指供应商因违法经营受到刑事处罚或者责令停产停业、吊销许可证或者执照、较大数额罚款等行政处罚）的书面声明（原件</w:t>
      </w:r>
      <w:r>
        <w:rPr>
          <w:rFonts w:hint="eastAsia" w:ascii="宋体" w:hAnsi="宋体" w:cs="宋体"/>
          <w:color w:val="auto"/>
          <w:szCs w:val="21"/>
          <w:highlight w:val="none"/>
          <w:lang w:eastAsia="zh-CN"/>
        </w:rPr>
        <w:t>加盖供应商电子公章</w:t>
      </w:r>
      <w:r>
        <w:rPr>
          <w:rFonts w:hint="eastAsia" w:ascii="宋体" w:hAnsi="宋体" w:cs="宋体"/>
          <w:color w:val="auto"/>
          <w:szCs w:val="21"/>
          <w:highlight w:val="none"/>
        </w:rPr>
        <w:t>）；</w:t>
      </w:r>
    </w:p>
    <w:p w14:paraId="4A917051">
      <w:pPr>
        <w:tabs>
          <w:tab w:val="left" w:pos="720"/>
          <w:tab w:val="left" w:pos="8295"/>
        </w:tabs>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.6法律、行政法规规定的其他条件：</w:t>
      </w:r>
    </w:p>
    <w:p w14:paraId="1F889926">
      <w:pPr>
        <w:tabs>
          <w:tab w:val="left" w:pos="720"/>
          <w:tab w:val="left" w:pos="8295"/>
        </w:tabs>
        <w:spacing w:line="360" w:lineRule="auto"/>
        <w:ind w:firstLine="420" w:firstLineChars="200"/>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1.6.1单位负责人为同一人或者存在直接控股、管理关系的不同供应商，不得参加同一合同项下的政府采购活动（提供承诺函加盖供应商公章）；</w:t>
      </w:r>
    </w:p>
    <w:p w14:paraId="2FC191AC">
      <w:pPr>
        <w:tabs>
          <w:tab w:val="left" w:pos="720"/>
          <w:tab w:val="left" w:pos="8295"/>
        </w:tabs>
        <w:spacing w:line="360" w:lineRule="auto"/>
        <w:ind w:firstLine="420" w:firstLineChars="200"/>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1.6.2为本采购项目提供整体设计、规范编制或者项目管理、监理、检测等服务的供应商，不得再参加本采购项目的其他采购活动的书面声明（提供书面声明函加盖供应商公章）；</w:t>
      </w:r>
    </w:p>
    <w:p w14:paraId="62DF3C7D">
      <w:pPr>
        <w:tabs>
          <w:tab w:val="left" w:pos="720"/>
          <w:tab w:val="left" w:pos="8295"/>
        </w:tabs>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.6.</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eastAsia="zh-CN"/>
        </w:rPr>
        <w:t>供应商在本项目响应文件提交截止时间前在“信用中国”网站（www.creditchina.gov.cn）中未被列入政府采购严重违法失信行为记录名单、严重失信主体名单和重大税收违法失信主体（查询时间为本公告发布之日起至提交响应文件截止时间止，查询结果以采购人、采购代理机构查询结果为准，并将查询记录和证据留存）</w:t>
      </w:r>
      <w:r>
        <w:rPr>
          <w:rFonts w:hint="eastAsia" w:ascii="宋体" w:hAnsi="宋体" w:cs="宋体"/>
          <w:color w:val="auto"/>
          <w:szCs w:val="21"/>
          <w:highlight w:val="none"/>
        </w:rPr>
        <w:t>；</w:t>
      </w:r>
    </w:p>
    <w:p w14:paraId="7E1561BC">
      <w:pPr>
        <w:pageBreakBefore w:val="0"/>
        <w:kinsoku/>
        <w:overflowPunct/>
        <w:topLinePunct w:val="0"/>
        <w:autoSpaceDE/>
        <w:autoSpaceDN/>
        <w:bidi w:val="0"/>
        <w:adjustRightInd/>
        <w:snapToGrid/>
        <w:spacing w:line="360" w:lineRule="auto"/>
        <w:ind w:left="0" w:firstLine="420" w:firstLineChars="200"/>
        <w:rPr>
          <w:rFonts w:hint="eastAsia" w:ascii="宋体" w:hAnsi="宋体" w:eastAsia="宋体" w:cs="宋体"/>
          <w:i w:val="0"/>
          <w:iCs w:val="0"/>
          <w:color w:val="auto"/>
          <w:sz w:val="21"/>
          <w:szCs w:val="21"/>
          <w:highlight w:val="none"/>
          <w:u w:val="none"/>
          <w:lang w:eastAsia="zh-CN"/>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.6.</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供应商在本项目响应文件提交截止时间前在中国政府采购网（www.ccgp.gov.cn）政府采购严重违法失信行为记录名单内无不良信息记录（</w:t>
      </w:r>
      <w:r>
        <w:rPr>
          <w:rFonts w:hint="eastAsia" w:ascii="宋体" w:hAnsi="宋体" w:cs="宋体"/>
          <w:color w:val="auto"/>
          <w:szCs w:val="21"/>
          <w:highlight w:val="none"/>
          <w:lang w:eastAsia="zh-CN"/>
        </w:rPr>
        <w:t>查询时间为本公告发布之日起至提交响应文件截止时间止，查询结果以采购人、采购</w:t>
      </w:r>
      <w:r>
        <w:rPr>
          <w:rFonts w:hint="eastAsia" w:ascii="宋体" w:hAnsi="宋体" w:eastAsia="宋体" w:cs="宋体"/>
          <w:i w:val="0"/>
          <w:iCs w:val="0"/>
          <w:color w:val="auto"/>
          <w:sz w:val="21"/>
          <w:szCs w:val="21"/>
          <w:highlight w:val="none"/>
          <w:u w:val="none"/>
          <w:lang w:eastAsia="zh-CN"/>
        </w:rPr>
        <w:t>代理机构查询结果为准，并将查询记录和证据留存）；</w:t>
      </w:r>
    </w:p>
    <w:p w14:paraId="356F6143">
      <w:pPr>
        <w:pageBreakBefore w:val="0"/>
        <w:kinsoku/>
        <w:overflowPunct/>
        <w:topLinePunct w:val="0"/>
        <w:autoSpaceDE/>
        <w:autoSpaceDN/>
        <w:bidi w:val="0"/>
        <w:adjustRightInd/>
        <w:snapToGrid/>
        <w:spacing w:line="360" w:lineRule="auto"/>
        <w:ind w:left="0" w:firstLine="420" w:firstLineChars="200"/>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eastAsia="zh-CN"/>
        </w:rPr>
        <w:t>2.落实政府采购政策需满足的资格要求：无。</w:t>
      </w:r>
    </w:p>
    <w:p w14:paraId="032D6135">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rPr>
        <w:t>3.本项目的特定资格要求：</w:t>
      </w:r>
      <w:r>
        <w:rPr>
          <w:rFonts w:hint="eastAsia" w:ascii="宋体" w:hAnsi="宋体" w:cs="宋体"/>
          <w:i w:val="0"/>
          <w:iCs w:val="0"/>
          <w:color w:val="auto"/>
          <w:sz w:val="21"/>
          <w:szCs w:val="21"/>
          <w:highlight w:val="none"/>
          <w:u w:val="none"/>
          <w:lang w:eastAsia="zh-CN"/>
        </w:rPr>
        <w:t>供应商属于国家密码管理局第49号公告中《商用密码检测机构(商用密码应用安全性评估业务)目录》的机构</w:t>
      </w:r>
      <w:r>
        <w:rPr>
          <w:rFonts w:hint="eastAsia" w:ascii="宋体" w:hAnsi="宋体" w:eastAsia="宋体" w:cs="宋体"/>
          <w:i w:val="0"/>
          <w:iCs w:val="0"/>
          <w:color w:val="auto"/>
          <w:sz w:val="21"/>
          <w:szCs w:val="21"/>
          <w:highlight w:val="none"/>
          <w:u w:val="none"/>
          <w:lang w:eastAsia="zh-CN"/>
        </w:rPr>
        <w:t>。</w:t>
      </w:r>
    </w:p>
    <w:p w14:paraId="49266867">
      <w:pPr>
        <w:pStyle w:val="4"/>
        <w:spacing w:before="0" w:beforeLines="0" w:after="0" w:afterLines="0"/>
        <w:jc w:val="both"/>
        <w:rPr>
          <w:rFonts w:hint="eastAsia" w:ascii="宋体" w:hAnsi="宋体" w:eastAsia="宋体" w:cs="宋体"/>
          <w:b/>
          <w:bCs/>
          <w:i w:val="0"/>
          <w:iCs w:val="0"/>
          <w:snapToGrid/>
          <w:color w:val="auto"/>
          <w:kern w:val="2"/>
          <w:sz w:val="24"/>
          <w:szCs w:val="24"/>
          <w:highlight w:val="none"/>
          <w:u w:val="none"/>
          <w:lang w:val="en-US" w:eastAsia="zh-CN" w:bidi="ar-SA"/>
        </w:rPr>
      </w:pPr>
      <w:bookmarkStart w:id="7" w:name="_Toc17341"/>
      <w:bookmarkStart w:id="8" w:name="_Toc21183"/>
      <w:r>
        <w:rPr>
          <w:rFonts w:hint="eastAsia" w:ascii="宋体" w:hAnsi="宋体" w:eastAsia="宋体" w:cs="宋体"/>
          <w:b/>
          <w:bCs/>
          <w:i w:val="0"/>
          <w:iCs w:val="0"/>
          <w:snapToGrid/>
          <w:color w:val="auto"/>
          <w:kern w:val="2"/>
          <w:sz w:val="24"/>
          <w:szCs w:val="24"/>
          <w:highlight w:val="none"/>
          <w:u w:val="none"/>
          <w:lang w:val="en-US" w:eastAsia="zh-CN" w:bidi="ar-SA"/>
        </w:rPr>
        <w:t>三、获取采购文件</w:t>
      </w:r>
      <w:bookmarkEnd w:id="7"/>
      <w:bookmarkEnd w:id="8"/>
    </w:p>
    <w:p w14:paraId="6169CB0F">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val="en-US" w:eastAsia="zh-CN"/>
        </w:rPr>
        <w:t>1.</w:t>
      </w:r>
      <w:r>
        <w:rPr>
          <w:rFonts w:hint="eastAsia" w:ascii="宋体" w:hAnsi="宋体" w:eastAsia="宋体" w:cs="宋体"/>
          <w:i w:val="0"/>
          <w:iCs w:val="0"/>
          <w:color w:val="auto"/>
          <w:sz w:val="21"/>
          <w:szCs w:val="21"/>
          <w:highlight w:val="none"/>
          <w:u w:val="none"/>
        </w:rPr>
        <w:t>时间：</w:t>
      </w:r>
      <w:r>
        <w:rPr>
          <w:rFonts w:hint="eastAsia" w:ascii="宋体" w:hAnsi="宋体" w:eastAsia="宋体" w:cs="宋体"/>
          <w:i w:val="0"/>
          <w:iCs w:val="0"/>
          <w:color w:val="auto"/>
          <w:sz w:val="21"/>
          <w:szCs w:val="21"/>
          <w:highlight w:val="none"/>
          <w:u w:val="none"/>
          <w:lang w:val="en-US" w:eastAsia="zh-CN"/>
        </w:rPr>
        <w:t>202</w:t>
      </w:r>
      <w:r>
        <w:rPr>
          <w:rFonts w:hint="eastAsia" w:ascii="宋体" w:hAnsi="宋体" w:cs="宋体"/>
          <w:i w:val="0"/>
          <w:iCs w:val="0"/>
          <w:color w:val="auto"/>
          <w:sz w:val="21"/>
          <w:szCs w:val="21"/>
          <w:highlight w:val="none"/>
          <w:u w:val="none"/>
          <w:lang w:val="en-US" w:eastAsia="zh-CN"/>
        </w:rPr>
        <w:t>5</w:t>
      </w:r>
      <w:r>
        <w:rPr>
          <w:rFonts w:hint="eastAsia" w:ascii="宋体" w:hAnsi="宋体" w:eastAsia="宋体" w:cs="宋体"/>
          <w:i w:val="0"/>
          <w:iCs w:val="0"/>
          <w:color w:val="auto"/>
          <w:sz w:val="21"/>
          <w:szCs w:val="21"/>
          <w:highlight w:val="none"/>
          <w:u w:val="none"/>
          <w:lang w:val="en-US" w:eastAsia="zh-CN"/>
        </w:rPr>
        <w:t>年</w:t>
      </w:r>
      <w:r>
        <w:rPr>
          <w:rFonts w:hint="eastAsia" w:ascii="宋体" w:hAnsi="宋体" w:cs="宋体"/>
          <w:i w:val="0"/>
          <w:iCs w:val="0"/>
          <w:color w:val="auto"/>
          <w:sz w:val="21"/>
          <w:szCs w:val="21"/>
          <w:highlight w:val="none"/>
          <w:u w:val="none"/>
          <w:lang w:val="en-US" w:eastAsia="zh-CN"/>
        </w:rPr>
        <w:t>05</w:t>
      </w:r>
      <w:r>
        <w:rPr>
          <w:rFonts w:hint="eastAsia" w:ascii="宋体" w:hAnsi="宋体" w:eastAsia="宋体" w:cs="宋体"/>
          <w:i w:val="0"/>
          <w:iCs w:val="0"/>
          <w:color w:val="auto"/>
          <w:sz w:val="21"/>
          <w:szCs w:val="21"/>
          <w:highlight w:val="none"/>
          <w:u w:val="none"/>
          <w:lang w:val="en-US" w:eastAsia="zh-CN"/>
        </w:rPr>
        <w:t>月</w:t>
      </w:r>
      <w:r>
        <w:rPr>
          <w:rFonts w:hint="eastAsia" w:ascii="宋体" w:hAnsi="宋体" w:cs="宋体"/>
          <w:i w:val="0"/>
          <w:iCs w:val="0"/>
          <w:color w:val="auto"/>
          <w:sz w:val="21"/>
          <w:szCs w:val="21"/>
          <w:highlight w:val="none"/>
          <w:u w:val="none"/>
          <w:lang w:val="en-US" w:eastAsia="zh-CN"/>
        </w:rPr>
        <w:t>29</w:t>
      </w:r>
      <w:r>
        <w:rPr>
          <w:rFonts w:hint="eastAsia" w:ascii="宋体" w:hAnsi="宋体" w:eastAsia="宋体" w:cs="宋体"/>
          <w:i w:val="0"/>
          <w:iCs w:val="0"/>
          <w:color w:val="auto"/>
          <w:sz w:val="21"/>
          <w:szCs w:val="21"/>
          <w:highlight w:val="none"/>
          <w:u w:val="none"/>
          <w:lang w:val="en-US" w:eastAsia="zh-CN"/>
        </w:rPr>
        <w:t>日至202</w:t>
      </w:r>
      <w:r>
        <w:rPr>
          <w:rFonts w:hint="eastAsia" w:ascii="宋体" w:hAnsi="宋体" w:cs="宋体"/>
          <w:i w:val="0"/>
          <w:iCs w:val="0"/>
          <w:color w:val="auto"/>
          <w:sz w:val="21"/>
          <w:szCs w:val="21"/>
          <w:highlight w:val="none"/>
          <w:u w:val="none"/>
          <w:lang w:val="en-US" w:eastAsia="zh-CN"/>
        </w:rPr>
        <w:t>5</w:t>
      </w:r>
      <w:r>
        <w:rPr>
          <w:rFonts w:hint="eastAsia" w:ascii="宋体" w:hAnsi="宋体" w:eastAsia="宋体" w:cs="宋体"/>
          <w:i w:val="0"/>
          <w:iCs w:val="0"/>
          <w:color w:val="auto"/>
          <w:sz w:val="21"/>
          <w:szCs w:val="21"/>
          <w:highlight w:val="none"/>
          <w:u w:val="none"/>
          <w:lang w:val="en-US" w:eastAsia="zh-CN"/>
        </w:rPr>
        <w:t>年</w:t>
      </w:r>
      <w:r>
        <w:rPr>
          <w:rFonts w:hint="eastAsia" w:ascii="宋体" w:hAnsi="宋体" w:cs="宋体"/>
          <w:i w:val="0"/>
          <w:iCs w:val="0"/>
          <w:color w:val="auto"/>
          <w:sz w:val="21"/>
          <w:szCs w:val="21"/>
          <w:highlight w:val="none"/>
          <w:u w:val="none"/>
          <w:lang w:val="en-US" w:eastAsia="zh-CN"/>
        </w:rPr>
        <w:t>06</w:t>
      </w:r>
      <w:r>
        <w:rPr>
          <w:rFonts w:hint="eastAsia" w:ascii="宋体" w:hAnsi="宋体" w:eastAsia="宋体" w:cs="宋体"/>
          <w:i w:val="0"/>
          <w:iCs w:val="0"/>
          <w:color w:val="auto"/>
          <w:sz w:val="21"/>
          <w:szCs w:val="21"/>
          <w:highlight w:val="none"/>
          <w:u w:val="none"/>
          <w:lang w:val="en-US" w:eastAsia="zh-CN"/>
        </w:rPr>
        <w:t>月</w:t>
      </w:r>
      <w:r>
        <w:rPr>
          <w:rFonts w:hint="eastAsia" w:ascii="宋体" w:hAnsi="宋体" w:cs="宋体"/>
          <w:i w:val="0"/>
          <w:iCs w:val="0"/>
          <w:color w:val="auto"/>
          <w:sz w:val="21"/>
          <w:szCs w:val="21"/>
          <w:highlight w:val="none"/>
          <w:u w:val="none"/>
          <w:lang w:val="en-US" w:eastAsia="zh-CN"/>
        </w:rPr>
        <w:t>06</w:t>
      </w:r>
      <w:r>
        <w:rPr>
          <w:rFonts w:hint="eastAsia" w:ascii="宋体" w:hAnsi="宋体" w:eastAsia="宋体" w:cs="宋体"/>
          <w:i w:val="0"/>
          <w:iCs w:val="0"/>
          <w:color w:val="auto"/>
          <w:sz w:val="21"/>
          <w:szCs w:val="21"/>
          <w:highlight w:val="none"/>
          <w:u w:val="none"/>
          <w:lang w:val="en-US" w:eastAsia="zh-CN"/>
        </w:rPr>
        <w:t>日（</w:t>
      </w:r>
      <w:r>
        <w:rPr>
          <w:rFonts w:hint="eastAsia" w:ascii="宋体" w:hAnsi="宋体" w:eastAsia="宋体" w:cs="宋体"/>
          <w:i w:val="0"/>
          <w:iCs w:val="0"/>
          <w:color w:val="auto"/>
          <w:sz w:val="21"/>
          <w:szCs w:val="21"/>
          <w:highlight w:val="none"/>
          <w:u w:val="none"/>
        </w:rPr>
        <w:t>北京时间，法定节假日除外）</w:t>
      </w:r>
      <w:r>
        <w:rPr>
          <w:rFonts w:hint="eastAsia" w:ascii="宋体" w:hAnsi="宋体" w:eastAsia="宋体" w:cs="宋体"/>
          <w:i w:val="0"/>
          <w:iCs w:val="0"/>
          <w:color w:val="auto"/>
          <w:sz w:val="21"/>
          <w:szCs w:val="21"/>
          <w:highlight w:val="none"/>
          <w:u w:val="none"/>
          <w:lang w:eastAsia="zh-CN"/>
        </w:rPr>
        <w:t>；</w:t>
      </w:r>
    </w:p>
    <w:p w14:paraId="6B841587">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val="en-US" w:eastAsia="zh-CN"/>
        </w:rPr>
        <w:t>2.</w:t>
      </w:r>
      <w:r>
        <w:rPr>
          <w:rFonts w:hint="eastAsia" w:ascii="宋体" w:hAnsi="宋体" w:eastAsia="宋体" w:cs="宋体"/>
          <w:i w:val="0"/>
          <w:iCs w:val="0"/>
          <w:color w:val="auto"/>
          <w:sz w:val="21"/>
          <w:szCs w:val="21"/>
          <w:highlight w:val="none"/>
          <w:u w:val="none"/>
        </w:rPr>
        <w:t>地点：</w:t>
      </w:r>
      <w:r>
        <w:rPr>
          <w:rFonts w:hint="eastAsia" w:ascii="宋体" w:hAnsi="宋体" w:cs="宋体"/>
          <w:i w:val="0"/>
          <w:iCs w:val="0"/>
          <w:color w:val="auto"/>
          <w:sz w:val="21"/>
          <w:szCs w:val="21"/>
          <w:highlight w:val="none"/>
          <w:u w:val="none"/>
          <w:lang w:eastAsia="zh-CN"/>
        </w:rPr>
        <w:t>“政采云”</w:t>
      </w:r>
      <w:r>
        <w:rPr>
          <w:rFonts w:hint="eastAsia" w:ascii="宋体" w:hAnsi="宋体" w:eastAsia="宋体" w:cs="宋体"/>
          <w:i w:val="0"/>
          <w:iCs w:val="0"/>
          <w:color w:val="auto"/>
          <w:sz w:val="21"/>
          <w:szCs w:val="21"/>
          <w:highlight w:val="none"/>
          <w:u w:val="none"/>
        </w:rPr>
        <w:t>平台线上获取（https://www.zcygov.cn/）（操作路径：登录</w:t>
      </w:r>
      <w:r>
        <w:rPr>
          <w:rFonts w:hint="eastAsia" w:ascii="宋体" w:hAnsi="宋体" w:cs="宋体"/>
          <w:i w:val="0"/>
          <w:iCs w:val="0"/>
          <w:color w:val="auto"/>
          <w:sz w:val="21"/>
          <w:szCs w:val="21"/>
          <w:highlight w:val="none"/>
          <w:u w:val="none"/>
          <w:lang w:eastAsia="zh-CN"/>
        </w:rPr>
        <w:t>“政采云”</w:t>
      </w:r>
      <w:r>
        <w:rPr>
          <w:rFonts w:hint="eastAsia" w:ascii="宋体" w:hAnsi="宋体" w:eastAsia="宋体" w:cs="宋体"/>
          <w:i w:val="0"/>
          <w:iCs w:val="0"/>
          <w:color w:val="auto"/>
          <w:sz w:val="21"/>
          <w:szCs w:val="21"/>
          <w:highlight w:val="none"/>
          <w:u w:val="none"/>
        </w:rPr>
        <w:t>平台-项目采购-获取采购文件 -找到本项目-点击“申请获取采购文件”）</w:t>
      </w:r>
      <w:r>
        <w:rPr>
          <w:rFonts w:hint="eastAsia" w:ascii="宋体" w:hAnsi="宋体" w:eastAsia="宋体" w:cs="宋体"/>
          <w:i w:val="0"/>
          <w:iCs w:val="0"/>
          <w:color w:val="auto"/>
          <w:sz w:val="21"/>
          <w:szCs w:val="21"/>
          <w:highlight w:val="none"/>
          <w:u w:val="none"/>
          <w:lang w:eastAsia="zh-CN"/>
        </w:rPr>
        <w:t>；</w:t>
      </w:r>
    </w:p>
    <w:p w14:paraId="2FFBE16C">
      <w:pPr>
        <w:spacing w:line="500" w:lineRule="exact"/>
        <w:ind w:firstLine="420" w:firstLineChars="200"/>
        <w:rPr>
          <w:rFonts w:hint="eastAsia" w:ascii="宋体" w:hAnsi="宋体" w:cs="宋体"/>
          <w:color w:val="auto"/>
          <w:szCs w:val="21"/>
          <w:highlight w:val="none"/>
          <w:lang w:eastAsia="zh-CN"/>
        </w:rPr>
      </w:pPr>
      <w:r>
        <w:rPr>
          <w:rFonts w:hint="eastAsia" w:ascii="宋体" w:hAnsi="宋体" w:eastAsia="宋体" w:cs="宋体"/>
          <w:i w:val="0"/>
          <w:iCs w:val="0"/>
          <w:color w:val="auto"/>
          <w:sz w:val="21"/>
          <w:szCs w:val="21"/>
          <w:highlight w:val="none"/>
          <w:u w:val="none"/>
          <w:lang w:val="en-US" w:eastAsia="zh-CN"/>
        </w:rPr>
        <w:t>3.</w:t>
      </w:r>
      <w:r>
        <w:rPr>
          <w:rFonts w:hint="eastAsia" w:ascii="宋体" w:hAnsi="宋体" w:eastAsia="宋体" w:cs="宋体"/>
          <w:i w:val="0"/>
          <w:iCs w:val="0"/>
          <w:color w:val="auto"/>
          <w:sz w:val="21"/>
          <w:szCs w:val="21"/>
          <w:highlight w:val="none"/>
          <w:u w:val="none"/>
        </w:rPr>
        <w:t>方式：</w:t>
      </w:r>
      <w:r>
        <w:rPr>
          <w:rFonts w:hint="eastAsia" w:ascii="宋体" w:hAnsi="宋体" w:cs="宋体"/>
          <w:i w:val="0"/>
          <w:iCs w:val="0"/>
          <w:color w:val="auto"/>
          <w:sz w:val="21"/>
          <w:szCs w:val="21"/>
          <w:highlight w:val="none"/>
          <w:u w:val="none"/>
          <w:lang w:eastAsia="zh-CN"/>
        </w:rPr>
        <w:t>（</w:t>
      </w:r>
      <w:r>
        <w:rPr>
          <w:rFonts w:hint="eastAsia" w:ascii="宋体" w:hAnsi="宋体" w:eastAsia="宋体" w:cs="宋体"/>
          <w:i w:val="0"/>
          <w:iCs w:val="0"/>
          <w:color w:val="auto"/>
          <w:sz w:val="21"/>
          <w:szCs w:val="21"/>
          <w:highlight w:val="none"/>
          <w:u w:val="none"/>
        </w:rPr>
        <w:t>1</w:t>
      </w:r>
      <w:r>
        <w:rPr>
          <w:rFonts w:hint="eastAsia" w:ascii="宋体" w:hAnsi="宋体" w:eastAsia="宋体" w:cs="宋体"/>
          <w:i w:val="0"/>
          <w:iCs w:val="0"/>
          <w:color w:val="auto"/>
          <w:sz w:val="21"/>
          <w:szCs w:val="21"/>
          <w:highlight w:val="none"/>
          <w:u w:val="none"/>
          <w:lang w:eastAsia="zh-CN"/>
        </w:rPr>
        <w:t>）</w:t>
      </w:r>
      <w:r>
        <w:rPr>
          <w:rFonts w:hint="eastAsia" w:ascii="宋体" w:hAnsi="宋体" w:eastAsia="宋体" w:cs="宋体"/>
          <w:i w:val="0"/>
          <w:iCs w:val="0"/>
          <w:color w:val="auto"/>
          <w:sz w:val="21"/>
          <w:szCs w:val="21"/>
          <w:highlight w:val="none"/>
          <w:u w:val="none"/>
        </w:rPr>
        <w:t>凡有意参加投标者，须</w:t>
      </w:r>
      <w:r>
        <w:rPr>
          <w:rFonts w:hint="eastAsia" w:ascii="宋体" w:hAnsi="宋体" w:cs="宋体"/>
          <w:b w:val="0"/>
          <w:bCs w:val="0"/>
          <w:color w:val="auto"/>
          <w:szCs w:val="21"/>
          <w:highlight w:val="none"/>
        </w:rPr>
        <w:t>在</w:t>
      </w:r>
      <w:r>
        <w:rPr>
          <w:rFonts w:hint="eastAsia" w:ascii="宋体" w:hAnsi="宋体" w:cs="宋体"/>
          <w:b w:val="0"/>
          <w:bCs w:val="0"/>
          <w:color w:val="auto"/>
          <w:szCs w:val="21"/>
          <w:highlight w:val="none"/>
          <w:lang w:eastAsia="zh-CN"/>
        </w:rPr>
        <w:t>“政采云”</w:t>
      </w:r>
      <w:r>
        <w:rPr>
          <w:rFonts w:hint="eastAsia" w:ascii="宋体" w:hAnsi="宋体" w:cs="宋体"/>
          <w:b w:val="0"/>
          <w:bCs w:val="0"/>
          <w:color w:val="auto"/>
          <w:szCs w:val="21"/>
          <w:highlight w:val="none"/>
        </w:rPr>
        <w:t>平台绑定数字证书（CA）后线上获取采购文件及其它采购资料。CA申领链接：http</w:t>
      </w:r>
      <w:r>
        <w:rPr>
          <w:rFonts w:hint="eastAsia" w:ascii="宋体" w:hAnsi="宋体" w:cs="宋体"/>
          <w:b w:val="0"/>
          <w:bCs w:val="0"/>
          <w:color w:val="auto"/>
          <w:szCs w:val="21"/>
          <w:highlight w:val="none"/>
          <w:lang w:val="en-US" w:eastAsia="zh-CN"/>
        </w:rPr>
        <w:t>s</w:t>
      </w:r>
      <w:r>
        <w:rPr>
          <w:rFonts w:hint="eastAsia" w:ascii="宋体" w:hAnsi="宋体" w:cs="宋体"/>
          <w:b w:val="0"/>
          <w:bCs w:val="0"/>
          <w:color w:val="auto"/>
          <w:szCs w:val="21"/>
          <w:highlight w:val="none"/>
        </w:rPr>
        <w:t>://yzt.ynsmartcert.cn/cms/yztgr.html（客服热线：0871-67276028&lt;紧急可拨19988166369&gt;）或https://cap.yunnanca.net/login（客服热线：4006727666）；CA申领后需登录</w:t>
      </w:r>
      <w:r>
        <w:rPr>
          <w:rFonts w:hint="eastAsia" w:ascii="宋体" w:hAnsi="宋体" w:cs="宋体"/>
          <w:b w:val="0"/>
          <w:bCs w:val="0"/>
          <w:color w:val="auto"/>
          <w:szCs w:val="21"/>
          <w:highlight w:val="none"/>
          <w:lang w:eastAsia="zh-CN"/>
        </w:rPr>
        <w:t>“政采云”</w:t>
      </w:r>
      <w:r>
        <w:rPr>
          <w:rFonts w:hint="eastAsia" w:ascii="宋体" w:hAnsi="宋体" w:cs="宋体"/>
          <w:b w:val="0"/>
          <w:bCs w:val="0"/>
          <w:color w:val="auto"/>
          <w:szCs w:val="21"/>
          <w:highlight w:val="none"/>
        </w:rPr>
        <w:t>平台完成数字证书（CA）绑定才可以使用；若供应商之前已经注册并办理过企业数字证书（CA）的，可以直接绑定，无需重复办理。供应商在注册办理过程中若有疑问，可以拨打客服热线95763咨询。（2）供应商申领到企业数字证书（CA）后进入</w:t>
      </w:r>
      <w:r>
        <w:rPr>
          <w:rFonts w:hint="eastAsia" w:ascii="宋体" w:hAnsi="宋体" w:cs="宋体"/>
          <w:b w:val="0"/>
          <w:bCs w:val="0"/>
          <w:color w:val="auto"/>
          <w:szCs w:val="21"/>
          <w:highlight w:val="none"/>
          <w:lang w:eastAsia="zh-CN"/>
        </w:rPr>
        <w:t>“政采云”</w:t>
      </w:r>
      <w:r>
        <w:rPr>
          <w:rFonts w:hint="eastAsia" w:ascii="宋体" w:hAnsi="宋体" w:cs="宋体"/>
          <w:b w:val="0"/>
          <w:bCs w:val="0"/>
          <w:color w:val="auto"/>
          <w:szCs w:val="21"/>
          <w:highlight w:val="none"/>
        </w:rPr>
        <w:t>平台（网址：https://www.zcygov.cn/）并绑定企业数字证书（CA），在网上获取采购文件及其它采购资料（操作路径：登录“</w:t>
      </w:r>
      <w:r>
        <w:rPr>
          <w:rFonts w:hint="eastAsia" w:ascii="宋体" w:hAnsi="宋体" w:cs="宋体"/>
          <w:b w:val="0"/>
          <w:bCs w:val="0"/>
          <w:color w:val="auto"/>
          <w:szCs w:val="21"/>
          <w:highlight w:val="none"/>
          <w:lang w:eastAsia="zh-CN"/>
        </w:rPr>
        <w:t>“政采云”</w:t>
      </w:r>
      <w:r>
        <w:rPr>
          <w:rFonts w:hint="eastAsia" w:ascii="宋体" w:hAnsi="宋体" w:cs="宋体"/>
          <w:b w:val="0"/>
          <w:bCs w:val="0"/>
          <w:color w:val="auto"/>
          <w:szCs w:val="21"/>
          <w:highlight w:val="none"/>
        </w:rPr>
        <w:t>平台-项目采购-获取采购文件-找到本项目-点击“申请获取采购文件”），此为参与投标的唯一途径。（3）按上述要求获取采购文件的供应商视为合法获取了本项目采购文件，具备本项目的投标资格</w:t>
      </w:r>
      <w:r>
        <w:rPr>
          <w:rFonts w:hint="eastAsia" w:ascii="宋体" w:hAnsi="宋体" w:cs="宋体"/>
          <w:color w:val="auto"/>
          <w:szCs w:val="21"/>
          <w:highlight w:val="none"/>
          <w:lang w:eastAsia="zh-CN"/>
        </w:rPr>
        <w:t>。</w:t>
      </w:r>
    </w:p>
    <w:p w14:paraId="00B9C49A">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val="en-US" w:eastAsia="zh-CN"/>
        </w:rPr>
        <w:t>4.</w:t>
      </w:r>
      <w:r>
        <w:rPr>
          <w:rFonts w:hint="eastAsia" w:ascii="宋体" w:hAnsi="宋体" w:eastAsia="宋体" w:cs="宋体"/>
          <w:i w:val="0"/>
          <w:iCs w:val="0"/>
          <w:color w:val="auto"/>
          <w:sz w:val="21"/>
          <w:szCs w:val="21"/>
          <w:highlight w:val="none"/>
          <w:u w:val="none"/>
        </w:rPr>
        <w:t>售价：人民币</w:t>
      </w:r>
      <w:r>
        <w:rPr>
          <w:rFonts w:hint="eastAsia" w:ascii="宋体" w:hAnsi="宋体" w:eastAsia="宋体" w:cs="宋体"/>
          <w:i w:val="0"/>
          <w:iCs w:val="0"/>
          <w:color w:val="auto"/>
          <w:sz w:val="21"/>
          <w:szCs w:val="21"/>
          <w:highlight w:val="none"/>
          <w:u w:val="single"/>
          <w:lang w:val="en-US" w:eastAsia="zh-CN"/>
        </w:rPr>
        <w:t xml:space="preserve"> / </w:t>
      </w:r>
      <w:r>
        <w:rPr>
          <w:rFonts w:hint="eastAsia" w:ascii="宋体" w:hAnsi="宋体" w:eastAsia="宋体" w:cs="宋体"/>
          <w:i w:val="0"/>
          <w:iCs w:val="0"/>
          <w:color w:val="auto"/>
          <w:sz w:val="21"/>
          <w:szCs w:val="21"/>
          <w:highlight w:val="none"/>
          <w:u w:val="none"/>
        </w:rPr>
        <w:t>元。</w:t>
      </w:r>
    </w:p>
    <w:p w14:paraId="14CD00D4">
      <w:pPr>
        <w:pStyle w:val="4"/>
        <w:spacing w:before="0" w:beforeLines="0" w:after="0" w:afterLines="0"/>
        <w:jc w:val="both"/>
        <w:rPr>
          <w:rFonts w:hint="eastAsia" w:ascii="宋体" w:hAnsi="宋体" w:eastAsia="宋体" w:cs="宋体"/>
          <w:b/>
          <w:bCs/>
          <w:i w:val="0"/>
          <w:iCs w:val="0"/>
          <w:snapToGrid/>
          <w:color w:val="auto"/>
          <w:kern w:val="2"/>
          <w:sz w:val="24"/>
          <w:szCs w:val="24"/>
          <w:highlight w:val="none"/>
          <w:u w:val="none"/>
          <w:lang w:val="en-US" w:eastAsia="zh-CN" w:bidi="ar-SA"/>
        </w:rPr>
      </w:pPr>
      <w:bookmarkStart w:id="9" w:name="_Toc7807"/>
      <w:bookmarkStart w:id="10" w:name="_Toc22969"/>
      <w:r>
        <w:rPr>
          <w:rFonts w:hint="eastAsia" w:ascii="宋体" w:hAnsi="宋体" w:eastAsia="宋体" w:cs="宋体"/>
          <w:b/>
          <w:bCs/>
          <w:i w:val="0"/>
          <w:iCs w:val="0"/>
          <w:snapToGrid/>
          <w:color w:val="auto"/>
          <w:kern w:val="2"/>
          <w:sz w:val="24"/>
          <w:szCs w:val="24"/>
          <w:highlight w:val="none"/>
          <w:u w:val="none"/>
          <w:lang w:val="en-US" w:eastAsia="zh-CN" w:bidi="ar-SA"/>
        </w:rPr>
        <w:t>四、响应文件提交</w:t>
      </w:r>
      <w:bookmarkEnd w:id="9"/>
      <w:bookmarkEnd w:id="10"/>
    </w:p>
    <w:p w14:paraId="6847FF42">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1.</w:t>
      </w:r>
      <w:r>
        <w:rPr>
          <w:rFonts w:hint="eastAsia" w:ascii="宋体" w:hAnsi="宋体" w:eastAsia="宋体" w:cs="宋体"/>
          <w:i w:val="0"/>
          <w:iCs w:val="0"/>
          <w:color w:val="auto"/>
          <w:sz w:val="21"/>
          <w:szCs w:val="21"/>
          <w:highlight w:val="none"/>
          <w:u w:val="none"/>
        </w:rPr>
        <w:t>截止时间：</w:t>
      </w:r>
      <w:r>
        <w:rPr>
          <w:rFonts w:hint="eastAsia" w:ascii="宋体" w:hAnsi="宋体" w:cs="宋体"/>
          <w:color w:val="auto"/>
          <w:szCs w:val="21"/>
          <w:highlight w:val="none"/>
          <w:u w:val="none"/>
          <w:lang w:val="en-US" w:eastAsia="zh-CN"/>
        </w:rPr>
        <w:t>2025年06月10日10点00分</w:t>
      </w:r>
      <w:r>
        <w:rPr>
          <w:rFonts w:hint="eastAsia" w:ascii="宋体" w:hAnsi="宋体" w:eastAsia="宋体" w:cs="宋体"/>
          <w:i w:val="0"/>
          <w:iCs w:val="0"/>
          <w:color w:val="auto"/>
          <w:sz w:val="21"/>
          <w:szCs w:val="21"/>
          <w:highlight w:val="none"/>
          <w:u w:val="none"/>
        </w:rPr>
        <w:t>（北京时间）</w:t>
      </w:r>
    </w:p>
    <w:p w14:paraId="61610573">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2.</w:t>
      </w:r>
      <w:r>
        <w:rPr>
          <w:rFonts w:hint="eastAsia" w:ascii="宋体" w:hAnsi="宋体" w:eastAsia="宋体" w:cs="宋体"/>
          <w:i w:val="0"/>
          <w:iCs w:val="0"/>
          <w:color w:val="auto"/>
          <w:sz w:val="21"/>
          <w:szCs w:val="21"/>
          <w:highlight w:val="none"/>
          <w:u w:val="none"/>
        </w:rPr>
        <w:t>地点：供应商应按照本项目采购文件和</w:t>
      </w:r>
      <w:r>
        <w:rPr>
          <w:rFonts w:hint="eastAsia" w:ascii="宋体" w:hAnsi="宋体" w:cs="宋体"/>
          <w:i w:val="0"/>
          <w:iCs w:val="0"/>
          <w:color w:val="auto"/>
          <w:sz w:val="21"/>
          <w:szCs w:val="21"/>
          <w:highlight w:val="none"/>
          <w:u w:val="none"/>
          <w:lang w:eastAsia="zh-CN"/>
        </w:rPr>
        <w:t>“政采云”</w:t>
      </w:r>
      <w:r>
        <w:rPr>
          <w:rFonts w:hint="eastAsia" w:ascii="宋体" w:hAnsi="宋体" w:eastAsia="宋体" w:cs="宋体"/>
          <w:i w:val="0"/>
          <w:iCs w:val="0"/>
          <w:color w:val="auto"/>
          <w:sz w:val="21"/>
          <w:szCs w:val="21"/>
          <w:highlight w:val="none"/>
          <w:u w:val="none"/>
        </w:rPr>
        <w:t>平台的要求编制、加密后在响应文件提交截止时间前上传至</w:t>
      </w:r>
      <w:r>
        <w:rPr>
          <w:rFonts w:hint="eastAsia" w:ascii="宋体" w:hAnsi="宋体" w:cs="宋体"/>
          <w:i w:val="0"/>
          <w:iCs w:val="0"/>
          <w:color w:val="auto"/>
          <w:sz w:val="21"/>
          <w:szCs w:val="21"/>
          <w:highlight w:val="none"/>
          <w:u w:val="none"/>
          <w:lang w:eastAsia="zh-CN"/>
        </w:rPr>
        <w:t>“政采云”</w:t>
      </w:r>
      <w:r>
        <w:rPr>
          <w:rFonts w:hint="eastAsia" w:ascii="宋体" w:hAnsi="宋体" w:eastAsia="宋体" w:cs="宋体"/>
          <w:i w:val="0"/>
          <w:iCs w:val="0"/>
          <w:color w:val="auto"/>
          <w:sz w:val="21"/>
          <w:szCs w:val="21"/>
          <w:highlight w:val="none"/>
          <w:u w:val="none"/>
        </w:rPr>
        <w:t>平台，响应文件提交截止时间前未完成响应文件上传的，视为撤回响应文件。供应商在</w:t>
      </w:r>
      <w:r>
        <w:rPr>
          <w:rFonts w:hint="eastAsia" w:ascii="宋体" w:hAnsi="宋体" w:cs="宋体"/>
          <w:i w:val="0"/>
          <w:iCs w:val="0"/>
          <w:color w:val="auto"/>
          <w:sz w:val="21"/>
          <w:szCs w:val="21"/>
          <w:highlight w:val="none"/>
          <w:u w:val="none"/>
          <w:lang w:eastAsia="zh-CN"/>
        </w:rPr>
        <w:t>“政采云”</w:t>
      </w:r>
      <w:r>
        <w:rPr>
          <w:rFonts w:hint="eastAsia" w:ascii="宋体" w:hAnsi="宋体" w:eastAsia="宋体" w:cs="宋体"/>
          <w:i w:val="0"/>
          <w:iCs w:val="0"/>
          <w:color w:val="auto"/>
          <w:sz w:val="21"/>
          <w:szCs w:val="21"/>
          <w:highlight w:val="none"/>
          <w:u w:val="none"/>
        </w:rPr>
        <w:t>平台提交电子版响应文件时，请填写参加远程采购活动经办人联系方式。</w:t>
      </w:r>
    </w:p>
    <w:p w14:paraId="2EE5C40C">
      <w:pPr>
        <w:pStyle w:val="4"/>
        <w:spacing w:before="0" w:beforeLines="0" w:after="0" w:afterLines="0"/>
        <w:jc w:val="both"/>
        <w:rPr>
          <w:rFonts w:hint="eastAsia" w:ascii="宋体" w:hAnsi="宋体" w:eastAsia="宋体" w:cs="宋体"/>
          <w:b/>
          <w:bCs/>
          <w:i w:val="0"/>
          <w:iCs w:val="0"/>
          <w:snapToGrid/>
          <w:color w:val="auto"/>
          <w:kern w:val="2"/>
          <w:sz w:val="24"/>
          <w:szCs w:val="24"/>
          <w:highlight w:val="none"/>
          <w:u w:val="none"/>
          <w:lang w:val="en-US" w:eastAsia="zh-CN" w:bidi="ar-SA"/>
        </w:rPr>
      </w:pPr>
      <w:bookmarkStart w:id="11" w:name="_Toc12725"/>
      <w:bookmarkStart w:id="12" w:name="_Toc20920"/>
      <w:r>
        <w:rPr>
          <w:rFonts w:hint="eastAsia" w:ascii="宋体" w:hAnsi="宋体" w:eastAsia="宋体" w:cs="宋体"/>
          <w:b/>
          <w:bCs/>
          <w:i w:val="0"/>
          <w:iCs w:val="0"/>
          <w:snapToGrid/>
          <w:color w:val="auto"/>
          <w:kern w:val="2"/>
          <w:sz w:val="24"/>
          <w:szCs w:val="24"/>
          <w:highlight w:val="none"/>
          <w:u w:val="none"/>
          <w:lang w:val="en-US" w:eastAsia="zh-CN" w:bidi="ar-SA"/>
        </w:rPr>
        <w:t>五、开启</w:t>
      </w:r>
      <w:bookmarkEnd w:id="11"/>
      <w:bookmarkEnd w:id="12"/>
    </w:p>
    <w:p w14:paraId="0C5A3BF7">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1.</w:t>
      </w:r>
      <w:r>
        <w:rPr>
          <w:rFonts w:hint="eastAsia" w:ascii="宋体" w:hAnsi="宋体" w:eastAsia="宋体" w:cs="宋体"/>
          <w:i w:val="0"/>
          <w:iCs w:val="0"/>
          <w:color w:val="auto"/>
          <w:sz w:val="21"/>
          <w:szCs w:val="21"/>
          <w:highlight w:val="none"/>
          <w:u w:val="none"/>
        </w:rPr>
        <w:t>时间：</w:t>
      </w:r>
      <w:r>
        <w:rPr>
          <w:rFonts w:hint="eastAsia" w:ascii="宋体" w:hAnsi="宋体" w:cs="宋体"/>
          <w:color w:val="auto"/>
          <w:szCs w:val="21"/>
          <w:highlight w:val="none"/>
          <w:u w:val="none"/>
          <w:lang w:val="en-US" w:eastAsia="zh-CN"/>
        </w:rPr>
        <w:t>2025年06月10日10点00分</w:t>
      </w:r>
      <w:r>
        <w:rPr>
          <w:rFonts w:hint="eastAsia" w:ascii="宋体" w:hAnsi="宋体" w:eastAsia="宋体" w:cs="宋体"/>
          <w:i w:val="0"/>
          <w:iCs w:val="0"/>
          <w:color w:val="auto"/>
          <w:sz w:val="21"/>
          <w:szCs w:val="21"/>
          <w:highlight w:val="none"/>
          <w:u w:val="none"/>
          <w:lang w:val="en-US" w:eastAsia="zh-CN"/>
        </w:rPr>
        <w:t>(</w:t>
      </w:r>
      <w:r>
        <w:rPr>
          <w:rFonts w:hint="eastAsia" w:ascii="宋体" w:hAnsi="宋体" w:eastAsia="宋体" w:cs="宋体"/>
          <w:i w:val="0"/>
          <w:iCs w:val="0"/>
          <w:color w:val="auto"/>
          <w:sz w:val="21"/>
          <w:szCs w:val="21"/>
          <w:highlight w:val="none"/>
          <w:u w:val="none"/>
        </w:rPr>
        <w:t>北京时间）</w:t>
      </w:r>
    </w:p>
    <w:p w14:paraId="2ACB98F2">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Cs/>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val="en-US" w:eastAsia="zh-CN"/>
        </w:rPr>
        <w:t>2.</w:t>
      </w:r>
      <w:r>
        <w:rPr>
          <w:rFonts w:hint="eastAsia" w:ascii="宋体" w:hAnsi="宋体" w:eastAsia="宋体" w:cs="宋体"/>
          <w:i w:val="0"/>
          <w:iCs w:val="0"/>
          <w:color w:val="auto"/>
          <w:sz w:val="21"/>
          <w:szCs w:val="21"/>
          <w:highlight w:val="none"/>
          <w:u w:val="none"/>
        </w:rPr>
        <w:t>地点：</w:t>
      </w:r>
      <w:r>
        <w:rPr>
          <w:rFonts w:hint="eastAsia" w:ascii="宋体" w:hAnsi="宋体" w:eastAsia="宋体" w:cs="宋体"/>
          <w:i w:val="0"/>
          <w:iCs w:val="0"/>
          <w:color w:val="auto"/>
          <w:sz w:val="21"/>
          <w:szCs w:val="21"/>
          <w:highlight w:val="none"/>
          <w:u w:val="none"/>
          <w:lang w:eastAsia="zh-CN"/>
        </w:rPr>
        <w:t>云南冠睿咨询有限公司</w:t>
      </w:r>
      <w:r>
        <w:rPr>
          <w:rFonts w:hint="eastAsia" w:ascii="宋体" w:hAnsi="宋体" w:eastAsia="宋体" w:cs="宋体"/>
          <w:i w:val="0"/>
          <w:iCs w:val="0"/>
          <w:color w:val="auto"/>
          <w:sz w:val="21"/>
          <w:szCs w:val="21"/>
          <w:highlight w:val="none"/>
          <w:u w:val="none"/>
          <w:lang w:val="en-US" w:eastAsia="zh-CN"/>
        </w:rPr>
        <w:t>评标</w:t>
      </w:r>
      <w:r>
        <w:rPr>
          <w:rFonts w:hint="eastAsia" w:ascii="宋体" w:hAnsi="宋体" w:cs="宋体"/>
          <w:i w:val="0"/>
          <w:iCs w:val="0"/>
          <w:color w:val="auto"/>
          <w:sz w:val="21"/>
          <w:szCs w:val="21"/>
          <w:highlight w:val="none"/>
          <w:u w:val="none"/>
          <w:lang w:val="en-US" w:eastAsia="zh-CN"/>
        </w:rPr>
        <w:t>五厅</w:t>
      </w:r>
      <w:r>
        <w:rPr>
          <w:rFonts w:hint="eastAsia" w:ascii="宋体" w:hAnsi="宋体" w:eastAsia="宋体" w:cs="宋体"/>
          <w:i w:val="0"/>
          <w:iCs w:val="0"/>
          <w:color w:val="auto"/>
          <w:sz w:val="21"/>
          <w:szCs w:val="21"/>
          <w:highlight w:val="none"/>
          <w:u w:val="none"/>
        </w:rPr>
        <w:t>（</w:t>
      </w:r>
      <w:r>
        <w:rPr>
          <w:rFonts w:hint="eastAsia" w:ascii="宋体" w:hAnsi="宋体" w:cs="宋体"/>
          <w:i w:val="0"/>
          <w:iCs w:val="0"/>
          <w:color w:val="auto"/>
          <w:sz w:val="21"/>
          <w:szCs w:val="21"/>
          <w:highlight w:val="none"/>
          <w:u w:val="none"/>
          <w:lang w:eastAsia="zh-CN"/>
        </w:rPr>
        <w:t>云南省昆明市西山区万达广场南塔33层3310号</w:t>
      </w:r>
      <w:r>
        <w:rPr>
          <w:rFonts w:hint="eastAsia" w:ascii="宋体" w:hAnsi="宋体" w:eastAsia="宋体" w:cs="宋体"/>
          <w:i w:val="0"/>
          <w:iCs w:val="0"/>
          <w:color w:val="auto"/>
          <w:sz w:val="21"/>
          <w:szCs w:val="21"/>
          <w:highlight w:val="none"/>
          <w:u w:val="none"/>
        </w:rPr>
        <w:t>）</w:t>
      </w:r>
      <w:bookmarkStart w:id="528" w:name="_GoBack"/>
      <w:bookmarkEnd w:id="528"/>
    </w:p>
    <w:p w14:paraId="0093F4F9">
      <w:pPr>
        <w:pStyle w:val="4"/>
        <w:spacing w:before="0" w:beforeLines="0" w:after="0" w:afterLines="0"/>
        <w:jc w:val="both"/>
        <w:rPr>
          <w:rFonts w:hint="eastAsia" w:ascii="宋体" w:hAnsi="宋体" w:eastAsia="宋体" w:cs="宋体"/>
          <w:b/>
          <w:bCs/>
          <w:i w:val="0"/>
          <w:iCs w:val="0"/>
          <w:snapToGrid/>
          <w:color w:val="auto"/>
          <w:kern w:val="2"/>
          <w:sz w:val="24"/>
          <w:szCs w:val="24"/>
          <w:highlight w:val="none"/>
          <w:u w:val="none"/>
          <w:lang w:val="en-US" w:eastAsia="zh-CN" w:bidi="ar-SA"/>
        </w:rPr>
      </w:pPr>
      <w:bookmarkStart w:id="13" w:name="_Toc2706"/>
      <w:bookmarkStart w:id="14" w:name="_Toc22057"/>
      <w:r>
        <w:rPr>
          <w:rFonts w:hint="eastAsia" w:ascii="宋体" w:hAnsi="宋体" w:eastAsia="宋体" w:cs="宋体"/>
          <w:b/>
          <w:bCs/>
          <w:i w:val="0"/>
          <w:iCs w:val="0"/>
          <w:snapToGrid/>
          <w:color w:val="auto"/>
          <w:kern w:val="2"/>
          <w:sz w:val="24"/>
          <w:szCs w:val="24"/>
          <w:highlight w:val="none"/>
          <w:u w:val="none"/>
          <w:lang w:val="en-US" w:eastAsia="zh-CN" w:bidi="ar-SA"/>
        </w:rPr>
        <w:t>六、公告期限</w:t>
      </w:r>
      <w:bookmarkEnd w:id="13"/>
      <w:bookmarkEnd w:id="14"/>
    </w:p>
    <w:p w14:paraId="1A16A388">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i w:val="0"/>
          <w:iCs w:val="0"/>
          <w:color w:val="auto"/>
          <w:kern w:val="0"/>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r>
        <w:rPr>
          <w:rFonts w:hint="eastAsia" w:ascii="宋体" w:hAnsi="宋体" w:eastAsia="宋体" w:cs="宋体"/>
          <w:i w:val="0"/>
          <w:iCs w:val="0"/>
          <w:color w:val="auto"/>
          <w:kern w:val="0"/>
          <w:sz w:val="21"/>
          <w:szCs w:val="21"/>
          <w:highlight w:val="none"/>
          <w:u w:val="none"/>
        </w:rPr>
        <w:t>自本公告发布之日起</w:t>
      </w:r>
      <w:r>
        <w:rPr>
          <w:rFonts w:hint="eastAsia" w:ascii="宋体" w:hAnsi="宋体" w:eastAsia="宋体" w:cs="宋体"/>
          <w:i w:val="0"/>
          <w:iCs w:val="0"/>
          <w:color w:val="auto"/>
          <w:kern w:val="0"/>
          <w:sz w:val="21"/>
          <w:szCs w:val="21"/>
          <w:highlight w:val="none"/>
          <w:u w:val="none"/>
          <w:lang w:val="en-US" w:eastAsia="zh-CN"/>
        </w:rPr>
        <w:t>3</w:t>
      </w:r>
      <w:r>
        <w:rPr>
          <w:rFonts w:hint="eastAsia" w:ascii="宋体" w:hAnsi="宋体" w:eastAsia="宋体" w:cs="宋体"/>
          <w:i w:val="0"/>
          <w:iCs w:val="0"/>
          <w:color w:val="auto"/>
          <w:kern w:val="0"/>
          <w:sz w:val="21"/>
          <w:szCs w:val="21"/>
          <w:highlight w:val="none"/>
          <w:u w:val="none"/>
        </w:rPr>
        <w:t>个工作日。</w:t>
      </w:r>
    </w:p>
    <w:p w14:paraId="7BBE5A79">
      <w:pPr>
        <w:pStyle w:val="4"/>
        <w:spacing w:line="360" w:lineRule="auto"/>
        <w:jc w:val="both"/>
        <w:rPr>
          <w:rFonts w:ascii="宋体" w:hAnsi="宋体" w:cs="宋体"/>
          <w:bCs w:val="0"/>
          <w:color w:val="auto"/>
          <w:sz w:val="24"/>
          <w:szCs w:val="24"/>
          <w:highlight w:val="none"/>
        </w:rPr>
      </w:pPr>
      <w:bookmarkStart w:id="15" w:name="_Toc4523"/>
      <w:bookmarkStart w:id="16" w:name="_Toc35393804"/>
      <w:bookmarkStart w:id="17" w:name="_Toc35393635"/>
      <w:bookmarkStart w:id="18" w:name="_Toc2553"/>
      <w:r>
        <w:rPr>
          <w:rFonts w:ascii="宋体" w:hAnsi="宋体" w:cs="宋体"/>
          <w:bCs w:val="0"/>
          <w:color w:val="auto"/>
          <w:sz w:val="24"/>
          <w:szCs w:val="24"/>
          <w:highlight w:val="none"/>
        </w:rPr>
        <w:t>七、其他补充事宜</w:t>
      </w:r>
      <w:bookmarkEnd w:id="15"/>
      <w:bookmarkEnd w:id="16"/>
      <w:bookmarkEnd w:id="17"/>
      <w:bookmarkEnd w:id="18"/>
    </w:p>
    <w:p w14:paraId="4FD8051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1.本次竞争性磋商公告在</w:t>
      </w:r>
      <w:r>
        <w:rPr>
          <w:rFonts w:hint="eastAsia" w:hAnsi="宋体" w:cs="宋体"/>
          <w:color w:val="auto"/>
          <w:szCs w:val="21"/>
          <w:highlight w:val="none"/>
        </w:rPr>
        <w:t>“云南省政府采购网”</w:t>
      </w:r>
      <w:r>
        <w:rPr>
          <w:rFonts w:hint="eastAsia" w:ascii="宋体" w:hAnsi="宋体" w:cs="宋体"/>
          <w:color w:val="auto"/>
          <w:szCs w:val="21"/>
          <w:highlight w:val="none"/>
        </w:rPr>
        <w:t>上发布。</w:t>
      </w:r>
    </w:p>
    <w:p w14:paraId="1ECC682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2.采购项目需要落实的政府采购政策：促进中小企业发展、促进残疾人就业、支持监狱企业发展、政府采购活动中查询及使用信用记录等，政府采购政策具体落实情况详见本项目竞争性磋商文件。</w:t>
      </w:r>
    </w:p>
    <w:p w14:paraId="1ACA99EA">
      <w:pPr>
        <w:pStyle w:val="4"/>
        <w:spacing w:line="360" w:lineRule="auto"/>
        <w:jc w:val="both"/>
        <w:rPr>
          <w:rFonts w:ascii="宋体" w:hAnsi="宋体" w:cs="宋体"/>
          <w:bCs w:val="0"/>
          <w:color w:val="auto"/>
          <w:sz w:val="24"/>
          <w:szCs w:val="24"/>
          <w:highlight w:val="none"/>
        </w:rPr>
      </w:pPr>
      <w:bookmarkStart w:id="19" w:name="_Toc35393636"/>
      <w:bookmarkStart w:id="20" w:name="_Toc22479"/>
      <w:bookmarkStart w:id="21" w:name="_Toc28359095"/>
      <w:bookmarkStart w:id="22" w:name="_Toc11205"/>
      <w:bookmarkStart w:id="23" w:name="_Toc28359018"/>
      <w:bookmarkStart w:id="24" w:name="_Toc35393805"/>
      <w:r>
        <w:rPr>
          <w:rFonts w:ascii="宋体" w:hAnsi="宋体" w:cs="宋体"/>
          <w:bCs w:val="0"/>
          <w:color w:val="auto"/>
          <w:sz w:val="24"/>
          <w:szCs w:val="24"/>
          <w:highlight w:val="none"/>
        </w:rPr>
        <w:t>八、凡对本次采购提出询问，请按以下方式联系。</w:t>
      </w:r>
      <w:bookmarkEnd w:id="19"/>
      <w:bookmarkEnd w:id="20"/>
      <w:bookmarkEnd w:id="21"/>
      <w:bookmarkEnd w:id="22"/>
      <w:bookmarkEnd w:id="23"/>
      <w:bookmarkEnd w:id="24"/>
    </w:p>
    <w:p w14:paraId="341667C4">
      <w:pPr>
        <w:keepNext/>
        <w:keepLines/>
        <w:spacing w:line="360" w:lineRule="auto"/>
        <w:ind w:firstLine="420" w:firstLineChars="200"/>
        <w:jc w:val="left"/>
        <w:outlineLvl w:val="1"/>
        <w:rPr>
          <w:rFonts w:hint="eastAsia" w:ascii="宋体" w:hAnsi="宋体" w:eastAsia="宋体" w:cs="宋体"/>
          <w:bCs/>
          <w:snapToGrid/>
          <w:color w:val="auto"/>
          <w:kern w:val="2"/>
          <w:szCs w:val="21"/>
          <w:highlight w:val="none"/>
        </w:rPr>
      </w:pPr>
      <w:bookmarkStart w:id="25" w:name="_Toc35393806"/>
      <w:bookmarkStart w:id="26" w:name="_Toc28359096"/>
      <w:bookmarkStart w:id="27" w:name="_Toc35393637"/>
      <w:bookmarkStart w:id="28" w:name="_Toc25079"/>
      <w:bookmarkStart w:id="29" w:name="_Toc28359019"/>
      <w:bookmarkStart w:id="30" w:name="_Toc27755"/>
      <w:r>
        <w:rPr>
          <w:rFonts w:hint="eastAsia" w:ascii="宋体" w:hAnsi="宋体" w:eastAsia="宋体" w:cs="宋体"/>
          <w:bCs/>
          <w:snapToGrid/>
          <w:color w:val="auto"/>
          <w:kern w:val="2"/>
          <w:szCs w:val="21"/>
          <w:highlight w:val="none"/>
        </w:rPr>
        <w:t>1.采购人信息</w:t>
      </w:r>
      <w:bookmarkEnd w:id="25"/>
      <w:bookmarkEnd w:id="26"/>
      <w:bookmarkEnd w:id="27"/>
      <w:bookmarkEnd w:id="28"/>
      <w:bookmarkEnd w:id="29"/>
      <w:bookmarkEnd w:id="30"/>
    </w:p>
    <w:p w14:paraId="388B682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名称：昆明市公安局</w:t>
      </w:r>
    </w:p>
    <w:p w14:paraId="4B466A6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地址：昆明市盘龙区北京路411号</w:t>
      </w:r>
    </w:p>
    <w:p w14:paraId="789BB24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联系方式：</w:t>
      </w:r>
      <w:r>
        <w:rPr>
          <w:rFonts w:hint="eastAsia" w:ascii="宋体" w:hAnsi="宋体" w:cs="宋体"/>
          <w:color w:val="auto"/>
          <w:szCs w:val="21"/>
          <w:highlight w:val="none"/>
          <w:lang w:val="en-US" w:eastAsia="zh-CN"/>
        </w:rPr>
        <w:t>翁老师</w:t>
      </w:r>
      <w:r>
        <w:rPr>
          <w:rFonts w:hint="eastAsia" w:ascii="宋体" w:hAnsi="宋体" w:eastAsia="宋体" w:cs="宋体"/>
          <w:color w:val="auto"/>
          <w:szCs w:val="21"/>
          <w:highlight w:val="none"/>
        </w:rPr>
        <w:t>0871-63866773</w:t>
      </w:r>
    </w:p>
    <w:p w14:paraId="0A03EF5D">
      <w:pPr>
        <w:keepNext/>
        <w:keepLines/>
        <w:spacing w:line="360" w:lineRule="auto"/>
        <w:ind w:firstLine="420" w:firstLineChars="200"/>
        <w:jc w:val="left"/>
        <w:outlineLvl w:val="1"/>
        <w:rPr>
          <w:rFonts w:hint="eastAsia" w:ascii="宋体" w:hAnsi="宋体" w:eastAsia="宋体" w:cs="宋体"/>
          <w:bCs/>
          <w:snapToGrid/>
          <w:color w:val="auto"/>
          <w:kern w:val="2"/>
          <w:szCs w:val="21"/>
          <w:highlight w:val="none"/>
        </w:rPr>
      </w:pPr>
      <w:bookmarkStart w:id="31" w:name="_Toc14797"/>
      <w:bookmarkStart w:id="32" w:name="_Toc35393638"/>
      <w:bookmarkStart w:id="33" w:name="_Toc28359020"/>
      <w:bookmarkStart w:id="34" w:name="_Toc35393807"/>
      <w:bookmarkStart w:id="35" w:name="_Toc18028"/>
      <w:bookmarkStart w:id="36" w:name="_Toc28359097"/>
      <w:r>
        <w:rPr>
          <w:rFonts w:hint="eastAsia" w:ascii="宋体" w:hAnsi="宋体" w:eastAsia="宋体" w:cs="宋体"/>
          <w:bCs/>
          <w:snapToGrid/>
          <w:color w:val="auto"/>
          <w:kern w:val="2"/>
          <w:szCs w:val="21"/>
          <w:highlight w:val="none"/>
        </w:rPr>
        <w:t>2.采购代理机构信息</w:t>
      </w:r>
      <w:bookmarkEnd w:id="31"/>
      <w:bookmarkEnd w:id="32"/>
      <w:bookmarkEnd w:id="33"/>
      <w:bookmarkEnd w:id="34"/>
      <w:bookmarkEnd w:id="35"/>
      <w:bookmarkEnd w:id="36"/>
    </w:p>
    <w:p w14:paraId="3267F16F">
      <w:pPr>
        <w:spacing w:line="360" w:lineRule="auto"/>
        <w:ind w:firstLine="420" w:firstLineChars="200"/>
        <w:rPr>
          <w:rFonts w:hint="eastAsia" w:ascii="宋体" w:hAnsi="宋体" w:eastAsia="宋体" w:cs="宋体"/>
          <w:color w:val="auto"/>
          <w:kern w:val="0"/>
          <w:szCs w:val="21"/>
          <w:highlight w:val="none"/>
          <w:lang w:eastAsia="zh-CN"/>
        </w:rPr>
      </w:pPr>
      <w:bookmarkStart w:id="37" w:name="_Toc28359098"/>
      <w:bookmarkStart w:id="38" w:name="_Toc28359021"/>
      <w:bookmarkStart w:id="39" w:name="_Toc35393639"/>
      <w:bookmarkStart w:id="40" w:name="_Toc35393808"/>
      <w:r>
        <w:rPr>
          <w:rFonts w:hint="eastAsia" w:ascii="宋体" w:hAnsi="宋体" w:eastAsia="宋体" w:cs="宋体"/>
          <w:color w:val="auto"/>
          <w:kern w:val="0"/>
          <w:szCs w:val="21"/>
          <w:highlight w:val="none"/>
        </w:rPr>
        <w:t>名称：</w:t>
      </w:r>
      <w:r>
        <w:rPr>
          <w:rFonts w:hint="eastAsia" w:ascii="宋体" w:hAnsi="宋体" w:eastAsia="宋体" w:cs="宋体"/>
          <w:color w:val="auto"/>
          <w:kern w:val="0"/>
          <w:szCs w:val="21"/>
          <w:highlight w:val="none"/>
          <w:lang w:eastAsia="zh-CN"/>
        </w:rPr>
        <w:t>云南冠睿咨询有限公司</w:t>
      </w:r>
    </w:p>
    <w:p w14:paraId="507C8F9E">
      <w:pPr>
        <w:spacing w:line="360" w:lineRule="auto"/>
        <w:ind w:firstLine="420" w:firstLineChars="200"/>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地址：</w:t>
      </w:r>
      <w:r>
        <w:rPr>
          <w:rFonts w:hint="eastAsia" w:ascii="宋体" w:hAnsi="宋体" w:cs="宋体"/>
          <w:color w:val="auto"/>
          <w:kern w:val="0"/>
          <w:szCs w:val="21"/>
          <w:highlight w:val="none"/>
          <w:lang w:eastAsia="zh-CN"/>
        </w:rPr>
        <w:t>云南省昆明市西山区万达广场南塔32层3201号、33层3310号</w:t>
      </w:r>
    </w:p>
    <w:p w14:paraId="6FE34B0A">
      <w:pPr>
        <w:spacing w:line="360" w:lineRule="auto"/>
        <w:ind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kern w:val="0"/>
          <w:szCs w:val="21"/>
          <w:highlight w:val="none"/>
        </w:rPr>
        <w:t>联系方式：</w:t>
      </w:r>
      <w:r>
        <w:rPr>
          <w:rFonts w:hint="eastAsia" w:ascii="宋体" w:hAnsi="宋体" w:eastAsia="宋体" w:cs="宋体"/>
          <w:color w:val="auto"/>
          <w:kern w:val="0"/>
          <w:szCs w:val="21"/>
          <w:highlight w:val="none"/>
          <w:lang w:eastAsia="zh-CN"/>
        </w:rPr>
        <w:t>0871-65511240、0871-65511241</w:t>
      </w:r>
    </w:p>
    <w:p w14:paraId="74E5D34F">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3.项目联系方式</w:t>
      </w:r>
      <w:bookmarkEnd w:id="37"/>
      <w:bookmarkEnd w:id="38"/>
      <w:bookmarkEnd w:id="39"/>
      <w:bookmarkEnd w:id="40"/>
    </w:p>
    <w:p w14:paraId="2C214AB6">
      <w:pPr>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项目联系人：</w:t>
      </w:r>
      <w:r>
        <w:rPr>
          <w:rFonts w:hint="eastAsia" w:ascii="宋体" w:hAnsi="宋体" w:cs="宋体"/>
          <w:color w:val="auto"/>
          <w:szCs w:val="21"/>
          <w:highlight w:val="none"/>
          <w:lang w:eastAsia="zh-CN"/>
        </w:rPr>
        <w:t>祝欣、陈沿锦、丁传觐、王国玺、吴翊、李腾芳、肖枝莲、王彦飞、汪怡含、邓楚卿、刘晓云、杨益鑫、蒋兴杰</w:t>
      </w:r>
    </w:p>
    <w:p w14:paraId="1B08108E">
      <w:pPr>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电话：</w:t>
      </w:r>
      <w:r>
        <w:rPr>
          <w:rFonts w:hint="eastAsia" w:ascii="宋体" w:hAnsi="宋体" w:eastAsia="宋体" w:cs="宋体"/>
          <w:color w:val="auto"/>
          <w:szCs w:val="21"/>
          <w:highlight w:val="none"/>
          <w:lang w:eastAsia="zh-CN"/>
        </w:rPr>
        <w:t>0871-65511240、0871-65511241</w:t>
      </w:r>
    </w:p>
    <w:bookmarkEnd w:id="1"/>
    <w:bookmarkEnd w:id="2"/>
    <w:p w14:paraId="7317FBC7">
      <w:pPr>
        <w:pStyle w:val="3"/>
        <w:rPr>
          <w:rFonts w:hint="eastAsia" w:cs="宋体"/>
          <w:color w:val="auto"/>
          <w:sz w:val="32"/>
          <w:szCs w:val="32"/>
          <w:highlight w:val="none"/>
        </w:rPr>
      </w:pPr>
      <w:r>
        <w:rPr>
          <w:rFonts w:hint="eastAsia" w:cs="宋体"/>
          <w:color w:val="auto"/>
          <w:sz w:val="32"/>
          <w:szCs w:val="32"/>
          <w:highlight w:val="none"/>
        </w:rPr>
        <w:br w:type="page"/>
      </w:r>
      <w:bookmarkStart w:id="41" w:name="_Toc31324"/>
      <w:r>
        <w:rPr>
          <w:rFonts w:hint="eastAsia" w:cs="宋体"/>
          <w:color w:val="auto"/>
          <w:sz w:val="34"/>
          <w:szCs w:val="32"/>
          <w:highlight w:val="none"/>
        </w:rPr>
        <w:t>第二章  供应商须知</w:t>
      </w:r>
      <w:bookmarkEnd w:id="41"/>
    </w:p>
    <w:p w14:paraId="1EE9EF82">
      <w:pPr>
        <w:pStyle w:val="4"/>
        <w:rPr>
          <w:rFonts w:ascii="宋体" w:hAnsi="宋体" w:cs="宋体"/>
          <w:color w:val="auto"/>
          <w:highlight w:val="none"/>
        </w:rPr>
      </w:pPr>
      <w:bookmarkStart w:id="42" w:name="_Toc29607"/>
      <w:bookmarkStart w:id="43" w:name="_Toc15453"/>
      <w:r>
        <w:rPr>
          <w:rFonts w:ascii="宋体" w:hAnsi="宋体" w:cs="宋体"/>
          <w:color w:val="auto"/>
          <w:highlight w:val="none"/>
        </w:rPr>
        <w:t>供应商须知前附表</w:t>
      </w:r>
      <w:bookmarkEnd w:id="42"/>
      <w:bookmarkEnd w:id="43"/>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17"/>
        <w:gridCol w:w="2073"/>
        <w:gridCol w:w="6372"/>
      </w:tblGrid>
      <w:tr w14:paraId="56BE7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1" w:hRule="atLeast"/>
          <w:jc w:val="center"/>
        </w:trPr>
        <w:tc>
          <w:tcPr>
            <w:tcW w:w="717" w:type="dxa"/>
            <w:noWrap w:val="0"/>
            <w:vAlign w:val="center"/>
          </w:tcPr>
          <w:p w14:paraId="3A77F217">
            <w:pPr>
              <w:keepNext w:val="0"/>
              <w:keepLines w:val="0"/>
              <w:suppressLineNumbers w:val="0"/>
              <w:spacing w:before="40" w:beforeAutospacing="0" w:after="40" w:afterAutospacing="0" w:line="36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2073" w:type="dxa"/>
            <w:noWrap w:val="0"/>
            <w:vAlign w:val="center"/>
          </w:tcPr>
          <w:p w14:paraId="2B19F327">
            <w:pPr>
              <w:keepNext w:val="0"/>
              <w:keepLines w:val="0"/>
              <w:suppressLineNumbers w:val="0"/>
              <w:spacing w:before="40" w:beforeAutospacing="0" w:after="40" w:afterAutospacing="0" w:line="36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名称</w:t>
            </w:r>
          </w:p>
        </w:tc>
        <w:tc>
          <w:tcPr>
            <w:tcW w:w="6372" w:type="dxa"/>
            <w:noWrap w:val="0"/>
            <w:vAlign w:val="center"/>
          </w:tcPr>
          <w:p w14:paraId="6AE90F88">
            <w:pPr>
              <w:keepNext w:val="0"/>
              <w:keepLines w:val="0"/>
              <w:suppressLineNumbers w:val="0"/>
              <w:spacing w:before="40" w:beforeAutospacing="0" w:after="40" w:afterAutospacing="0" w:line="36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内    容</w:t>
            </w:r>
          </w:p>
        </w:tc>
      </w:tr>
      <w:tr w14:paraId="2773B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8" w:hRule="atLeast"/>
          <w:jc w:val="center"/>
        </w:trPr>
        <w:tc>
          <w:tcPr>
            <w:tcW w:w="717" w:type="dxa"/>
            <w:noWrap w:val="0"/>
            <w:vAlign w:val="center"/>
          </w:tcPr>
          <w:p w14:paraId="03ECA21B">
            <w:pPr>
              <w:keepNext w:val="0"/>
              <w:keepLines w:val="0"/>
              <w:suppressLineNumbers w:val="0"/>
              <w:spacing w:before="40" w:beforeAutospacing="0" w:after="40" w:afterAutospacing="0" w:line="36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1.2</w:t>
            </w:r>
          </w:p>
        </w:tc>
        <w:tc>
          <w:tcPr>
            <w:tcW w:w="2073" w:type="dxa"/>
            <w:noWrap w:val="0"/>
            <w:vAlign w:val="center"/>
          </w:tcPr>
          <w:p w14:paraId="1838859E">
            <w:pPr>
              <w:keepNext w:val="0"/>
              <w:keepLines w:val="0"/>
              <w:suppressLineNumbers w:val="0"/>
              <w:spacing w:before="40" w:beforeAutospacing="0" w:after="40" w:afterAutospacing="0" w:line="360" w:lineRule="exact"/>
              <w:ind w:left="0" w:right="0" w:firstLine="105" w:firstLineChars="50"/>
              <w:jc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采购人</w:t>
            </w:r>
          </w:p>
        </w:tc>
        <w:tc>
          <w:tcPr>
            <w:tcW w:w="6372" w:type="dxa"/>
            <w:noWrap w:val="0"/>
            <w:vAlign w:val="center"/>
          </w:tcPr>
          <w:p w14:paraId="5A88B56C">
            <w:pPr>
              <w:keepNext w:val="0"/>
              <w:keepLines w:val="0"/>
              <w:suppressLineNumbers w:val="0"/>
              <w:spacing w:before="40" w:beforeAutospacing="0" w:after="40" w:afterAutospacing="0" w:line="360" w:lineRule="exact"/>
              <w:ind w:left="0" w:right="0"/>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lang w:eastAsia="zh-CN"/>
              </w:rPr>
              <w:t>昆明市公安局</w:t>
            </w:r>
          </w:p>
        </w:tc>
      </w:tr>
      <w:tr w14:paraId="0BB66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jc w:val="center"/>
        </w:trPr>
        <w:tc>
          <w:tcPr>
            <w:tcW w:w="717" w:type="dxa"/>
            <w:noWrap w:val="0"/>
            <w:vAlign w:val="center"/>
          </w:tcPr>
          <w:p w14:paraId="4D39A7A9">
            <w:pPr>
              <w:keepNext w:val="0"/>
              <w:keepLines w:val="0"/>
              <w:suppressLineNumbers w:val="0"/>
              <w:spacing w:before="40" w:beforeAutospacing="0" w:after="40" w:afterAutospacing="0" w:line="36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1.3</w:t>
            </w:r>
          </w:p>
        </w:tc>
        <w:tc>
          <w:tcPr>
            <w:tcW w:w="2073" w:type="dxa"/>
            <w:noWrap w:val="0"/>
            <w:vAlign w:val="center"/>
          </w:tcPr>
          <w:p w14:paraId="0BC6BF23">
            <w:pPr>
              <w:keepNext w:val="0"/>
              <w:keepLines w:val="0"/>
              <w:suppressLineNumbers w:val="0"/>
              <w:spacing w:before="40" w:beforeAutospacing="0" w:after="40" w:afterAutospacing="0" w:line="360" w:lineRule="exact"/>
              <w:ind w:left="0" w:right="0" w:firstLine="105" w:firstLineChars="50"/>
              <w:jc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采购代理机构</w:t>
            </w:r>
          </w:p>
        </w:tc>
        <w:tc>
          <w:tcPr>
            <w:tcW w:w="6372" w:type="dxa"/>
            <w:noWrap w:val="0"/>
            <w:vAlign w:val="center"/>
          </w:tcPr>
          <w:p w14:paraId="26EEA180">
            <w:pPr>
              <w:keepNext w:val="0"/>
              <w:keepLines w:val="0"/>
              <w:suppressLineNumbers w:val="0"/>
              <w:spacing w:before="0" w:beforeAutospacing="0" w:after="0" w:afterAutospacing="0" w:line="400" w:lineRule="exact"/>
              <w:ind w:left="0" w:right="0"/>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云南冠睿咨询有限公司</w:t>
            </w:r>
          </w:p>
        </w:tc>
      </w:tr>
      <w:tr w14:paraId="768D2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9" w:hRule="atLeast"/>
          <w:jc w:val="center"/>
        </w:trPr>
        <w:tc>
          <w:tcPr>
            <w:tcW w:w="717" w:type="dxa"/>
            <w:noWrap w:val="0"/>
            <w:vAlign w:val="center"/>
          </w:tcPr>
          <w:p w14:paraId="4E6A2551">
            <w:pPr>
              <w:keepNext w:val="0"/>
              <w:keepLines w:val="0"/>
              <w:suppressLineNumbers w:val="0"/>
              <w:spacing w:before="40" w:beforeAutospacing="0" w:after="40" w:afterAutospacing="0" w:line="36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1.4</w:t>
            </w:r>
          </w:p>
        </w:tc>
        <w:tc>
          <w:tcPr>
            <w:tcW w:w="2073" w:type="dxa"/>
            <w:noWrap w:val="0"/>
            <w:vAlign w:val="center"/>
          </w:tcPr>
          <w:p w14:paraId="69E064C6">
            <w:pPr>
              <w:keepNext w:val="0"/>
              <w:keepLines w:val="0"/>
              <w:suppressLineNumbers w:val="0"/>
              <w:spacing w:before="40" w:beforeAutospacing="0" w:after="40" w:afterAutospacing="0" w:line="360" w:lineRule="exact"/>
              <w:ind w:left="0" w:right="0" w:firstLine="105" w:firstLineChars="5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项目名称及</w:t>
            </w:r>
          </w:p>
          <w:p w14:paraId="488D7753">
            <w:pPr>
              <w:keepNext w:val="0"/>
              <w:keepLines w:val="0"/>
              <w:suppressLineNumbers w:val="0"/>
              <w:spacing w:before="40" w:beforeAutospacing="0" w:after="40" w:afterAutospacing="0" w:line="360" w:lineRule="exact"/>
              <w:ind w:left="0" w:right="0" w:firstLine="105" w:firstLineChars="5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项目编号</w:t>
            </w:r>
          </w:p>
        </w:tc>
        <w:tc>
          <w:tcPr>
            <w:tcW w:w="6372" w:type="dxa"/>
            <w:noWrap w:val="0"/>
            <w:vAlign w:val="center"/>
          </w:tcPr>
          <w:p w14:paraId="7F4C0B87">
            <w:pPr>
              <w:keepNext w:val="0"/>
              <w:keepLines w:val="0"/>
              <w:suppressLineNumbers w:val="0"/>
              <w:spacing w:before="0" w:beforeAutospacing="0" w:after="0" w:afterAutospacing="0" w:line="400" w:lineRule="exact"/>
              <w:ind w:left="0" w:right="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项目名称：</w:t>
            </w:r>
            <w:r>
              <w:rPr>
                <w:rFonts w:hint="eastAsia" w:ascii="宋体" w:hAnsi="宋体" w:cs="宋体"/>
                <w:color w:val="auto"/>
                <w:szCs w:val="21"/>
                <w:highlight w:val="none"/>
                <w:lang w:eastAsia="zh-CN"/>
              </w:rPr>
              <w:t>昆明市公安局商用密码应用安全性评估服务</w:t>
            </w:r>
          </w:p>
          <w:p w14:paraId="2FE37560">
            <w:pPr>
              <w:keepNext w:val="0"/>
              <w:keepLines w:val="0"/>
              <w:suppressLineNumbers w:val="0"/>
              <w:spacing w:before="0" w:beforeAutospacing="0" w:after="0" w:afterAutospacing="0" w:line="400" w:lineRule="exact"/>
              <w:ind w:left="0" w:right="0"/>
              <w:rPr>
                <w:rFonts w:hint="default" w:ascii="宋体" w:hAnsi="宋体" w:eastAsia="宋体" w:cs="宋体"/>
                <w:color w:val="auto"/>
                <w:spacing w:val="-8"/>
                <w:szCs w:val="21"/>
                <w:highlight w:val="none"/>
                <w:lang w:val="en-US" w:eastAsia="zh-CN"/>
              </w:rPr>
            </w:pPr>
            <w:r>
              <w:rPr>
                <w:rFonts w:hint="eastAsia" w:ascii="宋体" w:hAnsi="宋体" w:eastAsia="宋体" w:cs="宋体"/>
                <w:color w:val="auto"/>
                <w:szCs w:val="21"/>
                <w:highlight w:val="none"/>
              </w:rPr>
              <w:t>项目编号：</w:t>
            </w:r>
            <w:r>
              <w:rPr>
                <w:rFonts w:hint="eastAsia" w:ascii="宋体" w:hAnsi="宋体" w:cs="宋体"/>
                <w:color w:val="auto"/>
                <w:szCs w:val="21"/>
                <w:highlight w:val="none"/>
                <w:lang w:val="en-US" w:eastAsia="zh-CN"/>
              </w:rPr>
              <w:t>KMZC2025-C3-01073-YNGR-0107</w:t>
            </w:r>
          </w:p>
        </w:tc>
      </w:tr>
      <w:tr w14:paraId="54385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717" w:type="dxa"/>
            <w:noWrap w:val="0"/>
            <w:vAlign w:val="center"/>
          </w:tcPr>
          <w:p w14:paraId="445431BD">
            <w:pPr>
              <w:keepNext w:val="0"/>
              <w:keepLines w:val="0"/>
              <w:suppressLineNumbers w:val="0"/>
              <w:spacing w:before="40" w:beforeAutospacing="0" w:after="40" w:afterAutospacing="0" w:line="360" w:lineRule="exact"/>
              <w:ind w:left="0" w:right="0"/>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1.5</w:t>
            </w:r>
          </w:p>
        </w:tc>
        <w:tc>
          <w:tcPr>
            <w:tcW w:w="2073" w:type="dxa"/>
            <w:noWrap w:val="0"/>
            <w:vAlign w:val="center"/>
          </w:tcPr>
          <w:p w14:paraId="153F8067">
            <w:pPr>
              <w:keepNext w:val="0"/>
              <w:keepLines w:val="0"/>
              <w:suppressLineNumbers w:val="0"/>
              <w:spacing w:before="40" w:beforeAutospacing="0" w:after="40" w:afterAutospacing="0" w:line="360" w:lineRule="exact"/>
              <w:ind w:left="0" w:right="0" w:firstLine="105" w:firstLineChars="5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预算金额</w:t>
            </w:r>
          </w:p>
        </w:tc>
        <w:tc>
          <w:tcPr>
            <w:tcW w:w="6372" w:type="dxa"/>
            <w:noWrap w:val="0"/>
            <w:vAlign w:val="center"/>
          </w:tcPr>
          <w:p w14:paraId="0353E390">
            <w:pPr>
              <w:keepNext w:val="0"/>
              <w:keepLines w:val="0"/>
              <w:suppressLineNumbers w:val="0"/>
              <w:spacing w:before="40" w:beforeAutospacing="0" w:after="40" w:afterAutospacing="0" w:line="360" w:lineRule="exact"/>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详见竞争性磋商文件第一章《竞争性磋商公告》</w:t>
            </w:r>
            <w:r>
              <w:rPr>
                <w:rFonts w:hint="eastAsia" w:ascii="宋体" w:hAnsi="宋体" w:eastAsia="宋体" w:cs="宋体"/>
                <w:bCs/>
                <w:color w:val="auto"/>
                <w:szCs w:val="21"/>
                <w:highlight w:val="none"/>
              </w:rPr>
              <w:t>“一、项目基本情况”</w:t>
            </w:r>
          </w:p>
        </w:tc>
      </w:tr>
      <w:tr w14:paraId="1C9EC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717" w:type="dxa"/>
            <w:noWrap w:val="0"/>
            <w:vAlign w:val="center"/>
          </w:tcPr>
          <w:p w14:paraId="445EAB7F">
            <w:pPr>
              <w:keepNext w:val="0"/>
              <w:keepLines w:val="0"/>
              <w:suppressLineNumbers w:val="0"/>
              <w:spacing w:before="40" w:beforeAutospacing="0" w:after="40" w:afterAutospacing="0" w:line="360" w:lineRule="exact"/>
              <w:ind w:left="0" w:leftChars="0" w:right="0" w:rightChars="0"/>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2.1</w:t>
            </w:r>
          </w:p>
        </w:tc>
        <w:tc>
          <w:tcPr>
            <w:tcW w:w="2073" w:type="dxa"/>
            <w:noWrap w:val="0"/>
            <w:vAlign w:val="center"/>
          </w:tcPr>
          <w:p w14:paraId="3DFEF630">
            <w:pPr>
              <w:keepNext w:val="0"/>
              <w:keepLines w:val="0"/>
              <w:suppressLineNumbers w:val="0"/>
              <w:spacing w:before="40" w:beforeAutospacing="0" w:after="40" w:afterAutospacing="0" w:line="360" w:lineRule="exact"/>
              <w:ind w:left="0" w:leftChars="0" w:right="0" w:rightChars="0" w:firstLine="105" w:firstLineChars="5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是否接受联合体参加</w:t>
            </w:r>
          </w:p>
        </w:tc>
        <w:tc>
          <w:tcPr>
            <w:tcW w:w="6372" w:type="dxa"/>
            <w:noWrap w:val="0"/>
            <w:vAlign w:val="center"/>
          </w:tcPr>
          <w:p w14:paraId="2E1F00FC">
            <w:pPr>
              <w:keepNext w:val="0"/>
              <w:keepLines w:val="0"/>
              <w:suppressLineNumbers w:val="0"/>
              <w:autoSpaceDE w:val="0"/>
              <w:autoSpaceDN w:val="0"/>
              <w:adjustRightInd w:val="0"/>
              <w:spacing w:before="0" w:beforeAutospacing="0" w:after="0" w:afterAutospacing="0" w:line="400" w:lineRule="exact"/>
              <w:ind w:left="0" w:leftChars="0" w:right="0" w:rightChars="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不接受</w:t>
            </w:r>
          </w:p>
        </w:tc>
      </w:tr>
      <w:tr w14:paraId="04369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6" w:hRule="atLeast"/>
          <w:jc w:val="center"/>
        </w:trPr>
        <w:tc>
          <w:tcPr>
            <w:tcW w:w="717" w:type="dxa"/>
            <w:noWrap w:val="0"/>
            <w:vAlign w:val="center"/>
          </w:tcPr>
          <w:p w14:paraId="76196BD7">
            <w:pPr>
              <w:keepNext w:val="0"/>
              <w:keepLines w:val="0"/>
              <w:suppressLineNumbers w:val="0"/>
              <w:spacing w:before="40" w:beforeAutospacing="0" w:after="40" w:afterAutospacing="0" w:line="36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3.1</w:t>
            </w:r>
          </w:p>
        </w:tc>
        <w:tc>
          <w:tcPr>
            <w:tcW w:w="2073" w:type="dxa"/>
            <w:noWrap w:val="0"/>
            <w:vAlign w:val="center"/>
          </w:tcPr>
          <w:p w14:paraId="6AAAED58">
            <w:pPr>
              <w:keepNext w:val="0"/>
              <w:keepLines w:val="0"/>
              <w:suppressLineNumbers w:val="0"/>
              <w:autoSpaceDE w:val="0"/>
              <w:autoSpaceDN w:val="0"/>
              <w:adjustRightInd w:val="0"/>
              <w:spacing w:before="0" w:beforeAutospacing="0" w:after="0" w:afterAutospacing="0" w:line="400" w:lineRule="exact"/>
              <w:ind w:left="0" w:right="0" w:firstLine="105" w:firstLineChars="5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采购需求</w:t>
            </w:r>
          </w:p>
        </w:tc>
        <w:tc>
          <w:tcPr>
            <w:tcW w:w="6372" w:type="dxa"/>
            <w:noWrap w:val="0"/>
            <w:vAlign w:val="center"/>
          </w:tcPr>
          <w:p w14:paraId="71923E7C">
            <w:pPr>
              <w:keepNext w:val="0"/>
              <w:keepLines w:val="0"/>
              <w:suppressLineNumbers w:val="0"/>
              <w:autoSpaceDE w:val="0"/>
              <w:autoSpaceDN w:val="0"/>
              <w:adjustRightInd w:val="0"/>
              <w:spacing w:before="0" w:beforeAutospacing="0" w:after="0" w:afterAutospacing="0" w:line="400" w:lineRule="exact"/>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详见竞争性磋商文件第一章《竞争性磋商公告》</w:t>
            </w:r>
            <w:r>
              <w:rPr>
                <w:rFonts w:hint="eastAsia" w:ascii="宋体" w:hAnsi="宋体" w:eastAsia="宋体" w:cs="宋体"/>
                <w:bCs/>
                <w:color w:val="auto"/>
                <w:szCs w:val="21"/>
                <w:highlight w:val="none"/>
              </w:rPr>
              <w:t>“一、项目基本情况”</w:t>
            </w:r>
          </w:p>
        </w:tc>
      </w:tr>
      <w:tr w14:paraId="3D381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7" w:hRule="atLeast"/>
          <w:jc w:val="center"/>
        </w:trPr>
        <w:tc>
          <w:tcPr>
            <w:tcW w:w="717" w:type="dxa"/>
            <w:noWrap w:val="0"/>
            <w:vAlign w:val="center"/>
          </w:tcPr>
          <w:p w14:paraId="5191E13A">
            <w:pPr>
              <w:keepNext w:val="0"/>
              <w:keepLines w:val="0"/>
              <w:suppressLineNumbers w:val="0"/>
              <w:spacing w:before="40" w:beforeAutospacing="0" w:after="40" w:afterAutospacing="0" w:line="36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3.2</w:t>
            </w:r>
          </w:p>
        </w:tc>
        <w:tc>
          <w:tcPr>
            <w:tcW w:w="2073" w:type="dxa"/>
            <w:noWrap w:val="0"/>
            <w:vAlign w:val="center"/>
          </w:tcPr>
          <w:p w14:paraId="466EFA8F">
            <w:pPr>
              <w:keepNext w:val="0"/>
              <w:keepLines w:val="0"/>
              <w:suppressLineNumbers w:val="0"/>
              <w:autoSpaceDE w:val="0"/>
              <w:autoSpaceDN w:val="0"/>
              <w:adjustRightInd w:val="0"/>
              <w:spacing w:before="0" w:beforeAutospacing="0" w:after="0" w:afterAutospacing="0" w:line="400" w:lineRule="exact"/>
              <w:ind w:left="0" w:right="0" w:firstLine="105" w:firstLineChars="50"/>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合同履行期限</w:t>
            </w:r>
            <w:r>
              <w:rPr>
                <w:rFonts w:hint="eastAsia" w:ascii="宋体" w:hAnsi="宋体" w:eastAsia="宋体" w:cs="宋体"/>
                <w:color w:val="auto"/>
                <w:szCs w:val="21"/>
                <w:highlight w:val="none"/>
              </w:rPr>
              <w:t>及</w:t>
            </w:r>
            <w:r>
              <w:rPr>
                <w:rFonts w:hint="eastAsia" w:ascii="宋体" w:hAnsi="宋体" w:cs="宋体"/>
                <w:color w:val="auto"/>
                <w:szCs w:val="21"/>
                <w:highlight w:val="none"/>
                <w:lang w:eastAsia="zh-CN"/>
              </w:rPr>
              <w:t>项目实施地点</w:t>
            </w:r>
          </w:p>
        </w:tc>
        <w:tc>
          <w:tcPr>
            <w:tcW w:w="6372" w:type="dxa"/>
            <w:noWrap w:val="0"/>
            <w:vAlign w:val="center"/>
          </w:tcPr>
          <w:p w14:paraId="18A9AEA0">
            <w:pPr>
              <w:keepNext w:val="0"/>
              <w:keepLines w:val="0"/>
              <w:suppressLineNumbers w:val="0"/>
              <w:autoSpaceDE w:val="0"/>
              <w:autoSpaceDN w:val="0"/>
              <w:adjustRightInd w:val="0"/>
              <w:spacing w:before="0" w:beforeAutospacing="0" w:after="0" w:afterAutospacing="0" w:line="400" w:lineRule="exact"/>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详见竞争性磋商文件第一章《竞争性磋商公告》</w:t>
            </w:r>
            <w:r>
              <w:rPr>
                <w:rFonts w:hint="eastAsia" w:ascii="宋体" w:hAnsi="宋体" w:eastAsia="宋体" w:cs="宋体"/>
                <w:bCs/>
                <w:color w:val="auto"/>
                <w:szCs w:val="21"/>
                <w:highlight w:val="none"/>
              </w:rPr>
              <w:t>“一、项目基本情况”</w:t>
            </w:r>
          </w:p>
        </w:tc>
      </w:tr>
      <w:tr w14:paraId="1B0FD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17" w:type="dxa"/>
            <w:noWrap w:val="0"/>
            <w:vAlign w:val="center"/>
          </w:tcPr>
          <w:p w14:paraId="77D87724">
            <w:pPr>
              <w:keepNext w:val="0"/>
              <w:keepLines w:val="0"/>
              <w:suppressLineNumbers w:val="0"/>
              <w:spacing w:before="40" w:beforeAutospacing="0" w:after="40" w:afterAutospacing="0" w:line="36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4.1</w:t>
            </w:r>
          </w:p>
        </w:tc>
        <w:tc>
          <w:tcPr>
            <w:tcW w:w="2073" w:type="dxa"/>
            <w:noWrap w:val="0"/>
            <w:vAlign w:val="center"/>
          </w:tcPr>
          <w:p w14:paraId="6E90083C">
            <w:pPr>
              <w:keepNext w:val="0"/>
              <w:keepLines w:val="0"/>
              <w:suppressLineNumbers w:val="0"/>
              <w:spacing w:before="40" w:beforeAutospacing="0" w:after="40" w:afterAutospacing="0" w:line="360" w:lineRule="exact"/>
              <w:ind w:left="0" w:right="0" w:firstLine="105" w:firstLineChars="5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供应商资格要求</w:t>
            </w:r>
          </w:p>
        </w:tc>
        <w:tc>
          <w:tcPr>
            <w:tcW w:w="6372" w:type="dxa"/>
            <w:noWrap w:val="0"/>
            <w:vAlign w:val="center"/>
          </w:tcPr>
          <w:p w14:paraId="0888489D">
            <w:pPr>
              <w:keepNext w:val="0"/>
              <w:keepLines w:val="0"/>
              <w:suppressLineNumbers w:val="0"/>
              <w:autoSpaceDE w:val="0"/>
              <w:autoSpaceDN w:val="0"/>
              <w:adjustRightInd w:val="0"/>
              <w:spacing w:before="0" w:beforeAutospacing="0" w:after="0" w:afterAutospacing="0" w:line="400" w:lineRule="exact"/>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详见竞争性磋商文件第一章《竞争性磋商公告》“二、供应商的资格要求”</w:t>
            </w:r>
          </w:p>
        </w:tc>
      </w:tr>
      <w:tr w14:paraId="5AE64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17" w:type="dxa"/>
            <w:noWrap w:val="0"/>
            <w:vAlign w:val="center"/>
          </w:tcPr>
          <w:p w14:paraId="54F41453">
            <w:pPr>
              <w:keepNext w:val="0"/>
              <w:keepLines w:val="0"/>
              <w:suppressLineNumbers w:val="0"/>
              <w:spacing w:before="40" w:beforeAutospacing="0" w:after="40" w:afterAutospacing="0" w:line="360" w:lineRule="exact"/>
              <w:ind w:left="0" w:right="0"/>
              <w:jc w:val="center"/>
              <w:rPr>
                <w:rFonts w:hint="eastAsia" w:ascii="宋体" w:hAnsi="宋体" w:eastAsia="宋体" w:cs="宋体"/>
                <w:color w:val="auto"/>
                <w:szCs w:val="21"/>
                <w:highlight w:val="none"/>
              </w:rPr>
            </w:pPr>
            <w:r>
              <w:rPr>
                <w:rFonts w:hint="eastAsia" w:ascii="宋体" w:hAnsi="宋体" w:cs="宋体"/>
                <w:color w:val="auto"/>
                <w:szCs w:val="21"/>
                <w:highlight w:val="none"/>
              </w:rPr>
              <w:t>4</w:t>
            </w:r>
            <w:r>
              <w:rPr>
                <w:rFonts w:hint="default" w:ascii="宋体" w:hAnsi="宋体" w:cs="宋体"/>
                <w:color w:val="auto"/>
                <w:szCs w:val="21"/>
                <w:highlight w:val="none"/>
              </w:rPr>
              <w:t>.2</w:t>
            </w:r>
          </w:p>
        </w:tc>
        <w:tc>
          <w:tcPr>
            <w:tcW w:w="2073" w:type="dxa"/>
            <w:noWrap w:val="0"/>
            <w:vAlign w:val="center"/>
          </w:tcPr>
          <w:p w14:paraId="6D27C898">
            <w:pPr>
              <w:keepNext w:val="0"/>
              <w:keepLines w:val="0"/>
              <w:suppressLineNumbers w:val="0"/>
              <w:spacing w:before="40" w:beforeAutospacing="0" w:after="40" w:afterAutospacing="0" w:line="360" w:lineRule="exact"/>
              <w:ind w:left="0" w:right="0" w:firstLine="105" w:firstLineChars="50"/>
              <w:jc w:val="center"/>
              <w:rPr>
                <w:rFonts w:hint="eastAsia" w:ascii="宋体" w:hAnsi="宋体" w:eastAsia="宋体" w:cs="宋体"/>
                <w:color w:val="auto"/>
                <w:szCs w:val="21"/>
                <w:highlight w:val="none"/>
              </w:rPr>
            </w:pPr>
            <w:r>
              <w:rPr>
                <w:rFonts w:hint="eastAsia" w:ascii="宋体" w:hAnsi="宋体" w:cs="宋体"/>
                <w:color w:val="auto"/>
                <w:szCs w:val="21"/>
                <w:highlight w:val="none"/>
              </w:rPr>
              <w:t>落实采购政策需满足的资格要求</w:t>
            </w:r>
          </w:p>
        </w:tc>
        <w:tc>
          <w:tcPr>
            <w:tcW w:w="6372" w:type="dxa"/>
            <w:noWrap w:val="0"/>
            <w:vAlign w:val="center"/>
          </w:tcPr>
          <w:p w14:paraId="1563CA98">
            <w:pPr>
              <w:keepNext w:val="0"/>
              <w:keepLines w:val="0"/>
              <w:suppressLineNumbers w:val="0"/>
              <w:autoSpaceDE w:val="0"/>
              <w:autoSpaceDN w:val="0"/>
              <w:adjustRightInd w:val="0"/>
              <w:spacing w:before="0" w:beforeAutospacing="0" w:after="0" w:afterAutospacing="0" w:line="400" w:lineRule="exact"/>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详见竞争性磋商文件第一章《竞争性磋商公告》“二、供应商的资格要求”</w:t>
            </w:r>
          </w:p>
        </w:tc>
      </w:tr>
      <w:tr w14:paraId="695EF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17" w:type="dxa"/>
            <w:noWrap w:val="0"/>
            <w:vAlign w:val="center"/>
          </w:tcPr>
          <w:p w14:paraId="76CCB053">
            <w:pPr>
              <w:keepNext w:val="0"/>
              <w:keepLines w:val="0"/>
              <w:suppressLineNumbers w:val="0"/>
              <w:spacing w:before="40" w:beforeAutospacing="0" w:after="40" w:afterAutospacing="0" w:line="360" w:lineRule="exact"/>
              <w:ind w:left="0" w:right="0"/>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4.</w:t>
            </w:r>
            <w:r>
              <w:rPr>
                <w:rFonts w:hint="eastAsia" w:ascii="宋体" w:hAnsi="宋体" w:cs="宋体"/>
                <w:color w:val="auto"/>
                <w:szCs w:val="21"/>
                <w:highlight w:val="none"/>
                <w:lang w:val="en-US" w:eastAsia="zh-CN"/>
              </w:rPr>
              <w:t>3</w:t>
            </w:r>
          </w:p>
        </w:tc>
        <w:tc>
          <w:tcPr>
            <w:tcW w:w="2073" w:type="dxa"/>
            <w:noWrap w:val="0"/>
            <w:vAlign w:val="center"/>
          </w:tcPr>
          <w:p w14:paraId="4854C7A2">
            <w:pPr>
              <w:keepNext w:val="0"/>
              <w:keepLines w:val="0"/>
              <w:suppressLineNumbers w:val="0"/>
              <w:spacing w:before="40" w:beforeAutospacing="0" w:after="40" w:afterAutospacing="0" w:line="360" w:lineRule="exact"/>
              <w:ind w:left="0" w:right="0" w:firstLine="105" w:firstLineChars="5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采购人根据本项目的特殊要求规定供应商应具备的特定条件</w:t>
            </w:r>
          </w:p>
        </w:tc>
        <w:tc>
          <w:tcPr>
            <w:tcW w:w="6372" w:type="dxa"/>
            <w:noWrap w:val="0"/>
            <w:vAlign w:val="center"/>
          </w:tcPr>
          <w:p w14:paraId="04BB98F7">
            <w:pPr>
              <w:keepNext w:val="0"/>
              <w:keepLines w:val="0"/>
              <w:suppressLineNumbers w:val="0"/>
              <w:autoSpaceDE w:val="0"/>
              <w:autoSpaceDN w:val="0"/>
              <w:adjustRightInd w:val="0"/>
              <w:spacing w:before="0" w:beforeAutospacing="0" w:after="0" w:afterAutospacing="0" w:line="400" w:lineRule="exact"/>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详见竞争性磋商文件第一章《竞争性磋商公告》“二、供应商的资格要求”</w:t>
            </w:r>
          </w:p>
        </w:tc>
      </w:tr>
      <w:tr w14:paraId="25AB8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17" w:type="dxa"/>
            <w:noWrap w:val="0"/>
            <w:vAlign w:val="center"/>
          </w:tcPr>
          <w:p w14:paraId="341BF7BE">
            <w:pPr>
              <w:keepNext w:val="0"/>
              <w:keepLines w:val="0"/>
              <w:suppressLineNumbers w:val="0"/>
              <w:spacing w:before="40" w:beforeAutospacing="0" w:after="40" w:afterAutospacing="0" w:line="36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6.1</w:t>
            </w:r>
          </w:p>
        </w:tc>
        <w:tc>
          <w:tcPr>
            <w:tcW w:w="2073" w:type="dxa"/>
            <w:noWrap w:val="0"/>
            <w:vAlign w:val="center"/>
          </w:tcPr>
          <w:p w14:paraId="4D412697">
            <w:pPr>
              <w:keepNext w:val="0"/>
              <w:keepLines w:val="0"/>
              <w:suppressLineNumbers w:val="0"/>
              <w:spacing w:before="40" w:beforeAutospacing="0" w:after="40" w:afterAutospacing="0" w:line="360" w:lineRule="exact"/>
              <w:ind w:left="0" w:right="0" w:firstLine="105" w:firstLineChars="5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现场考察</w:t>
            </w:r>
          </w:p>
        </w:tc>
        <w:tc>
          <w:tcPr>
            <w:tcW w:w="6372" w:type="dxa"/>
            <w:noWrap w:val="0"/>
            <w:vAlign w:val="center"/>
          </w:tcPr>
          <w:p w14:paraId="741D01E2">
            <w:pPr>
              <w:keepNext w:val="0"/>
              <w:keepLines w:val="0"/>
              <w:suppressLineNumbers w:val="0"/>
              <w:autoSpaceDE w:val="0"/>
              <w:autoSpaceDN w:val="0"/>
              <w:adjustRightInd w:val="0"/>
              <w:spacing w:before="0" w:beforeAutospacing="0" w:after="0" w:afterAutospacing="0" w:line="400" w:lineRule="exact"/>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不组织</w:t>
            </w:r>
          </w:p>
        </w:tc>
      </w:tr>
      <w:tr w14:paraId="29479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17" w:type="dxa"/>
            <w:noWrap w:val="0"/>
            <w:vAlign w:val="center"/>
          </w:tcPr>
          <w:p w14:paraId="273F4683">
            <w:pPr>
              <w:keepNext w:val="0"/>
              <w:keepLines w:val="0"/>
              <w:suppressLineNumbers w:val="0"/>
              <w:spacing w:before="40" w:beforeAutospacing="0" w:after="40" w:afterAutospacing="0" w:line="36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7.1</w:t>
            </w:r>
          </w:p>
        </w:tc>
        <w:tc>
          <w:tcPr>
            <w:tcW w:w="2073" w:type="dxa"/>
            <w:noWrap w:val="0"/>
            <w:vAlign w:val="center"/>
          </w:tcPr>
          <w:p w14:paraId="23846785">
            <w:pPr>
              <w:keepNext w:val="0"/>
              <w:keepLines w:val="0"/>
              <w:suppressLineNumbers w:val="0"/>
              <w:spacing w:before="40" w:beforeAutospacing="0" w:after="40" w:afterAutospacing="0" w:line="360" w:lineRule="exact"/>
              <w:ind w:left="0" w:right="0" w:firstLine="105" w:firstLineChars="5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磋商前答疑会</w:t>
            </w:r>
          </w:p>
        </w:tc>
        <w:tc>
          <w:tcPr>
            <w:tcW w:w="6372" w:type="dxa"/>
            <w:noWrap w:val="0"/>
            <w:vAlign w:val="center"/>
          </w:tcPr>
          <w:p w14:paraId="5FB95C8B">
            <w:pPr>
              <w:keepNext w:val="0"/>
              <w:keepLines w:val="0"/>
              <w:suppressLineNumbers w:val="0"/>
              <w:autoSpaceDE w:val="0"/>
              <w:autoSpaceDN w:val="0"/>
              <w:adjustRightInd w:val="0"/>
              <w:spacing w:before="0" w:beforeAutospacing="0" w:after="0" w:afterAutospacing="0" w:line="400" w:lineRule="exact"/>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不组织</w:t>
            </w:r>
          </w:p>
        </w:tc>
      </w:tr>
      <w:tr w14:paraId="3AD8C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17" w:type="dxa"/>
            <w:noWrap w:val="0"/>
            <w:vAlign w:val="center"/>
          </w:tcPr>
          <w:p w14:paraId="7B16B5F4">
            <w:pPr>
              <w:keepNext w:val="0"/>
              <w:keepLines w:val="0"/>
              <w:suppressLineNumbers w:val="0"/>
              <w:spacing w:before="40" w:beforeAutospacing="0" w:after="40" w:afterAutospacing="0" w:line="36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w:t>
            </w:r>
          </w:p>
        </w:tc>
        <w:tc>
          <w:tcPr>
            <w:tcW w:w="2073" w:type="dxa"/>
            <w:noWrap w:val="0"/>
            <w:vAlign w:val="center"/>
          </w:tcPr>
          <w:p w14:paraId="1529363B">
            <w:pPr>
              <w:keepNext w:val="0"/>
              <w:keepLines w:val="0"/>
              <w:suppressLineNumbers w:val="0"/>
              <w:spacing w:before="40" w:beforeAutospacing="0" w:after="40" w:afterAutospacing="0" w:line="36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竞争性磋商文件的询问时间</w:t>
            </w:r>
          </w:p>
        </w:tc>
        <w:tc>
          <w:tcPr>
            <w:tcW w:w="6372" w:type="dxa"/>
            <w:noWrap w:val="0"/>
            <w:vAlign w:val="center"/>
          </w:tcPr>
          <w:p w14:paraId="7B44C259">
            <w:pPr>
              <w:keepNext w:val="0"/>
              <w:keepLines w:val="0"/>
              <w:pageBreakBefore w:val="0"/>
              <w:widowControl w:val="0"/>
              <w:suppressLineNumbers w:val="0"/>
              <w:kinsoku/>
              <w:wordWrap w:val="0"/>
              <w:overflowPunct/>
              <w:topLinePunct w:val="0"/>
              <w:autoSpaceDE w:val="0"/>
              <w:autoSpaceDN w:val="0"/>
              <w:bidi w:val="0"/>
              <w:adjustRightInd w:val="0"/>
              <w:snapToGrid/>
              <w:spacing w:before="0" w:beforeAutospacing="0" w:after="0" w:afterAutospacing="0" w:line="400" w:lineRule="exact"/>
              <w:ind w:left="0" w:right="0"/>
              <w:jc w:val="left"/>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供应商应认真阅读竞争性磋商文件，如有疑问的，供应商可以向采购人或采购代理机构提出询问，采购人或者采购代理机构在接到询问后的3个工作日内对供应商依法提出的询问作出答复，但答复的内容不涉及商业秘密。</w:t>
            </w:r>
            <w:r>
              <w:rPr>
                <w:rFonts w:hint="eastAsia" w:ascii="宋体" w:hAnsi="宋体" w:eastAsia="宋体" w:cs="宋体"/>
                <w:color w:val="auto"/>
                <w:highlight w:val="none"/>
              </w:rPr>
              <w:t>如对电子采购流程不清楚可查阅政采云（https://e-learning.zcygov.cn/index）“秒懂政采云项目采购”学习或致电政采云平台：4008817190。</w:t>
            </w:r>
          </w:p>
        </w:tc>
      </w:tr>
      <w:tr w14:paraId="7E41B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17" w:type="dxa"/>
            <w:noWrap w:val="0"/>
            <w:vAlign w:val="center"/>
          </w:tcPr>
          <w:p w14:paraId="379966CE">
            <w:pPr>
              <w:keepNext w:val="0"/>
              <w:keepLines w:val="0"/>
              <w:suppressLineNumbers w:val="0"/>
              <w:spacing w:before="40" w:beforeAutospacing="0" w:after="40" w:afterAutospacing="0" w:line="36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w:t>
            </w:r>
          </w:p>
        </w:tc>
        <w:tc>
          <w:tcPr>
            <w:tcW w:w="2073" w:type="dxa"/>
            <w:noWrap w:val="0"/>
            <w:vAlign w:val="center"/>
          </w:tcPr>
          <w:p w14:paraId="5918A54C">
            <w:pPr>
              <w:keepNext w:val="0"/>
              <w:keepLines w:val="0"/>
              <w:suppressLineNumbers w:val="0"/>
              <w:spacing w:before="40" w:beforeAutospacing="0" w:after="40" w:afterAutospacing="0" w:line="36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竞争性磋商文件询问联系方式</w:t>
            </w:r>
          </w:p>
        </w:tc>
        <w:tc>
          <w:tcPr>
            <w:tcW w:w="6372" w:type="dxa"/>
            <w:noWrap w:val="0"/>
            <w:vAlign w:val="center"/>
          </w:tcPr>
          <w:p w14:paraId="3218468C">
            <w:pPr>
              <w:keepNext w:val="0"/>
              <w:keepLines w:val="0"/>
              <w:suppressLineNumbers w:val="0"/>
              <w:autoSpaceDE w:val="0"/>
              <w:autoSpaceDN w:val="0"/>
              <w:snapToGrid w:val="0"/>
              <w:spacing w:before="0" w:beforeAutospacing="0" w:after="0" w:afterAutospacing="0"/>
              <w:ind w:left="0" w:right="0"/>
              <w:textAlignment w:val="bottom"/>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询问联系人：</w:t>
            </w:r>
            <w:r>
              <w:rPr>
                <w:rFonts w:hint="eastAsia" w:ascii="宋体" w:hAnsi="宋体" w:cs="宋体"/>
                <w:color w:val="auto"/>
                <w:kern w:val="0"/>
                <w:szCs w:val="21"/>
                <w:highlight w:val="none"/>
                <w:lang w:eastAsia="zh-CN"/>
              </w:rPr>
              <w:t>祝欣、陈沿锦、丁传觐、王国玺、吴翊、李腾芳、肖枝莲、王彦飞、汪怡含、邓楚卿、刘晓云、杨益鑫、蒋兴杰</w:t>
            </w:r>
          </w:p>
          <w:p w14:paraId="2817D6A2">
            <w:pPr>
              <w:keepNext w:val="0"/>
              <w:keepLines w:val="0"/>
              <w:suppressLineNumbers w:val="0"/>
              <w:autoSpaceDE w:val="0"/>
              <w:autoSpaceDN w:val="0"/>
              <w:adjustRightInd w:val="0"/>
              <w:spacing w:before="0" w:beforeAutospacing="0" w:after="0" w:afterAutospacing="0" w:line="400" w:lineRule="exact"/>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电话：</w:t>
            </w:r>
            <w:r>
              <w:rPr>
                <w:rFonts w:hint="eastAsia" w:ascii="宋体" w:hAnsi="宋体" w:cs="宋体"/>
                <w:color w:val="auto"/>
                <w:szCs w:val="21"/>
                <w:highlight w:val="none"/>
                <w:lang w:eastAsia="zh-CN"/>
              </w:rPr>
              <w:t>0871-65511240、0871-65511241</w:t>
            </w:r>
          </w:p>
        </w:tc>
      </w:tr>
      <w:tr w14:paraId="05E6F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17" w:type="dxa"/>
            <w:noWrap w:val="0"/>
            <w:vAlign w:val="center"/>
          </w:tcPr>
          <w:p w14:paraId="1FE333A0">
            <w:pPr>
              <w:keepNext w:val="0"/>
              <w:keepLines w:val="0"/>
              <w:suppressLineNumbers w:val="0"/>
              <w:spacing w:before="40" w:beforeAutospacing="0" w:after="40" w:afterAutospacing="0" w:line="36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11.4</w:t>
            </w:r>
          </w:p>
        </w:tc>
        <w:tc>
          <w:tcPr>
            <w:tcW w:w="2073" w:type="dxa"/>
            <w:noWrap w:val="0"/>
            <w:vAlign w:val="center"/>
          </w:tcPr>
          <w:p w14:paraId="3154920F">
            <w:pPr>
              <w:keepNext w:val="0"/>
              <w:keepLines w:val="0"/>
              <w:suppressLineNumbers w:val="0"/>
              <w:spacing w:before="40" w:beforeAutospacing="0" w:after="40" w:afterAutospacing="0" w:line="360" w:lineRule="exact"/>
              <w:ind w:left="0" w:right="0" w:firstLine="105" w:firstLineChars="5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竞争性磋商文件澄清、修改时间</w:t>
            </w:r>
          </w:p>
        </w:tc>
        <w:tc>
          <w:tcPr>
            <w:tcW w:w="6372" w:type="dxa"/>
            <w:noWrap w:val="0"/>
            <w:vAlign w:val="center"/>
          </w:tcPr>
          <w:p w14:paraId="202915FC">
            <w:pPr>
              <w:keepNext w:val="0"/>
              <w:keepLines w:val="0"/>
              <w:suppressLineNumbers w:val="0"/>
              <w:autoSpaceDE w:val="0"/>
              <w:autoSpaceDN w:val="0"/>
              <w:adjustRightInd w:val="0"/>
              <w:spacing w:before="0" w:beforeAutospacing="0" w:after="0" w:afterAutospacing="0" w:line="400" w:lineRule="exact"/>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澄清或者修改的内容可能影响响应文件编制的，采购人、采购代理机构将在提交首次响应文件截止时间至少5日前，以书面形式通知所有获取竞争性磋商文件的供应商；不足5日的，采购人、采购代理机构将顺延提交首次响应文件截止时间。</w:t>
            </w:r>
          </w:p>
        </w:tc>
      </w:tr>
      <w:tr w14:paraId="39573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17" w:type="dxa"/>
            <w:noWrap w:val="0"/>
            <w:vAlign w:val="center"/>
          </w:tcPr>
          <w:p w14:paraId="069B72D4">
            <w:pPr>
              <w:keepNext w:val="0"/>
              <w:keepLines w:val="0"/>
              <w:suppressLineNumbers w:val="0"/>
              <w:spacing w:before="40" w:beforeAutospacing="0" w:after="40" w:afterAutospacing="0" w:line="36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11.5</w:t>
            </w:r>
          </w:p>
        </w:tc>
        <w:tc>
          <w:tcPr>
            <w:tcW w:w="2073" w:type="dxa"/>
            <w:noWrap w:val="0"/>
            <w:vAlign w:val="center"/>
          </w:tcPr>
          <w:p w14:paraId="1F2F5C1E">
            <w:pPr>
              <w:keepNext w:val="0"/>
              <w:keepLines w:val="0"/>
              <w:suppressLineNumbers w:val="0"/>
              <w:spacing w:before="40" w:beforeAutospacing="0" w:after="40" w:afterAutospacing="0" w:line="360" w:lineRule="exact"/>
              <w:ind w:left="0" w:right="0" w:firstLine="105" w:firstLineChars="5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供应商确认收到竞争性磋商文件澄清、修改时间</w:t>
            </w:r>
          </w:p>
        </w:tc>
        <w:tc>
          <w:tcPr>
            <w:tcW w:w="6372" w:type="dxa"/>
            <w:noWrap w:val="0"/>
            <w:vAlign w:val="center"/>
          </w:tcPr>
          <w:p w14:paraId="3FB334E5">
            <w:pPr>
              <w:keepNext w:val="0"/>
              <w:keepLines w:val="0"/>
              <w:suppressLineNumbers w:val="0"/>
              <w:autoSpaceDE w:val="0"/>
              <w:autoSpaceDN w:val="0"/>
              <w:adjustRightInd w:val="0"/>
              <w:spacing w:before="0" w:beforeAutospacing="0" w:after="0" w:afterAutospacing="0" w:line="400" w:lineRule="exact"/>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供应商确认收到竞争性磋商文件澄清、修改后，应在收到澄清、修改后24小时内以书面形式通知采购人或采购代理机构，确认已收到该澄清、修改。</w:t>
            </w:r>
          </w:p>
        </w:tc>
      </w:tr>
      <w:tr w14:paraId="1A909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17" w:type="dxa"/>
            <w:noWrap w:val="0"/>
            <w:vAlign w:val="center"/>
          </w:tcPr>
          <w:p w14:paraId="1728AD41">
            <w:pPr>
              <w:keepNext w:val="0"/>
              <w:keepLines w:val="0"/>
              <w:suppressLineNumbers w:val="0"/>
              <w:spacing w:before="40" w:beforeAutospacing="0" w:after="40" w:afterAutospacing="0" w:line="36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11.6</w:t>
            </w:r>
          </w:p>
        </w:tc>
        <w:tc>
          <w:tcPr>
            <w:tcW w:w="2073" w:type="dxa"/>
            <w:noWrap w:val="0"/>
            <w:vAlign w:val="center"/>
          </w:tcPr>
          <w:p w14:paraId="1E94A748">
            <w:pPr>
              <w:keepNext w:val="0"/>
              <w:keepLines w:val="0"/>
              <w:suppressLineNumbers w:val="0"/>
              <w:spacing w:before="40" w:beforeAutospacing="0" w:after="40" w:afterAutospacing="0" w:line="36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磋商小组可以根据竞争性磋商文件和磋商情况实质性变动的内容</w:t>
            </w:r>
          </w:p>
        </w:tc>
        <w:tc>
          <w:tcPr>
            <w:tcW w:w="6372" w:type="dxa"/>
            <w:noWrap w:val="0"/>
            <w:vAlign w:val="center"/>
          </w:tcPr>
          <w:p w14:paraId="0BC793C6">
            <w:pPr>
              <w:keepNext w:val="0"/>
              <w:keepLines w:val="0"/>
              <w:suppressLineNumbers w:val="0"/>
              <w:autoSpaceDE w:val="0"/>
              <w:autoSpaceDN w:val="0"/>
              <w:adjustRightInd w:val="0"/>
              <w:spacing w:before="0" w:beforeAutospacing="0" w:after="0" w:afterAutospacing="0" w:line="400" w:lineRule="exact"/>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在磋商过程中，磋商小组可以根据竞争性磋商文件和磋商情况实质性变动采购需求中的技术、服务要求以及合同草案条款，但不得变动竞争性磋商文件中的其他内容。实质性变动的内容，须经采购人代表确认。</w:t>
            </w:r>
          </w:p>
        </w:tc>
      </w:tr>
      <w:tr w14:paraId="3327F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17" w:type="dxa"/>
            <w:noWrap w:val="0"/>
            <w:vAlign w:val="center"/>
          </w:tcPr>
          <w:p w14:paraId="7AF0F55D">
            <w:pPr>
              <w:keepNext w:val="0"/>
              <w:keepLines w:val="0"/>
              <w:suppressLineNumbers w:val="0"/>
              <w:spacing w:before="40" w:beforeAutospacing="0" w:after="40" w:afterAutospacing="0" w:line="36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w:t>
            </w:r>
          </w:p>
        </w:tc>
        <w:tc>
          <w:tcPr>
            <w:tcW w:w="2073" w:type="dxa"/>
            <w:noWrap w:val="0"/>
            <w:vAlign w:val="center"/>
          </w:tcPr>
          <w:p w14:paraId="7ADFA753">
            <w:pPr>
              <w:keepNext w:val="0"/>
              <w:keepLines w:val="0"/>
              <w:suppressLineNumbers w:val="0"/>
              <w:spacing w:before="40" w:beforeAutospacing="0" w:after="40" w:afterAutospacing="0" w:line="36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语言文字</w:t>
            </w:r>
          </w:p>
        </w:tc>
        <w:tc>
          <w:tcPr>
            <w:tcW w:w="6372" w:type="dxa"/>
            <w:noWrap w:val="0"/>
            <w:vAlign w:val="center"/>
          </w:tcPr>
          <w:p w14:paraId="68A531B5">
            <w:pPr>
              <w:keepNext w:val="0"/>
              <w:keepLines w:val="0"/>
              <w:suppressLineNumbers w:val="0"/>
              <w:autoSpaceDE w:val="0"/>
              <w:autoSpaceDN w:val="0"/>
              <w:adjustRightInd w:val="0"/>
              <w:spacing w:before="0" w:beforeAutospacing="0" w:after="0" w:afterAutospacing="0" w:line="400" w:lineRule="exact"/>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供应商的响应文件以及供应商与采购人、采购代理机构、磋商小组就有关磋商的所有来往函电统一使用中文（特别规定除外）。</w:t>
            </w:r>
          </w:p>
        </w:tc>
      </w:tr>
      <w:tr w14:paraId="0AF3D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17" w:type="dxa"/>
            <w:noWrap w:val="0"/>
            <w:vAlign w:val="center"/>
          </w:tcPr>
          <w:p w14:paraId="6D5B13C2">
            <w:pPr>
              <w:keepNext w:val="0"/>
              <w:keepLines w:val="0"/>
              <w:suppressLineNumbers w:val="0"/>
              <w:spacing w:before="40" w:beforeAutospacing="0" w:after="40" w:afterAutospacing="0" w:line="36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w:t>
            </w:r>
          </w:p>
        </w:tc>
        <w:tc>
          <w:tcPr>
            <w:tcW w:w="2073" w:type="dxa"/>
            <w:noWrap w:val="0"/>
            <w:vAlign w:val="center"/>
          </w:tcPr>
          <w:p w14:paraId="406C92D4">
            <w:pPr>
              <w:keepNext w:val="0"/>
              <w:keepLines w:val="0"/>
              <w:suppressLineNumbers w:val="0"/>
              <w:spacing w:before="40" w:beforeAutospacing="0" w:after="40" w:afterAutospacing="0" w:line="36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计量单位</w:t>
            </w:r>
          </w:p>
        </w:tc>
        <w:tc>
          <w:tcPr>
            <w:tcW w:w="6372" w:type="dxa"/>
            <w:noWrap w:val="0"/>
            <w:vAlign w:val="center"/>
          </w:tcPr>
          <w:p w14:paraId="0F0866BE">
            <w:pPr>
              <w:keepNext w:val="0"/>
              <w:keepLines w:val="0"/>
              <w:suppressLineNumbers w:val="0"/>
              <w:autoSpaceDE w:val="0"/>
              <w:autoSpaceDN w:val="0"/>
              <w:adjustRightInd w:val="0"/>
              <w:spacing w:before="0" w:beforeAutospacing="0" w:after="0" w:afterAutospacing="0" w:line="400" w:lineRule="exact"/>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响应文件中使用的计量单位除竞争性磋商文件中有特殊规定外，一律使用中国法定计量单位。</w:t>
            </w:r>
          </w:p>
        </w:tc>
      </w:tr>
      <w:tr w14:paraId="39054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17" w:type="dxa"/>
            <w:noWrap w:val="0"/>
            <w:vAlign w:val="center"/>
          </w:tcPr>
          <w:p w14:paraId="7ECCF9D7">
            <w:pPr>
              <w:keepNext w:val="0"/>
              <w:keepLines w:val="0"/>
              <w:suppressLineNumbers w:val="0"/>
              <w:spacing w:before="40" w:beforeAutospacing="0" w:after="40" w:afterAutospacing="0" w:line="360" w:lineRule="exact"/>
              <w:ind w:left="0" w:right="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15.</w:t>
            </w:r>
            <w:r>
              <w:rPr>
                <w:rFonts w:hint="eastAsia" w:ascii="宋体" w:hAnsi="宋体" w:eastAsia="宋体" w:cs="宋体"/>
                <w:color w:val="auto"/>
                <w:szCs w:val="21"/>
                <w:highlight w:val="none"/>
                <w:lang w:val="en-US" w:eastAsia="zh-CN"/>
              </w:rPr>
              <w:t>2</w:t>
            </w:r>
          </w:p>
        </w:tc>
        <w:tc>
          <w:tcPr>
            <w:tcW w:w="2073" w:type="dxa"/>
            <w:noWrap w:val="0"/>
            <w:vAlign w:val="center"/>
          </w:tcPr>
          <w:p w14:paraId="781C4857">
            <w:pPr>
              <w:keepNext w:val="0"/>
              <w:keepLines w:val="0"/>
              <w:suppressLineNumbers w:val="0"/>
              <w:spacing w:before="40" w:beforeAutospacing="0" w:after="40" w:afterAutospacing="0" w:line="36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构成响应文件的其他资料</w:t>
            </w:r>
          </w:p>
        </w:tc>
        <w:tc>
          <w:tcPr>
            <w:tcW w:w="6372" w:type="dxa"/>
            <w:noWrap w:val="0"/>
            <w:vAlign w:val="center"/>
          </w:tcPr>
          <w:p w14:paraId="7C4A0BDD">
            <w:pPr>
              <w:keepNext w:val="0"/>
              <w:keepLines w:val="0"/>
              <w:suppressLineNumbers w:val="0"/>
              <w:autoSpaceDE w:val="0"/>
              <w:autoSpaceDN w:val="0"/>
              <w:adjustRightInd w:val="0"/>
              <w:spacing w:before="0" w:beforeAutospacing="0" w:after="0" w:afterAutospacing="0" w:line="400" w:lineRule="exact"/>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1.磋商保证金交纳凭证</w:t>
            </w:r>
            <w:r>
              <w:rPr>
                <w:rFonts w:hint="eastAsia" w:ascii="宋体" w:hAnsi="宋体" w:cs="宋体"/>
                <w:color w:val="auto"/>
                <w:szCs w:val="21"/>
                <w:highlight w:val="none"/>
                <w:lang w:eastAsia="zh-CN"/>
              </w:rPr>
              <w:t>或保函或投标（竞标）保证保险保单</w:t>
            </w:r>
            <w:r>
              <w:rPr>
                <w:rFonts w:hint="eastAsia" w:ascii="宋体" w:hAnsi="宋体" w:eastAsia="宋体" w:cs="宋体"/>
                <w:color w:val="auto"/>
                <w:szCs w:val="21"/>
                <w:highlight w:val="none"/>
              </w:rPr>
              <w:t>（复印件</w:t>
            </w:r>
            <w:r>
              <w:rPr>
                <w:rFonts w:hint="eastAsia" w:ascii="宋体" w:hAnsi="宋体" w:eastAsia="宋体" w:cs="宋体"/>
                <w:color w:val="auto"/>
                <w:szCs w:val="21"/>
                <w:highlight w:val="none"/>
                <w:lang w:eastAsia="zh-CN"/>
              </w:rPr>
              <w:t>加盖供应商电子公章</w:t>
            </w:r>
            <w:r>
              <w:rPr>
                <w:rFonts w:hint="eastAsia" w:ascii="宋体" w:hAnsi="宋体" w:eastAsia="宋体" w:cs="宋体"/>
                <w:color w:val="auto"/>
                <w:szCs w:val="21"/>
                <w:highlight w:val="none"/>
              </w:rPr>
              <w:t>）</w:t>
            </w:r>
          </w:p>
          <w:p w14:paraId="46842959">
            <w:pPr>
              <w:keepNext w:val="0"/>
              <w:keepLines w:val="0"/>
              <w:suppressLineNumbers w:val="0"/>
              <w:autoSpaceDE w:val="0"/>
              <w:autoSpaceDN w:val="0"/>
              <w:adjustRightInd w:val="0"/>
              <w:spacing w:before="0" w:beforeAutospacing="0" w:after="0" w:afterAutospacing="0" w:line="400" w:lineRule="exact"/>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2.第五章《采购需求》中要求提供的其他资料；</w:t>
            </w:r>
          </w:p>
          <w:p w14:paraId="7FE16DED">
            <w:pPr>
              <w:keepNext w:val="0"/>
              <w:keepLines w:val="0"/>
              <w:suppressLineNumbers w:val="0"/>
              <w:autoSpaceDE w:val="0"/>
              <w:autoSpaceDN w:val="0"/>
              <w:adjustRightInd w:val="0"/>
              <w:spacing w:before="0" w:beforeAutospacing="0" w:after="0" w:afterAutospacing="0" w:line="400" w:lineRule="exact"/>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3.竞争性磋商文件中所涉及到的相关资料及证明文件或供应商认为必须提供的其他相关资料。</w:t>
            </w:r>
          </w:p>
        </w:tc>
      </w:tr>
      <w:tr w14:paraId="11C18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17" w:type="dxa"/>
            <w:noWrap w:val="0"/>
            <w:vAlign w:val="center"/>
          </w:tcPr>
          <w:p w14:paraId="0AA46038">
            <w:pPr>
              <w:keepNext w:val="0"/>
              <w:keepLines w:val="0"/>
              <w:suppressLineNumbers w:val="0"/>
              <w:spacing w:before="40" w:beforeAutospacing="0" w:after="40" w:afterAutospacing="0" w:line="36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17.1</w:t>
            </w:r>
          </w:p>
        </w:tc>
        <w:tc>
          <w:tcPr>
            <w:tcW w:w="2073" w:type="dxa"/>
            <w:noWrap w:val="0"/>
            <w:vAlign w:val="center"/>
          </w:tcPr>
          <w:p w14:paraId="71844BFE">
            <w:pPr>
              <w:pStyle w:val="33"/>
              <w:keepNext w:val="0"/>
              <w:keepLines w:val="0"/>
              <w:suppressLineNumbers w:val="0"/>
              <w:spacing w:before="40" w:after="40" w:line="360" w:lineRule="exact"/>
              <w:ind w:left="120" w:leftChars="57" w:right="0"/>
              <w:jc w:val="center"/>
              <w:rPr>
                <w:rFonts w:hint="eastAsia" w:ascii="宋体" w:eastAsia="宋体" w:cs="宋体"/>
                <w:color w:val="auto"/>
                <w:sz w:val="21"/>
                <w:szCs w:val="21"/>
                <w:highlight w:val="none"/>
              </w:rPr>
            </w:pPr>
            <w:r>
              <w:rPr>
                <w:rFonts w:hint="eastAsia" w:ascii="宋体" w:eastAsia="宋体" w:cs="宋体"/>
                <w:color w:val="auto"/>
                <w:sz w:val="21"/>
                <w:szCs w:val="21"/>
                <w:highlight w:val="none"/>
              </w:rPr>
              <w:t>响应文件有效期</w:t>
            </w:r>
          </w:p>
        </w:tc>
        <w:tc>
          <w:tcPr>
            <w:tcW w:w="6372" w:type="dxa"/>
            <w:noWrap w:val="0"/>
            <w:vAlign w:val="center"/>
          </w:tcPr>
          <w:p w14:paraId="4CB5D6EC">
            <w:pPr>
              <w:pStyle w:val="33"/>
              <w:keepNext w:val="0"/>
              <w:keepLines w:val="0"/>
              <w:suppressLineNumbers w:val="0"/>
              <w:spacing w:before="40" w:after="40" w:line="360" w:lineRule="exact"/>
              <w:ind w:left="0" w:right="0"/>
              <w:rPr>
                <w:rFonts w:hint="eastAsia" w:ascii="宋体" w:eastAsia="宋体" w:cs="宋体"/>
                <w:color w:val="auto"/>
                <w:sz w:val="21"/>
                <w:szCs w:val="21"/>
                <w:highlight w:val="none"/>
              </w:rPr>
            </w:pPr>
            <w:r>
              <w:rPr>
                <w:rFonts w:hint="eastAsia" w:ascii="宋体" w:eastAsia="宋体" w:cs="宋体"/>
                <w:color w:val="auto"/>
                <w:sz w:val="21"/>
                <w:szCs w:val="21"/>
                <w:highlight w:val="none"/>
              </w:rPr>
              <w:t>响应文件提交截止之日起90天</w:t>
            </w:r>
          </w:p>
        </w:tc>
      </w:tr>
      <w:tr w14:paraId="1DF2A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6" w:hRule="atLeast"/>
          <w:jc w:val="center"/>
        </w:trPr>
        <w:tc>
          <w:tcPr>
            <w:tcW w:w="717" w:type="dxa"/>
            <w:noWrap w:val="0"/>
            <w:vAlign w:val="center"/>
          </w:tcPr>
          <w:p w14:paraId="27DB0B08">
            <w:pPr>
              <w:keepNext w:val="0"/>
              <w:keepLines w:val="0"/>
              <w:suppressLineNumbers w:val="0"/>
              <w:spacing w:before="40" w:beforeAutospacing="0" w:after="40" w:afterAutospacing="0" w:line="36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18.1</w:t>
            </w:r>
          </w:p>
        </w:tc>
        <w:tc>
          <w:tcPr>
            <w:tcW w:w="2073" w:type="dxa"/>
            <w:noWrap w:val="0"/>
            <w:vAlign w:val="center"/>
          </w:tcPr>
          <w:p w14:paraId="14A13A87">
            <w:pPr>
              <w:keepNext w:val="0"/>
              <w:keepLines w:val="0"/>
              <w:suppressLineNumbers w:val="0"/>
              <w:spacing w:before="40" w:beforeAutospacing="0" w:after="40" w:afterAutospacing="0" w:line="360" w:lineRule="exact"/>
              <w:ind w:left="0" w:right="0"/>
              <w:jc w:val="center"/>
              <w:rPr>
                <w:rFonts w:hint="eastAsia" w:ascii="宋体" w:hAnsi="宋体" w:eastAsia="宋体" w:cs="宋体"/>
                <w:color w:val="auto"/>
                <w:szCs w:val="21"/>
                <w:highlight w:val="none"/>
              </w:rPr>
            </w:pPr>
            <w:r>
              <w:rPr>
                <w:rFonts w:hint="eastAsia" w:ascii="Calibri" w:hAnsi="宋体" w:eastAsia="宋体" w:cs="Times New Roman"/>
                <w:color w:val="auto"/>
                <w:szCs w:val="21"/>
                <w:highlight w:val="none"/>
              </w:rPr>
              <w:t>磋商保证金</w:t>
            </w:r>
          </w:p>
        </w:tc>
        <w:tc>
          <w:tcPr>
            <w:tcW w:w="6372" w:type="dxa"/>
            <w:noWrap w:val="0"/>
            <w:vAlign w:val="center"/>
          </w:tcPr>
          <w:p w14:paraId="19B8878E">
            <w:pPr>
              <w:keepNext w:val="0"/>
              <w:keepLines w:val="0"/>
              <w:suppressLineNumbers w:val="0"/>
              <w:autoSpaceDE w:val="0"/>
              <w:autoSpaceDN w:val="0"/>
              <w:adjustRightInd w:val="0"/>
              <w:spacing w:before="0" w:beforeAutospacing="0" w:after="0" w:afterAutospacing="0" w:line="400" w:lineRule="exact"/>
              <w:ind w:left="0" w:right="0"/>
              <w:jc w:val="left"/>
              <w:rPr>
                <w:rFonts w:hint="eastAsia" w:ascii="宋体" w:hAnsi="宋体" w:eastAsia="宋体" w:cs="宋体"/>
                <w:color w:val="auto"/>
                <w:szCs w:val="21"/>
                <w:highlight w:val="none"/>
              </w:rPr>
            </w:pPr>
            <w:r>
              <w:rPr>
                <w:rFonts w:hint="eastAsia" w:ascii="Calibri" w:hAnsi="宋体" w:eastAsia="宋体" w:cs="Times New Roman"/>
                <w:color w:val="auto"/>
                <w:szCs w:val="21"/>
                <w:highlight w:val="none"/>
              </w:rPr>
              <w:t>项目名称：</w:t>
            </w:r>
            <w:r>
              <w:rPr>
                <w:rFonts w:hint="eastAsia" w:ascii="宋体" w:hAnsi="宋体" w:cs="宋体"/>
                <w:color w:val="auto"/>
                <w:szCs w:val="21"/>
                <w:highlight w:val="none"/>
                <w:lang w:eastAsia="zh-CN"/>
              </w:rPr>
              <w:t>昆明市公安局商用密码应用安全性评估服务</w:t>
            </w:r>
          </w:p>
          <w:p w14:paraId="203502B4">
            <w:pPr>
              <w:keepNext w:val="0"/>
              <w:keepLines w:val="0"/>
              <w:suppressLineNumbers w:val="0"/>
              <w:autoSpaceDE w:val="0"/>
              <w:autoSpaceDN w:val="0"/>
              <w:adjustRightInd w:val="0"/>
              <w:spacing w:before="0" w:beforeAutospacing="0" w:after="0" w:afterAutospacing="0" w:line="400" w:lineRule="exact"/>
              <w:ind w:left="0" w:right="0"/>
              <w:jc w:val="left"/>
              <w:rPr>
                <w:rFonts w:hint="default" w:ascii="Calibri" w:hAnsi="宋体" w:eastAsia="宋体" w:cs="Times New Roman"/>
                <w:color w:val="auto"/>
                <w:szCs w:val="21"/>
                <w:highlight w:val="none"/>
                <w:lang w:val="en-US" w:eastAsia="zh-CN"/>
              </w:rPr>
            </w:pPr>
            <w:r>
              <w:rPr>
                <w:rFonts w:hint="eastAsia" w:ascii="Calibri" w:hAnsi="宋体" w:eastAsia="宋体" w:cs="Times New Roman"/>
                <w:color w:val="auto"/>
                <w:szCs w:val="21"/>
                <w:highlight w:val="none"/>
              </w:rPr>
              <w:t>项目编号：</w:t>
            </w:r>
            <w:r>
              <w:rPr>
                <w:rFonts w:hint="eastAsia" w:ascii="宋体" w:hAnsi="宋体" w:cs="宋体"/>
                <w:color w:val="auto"/>
                <w:szCs w:val="21"/>
                <w:highlight w:val="none"/>
                <w:lang w:val="en-US" w:eastAsia="zh-CN"/>
              </w:rPr>
              <w:t>KMZC2025-C3-01073-YNGR-0107</w:t>
            </w:r>
          </w:p>
          <w:p w14:paraId="2FEFE3CC">
            <w:pPr>
              <w:keepNext w:val="0"/>
              <w:keepLines w:val="0"/>
              <w:suppressLineNumbers w:val="0"/>
              <w:autoSpaceDE w:val="0"/>
              <w:autoSpaceDN w:val="0"/>
              <w:adjustRightInd w:val="0"/>
              <w:spacing w:before="0" w:beforeAutospacing="0" w:after="0" w:afterAutospacing="0" w:line="400" w:lineRule="exact"/>
              <w:ind w:left="0" w:right="0"/>
              <w:jc w:val="left"/>
              <w:rPr>
                <w:rFonts w:hint="default" w:ascii="Calibri" w:hAnsi="宋体" w:eastAsia="宋体" w:cs="Times New Roman"/>
                <w:color w:val="auto"/>
                <w:szCs w:val="21"/>
                <w:highlight w:val="none"/>
              </w:rPr>
            </w:pPr>
            <w:r>
              <w:rPr>
                <w:rFonts w:hint="eastAsia" w:ascii="Calibri" w:hAnsi="宋体" w:eastAsia="宋体" w:cs="Times New Roman"/>
                <w:color w:val="auto"/>
                <w:szCs w:val="21"/>
                <w:highlight w:val="none"/>
              </w:rPr>
              <w:t>保证金的</w:t>
            </w:r>
            <w:r>
              <w:rPr>
                <w:rFonts w:hint="default" w:ascii="Calibri" w:hAnsi="宋体" w:eastAsia="宋体" w:cs="Times New Roman"/>
                <w:color w:val="auto"/>
                <w:szCs w:val="21"/>
                <w:highlight w:val="none"/>
              </w:rPr>
              <w:t>形式：</w:t>
            </w:r>
            <w:r>
              <w:rPr>
                <w:rFonts w:hint="eastAsia" w:ascii="Calibri" w:hAnsi="宋体" w:eastAsia="宋体" w:cs="宋体"/>
                <w:color w:val="auto"/>
                <w:highlight w:val="none"/>
              </w:rPr>
              <w:t>网银、电汇、支票、汇票、本票或者金融机构、担保机构出具的保函等非现金形式提交</w:t>
            </w:r>
            <w:r>
              <w:rPr>
                <w:rFonts w:hint="eastAsia" w:hAnsi="宋体" w:cs="宋体"/>
                <w:color w:val="auto"/>
                <w:highlight w:val="none"/>
                <w:lang w:eastAsia="zh-CN"/>
              </w:rPr>
              <w:t>，也可以选择投标（竞标）保证保险</w:t>
            </w:r>
            <w:r>
              <w:rPr>
                <w:rFonts w:hint="eastAsia" w:ascii="Calibri" w:hAnsi="宋体" w:eastAsia="宋体" w:cs="Times New Roman"/>
                <w:color w:val="auto"/>
                <w:szCs w:val="21"/>
                <w:highlight w:val="none"/>
              </w:rPr>
              <w:t>。</w:t>
            </w:r>
          </w:p>
          <w:p w14:paraId="71F85494">
            <w:pPr>
              <w:keepNext w:val="0"/>
              <w:keepLines w:val="0"/>
              <w:suppressLineNumbers w:val="0"/>
              <w:autoSpaceDE w:val="0"/>
              <w:autoSpaceDN w:val="0"/>
              <w:adjustRightInd w:val="0"/>
              <w:spacing w:before="0" w:beforeAutospacing="0" w:after="0" w:afterAutospacing="0" w:line="400" w:lineRule="exact"/>
              <w:ind w:left="0" w:right="0"/>
              <w:jc w:val="left"/>
              <w:rPr>
                <w:rFonts w:hint="default" w:ascii="Calibri" w:hAnsi="宋体" w:eastAsia="宋体" w:cs="Times New Roman"/>
                <w:b/>
                <w:bCs/>
                <w:color w:val="auto"/>
                <w:szCs w:val="21"/>
                <w:highlight w:val="none"/>
              </w:rPr>
            </w:pPr>
            <w:r>
              <w:rPr>
                <w:rFonts w:hint="eastAsia" w:ascii="Calibri" w:hAnsi="宋体" w:eastAsia="宋体" w:cs="Times New Roman"/>
                <w:color w:val="auto"/>
                <w:szCs w:val="21"/>
                <w:highlight w:val="none"/>
              </w:rPr>
              <w:t>本项目磋商保证金的金额：</w:t>
            </w:r>
            <w:r>
              <w:rPr>
                <w:rFonts w:hint="eastAsia" w:ascii="宋体" w:hAnsi="宋体" w:cs="宋体"/>
                <w:b/>
                <w:bCs/>
                <w:color w:val="auto"/>
                <w:sz w:val="21"/>
                <w:szCs w:val="21"/>
                <w:highlight w:val="none"/>
                <w:lang w:val="en-US" w:eastAsia="zh-CN"/>
              </w:rPr>
              <w:t>壹万</w:t>
            </w:r>
            <w:r>
              <w:rPr>
                <w:rFonts w:hint="eastAsia" w:ascii="宋体" w:hAnsi="宋体" w:eastAsia="宋体" w:cs="宋体"/>
                <w:b/>
                <w:color w:val="auto"/>
                <w:sz w:val="21"/>
                <w:szCs w:val="21"/>
                <w:highlight w:val="none"/>
              </w:rPr>
              <w:t>元整（</w:t>
            </w:r>
            <w:r>
              <w:rPr>
                <w:rFonts w:hint="eastAsia" w:ascii="宋体" w:hAnsi="宋体" w:eastAsia="宋体" w:cs="宋体"/>
                <w:b/>
                <w:color w:val="auto"/>
                <w:sz w:val="21"/>
                <w:szCs w:val="21"/>
                <w:highlight w:val="none"/>
                <w:lang w:bidi="en-US"/>
              </w:rPr>
              <w:t>￥</w:t>
            </w:r>
            <w:r>
              <w:rPr>
                <w:rFonts w:hint="eastAsia" w:ascii="宋体" w:hAnsi="宋体" w:cs="宋体"/>
                <w:b/>
                <w:color w:val="auto"/>
                <w:sz w:val="21"/>
                <w:szCs w:val="21"/>
                <w:highlight w:val="none"/>
                <w:lang w:val="en-US" w:eastAsia="zh-CN" w:bidi="en-US"/>
              </w:rPr>
              <w:t>10</w:t>
            </w:r>
            <w:r>
              <w:rPr>
                <w:rFonts w:hint="eastAsia" w:ascii="宋体" w:hAnsi="宋体" w:eastAsia="宋体" w:cs="宋体"/>
                <w:b/>
                <w:color w:val="auto"/>
                <w:sz w:val="21"/>
                <w:szCs w:val="21"/>
                <w:highlight w:val="none"/>
              </w:rPr>
              <w:t>000.00元）</w:t>
            </w:r>
          </w:p>
          <w:p w14:paraId="3A0A087E">
            <w:pPr>
              <w:keepNext w:val="0"/>
              <w:keepLines w:val="0"/>
              <w:suppressLineNumbers w:val="0"/>
              <w:autoSpaceDE w:val="0"/>
              <w:autoSpaceDN w:val="0"/>
              <w:adjustRightInd w:val="0"/>
              <w:spacing w:before="0" w:beforeAutospacing="0" w:after="0" w:afterAutospacing="0" w:line="400" w:lineRule="exact"/>
              <w:ind w:left="0" w:right="0"/>
              <w:jc w:val="left"/>
              <w:rPr>
                <w:rFonts w:hint="eastAsia" w:ascii="宋体" w:hAnsi="宋体" w:eastAsia="宋体" w:cs="宋体"/>
                <w:color w:val="auto"/>
                <w:highlight w:val="none"/>
              </w:rPr>
            </w:pPr>
            <w:r>
              <w:rPr>
                <w:rFonts w:hint="eastAsia" w:ascii="宋体" w:hAnsi="宋体" w:eastAsia="宋体" w:cs="宋体"/>
                <w:color w:val="auto"/>
                <w:highlight w:val="none"/>
              </w:rPr>
              <w:t>保证金按规定金额、形式从</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基本账户交纳至：</w:t>
            </w:r>
          </w:p>
          <w:p w14:paraId="0667C301">
            <w:pPr>
              <w:keepNext w:val="0"/>
              <w:keepLines w:val="0"/>
              <w:suppressLineNumbers w:val="0"/>
              <w:autoSpaceDE w:val="0"/>
              <w:autoSpaceDN w:val="0"/>
              <w:adjustRightInd w:val="0"/>
              <w:spacing w:before="0" w:beforeAutospacing="0" w:after="0" w:afterAutospacing="0" w:line="400" w:lineRule="exact"/>
              <w:ind w:left="0" w:right="0"/>
              <w:jc w:val="left"/>
              <w:rPr>
                <w:rFonts w:hint="eastAsia" w:ascii="宋体" w:hAnsi="宋体" w:eastAsia="宋体" w:cs="宋体"/>
                <w:color w:val="auto"/>
                <w:highlight w:val="none"/>
              </w:rPr>
            </w:pPr>
            <w:r>
              <w:rPr>
                <w:rFonts w:hint="eastAsia" w:ascii="宋体" w:hAnsi="宋体" w:eastAsia="宋体" w:cs="宋体"/>
                <w:color w:val="auto"/>
                <w:highlight w:val="none"/>
              </w:rPr>
              <w:t>开户名称：云南冠睿咨询有限公司</w:t>
            </w:r>
          </w:p>
          <w:p w14:paraId="6A8C8818">
            <w:pPr>
              <w:keepNext w:val="0"/>
              <w:keepLines w:val="0"/>
              <w:suppressLineNumbers w:val="0"/>
              <w:autoSpaceDE w:val="0"/>
              <w:autoSpaceDN w:val="0"/>
              <w:adjustRightInd w:val="0"/>
              <w:spacing w:before="0" w:beforeAutospacing="0" w:after="0" w:afterAutospacing="0" w:line="400" w:lineRule="exact"/>
              <w:ind w:left="0" w:right="0"/>
              <w:jc w:val="left"/>
              <w:rPr>
                <w:rFonts w:hint="eastAsia" w:ascii="宋体" w:hAnsi="宋体" w:eastAsia="宋体" w:cs="宋体"/>
                <w:color w:val="auto"/>
                <w:highlight w:val="none"/>
              </w:rPr>
            </w:pPr>
            <w:r>
              <w:rPr>
                <w:rFonts w:hint="eastAsia" w:ascii="宋体" w:hAnsi="宋体" w:eastAsia="宋体" w:cs="宋体"/>
                <w:color w:val="auto"/>
                <w:highlight w:val="none"/>
              </w:rPr>
              <w:t>开户银行：中国民生银行股份有限公司昆明拓东路支行</w:t>
            </w:r>
          </w:p>
          <w:p w14:paraId="42E8591C">
            <w:pPr>
              <w:keepNext w:val="0"/>
              <w:keepLines w:val="0"/>
              <w:suppressLineNumbers w:val="0"/>
              <w:autoSpaceDE w:val="0"/>
              <w:autoSpaceDN w:val="0"/>
              <w:adjustRightInd w:val="0"/>
              <w:spacing w:before="0" w:beforeAutospacing="0" w:after="0" w:afterAutospacing="0" w:line="400" w:lineRule="exact"/>
              <w:ind w:left="0" w:right="0"/>
              <w:jc w:val="left"/>
              <w:rPr>
                <w:rFonts w:hint="eastAsia" w:ascii="宋体" w:hAnsi="宋体" w:eastAsia="宋体" w:cs="宋体"/>
                <w:color w:val="auto"/>
                <w:highlight w:val="none"/>
              </w:rPr>
            </w:pPr>
            <w:r>
              <w:rPr>
                <w:rFonts w:hint="eastAsia" w:ascii="宋体" w:hAnsi="宋体" w:eastAsia="宋体" w:cs="宋体"/>
                <w:color w:val="auto"/>
                <w:highlight w:val="none"/>
              </w:rPr>
              <w:t>账号：636611192</w:t>
            </w:r>
          </w:p>
          <w:p w14:paraId="44073B80">
            <w:pPr>
              <w:keepNext w:val="0"/>
              <w:keepLines w:val="0"/>
              <w:suppressLineNumbers w:val="0"/>
              <w:autoSpaceDE w:val="0"/>
              <w:autoSpaceDN w:val="0"/>
              <w:adjustRightInd w:val="0"/>
              <w:spacing w:before="0" w:beforeAutospacing="0" w:after="0" w:afterAutospacing="0" w:line="400" w:lineRule="exact"/>
              <w:ind w:left="0" w:right="0"/>
              <w:jc w:val="left"/>
              <w:rPr>
                <w:rFonts w:hint="default" w:ascii="Calibri" w:hAnsi="宋体" w:eastAsia="宋体" w:cs="Times New Roman"/>
                <w:color w:val="auto"/>
                <w:szCs w:val="21"/>
                <w:highlight w:val="none"/>
              </w:rPr>
            </w:pPr>
            <w:r>
              <w:rPr>
                <w:rFonts w:hint="eastAsia" w:ascii="Calibri" w:hAnsi="宋体" w:eastAsia="宋体" w:cs="Times New Roman"/>
                <w:color w:val="auto"/>
                <w:szCs w:val="21"/>
                <w:highlight w:val="none"/>
              </w:rPr>
              <w:t>保证金交纳说明：</w:t>
            </w:r>
          </w:p>
          <w:p w14:paraId="2DC690A4">
            <w:pPr>
              <w:keepNext w:val="0"/>
              <w:keepLines w:val="0"/>
              <w:numPr>
                <w:ilvl w:val="0"/>
                <w:numId w:val="0"/>
              </w:numPr>
              <w:suppressLineNumbers w:val="0"/>
              <w:autoSpaceDE w:val="0"/>
              <w:autoSpaceDN w:val="0"/>
              <w:adjustRightInd w:val="0"/>
              <w:spacing w:before="0" w:beforeAutospacing="0" w:after="0" w:afterAutospacing="0" w:line="400" w:lineRule="exact"/>
              <w:ind w:left="0" w:right="0" w:rightChars="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1.电汇或网银方式交纳的，底单即为交纳凭证；</w:t>
            </w:r>
          </w:p>
          <w:p w14:paraId="4ADA662E">
            <w:pPr>
              <w:keepNext w:val="0"/>
              <w:keepLines w:val="0"/>
              <w:numPr>
                <w:ilvl w:val="0"/>
                <w:numId w:val="0"/>
              </w:numPr>
              <w:suppressLineNumbers w:val="0"/>
              <w:autoSpaceDE w:val="0"/>
              <w:autoSpaceDN w:val="0"/>
              <w:adjustRightInd w:val="0"/>
              <w:spacing w:before="0" w:beforeAutospacing="0" w:after="0" w:afterAutospacing="0" w:line="400" w:lineRule="exact"/>
              <w:ind w:left="0" w:right="0" w:rightChars="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2.支票方式提交的，供应商须自行进账，进账后回单即为缴纳凭证；</w:t>
            </w:r>
          </w:p>
          <w:p w14:paraId="36FA8F80">
            <w:pPr>
              <w:keepNext w:val="0"/>
              <w:keepLines w:val="0"/>
              <w:numPr>
                <w:ilvl w:val="0"/>
                <w:numId w:val="0"/>
              </w:numPr>
              <w:suppressLineNumbers w:val="0"/>
              <w:autoSpaceDE w:val="0"/>
              <w:autoSpaceDN w:val="0"/>
              <w:adjustRightInd w:val="0"/>
              <w:spacing w:before="0" w:beforeAutospacing="0" w:after="0" w:afterAutospacing="0" w:line="400" w:lineRule="exact"/>
              <w:ind w:left="0" w:right="0" w:rightChars="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cs="宋体"/>
                <w:color w:val="auto"/>
                <w:szCs w:val="21"/>
                <w:highlight w:val="none"/>
                <w:lang w:eastAsia="zh-CN"/>
              </w:rPr>
              <w:t>供应商拟采用汇票或本票或保函或保单方式提交的需将扫描件发送至采购代理机构指定电子邮箱（yngrzx@126.com），并联系采购代理机构确认，联系人：祝欣、陈沿锦、丁传觐、王国玺、吴翊；联系电话：0871-65511240、0871-65511241。</w:t>
            </w:r>
          </w:p>
          <w:p w14:paraId="6FBC2F86">
            <w:pPr>
              <w:keepNext w:val="0"/>
              <w:keepLines w:val="0"/>
              <w:numPr>
                <w:ilvl w:val="0"/>
                <w:numId w:val="0"/>
              </w:numPr>
              <w:suppressLineNumbers w:val="0"/>
              <w:autoSpaceDE w:val="0"/>
              <w:autoSpaceDN w:val="0"/>
              <w:adjustRightInd w:val="0"/>
              <w:spacing w:before="0" w:beforeAutospacing="0" w:after="0" w:afterAutospacing="0" w:line="400" w:lineRule="exact"/>
              <w:ind w:left="0" w:right="0" w:rightChars="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r>
              <w:rPr>
                <w:rFonts w:hint="eastAsia" w:ascii="宋体" w:hAnsi="宋体" w:cs="宋体"/>
                <w:color w:val="auto"/>
                <w:szCs w:val="21"/>
                <w:highlight w:val="none"/>
                <w:lang w:val="en-US" w:eastAsia="zh-CN"/>
              </w:rPr>
              <w:t>供应商</w:t>
            </w:r>
            <w:r>
              <w:rPr>
                <w:rFonts w:hint="eastAsia" w:ascii="宋体" w:hAnsi="宋体" w:eastAsia="宋体" w:cs="宋体"/>
                <w:color w:val="auto"/>
                <w:szCs w:val="21"/>
                <w:highlight w:val="none"/>
              </w:rPr>
              <w:t>未按照</w:t>
            </w:r>
            <w:r>
              <w:rPr>
                <w:rFonts w:hint="eastAsia" w:ascii="宋体" w:hAnsi="宋体" w:cs="宋体"/>
                <w:color w:val="auto"/>
                <w:szCs w:val="21"/>
                <w:highlight w:val="none"/>
                <w:lang w:val="en-US" w:eastAsia="zh-CN"/>
              </w:rPr>
              <w:t>磋商</w:t>
            </w:r>
            <w:r>
              <w:rPr>
                <w:rFonts w:hint="eastAsia" w:ascii="宋体" w:hAnsi="宋体" w:eastAsia="宋体" w:cs="宋体"/>
                <w:color w:val="auto"/>
                <w:szCs w:val="21"/>
                <w:highlight w:val="none"/>
              </w:rPr>
              <w:t>文件的要求提交</w:t>
            </w:r>
            <w:r>
              <w:rPr>
                <w:rFonts w:hint="eastAsia" w:ascii="宋体" w:hAnsi="宋体" w:cs="宋体"/>
                <w:color w:val="auto"/>
                <w:szCs w:val="21"/>
                <w:highlight w:val="none"/>
                <w:lang w:val="en-US" w:eastAsia="zh-CN"/>
              </w:rPr>
              <w:t>磋商</w:t>
            </w:r>
            <w:r>
              <w:rPr>
                <w:rFonts w:hint="eastAsia" w:ascii="宋体" w:hAnsi="宋体" w:eastAsia="宋体" w:cs="宋体"/>
                <w:color w:val="auto"/>
                <w:szCs w:val="21"/>
                <w:highlight w:val="none"/>
              </w:rPr>
              <w:t>保证金的，其</w:t>
            </w:r>
            <w:r>
              <w:rPr>
                <w:rFonts w:hint="eastAsia" w:ascii="宋体" w:hAnsi="宋体" w:cs="宋体"/>
                <w:color w:val="auto"/>
                <w:szCs w:val="21"/>
                <w:highlight w:val="none"/>
                <w:lang w:val="en-US" w:eastAsia="zh-CN"/>
              </w:rPr>
              <w:t>响应</w:t>
            </w:r>
            <w:r>
              <w:rPr>
                <w:rFonts w:hint="eastAsia" w:ascii="宋体" w:hAnsi="宋体" w:eastAsia="宋体" w:cs="宋体"/>
                <w:color w:val="auto"/>
                <w:szCs w:val="21"/>
                <w:highlight w:val="none"/>
              </w:rPr>
              <w:t>文件无效。</w:t>
            </w:r>
          </w:p>
        </w:tc>
      </w:tr>
      <w:tr w14:paraId="17F4A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6" w:hRule="atLeast"/>
          <w:jc w:val="center"/>
        </w:trPr>
        <w:tc>
          <w:tcPr>
            <w:tcW w:w="717" w:type="dxa"/>
            <w:noWrap w:val="0"/>
            <w:vAlign w:val="center"/>
          </w:tcPr>
          <w:p w14:paraId="74561DB0">
            <w:pPr>
              <w:keepNext w:val="0"/>
              <w:keepLines w:val="0"/>
              <w:suppressLineNumbers w:val="0"/>
              <w:spacing w:before="40" w:beforeAutospacing="0" w:after="40" w:afterAutospacing="0" w:line="360" w:lineRule="exact"/>
              <w:ind w:left="0" w:right="0"/>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19.1</w:t>
            </w:r>
          </w:p>
        </w:tc>
        <w:tc>
          <w:tcPr>
            <w:tcW w:w="2073" w:type="dxa"/>
            <w:noWrap w:val="0"/>
            <w:vAlign w:val="center"/>
          </w:tcPr>
          <w:p w14:paraId="4EA4F960">
            <w:pPr>
              <w:keepNext w:val="0"/>
              <w:keepLines w:val="0"/>
              <w:suppressLineNumbers w:val="0"/>
              <w:spacing w:before="0" w:beforeAutospacing="0" w:after="0" w:afterAutospacing="0" w:line="400" w:lineRule="exact"/>
              <w:ind w:left="0" w:right="0"/>
              <w:jc w:val="center"/>
              <w:rPr>
                <w:rFonts w:hint="eastAsia" w:ascii="Calibri" w:hAnsi="宋体" w:eastAsia="宋体" w:cs="Times New Roman"/>
                <w:color w:val="auto"/>
                <w:szCs w:val="21"/>
                <w:highlight w:val="none"/>
              </w:rPr>
            </w:pPr>
            <w:r>
              <w:rPr>
                <w:rFonts w:hint="eastAsia" w:ascii="宋体" w:hAnsi="宋体" w:eastAsia="宋体" w:cs="宋体"/>
                <w:color w:val="auto"/>
                <w:highlight w:val="none"/>
              </w:rPr>
              <w:t>响应文件签署</w:t>
            </w:r>
          </w:p>
        </w:tc>
        <w:tc>
          <w:tcPr>
            <w:tcW w:w="6372" w:type="dxa"/>
            <w:noWrap w:val="0"/>
            <w:vAlign w:val="center"/>
          </w:tcPr>
          <w:p w14:paraId="731FAE78">
            <w:pPr>
              <w:keepNext w:val="0"/>
              <w:keepLines w:val="0"/>
              <w:suppressLineNumbers w:val="0"/>
              <w:spacing w:before="0" w:beforeAutospacing="0" w:after="0" w:afterAutospacing="0" w:line="400" w:lineRule="exact"/>
              <w:ind w:left="0" w:right="0"/>
              <w:jc w:val="left"/>
              <w:rPr>
                <w:rFonts w:hint="eastAsia" w:ascii="Calibri" w:hAnsi="宋体" w:eastAsia="宋体" w:cs="Times New Roman"/>
                <w:color w:val="auto"/>
                <w:szCs w:val="21"/>
                <w:highlight w:val="none"/>
              </w:rPr>
            </w:pPr>
            <w:r>
              <w:rPr>
                <w:rFonts w:hint="eastAsia" w:ascii="宋体" w:hAnsi="宋体" w:eastAsia="宋体" w:cs="宋体"/>
                <w:color w:val="auto"/>
                <w:highlight w:val="none"/>
              </w:rPr>
              <w:t>响应文件编制完成后须用</w:t>
            </w:r>
            <w:r>
              <w:rPr>
                <w:rFonts w:hint="eastAsia" w:ascii="宋体" w:hAnsi="宋体" w:cs="宋体"/>
                <w:color w:val="auto"/>
                <w:highlight w:val="none"/>
                <w:lang w:eastAsia="zh-CN"/>
              </w:rPr>
              <w:t>数字证书（CA）</w:t>
            </w:r>
            <w:r>
              <w:rPr>
                <w:rFonts w:hint="eastAsia" w:ascii="宋体" w:hAnsi="宋体" w:eastAsia="宋体" w:cs="宋体"/>
                <w:color w:val="auto"/>
                <w:highlight w:val="none"/>
              </w:rPr>
              <w:t>按格式进行电子签章，在所要求的位置有法定代表人的</w:t>
            </w:r>
            <w:r>
              <w:rPr>
                <w:rFonts w:hint="eastAsia" w:ascii="宋体" w:hAnsi="宋体" w:eastAsia="宋体" w:cs="宋体"/>
                <w:color w:val="auto"/>
                <w:highlight w:val="none"/>
                <w:lang w:eastAsia="zh-CN"/>
              </w:rPr>
              <w:t>电子签名或盖章</w:t>
            </w:r>
            <w:r>
              <w:rPr>
                <w:rFonts w:hint="eastAsia" w:ascii="宋体" w:hAnsi="宋体" w:eastAsia="宋体" w:cs="宋体"/>
                <w:color w:val="auto"/>
                <w:highlight w:val="none"/>
              </w:rPr>
              <w:t>，均使用</w:t>
            </w:r>
            <w:r>
              <w:rPr>
                <w:rFonts w:hint="eastAsia" w:ascii="宋体" w:hAnsi="宋体" w:cs="宋体"/>
                <w:color w:val="auto"/>
                <w:highlight w:val="none"/>
                <w:lang w:eastAsia="zh-CN"/>
              </w:rPr>
              <w:t>数字证书（CA）</w:t>
            </w:r>
            <w:r>
              <w:rPr>
                <w:rFonts w:hint="eastAsia" w:ascii="宋体" w:hAnsi="宋体" w:eastAsia="宋体" w:cs="宋体"/>
                <w:color w:val="auto"/>
                <w:highlight w:val="none"/>
              </w:rPr>
              <w:t>按格式进行电子签章，联合体参加磋商的除格式要求外，可由联合体牵头单位签署。签章操作详见</w:t>
            </w:r>
            <w:r>
              <w:rPr>
                <w:rFonts w:hint="eastAsia" w:ascii="宋体" w:hAnsi="宋体" w:cs="宋体"/>
                <w:color w:val="auto"/>
                <w:highlight w:val="none"/>
                <w:lang w:eastAsia="zh-CN"/>
              </w:rPr>
              <w:t>政采云</w:t>
            </w:r>
            <w:r>
              <w:rPr>
                <w:rFonts w:hint="eastAsia" w:ascii="宋体" w:hAnsi="宋体" w:eastAsia="宋体" w:cs="宋体"/>
                <w:color w:val="auto"/>
                <w:highlight w:val="none"/>
              </w:rPr>
              <w:t>。</w:t>
            </w:r>
          </w:p>
        </w:tc>
      </w:tr>
      <w:tr w14:paraId="64477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7" w:hRule="atLeast"/>
          <w:jc w:val="center"/>
        </w:trPr>
        <w:tc>
          <w:tcPr>
            <w:tcW w:w="717" w:type="dxa"/>
            <w:noWrap w:val="0"/>
            <w:vAlign w:val="center"/>
          </w:tcPr>
          <w:p w14:paraId="4EEC16C3">
            <w:pPr>
              <w:keepNext w:val="0"/>
              <w:keepLines w:val="0"/>
              <w:suppressLineNumbers w:val="0"/>
              <w:spacing w:before="40" w:beforeAutospacing="0" w:after="40" w:afterAutospacing="0" w:line="360" w:lineRule="exact"/>
              <w:ind w:left="0" w:right="0"/>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19.</w:t>
            </w:r>
            <w:r>
              <w:rPr>
                <w:rFonts w:hint="eastAsia" w:ascii="宋体" w:hAnsi="宋体" w:eastAsia="宋体" w:cs="宋体"/>
                <w:color w:val="auto"/>
                <w:szCs w:val="21"/>
                <w:highlight w:val="none"/>
                <w:lang w:val="en-US" w:eastAsia="zh-CN"/>
              </w:rPr>
              <w:t>8</w:t>
            </w:r>
          </w:p>
        </w:tc>
        <w:tc>
          <w:tcPr>
            <w:tcW w:w="2073" w:type="dxa"/>
            <w:noWrap w:val="0"/>
            <w:vAlign w:val="center"/>
          </w:tcPr>
          <w:p w14:paraId="3828D903">
            <w:pPr>
              <w:keepNext w:val="0"/>
              <w:keepLines w:val="0"/>
              <w:suppressLineNumbers w:val="0"/>
              <w:spacing w:before="40" w:beforeAutospacing="0" w:after="40" w:afterAutospacing="0" w:line="360" w:lineRule="exact"/>
              <w:ind w:left="0" w:right="0" w:firstLine="105" w:firstLineChars="5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响应文件份数</w:t>
            </w:r>
          </w:p>
        </w:tc>
        <w:tc>
          <w:tcPr>
            <w:tcW w:w="6372" w:type="dxa"/>
            <w:noWrap w:val="0"/>
            <w:vAlign w:val="center"/>
          </w:tcPr>
          <w:p w14:paraId="3BD461B8">
            <w:pPr>
              <w:keepNext w:val="0"/>
              <w:keepLines w:val="0"/>
              <w:suppressLineNumbers w:val="0"/>
              <w:spacing w:before="40" w:beforeAutospacing="0" w:after="40" w:afterAutospacing="0" w:line="360" w:lineRule="exact"/>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按</w:t>
            </w:r>
            <w:r>
              <w:rPr>
                <w:rFonts w:hint="eastAsia" w:ascii="宋体" w:hAnsi="宋体" w:cs="宋体"/>
                <w:color w:val="auto"/>
                <w:szCs w:val="21"/>
                <w:highlight w:val="none"/>
                <w:lang w:eastAsia="zh-CN"/>
              </w:rPr>
              <w:t>“政采云”</w:t>
            </w:r>
            <w:r>
              <w:rPr>
                <w:rFonts w:hint="eastAsia" w:ascii="宋体" w:hAnsi="宋体" w:cs="宋体"/>
                <w:color w:val="auto"/>
                <w:szCs w:val="21"/>
                <w:highlight w:val="none"/>
                <w:lang w:val="en-US" w:eastAsia="zh-CN"/>
              </w:rPr>
              <w:t>平台</w:t>
            </w:r>
            <w:r>
              <w:rPr>
                <w:rFonts w:hint="eastAsia" w:ascii="宋体" w:hAnsi="宋体" w:eastAsia="宋体" w:cs="宋体"/>
                <w:color w:val="auto"/>
                <w:szCs w:val="21"/>
                <w:highlight w:val="none"/>
              </w:rPr>
              <w:t>要求，上传电子响应文件壹份。供应商应安装</w:t>
            </w:r>
            <w:r>
              <w:rPr>
                <w:rFonts w:hint="eastAsia" w:ascii="宋体" w:hAnsi="宋体" w:cs="宋体"/>
                <w:color w:val="auto"/>
                <w:szCs w:val="21"/>
                <w:highlight w:val="none"/>
                <w:lang w:eastAsia="zh-CN"/>
              </w:rPr>
              <w:t>“政采云”</w:t>
            </w:r>
            <w:r>
              <w:rPr>
                <w:rFonts w:hint="eastAsia" w:ascii="宋体" w:hAnsi="宋体" w:eastAsia="宋体" w:cs="宋体"/>
                <w:color w:val="auto"/>
                <w:szCs w:val="21"/>
                <w:highlight w:val="none"/>
              </w:rPr>
              <w:t>投标客户端，根据采购文件格式编制响应文件，生成加密标书后进行上传。</w:t>
            </w:r>
          </w:p>
        </w:tc>
      </w:tr>
      <w:tr w14:paraId="340A3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7" w:hRule="atLeast"/>
          <w:jc w:val="center"/>
        </w:trPr>
        <w:tc>
          <w:tcPr>
            <w:tcW w:w="717" w:type="dxa"/>
            <w:noWrap w:val="0"/>
            <w:vAlign w:val="center"/>
          </w:tcPr>
          <w:p w14:paraId="022B10BD">
            <w:pPr>
              <w:keepNext w:val="0"/>
              <w:keepLines w:val="0"/>
              <w:suppressLineNumbers w:val="0"/>
              <w:spacing w:before="40" w:beforeAutospacing="0" w:after="40" w:afterAutospacing="0" w:line="360" w:lineRule="exact"/>
              <w:ind w:left="0" w:right="0"/>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20.5</w:t>
            </w:r>
          </w:p>
        </w:tc>
        <w:tc>
          <w:tcPr>
            <w:tcW w:w="2073" w:type="dxa"/>
            <w:noWrap w:val="0"/>
            <w:vAlign w:val="center"/>
          </w:tcPr>
          <w:p w14:paraId="480E5001">
            <w:pPr>
              <w:keepNext w:val="0"/>
              <w:keepLines w:val="0"/>
              <w:suppressLineNumbers w:val="0"/>
              <w:spacing w:before="40" w:beforeAutospacing="0" w:after="40" w:afterAutospacing="0" w:line="360" w:lineRule="exact"/>
              <w:ind w:left="0" w:right="0" w:firstLine="105" w:firstLineChars="50"/>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最后报价</w:t>
            </w:r>
          </w:p>
        </w:tc>
        <w:tc>
          <w:tcPr>
            <w:tcW w:w="6372" w:type="dxa"/>
            <w:noWrap w:val="0"/>
            <w:vAlign w:val="center"/>
          </w:tcPr>
          <w:p w14:paraId="55CC2318">
            <w:pPr>
              <w:keepNext w:val="0"/>
              <w:keepLines w:val="0"/>
              <w:suppressLineNumbers w:val="0"/>
              <w:spacing w:before="40" w:beforeAutospacing="0" w:after="40" w:afterAutospacing="0" w:line="360" w:lineRule="exact"/>
              <w:ind w:left="0" w:right="0"/>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提交响应文件的供应商，按照"政采云"平台的顺序进行磋商、承诺及最后报价，操作流程详见政采云（https://e-learning.zcygov.cn/index）供应商操作指南</w:t>
            </w:r>
            <w:r>
              <w:rPr>
                <w:rFonts w:hint="eastAsia" w:ascii="宋体" w:hAnsi="宋体" w:eastAsia="宋体" w:cs="宋体"/>
                <w:color w:val="auto"/>
                <w:szCs w:val="21"/>
                <w:highlight w:val="none"/>
                <w:lang w:val="en-US" w:eastAsia="zh-CN"/>
              </w:rPr>
              <w:t>。</w:t>
            </w:r>
          </w:p>
        </w:tc>
      </w:tr>
      <w:tr w14:paraId="5E346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8" w:hRule="atLeast"/>
          <w:jc w:val="center"/>
        </w:trPr>
        <w:tc>
          <w:tcPr>
            <w:tcW w:w="717" w:type="dxa"/>
            <w:noWrap w:val="0"/>
            <w:vAlign w:val="center"/>
          </w:tcPr>
          <w:p w14:paraId="60D16070">
            <w:pPr>
              <w:keepNext w:val="0"/>
              <w:keepLines w:val="0"/>
              <w:suppressLineNumbers w:val="0"/>
              <w:spacing w:before="40" w:beforeAutospacing="0" w:after="40" w:afterAutospacing="0" w:line="360" w:lineRule="exact"/>
              <w:ind w:left="0" w:right="0"/>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20.</w:t>
            </w:r>
            <w:r>
              <w:rPr>
                <w:rFonts w:hint="eastAsia" w:ascii="宋体" w:hAnsi="宋体" w:eastAsia="宋体" w:cs="宋体"/>
                <w:color w:val="auto"/>
                <w:szCs w:val="21"/>
                <w:highlight w:val="none"/>
                <w:lang w:val="en-US" w:eastAsia="zh-CN"/>
              </w:rPr>
              <w:t>8</w:t>
            </w:r>
          </w:p>
        </w:tc>
        <w:tc>
          <w:tcPr>
            <w:tcW w:w="2073" w:type="dxa"/>
            <w:noWrap w:val="0"/>
            <w:vAlign w:val="center"/>
          </w:tcPr>
          <w:p w14:paraId="435685EA">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报价货币</w:t>
            </w:r>
          </w:p>
        </w:tc>
        <w:tc>
          <w:tcPr>
            <w:tcW w:w="6372" w:type="dxa"/>
            <w:noWrap w:val="0"/>
            <w:vAlign w:val="center"/>
          </w:tcPr>
          <w:p w14:paraId="7F487213">
            <w:pPr>
              <w:keepNext w:val="0"/>
              <w:keepLines w:val="0"/>
              <w:suppressLineNumbers w:val="0"/>
              <w:spacing w:before="0" w:beforeAutospacing="0" w:after="0" w:afterAutospacing="0" w:line="360" w:lineRule="exact"/>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w:t>
            </w:r>
          </w:p>
        </w:tc>
      </w:tr>
      <w:tr w14:paraId="067ED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80" w:hRule="atLeast"/>
          <w:jc w:val="center"/>
        </w:trPr>
        <w:tc>
          <w:tcPr>
            <w:tcW w:w="717" w:type="dxa"/>
            <w:noWrap w:val="0"/>
            <w:vAlign w:val="center"/>
          </w:tcPr>
          <w:p w14:paraId="62A43F8D">
            <w:pPr>
              <w:keepNext w:val="0"/>
              <w:keepLines w:val="0"/>
              <w:suppressLineNumbers w:val="0"/>
              <w:spacing w:before="40" w:beforeAutospacing="0" w:after="40" w:afterAutospacing="0" w:line="36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21.1</w:t>
            </w:r>
          </w:p>
        </w:tc>
        <w:tc>
          <w:tcPr>
            <w:tcW w:w="2073" w:type="dxa"/>
            <w:noWrap w:val="0"/>
            <w:vAlign w:val="center"/>
          </w:tcPr>
          <w:p w14:paraId="683DB4CB">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响应文件的密封和标记</w:t>
            </w:r>
          </w:p>
        </w:tc>
        <w:tc>
          <w:tcPr>
            <w:tcW w:w="6372" w:type="dxa"/>
            <w:noWrap w:val="0"/>
            <w:vAlign w:val="center"/>
          </w:tcPr>
          <w:p w14:paraId="703E191A">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按照</w:t>
            </w:r>
            <w:r>
              <w:rPr>
                <w:rFonts w:hint="eastAsia" w:ascii="宋体" w:hAnsi="宋体" w:cs="宋体"/>
                <w:color w:val="auto"/>
                <w:szCs w:val="21"/>
                <w:highlight w:val="none"/>
                <w:lang w:eastAsia="zh-CN"/>
              </w:rPr>
              <w:t>“政采云”</w:t>
            </w:r>
            <w:r>
              <w:rPr>
                <w:rFonts w:hint="eastAsia" w:ascii="宋体" w:hAnsi="宋体" w:eastAsia="宋体" w:cs="宋体"/>
                <w:color w:val="auto"/>
                <w:szCs w:val="21"/>
                <w:highlight w:val="none"/>
              </w:rPr>
              <w:t>平台的要求编制、加密后在响应文件提交截止时间前上传至</w:t>
            </w:r>
            <w:r>
              <w:rPr>
                <w:rFonts w:hint="eastAsia" w:ascii="宋体" w:hAnsi="宋体" w:cs="宋体"/>
                <w:color w:val="auto"/>
                <w:szCs w:val="21"/>
                <w:highlight w:val="none"/>
                <w:lang w:eastAsia="zh-CN"/>
              </w:rPr>
              <w:t>“政采云”</w:t>
            </w:r>
            <w:r>
              <w:rPr>
                <w:rFonts w:hint="eastAsia" w:ascii="宋体" w:hAnsi="宋体" w:eastAsia="宋体" w:cs="宋体"/>
                <w:color w:val="auto"/>
                <w:szCs w:val="21"/>
                <w:highlight w:val="none"/>
              </w:rPr>
              <w:t>平台，响应文件提交截止时间前未完成响应文件上传的，视为撤回响应文件。</w:t>
            </w:r>
          </w:p>
        </w:tc>
      </w:tr>
      <w:tr w14:paraId="737E3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8" w:hRule="atLeast"/>
          <w:jc w:val="center"/>
        </w:trPr>
        <w:tc>
          <w:tcPr>
            <w:tcW w:w="717" w:type="dxa"/>
            <w:noWrap w:val="0"/>
            <w:vAlign w:val="center"/>
          </w:tcPr>
          <w:p w14:paraId="09BA5C63">
            <w:pPr>
              <w:keepNext w:val="0"/>
              <w:keepLines w:val="0"/>
              <w:suppressLineNumbers w:val="0"/>
              <w:spacing w:before="40" w:beforeAutospacing="0" w:after="40" w:afterAutospacing="0" w:line="36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22.1</w:t>
            </w:r>
          </w:p>
        </w:tc>
        <w:tc>
          <w:tcPr>
            <w:tcW w:w="2073" w:type="dxa"/>
            <w:noWrap w:val="0"/>
            <w:vAlign w:val="center"/>
          </w:tcPr>
          <w:p w14:paraId="6E4F1D00">
            <w:pPr>
              <w:pStyle w:val="33"/>
              <w:keepNext w:val="0"/>
              <w:keepLines w:val="0"/>
              <w:suppressLineNumbers w:val="0"/>
              <w:spacing w:before="40" w:after="40" w:line="360" w:lineRule="exact"/>
              <w:ind w:left="120" w:leftChars="57" w:right="0"/>
              <w:jc w:val="center"/>
              <w:rPr>
                <w:rFonts w:hint="eastAsia" w:ascii="宋体" w:eastAsia="宋体" w:cs="宋体"/>
                <w:color w:val="auto"/>
                <w:sz w:val="21"/>
                <w:szCs w:val="21"/>
                <w:highlight w:val="none"/>
              </w:rPr>
            </w:pPr>
            <w:r>
              <w:rPr>
                <w:rFonts w:hint="eastAsia" w:ascii="宋体" w:eastAsia="宋体" w:cs="宋体"/>
                <w:color w:val="auto"/>
                <w:sz w:val="21"/>
                <w:szCs w:val="21"/>
                <w:highlight w:val="none"/>
              </w:rPr>
              <w:t>响应文件提交截止时间及地点</w:t>
            </w:r>
          </w:p>
        </w:tc>
        <w:tc>
          <w:tcPr>
            <w:tcW w:w="6372" w:type="dxa"/>
            <w:noWrap w:val="0"/>
            <w:vAlign w:val="center"/>
          </w:tcPr>
          <w:p w14:paraId="241F843E">
            <w:pPr>
              <w:pStyle w:val="33"/>
              <w:keepNext w:val="0"/>
              <w:keepLines w:val="0"/>
              <w:suppressLineNumbers w:val="0"/>
              <w:spacing w:before="0" w:beforeAutospacing="0" w:after="0" w:afterAutospacing="0" w:line="400" w:lineRule="exact"/>
              <w:ind w:left="0" w:right="0"/>
              <w:jc w:val="both"/>
              <w:rPr>
                <w:rFonts w:hint="eastAsia" w:ascii="宋体" w:eastAsia="宋体" w:cs="宋体"/>
                <w:color w:val="auto"/>
                <w:sz w:val="21"/>
                <w:szCs w:val="21"/>
                <w:highlight w:val="none"/>
              </w:rPr>
            </w:pPr>
            <w:r>
              <w:rPr>
                <w:rFonts w:hint="eastAsia" w:ascii="宋体" w:eastAsia="宋体" w:cs="宋体"/>
                <w:color w:val="auto"/>
                <w:sz w:val="21"/>
                <w:szCs w:val="21"/>
                <w:highlight w:val="none"/>
              </w:rPr>
              <w:t>提交截止时间：详见竞争性磋商文件第一章《竞争性磋商公告》。</w:t>
            </w:r>
          </w:p>
          <w:p w14:paraId="10BBC009">
            <w:pPr>
              <w:pStyle w:val="33"/>
              <w:keepNext w:val="0"/>
              <w:keepLines w:val="0"/>
              <w:suppressLineNumbers w:val="0"/>
              <w:spacing w:before="0" w:beforeAutospacing="0" w:after="0" w:afterAutospacing="0" w:line="400" w:lineRule="exact"/>
              <w:ind w:left="0" w:right="0"/>
              <w:jc w:val="both"/>
              <w:rPr>
                <w:rFonts w:hint="eastAsia" w:ascii="宋体" w:eastAsia="宋体" w:cs="宋体"/>
                <w:color w:val="auto"/>
                <w:sz w:val="21"/>
                <w:szCs w:val="21"/>
                <w:highlight w:val="none"/>
              </w:rPr>
            </w:pPr>
            <w:r>
              <w:rPr>
                <w:rFonts w:hint="eastAsia" w:ascii="宋体" w:eastAsia="宋体" w:cs="宋体"/>
                <w:color w:val="auto"/>
                <w:sz w:val="21"/>
                <w:szCs w:val="21"/>
                <w:highlight w:val="none"/>
              </w:rPr>
              <w:t>提交地点：详见竞争性磋商文件第一章《竞争性磋商公告》。</w:t>
            </w:r>
          </w:p>
        </w:tc>
      </w:tr>
      <w:tr w14:paraId="1D81D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8" w:hRule="atLeast"/>
          <w:jc w:val="center"/>
        </w:trPr>
        <w:tc>
          <w:tcPr>
            <w:tcW w:w="717" w:type="dxa"/>
            <w:noWrap w:val="0"/>
            <w:vAlign w:val="center"/>
          </w:tcPr>
          <w:p w14:paraId="23C1AC91">
            <w:pPr>
              <w:keepNext w:val="0"/>
              <w:keepLines w:val="0"/>
              <w:suppressLineNumbers w:val="0"/>
              <w:spacing w:before="40" w:beforeAutospacing="0" w:after="40" w:afterAutospacing="0" w:line="360" w:lineRule="exact"/>
              <w:ind w:left="0" w:right="0"/>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22.</w:t>
            </w:r>
            <w:r>
              <w:rPr>
                <w:rFonts w:hint="eastAsia" w:ascii="宋体" w:hAnsi="宋体" w:eastAsia="宋体" w:cs="宋体"/>
                <w:color w:val="auto"/>
                <w:szCs w:val="21"/>
                <w:highlight w:val="none"/>
                <w:lang w:val="en-US" w:eastAsia="zh-CN"/>
              </w:rPr>
              <w:t>2</w:t>
            </w:r>
          </w:p>
        </w:tc>
        <w:tc>
          <w:tcPr>
            <w:tcW w:w="2073" w:type="dxa"/>
            <w:noWrap w:val="0"/>
            <w:vAlign w:val="center"/>
          </w:tcPr>
          <w:p w14:paraId="3FAF805F">
            <w:pPr>
              <w:pStyle w:val="33"/>
              <w:keepNext w:val="0"/>
              <w:keepLines w:val="0"/>
              <w:suppressLineNumbers w:val="0"/>
              <w:spacing w:before="40" w:after="40" w:line="360" w:lineRule="exact"/>
              <w:ind w:left="120" w:leftChars="57" w:right="0"/>
              <w:jc w:val="center"/>
              <w:rPr>
                <w:rFonts w:hint="eastAsia" w:ascii="宋体" w:eastAsia="宋体" w:cs="宋体"/>
                <w:color w:val="auto"/>
                <w:sz w:val="21"/>
                <w:szCs w:val="21"/>
                <w:highlight w:val="none"/>
              </w:rPr>
            </w:pPr>
            <w:r>
              <w:rPr>
                <w:rFonts w:hint="eastAsia" w:ascii="宋体" w:eastAsia="宋体" w:cs="宋体"/>
                <w:color w:val="auto"/>
                <w:sz w:val="21"/>
                <w:szCs w:val="21"/>
                <w:highlight w:val="none"/>
              </w:rPr>
              <w:t>响应文件是否退还</w:t>
            </w:r>
          </w:p>
        </w:tc>
        <w:tc>
          <w:tcPr>
            <w:tcW w:w="6372" w:type="dxa"/>
            <w:noWrap w:val="0"/>
            <w:vAlign w:val="center"/>
          </w:tcPr>
          <w:p w14:paraId="39E5642A">
            <w:pPr>
              <w:pStyle w:val="33"/>
              <w:keepNext w:val="0"/>
              <w:keepLines w:val="0"/>
              <w:suppressLineNumbers w:val="0"/>
              <w:spacing w:before="0" w:beforeAutospacing="0" w:after="0" w:afterAutospacing="0" w:line="400" w:lineRule="exact"/>
              <w:ind w:left="0" w:right="0"/>
              <w:jc w:val="both"/>
              <w:rPr>
                <w:rFonts w:hint="eastAsia" w:ascii="宋体" w:eastAsia="宋体" w:cs="宋体"/>
                <w:color w:val="auto"/>
                <w:sz w:val="21"/>
                <w:szCs w:val="21"/>
                <w:highlight w:val="none"/>
              </w:rPr>
            </w:pPr>
            <w:r>
              <w:rPr>
                <w:rFonts w:hint="eastAsia" w:ascii="宋体" w:eastAsia="宋体" w:cs="宋体"/>
                <w:color w:val="auto"/>
                <w:sz w:val="21"/>
                <w:szCs w:val="21"/>
                <w:highlight w:val="none"/>
              </w:rPr>
              <w:t>否</w:t>
            </w:r>
          </w:p>
        </w:tc>
      </w:tr>
      <w:tr w14:paraId="49087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8" w:hRule="atLeast"/>
          <w:jc w:val="center"/>
        </w:trPr>
        <w:tc>
          <w:tcPr>
            <w:tcW w:w="717" w:type="dxa"/>
            <w:noWrap w:val="0"/>
            <w:vAlign w:val="center"/>
          </w:tcPr>
          <w:p w14:paraId="68AF9556">
            <w:pPr>
              <w:keepNext w:val="0"/>
              <w:keepLines w:val="0"/>
              <w:suppressLineNumbers w:val="0"/>
              <w:spacing w:before="40" w:beforeAutospacing="0" w:after="40" w:afterAutospacing="0" w:line="360" w:lineRule="exact"/>
              <w:ind w:left="0" w:right="0"/>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22.3</w:t>
            </w:r>
          </w:p>
        </w:tc>
        <w:tc>
          <w:tcPr>
            <w:tcW w:w="2073" w:type="dxa"/>
            <w:noWrap w:val="0"/>
            <w:vAlign w:val="center"/>
          </w:tcPr>
          <w:p w14:paraId="404117E0">
            <w:pPr>
              <w:pStyle w:val="33"/>
              <w:keepNext w:val="0"/>
              <w:keepLines w:val="0"/>
              <w:suppressLineNumbers w:val="0"/>
              <w:spacing w:before="40" w:after="40" w:line="360" w:lineRule="exact"/>
              <w:ind w:left="120" w:leftChars="57" w:right="0"/>
              <w:jc w:val="center"/>
              <w:rPr>
                <w:rFonts w:hint="eastAsia" w:ascii="宋体" w:eastAsia="宋体" w:cs="宋体"/>
                <w:color w:val="auto"/>
                <w:sz w:val="21"/>
                <w:szCs w:val="21"/>
                <w:highlight w:val="none"/>
              </w:rPr>
            </w:pPr>
            <w:r>
              <w:rPr>
                <w:rFonts w:hint="eastAsia" w:ascii="宋体" w:eastAsia="宋体" w:cs="宋体"/>
                <w:color w:val="auto"/>
                <w:sz w:val="21"/>
                <w:szCs w:val="21"/>
                <w:highlight w:val="none"/>
              </w:rPr>
              <w:t>响应文件</w:t>
            </w:r>
            <w:r>
              <w:rPr>
                <w:rFonts w:hint="eastAsia" w:ascii="宋体" w:eastAsia="宋体" w:cs="宋体"/>
                <w:color w:val="auto"/>
                <w:sz w:val="21"/>
                <w:szCs w:val="21"/>
                <w:highlight w:val="none"/>
                <w:lang w:eastAsia="zh-CN"/>
              </w:rPr>
              <w:t>的</w:t>
            </w:r>
            <w:r>
              <w:rPr>
                <w:rFonts w:hint="eastAsia" w:ascii="宋体" w:eastAsia="宋体" w:cs="宋体"/>
                <w:color w:val="auto"/>
                <w:sz w:val="21"/>
                <w:szCs w:val="21"/>
                <w:highlight w:val="none"/>
              </w:rPr>
              <w:t>提交</w:t>
            </w:r>
          </w:p>
        </w:tc>
        <w:tc>
          <w:tcPr>
            <w:tcW w:w="6372" w:type="dxa"/>
            <w:noWrap w:val="0"/>
            <w:vAlign w:val="center"/>
          </w:tcPr>
          <w:p w14:paraId="640B44E4">
            <w:pPr>
              <w:pStyle w:val="33"/>
              <w:keepNext w:val="0"/>
              <w:keepLines w:val="0"/>
              <w:suppressLineNumbers w:val="0"/>
              <w:spacing w:before="0" w:beforeAutospacing="0" w:after="0" w:afterAutospacing="0" w:line="400" w:lineRule="exact"/>
              <w:ind w:left="0" w:right="0"/>
              <w:jc w:val="both"/>
              <w:rPr>
                <w:rFonts w:hint="eastAsia" w:ascii="宋体" w:eastAsia="宋体" w:cs="宋体"/>
                <w:color w:val="auto"/>
                <w:sz w:val="21"/>
                <w:szCs w:val="21"/>
                <w:highlight w:val="none"/>
              </w:rPr>
            </w:pPr>
            <w:r>
              <w:rPr>
                <w:rFonts w:hint="eastAsia" w:ascii="宋体" w:eastAsia="宋体" w:cs="宋体"/>
                <w:color w:val="auto"/>
                <w:sz w:val="21"/>
                <w:szCs w:val="21"/>
                <w:highlight w:val="none"/>
              </w:rPr>
              <w:t>供应商应按照本项目采购文件和</w:t>
            </w:r>
            <w:r>
              <w:rPr>
                <w:rFonts w:hint="eastAsia" w:ascii="宋体" w:cs="宋体"/>
                <w:color w:val="auto"/>
                <w:sz w:val="21"/>
                <w:szCs w:val="21"/>
                <w:highlight w:val="none"/>
                <w:lang w:eastAsia="zh-CN"/>
              </w:rPr>
              <w:t>“政采云”</w:t>
            </w:r>
            <w:r>
              <w:rPr>
                <w:rFonts w:hint="eastAsia" w:ascii="宋体" w:eastAsia="宋体" w:cs="宋体"/>
                <w:color w:val="auto"/>
                <w:sz w:val="21"/>
                <w:szCs w:val="21"/>
                <w:highlight w:val="none"/>
              </w:rPr>
              <w:t>平台的要求编制、加密后在响应文件提交截止时间前上传至</w:t>
            </w:r>
            <w:r>
              <w:rPr>
                <w:rFonts w:hint="eastAsia" w:ascii="宋体" w:cs="宋体"/>
                <w:color w:val="auto"/>
                <w:sz w:val="21"/>
                <w:szCs w:val="21"/>
                <w:highlight w:val="none"/>
                <w:lang w:eastAsia="zh-CN"/>
              </w:rPr>
              <w:t>“政采云”</w:t>
            </w:r>
            <w:r>
              <w:rPr>
                <w:rFonts w:hint="eastAsia" w:ascii="宋体" w:eastAsia="宋体" w:cs="宋体"/>
                <w:color w:val="auto"/>
                <w:sz w:val="21"/>
                <w:szCs w:val="21"/>
                <w:highlight w:val="none"/>
              </w:rPr>
              <w:t>平台，响应文件提交截止时间前未完成响应文件上传的，视为撤回响应文件。供应商在</w:t>
            </w:r>
            <w:r>
              <w:rPr>
                <w:rFonts w:hint="eastAsia" w:ascii="宋体" w:cs="宋体"/>
                <w:color w:val="auto"/>
                <w:sz w:val="21"/>
                <w:szCs w:val="21"/>
                <w:highlight w:val="none"/>
                <w:lang w:eastAsia="zh-CN"/>
              </w:rPr>
              <w:t>“政采云”</w:t>
            </w:r>
            <w:r>
              <w:rPr>
                <w:rFonts w:hint="eastAsia" w:ascii="宋体" w:eastAsia="宋体" w:cs="宋体"/>
                <w:color w:val="auto"/>
                <w:sz w:val="21"/>
                <w:szCs w:val="21"/>
                <w:highlight w:val="none"/>
              </w:rPr>
              <w:t>平台提交电子版响应文件时，请填写参加远程采购活动经办人联系方式。</w:t>
            </w:r>
          </w:p>
        </w:tc>
      </w:tr>
      <w:tr w14:paraId="4221D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8" w:hRule="atLeast"/>
          <w:jc w:val="center"/>
        </w:trPr>
        <w:tc>
          <w:tcPr>
            <w:tcW w:w="717" w:type="dxa"/>
            <w:noWrap w:val="0"/>
            <w:vAlign w:val="center"/>
          </w:tcPr>
          <w:p w14:paraId="3DA0E198">
            <w:pPr>
              <w:keepNext w:val="0"/>
              <w:keepLines w:val="0"/>
              <w:suppressLineNumbers w:val="0"/>
              <w:spacing w:before="40" w:beforeAutospacing="0" w:after="40" w:afterAutospacing="0" w:line="360" w:lineRule="exact"/>
              <w:ind w:left="0" w:right="0"/>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23.2</w:t>
            </w:r>
          </w:p>
        </w:tc>
        <w:tc>
          <w:tcPr>
            <w:tcW w:w="2073" w:type="dxa"/>
            <w:noWrap w:val="0"/>
            <w:vAlign w:val="center"/>
          </w:tcPr>
          <w:p w14:paraId="26C1C61A">
            <w:pPr>
              <w:pStyle w:val="33"/>
              <w:keepNext w:val="0"/>
              <w:keepLines w:val="0"/>
              <w:suppressLineNumbers w:val="0"/>
              <w:spacing w:before="40" w:after="40" w:line="360" w:lineRule="exact"/>
              <w:ind w:left="120" w:leftChars="57" w:right="0"/>
              <w:jc w:val="center"/>
              <w:rPr>
                <w:rFonts w:hint="eastAsia" w:ascii="宋体" w:eastAsia="宋体" w:cs="宋体"/>
                <w:color w:val="auto"/>
                <w:sz w:val="21"/>
                <w:szCs w:val="21"/>
                <w:highlight w:val="none"/>
              </w:rPr>
            </w:pPr>
            <w:r>
              <w:rPr>
                <w:rFonts w:hint="eastAsia" w:ascii="宋体" w:eastAsia="宋体" w:cs="宋体"/>
                <w:color w:val="auto"/>
                <w:sz w:val="21"/>
                <w:szCs w:val="21"/>
                <w:highlight w:val="none"/>
              </w:rPr>
              <w:t>响应文件的补充、修改或者撤回</w:t>
            </w:r>
          </w:p>
        </w:tc>
        <w:tc>
          <w:tcPr>
            <w:tcW w:w="6372" w:type="dxa"/>
            <w:noWrap w:val="0"/>
            <w:vAlign w:val="center"/>
          </w:tcPr>
          <w:p w14:paraId="46886093">
            <w:pPr>
              <w:pStyle w:val="33"/>
              <w:keepNext w:val="0"/>
              <w:keepLines w:val="0"/>
              <w:suppressLineNumbers w:val="0"/>
              <w:spacing w:before="0" w:beforeAutospacing="0" w:after="0" w:afterAutospacing="0" w:line="400" w:lineRule="exact"/>
              <w:ind w:left="0" w:right="0"/>
              <w:jc w:val="both"/>
              <w:rPr>
                <w:rFonts w:hint="eastAsia" w:ascii="宋体" w:eastAsia="宋体" w:cs="宋体"/>
                <w:color w:val="auto"/>
                <w:sz w:val="21"/>
                <w:szCs w:val="21"/>
                <w:highlight w:val="none"/>
              </w:rPr>
            </w:pPr>
            <w:r>
              <w:rPr>
                <w:rFonts w:hint="eastAsia" w:ascii="宋体" w:eastAsia="宋体" w:cs="宋体"/>
                <w:color w:val="auto"/>
                <w:sz w:val="21"/>
                <w:szCs w:val="21"/>
                <w:highlight w:val="none"/>
              </w:rPr>
              <w:t>供应商递交修改或撤回的文件，应按照本项目采购文件和</w:t>
            </w:r>
            <w:r>
              <w:rPr>
                <w:rFonts w:hint="eastAsia" w:ascii="宋体" w:cs="宋体"/>
                <w:color w:val="auto"/>
                <w:sz w:val="21"/>
                <w:szCs w:val="21"/>
                <w:highlight w:val="none"/>
                <w:lang w:eastAsia="zh-CN"/>
              </w:rPr>
              <w:t>“政采云”</w:t>
            </w:r>
            <w:r>
              <w:rPr>
                <w:rFonts w:hint="eastAsia" w:ascii="宋体" w:eastAsia="宋体" w:cs="宋体"/>
                <w:color w:val="auto"/>
                <w:sz w:val="21"/>
                <w:szCs w:val="21"/>
                <w:highlight w:val="none"/>
              </w:rPr>
              <w:t>平台的要求编制、加密后在响应文件提交截止时间前重新上传至</w:t>
            </w:r>
            <w:r>
              <w:rPr>
                <w:rFonts w:hint="eastAsia" w:ascii="宋体" w:cs="宋体"/>
                <w:color w:val="auto"/>
                <w:sz w:val="21"/>
                <w:szCs w:val="21"/>
                <w:highlight w:val="none"/>
                <w:lang w:eastAsia="zh-CN"/>
              </w:rPr>
              <w:t>“政采云”</w:t>
            </w:r>
            <w:r>
              <w:rPr>
                <w:rFonts w:hint="eastAsia" w:ascii="宋体" w:eastAsia="宋体" w:cs="宋体"/>
                <w:color w:val="auto"/>
                <w:sz w:val="21"/>
                <w:szCs w:val="21"/>
                <w:highlight w:val="none"/>
              </w:rPr>
              <w:t>平台，响应文件提交截止时间前未完成响应文件上传的，视为撤回响应文件。</w:t>
            </w:r>
          </w:p>
        </w:tc>
      </w:tr>
      <w:tr w14:paraId="7124B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4" w:hRule="atLeast"/>
          <w:jc w:val="center"/>
        </w:trPr>
        <w:tc>
          <w:tcPr>
            <w:tcW w:w="717" w:type="dxa"/>
            <w:noWrap w:val="0"/>
            <w:vAlign w:val="center"/>
          </w:tcPr>
          <w:p w14:paraId="7392DFEB">
            <w:pPr>
              <w:keepNext w:val="0"/>
              <w:keepLines w:val="0"/>
              <w:suppressLineNumbers w:val="0"/>
              <w:spacing w:before="40" w:beforeAutospacing="0" w:after="40" w:afterAutospacing="0" w:line="36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24.2</w:t>
            </w:r>
          </w:p>
        </w:tc>
        <w:tc>
          <w:tcPr>
            <w:tcW w:w="2073" w:type="dxa"/>
            <w:noWrap w:val="0"/>
            <w:vAlign w:val="center"/>
          </w:tcPr>
          <w:p w14:paraId="0E5E95DA">
            <w:pPr>
              <w:pStyle w:val="33"/>
              <w:keepNext w:val="0"/>
              <w:keepLines w:val="0"/>
              <w:suppressLineNumbers w:val="0"/>
              <w:spacing w:before="40" w:after="40" w:line="360" w:lineRule="exact"/>
              <w:ind w:left="120" w:leftChars="57" w:right="0"/>
              <w:jc w:val="center"/>
              <w:rPr>
                <w:rFonts w:hint="eastAsia" w:ascii="宋体" w:eastAsia="宋体" w:cs="宋体"/>
                <w:color w:val="auto"/>
                <w:sz w:val="21"/>
                <w:szCs w:val="21"/>
                <w:highlight w:val="none"/>
              </w:rPr>
            </w:pPr>
            <w:r>
              <w:rPr>
                <w:rFonts w:hint="eastAsia" w:ascii="宋体" w:eastAsia="宋体" w:cs="宋体"/>
                <w:color w:val="auto"/>
                <w:sz w:val="21"/>
                <w:szCs w:val="21"/>
                <w:highlight w:val="none"/>
              </w:rPr>
              <w:t>磋商小组</w:t>
            </w:r>
          </w:p>
        </w:tc>
        <w:tc>
          <w:tcPr>
            <w:tcW w:w="6372" w:type="dxa"/>
            <w:noWrap w:val="0"/>
            <w:vAlign w:val="center"/>
          </w:tcPr>
          <w:p w14:paraId="03A5E8BA">
            <w:pPr>
              <w:pStyle w:val="33"/>
              <w:keepNext w:val="0"/>
              <w:keepLines w:val="0"/>
              <w:suppressLineNumbers w:val="0"/>
              <w:spacing w:before="0" w:beforeAutospacing="0" w:after="0" w:afterAutospacing="0" w:line="400" w:lineRule="exact"/>
              <w:ind w:left="0" w:right="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磋商小组由采购人依法组建，磋商由磋商小组负责。磋商小组由采购人代表和评审专家共3人以上单数组成，其中评审专家人数不得少于磋商小组成员总数的2/3。</w:t>
            </w:r>
          </w:p>
        </w:tc>
      </w:tr>
      <w:tr w14:paraId="4A064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0" w:hRule="atLeast"/>
          <w:jc w:val="center"/>
        </w:trPr>
        <w:tc>
          <w:tcPr>
            <w:tcW w:w="717" w:type="dxa"/>
            <w:noWrap w:val="0"/>
            <w:vAlign w:val="center"/>
          </w:tcPr>
          <w:p w14:paraId="5654FFA3">
            <w:pPr>
              <w:keepNext w:val="0"/>
              <w:keepLines w:val="0"/>
              <w:suppressLineNumbers w:val="0"/>
              <w:spacing w:before="40" w:beforeAutospacing="0" w:after="40" w:afterAutospacing="0" w:line="36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24.5</w:t>
            </w:r>
          </w:p>
        </w:tc>
        <w:tc>
          <w:tcPr>
            <w:tcW w:w="2073" w:type="dxa"/>
            <w:noWrap w:val="0"/>
            <w:vAlign w:val="center"/>
          </w:tcPr>
          <w:p w14:paraId="35BD8617">
            <w:pPr>
              <w:pStyle w:val="33"/>
              <w:keepNext w:val="0"/>
              <w:keepLines w:val="0"/>
              <w:suppressLineNumbers w:val="0"/>
              <w:spacing w:before="40" w:after="40" w:line="360" w:lineRule="exact"/>
              <w:ind w:left="120" w:leftChars="57"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评审方法</w:t>
            </w:r>
          </w:p>
        </w:tc>
        <w:tc>
          <w:tcPr>
            <w:tcW w:w="6372" w:type="dxa"/>
            <w:noWrap w:val="0"/>
            <w:vAlign w:val="center"/>
          </w:tcPr>
          <w:p w14:paraId="054B945D">
            <w:pPr>
              <w:pStyle w:val="33"/>
              <w:keepNext w:val="0"/>
              <w:keepLines w:val="0"/>
              <w:suppressLineNumbers w:val="0"/>
              <w:spacing w:before="0" w:beforeAutospacing="0" w:after="0" w:afterAutospacing="0" w:line="400" w:lineRule="exact"/>
              <w:ind w:left="0" w:right="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综合评分法</w:t>
            </w:r>
          </w:p>
        </w:tc>
      </w:tr>
      <w:tr w14:paraId="38A96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1" w:hRule="atLeast"/>
          <w:jc w:val="center"/>
        </w:trPr>
        <w:tc>
          <w:tcPr>
            <w:tcW w:w="717" w:type="dxa"/>
            <w:noWrap w:val="0"/>
            <w:vAlign w:val="center"/>
          </w:tcPr>
          <w:p w14:paraId="43F583DD">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28.1</w:t>
            </w:r>
          </w:p>
        </w:tc>
        <w:tc>
          <w:tcPr>
            <w:tcW w:w="2073" w:type="dxa"/>
            <w:noWrap w:val="0"/>
            <w:vAlign w:val="center"/>
          </w:tcPr>
          <w:p w14:paraId="479E802A">
            <w:pPr>
              <w:pStyle w:val="33"/>
              <w:keepNext w:val="0"/>
              <w:keepLines w:val="0"/>
              <w:suppressLineNumbers w:val="0"/>
              <w:spacing w:before="40" w:after="40" w:line="360" w:lineRule="exact"/>
              <w:ind w:left="120" w:leftChars="57"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w:t>
            </w:r>
          </w:p>
        </w:tc>
        <w:tc>
          <w:tcPr>
            <w:tcW w:w="6372" w:type="dxa"/>
            <w:noWrap w:val="0"/>
            <w:vAlign w:val="center"/>
          </w:tcPr>
          <w:p w14:paraId="06632D30">
            <w:pPr>
              <w:pStyle w:val="33"/>
              <w:keepNext w:val="0"/>
              <w:keepLines w:val="0"/>
              <w:suppressLineNumbers w:val="0"/>
              <w:spacing w:before="0" w:beforeAutospacing="0" w:after="0" w:afterAutospacing="0" w:line="400" w:lineRule="exact"/>
              <w:ind w:left="0" w:right="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cs="宋体"/>
                <w:color w:val="auto"/>
                <w:sz w:val="21"/>
                <w:szCs w:val="21"/>
                <w:highlight w:val="none"/>
                <w:lang w:val="en-US" w:eastAsia="zh-CN"/>
              </w:rPr>
              <w:t>合同签订后10日内向采购人交纳履约保证金，</w:t>
            </w:r>
            <w:r>
              <w:rPr>
                <w:rFonts w:hint="eastAsia" w:ascii="宋体" w:hAnsi="宋体" w:eastAsia="宋体" w:cs="宋体"/>
                <w:color w:val="auto"/>
                <w:sz w:val="21"/>
                <w:szCs w:val="21"/>
                <w:highlight w:val="none"/>
              </w:rPr>
              <w:t>履约保证金金额为合同金额的5%，以支票、汇票、本票或者金融机构、担保机构出具的保函、保险等非现金形式提交。</w:t>
            </w:r>
          </w:p>
          <w:p w14:paraId="2E268AB0">
            <w:pPr>
              <w:pStyle w:val="33"/>
              <w:keepNext w:val="0"/>
              <w:keepLines w:val="0"/>
              <w:suppressLineNumbers w:val="0"/>
              <w:spacing w:before="0" w:beforeAutospacing="0" w:after="0" w:afterAutospacing="0" w:line="400" w:lineRule="exact"/>
              <w:ind w:left="0" w:right="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2.履约保证金有效期：中标人向采购人提交履约保证金之日起，至合同履行完毕后失效。</w:t>
            </w:r>
          </w:p>
          <w:p w14:paraId="67B910FB">
            <w:pPr>
              <w:pStyle w:val="33"/>
              <w:keepNext w:val="0"/>
              <w:keepLines w:val="0"/>
              <w:suppressLineNumbers w:val="0"/>
              <w:spacing w:before="0" w:beforeAutospacing="0" w:after="0" w:afterAutospacing="0" w:line="400" w:lineRule="exact"/>
              <w:ind w:left="0" w:right="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3.履约保证金不予退还的情形：在履约担保有效期内，如</w:t>
            </w:r>
            <w:r>
              <w:rPr>
                <w:rFonts w:hint="eastAsia" w:ascii="宋体" w:cs="宋体"/>
                <w:color w:val="auto"/>
                <w:sz w:val="21"/>
                <w:szCs w:val="21"/>
                <w:highlight w:val="none"/>
                <w:lang w:eastAsia="zh-CN"/>
              </w:rPr>
              <w:t>供应商</w:t>
            </w:r>
            <w:r>
              <w:rPr>
                <w:rFonts w:hint="eastAsia" w:ascii="宋体" w:hAnsi="宋体" w:eastAsia="宋体" w:cs="宋体"/>
                <w:color w:val="auto"/>
                <w:sz w:val="21"/>
                <w:szCs w:val="21"/>
                <w:highlight w:val="none"/>
              </w:rPr>
              <w:t>不履行或不按合同履行约定的义务，履约保证金不予退还。</w:t>
            </w:r>
          </w:p>
        </w:tc>
      </w:tr>
      <w:tr w14:paraId="61CF5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7" w:hRule="atLeast"/>
          <w:jc w:val="center"/>
        </w:trPr>
        <w:tc>
          <w:tcPr>
            <w:tcW w:w="717" w:type="dxa"/>
            <w:noWrap w:val="0"/>
            <w:vAlign w:val="center"/>
          </w:tcPr>
          <w:p w14:paraId="16949291">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29.1</w:t>
            </w:r>
          </w:p>
        </w:tc>
        <w:tc>
          <w:tcPr>
            <w:tcW w:w="2073" w:type="dxa"/>
            <w:noWrap w:val="0"/>
            <w:vAlign w:val="center"/>
          </w:tcPr>
          <w:p w14:paraId="1084D01F">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采购代理服务费</w:t>
            </w:r>
          </w:p>
        </w:tc>
        <w:tc>
          <w:tcPr>
            <w:tcW w:w="6372" w:type="dxa"/>
            <w:noWrap w:val="0"/>
            <w:vAlign w:val="center"/>
          </w:tcPr>
          <w:p w14:paraId="60688B33">
            <w:pPr>
              <w:pStyle w:val="33"/>
              <w:keepNext w:val="0"/>
              <w:keepLines w:val="0"/>
              <w:suppressLineNumbers w:val="0"/>
              <w:spacing w:before="0" w:beforeAutospacing="0" w:after="0" w:afterAutospacing="0" w:line="400" w:lineRule="exact"/>
              <w:ind w:left="0" w:right="0"/>
              <w:jc w:val="both"/>
              <w:rPr>
                <w:rFonts w:hint="eastAsia" w:ascii="宋体" w:eastAsia="宋体" w:cs="宋体"/>
                <w:color w:val="auto"/>
                <w:sz w:val="21"/>
                <w:szCs w:val="21"/>
                <w:highlight w:val="none"/>
                <w:lang w:eastAsia="zh-CN"/>
              </w:rPr>
            </w:pPr>
            <w:r>
              <w:rPr>
                <w:rFonts w:hint="eastAsia" w:ascii="宋体" w:cs="宋体"/>
                <w:color w:val="auto"/>
                <w:sz w:val="21"/>
                <w:szCs w:val="21"/>
                <w:highlight w:val="none"/>
                <w:lang w:eastAsia="zh-CN"/>
              </w:rPr>
              <w:t>采购代理服务费参照国家计委[2002]1980号文件规定的服务类项目收费标准下浮20%向成交供应商收取</w:t>
            </w:r>
            <w:r>
              <w:rPr>
                <w:rFonts w:hint="eastAsia" w:ascii="宋体" w:eastAsia="宋体" w:cs="宋体"/>
                <w:color w:val="auto"/>
                <w:sz w:val="21"/>
                <w:szCs w:val="21"/>
                <w:highlight w:val="none"/>
                <w:lang w:eastAsia="zh-CN"/>
              </w:rPr>
              <w:t>（计算基准为成交金额）</w:t>
            </w:r>
          </w:p>
        </w:tc>
      </w:tr>
      <w:tr w14:paraId="21B94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7" w:hRule="atLeast"/>
          <w:jc w:val="center"/>
        </w:trPr>
        <w:tc>
          <w:tcPr>
            <w:tcW w:w="717" w:type="dxa"/>
            <w:noWrap w:val="0"/>
            <w:vAlign w:val="center"/>
          </w:tcPr>
          <w:p w14:paraId="0088EBA7">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31.1.8</w:t>
            </w:r>
          </w:p>
        </w:tc>
        <w:tc>
          <w:tcPr>
            <w:tcW w:w="8445" w:type="dxa"/>
            <w:gridSpan w:val="2"/>
            <w:noWrap w:val="0"/>
            <w:vAlign w:val="center"/>
          </w:tcPr>
          <w:p w14:paraId="02F3FBE9">
            <w:pPr>
              <w:pStyle w:val="33"/>
              <w:keepNext w:val="0"/>
              <w:keepLines w:val="0"/>
              <w:suppressLineNumbers w:val="0"/>
              <w:spacing w:before="0" w:beforeAutospacing="0" w:after="0" w:afterAutospacing="0" w:line="400" w:lineRule="exact"/>
              <w:ind w:left="0" w:right="0"/>
              <w:jc w:val="both"/>
              <w:rPr>
                <w:rFonts w:hint="default"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本项目所属行业为软件和信息技术服务业，符合条件的供应商应根据《关于印发中小企业划型标准规定的通知》中软件和信息技术服务业划型标准进行划型；</w:t>
            </w:r>
          </w:p>
        </w:tc>
      </w:tr>
      <w:tr w14:paraId="5A4CF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6" w:hRule="atLeast"/>
          <w:jc w:val="center"/>
        </w:trPr>
        <w:tc>
          <w:tcPr>
            <w:tcW w:w="717" w:type="dxa"/>
            <w:noWrap w:val="0"/>
            <w:vAlign w:val="center"/>
          </w:tcPr>
          <w:p w14:paraId="0AE59310">
            <w:pPr>
              <w:keepNext w:val="0"/>
              <w:keepLines w:val="0"/>
              <w:suppressLineNumbers w:val="0"/>
              <w:spacing w:before="40" w:beforeAutospacing="0" w:after="40" w:afterAutospacing="0" w:line="360" w:lineRule="exact"/>
              <w:ind w:left="0" w:right="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31.</w:t>
            </w:r>
            <w:r>
              <w:rPr>
                <w:rFonts w:hint="eastAsia" w:ascii="宋体" w:hAnsi="宋体" w:eastAsia="宋体" w:cs="宋体"/>
                <w:color w:val="auto"/>
                <w:szCs w:val="21"/>
                <w:highlight w:val="none"/>
                <w:lang w:val="en-US" w:eastAsia="zh-CN"/>
              </w:rPr>
              <w:t>4</w:t>
            </w:r>
          </w:p>
        </w:tc>
        <w:tc>
          <w:tcPr>
            <w:tcW w:w="2073" w:type="dxa"/>
            <w:noWrap w:val="0"/>
            <w:vAlign w:val="center"/>
          </w:tcPr>
          <w:p w14:paraId="01581620">
            <w:pPr>
              <w:pStyle w:val="33"/>
              <w:keepNext w:val="0"/>
              <w:keepLines w:val="0"/>
              <w:suppressLineNumbers w:val="0"/>
              <w:spacing w:before="0" w:beforeAutospacing="0" w:after="0" w:afterAutospacing="0" w:line="400" w:lineRule="exact"/>
              <w:ind w:left="0" w:right="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其他注意事项</w:t>
            </w:r>
          </w:p>
        </w:tc>
        <w:tc>
          <w:tcPr>
            <w:tcW w:w="6372" w:type="dxa"/>
            <w:noWrap w:val="0"/>
            <w:vAlign w:val="center"/>
          </w:tcPr>
          <w:p w14:paraId="71996800">
            <w:pPr>
              <w:pStyle w:val="33"/>
              <w:keepNext w:val="0"/>
              <w:keepLines w:val="0"/>
              <w:suppressLineNumbers w:val="0"/>
              <w:spacing w:before="0" w:beforeAutospacing="0" w:after="0" w:afterAutospacing="0" w:line="400" w:lineRule="exact"/>
              <w:ind w:left="0" w:right="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以下情况视为供应商同意撤回已上传系统的响应文件或其响应文件无效：</w:t>
            </w:r>
          </w:p>
          <w:p w14:paraId="3882084B">
            <w:pPr>
              <w:pStyle w:val="33"/>
              <w:keepNext w:val="0"/>
              <w:keepLines w:val="0"/>
              <w:suppressLineNumbers w:val="0"/>
              <w:spacing w:before="0" w:beforeAutospacing="0" w:after="0" w:afterAutospacing="0" w:line="400" w:lineRule="exact"/>
              <w:ind w:left="0" w:right="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（1）政采云电子平台显示</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lang w:eastAsia="zh-CN"/>
              </w:rPr>
              <w:t>未上传投标文件；</w:t>
            </w:r>
          </w:p>
          <w:p w14:paraId="17D2C5EA">
            <w:pPr>
              <w:pStyle w:val="33"/>
              <w:keepNext w:val="0"/>
              <w:keepLines w:val="0"/>
              <w:suppressLineNumbers w:val="0"/>
              <w:spacing w:before="0" w:beforeAutospacing="0" w:after="0" w:afterAutospacing="0" w:line="400" w:lineRule="exact"/>
              <w:ind w:left="0" w:right="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（2）因供应商原因上传的</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lang w:eastAsia="zh-CN"/>
              </w:rPr>
              <w:t>文件在开启文件时无法解密。</w:t>
            </w:r>
          </w:p>
          <w:p w14:paraId="4D41502D">
            <w:pPr>
              <w:pStyle w:val="33"/>
              <w:keepNext w:val="0"/>
              <w:keepLines w:val="0"/>
              <w:suppressLineNumbers w:val="0"/>
              <w:spacing w:before="0" w:beforeAutospacing="0" w:after="0" w:afterAutospacing="0" w:line="400" w:lineRule="exact"/>
              <w:ind w:left="0" w:right="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）因供应商自身原因导致未在规定时间内完成</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lang w:eastAsia="zh-CN"/>
              </w:rPr>
              <w:t>文件解密。</w:t>
            </w:r>
          </w:p>
        </w:tc>
      </w:tr>
    </w:tbl>
    <w:p w14:paraId="7968408D">
      <w:pPr>
        <w:tabs>
          <w:tab w:val="left" w:pos="3150"/>
          <w:tab w:val="center" w:pos="4734"/>
        </w:tabs>
        <w:spacing w:line="500" w:lineRule="exact"/>
        <w:ind w:firstLine="321" w:firstLineChars="100"/>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r>
      <w:r>
        <w:rPr>
          <w:rFonts w:hint="eastAsia" w:ascii="宋体" w:hAnsi="宋体" w:cs="宋体"/>
          <w:b/>
          <w:color w:val="auto"/>
          <w:sz w:val="24"/>
          <w:highlight w:val="none"/>
        </w:rPr>
        <w:t>一、总则</w:t>
      </w:r>
    </w:p>
    <w:p w14:paraId="03A219B1">
      <w:pPr>
        <w:tabs>
          <w:tab w:val="left" w:pos="3150"/>
          <w:tab w:val="center" w:pos="4734"/>
        </w:tabs>
        <w:spacing w:line="500" w:lineRule="exact"/>
        <w:jc w:val="left"/>
        <w:rPr>
          <w:rFonts w:hint="eastAsia" w:ascii="宋体" w:hAnsi="宋体" w:cs="宋体"/>
          <w:b/>
          <w:color w:val="auto"/>
          <w:sz w:val="24"/>
          <w:highlight w:val="none"/>
        </w:rPr>
      </w:pPr>
      <w:r>
        <w:rPr>
          <w:rFonts w:hint="eastAsia" w:ascii="宋体" w:hAnsi="宋体" w:cs="宋体"/>
          <w:b/>
          <w:color w:val="auto"/>
          <w:sz w:val="24"/>
          <w:highlight w:val="none"/>
        </w:rPr>
        <w:t>1.项目概况</w:t>
      </w:r>
    </w:p>
    <w:p w14:paraId="267C8147">
      <w:pPr>
        <w:tabs>
          <w:tab w:val="left" w:pos="105"/>
          <w:tab w:val="left" w:pos="735"/>
          <w:tab w:val="left" w:pos="945"/>
          <w:tab w:val="left" w:pos="3360"/>
        </w:tabs>
        <w:adjustRightInd w:val="0"/>
        <w:snapToGrid w:val="0"/>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根据《中华人民共和国政府采购法》、《中华人民共和国政府采购法实施条例》、《政府采购竞争性磋商采购方式管理暂行办法》等有关法律、法规和规章的规定,经相关主管部门批准，采购代理机构受采购人委托，采用竞争性磋商方式选定供应商承担本项目。</w:t>
      </w:r>
    </w:p>
    <w:p w14:paraId="3F3645AB">
      <w:pPr>
        <w:tabs>
          <w:tab w:val="left" w:pos="105"/>
          <w:tab w:val="left" w:pos="735"/>
          <w:tab w:val="left" w:pos="945"/>
          <w:tab w:val="left" w:pos="3360"/>
        </w:tabs>
        <w:adjustRightInd w:val="0"/>
        <w:snapToGrid w:val="0"/>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1.2本项目采购人：详见《供应商须知前附表》。</w:t>
      </w:r>
    </w:p>
    <w:p w14:paraId="3D604631">
      <w:pPr>
        <w:tabs>
          <w:tab w:val="left" w:pos="105"/>
          <w:tab w:val="left" w:pos="735"/>
          <w:tab w:val="left" w:pos="945"/>
          <w:tab w:val="left" w:pos="3360"/>
        </w:tabs>
        <w:adjustRightInd w:val="0"/>
        <w:snapToGrid w:val="0"/>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1.3本项目采购代理机构：详见《供应商须知前附表》。</w:t>
      </w:r>
    </w:p>
    <w:p w14:paraId="17DB407E">
      <w:pPr>
        <w:tabs>
          <w:tab w:val="left" w:pos="105"/>
          <w:tab w:val="left" w:pos="735"/>
          <w:tab w:val="left" w:pos="945"/>
          <w:tab w:val="left" w:pos="3360"/>
        </w:tabs>
        <w:adjustRightInd w:val="0"/>
        <w:snapToGrid w:val="0"/>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1.4项目名称及项目编号：详见《供应商须知前附表》。</w:t>
      </w:r>
    </w:p>
    <w:p w14:paraId="40DA5842">
      <w:pPr>
        <w:tabs>
          <w:tab w:val="left" w:pos="105"/>
          <w:tab w:val="left" w:pos="735"/>
          <w:tab w:val="left" w:pos="945"/>
          <w:tab w:val="left" w:pos="3360"/>
        </w:tabs>
        <w:adjustRightInd w:val="0"/>
        <w:snapToGrid w:val="0"/>
        <w:spacing w:line="440" w:lineRule="exact"/>
        <w:ind w:firstLine="420" w:firstLineChars="20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1.5</w:t>
      </w:r>
      <w:r>
        <w:rPr>
          <w:rFonts w:hint="eastAsia" w:ascii="宋体" w:hAnsi="宋体" w:cs="宋体"/>
          <w:color w:val="auto"/>
          <w:szCs w:val="21"/>
          <w:highlight w:val="none"/>
        </w:rPr>
        <w:t>预算金额：详见《供应商须知前附表》。</w:t>
      </w:r>
    </w:p>
    <w:p w14:paraId="3A7E93E1">
      <w:pPr>
        <w:tabs>
          <w:tab w:val="left" w:pos="3150"/>
          <w:tab w:val="center" w:pos="4734"/>
        </w:tabs>
        <w:spacing w:line="500" w:lineRule="exact"/>
        <w:jc w:val="left"/>
        <w:rPr>
          <w:rFonts w:hint="eastAsia" w:ascii="宋体" w:hAnsi="宋体" w:cs="宋体"/>
          <w:b/>
          <w:color w:val="auto"/>
          <w:sz w:val="24"/>
          <w:highlight w:val="none"/>
        </w:rPr>
      </w:pPr>
      <w:r>
        <w:rPr>
          <w:rFonts w:hint="eastAsia" w:ascii="宋体" w:hAnsi="宋体" w:cs="宋体"/>
          <w:b/>
          <w:color w:val="auto"/>
          <w:sz w:val="24"/>
          <w:highlight w:val="none"/>
        </w:rPr>
        <w:t>2.联合体</w:t>
      </w:r>
    </w:p>
    <w:p w14:paraId="0DCB6ACD">
      <w:pPr>
        <w:tabs>
          <w:tab w:val="left" w:pos="105"/>
          <w:tab w:val="left" w:pos="735"/>
          <w:tab w:val="left" w:pos="945"/>
          <w:tab w:val="left" w:pos="3360"/>
        </w:tabs>
        <w:adjustRightInd w:val="0"/>
        <w:snapToGrid w:val="0"/>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2.1是否接受联合体参加：不接受。</w:t>
      </w:r>
    </w:p>
    <w:p w14:paraId="1A879ABB">
      <w:pPr>
        <w:tabs>
          <w:tab w:val="left" w:pos="3150"/>
          <w:tab w:val="center" w:pos="4734"/>
        </w:tabs>
        <w:spacing w:line="500" w:lineRule="exact"/>
        <w:jc w:val="left"/>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3.采购需求、</w:t>
      </w:r>
      <w:r>
        <w:rPr>
          <w:rFonts w:hint="eastAsia" w:ascii="宋体" w:hAnsi="宋体" w:cs="宋体"/>
          <w:b/>
          <w:color w:val="auto"/>
          <w:sz w:val="24"/>
          <w:highlight w:val="none"/>
          <w:lang w:eastAsia="zh-CN"/>
        </w:rPr>
        <w:t>合同履行期限</w:t>
      </w:r>
      <w:r>
        <w:rPr>
          <w:rFonts w:hint="eastAsia" w:ascii="宋体" w:hAnsi="宋体" w:cs="宋体"/>
          <w:b/>
          <w:color w:val="auto"/>
          <w:sz w:val="24"/>
          <w:highlight w:val="none"/>
        </w:rPr>
        <w:t>及</w:t>
      </w:r>
      <w:r>
        <w:rPr>
          <w:rFonts w:hint="eastAsia" w:ascii="宋体" w:hAnsi="宋体" w:cs="宋体"/>
          <w:b/>
          <w:color w:val="auto"/>
          <w:sz w:val="24"/>
          <w:highlight w:val="none"/>
          <w:lang w:eastAsia="zh-CN"/>
        </w:rPr>
        <w:t>项目实施地点</w:t>
      </w:r>
    </w:p>
    <w:p w14:paraId="50BFE270">
      <w:pPr>
        <w:tabs>
          <w:tab w:val="left" w:pos="105"/>
          <w:tab w:val="left" w:pos="735"/>
          <w:tab w:val="left" w:pos="945"/>
          <w:tab w:val="left" w:pos="3360"/>
        </w:tabs>
        <w:adjustRightInd w:val="0"/>
        <w:snapToGrid w:val="0"/>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3.1采购需求：详见《供应商须知前附表》。</w:t>
      </w:r>
    </w:p>
    <w:p w14:paraId="72779DC3">
      <w:pPr>
        <w:tabs>
          <w:tab w:val="left" w:pos="105"/>
          <w:tab w:val="left" w:pos="735"/>
          <w:tab w:val="left" w:pos="945"/>
          <w:tab w:val="left" w:pos="3360"/>
        </w:tabs>
        <w:adjustRightInd w:val="0"/>
        <w:snapToGrid w:val="0"/>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3.2</w:t>
      </w:r>
      <w:r>
        <w:rPr>
          <w:rFonts w:hint="eastAsia" w:ascii="宋体" w:hAnsi="宋体" w:cs="宋体"/>
          <w:color w:val="auto"/>
          <w:szCs w:val="21"/>
          <w:highlight w:val="none"/>
          <w:lang w:eastAsia="zh-CN"/>
        </w:rPr>
        <w:t>合同履行期限</w:t>
      </w:r>
      <w:r>
        <w:rPr>
          <w:rFonts w:hint="eastAsia" w:ascii="宋体" w:hAnsi="宋体" w:cs="宋体"/>
          <w:color w:val="auto"/>
          <w:szCs w:val="21"/>
          <w:highlight w:val="none"/>
        </w:rPr>
        <w:t>及</w:t>
      </w:r>
      <w:r>
        <w:rPr>
          <w:rFonts w:hint="eastAsia" w:ascii="宋体" w:hAnsi="宋体" w:cs="宋体"/>
          <w:color w:val="auto"/>
          <w:szCs w:val="21"/>
          <w:highlight w:val="none"/>
          <w:lang w:eastAsia="zh-CN"/>
        </w:rPr>
        <w:t>项目实施地点</w:t>
      </w:r>
      <w:r>
        <w:rPr>
          <w:rFonts w:hint="eastAsia" w:ascii="宋体" w:hAnsi="宋体" w:cs="宋体"/>
          <w:color w:val="auto"/>
          <w:szCs w:val="21"/>
          <w:highlight w:val="none"/>
        </w:rPr>
        <w:t>：详见《供应商须知前附表》。</w:t>
      </w:r>
    </w:p>
    <w:p w14:paraId="6B33D60C">
      <w:pPr>
        <w:tabs>
          <w:tab w:val="left" w:pos="105"/>
          <w:tab w:val="left" w:pos="735"/>
          <w:tab w:val="left" w:pos="945"/>
          <w:tab w:val="left" w:pos="3360"/>
        </w:tabs>
        <w:adjustRightInd w:val="0"/>
        <w:snapToGrid w:val="0"/>
        <w:spacing w:line="440" w:lineRule="exact"/>
        <w:rPr>
          <w:rFonts w:hint="eastAsia" w:ascii="宋体" w:hAnsi="宋体" w:cs="宋体"/>
          <w:b/>
          <w:color w:val="auto"/>
          <w:sz w:val="24"/>
          <w:highlight w:val="none"/>
        </w:rPr>
      </w:pPr>
      <w:r>
        <w:rPr>
          <w:rFonts w:hint="eastAsia" w:ascii="宋体" w:hAnsi="宋体" w:cs="宋体"/>
          <w:b/>
          <w:bCs/>
          <w:color w:val="auto"/>
          <w:sz w:val="24"/>
          <w:highlight w:val="none"/>
        </w:rPr>
        <w:t>★4</w:t>
      </w:r>
      <w:r>
        <w:rPr>
          <w:rFonts w:hint="eastAsia" w:ascii="宋体" w:hAnsi="宋体" w:cs="宋体"/>
          <w:b/>
          <w:color w:val="auto"/>
          <w:sz w:val="24"/>
          <w:highlight w:val="none"/>
        </w:rPr>
        <w:t>.供应商资格要求</w:t>
      </w:r>
    </w:p>
    <w:p w14:paraId="01FB3FB7">
      <w:pPr>
        <w:tabs>
          <w:tab w:val="left" w:pos="105"/>
          <w:tab w:val="left" w:pos="735"/>
          <w:tab w:val="left" w:pos="945"/>
          <w:tab w:val="left" w:pos="3360"/>
        </w:tabs>
        <w:adjustRightInd w:val="0"/>
        <w:snapToGrid w:val="0"/>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4.1供应商资格要求：详见《供应商须知前附表》。</w:t>
      </w:r>
    </w:p>
    <w:p w14:paraId="0483E553">
      <w:pPr>
        <w:tabs>
          <w:tab w:val="left" w:pos="105"/>
          <w:tab w:val="left" w:pos="735"/>
          <w:tab w:val="left" w:pos="945"/>
          <w:tab w:val="left" w:pos="3360"/>
        </w:tabs>
        <w:adjustRightInd w:val="0"/>
        <w:snapToGrid w:val="0"/>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4.2落实采购政策需满足的资格要求：详见《供应商须知前附表》。</w:t>
      </w:r>
    </w:p>
    <w:p w14:paraId="33A06518">
      <w:pPr>
        <w:tabs>
          <w:tab w:val="left" w:pos="105"/>
          <w:tab w:val="left" w:pos="735"/>
          <w:tab w:val="left" w:pos="945"/>
          <w:tab w:val="left" w:pos="3360"/>
        </w:tabs>
        <w:adjustRightInd w:val="0"/>
        <w:snapToGrid w:val="0"/>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4.3</w:t>
      </w:r>
      <w:r>
        <w:rPr>
          <w:rFonts w:hint="eastAsia" w:ascii="宋体" w:hAnsi="宋体" w:cs="宋体"/>
          <w:color w:val="auto"/>
          <w:szCs w:val="21"/>
          <w:highlight w:val="none"/>
        </w:rPr>
        <w:t>采购人根据本项目的特殊要求规定供应商应具备的特定条件：详见《供应商须知前附表》。</w:t>
      </w:r>
    </w:p>
    <w:p w14:paraId="28795529">
      <w:pPr>
        <w:tabs>
          <w:tab w:val="left" w:pos="105"/>
          <w:tab w:val="left" w:pos="735"/>
          <w:tab w:val="left" w:pos="945"/>
          <w:tab w:val="left" w:pos="3360"/>
        </w:tabs>
        <w:adjustRightInd w:val="0"/>
        <w:snapToGrid w:val="0"/>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如供应商为满足供应商资格要求提供虚假材料，一经查实，视为未实质性响应竞争性磋商文件，供应商响应文件将按无效响应处理。</w:t>
      </w:r>
    </w:p>
    <w:p w14:paraId="30AD3A47">
      <w:pPr>
        <w:tabs>
          <w:tab w:val="left" w:pos="105"/>
          <w:tab w:val="left" w:pos="735"/>
          <w:tab w:val="left" w:pos="945"/>
          <w:tab w:val="left" w:pos="3360"/>
        </w:tabs>
        <w:adjustRightInd w:val="0"/>
        <w:snapToGrid w:val="0"/>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单位负责人为同一人或者存在直接控股、管理关系的不同供应商，不得参加同一合同项下的政府采购活动。</w:t>
      </w:r>
    </w:p>
    <w:p w14:paraId="03438209">
      <w:pPr>
        <w:tabs>
          <w:tab w:val="left" w:pos="105"/>
          <w:tab w:val="left" w:pos="735"/>
          <w:tab w:val="left" w:pos="945"/>
          <w:tab w:val="left" w:pos="3360"/>
        </w:tabs>
        <w:adjustRightInd w:val="0"/>
        <w:snapToGrid w:val="0"/>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供应商不得直接或间接地与为采购项目提供整体设计、规范编制和项目管理、监理、检测等服务。</w:t>
      </w:r>
    </w:p>
    <w:p w14:paraId="48520078">
      <w:pPr>
        <w:tabs>
          <w:tab w:val="left" w:pos="105"/>
          <w:tab w:val="left" w:pos="735"/>
          <w:tab w:val="left" w:pos="945"/>
          <w:tab w:val="left" w:pos="3360"/>
        </w:tabs>
        <w:adjustRightInd w:val="0"/>
        <w:snapToGrid w:val="0"/>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符合上述条件的供应商应承担投标及履约中应承担的全部责任与义务。</w:t>
      </w:r>
    </w:p>
    <w:p w14:paraId="37379A5A">
      <w:pPr>
        <w:tabs>
          <w:tab w:val="left" w:pos="105"/>
          <w:tab w:val="left" w:pos="735"/>
          <w:tab w:val="left" w:pos="945"/>
          <w:tab w:val="left" w:pos="3360"/>
        </w:tabs>
        <w:adjustRightInd w:val="0"/>
        <w:snapToGrid w:val="0"/>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5.费用承担</w:t>
      </w:r>
    </w:p>
    <w:p w14:paraId="691F9444">
      <w:pPr>
        <w:tabs>
          <w:tab w:val="left" w:pos="105"/>
          <w:tab w:val="left" w:pos="735"/>
          <w:tab w:val="left" w:pos="945"/>
          <w:tab w:val="left" w:pos="3360"/>
        </w:tabs>
        <w:adjustRightInd w:val="0"/>
        <w:snapToGrid w:val="0"/>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5.1无论是否成交，供应商自行承担所有与参加本次竞争性磋商采购活动所产生的全部费用。</w:t>
      </w:r>
    </w:p>
    <w:p w14:paraId="077F6B55">
      <w:pPr>
        <w:autoSpaceDE w:val="0"/>
        <w:autoSpaceDN w:val="0"/>
        <w:adjustRightInd w:val="0"/>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6</w:t>
      </w:r>
      <w:r>
        <w:rPr>
          <w:rFonts w:hint="eastAsia" w:ascii="宋体" w:hAnsi="宋体" w:cs="宋体"/>
          <w:b/>
          <w:color w:val="auto"/>
          <w:sz w:val="24"/>
          <w:highlight w:val="none"/>
        </w:rPr>
        <w:t>.</w:t>
      </w:r>
      <w:r>
        <w:rPr>
          <w:rFonts w:hint="eastAsia" w:ascii="宋体" w:hAnsi="宋体" w:cs="宋体"/>
          <w:b/>
          <w:bCs/>
          <w:color w:val="auto"/>
          <w:sz w:val="24"/>
          <w:highlight w:val="none"/>
        </w:rPr>
        <w:t>现场考察</w:t>
      </w:r>
    </w:p>
    <w:p w14:paraId="3356235F">
      <w:pPr>
        <w:tabs>
          <w:tab w:val="left" w:pos="105"/>
          <w:tab w:val="left" w:pos="735"/>
          <w:tab w:val="left" w:pos="945"/>
          <w:tab w:val="left" w:pos="3360"/>
        </w:tabs>
        <w:adjustRightInd w:val="0"/>
        <w:snapToGrid w:val="0"/>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6.1本项目采购人不组织现场考察。</w:t>
      </w:r>
    </w:p>
    <w:p w14:paraId="368762DD">
      <w:pPr>
        <w:autoSpaceDE w:val="0"/>
        <w:autoSpaceDN w:val="0"/>
        <w:adjustRightInd w:val="0"/>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7</w:t>
      </w:r>
      <w:r>
        <w:rPr>
          <w:rFonts w:hint="eastAsia" w:ascii="宋体" w:hAnsi="宋体" w:cs="宋体"/>
          <w:b/>
          <w:color w:val="auto"/>
          <w:sz w:val="24"/>
          <w:highlight w:val="none"/>
        </w:rPr>
        <w:t>.</w:t>
      </w:r>
      <w:r>
        <w:rPr>
          <w:rFonts w:hint="eastAsia" w:ascii="宋体" w:hAnsi="宋体" w:cs="宋体"/>
          <w:b/>
          <w:bCs/>
          <w:color w:val="auto"/>
          <w:sz w:val="24"/>
          <w:highlight w:val="none"/>
        </w:rPr>
        <w:t>磋商前答疑会</w:t>
      </w:r>
    </w:p>
    <w:p w14:paraId="7FB5AFCD">
      <w:pPr>
        <w:tabs>
          <w:tab w:val="left" w:pos="105"/>
          <w:tab w:val="left" w:pos="735"/>
          <w:tab w:val="left" w:pos="945"/>
          <w:tab w:val="left" w:pos="3360"/>
        </w:tabs>
        <w:adjustRightInd w:val="0"/>
        <w:snapToGrid w:val="0"/>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7.1本项目采购人不组织磋商前答疑会。</w:t>
      </w:r>
    </w:p>
    <w:p w14:paraId="35515DE7">
      <w:pPr>
        <w:autoSpaceDE w:val="0"/>
        <w:autoSpaceDN w:val="0"/>
        <w:adjustRightInd w:val="0"/>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8</w:t>
      </w:r>
      <w:r>
        <w:rPr>
          <w:rFonts w:hint="eastAsia" w:ascii="宋体" w:hAnsi="宋体" w:cs="宋体"/>
          <w:b/>
          <w:color w:val="auto"/>
          <w:sz w:val="24"/>
          <w:highlight w:val="none"/>
        </w:rPr>
        <w:t>.</w:t>
      </w:r>
      <w:r>
        <w:rPr>
          <w:rFonts w:hint="eastAsia" w:ascii="宋体" w:hAnsi="宋体" w:cs="宋体"/>
          <w:b/>
          <w:bCs/>
          <w:color w:val="auto"/>
          <w:sz w:val="24"/>
          <w:highlight w:val="none"/>
        </w:rPr>
        <w:t>质疑</w:t>
      </w:r>
    </w:p>
    <w:p w14:paraId="5FBA8D39">
      <w:pPr>
        <w:tabs>
          <w:tab w:val="left" w:pos="105"/>
          <w:tab w:val="left" w:pos="735"/>
          <w:tab w:val="left" w:pos="945"/>
          <w:tab w:val="left" w:pos="3360"/>
        </w:tabs>
        <w:adjustRightInd w:val="0"/>
        <w:snapToGrid w:val="0"/>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8.1供应商认为竞争性磋商文件、采购过程、成交结果使自己的权益受到损害的，可以在知道或者应知其权益受到损害之日起7个工作日内，以书面形式向采购人、采购代理机构提出质疑。供应商应在法定质疑期内一次性提出针对同一采购程序环节的质疑，否则采购人、采购代理机构有权拒收。</w:t>
      </w:r>
    </w:p>
    <w:p w14:paraId="540476A9">
      <w:pPr>
        <w:tabs>
          <w:tab w:val="left" w:pos="105"/>
          <w:tab w:val="left" w:pos="735"/>
          <w:tab w:val="left" w:pos="945"/>
          <w:tab w:val="left" w:pos="3360"/>
        </w:tabs>
        <w:adjustRightInd w:val="0"/>
        <w:snapToGrid w:val="0"/>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8.2竞争性磋商文件第二章《供应商须知》8.1条中“知道或者应知其权益受到损害之日”是指：</w:t>
      </w:r>
    </w:p>
    <w:p w14:paraId="4AC8CB83">
      <w:pPr>
        <w:tabs>
          <w:tab w:val="left" w:pos="105"/>
          <w:tab w:val="left" w:pos="735"/>
          <w:tab w:val="left" w:pos="945"/>
          <w:tab w:val="left" w:pos="3360"/>
        </w:tabs>
        <w:adjustRightInd w:val="0"/>
        <w:snapToGrid w:val="0"/>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（一）对可以质疑的采购文件提出质疑的，为收到采购文件之日或者采购文件公告期限届满之日；</w:t>
      </w:r>
    </w:p>
    <w:p w14:paraId="73CDD219">
      <w:pPr>
        <w:tabs>
          <w:tab w:val="left" w:pos="105"/>
          <w:tab w:val="left" w:pos="735"/>
          <w:tab w:val="left" w:pos="945"/>
          <w:tab w:val="left" w:pos="3360"/>
        </w:tabs>
        <w:adjustRightInd w:val="0"/>
        <w:snapToGrid w:val="0"/>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（二）对采购过程提出质疑的，为各采购程序环节结束之日；</w:t>
      </w:r>
    </w:p>
    <w:p w14:paraId="0C299145">
      <w:pPr>
        <w:tabs>
          <w:tab w:val="left" w:pos="105"/>
          <w:tab w:val="left" w:pos="735"/>
          <w:tab w:val="left" w:pos="945"/>
          <w:tab w:val="left" w:pos="3360"/>
        </w:tabs>
        <w:adjustRightInd w:val="0"/>
        <w:snapToGrid w:val="0"/>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（三）对中标或者成交结果提出质疑的，为中标或者成交结果公告期限届满之日。</w:t>
      </w:r>
    </w:p>
    <w:p w14:paraId="18456D91">
      <w:pPr>
        <w:tabs>
          <w:tab w:val="left" w:pos="105"/>
          <w:tab w:val="left" w:pos="735"/>
          <w:tab w:val="left" w:pos="945"/>
          <w:tab w:val="left" w:pos="3360"/>
        </w:tabs>
        <w:adjustRightInd w:val="0"/>
        <w:snapToGrid w:val="0"/>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8.3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w:t>
      </w:r>
      <w:r>
        <w:rPr>
          <w:rFonts w:hint="eastAsia" w:ascii="宋体" w:hAnsi="宋体" w:cs="宋体"/>
          <w:color w:val="auto"/>
          <w:szCs w:val="21"/>
          <w:highlight w:val="none"/>
          <w:lang w:eastAsia="zh-CN"/>
        </w:rPr>
        <w:t>加盖供应商电子公章</w:t>
      </w:r>
      <w:r>
        <w:rPr>
          <w:rFonts w:hint="eastAsia" w:ascii="宋体" w:hAnsi="宋体" w:cs="宋体"/>
          <w:color w:val="auto"/>
          <w:szCs w:val="21"/>
          <w:highlight w:val="none"/>
        </w:rPr>
        <w:t>。代理人提出质疑，应当提交供应商签署的授权委托书。</w:t>
      </w:r>
    </w:p>
    <w:p w14:paraId="28E9EB80">
      <w:pPr>
        <w:tabs>
          <w:tab w:val="left" w:pos="105"/>
          <w:tab w:val="left" w:pos="735"/>
          <w:tab w:val="left" w:pos="945"/>
          <w:tab w:val="left" w:pos="3360"/>
        </w:tabs>
        <w:adjustRightInd w:val="0"/>
        <w:snapToGrid w:val="0"/>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提出质疑的供应商应当是参与所质疑项目采购活动的供应商。</w:t>
      </w:r>
    </w:p>
    <w:p w14:paraId="123627C6">
      <w:pPr>
        <w:tabs>
          <w:tab w:val="left" w:pos="105"/>
          <w:tab w:val="left" w:pos="735"/>
          <w:tab w:val="left" w:pos="945"/>
          <w:tab w:val="left" w:pos="3360"/>
        </w:tabs>
        <w:adjustRightInd w:val="0"/>
        <w:snapToGrid w:val="0"/>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8.4供应商提出质疑应符合《政府采购质疑和投诉办法》（中华人民共和国财政部令第94号）和财政部《政府采购供应商质疑函范本》的规定。供应商提出质疑应当提交质疑函和必要的证明材料。质疑函应当包括下列内容：</w:t>
      </w:r>
    </w:p>
    <w:p w14:paraId="26D288AA">
      <w:pPr>
        <w:tabs>
          <w:tab w:val="left" w:pos="105"/>
          <w:tab w:val="left" w:pos="735"/>
          <w:tab w:val="left" w:pos="945"/>
          <w:tab w:val="left" w:pos="3360"/>
        </w:tabs>
        <w:adjustRightInd w:val="0"/>
        <w:snapToGrid w:val="0"/>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（一）供应商的姓名或者名称、地址、邮编、联系人及联系电话；</w:t>
      </w:r>
    </w:p>
    <w:p w14:paraId="27602243">
      <w:pPr>
        <w:tabs>
          <w:tab w:val="left" w:pos="105"/>
          <w:tab w:val="left" w:pos="735"/>
          <w:tab w:val="left" w:pos="945"/>
          <w:tab w:val="left" w:pos="3360"/>
        </w:tabs>
        <w:adjustRightInd w:val="0"/>
        <w:snapToGrid w:val="0"/>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（二）质疑项目的名称、编号；</w:t>
      </w:r>
    </w:p>
    <w:p w14:paraId="2C064B52">
      <w:pPr>
        <w:tabs>
          <w:tab w:val="left" w:pos="105"/>
          <w:tab w:val="left" w:pos="735"/>
          <w:tab w:val="left" w:pos="945"/>
          <w:tab w:val="left" w:pos="3360"/>
        </w:tabs>
        <w:adjustRightInd w:val="0"/>
        <w:snapToGrid w:val="0"/>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（三）具体、明确的质疑事项和与质疑事项相关的请求；</w:t>
      </w:r>
    </w:p>
    <w:p w14:paraId="126871B9">
      <w:pPr>
        <w:tabs>
          <w:tab w:val="left" w:pos="105"/>
          <w:tab w:val="left" w:pos="735"/>
          <w:tab w:val="left" w:pos="945"/>
          <w:tab w:val="left" w:pos="3360"/>
        </w:tabs>
        <w:adjustRightInd w:val="0"/>
        <w:snapToGrid w:val="0"/>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（四）事实依据；</w:t>
      </w:r>
    </w:p>
    <w:p w14:paraId="2B413105">
      <w:pPr>
        <w:tabs>
          <w:tab w:val="left" w:pos="105"/>
          <w:tab w:val="left" w:pos="735"/>
          <w:tab w:val="left" w:pos="945"/>
          <w:tab w:val="left" w:pos="3360"/>
        </w:tabs>
        <w:adjustRightInd w:val="0"/>
        <w:snapToGrid w:val="0"/>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（五）必要的法律依据；</w:t>
      </w:r>
    </w:p>
    <w:p w14:paraId="65990380">
      <w:pPr>
        <w:tabs>
          <w:tab w:val="left" w:pos="105"/>
          <w:tab w:val="left" w:pos="735"/>
          <w:tab w:val="left" w:pos="945"/>
          <w:tab w:val="left" w:pos="3360"/>
        </w:tabs>
        <w:adjustRightInd w:val="0"/>
        <w:snapToGrid w:val="0"/>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（六）提出质疑的日期。</w:t>
      </w:r>
    </w:p>
    <w:p w14:paraId="1609A491">
      <w:pPr>
        <w:tabs>
          <w:tab w:val="left" w:pos="105"/>
          <w:tab w:val="left" w:pos="735"/>
          <w:tab w:val="left" w:pos="945"/>
          <w:tab w:val="left" w:pos="3360"/>
        </w:tabs>
        <w:adjustRightInd w:val="0"/>
        <w:snapToGrid w:val="0"/>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供应商为自然人的，应当由本人签字；供应商为法人或者其他组织的，应当由法定代表人、主要负责人，或者其授权代表签字或者盖章，并</w:t>
      </w:r>
      <w:r>
        <w:rPr>
          <w:rFonts w:hint="eastAsia" w:ascii="宋体" w:hAnsi="宋体" w:cs="宋体"/>
          <w:color w:val="auto"/>
          <w:szCs w:val="21"/>
          <w:highlight w:val="none"/>
          <w:lang w:eastAsia="zh-CN"/>
        </w:rPr>
        <w:t>加盖供应商电子公章</w:t>
      </w:r>
      <w:r>
        <w:rPr>
          <w:rFonts w:hint="eastAsia" w:ascii="宋体" w:hAnsi="宋体" w:cs="宋体"/>
          <w:color w:val="auto"/>
          <w:szCs w:val="21"/>
          <w:highlight w:val="none"/>
        </w:rPr>
        <w:t>。</w:t>
      </w:r>
    </w:p>
    <w:p w14:paraId="08C7FA48">
      <w:pPr>
        <w:tabs>
          <w:tab w:val="left" w:pos="105"/>
          <w:tab w:val="left" w:pos="735"/>
          <w:tab w:val="left" w:pos="945"/>
          <w:tab w:val="left" w:pos="3360"/>
        </w:tabs>
        <w:adjustRightInd w:val="0"/>
        <w:snapToGrid w:val="0"/>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8.5供应商不得捏造事实、提供虚假材料或者以非法手段取得证明材料。</w:t>
      </w:r>
    </w:p>
    <w:p w14:paraId="797039CE">
      <w:pPr>
        <w:tabs>
          <w:tab w:val="left" w:pos="105"/>
          <w:tab w:val="left" w:pos="735"/>
          <w:tab w:val="left" w:pos="945"/>
          <w:tab w:val="left" w:pos="3360"/>
        </w:tabs>
        <w:adjustRightInd w:val="0"/>
        <w:snapToGrid w:val="0"/>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8.6质疑函应当使用中文。相关当事人提供外文书证或者外国语视听资料的，应当附有中文译本，由翻译机构盖章或者翻译人员签名。</w:t>
      </w:r>
    </w:p>
    <w:p w14:paraId="0D8C8CD0">
      <w:pPr>
        <w:tabs>
          <w:tab w:val="left" w:pos="105"/>
          <w:tab w:val="left" w:pos="735"/>
          <w:tab w:val="left" w:pos="945"/>
          <w:tab w:val="left" w:pos="3360"/>
        </w:tabs>
        <w:adjustRightInd w:val="0"/>
        <w:snapToGrid w:val="0"/>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8.7采购人、采购代理机构将在收到供应商质疑函后七个工作日内作出答复，但质疑答复的内容不涉及商业秘密。</w:t>
      </w:r>
    </w:p>
    <w:p w14:paraId="7274C0E4">
      <w:pPr>
        <w:tabs>
          <w:tab w:val="left" w:pos="105"/>
          <w:tab w:val="left" w:pos="735"/>
          <w:tab w:val="left" w:pos="945"/>
          <w:tab w:val="left" w:pos="3360"/>
        </w:tabs>
        <w:adjustRightInd w:val="0"/>
        <w:snapToGrid w:val="0"/>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8.8供应商对评审过程、成交结果提出质疑的，采购人、采购代理机构可以组织原磋商小组协助答复质疑。质疑答复导致成交结果改变的，采购人或者采购代理机构会将有关情况书面报告本级财政部门。</w:t>
      </w:r>
    </w:p>
    <w:p w14:paraId="3D979DC9">
      <w:pPr>
        <w:tabs>
          <w:tab w:val="left" w:pos="105"/>
          <w:tab w:val="left" w:pos="735"/>
          <w:tab w:val="left" w:pos="945"/>
          <w:tab w:val="left" w:pos="3360"/>
        </w:tabs>
        <w:adjustRightInd w:val="0"/>
        <w:snapToGrid w:val="0"/>
        <w:spacing w:line="440" w:lineRule="exact"/>
        <w:ind w:firstLine="420" w:firstLineChars="200"/>
        <w:rPr>
          <w:rFonts w:hint="eastAsia" w:ascii="宋体" w:hAnsi="宋体" w:cs="宋体"/>
          <w:color w:val="auto"/>
          <w:szCs w:val="21"/>
          <w:highlight w:val="none"/>
          <w:lang w:eastAsia="zh-CN"/>
        </w:rPr>
      </w:pPr>
      <w:r>
        <w:rPr>
          <w:rFonts w:hint="eastAsia" w:ascii="宋体" w:hAnsi="宋体" w:cs="宋体"/>
          <w:color w:val="auto"/>
          <w:szCs w:val="21"/>
          <w:highlight w:val="none"/>
        </w:rPr>
        <w:t>8.9接收质疑函的方式：书面方式；接收质疑函的部门：</w:t>
      </w:r>
      <w:r>
        <w:rPr>
          <w:rFonts w:hint="eastAsia" w:ascii="宋体" w:hAnsi="宋体" w:cs="宋体"/>
          <w:color w:val="auto"/>
          <w:szCs w:val="21"/>
          <w:highlight w:val="none"/>
          <w:lang w:eastAsia="zh-CN"/>
        </w:rPr>
        <w:t>云南冠睿咨询有限公司</w:t>
      </w:r>
      <w:r>
        <w:rPr>
          <w:rFonts w:hint="eastAsia" w:ascii="宋体" w:hAnsi="宋体" w:cs="宋体"/>
          <w:color w:val="auto"/>
          <w:szCs w:val="21"/>
          <w:highlight w:val="none"/>
        </w:rPr>
        <w:t>；联系人、联系电话：</w:t>
      </w:r>
      <w:r>
        <w:rPr>
          <w:rFonts w:hint="eastAsia" w:ascii="宋体" w:hAnsi="宋体" w:cs="宋体"/>
          <w:color w:val="auto"/>
          <w:szCs w:val="21"/>
          <w:highlight w:val="none"/>
          <w:lang w:eastAsia="zh-CN"/>
        </w:rPr>
        <w:t>祝欣、陈沿锦、丁传觐、王国玺、吴翊、李腾芳、肖枝莲、王彦飞、汪怡含、邓楚卿、刘晓云、杨益鑫、蒋兴杰0871-65511240；通讯地址：云南冠睿咨询有限公司（云南省昆明市西山区万达广场南塔32层3201号）。</w:t>
      </w:r>
    </w:p>
    <w:p w14:paraId="1B02BF6A">
      <w:pPr>
        <w:autoSpaceDE w:val="0"/>
        <w:autoSpaceDN w:val="0"/>
        <w:adjustRightInd w:val="0"/>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9</w:t>
      </w:r>
      <w:r>
        <w:rPr>
          <w:rFonts w:hint="eastAsia" w:ascii="宋体" w:hAnsi="宋体" w:cs="宋体"/>
          <w:b/>
          <w:color w:val="auto"/>
          <w:sz w:val="24"/>
          <w:highlight w:val="none"/>
        </w:rPr>
        <w:t>.</w:t>
      </w:r>
      <w:r>
        <w:rPr>
          <w:rFonts w:hint="eastAsia" w:ascii="宋体" w:hAnsi="宋体" w:cs="宋体"/>
          <w:b/>
          <w:bCs/>
          <w:color w:val="auto"/>
          <w:sz w:val="24"/>
          <w:highlight w:val="none"/>
        </w:rPr>
        <w:t>投诉</w:t>
      </w:r>
    </w:p>
    <w:p w14:paraId="28C3AFDF">
      <w:pPr>
        <w:tabs>
          <w:tab w:val="left" w:pos="105"/>
          <w:tab w:val="left" w:pos="735"/>
          <w:tab w:val="left" w:pos="945"/>
          <w:tab w:val="left" w:pos="3360"/>
        </w:tabs>
        <w:adjustRightInd w:val="0"/>
        <w:snapToGrid w:val="0"/>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9.1投诉必须首先经过质疑程序。质疑供应商对采购人、采购代理机构的答复不满意，或者采购人、采购代理机构未在规定时间内作出答复的，可以在答复期满后十五个工作日内书面向</w:t>
      </w:r>
      <w:r>
        <w:rPr>
          <w:rFonts w:hint="eastAsia" w:ascii="宋体" w:hAnsi="宋体" w:cs="宋体"/>
          <w:color w:val="auto"/>
          <w:szCs w:val="21"/>
          <w:highlight w:val="none"/>
          <w:lang w:val="en-US" w:eastAsia="zh-CN"/>
        </w:rPr>
        <w:t>本级</w:t>
      </w:r>
      <w:r>
        <w:rPr>
          <w:rFonts w:hint="eastAsia" w:ascii="宋体" w:hAnsi="宋体" w:cs="宋体"/>
          <w:color w:val="auto"/>
          <w:szCs w:val="21"/>
          <w:highlight w:val="none"/>
        </w:rPr>
        <w:t>财政部门提起投诉。</w:t>
      </w:r>
    </w:p>
    <w:p w14:paraId="171BC15A">
      <w:pPr>
        <w:tabs>
          <w:tab w:val="left" w:pos="105"/>
          <w:tab w:val="left" w:pos="735"/>
          <w:tab w:val="left" w:pos="945"/>
          <w:tab w:val="left" w:pos="3360"/>
        </w:tabs>
        <w:adjustRightInd w:val="0"/>
        <w:snapToGrid w:val="0"/>
        <w:spacing w:line="440" w:lineRule="exact"/>
        <w:ind w:firstLine="241" w:firstLineChars="100"/>
        <w:jc w:val="center"/>
        <w:rPr>
          <w:rFonts w:hint="eastAsia" w:ascii="宋体" w:hAnsi="宋体" w:cs="宋体"/>
          <w:b/>
          <w:color w:val="auto"/>
          <w:sz w:val="24"/>
          <w:highlight w:val="none"/>
        </w:rPr>
      </w:pPr>
      <w:bookmarkStart w:id="44" w:name="_Toc482343732"/>
      <w:bookmarkStart w:id="45" w:name="_Toc383175282"/>
      <w:bookmarkStart w:id="46" w:name="_Toc432194832"/>
      <w:bookmarkStart w:id="47" w:name="_Toc329810192"/>
      <w:bookmarkStart w:id="48" w:name="_Toc432106481"/>
      <w:bookmarkStart w:id="49" w:name="_Toc470507046"/>
      <w:bookmarkStart w:id="50" w:name="_Toc383175058"/>
      <w:bookmarkStart w:id="51" w:name="_Toc383175480"/>
      <w:r>
        <w:rPr>
          <w:rFonts w:hint="eastAsia" w:ascii="宋体" w:hAnsi="宋体" w:cs="宋体"/>
          <w:b/>
          <w:color w:val="auto"/>
          <w:sz w:val="24"/>
          <w:highlight w:val="none"/>
        </w:rPr>
        <w:t>二、竞争性磋商文件</w:t>
      </w:r>
    </w:p>
    <w:p w14:paraId="5C6E0A0A">
      <w:pPr>
        <w:tabs>
          <w:tab w:val="left" w:pos="105"/>
          <w:tab w:val="left" w:pos="735"/>
          <w:tab w:val="left" w:pos="945"/>
          <w:tab w:val="left" w:pos="3360"/>
        </w:tabs>
        <w:adjustRightInd w:val="0"/>
        <w:snapToGrid w:val="0"/>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10.竞争性磋商文件的组成</w:t>
      </w:r>
      <w:bookmarkEnd w:id="44"/>
      <w:bookmarkEnd w:id="45"/>
      <w:bookmarkEnd w:id="46"/>
      <w:bookmarkEnd w:id="47"/>
      <w:bookmarkEnd w:id="48"/>
      <w:bookmarkEnd w:id="49"/>
      <w:bookmarkEnd w:id="50"/>
      <w:bookmarkEnd w:id="51"/>
    </w:p>
    <w:p w14:paraId="37E474D0">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采购人要求提供的</w:t>
      </w:r>
      <w:r>
        <w:rPr>
          <w:rFonts w:hint="eastAsia" w:ascii="宋体" w:hAnsi="宋体" w:cs="宋体"/>
          <w:color w:val="auto"/>
          <w:kern w:val="0"/>
          <w:szCs w:val="21"/>
          <w:highlight w:val="none"/>
        </w:rPr>
        <w:t>货物、工程或者服务、</w:t>
      </w:r>
      <w:r>
        <w:rPr>
          <w:rFonts w:hint="eastAsia" w:ascii="宋体" w:hAnsi="宋体" w:cs="宋体"/>
          <w:color w:val="auto"/>
          <w:szCs w:val="21"/>
          <w:highlight w:val="none"/>
        </w:rPr>
        <w:t>采购过程及合同条款在竞争性磋商文件中均有说明，竞争性磋商文件共六章，各章的内容如下：</w:t>
      </w:r>
    </w:p>
    <w:p w14:paraId="577F728B">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第一章  竞争性磋商公告</w:t>
      </w:r>
    </w:p>
    <w:p w14:paraId="18CC59B6">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第二章  供应商须知</w:t>
      </w:r>
    </w:p>
    <w:p w14:paraId="5D31B76C">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第三章  合同书样式及主要条款</w:t>
      </w:r>
    </w:p>
    <w:p w14:paraId="12889EA0">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第四章  响应文件格式</w:t>
      </w:r>
    </w:p>
    <w:p w14:paraId="6772F094">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第五章  采购需求</w:t>
      </w:r>
    </w:p>
    <w:p w14:paraId="73438ACC">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第六章  评审方法</w:t>
      </w:r>
    </w:p>
    <w:p w14:paraId="13405304">
      <w:pPr>
        <w:autoSpaceDE w:val="0"/>
        <w:autoSpaceDN w:val="0"/>
        <w:adjustRightInd w:val="0"/>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11</w:t>
      </w:r>
      <w:r>
        <w:rPr>
          <w:rFonts w:hint="eastAsia" w:ascii="宋体" w:hAnsi="宋体" w:cs="宋体"/>
          <w:b/>
          <w:color w:val="auto"/>
          <w:sz w:val="24"/>
          <w:highlight w:val="none"/>
        </w:rPr>
        <w:t>.</w:t>
      </w:r>
      <w:r>
        <w:rPr>
          <w:rFonts w:hint="eastAsia" w:ascii="宋体" w:hAnsi="宋体" w:cs="宋体"/>
          <w:b/>
          <w:bCs/>
          <w:color w:val="auto"/>
          <w:sz w:val="24"/>
          <w:highlight w:val="none"/>
        </w:rPr>
        <w:t>竞争性磋商文件的询问、澄清、修改</w:t>
      </w:r>
      <w:r>
        <w:rPr>
          <w:rFonts w:hint="eastAsia" w:ascii="宋体" w:hAnsi="宋体" w:cs="宋体"/>
          <w:b/>
          <w:bCs/>
          <w:color w:val="auto"/>
          <w:sz w:val="24"/>
          <w:highlight w:val="none"/>
        </w:rPr>
        <w:tab/>
      </w:r>
    </w:p>
    <w:p w14:paraId="2B451C3A">
      <w:pPr>
        <w:tabs>
          <w:tab w:val="left" w:pos="105"/>
          <w:tab w:val="left" w:pos="735"/>
          <w:tab w:val="left" w:pos="945"/>
          <w:tab w:val="left" w:pos="3360"/>
        </w:tabs>
        <w:adjustRightInd w:val="0"/>
        <w:snapToGrid w:val="0"/>
        <w:spacing w:line="440" w:lineRule="exact"/>
        <w:ind w:firstLine="420" w:firstLineChars="200"/>
        <w:rPr>
          <w:rFonts w:hint="eastAsia" w:ascii="宋体" w:hAnsi="宋体" w:eastAsia="宋体" w:cs="宋体"/>
          <w:color w:val="auto"/>
          <w:szCs w:val="21"/>
          <w:highlight w:val="none"/>
        </w:rPr>
      </w:pPr>
      <w:r>
        <w:rPr>
          <w:rFonts w:hint="eastAsia" w:ascii="宋体" w:hAnsi="宋体" w:cs="宋体"/>
          <w:color w:val="auto"/>
          <w:szCs w:val="21"/>
          <w:highlight w:val="none"/>
        </w:rPr>
        <w:t>11.1供应商应认真阅读竞争性磋商文件，如有疑问的，供应商</w:t>
      </w:r>
      <w:r>
        <w:rPr>
          <w:rFonts w:hint="eastAsia" w:ascii="宋体" w:hAnsi="宋体" w:eastAsia="宋体" w:cs="宋体"/>
          <w:color w:val="auto"/>
          <w:szCs w:val="21"/>
          <w:highlight w:val="none"/>
        </w:rPr>
        <w:t>可以向采购人或采购代理机构提出询问，采购人或者采购代理机构在接到询问后的3个工作日内对供应商依法提出的询问作出答复，但答复的内容不涉及商业秘密</w:t>
      </w:r>
      <w:r>
        <w:rPr>
          <w:rFonts w:hint="eastAsia" w:ascii="宋体" w:hAnsi="宋体" w:eastAsia="宋体" w:cs="宋体"/>
          <w:color w:val="auto"/>
          <w:szCs w:val="21"/>
          <w:highlight w:val="none"/>
          <w:lang w:eastAsia="zh-CN"/>
        </w:rPr>
        <w:t>，如对电子采购流程不清楚可查阅政采云（https://e-learning.zcygov.cn/index）“秒懂政采云项目采购”学习</w:t>
      </w:r>
      <w:r>
        <w:rPr>
          <w:rFonts w:hint="eastAsia" w:ascii="宋体" w:hAnsi="宋体" w:eastAsia="宋体" w:cs="宋体"/>
          <w:color w:val="auto"/>
          <w:szCs w:val="21"/>
          <w:highlight w:val="none"/>
        </w:rPr>
        <w:t>。</w:t>
      </w:r>
    </w:p>
    <w:p w14:paraId="1A5E0836">
      <w:pPr>
        <w:tabs>
          <w:tab w:val="left" w:pos="105"/>
          <w:tab w:val="left" w:pos="735"/>
          <w:tab w:val="left" w:pos="945"/>
          <w:tab w:val="left" w:pos="3360"/>
        </w:tabs>
        <w:adjustRightInd w:val="0"/>
        <w:snapToGrid w:val="0"/>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11.2竞争性磋商文件询问联系方式：详见《供应商须知前附表》。</w:t>
      </w:r>
    </w:p>
    <w:p w14:paraId="1D03D125">
      <w:pPr>
        <w:tabs>
          <w:tab w:val="left" w:pos="105"/>
          <w:tab w:val="left" w:pos="735"/>
          <w:tab w:val="left" w:pos="945"/>
          <w:tab w:val="left" w:pos="3360"/>
        </w:tabs>
        <w:adjustRightInd w:val="0"/>
        <w:snapToGrid w:val="0"/>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11.3提交首次响应文件截止之日前，采购人、采购代理机构或者磋商小组可以对已发出的竞争性磋商文件进行必要的澄清或者修改，澄清或者修改的内容作为竞争性磋商文件的组成部分。</w:t>
      </w:r>
    </w:p>
    <w:p w14:paraId="13ED3421">
      <w:pPr>
        <w:tabs>
          <w:tab w:val="left" w:pos="105"/>
          <w:tab w:val="left" w:pos="735"/>
          <w:tab w:val="left" w:pos="945"/>
          <w:tab w:val="left" w:pos="3360"/>
        </w:tabs>
        <w:adjustRightInd w:val="0"/>
        <w:snapToGrid w:val="0"/>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11.4澄清或者修改的内容可能影响响应文件编制的，采购人、采购代理机构将在提交首次响应文件截止时间至少5日前，以书面形式通知所有获取竞争性磋商文件的供应商；不足5日的，采购人、采购代理机构将顺延提交首次响应文件截止时间。</w:t>
      </w:r>
    </w:p>
    <w:p w14:paraId="68637183">
      <w:pPr>
        <w:tabs>
          <w:tab w:val="left" w:pos="105"/>
          <w:tab w:val="left" w:pos="735"/>
          <w:tab w:val="left" w:pos="945"/>
          <w:tab w:val="left" w:pos="3360"/>
        </w:tabs>
        <w:adjustRightInd w:val="0"/>
        <w:snapToGrid w:val="0"/>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11.5供应商确认收到竞争性磋商文件澄清、修改后，应在收到澄清、修改后24小时内以书面形式通知采购人或采购代理机构，确认已收到该澄清、修改。</w:t>
      </w:r>
    </w:p>
    <w:p w14:paraId="134440D6">
      <w:pPr>
        <w:tabs>
          <w:tab w:val="left" w:pos="105"/>
          <w:tab w:val="left" w:pos="735"/>
          <w:tab w:val="left" w:pos="945"/>
          <w:tab w:val="left" w:pos="3360"/>
        </w:tabs>
        <w:adjustRightInd w:val="0"/>
        <w:snapToGrid w:val="0"/>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11.6在磋商过程中，磋商小组可以根据竞争性磋商文件和磋商情况实质性变动采购需求中的技术、服务要求以及合同草案条款，但不得变动竞争性磋商文件中的其他内容。实质性变动的内容，须经采购人代表确认。</w:t>
      </w:r>
    </w:p>
    <w:p w14:paraId="11514323">
      <w:pPr>
        <w:tabs>
          <w:tab w:val="left" w:pos="105"/>
          <w:tab w:val="left" w:pos="735"/>
          <w:tab w:val="left" w:pos="945"/>
          <w:tab w:val="left" w:pos="3360"/>
        </w:tabs>
        <w:adjustRightInd w:val="0"/>
        <w:snapToGrid w:val="0"/>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11.7实质性变动采购需求中的技术、服务要求以及合同草案条款不得对涉及对竞争性磋商文件公平、公正性内容进行修改、变动。</w:t>
      </w:r>
    </w:p>
    <w:p w14:paraId="4DDDFBE7">
      <w:pPr>
        <w:tabs>
          <w:tab w:val="left" w:pos="3150"/>
          <w:tab w:val="center" w:pos="4734"/>
        </w:tabs>
        <w:spacing w:line="500" w:lineRule="exact"/>
        <w:ind w:firstLine="241" w:firstLineChars="100"/>
        <w:jc w:val="center"/>
        <w:rPr>
          <w:rFonts w:hint="eastAsia" w:ascii="宋体" w:hAnsi="宋体" w:cs="宋体"/>
          <w:b/>
          <w:color w:val="auto"/>
          <w:sz w:val="24"/>
          <w:highlight w:val="none"/>
        </w:rPr>
      </w:pPr>
      <w:r>
        <w:rPr>
          <w:rFonts w:hint="eastAsia" w:ascii="宋体" w:hAnsi="宋体" w:cs="宋体"/>
          <w:b/>
          <w:color w:val="auto"/>
          <w:sz w:val="24"/>
          <w:highlight w:val="none"/>
        </w:rPr>
        <w:t>三、响应文件</w:t>
      </w:r>
    </w:p>
    <w:p w14:paraId="7D28A03D">
      <w:pPr>
        <w:tabs>
          <w:tab w:val="left" w:pos="105"/>
          <w:tab w:val="left" w:pos="735"/>
          <w:tab w:val="left" w:pos="945"/>
          <w:tab w:val="left" w:pos="3360"/>
          <w:tab w:val="left" w:pos="4988"/>
        </w:tabs>
        <w:adjustRightInd w:val="0"/>
        <w:snapToGrid w:val="0"/>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12</w:t>
      </w:r>
      <w:bookmarkStart w:id="52" w:name="_Toc482343735"/>
      <w:bookmarkStart w:id="53" w:name="_Toc432106484"/>
      <w:bookmarkStart w:id="54" w:name="_Toc329810195"/>
      <w:bookmarkStart w:id="55" w:name="_Toc432194835"/>
      <w:bookmarkStart w:id="56" w:name="_Toc86124052"/>
      <w:bookmarkStart w:id="57" w:name="_Toc470507049"/>
      <w:bookmarkStart w:id="58" w:name="_Toc383175061"/>
      <w:bookmarkStart w:id="59" w:name="_Toc383175285"/>
      <w:bookmarkStart w:id="60" w:name="_Toc383175483"/>
      <w:r>
        <w:rPr>
          <w:rFonts w:hint="eastAsia" w:ascii="宋体" w:hAnsi="宋体" w:cs="宋体"/>
          <w:b/>
          <w:color w:val="auto"/>
          <w:sz w:val="24"/>
          <w:highlight w:val="none"/>
        </w:rPr>
        <w:t>.</w:t>
      </w:r>
      <w:r>
        <w:rPr>
          <w:rFonts w:hint="eastAsia" w:ascii="宋体" w:hAnsi="宋体" w:cs="宋体"/>
          <w:b/>
          <w:bCs/>
          <w:color w:val="auto"/>
          <w:sz w:val="24"/>
          <w:highlight w:val="none"/>
        </w:rPr>
        <w:t>响应文件编写注意事项</w:t>
      </w:r>
      <w:bookmarkEnd w:id="52"/>
      <w:bookmarkEnd w:id="53"/>
      <w:bookmarkEnd w:id="54"/>
      <w:bookmarkEnd w:id="55"/>
      <w:bookmarkEnd w:id="56"/>
      <w:bookmarkEnd w:id="57"/>
      <w:bookmarkEnd w:id="58"/>
      <w:bookmarkEnd w:id="59"/>
      <w:bookmarkEnd w:id="60"/>
    </w:p>
    <w:p w14:paraId="351D5D22">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12.1供应商应仔细阅读竞争性磋商文件，在完全了解采购的内容、技术性能要求（见第五章《采购需求》）和商务条件后，根据竞争性磋商文件要求编写响应文件。</w:t>
      </w:r>
    </w:p>
    <w:p w14:paraId="71B92DDF">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12.2对竞争性磋商文件提出的实质性要求和条件作出响应是指供应商的响应文件必须对竞争性磋商文件中规定的成交实质性要求和条件作出满足或者优于原要求和条件的承诺，并提供相应的证明材料，否则按无效响应处理。</w:t>
      </w:r>
    </w:p>
    <w:p w14:paraId="522DFCD6">
      <w:pPr>
        <w:tabs>
          <w:tab w:val="left" w:pos="105"/>
          <w:tab w:val="left" w:pos="735"/>
          <w:tab w:val="left" w:pos="945"/>
          <w:tab w:val="left" w:pos="3360"/>
          <w:tab w:val="left" w:pos="4988"/>
        </w:tabs>
        <w:adjustRightInd w:val="0"/>
        <w:snapToGrid w:val="0"/>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13</w:t>
      </w:r>
      <w:r>
        <w:rPr>
          <w:rFonts w:hint="eastAsia" w:ascii="宋体" w:hAnsi="宋体" w:cs="宋体"/>
          <w:b/>
          <w:color w:val="auto"/>
          <w:sz w:val="24"/>
          <w:highlight w:val="none"/>
        </w:rPr>
        <w:t>.</w:t>
      </w:r>
      <w:r>
        <w:rPr>
          <w:rFonts w:hint="eastAsia" w:ascii="宋体" w:hAnsi="宋体" w:cs="宋体"/>
          <w:b/>
          <w:bCs/>
          <w:color w:val="auto"/>
          <w:sz w:val="24"/>
          <w:highlight w:val="none"/>
        </w:rPr>
        <w:t>语言文字</w:t>
      </w:r>
    </w:p>
    <w:p w14:paraId="14C5E98A">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13.1供应商的响应文件以及供应商与采购人、采购代理机构、磋商小组就有关磋商的所有来往函电统一使用中文（特别规定除外）。</w:t>
      </w:r>
    </w:p>
    <w:p w14:paraId="173612DE">
      <w:pPr>
        <w:tabs>
          <w:tab w:val="left" w:pos="105"/>
          <w:tab w:val="left" w:pos="735"/>
          <w:tab w:val="left" w:pos="945"/>
          <w:tab w:val="left" w:pos="3360"/>
          <w:tab w:val="left" w:pos="4988"/>
        </w:tabs>
        <w:adjustRightInd w:val="0"/>
        <w:snapToGrid w:val="0"/>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14</w:t>
      </w:r>
      <w:r>
        <w:rPr>
          <w:rFonts w:hint="eastAsia" w:ascii="宋体" w:hAnsi="宋体" w:cs="宋体"/>
          <w:b/>
          <w:color w:val="auto"/>
          <w:sz w:val="24"/>
          <w:highlight w:val="none"/>
        </w:rPr>
        <w:t>.</w:t>
      </w:r>
      <w:r>
        <w:rPr>
          <w:rFonts w:hint="eastAsia" w:ascii="宋体" w:hAnsi="宋体" w:cs="宋体"/>
          <w:b/>
          <w:bCs/>
          <w:color w:val="auto"/>
          <w:sz w:val="24"/>
          <w:highlight w:val="none"/>
        </w:rPr>
        <w:t>计量单位</w:t>
      </w:r>
    </w:p>
    <w:p w14:paraId="38C5BD98">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14.1响应文件中使用的计量单位除竞争性磋商文件中有特殊规定外，一律使用中国法定计量单位。</w:t>
      </w:r>
    </w:p>
    <w:p w14:paraId="247DF381">
      <w:pPr>
        <w:tabs>
          <w:tab w:val="left" w:pos="105"/>
          <w:tab w:val="left" w:pos="735"/>
          <w:tab w:val="left" w:pos="945"/>
          <w:tab w:val="left" w:pos="3360"/>
          <w:tab w:val="left" w:pos="4988"/>
        </w:tabs>
        <w:adjustRightInd w:val="0"/>
        <w:snapToGrid w:val="0"/>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15</w:t>
      </w:r>
      <w:r>
        <w:rPr>
          <w:rFonts w:hint="eastAsia" w:ascii="宋体" w:hAnsi="宋体" w:cs="宋体"/>
          <w:b/>
          <w:color w:val="auto"/>
          <w:sz w:val="24"/>
          <w:highlight w:val="none"/>
        </w:rPr>
        <w:t>.</w:t>
      </w:r>
      <w:r>
        <w:rPr>
          <w:rFonts w:hint="eastAsia" w:ascii="宋体" w:hAnsi="宋体" w:cs="宋体"/>
          <w:b/>
          <w:bCs/>
          <w:color w:val="auto"/>
          <w:sz w:val="24"/>
          <w:highlight w:val="none"/>
        </w:rPr>
        <w:t>响应文件的组成</w:t>
      </w:r>
    </w:p>
    <w:p w14:paraId="40DB71BF">
      <w:pPr>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15.1供应商编写的响应文件应按第四章《响应文件格式》要求填写。有关文件的提交如未特别注明需提供原件的，可提供复印件。</w:t>
      </w:r>
    </w:p>
    <w:p w14:paraId="37220245">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15.2构成响应文件的其他资料：详见《供应商须知前附表》。</w:t>
      </w:r>
    </w:p>
    <w:p w14:paraId="0CE80816">
      <w:pPr>
        <w:spacing w:line="360" w:lineRule="auto"/>
        <w:ind w:firstLine="420" w:firstLineChars="200"/>
        <w:jc w:val="lef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15.3供应商同时参加多个标段（若分标段时）的，响应文件应按标段分别编制，单独成册。</w:t>
      </w:r>
    </w:p>
    <w:p w14:paraId="3F268790">
      <w:pPr>
        <w:tabs>
          <w:tab w:val="left" w:pos="105"/>
          <w:tab w:val="left" w:pos="735"/>
          <w:tab w:val="left" w:pos="945"/>
          <w:tab w:val="left" w:pos="3360"/>
          <w:tab w:val="left" w:pos="4988"/>
        </w:tabs>
        <w:adjustRightInd w:val="0"/>
        <w:snapToGrid w:val="0"/>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★16</w:t>
      </w:r>
      <w:r>
        <w:rPr>
          <w:rFonts w:hint="eastAsia" w:ascii="宋体" w:hAnsi="宋体" w:cs="宋体"/>
          <w:b/>
          <w:color w:val="auto"/>
          <w:sz w:val="24"/>
          <w:highlight w:val="none"/>
        </w:rPr>
        <w:t>.</w:t>
      </w:r>
      <w:r>
        <w:rPr>
          <w:rFonts w:hint="eastAsia" w:ascii="宋体" w:hAnsi="宋体" w:cs="宋体"/>
          <w:b/>
          <w:bCs/>
          <w:color w:val="auto"/>
          <w:sz w:val="24"/>
          <w:highlight w:val="none"/>
        </w:rPr>
        <w:t>响应文件的格式要求</w:t>
      </w:r>
    </w:p>
    <w:p w14:paraId="13D4E3C4">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16.1供应商应按第四章《响应文件格式》提供的格式完整地填写，未按竞争性磋商文件规定格式填写的响应文件按无效响应处理。</w:t>
      </w:r>
    </w:p>
    <w:p w14:paraId="714C386B">
      <w:pPr>
        <w:tabs>
          <w:tab w:val="left" w:pos="105"/>
          <w:tab w:val="left" w:pos="735"/>
          <w:tab w:val="left" w:pos="945"/>
          <w:tab w:val="left" w:pos="3360"/>
          <w:tab w:val="left" w:pos="4988"/>
        </w:tabs>
        <w:adjustRightInd w:val="0"/>
        <w:snapToGrid w:val="0"/>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★17</w:t>
      </w:r>
      <w:r>
        <w:rPr>
          <w:rFonts w:hint="eastAsia" w:ascii="宋体" w:hAnsi="宋体" w:cs="宋体"/>
          <w:b/>
          <w:color w:val="auto"/>
          <w:sz w:val="24"/>
          <w:highlight w:val="none"/>
        </w:rPr>
        <w:t>.</w:t>
      </w:r>
      <w:r>
        <w:rPr>
          <w:rFonts w:hint="eastAsia" w:ascii="宋体" w:hAnsi="宋体" w:cs="宋体"/>
          <w:b/>
          <w:bCs/>
          <w:color w:val="auto"/>
          <w:sz w:val="24"/>
          <w:highlight w:val="none"/>
        </w:rPr>
        <w:t>响应文件有效期</w:t>
      </w:r>
    </w:p>
    <w:p w14:paraId="0E61F949">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17.1在《供应商须知前附表》规定的有效期内，供应商不得要求撤销或修改其响应文件。</w:t>
      </w:r>
    </w:p>
    <w:p w14:paraId="34C77D1D">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17.2因特殊情况需要延长响应文件有效期的，采购代理机构以书面形式通知所有供应商延长有效期。供应商同意延长的，应相应延长其响应文件中所有内容及磋商保证金的有效期，但不得要求或被允许修改或撤销其响应文件；供应商拒绝延长的，其响应文件失效，但供应商有权收回其磋商保证金。</w:t>
      </w:r>
    </w:p>
    <w:p w14:paraId="36CB04E8">
      <w:pPr>
        <w:autoSpaceDE w:val="0"/>
        <w:autoSpaceDN w:val="0"/>
        <w:adjustRightInd w:val="0"/>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★18</w:t>
      </w:r>
      <w:r>
        <w:rPr>
          <w:rFonts w:hint="eastAsia" w:ascii="宋体" w:hAnsi="宋体" w:cs="宋体"/>
          <w:b/>
          <w:color w:val="auto"/>
          <w:sz w:val="24"/>
          <w:highlight w:val="none"/>
        </w:rPr>
        <w:t>.</w:t>
      </w:r>
      <w:r>
        <w:rPr>
          <w:rFonts w:hint="eastAsia" w:ascii="宋体" w:hAnsi="宋体" w:cs="宋体"/>
          <w:b/>
          <w:bCs/>
          <w:color w:val="auto"/>
          <w:sz w:val="24"/>
          <w:highlight w:val="none"/>
        </w:rPr>
        <w:t>磋商保证金交纳及退还</w:t>
      </w:r>
    </w:p>
    <w:p w14:paraId="0DECB73D">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18.1供应商应按《供应商须知前附表》规定的金额、形式向采购代理机构交纳磋商保证金，磋商保证金须在响应文件提交截止时间前从供应商基本账户交纳到</w:t>
      </w:r>
      <w:r>
        <w:rPr>
          <w:rFonts w:hint="eastAsia" w:ascii="宋体" w:hAnsi="宋体" w:cs="宋体"/>
          <w:color w:val="auto"/>
          <w:szCs w:val="21"/>
          <w:highlight w:val="none"/>
          <w:lang w:eastAsia="zh-CN"/>
        </w:rPr>
        <w:t>云南冠睿咨询有限公司</w:t>
      </w:r>
      <w:r>
        <w:rPr>
          <w:rFonts w:hint="eastAsia" w:ascii="宋体" w:hAnsi="宋体" w:cs="宋体"/>
          <w:color w:val="auto"/>
          <w:szCs w:val="21"/>
          <w:highlight w:val="none"/>
        </w:rPr>
        <w:t>指定的</w:t>
      </w:r>
      <w:r>
        <w:rPr>
          <w:rFonts w:hint="eastAsia" w:ascii="宋体" w:hAnsi="宋体" w:cs="宋体"/>
          <w:color w:val="auto"/>
          <w:szCs w:val="21"/>
          <w:highlight w:val="none"/>
          <w:lang w:eastAsia="zh-CN"/>
        </w:rPr>
        <w:t>账</w:t>
      </w:r>
      <w:r>
        <w:rPr>
          <w:rFonts w:hint="eastAsia" w:ascii="宋体" w:hAnsi="宋体" w:cs="宋体"/>
          <w:color w:val="auto"/>
          <w:szCs w:val="21"/>
          <w:highlight w:val="none"/>
        </w:rPr>
        <w:t>户，供应商未按照竞争性磋商文件要求提交磋商保证金的，响应无效。</w:t>
      </w:r>
    </w:p>
    <w:p w14:paraId="30D79CB4">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18.2采购代理机构在成交通知书发出后</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个工作日内退还未成交供应商的磋商保证金，成交供应商的磋商保证金在采购合同签订后5个工作日内退还，但因供应商自身原因导致无法及时退还的除外。出现下列情形之一的，磋商保证金不予退还：</w:t>
      </w:r>
    </w:p>
    <w:p w14:paraId="49C882F6">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（1）供应商在提交响应文件截止时间后撤回响应文件的；</w:t>
      </w:r>
    </w:p>
    <w:p w14:paraId="7AF6F894">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（2）供应商在响应文件中提供虚假材料的；</w:t>
      </w:r>
    </w:p>
    <w:p w14:paraId="451F2BAB">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（3）除因不可抗力或竞争性磋商文件认可的情形以外，成交供应商不与采购人签订合同的；</w:t>
      </w:r>
    </w:p>
    <w:p w14:paraId="4DACD0F5">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（4）供应商与采购人、其他供应商或者采购代理机构恶意串通的；</w:t>
      </w:r>
    </w:p>
    <w:p w14:paraId="46679790">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（5）竞争性磋商文件规定的其他情形。</w:t>
      </w:r>
    </w:p>
    <w:p w14:paraId="29374357">
      <w:pPr>
        <w:autoSpaceDE w:val="0"/>
        <w:autoSpaceDN w:val="0"/>
        <w:adjustRightInd w:val="0"/>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19</w:t>
      </w:r>
      <w:r>
        <w:rPr>
          <w:rFonts w:hint="eastAsia" w:ascii="宋体" w:hAnsi="宋体" w:cs="宋体"/>
          <w:b/>
          <w:color w:val="auto"/>
          <w:sz w:val="24"/>
          <w:highlight w:val="none"/>
        </w:rPr>
        <w:t>.</w:t>
      </w:r>
      <w:r>
        <w:rPr>
          <w:rFonts w:hint="eastAsia" w:ascii="宋体" w:hAnsi="宋体" w:cs="宋体"/>
          <w:b/>
          <w:bCs/>
          <w:color w:val="auto"/>
          <w:sz w:val="24"/>
          <w:highlight w:val="none"/>
        </w:rPr>
        <w:t>响应文件的编制</w:t>
      </w:r>
    </w:p>
    <w:p w14:paraId="50FD823A">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19.1</w:t>
      </w:r>
      <w:r>
        <w:rPr>
          <w:rFonts w:hint="eastAsia" w:ascii="宋体" w:hAnsi="宋体" w:cs="宋体"/>
          <w:color w:val="auto"/>
          <w:highlight w:val="none"/>
        </w:rPr>
        <w:t>响应文件签署</w:t>
      </w:r>
      <w:r>
        <w:rPr>
          <w:rFonts w:hint="eastAsia" w:ascii="宋体" w:hAnsi="宋体" w:cs="宋体"/>
          <w:color w:val="auto"/>
          <w:highlight w:val="none"/>
          <w:lang w:eastAsia="zh-CN"/>
        </w:rPr>
        <w:t>：</w:t>
      </w:r>
      <w:r>
        <w:rPr>
          <w:rFonts w:hint="eastAsia" w:ascii="宋体" w:hAnsi="宋体" w:cs="宋体"/>
          <w:color w:val="auto"/>
          <w:szCs w:val="21"/>
          <w:highlight w:val="none"/>
        </w:rPr>
        <w:t>响应文件编制完成后须用</w:t>
      </w:r>
      <w:r>
        <w:rPr>
          <w:rFonts w:hint="eastAsia" w:ascii="宋体" w:hAnsi="宋体" w:cs="宋体"/>
          <w:color w:val="auto"/>
          <w:szCs w:val="21"/>
          <w:highlight w:val="none"/>
          <w:lang w:eastAsia="zh-CN"/>
        </w:rPr>
        <w:t>数字证书（CA）</w:t>
      </w:r>
      <w:r>
        <w:rPr>
          <w:rFonts w:hint="eastAsia" w:ascii="宋体" w:hAnsi="宋体" w:cs="宋体"/>
          <w:color w:val="auto"/>
          <w:szCs w:val="21"/>
          <w:highlight w:val="none"/>
        </w:rPr>
        <w:t>按格式进行电子签章，在所要求的位置有法定代表人的</w:t>
      </w:r>
      <w:r>
        <w:rPr>
          <w:rFonts w:hint="eastAsia" w:ascii="宋体" w:hAnsi="宋体" w:cs="宋体"/>
          <w:color w:val="auto"/>
          <w:szCs w:val="21"/>
          <w:highlight w:val="none"/>
          <w:lang w:eastAsia="zh-CN"/>
        </w:rPr>
        <w:t>电子签名或盖章</w:t>
      </w:r>
      <w:r>
        <w:rPr>
          <w:rFonts w:hint="eastAsia" w:ascii="宋体" w:hAnsi="宋体" w:cs="宋体"/>
          <w:color w:val="auto"/>
          <w:szCs w:val="21"/>
          <w:highlight w:val="none"/>
        </w:rPr>
        <w:t>，均使用</w:t>
      </w:r>
      <w:r>
        <w:rPr>
          <w:rFonts w:hint="eastAsia" w:ascii="宋体" w:hAnsi="宋体" w:cs="宋体"/>
          <w:color w:val="auto"/>
          <w:szCs w:val="21"/>
          <w:highlight w:val="none"/>
          <w:lang w:eastAsia="zh-CN"/>
        </w:rPr>
        <w:t>数字证书（CA）</w:t>
      </w:r>
      <w:r>
        <w:rPr>
          <w:rFonts w:hint="eastAsia" w:ascii="宋体" w:hAnsi="宋体" w:cs="宋体"/>
          <w:color w:val="auto"/>
          <w:szCs w:val="21"/>
          <w:highlight w:val="none"/>
        </w:rPr>
        <w:t>按格式进行电子签章，联合体参加磋商的除格式要求外，可由联合体牵头单位签署。</w:t>
      </w:r>
    </w:p>
    <w:p w14:paraId="4325969B">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19.2响应文件应尽量避免涂改、行间插字或删除。如果出现上述情况，改动之处应加盖供应商的公章或供应商法定代表人签字确认。</w:t>
      </w:r>
    </w:p>
    <w:p w14:paraId="52B36681">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19.3响应文件应由法定代表人在竞争性磋商文件规定签字处逐一</w:t>
      </w:r>
      <w:r>
        <w:rPr>
          <w:rFonts w:hint="eastAsia" w:ascii="宋体" w:hAnsi="宋体" w:cs="宋体"/>
          <w:color w:val="auto"/>
          <w:szCs w:val="21"/>
          <w:highlight w:val="none"/>
          <w:lang w:eastAsia="zh-CN"/>
        </w:rPr>
        <w:t>电子签名或盖章</w:t>
      </w:r>
      <w:r>
        <w:rPr>
          <w:rFonts w:hint="eastAsia" w:ascii="宋体" w:hAnsi="宋体" w:cs="宋体"/>
          <w:color w:val="auto"/>
          <w:szCs w:val="21"/>
          <w:highlight w:val="none"/>
        </w:rPr>
        <w:t>，要求盖章处应</w:t>
      </w:r>
      <w:r>
        <w:rPr>
          <w:rFonts w:hint="eastAsia" w:ascii="宋体" w:hAnsi="宋体" w:cs="宋体"/>
          <w:color w:val="auto"/>
          <w:szCs w:val="21"/>
          <w:highlight w:val="none"/>
          <w:lang w:eastAsia="zh-CN"/>
        </w:rPr>
        <w:t>加盖供应商电子公章</w:t>
      </w:r>
      <w:r>
        <w:rPr>
          <w:rFonts w:hint="eastAsia" w:ascii="宋体" w:hAnsi="宋体" w:cs="宋体"/>
          <w:color w:val="auto"/>
          <w:szCs w:val="21"/>
          <w:highlight w:val="none"/>
        </w:rPr>
        <w:t>，若以“投标专用章”或“合同专用章”代替的，须出具供应商单位公章对“投标专用章”或“合同专用章”的授权函原件。</w:t>
      </w:r>
    </w:p>
    <w:p w14:paraId="3FD9A273">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19.4响应文件和来往函件均应采用中文书写，计量单位使用中国或国际标准单位。</w:t>
      </w:r>
    </w:p>
    <w:p w14:paraId="10D9F95C">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19.5最后报价采用人民币进行报价，若中文文字形式表示的数值与数字形式表示的数值不一致，以中文文字形式表示的数值为准。</w:t>
      </w:r>
    </w:p>
    <w:p w14:paraId="79637968">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19.6响应文件的组成应包括下列内容（但不限于）：详见</w:t>
      </w:r>
      <w:r>
        <w:rPr>
          <w:rFonts w:hint="eastAsia" w:ascii="宋体" w:hAnsi="宋体" w:cs="宋体"/>
          <w:color w:val="auto"/>
          <w:szCs w:val="21"/>
          <w:highlight w:val="none"/>
          <w:lang w:eastAsia="zh-CN"/>
        </w:rPr>
        <w:t>第四章</w:t>
      </w:r>
      <w:r>
        <w:rPr>
          <w:rFonts w:hint="eastAsia" w:ascii="宋体" w:hAnsi="宋体" w:cs="宋体"/>
          <w:color w:val="auto"/>
          <w:szCs w:val="21"/>
          <w:highlight w:val="none"/>
        </w:rPr>
        <w:t>《响应文件格式》部分。</w:t>
      </w:r>
    </w:p>
    <w:p w14:paraId="3D06F3D3">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19.7响应文件中提供的资料（包括复印件）、关键内容必须清晰可辨，若出现字迹潦草、表达不清、未按要求填写而导致非唯一理解，视为未实质性响应竞争性磋商文件，供应商响应文件将按无效响应处理。</w:t>
      </w:r>
      <w:bookmarkStart w:id="61" w:name="_Toc86124056"/>
      <w:bookmarkStart w:id="62" w:name="_Toc432194837"/>
      <w:bookmarkStart w:id="63" w:name="_Toc432106486"/>
      <w:bookmarkStart w:id="64" w:name="_Toc383175485"/>
      <w:bookmarkStart w:id="65" w:name="_Toc383175063"/>
      <w:bookmarkStart w:id="66" w:name="_Toc383175287"/>
      <w:bookmarkStart w:id="67" w:name="_Toc470507051"/>
      <w:bookmarkStart w:id="68" w:name="_Toc329810197"/>
      <w:bookmarkStart w:id="69" w:name="_Toc482343737"/>
    </w:p>
    <w:p w14:paraId="74341949">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19.8按“政采云”要求，上传电子响应文件壹份。</w:t>
      </w:r>
      <w:r>
        <w:rPr>
          <w:rFonts w:hint="eastAsia" w:ascii="宋体" w:hAnsi="宋体" w:cs="宋体"/>
          <w:color w:val="auto"/>
          <w:szCs w:val="21"/>
          <w:highlight w:val="none"/>
        </w:rPr>
        <w:t>供应商应安装</w:t>
      </w:r>
      <w:r>
        <w:rPr>
          <w:rFonts w:hint="eastAsia" w:ascii="宋体" w:hAnsi="宋体" w:cs="宋体"/>
          <w:color w:val="auto"/>
          <w:szCs w:val="21"/>
          <w:highlight w:val="none"/>
          <w:lang w:eastAsia="zh-CN"/>
        </w:rPr>
        <w:t>“政采云”</w:t>
      </w:r>
      <w:r>
        <w:rPr>
          <w:rFonts w:hint="eastAsia" w:ascii="宋体" w:hAnsi="宋体" w:cs="宋体"/>
          <w:color w:val="auto"/>
          <w:szCs w:val="21"/>
          <w:highlight w:val="none"/>
        </w:rPr>
        <w:t>投标客户端，根据采购文件格式编制响应文件，生成加密标书后进行上传。</w:t>
      </w:r>
    </w:p>
    <w:p w14:paraId="750202DC">
      <w:pPr>
        <w:autoSpaceDE w:val="0"/>
        <w:autoSpaceDN w:val="0"/>
        <w:adjustRightInd w:val="0"/>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20</w:t>
      </w:r>
      <w:r>
        <w:rPr>
          <w:rFonts w:hint="eastAsia" w:ascii="宋体" w:hAnsi="宋体" w:cs="宋体"/>
          <w:b/>
          <w:color w:val="auto"/>
          <w:sz w:val="24"/>
          <w:highlight w:val="none"/>
        </w:rPr>
        <w:t>.</w:t>
      </w:r>
      <w:r>
        <w:rPr>
          <w:rFonts w:hint="eastAsia" w:ascii="宋体" w:hAnsi="宋体" w:cs="宋体"/>
          <w:b/>
          <w:bCs/>
          <w:color w:val="auto"/>
          <w:sz w:val="24"/>
          <w:highlight w:val="none"/>
        </w:rPr>
        <w:t>报价</w:t>
      </w:r>
      <w:bookmarkEnd w:id="61"/>
      <w:r>
        <w:rPr>
          <w:rFonts w:hint="eastAsia" w:ascii="宋体" w:hAnsi="宋体" w:cs="宋体"/>
          <w:b/>
          <w:bCs/>
          <w:color w:val="auto"/>
          <w:sz w:val="24"/>
          <w:highlight w:val="none"/>
        </w:rPr>
        <w:t>和报价货币</w:t>
      </w:r>
      <w:bookmarkEnd w:id="62"/>
      <w:bookmarkEnd w:id="63"/>
      <w:bookmarkEnd w:id="64"/>
      <w:bookmarkEnd w:id="65"/>
      <w:bookmarkEnd w:id="66"/>
      <w:bookmarkEnd w:id="67"/>
      <w:bookmarkEnd w:id="68"/>
      <w:bookmarkEnd w:id="69"/>
    </w:p>
    <w:p w14:paraId="1585DCBA">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20.1磋商结束后，磋商小组将要求所有实质性响应的供应商在规定时间内提交最后报价，提交最后报价的供应商</w:t>
      </w:r>
      <w:r>
        <w:rPr>
          <w:rFonts w:hint="eastAsia" w:ascii="宋体" w:hAnsi="宋体" w:cs="宋体"/>
          <w:color w:val="auto"/>
          <w:szCs w:val="21"/>
          <w:highlight w:val="none"/>
          <w:lang w:eastAsia="zh-CN"/>
        </w:rPr>
        <w:t>不得少于</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lang w:eastAsia="zh-CN"/>
        </w:rPr>
        <w:t>家</w:t>
      </w:r>
      <w:r>
        <w:rPr>
          <w:rFonts w:hint="eastAsia" w:ascii="宋体" w:hAnsi="宋体" w:cs="宋体"/>
          <w:color w:val="auto"/>
          <w:szCs w:val="21"/>
          <w:highlight w:val="none"/>
        </w:rPr>
        <w:t>。最后报价超过采购预算金额的供应商将被视为未实质性响应竞争性磋商文件要求，按无效响应处理。</w:t>
      </w:r>
    </w:p>
    <w:p w14:paraId="18D36CFD">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20.2供应商应依据磋商文件的要求及有关资料，执行国家或行业现行技术经济标准、定额及规范，自行测算出满足采购要求的货物、工程或者服务的竞争性报价，该报价应符合市场行情并能保证供应商完成履行合同所需的一切工作。合同一旦签订，此价格在合同实施期间将不因市场价格等的变化而调整。</w:t>
      </w:r>
    </w:p>
    <w:p w14:paraId="229BD18F">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20.3最后报价是供应商响应文件的有效组成部分，供应商必须对所参加项目内所有内容进行完整唯一报价，不得缺项、漏项，否则按无效响应处理。</w:t>
      </w:r>
    </w:p>
    <w:p w14:paraId="505ADFB5">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20.4无论分项价格是否填报完全，供应商的最后报价将被视为已经包含了所有分项价格以及与项目相关的所有货物、工程或者服务费用。由于供应商分项报价填报不完整、不清楚或存在其它任何失误所导致的任何不利后果均由供应商自行承担。</w:t>
      </w:r>
    </w:p>
    <w:p w14:paraId="2846EEC6">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20.</w:t>
      </w:r>
      <w:r>
        <w:rPr>
          <w:rFonts w:hint="eastAsia" w:ascii="宋体" w:hAnsi="宋体" w:cs="宋体"/>
          <w:color w:val="auto"/>
          <w:szCs w:val="21"/>
          <w:highlight w:val="none"/>
          <w:lang w:val="en-US" w:eastAsia="zh-CN"/>
        </w:rPr>
        <w:t>5提交响应文件的供应商，随机抽取磋商顺序，供应商按照“政采云”平台的顺序进行磋商、承诺及最后报价。</w:t>
      </w:r>
    </w:p>
    <w:p w14:paraId="33FC0AD3">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20.</w:t>
      </w:r>
      <w:r>
        <w:rPr>
          <w:rFonts w:hint="eastAsia" w:ascii="宋体" w:hAnsi="宋体" w:cs="宋体"/>
          <w:color w:val="auto"/>
          <w:szCs w:val="21"/>
          <w:highlight w:val="none"/>
          <w:lang w:val="en-US" w:eastAsia="zh-CN"/>
        </w:rPr>
        <w:t>6</w:t>
      </w:r>
      <w:r>
        <w:rPr>
          <w:rFonts w:hint="eastAsia" w:cs="宋体"/>
          <w:color w:val="auto"/>
          <w:szCs w:val="21"/>
          <w:highlight w:val="none"/>
        </w:rPr>
        <w:t>磋商</w:t>
      </w:r>
      <w:r>
        <w:rPr>
          <w:rFonts w:hint="eastAsia" w:ascii="宋体" w:hAnsi="宋体" w:cs="宋体"/>
          <w:color w:val="auto"/>
          <w:szCs w:val="21"/>
          <w:highlight w:val="none"/>
        </w:rPr>
        <w:t>小组认为供应商的报价明显低于其他通过实质性评审供应商的报价，有可能影响产品质量或者不能诚信履约的，将要求其在评标现场合理的时间内提供书面说明，必要时提交相关证明材料；供应商不能证明其报价合理性的，</w:t>
      </w:r>
      <w:r>
        <w:rPr>
          <w:rFonts w:hint="eastAsia" w:cs="宋体"/>
          <w:color w:val="auto"/>
          <w:szCs w:val="21"/>
          <w:highlight w:val="none"/>
        </w:rPr>
        <w:t>磋商</w:t>
      </w:r>
      <w:r>
        <w:rPr>
          <w:rFonts w:hint="eastAsia" w:ascii="宋体" w:hAnsi="宋体" w:cs="宋体"/>
          <w:color w:val="auto"/>
          <w:szCs w:val="21"/>
          <w:highlight w:val="none"/>
        </w:rPr>
        <w:t>小组将认定供应商响应文件无效。</w:t>
      </w:r>
    </w:p>
    <w:p w14:paraId="65275966">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20.</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供应商应保证其提供的货物、工程或者服务在采购人使用期间不受第三方可能提出的侵犯其所有权、知识产权、商标权、专利权、著作权等相关权利的起诉。</w:t>
      </w:r>
    </w:p>
    <w:p w14:paraId="48D59276">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20.</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报价货币为人民币。</w:t>
      </w:r>
    </w:p>
    <w:p w14:paraId="3046154A">
      <w:pPr>
        <w:tabs>
          <w:tab w:val="left" w:pos="3150"/>
          <w:tab w:val="center" w:pos="4734"/>
        </w:tabs>
        <w:spacing w:line="500" w:lineRule="exact"/>
        <w:ind w:firstLine="241" w:firstLineChars="100"/>
        <w:jc w:val="center"/>
        <w:rPr>
          <w:rFonts w:hint="eastAsia" w:ascii="宋体" w:hAnsi="宋体" w:cs="宋体"/>
          <w:b/>
          <w:color w:val="auto"/>
          <w:sz w:val="24"/>
          <w:highlight w:val="none"/>
        </w:rPr>
      </w:pPr>
      <w:r>
        <w:rPr>
          <w:rFonts w:hint="eastAsia" w:ascii="宋体" w:hAnsi="宋体" w:cs="宋体"/>
          <w:b/>
          <w:color w:val="auto"/>
          <w:sz w:val="24"/>
          <w:highlight w:val="none"/>
        </w:rPr>
        <w:t>四、提交响应文件</w:t>
      </w:r>
    </w:p>
    <w:p w14:paraId="229FD573">
      <w:pPr>
        <w:autoSpaceDE w:val="0"/>
        <w:autoSpaceDN w:val="0"/>
        <w:adjustRightInd w:val="0"/>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21</w:t>
      </w:r>
      <w:r>
        <w:rPr>
          <w:rFonts w:hint="eastAsia" w:ascii="宋体" w:hAnsi="宋体" w:cs="宋体"/>
          <w:b/>
          <w:color w:val="auto"/>
          <w:sz w:val="24"/>
          <w:highlight w:val="none"/>
        </w:rPr>
        <w:t>.</w:t>
      </w:r>
      <w:r>
        <w:rPr>
          <w:rFonts w:hint="eastAsia" w:ascii="宋体" w:hAnsi="宋体" w:cs="宋体"/>
          <w:b/>
          <w:bCs/>
          <w:color w:val="auto"/>
          <w:sz w:val="24"/>
          <w:highlight w:val="none"/>
        </w:rPr>
        <w:t>响应文件的密封和标记</w:t>
      </w:r>
    </w:p>
    <w:p w14:paraId="73B0060E">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21.1按照</w:t>
      </w:r>
      <w:r>
        <w:rPr>
          <w:rFonts w:hint="eastAsia" w:ascii="宋体" w:hAnsi="宋体" w:cs="宋体"/>
          <w:color w:val="auto"/>
          <w:szCs w:val="21"/>
          <w:highlight w:val="none"/>
          <w:lang w:eastAsia="zh-CN"/>
        </w:rPr>
        <w:t>“政采云”</w:t>
      </w:r>
      <w:r>
        <w:rPr>
          <w:rFonts w:hint="eastAsia" w:ascii="宋体" w:hAnsi="宋体" w:cs="宋体"/>
          <w:color w:val="auto"/>
          <w:szCs w:val="21"/>
          <w:highlight w:val="none"/>
        </w:rPr>
        <w:t>平台的要求编制、加密后在响应文件提交截止时间前上传至</w:t>
      </w:r>
      <w:r>
        <w:rPr>
          <w:rFonts w:hint="eastAsia" w:ascii="宋体" w:hAnsi="宋体" w:cs="宋体"/>
          <w:color w:val="auto"/>
          <w:szCs w:val="21"/>
          <w:highlight w:val="none"/>
          <w:lang w:eastAsia="zh-CN"/>
        </w:rPr>
        <w:t>“政采云”</w:t>
      </w:r>
      <w:r>
        <w:rPr>
          <w:rFonts w:hint="eastAsia" w:ascii="宋体" w:hAnsi="宋体" w:cs="宋体"/>
          <w:color w:val="auto"/>
          <w:szCs w:val="21"/>
          <w:highlight w:val="none"/>
        </w:rPr>
        <w:t>平台，响应文件提交截止时间前未完成响应文件上传的，视为撤回响应文件。</w:t>
      </w:r>
    </w:p>
    <w:p w14:paraId="45214672">
      <w:pPr>
        <w:autoSpaceDE w:val="0"/>
        <w:autoSpaceDN w:val="0"/>
        <w:adjustRightInd w:val="0"/>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22</w:t>
      </w:r>
      <w:r>
        <w:rPr>
          <w:rFonts w:hint="eastAsia" w:ascii="宋体" w:hAnsi="宋体" w:cs="宋体"/>
          <w:b/>
          <w:color w:val="auto"/>
          <w:sz w:val="24"/>
          <w:highlight w:val="none"/>
        </w:rPr>
        <w:t>.</w:t>
      </w:r>
      <w:r>
        <w:rPr>
          <w:rFonts w:hint="eastAsia" w:ascii="宋体" w:hAnsi="宋体" w:cs="宋体"/>
          <w:b/>
          <w:bCs/>
          <w:color w:val="auto"/>
          <w:sz w:val="24"/>
          <w:highlight w:val="none"/>
        </w:rPr>
        <w:t>响应文件的提交</w:t>
      </w:r>
    </w:p>
    <w:p w14:paraId="09483845">
      <w:pPr>
        <w:spacing w:line="360" w:lineRule="auto"/>
        <w:ind w:firstLine="420" w:firstLineChars="200"/>
        <w:jc w:val="left"/>
        <w:rPr>
          <w:rFonts w:hint="eastAsia" w:ascii="宋体" w:hAnsi="宋体" w:cs="宋体"/>
          <w:color w:val="auto"/>
          <w:szCs w:val="21"/>
          <w:highlight w:val="none"/>
        </w:rPr>
      </w:pPr>
      <w:bookmarkStart w:id="70" w:name="_Toc296602445"/>
      <w:r>
        <w:rPr>
          <w:rFonts w:hint="eastAsia" w:ascii="宋体" w:hAnsi="宋体" w:cs="宋体"/>
          <w:color w:val="auto"/>
          <w:szCs w:val="21"/>
          <w:highlight w:val="none"/>
        </w:rPr>
        <w:t>22.1响应文件提</w:t>
      </w:r>
      <w:bookmarkEnd w:id="70"/>
      <w:r>
        <w:rPr>
          <w:rFonts w:hint="eastAsia" w:ascii="宋体" w:hAnsi="宋体" w:cs="宋体"/>
          <w:color w:val="auto"/>
          <w:szCs w:val="21"/>
          <w:highlight w:val="none"/>
        </w:rPr>
        <w:t>交截止时间、提交响应文件的地点：详见《供应商须知前附表》。</w:t>
      </w:r>
    </w:p>
    <w:p w14:paraId="2CF7F8C5">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22.2除《供应商须知前附表》另有规定外，供应商所提交的响应文件不予退还。</w:t>
      </w:r>
    </w:p>
    <w:p w14:paraId="418C4715">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22.</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供应商应按照本项目采购文件和</w:t>
      </w:r>
      <w:r>
        <w:rPr>
          <w:rFonts w:hint="eastAsia" w:ascii="宋体" w:hAnsi="宋体" w:cs="宋体"/>
          <w:color w:val="auto"/>
          <w:szCs w:val="21"/>
          <w:highlight w:val="none"/>
          <w:lang w:eastAsia="zh-CN"/>
        </w:rPr>
        <w:t>“政采云”</w:t>
      </w:r>
      <w:r>
        <w:rPr>
          <w:rFonts w:hint="eastAsia" w:ascii="宋体" w:hAnsi="宋体" w:cs="宋体"/>
          <w:color w:val="auto"/>
          <w:szCs w:val="21"/>
          <w:highlight w:val="none"/>
        </w:rPr>
        <w:t>平台的要求编制、加密后在响应文件提交截止时间前上传至</w:t>
      </w:r>
      <w:r>
        <w:rPr>
          <w:rFonts w:hint="eastAsia" w:ascii="宋体" w:hAnsi="宋体" w:cs="宋体"/>
          <w:color w:val="auto"/>
          <w:szCs w:val="21"/>
          <w:highlight w:val="none"/>
          <w:lang w:eastAsia="zh-CN"/>
        </w:rPr>
        <w:t>“政采云”</w:t>
      </w:r>
      <w:r>
        <w:rPr>
          <w:rFonts w:hint="eastAsia" w:ascii="宋体" w:hAnsi="宋体" w:cs="宋体"/>
          <w:color w:val="auto"/>
          <w:szCs w:val="21"/>
          <w:highlight w:val="none"/>
        </w:rPr>
        <w:t>平台，响应文件提交截止时间前未完成响应文件上传的，视为撤回响应文件。供应商在</w:t>
      </w:r>
      <w:r>
        <w:rPr>
          <w:rFonts w:hint="eastAsia" w:ascii="宋体" w:hAnsi="宋体" w:cs="宋体"/>
          <w:color w:val="auto"/>
          <w:szCs w:val="21"/>
          <w:highlight w:val="none"/>
          <w:lang w:eastAsia="zh-CN"/>
        </w:rPr>
        <w:t>“政采云”</w:t>
      </w:r>
      <w:r>
        <w:rPr>
          <w:rFonts w:hint="eastAsia" w:ascii="宋体" w:hAnsi="宋体" w:cs="宋体"/>
          <w:color w:val="auto"/>
          <w:szCs w:val="21"/>
          <w:highlight w:val="none"/>
        </w:rPr>
        <w:t>平台提交电子版响应文件时，请填写参加远程采购活动经办人联系方式。</w:t>
      </w:r>
    </w:p>
    <w:p w14:paraId="7805D271">
      <w:pPr>
        <w:autoSpaceDE w:val="0"/>
        <w:autoSpaceDN w:val="0"/>
        <w:adjustRightInd w:val="0"/>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23</w:t>
      </w:r>
      <w:r>
        <w:rPr>
          <w:rFonts w:hint="eastAsia" w:ascii="宋体" w:hAnsi="宋体" w:cs="宋体"/>
          <w:b/>
          <w:color w:val="auto"/>
          <w:sz w:val="24"/>
          <w:highlight w:val="none"/>
        </w:rPr>
        <w:t>.</w:t>
      </w:r>
      <w:r>
        <w:rPr>
          <w:rFonts w:hint="eastAsia" w:ascii="宋体" w:hAnsi="宋体" w:cs="宋体"/>
          <w:b/>
          <w:bCs/>
          <w:color w:val="auto"/>
          <w:sz w:val="24"/>
          <w:highlight w:val="none"/>
        </w:rPr>
        <w:t>响应文件的补充、修改或者撤回</w:t>
      </w:r>
    </w:p>
    <w:p w14:paraId="5260853B">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23.1供应商在提交响应文件截止时间前，可以对所提交的响应文件进行补充、修改或者撤回。补充、修改的内容作为响应文件的组成部分。补充、修改的内容与响应文件不一致的，以补充、修改的内容为准。</w:t>
      </w:r>
    </w:p>
    <w:p w14:paraId="7DFD9B3E">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23.2供应商递交修改或撤回的文件，应按照本项目采购文件和</w:t>
      </w:r>
      <w:r>
        <w:rPr>
          <w:rFonts w:hint="eastAsia" w:ascii="宋体" w:hAnsi="宋体" w:cs="宋体"/>
          <w:color w:val="auto"/>
          <w:szCs w:val="21"/>
          <w:highlight w:val="none"/>
          <w:lang w:eastAsia="zh-CN"/>
        </w:rPr>
        <w:t>“政采云”</w:t>
      </w:r>
      <w:r>
        <w:rPr>
          <w:rFonts w:hint="eastAsia" w:ascii="宋体" w:hAnsi="宋体" w:cs="宋体"/>
          <w:color w:val="auto"/>
          <w:szCs w:val="21"/>
          <w:highlight w:val="none"/>
        </w:rPr>
        <w:t>平台的要求编制、加密后在响应文件提交截止时间前重新上传至</w:t>
      </w:r>
      <w:r>
        <w:rPr>
          <w:rFonts w:hint="eastAsia" w:ascii="宋体" w:hAnsi="宋体" w:cs="宋体"/>
          <w:color w:val="auto"/>
          <w:szCs w:val="21"/>
          <w:highlight w:val="none"/>
          <w:lang w:eastAsia="zh-CN"/>
        </w:rPr>
        <w:t>“政采云”</w:t>
      </w:r>
      <w:r>
        <w:rPr>
          <w:rFonts w:hint="eastAsia" w:ascii="宋体" w:hAnsi="宋体" w:cs="宋体"/>
          <w:color w:val="auto"/>
          <w:szCs w:val="21"/>
          <w:highlight w:val="none"/>
        </w:rPr>
        <w:t>平台，响应文件提交截止时间前未完成响应文件上传的，视为撤回响应文件。</w:t>
      </w:r>
    </w:p>
    <w:p w14:paraId="24A1A150">
      <w:pPr>
        <w:tabs>
          <w:tab w:val="left" w:pos="3150"/>
          <w:tab w:val="center" w:pos="4734"/>
        </w:tabs>
        <w:spacing w:line="500" w:lineRule="exact"/>
        <w:ind w:firstLine="241" w:firstLineChars="100"/>
        <w:jc w:val="center"/>
        <w:rPr>
          <w:rFonts w:hint="eastAsia" w:ascii="宋体" w:hAnsi="宋体" w:cs="宋体"/>
          <w:b/>
          <w:color w:val="auto"/>
          <w:sz w:val="24"/>
          <w:highlight w:val="none"/>
        </w:rPr>
      </w:pPr>
      <w:r>
        <w:rPr>
          <w:rFonts w:hint="eastAsia" w:ascii="宋体" w:hAnsi="宋体" w:cs="宋体"/>
          <w:b/>
          <w:color w:val="auto"/>
          <w:sz w:val="24"/>
          <w:highlight w:val="none"/>
        </w:rPr>
        <w:t>五、磋商</w:t>
      </w:r>
    </w:p>
    <w:p w14:paraId="1A6AB0B6">
      <w:pPr>
        <w:autoSpaceDE w:val="0"/>
        <w:autoSpaceDN w:val="0"/>
        <w:adjustRightInd w:val="0"/>
        <w:spacing w:line="440" w:lineRule="exact"/>
        <w:rPr>
          <w:rFonts w:hint="eastAsia" w:ascii="宋体" w:hAnsi="宋体" w:cs="宋体"/>
          <w:b/>
          <w:color w:val="auto"/>
          <w:sz w:val="24"/>
          <w:highlight w:val="none"/>
        </w:rPr>
      </w:pPr>
      <w:r>
        <w:rPr>
          <w:rFonts w:hint="eastAsia" w:ascii="宋体" w:hAnsi="宋体" w:cs="宋体"/>
          <w:b/>
          <w:bCs/>
          <w:color w:val="auto"/>
          <w:sz w:val="24"/>
          <w:highlight w:val="none"/>
        </w:rPr>
        <w:t>24</w:t>
      </w:r>
      <w:r>
        <w:rPr>
          <w:rFonts w:hint="eastAsia" w:ascii="宋体" w:hAnsi="宋体" w:cs="宋体"/>
          <w:b/>
          <w:color w:val="auto"/>
          <w:sz w:val="24"/>
          <w:highlight w:val="none"/>
        </w:rPr>
        <w:t>.磋商小组</w:t>
      </w:r>
    </w:p>
    <w:p w14:paraId="634C2F0F">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24.1磋商小组将在规定的时间和地点进行磋商。</w:t>
      </w:r>
    </w:p>
    <w:p w14:paraId="26780F42">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24.2磋商小组由采购人依法组建，磋商由磋商小组负责。磋商小组由采购人代表和评审专家共3人以上单数组成，其中评审专家人数不得少于磋商小组成员总数的2/3。磋商小组应当推选组长，但采购人代表不得担任组长。</w:t>
      </w:r>
    </w:p>
    <w:p w14:paraId="0B8AD9D8">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24.3磋商小组成员人数及名单在磋商结束之前保密。</w:t>
      </w:r>
    </w:p>
    <w:p w14:paraId="563E8598">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24.4采购人委派代表参加磋商会议的，要向采购代理机构出具授权函。除授权代表外，采购人可以委派纪检监察等相关人员进入磋商现场，对磋商工作实施监督，但不得超过2人。</w:t>
      </w:r>
    </w:p>
    <w:p w14:paraId="4912C195">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24.5评审方法：综合评分法，是指响应文件满足磋商文件全部实质性要求且按评审因素的量化指标评审得分最高的供应商为成交候选供应商的评审方法。</w:t>
      </w:r>
    </w:p>
    <w:p w14:paraId="45123E78">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24.6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50BBA8F">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24.7供应商的澄清、说明或者更正应当由法定代表人或其授权代表签字或者</w:t>
      </w:r>
      <w:r>
        <w:rPr>
          <w:rFonts w:hint="eastAsia" w:ascii="宋体" w:hAnsi="宋体" w:cs="宋体"/>
          <w:color w:val="auto"/>
          <w:szCs w:val="21"/>
          <w:highlight w:val="none"/>
          <w:lang w:eastAsia="zh-CN"/>
        </w:rPr>
        <w:t>加盖供应商电子公章</w:t>
      </w:r>
      <w:r>
        <w:rPr>
          <w:rFonts w:hint="eastAsia" w:ascii="宋体" w:hAnsi="宋体" w:cs="宋体"/>
          <w:color w:val="auto"/>
          <w:szCs w:val="21"/>
          <w:highlight w:val="none"/>
        </w:rPr>
        <w:t>。由授权代表签字的，应当附法定代表人授权书。供应商为自然人的，应当由本人签字并附身份证明。</w:t>
      </w:r>
    </w:p>
    <w:p w14:paraId="56969683">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24.8在磋商中，磋商的任何一方不得透露与磋商有关的其他供应商的技术资料、价格和其他信息。评审结束后，至确定成交供应商与采购人签订合同后止，凡与审查、澄清、评价、比较、推荐成交候选供应商意见有关的内容，任何人均不得向供应商及与磋商无关的其他人透露。</w:t>
      </w:r>
    </w:p>
    <w:p w14:paraId="6EFDA4F5">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24.9从响应文件提交截止日起到确定成交供应商之日止，供应商不得与参加磋商的有关人员私下接触。在磋商过程中，如果供应商试图在响应文件审查、澄清、比较及推荐方面向参与磋商的有关人员施加任何影响，其响应文件按无效响应处理。</w:t>
      </w:r>
    </w:p>
    <w:p w14:paraId="19397847">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24.10磋商小组根据竞争性磋商文件规定的磋商程序和方法对各供应商的响应文件进行综合评分，按照评审得分由高到低顺序推荐</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名以上成交候选供应商，评审得分相同的，按照最后报价由低到高的顺序推荐。评审得分且最后报价相同的，按照技术指标优劣顺序推荐。</w:t>
      </w:r>
    </w:p>
    <w:p w14:paraId="3C889741">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24.</w:t>
      </w:r>
      <w:bookmarkStart w:id="71" w:name="_Toc378499713"/>
      <w:bookmarkStart w:id="72" w:name="_Toc383175073"/>
      <w:bookmarkStart w:id="73" w:name="_Toc383175495"/>
      <w:bookmarkStart w:id="74" w:name="_Toc482343747"/>
      <w:bookmarkStart w:id="75" w:name="_Toc86124068"/>
      <w:bookmarkStart w:id="76" w:name="_Toc432106496"/>
      <w:bookmarkStart w:id="77" w:name="_Toc470507061"/>
      <w:bookmarkStart w:id="78" w:name="_Toc329810208"/>
      <w:bookmarkStart w:id="79" w:name="_Toc432194847"/>
      <w:bookmarkStart w:id="80" w:name="_Toc383175297"/>
      <w:r>
        <w:rPr>
          <w:rFonts w:hint="eastAsia" w:ascii="宋体" w:hAnsi="宋体" w:cs="宋体"/>
          <w:color w:val="auto"/>
          <w:szCs w:val="21"/>
          <w:highlight w:val="none"/>
        </w:rPr>
        <w:t>11磋商小组发现磋商文件存在歧义、重大缺陷导致评审工作无法进行，或者磋商文件内容违反国家有关规定的，要停止评审工作并向采购人或采购代理机构书面说明情况，采购人或采购代理机构应当修改磋商文件后重新组织采购活动；发现供应商提供虚假材料、串通等违法违规行为的，要及时向采购人或采购代理机构报告。</w:t>
      </w:r>
      <w:bookmarkEnd w:id="71"/>
      <w:bookmarkEnd w:id="72"/>
      <w:bookmarkEnd w:id="73"/>
      <w:bookmarkEnd w:id="74"/>
      <w:bookmarkEnd w:id="75"/>
      <w:bookmarkEnd w:id="76"/>
      <w:bookmarkEnd w:id="77"/>
      <w:bookmarkEnd w:id="78"/>
      <w:bookmarkEnd w:id="79"/>
      <w:bookmarkEnd w:id="80"/>
    </w:p>
    <w:p w14:paraId="26C45258">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24.12出现下列情形之一的，将终止竞争性磋商采购活动，并发布项目终止公告并说明原因，重新开展采购活动：</w:t>
      </w:r>
    </w:p>
    <w:p w14:paraId="17C4BA9A">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（1）因情况变化，不再符合规定的竞争性磋商采购方式适用情形的；</w:t>
      </w:r>
    </w:p>
    <w:p w14:paraId="626A8102">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（2）出现影响采购公正的违法、违规行为的；</w:t>
      </w:r>
    </w:p>
    <w:p w14:paraId="15719763">
      <w:pPr>
        <w:spacing w:line="440" w:lineRule="exact"/>
        <w:ind w:firstLine="420" w:firstLineChars="200"/>
        <w:jc w:val="left"/>
        <w:rPr>
          <w:rFonts w:hint="eastAsia" w:ascii="宋体" w:hAnsi="宋体" w:cs="宋体"/>
          <w:color w:val="auto"/>
          <w:szCs w:val="21"/>
          <w:highlight w:val="none"/>
        </w:rPr>
      </w:pPr>
      <w:r>
        <w:rPr>
          <w:rFonts w:hint="eastAsia" w:ascii="宋体" w:hAnsi="宋体" w:eastAsia="宋体" w:cs="宋体"/>
          <w:color w:val="auto"/>
          <w:szCs w:val="21"/>
          <w:highlight w:val="none"/>
        </w:rPr>
        <w:t>（3）根据《财政部关于政府采购竞争性磋商采购方式管理暂行办法有关问题的补充通知》的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rPr>
          <w:rFonts w:hint="eastAsia" w:ascii="宋体" w:hAnsi="宋体" w:cs="宋体"/>
          <w:color w:val="auto"/>
          <w:szCs w:val="21"/>
          <w:highlight w:val="none"/>
        </w:rPr>
        <w:t>。</w:t>
      </w:r>
    </w:p>
    <w:p w14:paraId="5D8D1BC1">
      <w:pPr>
        <w:tabs>
          <w:tab w:val="left" w:pos="3150"/>
          <w:tab w:val="center" w:pos="4734"/>
        </w:tabs>
        <w:spacing w:line="500" w:lineRule="exact"/>
        <w:ind w:firstLine="241" w:firstLineChars="100"/>
        <w:jc w:val="center"/>
        <w:rPr>
          <w:rFonts w:hint="eastAsia" w:ascii="宋体" w:hAnsi="宋体" w:cs="宋体"/>
          <w:b/>
          <w:color w:val="auto"/>
          <w:sz w:val="24"/>
          <w:highlight w:val="none"/>
        </w:rPr>
      </w:pPr>
      <w:r>
        <w:rPr>
          <w:rFonts w:hint="eastAsia" w:ascii="宋体" w:hAnsi="宋体" w:cs="宋体"/>
          <w:b/>
          <w:color w:val="auto"/>
          <w:sz w:val="24"/>
          <w:highlight w:val="none"/>
        </w:rPr>
        <w:t>六、成交结果</w:t>
      </w:r>
    </w:p>
    <w:p w14:paraId="1827C10C">
      <w:pPr>
        <w:snapToGrid w:val="0"/>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25.成交供应商的确定</w:t>
      </w:r>
    </w:p>
    <w:p w14:paraId="6D5CAB64">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25.1采购代理机构在评审结束后2个工作日内将评审报告送采购人确认。</w:t>
      </w:r>
    </w:p>
    <w:p w14:paraId="4238A0A8">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25.2采购人应当在收到评审报告后5个工作日内，从评审报告提出的成交候选供应商中，按照排序由高到低的原则确定成交供应商。本次竞争性磋商不保证合同授予最低报价的供应商。</w:t>
      </w:r>
    </w:p>
    <w:p w14:paraId="3B4C080D">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25.3采购代理机构无义务向未成交供应商解释未成交原因和退回响应文件。</w:t>
      </w:r>
    </w:p>
    <w:p w14:paraId="073AD669">
      <w:pPr>
        <w:snapToGrid w:val="0"/>
        <w:spacing w:line="440" w:lineRule="exact"/>
        <w:rPr>
          <w:rFonts w:hint="eastAsia" w:ascii="宋体" w:hAnsi="宋体" w:cs="宋体"/>
          <w:b/>
          <w:color w:val="auto"/>
          <w:sz w:val="24"/>
          <w:highlight w:val="none"/>
        </w:rPr>
      </w:pPr>
      <w:bookmarkStart w:id="81" w:name="_Toc320890573"/>
      <w:bookmarkStart w:id="82" w:name="_Toc112595555"/>
      <w:bookmarkStart w:id="83" w:name="_Toc497127308"/>
      <w:r>
        <w:rPr>
          <w:rFonts w:hint="eastAsia" w:ascii="宋体" w:hAnsi="宋体" w:cs="宋体"/>
          <w:b/>
          <w:color w:val="auto"/>
          <w:sz w:val="24"/>
          <w:highlight w:val="none"/>
        </w:rPr>
        <w:t>26</w:t>
      </w:r>
      <w:bookmarkEnd w:id="81"/>
      <w:bookmarkEnd w:id="82"/>
      <w:bookmarkEnd w:id="83"/>
      <w:r>
        <w:rPr>
          <w:rFonts w:hint="eastAsia" w:ascii="宋体" w:hAnsi="宋体" w:cs="宋体"/>
          <w:b/>
          <w:color w:val="auto"/>
          <w:sz w:val="24"/>
          <w:highlight w:val="none"/>
        </w:rPr>
        <w:t>.成交通知书</w:t>
      </w:r>
    </w:p>
    <w:p w14:paraId="292E8F1A">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26.1成交供应商确定之日起2个工作日内，采购代理机构向成交供应商发出成交通知书，并在财政部门指定的政府采购信息发布媒体上公告成交结果。成交公告期限为1个工作日。</w:t>
      </w:r>
    </w:p>
    <w:p w14:paraId="3FD644F7">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26.2成交通知书是合同的一个组成部分。</w:t>
      </w:r>
    </w:p>
    <w:p w14:paraId="599B22B3">
      <w:pPr>
        <w:snapToGrid w:val="0"/>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27.签订合同</w:t>
      </w:r>
    </w:p>
    <w:p w14:paraId="16647E03">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27.1采购人与成交供应商应当在成交通知书发出之日起30日内，按照竞争性磋商文件确定的合同文本以及采购标的、规格型号、采购金额、采购数量、技术和服务要求等事项签订政府采购合同。</w:t>
      </w:r>
    </w:p>
    <w:p w14:paraId="3ECF3386">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27.2采购人不得向成交供应商提出超出竞争性磋商文件以外的任何要求作为签订合同的条件，不得与成交供应商订立背离竞争性磋商文件确定的合同文本以及采购标的、规格型号、采购金额、采购数量、技术和服务要求等实质性内容的协议。</w:t>
      </w:r>
    </w:p>
    <w:p w14:paraId="5D19A29E">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27.3除采购人与成交供应商在合同中另行商定将中标项目的非主体、非关键性工作分包的，成交供应商在中标后将中标项目分包的，采购人取消其中标资格，其磋商保证金不予退还；给采购人造成的损失超过磋商保证金数额的，成交供应商还应当对超过部分予以赔偿。</w:t>
      </w:r>
    </w:p>
    <w:p w14:paraId="7C461886">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27.4政府采购合同履行中，采购人需追加与合同标的相同的货物、工程或者服务的，在不改变合同其他条款的前提下，可以与成交供应商协商签订补充合同，但所有补充合同的采购金额不得超过原合同采购金额的百分之十。</w:t>
      </w:r>
    </w:p>
    <w:p w14:paraId="4AB3E024">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27.5除不可抗力等因素外，成交通知书发出后，采购人改变成交结果，或者成交供应商拒绝签订政府采购合同的，应当承担相应的法律责任。</w:t>
      </w:r>
    </w:p>
    <w:p w14:paraId="5E9682DF">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27.6成交供应商拒绝签订政府采购合同的，采购人可以按照《政府采购竞争性磋商采购方式管理暂行办法》规定的原则确定其他供应商作为成交供应商并签订政府采购合同，也可以重新开展采购活动。拒绝签订政府采购合同的成交供应商不得参加对该项目重新开展的采购活动。</w:t>
      </w:r>
    </w:p>
    <w:p w14:paraId="4561A770">
      <w:pPr>
        <w:snapToGrid w:val="0"/>
        <w:spacing w:line="440" w:lineRule="exact"/>
        <w:rPr>
          <w:rFonts w:hint="eastAsia" w:ascii="宋体" w:hAnsi="宋体" w:cs="宋体"/>
          <w:b/>
          <w:color w:val="auto"/>
          <w:sz w:val="24"/>
          <w:highlight w:val="none"/>
        </w:rPr>
      </w:pPr>
      <w:bookmarkStart w:id="84" w:name="_Toc461115644"/>
      <w:bookmarkStart w:id="85" w:name="_Toc152042345"/>
      <w:bookmarkStart w:id="86" w:name="_Toc152045569"/>
      <w:bookmarkStart w:id="87" w:name="_Toc296602459"/>
      <w:bookmarkStart w:id="88" w:name="_Toc144974537"/>
      <w:bookmarkStart w:id="89" w:name="_Toc488184244"/>
      <w:bookmarkStart w:id="90" w:name="_Toc246996213"/>
      <w:bookmarkStart w:id="91" w:name="_Toc179632587"/>
      <w:bookmarkStart w:id="92" w:name="_Toc247085727"/>
      <w:bookmarkStart w:id="93" w:name="_Toc246996956"/>
      <w:r>
        <w:rPr>
          <w:rFonts w:hint="eastAsia" w:ascii="宋体" w:hAnsi="宋体" w:cs="宋体"/>
          <w:b/>
          <w:color w:val="auto"/>
          <w:sz w:val="24"/>
          <w:highlight w:val="none"/>
        </w:rPr>
        <w:t>28</w:t>
      </w:r>
      <w:bookmarkEnd w:id="84"/>
      <w:bookmarkEnd w:id="85"/>
      <w:bookmarkEnd w:id="86"/>
      <w:bookmarkEnd w:id="87"/>
      <w:bookmarkEnd w:id="88"/>
      <w:bookmarkEnd w:id="89"/>
      <w:bookmarkEnd w:id="90"/>
      <w:bookmarkEnd w:id="91"/>
      <w:bookmarkEnd w:id="92"/>
      <w:bookmarkEnd w:id="93"/>
      <w:bookmarkStart w:id="94" w:name="_Toc482343752"/>
      <w:r>
        <w:rPr>
          <w:rFonts w:hint="eastAsia" w:ascii="宋体" w:hAnsi="宋体" w:cs="宋体"/>
          <w:b/>
          <w:color w:val="auto"/>
          <w:sz w:val="24"/>
          <w:highlight w:val="none"/>
        </w:rPr>
        <w:t>.履约保证金</w:t>
      </w:r>
      <w:bookmarkEnd w:id="94"/>
    </w:p>
    <w:p w14:paraId="7462E6DC">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28.1</w:t>
      </w:r>
      <w:r>
        <w:rPr>
          <w:rFonts w:hint="eastAsia" w:ascii="宋体" w:hAnsi="宋体" w:cs="宋体"/>
          <w:color w:val="auto"/>
          <w:szCs w:val="21"/>
          <w:highlight w:val="none"/>
          <w:lang w:val="en-US" w:eastAsia="zh-CN"/>
        </w:rPr>
        <w:t>供应商</w:t>
      </w:r>
      <w:r>
        <w:rPr>
          <w:rFonts w:hint="eastAsia" w:ascii="宋体" w:hAnsi="宋体" w:cs="宋体"/>
          <w:color w:val="auto"/>
          <w:szCs w:val="21"/>
          <w:highlight w:val="none"/>
        </w:rPr>
        <w:t>应按《</w:t>
      </w:r>
      <w:r>
        <w:rPr>
          <w:rFonts w:hint="eastAsia" w:ascii="宋体" w:hAnsi="宋体" w:cs="宋体"/>
          <w:color w:val="auto"/>
          <w:szCs w:val="21"/>
          <w:highlight w:val="none"/>
          <w:lang w:val="en-US" w:eastAsia="zh-CN"/>
        </w:rPr>
        <w:t>供应商</w:t>
      </w:r>
      <w:r>
        <w:rPr>
          <w:rFonts w:hint="eastAsia" w:ascii="宋体" w:hAnsi="宋体" w:cs="宋体"/>
          <w:color w:val="auto"/>
          <w:szCs w:val="21"/>
          <w:highlight w:val="none"/>
        </w:rPr>
        <w:t>须知前附表》上确定的履约保证金的金额及形式，向采购人提交履约保证金。否则，视为放弃中标项目，</w:t>
      </w:r>
      <w:r>
        <w:rPr>
          <w:rFonts w:hint="eastAsia" w:ascii="宋体" w:hAnsi="宋体" w:cs="宋体"/>
          <w:color w:val="auto"/>
          <w:szCs w:val="21"/>
          <w:highlight w:val="none"/>
          <w:lang w:val="en-US" w:eastAsia="zh-CN"/>
        </w:rPr>
        <w:t>磋商</w:t>
      </w:r>
      <w:r>
        <w:rPr>
          <w:rFonts w:hint="eastAsia" w:ascii="宋体" w:hAnsi="宋体" w:cs="宋体"/>
          <w:color w:val="auto"/>
          <w:szCs w:val="21"/>
          <w:highlight w:val="none"/>
        </w:rPr>
        <w:t>保证金将不予退还。</w:t>
      </w:r>
    </w:p>
    <w:p w14:paraId="1DD438E5">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28.2签订合同后，除因不可抗力或竞争性磋商文件认可的情形以外，成交供应商不与采购人签订合同的，视为自动放弃，采购人将没收其全部履约保证金，履约保证金不足以赔偿损失的，按实际损失赔偿。</w:t>
      </w:r>
    </w:p>
    <w:p w14:paraId="749FEDF2">
      <w:pPr>
        <w:snapToGrid w:val="0"/>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29.采购代理服务费</w:t>
      </w:r>
    </w:p>
    <w:p w14:paraId="3F37BA87">
      <w:pPr>
        <w:tabs>
          <w:tab w:val="left" w:pos="105"/>
          <w:tab w:val="left" w:pos="945"/>
          <w:tab w:val="left" w:pos="3360"/>
        </w:tabs>
        <w:adjustRightInd w:val="0"/>
        <w:snapToGrid w:val="0"/>
        <w:spacing w:line="48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29.1</w:t>
      </w:r>
      <w:r>
        <w:rPr>
          <w:rFonts w:hint="eastAsia" w:ascii="宋体" w:hAnsi="宋体" w:cs="宋体"/>
          <w:color w:val="auto"/>
          <w:szCs w:val="21"/>
          <w:highlight w:val="none"/>
          <w:lang w:eastAsia="zh-CN"/>
        </w:rPr>
        <w:t>采购代理服务费参照国家计委[2002]1980号文件规定的服务类项目收费标准</w:t>
      </w:r>
      <w:r>
        <w:rPr>
          <w:rFonts w:hint="eastAsia" w:ascii="宋体" w:hAnsi="宋体" w:cs="宋体"/>
          <w:color w:val="auto"/>
          <w:szCs w:val="21"/>
          <w:highlight w:val="none"/>
          <w:lang w:val="en-US" w:eastAsia="zh-CN"/>
        </w:rPr>
        <w:t>下浮20%</w:t>
      </w:r>
      <w:r>
        <w:rPr>
          <w:rFonts w:hint="eastAsia" w:ascii="宋体" w:hAnsi="宋体" w:cs="宋体"/>
          <w:color w:val="auto"/>
          <w:szCs w:val="21"/>
          <w:highlight w:val="none"/>
          <w:lang w:eastAsia="zh-CN"/>
        </w:rPr>
        <w:t>向成交供应商收取（计算基准为成交金额）</w:t>
      </w:r>
      <w:r>
        <w:rPr>
          <w:rFonts w:hint="eastAsia" w:ascii="宋体" w:hAnsi="宋体" w:cs="宋体"/>
          <w:color w:val="auto"/>
          <w:szCs w:val="21"/>
          <w:highlight w:val="none"/>
        </w:rPr>
        <w:t>：</w:t>
      </w:r>
    </w:p>
    <w:tbl>
      <w:tblPr>
        <w:tblStyle w:val="36"/>
        <w:tblW w:w="0" w:type="auto"/>
        <w:jc w:val="center"/>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205"/>
        <w:gridCol w:w="2100"/>
        <w:gridCol w:w="2100"/>
        <w:gridCol w:w="2415"/>
      </w:tblGrid>
      <w:tr w14:paraId="2A7F749B">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284" w:hRule="atLeast"/>
          <w:jc w:val="center"/>
        </w:trPr>
        <w:tc>
          <w:tcPr>
            <w:tcW w:w="2205" w:type="dxa"/>
            <w:vMerge w:val="restart"/>
            <w:tcBorders>
              <w:top w:val="single" w:color="auto" w:sz="4" w:space="0"/>
              <w:left w:val="single" w:color="auto" w:sz="4" w:space="0"/>
            </w:tcBorders>
            <w:noWrap w:val="0"/>
            <w:vAlign w:val="center"/>
          </w:tcPr>
          <w:p w14:paraId="27786339">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中标金额</w:t>
            </w:r>
          </w:p>
          <w:p w14:paraId="349C52F6">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（万元）</w:t>
            </w:r>
          </w:p>
        </w:tc>
        <w:tc>
          <w:tcPr>
            <w:tcW w:w="6615" w:type="dxa"/>
            <w:gridSpan w:val="3"/>
            <w:tcBorders>
              <w:top w:val="single" w:color="auto" w:sz="4" w:space="0"/>
              <w:right w:val="single" w:color="auto" w:sz="4" w:space="0"/>
            </w:tcBorders>
            <w:noWrap w:val="0"/>
            <w:vAlign w:val="center"/>
          </w:tcPr>
          <w:p w14:paraId="2BF42069">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收费标准</w:t>
            </w:r>
          </w:p>
        </w:tc>
      </w:tr>
      <w:tr w14:paraId="5B049952">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284" w:hRule="atLeast"/>
          <w:jc w:val="center"/>
        </w:trPr>
        <w:tc>
          <w:tcPr>
            <w:tcW w:w="2205" w:type="dxa"/>
            <w:vMerge w:val="continue"/>
            <w:tcBorders>
              <w:left w:val="single" w:color="auto" w:sz="4" w:space="0"/>
            </w:tcBorders>
            <w:shd w:val="clear" w:color="auto" w:fill="auto"/>
            <w:noWrap w:val="0"/>
            <w:vAlign w:val="center"/>
          </w:tcPr>
          <w:p w14:paraId="06497E2F">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kern w:val="0"/>
                <w:szCs w:val="21"/>
                <w:highlight w:val="none"/>
              </w:rPr>
            </w:pPr>
          </w:p>
        </w:tc>
        <w:tc>
          <w:tcPr>
            <w:tcW w:w="2100" w:type="dxa"/>
            <w:tcBorders>
              <w:top w:val="single" w:color="auto" w:sz="4" w:space="0"/>
              <w:bottom w:val="single" w:color="auto" w:sz="4" w:space="0"/>
            </w:tcBorders>
            <w:shd w:val="clear" w:color="auto" w:fill="FFFFFF"/>
            <w:noWrap w:val="0"/>
            <w:vAlign w:val="center"/>
          </w:tcPr>
          <w:p w14:paraId="6C21EC74">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货物招标</w:t>
            </w:r>
          </w:p>
        </w:tc>
        <w:tc>
          <w:tcPr>
            <w:tcW w:w="2100" w:type="dxa"/>
            <w:noWrap w:val="0"/>
            <w:vAlign w:val="center"/>
          </w:tcPr>
          <w:p w14:paraId="1871E19B">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服务招标</w:t>
            </w:r>
          </w:p>
        </w:tc>
        <w:tc>
          <w:tcPr>
            <w:tcW w:w="2415" w:type="dxa"/>
            <w:tcBorders>
              <w:right w:val="single" w:color="auto" w:sz="4" w:space="0"/>
            </w:tcBorders>
            <w:noWrap w:val="0"/>
            <w:vAlign w:val="center"/>
          </w:tcPr>
          <w:p w14:paraId="75998B29">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工程招标</w:t>
            </w:r>
          </w:p>
        </w:tc>
      </w:tr>
      <w:tr w14:paraId="21F0B098">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2205" w:type="dxa"/>
            <w:tcBorders>
              <w:left w:val="single" w:color="auto" w:sz="4" w:space="0"/>
            </w:tcBorders>
            <w:shd w:val="clear" w:color="auto" w:fill="auto"/>
            <w:noWrap w:val="0"/>
            <w:vAlign w:val="top"/>
          </w:tcPr>
          <w:p w14:paraId="040C155C">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100以下</w:t>
            </w:r>
          </w:p>
        </w:tc>
        <w:tc>
          <w:tcPr>
            <w:tcW w:w="2100" w:type="dxa"/>
            <w:tcBorders>
              <w:top w:val="single" w:color="auto" w:sz="4" w:space="0"/>
              <w:bottom w:val="single" w:color="auto" w:sz="4" w:space="0"/>
            </w:tcBorders>
            <w:shd w:val="clear" w:color="auto" w:fill="FFFFFF"/>
            <w:noWrap w:val="0"/>
            <w:vAlign w:val="top"/>
          </w:tcPr>
          <w:p w14:paraId="1EC20F41">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w:t>
            </w:r>
          </w:p>
        </w:tc>
        <w:tc>
          <w:tcPr>
            <w:tcW w:w="2100" w:type="dxa"/>
            <w:noWrap w:val="0"/>
            <w:vAlign w:val="top"/>
          </w:tcPr>
          <w:p w14:paraId="7CBD00D9">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w:t>
            </w:r>
          </w:p>
        </w:tc>
        <w:tc>
          <w:tcPr>
            <w:tcW w:w="2415" w:type="dxa"/>
            <w:tcBorders>
              <w:right w:val="single" w:color="auto" w:sz="4" w:space="0"/>
            </w:tcBorders>
            <w:noWrap w:val="0"/>
            <w:vAlign w:val="top"/>
          </w:tcPr>
          <w:p w14:paraId="490C4B06">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w:t>
            </w:r>
          </w:p>
        </w:tc>
      </w:tr>
      <w:tr w14:paraId="43A528ED">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2205" w:type="dxa"/>
            <w:tcBorders>
              <w:left w:val="single" w:color="auto" w:sz="4" w:space="0"/>
              <w:bottom w:val="single" w:color="auto" w:sz="4" w:space="0"/>
            </w:tcBorders>
            <w:shd w:val="clear" w:color="auto" w:fill="auto"/>
            <w:noWrap w:val="0"/>
            <w:vAlign w:val="top"/>
          </w:tcPr>
          <w:p w14:paraId="6988EFC9">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100—500</w:t>
            </w:r>
          </w:p>
        </w:tc>
        <w:tc>
          <w:tcPr>
            <w:tcW w:w="2100" w:type="dxa"/>
            <w:tcBorders>
              <w:top w:val="single" w:color="auto" w:sz="4" w:space="0"/>
              <w:bottom w:val="single" w:color="auto" w:sz="4" w:space="0"/>
            </w:tcBorders>
            <w:shd w:val="clear" w:color="auto" w:fill="FFFFFF"/>
            <w:noWrap w:val="0"/>
            <w:vAlign w:val="top"/>
          </w:tcPr>
          <w:p w14:paraId="35D1825A">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w:t>
            </w:r>
          </w:p>
        </w:tc>
        <w:tc>
          <w:tcPr>
            <w:tcW w:w="2100" w:type="dxa"/>
            <w:tcBorders>
              <w:bottom w:val="single" w:color="auto" w:sz="4" w:space="0"/>
            </w:tcBorders>
            <w:noWrap w:val="0"/>
            <w:vAlign w:val="top"/>
          </w:tcPr>
          <w:p w14:paraId="06DF440F">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0.8%</w:t>
            </w:r>
          </w:p>
        </w:tc>
        <w:tc>
          <w:tcPr>
            <w:tcW w:w="2415" w:type="dxa"/>
            <w:tcBorders>
              <w:bottom w:val="single" w:color="auto" w:sz="4" w:space="0"/>
              <w:right w:val="single" w:color="auto" w:sz="4" w:space="0"/>
            </w:tcBorders>
            <w:noWrap w:val="0"/>
            <w:vAlign w:val="top"/>
          </w:tcPr>
          <w:p w14:paraId="02A00C41">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0.7%</w:t>
            </w:r>
          </w:p>
        </w:tc>
      </w:tr>
      <w:tr w14:paraId="48C7E9CB">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2205" w:type="dxa"/>
            <w:tcBorders>
              <w:top w:val="single" w:color="auto" w:sz="4" w:space="0"/>
              <w:left w:val="single" w:color="auto" w:sz="4" w:space="0"/>
            </w:tcBorders>
            <w:shd w:val="clear" w:color="auto" w:fill="auto"/>
            <w:noWrap w:val="0"/>
            <w:vAlign w:val="top"/>
          </w:tcPr>
          <w:p w14:paraId="2DFF243D">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500—1000</w:t>
            </w:r>
          </w:p>
        </w:tc>
        <w:tc>
          <w:tcPr>
            <w:tcW w:w="2100" w:type="dxa"/>
            <w:tcBorders>
              <w:top w:val="single" w:color="auto" w:sz="4" w:space="0"/>
              <w:bottom w:val="single" w:color="auto" w:sz="4" w:space="0"/>
              <w:right w:val="single" w:color="auto" w:sz="4" w:space="0"/>
            </w:tcBorders>
            <w:shd w:val="clear" w:color="auto" w:fill="FFFFFF"/>
            <w:noWrap w:val="0"/>
            <w:vAlign w:val="top"/>
          </w:tcPr>
          <w:p w14:paraId="188E86A3">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0.8%</w:t>
            </w:r>
          </w:p>
        </w:tc>
        <w:tc>
          <w:tcPr>
            <w:tcW w:w="2100" w:type="dxa"/>
            <w:tcBorders>
              <w:top w:val="single" w:color="auto" w:sz="4" w:space="0"/>
              <w:left w:val="single" w:color="auto" w:sz="4" w:space="0"/>
            </w:tcBorders>
            <w:noWrap w:val="0"/>
            <w:vAlign w:val="top"/>
          </w:tcPr>
          <w:p w14:paraId="282AB990">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0.45%</w:t>
            </w:r>
          </w:p>
        </w:tc>
        <w:tc>
          <w:tcPr>
            <w:tcW w:w="2415" w:type="dxa"/>
            <w:tcBorders>
              <w:top w:val="single" w:color="auto" w:sz="4" w:space="0"/>
              <w:right w:val="single" w:color="auto" w:sz="4" w:space="0"/>
            </w:tcBorders>
            <w:noWrap w:val="0"/>
            <w:vAlign w:val="top"/>
          </w:tcPr>
          <w:p w14:paraId="02A6B15E">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0.55%</w:t>
            </w:r>
          </w:p>
        </w:tc>
      </w:tr>
      <w:tr w14:paraId="6CC4CB80">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2205" w:type="dxa"/>
            <w:tcBorders>
              <w:left w:val="single" w:color="auto" w:sz="4" w:space="0"/>
            </w:tcBorders>
            <w:shd w:val="clear" w:color="auto" w:fill="auto"/>
            <w:noWrap w:val="0"/>
            <w:vAlign w:val="top"/>
          </w:tcPr>
          <w:p w14:paraId="22C6A180">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1000—5000</w:t>
            </w:r>
          </w:p>
        </w:tc>
        <w:tc>
          <w:tcPr>
            <w:tcW w:w="2100" w:type="dxa"/>
            <w:tcBorders>
              <w:top w:val="single" w:color="auto" w:sz="4" w:space="0"/>
              <w:bottom w:val="single" w:color="auto" w:sz="4" w:space="0"/>
              <w:right w:val="single" w:color="auto" w:sz="4" w:space="0"/>
            </w:tcBorders>
            <w:shd w:val="clear" w:color="auto" w:fill="FFFFFF"/>
            <w:noWrap w:val="0"/>
            <w:vAlign w:val="top"/>
          </w:tcPr>
          <w:p w14:paraId="39C45606">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0.5%</w:t>
            </w:r>
          </w:p>
        </w:tc>
        <w:tc>
          <w:tcPr>
            <w:tcW w:w="2100" w:type="dxa"/>
            <w:tcBorders>
              <w:left w:val="single" w:color="auto" w:sz="4" w:space="0"/>
            </w:tcBorders>
            <w:noWrap w:val="0"/>
            <w:vAlign w:val="top"/>
          </w:tcPr>
          <w:p w14:paraId="4B96E86C">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0.25%</w:t>
            </w:r>
          </w:p>
        </w:tc>
        <w:tc>
          <w:tcPr>
            <w:tcW w:w="2415" w:type="dxa"/>
            <w:tcBorders>
              <w:right w:val="single" w:color="auto" w:sz="4" w:space="0"/>
            </w:tcBorders>
            <w:noWrap w:val="0"/>
            <w:vAlign w:val="top"/>
          </w:tcPr>
          <w:p w14:paraId="03B089EB">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0.35%</w:t>
            </w:r>
          </w:p>
        </w:tc>
      </w:tr>
      <w:tr w14:paraId="49D6FD84">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2205" w:type="dxa"/>
            <w:tcBorders>
              <w:left w:val="single" w:color="auto" w:sz="4" w:space="0"/>
              <w:bottom w:val="single" w:color="auto" w:sz="4" w:space="0"/>
            </w:tcBorders>
            <w:shd w:val="clear" w:color="auto" w:fill="auto"/>
            <w:noWrap w:val="0"/>
            <w:vAlign w:val="top"/>
          </w:tcPr>
          <w:p w14:paraId="01924D3C">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5000—10000</w:t>
            </w:r>
          </w:p>
        </w:tc>
        <w:tc>
          <w:tcPr>
            <w:tcW w:w="2100" w:type="dxa"/>
            <w:tcBorders>
              <w:top w:val="single" w:color="auto" w:sz="4" w:space="0"/>
              <w:bottom w:val="single" w:color="auto" w:sz="4" w:space="0"/>
              <w:right w:val="single" w:color="auto" w:sz="4" w:space="0"/>
            </w:tcBorders>
            <w:shd w:val="clear" w:color="auto" w:fill="FFFFFF"/>
            <w:noWrap w:val="0"/>
            <w:vAlign w:val="top"/>
          </w:tcPr>
          <w:p w14:paraId="4F2B1B36">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0.25%</w:t>
            </w:r>
          </w:p>
        </w:tc>
        <w:tc>
          <w:tcPr>
            <w:tcW w:w="2100" w:type="dxa"/>
            <w:tcBorders>
              <w:left w:val="single" w:color="auto" w:sz="4" w:space="0"/>
              <w:bottom w:val="single" w:color="auto" w:sz="4" w:space="0"/>
            </w:tcBorders>
            <w:noWrap w:val="0"/>
            <w:vAlign w:val="top"/>
          </w:tcPr>
          <w:p w14:paraId="19CE468B">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0.1%</w:t>
            </w:r>
          </w:p>
        </w:tc>
        <w:tc>
          <w:tcPr>
            <w:tcW w:w="2415" w:type="dxa"/>
            <w:tcBorders>
              <w:bottom w:val="single" w:color="auto" w:sz="4" w:space="0"/>
              <w:right w:val="single" w:color="auto" w:sz="4" w:space="0"/>
            </w:tcBorders>
            <w:noWrap w:val="0"/>
            <w:vAlign w:val="top"/>
          </w:tcPr>
          <w:p w14:paraId="27D49497">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0.2%</w:t>
            </w:r>
          </w:p>
        </w:tc>
      </w:tr>
    </w:tbl>
    <w:p w14:paraId="54F156DB">
      <w:pPr>
        <w:tabs>
          <w:tab w:val="left" w:pos="105"/>
          <w:tab w:val="left" w:pos="945"/>
          <w:tab w:val="left" w:pos="3360"/>
        </w:tabs>
        <w:adjustRightInd w:val="0"/>
        <w:snapToGrid w:val="0"/>
        <w:spacing w:line="48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备注：采购代理服务收费按差额定率累进法计算。</w:t>
      </w:r>
    </w:p>
    <w:p w14:paraId="436E8F15">
      <w:pPr>
        <w:tabs>
          <w:tab w:val="left" w:pos="105"/>
          <w:tab w:val="left" w:pos="945"/>
          <w:tab w:val="left" w:pos="3360"/>
        </w:tabs>
        <w:adjustRightInd w:val="0"/>
        <w:snapToGrid w:val="0"/>
        <w:spacing w:line="48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29.2成交供应商应在接受“成交通知书”前向采购代理机构一次付清采购代理服务费。</w:t>
      </w:r>
    </w:p>
    <w:p w14:paraId="09E6F76B">
      <w:pPr>
        <w:snapToGrid w:val="0"/>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30.竞争性磋商文件编制依据</w:t>
      </w:r>
    </w:p>
    <w:p w14:paraId="47D4BED5">
      <w:pPr>
        <w:tabs>
          <w:tab w:val="left" w:pos="105"/>
          <w:tab w:val="left" w:pos="945"/>
          <w:tab w:val="left" w:pos="3360"/>
        </w:tabs>
        <w:adjustRightInd w:val="0"/>
        <w:snapToGrid w:val="0"/>
        <w:spacing w:line="48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30.1本竞争性磋商文件根据《中华人民共和国政府采购法》、《中华人民共和国政府采购法实施条例》、《政府采购竞争性磋商采购方式管理暂行办法》等有关法律、法规和规章进行编制，解释权属于采购人、采购代理机构。</w:t>
      </w:r>
    </w:p>
    <w:p w14:paraId="78FD00C9">
      <w:pPr>
        <w:snapToGrid w:val="0"/>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31.需要补充的其他内容</w:t>
      </w:r>
    </w:p>
    <w:p w14:paraId="22BD06F5">
      <w:pPr>
        <w:tabs>
          <w:tab w:val="left" w:pos="105"/>
          <w:tab w:val="left" w:pos="945"/>
          <w:tab w:val="left" w:pos="3360"/>
        </w:tabs>
        <w:adjustRightInd w:val="0"/>
        <w:snapToGrid w:val="0"/>
        <w:spacing w:line="48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31.1关于中小企业：</w:t>
      </w:r>
    </w:p>
    <w:p w14:paraId="1658D1EE">
      <w:pPr>
        <w:tabs>
          <w:tab w:val="left" w:pos="105"/>
          <w:tab w:val="left" w:pos="945"/>
          <w:tab w:val="left" w:pos="3360"/>
        </w:tabs>
        <w:adjustRightInd w:val="0"/>
        <w:snapToGrid w:val="0"/>
        <w:spacing w:line="48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31.1.1根据《关于印发&lt;政府采购促进中小企业发展管理办法&gt;的通知》（财库〔2020〕46号）的规定，中小企业是指在中华人民共和国境内依法设立，依据国务院批准的中小企业划分标准确定的中型企业、小型企业和微型企业，但与大企业的负责人为同一人，或者与大企业存在直接控股、管理关系的除外。</w:t>
      </w:r>
    </w:p>
    <w:p w14:paraId="2FA30AF1">
      <w:pPr>
        <w:tabs>
          <w:tab w:val="left" w:pos="105"/>
          <w:tab w:val="left" w:pos="945"/>
          <w:tab w:val="left" w:pos="3360"/>
        </w:tabs>
        <w:adjustRightInd w:val="0"/>
        <w:snapToGrid w:val="0"/>
        <w:spacing w:line="48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31.1.2符合中小企业划分标准的个体工商户，在政府采购活动中视同中小企业。</w:t>
      </w:r>
    </w:p>
    <w:p w14:paraId="5070FCE5">
      <w:pPr>
        <w:tabs>
          <w:tab w:val="left" w:pos="105"/>
          <w:tab w:val="left" w:pos="945"/>
          <w:tab w:val="left" w:pos="3360"/>
        </w:tabs>
        <w:adjustRightInd w:val="0"/>
        <w:snapToGrid w:val="0"/>
        <w:spacing w:line="48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31.1.3在政府采购活动中，供应商提供的货物、工程或者服务符合下列情形的，享受《关于印发&lt;政府采购促进中小企业发展管理办法&gt;的通知》（财库〔2020〕46号）规定的中小企业扶持政策：</w:t>
      </w:r>
    </w:p>
    <w:p w14:paraId="7F1F08B7">
      <w:pPr>
        <w:numPr>
          <w:ilvl w:val="0"/>
          <w:numId w:val="4"/>
        </w:numPr>
        <w:tabs>
          <w:tab w:val="left" w:pos="105"/>
          <w:tab w:val="left" w:pos="945"/>
          <w:tab w:val="left" w:pos="3360"/>
        </w:tabs>
        <w:adjustRightInd w:val="0"/>
        <w:snapToGrid w:val="0"/>
        <w:spacing w:line="48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在货物采购项目中，货物由中小企业制造，即货物由中小企业生产且使用该中小企业商号或者注册商标；</w:t>
      </w:r>
    </w:p>
    <w:p w14:paraId="53EE3AF2">
      <w:pPr>
        <w:numPr>
          <w:ilvl w:val="0"/>
          <w:numId w:val="4"/>
        </w:numPr>
        <w:tabs>
          <w:tab w:val="left" w:pos="105"/>
          <w:tab w:val="left" w:pos="945"/>
          <w:tab w:val="left" w:pos="3360"/>
        </w:tabs>
        <w:adjustRightInd w:val="0"/>
        <w:snapToGrid w:val="0"/>
        <w:spacing w:line="48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在工程采购项目中，工程由中小企业承建，即工程施工单位为中小企业；</w:t>
      </w:r>
    </w:p>
    <w:p w14:paraId="643EB07D">
      <w:pPr>
        <w:numPr>
          <w:ilvl w:val="0"/>
          <w:numId w:val="4"/>
        </w:numPr>
        <w:tabs>
          <w:tab w:val="left" w:pos="105"/>
          <w:tab w:val="left" w:pos="945"/>
          <w:tab w:val="left" w:pos="3360"/>
        </w:tabs>
        <w:adjustRightInd w:val="0"/>
        <w:snapToGrid w:val="0"/>
        <w:spacing w:line="48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在服务采购项目中，服务由中小企业承接，即提供服务的人员为中小企业依照《中华人民共和国劳动合同法》订立劳动合同的从业人员。</w:t>
      </w:r>
    </w:p>
    <w:p w14:paraId="131F2237">
      <w:pPr>
        <w:tabs>
          <w:tab w:val="left" w:pos="105"/>
          <w:tab w:val="left" w:pos="945"/>
          <w:tab w:val="left" w:pos="3360"/>
        </w:tabs>
        <w:adjustRightInd w:val="0"/>
        <w:snapToGrid w:val="0"/>
        <w:spacing w:line="48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31.1.4在货物采购项目中，供应商提供的货物既有中小企业制造货物，也有大型企业制造货物的，不享受本办法规定的中小企业扶持政策。</w:t>
      </w:r>
    </w:p>
    <w:p w14:paraId="3EEEB30E">
      <w:pPr>
        <w:tabs>
          <w:tab w:val="left" w:pos="105"/>
          <w:tab w:val="left" w:pos="945"/>
          <w:tab w:val="left" w:pos="3360"/>
        </w:tabs>
        <w:adjustRightInd w:val="0"/>
        <w:snapToGrid w:val="0"/>
        <w:spacing w:line="48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31.1.5以联合体形式参加政府采购活动，联合体各方均为中小企业的，联合体视同中小企业。其中，联合体各方均为小微企业的,联合体视同小微企业。</w:t>
      </w:r>
    </w:p>
    <w:p w14:paraId="147211DA">
      <w:pPr>
        <w:tabs>
          <w:tab w:val="left" w:pos="105"/>
          <w:tab w:val="left" w:pos="945"/>
          <w:tab w:val="left" w:pos="3360"/>
        </w:tabs>
        <w:adjustRightInd w:val="0"/>
        <w:snapToGrid w:val="0"/>
        <w:spacing w:line="48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31.1.6中小企业参加政府采购活动，应当出具《关于印发&lt;政府采购促进中小企业发展管理办法&gt;的通知》（财库〔2020〕46号）规定的《中小企业声明函》，否则不得享受相关中小企业扶持政策。</w:t>
      </w:r>
    </w:p>
    <w:p w14:paraId="42B32164">
      <w:pPr>
        <w:tabs>
          <w:tab w:val="left" w:pos="105"/>
          <w:tab w:val="left" w:pos="945"/>
          <w:tab w:val="left" w:pos="3360"/>
        </w:tabs>
        <w:adjustRightInd w:val="0"/>
        <w:snapToGrid w:val="0"/>
        <w:spacing w:line="48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31.1.7规定依据《关于印发&lt;政府采购促进中小企业发展管理办法&gt;的通知》（财库〔2020〕46号）规定享受扶持政策获得政府采购合同的，小微企业不得将合同分包给大中型企业，中型企业不得将合同分包给大型企业。</w:t>
      </w:r>
    </w:p>
    <w:p w14:paraId="69D168AE">
      <w:pPr>
        <w:tabs>
          <w:tab w:val="left" w:pos="105"/>
          <w:tab w:val="left" w:pos="945"/>
          <w:tab w:val="left" w:pos="3360"/>
        </w:tabs>
        <w:adjustRightInd w:val="0"/>
        <w:snapToGrid w:val="0"/>
        <w:spacing w:line="48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31.1.8</w:t>
      </w:r>
      <w:r>
        <w:rPr>
          <w:rFonts w:hint="eastAsia" w:ascii="宋体" w:hAnsi="宋体" w:cs="宋体"/>
          <w:color w:val="auto"/>
          <w:szCs w:val="21"/>
          <w:highlight w:val="none"/>
          <w:lang w:eastAsia="zh-CN"/>
        </w:rPr>
        <w:t>本项目所属行业为软件和信息技术服务业，符合条件的供应商应根据《关于印发中小企业划型标准规定的通知》中软件和信息技术服务业划型标准进行划型；</w:t>
      </w:r>
    </w:p>
    <w:p w14:paraId="2E347180">
      <w:pPr>
        <w:tabs>
          <w:tab w:val="left" w:pos="105"/>
          <w:tab w:val="left" w:pos="945"/>
          <w:tab w:val="left" w:pos="3360"/>
        </w:tabs>
        <w:adjustRightInd w:val="0"/>
        <w:snapToGrid w:val="0"/>
        <w:spacing w:line="48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31.1.9本项目针对小微企业报价给予</w:t>
      </w:r>
      <w:r>
        <w:rPr>
          <w:rFonts w:hint="eastAsia" w:ascii="宋体" w:hAnsi="宋体" w:eastAsia="宋体" w:cs="宋体"/>
          <w:color w:val="auto"/>
          <w:szCs w:val="21"/>
          <w:highlight w:val="none"/>
          <w:lang w:eastAsia="zh-CN"/>
        </w:rPr>
        <w:t>10%的扣除</w:t>
      </w:r>
      <w:r>
        <w:rPr>
          <w:rFonts w:hint="eastAsia" w:ascii="宋体" w:hAnsi="宋体" w:eastAsia="宋体" w:cs="宋体"/>
          <w:color w:val="auto"/>
          <w:szCs w:val="21"/>
          <w:highlight w:val="none"/>
        </w:rPr>
        <w:t>，用扣除后的价格参与评审。</w:t>
      </w:r>
    </w:p>
    <w:p w14:paraId="3C4D5109">
      <w:pPr>
        <w:tabs>
          <w:tab w:val="left" w:pos="105"/>
          <w:tab w:val="left" w:pos="945"/>
          <w:tab w:val="left" w:pos="3360"/>
        </w:tabs>
        <w:adjustRightInd w:val="0"/>
        <w:snapToGrid w:val="0"/>
        <w:spacing w:line="48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36.1.10中标、成交</w:t>
      </w:r>
      <w:r>
        <w:rPr>
          <w:rFonts w:hint="eastAsia" w:ascii="宋体" w:hAnsi="宋体" w:cs="宋体"/>
          <w:color w:val="auto"/>
          <w:szCs w:val="21"/>
          <w:highlight w:val="none"/>
          <w:lang w:eastAsia="zh-CN"/>
        </w:rPr>
        <w:t>供应商</w:t>
      </w:r>
      <w:r>
        <w:rPr>
          <w:rFonts w:hint="eastAsia" w:ascii="宋体" w:hAnsi="宋体" w:eastAsia="宋体" w:cs="宋体"/>
          <w:color w:val="auto"/>
          <w:szCs w:val="21"/>
          <w:highlight w:val="none"/>
        </w:rPr>
        <w:t>享受本办法规定的中小企业扶持政策的，采购人、采购代理机构将随中标、成交结果公开中标、成交</w:t>
      </w:r>
      <w:r>
        <w:rPr>
          <w:rFonts w:hint="eastAsia" w:ascii="宋体" w:hAnsi="宋体" w:cs="宋体"/>
          <w:color w:val="auto"/>
          <w:szCs w:val="21"/>
          <w:highlight w:val="none"/>
          <w:lang w:eastAsia="zh-CN"/>
        </w:rPr>
        <w:t>供应商</w:t>
      </w:r>
      <w:r>
        <w:rPr>
          <w:rFonts w:hint="eastAsia" w:ascii="宋体" w:hAnsi="宋体" w:eastAsia="宋体" w:cs="宋体"/>
          <w:color w:val="auto"/>
          <w:szCs w:val="21"/>
          <w:highlight w:val="none"/>
        </w:rPr>
        <w:t>的《中小企业声明函》。</w:t>
      </w:r>
    </w:p>
    <w:p w14:paraId="2F165941">
      <w:pPr>
        <w:tabs>
          <w:tab w:val="left" w:pos="105"/>
          <w:tab w:val="left" w:pos="945"/>
          <w:tab w:val="left" w:pos="3360"/>
        </w:tabs>
        <w:adjustRightInd w:val="0"/>
        <w:snapToGrid w:val="0"/>
        <w:spacing w:line="48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31.2关于监狱企业：</w:t>
      </w:r>
    </w:p>
    <w:p w14:paraId="2B4DCB11">
      <w:pPr>
        <w:tabs>
          <w:tab w:val="left" w:pos="105"/>
          <w:tab w:val="left" w:pos="945"/>
          <w:tab w:val="left" w:pos="3360"/>
        </w:tabs>
        <w:adjustRightInd w:val="0"/>
        <w:snapToGrid w:val="0"/>
        <w:spacing w:line="48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31.2.1根据《财政部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DFE84C0">
      <w:pPr>
        <w:tabs>
          <w:tab w:val="left" w:pos="105"/>
          <w:tab w:val="left" w:pos="945"/>
          <w:tab w:val="left" w:pos="3360"/>
        </w:tabs>
        <w:adjustRightInd w:val="0"/>
        <w:snapToGrid w:val="0"/>
        <w:spacing w:line="48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31.2.2监狱企业参加政府采购活动时，应当提供由省级以上监狱管理局、戒毒管理局（含新疆生产建设兵团）出具的属于监狱企业的证明文件。</w:t>
      </w:r>
    </w:p>
    <w:p w14:paraId="6D10F54A">
      <w:pPr>
        <w:tabs>
          <w:tab w:val="left" w:pos="105"/>
          <w:tab w:val="left" w:pos="945"/>
          <w:tab w:val="left" w:pos="3360"/>
        </w:tabs>
        <w:adjustRightInd w:val="0"/>
        <w:snapToGrid w:val="0"/>
        <w:spacing w:line="48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31.2.3在政府采购活动中，监狱企业视同小型、微型企业，享受预留份额、评审中价格扣除等政府采购促进中小企业发展的政府采购政策。</w:t>
      </w:r>
    </w:p>
    <w:p w14:paraId="6B6EA193">
      <w:pPr>
        <w:tabs>
          <w:tab w:val="left" w:pos="105"/>
          <w:tab w:val="left" w:pos="945"/>
          <w:tab w:val="left" w:pos="3360"/>
        </w:tabs>
        <w:adjustRightInd w:val="0"/>
        <w:snapToGrid w:val="0"/>
        <w:spacing w:line="48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31.3关于残疾人福利性单位：</w:t>
      </w:r>
    </w:p>
    <w:p w14:paraId="3921C107">
      <w:pPr>
        <w:tabs>
          <w:tab w:val="left" w:pos="105"/>
          <w:tab w:val="left" w:pos="945"/>
          <w:tab w:val="left" w:pos="3360"/>
        </w:tabs>
        <w:adjustRightInd w:val="0"/>
        <w:snapToGrid w:val="0"/>
        <w:spacing w:line="48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31.3.1根据《三部门联合发布关于促进残疾人就业政府采购政策的通知》（财库〔2017〕141号）的规定，享受政府采购支持政策的残疾人福利性单位应当同时满足以下条件：</w:t>
      </w:r>
    </w:p>
    <w:p w14:paraId="055EF425">
      <w:pPr>
        <w:tabs>
          <w:tab w:val="left" w:pos="105"/>
          <w:tab w:val="left" w:pos="945"/>
          <w:tab w:val="left" w:pos="3360"/>
        </w:tabs>
        <w:adjustRightInd w:val="0"/>
        <w:snapToGrid w:val="0"/>
        <w:spacing w:line="48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（一）安置的残疾人占本单位在职职工人数的比例不低于25%（含25%），并且安置的残疾人人数不少于10人（含10人）；</w:t>
      </w:r>
    </w:p>
    <w:p w14:paraId="0153169D">
      <w:pPr>
        <w:tabs>
          <w:tab w:val="left" w:pos="105"/>
          <w:tab w:val="left" w:pos="945"/>
          <w:tab w:val="left" w:pos="3360"/>
        </w:tabs>
        <w:adjustRightInd w:val="0"/>
        <w:snapToGrid w:val="0"/>
        <w:spacing w:line="48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（二）依法与安置的每位残疾人签订了一年以上（含一年）的劳动合同或服务协议；</w:t>
      </w:r>
    </w:p>
    <w:p w14:paraId="10FE1EAB">
      <w:pPr>
        <w:tabs>
          <w:tab w:val="left" w:pos="105"/>
          <w:tab w:val="left" w:pos="945"/>
          <w:tab w:val="left" w:pos="3360"/>
        </w:tabs>
        <w:adjustRightInd w:val="0"/>
        <w:snapToGrid w:val="0"/>
        <w:spacing w:line="48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（三）为安置的每位残疾人按月足额缴纳了基本养老保险、基本医疗保险、失业保险、工伤保险和生育保险等社会保险费；</w:t>
      </w:r>
    </w:p>
    <w:p w14:paraId="7DE56B73">
      <w:pPr>
        <w:tabs>
          <w:tab w:val="left" w:pos="105"/>
          <w:tab w:val="left" w:pos="945"/>
          <w:tab w:val="left" w:pos="3360"/>
        </w:tabs>
        <w:adjustRightInd w:val="0"/>
        <w:snapToGrid w:val="0"/>
        <w:spacing w:line="48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（四）通过银行等金融机构向安置的每位残疾人，按月支付了不低于单位所在区县适用的经省级人民政府批准的月最低工资标准的工资；</w:t>
      </w:r>
    </w:p>
    <w:p w14:paraId="63F44065">
      <w:pPr>
        <w:tabs>
          <w:tab w:val="left" w:pos="105"/>
          <w:tab w:val="left" w:pos="945"/>
          <w:tab w:val="left" w:pos="3360"/>
        </w:tabs>
        <w:adjustRightInd w:val="0"/>
        <w:snapToGrid w:val="0"/>
        <w:spacing w:line="48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（五）提供本单位制造的货物、承担的工程或者服务（以下简称产品），或者提供其他残疾人福利性单位制造的货物（不包括使用非残疾人福利性单位注册商标的货物）。</w:t>
      </w:r>
    </w:p>
    <w:p w14:paraId="4D5A6FAE">
      <w:pPr>
        <w:tabs>
          <w:tab w:val="left" w:pos="105"/>
          <w:tab w:val="left" w:pos="945"/>
          <w:tab w:val="left" w:pos="3360"/>
        </w:tabs>
        <w:adjustRightInd w:val="0"/>
        <w:snapToGrid w:val="0"/>
        <w:spacing w:line="48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1428478">
      <w:pPr>
        <w:tabs>
          <w:tab w:val="left" w:pos="105"/>
          <w:tab w:val="left" w:pos="945"/>
          <w:tab w:val="left" w:pos="3360"/>
        </w:tabs>
        <w:adjustRightInd w:val="0"/>
        <w:snapToGrid w:val="0"/>
        <w:spacing w:line="48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31.3.2符合条件的残疾人福利性单位在参加政府采购活动时，应当按《三部门联合发布关于促进残疾人就业政府采购政策的通知》（财库〔2017〕141号）提供规定的《残疾人福利性单位声明函》，并对声明的真实性负责。</w:t>
      </w:r>
    </w:p>
    <w:p w14:paraId="50AB360E">
      <w:pPr>
        <w:tabs>
          <w:tab w:val="left" w:pos="105"/>
          <w:tab w:val="left" w:pos="945"/>
          <w:tab w:val="left" w:pos="3360"/>
        </w:tabs>
        <w:adjustRightInd w:val="0"/>
        <w:snapToGrid w:val="0"/>
        <w:spacing w:line="48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31.3.3本项目针对残疾人福利性单位产品的价格给予</w:t>
      </w:r>
      <w:r>
        <w:rPr>
          <w:rFonts w:hint="eastAsia" w:ascii="宋体" w:hAnsi="宋体" w:eastAsia="宋体" w:cs="宋体"/>
          <w:color w:val="auto"/>
          <w:szCs w:val="21"/>
          <w:highlight w:val="none"/>
          <w:lang w:eastAsia="zh-CN"/>
        </w:rPr>
        <w:t>10%的扣除</w:t>
      </w:r>
      <w:r>
        <w:rPr>
          <w:rFonts w:hint="eastAsia" w:ascii="宋体" w:hAnsi="宋体" w:eastAsia="宋体" w:cs="宋体"/>
          <w:color w:val="auto"/>
          <w:szCs w:val="21"/>
          <w:highlight w:val="none"/>
        </w:rPr>
        <w:t>，用扣除后的价格参与评审。残疾人福利性单位属于小型、微型企业的，不重复享受政策。</w:t>
      </w:r>
    </w:p>
    <w:p w14:paraId="7233EBD9">
      <w:pPr>
        <w:tabs>
          <w:tab w:val="left" w:pos="105"/>
          <w:tab w:val="left" w:pos="945"/>
          <w:tab w:val="left" w:pos="3360"/>
        </w:tabs>
        <w:adjustRightInd w:val="0"/>
        <w:snapToGrid w:val="0"/>
        <w:spacing w:line="480" w:lineRule="exact"/>
        <w:ind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31.4其它</w:t>
      </w:r>
      <w:r>
        <w:rPr>
          <w:rFonts w:hint="eastAsia" w:ascii="宋体" w:hAnsi="宋体" w:eastAsia="宋体" w:cs="宋体"/>
          <w:color w:val="auto"/>
          <w:szCs w:val="21"/>
          <w:highlight w:val="none"/>
          <w:lang w:eastAsia="zh-CN"/>
        </w:rPr>
        <w:t>注意事项</w:t>
      </w:r>
      <w:r>
        <w:rPr>
          <w:rFonts w:hint="eastAsia" w:ascii="宋体" w:hAnsi="宋体" w:eastAsia="宋体" w:cs="宋体"/>
          <w:color w:val="auto"/>
          <w:szCs w:val="21"/>
          <w:highlight w:val="none"/>
        </w:rPr>
        <w:t>：以下情况视为供应商同意撤回已上传系统的响应文件或其响应文件无效：</w:t>
      </w:r>
    </w:p>
    <w:p w14:paraId="1E6C9A99">
      <w:pPr>
        <w:tabs>
          <w:tab w:val="left" w:pos="105"/>
          <w:tab w:val="left" w:pos="945"/>
          <w:tab w:val="left" w:pos="3360"/>
        </w:tabs>
        <w:adjustRightInd w:val="0"/>
        <w:snapToGrid w:val="0"/>
        <w:spacing w:line="480" w:lineRule="exact"/>
        <w:ind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（1）政采云电子平台显示供应商未上传响应文件；</w:t>
      </w:r>
    </w:p>
    <w:p w14:paraId="69E42CD7">
      <w:pPr>
        <w:tabs>
          <w:tab w:val="left" w:pos="105"/>
          <w:tab w:val="left" w:pos="945"/>
          <w:tab w:val="left" w:pos="3360"/>
        </w:tabs>
        <w:adjustRightInd w:val="0"/>
        <w:snapToGrid w:val="0"/>
        <w:spacing w:line="480" w:lineRule="exact"/>
        <w:ind w:firstLine="420"/>
        <w:rPr>
          <w:rFonts w:hint="eastAsia" w:ascii="宋体" w:hAnsi="宋体" w:cs="宋体"/>
          <w:color w:val="auto"/>
          <w:szCs w:val="21"/>
          <w:highlight w:val="none"/>
        </w:rPr>
      </w:pPr>
      <w:r>
        <w:rPr>
          <w:rFonts w:hint="eastAsia" w:ascii="宋体" w:hAnsi="宋体" w:eastAsia="宋体" w:cs="宋体"/>
          <w:color w:val="auto"/>
          <w:szCs w:val="21"/>
          <w:highlight w:val="none"/>
        </w:rPr>
        <w:t>（2）因供应商原因上传的响应文件在开启文件时无法解密。</w:t>
      </w:r>
    </w:p>
    <w:p w14:paraId="0D1E052F">
      <w:pPr>
        <w:pStyle w:val="3"/>
        <w:spacing w:line="500" w:lineRule="exact"/>
        <w:rPr>
          <w:rFonts w:hint="eastAsia" w:cs="宋体"/>
          <w:color w:val="auto"/>
          <w:szCs w:val="21"/>
          <w:highlight w:val="none"/>
        </w:rPr>
      </w:pPr>
      <w:r>
        <w:rPr>
          <w:rFonts w:hint="eastAsia" w:cs="宋体"/>
          <w:bCs w:val="0"/>
          <w:color w:val="auto"/>
          <w:sz w:val="24"/>
          <w:highlight w:val="none"/>
        </w:rPr>
        <w:br w:type="page"/>
      </w:r>
      <w:bookmarkStart w:id="95" w:name="_Toc12761"/>
      <w:r>
        <w:rPr>
          <w:rFonts w:hint="eastAsia" w:cs="宋体"/>
          <w:color w:val="auto"/>
          <w:sz w:val="34"/>
          <w:szCs w:val="32"/>
          <w:highlight w:val="none"/>
        </w:rPr>
        <w:t>第三章  合同书样式及主要条款</w:t>
      </w:r>
      <w:bookmarkEnd w:id="95"/>
    </w:p>
    <w:p w14:paraId="43818CEF">
      <w:pPr>
        <w:keepNext w:val="0"/>
        <w:keepLines w:val="0"/>
        <w:widowControl/>
        <w:suppressLineNumbers w:val="0"/>
        <w:jc w:val="center"/>
        <w:rPr>
          <w:rFonts w:ascii="黑体" w:hAnsi="宋体" w:eastAsia="黑体" w:cs="黑体"/>
          <w:color w:val="auto"/>
          <w:kern w:val="0"/>
          <w:sz w:val="46"/>
          <w:szCs w:val="46"/>
          <w:highlight w:val="none"/>
          <w:lang w:val="en-US" w:eastAsia="zh-CN" w:bidi="ar"/>
        </w:rPr>
      </w:pPr>
    </w:p>
    <w:p w14:paraId="24A60202">
      <w:pPr>
        <w:keepNext w:val="0"/>
        <w:keepLines w:val="0"/>
        <w:widowControl/>
        <w:suppressLineNumbers w:val="0"/>
        <w:jc w:val="center"/>
        <w:rPr>
          <w:rFonts w:ascii="黑体" w:hAnsi="宋体" w:eastAsia="黑体" w:cs="黑体"/>
          <w:color w:val="auto"/>
          <w:kern w:val="0"/>
          <w:sz w:val="72"/>
          <w:szCs w:val="72"/>
          <w:highlight w:val="none"/>
          <w:lang w:val="en-US" w:eastAsia="zh-CN" w:bidi="ar"/>
        </w:rPr>
      </w:pPr>
    </w:p>
    <w:p w14:paraId="60AF987B">
      <w:pPr>
        <w:keepNext w:val="0"/>
        <w:keepLines w:val="0"/>
        <w:widowControl/>
        <w:suppressLineNumbers w:val="0"/>
        <w:jc w:val="center"/>
        <w:rPr>
          <w:rFonts w:ascii="黑体" w:hAnsi="宋体" w:eastAsia="黑体" w:cs="黑体"/>
          <w:color w:val="auto"/>
          <w:kern w:val="0"/>
          <w:sz w:val="72"/>
          <w:szCs w:val="72"/>
          <w:highlight w:val="none"/>
          <w:lang w:val="en-US" w:eastAsia="zh-CN" w:bidi="ar"/>
        </w:rPr>
      </w:pPr>
    </w:p>
    <w:p w14:paraId="589BB8F1">
      <w:pPr>
        <w:keepNext w:val="0"/>
        <w:keepLines w:val="0"/>
        <w:widowControl/>
        <w:suppressLineNumbers w:val="0"/>
        <w:jc w:val="center"/>
        <w:rPr>
          <w:color w:val="auto"/>
          <w:sz w:val="72"/>
          <w:szCs w:val="72"/>
          <w:highlight w:val="none"/>
        </w:rPr>
      </w:pPr>
      <w:r>
        <w:rPr>
          <w:rFonts w:ascii="黑体" w:hAnsi="宋体" w:eastAsia="黑体" w:cs="黑体"/>
          <w:color w:val="auto"/>
          <w:kern w:val="0"/>
          <w:sz w:val="72"/>
          <w:szCs w:val="72"/>
          <w:highlight w:val="none"/>
          <w:lang w:val="en-US" w:eastAsia="zh-CN" w:bidi="ar"/>
        </w:rPr>
        <w:t>云南省政府采购合同</w:t>
      </w:r>
    </w:p>
    <w:p w14:paraId="08706AFD">
      <w:pPr>
        <w:keepNext w:val="0"/>
        <w:keepLines w:val="0"/>
        <w:widowControl/>
        <w:suppressLineNumbers w:val="0"/>
        <w:jc w:val="center"/>
        <w:rPr>
          <w:rFonts w:ascii="微软雅黑" w:hAnsi="微软雅黑" w:eastAsia="微软雅黑" w:cs="微软雅黑"/>
          <w:color w:val="auto"/>
          <w:kern w:val="0"/>
          <w:sz w:val="22"/>
          <w:szCs w:val="22"/>
          <w:highlight w:val="none"/>
          <w:lang w:val="en-US" w:eastAsia="zh-CN" w:bidi="ar"/>
        </w:rPr>
      </w:pPr>
    </w:p>
    <w:p w14:paraId="67EC2F82">
      <w:pPr>
        <w:keepNext w:val="0"/>
        <w:keepLines w:val="0"/>
        <w:widowControl/>
        <w:suppressLineNumbers w:val="0"/>
        <w:jc w:val="center"/>
        <w:rPr>
          <w:rFonts w:ascii="微软雅黑" w:hAnsi="微软雅黑" w:eastAsia="微软雅黑" w:cs="微软雅黑"/>
          <w:color w:val="auto"/>
          <w:kern w:val="0"/>
          <w:sz w:val="22"/>
          <w:szCs w:val="22"/>
          <w:highlight w:val="none"/>
          <w:lang w:val="en-US" w:eastAsia="zh-CN" w:bidi="ar"/>
        </w:rPr>
      </w:pPr>
    </w:p>
    <w:p w14:paraId="43676049">
      <w:pPr>
        <w:keepNext w:val="0"/>
        <w:keepLines w:val="0"/>
        <w:widowControl/>
        <w:suppressLineNumbers w:val="0"/>
        <w:spacing w:line="360" w:lineRule="auto"/>
        <w:jc w:val="center"/>
        <w:rPr>
          <w:color w:val="auto"/>
          <w:sz w:val="32"/>
          <w:szCs w:val="32"/>
          <w:highlight w:val="none"/>
        </w:rPr>
      </w:pPr>
      <w:r>
        <w:rPr>
          <w:rFonts w:ascii="微软雅黑" w:hAnsi="微软雅黑" w:eastAsia="微软雅黑" w:cs="微软雅黑"/>
          <w:color w:val="auto"/>
          <w:kern w:val="0"/>
          <w:sz w:val="32"/>
          <w:szCs w:val="32"/>
          <w:highlight w:val="none"/>
          <w:lang w:val="en-US" w:eastAsia="zh-CN" w:bidi="ar"/>
        </w:rPr>
        <w:t>项 目 名 称：</w:t>
      </w:r>
      <w:r>
        <w:rPr>
          <w:rFonts w:hint="eastAsia" w:ascii="微软雅黑" w:hAnsi="微软雅黑" w:eastAsia="微软雅黑" w:cs="微软雅黑"/>
          <w:color w:val="auto"/>
          <w:kern w:val="0"/>
          <w:sz w:val="32"/>
          <w:szCs w:val="32"/>
          <w:highlight w:val="none"/>
          <w:u w:val="single"/>
          <w:lang w:val="en-US" w:eastAsia="zh-CN" w:bidi="ar"/>
        </w:rPr>
        <w:t>昆明市公安局商用密码应用安全性评估服务</w:t>
      </w:r>
    </w:p>
    <w:p w14:paraId="203B96AF">
      <w:pPr>
        <w:keepNext w:val="0"/>
        <w:keepLines w:val="0"/>
        <w:widowControl/>
        <w:suppressLineNumbers w:val="0"/>
        <w:spacing w:line="360" w:lineRule="auto"/>
        <w:jc w:val="center"/>
        <w:rPr>
          <w:color w:val="auto"/>
          <w:sz w:val="32"/>
          <w:szCs w:val="32"/>
          <w:highlight w:val="none"/>
        </w:rPr>
      </w:pPr>
      <w:r>
        <w:rPr>
          <w:rFonts w:hint="eastAsia" w:ascii="微软雅黑" w:hAnsi="微软雅黑" w:eastAsia="微软雅黑" w:cs="微软雅黑"/>
          <w:color w:val="auto"/>
          <w:kern w:val="0"/>
          <w:sz w:val="32"/>
          <w:szCs w:val="32"/>
          <w:highlight w:val="none"/>
          <w:lang w:val="en-US" w:eastAsia="zh-CN" w:bidi="ar"/>
        </w:rPr>
        <w:t>合 同 编 号：</w:t>
      </w:r>
      <w:r>
        <w:rPr>
          <w:rFonts w:hint="eastAsia" w:ascii="微软雅黑" w:hAnsi="微软雅黑" w:eastAsia="微软雅黑" w:cs="微软雅黑"/>
          <w:color w:val="auto"/>
          <w:kern w:val="0"/>
          <w:sz w:val="32"/>
          <w:szCs w:val="32"/>
          <w:highlight w:val="none"/>
          <w:u w:val="single"/>
          <w:lang w:val="en-US" w:eastAsia="zh-CN" w:bidi="ar"/>
        </w:rPr>
        <w:t xml:space="preserve">                      </w:t>
      </w:r>
      <w:r>
        <w:rPr>
          <w:rFonts w:hint="eastAsia" w:eastAsia="宋体" w:cs="Times New Roman"/>
          <w:color w:val="auto"/>
          <w:sz w:val="32"/>
          <w:szCs w:val="32"/>
          <w:highlight w:val="none"/>
          <w:lang w:val="en-US" w:eastAsia="zh-CN"/>
        </w:rPr>
        <w:t>（系统编号）</w:t>
      </w:r>
    </w:p>
    <w:p w14:paraId="0D65C6DF">
      <w:pPr>
        <w:keepNext w:val="0"/>
        <w:keepLines w:val="0"/>
        <w:widowControl/>
        <w:suppressLineNumbers w:val="0"/>
        <w:spacing w:line="360" w:lineRule="auto"/>
        <w:jc w:val="center"/>
        <w:rPr>
          <w:rFonts w:hint="eastAsia" w:ascii="Tahoma" w:hAnsi="Tahoma" w:eastAsia="Tahoma" w:cs="Tahoma"/>
          <w:color w:val="auto"/>
          <w:kern w:val="0"/>
          <w:sz w:val="32"/>
          <w:szCs w:val="32"/>
          <w:highlight w:val="none"/>
          <w:lang w:val="en-US" w:eastAsia="zh-CN" w:bidi="ar"/>
        </w:rPr>
      </w:pPr>
      <w:r>
        <w:rPr>
          <w:rFonts w:hint="eastAsia" w:ascii="Tahoma" w:hAnsi="Tahoma" w:eastAsia="Tahoma" w:cs="Tahoma"/>
          <w:color w:val="auto"/>
          <w:kern w:val="0"/>
          <w:sz w:val="32"/>
          <w:szCs w:val="32"/>
          <w:highlight w:val="none"/>
          <w:lang w:val="en-US" w:eastAsia="zh-CN" w:bidi="ar"/>
        </w:rPr>
        <w:t>（自编号，如有）</w:t>
      </w:r>
    </w:p>
    <w:p w14:paraId="09F4264F">
      <w:pPr>
        <w:keepNext w:val="0"/>
        <w:keepLines w:val="0"/>
        <w:widowControl/>
        <w:suppressLineNumbers w:val="0"/>
        <w:jc w:val="center"/>
        <w:rPr>
          <w:rFonts w:hint="eastAsia" w:ascii="微软雅黑" w:hAnsi="微软雅黑" w:eastAsia="微软雅黑" w:cs="微软雅黑"/>
          <w:color w:val="auto"/>
          <w:kern w:val="0"/>
          <w:sz w:val="32"/>
          <w:szCs w:val="32"/>
          <w:highlight w:val="none"/>
          <w:lang w:val="en-US" w:eastAsia="zh-CN" w:bidi="ar"/>
        </w:rPr>
      </w:pPr>
    </w:p>
    <w:p w14:paraId="27421757">
      <w:pPr>
        <w:keepNext w:val="0"/>
        <w:keepLines w:val="0"/>
        <w:widowControl/>
        <w:suppressLineNumbers w:val="0"/>
        <w:jc w:val="center"/>
        <w:rPr>
          <w:rFonts w:hint="eastAsia" w:ascii="微软雅黑" w:hAnsi="微软雅黑" w:eastAsia="微软雅黑" w:cs="微软雅黑"/>
          <w:color w:val="auto"/>
          <w:kern w:val="0"/>
          <w:sz w:val="32"/>
          <w:szCs w:val="32"/>
          <w:highlight w:val="none"/>
          <w:lang w:val="en-US" w:eastAsia="zh-CN" w:bidi="ar"/>
        </w:rPr>
      </w:pPr>
    </w:p>
    <w:p w14:paraId="2940F85A">
      <w:pPr>
        <w:keepNext w:val="0"/>
        <w:keepLines w:val="0"/>
        <w:widowControl/>
        <w:suppressLineNumbers w:val="0"/>
        <w:jc w:val="center"/>
        <w:rPr>
          <w:rFonts w:hint="eastAsia" w:ascii="微软雅黑" w:hAnsi="微软雅黑" w:eastAsia="微软雅黑" w:cs="微软雅黑"/>
          <w:color w:val="auto"/>
          <w:kern w:val="0"/>
          <w:sz w:val="32"/>
          <w:szCs w:val="32"/>
          <w:highlight w:val="none"/>
          <w:lang w:val="en-US" w:eastAsia="zh-CN" w:bidi="ar"/>
        </w:rPr>
      </w:pPr>
    </w:p>
    <w:p w14:paraId="7AAF449F">
      <w:pPr>
        <w:keepNext w:val="0"/>
        <w:keepLines w:val="0"/>
        <w:widowControl/>
        <w:suppressLineNumbers w:val="0"/>
        <w:jc w:val="center"/>
        <w:rPr>
          <w:rFonts w:hint="eastAsia" w:ascii="微软雅黑" w:hAnsi="微软雅黑" w:eastAsia="微软雅黑" w:cs="微软雅黑"/>
          <w:color w:val="auto"/>
          <w:kern w:val="0"/>
          <w:sz w:val="32"/>
          <w:szCs w:val="32"/>
          <w:highlight w:val="none"/>
          <w:lang w:val="en-US" w:eastAsia="zh-CN" w:bidi="ar"/>
        </w:rPr>
      </w:pPr>
    </w:p>
    <w:p w14:paraId="23ED0360">
      <w:pPr>
        <w:keepNext w:val="0"/>
        <w:keepLines w:val="0"/>
        <w:widowControl/>
        <w:suppressLineNumbers w:val="0"/>
        <w:ind w:left="0" w:leftChars="0" w:firstLine="2739" w:firstLineChars="856"/>
        <w:jc w:val="left"/>
        <w:rPr>
          <w:rFonts w:hint="default"/>
          <w:color w:val="auto"/>
          <w:sz w:val="32"/>
          <w:szCs w:val="32"/>
          <w:highlight w:val="none"/>
          <w:lang w:val="en-US"/>
        </w:rPr>
      </w:pPr>
      <w:r>
        <w:rPr>
          <w:rFonts w:hint="eastAsia" w:ascii="微软雅黑" w:hAnsi="微软雅黑" w:eastAsia="微软雅黑" w:cs="微软雅黑"/>
          <w:color w:val="auto"/>
          <w:kern w:val="0"/>
          <w:sz w:val="32"/>
          <w:szCs w:val="32"/>
          <w:highlight w:val="none"/>
          <w:lang w:val="en-US" w:eastAsia="zh-CN" w:bidi="ar"/>
        </w:rPr>
        <w:t>甲  方：昆明市公安局</w:t>
      </w:r>
    </w:p>
    <w:p w14:paraId="20A39CF1">
      <w:pPr>
        <w:keepNext w:val="0"/>
        <w:keepLines w:val="0"/>
        <w:widowControl/>
        <w:suppressLineNumbers w:val="0"/>
        <w:jc w:val="center"/>
        <w:rPr>
          <w:rFonts w:hint="eastAsia" w:ascii="微软雅黑" w:hAnsi="微软雅黑" w:eastAsia="微软雅黑" w:cs="微软雅黑"/>
          <w:color w:val="auto"/>
          <w:kern w:val="0"/>
          <w:sz w:val="32"/>
          <w:szCs w:val="32"/>
          <w:highlight w:val="none"/>
          <w:lang w:val="en-US" w:eastAsia="zh-CN" w:bidi="ar"/>
        </w:rPr>
      </w:pPr>
    </w:p>
    <w:p w14:paraId="3462B723">
      <w:pPr>
        <w:keepNext w:val="0"/>
        <w:keepLines w:val="0"/>
        <w:widowControl/>
        <w:suppressLineNumbers w:val="0"/>
        <w:ind w:left="0" w:leftChars="0" w:firstLine="2739" w:firstLineChars="856"/>
        <w:jc w:val="left"/>
        <w:rPr>
          <w:color w:val="auto"/>
          <w:sz w:val="32"/>
          <w:szCs w:val="32"/>
          <w:highlight w:val="none"/>
        </w:rPr>
      </w:pPr>
      <w:r>
        <w:rPr>
          <w:rFonts w:hint="eastAsia" w:ascii="微软雅黑" w:hAnsi="微软雅黑" w:eastAsia="微软雅黑" w:cs="微软雅黑"/>
          <w:color w:val="auto"/>
          <w:kern w:val="0"/>
          <w:sz w:val="32"/>
          <w:szCs w:val="32"/>
          <w:highlight w:val="none"/>
          <w:lang w:val="en-US" w:eastAsia="zh-CN" w:bidi="ar"/>
        </w:rPr>
        <w:t>乙  方：</w:t>
      </w:r>
    </w:p>
    <w:p w14:paraId="0CFA1165">
      <w:pPr>
        <w:pStyle w:val="9"/>
        <w:rPr>
          <w:color w:val="auto"/>
          <w:highlight w:val="none"/>
        </w:rPr>
      </w:pPr>
    </w:p>
    <w:p w14:paraId="071A52BC">
      <w:pPr>
        <w:pStyle w:val="33"/>
        <w:jc w:val="center"/>
        <w:rPr>
          <w:rFonts w:hint="eastAsia" w:ascii="宋体" w:cs="宋体"/>
          <w:b/>
          <w:bCs/>
          <w:color w:val="auto"/>
          <w:sz w:val="27"/>
          <w:szCs w:val="27"/>
          <w:highlight w:val="none"/>
        </w:rPr>
      </w:pPr>
    </w:p>
    <w:p w14:paraId="4A446D06">
      <w:pPr>
        <w:spacing w:after="240"/>
        <w:rPr>
          <w:rFonts w:hint="eastAsia" w:ascii="宋体" w:hAnsi="宋体" w:cs="宋体"/>
          <w:color w:val="auto"/>
          <w:sz w:val="18"/>
          <w:szCs w:val="18"/>
          <w:highlight w:val="none"/>
        </w:rPr>
      </w:pPr>
      <w:r>
        <w:rPr>
          <w:rFonts w:hint="eastAsia" w:ascii="宋体" w:hAnsi="宋体" w:cs="宋体"/>
          <w:b/>
          <w:color w:val="auto"/>
          <w:highlight w:val="none"/>
        </w:rPr>
        <w:br w:type="page"/>
      </w:r>
    </w:p>
    <w:p w14:paraId="6DDC9A53">
      <w:pPr>
        <w:spacing w:after="240"/>
        <w:rPr>
          <w:rFonts w:hint="eastAsia" w:ascii="宋体" w:hAnsi="宋体" w:cs="宋体"/>
          <w:color w:val="auto"/>
          <w:sz w:val="24"/>
          <w:highlight w:val="none"/>
        </w:rPr>
      </w:pPr>
    </w:p>
    <w:tbl>
      <w:tblPr>
        <w:tblStyle w:val="36"/>
        <w:tblW w:w="9580" w:type="dxa"/>
        <w:jc w:val="center"/>
        <w:tblCellSpacing w:w="0" w:type="dxa"/>
        <w:tblLayout w:type="fixed"/>
        <w:tblCellMar>
          <w:top w:w="0" w:type="dxa"/>
          <w:left w:w="0" w:type="dxa"/>
          <w:bottom w:w="0" w:type="dxa"/>
          <w:right w:w="0" w:type="dxa"/>
        </w:tblCellMar>
      </w:tblPr>
      <w:tblGrid>
        <w:gridCol w:w="1628"/>
        <w:gridCol w:w="7952"/>
      </w:tblGrid>
      <w:tr w14:paraId="211EB68A">
        <w:tblPrEx>
          <w:tblCellMar>
            <w:top w:w="0" w:type="dxa"/>
            <w:left w:w="0" w:type="dxa"/>
            <w:bottom w:w="0" w:type="dxa"/>
            <w:right w:w="0" w:type="dxa"/>
          </w:tblCellMar>
        </w:tblPrEx>
        <w:trPr>
          <w:trHeight w:val="754" w:hRule="atLeast"/>
          <w:tblCellSpacing w:w="0" w:type="dxa"/>
          <w:jc w:val="center"/>
        </w:trPr>
        <w:tc>
          <w:tcPr>
            <w:tcW w:w="9580" w:type="dxa"/>
            <w:gridSpan w:val="2"/>
            <w:noWrap w:val="0"/>
            <w:vAlign w:val="center"/>
          </w:tcPr>
          <w:p w14:paraId="7339BED9">
            <w:pPr>
              <w:keepNext w:val="0"/>
              <w:keepLines w:val="0"/>
              <w:widowControl/>
              <w:suppressLineNumbers w:val="0"/>
              <w:spacing w:before="0" w:beforeAutospacing="0" w:after="240" w:afterAutospacing="0"/>
              <w:ind w:left="0" w:right="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甲方（采购人公章）名 称：</w:t>
            </w:r>
          </w:p>
        </w:tc>
      </w:tr>
      <w:tr w14:paraId="63F60E0F">
        <w:tblPrEx>
          <w:tblCellMar>
            <w:top w:w="0" w:type="dxa"/>
            <w:left w:w="0" w:type="dxa"/>
            <w:bottom w:w="0" w:type="dxa"/>
            <w:right w:w="0" w:type="dxa"/>
          </w:tblCellMar>
        </w:tblPrEx>
        <w:trPr>
          <w:trHeight w:val="754" w:hRule="atLeast"/>
          <w:tblCellSpacing w:w="0" w:type="dxa"/>
          <w:jc w:val="center"/>
        </w:trPr>
        <w:tc>
          <w:tcPr>
            <w:tcW w:w="1628" w:type="dxa"/>
            <w:noWrap w:val="0"/>
            <w:vAlign w:val="center"/>
          </w:tcPr>
          <w:p w14:paraId="6A5A93BD">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7952" w:type="dxa"/>
            <w:noWrap w:val="0"/>
            <w:vAlign w:val="center"/>
          </w:tcPr>
          <w:p w14:paraId="73C6FC7D">
            <w:pPr>
              <w:keepNext w:val="0"/>
              <w:keepLines w:val="0"/>
              <w:widowControl/>
              <w:suppressLineNumbers w:val="0"/>
              <w:spacing w:before="0" w:beforeAutospacing="0" w:after="240" w:afterAutospacing="0"/>
              <w:ind w:left="0" w:right="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地 址：</w:t>
            </w:r>
          </w:p>
        </w:tc>
      </w:tr>
      <w:tr w14:paraId="060C904C">
        <w:tblPrEx>
          <w:tblCellMar>
            <w:top w:w="0" w:type="dxa"/>
            <w:left w:w="0" w:type="dxa"/>
            <w:bottom w:w="0" w:type="dxa"/>
            <w:right w:w="0" w:type="dxa"/>
          </w:tblCellMar>
        </w:tblPrEx>
        <w:trPr>
          <w:trHeight w:val="754" w:hRule="atLeast"/>
          <w:tblCellSpacing w:w="0" w:type="dxa"/>
          <w:jc w:val="center"/>
        </w:trPr>
        <w:tc>
          <w:tcPr>
            <w:tcW w:w="1628" w:type="dxa"/>
            <w:noWrap w:val="0"/>
            <w:vAlign w:val="center"/>
          </w:tcPr>
          <w:p w14:paraId="27F0C54B">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7952" w:type="dxa"/>
            <w:noWrap w:val="0"/>
            <w:vAlign w:val="center"/>
          </w:tcPr>
          <w:p w14:paraId="48A66D38">
            <w:pPr>
              <w:keepNext w:val="0"/>
              <w:keepLines w:val="0"/>
              <w:widowControl/>
              <w:suppressLineNumbers w:val="0"/>
              <w:spacing w:before="0" w:beforeAutospacing="0" w:after="240" w:afterAutospacing="0"/>
              <w:ind w:left="0" w:right="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邮 编：</w:t>
            </w:r>
          </w:p>
        </w:tc>
      </w:tr>
      <w:tr w14:paraId="788B7120">
        <w:tblPrEx>
          <w:tblCellMar>
            <w:top w:w="0" w:type="dxa"/>
            <w:left w:w="0" w:type="dxa"/>
            <w:bottom w:w="0" w:type="dxa"/>
            <w:right w:w="0" w:type="dxa"/>
          </w:tblCellMar>
        </w:tblPrEx>
        <w:trPr>
          <w:trHeight w:val="754" w:hRule="atLeast"/>
          <w:tblCellSpacing w:w="0" w:type="dxa"/>
          <w:jc w:val="center"/>
        </w:trPr>
        <w:tc>
          <w:tcPr>
            <w:tcW w:w="1628" w:type="dxa"/>
            <w:noWrap w:val="0"/>
            <w:vAlign w:val="center"/>
          </w:tcPr>
          <w:p w14:paraId="5399C1CE">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7952" w:type="dxa"/>
            <w:noWrap w:val="0"/>
            <w:vAlign w:val="center"/>
          </w:tcPr>
          <w:p w14:paraId="1287CA7F">
            <w:pPr>
              <w:keepNext w:val="0"/>
              <w:keepLines w:val="0"/>
              <w:widowControl/>
              <w:suppressLineNumbers w:val="0"/>
              <w:spacing w:before="0" w:beforeAutospacing="0" w:after="240" w:afterAutospacing="0"/>
              <w:ind w:left="0" w:right="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法定代表人或委托代理人：</w:t>
            </w:r>
          </w:p>
        </w:tc>
      </w:tr>
      <w:tr w14:paraId="067F2D7D">
        <w:tblPrEx>
          <w:tblCellMar>
            <w:top w:w="0" w:type="dxa"/>
            <w:left w:w="0" w:type="dxa"/>
            <w:bottom w:w="0" w:type="dxa"/>
            <w:right w:w="0" w:type="dxa"/>
          </w:tblCellMar>
        </w:tblPrEx>
        <w:trPr>
          <w:trHeight w:val="754" w:hRule="atLeast"/>
          <w:tblCellSpacing w:w="0" w:type="dxa"/>
          <w:jc w:val="center"/>
        </w:trPr>
        <w:tc>
          <w:tcPr>
            <w:tcW w:w="1628" w:type="dxa"/>
            <w:noWrap w:val="0"/>
            <w:vAlign w:val="center"/>
          </w:tcPr>
          <w:p w14:paraId="16C3D17A">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7952" w:type="dxa"/>
            <w:noWrap w:val="0"/>
            <w:vAlign w:val="center"/>
          </w:tcPr>
          <w:p w14:paraId="4F5FB8AE">
            <w:pPr>
              <w:keepNext w:val="0"/>
              <w:keepLines w:val="0"/>
              <w:widowControl/>
              <w:suppressLineNumbers w:val="0"/>
              <w:spacing w:before="0" w:beforeAutospacing="0" w:after="240" w:afterAutospacing="0"/>
              <w:ind w:left="0" w:right="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项目（技术）负责人：</w:t>
            </w:r>
          </w:p>
        </w:tc>
      </w:tr>
      <w:tr w14:paraId="25DDB5F7">
        <w:tblPrEx>
          <w:tblCellMar>
            <w:top w:w="0" w:type="dxa"/>
            <w:left w:w="0" w:type="dxa"/>
            <w:bottom w:w="0" w:type="dxa"/>
            <w:right w:w="0" w:type="dxa"/>
          </w:tblCellMar>
        </w:tblPrEx>
        <w:trPr>
          <w:trHeight w:val="754" w:hRule="atLeast"/>
          <w:tblCellSpacing w:w="0" w:type="dxa"/>
          <w:jc w:val="center"/>
        </w:trPr>
        <w:tc>
          <w:tcPr>
            <w:tcW w:w="1628" w:type="dxa"/>
            <w:noWrap w:val="0"/>
            <w:vAlign w:val="center"/>
          </w:tcPr>
          <w:p w14:paraId="034D30D5">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7952" w:type="dxa"/>
            <w:noWrap w:val="0"/>
            <w:vAlign w:val="center"/>
          </w:tcPr>
          <w:p w14:paraId="0E958067">
            <w:pPr>
              <w:keepNext w:val="0"/>
              <w:keepLines w:val="0"/>
              <w:widowControl/>
              <w:suppressLineNumbers w:val="0"/>
              <w:spacing w:before="0" w:beforeAutospacing="0" w:after="240" w:afterAutospacing="0"/>
              <w:ind w:left="0" w:right="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电 话：</w:t>
            </w:r>
          </w:p>
        </w:tc>
      </w:tr>
      <w:tr w14:paraId="237F141E">
        <w:tblPrEx>
          <w:tblCellMar>
            <w:top w:w="0" w:type="dxa"/>
            <w:left w:w="0" w:type="dxa"/>
            <w:bottom w:w="0" w:type="dxa"/>
            <w:right w:w="0" w:type="dxa"/>
          </w:tblCellMar>
        </w:tblPrEx>
        <w:trPr>
          <w:trHeight w:val="754" w:hRule="atLeast"/>
          <w:tblCellSpacing w:w="0" w:type="dxa"/>
          <w:jc w:val="center"/>
        </w:trPr>
        <w:tc>
          <w:tcPr>
            <w:tcW w:w="1628" w:type="dxa"/>
            <w:noWrap w:val="0"/>
            <w:vAlign w:val="center"/>
          </w:tcPr>
          <w:p w14:paraId="4599AAB0">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7952" w:type="dxa"/>
            <w:noWrap w:val="0"/>
            <w:vAlign w:val="center"/>
          </w:tcPr>
          <w:p w14:paraId="487715C7">
            <w:pPr>
              <w:keepNext w:val="0"/>
              <w:keepLines w:val="0"/>
              <w:widowControl/>
              <w:suppressLineNumbers w:val="0"/>
              <w:spacing w:before="0" w:beforeAutospacing="0" w:after="240" w:afterAutospacing="0"/>
              <w:ind w:left="0" w:right="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签订日期：</w:t>
            </w:r>
          </w:p>
        </w:tc>
      </w:tr>
      <w:tr w14:paraId="666E8060">
        <w:tblPrEx>
          <w:tblCellMar>
            <w:top w:w="0" w:type="dxa"/>
            <w:left w:w="0" w:type="dxa"/>
            <w:bottom w:w="0" w:type="dxa"/>
            <w:right w:w="0" w:type="dxa"/>
          </w:tblCellMar>
        </w:tblPrEx>
        <w:trPr>
          <w:trHeight w:val="754" w:hRule="atLeast"/>
          <w:tblCellSpacing w:w="0" w:type="dxa"/>
          <w:jc w:val="center"/>
        </w:trPr>
        <w:tc>
          <w:tcPr>
            <w:tcW w:w="9580" w:type="dxa"/>
            <w:gridSpan w:val="2"/>
            <w:noWrap w:val="0"/>
            <w:vAlign w:val="center"/>
          </w:tcPr>
          <w:p w14:paraId="1150E3F7">
            <w:pPr>
              <w:keepNext w:val="0"/>
              <w:keepLines w:val="0"/>
              <w:widowControl/>
              <w:suppressLineNumbers w:val="0"/>
              <w:spacing w:before="0" w:beforeAutospacing="0" w:after="240" w:afterAutospacing="0"/>
              <w:ind w:left="0" w:right="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乙方（供应商公章）名 称：</w:t>
            </w:r>
          </w:p>
        </w:tc>
      </w:tr>
      <w:tr w14:paraId="5C1CF1B0">
        <w:tblPrEx>
          <w:tblCellMar>
            <w:top w:w="0" w:type="dxa"/>
            <w:left w:w="0" w:type="dxa"/>
            <w:bottom w:w="0" w:type="dxa"/>
            <w:right w:w="0" w:type="dxa"/>
          </w:tblCellMar>
        </w:tblPrEx>
        <w:trPr>
          <w:trHeight w:val="754" w:hRule="atLeast"/>
          <w:tblCellSpacing w:w="0" w:type="dxa"/>
          <w:jc w:val="center"/>
        </w:trPr>
        <w:tc>
          <w:tcPr>
            <w:tcW w:w="1628" w:type="dxa"/>
            <w:noWrap w:val="0"/>
            <w:vAlign w:val="center"/>
          </w:tcPr>
          <w:p w14:paraId="76B6DBD0">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7952" w:type="dxa"/>
            <w:noWrap w:val="0"/>
            <w:vAlign w:val="center"/>
          </w:tcPr>
          <w:p w14:paraId="766D98BD">
            <w:pPr>
              <w:keepNext w:val="0"/>
              <w:keepLines w:val="0"/>
              <w:widowControl/>
              <w:suppressLineNumbers w:val="0"/>
              <w:spacing w:before="0" w:beforeAutospacing="0" w:after="240" w:afterAutospacing="0"/>
              <w:ind w:left="0" w:right="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地 址：</w:t>
            </w:r>
          </w:p>
        </w:tc>
      </w:tr>
      <w:tr w14:paraId="20A0A330">
        <w:tblPrEx>
          <w:tblCellMar>
            <w:top w:w="0" w:type="dxa"/>
            <w:left w:w="0" w:type="dxa"/>
            <w:bottom w:w="0" w:type="dxa"/>
            <w:right w:w="0" w:type="dxa"/>
          </w:tblCellMar>
        </w:tblPrEx>
        <w:trPr>
          <w:trHeight w:val="754" w:hRule="atLeast"/>
          <w:tblCellSpacing w:w="0" w:type="dxa"/>
          <w:jc w:val="center"/>
        </w:trPr>
        <w:tc>
          <w:tcPr>
            <w:tcW w:w="1628" w:type="dxa"/>
            <w:noWrap w:val="0"/>
            <w:vAlign w:val="center"/>
          </w:tcPr>
          <w:p w14:paraId="561C9941">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7952" w:type="dxa"/>
            <w:noWrap w:val="0"/>
            <w:vAlign w:val="center"/>
          </w:tcPr>
          <w:p w14:paraId="009C2ED4">
            <w:pPr>
              <w:keepNext w:val="0"/>
              <w:keepLines w:val="0"/>
              <w:widowControl/>
              <w:suppressLineNumbers w:val="0"/>
              <w:spacing w:before="0" w:beforeAutospacing="0" w:after="240" w:afterAutospacing="0"/>
              <w:ind w:left="0" w:right="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邮 编：</w:t>
            </w:r>
          </w:p>
        </w:tc>
      </w:tr>
      <w:tr w14:paraId="70739EC8">
        <w:tblPrEx>
          <w:tblCellMar>
            <w:top w:w="0" w:type="dxa"/>
            <w:left w:w="0" w:type="dxa"/>
            <w:bottom w:w="0" w:type="dxa"/>
            <w:right w:w="0" w:type="dxa"/>
          </w:tblCellMar>
        </w:tblPrEx>
        <w:trPr>
          <w:trHeight w:val="754" w:hRule="atLeast"/>
          <w:tblCellSpacing w:w="0" w:type="dxa"/>
          <w:jc w:val="center"/>
        </w:trPr>
        <w:tc>
          <w:tcPr>
            <w:tcW w:w="1628" w:type="dxa"/>
            <w:noWrap w:val="0"/>
            <w:vAlign w:val="center"/>
          </w:tcPr>
          <w:p w14:paraId="02EF22E8">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7952" w:type="dxa"/>
            <w:noWrap w:val="0"/>
            <w:vAlign w:val="center"/>
          </w:tcPr>
          <w:p w14:paraId="3CAEB242">
            <w:pPr>
              <w:keepNext w:val="0"/>
              <w:keepLines w:val="0"/>
              <w:widowControl/>
              <w:suppressLineNumbers w:val="0"/>
              <w:spacing w:before="0" w:beforeAutospacing="0" w:after="240" w:afterAutospacing="0"/>
              <w:ind w:left="0" w:right="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法定代表人或委托代理人：</w:t>
            </w:r>
          </w:p>
        </w:tc>
      </w:tr>
      <w:tr w14:paraId="533DB776">
        <w:tblPrEx>
          <w:tblCellMar>
            <w:top w:w="0" w:type="dxa"/>
            <w:left w:w="0" w:type="dxa"/>
            <w:bottom w:w="0" w:type="dxa"/>
            <w:right w:w="0" w:type="dxa"/>
          </w:tblCellMar>
        </w:tblPrEx>
        <w:trPr>
          <w:trHeight w:val="754" w:hRule="atLeast"/>
          <w:tblCellSpacing w:w="0" w:type="dxa"/>
          <w:jc w:val="center"/>
        </w:trPr>
        <w:tc>
          <w:tcPr>
            <w:tcW w:w="1628" w:type="dxa"/>
            <w:noWrap w:val="0"/>
            <w:vAlign w:val="center"/>
          </w:tcPr>
          <w:p w14:paraId="331794C7">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7952" w:type="dxa"/>
            <w:noWrap w:val="0"/>
            <w:vAlign w:val="center"/>
          </w:tcPr>
          <w:p w14:paraId="2D682149">
            <w:pPr>
              <w:keepNext w:val="0"/>
              <w:keepLines w:val="0"/>
              <w:widowControl/>
              <w:suppressLineNumbers w:val="0"/>
              <w:spacing w:before="0" w:beforeAutospacing="0" w:after="240" w:afterAutospacing="0"/>
              <w:ind w:left="0" w:right="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经办人：</w:t>
            </w:r>
          </w:p>
        </w:tc>
      </w:tr>
      <w:tr w14:paraId="1375FF8B">
        <w:tblPrEx>
          <w:tblCellMar>
            <w:top w:w="0" w:type="dxa"/>
            <w:left w:w="0" w:type="dxa"/>
            <w:bottom w:w="0" w:type="dxa"/>
            <w:right w:w="0" w:type="dxa"/>
          </w:tblCellMar>
        </w:tblPrEx>
        <w:trPr>
          <w:trHeight w:val="754" w:hRule="atLeast"/>
          <w:tblCellSpacing w:w="0" w:type="dxa"/>
          <w:jc w:val="center"/>
        </w:trPr>
        <w:tc>
          <w:tcPr>
            <w:tcW w:w="1628" w:type="dxa"/>
            <w:noWrap w:val="0"/>
            <w:vAlign w:val="center"/>
          </w:tcPr>
          <w:p w14:paraId="233FF1AB">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7952" w:type="dxa"/>
            <w:noWrap w:val="0"/>
            <w:vAlign w:val="center"/>
          </w:tcPr>
          <w:p w14:paraId="0046D209">
            <w:pPr>
              <w:keepNext w:val="0"/>
              <w:keepLines w:val="0"/>
              <w:widowControl/>
              <w:suppressLineNumbers w:val="0"/>
              <w:spacing w:before="0" w:beforeAutospacing="0" w:after="240" w:afterAutospacing="0"/>
              <w:ind w:left="0" w:right="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电 话：</w:t>
            </w:r>
          </w:p>
        </w:tc>
      </w:tr>
      <w:tr w14:paraId="5978AE6B">
        <w:tblPrEx>
          <w:tblCellMar>
            <w:top w:w="0" w:type="dxa"/>
            <w:left w:w="0" w:type="dxa"/>
            <w:bottom w:w="0" w:type="dxa"/>
            <w:right w:w="0" w:type="dxa"/>
          </w:tblCellMar>
        </w:tblPrEx>
        <w:trPr>
          <w:trHeight w:val="754" w:hRule="atLeast"/>
          <w:tblCellSpacing w:w="0" w:type="dxa"/>
          <w:jc w:val="center"/>
        </w:trPr>
        <w:tc>
          <w:tcPr>
            <w:tcW w:w="1628" w:type="dxa"/>
            <w:noWrap w:val="0"/>
            <w:vAlign w:val="center"/>
          </w:tcPr>
          <w:p w14:paraId="0A07C3BD">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7952" w:type="dxa"/>
            <w:noWrap w:val="0"/>
            <w:vAlign w:val="center"/>
          </w:tcPr>
          <w:p w14:paraId="427D3EBB">
            <w:pPr>
              <w:keepNext w:val="0"/>
              <w:keepLines w:val="0"/>
              <w:widowControl/>
              <w:suppressLineNumbers w:val="0"/>
              <w:spacing w:before="0" w:beforeAutospacing="0" w:after="240" w:afterAutospacing="0"/>
              <w:ind w:left="0" w:right="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签订日期：</w:t>
            </w:r>
          </w:p>
        </w:tc>
      </w:tr>
    </w:tbl>
    <w:p w14:paraId="3AF69912">
      <w:pPr>
        <w:pStyle w:val="4"/>
        <w:rPr>
          <w:rFonts w:ascii="宋体" w:hAnsi="宋体" w:cs="宋体"/>
          <w:color w:val="auto"/>
          <w:highlight w:val="none"/>
        </w:rPr>
      </w:pPr>
      <w:r>
        <w:rPr>
          <w:rFonts w:hint="eastAsia" w:ascii="宋体" w:hAnsi="宋体" w:cs="宋体"/>
          <w:b/>
          <w:color w:val="auto"/>
          <w:szCs w:val="21"/>
          <w:highlight w:val="none"/>
        </w:rPr>
        <w:br w:type="page"/>
      </w:r>
      <w:bookmarkStart w:id="96" w:name="_Toc488633613"/>
      <w:bookmarkStart w:id="97" w:name="_Toc481694842"/>
      <w:bookmarkStart w:id="98" w:name="_Toc24601"/>
      <w:bookmarkStart w:id="99" w:name="_Toc18181"/>
      <w:bookmarkStart w:id="100" w:name="_Toc213141091"/>
      <w:r>
        <w:rPr>
          <w:rFonts w:ascii="宋体" w:hAnsi="宋体" w:cs="宋体"/>
          <w:color w:val="auto"/>
          <w:highlight w:val="none"/>
        </w:rPr>
        <w:t>合同条款前附表</w:t>
      </w:r>
      <w:bookmarkEnd w:id="96"/>
      <w:bookmarkEnd w:id="97"/>
      <w:bookmarkEnd w:id="98"/>
      <w:bookmarkEnd w:id="99"/>
      <w:bookmarkEnd w:id="100"/>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8376"/>
      </w:tblGrid>
      <w:tr w14:paraId="50030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703" w:type="dxa"/>
            <w:noWrap w:val="0"/>
            <w:vAlign w:val="center"/>
          </w:tcPr>
          <w:p w14:paraId="2BBD6FDA">
            <w:pPr>
              <w:pStyle w:val="18"/>
              <w:keepNext w:val="0"/>
              <w:keepLines w:val="0"/>
              <w:suppressLineNumbers w:val="0"/>
              <w:spacing w:before="0" w:beforeAutospacing="0" w:after="0" w:afterAutospacing="0" w:line="360" w:lineRule="auto"/>
              <w:ind w:left="0" w:right="0"/>
              <w:jc w:val="center"/>
              <w:rPr>
                <w:rFonts w:hint="eastAsia" w:hAnsi="宋体" w:eastAsia="宋体" w:cs="宋体"/>
                <w:b/>
                <w:bCs/>
                <w:color w:val="auto"/>
                <w:szCs w:val="21"/>
                <w:highlight w:val="none"/>
              </w:rPr>
            </w:pPr>
            <w:r>
              <w:rPr>
                <w:rFonts w:hint="eastAsia" w:hAnsi="宋体" w:eastAsia="宋体" w:cs="宋体"/>
                <w:b/>
                <w:bCs/>
                <w:color w:val="auto"/>
                <w:szCs w:val="21"/>
                <w:highlight w:val="none"/>
              </w:rPr>
              <w:t>序号</w:t>
            </w:r>
          </w:p>
        </w:tc>
        <w:tc>
          <w:tcPr>
            <w:tcW w:w="8376" w:type="dxa"/>
            <w:noWrap w:val="0"/>
            <w:vAlign w:val="center"/>
          </w:tcPr>
          <w:p w14:paraId="7989A1D0">
            <w:pPr>
              <w:pStyle w:val="18"/>
              <w:keepNext w:val="0"/>
              <w:keepLines w:val="0"/>
              <w:suppressLineNumbers w:val="0"/>
              <w:spacing w:before="0" w:beforeAutospacing="0" w:after="0" w:afterAutospacing="0" w:line="360" w:lineRule="auto"/>
              <w:ind w:left="0" w:right="0" w:firstLine="211" w:firstLineChars="100"/>
              <w:jc w:val="center"/>
              <w:rPr>
                <w:rFonts w:hint="eastAsia" w:hAnsi="宋体" w:eastAsia="宋体" w:cs="宋体"/>
                <w:b/>
                <w:bCs/>
                <w:color w:val="auto"/>
                <w:szCs w:val="21"/>
                <w:highlight w:val="none"/>
              </w:rPr>
            </w:pPr>
            <w:r>
              <w:rPr>
                <w:rFonts w:hint="eastAsia" w:hAnsi="宋体" w:eastAsia="宋体" w:cs="宋体"/>
                <w:b/>
                <w:bCs/>
                <w:color w:val="auto"/>
                <w:szCs w:val="21"/>
                <w:highlight w:val="none"/>
              </w:rPr>
              <w:t>内      容</w:t>
            </w:r>
          </w:p>
        </w:tc>
      </w:tr>
      <w:tr w14:paraId="0D2FF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jc w:val="center"/>
        </w:trPr>
        <w:tc>
          <w:tcPr>
            <w:tcW w:w="703" w:type="dxa"/>
            <w:noWrap w:val="0"/>
            <w:vAlign w:val="center"/>
          </w:tcPr>
          <w:p w14:paraId="31B3EDB8">
            <w:pPr>
              <w:pStyle w:val="18"/>
              <w:keepNext w:val="0"/>
              <w:keepLines w:val="0"/>
              <w:suppressLineNumbers w:val="0"/>
              <w:spacing w:before="0" w:beforeAutospacing="0" w:after="0" w:afterAutospacing="0" w:line="360" w:lineRule="auto"/>
              <w:ind w:left="0" w:leftChars="0" w:right="0" w:rightChars="0"/>
              <w:jc w:val="center"/>
              <w:rPr>
                <w:rFonts w:hint="eastAsia" w:hAnsi="宋体" w:eastAsia="宋体" w:cs="宋体"/>
                <w:color w:val="auto"/>
                <w:szCs w:val="21"/>
                <w:highlight w:val="none"/>
              </w:rPr>
            </w:pPr>
            <w:r>
              <w:rPr>
                <w:rFonts w:hint="eastAsia" w:hAnsi="宋体" w:eastAsia="宋体" w:cs="宋体"/>
                <w:color w:val="auto"/>
                <w:szCs w:val="21"/>
                <w:highlight w:val="none"/>
              </w:rPr>
              <w:t>1</w:t>
            </w:r>
          </w:p>
        </w:tc>
        <w:tc>
          <w:tcPr>
            <w:tcW w:w="8376" w:type="dxa"/>
            <w:noWrap w:val="0"/>
            <w:vAlign w:val="center"/>
          </w:tcPr>
          <w:p w14:paraId="49DEBA59">
            <w:pPr>
              <w:pStyle w:val="18"/>
              <w:keepNext w:val="0"/>
              <w:keepLines w:val="0"/>
              <w:suppressLineNumbers w:val="0"/>
              <w:spacing w:before="0" w:beforeAutospacing="0" w:after="0" w:afterAutospacing="0" w:line="360" w:lineRule="auto"/>
              <w:ind w:left="0" w:right="0"/>
              <w:rPr>
                <w:rFonts w:hint="eastAsia" w:hAnsi="宋体" w:eastAsia="宋体" w:cs="宋体"/>
                <w:b/>
                <w:bCs/>
                <w:color w:val="auto"/>
                <w:szCs w:val="21"/>
                <w:highlight w:val="none"/>
                <w:lang w:eastAsia="zh-CN"/>
              </w:rPr>
            </w:pPr>
            <w:r>
              <w:rPr>
                <w:rFonts w:hint="eastAsia" w:hAnsi="宋体" w:cs="宋体"/>
                <w:b/>
                <w:bCs/>
                <w:color w:val="auto"/>
                <w:szCs w:val="21"/>
                <w:highlight w:val="none"/>
                <w:lang w:eastAsia="zh-CN"/>
              </w:rPr>
              <w:t>合同履行期限</w:t>
            </w:r>
            <w:r>
              <w:rPr>
                <w:rFonts w:hint="eastAsia" w:hAnsi="宋体" w:eastAsia="宋体" w:cs="宋体"/>
                <w:b/>
                <w:bCs/>
                <w:color w:val="auto"/>
                <w:szCs w:val="21"/>
                <w:highlight w:val="none"/>
              </w:rPr>
              <w:t>、</w:t>
            </w:r>
            <w:r>
              <w:rPr>
                <w:rFonts w:hint="eastAsia" w:hAnsi="宋体" w:cs="宋体"/>
                <w:b/>
                <w:bCs/>
                <w:color w:val="auto"/>
                <w:szCs w:val="21"/>
                <w:highlight w:val="none"/>
                <w:lang w:eastAsia="zh-CN"/>
              </w:rPr>
              <w:t>项目实施地点</w:t>
            </w:r>
          </w:p>
          <w:p w14:paraId="50FF1064">
            <w:pPr>
              <w:pStyle w:val="18"/>
              <w:keepNext w:val="0"/>
              <w:keepLines w:val="0"/>
              <w:suppressLineNumbers w:val="0"/>
              <w:spacing w:before="0" w:beforeAutospacing="0" w:after="0" w:afterAutospacing="0" w:line="360" w:lineRule="auto"/>
              <w:ind w:left="0" w:right="0"/>
              <w:rPr>
                <w:rFonts w:hint="eastAsia" w:hAnsi="宋体" w:eastAsia="宋体" w:cs="宋体"/>
                <w:color w:val="auto"/>
                <w:szCs w:val="21"/>
                <w:highlight w:val="none"/>
              </w:rPr>
            </w:pPr>
            <w:r>
              <w:rPr>
                <w:rFonts w:hint="eastAsia" w:hAnsi="宋体" w:cs="宋体"/>
                <w:color w:val="auto"/>
                <w:szCs w:val="21"/>
                <w:highlight w:val="none"/>
                <w:lang w:eastAsia="zh-CN"/>
              </w:rPr>
              <w:t>合同履行期限</w:t>
            </w:r>
            <w:r>
              <w:rPr>
                <w:rFonts w:hint="eastAsia" w:hAnsi="宋体" w:eastAsia="宋体" w:cs="宋体"/>
                <w:color w:val="auto"/>
                <w:szCs w:val="21"/>
                <w:highlight w:val="none"/>
                <w:lang w:eastAsia="zh-CN"/>
              </w:rPr>
              <w:t>：自合同签订之日起壹年。</w:t>
            </w:r>
          </w:p>
          <w:p w14:paraId="74371D69">
            <w:pPr>
              <w:pStyle w:val="18"/>
              <w:keepNext w:val="0"/>
              <w:keepLines w:val="0"/>
              <w:suppressLineNumbers w:val="0"/>
              <w:spacing w:before="0" w:beforeAutospacing="0" w:after="0" w:afterAutospacing="0" w:line="360" w:lineRule="auto"/>
              <w:ind w:left="0" w:leftChars="0" w:right="0" w:rightChars="0"/>
              <w:rPr>
                <w:rFonts w:hint="eastAsia" w:hAnsi="宋体" w:eastAsia="宋体" w:cs="宋体"/>
                <w:color w:val="auto"/>
                <w:szCs w:val="21"/>
                <w:highlight w:val="none"/>
              </w:rPr>
            </w:pPr>
            <w:r>
              <w:rPr>
                <w:rFonts w:hint="eastAsia" w:hAnsi="宋体" w:cs="宋体"/>
                <w:color w:val="auto"/>
                <w:szCs w:val="21"/>
                <w:highlight w:val="none"/>
                <w:lang w:eastAsia="zh-CN"/>
              </w:rPr>
              <w:t>项目实施地点</w:t>
            </w:r>
            <w:r>
              <w:rPr>
                <w:rFonts w:hint="eastAsia" w:hAnsi="宋体" w:eastAsia="宋体" w:cs="宋体"/>
                <w:color w:val="auto"/>
                <w:szCs w:val="21"/>
                <w:highlight w:val="none"/>
              </w:rPr>
              <w:t>：</w:t>
            </w:r>
            <w:r>
              <w:rPr>
                <w:rFonts w:hint="eastAsia" w:hAnsi="宋体" w:cs="宋体"/>
                <w:color w:val="auto"/>
                <w:szCs w:val="21"/>
                <w:highlight w:val="none"/>
                <w:lang w:eastAsia="zh-CN"/>
              </w:rPr>
              <w:t>昆明市公安局</w:t>
            </w:r>
            <w:r>
              <w:rPr>
                <w:rFonts w:hint="eastAsia" w:ascii="宋体" w:hAnsi="宋体" w:eastAsia="宋体" w:cs="宋体"/>
                <w:color w:val="auto"/>
                <w:szCs w:val="21"/>
                <w:highlight w:val="none"/>
              </w:rPr>
              <w:t>指定地点</w:t>
            </w:r>
            <w:r>
              <w:rPr>
                <w:rFonts w:hint="eastAsia" w:hAnsi="宋体" w:eastAsia="宋体" w:cs="宋体"/>
                <w:color w:val="auto"/>
                <w:szCs w:val="21"/>
                <w:highlight w:val="none"/>
              </w:rPr>
              <w:t>。</w:t>
            </w:r>
          </w:p>
        </w:tc>
      </w:tr>
      <w:tr w14:paraId="47CEE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703" w:type="dxa"/>
            <w:noWrap w:val="0"/>
            <w:vAlign w:val="center"/>
          </w:tcPr>
          <w:p w14:paraId="44F23552">
            <w:pPr>
              <w:pStyle w:val="18"/>
              <w:keepNext w:val="0"/>
              <w:keepLines w:val="0"/>
              <w:suppressLineNumbers w:val="0"/>
              <w:spacing w:before="0" w:beforeAutospacing="0" w:after="0" w:afterAutospacing="0"/>
              <w:ind w:left="0" w:right="0"/>
              <w:jc w:val="center"/>
              <w:rPr>
                <w:rFonts w:hint="eastAsia" w:hAnsi="宋体" w:eastAsia="宋体" w:cs="宋体"/>
                <w:color w:val="auto"/>
                <w:szCs w:val="21"/>
                <w:highlight w:val="none"/>
              </w:rPr>
            </w:pPr>
            <w:r>
              <w:rPr>
                <w:rFonts w:hint="eastAsia" w:hAnsi="宋体" w:cs="宋体"/>
                <w:color w:val="auto"/>
                <w:szCs w:val="21"/>
                <w:highlight w:val="none"/>
                <w:lang w:val="en-US" w:eastAsia="zh-CN"/>
              </w:rPr>
              <w:t>2</w:t>
            </w:r>
          </w:p>
        </w:tc>
        <w:tc>
          <w:tcPr>
            <w:tcW w:w="8376" w:type="dxa"/>
            <w:noWrap w:val="0"/>
            <w:vAlign w:val="center"/>
          </w:tcPr>
          <w:p w14:paraId="7B300D34">
            <w:pPr>
              <w:pStyle w:val="18"/>
              <w:keepNext w:val="0"/>
              <w:keepLines w:val="0"/>
              <w:suppressLineNumbers w:val="0"/>
              <w:spacing w:before="0" w:beforeAutospacing="0" w:after="0" w:afterAutospacing="0"/>
              <w:ind w:left="0" w:right="0"/>
              <w:rPr>
                <w:rFonts w:hint="eastAsia" w:hAnsi="宋体" w:eastAsia="宋体" w:cs="宋体"/>
                <w:color w:val="auto"/>
                <w:szCs w:val="21"/>
                <w:highlight w:val="none"/>
              </w:rPr>
            </w:pPr>
            <w:r>
              <w:rPr>
                <w:rFonts w:hint="eastAsia" w:ascii="宋体" w:hAnsi="宋体" w:eastAsia="宋体" w:cs="宋体"/>
                <w:b/>
                <w:bCs/>
                <w:color w:val="auto"/>
                <w:szCs w:val="21"/>
                <w:highlight w:val="none"/>
                <w:lang w:eastAsia="zh-CN"/>
              </w:rPr>
              <w:t>验收方式：</w:t>
            </w:r>
            <w:r>
              <w:rPr>
                <w:rFonts w:hint="eastAsia" w:ascii="宋体" w:hAnsi="宋体" w:eastAsia="宋体" w:cs="宋体"/>
                <w:b w:val="0"/>
                <w:bCs w:val="0"/>
                <w:color w:val="auto"/>
                <w:szCs w:val="21"/>
                <w:highlight w:val="none"/>
                <w:lang w:eastAsia="zh-CN"/>
              </w:rPr>
              <w:t>服务完成后甲方将根据本项目采购需求及国家现行规范、标准进行验收。</w:t>
            </w:r>
          </w:p>
        </w:tc>
      </w:tr>
      <w:tr w14:paraId="37587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6" w:hRule="atLeast"/>
          <w:jc w:val="center"/>
        </w:trPr>
        <w:tc>
          <w:tcPr>
            <w:tcW w:w="703" w:type="dxa"/>
            <w:noWrap w:val="0"/>
            <w:vAlign w:val="center"/>
          </w:tcPr>
          <w:p w14:paraId="2A4CCA89">
            <w:pPr>
              <w:pStyle w:val="18"/>
              <w:keepNext w:val="0"/>
              <w:keepLines w:val="0"/>
              <w:suppressLineNumbers w:val="0"/>
              <w:spacing w:before="0" w:beforeAutospacing="0" w:after="0" w:afterAutospacing="0"/>
              <w:ind w:left="0" w:right="0"/>
              <w:jc w:val="center"/>
              <w:rPr>
                <w:rFonts w:hint="eastAsia" w:hAnsi="宋体" w:eastAsia="宋体" w:cs="宋体"/>
                <w:color w:val="auto"/>
                <w:szCs w:val="21"/>
                <w:highlight w:val="none"/>
                <w:lang w:val="en-US" w:eastAsia="zh-CN"/>
              </w:rPr>
            </w:pPr>
            <w:r>
              <w:rPr>
                <w:rFonts w:hint="eastAsia" w:hAnsi="宋体" w:cs="宋体"/>
                <w:color w:val="auto"/>
                <w:szCs w:val="21"/>
                <w:highlight w:val="none"/>
                <w:lang w:val="en-US" w:eastAsia="zh-CN"/>
              </w:rPr>
              <w:t>3</w:t>
            </w:r>
          </w:p>
        </w:tc>
        <w:tc>
          <w:tcPr>
            <w:tcW w:w="8376" w:type="dxa"/>
            <w:noWrap w:val="0"/>
            <w:vAlign w:val="center"/>
          </w:tcPr>
          <w:p w14:paraId="38107D9D">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r>
              <w:rPr>
                <w:rFonts w:hint="eastAsia" w:ascii="宋体" w:hAnsi="宋体" w:cs="宋体"/>
                <w:b/>
                <w:bCs/>
                <w:color w:val="auto"/>
                <w:szCs w:val="21"/>
                <w:highlight w:val="none"/>
              </w:rPr>
              <w:t>付款方式：</w:t>
            </w:r>
            <w:r>
              <w:rPr>
                <w:rFonts w:hint="eastAsia" w:ascii="宋体" w:hAnsi="宋体" w:cs="宋体"/>
                <w:b w:val="0"/>
                <w:bCs w:val="0"/>
                <w:color w:val="auto"/>
                <w:szCs w:val="21"/>
                <w:highlight w:val="none"/>
              </w:rPr>
              <w:t>合同签订后，甲方收到乙方支付申请及正规发票之日起15个工作日内，向乙方支付合同金额的</w:t>
            </w:r>
            <w:r>
              <w:rPr>
                <w:rFonts w:hint="eastAsia" w:ascii="宋体" w:hAnsi="宋体" w:cs="宋体"/>
                <w:b w:val="0"/>
                <w:bCs w:val="0"/>
                <w:color w:val="auto"/>
                <w:szCs w:val="21"/>
                <w:highlight w:val="none"/>
                <w:lang w:val="en-US" w:eastAsia="zh-CN"/>
              </w:rPr>
              <w:t>4</w:t>
            </w:r>
            <w:r>
              <w:rPr>
                <w:rFonts w:hint="eastAsia" w:ascii="宋体" w:hAnsi="宋体" w:cs="宋体"/>
                <w:b w:val="0"/>
                <w:bCs w:val="0"/>
                <w:color w:val="auto"/>
                <w:szCs w:val="21"/>
                <w:highlight w:val="none"/>
              </w:rPr>
              <w:t>0%，“商用密码应用安全性评估”成果交付物验收后，经甲方评价，乙方未出现任何违约情形和质量责任，甲方收到乙方支付申请及正规发票之日起15个工作日内，向乙方支付合同金额的</w:t>
            </w:r>
            <w:r>
              <w:rPr>
                <w:rFonts w:hint="eastAsia" w:ascii="宋体" w:hAnsi="宋体" w:cs="宋体"/>
                <w:b w:val="0"/>
                <w:bCs w:val="0"/>
                <w:color w:val="auto"/>
                <w:szCs w:val="21"/>
                <w:highlight w:val="none"/>
                <w:lang w:val="en-US" w:eastAsia="zh-CN"/>
              </w:rPr>
              <w:t>6</w:t>
            </w:r>
            <w:r>
              <w:rPr>
                <w:rFonts w:hint="eastAsia" w:ascii="宋体" w:hAnsi="宋体" w:cs="宋体"/>
                <w:b w:val="0"/>
                <w:bCs w:val="0"/>
                <w:color w:val="auto"/>
                <w:szCs w:val="21"/>
                <w:highlight w:val="none"/>
              </w:rPr>
              <w:t>0%。</w:t>
            </w:r>
          </w:p>
        </w:tc>
      </w:tr>
    </w:tbl>
    <w:p w14:paraId="69A059BD">
      <w:pPr>
        <w:rPr>
          <w:rFonts w:hint="eastAsia" w:ascii="宋体" w:hAnsi="宋体" w:cs="宋体"/>
          <w:color w:val="auto"/>
          <w:highlight w:val="none"/>
        </w:rPr>
      </w:pPr>
      <w:r>
        <w:rPr>
          <w:rFonts w:hint="eastAsia" w:ascii="宋体" w:hAnsi="宋体" w:cs="宋体"/>
          <w:color w:val="auto"/>
          <w:highlight w:val="none"/>
        </w:rPr>
        <w:br w:type="page"/>
      </w:r>
    </w:p>
    <w:p w14:paraId="5F9DBEC4">
      <w:pPr>
        <w:jc w:val="center"/>
        <w:rPr>
          <w:b/>
          <w:bCs/>
          <w:color w:val="auto"/>
          <w:sz w:val="32"/>
          <w:szCs w:val="32"/>
          <w:highlight w:val="none"/>
        </w:rPr>
      </w:pPr>
      <w:r>
        <w:rPr>
          <w:b/>
          <w:bCs/>
          <w:color w:val="auto"/>
          <w:sz w:val="32"/>
          <w:szCs w:val="32"/>
          <w:highlight w:val="none"/>
        </w:rPr>
        <w:t>合同书样式</w:t>
      </w:r>
    </w:p>
    <w:p w14:paraId="1612A32C">
      <w:pPr>
        <w:spacing w:line="360" w:lineRule="auto"/>
        <w:rPr>
          <w:color w:val="auto"/>
          <w:szCs w:val="21"/>
          <w:highlight w:val="none"/>
        </w:rPr>
      </w:pPr>
      <w:r>
        <w:rPr>
          <w:b/>
          <w:color w:val="auto"/>
          <w:szCs w:val="21"/>
          <w:highlight w:val="none"/>
        </w:rPr>
        <w:t>甲方：</w:t>
      </w:r>
      <w:r>
        <w:rPr>
          <w:b/>
          <w:color w:val="auto"/>
          <w:szCs w:val="21"/>
          <w:highlight w:val="none"/>
          <w:u w:val="single"/>
        </w:rPr>
        <w:t>（采购人全称）</w:t>
      </w:r>
    </w:p>
    <w:p w14:paraId="621ECFAB">
      <w:pPr>
        <w:spacing w:line="360" w:lineRule="auto"/>
        <w:rPr>
          <w:b/>
          <w:color w:val="auto"/>
          <w:szCs w:val="21"/>
          <w:highlight w:val="none"/>
          <w:u w:val="single"/>
        </w:rPr>
      </w:pPr>
      <w:r>
        <w:rPr>
          <w:b/>
          <w:color w:val="auto"/>
          <w:szCs w:val="21"/>
          <w:highlight w:val="none"/>
        </w:rPr>
        <w:t>乙方：</w:t>
      </w:r>
      <w:r>
        <w:rPr>
          <w:b/>
          <w:color w:val="auto"/>
          <w:szCs w:val="21"/>
          <w:highlight w:val="none"/>
          <w:u w:val="single"/>
        </w:rPr>
        <w:t>（供应商全称）</w:t>
      </w:r>
    </w:p>
    <w:p w14:paraId="5A4969B2">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本合同甲方委托乙方</w:t>
      </w:r>
      <w:r>
        <w:rPr>
          <w:rFonts w:hint="eastAsia" w:ascii="宋体" w:hAnsi="宋体" w:cs="宋体"/>
          <w:color w:val="auto"/>
          <w:highlight w:val="none"/>
          <w:lang w:val="en-US" w:eastAsia="zh-CN"/>
        </w:rPr>
        <w:t>承担</w:t>
      </w:r>
      <w:r>
        <w:rPr>
          <w:rFonts w:hint="eastAsia" w:ascii="宋体" w:hAnsi="宋体" w:cs="宋体"/>
          <w:color w:val="auto"/>
          <w:highlight w:val="none"/>
          <w:u w:val="single"/>
          <w:lang w:eastAsia="zh-CN"/>
        </w:rPr>
        <w:t>昆明市公安局商用密码应用安全性评估服务</w:t>
      </w:r>
      <w:r>
        <w:rPr>
          <w:rFonts w:hint="eastAsia" w:ascii="宋体" w:hAnsi="宋体" w:eastAsia="宋体" w:cs="宋体"/>
          <w:color w:val="auto"/>
          <w:highlight w:val="none"/>
        </w:rPr>
        <w:t>，并支付相应的技术服务报酬。双方经过平等协商，在真实、充分的表达各自意愿的基础上，根据《中华人民共和国民法典》的规定，达成如下协议，并由双方共同恪守。</w:t>
      </w:r>
    </w:p>
    <w:p w14:paraId="6FD9A1A6">
      <w:pPr>
        <w:spacing w:line="360" w:lineRule="auto"/>
        <w:ind w:left="0" w:leftChars="0" w:firstLine="42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一、服务内容</w:t>
      </w:r>
    </w:p>
    <w:p w14:paraId="2AA7ECFB">
      <w:pPr>
        <w:widowControl/>
        <w:spacing w:line="360" w:lineRule="auto"/>
        <w:ind w:firstLine="411" w:firstLineChars="196"/>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根据</w:t>
      </w:r>
      <w:r>
        <w:rPr>
          <w:rFonts w:hint="eastAsia" w:asciiTheme="minorEastAsia" w:hAnsiTheme="minorEastAsia" w:eastAsiaTheme="minorEastAsia" w:cstheme="minorEastAsia"/>
          <w:bCs/>
          <w:sz w:val="21"/>
          <w:szCs w:val="21"/>
        </w:rPr>
        <w:t>有关法律、行政法规、标准及规范</w:t>
      </w:r>
      <w:r>
        <w:rPr>
          <w:rFonts w:hint="eastAsia" w:asciiTheme="minorEastAsia" w:hAnsiTheme="minorEastAsia" w:eastAsiaTheme="minorEastAsia" w:cstheme="minorEastAsia"/>
          <w:color w:val="000000"/>
          <w:sz w:val="21"/>
          <w:szCs w:val="21"/>
          <w:lang w:val="en-US" w:eastAsia="zh-CN"/>
        </w:rPr>
        <w:t>和要求</w:t>
      </w:r>
      <w:r>
        <w:rPr>
          <w:rFonts w:hint="eastAsia" w:asciiTheme="minorEastAsia" w:hAnsiTheme="minorEastAsia" w:eastAsiaTheme="minorEastAsia" w:cstheme="minorEastAsia"/>
          <w:color w:val="000000"/>
          <w:sz w:val="21"/>
          <w:szCs w:val="21"/>
        </w:rPr>
        <w:t>对</w:t>
      </w:r>
      <w:r>
        <w:rPr>
          <w:rFonts w:hint="eastAsia" w:asciiTheme="minorEastAsia" w:hAnsiTheme="minorEastAsia" w:eastAsiaTheme="minorEastAsia" w:cstheme="minorEastAsia"/>
          <w:bCs/>
          <w:sz w:val="21"/>
          <w:szCs w:val="21"/>
          <w:lang w:val="zh-CN"/>
        </w:rPr>
        <w:t>昆明市公安局</w:t>
      </w:r>
      <w:r>
        <w:rPr>
          <w:rFonts w:hint="eastAsia" w:asciiTheme="minorEastAsia" w:hAnsiTheme="minorEastAsia" w:eastAsiaTheme="minorEastAsia" w:cstheme="minorEastAsia"/>
          <w:bCs/>
          <w:sz w:val="21"/>
          <w:szCs w:val="21"/>
          <w:lang w:val="en-US" w:eastAsia="zh-CN"/>
        </w:rPr>
        <w:t>11个</w:t>
      </w:r>
      <w:r>
        <w:rPr>
          <w:rFonts w:hint="eastAsia" w:asciiTheme="minorEastAsia" w:hAnsiTheme="minorEastAsia" w:eastAsiaTheme="minorEastAsia" w:cstheme="minorEastAsia"/>
          <w:bCs/>
          <w:sz w:val="21"/>
          <w:szCs w:val="21"/>
        </w:rPr>
        <w:t>信息系统</w:t>
      </w:r>
      <w:r>
        <w:rPr>
          <w:rFonts w:hint="eastAsia" w:asciiTheme="minorEastAsia" w:hAnsiTheme="minorEastAsia" w:eastAsiaTheme="minorEastAsia" w:cstheme="minorEastAsia"/>
          <w:color w:val="000000"/>
          <w:sz w:val="21"/>
          <w:szCs w:val="21"/>
        </w:rPr>
        <w:t>依据第三级要求开展商用密码应用安全性评估服务，应在国家商用密码应用安全相关政策和标准的指导下，结合采购方实际信息网络及应用系统现状，评估系统密码应用是否合规、正确、有效，并通过测评发现其密码保障系统存在的安全隐患和风险，提出有针对性的加强完善密码安全管理和防护建议，协助</w:t>
      </w:r>
      <w:r>
        <w:rPr>
          <w:rFonts w:hint="eastAsia" w:asciiTheme="minorEastAsia" w:hAnsiTheme="minorEastAsia" w:eastAsiaTheme="minorEastAsia" w:cstheme="minorEastAsia"/>
          <w:color w:val="000000"/>
          <w:sz w:val="21"/>
          <w:szCs w:val="21"/>
          <w:lang w:val="en-US" w:eastAsia="zh-CN"/>
        </w:rPr>
        <w:t>甲方</w:t>
      </w:r>
      <w:r>
        <w:rPr>
          <w:rFonts w:hint="eastAsia" w:asciiTheme="minorEastAsia" w:hAnsiTheme="minorEastAsia" w:eastAsiaTheme="minorEastAsia" w:cstheme="minorEastAsia"/>
          <w:color w:val="000000"/>
          <w:sz w:val="21"/>
          <w:szCs w:val="21"/>
        </w:rPr>
        <w:t>到密码管理部门完成备案工作。</w:t>
      </w:r>
    </w:p>
    <w:p w14:paraId="58944877">
      <w:pPr>
        <w:widowControl/>
        <w:spacing w:line="360" w:lineRule="auto"/>
        <w:ind w:firstLine="411" w:firstLineChars="19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具体要求</w:t>
      </w:r>
      <w:r>
        <w:rPr>
          <w:rFonts w:hint="eastAsia" w:asciiTheme="minorEastAsia" w:hAnsiTheme="minorEastAsia" w:eastAsiaTheme="minorEastAsia" w:cstheme="minorEastAsia"/>
          <w:color w:val="000000"/>
          <w:sz w:val="21"/>
          <w:szCs w:val="21"/>
          <w:lang w:val="en-US" w:eastAsia="zh-CN"/>
        </w:rPr>
        <w:t>乙方</w:t>
      </w:r>
      <w:r>
        <w:rPr>
          <w:rFonts w:hint="eastAsia" w:asciiTheme="minorEastAsia" w:hAnsiTheme="minorEastAsia" w:eastAsiaTheme="minorEastAsia" w:cstheme="minorEastAsia"/>
          <w:color w:val="000000"/>
          <w:sz w:val="21"/>
          <w:szCs w:val="21"/>
        </w:rPr>
        <w:t>应根据</w:t>
      </w:r>
      <w:r>
        <w:rPr>
          <w:rFonts w:hint="eastAsia" w:asciiTheme="minorEastAsia" w:hAnsiTheme="minorEastAsia" w:eastAsiaTheme="minorEastAsia" w:cstheme="minorEastAsia"/>
          <w:color w:val="000000"/>
          <w:sz w:val="21"/>
          <w:szCs w:val="21"/>
          <w:lang w:val="en-US" w:eastAsia="zh-CN"/>
        </w:rPr>
        <w:t>甲方</w:t>
      </w:r>
      <w:r>
        <w:rPr>
          <w:rFonts w:hint="eastAsia" w:asciiTheme="minorEastAsia" w:hAnsiTheme="minorEastAsia" w:eastAsiaTheme="minorEastAsia" w:cstheme="minorEastAsia"/>
          <w:color w:val="000000"/>
          <w:sz w:val="21"/>
          <w:szCs w:val="21"/>
        </w:rPr>
        <w:t>待评估系统的现状，结合相关国家标准和要求，从信息系统的物理和环境安全、网络和通信安全、设备和计算安全、应用和数据安全的各个层面提供全面整体的密码应用安全技术支撑，保障信息系统的用户身份真实性、重要数据的机密性和完整性、操作行为的不可否认性等。密码应用安全性评估工作包括但不限于以下层面：</w:t>
      </w:r>
    </w:p>
    <w:tbl>
      <w:tblPr>
        <w:tblStyle w:val="36"/>
        <w:tblW w:w="9260" w:type="dxa"/>
        <w:jc w:val="center"/>
        <w:tblLayout w:type="fixed"/>
        <w:tblCellMar>
          <w:top w:w="0" w:type="dxa"/>
          <w:left w:w="108" w:type="dxa"/>
          <w:bottom w:w="0" w:type="dxa"/>
          <w:right w:w="108" w:type="dxa"/>
        </w:tblCellMar>
      </w:tblPr>
      <w:tblGrid>
        <w:gridCol w:w="1198"/>
        <w:gridCol w:w="1518"/>
        <w:gridCol w:w="6544"/>
      </w:tblGrid>
      <w:tr w14:paraId="5BFEFCE0">
        <w:tblPrEx>
          <w:tblCellMar>
            <w:top w:w="0" w:type="dxa"/>
            <w:left w:w="108" w:type="dxa"/>
            <w:bottom w:w="0" w:type="dxa"/>
            <w:right w:w="108" w:type="dxa"/>
          </w:tblCellMar>
        </w:tblPrEx>
        <w:trPr>
          <w:trHeight w:val="307" w:hRule="atLeast"/>
          <w:jc w:val="center"/>
        </w:trPr>
        <w:tc>
          <w:tcPr>
            <w:tcW w:w="9260" w:type="dxa"/>
            <w:gridSpan w:val="3"/>
            <w:tcBorders>
              <w:top w:val="single" w:color="000000" w:sz="8" w:space="0"/>
              <w:left w:val="single" w:color="000000" w:sz="8" w:space="0"/>
              <w:bottom w:val="single" w:color="000000" w:sz="8" w:space="0"/>
              <w:right w:val="single" w:color="000000" w:sz="8" w:space="0"/>
            </w:tcBorders>
            <w:vAlign w:val="center"/>
          </w:tcPr>
          <w:p w14:paraId="2DCB1E86">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指标体系</w:t>
            </w:r>
          </w:p>
        </w:tc>
      </w:tr>
      <w:tr w14:paraId="481ED8C2">
        <w:tblPrEx>
          <w:tblCellMar>
            <w:top w:w="0" w:type="dxa"/>
            <w:left w:w="108" w:type="dxa"/>
            <w:bottom w:w="0" w:type="dxa"/>
            <w:right w:w="108" w:type="dxa"/>
          </w:tblCellMar>
        </w:tblPrEx>
        <w:trPr>
          <w:trHeight w:val="307" w:hRule="atLeast"/>
          <w:jc w:val="center"/>
        </w:trPr>
        <w:tc>
          <w:tcPr>
            <w:tcW w:w="1198" w:type="dxa"/>
            <w:vMerge w:val="restart"/>
            <w:tcBorders>
              <w:top w:val="single" w:color="000000" w:sz="8" w:space="0"/>
              <w:left w:val="single" w:color="000000" w:sz="8" w:space="0"/>
              <w:bottom w:val="single" w:color="000000" w:sz="8" w:space="0"/>
              <w:right w:val="single" w:color="000000" w:sz="8" w:space="0"/>
            </w:tcBorders>
            <w:vAlign w:val="center"/>
          </w:tcPr>
          <w:p w14:paraId="275AF4A7">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技术要求</w:t>
            </w:r>
          </w:p>
        </w:tc>
        <w:tc>
          <w:tcPr>
            <w:tcW w:w="1518" w:type="dxa"/>
            <w:vMerge w:val="restart"/>
            <w:tcBorders>
              <w:top w:val="single" w:color="000000" w:sz="8" w:space="0"/>
              <w:left w:val="nil"/>
              <w:bottom w:val="single" w:color="000000" w:sz="8" w:space="0"/>
              <w:right w:val="single" w:color="000000" w:sz="8" w:space="0"/>
            </w:tcBorders>
            <w:vAlign w:val="center"/>
          </w:tcPr>
          <w:p w14:paraId="54C93E3C">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物理和环境安全</w:t>
            </w:r>
          </w:p>
        </w:tc>
        <w:tc>
          <w:tcPr>
            <w:tcW w:w="6544" w:type="dxa"/>
            <w:tcBorders>
              <w:top w:val="single" w:color="000000" w:sz="8" w:space="0"/>
              <w:left w:val="nil"/>
              <w:bottom w:val="single" w:color="000000" w:sz="8" w:space="0"/>
              <w:right w:val="single" w:color="000000" w:sz="8" w:space="0"/>
            </w:tcBorders>
            <w:vAlign w:val="center"/>
          </w:tcPr>
          <w:p w14:paraId="5DA277CF">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身份鉴别</w:t>
            </w:r>
          </w:p>
        </w:tc>
      </w:tr>
      <w:tr w14:paraId="54368DAB">
        <w:tblPrEx>
          <w:tblCellMar>
            <w:top w:w="0" w:type="dxa"/>
            <w:left w:w="108" w:type="dxa"/>
            <w:bottom w:w="0" w:type="dxa"/>
            <w:right w:w="108" w:type="dxa"/>
          </w:tblCellMar>
        </w:tblPrEx>
        <w:trPr>
          <w:trHeight w:val="307" w:hRule="atLeast"/>
          <w:jc w:val="center"/>
        </w:trPr>
        <w:tc>
          <w:tcPr>
            <w:tcW w:w="1198" w:type="dxa"/>
            <w:vMerge w:val="continue"/>
            <w:tcBorders>
              <w:top w:val="single" w:color="000000" w:sz="8" w:space="0"/>
              <w:left w:val="single" w:color="000000" w:sz="8" w:space="0"/>
              <w:bottom w:val="single" w:color="000000" w:sz="8" w:space="0"/>
              <w:right w:val="single" w:color="000000" w:sz="8" w:space="0"/>
            </w:tcBorders>
            <w:vAlign w:val="center"/>
          </w:tcPr>
          <w:p w14:paraId="0BF7B65B">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518" w:type="dxa"/>
            <w:vMerge w:val="continue"/>
            <w:tcBorders>
              <w:top w:val="single" w:color="000000" w:sz="8" w:space="0"/>
              <w:left w:val="nil"/>
              <w:bottom w:val="single" w:color="000000" w:sz="8" w:space="0"/>
              <w:right w:val="single" w:color="000000" w:sz="8" w:space="0"/>
            </w:tcBorders>
            <w:vAlign w:val="center"/>
          </w:tcPr>
          <w:p w14:paraId="6E8640F5">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544" w:type="dxa"/>
            <w:tcBorders>
              <w:top w:val="nil"/>
              <w:left w:val="nil"/>
              <w:bottom w:val="single" w:color="000000" w:sz="8" w:space="0"/>
              <w:right w:val="single" w:color="000000" w:sz="8" w:space="0"/>
            </w:tcBorders>
            <w:vAlign w:val="center"/>
          </w:tcPr>
          <w:p w14:paraId="60D75D5A">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电子门禁记录数据完整性</w:t>
            </w:r>
          </w:p>
        </w:tc>
      </w:tr>
      <w:tr w14:paraId="1E0667E3">
        <w:tblPrEx>
          <w:tblCellMar>
            <w:top w:w="0" w:type="dxa"/>
            <w:left w:w="108" w:type="dxa"/>
            <w:bottom w:w="0" w:type="dxa"/>
            <w:right w:w="108" w:type="dxa"/>
          </w:tblCellMar>
        </w:tblPrEx>
        <w:trPr>
          <w:trHeight w:val="307" w:hRule="atLeast"/>
          <w:jc w:val="center"/>
        </w:trPr>
        <w:tc>
          <w:tcPr>
            <w:tcW w:w="1198" w:type="dxa"/>
            <w:vMerge w:val="continue"/>
            <w:tcBorders>
              <w:top w:val="single" w:color="000000" w:sz="8" w:space="0"/>
              <w:left w:val="single" w:color="000000" w:sz="8" w:space="0"/>
              <w:bottom w:val="single" w:color="000000" w:sz="8" w:space="0"/>
              <w:right w:val="single" w:color="000000" w:sz="8" w:space="0"/>
            </w:tcBorders>
            <w:vAlign w:val="center"/>
          </w:tcPr>
          <w:p w14:paraId="5CBBA6B0">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518" w:type="dxa"/>
            <w:vMerge w:val="continue"/>
            <w:tcBorders>
              <w:top w:val="single" w:color="000000" w:sz="8" w:space="0"/>
              <w:left w:val="nil"/>
              <w:bottom w:val="single" w:color="000000" w:sz="8" w:space="0"/>
              <w:right w:val="single" w:color="000000" w:sz="8" w:space="0"/>
            </w:tcBorders>
            <w:vAlign w:val="center"/>
          </w:tcPr>
          <w:p w14:paraId="79FD1BE2">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544" w:type="dxa"/>
            <w:tcBorders>
              <w:top w:val="nil"/>
              <w:left w:val="nil"/>
              <w:bottom w:val="single" w:color="000000" w:sz="8" w:space="0"/>
              <w:right w:val="single" w:color="000000" w:sz="8" w:space="0"/>
            </w:tcBorders>
            <w:vAlign w:val="center"/>
          </w:tcPr>
          <w:p w14:paraId="0E4E039F">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视频监控记录数据存储完整性</w:t>
            </w:r>
          </w:p>
        </w:tc>
      </w:tr>
      <w:tr w14:paraId="07FFA4E8">
        <w:tblPrEx>
          <w:tblCellMar>
            <w:top w:w="0" w:type="dxa"/>
            <w:left w:w="108" w:type="dxa"/>
            <w:bottom w:w="0" w:type="dxa"/>
            <w:right w:w="108" w:type="dxa"/>
          </w:tblCellMar>
        </w:tblPrEx>
        <w:trPr>
          <w:trHeight w:val="307" w:hRule="atLeast"/>
          <w:jc w:val="center"/>
        </w:trPr>
        <w:tc>
          <w:tcPr>
            <w:tcW w:w="1198" w:type="dxa"/>
            <w:vMerge w:val="continue"/>
            <w:tcBorders>
              <w:top w:val="single" w:color="000000" w:sz="8" w:space="0"/>
              <w:left w:val="single" w:color="000000" w:sz="8" w:space="0"/>
              <w:bottom w:val="single" w:color="000000" w:sz="8" w:space="0"/>
              <w:right w:val="single" w:color="000000" w:sz="8" w:space="0"/>
            </w:tcBorders>
            <w:vAlign w:val="center"/>
          </w:tcPr>
          <w:p w14:paraId="71350346">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518" w:type="dxa"/>
            <w:vMerge w:val="continue"/>
            <w:tcBorders>
              <w:top w:val="single" w:color="000000" w:sz="8" w:space="0"/>
              <w:left w:val="nil"/>
              <w:bottom w:val="single" w:color="000000" w:sz="8" w:space="0"/>
              <w:right w:val="single" w:color="000000" w:sz="8" w:space="0"/>
            </w:tcBorders>
            <w:vAlign w:val="center"/>
          </w:tcPr>
          <w:p w14:paraId="4D8B62AE">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544" w:type="dxa"/>
            <w:tcBorders>
              <w:top w:val="nil"/>
              <w:left w:val="nil"/>
              <w:bottom w:val="single" w:color="000000" w:sz="8" w:space="0"/>
              <w:right w:val="single" w:color="000000" w:sz="8" w:space="0"/>
            </w:tcBorders>
            <w:vAlign w:val="center"/>
          </w:tcPr>
          <w:p w14:paraId="62FB7AD3">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密码服务</w:t>
            </w:r>
          </w:p>
        </w:tc>
      </w:tr>
      <w:tr w14:paraId="104F59F9">
        <w:tblPrEx>
          <w:tblCellMar>
            <w:top w:w="0" w:type="dxa"/>
            <w:left w:w="108" w:type="dxa"/>
            <w:bottom w:w="0" w:type="dxa"/>
            <w:right w:w="108" w:type="dxa"/>
          </w:tblCellMar>
        </w:tblPrEx>
        <w:trPr>
          <w:trHeight w:val="307" w:hRule="atLeast"/>
          <w:jc w:val="center"/>
        </w:trPr>
        <w:tc>
          <w:tcPr>
            <w:tcW w:w="1198" w:type="dxa"/>
            <w:vMerge w:val="continue"/>
            <w:tcBorders>
              <w:top w:val="single" w:color="000000" w:sz="8" w:space="0"/>
              <w:left w:val="single" w:color="000000" w:sz="8" w:space="0"/>
              <w:bottom w:val="single" w:color="000000" w:sz="8" w:space="0"/>
              <w:right w:val="single" w:color="000000" w:sz="8" w:space="0"/>
            </w:tcBorders>
            <w:vAlign w:val="center"/>
          </w:tcPr>
          <w:p w14:paraId="56388A90">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518" w:type="dxa"/>
            <w:vMerge w:val="continue"/>
            <w:tcBorders>
              <w:top w:val="single" w:color="000000" w:sz="8" w:space="0"/>
              <w:left w:val="nil"/>
              <w:bottom w:val="single" w:color="000000" w:sz="8" w:space="0"/>
              <w:right w:val="single" w:color="000000" w:sz="8" w:space="0"/>
            </w:tcBorders>
            <w:vAlign w:val="center"/>
          </w:tcPr>
          <w:p w14:paraId="32B105CB">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544" w:type="dxa"/>
            <w:tcBorders>
              <w:top w:val="nil"/>
              <w:left w:val="nil"/>
              <w:bottom w:val="single" w:color="000000" w:sz="8" w:space="0"/>
              <w:right w:val="single" w:color="000000" w:sz="8" w:space="0"/>
            </w:tcBorders>
            <w:vAlign w:val="center"/>
          </w:tcPr>
          <w:p w14:paraId="5DB73352">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密码产品</w:t>
            </w:r>
          </w:p>
        </w:tc>
      </w:tr>
      <w:tr w14:paraId="3F764489">
        <w:tblPrEx>
          <w:tblCellMar>
            <w:top w:w="0" w:type="dxa"/>
            <w:left w:w="108" w:type="dxa"/>
            <w:bottom w:w="0" w:type="dxa"/>
            <w:right w:w="108" w:type="dxa"/>
          </w:tblCellMar>
        </w:tblPrEx>
        <w:trPr>
          <w:trHeight w:val="307" w:hRule="atLeast"/>
          <w:jc w:val="center"/>
        </w:trPr>
        <w:tc>
          <w:tcPr>
            <w:tcW w:w="1198" w:type="dxa"/>
            <w:vMerge w:val="continue"/>
            <w:tcBorders>
              <w:top w:val="single" w:color="000000" w:sz="8" w:space="0"/>
              <w:left w:val="single" w:color="000000" w:sz="8" w:space="0"/>
              <w:bottom w:val="single" w:color="000000" w:sz="8" w:space="0"/>
              <w:right w:val="single" w:color="000000" w:sz="8" w:space="0"/>
            </w:tcBorders>
            <w:vAlign w:val="center"/>
          </w:tcPr>
          <w:p w14:paraId="0A979CDC">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518" w:type="dxa"/>
            <w:vMerge w:val="restart"/>
            <w:tcBorders>
              <w:top w:val="single" w:color="000000" w:sz="8" w:space="0"/>
              <w:left w:val="single" w:color="000000" w:sz="8" w:space="0"/>
              <w:bottom w:val="single" w:color="000000" w:sz="8" w:space="0"/>
              <w:right w:val="single" w:color="000000" w:sz="8" w:space="0"/>
            </w:tcBorders>
            <w:vAlign w:val="center"/>
          </w:tcPr>
          <w:p w14:paraId="6DD29CCF">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网络和通信安全</w:t>
            </w:r>
          </w:p>
        </w:tc>
        <w:tc>
          <w:tcPr>
            <w:tcW w:w="6544" w:type="dxa"/>
            <w:tcBorders>
              <w:top w:val="nil"/>
              <w:left w:val="nil"/>
              <w:bottom w:val="single" w:color="000000" w:sz="8" w:space="0"/>
              <w:right w:val="single" w:color="000000" w:sz="8" w:space="0"/>
            </w:tcBorders>
            <w:vAlign w:val="center"/>
          </w:tcPr>
          <w:p w14:paraId="020EE412">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身份鉴别</w:t>
            </w:r>
          </w:p>
        </w:tc>
      </w:tr>
      <w:tr w14:paraId="04A694AB">
        <w:tblPrEx>
          <w:tblCellMar>
            <w:top w:w="0" w:type="dxa"/>
            <w:left w:w="108" w:type="dxa"/>
            <w:bottom w:w="0" w:type="dxa"/>
            <w:right w:w="108" w:type="dxa"/>
          </w:tblCellMar>
        </w:tblPrEx>
        <w:trPr>
          <w:trHeight w:val="307" w:hRule="atLeast"/>
          <w:jc w:val="center"/>
        </w:trPr>
        <w:tc>
          <w:tcPr>
            <w:tcW w:w="1198" w:type="dxa"/>
            <w:vMerge w:val="continue"/>
            <w:tcBorders>
              <w:top w:val="single" w:color="000000" w:sz="8" w:space="0"/>
              <w:left w:val="single" w:color="000000" w:sz="8" w:space="0"/>
              <w:bottom w:val="single" w:color="000000" w:sz="8" w:space="0"/>
              <w:right w:val="single" w:color="000000" w:sz="8" w:space="0"/>
            </w:tcBorders>
            <w:vAlign w:val="center"/>
          </w:tcPr>
          <w:p w14:paraId="73CFEEE6">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518" w:type="dxa"/>
            <w:vMerge w:val="continue"/>
            <w:tcBorders>
              <w:top w:val="single" w:color="000000" w:sz="8" w:space="0"/>
              <w:left w:val="single" w:color="000000" w:sz="8" w:space="0"/>
              <w:bottom w:val="single" w:color="000000" w:sz="8" w:space="0"/>
              <w:right w:val="single" w:color="000000" w:sz="8" w:space="0"/>
            </w:tcBorders>
            <w:vAlign w:val="center"/>
          </w:tcPr>
          <w:p w14:paraId="1DA779E4">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544" w:type="dxa"/>
            <w:tcBorders>
              <w:top w:val="nil"/>
              <w:left w:val="nil"/>
              <w:bottom w:val="single" w:color="000000" w:sz="8" w:space="0"/>
              <w:right w:val="single" w:color="000000" w:sz="8" w:space="0"/>
            </w:tcBorders>
            <w:vAlign w:val="center"/>
          </w:tcPr>
          <w:p w14:paraId="1E139CDE">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通信数据完整性</w:t>
            </w:r>
          </w:p>
        </w:tc>
      </w:tr>
      <w:tr w14:paraId="664CB177">
        <w:tblPrEx>
          <w:tblCellMar>
            <w:top w:w="0" w:type="dxa"/>
            <w:left w:w="108" w:type="dxa"/>
            <w:bottom w:w="0" w:type="dxa"/>
            <w:right w:w="108" w:type="dxa"/>
          </w:tblCellMar>
        </w:tblPrEx>
        <w:trPr>
          <w:trHeight w:val="307" w:hRule="atLeast"/>
          <w:jc w:val="center"/>
        </w:trPr>
        <w:tc>
          <w:tcPr>
            <w:tcW w:w="1198" w:type="dxa"/>
            <w:vMerge w:val="continue"/>
            <w:tcBorders>
              <w:top w:val="single" w:color="000000" w:sz="8" w:space="0"/>
              <w:left w:val="single" w:color="000000" w:sz="8" w:space="0"/>
              <w:bottom w:val="single" w:color="000000" w:sz="8" w:space="0"/>
              <w:right w:val="single" w:color="000000" w:sz="8" w:space="0"/>
            </w:tcBorders>
            <w:vAlign w:val="center"/>
          </w:tcPr>
          <w:p w14:paraId="39E63B83">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518" w:type="dxa"/>
            <w:vMerge w:val="continue"/>
            <w:tcBorders>
              <w:top w:val="single" w:color="000000" w:sz="8" w:space="0"/>
              <w:left w:val="single" w:color="000000" w:sz="8" w:space="0"/>
              <w:bottom w:val="single" w:color="000000" w:sz="8" w:space="0"/>
              <w:right w:val="single" w:color="000000" w:sz="8" w:space="0"/>
            </w:tcBorders>
            <w:vAlign w:val="center"/>
          </w:tcPr>
          <w:p w14:paraId="3960C500">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544" w:type="dxa"/>
            <w:tcBorders>
              <w:top w:val="nil"/>
              <w:left w:val="nil"/>
              <w:bottom w:val="single" w:color="000000" w:sz="8" w:space="0"/>
              <w:right w:val="single" w:color="000000" w:sz="8" w:space="0"/>
            </w:tcBorders>
            <w:vAlign w:val="center"/>
          </w:tcPr>
          <w:p w14:paraId="67D1FF3C">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通信过程中重要数据的机密性</w:t>
            </w:r>
          </w:p>
        </w:tc>
      </w:tr>
      <w:tr w14:paraId="0205CE95">
        <w:tblPrEx>
          <w:tblCellMar>
            <w:top w:w="0" w:type="dxa"/>
            <w:left w:w="108" w:type="dxa"/>
            <w:bottom w:w="0" w:type="dxa"/>
            <w:right w:w="108" w:type="dxa"/>
          </w:tblCellMar>
        </w:tblPrEx>
        <w:trPr>
          <w:trHeight w:val="307" w:hRule="atLeast"/>
          <w:jc w:val="center"/>
        </w:trPr>
        <w:tc>
          <w:tcPr>
            <w:tcW w:w="1198" w:type="dxa"/>
            <w:vMerge w:val="continue"/>
            <w:tcBorders>
              <w:top w:val="single" w:color="000000" w:sz="8" w:space="0"/>
              <w:left w:val="single" w:color="000000" w:sz="8" w:space="0"/>
              <w:bottom w:val="single" w:color="000000" w:sz="8" w:space="0"/>
              <w:right w:val="single" w:color="000000" w:sz="8" w:space="0"/>
            </w:tcBorders>
            <w:vAlign w:val="center"/>
          </w:tcPr>
          <w:p w14:paraId="7453D3A1">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518" w:type="dxa"/>
            <w:vMerge w:val="continue"/>
            <w:tcBorders>
              <w:top w:val="single" w:color="000000" w:sz="8" w:space="0"/>
              <w:left w:val="single" w:color="000000" w:sz="8" w:space="0"/>
              <w:bottom w:val="single" w:color="000000" w:sz="8" w:space="0"/>
              <w:right w:val="single" w:color="000000" w:sz="8" w:space="0"/>
            </w:tcBorders>
            <w:vAlign w:val="center"/>
          </w:tcPr>
          <w:p w14:paraId="617ABC81">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544" w:type="dxa"/>
            <w:tcBorders>
              <w:top w:val="nil"/>
              <w:left w:val="nil"/>
              <w:bottom w:val="single" w:color="000000" w:sz="8" w:space="0"/>
              <w:right w:val="single" w:color="000000" w:sz="8" w:space="0"/>
            </w:tcBorders>
            <w:vAlign w:val="center"/>
          </w:tcPr>
          <w:p w14:paraId="3DFE3323">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网络边界访问控制信息的完整性</w:t>
            </w:r>
          </w:p>
        </w:tc>
      </w:tr>
      <w:tr w14:paraId="3724539F">
        <w:tblPrEx>
          <w:tblCellMar>
            <w:top w:w="0" w:type="dxa"/>
            <w:left w:w="108" w:type="dxa"/>
            <w:bottom w:w="0" w:type="dxa"/>
            <w:right w:w="108" w:type="dxa"/>
          </w:tblCellMar>
        </w:tblPrEx>
        <w:trPr>
          <w:trHeight w:val="307" w:hRule="atLeast"/>
          <w:jc w:val="center"/>
        </w:trPr>
        <w:tc>
          <w:tcPr>
            <w:tcW w:w="1198" w:type="dxa"/>
            <w:vMerge w:val="continue"/>
            <w:tcBorders>
              <w:top w:val="single" w:color="000000" w:sz="8" w:space="0"/>
              <w:left w:val="single" w:color="000000" w:sz="8" w:space="0"/>
              <w:bottom w:val="single" w:color="000000" w:sz="8" w:space="0"/>
              <w:right w:val="single" w:color="000000" w:sz="8" w:space="0"/>
            </w:tcBorders>
            <w:vAlign w:val="center"/>
          </w:tcPr>
          <w:p w14:paraId="4F8060FD">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518" w:type="dxa"/>
            <w:vMerge w:val="continue"/>
            <w:tcBorders>
              <w:top w:val="single" w:color="000000" w:sz="8" w:space="0"/>
              <w:left w:val="single" w:color="000000" w:sz="8" w:space="0"/>
              <w:bottom w:val="single" w:color="000000" w:sz="8" w:space="0"/>
              <w:right w:val="single" w:color="000000" w:sz="8" w:space="0"/>
            </w:tcBorders>
            <w:vAlign w:val="center"/>
          </w:tcPr>
          <w:p w14:paraId="08C7C260">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544" w:type="dxa"/>
            <w:tcBorders>
              <w:top w:val="nil"/>
              <w:left w:val="nil"/>
              <w:bottom w:val="single" w:color="000000" w:sz="8" w:space="0"/>
              <w:right w:val="single" w:color="000000" w:sz="8" w:space="0"/>
            </w:tcBorders>
            <w:vAlign w:val="center"/>
          </w:tcPr>
          <w:p w14:paraId="2BD07867">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安全接入认证</w:t>
            </w:r>
          </w:p>
        </w:tc>
      </w:tr>
      <w:tr w14:paraId="58D1014C">
        <w:tblPrEx>
          <w:tblCellMar>
            <w:top w:w="0" w:type="dxa"/>
            <w:left w:w="108" w:type="dxa"/>
            <w:bottom w:w="0" w:type="dxa"/>
            <w:right w:w="108" w:type="dxa"/>
          </w:tblCellMar>
        </w:tblPrEx>
        <w:trPr>
          <w:trHeight w:val="307" w:hRule="atLeast"/>
          <w:jc w:val="center"/>
        </w:trPr>
        <w:tc>
          <w:tcPr>
            <w:tcW w:w="1198" w:type="dxa"/>
            <w:vMerge w:val="continue"/>
            <w:tcBorders>
              <w:top w:val="single" w:color="000000" w:sz="8" w:space="0"/>
              <w:left w:val="single" w:color="000000" w:sz="8" w:space="0"/>
              <w:bottom w:val="single" w:color="000000" w:sz="8" w:space="0"/>
              <w:right w:val="single" w:color="000000" w:sz="8" w:space="0"/>
            </w:tcBorders>
            <w:vAlign w:val="center"/>
          </w:tcPr>
          <w:p w14:paraId="64DF0244">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518" w:type="dxa"/>
            <w:vMerge w:val="continue"/>
            <w:tcBorders>
              <w:top w:val="single" w:color="000000" w:sz="8" w:space="0"/>
              <w:left w:val="single" w:color="000000" w:sz="8" w:space="0"/>
              <w:bottom w:val="single" w:color="000000" w:sz="8" w:space="0"/>
              <w:right w:val="single" w:color="000000" w:sz="8" w:space="0"/>
            </w:tcBorders>
            <w:vAlign w:val="center"/>
          </w:tcPr>
          <w:p w14:paraId="509106C5">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544" w:type="dxa"/>
            <w:tcBorders>
              <w:top w:val="nil"/>
              <w:left w:val="nil"/>
              <w:bottom w:val="single" w:color="000000" w:sz="8" w:space="0"/>
              <w:right w:val="single" w:color="000000" w:sz="8" w:space="0"/>
            </w:tcBorders>
            <w:vAlign w:val="center"/>
          </w:tcPr>
          <w:p w14:paraId="330D0F0E">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密码服务</w:t>
            </w:r>
          </w:p>
        </w:tc>
      </w:tr>
      <w:tr w14:paraId="10D7B9B6">
        <w:tblPrEx>
          <w:tblCellMar>
            <w:top w:w="0" w:type="dxa"/>
            <w:left w:w="108" w:type="dxa"/>
            <w:bottom w:w="0" w:type="dxa"/>
            <w:right w:w="108" w:type="dxa"/>
          </w:tblCellMar>
        </w:tblPrEx>
        <w:trPr>
          <w:trHeight w:val="307" w:hRule="atLeast"/>
          <w:jc w:val="center"/>
        </w:trPr>
        <w:tc>
          <w:tcPr>
            <w:tcW w:w="1198" w:type="dxa"/>
            <w:vMerge w:val="continue"/>
            <w:tcBorders>
              <w:top w:val="single" w:color="000000" w:sz="8" w:space="0"/>
              <w:left w:val="single" w:color="000000" w:sz="8" w:space="0"/>
              <w:bottom w:val="single" w:color="000000" w:sz="8" w:space="0"/>
              <w:right w:val="single" w:color="000000" w:sz="8" w:space="0"/>
            </w:tcBorders>
            <w:vAlign w:val="center"/>
          </w:tcPr>
          <w:p w14:paraId="5B0545FB">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518" w:type="dxa"/>
            <w:vMerge w:val="continue"/>
            <w:tcBorders>
              <w:top w:val="single" w:color="000000" w:sz="8" w:space="0"/>
              <w:left w:val="single" w:color="000000" w:sz="8" w:space="0"/>
              <w:bottom w:val="single" w:color="000000" w:sz="8" w:space="0"/>
              <w:right w:val="single" w:color="000000" w:sz="8" w:space="0"/>
            </w:tcBorders>
            <w:vAlign w:val="center"/>
          </w:tcPr>
          <w:p w14:paraId="6C4D400B">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544" w:type="dxa"/>
            <w:tcBorders>
              <w:top w:val="nil"/>
              <w:left w:val="nil"/>
              <w:bottom w:val="single" w:color="000000" w:sz="8" w:space="0"/>
              <w:right w:val="single" w:color="000000" w:sz="8" w:space="0"/>
            </w:tcBorders>
            <w:vAlign w:val="center"/>
          </w:tcPr>
          <w:p w14:paraId="61DBBCED">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密码产品</w:t>
            </w:r>
          </w:p>
        </w:tc>
      </w:tr>
      <w:tr w14:paraId="52C8AC6B">
        <w:tblPrEx>
          <w:tblCellMar>
            <w:top w:w="0" w:type="dxa"/>
            <w:left w:w="108" w:type="dxa"/>
            <w:bottom w:w="0" w:type="dxa"/>
            <w:right w:w="108" w:type="dxa"/>
          </w:tblCellMar>
        </w:tblPrEx>
        <w:trPr>
          <w:trHeight w:val="307" w:hRule="atLeast"/>
          <w:jc w:val="center"/>
        </w:trPr>
        <w:tc>
          <w:tcPr>
            <w:tcW w:w="1198" w:type="dxa"/>
            <w:vMerge w:val="continue"/>
            <w:tcBorders>
              <w:top w:val="single" w:color="000000" w:sz="8" w:space="0"/>
              <w:left w:val="single" w:color="000000" w:sz="8" w:space="0"/>
              <w:bottom w:val="single" w:color="000000" w:sz="8" w:space="0"/>
              <w:right w:val="single" w:color="000000" w:sz="8" w:space="0"/>
            </w:tcBorders>
            <w:vAlign w:val="center"/>
          </w:tcPr>
          <w:p w14:paraId="452C7DC7">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518" w:type="dxa"/>
            <w:vMerge w:val="restart"/>
            <w:tcBorders>
              <w:top w:val="single" w:color="000000" w:sz="8" w:space="0"/>
              <w:left w:val="single" w:color="000000" w:sz="8" w:space="0"/>
              <w:bottom w:val="single" w:color="000000" w:sz="8" w:space="0"/>
              <w:right w:val="single" w:color="000000" w:sz="8" w:space="0"/>
            </w:tcBorders>
            <w:vAlign w:val="center"/>
          </w:tcPr>
          <w:p w14:paraId="40244A9E">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设备和计算安全</w:t>
            </w:r>
          </w:p>
        </w:tc>
        <w:tc>
          <w:tcPr>
            <w:tcW w:w="6544" w:type="dxa"/>
            <w:tcBorders>
              <w:top w:val="nil"/>
              <w:left w:val="nil"/>
              <w:bottom w:val="single" w:color="000000" w:sz="8" w:space="0"/>
              <w:right w:val="single" w:color="000000" w:sz="8" w:space="0"/>
            </w:tcBorders>
            <w:vAlign w:val="center"/>
          </w:tcPr>
          <w:p w14:paraId="5DC03CDE">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身份鉴别</w:t>
            </w:r>
          </w:p>
        </w:tc>
      </w:tr>
      <w:tr w14:paraId="3B2B54C0">
        <w:tblPrEx>
          <w:tblCellMar>
            <w:top w:w="0" w:type="dxa"/>
            <w:left w:w="108" w:type="dxa"/>
            <w:bottom w:w="0" w:type="dxa"/>
            <w:right w:w="108" w:type="dxa"/>
          </w:tblCellMar>
        </w:tblPrEx>
        <w:trPr>
          <w:trHeight w:val="307" w:hRule="atLeast"/>
          <w:jc w:val="center"/>
        </w:trPr>
        <w:tc>
          <w:tcPr>
            <w:tcW w:w="1198" w:type="dxa"/>
            <w:vMerge w:val="continue"/>
            <w:tcBorders>
              <w:top w:val="single" w:color="000000" w:sz="8" w:space="0"/>
              <w:left w:val="single" w:color="000000" w:sz="8" w:space="0"/>
              <w:bottom w:val="single" w:color="000000" w:sz="8" w:space="0"/>
              <w:right w:val="single" w:color="000000" w:sz="8" w:space="0"/>
            </w:tcBorders>
            <w:vAlign w:val="center"/>
          </w:tcPr>
          <w:p w14:paraId="78A9659D">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518" w:type="dxa"/>
            <w:vMerge w:val="continue"/>
            <w:tcBorders>
              <w:top w:val="single" w:color="000000" w:sz="8" w:space="0"/>
              <w:left w:val="single" w:color="000000" w:sz="8" w:space="0"/>
              <w:bottom w:val="single" w:color="000000" w:sz="8" w:space="0"/>
              <w:right w:val="single" w:color="000000" w:sz="8" w:space="0"/>
            </w:tcBorders>
            <w:vAlign w:val="center"/>
          </w:tcPr>
          <w:p w14:paraId="61E22618">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544" w:type="dxa"/>
            <w:tcBorders>
              <w:top w:val="nil"/>
              <w:left w:val="nil"/>
              <w:bottom w:val="single" w:color="000000" w:sz="8" w:space="0"/>
              <w:right w:val="single" w:color="000000" w:sz="8" w:space="0"/>
            </w:tcBorders>
            <w:vAlign w:val="center"/>
          </w:tcPr>
          <w:p w14:paraId="1B326C1E">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远程管理通道安全</w:t>
            </w:r>
          </w:p>
        </w:tc>
      </w:tr>
      <w:tr w14:paraId="2F115BA1">
        <w:tblPrEx>
          <w:tblCellMar>
            <w:top w:w="0" w:type="dxa"/>
            <w:left w:w="108" w:type="dxa"/>
            <w:bottom w:w="0" w:type="dxa"/>
            <w:right w:w="108" w:type="dxa"/>
          </w:tblCellMar>
        </w:tblPrEx>
        <w:trPr>
          <w:trHeight w:val="307" w:hRule="atLeast"/>
          <w:jc w:val="center"/>
        </w:trPr>
        <w:tc>
          <w:tcPr>
            <w:tcW w:w="1198" w:type="dxa"/>
            <w:vMerge w:val="continue"/>
            <w:tcBorders>
              <w:top w:val="single" w:color="000000" w:sz="8" w:space="0"/>
              <w:left w:val="single" w:color="000000" w:sz="8" w:space="0"/>
              <w:bottom w:val="single" w:color="000000" w:sz="8" w:space="0"/>
              <w:right w:val="single" w:color="000000" w:sz="8" w:space="0"/>
            </w:tcBorders>
            <w:vAlign w:val="center"/>
          </w:tcPr>
          <w:p w14:paraId="3602E052">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518" w:type="dxa"/>
            <w:vMerge w:val="continue"/>
            <w:tcBorders>
              <w:top w:val="single" w:color="000000" w:sz="8" w:space="0"/>
              <w:left w:val="single" w:color="000000" w:sz="8" w:space="0"/>
              <w:bottom w:val="single" w:color="000000" w:sz="8" w:space="0"/>
              <w:right w:val="single" w:color="000000" w:sz="8" w:space="0"/>
            </w:tcBorders>
            <w:vAlign w:val="center"/>
          </w:tcPr>
          <w:p w14:paraId="4D0C229F">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544" w:type="dxa"/>
            <w:tcBorders>
              <w:top w:val="nil"/>
              <w:left w:val="nil"/>
              <w:bottom w:val="single" w:color="000000" w:sz="8" w:space="0"/>
              <w:right w:val="single" w:color="000000" w:sz="8" w:space="0"/>
            </w:tcBorders>
            <w:vAlign w:val="center"/>
          </w:tcPr>
          <w:p w14:paraId="6509328D">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系统资源访问控制信息完整性</w:t>
            </w:r>
          </w:p>
        </w:tc>
      </w:tr>
      <w:tr w14:paraId="4EAD61A5">
        <w:tblPrEx>
          <w:tblCellMar>
            <w:top w:w="0" w:type="dxa"/>
            <w:left w:w="108" w:type="dxa"/>
            <w:bottom w:w="0" w:type="dxa"/>
            <w:right w:w="108" w:type="dxa"/>
          </w:tblCellMar>
        </w:tblPrEx>
        <w:trPr>
          <w:trHeight w:val="307" w:hRule="atLeast"/>
          <w:jc w:val="center"/>
        </w:trPr>
        <w:tc>
          <w:tcPr>
            <w:tcW w:w="1198" w:type="dxa"/>
            <w:vMerge w:val="continue"/>
            <w:tcBorders>
              <w:top w:val="single" w:color="000000" w:sz="8" w:space="0"/>
              <w:left w:val="single" w:color="000000" w:sz="8" w:space="0"/>
              <w:bottom w:val="single" w:color="000000" w:sz="8" w:space="0"/>
              <w:right w:val="single" w:color="000000" w:sz="8" w:space="0"/>
            </w:tcBorders>
            <w:vAlign w:val="center"/>
          </w:tcPr>
          <w:p w14:paraId="5AB6D95F">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518" w:type="dxa"/>
            <w:vMerge w:val="continue"/>
            <w:tcBorders>
              <w:top w:val="single" w:color="000000" w:sz="8" w:space="0"/>
              <w:left w:val="single" w:color="000000" w:sz="8" w:space="0"/>
              <w:bottom w:val="single" w:color="000000" w:sz="8" w:space="0"/>
              <w:right w:val="single" w:color="000000" w:sz="8" w:space="0"/>
            </w:tcBorders>
            <w:vAlign w:val="center"/>
          </w:tcPr>
          <w:p w14:paraId="23C98045">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544" w:type="dxa"/>
            <w:tcBorders>
              <w:top w:val="nil"/>
              <w:left w:val="nil"/>
              <w:bottom w:val="single" w:color="000000" w:sz="8" w:space="0"/>
              <w:right w:val="single" w:color="000000" w:sz="8" w:space="0"/>
            </w:tcBorders>
            <w:vAlign w:val="center"/>
          </w:tcPr>
          <w:p w14:paraId="6B61A499">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重要信息资源安全标记完整性</w:t>
            </w:r>
          </w:p>
        </w:tc>
      </w:tr>
      <w:tr w14:paraId="0FBF930D">
        <w:tblPrEx>
          <w:tblCellMar>
            <w:top w:w="0" w:type="dxa"/>
            <w:left w:w="108" w:type="dxa"/>
            <w:bottom w:w="0" w:type="dxa"/>
            <w:right w:w="108" w:type="dxa"/>
          </w:tblCellMar>
        </w:tblPrEx>
        <w:trPr>
          <w:trHeight w:val="307" w:hRule="atLeast"/>
          <w:jc w:val="center"/>
        </w:trPr>
        <w:tc>
          <w:tcPr>
            <w:tcW w:w="1198" w:type="dxa"/>
            <w:vMerge w:val="continue"/>
            <w:tcBorders>
              <w:top w:val="single" w:color="000000" w:sz="8" w:space="0"/>
              <w:left w:val="single" w:color="000000" w:sz="8" w:space="0"/>
              <w:bottom w:val="single" w:color="000000" w:sz="8" w:space="0"/>
              <w:right w:val="single" w:color="000000" w:sz="8" w:space="0"/>
            </w:tcBorders>
            <w:vAlign w:val="center"/>
          </w:tcPr>
          <w:p w14:paraId="4828C67F">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518" w:type="dxa"/>
            <w:vMerge w:val="continue"/>
            <w:tcBorders>
              <w:top w:val="single" w:color="000000" w:sz="8" w:space="0"/>
              <w:left w:val="single" w:color="000000" w:sz="8" w:space="0"/>
              <w:bottom w:val="single" w:color="000000" w:sz="8" w:space="0"/>
              <w:right w:val="single" w:color="000000" w:sz="8" w:space="0"/>
            </w:tcBorders>
            <w:vAlign w:val="center"/>
          </w:tcPr>
          <w:p w14:paraId="7F126BC8">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544" w:type="dxa"/>
            <w:tcBorders>
              <w:top w:val="nil"/>
              <w:left w:val="nil"/>
              <w:bottom w:val="single" w:color="000000" w:sz="8" w:space="0"/>
              <w:right w:val="single" w:color="000000" w:sz="8" w:space="0"/>
            </w:tcBorders>
            <w:vAlign w:val="center"/>
          </w:tcPr>
          <w:p w14:paraId="45D91E67">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日志记录完整性</w:t>
            </w:r>
          </w:p>
        </w:tc>
      </w:tr>
      <w:tr w14:paraId="4A3D3BEA">
        <w:tblPrEx>
          <w:tblCellMar>
            <w:top w:w="0" w:type="dxa"/>
            <w:left w:w="108" w:type="dxa"/>
            <w:bottom w:w="0" w:type="dxa"/>
            <w:right w:w="108" w:type="dxa"/>
          </w:tblCellMar>
        </w:tblPrEx>
        <w:trPr>
          <w:trHeight w:val="307" w:hRule="atLeast"/>
          <w:jc w:val="center"/>
        </w:trPr>
        <w:tc>
          <w:tcPr>
            <w:tcW w:w="1198" w:type="dxa"/>
            <w:vMerge w:val="continue"/>
            <w:tcBorders>
              <w:top w:val="single" w:color="000000" w:sz="8" w:space="0"/>
              <w:left w:val="single" w:color="000000" w:sz="8" w:space="0"/>
              <w:bottom w:val="single" w:color="000000" w:sz="8" w:space="0"/>
              <w:right w:val="single" w:color="000000" w:sz="8" w:space="0"/>
            </w:tcBorders>
            <w:vAlign w:val="center"/>
          </w:tcPr>
          <w:p w14:paraId="559C31BF">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518" w:type="dxa"/>
            <w:vMerge w:val="continue"/>
            <w:tcBorders>
              <w:top w:val="single" w:color="000000" w:sz="8" w:space="0"/>
              <w:left w:val="single" w:color="000000" w:sz="8" w:space="0"/>
              <w:bottom w:val="single" w:color="000000" w:sz="8" w:space="0"/>
              <w:right w:val="single" w:color="000000" w:sz="8" w:space="0"/>
            </w:tcBorders>
            <w:vAlign w:val="center"/>
          </w:tcPr>
          <w:p w14:paraId="2988689D">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544" w:type="dxa"/>
            <w:tcBorders>
              <w:top w:val="nil"/>
              <w:left w:val="nil"/>
              <w:bottom w:val="single" w:color="000000" w:sz="8" w:space="0"/>
              <w:right w:val="single" w:color="000000" w:sz="8" w:space="0"/>
            </w:tcBorders>
            <w:vAlign w:val="center"/>
          </w:tcPr>
          <w:p w14:paraId="135CBB61">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重要可执行程序完整性、重要可执行程序来源真实性</w:t>
            </w:r>
          </w:p>
        </w:tc>
      </w:tr>
      <w:tr w14:paraId="30C7ADAB">
        <w:tblPrEx>
          <w:tblCellMar>
            <w:top w:w="0" w:type="dxa"/>
            <w:left w:w="108" w:type="dxa"/>
            <w:bottom w:w="0" w:type="dxa"/>
            <w:right w:w="108" w:type="dxa"/>
          </w:tblCellMar>
        </w:tblPrEx>
        <w:trPr>
          <w:trHeight w:val="307" w:hRule="atLeast"/>
          <w:jc w:val="center"/>
        </w:trPr>
        <w:tc>
          <w:tcPr>
            <w:tcW w:w="1198" w:type="dxa"/>
            <w:vMerge w:val="continue"/>
            <w:tcBorders>
              <w:top w:val="single" w:color="000000" w:sz="8" w:space="0"/>
              <w:left w:val="single" w:color="000000" w:sz="8" w:space="0"/>
              <w:bottom w:val="single" w:color="000000" w:sz="8" w:space="0"/>
              <w:right w:val="single" w:color="000000" w:sz="8" w:space="0"/>
            </w:tcBorders>
            <w:vAlign w:val="center"/>
          </w:tcPr>
          <w:p w14:paraId="6EC8E1E8">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518" w:type="dxa"/>
            <w:vMerge w:val="continue"/>
            <w:tcBorders>
              <w:top w:val="single" w:color="000000" w:sz="8" w:space="0"/>
              <w:left w:val="single" w:color="000000" w:sz="8" w:space="0"/>
              <w:bottom w:val="single" w:color="000000" w:sz="8" w:space="0"/>
              <w:right w:val="single" w:color="000000" w:sz="8" w:space="0"/>
            </w:tcBorders>
            <w:vAlign w:val="center"/>
          </w:tcPr>
          <w:p w14:paraId="4A055B63">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544" w:type="dxa"/>
            <w:tcBorders>
              <w:top w:val="nil"/>
              <w:left w:val="nil"/>
              <w:bottom w:val="single" w:color="000000" w:sz="8" w:space="0"/>
              <w:right w:val="single" w:color="000000" w:sz="8" w:space="0"/>
            </w:tcBorders>
            <w:vAlign w:val="center"/>
          </w:tcPr>
          <w:p w14:paraId="2C271DFE">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密码服务</w:t>
            </w:r>
          </w:p>
        </w:tc>
      </w:tr>
      <w:tr w14:paraId="4D57F08F">
        <w:tblPrEx>
          <w:tblCellMar>
            <w:top w:w="0" w:type="dxa"/>
            <w:left w:w="108" w:type="dxa"/>
            <w:bottom w:w="0" w:type="dxa"/>
            <w:right w:w="108" w:type="dxa"/>
          </w:tblCellMar>
        </w:tblPrEx>
        <w:trPr>
          <w:trHeight w:val="307" w:hRule="atLeast"/>
          <w:jc w:val="center"/>
        </w:trPr>
        <w:tc>
          <w:tcPr>
            <w:tcW w:w="1198" w:type="dxa"/>
            <w:vMerge w:val="continue"/>
            <w:tcBorders>
              <w:top w:val="single" w:color="000000" w:sz="8" w:space="0"/>
              <w:left w:val="single" w:color="000000" w:sz="8" w:space="0"/>
              <w:bottom w:val="single" w:color="000000" w:sz="8" w:space="0"/>
              <w:right w:val="single" w:color="000000" w:sz="8" w:space="0"/>
            </w:tcBorders>
            <w:vAlign w:val="center"/>
          </w:tcPr>
          <w:p w14:paraId="0E66AAF9">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518" w:type="dxa"/>
            <w:vMerge w:val="continue"/>
            <w:tcBorders>
              <w:top w:val="single" w:color="000000" w:sz="8" w:space="0"/>
              <w:left w:val="single" w:color="000000" w:sz="8" w:space="0"/>
              <w:bottom w:val="single" w:color="000000" w:sz="8" w:space="0"/>
              <w:right w:val="single" w:color="000000" w:sz="8" w:space="0"/>
            </w:tcBorders>
            <w:vAlign w:val="center"/>
          </w:tcPr>
          <w:p w14:paraId="25F5B465">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544" w:type="dxa"/>
            <w:tcBorders>
              <w:top w:val="nil"/>
              <w:left w:val="nil"/>
              <w:bottom w:val="single" w:color="000000" w:sz="8" w:space="0"/>
              <w:right w:val="single" w:color="000000" w:sz="8" w:space="0"/>
            </w:tcBorders>
            <w:vAlign w:val="center"/>
          </w:tcPr>
          <w:p w14:paraId="2EB98E43">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密码产品</w:t>
            </w:r>
          </w:p>
        </w:tc>
      </w:tr>
      <w:tr w14:paraId="2F9B1406">
        <w:tblPrEx>
          <w:tblCellMar>
            <w:top w:w="0" w:type="dxa"/>
            <w:left w:w="108" w:type="dxa"/>
            <w:bottom w:w="0" w:type="dxa"/>
            <w:right w:w="108" w:type="dxa"/>
          </w:tblCellMar>
        </w:tblPrEx>
        <w:trPr>
          <w:trHeight w:val="307" w:hRule="atLeast"/>
          <w:jc w:val="center"/>
        </w:trPr>
        <w:tc>
          <w:tcPr>
            <w:tcW w:w="1198" w:type="dxa"/>
            <w:vMerge w:val="continue"/>
            <w:tcBorders>
              <w:top w:val="single" w:color="000000" w:sz="8" w:space="0"/>
              <w:left w:val="single" w:color="000000" w:sz="8" w:space="0"/>
              <w:bottom w:val="single" w:color="000000" w:sz="8" w:space="0"/>
              <w:right w:val="single" w:color="000000" w:sz="8" w:space="0"/>
            </w:tcBorders>
            <w:vAlign w:val="center"/>
          </w:tcPr>
          <w:p w14:paraId="1FC36E77">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518" w:type="dxa"/>
            <w:vMerge w:val="restart"/>
            <w:tcBorders>
              <w:top w:val="single" w:color="000000" w:sz="8" w:space="0"/>
              <w:left w:val="single" w:color="000000" w:sz="8" w:space="0"/>
              <w:bottom w:val="single" w:color="000000" w:sz="8" w:space="0"/>
              <w:right w:val="single" w:color="000000" w:sz="8" w:space="0"/>
            </w:tcBorders>
            <w:vAlign w:val="center"/>
          </w:tcPr>
          <w:p w14:paraId="32A97910">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应用和数据安全</w:t>
            </w:r>
          </w:p>
        </w:tc>
        <w:tc>
          <w:tcPr>
            <w:tcW w:w="6544" w:type="dxa"/>
            <w:tcBorders>
              <w:top w:val="nil"/>
              <w:left w:val="nil"/>
              <w:bottom w:val="single" w:color="000000" w:sz="8" w:space="0"/>
              <w:right w:val="single" w:color="000000" w:sz="8" w:space="0"/>
            </w:tcBorders>
            <w:vAlign w:val="center"/>
          </w:tcPr>
          <w:p w14:paraId="6AA40C12">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身份鉴别</w:t>
            </w:r>
          </w:p>
        </w:tc>
      </w:tr>
      <w:tr w14:paraId="376581EB">
        <w:tblPrEx>
          <w:tblCellMar>
            <w:top w:w="0" w:type="dxa"/>
            <w:left w:w="108" w:type="dxa"/>
            <w:bottom w:w="0" w:type="dxa"/>
            <w:right w:w="108" w:type="dxa"/>
          </w:tblCellMar>
        </w:tblPrEx>
        <w:trPr>
          <w:trHeight w:val="307" w:hRule="atLeast"/>
          <w:jc w:val="center"/>
        </w:trPr>
        <w:tc>
          <w:tcPr>
            <w:tcW w:w="1198" w:type="dxa"/>
            <w:vMerge w:val="continue"/>
            <w:tcBorders>
              <w:top w:val="single" w:color="000000" w:sz="8" w:space="0"/>
              <w:left w:val="single" w:color="000000" w:sz="8" w:space="0"/>
              <w:bottom w:val="single" w:color="000000" w:sz="8" w:space="0"/>
              <w:right w:val="single" w:color="000000" w:sz="8" w:space="0"/>
            </w:tcBorders>
            <w:vAlign w:val="center"/>
          </w:tcPr>
          <w:p w14:paraId="35207E59">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518" w:type="dxa"/>
            <w:vMerge w:val="continue"/>
            <w:tcBorders>
              <w:top w:val="single" w:color="000000" w:sz="8" w:space="0"/>
              <w:left w:val="single" w:color="000000" w:sz="8" w:space="0"/>
              <w:bottom w:val="single" w:color="000000" w:sz="8" w:space="0"/>
              <w:right w:val="single" w:color="000000" w:sz="8" w:space="0"/>
            </w:tcBorders>
            <w:vAlign w:val="center"/>
          </w:tcPr>
          <w:p w14:paraId="6F753F0B">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544" w:type="dxa"/>
            <w:tcBorders>
              <w:top w:val="nil"/>
              <w:left w:val="nil"/>
              <w:bottom w:val="single" w:color="000000" w:sz="8" w:space="0"/>
              <w:right w:val="single" w:color="000000" w:sz="8" w:space="0"/>
            </w:tcBorders>
            <w:vAlign w:val="center"/>
          </w:tcPr>
          <w:p w14:paraId="76E2AB0B">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访问控制信息完整性</w:t>
            </w:r>
          </w:p>
        </w:tc>
      </w:tr>
      <w:tr w14:paraId="0D4BEFFA">
        <w:tblPrEx>
          <w:tblCellMar>
            <w:top w:w="0" w:type="dxa"/>
            <w:left w:w="108" w:type="dxa"/>
            <w:bottom w:w="0" w:type="dxa"/>
            <w:right w:w="108" w:type="dxa"/>
          </w:tblCellMar>
        </w:tblPrEx>
        <w:trPr>
          <w:trHeight w:val="307" w:hRule="atLeast"/>
          <w:jc w:val="center"/>
        </w:trPr>
        <w:tc>
          <w:tcPr>
            <w:tcW w:w="1198" w:type="dxa"/>
            <w:vMerge w:val="continue"/>
            <w:tcBorders>
              <w:top w:val="single" w:color="000000" w:sz="8" w:space="0"/>
              <w:left w:val="single" w:color="000000" w:sz="8" w:space="0"/>
              <w:bottom w:val="single" w:color="000000" w:sz="8" w:space="0"/>
              <w:right w:val="single" w:color="000000" w:sz="8" w:space="0"/>
            </w:tcBorders>
            <w:vAlign w:val="center"/>
          </w:tcPr>
          <w:p w14:paraId="4DED4137">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518" w:type="dxa"/>
            <w:vMerge w:val="continue"/>
            <w:tcBorders>
              <w:top w:val="single" w:color="000000" w:sz="8" w:space="0"/>
              <w:left w:val="single" w:color="000000" w:sz="8" w:space="0"/>
              <w:bottom w:val="single" w:color="000000" w:sz="8" w:space="0"/>
              <w:right w:val="single" w:color="000000" w:sz="8" w:space="0"/>
            </w:tcBorders>
            <w:vAlign w:val="center"/>
          </w:tcPr>
          <w:p w14:paraId="265A6D1D">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544" w:type="dxa"/>
            <w:tcBorders>
              <w:top w:val="nil"/>
              <w:left w:val="nil"/>
              <w:bottom w:val="single" w:color="000000" w:sz="8" w:space="0"/>
              <w:right w:val="single" w:color="000000" w:sz="8" w:space="0"/>
            </w:tcBorders>
            <w:vAlign w:val="center"/>
          </w:tcPr>
          <w:p w14:paraId="467FAC5D">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重要信息资源安全标记完整性</w:t>
            </w:r>
          </w:p>
        </w:tc>
      </w:tr>
      <w:tr w14:paraId="708852CA">
        <w:tblPrEx>
          <w:tblCellMar>
            <w:top w:w="0" w:type="dxa"/>
            <w:left w:w="108" w:type="dxa"/>
            <w:bottom w:w="0" w:type="dxa"/>
            <w:right w:w="108" w:type="dxa"/>
          </w:tblCellMar>
        </w:tblPrEx>
        <w:trPr>
          <w:trHeight w:val="307" w:hRule="atLeast"/>
          <w:jc w:val="center"/>
        </w:trPr>
        <w:tc>
          <w:tcPr>
            <w:tcW w:w="1198" w:type="dxa"/>
            <w:vMerge w:val="continue"/>
            <w:tcBorders>
              <w:top w:val="single" w:color="000000" w:sz="8" w:space="0"/>
              <w:left w:val="single" w:color="000000" w:sz="8" w:space="0"/>
              <w:bottom w:val="single" w:color="000000" w:sz="8" w:space="0"/>
              <w:right w:val="single" w:color="000000" w:sz="8" w:space="0"/>
            </w:tcBorders>
            <w:vAlign w:val="center"/>
          </w:tcPr>
          <w:p w14:paraId="6B6D42A9">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518" w:type="dxa"/>
            <w:vMerge w:val="continue"/>
            <w:tcBorders>
              <w:top w:val="single" w:color="000000" w:sz="8" w:space="0"/>
              <w:left w:val="single" w:color="000000" w:sz="8" w:space="0"/>
              <w:bottom w:val="single" w:color="000000" w:sz="8" w:space="0"/>
              <w:right w:val="single" w:color="000000" w:sz="8" w:space="0"/>
            </w:tcBorders>
            <w:vAlign w:val="center"/>
          </w:tcPr>
          <w:p w14:paraId="7CBF8425">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544" w:type="dxa"/>
            <w:tcBorders>
              <w:top w:val="nil"/>
              <w:left w:val="nil"/>
              <w:bottom w:val="single" w:color="000000" w:sz="8" w:space="0"/>
              <w:right w:val="single" w:color="000000" w:sz="8" w:space="0"/>
            </w:tcBorders>
            <w:vAlign w:val="center"/>
          </w:tcPr>
          <w:p w14:paraId="28EA6FB4">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重要数据传输机密性</w:t>
            </w:r>
          </w:p>
        </w:tc>
      </w:tr>
      <w:tr w14:paraId="040F3806">
        <w:tblPrEx>
          <w:tblCellMar>
            <w:top w:w="0" w:type="dxa"/>
            <w:left w:w="108" w:type="dxa"/>
            <w:bottom w:w="0" w:type="dxa"/>
            <w:right w:w="108" w:type="dxa"/>
          </w:tblCellMar>
        </w:tblPrEx>
        <w:trPr>
          <w:trHeight w:val="307" w:hRule="atLeast"/>
          <w:jc w:val="center"/>
        </w:trPr>
        <w:tc>
          <w:tcPr>
            <w:tcW w:w="1198" w:type="dxa"/>
            <w:vMerge w:val="continue"/>
            <w:tcBorders>
              <w:top w:val="single" w:color="000000" w:sz="8" w:space="0"/>
              <w:left w:val="single" w:color="000000" w:sz="8" w:space="0"/>
              <w:bottom w:val="single" w:color="000000" w:sz="8" w:space="0"/>
              <w:right w:val="single" w:color="000000" w:sz="8" w:space="0"/>
            </w:tcBorders>
            <w:vAlign w:val="center"/>
          </w:tcPr>
          <w:p w14:paraId="6AF034D1">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518" w:type="dxa"/>
            <w:vMerge w:val="continue"/>
            <w:tcBorders>
              <w:top w:val="single" w:color="000000" w:sz="8" w:space="0"/>
              <w:left w:val="single" w:color="000000" w:sz="8" w:space="0"/>
              <w:bottom w:val="single" w:color="000000" w:sz="8" w:space="0"/>
              <w:right w:val="single" w:color="000000" w:sz="8" w:space="0"/>
            </w:tcBorders>
            <w:vAlign w:val="center"/>
          </w:tcPr>
          <w:p w14:paraId="647D245F">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544" w:type="dxa"/>
            <w:tcBorders>
              <w:top w:val="nil"/>
              <w:left w:val="nil"/>
              <w:bottom w:val="single" w:color="000000" w:sz="8" w:space="0"/>
              <w:right w:val="single" w:color="000000" w:sz="8" w:space="0"/>
            </w:tcBorders>
            <w:vAlign w:val="center"/>
          </w:tcPr>
          <w:p w14:paraId="26BB4419">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重要数据存储机密性</w:t>
            </w:r>
          </w:p>
        </w:tc>
      </w:tr>
      <w:tr w14:paraId="789B120D">
        <w:tblPrEx>
          <w:tblCellMar>
            <w:top w:w="0" w:type="dxa"/>
            <w:left w:w="108" w:type="dxa"/>
            <w:bottom w:w="0" w:type="dxa"/>
            <w:right w:w="108" w:type="dxa"/>
          </w:tblCellMar>
        </w:tblPrEx>
        <w:trPr>
          <w:trHeight w:val="307" w:hRule="atLeast"/>
          <w:jc w:val="center"/>
        </w:trPr>
        <w:tc>
          <w:tcPr>
            <w:tcW w:w="1198" w:type="dxa"/>
            <w:vMerge w:val="continue"/>
            <w:tcBorders>
              <w:top w:val="single" w:color="000000" w:sz="8" w:space="0"/>
              <w:left w:val="single" w:color="000000" w:sz="8" w:space="0"/>
              <w:bottom w:val="single" w:color="000000" w:sz="8" w:space="0"/>
              <w:right w:val="single" w:color="000000" w:sz="8" w:space="0"/>
            </w:tcBorders>
            <w:vAlign w:val="center"/>
          </w:tcPr>
          <w:p w14:paraId="53E5789C">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518" w:type="dxa"/>
            <w:vMerge w:val="continue"/>
            <w:tcBorders>
              <w:top w:val="single" w:color="000000" w:sz="8" w:space="0"/>
              <w:left w:val="single" w:color="000000" w:sz="8" w:space="0"/>
              <w:bottom w:val="single" w:color="000000" w:sz="8" w:space="0"/>
              <w:right w:val="single" w:color="000000" w:sz="8" w:space="0"/>
            </w:tcBorders>
            <w:vAlign w:val="center"/>
          </w:tcPr>
          <w:p w14:paraId="55184215">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544" w:type="dxa"/>
            <w:tcBorders>
              <w:top w:val="nil"/>
              <w:left w:val="nil"/>
              <w:bottom w:val="single" w:color="000000" w:sz="8" w:space="0"/>
              <w:right w:val="single" w:color="000000" w:sz="8" w:space="0"/>
            </w:tcBorders>
            <w:vAlign w:val="center"/>
          </w:tcPr>
          <w:p w14:paraId="370F861D">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重要数据传输完整性</w:t>
            </w:r>
          </w:p>
        </w:tc>
      </w:tr>
      <w:tr w14:paraId="1EEC5B5B">
        <w:tblPrEx>
          <w:tblCellMar>
            <w:top w:w="0" w:type="dxa"/>
            <w:left w:w="108" w:type="dxa"/>
            <w:bottom w:w="0" w:type="dxa"/>
            <w:right w:w="108" w:type="dxa"/>
          </w:tblCellMar>
        </w:tblPrEx>
        <w:trPr>
          <w:trHeight w:val="307" w:hRule="atLeast"/>
          <w:jc w:val="center"/>
        </w:trPr>
        <w:tc>
          <w:tcPr>
            <w:tcW w:w="1198" w:type="dxa"/>
            <w:vMerge w:val="continue"/>
            <w:tcBorders>
              <w:top w:val="single" w:color="000000" w:sz="8" w:space="0"/>
              <w:left w:val="single" w:color="000000" w:sz="8" w:space="0"/>
              <w:bottom w:val="single" w:color="000000" w:sz="8" w:space="0"/>
              <w:right w:val="single" w:color="000000" w:sz="8" w:space="0"/>
            </w:tcBorders>
            <w:vAlign w:val="center"/>
          </w:tcPr>
          <w:p w14:paraId="414CA17D">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518" w:type="dxa"/>
            <w:vMerge w:val="continue"/>
            <w:tcBorders>
              <w:top w:val="single" w:color="000000" w:sz="8" w:space="0"/>
              <w:left w:val="single" w:color="000000" w:sz="8" w:space="0"/>
              <w:bottom w:val="single" w:color="000000" w:sz="8" w:space="0"/>
              <w:right w:val="single" w:color="000000" w:sz="8" w:space="0"/>
            </w:tcBorders>
            <w:vAlign w:val="center"/>
          </w:tcPr>
          <w:p w14:paraId="22FE5429">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544" w:type="dxa"/>
            <w:tcBorders>
              <w:top w:val="nil"/>
              <w:left w:val="nil"/>
              <w:bottom w:val="single" w:color="000000" w:sz="8" w:space="0"/>
              <w:right w:val="single" w:color="000000" w:sz="8" w:space="0"/>
            </w:tcBorders>
            <w:vAlign w:val="center"/>
          </w:tcPr>
          <w:p w14:paraId="7C3AB843">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重要数据存储完整性</w:t>
            </w:r>
          </w:p>
        </w:tc>
      </w:tr>
      <w:tr w14:paraId="320C6EC1">
        <w:tblPrEx>
          <w:tblCellMar>
            <w:top w:w="0" w:type="dxa"/>
            <w:left w:w="108" w:type="dxa"/>
            <w:bottom w:w="0" w:type="dxa"/>
            <w:right w:w="108" w:type="dxa"/>
          </w:tblCellMar>
        </w:tblPrEx>
        <w:trPr>
          <w:trHeight w:val="307" w:hRule="atLeast"/>
          <w:jc w:val="center"/>
        </w:trPr>
        <w:tc>
          <w:tcPr>
            <w:tcW w:w="1198" w:type="dxa"/>
            <w:vMerge w:val="continue"/>
            <w:tcBorders>
              <w:top w:val="single" w:color="000000" w:sz="8" w:space="0"/>
              <w:left w:val="single" w:color="000000" w:sz="8" w:space="0"/>
              <w:bottom w:val="single" w:color="000000" w:sz="8" w:space="0"/>
              <w:right w:val="single" w:color="000000" w:sz="8" w:space="0"/>
            </w:tcBorders>
            <w:vAlign w:val="center"/>
          </w:tcPr>
          <w:p w14:paraId="6457D775">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518" w:type="dxa"/>
            <w:vMerge w:val="continue"/>
            <w:tcBorders>
              <w:top w:val="single" w:color="000000" w:sz="8" w:space="0"/>
              <w:left w:val="single" w:color="000000" w:sz="8" w:space="0"/>
              <w:bottom w:val="single" w:color="000000" w:sz="8" w:space="0"/>
              <w:right w:val="single" w:color="000000" w:sz="8" w:space="0"/>
            </w:tcBorders>
            <w:vAlign w:val="center"/>
          </w:tcPr>
          <w:p w14:paraId="28CAD967">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544" w:type="dxa"/>
            <w:tcBorders>
              <w:top w:val="nil"/>
              <w:left w:val="nil"/>
              <w:bottom w:val="single" w:color="000000" w:sz="8" w:space="0"/>
              <w:right w:val="single" w:color="000000" w:sz="8" w:space="0"/>
            </w:tcBorders>
            <w:vAlign w:val="center"/>
          </w:tcPr>
          <w:p w14:paraId="3E4B7034">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不可否认性</w:t>
            </w:r>
          </w:p>
        </w:tc>
      </w:tr>
      <w:tr w14:paraId="05D84247">
        <w:tblPrEx>
          <w:tblCellMar>
            <w:top w:w="0" w:type="dxa"/>
            <w:left w:w="108" w:type="dxa"/>
            <w:bottom w:w="0" w:type="dxa"/>
            <w:right w:w="108" w:type="dxa"/>
          </w:tblCellMar>
        </w:tblPrEx>
        <w:trPr>
          <w:trHeight w:val="307" w:hRule="atLeast"/>
          <w:jc w:val="center"/>
        </w:trPr>
        <w:tc>
          <w:tcPr>
            <w:tcW w:w="1198" w:type="dxa"/>
            <w:vMerge w:val="continue"/>
            <w:tcBorders>
              <w:top w:val="single" w:color="000000" w:sz="8" w:space="0"/>
              <w:left w:val="single" w:color="000000" w:sz="8" w:space="0"/>
              <w:bottom w:val="single" w:color="000000" w:sz="8" w:space="0"/>
              <w:right w:val="single" w:color="000000" w:sz="8" w:space="0"/>
            </w:tcBorders>
            <w:vAlign w:val="center"/>
          </w:tcPr>
          <w:p w14:paraId="3D40D659">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518" w:type="dxa"/>
            <w:vMerge w:val="continue"/>
            <w:tcBorders>
              <w:top w:val="single" w:color="000000" w:sz="8" w:space="0"/>
              <w:left w:val="single" w:color="000000" w:sz="8" w:space="0"/>
              <w:bottom w:val="single" w:color="000000" w:sz="8" w:space="0"/>
              <w:right w:val="single" w:color="000000" w:sz="8" w:space="0"/>
            </w:tcBorders>
            <w:vAlign w:val="center"/>
          </w:tcPr>
          <w:p w14:paraId="10380892">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544" w:type="dxa"/>
            <w:tcBorders>
              <w:top w:val="nil"/>
              <w:left w:val="nil"/>
              <w:bottom w:val="single" w:color="000000" w:sz="8" w:space="0"/>
              <w:right w:val="single" w:color="000000" w:sz="8" w:space="0"/>
            </w:tcBorders>
            <w:vAlign w:val="center"/>
          </w:tcPr>
          <w:p w14:paraId="17C3E5C0">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密码服务</w:t>
            </w:r>
          </w:p>
        </w:tc>
      </w:tr>
      <w:tr w14:paraId="37C4BD17">
        <w:tblPrEx>
          <w:tblCellMar>
            <w:top w:w="0" w:type="dxa"/>
            <w:left w:w="108" w:type="dxa"/>
            <w:bottom w:w="0" w:type="dxa"/>
            <w:right w:w="108" w:type="dxa"/>
          </w:tblCellMar>
        </w:tblPrEx>
        <w:trPr>
          <w:trHeight w:val="307" w:hRule="atLeast"/>
          <w:jc w:val="center"/>
        </w:trPr>
        <w:tc>
          <w:tcPr>
            <w:tcW w:w="1198" w:type="dxa"/>
            <w:vMerge w:val="continue"/>
            <w:tcBorders>
              <w:top w:val="single" w:color="000000" w:sz="8" w:space="0"/>
              <w:left w:val="single" w:color="000000" w:sz="8" w:space="0"/>
              <w:bottom w:val="single" w:color="000000" w:sz="8" w:space="0"/>
              <w:right w:val="single" w:color="000000" w:sz="8" w:space="0"/>
            </w:tcBorders>
            <w:vAlign w:val="center"/>
          </w:tcPr>
          <w:p w14:paraId="4AC2609C">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518" w:type="dxa"/>
            <w:vMerge w:val="continue"/>
            <w:tcBorders>
              <w:top w:val="single" w:color="000000" w:sz="8" w:space="0"/>
              <w:left w:val="single" w:color="000000" w:sz="8" w:space="0"/>
              <w:bottom w:val="single" w:color="000000" w:sz="8" w:space="0"/>
              <w:right w:val="single" w:color="000000" w:sz="8" w:space="0"/>
            </w:tcBorders>
            <w:vAlign w:val="center"/>
          </w:tcPr>
          <w:p w14:paraId="1D991B62">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544" w:type="dxa"/>
            <w:tcBorders>
              <w:top w:val="nil"/>
              <w:left w:val="nil"/>
              <w:bottom w:val="single" w:color="000000" w:sz="8" w:space="0"/>
              <w:right w:val="single" w:color="000000" w:sz="8" w:space="0"/>
            </w:tcBorders>
            <w:vAlign w:val="center"/>
          </w:tcPr>
          <w:p w14:paraId="5010365C">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密码产品</w:t>
            </w:r>
          </w:p>
        </w:tc>
      </w:tr>
      <w:tr w14:paraId="78DA667E">
        <w:tblPrEx>
          <w:tblCellMar>
            <w:top w:w="0" w:type="dxa"/>
            <w:left w:w="108" w:type="dxa"/>
            <w:bottom w:w="0" w:type="dxa"/>
            <w:right w:w="108" w:type="dxa"/>
          </w:tblCellMar>
        </w:tblPrEx>
        <w:trPr>
          <w:trHeight w:val="307" w:hRule="atLeast"/>
          <w:jc w:val="center"/>
        </w:trPr>
        <w:tc>
          <w:tcPr>
            <w:tcW w:w="1198" w:type="dxa"/>
            <w:vMerge w:val="restart"/>
            <w:tcBorders>
              <w:top w:val="single" w:color="000000" w:sz="8" w:space="0"/>
              <w:left w:val="single" w:color="000000" w:sz="8" w:space="0"/>
              <w:bottom w:val="single" w:color="000000" w:sz="8" w:space="0"/>
              <w:right w:val="single" w:color="000000" w:sz="8" w:space="0"/>
            </w:tcBorders>
            <w:vAlign w:val="center"/>
          </w:tcPr>
          <w:p w14:paraId="4D7DE855">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管理要求</w:t>
            </w:r>
          </w:p>
        </w:tc>
        <w:tc>
          <w:tcPr>
            <w:tcW w:w="1518" w:type="dxa"/>
            <w:vMerge w:val="restart"/>
            <w:tcBorders>
              <w:top w:val="single" w:color="000000" w:sz="8" w:space="0"/>
              <w:left w:val="nil"/>
              <w:bottom w:val="single" w:color="000000" w:sz="8" w:space="0"/>
              <w:right w:val="single" w:color="000000" w:sz="8" w:space="0"/>
            </w:tcBorders>
            <w:vAlign w:val="center"/>
          </w:tcPr>
          <w:p w14:paraId="5639433F">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管理制度</w:t>
            </w:r>
          </w:p>
        </w:tc>
        <w:tc>
          <w:tcPr>
            <w:tcW w:w="6544" w:type="dxa"/>
            <w:tcBorders>
              <w:top w:val="nil"/>
              <w:left w:val="nil"/>
              <w:bottom w:val="single" w:color="000000" w:sz="8" w:space="0"/>
              <w:right w:val="single" w:color="000000" w:sz="8" w:space="0"/>
            </w:tcBorders>
            <w:vAlign w:val="center"/>
          </w:tcPr>
          <w:p w14:paraId="6FEF2162">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具备密码应用安全管理制度</w:t>
            </w:r>
          </w:p>
        </w:tc>
      </w:tr>
      <w:tr w14:paraId="3E0D82E1">
        <w:tblPrEx>
          <w:tblCellMar>
            <w:top w:w="0" w:type="dxa"/>
            <w:left w:w="108" w:type="dxa"/>
            <w:bottom w:w="0" w:type="dxa"/>
            <w:right w:w="108" w:type="dxa"/>
          </w:tblCellMar>
        </w:tblPrEx>
        <w:trPr>
          <w:trHeight w:val="307" w:hRule="atLeast"/>
          <w:jc w:val="center"/>
        </w:trPr>
        <w:tc>
          <w:tcPr>
            <w:tcW w:w="1198" w:type="dxa"/>
            <w:vMerge w:val="continue"/>
            <w:tcBorders>
              <w:top w:val="single" w:color="000000" w:sz="8" w:space="0"/>
              <w:left w:val="single" w:color="000000" w:sz="8" w:space="0"/>
              <w:bottom w:val="single" w:color="000000" w:sz="8" w:space="0"/>
              <w:right w:val="single" w:color="000000" w:sz="8" w:space="0"/>
            </w:tcBorders>
            <w:vAlign w:val="center"/>
          </w:tcPr>
          <w:p w14:paraId="0962761D">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518" w:type="dxa"/>
            <w:vMerge w:val="continue"/>
            <w:tcBorders>
              <w:top w:val="single" w:color="000000" w:sz="8" w:space="0"/>
              <w:left w:val="nil"/>
              <w:bottom w:val="single" w:color="000000" w:sz="8" w:space="0"/>
              <w:right w:val="single" w:color="000000" w:sz="8" w:space="0"/>
            </w:tcBorders>
            <w:vAlign w:val="center"/>
          </w:tcPr>
          <w:p w14:paraId="1C94123D">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544" w:type="dxa"/>
            <w:tcBorders>
              <w:top w:val="nil"/>
              <w:left w:val="nil"/>
              <w:bottom w:val="single" w:color="000000" w:sz="8" w:space="0"/>
              <w:right w:val="single" w:color="000000" w:sz="8" w:space="0"/>
            </w:tcBorders>
            <w:vAlign w:val="center"/>
          </w:tcPr>
          <w:p w14:paraId="00509774">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密钥管理规则</w:t>
            </w:r>
          </w:p>
        </w:tc>
      </w:tr>
      <w:tr w14:paraId="19D76FCF">
        <w:tblPrEx>
          <w:tblCellMar>
            <w:top w:w="0" w:type="dxa"/>
            <w:left w:w="108" w:type="dxa"/>
            <w:bottom w:w="0" w:type="dxa"/>
            <w:right w:w="108" w:type="dxa"/>
          </w:tblCellMar>
        </w:tblPrEx>
        <w:trPr>
          <w:trHeight w:val="307" w:hRule="atLeast"/>
          <w:jc w:val="center"/>
        </w:trPr>
        <w:tc>
          <w:tcPr>
            <w:tcW w:w="1198" w:type="dxa"/>
            <w:vMerge w:val="continue"/>
            <w:tcBorders>
              <w:top w:val="single" w:color="000000" w:sz="8" w:space="0"/>
              <w:left w:val="single" w:color="000000" w:sz="8" w:space="0"/>
              <w:bottom w:val="single" w:color="000000" w:sz="8" w:space="0"/>
              <w:right w:val="single" w:color="000000" w:sz="8" w:space="0"/>
            </w:tcBorders>
            <w:vAlign w:val="center"/>
          </w:tcPr>
          <w:p w14:paraId="2E6E726F">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518" w:type="dxa"/>
            <w:vMerge w:val="continue"/>
            <w:tcBorders>
              <w:top w:val="single" w:color="000000" w:sz="8" w:space="0"/>
              <w:left w:val="nil"/>
              <w:bottom w:val="single" w:color="000000" w:sz="8" w:space="0"/>
              <w:right w:val="single" w:color="000000" w:sz="8" w:space="0"/>
            </w:tcBorders>
            <w:vAlign w:val="center"/>
          </w:tcPr>
          <w:p w14:paraId="0369164B">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544" w:type="dxa"/>
            <w:tcBorders>
              <w:top w:val="nil"/>
              <w:left w:val="nil"/>
              <w:bottom w:val="single" w:color="000000" w:sz="8" w:space="0"/>
              <w:right w:val="single" w:color="000000" w:sz="8" w:space="0"/>
            </w:tcBorders>
            <w:vAlign w:val="center"/>
          </w:tcPr>
          <w:p w14:paraId="6AA7C06E">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建立操作规程</w:t>
            </w:r>
          </w:p>
        </w:tc>
      </w:tr>
      <w:tr w14:paraId="74F0C922">
        <w:tblPrEx>
          <w:tblCellMar>
            <w:top w:w="0" w:type="dxa"/>
            <w:left w:w="108" w:type="dxa"/>
            <w:bottom w:w="0" w:type="dxa"/>
            <w:right w:w="108" w:type="dxa"/>
          </w:tblCellMar>
        </w:tblPrEx>
        <w:trPr>
          <w:trHeight w:val="307" w:hRule="atLeast"/>
          <w:jc w:val="center"/>
        </w:trPr>
        <w:tc>
          <w:tcPr>
            <w:tcW w:w="1198" w:type="dxa"/>
            <w:vMerge w:val="continue"/>
            <w:tcBorders>
              <w:top w:val="single" w:color="000000" w:sz="8" w:space="0"/>
              <w:left w:val="single" w:color="000000" w:sz="8" w:space="0"/>
              <w:bottom w:val="single" w:color="000000" w:sz="8" w:space="0"/>
              <w:right w:val="single" w:color="000000" w:sz="8" w:space="0"/>
            </w:tcBorders>
            <w:vAlign w:val="center"/>
          </w:tcPr>
          <w:p w14:paraId="477C7CF7">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518" w:type="dxa"/>
            <w:vMerge w:val="continue"/>
            <w:tcBorders>
              <w:top w:val="single" w:color="000000" w:sz="8" w:space="0"/>
              <w:left w:val="nil"/>
              <w:bottom w:val="single" w:color="000000" w:sz="8" w:space="0"/>
              <w:right w:val="single" w:color="000000" w:sz="8" w:space="0"/>
            </w:tcBorders>
            <w:vAlign w:val="center"/>
          </w:tcPr>
          <w:p w14:paraId="43EB90BD">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544" w:type="dxa"/>
            <w:tcBorders>
              <w:top w:val="nil"/>
              <w:left w:val="nil"/>
              <w:bottom w:val="single" w:color="000000" w:sz="8" w:space="0"/>
              <w:right w:val="single" w:color="000000" w:sz="8" w:space="0"/>
            </w:tcBorders>
            <w:vAlign w:val="center"/>
          </w:tcPr>
          <w:p w14:paraId="6272FFE3">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定期修订安全管理制度</w:t>
            </w:r>
          </w:p>
        </w:tc>
      </w:tr>
      <w:tr w14:paraId="317FAE9C">
        <w:tblPrEx>
          <w:tblCellMar>
            <w:top w:w="0" w:type="dxa"/>
            <w:left w:w="108" w:type="dxa"/>
            <w:bottom w:w="0" w:type="dxa"/>
            <w:right w:w="108" w:type="dxa"/>
          </w:tblCellMar>
        </w:tblPrEx>
        <w:trPr>
          <w:trHeight w:val="307" w:hRule="atLeast"/>
          <w:jc w:val="center"/>
        </w:trPr>
        <w:tc>
          <w:tcPr>
            <w:tcW w:w="1198" w:type="dxa"/>
            <w:vMerge w:val="continue"/>
            <w:tcBorders>
              <w:top w:val="single" w:color="000000" w:sz="8" w:space="0"/>
              <w:left w:val="single" w:color="000000" w:sz="8" w:space="0"/>
              <w:bottom w:val="single" w:color="000000" w:sz="8" w:space="0"/>
              <w:right w:val="single" w:color="000000" w:sz="8" w:space="0"/>
            </w:tcBorders>
            <w:vAlign w:val="center"/>
          </w:tcPr>
          <w:p w14:paraId="4E897726">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518" w:type="dxa"/>
            <w:vMerge w:val="continue"/>
            <w:tcBorders>
              <w:top w:val="single" w:color="000000" w:sz="8" w:space="0"/>
              <w:left w:val="nil"/>
              <w:bottom w:val="single" w:color="000000" w:sz="8" w:space="0"/>
              <w:right w:val="single" w:color="000000" w:sz="8" w:space="0"/>
            </w:tcBorders>
            <w:vAlign w:val="center"/>
          </w:tcPr>
          <w:p w14:paraId="2EBF33AA">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544" w:type="dxa"/>
            <w:tcBorders>
              <w:top w:val="nil"/>
              <w:left w:val="nil"/>
              <w:bottom w:val="single" w:color="000000" w:sz="8" w:space="0"/>
              <w:right w:val="single" w:color="000000" w:sz="8" w:space="0"/>
            </w:tcBorders>
            <w:vAlign w:val="center"/>
          </w:tcPr>
          <w:p w14:paraId="0367FBCE">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明确管理制度发布流程</w:t>
            </w:r>
          </w:p>
        </w:tc>
      </w:tr>
      <w:tr w14:paraId="11CE8799">
        <w:tblPrEx>
          <w:tblCellMar>
            <w:top w:w="0" w:type="dxa"/>
            <w:left w:w="108" w:type="dxa"/>
            <w:bottom w:w="0" w:type="dxa"/>
            <w:right w:w="108" w:type="dxa"/>
          </w:tblCellMar>
        </w:tblPrEx>
        <w:trPr>
          <w:trHeight w:val="307" w:hRule="atLeast"/>
          <w:jc w:val="center"/>
        </w:trPr>
        <w:tc>
          <w:tcPr>
            <w:tcW w:w="1198" w:type="dxa"/>
            <w:vMerge w:val="continue"/>
            <w:tcBorders>
              <w:top w:val="single" w:color="000000" w:sz="8" w:space="0"/>
              <w:left w:val="single" w:color="000000" w:sz="8" w:space="0"/>
              <w:bottom w:val="single" w:color="000000" w:sz="8" w:space="0"/>
              <w:right w:val="single" w:color="000000" w:sz="8" w:space="0"/>
            </w:tcBorders>
            <w:vAlign w:val="center"/>
          </w:tcPr>
          <w:p w14:paraId="5FD02159">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518" w:type="dxa"/>
            <w:vMerge w:val="continue"/>
            <w:tcBorders>
              <w:top w:val="single" w:color="000000" w:sz="8" w:space="0"/>
              <w:left w:val="nil"/>
              <w:bottom w:val="single" w:color="000000" w:sz="8" w:space="0"/>
              <w:right w:val="single" w:color="000000" w:sz="8" w:space="0"/>
            </w:tcBorders>
            <w:vAlign w:val="center"/>
          </w:tcPr>
          <w:p w14:paraId="7E593380">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544" w:type="dxa"/>
            <w:tcBorders>
              <w:top w:val="nil"/>
              <w:left w:val="nil"/>
              <w:bottom w:val="single" w:color="000000" w:sz="8" w:space="0"/>
              <w:right w:val="single" w:color="000000" w:sz="8" w:space="0"/>
            </w:tcBorders>
            <w:vAlign w:val="center"/>
          </w:tcPr>
          <w:p w14:paraId="2EA9A84B">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制度执行过程记录留存</w:t>
            </w:r>
          </w:p>
        </w:tc>
      </w:tr>
      <w:tr w14:paraId="17AD768F">
        <w:tblPrEx>
          <w:tblCellMar>
            <w:top w:w="0" w:type="dxa"/>
            <w:left w:w="108" w:type="dxa"/>
            <w:bottom w:w="0" w:type="dxa"/>
            <w:right w:w="108" w:type="dxa"/>
          </w:tblCellMar>
        </w:tblPrEx>
        <w:trPr>
          <w:trHeight w:val="307" w:hRule="atLeast"/>
          <w:jc w:val="center"/>
        </w:trPr>
        <w:tc>
          <w:tcPr>
            <w:tcW w:w="1198" w:type="dxa"/>
            <w:vMerge w:val="continue"/>
            <w:tcBorders>
              <w:top w:val="single" w:color="000000" w:sz="8" w:space="0"/>
              <w:left w:val="single" w:color="000000" w:sz="8" w:space="0"/>
              <w:bottom w:val="single" w:color="000000" w:sz="8" w:space="0"/>
              <w:right w:val="single" w:color="000000" w:sz="8" w:space="0"/>
            </w:tcBorders>
            <w:vAlign w:val="center"/>
          </w:tcPr>
          <w:p w14:paraId="0E1BFBAA">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518" w:type="dxa"/>
            <w:vMerge w:val="restart"/>
            <w:tcBorders>
              <w:top w:val="single" w:color="000000" w:sz="8" w:space="0"/>
              <w:left w:val="nil"/>
              <w:bottom w:val="single" w:color="000000" w:sz="8" w:space="0"/>
              <w:right w:val="single" w:color="000000" w:sz="8" w:space="0"/>
            </w:tcBorders>
            <w:vAlign w:val="center"/>
          </w:tcPr>
          <w:p w14:paraId="3AFD5A85">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人员管理</w:t>
            </w:r>
          </w:p>
        </w:tc>
        <w:tc>
          <w:tcPr>
            <w:tcW w:w="6544" w:type="dxa"/>
            <w:tcBorders>
              <w:top w:val="nil"/>
              <w:left w:val="nil"/>
              <w:bottom w:val="single" w:color="000000" w:sz="8" w:space="0"/>
              <w:right w:val="single" w:color="000000" w:sz="8" w:space="0"/>
            </w:tcBorders>
            <w:vAlign w:val="center"/>
          </w:tcPr>
          <w:p w14:paraId="6D19F91A">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了解并遵守密码相关法律法规和密码管理制度</w:t>
            </w:r>
          </w:p>
        </w:tc>
      </w:tr>
      <w:tr w14:paraId="766902EC">
        <w:tblPrEx>
          <w:tblCellMar>
            <w:top w:w="0" w:type="dxa"/>
            <w:left w:w="108" w:type="dxa"/>
            <w:bottom w:w="0" w:type="dxa"/>
            <w:right w:w="108" w:type="dxa"/>
          </w:tblCellMar>
        </w:tblPrEx>
        <w:trPr>
          <w:trHeight w:val="307" w:hRule="atLeast"/>
          <w:jc w:val="center"/>
        </w:trPr>
        <w:tc>
          <w:tcPr>
            <w:tcW w:w="1198" w:type="dxa"/>
            <w:vMerge w:val="continue"/>
            <w:tcBorders>
              <w:top w:val="single" w:color="000000" w:sz="8" w:space="0"/>
              <w:left w:val="single" w:color="000000" w:sz="8" w:space="0"/>
              <w:bottom w:val="single" w:color="000000" w:sz="8" w:space="0"/>
              <w:right w:val="single" w:color="000000" w:sz="8" w:space="0"/>
            </w:tcBorders>
            <w:vAlign w:val="center"/>
          </w:tcPr>
          <w:p w14:paraId="5CAEAF08">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518" w:type="dxa"/>
            <w:vMerge w:val="continue"/>
            <w:tcBorders>
              <w:top w:val="single" w:color="000000" w:sz="8" w:space="0"/>
              <w:left w:val="nil"/>
              <w:bottom w:val="single" w:color="000000" w:sz="8" w:space="0"/>
              <w:right w:val="single" w:color="000000" w:sz="8" w:space="0"/>
            </w:tcBorders>
            <w:vAlign w:val="center"/>
          </w:tcPr>
          <w:p w14:paraId="2EFD5EF0">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544" w:type="dxa"/>
            <w:tcBorders>
              <w:top w:val="nil"/>
              <w:left w:val="nil"/>
              <w:bottom w:val="single" w:color="000000" w:sz="8" w:space="0"/>
              <w:right w:val="single" w:color="000000" w:sz="8" w:space="0"/>
            </w:tcBorders>
            <w:vAlign w:val="center"/>
          </w:tcPr>
          <w:p w14:paraId="12867F83">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建立密码应用岗位责任制度</w:t>
            </w:r>
          </w:p>
        </w:tc>
      </w:tr>
      <w:tr w14:paraId="5E0205D6">
        <w:tblPrEx>
          <w:tblCellMar>
            <w:top w:w="0" w:type="dxa"/>
            <w:left w:w="108" w:type="dxa"/>
            <w:bottom w:w="0" w:type="dxa"/>
            <w:right w:w="108" w:type="dxa"/>
          </w:tblCellMar>
        </w:tblPrEx>
        <w:trPr>
          <w:trHeight w:val="307" w:hRule="atLeast"/>
          <w:jc w:val="center"/>
        </w:trPr>
        <w:tc>
          <w:tcPr>
            <w:tcW w:w="1198" w:type="dxa"/>
            <w:vMerge w:val="continue"/>
            <w:tcBorders>
              <w:top w:val="single" w:color="000000" w:sz="8" w:space="0"/>
              <w:left w:val="single" w:color="000000" w:sz="8" w:space="0"/>
              <w:bottom w:val="single" w:color="000000" w:sz="8" w:space="0"/>
              <w:right w:val="single" w:color="000000" w:sz="8" w:space="0"/>
            </w:tcBorders>
            <w:vAlign w:val="center"/>
          </w:tcPr>
          <w:p w14:paraId="6D9111BB">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518" w:type="dxa"/>
            <w:vMerge w:val="continue"/>
            <w:tcBorders>
              <w:top w:val="single" w:color="000000" w:sz="8" w:space="0"/>
              <w:left w:val="nil"/>
              <w:bottom w:val="single" w:color="000000" w:sz="8" w:space="0"/>
              <w:right w:val="single" w:color="000000" w:sz="8" w:space="0"/>
            </w:tcBorders>
            <w:vAlign w:val="center"/>
          </w:tcPr>
          <w:p w14:paraId="3227E23F">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544" w:type="dxa"/>
            <w:tcBorders>
              <w:top w:val="nil"/>
              <w:left w:val="nil"/>
              <w:bottom w:val="single" w:color="000000" w:sz="8" w:space="0"/>
              <w:right w:val="single" w:color="000000" w:sz="8" w:space="0"/>
            </w:tcBorders>
            <w:vAlign w:val="center"/>
          </w:tcPr>
          <w:p w14:paraId="5EA7972A">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建立上岗人员培训制度</w:t>
            </w:r>
          </w:p>
        </w:tc>
      </w:tr>
      <w:tr w14:paraId="5B5C12B6">
        <w:tblPrEx>
          <w:tblCellMar>
            <w:top w:w="0" w:type="dxa"/>
            <w:left w:w="108" w:type="dxa"/>
            <w:bottom w:w="0" w:type="dxa"/>
            <w:right w:w="108" w:type="dxa"/>
          </w:tblCellMar>
        </w:tblPrEx>
        <w:trPr>
          <w:trHeight w:val="307" w:hRule="atLeast"/>
          <w:jc w:val="center"/>
        </w:trPr>
        <w:tc>
          <w:tcPr>
            <w:tcW w:w="1198" w:type="dxa"/>
            <w:vMerge w:val="continue"/>
            <w:tcBorders>
              <w:top w:val="single" w:color="000000" w:sz="8" w:space="0"/>
              <w:left w:val="single" w:color="000000" w:sz="8" w:space="0"/>
              <w:bottom w:val="single" w:color="000000" w:sz="8" w:space="0"/>
              <w:right w:val="single" w:color="000000" w:sz="8" w:space="0"/>
            </w:tcBorders>
            <w:vAlign w:val="center"/>
          </w:tcPr>
          <w:p w14:paraId="733E198D">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518" w:type="dxa"/>
            <w:vMerge w:val="continue"/>
            <w:tcBorders>
              <w:top w:val="single" w:color="000000" w:sz="8" w:space="0"/>
              <w:left w:val="nil"/>
              <w:bottom w:val="single" w:color="000000" w:sz="8" w:space="0"/>
              <w:right w:val="single" w:color="000000" w:sz="8" w:space="0"/>
            </w:tcBorders>
            <w:vAlign w:val="center"/>
          </w:tcPr>
          <w:p w14:paraId="31F1630E">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544" w:type="dxa"/>
            <w:tcBorders>
              <w:top w:val="nil"/>
              <w:left w:val="nil"/>
              <w:bottom w:val="single" w:color="000000" w:sz="8" w:space="0"/>
              <w:right w:val="single" w:color="000000" w:sz="8" w:space="0"/>
            </w:tcBorders>
            <w:vAlign w:val="center"/>
          </w:tcPr>
          <w:p w14:paraId="177C08B4">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定期进行安全岗位人员考核</w:t>
            </w:r>
          </w:p>
        </w:tc>
      </w:tr>
      <w:tr w14:paraId="360F9272">
        <w:tblPrEx>
          <w:tblCellMar>
            <w:top w:w="0" w:type="dxa"/>
            <w:left w:w="108" w:type="dxa"/>
            <w:bottom w:w="0" w:type="dxa"/>
            <w:right w:w="108" w:type="dxa"/>
          </w:tblCellMar>
        </w:tblPrEx>
        <w:trPr>
          <w:trHeight w:val="307" w:hRule="atLeast"/>
          <w:jc w:val="center"/>
        </w:trPr>
        <w:tc>
          <w:tcPr>
            <w:tcW w:w="1198" w:type="dxa"/>
            <w:vMerge w:val="continue"/>
            <w:tcBorders>
              <w:top w:val="single" w:color="000000" w:sz="8" w:space="0"/>
              <w:left w:val="single" w:color="000000" w:sz="8" w:space="0"/>
              <w:bottom w:val="single" w:color="000000" w:sz="8" w:space="0"/>
              <w:right w:val="single" w:color="000000" w:sz="8" w:space="0"/>
            </w:tcBorders>
            <w:vAlign w:val="center"/>
          </w:tcPr>
          <w:p w14:paraId="5FF1F365">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518" w:type="dxa"/>
            <w:vMerge w:val="continue"/>
            <w:tcBorders>
              <w:top w:val="single" w:color="000000" w:sz="8" w:space="0"/>
              <w:left w:val="nil"/>
              <w:bottom w:val="single" w:color="000000" w:sz="8" w:space="0"/>
              <w:right w:val="single" w:color="000000" w:sz="8" w:space="0"/>
            </w:tcBorders>
            <w:vAlign w:val="center"/>
          </w:tcPr>
          <w:p w14:paraId="6A425AEA">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544" w:type="dxa"/>
            <w:tcBorders>
              <w:top w:val="nil"/>
              <w:left w:val="nil"/>
              <w:bottom w:val="single" w:color="000000" w:sz="8" w:space="0"/>
              <w:right w:val="single" w:color="000000" w:sz="8" w:space="0"/>
            </w:tcBorders>
            <w:vAlign w:val="center"/>
          </w:tcPr>
          <w:p w14:paraId="2EB3F907">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建立关键岗位人员保密制度和调离制度</w:t>
            </w:r>
          </w:p>
        </w:tc>
      </w:tr>
      <w:tr w14:paraId="69CEDE44">
        <w:tblPrEx>
          <w:tblCellMar>
            <w:top w:w="0" w:type="dxa"/>
            <w:left w:w="108" w:type="dxa"/>
            <w:bottom w:w="0" w:type="dxa"/>
            <w:right w:w="108" w:type="dxa"/>
          </w:tblCellMar>
        </w:tblPrEx>
        <w:trPr>
          <w:trHeight w:val="307" w:hRule="atLeast"/>
          <w:jc w:val="center"/>
        </w:trPr>
        <w:tc>
          <w:tcPr>
            <w:tcW w:w="1198" w:type="dxa"/>
            <w:vMerge w:val="continue"/>
            <w:tcBorders>
              <w:top w:val="single" w:color="000000" w:sz="8" w:space="0"/>
              <w:left w:val="single" w:color="000000" w:sz="8" w:space="0"/>
              <w:bottom w:val="single" w:color="000000" w:sz="8" w:space="0"/>
              <w:right w:val="single" w:color="000000" w:sz="8" w:space="0"/>
            </w:tcBorders>
            <w:vAlign w:val="center"/>
          </w:tcPr>
          <w:p w14:paraId="7ADE7ECF">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518" w:type="dxa"/>
            <w:vMerge w:val="restart"/>
            <w:tcBorders>
              <w:top w:val="nil"/>
              <w:left w:val="nil"/>
              <w:bottom w:val="nil"/>
              <w:right w:val="single" w:color="000000" w:sz="8" w:space="0"/>
            </w:tcBorders>
            <w:vAlign w:val="center"/>
          </w:tcPr>
          <w:p w14:paraId="13747B47">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建设运行</w:t>
            </w:r>
          </w:p>
        </w:tc>
        <w:tc>
          <w:tcPr>
            <w:tcW w:w="6544" w:type="dxa"/>
            <w:tcBorders>
              <w:top w:val="nil"/>
              <w:left w:val="single" w:color="000000" w:sz="8" w:space="0"/>
              <w:bottom w:val="single" w:color="000000" w:sz="8" w:space="0"/>
              <w:right w:val="single" w:color="000000" w:sz="8" w:space="0"/>
            </w:tcBorders>
            <w:vAlign w:val="center"/>
          </w:tcPr>
          <w:p w14:paraId="49576B55">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制定密码应用方案</w:t>
            </w:r>
          </w:p>
        </w:tc>
      </w:tr>
      <w:tr w14:paraId="07076C91">
        <w:tblPrEx>
          <w:tblCellMar>
            <w:top w:w="0" w:type="dxa"/>
            <w:left w:w="108" w:type="dxa"/>
            <w:bottom w:w="0" w:type="dxa"/>
            <w:right w:w="108" w:type="dxa"/>
          </w:tblCellMar>
        </w:tblPrEx>
        <w:trPr>
          <w:trHeight w:val="307" w:hRule="atLeast"/>
          <w:jc w:val="center"/>
        </w:trPr>
        <w:tc>
          <w:tcPr>
            <w:tcW w:w="1198" w:type="dxa"/>
            <w:vMerge w:val="continue"/>
            <w:tcBorders>
              <w:top w:val="single" w:color="000000" w:sz="8" w:space="0"/>
              <w:left w:val="single" w:color="000000" w:sz="8" w:space="0"/>
              <w:bottom w:val="single" w:color="000000" w:sz="8" w:space="0"/>
              <w:right w:val="single" w:color="000000" w:sz="8" w:space="0"/>
            </w:tcBorders>
            <w:vAlign w:val="center"/>
          </w:tcPr>
          <w:p w14:paraId="67CA15EE">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518" w:type="dxa"/>
            <w:vMerge w:val="continue"/>
            <w:tcBorders>
              <w:top w:val="nil"/>
              <w:left w:val="nil"/>
              <w:bottom w:val="nil"/>
              <w:right w:val="single" w:color="000000" w:sz="8" w:space="0"/>
            </w:tcBorders>
            <w:vAlign w:val="center"/>
          </w:tcPr>
          <w:p w14:paraId="615C1FAB">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544" w:type="dxa"/>
            <w:tcBorders>
              <w:top w:val="nil"/>
              <w:left w:val="single" w:color="000000" w:sz="8" w:space="0"/>
              <w:bottom w:val="single" w:color="000000" w:sz="8" w:space="0"/>
              <w:right w:val="single" w:color="000000" w:sz="8" w:space="0"/>
            </w:tcBorders>
            <w:vAlign w:val="center"/>
          </w:tcPr>
          <w:p w14:paraId="36FEB87A">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制定密钥安全管理策略</w:t>
            </w:r>
          </w:p>
        </w:tc>
      </w:tr>
      <w:tr w14:paraId="7AA7A37E">
        <w:tblPrEx>
          <w:tblCellMar>
            <w:top w:w="0" w:type="dxa"/>
            <w:left w:w="108" w:type="dxa"/>
            <w:bottom w:w="0" w:type="dxa"/>
            <w:right w:w="108" w:type="dxa"/>
          </w:tblCellMar>
        </w:tblPrEx>
        <w:trPr>
          <w:trHeight w:val="307" w:hRule="atLeast"/>
          <w:jc w:val="center"/>
        </w:trPr>
        <w:tc>
          <w:tcPr>
            <w:tcW w:w="1198" w:type="dxa"/>
            <w:vMerge w:val="continue"/>
            <w:tcBorders>
              <w:top w:val="single" w:color="000000" w:sz="8" w:space="0"/>
              <w:left w:val="single" w:color="000000" w:sz="8" w:space="0"/>
              <w:bottom w:val="single" w:color="000000" w:sz="8" w:space="0"/>
              <w:right w:val="single" w:color="000000" w:sz="8" w:space="0"/>
            </w:tcBorders>
            <w:vAlign w:val="center"/>
          </w:tcPr>
          <w:p w14:paraId="6E7735FE">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518" w:type="dxa"/>
            <w:vMerge w:val="continue"/>
            <w:tcBorders>
              <w:top w:val="nil"/>
              <w:left w:val="nil"/>
              <w:bottom w:val="nil"/>
              <w:right w:val="single" w:color="000000" w:sz="8" w:space="0"/>
            </w:tcBorders>
            <w:vAlign w:val="center"/>
          </w:tcPr>
          <w:p w14:paraId="22C676D6">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544" w:type="dxa"/>
            <w:tcBorders>
              <w:top w:val="nil"/>
              <w:left w:val="single" w:color="000000" w:sz="8" w:space="0"/>
              <w:bottom w:val="single" w:color="000000" w:sz="8" w:space="0"/>
              <w:right w:val="single" w:color="000000" w:sz="8" w:space="0"/>
            </w:tcBorders>
            <w:vAlign w:val="center"/>
          </w:tcPr>
          <w:p w14:paraId="7DB7EDA6">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制定实施方案</w:t>
            </w:r>
          </w:p>
        </w:tc>
      </w:tr>
      <w:tr w14:paraId="6293FC10">
        <w:tblPrEx>
          <w:tblCellMar>
            <w:top w:w="0" w:type="dxa"/>
            <w:left w:w="108" w:type="dxa"/>
            <w:bottom w:w="0" w:type="dxa"/>
            <w:right w:w="108" w:type="dxa"/>
          </w:tblCellMar>
        </w:tblPrEx>
        <w:trPr>
          <w:trHeight w:val="307" w:hRule="atLeast"/>
          <w:jc w:val="center"/>
        </w:trPr>
        <w:tc>
          <w:tcPr>
            <w:tcW w:w="1198" w:type="dxa"/>
            <w:vMerge w:val="continue"/>
            <w:tcBorders>
              <w:top w:val="single" w:color="000000" w:sz="8" w:space="0"/>
              <w:left w:val="single" w:color="000000" w:sz="8" w:space="0"/>
              <w:bottom w:val="single" w:color="000000" w:sz="8" w:space="0"/>
              <w:right w:val="single" w:color="000000" w:sz="8" w:space="0"/>
            </w:tcBorders>
            <w:vAlign w:val="center"/>
          </w:tcPr>
          <w:p w14:paraId="60AF72B8">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518" w:type="dxa"/>
            <w:vMerge w:val="continue"/>
            <w:tcBorders>
              <w:top w:val="nil"/>
              <w:left w:val="nil"/>
              <w:bottom w:val="nil"/>
              <w:right w:val="single" w:color="000000" w:sz="8" w:space="0"/>
            </w:tcBorders>
            <w:vAlign w:val="center"/>
          </w:tcPr>
          <w:p w14:paraId="2A845071">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544" w:type="dxa"/>
            <w:tcBorders>
              <w:top w:val="nil"/>
              <w:left w:val="single" w:color="000000" w:sz="8" w:space="0"/>
              <w:bottom w:val="single" w:color="000000" w:sz="8" w:space="0"/>
              <w:right w:val="single" w:color="000000" w:sz="8" w:space="0"/>
            </w:tcBorders>
            <w:vAlign w:val="center"/>
          </w:tcPr>
          <w:p w14:paraId="73F74A79">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投入运行前进行密码应用安全性评估</w:t>
            </w:r>
          </w:p>
        </w:tc>
      </w:tr>
      <w:tr w14:paraId="295B4507">
        <w:tblPrEx>
          <w:tblCellMar>
            <w:top w:w="0" w:type="dxa"/>
            <w:left w:w="108" w:type="dxa"/>
            <w:bottom w:w="0" w:type="dxa"/>
            <w:right w:w="108" w:type="dxa"/>
          </w:tblCellMar>
        </w:tblPrEx>
        <w:trPr>
          <w:trHeight w:val="307" w:hRule="atLeast"/>
          <w:jc w:val="center"/>
        </w:trPr>
        <w:tc>
          <w:tcPr>
            <w:tcW w:w="1198" w:type="dxa"/>
            <w:vMerge w:val="continue"/>
            <w:tcBorders>
              <w:top w:val="single" w:color="000000" w:sz="8" w:space="0"/>
              <w:left w:val="single" w:color="000000" w:sz="8" w:space="0"/>
              <w:bottom w:val="single" w:color="000000" w:sz="8" w:space="0"/>
              <w:right w:val="single" w:color="000000" w:sz="8" w:space="0"/>
            </w:tcBorders>
            <w:vAlign w:val="center"/>
          </w:tcPr>
          <w:p w14:paraId="43B759D3">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518" w:type="dxa"/>
            <w:vMerge w:val="continue"/>
            <w:tcBorders>
              <w:top w:val="nil"/>
              <w:left w:val="nil"/>
              <w:bottom w:val="nil"/>
              <w:right w:val="single" w:color="000000" w:sz="8" w:space="0"/>
            </w:tcBorders>
            <w:vAlign w:val="center"/>
          </w:tcPr>
          <w:p w14:paraId="61FAE692">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544" w:type="dxa"/>
            <w:tcBorders>
              <w:top w:val="nil"/>
              <w:left w:val="single" w:color="000000" w:sz="8" w:space="0"/>
              <w:bottom w:val="single" w:color="000000" w:sz="8" w:space="0"/>
              <w:right w:val="single" w:color="000000" w:sz="8" w:space="0"/>
            </w:tcBorders>
            <w:vAlign w:val="center"/>
          </w:tcPr>
          <w:p w14:paraId="47A2DB3C">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定期开展密码应用安全性评估及攻防对抗演习</w:t>
            </w:r>
          </w:p>
        </w:tc>
      </w:tr>
      <w:tr w14:paraId="558D5165">
        <w:tblPrEx>
          <w:tblCellMar>
            <w:top w:w="0" w:type="dxa"/>
            <w:left w:w="108" w:type="dxa"/>
            <w:bottom w:w="0" w:type="dxa"/>
            <w:right w:w="108" w:type="dxa"/>
          </w:tblCellMar>
        </w:tblPrEx>
        <w:trPr>
          <w:trHeight w:val="307" w:hRule="atLeast"/>
          <w:jc w:val="center"/>
        </w:trPr>
        <w:tc>
          <w:tcPr>
            <w:tcW w:w="1198" w:type="dxa"/>
            <w:vMerge w:val="continue"/>
            <w:tcBorders>
              <w:top w:val="single" w:color="000000" w:sz="8" w:space="0"/>
              <w:left w:val="single" w:color="000000" w:sz="8" w:space="0"/>
              <w:bottom w:val="single" w:color="000000" w:sz="8" w:space="0"/>
              <w:right w:val="single" w:color="000000" w:sz="8" w:space="0"/>
            </w:tcBorders>
            <w:vAlign w:val="center"/>
          </w:tcPr>
          <w:p w14:paraId="2CFE678D">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518" w:type="dxa"/>
            <w:vMerge w:val="restart"/>
            <w:tcBorders>
              <w:top w:val="single" w:color="000000" w:sz="8" w:space="0"/>
              <w:left w:val="nil"/>
              <w:bottom w:val="single" w:color="000000" w:sz="8" w:space="0"/>
              <w:right w:val="single" w:color="000000" w:sz="8" w:space="0"/>
            </w:tcBorders>
            <w:vAlign w:val="center"/>
          </w:tcPr>
          <w:p w14:paraId="5EC8E8C7">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应急处置</w:t>
            </w:r>
          </w:p>
        </w:tc>
        <w:tc>
          <w:tcPr>
            <w:tcW w:w="6544" w:type="dxa"/>
            <w:tcBorders>
              <w:top w:val="nil"/>
              <w:left w:val="nil"/>
              <w:bottom w:val="single" w:color="000000" w:sz="8" w:space="0"/>
              <w:right w:val="single" w:color="000000" w:sz="8" w:space="0"/>
            </w:tcBorders>
            <w:vAlign w:val="center"/>
          </w:tcPr>
          <w:p w14:paraId="31E2EADA">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应急预案（制定完善与执行）</w:t>
            </w:r>
          </w:p>
        </w:tc>
      </w:tr>
      <w:tr w14:paraId="0A99020D">
        <w:tblPrEx>
          <w:tblCellMar>
            <w:top w:w="0" w:type="dxa"/>
            <w:left w:w="108" w:type="dxa"/>
            <w:bottom w:w="0" w:type="dxa"/>
            <w:right w:w="108" w:type="dxa"/>
          </w:tblCellMar>
        </w:tblPrEx>
        <w:trPr>
          <w:trHeight w:val="307" w:hRule="atLeast"/>
          <w:jc w:val="center"/>
        </w:trPr>
        <w:tc>
          <w:tcPr>
            <w:tcW w:w="1198" w:type="dxa"/>
            <w:vMerge w:val="continue"/>
            <w:tcBorders>
              <w:top w:val="single" w:color="000000" w:sz="8" w:space="0"/>
              <w:left w:val="single" w:color="000000" w:sz="8" w:space="0"/>
              <w:bottom w:val="single" w:color="000000" w:sz="8" w:space="0"/>
              <w:right w:val="single" w:color="000000" w:sz="8" w:space="0"/>
            </w:tcBorders>
            <w:vAlign w:val="center"/>
          </w:tcPr>
          <w:p w14:paraId="60330418">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518" w:type="dxa"/>
            <w:vMerge w:val="continue"/>
            <w:tcBorders>
              <w:top w:val="single" w:color="000000" w:sz="8" w:space="0"/>
              <w:left w:val="nil"/>
              <w:bottom w:val="single" w:color="000000" w:sz="8" w:space="0"/>
              <w:right w:val="single" w:color="000000" w:sz="8" w:space="0"/>
            </w:tcBorders>
            <w:vAlign w:val="center"/>
          </w:tcPr>
          <w:p w14:paraId="6CEA289E">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544" w:type="dxa"/>
            <w:tcBorders>
              <w:top w:val="nil"/>
              <w:left w:val="nil"/>
              <w:bottom w:val="single" w:color="000000" w:sz="8" w:space="0"/>
              <w:right w:val="single" w:color="000000" w:sz="8" w:space="0"/>
            </w:tcBorders>
            <w:vAlign w:val="center"/>
          </w:tcPr>
          <w:p w14:paraId="67A2AFCF">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事件处置</w:t>
            </w:r>
          </w:p>
        </w:tc>
      </w:tr>
      <w:tr w14:paraId="343821F8">
        <w:tblPrEx>
          <w:tblCellMar>
            <w:top w:w="0" w:type="dxa"/>
            <w:left w:w="108" w:type="dxa"/>
            <w:bottom w:w="0" w:type="dxa"/>
            <w:right w:w="108" w:type="dxa"/>
          </w:tblCellMar>
        </w:tblPrEx>
        <w:trPr>
          <w:trHeight w:val="320" w:hRule="atLeast"/>
          <w:jc w:val="center"/>
        </w:trPr>
        <w:tc>
          <w:tcPr>
            <w:tcW w:w="1198" w:type="dxa"/>
            <w:vMerge w:val="continue"/>
            <w:tcBorders>
              <w:top w:val="single" w:color="000000" w:sz="8" w:space="0"/>
              <w:left w:val="single" w:color="000000" w:sz="8" w:space="0"/>
              <w:bottom w:val="single" w:color="000000" w:sz="8" w:space="0"/>
              <w:right w:val="single" w:color="000000" w:sz="8" w:space="0"/>
            </w:tcBorders>
            <w:vAlign w:val="center"/>
          </w:tcPr>
          <w:p w14:paraId="2B6F102C">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518" w:type="dxa"/>
            <w:vMerge w:val="continue"/>
            <w:tcBorders>
              <w:top w:val="single" w:color="000000" w:sz="8" w:space="0"/>
              <w:left w:val="nil"/>
              <w:bottom w:val="single" w:color="000000" w:sz="8" w:space="0"/>
              <w:right w:val="single" w:color="000000" w:sz="8" w:space="0"/>
            </w:tcBorders>
            <w:vAlign w:val="center"/>
          </w:tcPr>
          <w:p w14:paraId="783E3A4C">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544" w:type="dxa"/>
            <w:tcBorders>
              <w:top w:val="nil"/>
              <w:left w:val="nil"/>
              <w:bottom w:val="single" w:color="000000" w:sz="8" w:space="0"/>
              <w:right w:val="single" w:color="000000" w:sz="8" w:space="0"/>
            </w:tcBorders>
            <w:vAlign w:val="center"/>
          </w:tcPr>
          <w:p w14:paraId="5B7B5A48">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向有关主管部门上报处置情况</w:t>
            </w:r>
          </w:p>
        </w:tc>
      </w:tr>
    </w:tbl>
    <w:p w14:paraId="14C8564B">
      <w:pPr>
        <w:spacing w:line="360" w:lineRule="auto"/>
        <w:ind w:left="0" w:leftChars="0" w:firstLine="42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二、服务要求</w:t>
      </w:r>
    </w:p>
    <w:p w14:paraId="4C2A11F1">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1.合同签署后，乙方须根据甲方的项目要求，尽快成立项目组，配齐配强相关人员，研究制定项目组织实施方案。</w:t>
      </w:r>
    </w:p>
    <w:p w14:paraId="5857A40B">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2.项目实施过程中，乙方应接受甲方的监督检查，遇有特殊情况要及时反馈，确保项目按时保质完成。</w:t>
      </w:r>
    </w:p>
    <w:p w14:paraId="262A99D9">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cs="宋体"/>
          <w:color w:val="auto"/>
          <w:highlight w:val="none"/>
          <w:lang w:val="en-US" w:eastAsia="zh-CN"/>
        </w:rPr>
        <w:t>乙方</w:t>
      </w:r>
      <w:r>
        <w:rPr>
          <w:rFonts w:hint="eastAsia" w:ascii="宋体" w:hAnsi="宋体" w:eastAsia="宋体" w:cs="宋体"/>
          <w:color w:val="auto"/>
          <w:highlight w:val="none"/>
        </w:rPr>
        <w:t>应对照密码应用安全性评估要求，对评估报告中的整改项目，提出详细的、切实可行的改进措施和建议，并做好密改工作的技术指导和协调配合工作，确保达成评估对应的等级标准要求。</w:t>
      </w:r>
    </w:p>
    <w:p w14:paraId="2A820A6F">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4.服务地点：</w:t>
      </w:r>
      <w:r>
        <w:rPr>
          <w:rFonts w:hint="eastAsia" w:ascii="宋体" w:hAnsi="宋体" w:cs="宋体"/>
          <w:color w:val="auto"/>
          <w:highlight w:val="none"/>
          <w:lang w:val="en-US" w:eastAsia="zh-CN"/>
        </w:rPr>
        <w:t>甲方</w:t>
      </w:r>
      <w:r>
        <w:rPr>
          <w:rFonts w:hint="eastAsia" w:ascii="宋体" w:hAnsi="宋体" w:eastAsia="宋体" w:cs="宋体"/>
          <w:color w:val="auto"/>
          <w:highlight w:val="none"/>
        </w:rPr>
        <w:t>指定地点</w:t>
      </w:r>
    </w:p>
    <w:p w14:paraId="12593CE8">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5.服务方式：现场测评或采购人指定方式</w:t>
      </w:r>
    </w:p>
    <w:p w14:paraId="3D13F007">
      <w:pPr>
        <w:spacing w:line="360" w:lineRule="auto"/>
        <w:ind w:left="0" w:leftChars="0" w:firstLine="42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三、服务质量</w:t>
      </w:r>
    </w:p>
    <w:p w14:paraId="0EEE510B">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本次</w:t>
      </w:r>
      <w:r>
        <w:rPr>
          <w:rFonts w:hint="eastAsia" w:ascii="宋体" w:hAnsi="宋体" w:cs="宋体"/>
          <w:color w:val="auto"/>
          <w:highlight w:val="none"/>
          <w:lang w:val="en-US" w:eastAsia="zh-CN"/>
        </w:rPr>
        <w:t>评估服务</w:t>
      </w:r>
      <w:r>
        <w:rPr>
          <w:rFonts w:hint="eastAsia" w:ascii="宋体" w:hAnsi="宋体" w:eastAsia="宋体" w:cs="宋体"/>
          <w:color w:val="auto"/>
          <w:highlight w:val="none"/>
        </w:rPr>
        <w:t>，严格依据以下标准进行测评：</w:t>
      </w:r>
    </w:p>
    <w:p w14:paraId="25846972">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《中华人民共和国网络安全法》</w:t>
      </w:r>
    </w:p>
    <w:p w14:paraId="21AD2C8C">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cs="宋体"/>
          <w:color w:val="auto"/>
          <w:highlight w:val="none"/>
          <w:lang w:eastAsia="zh-CN"/>
        </w:rPr>
        <w:t>中华人民共和国密码法</w:t>
      </w:r>
      <w:r>
        <w:rPr>
          <w:rFonts w:hint="eastAsia" w:ascii="宋体" w:hAnsi="宋体" w:eastAsia="宋体" w:cs="宋体"/>
          <w:color w:val="auto"/>
          <w:highlight w:val="none"/>
        </w:rPr>
        <w:t>》</w:t>
      </w:r>
    </w:p>
    <w:p w14:paraId="12323B3A">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《商用密码管理条例》</w:t>
      </w:r>
    </w:p>
    <w:p w14:paraId="71391904">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《GB/T 39786-2021 信息安全技术 信息系统密码应用基本要求》</w:t>
      </w:r>
    </w:p>
    <w:p w14:paraId="7528E7C5">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《GB/T 43206-2023信息安全技术 信息系统密码应用测评要求》</w:t>
      </w:r>
    </w:p>
    <w:p w14:paraId="674FC1BE">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《GB/T 43207-2023信息安全技术 信息系统密码应用涉及指南》</w:t>
      </w:r>
    </w:p>
    <w:p w14:paraId="04C8B931">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《政务信息系统密码应用与安全性评估工作指南》</w:t>
      </w:r>
    </w:p>
    <w:p w14:paraId="70EE508E">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《信息系统密码应用高风险判定指引》</w:t>
      </w:r>
    </w:p>
    <w:p w14:paraId="2902AE6A">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《商用密码应用安全性评估量化评估规则》</w:t>
      </w:r>
    </w:p>
    <w:p w14:paraId="33475F6A">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《国家政务信息化项目建设管理办法》</w:t>
      </w:r>
    </w:p>
    <w:p w14:paraId="762A5197">
      <w:pPr>
        <w:spacing w:line="360" w:lineRule="auto"/>
        <w:ind w:left="0" w:leftChars="0" w:firstLine="42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四、甲方的权利和义务</w:t>
      </w:r>
    </w:p>
    <w:p w14:paraId="4585A9F9">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1.甲方有权要求乙方按照本合同约定、</w:t>
      </w:r>
      <w:r>
        <w:rPr>
          <w:rFonts w:hint="eastAsia" w:ascii="宋体" w:hAnsi="宋体" w:eastAsia="宋体" w:cs="宋体"/>
          <w:color w:val="auto"/>
          <w:highlight w:val="none"/>
          <w:lang w:val="en-US" w:eastAsia="zh-CN"/>
        </w:rPr>
        <w:t>磋商</w:t>
      </w:r>
      <w:r>
        <w:rPr>
          <w:rFonts w:hint="eastAsia" w:ascii="宋体" w:hAnsi="宋体" w:eastAsia="宋体" w:cs="宋体"/>
          <w:color w:val="auto"/>
          <w:highlight w:val="none"/>
        </w:rPr>
        <w:t>文件、</w:t>
      </w:r>
      <w:r>
        <w:rPr>
          <w:rFonts w:hint="eastAsia" w:ascii="宋体" w:hAnsi="宋体" w:eastAsia="宋体" w:cs="宋体"/>
          <w:color w:val="auto"/>
          <w:highlight w:val="none"/>
          <w:lang w:val="en-US" w:eastAsia="zh-CN"/>
        </w:rPr>
        <w:t>响应</w:t>
      </w:r>
      <w:r>
        <w:rPr>
          <w:rFonts w:hint="eastAsia" w:ascii="宋体" w:hAnsi="宋体" w:eastAsia="宋体" w:cs="宋体"/>
          <w:color w:val="auto"/>
          <w:highlight w:val="none"/>
        </w:rPr>
        <w:t>文件要求提供各项服务。</w:t>
      </w:r>
    </w:p>
    <w:p w14:paraId="6A3C69D1">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2.甲方有权对乙方提供的各项服务情况进行监督和检查。如有不符合甲方及相关部门的特殊要求的情况，甲方有权要求乙方按特殊情况下的政策调整服务内容。</w:t>
      </w:r>
    </w:p>
    <w:p w14:paraId="30F7E667">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3.甲方应按照本合同约定向乙方支付本项目合同款。</w:t>
      </w:r>
    </w:p>
    <w:p w14:paraId="6F7B3DA6">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4.甲方有权要求乙方更换不符合要求的项目人员，乙方应于收到甲方通知后5日内予以更换</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上述被更换的人员无甲方批准，不得重新参加相关工作。</w:t>
      </w:r>
    </w:p>
    <w:p w14:paraId="2E7315AD">
      <w:pPr>
        <w:spacing w:line="360" w:lineRule="auto"/>
        <w:ind w:left="0" w:leftChars="0" w:firstLine="42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五、乙方的权利和义务</w:t>
      </w:r>
    </w:p>
    <w:p w14:paraId="3CA2F2CC">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1.乙方应按照本合同约定完成甲方委托的服务，确保委托服务完成情况符合本合同约定或甲方要求；如因乙方完成的委托事项质量不合格给甲方造成损失的，乙方应予赔偿。</w:t>
      </w:r>
    </w:p>
    <w:p w14:paraId="704B9C66">
      <w:pPr>
        <w:spacing w:line="360" w:lineRule="auto"/>
        <w:ind w:left="0" w:leftChars="0"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rPr>
        <w:t>2.如乙方提供的各项服务不符合要求，乙方应在甲方要求的期限内根据甲方的意见完成必要的修改及补充，并按时提交各项服务，由此产生的费用由乙方自行承担，服务期限不予顺延</w:t>
      </w:r>
      <w:r>
        <w:rPr>
          <w:rFonts w:hint="eastAsia" w:ascii="宋体" w:hAnsi="宋体" w:eastAsia="宋体" w:cs="宋体"/>
          <w:color w:val="auto"/>
          <w:highlight w:val="none"/>
          <w:lang w:eastAsia="zh-CN"/>
        </w:rPr>
        <w:t>。</w:t>
      </w:r>
    </w:p>
    <w:p w14:paraId="25372CC0">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3.乙方应保证为甲方提供服务的项目人员具备提供本合同项下委托服务所需的相应资质和能力，并保证乙方人员在为甲方提供服务的过程中，严格遵守甲方的各项规定、服从甲方安排</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项目团队成员详见附件1。</w:t>
      </w:r>
    </w:p>
    <w:p w14:paraId="2BA98E38">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4.乙方有将委托服务的事项进展情况向甲方报告的义务。</w:t>
      </w:r>
    </w:p>
    <w:p w14:paraId="26C083A6">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5.乙方不得将本合同进行转包；未经甲方事先书面同意，乙方不得擅自将本合同进行分包</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或者将本合同项下权利义务转让给其他任何第三方。</w:t>
      </w:r>
    </w:p>
    <w:p w14:paraId="2C19E706">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6.甲方的联系人：，具体工作职责：</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；乙方的联系人：</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，具体工作职责：</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w:t>
      </w:r>
    </w:p>
    <w:p w14:paraId="6175EEE9">
      <w:pPr>
        <w:spacing w:line="360" w:lineRule="auto"/>
        <w:ind w:left="0" w:leftChars="0" w:firstLine="42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六、服务期限</w:t>
      </w:r>
    </w:p>
    <w:p w14:paraId="5F71E05E">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乙方为甲方提供上述服务的期限为：自合同签订之日起</w:t>
      </w:r>
      <w:r>
        <w:rPr>
          <w:rFonts w:hint="eastAsia" w:ascii="宋体" w:hAnsi="宋体" w:eastAsia="宋体" w:cs="宋体"/>
          <w:color w:val="auto"/>
          <w:highlight w:val="none"/>
          <w:lang w:val="en-US" w:eastAsia="zh-CN"/>
        </w:rPr>
        <w:t>一年内</w:t>
      </w:r>
      <w:r>
        <w:rPr>
          <w:rFonts w:hint="eastAsia" w:ascii="宋体" w:hAnsi="宋体" w:eastAsia="宋体" w:cs="宋体"/>
          <w:color w:val="auto"/>
          <w:highlight w:val="none"/>
        </w:rPr>
        <w:t>完成。</w:t>
      </w:r>
    </w:p>
    <w:p w14:paraId="2C8E2D48">
      <w:pPr>
        <w:spacing w:line="360" w:lineRule="auto"/>
        <w:ind w:left="0" w:leftChars="0" w:firstLine="422" w:firstLineChars="200"/>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rPr>
        <w:t>七、</w:t>
      </w:r>
      <w:r>
        <w:rPr>
          <w:rFonts w:hint="eastAsia" w:ascii="宋体" w:hAnsi="宋体" w:cs="宋体"/>
          <w:b/>
          <w:bCs/>
          <w:color w:val="auto"/>
          <w:highlight w:val="none"/>
          <w:lang w:val="en-US" w:eastAsia="zh-CN"/>
        </w:rPr>
        <w:t>付款方式</w:t>
      </w:r>
    </w:p>
    <w:p w14:paraId="4D5E7367">
      <w:pPr>
        <w:spacing w:line="360" w:lineRule="auto"/>
        <w:ind w:left="0" w:leftChars="0" w:firstLine="420" w:firstLineChars="200"/>
        <w:rPr>
          <w:rFonts w:hint="eastAsia" w:ascii="宋体" w:hAnsi="宋体" w:eastAsia="宋体" w:cs="宋体"/>
          <w:color w:val="auto"/>
          <w:szCs w:val="21"/>
          <w:highlight w:val="yellow"/>
          <w:lang w:val="en-US" w:eastAsia="zh-CN"/>
        </w:rPr>
      </w:pPr>
      <w:r>
        <w:rPr>
          <w:rFonts w:hint="eastAsia" w:ascii="宋体" w:hAnsi="宋体" w:cs="宋体"/>
          <w:b w:val="0"/>
          <w:bCs w:val="0"/>
          <w:color w:val="auto"/>
          <w:szCs w:val="21"/>
          <w:highlight w:val="none"/>
          <w:lang w:val="en-US" w:eastAsia="zh-CN"/>
        </w:rPr>
        <w:t>1.</w:t>
      </w:r>
      <w:r>
        <w:rPr>
          <w:rFonts w:hint="eastAsia" w:ascii="宋体" w:hAnsi="宋体" w:cs="宋体"/>
          <w:b w:val="0"/>
          <w:bCs w:val="0"/>
          <w:color w:val="auto"/>
          <w:szCs w:val="21"/>
          <w:highlight w:val="none"/>
        </w:rPr>
        <w:t>合同签订后，甲方收到乙方支付申请及正规发票之日起15个工作日内，向乙方支付合同金额的</w:t>
      </w:r>
      <w:r>
        <w:rPr>
          <w:rFonts w:hint="eastAsia" w:ascii="宋体" w:hAnsi="宋体" w:cs="宋体"/>
          <w:b w:val="0"/>
          <w:bCs w:val="0"/>
          <w:color w:val="auto"/>
          <w:szCs w:val="21"/>
          <w:highlight w:val="none"/>
          <w:lang w:val="en-US" w:eastAsia="zh-CN"/>
        </w:rPr>
        <w:t>4</w:t>
      </w:r>
      <w:r>
        <w:rPr>
          <w:rFonts w:hint="eastAsia" w:ascii="宋体" w:hAnsi="宋体" w:cs="宋体"/>
          <w:b w:val="0"/>
          <w:bCs w:val="0"/>
          <w:color w:val="auto"/>
          <w:szCs w:val="21"/>
          <w:highlight w:val="none"/>
        </w:rPr>
        <w:t>0%，“商用密码应用安全性评估”成果交付物验收后，经甲方评价，乙方未出现任何违约情形和质量责任，甲方收到乙方支付申请及正规发票之日起15个工作日内，向乙方支付合同金额的</w:t>
      </w:r>
      <w:r>
        <w:rPr>
          <w:rFonts w:hint="eastAsia" w:ascii="宋体" w:hAnsi="宋体" w:cs="宋体"/>
          <w:b w:val="0"/>
          <w:bCs w:val="0"/>
          <w:color w:val="auto"/>
          <w:szCs w:val="21"/>
          <w:highlight w:val="none"/>
          <w:lang w:val="en-US" w:eastAsia="zh-CN"/>
        </w:rPr>
        <w:t>6</w:t>
      </w:r>
      <w:r>
        <w:rPr>
          <w:rFonts w:hint="eastAsia" w:ascii="宋体" w:hAnsi="宋体" w:cs="宋体"/>
          <w:b w:val="0"/>
          <w:bCs w:val="0"/>
          <w:color w:val="auto"/>
          <w:szCs w:val="21"/>
          <w:highlight w:val="none"/>
        </w:rPr>
        <w:t>0%。</w:t>
      </w:r>
    </w:p>
    <w:p w14:paraId="41633EB9">
      <w:pPr>
        <w:spacing w:line="360" w:lineRule="auto"/>
        <w:ind w:left="0" w:leftChars="0" w:firstLine="420" w:firstLineChars="200"/>
        <w:rPr>
          <w:rFonts w:hint="eastAsia" w:ascii="宋体" w:hAnsi="宋体" w:eastAsia="宋体" w:cs="宋体"/>
          <w:color w:val="auto"/>
          <w:highlight w:val="none"/>
        </w:rPr>
      </w:pP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lang w:val="en-US" w:eastAsia="zh-CN"/>
        </w:rPr>
        <w:t>采购人付款前，供应商应提供符合国家相关税务规定的等额发票，否则采购人有权延迟付款且不承担违约责任。供应商对发票的合规性负责，如因供应商所开具的发票不合规给采购人造成的任何损失，全部由供应商承担。</w:t>
      </w:r>
    </w:p>
    <w:p w14:paraId="72BB4885">
      <w:pPr>
        <w:spacing w:line="360" w:lineRule="auto"/>
        <w:ind w:left="0" w:leftChars="0" w:firstLine="420" w:firstLineChars="200"/>
        <w:rPr>
          <w:rFonts w:hint="eastAsia" w:ascii="宋体" w:hAnsi="宋体" w:eastAsia="宋体" w:cs="宋体"/>
          <w:color w:val="auto"/>
          <w:highlight w:val="none"/>
        </w:rPr>
      </w:pPr>
      <w:r>
        <w:rPr>
          <w:rFonts w:hint="eastAsia" w:ascii="宋体" w:hAnsi="宋体" w:cs="宋体"/>
          <w:color w:val="auto"/>
          <w:highlight w:val="none"/>
          <w:lang w:val="en-US" w:eastAsia="zh-CN"/>
        </w:rPr>
        <w:t>3.</w:t>
      </w:r>
      <w:r>
        <w:rPr>
          <w:rFonts w:hint="eastAsia" w:ascii="宋体" w:hAnsi="宋体" w:eastAsia="宋体" w:cs="宋体"/>
          <w:color w:val="auto"/>
          <w:highlight w:val="none"/>
        </w:rPr>
        <w:t>乙方指定开户银行信息如下：</w:t>
      </w:r>
    </w:p>
    <w:p w14:paraId="5D97D798">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开户名称：</w:t>
      </w:r>
    </w:p>
    <w:p w14:paraId="0D1FC829">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开户银行：</w:t>
      </w:r>
    </w:p>
    <w:p w14:paraId="41052D73">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账号：</w:t>
      </w:r>
    </w:p>
    <w:p w14:paraId="56112116">
      <w:pPr>
        <w:spacing w:line="360" w:lineRule="auto"/>
        <w:ind w:left="0" w:leftChars="0" w:firstLine="420" w:firstLineChars="200"/>
        <w:rPr>
          <w:rFonts w:hint="eastAsia" w:ascii="宋体" w:hAnsi="宋体" w:eastAsia="宋体" w:cs="宋体"/>
          <w:color w:val="auto"/>
          <w:highlight w:val="none"/>
        </w:rPr>
      </w:pPr>
      <w:r>
        <w:rPr>
          <w:rFonts w:hint="eastAsia" w:ascii="宋体" w:hAnsi="宋体" w:cs="宋体"/>
          <w:color w:val="auto"/>
          <w:highlight w:val="none"/>
          <w:lang w:val="en-US" w:eastAsia="zh-CN"/>
        </w:rPr>
        <w:t>4.</w:t>
      </w:r>
      <w:r>
        <w:rPr>
          <w:rFonts w:hint="eastAsia" w:ascii="宋体" w:hAnsi="宋体" w:eastAsia="宋体" w:cs="宋体"/>
          <w:color w:val="auto"/>
          <w:highlight w:val="none"/>
        </w:rPr>
        <w:t>乙方应保证上述账户信息真实、准确。若乙方上述账户发生变化，应于变化后10个工作日内书面通知甲方，否则由此导致错付、无法支付，其全部法律后果均由乙方自行承担。</w:t>
      </w:r>
    </w:p>
    <w:p w14:paraId="2251981F">
      <w:pPr>
        <w:spacing w:line="360" w:lineRule="auto"/>
        <w:ind w:left="0" w:leftChars="0" w:firstLine="42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八、成果交付</w:t>
      </w:r>
    </w:p>
    <w:p w14:paraId="0B03E3E2">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1.乙方在项目</w:t>
      </w:r>
      <w:r>
        <w:rPr>
          <w:rFonts w:hint="eastAsia" w:ascii="宋体" w:hAnsi="宋体" w:cs="宋体"/>
          <w:color w:val="auto"/>
          <w:highlight w:val="none"/>
          <w:lang w:val="en-US" w:eastAsia="zh-CN"/>
        </w:rPr>
        <w:t>完结后</w:t>
      </w:r>
      <w:r>
        <w:rPr>
          <w:rFonts w:hint="eastAsia" w:ascii="宋体" w:hAnsi="宋体" w:eastAsia="宋体" w:cs="宋体"/>
          <w:color w:val="auto"/>
          <w:highlight w:val="none"/>
        </w:rPr>
        <w:t>30天内，书面通知甲方作验收检查，甲方应及时组织验收。</w:t>
      </w:r>
    </w:p>
    <w:p w14:paraId="03726BDE">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2.验收主体由甲方会同乙方共同组成，按照本项目</w:t>
      </w:r>
      <w:r>
        <w:rPr>
          <w:rFonts w:hint="eastAsia" w:ascii="宋体" w:hAnsi="宋体" w:eastAsia="宋体" w:cs="宋体"/>
          <w:color w:val="auto"/>
          <w:highlight w:val="none"/>
          <w:lang w:val="en-US" w:eastAsia="zh-CN"/>
        </w:rPr>
        <w:t>采购</w:t>
      </w:r>
      <w:r>
        <w:rPr>
          <w:rFonts w:hint="eastAsia" w:ascii="宋体" w:hAnsi="宋体" w:eastAsia="宋体" w:cs="宋体"/>
          <w:color w:val="auto"/>
          <w:highlight w:val="none"/>
        </w:rPr>
        <w:t>文件、</w:t>
      </w:r>
      <w:r>
        <w:rPr>
          <w:rFonts w:hint="eastAsia" w:ascii="宋体" w:hAnsi="宋体" w:eastAsia="宋体" w:cs="宋体"/>
          <w:color w:val="auto"/>
          <w:highlight w:val="none"/>
          <w:lang w:val="en-US" w:eastAsia="zh-CN"/>
        </w:rPr>
        <w:t>响应</w:t>
      </w:r>
      <w:r>
        <w:rPr>
          <w:rFonts w:hint="eastAsia" w:ascii="宋体" w:hAnsi="宋体" w:eastAsia="宋体" w:cs="宋体"/>
          <w:color w:val="auto"/>
          <w:highlight w:val="none"/>
        </w:rPr>
        <w:t>文件、合同所约定服务内容对项目完成情况及质量逐项验收。</w:t>
      </w:r>
    </w:p>
    <w:p w14:paraId="2781FC13">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3.验收根据本项目采购需求及国家现行规范、标准进行验收。</w:t>
      </w:r>
    </w:p>
    <w:p w14:paraId="532F2062">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4.“商用密码应用安全性评估”成果交付物包括但不限于以下内容（包括纸质版和电子版）：</w:t>
      </w:r>
    </w:p>
    <w:p w14:paraId="089CA2B1">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（1）《商用密码应用安全性评估实施方案》；</w:t>
      </w:r>
    </w:p>
    <w:p w14:paraId="332308CD">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）《商用密码应用安全性评估过程记录文件》；</w:t>
      </w:r>
    </w:p>
    <w:p w14:paraId="64626B95">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）《商用密码应用安全性评估报告》；</w:t>
      </w:r>
    </w:p>
    <w:p w14:paraId="06C596B1">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）相关的备案证书/证明材料；</w:t>
      </w:r>
    </w:p>
    <w:p w14:paraId="41524559">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）其他应交付的文档等。</w:t>
      </w:r>
    </w:p>
    <w:p w14:paraId="5C8993C0">
      <w:pPr>
        <w:spacing w:line="360" w:lineRule="auto"/>
        <w:ind w:left="0" w:leftChars="0" w:firstLine="42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九、知识产权</w:t>
      </w:r>
    </w:p>
    <w:p w14:paraId="485EA0E8">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1.乙方因履行本合同所产生的所有成果的所有权及全部知识产权，归甲方所有，乙方不得侵犯，否则需承担全部法律后果。</w:t>
      </w:r>
    </w:p>
    <w:p w14:paraId="1EDCBE53">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2.乙方保证其向甲方提供的服务属于自有合法权利，不存在任何侵犯第三方著作权、商标权、专利权等合法权益的情形。</w:t>
      </w:r>
    </w:p>
    <w:p w14:paraId="00B239A8">
      <w:pPr>
        <w:spacing w:line="360" w:lineRule="auto"/>
        <w:ind w:left="0" w:leftChars="0" w:firstLine="42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十、不可抗力</w:t>
      </w:r>
    </w:p>
    <w:p w14:paraId="1B0A95F4">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甲乙任何一方因受不可抗力的影响而不能执行本合同时，应及时向对方通报不能履行或不能完全履行的理由，在取得有关机构证明以后，按其对履行协议影响的程度，由双方协商决定是否解除协议，或部分免除履行协议的义务，或延期履行协议。双方对此互不承担违约责任。</w:t>
      </w:r>
    </w:p>
    <w:p w14:paraId="338F58B0">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合同相对方收到受不可抗力影响一方的通知后，应尽可能采取适当措施减轻不可抗力事件对履行本合同的影响，没有采取适当措施致使损失扩大的，不得就扩大的损失要求赔偿。</w:t>
      </w:r>
    </w:p>
    <w:p w14:paraId="5721063D">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受不可抗力影响而不能按期履行的一方，应在不可抗力终止或影响消除后尽快通知对方。</w:t>
      </w:r>
    </w:p>
    <w:p w14:paraId="600408E7">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本合同中“不可抗力”，是指不能预见、不能避免且不能克服的客观情况，包括但不限于在本协议签署后发生的不可预见或可预见但不可避免且超越协议各方可以控制，阻碍该协议部分或全部进行的地震、风暴、火灾、洪水、战争及其它重大自然、人为灾害、公共卫生安全或政策变化、政府行为如征收、征用等，或社会异常事件如罢工、骚乱等。凡是发生了所罗列的事件即构成不可抗力，凡是发生协议中未列举的事件，不构成不可抗力事件。若双方对其含义发生争执，则由受理案件的法院根据协议的含义解释发生的客观情况是否构成不可抗力。</w:t>
      </w:r>
    </w:p>
    <w:p w14:paraId="1F0C8F81">
      <w:pPr>
        <w:spacing w:line="360" w:lineRule="auto"/>
        <w:ind w:left="0" w:leftChars="0" w:firstLine="422" w:firstLineChars="200"/>
        <w:rPr>
          <w:rFonts w:hint="eastAsia" w:ascii="宋体" w:hAnsi="宋体" w:eastAsia="宋体" w:cs="宋体"/>
          <w:color w:val="auto"/>
          <w:highlight w:val="none"/>
        </w:rPr>
      </w:pPr>
      <w:r>
        <w:rPr>
          <w:rFonts w:hint="eastAsia" w:ascii="宋体" w:hAnsi="宋体" w:eastAsia="宋体" w:cs="宋体"/>
          <w:b/>
          <w:bCs/>
          <w:color w:val="auto"/>
          <w:highlight w:val="none"/>
        </w:rPr>
        <w:t>十一、保密事项</w:t>
      </w:r>
    </w:p>
    <w:p w14:paraId="791F3242">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除本合同另有约定外，乙方因承接本合同约定项目所知悉的该项目信息或甲方信息，以及在项目实施过程中所产生的与该项目有关的全部信息、成果文件等均为甲方的保密信息，乙方应按照《中华人民共和国数据安全法》、《中华人民共和国保守国家秘密法》《中华人民共和国个人信息保护法》及甲方关于保密工作的相关要求，对上述保密信息承担保密义务。未经甲方事先书面同意，乙方不得向任何第三方披露或供其使用，也不得在本合同约定事项范围之外自行使用。</w:t>
      </w:r>
    </w:p>
    <w:p w14:paraId="6250A128">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2.乙方必须与甲方签订《安全保密协议》，详细内容参见附件2。服务人员须作出书面承诺</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详细内容参见附件3。</w:t>
      </w:r>
    </w:p>
    <w:p w14:paraId="36EB3286">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3乙方必须遵守甲方的各项规章制度，严格按照工作规范组织技术服务工作，制定切实可行的措施保障人员安全、设备安全、生产安全。</w:t>
      </w:r>
    </w:p>
    <w:p w14:paraId="13E47DF8">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4.乙方必须制定合理的措施对技术保障人员进行管理与思想教育，加强保密意识，安全生产意识。</w:t>
      </w:r>
    </w:p>
    <w:p w14:paraId="1A195C10">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5.乙方如违反《安全保密协议》，应遵照《安全保密协议》的约定承担为违约责任。</w:t>
      </w:r>
    </w:p>
    <w:p w14:paraId="40F0BCAF">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6.甲、乙方应积极配合信息安全主管部门对信息安全进行监督检查。</w:t>
      </w:r>
    </w:p>
    <w:p w14:paraId="567B6E26">
      <w:pPr>
        <w:spacing w:line="360" w:lineRule="auto"/>
        <w:ind w:left="0" w:leftChars="0" w:firstLine="42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十二、合同的变更和解除</w:t>
      </w:r>
    </w:p>
    <w:p w14:paraId="20C28939">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1.本合同在执行过程中，如需变更内容，应由甲乙双方共同协商，签订补充文件。本合同一经生效，除由于外界不可抗力作用、政府行为之外，未经协商，任何一方不得随意变更或撤销。</w:t>
      </w:r>
    </w:p>
    <w:p w14:paraId="32BD9189">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甲方因特殊情况或其他合法正当原因（本合同约定或法定的解除情形除外）要求乙方停止本合同约定的服务的，应提前【5】日书面通知乙方，乙方在收到甲方该书面通知后应立即停止提供服务，甲方不承担违约责任。甲方应根据乙方工作量参照本合同约定的费用标准向乙方支付对应的服务费用；甲方依本合同约定发出了书面通知但乙方仍然继续提供服务的，后续有关费用由乙方承担。</w:t>
      </w:r>
    </w:p>
    <w:p w14:paraId="511292DC">
      <w:pPr>
        <w:spacing w:line="360" w:lineRule="auto"/>
        <w:ind w:left="0" w:leftChars="0" w:firstLine="42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十三、违约责任</w:t>
      </w:r>
    </w:p>
    <w:p w14:paraId="61FA0E35">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1.除不可抗力的自然及社会原因外，甲乙双方应严格遵守本协议的规定，否则，违约方需承担违约责任。</w:t>
      </w:r>
    </w:p>
    <w:p w14:paraId="7482FDAD">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乙方未按照本合同约定期限完成委托服务的，每逾期一日，需承担合同款总金额【5】%的违约金。逾期达【10】日仍未完成的，甲方有权解除本合同，乙方应返还甲方已经支付的合同金额，并要求乙方支付合同总金额【5】%的违约金。</w:t>
      </w:r>
    </w:p>
    <w:p w14:paraId="71EEC677">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乙方提供的服务若因侵犯第三方著作权、商标权、专利权等合法权益而致使服务成果无法使用的，乙方应退还甲方已支付的合同金额并承担合同款总金额【5】%的违约金；如甲方因此遭受第三方追索，乙方应赔偿甲方的全部损失，包括但不限于赔偿费、诉讼费、保全费、交通费、律师费等。</w:t>
      </w:r>
    </w:p>
    <w:p w14:paraId="4EA8418D">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乙方将本合同转包，或者未经甲方书面同意，擅自将本合同进行分包，或者擅自将本合同权利义务转让给第三方的，甲方有权解除本合同，乙方应返还已经支付的服务费，并向甲方支付合同款总金额【5】%的违约金。</w:t>
      </w:r>
    </w:p>
    <w:p w14:paraId="2B0745E1">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5.乙方未按照本合同约定提供专业项目组成人员或擅自更换人员的，乙方应承担合同款总金额【5】%的违约金。</w:t>
      </w:r>
    </w:p>
    <w:p w14:paraId="7AFA7549">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6.乙方发生违反本合同约定的其他义务的，每发生一次，应向甲方支付合同款总金额【5】%的违约金。</w:t>
      </w:r>
    </w:p>
    <w:p w14:paraId="12398681">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7.除上述约定外，如发生因乙方其他原因（如乙方在服务期限届满前明确表示或以自己的行为表明不履行合同义务）致使的本合同解除情形的，乙方应返还甲方已经支付的合同金额，并向甲方支付合同款总金额【5】%的违约金。</w:t>
      </w:r>
    </w:p>
    <w:p w14:paraId="5CCA9DEB">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8.甲方为追究乙方责任而支出的公证费、保全险费、交通费、律师费等均由乙方承担。</w:t>
      </w:r>
    </w:p>
    <w:p w14:paraId="6BCFC079">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9.如甲方因自身原因未能依约按时足额向乙方支付合同价款的，则需按本合同签订时1年期贷款市场报价利率（LPR）向乙方支付迟延付款期间的利息。</w:t>
      </w:r>
    </w:p>
    <w:p w14:paraId="522DC7F0">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10.本合同就违约责任另有约定的，从其约定。</w:t>
      </w:r>
    </w:p>
    <w:p w14:paraId="3E7D38A0">
      <w:pPr>
        <w:spacing w:line="360" w:lineRule="auto"/>
        <w:ind w:left="0" w:leftChars="0" w:firstLine="42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十四、争议解决</w:t>
      </w:r>
    </w:p>
    <w:p w14:paraId="41469EF1">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甲、乙双方因本合同发生争议，应当友好协商；协商不成，可向甲方住所地人民法院提起诉讼。当产生任何争议及任何争议正在诉讼时，除争议事项外，双方将继续执行本合同未涉争议及诉讼的其他部分。</w:t>
      </w:r>
    </w:p>
    <w:p w14:paraId="4BBC0EF7">
      <w:pPr>
        <w:spacing w:line="360" w:lineRule="auto"/>
        <w:ind w:left="0" w:leftChars="0" w:firstLine="42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十五、合同生效及其他</w:t>
      </w:r>
    </w:p>
    <w:p w14:paraId="17464071">
      <w:pPr>
        <w:spacing w:line="360" w:lineRule="auto"/>
        <w:ind w:left="210" w:leftChars="100" w:firstLine="210" w:firstLineChars="100"/>
        <w:rPr>
          <w:rFonts w:hint="eastAsia" w:ascii="宋体" w:hAnsi="宋体" w:eastAsia="宋体" w:cs="宋体"/>
          <w:color w:val="auto"/>
          <w:highlight w:val="none"/>
        </w:rPr>
      </w:pPr>
      <w:r>
        <w:rPr>
          <w:rFonts w:hint="eastAsia" w:ascii="宋体" w:hAnsi="宋体" w:eastAsia="宋体" w:cs="宋体"/>
          <w:color w:val="auto"/>
          <w:highlight w:val="none"/>
        </w:rPr>
        <w:t>1.本合同自双方法定代表人或授权代表签字并加盖公章后生效。本合同一式</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份，甲方执</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份，乙方执</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份，具有同等法律效力。</w:t>
      </w:r>
    </w:p>
    <w:p w14:paraId="5104D803">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2.甲方需追加与本合同标的相同的工作的，在不改变本合同其他条款的前提下，可以与乙方协商签订补充协议，但所有补充协议的总金额不得超过本合同总金额的百分之十。</w:t>
      </w:r>
    </w:p>
    <w:p w14:paraId="30C597ED">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3.本合同附件及补充协议是本合同不可分割的组成部分，具有同等法律效力。</w:t>
      </w:r>
    </w:p>
    <w:p w14:paraId="02467C4F">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（本页以下无正文）</w:t>
      </w:r>
    </w:p>
    <w:p w14:paraId="0688D616">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附件1：团队成员名单</w:t>
      </w:r>
    </w:p>
    <w:p w14:paraId="44667706">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附件2：安全保密协议</w:t>
      </w:r>
    </w:p>
    <w:p w14:paraId="0D43015D">
      <w:pPr>
        <w:spacing w:line="360" w:lineRule="auto"/>
        <w:ind w:left="0" w:leftChars="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附件3：服务人员保密协议</w:t>
      </w:r>
    </w:p>
    <w:p w14:paraId="6E81D201">
      <w:pPr>
        <w:spacing w:line="360" w:lineRule="auto"/>
        <w:ind w:left="0" w:leftChars="0" w:firstLine="420" w:firstLineChars="200"/>
        <w:rPr>
          <w:rFonts w:hint="eastAsia" w:ascii="宋体" w:hAnsi="宋体" w:eastAsia="宋体" w:cs="宋体"/>
          <w:b w:val="0"/>
          <w:bCs/>
          <w:color w:val="auto"/>
          <w:highlight w:val="none"/>
          <w:lang w:val="en-US" w:eastAsia="zh-CN"/>
        </w:rPr>
      </w:pPr>
    </w:p>
    <w:p w14:paraId="4E90F973">
      <w:pP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br w:type="page"/>
      </w:r>
    </w:p>
    <w:p w14:paraId="11E4996A">
      <w:pPr>
        <w:spacing w:line="360" w:lineRule="auto"/>
        <w:ind w:left="502"/>
        <w:jc w:val="left"/>
        <w:rPr>
          <w:rFonts w:hint="eastAsia" w:ascii="宋体" w:hAnsi="宋体" w:eastAsia="宋体" w:cs="宋体"/>
          <w:color w:val="auto"/>
          <w:szCs w:val="21"/>
          <w:highlight w:val="none"/>
        </w:rPr>
      </w:pPr>
    </w:p>
    <w:p w14:paraId="0C10F50B">
      <w:pPr>
        <w:spacing w:line="360" w:lineRule="auto"/>
        <w:ind w:left="502"/>
        <w:jc w:val="left"/>
        <w:rPr>
          <w:rFonts w:hint="eastAsia" w:ascii="宋体" w:hAnsi="宋体" w:eastAsia="宋体" w:cs="宋体"/>
          <w:color w:val="auto"/>
          <w:szCs w:val="21"/>
          <w:highlight w:val="none"/>
        </w:rPr>
      </w:pPr>
    </w:p>
    <w:p w14:paraId="02A1A9E6">
      <w:pPr>
        <w:spacing w:line="360" w:lineRule="auto"/>
        <w:ind w:left="502"/>
        <w:jc w:val="left"/>
        <w:rPr>
          <w:rFonts w:hint="eastAsia" w:ascii="宋体" w:hAnsi="宋体" w:eastAsia="宋体" w:cs="宋体"/>
          <w:color w:val="auto"/>
          <w:szCs w:val="21"/>
          <w:highlight w:val="none"/>
        </w:rPr>
      </w:pPr>
    </w:p>
    <w:p w14:paraId="28AA0F39">
      <w:pPr>
        <w:spacing w:line="360" w:lineRule="auto"/>
        <w:ind w:left="502"/>
        <w:jc w:val="left"/>
        <w:rPr>
          <w:rFonts w:hint="eastAsia" w:ascii="宋体" w:hAnsi="宋体" w:eastAsia="宋体" w:cs="宋体"/>
          <w:color w:val="auto"/>
          <w:szCs w:val="21"/>
          <w:highlight w:val="none"/>
        </w:rPr>
      </w:pPr>
    </w:p>
    <w:p w14:paraId="334B0DAD">
      <w:pPr>
        <w:spacing w:line="360" w:lineRule="auto"/>
        <w:ind w:left="502"/>
        <w:jc w:val="left"/>
        <w:rPr>
          <w:rFonts w:hint="eastAsia" w:ascii="宋体" w:hAnsi="宋体" w:eastAsia="宋体" w:cs="宋体"/>
          <w:color w:val="auto"/>
          <w:szCs w:val="21"/>
          <w:highlight w:val="none"/>
        </w:rPr>
      </w:pPr>
    </w:p>
    <w:p w14:paraId="65481F3E">
      <w:pPr>
        <w:spacing w:line="360" w:lineRule="auto"/>
        <w:ind w:left="502"/>
        <w:jc w:val="left"/>
        <w:rPr>
          <w:rFonts w:hint="eastAsia" w:ascii="宋体" w:hAnsi="宋体" w:eastAsia="宋体" w:cs="宋体"/>
          <w:color w:val="auto"/>
          <w:szCs w:val="21"/>
          <w:highlight w:val="none"/>
        </w:rPr>
      </w:pPr>
    </w:p>
    <w:p w14:paraId="4C41319C">
      <w:pPr>
        <w:spacing w:line="360" w:lineRule="auto"/>
        <w:ind w:left="502"/>
        <w:jc w:val="left"/>
        <w:rPr>
          <w:rFonts w:hint="eastAsia" w:ascii="宋体" w:hAnsi="宋体" w:eastAsia="宋体" w:cs="宋体"/>
          <w:color w:val="auto"/>
          <w:szCs w:val="21"/>
          <w:highlight w:val="none"/>
        </w:rPr>
      </w:pPr>
    </w:p>
    <w:p w14:paraId="79939E93">
      <w:pPr>
        <w:spacing w:line="360" w:lineRule="auto"/>
        <w:ind w:left="502"/>
        <w:jc w:val="left"/>
        <w:rPr>
          <w:rFonts w:hint="eastAsia" w:ascii="宋体" w:hAnsi="宋体" w:eastAsia="宋体" w:cs="宋体"/>
          <w:color w:val="auto"/>
          <w:szCs w:val="21"/>
          <w:highlight w:val="none"/>
        </w:rPr>
      </w:pPr>
    </w:p>
    <w:p w14:paraId="2B39359D">
      <w:pPr>
        <w:spacing w:line="360" w:lineRule="auto"/>
        <w:ind w:left="502"/>
        <w:jc w:val="left"/>
        <w:rPr>
          <w:rFonts w:hint="eastAsia" w:ascii="宋体" w:hAnsi="宋体" w:eastAsia="宋体" w:cs="宋体"/>
          <w:color w:val="auto"/>
          <w:szCs w:val="21"/>
          <w:highlight w:val="none"/>
        </w:rPr>
      </w:pPr>
    </w:p>
    <w:p w14:paraId="2B1332BC">
      <w:pPr>
        <w:spacing w:line="360" w:lineRule="auto"/>
        <w:ind w:left="502"/>
        <w:jc w:val="left"/>
        <w:rPr>
          <w:rFonts w:hint="eastAsia" w:ascii="宋体" w:hAnsi="宋体" w:eastAsia="宋体" w:cs="宋体"/>
          <w:color w:val="auto"/>
          <w:szCs w:val="21"/>
          <w:highlight w:val="none"/>
        </w:rPr>
      </w:pPr>
    </w:p>
    <w:p w14:paraId="572F6ADD">
      <w:pPr>
        <w:spacing w:line="360" w:lineRule="auto"/>
        <w:ind w:left="502"/>
        <w:jc w:val="left"/>
        <w:rPr>
          <w:rFonts w:hint="eastAsia" w:ascii="宋体" w:hAnsi="宋体" w:eastAsia="宋体" w:cs="宋体"/>
          <w:color w:val="auto"/>
          <w:szCs w:val="21"/>
          <w:highlight w:val="none"/>
        </w:rPr>
      </w:pPr>
    </w:p>
    <w:p w14:paraId="72755B67">
      <w:pPr>
        <w:spacing w:line="360" w:lineRule="auto"/>
        <w:ind w:left="502"/>
        <w:jc w:val="left"/>
        <w:rPr>
          <w:rFonts w:hint="eastAsia" w:ascii="宋体" w:hAnsi="宋体" w:eastAsia="宋体" w:cs="宋体"/>
          <w:color w:val="auto"/>
          <w:szCs w:val="21"/>
          <w:highlight w:val="none"/>
        </w:rPr>
      </w:pPr>
    </w:p>
    <w:p w14:paraId="3A11E566">
      <w:pPr>
        <w:spacing w:line="360" w:lineRule="auto"/>
        <w:jc w:val="left"/>
        <w:rPr>
          <w:rFonts w:hint="eastAsia" w:ascii="宋体" w:hAnsi="宋体" w:eastAsia="宋体" w:cs="宋体"/>
          <w:color w:val="auto"/>
          <w:szCs w:val="21"/>
          <w:highlight w:val="none"/>
        </w:rPr>
      </w:pPr>
    </w:p>
    <w:p w14:paraId="63541832">
      <w:pPr>
        <w:pStyle w:val="3"/>
        <w:spacing w:before="0" w:after="0" w:line="440" w:lineRule="exact"/>
        <w:rPr>
          <w:rFonts w:hint="eastAsia" w:cs="宋体"/>
          <w:color w:val="auto"/>
          <w:sz w:val="32"/>
          <w:highlight w:val="none"/>
        </w:rPr>
      </w:pPr>
      <w:bookmarkStart w:id="101" w:name="_Toc9644"/>
      <w:r>
        <w:rPr>
          <w:rFonts w:hint="eastAsia" w:cs="宋体"/>
          <w:color w:val="auto"/>
          <w:sz w:val="32"/>
          <w:highlight w:val="none"/>
        </w:rPr>
        <w:t xml:space="preserve">第四章  </w:t>
      </w:r>
      <w:r>
        <w:rPr>
          <w:rFonts w:hint="eastAsia" w:cs="宋体"/>
          <w:color w:val="auto"/>
          <w:sz w:val="34"/>
          <w:highlight w:val="none"/>
        </w:rPr>
        <w:t>响应文件格式</w:t>
      </w:r>
      <w:bookmarkEnd w:id="101"/>
    </w:p>
    <w:p w14:paraId="0F06D230">
      <w:pPr>
        <w:spacing w:line="360" w:lineRule="auto"/>
        <w:ind w:left="502"/>
        <w:jc w:val="left"/>
        <w:rPr>
          <w:rFonts w:hint="eastAsia" w:ascii="宋体" w:hAnsi="宋体" w:eastAsia="宋体" w:cs="宋体"/>
          <w:color w:val="auto"/>
          <w:szCs w:val="21"/>
          <w:highlight w:val="none"/>
        </w:rPr>
      </w:pPr>
    </w:p>
    <w:p w14:paraId="408EA06F">
      <w:pPr>
        <w:spacing w:line="360" w:lineRule="auto"/>
        <w:ind w:left="502"/>
        <w:jc w:val="left"/>
        <w:rPr>
          <w:rFonts w:hint="eastAsia" w:ascii="宋体" w:hAnsi="宋体" w:eastAsia="宋体" w:cs="宋体"/>
          <w:color w:val="auto"/>
          <w:szCs w:val="21"/>
          <w:highlight w:val="none"/>
        </w:rPr>
      </w:pPr>
    </w:p>
    <w:p w14:paraId="5A132E05">
      <w:pPr>
        <w:spacing w:line="360" w:lineRule="auto"/>
        <w:ind w:left="502"/>
        <w:jc w:val="left"/>
        <w:rPr>
          <w:rFonts w:hint="eastAsia" w:ascii="宋体" w:hAnsi="宋体" w:eastAsia="宋体" w:cs="宋体"/>
          <w:color w:val="auto"/>
          <w:szCs w:val="21"/>
          <w:highlight w:val="none"/>
        </w:rPr>
      </w:pPr>
    </w:p>
    <w:p w14:paraId="5FC29F34">
      <w:pPr>
        <w:spacing w:line="360" w:lineRule="auto"/>
        <w:ind w:left="502"/>
        <w:jc w:val="left"/>
        <w:rPr>
          <w:rFonts w:hint="eastAsia" w:ascii="宋体" w:hAnsi="宋体" w:eastAsia="宋体" w:cs="宋体"/>
          <w:color w:val="auto"/>
          <w:szCs w:val="21"/>
          <w:highlight w:val="none"/>
        </w:rPr>
      </w:pPr>
    </w:p>
    <w:p w14:paraId="19A65044">
      <w:pPr>
        <w:spacing w:line="360" w:lineRule="auto"/>
        <w:ind w:left="502"/>
        <w:jc w:val="left"/>
        <w:rPr>
          <w:rFonts w:hint="eastAsia" w:ascii="宋体" w:hAnsi="宋体" w:eastAsia="宋体" w:cs="宋体"/>
          <w:color w:val="auto"/>
          <w:szCs w:val="21"/>
          <w:highlight w:val="none"/>
        </w:rPr>
      </w:pPr>
    </w:p>
    <w:p w14:paraId="055929F3">
      <w:pPr>
        <w:spacing w:line="360" w:lineRule="auto"/>
        <w:ind w:left="502"/>
        <w:jc w:val="left"/>
        <w:rPr>
          <w:rFonts w:hint="eastAsia" w:ascii="宋体" w:hAnsi="宋体" w:eastAsia="宋体" w:cs="宋体"/>
          <w:color w:val="auto"/>
          <w:szCs w:val="21"/>
          <w:highlight w:val="none"/>
        </w:rPr>
      </w:pPr>
    </w:p>
    <w:p w14:paraId="735E79EF">
      <w:pPr>
        <w:spacing w:line="360" w:lineRule="auto"/>
        <w:ind w:left="502"/>
        <w:jc w:val="left"/>
        <w:rPr>
          <w:rFonts w:hint="eastAsia" w:ascii="宋体" w:hAnsi="宋体" w:eastAsia="宋体" w:cs="宋体"/>
          <w:color w:val="auto"/>
          <w:szCs w:val="21"/>
          <w:highlight w:val="none"/>
        </w:rPr>
      </w:pPr>
    </w:p>
    <w:p w14:paraId="22FD0A7B">
      <w:pPr>
        <w:spacing w:line="360" w:lineRule="auto"/>
        <w:ind w:left="502"/>
        <w:jc w:val="left"/>
        <w:rPr>
          <w:rFonts w:hint="eastAsia" w:ascii="宋体" w:hAnsi="宋体" w:eastAsia="宋体" w:cs="宋体"/>
          <w:color w:val="auto"/>
          <w:szCs w:val="21"/>
          <w:highlight w:val="none"/>
        </w:rPr>
      </w:pPr>
    </w:p>
    <w:p w14:paraId="2291FEA2">
      <w:pPr>
        <w:spacing w:line="360" w:lineRule="auto"/>
        <w:ind w:left="502"/>
        <w:jc w:val="left"/>
        <w:rPr>
          <w:rFonts w:hint="eastAsia" w:ascii="宋体" w:hAnsi="宋体" w:eastAsia="宋体" w:cs="宋体"/>
          <w:color w:val="auto"/>
          <w:szCs w:val="21"/>
          <w:highlight w:val="none"/>
        </w:rPr>
      </w:pPr>
    </w:p>
    <w:p w14:paraId="206AB30A">
      <w:pPr>
        <w:spacing w:line="360" w:lineRule="auto"/>
        <w:ind w:left="502"/>
        <w:jc w:val="left"/>
        <w:rPr>
          <w:rFonts w:hint="eastAsia" w:ascii="宋体" w:hAnsi="宋体" w:eastAsia="宋体" w:cs="宋体"/>
          <w:color w:val="auto"/>
          <w:szCs w:val="21"/>
          <w:highlight w:val="none"/>
        </w:rPr>
      </w:pPr>
    </w:p>
    <w:p w14:paraId="6CE24F57">
      <w:pPr>
        <w:spacing w:line="360" w:lineRule="auto"/>
        <w:ind w:left="502"/>
        <w:jc w:val="left"/>
        <w:rPr>
          <w:rFonts w:hint="eastAsia" w:ascii="宋体" w:hAnsi="宋体" w:eastAsia="宋体" w:cs="宋体"/>
          <w:color w:val="auto"/>
          <w:szCs w:val="21"/>
          <w:highlight w:val="none"/>
        </w:rPr>
      </w:pPr>
    </w:p>
    <w:p w14:paraId="26813260">
      <w:pPr>
        <w:spacing w:line="360" w:lineRule="auto"/>
        <w:ind w:left="502"/>
        <w:jc w:val="left"/>
        <w:rPr>
          <w:rFonts w:hint="eastAsia" w:ascii="宋体" w:hAnsi="宋体" w:eastAsia="宋体" w:cs="宋体"/>
          <w:color w:val="auto"/>
          <w:szCs w:val="21"/>
          <w:highlight w:val="none"/>
        </w:rPr>
      </w:pPr>
    </w:p>
    <w:p w14:paraId="0D0EE831">
      <w:pPr>
        <w:spacing w:line="360" w:lineRule="auto"/>
        <w:ind w:left="502"/>
        <w:jc w:val="left"/>
        <w:rPr>
          <w:rFonts w:hint="eastAsia"/>
          <w:color w:val="auto"/>
          <w:highlight w:val="none"/>
        </w:rPr>
      </w:pPr>
    </w:p>
    <w:p w14:paraId="2AEE95AC">
      <w:pPr>
        <w:spacing w:line="360" w:lineRule="auto"/>
        <w:ind w:left="502"/>
        <w:jc w:val="left"/>
        <w:rPr>
          <w:rFonts w:hint="eastAsia" w:ascii="宋体" w:hAnsi="宋体" w:eastAsia="宋体" w:cs="宋体"/>
          <w:color w:val="auto"/>
          <w:szCs w:val="21"/>
          <w:highlight w:val="none"/>
        </w:rPr>
      </w:pPr>
    </w:p>
    <w:p w14:paraId="70316016">
      <w:pPr>
        <w:keepNext/>
        <w:keepLines/>
        <w:spacing w:before="120" w:after="120" w:line="360" w:lineRule="auto"/>
        <w:jc w:val="center"/>
        <w:outlineLvl w:val="1"/>
        <w:rPr>
          <w:rFonts w:hint="eastAsia" w:ascii="宋体" w:hAnsi="宋体" w:cs="宋体"/>
          <w:b/>
          <w:color w:val="auto"/>
          <w:sz w:val="28"/>
          <w:szCs w:val="28"/>
          <w:highlight w:val="none"/>
        </w:rPr>
      </w:pPr>
      <w:bookmarkStart w:id="102" w:name="_Toc6858"/>
      <w:bookmarkStart w:id="103" w:name="_Toc5806"/>
      <w:bookmarkStart w:id="104" w:name="_Toc1301"/>
      <w:bookmarkStart w:id="105" w:name="_Toc491307287"/>
      <w:bookmarkStart w:id="106" w:name="_Toc21853"/>
      <w:bookmarkStart w:id="107" w:name="_Toc494043333"/>
      <w:bookmarkStart w:id="108" w:name="_Toc491307349"/>
      <w:bookmarkStart w:id="109" w:name="_Toc491307469"/>
      <w:bookmarkStart w:id="110" w:name="_Toc13014"/>
      <w:r>
        <w:rPr>
          <w:rFonts w:hint="eastAsia" w:ascii="宋体" w:hAnsi="宋体" w:cs="宋体"/>
          <w:b/>
          <w:color w:val="auto"/>
          <w:sz w:val="28"/>
          <w:szCs w:val="28"/>
          <w:highlight w:val="none"/>
        </w:rPr>
        <w:br w:type="page"/>
      </w:r>
      <w:bookmarkStart w:id="111" w:name="_Toc7168"/>
      <w:bookmarkStart w:id="112" w:name="_Toc11948"/>
      <w:r>
        <w:rPr>
          <w:rFonts w:hint="eastAsia" w:ascii="宋体" w:hAnsi="宋体" w:cs="宋体"/>
          <w:b/>
          <w:bCs/>
          <w:color w:val="auto"/>
          <w:sz w:val="32"/>
          <w:szCs w:val="36"/>
          <w:highlight w:val="none"/>
        </w:rPr>
        <w:t>一、资格证明文件</w:t>
      </w:r>
      <w:bookmarkEnd w:id="111"/>
      <w:bookmarkEnd w:id="112"/>
    </w:p>
    <w:bookmarkEnd w:id="102"/>
    <w:bookmarkEnd w:id="103"/>
    <w:bookmarkEnd w:id="104"/>
    <w:bookmarkEnd w:id="105"/>
    <w:bookmarkEnd w:id="106"/>
    <w:bookmarkEnd w:id="107"/>
    <w:bookmarkEnd w:id="108"/>
    <w:bookmarkEnd w:id="109"/>
    <w:bookmarkEnd w:id="110"/>
    <w:p w14:paraId="4F6EFF22">
      <w:pPr>
        <w:spacing w:line="360" w:lineRule="auto"/>
        <w:ind w:firstLine="420" w:firstLineChars="200"/>
        <w:rPr>
          <w:rFonts w:hint="eastAsia" w:ascii="宋体" w:hAnsi="宋体" w:cs="宋体"/>
          <w:color w:val="auto"/>
          <w:szCs w:val="21"/>
          <w:highlight w:val="none"/>
        </w:rPr>
      </w:pPr>
      <w:bookmarkStart w:id="113" w:name="_Toc491307353"/>
      <w:bookmarkStart w:id="114" w:name="_Toc491307473"/>
      <w:bookmarkStart w:id="115" w:name="_Toc491307291"/>
      <w:r>
        <w:rPr>
          <w:rFonts w:hint="eastAsia" w:ascii="宋体" w:hAnsi="宋体" w:cs="宋体"/>
          <w:color w:val="auto"/>
          <w:szCs w:val="21"/>
          <w:highlight w:val="none"/>
        </w:rPr>
        <w:t>1.供应商应填写和提交下述规定的有关资料。</w:t>
      </w:r>
    </w:p>
    <w:p w14:paraId="2799393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2.所附格式要求填写的全部内容都必须填写。</w:t>
      </w:r>
    </w:p>
    <w:p w14:paraId="04819C1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3.供应商应保证全部声明和填写的内容是真实的和正确的。</w:t>
      </w:r>
    </w:p>
    <w:p w14:paraId="6039670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4.供应商提交的材料将被保密，但不退还。</w:t>
      </w:r>
    </w:p>
    <w:p w14:paraId="6ADAD392">
      <w:pPr>
        <w:keepNext w:val="0"/>
        <w:keepLines w:val="0"/>
        <w:pageBreakBefore w:val="0"/>
        <w:widowControl w:val="0"/>
        <w:kinsoku/>
        <w:wordWrap/>
        <w:overflowPunct/>
        <w:topLinePunct w:val="0"/>
        <w:autoSpaceDE/>
        <w:autoSpaceDN/>
        <w:bidi w:val="0"/>
        <w:adjustRightInd/>
        <w:snapToGrid/>
        <w:spacing w:line="60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br w:type="page"/>
      </w:r>
      <w:bookmarkStart w:id="116" w:name="_Toc491307485"/>
      <w:bookmarkStart w:id="117" w:name="_Toc19456"/>
      <w:bookmarkStart w:id="118" w:name="_Toc21233"/>
      <w:bookmarkStart w:id="119" w:name="_Toc491307365"/>
      <w:bookmarkStart w:id="120" w:name="_Toc14061"/>
      <w:bookmarkStart w:id="121" w:name="_Toc31835"/>
      <w:bookmarkStart w:id="122" w:name="_Toc494043339"/>
      <w:bookmarkStart w:id="123" w:name="_Toc26418"/>
      <w:bookmarkStart w:id="124" w:name="_Toc491307303"/>
    </w:p>
    <w:p w14:paraId="62C34B8A">
      <w:pPr>
        <w:keepNext/>
        <w:keepLines/>
        <w:spacing w:after="120" w:line="360" w:lineRule="auto"/>
        <w:jc w:val="left"/>
        <w:outlineLvl w:val="1"/>
        <w:rPr>
          <w:rFonts w:hint="eastAsia" w:ascii="宋体" w:hAnsi="宋体" w:cs="宋体"/>
          <w:b/>
          <w:color w:val="auto"/>
          <w:sz w:val="28"/>
          <w:szCs w:val="28"/>
          <w:highlight w:val="none"/>
        </w:rPr>
      </w:pPr>
      <w:bookmarkStart w:id="125" w:name="_Toc19530"/>
      <w:bookmarkStart w:id="126" w:name="_Toc26229"/>
      <w:r>
        <w:rPr>
          <w:rFonts w:hint="eastAsia" w:ascii="宋体" w:hAnsi="宋体" w:cs="宋体"/>
          <w:b/>
          <w:color w:val="auto"/>
          <w:sz w:val="28"/>
          <w:szCs w:val="28"/>
          <w:highlight w:val="none"/>
        </w:rPr>
        <w:t>格式1</w:t>
      </w:r>
      <w:bookmarkEnd w:id="116"/>
      <w:bookmarkEnd w:id="117"/>
      <w:bookmarkEnd w:id="118"/>
      <w:bookmarkEnd w:id="119"/>
      <w:bookmarkEnd w:id="120"/>
      <w:bookmarkEnd w:id="121"/>
      <w:bookmarkEnd w:id="122"/>
      <w:bookmarkEnd w:id="123"/>
      <w:bookmarkEnd w:id="124"/>
      <w:bookmarkEnd w:id="125"/>
      <w:bookmarkEnd w:id="126"/>
    </w:p>
    <w:p w14:paraId="3D04EF8E">
      <w:pPr>
        <w:keepNext/>
        <w:keepLines/>
        <w:spacing w:after="120" w:line="360" w:lineRule="auto"/>
        <w:jc w:val="left"/>
        <w:outlineLvl w:val="1"/>
        <w:rPr>
          <w:rFonts w:hint="eastAsia" w:ascii="宋体" w:hAnsi="宋体" w:cs="宋体"/>
          <w:b/>
          <w:color w:val="auto"/>
          <w:sz w:val="28"/>
          <w:szCs w:val="28"/>
          <w:highlight w:val="none"/>
        </w:rPr>
      </w:pPr>
      <w:bookmarkStart w:id="127" w:name="_Toc31272"/>
      <w:bookmarkStart w:id="128" w:name="_Toc26820"/>
      <w:bookmarkStart w:id="129" w:name="_Toc9149"/>
      <w:bookmarkStart w:id="130" w:name="_Toc26349"/>
      <w:bookmarkStart w:id="131" w:name="_Toc11958"/>
      <w:bookmarkStart w:id="132" w:name="_Toc28075"/>
      <w:bookmarkStart w:id="133" w:name="_Toc14713"/>
      <w:r>
        <w:rPr>
          <w:rFonts w:hint="eastAsia" w:ascii="宋体" w:hAnsi="宋体" w:cs="宋体"/>
          <w:b/>
          <w:bCs/>
          <w:color w:val="auto"/>
          <w:szCs w:val="21"/>
          <w:highlight w:val="none"/>
        </w:rPr>
        <w:t>供应商须具有独立承担民事责任的能力：</w:t>
      </w:r>
      <w:r>
        <w:rPr>
          <w:rFonts w:hint="eastAsia" w:ascii="宋体" w:hAnsi="宋体" w:cs="宋体"/>
          <w:b/>
          <w:bCs/>
          <w:color w:val="auto"/>
          <w:szCs w:val="21"/>
          <w:highlight w:val="none"/>
          <w:lang w:eastAsia="zh-CN"/>
        </w:rPr>
        <w:t>供应商须在中华人民共和国境内注册，具有独立承担民事责任的能力,提供法人或者其他组织的营业执照等证明文件（扫描件加盖供应商电子公章）</w:t>
      </w:r>
      <w:r>
        <w:rPr>
          <w:rFonts w:hint="eastAsia" w:ascii="宋体" w:hAnsi="宋体" w:cs="宋体"/>
          <w:b/>
          <w:bCs/>
          <w:color w:val="auto"/>
          <w:szCs w:val="21"/>
          <w:highlight w:val="none"/>
        </w:rPr>
        <w:t>；</w:t>
      </w:r>
      <w:r>
        <w:rPr>
          <w:rFonts w:hint="eastAsia" w:ascii="宋体" w:hAnsi="宋体" w:cs="宋体"/>
          <w:b/>
          <w:bCs/>
          <w:color w:val="auto"/>
          <w:sz w:val="28"/>
          <w:szCs w:val="32"/>
          <w:highlight w:val="none"/>
        </w:rPr>
        <w:br w:type="page"/>
      </w:r>
      <w:bookmarkStart w:id="134" w:name="_Toc491307367"/>
      <w:bookmarkStart w:id="135" w:name="_Toc491307305"/>
      <w:bookmarkStart w:id="136" w:name="_Toc491307487"/>
      <w:bookmarkStart w:id="137" w:name="_Toc494043341"/>
      <w:r>
        <w:rPr>
          <w:rFonts w:hint="eastAsia" w:ascii="宋体" w:hAnsi="宋体" w:cs="宋体"/>
          <w:b/>
          <w:color w:val="auto"/>
          <w:sz w:val="28"/>
          <w:szCs w:val="28"/>
          <w:highlight w:val="none"/>
        </w:rPr>
        <w:t>格式2</w:t>
      </w:r>
      <w:bookmarkEnd w:id="127"/>
      <w:bookmarkEnd w:id="128"/>
      <w:bookmarkEnd w:id="129"/>
      <w:bookmarkEnd w:id="130"/>
      <w:bookmarkEnd w:id="131"/>
      <w:bookmarkEnd w:id="132"/>
      <w:bookmarkEnd w:id="133"/>
      <w:bookmarkEnd w:id="134"/>
      <w:bookmarkEnd w:id="135"/>
      <w:bookmarkEnd w:id="136"/>
      <w:bookmarkEnd w:id="137"/>
    </w:p>
    <w:p w14:paraId="3F5CB3C6">
      <w:pPr>
        <w:tabs>
          <w:tab w:val="left" w:pos="720"/>
          <w:tab w:val="left" w:pos="8295"/>
        </w:tabs>
        <w:spacing w:line="360" w:lineRule="auto"/>
        <w:jc w:val="left"/>
        <w:rPr>
          <w:rFonts w:hint="eastAsia" w:ascii="宋体" w:hAnsi="宋体" w:eastAsia="宋体" w:cs="宋体"/>
          <w:b/>
          <w:bCs/>
          <w:color w:val="auto"/>
          <w:szCs w:val="21"/>
          <w:highlight w:val="none"/>
        </w:rPr>
      </w:pPr>
      <w:bookmarkStart w:id="138" w:name="_Toc494043342"/>
      <w:r>
        <w:rPr>
          <w:rFonts w:hint="eastAsia" w:ascii="宋体" w:hAnsi="宋体" w:cs="宋体"/>
          <w:b/>
          <w:bCs/>
          <w:color w:val="auto"/>
          <w:szCs w:val="21"/>
          <w:highlight w:val="none"/>
        </w:rPr>
        <w:t>具有良好的商业信誉和健全的财务会计制度：</w:t>
      </w:r>
      <w:r>
        <w:rPr>
          <w:rFonts w:hint="eastAsia" w:ascii="宋体" w:hAnsi="宋体" w:cs="宋体"/>
          <w:b/>
          <w:bCs/>
          <w:color w:val="auto"/>
          <w:szCs w:val="21"/>
          <w:highlight w:val="none"/>
          <w:lang w:eastAsia="zh-CN"/>
        </w:rPr>
        <w:t>提供供应商2022年至今任意一年度经第三方审计的财务报告及报表（报表至少应包括资产负债表、利润表（损益表）、现金流量表）或提供自提交响应文件截止时间前三个月内基本开户银行出具的资信证明（扫描件加盖供应商电子公章）</w:t>
      </w:r>
      <w:r>
        <w:rPr>
          <w:rFonts w:hint="eastAsia" w:ascii="宋体" w:hAnsi="宋体" w:eastAsia="宋体" w:cs="宋体"/>
          <w:b/>
          <w:bCs/>
          <w:color w:val="auto"/>
          <w:szCs w:val="21"/>
          <w:highlight w:val="none"/>
        </w:rPr>
        <w:t>；</w:t>
      </w:r>
    </w:p>
    <w:p w14:paraId="3F70293A">
      <w:pPr>
        <w:keepNext/>
        <w:keepLines/>
        <w:spacing w:after="120" w:line="360" w:lineRule="auto"/>
        <w:jc w:val="left"/>
        <w:outlineLvl w:val="1"/>
        <w:rPr>
          <w:rFonts w:hint="eastAsia" w:ascii="宋体" w:hAnsi="宋体" w:cs="宋体"/>
          <w:b/>
          <w:color w:val="auto"/>
          <w:sz w:val="28"/>
          <w:szCs w:val="28"/>
          <w:highlight w:val="none"/>
        </w:rPr>
      </w:pPr>
      <w:r>
        <w:rPr>
          <w:rFonts w:hint="eastAsia" w:ascii="宋体" w:hAnsi="宋体" w:cs="宋体"/>
          <w:b/>
          <w:bCs/>
          <w:color w:val="auto"/>
          <w:sz w:val="28"/>
          <w:szCs w:val="32"/>
          <w:highlight w:val="none"/>
        </w:rPr>
        <w:br w:type="page"/>
      </w:r>
      <w:bookmarkStart w:id="139" w:name="_Toc494043343"/>
      <w:bookmarkStart w:id="140" w:name="_Toc491307489"/>
      <w:bookmarkStart w:id="141" w:name="_Toc19840"/>
      <w:bookmarkStart w:id="142" w:name="_Toc491307369"/>
      <w:bookmarkStart w:id="143" w:name="_Toc5820"/>
      <w:bookmarkStart w:id="144" w:name="_Toc3019"/>
      <w:bookmarkStart w:id="145" w:name="_Toc491307307"/>
      <w:r>
        <w:rPr>
          <w:rFonts w:hint="eastAsia" w:ascii="宋体" w:hAnsi="宋体" w:cs="宋体"/>
          <w:b/>
          <w:color w:val="auto"/>
          <w:sz w:val="28"/>
          <w:szCs w:val="28"/>
          <w:highlight w:val="none"/>
        </w:rPr>
        <w:t>格式3</w:t>
      </w:r>
      <w:bookmarkEnd w:id="138"/>
      <w:bookmarkEnd w:id="139"/>
      <w:bookmarkEnd w:id="140"/>
      <w:bookmarkEnd w:id="141"/>
      <w:bookmarkEnd w:id="142"/>
      <w:bookmarkEnd w:id="143"/>
      <w:bookmarkEnd w:id="144"/>
      <w:bookmarkEnd w:id="145"/>
    </w:p>
    <w:p w14:paraId="7E159AA1">
      <w:pPr>
        <w:tabs>
          <w:tab w:val="left" w:pos="720"/>
          <w:tab w:val="left" w:pos="8295"/>
        </w:tabs>
        <w:spacing w:line="360" w:lineRule="auto"/>
        <w:jc w:val="left"/>
        <w:rPr>
          <w:rFonts w:hint="eastAsia" w:ascii="宋体" w:hAnsi="宋体" w:cs="宋体"/>
          <w:b/>
          <w:bCs/>
          <w:color w:val="auto"/>
          <w:szCs w:val="21"/>
          <w:highlight w:val="none"/>
        </w:rPr>
      </w:pPr>
      <w:bookmarkStart w:id="146" w:name="_Toc8081"/>
      <w:bookmarkStart w:id="147" w:name="_Toc494043345"/>
      <w:bookmarkStart w:id="148" w:name="_Toc4913"/>
      <w:bookmarkStart w:id="149" w:name="_Toc491307309"/>
      <w:bookmarkStart w:id="150" w:name="_Toc22270"/>
      <w:bookmarkStart w:id="151" w:name="_Toc491307371"/>
      <w:bookmarkStart w:id="152" w:name="_Toc31023"/>
      <w:bookmarkStart w:id="153" w:name="_Toc491307491"/>
      <w:r>
        <w:rPr>
          <w:rFonts w:hint="eastAsia" w:ascii="宋体" w:hAnsi="宋体" w:cs="宋体"/>
          <w:b/>
          <w:bCs/>
          <w:color w:val="auto"/>
          <w:szCs w:val="21"/>
          <w:highlight w:val="none"/>
        </w:rPr>
        <w:t>具有履行合同所必需的设备和专业技术能力：供应商须具有履行合同所必需的设备和专业技术能力证明材料或书面声明（加盖供应商电子公章）；</w:t>
      </w:r>
    </w:p>
    <w:p w14:paraId="3FCE8B48">
      <w:pPr>
        <w:keepNext/>
        <w:keepLines/>
        <w:spacing w:after="120" w:line="360" w:lineRule="auto"/>
        <w:jc w:val="left"/>
        <w:outlineLvl w:val="1"/>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bookmarkStart w:id="154" w:name="_Toc19995"/>
      <w:bookmarkStart w:id="155" w:name="_Toc898"/>
      <w:bookmarkStart w:id="156" w:name="_Toc17883"/>
      <w:r>
        <w:rPr>
          <w:rFonts w:hint="eastAsia" w:ascii="宋体" w:hAnsi="宋体" w:cs="宋体"/>
          <w:b/>
          <w:color w:val="auto"/>
          <w:sz w:val="28"/>
          <w:szCs w:val="28"/>
          <w:highlight w:val="none"/>
        </w:rPr>
        <w:t>格式4</w:t>
      </w:r>
      <w:bookmarkEnd w:id="146"/>
      <w:bookmarkEnd w:id="147"/>
      <w:bookmarkEnd w:id="148"/>
      <w:bookmarkEnd w:id="149"/>
      <w:bookmarkEnd w:id="150"/>
      <w:bookmarkEnd w:id="151"/>
      <w:bookmarkEnd w:id="152"/>
      <w:bookmarkEnd w:id="153"/>
      <w:bookmarkEnd w:id="154"/>
      <w:bookmarkEnd w:id="155"/>
      <w:bookmarkEnd w:id="156"/>
    </w:p>
    <w:p w14:paraId="5A806E12">
      <w:pPr>
        <w:tabs>
          <w:tab w:val="left" w:pos="720"/>
          <w:tab w:val="left" w:pos="8295"/>
        </w:tabs>
        <w:spacing w:line="360" w:lineRule="auto"/>
        <w:jc w:val="left"/>
        <w:rPr>
          <w:rFonts w:hint="eastAsia" w:ascii="宋体" w:hAnsi="宋体" w:cs="宋体"/>
          <w:b/>
          <w:bCs/>
          <w:color w:val="auto"/>
          <w:szCs w:val="21"/>
          <w:highlight w:val="none"/>
        </w:rPr>
      </w:pPr>
      <w:bookmarkStart w:id="157" w:name="_Toc31734"/>
      <w:r>
        <w:rPr>
          <w:rFonts w:hint="eastAsia" w:ascii="宋体" w:hAnsi="宋体" w:cs="宋体"/>
          <w:b/>
          <w:bCs/>
          <w:color w:val="auto"/>
          <w:szCs w:val="21"/>
          <w:highlight w:val="none"/>
        </w:rPr>
        <w:t>有依法缴纳税收和社会保障资金的良好记录：</w:t>
      </w:r>
    </w:p>
    <w:p w14:paraId="6CCAFEA3">
      <w:pPr>
        <w:tabs>
          <w:tab w:val="left" w:pos="720"/>
          <w:tab w:val="left" w:pos="8295"/>
        </w:tabs>
        <w:spacing w:line="36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1</w:t>
      </w:r>
      <w:r>
        <w:rPr>
          <w:rFonts w:hint="eastAsia" w:ascii="宋体" w:hAnsi="宋体" w:cs="宋体"/>
          <w:b/>
          <w:bCs/>
          <w:color w:val="auto"/>
          <w:szCs w:val="21"/>
          <w:highlight w:val="none"/>
          <w:lang w:val="en-US" w:eastAsia="zh-CN"/>
        </w:rPr>
        <w:t>.</w:t>
      </w:r>
      <w:r>
        <w:rPr>
          <w:rFonts w:hint="eastAsia" w:ascii="宋体" w:hAnsi="宋体" w:cs="宋体"/>
          <w:b/>
          <w:bCs/>
          <w:color w:val="auto"/>
          <w:szCs w:val="21"/>
          <w:highlight w:val="none"/>
          <w:lang w:eastAsia="zh-CN"/>
        </w:rPr>
        <w:t>供应商须提供缴税所属时间在2023年01月至本项目提交响应文件截止时间前任意2个月的税务局税收通用缴款书或银行电子缴税（费）凭证或税务局出具纳税情况的相关证明，依法免税或免缴的，应提供相关证明文件（扫描件加盖供应商电子公章）或说明（加盖供应商电子公章），新成立未满一年的供应商，依法免税或免缴的，应提供相关证明文件（扫描件加盖供应商电子公章）或说明（加盖供应商电子公章）</w:t>
      </w:r>
      <w:r>
        <w:rPr>
          <w:rFonts w:hint="eastAsia" w:ascii="宋体" w:hAnsi="宋体" w:cs="宋体"/>
          <w:b/>
          <w:bCs/>
          <w:color w:val="auto"/>
          <w:szCs w:val="21"/>
          <w:highlight w:val="none"/>
        </w:rPr>
        <w:t>；</w:t>
      </w:r>
    </w:p>
    <w:p w14:paraId="39DFB126">
      <w:pPr>
        <w:tabs>
          <w:tab w:val="left" w:pos="720"/>
          <w:tab w:val="left" w:pos="8295"/>
        </w:tabs>
        <w:spacing w:line="36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2</w:t>
      </w:r>
      <w:r>
        <w:rPr>
          <w:rFonts w:hint="eastAsia" w:ascii="宋体" w:hAnsi="宋体" w:cs="宋体"/>
          <w:b/>
          <w:bCs/>
          <w:color w:val="auto"/>
          <w:szCs w:val="21"/>
          <w:highlight w:val="none"/>
          <w:lang w:val="en-US" w:eastAsia="zh-CN"/>
        </w:rPr>
        <w:t>.</w:t>
      </w:r>
      <w:r>
        <w:rPr>
          <w:rFonts w:hint="eastAsia" w:ascii="宋体" w:hAnsi="宋体" w:cs="宋体"/>
          <w:b/>
          <w:bCs/>
          <w:color w:val="auto"/>
          <w:szCs w:val="21"/>
          <w:highlight w:val="none"/>
          <w:lang w:eastAsia="zh-CN"/>
        </w:rPr>
        <w:t>供应商须提供缴费所属时间在2023年01月至本项目提交响应文件截止时间前任意2个月的社会保险费缴款书或银行电子缴税（费）凭证或社保管理部门出具的有效的缴款证明，依法免缴的，应提供依法免缴的相关证明文件（扫描件加盖供应商电子公章）或说明（加盖供应商电子公章），新成立未满一年的供应商，依法免缴的，应提供依法免缴的相关证明文件（扫描件加盖供应商电子公章）或说明（加盖供应商电子公章）</w:t>
      </w:r>
      <w:r>
        <w:rPr>
          <w:rFonts w:hint="eastAsia" w:ascii="宋体" w:hAnsi="宋体" w:cs="宋体"/>
          <w:b/>
          <w:bCs/>
          <w:color w:val="auto"/>
          <w:szCs w:val="21"/>
          <w:highlight w:val="none"/>
        </w:rPr>
        <w:t>；</w:t>
      </w:r>
    </w:p>
    <w:p w14:paraId="203583C2">
      <w:pPr>
        <w:keepNext/>
        <w:keepLines/>
        <w:spacing w:after="120" w:line="360" w:lineRule="auto"/>
        <w:jc w:val="left"/>
        <w:outlineLvl w:val="1"/>
        <w:rPr>
          <w:rFonts w:hint="eastAsia" w:ascii="宋体" w:hAnsi="宋体" w:cs="宋体"/>
          <w:b/>
          <w:color w:val="auto"/>
          <w:sz w:val="28"/>
          <w:szCs w:val="28"/>
          <w:highlight w:val="none"/>
        </w:rPr>
      </w:pPr>
      <w:r>
        <w:rPr>
          <w:rFonts w:hint="eastAsia" w:ascii="宋体" w:hAnsi="宋体" w:cs="宋体"/>
          <w:b/>
          <w:bCs/>
          <w:color w:val="auto"/>
          <w:kern w:val="0"/>
          <w:szCs w:val="21"/>
          <w:highlight w:val="none"/>
        </w:rPr>
        <w:br w:type="page"/>
      </w:r>
      <w:bookmarkStart w:id="158" w:name="_Toc491307493"/>
      <w:bookmarkStart w:id="159" w:name="_Toc19119"/>
      <w:bookmarkStart w:id="160" w:name="_Toc4616"/>
      <w:bookmarkStart w:id="161" w:name="_Toc491307373"/>
      <w:bookmarkStart w:id="162" w:name="_Toc1716"/>
      <w:bookmarkStart w:id="163" w:name="_Toc494043347"/>
      <w:bookmarkStart w:id="164" w:name="_Toc491307311"/>
      <w:bookmarkStart w:id="165" w:name="_Toc24389"/>
      <w:bookmarkStart w:id="166" w:name="_Toc32575"/>
      <w:bookmarkStart w:id="167" w:name="_Toc26797"/>
      <w:r>
        <w:rPr>
          <w:rFonts w:hint="eastAsia" w:ascii="宋体" w:hAnsi="宋体" w:cs="宋体"/>
          <w:b/>
          <w:color w:val="auto"/>
          <w:sz w:val="28"/>
          <w:szCs w:val="28"/>
          <w:highlight w:val="none"/>
        </w:rPr>
        <w:t>格式5</w:t>
      </w:r>
      <w:bookmarkEnd w:id="157"/>
      <w:bookmarkEnd w:id="158"/>
      <w:bookmarkEnd w:id="159"/>
      <w:bookmarkEnd w:id="160"/>
      <w:bookmarkEnd w:id="161"/>
      <w:bookmarkEnd w:id="162"/>
      <w:bookmarkEnd w:id="163"/>
      <w:bookmarkEnd w:id="164"/>
      <w:bookmarkEnd w:id="165"/>
      <w:bookmarkEnd w:id="166"/>
      <w:bookmarkEnd w:id="167"/>
    </w:p>
    <w:p w14:paraId="00905C83">
      <w:pPr>
        <w:tabs>
          <w:tab w:val="left" w:pos="720"/>
          <w:tab w:val="left" w:pos="8295"/>
        </w:tabs>
        <w:spacing w:line="360" w:lineRule="auto"/>
        <w:jc w:val="left"/>
        <w:rPr>
          <w:rFonts w:hint="eastAsia" w:ascii="宋体" w:hAnsi="宋体" w:cs="宋体"/>
          <w:b/>
          <w:bCs/>
          <w:color w:val="auto"/>
          <w:szCs w:val="21"/>
          <w:highlight w:val="none"/>
        </w:rPr>
      </w:pPr>
      <w:bookmarkStart w:id="168" w:name="_Toc29523"/>
      <w:bookmarkStart w:id="169" w:name="_Toc31320"/>
      <w:bookmarkStart w:id="170" w:name="_Toc1713"/>
      <w:bookmarkStart w:id="171" w:name="_Toc32754"/>
      <w:bookmarkStart w:id="172" w:name="_Toc17016"/>
      <w:r>
        <w:rPr>
          <w:rFonts w:hint="eastAsia" w:ascii="宋体" w:hAnsi="宋体" w:cs="宋体"/>
          <w:b/>
          <w:bCs/>
          <w:color w:val="auto"/>
          <w:szCs w:val="21"/>
          <w:highlight w:val="none"/>
        </w:rPr>
        <w:t>参加政府采购活动前三年内，在经营活动中没有重大违法记录：提供供应商参加政府采购活动前三年内，在经营活动中没有重大违法记录（重大违法记录，是指供应商因违法经营受到刑事处罚或者责令停产停业、吊销许可证或者执照、较大数额罚款等行政处罚）的书面声明（原件</w:t>
      </w:r>
      <w:r>
        <w:rPr>
          <w:rFonts w:hint="eastAsia" w:ascii="宋体" w:hAnsi="宋体" w:cs="宋体"/>
          <w:b/>
          <w:bCs/>
          <w:color w:val="auto"/>
          <w:szCs w:val="21"/>
          <w:highlight w:val="none"/>
          <w:lang w:eastAsia="zh-CN"/>
        </w:rPr>
        <w:t>加盖供应商电子公章</w:t>
      </w:r>
      <w:r>
        <w:rPr>
          <w:rFonts w:hint="eastAsia" w:ascii="宋体" w:hAnsi="宋体" w:cs="宋体"/>
          <w:b/>
          <w:bCs/>
          <w:color w:val="auto"/>
          <w:szCs w:val="21"/>
          <w:highlight w:val="none"/>
        </w:rPr>
        <w:t>）；</w:t>
      </w:r>
    </w:p>
    <w:p w14:paraId="21E523E2">
      <w:pPr>
        <w:keepNext/>
        <w:keepLines/>
        <w:spacing w:after="120" w:line="360" w:lineRule="auto"/>
        <w:jc w:val="left"/>
        <w:outlineLvl w:val="1"/>
        <w:rPr>
          <w:rFonts w:hint="eastAsia" w:ascii="宋体" w:hAnsi="宋体" w:cs="宋体"/>
          <w:b/>
          <w:color w:val="auto"/>
          <w:sz w:val="28"/>
          <w:szCs w:val="28"/>
          <w:highlight w:val="none"/>
        </w:rPr>
      </w:pPr>
      <w:r>
        <w:rPr>
          <w:rFonts w:hint="eastAsia" w:ascii="宋体" w:hAnsi="宋体" w:cs="宋体"/>
          <w:b/>
          <w:bCs/>
          <w:color w:val="auto"/>
          <w:sz w:val="28"/>
          <w:szCs w:val="32"/>
          <w:highlight w:val="none"/>
        </w:rPr>
        <w:br w:type="page"/>
      </w:r>
      <w:bookmarkEnd w:id="168"/>
      <w:bookmarkEnd w:id="169"/>
      <w:bookmarkEnd w:id="170"/>
      <w:bookmarkEnd w:id="171"/>
      <w:bookmarkEnd w:id="172"/>
      <w:bookmarkStart w:id="173" w:name="_Toc491307497"/>
      <w:bookmarkStart w:id="174" w:name="_Toc494043351"/>
      <w:bookmarkStart w:id="175" w:name="_Toc491307315"/>
      <w:bookmarkStart w:id="176" w:name="_Toc29118"/>
      <w:bookmarkStart w:id="177" w:name="_Toc21721"/>
      <w:bookmarkStart w:id="178" w:name="_Toc491307377"/>
      <w:bookmarkStart w:id="179" w:name="_Toc14608"/>
      <w:bookmarkStart w:id="180" w:name="_Toc8737"/>
      <w:bookmarkStart w:id="181" w:name="_Toc21141"/>
      <w:bookmarkStart w:id="182" w:name="_Toc25073"/>
      <w:bookmarkStart w:id="183" w:name="_Toc28350"/>
      <w:bookmarkStart w:id="184" w:name="_Toc29788"/>
      <w:bookmarkStart w:id="185" w:name="_Toc491307317"/>
      <w:bookmarkStart w:id="186" w:name="_Toc491307379"/>
      <w:bookmarkStart w:id="187" w:name="_Toc16661"/>
      <w:bookmarkStart w:id="188" w:name="_Toc23859"/>
      <w:bookmarkStart w:id="189" w:name="_Toc16792"/>
      <w:bookmarkStart w:id="190" w:name="_Toc494043353"/>
      <w:bookmarkStart w:id="191" w:name="_Toc491307499"/>
      <w:bookmarkStart w:id="192" w:name="_Toc7271"/>
      <w:r>
        <w:rPr>
          <w:rFonts w:hint="eastAsia" w:ascii="宋体" w:hAnsi="宋体" w:cs="宋体"/>
          <w:b/>
          <w:color w:val="auto"/>
          <w:sz w:val="28"/>
          <w:szCs w:val="28"/>
          <w:highlight w:val="none"/>
        </w:rPr>
        <w:t>格式</w:t>
      </w:r>
      <w:bookmarkEnd w:id="173"/>
      <w:bookmarkEnd w:id="174"/>
      <w:bookmarkEnd w:id="175"/>
      <w:bookmarkEnd w:id="176"/>
      <w:bookmarkEnd w:id="177"/>
      <w:bookmarkEnd w:id="178"/>
      <w:bookmarkEnd w:id="179"/>
      <w:bookmarkEnd w:id="180"/>
      <w:bookmarkEnd w:id="181"/>
      <w:r>
        <w:rPr>
          <w:rFonts w:hint="eastAsia" w:ascii="宋体" w:hAnsi="宋体" w:cs="宋体"/>
          <w:b/>
          <w:color w:val="auto"/>
          <w:sz w:val="28"/>
          <w:szCs w:val="28"/>
          <w:highlight w:val="none"/>
        </w:rPr>
        <w:t>6</w:t>
      </w:r>
      <w:bookmarkEnd w:id="182"/>
      <w:bookmarkEnd w:id="183"/>
    </w:p>
    <w:p w14:paraId="4E5D3E9B">
      <w:pPr>
        <w:keepNext/>
        <w:keepLines/>
        <w:spacing w:after="120" w:line="360" w:lineRule="auto"/>
        <w:jc w:val="left"/>
        <w:outlineLvl w:val="1"/>
        <w:rPr>
          <w:rFonts w:hint="eastAsia" w:ascii="宋体" w:hAnsi="宋体" w:cs="宋体"/>
          <w:b/>
          <w:bCs/>
          <w:color w:val="auto"/>
          <w:szCs w:val="21"/>
          <w:highlight w:val="none"/>
          <w:lang w:eastAsia="zh-CN"/>
        </w:rPr>
      </w:pPr>
      <w:bookmarkStart w:id="193" w:name="_Toc4052"/>
      <w:bookmarkStart w:id="194" w:name="_Toc27278"/>
      <w:r>
        <w:rPr>
          <w:rFonts w:hint="eastAsia" w:ascii="宋体" w:hAnsi="宋体" w:cs="宋体"/>
          <w:b/>
          <w:bCs/>
          <w:color w:val="auto"/>
          <w:szCs w:val="21"/>
          <w:highlight w:val="none"/>
          <w:lang w:eastAsia="zh-CN"/>
        </w:rPr>
        <w:t>法律、行政法规规定的其他条件：</w:t>
      </w:r>
    </w:p>
    <w:p w14:paraId="27C44958">
      <w:pPr>
        <w:keepNext/>
        <w:keepLines/>
        <w:spacing w:after="120" w:line="360" w:lineRule="auto"/>
        <w:jc w:val="left"/>
        <w:outlineLvl w:val="1"/>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t>1</w:t>
      </w:r>
      <w:r>
        <w:rPr>
          <w:rFonts w:hint="eastAsia" w:ascii="宋体" w:hAnsi="宋体" w:cs="宋体"/>
          <w:b/>
          <w:bCs/>
          <w:color w:val="auto"/>
          <w:szCs w:val="21"/>
          <w:highlight w:val="none"/>
          <w:lang w:val="en-US" w:eastAsia="zh-CN"/>
        </w:rPr>
        <w:t>.</w:t>
      </w:r>
      <w:r>
        <w:rPr>
          <w:rFonts w:hint="eastAsia" w:ascii="宋体" w:hAnsi="宋体" w:cs="宋体"/>
          <w:b/>
          <w:bCs/>
          <w:color w:val="auto"/>
          <w:szCs w:val="21"/>
          <w:highlight w:val="none"/>
          <w:lang w:eastAsia="zh-CN"/>
        </w:rPr>
        <w:t>单位负责人为同一人或者存在直接控股、管理关系的不同供应商，不得参加同一合同项下的政府采购活动（提供承诺函加盖供应商公章）；</w:t>
      </w:r>
    </w:p>
    <w:p w14:paraId="488ED11D">
      <w:pPr>
        <w:keepNext/>
        <w:keepLines/>
        <w:spacing w:after="120" w:line="360" w:lineRule="auto"/>
        <w:jc w:val="left"/>
        <w:outlineLvl w:val="1"/>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val="en-US" w:eastAsia="zh-CN"/>
        </w:rPr>
        <w:t>2.</w:t>
      </w:r>
      <w:r>
        <w:rPr>
          <w:rFonts w:hint="eastAsia" w:ascii="宋体" w:hAnsi="宋体" w:cs="宋体"/>
          <w:b/>
          <w:bCs/>
          <w:color w:val="auto"/>
          <w:szCs w:val="21"/>
          <w:highlight w:val="none"/>
          <w:lang w:eastAsia="zh-CN"/>
        </w:rPr>
        <w:t>为本采购项目提供整体设计、规范编制或者项目管理、监理、检测等服务的供应商，不得再参加本采购项目的其他采购活动的书面声明（提供书面声明函加盖供应商公章）；</w:t>
      </w:r>
    </w:p>
    <w:p w14:paraId="652663E4">
      <w:pPr>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br w:type="page"/>
      </w:r>
    </w:p>
    <w:p w14:paraId="68BA2501">
      <w:pPr>
        <w:keepNext/>
        <w:keepLines/>
        <w:spacing w:after="120" w:line="360" w:lineRule="auto"/>
        <w:jc w:val="left"/>
        <w:outlineLvl w:val="1"/>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rPr>
        <w:t>格式</w:t>
      </w:r>
      <w:r>
        <w:rPr>
          <w:rFonts w:hint="eastAsia" w:ascii="宋体" w:hAnsi="宋体" w:cs="宋体"/>
          <w:b/>
          <w:color w:val="auto"/>
          <w:sz w:val="28"/>
          <w:szCs w:val="28"/>
          <w:highlight w:val="none"/>
          <w:lang w:val="en-US" w:eastAsia="zh-CN"/>
        </w:rPr>
        <w:t>7</w:t>
      </w:r>
    </w:p>
    <w:p w14:paraId="1B818DFD">
      <w:pPr>
        <w:keepNext/>
        <w:keepLines/>
        <w:spacing w:after="120" w:line="360" w:lineRule="auto"/>
        <w:jc w:val="left"/>
        <w:outlineLvl w:val="1"/>
        <w:rPr>
          <w:rFonts w:hint="eastAsia" w:ascii="宋体" w:hAnsi="宋体" w:cs="宋体"/>
          <w:b/>
          <w:bCs/>
          <w:color w:val="auto"/>
          <w:szCs w:val="21"/>
          <w:highlight w:val="none"/>
        </w:rPr>
      </w:pPr>
      <w:r>
        <w:rPr>
          <w:rFonts w:hint="eastAsia" w:ascii="宋体" w:hAnsi="宋体" w:cs="宋体"/>
          <w:b/>
          <w:bCs/>
          <w:color w:val="auto"/>
          <w:szCs w:val="21"/>
          <w:highlight w:val="none"/>
          <w:lang w:eastAsia="zh-CN"/>
        </w:rPr>
        <w:t>落实政府采购政策需满足的资格要求：无</w:t>
      </w:r>
      <w:r>
        <w:rPr>
          <w:rFonts w:hint="eastAsia" w:ascii="宋体" w:hAnsi="宋体" w:cs="宋体"/>
          <w:b/>
          <w:bCs/>
          <w:color w:val="auto"/>
          <w:szCs w:val="21"/>
          <w:highlight w:val="none"/>
        </w:rPr>
        <w:t>；</w:t>
      </w:r>
      <w:bookmarkEnd w:id="193"/>
      <w:bookmarkEnd w:id="194"/>
    </w:p>
    <w:p w14:paraId="50E30651">
      <w:pPr>
        <w:keepNext/>
        <w:keepLines/>
        <w:spacing w:after="120" w:line="360" w:lineRule="auto"/>
        <w:jc w:val="left"/>
        <w:outlineLvl w:val="1"/>
        <w:rPr>
          <w:rFonts w:hint="eastAsia" w:ascii="宋体" w:hAnsi="宋体" w:cs="宋体"/>
          <w:b/>
          <w:color w:val="auto"/>
          <w:sz w:val="28"/>
          <w:szCs w:val="28"/>
          <w:highlight w:val="none"/>
        </w:rPr>
      </w:pPr>
      <w:bookmarkStart w:id="195" w:name="_Toc13540"/>
    </w:p>
    <w:p w14:paraId="3A303587">
      <w:pPr>
        <w:keepNext/>
        <w:keepLines/>
        <w:spacing w:after="120" w:line="360" w:lineRule="auto"/>
        <w:jc w:val="left"/>
        <w:outlineLvl w:val="1"/>
        <w:rPr>
          <w:rFonts w:hint="eastAsia" w:ascii="宋体" w:hAnsi="宋体" w:eastAsia="宋体" w:cs="宋体"/>
          <w:b/>
          <w:color w:val="auto"/>
          <w:sz w:val="28"/>
          <w:szCs w:val="28"/>
          <w:highlight w:val="none"/>
          <w:lang w:val="en-US" w:eastAsia="zh-CN"/>
        </w:rPr>
      </w:pPr>
      <w:bookmarkStart w:id="196" w:name="_Toc26447"/>
      <w:r>
        <w:rPr>
          <w:rFonts w:hint="eastAsia" w:ascii="宋体" w:hAnsi="宋体" w:cs="宋体"/>
          <w:b/>
          <w:color w:val="auto"/>
          <w:sz w:val="28"/>
          <w:szCs w:val="28"/>
          <w:highlight w:val="none"/>
        </w:rPr>
        <w:t>格式</w:t>
      </w:r>
      <w:bookmarkEnd w:id="195"/>
      <w:bookmarkEnd w:id="196"/>
      <w:r>
        <w:rPr>
          <w:rFonts w:hint="eastAsia" w:ascii="宋体" w:hAnsi="宋体" w:cs="宋体"/>
          <w:b/>
          <w:color w:val="auto"/>
          <w:sz w:val="28"/>
          <w:szCs w:val="28"/>
          <w:highlight w:val="none"/>
          <w:lang w:val="en-US" w:eastAsia="zh-CN"/>
        </w:rPr>
        <w:t>8</w:t>
      </w:r>
    </w:p>
    <w:p w14:paraId="1604F850">
      <w:pPr>
        <w:keepNext/>
        <w:keepLines/>
        <w:spacing w:before="120" w:after="120" w:line="360" w:lineRule="auto"/>
        <w:jc w:val="left"/>
        <w:outlineLvl w:val="1"/>
        <w:rPr>
          <w:rFonts w:hint="eastAsia" w:ascii="宋体" w:hAnsi="宋体" w:cs="宋体"/>
          <w:b/>
          <w:bCs/>
          <w:color w:val="auto"/>
          <w:szCs w:val="21"/>
          <w:highlight w:val="none"/>
          <w:lang w:eastAsia="zh-CN"/>
        </w:rPr>
      </w:pPr>
      <w:bookmarkStart w:id="197" w:name="_Toc29488"/>
      <w:bookmarkStart w:id="198" w:name="_Toc12523"/>
      <w:r>
        <w:rPr>
          <w:rFonts w:hint="eastAsia" w:ascii="宋体" w:hAnsi="宋体" w:cs="宋体"/>
          <w:b/>
          <w:bCs/>
          <w:color w:val="auto"/>
          <w:szCs w:val="21"/>
          <w:highlight w:val="none"/>
        </w:rPr>
        <w:t>本项目的特定资格要求：</w:t>
      </w:r>
      <w:r>
        <w:rPr>
          <w:rFonts w:hint="eastAsia" w:ascii="宋体" w:hAnsi="宋体" w:cs="宋体"/>
          <w:b/>
          <w:bCs/>
          <w:color w:val="auto"/>
          <w:szCs w:val="21"/>
          <w:highlight w:val="none"/>
          <w:lang w:eastAsia="zh-CN"/>
        </w:rPr>
        <w:t>供应商属于国家密码管理局第49号公告中《商用密码检测机构(商用密码应用安全性评估业务)目录》的机构。</w:t>
      </w:r>
      <w:bookmarkEnd w:id="197"/>
      <w:bookmarkEnd w:id="198"/>
    </w:p>
    <w:p w14:paraId="4BF7C857">
      <w:pPr>
        <w:keepNext/>
        <w:keepLines/>
        <w:spacing w:before="120" w:after="120" w:line="360" w:lineRule="auto"/>
        <w:jc w:val="center"/>
        <w:outlineLvl w:val="9"/>
        <w:rPr>
          <w:rFonts w:hint="eastAsia" w:ascii="宋体" w:hAnsi="宋体" w:cs="宋体"/>
          <w:b/>
          <w:color w:val="auto"/>
          <w:szCs w:val="21"/>
          <w:highlight w:val="none"/>
        </w:rPr>
      </w:pPr>
      <w:r>
        <w:rPr>
          <w:rFonts w:hint="eastAsia" w:ascii="宋体" w:hAnsi="宋体" w:cs="宋体"/>
          <w:b/>
          <w:color w:val="auto"/>
          <w:szCs w:val="21"/>
          <w:highlight w:val="none"/>
        </w:rPr>
        <w:br w:type="page"/>
      </w:r>
      <w:bookmarkEnd w:id="113"/>
      <w:bookmarkEnd w:id="114"/>
      <w:bookmarkEnd w:id="115"/>
      <w:bookmarkEnd w:id="184"/>
      <w:bookmarkEnd w:id="185"/>
      <w:bookmarkEnd w:id="186"/>
      <w:bookmarkEnd w:id="187"/>
      <w:bookmarkEnd w:id="188"/>
      <w:bookmarkEnd w:id="189"/>
      <w:bookmarkEnd w:id="190"/>
      <w:bookmarkEnd w:id="191"/>
      <w:bookmarkEnd w:id="192"/>
      <w:bookmarkStart w:id="199" w:name="_Toc8780"/>
      <w:bookmarkStart w:id="200" w:name="_Toc29160"/>
      <w:bookmarkStart w:id="201" w:name="_Toc62"/>
      <w:bookmarkStart w:id="202" w:name="_Toc8922"/>
      <w:bookmarkStart w:id="203" w:name="_Toc32127"/>
      <w:bookmarkStart w:id="204" w:name="_Toc727"/>
      <w:bookmarkStart w:id="205" w:name="_Toc13069"/>
      <w:bookmarkStart w:id="206" w:name="_Toc28272"/>
      <w:bookmarkStart w:id="207" w:name="_Toc896"/>
      <w:bookmarkStart w:id="208" w:name="_Toc23190"/>
      <w:r>
        <w:rPr>
          <w:rFonts w:hint="eastAsia" w:ascii="宋体" w:hAnsi="宋体" w:cs="宋体"/>
          <w:b/>
          <w:bCs/>
          <w:color w:val="auto"/>
          <w:sz w:val="32"/>
          <w:szCs w:val="36"/>
          <w:highlight w:val="none"/>
        </w:rPr>
        <w:t>二、报价文件</w:t>
      </w:r>
    </w:p>
    <w:p w14:paraId="25C5CC84">
      <w:pPr>
        <w:keepNext/>
        <w:keepLines/>
        <w:spacing w:after="120" w:line="360" w:lineRule="auto"/>
        <w:jc w:val="left"/>
        <w:outlineLvl w:val="1"/>
        <w:rPr>
          <w:rFonts w:hint="eastAsia" w:ascii="宋体" w:hAnsi="宋体" w:eastAsia="宋体" w:cs="宋体"/>
          <w:b/>
          <w:bCs/>
          <w:color w:val="auto"/>
          <w:sz w:val="28"/>
          <w:szCs w:val="21"/>
          <w:highlight w:val="none"/>
          <w:lang w:val="en-US" w:eastAsia="zh-CN"/>
        </w:rPr>
      </w:pPr>
      <w:bookmarkStart w:id="209" w:name="_Toc11940"/>
      <w:bookmarkStart w:id="210" w:name="_Toc14158"/>
      <w:r>
        <w:rPr>
          <w:rFonts w:hint="eastAsia" w:ascii="宋体" w:hAnsi="宋体" w:cs="宋体"/>
          <w:b/>
          <w:color w:val="auto"/>
          <w:sz w:val="28"/>
          <w:szCs w:val="28"/>
          <w:highlight w:val="none"/>
        </w:rPr>
        <w:t>格式</w:t>
      </w:r>
      <w:bookmarkEnd w:id="199"/>
      <w:bookmarkEnd w:id="200"/>
      <w:bookmarkEnd w:id="201"/>
      <w:bookmarkEnd w:id="202"/>
      <w:bookmarkEnd w:id="203"/>
      <w:bookmarkEnd w:id="209"/>
      <w:bookmarkEnd w:id="210"/>
      <w:r>
        <w:rPr>
          <w:rFonts w:hint="eastAsia" w:ascii="宋体" w:hAnsi="宋体" w:cs="宋体"/>
          <w:b/>
          <w:color w:val="auto"/>
          <w:sz w:val="28"/>
          <w:szCs w:val="28"/>
          <w:highlight w:val="none"/>
          <w:lang w:val="en-US" w:eastAsia="zh-CN"/>
        </w:rPr>
        <w:t>9</w:t>
      </w:r>
    </w:p>
    <w:p w14:paraId="34135F30">
      <w:pPr>
        <w:keepNext/>
        <w:keepLines/>
        <w:spacing w:before="120" w:after="120" w:line="360" w:lineRule="auto"/>
        <w:jc w:val="center"/>
        <w:outlineLvl w:val="1"/>
        <w:rPr>
          <w:rFonts w:hint="eastAsia" w:ascii="宋体" w:hAnsi="宋体" w:cs="宋体"/>
          <w:b/>
          <w:bCs/>
          <w:color w:val="auto"/>
          <w:sz w:val="28"/>
          <w:szCs w:val="32"/>
          <w:highlight w:val="none"/>
        </w:rPr>
      </w:pPr>
      <w:bookmarkStart w:id="211" w:name="_Toc1472"/>
      <w:bookmarkStart w:id="212" w:name="_Toc1294"/>
      <w:bookmarkStart w:id="213" w:name="_Toc10536"/>
      <w:bookmarkStart w:id="214" w:name="_Toc491307466"/>
      <w:bookmarkStart w:id="215" w:name="_Toc15661"/>
      <w:bookmarkStart w:id="216" w:name="_Toc491307284"/>
      <w:bookmarkStart w:id="217" w:name="_Toc491307346"/>
      <w:bookmarkStart w:id="218" w:name="_Toc494043330"/>
      <w:bookmarkStart w:id="219" w:name="_Toc29937"/>
      <w:bookmarkStart w:id="220" w:name="_Toc4299"/>
      <w:bookmarkStart w:id="221" w:name="_Toc18432"/>
      <w:bookmarkStart w:id="222" w:name="_Toc383175510"/>
      <w:bookmarkStart w:id="223" w:name="_Toc347849248"/>
      <w:bookmarkStart w:id="224" w:name="_Toc415662825"/>
      <w:r>
        <w:rPr>
          <w:rFonts w:hint="eastAsia" w:ascii="宋体" w:hAnsi="宋体" w:cs="宋体"/>
          <w:b/>
          <w:bCs/>
          <w:color w:val="auto"/>
          <w:sz w:val="28"/>
          <w:szCs w:val="32"/>
          <w:highlight w:val="none"/>
        </w:rPr>
        <w:t>磋商报价一览表</w:t>
      </w:r>
      <w:bookmarkEnd w:id="211"/>
      <w:bookmarkEnd w:id="212"/>
      <w:bookmarkEnd w:id="213"/>
      <w:bookmarkEnd w:id="214"/>
      <w:bookmarkEnd w:id="215"/>
      <w:bookmarkEnd w:id="216"/>
      <w:bookmarkEnd w:id="217"/>
      <w:bookmarkEnd w:id="218"/>
      <w:bookmarkEnd w:id="219"/>
      <w:bookmarkEnd w:id="220"/>
      <w:bookmarkEnd w:id="221"/>
    </w:p>
    <w:p w14:paraId="51524598">
      <w:pPr>
        <w:autoSpaceDE w:val="0"/>
        <w:autoSpaceDN w:val="0"/>
        <w:adjustRightInd w:val="0"/>
        <w:jc w:val="left"/>
        <w:rPr>
          <w:rFonts w:hint="eastAsia" w:ascii="宋体" w:hAnsi="宋体" w:cs="宋体"/>
          <w:b/>
          <w:color w:val="auto"/>
          <w:kern w:val="0"/>
          <w:szCs w:val="21"/>
          <w:highlight w:val="none"/>
        </w:rPr>
      </w:pPr>
      <w:r>
        <w:rPr>
          <w:rFonts w:hint="eastAsia" w:ascii="宋体" w:hAnsi="宋体" w:cs="宋体"/>
          <w:b/>
          <w:color w:val="auto"/>
          <w:kern w:val="0"/>
          <w:szCs w:val="21"/>
          <w:highlight w:val="none"/>
        </w:rPr>
        <w:t>项目名称：</w:t>
      </w:r>
    </w:p>
    <w:p w14:paraId="3ACB500B">
      <w:pPr>
        <w:autoSpaceDE w:val="0"/>
        <w:autoSpaceDN w:val="0"/>
        <w:adjustRightInd w:val="0"/>
        <w:jc w:val="left"/>
        <w:rPr>
          <w:rFonts w:hint="eastAsia" w:ascii="宋体" w:hAnsi="宋体" w:cs="宋体"/>
          <w:b/>
          <w:color w:val="auto"/>
          <w:kern w:val="0"/>
          <w:szCs w:val="21"/>
          <w:highlight w:val="none"/>
          <w:u w:val="single"/>
        </w:rPr>
      </w:pPr>
      <w:r>
        <w:rPr>
          <w:rFonts w:hint="eastAsia" w:ascii="宋体" w:hAnsi="宋体" w:cs="宋体"/>
          <w:b/>
          <w:color w:val="auto"/>
          <w:kern w:val="0"/>
          <w:szCs w:val="21"/>
          <w:highlight w:val="none"/>
        </w:rPr>
        <w:t>项目编号：</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17"/>
        <w:gridCol w:w="6337"/>
      </w:tblGrid>
      <w:tr w14:paraId="3415B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817" w:type="dxa"/>
            <w:tcBorders>
              <w:top w:val="single" w:color="auto" w:sz="4" w:space="0"/>
              <w:left w:val="single" w:color="auto" w:sz="4" w:space="0"/>
              <w:bottom w:val="single" w:color="auto" w:sz="4" w:space="0"/>
              <w:right w:val="single" w:color="auto" w:sz="4" w:space="0"/>
            </w:tcBorders>
            <w:noWrap w:val="0"/>
            <w:vAlign w:val="center"/>
          </w:tcPr>
          <w:p w14:paraId="17585101">
            <w:pPr>
              <w:keepNext w:val="0"/>
              <w:keepLines w:val="0"/>
              <w:suppressLineNumbers w:val="0"/>
              <w:spacing w:before="0" w:beforeAutospacing="0" w:after="0" w:afterAutospacing="0" w:line="32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供应商名称</w:t>
            </w:r>
          </w:p>
        </w:tc>
        <w:tc>
          <w:tcPr>
            <w:tcW w:w="6337" w:type="dxa"/>
            <w:tcBorders>
              <w:top w:val="single" w:color="auto" w:sz="4" w:space="0"/>
              <w:left w:val="single" w:color="auto" w:sz="4" w:space="0"/>
              <w:bottom w:val="single" w:color="auto" w:sz="4" w:space="0"/>
              <w:right w:val="single" w:color="auto" w:sz="4" w:space="0"/>
            </w:tcBorders>
            <w:noWrap w:val="0"/>
            <w:vAlign w:val="center"/>
          </w:tcPr>
          <w:p w14:paraId="63D1499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r>
      <w:tr w14:paraId="2C544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817" w:type="dxa"/>
            <w:tcBorders>
              <w:top w:val="single" w:color="auto" w:sz="4" w:space="0"/>
              <w:left w:val="single" w:color="auto" w:sz="4" w:space="0"/>
              <w:bottom w:val="single" w:color="auto" w:sz="4" w:space="0"/>
              <w:right w:val="single" w:color="auto" w:sz="4" w:space="0"/>
            </w:tcBorders>
            <w:noWrap w:val="0"/>
            <w:vAlign w:val="center"/>
          </w:tcPr>
          <w:p w14:paraId="145672CC">
            <w:pPr>
              <w:keepNext w:val="0"/>
              <w:keepLines w:val="0"/>
              <w:suppressLineNumbers w:val="0"/>
              <w:spacing w:before="0" w:beforeAutospacing="0" w:after="0" w:afterAutospacing="0" w:line="32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磋商报价</w:t>
            </w:r>
          </w:p>
          <w:p w14:paraId="03B3BC7D">
            <w:pPr>
              <w:keepNext w:val="0"/>
              <w:keepLines w:val="0"/>
              <w:suppressLineNumbers w:val="0"/>
              <w:spacing w:before="0" w:beforeAutospacing="0" w:after="0" w:afterAutospacing="0" w:line="32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（元）</w:t>
            </w:r>
          </w:p>
        </w:tc>
        <w:tc>
          <w:tcPr>
            <w:tcW w:w="6337" w:type="dxa"/>
            <w:tcBorders>
              <w:top w:val="single" w:color="auto" w:sz="4" w:space="0"/>
              <w:left w:val="single" w:color="auto" w:sz="4" w:space="0"/>
              <w:bottom w:val="single" w:color="auto" w:sz="4" w:space="0"/>
              <w:right w:val="single" w:color="auto" w:sz="4" w:space="0"/>
            </w:tcBorders>
            <w:noWrap w:val="0"/>
            <w:vAlign w:val="center"/>
          </w:tcPr>
          <w:p w14:paraId="3557E7D8">
            <w:pPr>
              <w:keepNext w:val="0"/>
              <w:keepLines w:val="0"/>
              <w:suppressLineNumbers w:val="0"/>
              <w:spacing w:before="0" w:beforeAutospacing="0" w:after="0" w:afterAutospacing="0" w:line="360" w:lineRule="auto"/>
              <w:ind w:left="0" w:right="0" w:firstLine="1260" w:firstLineChars="600"/>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小写：</w:t>
            </w:r>
            <w:r>
              <w:rPr>
                <w:rFonts w:hint="eastAsia" w:ascii="宋体" w:hAnsi="宋体" w:cs="宋体"/>
                <w:color w:val="auto"/>
                <w:szCs w:val="21"/>
                <w:highlight w:val="none"/>
                <w:u w:val="single"/>
                <w:lang w:val="en-US" w:eastAsia="zh-CN"/>
              </w:rPr>
              <w:t xml:space="preserve">                  </w:t>
            </w:r>
          </w:p>
          <w:p w14:paraId="3E615FA4">
            <w:pPr>
              <w:keepNext w:val="0"/>
              <w:keepLines w:val="0"/>
              <w:suppressLineNumbers w:val="0"/>
              <w:spacing w:before="0" w:beforeAutospacing="0" w:after="0" w:afterAutospacing="0" w:line="360" w:lineRule="auto"/>
              <w:ind w:left="-3139" w:leftChars="-1495" w:right="0" w:firstLine="0" w:firstLineChars="0"/>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大写：</w:t>
            </w:r>
            <w:r>
              <w:rPr>
                <w:rFonts w:hint="eastAsia" w:ascii="宋体" w:hAnsi="宋体" w:cs="宋体"/>
                <w:color w:val="auto"/>
                <w:szCs w:val="21"/>
                <w:highlight w:val="none"/>
                <w:u w:val="single"/>
                <w:lang w:val="en-US" w:eastAsia="zh-CN"/>
              </w:rPr>
              <w:t xml:space="preserve">                  </w:t>
            </w:r>
          </w:p>
        </w:tc>
      </w:tr>
      <w:tr w14:paraId="68665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817" w:type="dxa"/>
            <w:tcBorders>
              <w:top w:val="single" w:color="auto" w:sz="4" w:space="0"/>
              <w:left w:val="single" w:color="auto" w:sz="4" w:space="0"/>
              <w:bottom w:val="single" w:color="auto" w:sz="4" w:space="0"/>
              <w:right w:val="single" w:color="auto" w:sz="4" w:space="0"/>
            </w:tcBorders>
            <w:noWrap w:val="0"/>
            <w:vAlign w:val="center"/>
          </w:tcPr>
          <w:p w14:paraId="6F33361C">
            <w:pPr>
              <w:keepNext w:val="0"/>
              <w:keepLines w:val="0"/>
              <w:suppressLineNumbers w:val="0"/>
              <w:spacing w:before="0" w:beforeAutospacing="0" w:after="0" w:afterAutospacing="0"/>
              <w:ind w:left="0" w:right="0"/>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合同履行期限</w:t>
            </w:r>
          </w:p>
        </w:tc>
        <w:tc>
          <w:tcPr>
            <w:tcW w:w="6337" w:type="dxa"/>
            <w:tcBorders>
              <w:top w:val="single" w:color="auto" w:sz="4" w:space="0"/>
              <w:left w:val="single" w:color="auto" w:sz="4" w:space="0"/>
              <w:bottom w:val="single" w:color="auto" w:sz="4" w:space="0"/>
              <w:right w:val="single" w:color="auto" w:sz="4" w:space="0"/>
            </w:tcBorders>
            <w:noWrap w:val="0"/>
            <w:vAlign w:val="center"/>
          </w:tcPr>
          <w:p w14:paraId="7A839199">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r>
      <w:tr w14:paraId="6404C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817" w:type="dxa"/>
            <w:tcBorders>
              <w:top w:val="single" w:color="auto" w:sz="4" w:space="0"/>
              <w:left w:val="single" w:color="auto" w:sz="4" w:space="0"/>
              <w:bottom w:val="single" w:color="auto" w:sz="4" w:space="0"/>
              <w:right w:val="single" w:color="auto" w:sz="4" w:space="0"/>
            </w:tcBorders>
            <w:noWrap w:val="0"/>
            <w:vAlign w:val="center"/>
          </w:tcPr>
          <w:p w14:paraId="5387648B">
            <w:pPr>
              <w:keepNext w:val="0"/>
              <w:keepLines w:val="0"/>
              <w:suppressLineNumbers w:val="0"/>
              <w:spacing w:before="0" w:beforeAutospacing="0" w:after="0" w:afterAutospacing="0"/>
              <w:ind w:left="0" w:right="0"/>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项目实施地点</w:t>
            </w:r>
          </w:p>
        </w:tc>
        <w:tc>
          <w:tcPr>
            <w:tcW w:w="6337" w:type="dxa"/>
            <w:tcBorders>
              <w:top w:val="single" w:color="auto" w:sz="4" w:space="0"/>
              <w:left w:val="single" w:color="auto" w:sz="4" w:space="0"/>
              <w:bottom w:val="single" w:color="auto" w:sz="4" w:space="0"/>
              <w:right w:val="single" w:color="auto" w:sz="4" w:space="0"/>
            </w:tcBorders>
            <w:noWrap w:val="0"/>
            <w:vAlign w:val="center"/>
          </w:tcPr>
          <w:p w14:paraId="13DD0423">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r>
      <w:tr w14:paraId="1ADCC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817" w:type="dxa"/>
            <w:tcBorders>
              <w:top w:val="single" w:color="auto" w:sz="4" w:space="0"/>
              <w:left w:val="single" w:color="auto" w:sz="4" w:space="0"/>
              <w:bottom w:val="single" w:color="auto" w:sz="4" w:space="0"/>
              <w:right w:val="single" w:color="auto" w:sz="4" w:space="0"/>
            </w:tcBorders>
            <w:noWrap w:val="0"/>
            <w:vAlign w:val="center"/>
          </w:tcPr>
          <w:p w14:paraId="0F493A2E">
            <w:pPr>
              <w:keepNext w:val="0"/>
              <w:keepLines w:val="0"/>
              <w:suppressLineNumbers w:val="0"/>
              <w:spacing w:before="0" w:beforeAutospacing="0" w:after="0" w:afterAutospacing="0"/>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磋商保证金形式</w:t>
            </w:r>
          </w:p>
        </w:tc>
        <w:tc>
          <w:tcPr>
            <w:tcW w:w="6337" w:type="dxa"/>
            <w:tcBorders>
              <w:top w:val="single" w:color="auto" w:sz="4" w:space="0"/>
              <w:left w:val="single" w:color="auto" w:sz="4" w:space="0"/>
              <w:bottom w:val="single" w:color="auto" w:sz="4" w:space="0"/>
              <w:right w:val="single" w:color="auto" w:sz="4" w:space="0"/>
            </w:tcBorders>
            <w:noWrap w:val="0"/>
            <w:vAlign w:val="center"/>
          </w:tcPr>
          <w:p w14:paraId="2D59D0CE">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r>
      <w:tr w14:paraId="3E3CB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jc w:val="center"/>
        </w:trPr>
        <w:tc>
          <w:tcPr>
            <w:tcW w:w="9154" w:type="dxa"/>
            <w:gridSpan w:val="2"/>
            <w:tcBorders>
              <w:top w:val="single" w:color="auto" w:sz="4" w:space="0"/>
              <w:left w:val="single" w:color="auto" w:sz="4" w:space="0"/>
              <w:bottom w:val="single" w:color="auto" w:sz="4" w:space="0"/>
              <w:right w:val="single" w:color="auto" w:sz="4" w:space="0"/>
            </w:tcBorders>
            <w:noWrap w:val="0"/>
            <w:vAlign w:val="center"/>
          </w:tcPr>
          <w:p w14:paraId="540D8E30">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备 注</w:t>
            </w:r>
          </w:p>
        </w:tc>
      </w:tr>
    </w:tbl>
    <w:p w14:paraId="0C0A062B">
      <w:pPr>
        <w:pStyle w:val="18"/>
        <w:rPr>
          <w:rFonts w:hint="eastAsia" w:ascii="宋体" w:hAnsi="宋体" w:cs="宋体"/>
          <w:color w:val="auto"/>
          <w:szCs w:val="21"/>
          <w:highlight w:val="none"/>
        </w:rPr>
      </w:pPr>
      <w:r>
        <w:rPr>
          <w:rFonts w:hint="eastAsia" w:hAnsi="宋体" w:cs="宋体"/>
          <w:color w:val="auto"/>
          <w:szCs w:val="21"/>
          <w:highlight w:val="none"/>
        </w:rPr>
        <w:t>注：表中“</w:t>
      </w:r>
      <w:r>
        <w:rPr>
          <w:rFonts w:hint="eastAsia" w:hAnsi="宋体" w:cs="宋体"/>
          <w:color w:val="auto"/>
          <w:szCs w:val="21"/>
          <w:highlight w:val="none"/>
          <w:lang w:val="en-US" w:eastAsia="zh-CN"/>
        </w:rPr>
        <w:t>磋商报价</w:t>
      </w:r>
      <w:r>
        <w:rPr>
          <w:rFonts w:hint="eastAsia" w:hAnsi="宋体" w:cs="宋体"/>
          <w:color w:val="auto"/>
          <w:szCs w:val="21"/>
          <w:highlight w:val="none"/>
        </w:rPr>
        <w:t>”应与《磋商申请函》中“</w:t>
      </w:r>
      <w:r>
        <w:rPr>
          <w:rFonts w:hint="eastAsia" w:hAnsi="宋体" w:cs="宋体"/>
          <w:color w:val="auto"/>
          <w:szCs w:val="21"/>
          <w:highlight w:val="none"/>
          <w:lang w:val="en-US" w:eastAsia="zh-CN"/>
        </w:rPr>
        <w:t>磋商报价</w:t>
      </w:r>
      <w:r>
        <w:rPr>
          <w:rFonts w:hint="eastAsia" w:hAnsi="宋体" w:cs="宋体"/>
          <w:color w:val="auto"/>
          <w:szCs w:val="21"/>
          <w:highlight w:val="none"/>
        </w:rPr>
        <w:t>”一致。</w:t>
      </w:r>
    </w:p>
    <w:p w14:paraId="1B98307E">
      <w:pPr>
        <w:spacing w:line="360" w:lineRule="auto"/>
        <w:ind w:firstLine="2" w:firstLineChars="1"/>
        <w:jc w:val="left"/>
        <w:rPr>
          <w:rFonts w:hint="eastAsia" w:ascii="宋体" w:hAnsi="宋体" w:cs="宋体"/>
          <w:color w:val="auto"/>
          <w:szCs w:val="21"/>
          <w:highlight w:val="none"/>
        </w:rPr>
      </w:pPr>
    </w:p>
    <w:p w14:paraId="40C7F64F">
      <w:pPr>
        <w:spacing w:line="360" w:lineRule="auto"/>
        <w:ind w:firstLine="2" w:firstLineChars="1"/>
        <w:jc w:val="left"/>
        <w:rPr>
          <w:rFonts w:hint="eastAsia" w:ascii="宋体" w:hAnsi="宋体" w:cs="宋体"/>
          <w:color w:val="auto"/>
          <w:szCs w:val="21"/>
          <w:highlight w:val="none"/>
        </w:rPr>
      </w:pPr>
    </w:p>
    <w:p w14:paraId="54172A14">
      <w:pPr>
        <w:spacing w:line="360" w:lineRule="auto"/>
        <w:ind w:firstLine="2" w:firstLineChars="1"/>
        <w:jc w:val="left"/>
        <w:rPr>
          <w:rFonts w:hint="eastAsia" w:ascii="宋体" w:hAnsi="宋体" w:cs="宋体"/>
          <w:color w:val="auto"/>
          <w:szCs w:val="21"/>
          <w:highlight w:val="none"/>
        </w:rPr>
      </w:pPr>
      <w:r>
        <w:rPr>
          <w:rFonts w:hint="eastAsia" w:ascii="宋体" w:hAnsi="宋体" w:cs="宋体"/>
          <w:color w:val="auto"/>
          <w:szCs w:val="21"/>
          <w:highlight w:val="none"/>
        </w:rPr>
        <w:t>供应商（</w:t>
      </w:r>
      <w:r>
        <w:rPr>
          <w:rFonts w:hint="eastAsia" w:ascii="宋体" w:hAnsi="宋体" w:cs="宋体"/>
          <w:color w:val="auto"/>
          <w:szCs w:val="21"/>
          <w:highlight w:val="none"/>
          <w:lang w:eastAsia="zh-CN"/>
        </w:rPr>
        <w:t>加盖供应商电子公章</w:t>
      </w:r>
      <w:r>
        <w:rPr>
          <w:rFonts w:hint="eastAsia" w:ascii="宋体" w:hAnsi="宋体" w:cs="宋体"/>
          <w:color w:val="auto"/>
          <w:szCs w:val="21"/>
          <w:highlight w:val="none"/>
        </w:rPr>
        <w:t>）：</w:t>
      </w:r>
    </w:p>
    <w:p w14:paraId="6DE857C8">
      <w:pPr>
        <w:spacing w:line="360" w:lineRule="auto"/>
        <w:ind w:firstLine="2" w:firstLineChars="1"/>
        <w:jc w:val="left"/>
        <w:rPr>
          <w:rFonts w:hint="eastAsia" w:ascii="宋体" w:hAnsi="宋体" w:cs="宋体"/>
          <w:color w:val="auto"/>
          <w:szCs w:val="21"/>
          <w:highlight w:val="none"/>
        </w:rPr>
      </w:pPr>
      <w:r>
        <w:rPr>
          <w:rFonts w:hint="eastAsia" w:ascii="宋体" w:hAnsi="宋体" w:cs="宋体"/>
          <w:color w:val="auto"/>
          <w:szCs w:val="21"/>
          <w:highlight w:val="none"/>
        </w:rPr>
        <w:t>法定代表人（</w:t>
      </w:r>
      <w:r>
        <w:rPr>
          <w:rFonts w:hint="eastAsia" w:ascii="宋体" w:hAnsi="宋体" w:cs="宋体"/>
          <w:color w:val="auto"/>
          <w:szCs w:val="21"/>
          <w:highlight w:val="none"/>
          <w:lang w:eastAsia="zh-CN"/>
        </w:rPr>
        <w:t>电子签名或盖章</w:t>
      </w:r>
      <w:r>
        <w:rPr>
          <w:rFonts w:hint="eastAsia" w:ascii="宋体" w:hAnsi="宋体" w:cs="宋体"/>
          <w:color w:val="auto"/>
          <w:szCs w:val="21"/>
          <w:highlight w:val="none"/>
        </w:rPr>
        <w:t>）：</w:t>
      </w:r>
    </w:p>
    <w:p w14:paraId="25A2F803">
      <w:pPr>
        <w:spacing w:line="360" w:lineRule="auto"/>
        <w:ind w:firstLine="2" w:firstLineChars="1"/>
        <w:jc w:val="left"/>
        <w:rPr>
          <w:rFonts w:hint="eastAsia" w:ascii="宋体" w:hAnsi="宋体" w:cs="宋体"/>
          <w:color w:val="auto"/>
          <w:szCs w:val="21"/>
          <w:highlight w:val="none"/>
        </w:rPr>
      </w:pPr>
      <w:r>
        <w:rPr>
          <w:rFonts w:hint="eastAsia" w:ascii="宋体" w:hAnsi="宋体" w:cs="宋体"/>
          <w:color w:val="auto"/>
          <w:szCs w:val="21"/>
          <w:highlight w:val="none"/>
        </w:rPr>
        <w:t>日期：</w:t>
      </w:r>
    </w:p>
    <w:p w14:paraId="7ECB9BE9">
      <w:pPr>
        <w:pStyle w:val="18"/>
        <w:spacing w:line="360" w:lineRule="auto"/>
        <w:rPr>
          <w:rFonts w:hint="eastAsia" w:hAnsi="宋体" w:cs="宋体"/>
          <w:color w:val="auto"/>
          <w:szCs w:val="21"/>
          <w:highlight w:val="none"/>
        </w:rPr>
      </w:pPr>
    </w:p>
    <w:p w14:paraId="24E5204D">
      <w:pPr>
        <w:keepNext/>
        <w:keepLines/>
        <w:spacing w:after="120" w:line="360" w:lineRule="auto"/>
        <w:jc w:val="left"/>
        <w:outlineLvl w:val="1"/>
        <w:rPr>
          <w:rFonts w:hint="eastAsia" w:ascii="宋体" w:hAnsi="宋体" w:cs="宋体"/>
          <w:b/>
          <w:bCs/>
          <w:color w:val="auto"/>
          <w:sz w:val="32"/>
          <w:szCs w:val="36"/>
          <w:highlight w:val="none"/>
        </w:rPr>
      </w:pPr>
      <w:r>
        <w:rPr>
          <w:rFonts w:hint="eastAsia" w:ascii="宋体" w:hAnsi="宋体" w:cs="宋体"/>
          <w:b/>
          <w:color w:val="auto"/>
          <w:sz w:val="28"/>
          <w:szCs w:val="32"/>
          <w:highlight w:val="none"/>
        </w:rPr>
        <w:br w:type="page"/>
      </w:r>
      <w:bookmarkStart w:id="225" w:name="_Toc10304"/>
      <w:bookmarkStart w:id="226" w:name="_Toc9191"/>
      <w:bookmarkStart w:id="227" w:name="_Toc17465"/>
      <w:bookmarkStart w:id="228" w:name="_Toc29997"/>
      <w:bookmarkStart w:id="229" w:name="_Toc24199"/>
      <w:bookmarkStart w:id="230" w:name="_Toc491307467"/>
      <w:bookmarkStart w:id="231" w:name="_Toc5083"/>
      <w:bookmarkStart w:id="232" w:name="_Toc14945"/>
      <w:bookmarkStart w:id="233" w:name="_Toc494043331"/>
      <w:bookmarkStart w:id="234" w:name="_Toc491307347"/>
      <w:bookmarkStart w:id="235" w:name="_Toc31885"/>
      <w:bookmarkStart w:id="236" w:name="_Toc13138"/>
      <w:bookmarkStart w:id="237" w:name="_Toc491307285"/>
      <w:bookmarkStart w:id="238" w:name="_Toc488633616"/>
      <w:bookmarkStart w:id="239" w:name="_Toc481694845"/>
      <w:r>
        <w:rPr>
          <w:rFonts w:hint="eastAsia" w:ascii="宋体" w:hAnsi="宋体" w:cs="宋体"/>
          <w:b/>
          <w:bCs/>
          <w:color w:val="auto"/>
          <w:sz w:val="32"/>
          <w:szCs w:val="36"/>
          <w:highlight w:val="none"/>
        </w:rPr>
        <w:t>三、技术商务文件</w:t>
      </w:r>
      <w:bookmarkEnd w:id="225"/>
      <w:bookmarkEnd w:id="226"/>
    </w:p>
    <w:p w14:paraId="4868DA1A">
      <w:pPr>
        <w:keepNext/>
        <w:keepLines/>
        <w:spacing w:after="120" w:line="360" w:lineRule="auto"/>
        <w:jc w:val="left"/>
        <w:outlineLvl w:val="1"/>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rPr>
        <w:t>格式</w:t>
      </w:r>
      <w:bookmarkEnd w:id="227"/>
      <w:bookmarkEnd w:id="228"/>
      <w:bookmarkEnd w:id="229"/>
      <w:bookmarkEnd w:id="230"/>
      <w:bookmarkEnd w:id="231"/>
      <w:bookmarkEnd w:id="232"/>
      <w:bookmarkEnd w:id="233"/>
      <w:bookmarkEnd w:id="234"/>
      <w:bookmarkEnd w:id="235"/>
      <w:bookmarkEnd w:id="236"/>
      <w:bookmarkEnd w:id="237"/>
      <w:r>
        <w:rPr>
          <w:rFonts w:hint="eastAsia" w:ascii="宋体" w:hAnsi="宋体" w:cs="宋体"/>
          <w:b/>
          <w:color w:val="auto"/>
          <w:sz w:val="28"/>
          <w:szCs w:val="28"/>
          <w:highlight w:val="none"/>
          <w:lang w:val="en-US" w:eastAsia="zh-CN"/>
        </w:rPr>
        <w:t>10</w:t>
      </w:r>
    </w:p>
    <w:p w14:paraId="5D646000">
      <w:pPr>
        <w:keepNext/>
        <w:keepLines/>
        <w:spacing w:before="120" w:after="120" w:line="360" w:lineRule="auto"/>
        <w:jc w:val="center"/>
        <w:outlineLvl w:val="1"/>
        <w:rPr>
          <w:rFonts w:hint="eastAsia" w:ascii="宋体" w:hAnsi="宋体" w:cs="宋体"/>
          <w:b/>
          <w:bCs/>
          <w:color w:val="auto"/>
          <w:sz w:val="28"/>
          <w:szCs w:val="32"/>
          <w:highlight w:val="none"/>
        </w:rPr>
      </w:pPr>
      <w:bookmarkStart w:id="240" w:name="_Toc494043332"/>
      <w:bookmarkStart w:id="241" w:name="_Toc9455"/>
      <w:bookmarkStart w:id="242" w:name="_Toc491307468"/>
      <w:bookmarkStart w:id="243" w:name="_Toc491307286"/>
      <w:bookmarkStart w:id="244" w:name="_Toc5464"/>
      <w:bookmarkStart w:id="245" w:name="_Toc31055"/>
      <w:bookmarkStart w:id="246" w:name="_Toc491307348"/>
      <w:bookmarkStart w:id="247" w:name="_Toc10711"/>
      <w:bookmarkStart w:id="248" w:name="_Toc3343"/>
      <w:bookmarkStart w:id="249" w:name="_Toc3847"/>
      <w:bookmarkStart w:id="250" w:name="_Toc15202"/>
      <w:r>
        <w:rPr>
          <w:rFonts w:hint="eastAsia" w:ascii="宋体" w:hAnsi="宋体" w:cs="宋体"/>
          <w:b/>
          <w:bCs/>
          <w:color w:val="auto"/>
          <w:sz w:val="28"/>
          <w:szCs w:val="32"/>
          <w:highlight w:val="none"/>
        </w:rPr>
        <w:t>磋商申请函</w:t>
      </w:r>
      <w:bookmarkEnd w:id="238"/>
      <w:bookmarkEnd w:id="239"/>
      <w:bookmarkEnd w:id="240"/>
      <w:bookmarkEnd w:id="241"/>
      <w:bookmarkEnd w:id="242"/>
      <w:bookmarkEnd w:id="243"/>
      <w:bookmarkEnd w:id="244"/>
      <w:bookmarkEnd w:id="245"/>
      <w:bookmarkEnd w:id="246"/>
      <w:bookmarkEnd w:id="247"/>
      <w:bookmarkEnd w:id="248"/>
      <w:bookmarkEnd w:id="249"/>
      <w:bookmarkEnd w:id="250"/>
    </w:p>
    <w:p w14:paraId="49A53F08">
      <w:pPr>
        <w:pStyle w:val="18"/>
        <w:spacing w:line="276" w:lineRule="auto"/>
        <w:rPr>
          <w:rFonts w:hint="eastAsia" w:hAnsi="宋体" w:cs="宋体"/>
          <w:color w:val="auto"/>
          <w:szCs w:val="21"/>
          <w:highlight w:val="none"/>
        </w:rPr>
      </w:pPr>
      <w:r>
        <w:rPr>
          <w:rFonts w:hint="eastAsia" w:hAnsi="宋体" w:cs="宋体"/>
          <w:color w:val="auto"/>
          <w:szCs w:val="21"/>
          <w:highlight w:val="none"/>
        </w:rPr>
        <w:t>致：</w:t>
      </w:r>
      <w:r>
        <w:rPr>
          <w:rFonts w:hint="eastAsia" w:hAnsi="宋体" w:cs="宋体"/>
          <w:color w:val="auto"/>
          <w:szCs w:val="21"/>
          <w:highlight w:val="none"/>
          <w:u w:val="single"/>
        </w:rPr>
        <w:t>（采购人名称）</w:t>
      </w:r>
    </w:p>
    <w:p w14:paraId="6FE931A5">
      <w:pPr>
        <w:pStyle w:val="18"/>
        <w:spacing w:line="276" w:lineRule="auto"/>
        <w:ind w:firstLine="482"/>
        <w:rPr>
          <w:rFonts w:hint="eastAsia" w:hAnsi="宋体" w:cs="宋体"/>
          <w:color w:val="auto"/>
          <w:szCs w:val="21"/>
          <w:highlight w:val="none"/>
        </w:rPr>
      </w:pPr>
      <w:r>
        <w:rPr>
          <w:rFonts w:hint="eastAsia" w:hAnsi="宋体" w:cs="宋体"/>
          <w:color w:val="auto"/>
          <w:szCs w:val="21"/>
          <w:highlight w:val="none"/>
        </w:rPr>
        <w:t>我方仔细研究了</w:t>
      </w:r>
      <w:r>
        <w:rPr>
          <w:rFonts w:hint="eastAsia" w:hAnsi="宋体" w:cs="宋体"/>
          <w:color w:val="auto"/>
          <w:szCs w:val="21"/>
          <w:highlight w:val="none"/>
          <w:u w:val="single"/>
        </w:rPr>
        <w:t xml:space="preserve">（项目名称）   </w:t>
      </w:r>
      <w:r>
        <w:rPr>
          <w:rFonts w:hint="eastAsia" w:hAnsi="宋体" w:cs="宋体"/>
          <w:color w:val="auto"/>
          <w:szCs w:val="21"/>
          <w:highlight w:val="none"/>
        </w:rPr>
        <w:t>（项目编号：</w:t>
      </w:r>
      <w:r>
        <w:rPr>
          <w:rFonts w:hint="eastAsia" w:hAnsi="宋体" w:cs="宋体"/>
          <w:color w:val="auto"/>
          <w:szCs w:val="21"/>
          <w:highlight w:val="none"/>
          <w:u w:val="single"/>
        </w:rPr>
        <w:t xml:space="preserve">        </w:t>
      </w:r>
      <w:r>
        <w:rPr>
          <w:rFonts w:hint="eastAsia" w:hAnsi="宋体" w:cs="宋体"/>
          <w:color w:val="auto"/>
          <w:szCs w:val="21"/>
          <w:highlight w:val="none"/>
        </w:rPr>
        <w:t>）项目竞争性磋商文件的全部内容，正式</w:t>
      </w:r>
      <w:r>
        <w:rPr>
          <w:rFonts w:hint="eastAsia" w:hAnsi="宋体" w:cs="宋体"/>
          <w:color w:val="auto"/>
          <w:szCs w:val="21"/>
          <w:highlight w:val="none"/>
          <w:lang w:eastAsia="zh-CN"/>
        </w:rPr>
        <w:t>授权</w:t>
      </w:r>
      <w:r>
        <w:rPr>
          <w:rFonts w:hint="eastAsia" w:hAnsi="宋体" w:cs="宋体"/>
          <w:color w:val="auto"/>
          <w:szCs w:val="21"/>
          <w:highlight w:val="none"/>
          <w:u w:val="single"/>
        </w:rPr>
        <w:t xml:space="preserve">   （姓名和职务）     </w:t>
      </w:r>
      <w:r>
        <w:rPr>
          <w:rFonts w:hint="eastAsia" w:hAnsi="宋体" w:cs="宋体"/>
          <w:color w:val="auto"/>
          <w:szCs w:val="21"/>
          <w:highlight w:val="none"/>
        </w:rPr>
        <w:t>全权代表供应商</w:t>
      </w:r>
      <w:r>
        <w:rPr>
          <w:rFonts w:hint="eastAsia" w:hAnsi="宋体" w:cs="宋体"/>
          <w:color w:val="auto"/>
          <w:szCs w:val="21"/>
          <w:highlight w:val="none"/>
          <w:u w:val="single"/>
        </w:rPr>
        <w:t xml:space="preserve">  （供应商全称）   </w:t>
      </w:r>
      <w:r>
        <w:rPr>
          <w:rFonts w:hint="eastAsia" w:hAnsi="宋体" w:cs="宋体"/>
          <w:color w:val="auto"/>
          <w:szCs w:val="21"/>
          <w:highlight w:val="none"/>
        </w:rPr>
        <w:t>参加磋商，并提交响应文件。</w:t>
      </w:r>
    </w:p>
    <w:p w14:paraId="336E2426">
      <w:pPr>
        <w:pStyle w:val="18"/>
        <w:spacing w:line="276" w:lineRule="auto"/>
        <w:ind w:firstLine="420"/>
        <w:rPr>
          <w:rFonts w:hint="eastAsia" w:hAnsi="宋体" w:cs="宋体"/>
          <w:color w:val="auto"/>
          <w:szCs w:val="21"/>
          <w:highlight w:val="none"/>
        </w:rPr>
      </w:pPr>
      <w:r>
        <w:rPr>
          <w:rFonts w:hint="eastAsia" w:hAnsi="宋体" w:cs="宋体"/>
          <w:color w:val="auto"/>
          <w:szCs w:val="21"/>
          <w:highlight w:val="none"/>
        </w:rPr>
        <w:t>据此函，</w:t>
      </w:r>
      <w:r>
        <w:rPr>
          <w:rFonts w:hint="eastAsia" w:hAnsi="宋体" w:cs="宋体"/>
          <w:color w:val="auto"/>
          <w:szCs w:val="21"/>
          <w:highlight w:val="none"/>
          <w:lang w:eastAsia="zh-CN"/>
        </w:rPr>
        <w:t>我公司</w:t>
      </w:r>
      <w:r>
        <w:rPr>
          <w:rFonts w:hint="eastAsia" w:hAnsi="宋体" w:cs="宋体"/>
          <w:color w:val="auto"/>
          <w:szCs w:val="21"/>
          <w:highlight w:val="none"/>
        </w:rPr>
        <w:t>宣布同意如下：</w:t>
      </w:r>
    </w:p>
    <w:p w14:paraId="22B26F8A">
      <w:pPr>
        <w:pStyle w:val="18"/>
        <w:spacing w:line="276" w:lineRule="auto"/>
        <w:ind w:firstLine="420"/>
        <w:rPr>
          <w:rFonts w:hint="eastAsia" w:hAnsi="宋体" w:cs="宋体"/>
          <w:color w:val="auto"/>
          <w:szCs w:val="21"/>
          <w:highlight w:val="none"/>
        </w:rPr>
      </w:pPr>
      <w:r>
        <w:rPr>
          <w:rFonts w:hint="eastAsia" w:hAnsi="宋体" w:cs="宋体"/>
          <w:color w:val="auto"/>
          <w:szCs w:val="21"/>
          <w:highlight w:val="none"/>
        </w:rPr>
        <w:t>1.按竞争性磋商文件及采购需求，磋商报价（大写）</w:t>
      </w: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rPr>
        <w:t>，人民币(￥</w:t>
      </w:r>
      <w:r>
        <w:rPr>
          <w:rFonts w:hint="eastAsia" w:hAnsi="宋体" w:cs="宋体"/>
          <w:color w:val="auto"/>
          <w:szCs w:val="21"/>
          <w:highlight w:val="none"/>
          <w:u w:val="single"/>
          <w:lang w:val="en-US" w:eastAsia="zh-CN"/>
        </w:rPr>
        <w:t xml:space="preserve">    元</w:t>
      </w:r>
      <w:r>
        <w:rPr>
          <w:rFonts w:hint="eastAsia" w:hAnsi="宋体" w:cs="宋体"/>
          <w:color w:val="auto"/>
          <w:szCs w:val="21"/>
          <w:highlight w:val="none"/>
        </w:rPr>
        <w:t>)，在</w:t>
      </w:r>
      <w:r>
        <w:rPr>
          <w:rFonts w:hint="eastAsia" w:hAnsi="宋体" w:cs="宋体"/>
          <w:color w:val="auto"/>
          <w:szCs w:val="21"/>
          <w:highlight w:val="none"/>
          <w:u w:val="single"/>
        </w:rPr>
        <w:t xml:space="preserve">  （</w:t>
      </w:r>
      <w:r>
        <w:rPr>
          <w:rFonts w:hint="eastAsia" w:hAnsi="宋体" w:cs="宋体"/>
          <w:color w:val="auto"/>
          <w:szCs w:val="21"/>
          <w:highlight w:val="none"/>
          <w:u w:val="single"/>
          <w:lang w:eastAsia="zh-CN"/>
        </w:rPr>
        <w:t>合同履行期限</w:t>
      </w:r>
      <w:r>
        <w:rPr>
          <w:rFonts w:hint="eastAsia" w:hAnsi="宋体" w:cs="宋体"/>
          <w:color w:val="auto"/>
          <w:szCs w:val="21"/>
          <w:highlight w:val="none"/>
          <w:u w:val="single"/>
        </w:rPr>
        <w:t xml:space="preserve">）   </w:t>
      </w:r>
      <w:r>
        <w:rPr>
          <w:rFonts w:hint="eastAsia" w:hAnsi="宋体" w:cs="宋体"/>
          <w:color w:val="auto"/>
          <w:szCs w:val="21"/>
          <w:highlight w:val="none"/>
        </w:rPr>
        <w:t>完成。</w:t>
      </w:r>
    </w:p>
    <w:p w14:paraId="27F45C9E">
      <w:pPr>
        <w:pStyle w:val="18"/>
        <w:spacing w:line="276" w:lineRule="auto"/>
        <w:ind w:firstLine="420"/>
        <w:rPr>
          <w:rFonts w:hint="eastAsia" w:hAnsi="宋体" w:cs="宋体"/>
          <w:color w:val="auto"/>
          <w:spacing w:val="-10"/>
          <w:szCs w:val="21"/>
          <w:highlight w:val="none"/>
        </w:rPr>
      </w:pPr>
      <w:r>
        <w:rPr>
          <w:rFonts w:hint="eastAsia" w:hAnsi="宋体" w:cs="宋体"/>
          <w:color w:val="auto"/>
          <w:szCs w:val="21"/>
          <w:highlight w:val="none"/>
        </w:rPr>
        <w:t>2.</w:t>
      </w:r>
      <w:r>
        <w:rPr>
          <w:rFonts w:hint="eastAsia" w:hAnsi="宋体" w:cs="宋体"/>
          <w:color w:val="auto"/>
          <w:spacing w:val="-10"/>
          <w:szCs w:val="21"/>
          <w:highlight w:val="none"/>
        </w:rPr>
        <w:t>我方已详细审查竞争性磋商文件的全部内容，包括</w:t>
      </w:r>
      <w:r>
        <w:rPr>
          <w:rFonts w:hint="eastAsia" w:hAnsi="宋体" w:cs="宋体"/>
          <w:color w:val="auto"/>
          <w:spacing w:val="-10"/>
          <w:szCs w:val="21"/>
          <w:highlight w:val="none"/>
          <w:u w:val="single"/>
        </w:rPr>
        <w:t>（澄清文件）(如果有)</w:t>
      </w:r>
      <w:r>
        <w:rPr>
          <w:rFonts w:hint="eastAsia" w:hAnsi="宋体" w:cs="宋体"/>
          <w:color w:val="auto"/>
          <w:spacing w:val="-10"/>
          <w:szCs w:val="21"/>
          <w:highlight w:val="none"/>
        </w:rPr>
        <w:t>。我方完全理解竞争性磋商文件相关要求，并承担对竞争性磋商文件有不明及误解的后果。</w:t>
      </w:r>
    </w:p>
    <w:p w14:paraId="1AC1629F">
      <w:pPr>
        <w:pStyle w:val="18"/>
        <w:spacing w:line="276" w:lineRule="auto"/>
        <w:ind w:firstLine="420"/>
        <w:rPr>
          <w:rFonts w:hint="eastAsia" w:hAnsi="宋体" w:cs="宋体"/>
          <w:color w:val="auto"/>
          <w:szCs w:val="21"/>
          <w:highlight w:val="none"/>
        </w:rPr>
      </w:pPr>
      <w:r>
        <w:rPr>
          <w:rFonts w:hint="eastAsia" w:hAnsi="宋体" w:cs="宋体"/>
          <w:color w:val="auto"/>
          <w:szCs w:val="21"/>
          <w:highlight w:val="none"/>
        </w:rPr>
        <w:t>3.在供应商须知规定的提交日期起遵循本竞争性磋商文件，并在</w:t>
      </w:r>
      <w:r>
        <w:rPr>
          <w:rFonts w:hint="eastAsia" w:hAnsi="宋体" w:cs="宋体"/>
          <w:color w:val="auto"/>
          <w:szCs w:val="21"/>
          <w:highlight w:val="none"/>
          <w:lang w:val="en-US" w:eastAsia="zh-CN"/>
        </w:rPr>
        <w:t>响应</w:t>
      </w:r>
      <w:r>
        <w:rPr>
          <w:rFonts w:hint="eastAsia" w:hAnsi="宋体" w:cs="宋体"/>
          <w:color w:val="auto"/>
          <w:szCs w:val="21"/>
          <w:highlight w:val="none"/>
        </w:rPr>
        <w:t>文件有效期满（从提交</w:t>
      </w:r>
      <w:r>
        <w:rPr>
          <w:rFonts w:hint="eastAsia" w:hAnsi="宋体" w:cs="宋体"/>
          <w:color w:val="auto"/>
          <w:szCs w:val="21"/>
          <w:highlight w:val="none"/>
          <w:lang w:val="en-US" w:eastAsia="zh-CN"/>
        </w:rPr>
        <w:t>响应</w:t>
      </w:r>
      <w:r>
        <w:rPr>
          <w:rFonts w:hint="eastAsia" w:hAnsi="宋体" w:cs="宋体"/>
          <w:color w:val="auto"/>
          <w:szCs w:val="21"/>
          <w:highlight w:val="none"/>
        </w:rPr>
        <w:t>文件截止之日起90日历天）之前均具有约束力。</w:t>
      </w:r>
    </w:p>
    <w:p w14:paraId="62AEDBBC">
      <w:pPr>
        <w:pStyle w:val="18"/>
        <w:spacing w:line="276" w:lineRule="auto"/>
        <w:ind w:firstLine="420"/>
        <w:rPr>
          <w:rFonts w:hint="eastAsia" w:hAnsi="宋体" w:cs="宋体"/>
          <w:color w:val="auto"/>
          <w:szCs w:val="21"/>
          <w:highlight w:val="none"/>
        </w:rPr>
      </w:pPr>
      <w:r>
        <w:rPr>
          <w:rFonts w:hint="eastAsia" w:hAnsi="宋体" w:cs="宋体"/>
          <w:color w:val="auto"/>
          <w:szCs w:val="21"/>
          <w:highlight w:val="none"/>
        </w:rPr>
        <w:t>4.同意竞争性磋商文件中关于没收磋商保证金的规定。</w:t>
      </w:r>
    </w:p>
    <w:p w14:paraId="01B325EF">
      <w:pPr>
        <w:pStyle w:val="18"/>
        <w:spacing w:line="276" w:lineRule="auto"/>
        <w:ind w:firstLine="420"/>
        <w:rPr>
          <w:rFonts w:hint="eastAsia" w:hAnsi="宋体" w:cs="宋体"/>
          <w:color w:val="auto"/>
          <w:szCs w:val="21"/>
          <w:highlight w:val="none"/>
        </w:rPr>
      </w:pPr>
      <w:r>
        <w:rPr>
          <w:rFonts w:hint="eastAsia" w:hAnsi="宋体" w:cs="宋体"/>
          <w:color w:val="auto"/>
          <w:szCs w:val="21"/>
          <w:highlight w:val="none"/>
        </w:rPr>
        <w:t>5.同意应贵方要求提供与本项目有关的任何数据或资料，并保证数据和资料的完整性和真实性。</w:t>
      </w:r>
    </w:p>
    <w:p w14:paraId="3EBDCEDD">
      <w:pPr>
        <w:pStyle w:val="18"/>
        <w:spacing w:line="276" w:lineRule="auto"/>
        <w:ind w:firstLine="420"/>
        <w:rPr>
          <w:rFonts w:hint="eastAsia" w:hAnsi="宋体" w:cs="宋体"/>
          <w:color w:val="auto"/>
          <w:szCs w:val="21"/>
          <w:highlight w:val="none"/>
        </w:rPr>
      </w:pPr>
      <w:r>
        <w:rPr>
          <w:rFonts w:hint="eastAsia" w:hAnsi="宋体" w:cs="宋体"/>
          <w:color w:val="auto"/>
          <w:szCs w:val="21"/>
          <w:highlight w:val="none"/>
        </w:rPr>
        <w:t>6.完全理解贵方不一定要接受最低报价的供应商为成交供应商的行为。</w:t>
      </w:r>
    </w:p>
    <w:p w14:paraId="0FFFE679">
      <w:pPr>
        <w:pStyle w:val="18"/>
        <w:spacing w:line="276" w:lineRule="auto"/>
        <w:ind w:firstLine="420"/>
        <w:rPr>
          <w:rFonts w:hint="eastAsia" w:hAnsi="宋体" w:cs="宋体"/>
          <w:color w:val="auto"/>
          <w:szCs w:val="21"/>
          <w:highlight w:val="none"/>
        </w:rPr>
      </w:pPr>
      <w:r>
        <w:rPr>
          <w:rFonts w:hint="eastAsia" w:hAnsi="宋体" w:cs="宋体"/>
          <w:color w:val="auto"/>
          <w:szCs w:val="21"/>
          <w:highlight w:val="none"/>
        </w:rPr>
        <w:t>7.如我方成交：</w:t>
      </w:r>
    </w:p>
    <w:p w14:paraId="0E99CA5C">
      <w:pPr>
        <w:pStyle w:val="18"/>
        <w:spacing w:line="276" w:lineRule="auto"/>
        <w:ind w:firstLine="420"/>
        <w:rPr>
          <w:rFonts w:hint="eastAsia" w:hAnsi="宋体" w:cs="宋体"/>
          <w:color w:val="auto"/>
          <w:szCs w:val="21"/>
          <w:highlight w:val="none"/>
        </w:rPr>
      </w:pPr>
      <w:r>
        <w:rPr>
          <w:rFonts w:hint="eastAsia" w:hAnsi="宋体" w:cs="宋体"/>
          <w:color w:val="auto"/>
          <w:szCs w:val="21"/>
          <w:highlight w:val="none"/>
        </w:rPr>
        <w:t>（1）我方承诺在收到成交通知书后，在成交通知书规定的期限内与你方签订合同，并履行相应的合同责任和义务。</w:t>
      </w:r>
    </w:p>
    <w:p w14:paraId="72DF0BDB">
      <w:pPr>
        <w:pStyle w:val="18"/>
        <w:spacing w:line="276" w:lineRule="auto"/>
        <w:ind w:firstLine="420"/>
        <w:rPr>
          <w:rFonts w:hint="eastAsia" w:hAnsi="宋体" w:cs="宋体"/>
          <w:color w:val="auto"/>
          <w:szCs w:val="21"/>
          <w:highlight w:val="none"/>
        </w:rPr>
      </w:pPr>
      <w:r>
        <w:rPr>
          <w:rFonts w:hint="eastAsia" w:hAnsi="宋体" w:cs="宋体"/>
          <w:color w:val="auto"/>
          <w:szCs w:val="21"/>
          <w:highlight w:val="none"/>
        </w:rPr>
        <w:t>（2）我方承诺按照竞争性磋商文件的规定向你方递交履约保证金。</w:t>
      </w:r>
    </w:p>
    <w:p w14:paraId="186493A5">
      <w:pPr>
        <w:pStyle w:val="18"/>
        <w:spacing w:line="276" w:lineRule="auto"/>
        <w:ind w:firstLine="420"/>
        <w:rPr>
          <w:rFonts w:hint="eastAsia" w:hAnsi="宋体" w:cs="宋体"/>
          <w:color w:val="auto"/>
          <w:szCs w:val="21"/>
          <w:highlight w:val="none"/>
        </w:rPr>
      </w:pPr>
      <w:r>
        <w:rPr>
          <w:rFonts w:hint="eastAsia" w:hAnsi="宋体" w:cs="宋体"/>
          <w:color w:val="auto"/>
          <w:szCs w:val="21"/>
          <w:highlight w:val="none"/>
        </w:rPr>
        <w:t>（3）我方承诺将承担售后服务及质量责任。</w:t>
      </w:r>
    </w:p>
    <w:p w14:paraId="31EFB388">
      <w:pPr>
        <w:pStyle w:val="18"/>
        <w:spacing w:line="276" w:lineRule="auto"/>
        <w:ind w:firstLine="420"/>
        <w:rPr>
          <w:rFonts w:hint="eastAsia" w:hAnsi="宋体" w:cs="宋体"/>
          <w:color w:val="auto"/>
          <w:szCs w:val="21"/>
          <w:highlight w:val="none"/>
        </w:rPr>
      </w:pPr>
      <w:r>
        <w:rPr>
          <w:rFonts w:hint="eastAsia" w:hAnsi="宋体" w:cs="宋体"/>
          <w:color w:val="auto"/>
          <w:szCs w:val="21"/>
          <w:highlight w:val="none"/>
        </w:rPr>
        <w:t>8.我方在此声明，所递交的响应文件及有关资料内容完整、真实和准确。</w:t>
      </w:r>
    </w:p>
    <w:p w14:paraId="3295300A">
      <w:pPr>
        <w:pStyle w:val="18"/>
        <w:spacing w:line="276" w:lineRule="auto"/>
        <w:ind w:firstLine="420"/>
        <w:rPr>
          <w:rFonts w:hint="eastAsia" w:hAnsi="宋体" w:cs="宋体"/>
          <w:color w:val="auto"/>
          <w:szCs w:val="21"/>
          <w:highlight w:val="none"/>
        </w:rPr>
      </w:pPr>
      <w:r>
        <w:rPr>
          <w:rFonts w:hint="eastAsia" w:hAnsi="宋体" w:cs="宋体"/>
          <w:color w:val="auto"/>
          <w:szCs w:val="21"/>
          <w:highlight w:val="none"/>
        </w:rPr>
        <w:t>9.</w:t>
      </w:r>
      <w:r>
        <w:rPr>
          <w:rFonts w:hint="eastAsia" w:hAnsi="宋体" w:cs="宋体"/>
          <w:color w:val="auto"/>
          <w:szCs w:val="21"/>
          <w:highlight w:val="none"/>
          <w:u w:val="single"/>
        </w:rPr>
        <w:t xml:space="preserve">                                       </w:t>
      </w:r>
      <w:r>
        <w:rPr>
          <w:rFonts w:hint="eastAsia" w:hAnsi="宋体" w:cs="宋体"/>
          <w:color w:val="auto"/>
          <w:szCs w:val="21"/>
          <w:highlight w:val="none"/>
        </w:rPr>
        <w:t>（其他补充说明）。</w:t>
      </w:r>
    </w:p>
    <w:p w14:paraId="1CE426DD">
      <w:pPr>
        <w:pStyle w:val="18"/>
        <w:spacing w:line="276" w:lineRule="auto"/>
        <w:ind w:firstLine="420"/>
        <w:rPr>
          <w:rFonts w:hint="eastAsia" w:hAnsi="宋体" w:cs="宋体"/>
          <w:color w:val="auto"/>
          <w:szCs w:val="21"/>
          <w:highlight w:val="none"/>
        </w:rPr>
      </w:pPr>
      <w:r>
        <w:rPr>
          <w:rFonts w:hint="eastAsia" w:hAnsi="宋体" w:cs="宋体"/>
          <w:color w:val="auto"/>
          <w:szCs w:val="21"/>
          <w:highlight w:val="none"/>
        </w:rPr>
        <w:t>我单位正式通讯地址为：</w:t>
      </w:r>
    </w:p>
    <w:p w14:paraId="485B7D7B">
      <w:pPr>
        <w:pStyle w:val="18"/>
        <w:spacing w:line="276" w:lineRule="auto"/>
        <w:ind w:firstLine="420"/>
        <w:rPr>
          <w:rFonts w:hint="eastAsia" w:hAnsi="宋体" w:cs="宋体"/>
          <w:color w:val="auto"/>
          <w:szCs w:val="21"/>
          <w:highlight w:val="none"/>
          <w:u w:val="single"/>
        </w:rPr>
      </w:pPr>
      <w:r>
        <w:rPr>
          <w:rFonts w:hint="eastAsia" w:hAnsi="宋体" w:cs="宋体"/>
          <w:color w:val="auto"/>
          <w:szCs w:val="21"/>
          <w:highlight w:val="none"/>
        </w:rPr>
        <w:t>地址：</w:t>
      </w:r>
      <w:r>
        <w:rPr>
          <w:rFonts w:hint="eastAsia" w:hAnsi="宋体" w:cs="宋体"/>
          <w:color w:val="auto"/>
          <w:szCs w:val="21"/>
          <w:highlight w:val="none"/>
          <w:u w:val="single"/>
        </w:rPr>
        <w:t xml:space="preserve">                         </w:t>
      </w:r>
      <w:r>
        <w:rPr>
          <w:rFonts w:hint="eastAsia" w:hAnsi="宋体" w:cs="宋体"/>
          <w:color w:val="auto"/>
          <w:szCs w:val="21"/>
          <w:highlight w:val="none"/>
        </w:rPr>
        <w:t>邮政编码：</w:t>
      </w:r>
      <w:r>
        <w:rPr>
          <w:rFonts w:hint="eastAsia" w:hAnsi="宋体" w:cs="宋体"/>
          <w:color w:val="auto"/>
          <w:szCs w:val="21"/>
          <w:highlight w:val="none"/>
          <w:u w:val="single"/>
        </w:rPr>
        <w:t xml:space="preserve">                  </w:t>
      </w:r>
    </w:p>
    <w:p w14:paraId="025C88E5">
      <w:pPr>
        <w:pStyle w:val="18"/>
        <w:spacing w:line="276" w:lineRule="auto"/>
        <w:ind w:firstLine="420"/>
        <w:rPr>
          <w:rFonts w:hint="eastAsia" w:hAnsi="宋体" w:cs="宋体"/>
          <w:color w:val="auto"/>
          <w:szCs w:val="21"/>
          <w:highlight w:val="none"/>
        </w:rPr>
      </w:pPr>
      <w:r>
        <w:rPr>
          <w:rFonts w:hint="eastAsia" w:hAnsi="宋体" w:cs="宋体"/>
          <w:color w:val="auto"/>
          <w:szCs w:val="21"/>
          <w:highlight w:val="none"/>
        </w:rPr>
        <w:t>电话：</w:t>
      </w:r>
      <w:r>
        <w:rPr>
          <w:rFonts w:hint="eastAsia" w:hAnsi="宋体" w:cs="宋体"/>
          <w:color w:val="auto"/>
          <w:szCs w:val="21"/>
          <w:highlight w:val="none"/>
          <w:u w:val="single"/>
        </w:rPr>
        <w:t xml:space="preserve">                         </w:t>
      </w:r>
      <w:r>
        <w:rPr>
          <w:rFonts w:hint="eastAsia" w:hAnsi="宋体" w:cs="宋体"/>
          <w:color w:val="auto"/>
          <w:szCs w:val="21"/>
          <w:highlight w:val="none"/>
        </w:rPr>
        <w:t>传真：</w:t>
      </w:r>
      <w:r>
        <w:rPr>
          <w:rFonts w:hint="eastAsia" w:hAnsi="宋体" w:cs="宋体"/>
          <w:color w:val="auto"/>
          <w:szCs w:val="21"/>
          <w:highlight w:val="none"/>
          <w:u w:val="single"/>
        </w:rPr>
        <w:t xml:space="preserve">                      </w:t>
      </w:r>
    </w:p>
    <w:p w14:paraId="58A3CBC2">
      <w:pPr>
        <w:pStyle w:val="18"/>
        <w:spacing w:line="276" w:lineRule="auto"/>
        <w:ind w:firstLine="420"/>
        <w:rPr>
          <w:rFonts w:hint="eastAsia" w:hAnsi="宋体" w:cs="宋体"/>
          <w:color w:val="auto"/>
          <w:szCs w:val="21"/>
          <w:highlight w:val="none"/>
          <w:u w:val="single"/>
        </w:rPr>
      </w:pPr>
      <w:r>
        <w:rPr>
          <w:rFonts w:hint="eastAsia" w:hAnsi="宋体" w:cs="宋体"/>
          <w:color w:val="auto"/>
          <w:szCs w:val="21"/>
          <w:highlight w:val="none"/>
        </w:rPr>
        <w:t>开户名称：</w:t>
      </w:r>
      <w:r>
        <w:rPr>
          <w:rFonts w:hint="eastAsia" w:hAnsi="宋体" w:cs="宋体"/>
          <w:color w:val="auto"/>
          <w:szCs w:val="21"/>
          <w:highlight w:val="none"/>
          <w:u w:val="single"/>
        </w:rPr>
        <w:t xml:space="preserve">                     </w:t>
      </w:r>
      <w:r>
        <w:rPr>
          <w:rFonts w:hint="eastAsia" w:hAnsi="宋体" w:cs="宋体"/>
          <w:color w:val="auto"/>
          <w:szCs w:val="21"/>
          <w:highlight w:val="none"/>
        </w:rPr>
        <w:t>开户银行：</w:t>
      </w:r>
      <w:r>
        <w:rPr>
          <w:rFonts w:hint="eastAsia" w:hAnsi="宋体" w:cs="宋体"/>
          <w:color w:val="auto"/>
          <w:szCs w:val="21"/>
          <w:highlight w:val="none"/>
          <w:u w:val="single"/>
        </w:rPr>
        <w:t xml:space="preserve">                  </w:t>
      </w:r>
    </w:p>
    <w:p w14:paraId="252EB0A0">
      <w:pPr>
        <w:pStyle w:val="18"/>
        <w:spacing w:line="276" w:lineRule="auto"/>
        <w:ind w:firstLine="420"/>
        <w:rPr>
          <w:rFonts w:hint="eastAsia" w:hAnsi="宋体" w:cs="宋体"/>
          <w:color w:val="auto"/>
          <w:szCs w:val="21"/>
          <w:highlight w:val="none"/>
          <w:u w:val="single"/>
        </w:rPr>
      </w:pPr>
      <w:r>
        <w:rPr>
          <w:rFonts w:hint="eastAsia" w:hAnsi="宋体" w:cs="宋体"/>
          <w:color w:val="auto"/>
          <w:szCs w:val="21"/>
          <w:highlight w:val="none"/>
          <w:lang w:eastAsia="zh-CN"/>
        </w:rPr>
        <w:t>账</w:t>
      </w:r>
      <w:r>
        <w:rPr>
          <w:rFonts w:hint="eastAsia" w:hAnsi="宋体" w:cs="宋体"/>
          <w:color w:val="auto"/>
          <w:szCs w:val="21"/>
          <w:highlight w:val="none"/>
        </w:rPr>
        <w:t xml:space="preserve">    号：</w:t>
      </w:r>
      <w:r>
        <w:rPr>
          <w:rFonts w:hint="eastAsia" w:hAnsi="宋体" w:cs="宋体"/>
          <w:color w:val="auto"/>
          <w:szCs w:val="21"/>
          <w:highlight w:val="none"/>
          <w:u w:val="single"/>
        </w:rPr>
        <w:t xml:space="preserve">                     </w:t>
      </w:r>
    </w:p>
    <w:p w14:paraId="4B1325FA">
      <w:pPr>
        <w:spacing w:line="360" w:lineRule="auto"/>
        <w:ind w:firstLine="422" w:firstLineChars="201"/>
        <w:jc w:val="left"/>
        <w:rPr>
          <w:rFonts w:hint="eastAsia" w:ascii="宋体" w:hAnsi="宋体" w:cs="宋体"/>
          <w:color w:val="auto"/>
          <w:szCs w:val="21"/>
          <w:highlight w:val="none"/>
        </w:rPr>
      </w:pPr>
    </w:p>
    <w:p w14:paraId="147D7EBB">
      <w:pPr>
        <w:spacing w:line="360" w:lineRule="auto"/>
        <w:ind w:firstLine="422" w:firstLineChars="201"/>
        <w:jc w:val="left"/>
        <w:rPr>
          <w:rFonts w:hint="eastAsia" w:ascii="宋体" w:hAnsi="宋体" w:cs="宋体"/>
          <w:color w:val="auto"/>
          <w:szCs w:val="21"/>
          <w:highlight w:val="none"/>
        </w:rPr>
      </w:pPr>
      <w:r>
        <w:rPr>
          <w:rFonts w:hint="eastAsia" w:ascii="宋体" w:hAnsi="宋体" w:cs="宋体"/>
          <w:color w:val="auto"/>
          <w:szCs w:val="21"/>
          <w:highlight w:val="none"/>
        </w:rPr>
        <w:t>供应商（</w:t>
      </w:r>
      <w:r>
        <w:rPr>
          <w:rFonts w:hint="eastAsia" w:ascii="宋体" w:hAnsi="宋体" w:cs="宋体"/>
          <w:color w:val="auto"/>
          <w:szCs w:val="21"/>
          <w:highlight w:val="none"/>
          <w:lang w:eastAsia="zh-CN"/>
        </w:rPr>
        <w:t>加盖供应商电子公章</w:t>
      </w:r>
      <w:r>
        <w:rPr>
          <w:rFonts w:hint="eastAsia" w:ascii="宋体" w:hAnsi="宋体" w:cs="宋体"/>
          <w:color w:val="auto"/>
          <w:szCs w:val="21"/>
          <w:highlight w:val="none"/>
        </w:rPr>
        <w:t>）：</w:t>
      </w:r>
    </w:p>
    <w:p w14:paraId="1B7352DB">
      <w:pPr>
        <w:spacing w:line="360" w:lineRule="auto"/>
        <w:ind w:firstLine="422" w:firstLineChars="201"/>
        <w:jc w:val="left"/>
        <w:rPr>
          <w:rFonts w:hint="eastAsia" w:ascii="宋体" w:hAnsi="宋体" w:cs="宋体"/>
          <w:color w:val="auto"/>
          <w:szCs w:val="21"/>
          <w:highlight w:val="none"/>
        </w:rPr>
      </w:pPr>
      <w:r>
        <w:rPr>
          <w:rFonts w:hint="eastAsia" w:ascii="宋体" w:hAnsi="宋体" w:cs="宋体"/>
          <w:color w:val="auto"/>
          <w:szCs w:val="21"/>
          <w:highlight w:val="none"/>
        </w:rPr>
        <w:t>法定代表人（</w:t>
      </w:r>
      <w:r>
        <w:rPr>
          <w:rFonts w:hint="eastAsia" w:ascii="宋体" w:hAnsi="宋体" w:cs="宋体"/>
          <w:color w:val="auto"/>
          <w:szCs w:val="21"/>
          <w:highlight w:val="none"/>
          <w:lang w:eastAsia="zh-CN"/>
        </w:rPr>
        <w:t>电子签名或盖章</w:t>
      </w:r>
      <w:r>
        <w:rPr>
          <w:rFonts w:hint="eastAsia" w:ascii="宋体" w:hAnsi="宋体" w:cs="宋体"/>
          <w:color w:val="auto"/>
          <w:szCs w:val="21"/>
          <w:highlight w:val="none"/>
        </w:rPr>
        <w:t>）：</w:t>
      </w:r>
    </w:p>
    <w:p w14:paraId="414E4B80">
      <w:pPr>
        <w:pStyle w:val="18"/>
        <w:spacing w:line="276" w:lineRule="auto"/>
        <w:ind w:firstLine="420"/>
        <w:rPr>
          <w:rFonts w:hint="eastAsia" w:hAnsi="宋体" w:cs="宋体"/>
          <w:color w:val="auto"/>
          <w:szCs w:val="21"/>
          <w:highlight w:val="none"/>
        </w:rPr>
      </w:pPr>
      <w:r>
        <w:rPr>
          <w:rFonts w:hint="eastAsia" w:hAnsi="宋体" w:cs="宋体"/>
          <w:color w:val="auto"/>
          <w:szCs w:val="21"/>
          <w:highlight w:val="none"/>
        </w:rPr>
        <w:t>日期：</w:t>
      </w:r>
    </w:p>
    <w:bookmarkEnd w:id="222"/>
    <w:bookmarkEnd w:id="223"/>
    <w:bookmarkEnd w:id="224"/>
    <w:p w14:paraId="0E62508F">
      <w:pPr>
        <w:pStyle w:val="18"/>
        <w:spacing w:line="276" w:lineRule="auto"/>
        <w:rPr>
          <w:rFonts w:hint="default" w:hAnsi="宋体" w:eastAsia="宋体" w:cs="宋体"/>
          <w:b/>
          <w:color w:val="auto"/>
          <w:sz w:val="28"/>
          <w:szCs w:val="28"/>
          <w:highlight w:val="none"/>
          <w:lang w:val="en-US" w:eastAsia="zh-CN"/>
        </w:rPr>
      </w:pPr>
      <w:r>
        <w:rPr>
          <w:rFonts w:hint="eastAsia" w:ascii="宋体" w:hAnsi="宋体" w:cs="宋体"/>
          <w:color w:val="auto"/>
          <w:sz w:val="24"/>
          <w:highlight w:val="none"/>
        </w:rPr>
        <w:br w:type="page"/>
      </w:r>
      <w:bookmarkStart w:id="251" w:name="_Toc491307325"/>
      <w:bookmarkStart w:id="252" w:name="_Toc26556"/>
      <w:bookmarkStart w:id="253" w:name="_Toc20807"/>
      <w:bookmarkStart w:id="254" w:name="_Toc25995"/>
      <w:bookmarkStart w:id="255" w:name="_Toc491307507"/>
      <w:bookmarkStart w:id="256" w:name="_Toc5454"/>
      <w:bookmarkStart w:id="257" w:name="_Toc491307387"/>
      <w:bookmarkStart w:id="258" w:name="_Toc22034"/>
      <w:bookmarkStart w:id="259" w:name="_Toc494043361"/>
      <w:r>
        <w:rPr>
          <w:rFonts w:hint="eastAsia" w:hAnsi="宋体" w:cs="宋体"/>
          <w:b/>
          <w:color w:val="auto"/>
          <w:sz w:val="28"/>
          <w:szCs w:val="28"/>
          <w:highlight w:val="none"/>
        </w:rPr>
        <w:t>格式</w:t>
      </w:r>
      <w:bookmarkEnd w:id="251"/>
      <w:bookmarkEnd w:id="252"/>
      <w:bookmarkEnd w:id="253"/>
      <w:bookmarkEnd w:id="254"/>
      <w:bookmarkEnd w:id="255"/>
      <w:bookmarkEnd w:id="256"/>
      <w:bookmarkEnd w:id="257"/>
      <w:bookmarkEnd w:id="258"/>
      <w:bookmarkEnd w:id="259"/>
      <w:r>
        <w:rPr>
          <w:rFonts w:hint="eastAsia" w:hAnsi="宋体" w:cs="宋体"/>
          <w:b/>
          <w:color w:val="auto"/>
          <w:sz w:val="28"/>
          <w:szCs w:val="28"/>
          <w:highlight w:val="none"/>
          <w:lang w:val="en-US" w:eastAsia="zh-CN"/>
        </w:rPr>
        <w:t>11</w:t>
      </w:r>
    </w:p>
    <w:p w14:paraId="1BC02697">
      <w:pPr>
        <w:tabs>
          <w:tab w:val="left" w:pos="5580"/>
        </w:tabs>
        <w:spacing w:line="240" w:lineRule="atLeast"/>
        <w:jc w:val="center"/>
        <w:rPr>
          <w:rFonts w:ascii="宋体" w:hAnsi="宋体" w:cs="宋体"/>
          <w:b/>
          <w:color w:val="auto"/>
          <w:sz w:val="28"/>
          <w:highlight w:val="none"/>
        </w:rPr>
      </w:pPr>
      <w:bookmarkStart w:id="260" w:name="_Toc419059324"/>
      <w:r>
        <w:rPr>
          <w:rFonts w:hint="eastAsia" w:ascii="宋体" w:hAnsi="宋体" w:cs="宋体"/>
          <w:b/>
          <w:color w:val="auto"/>
          <w:sz w:val="28"/>
          <w:highlight w:val="none"/>
        </w:rPr>
        <w:t>《中小企业声明函》（符合《政府采购促进中小企业发展管理办法》（财库[2020]46号）价格扣减条件的供应商需提交）</w:t>
      </w:r>
    </w:p>
    <w:p w14:paraId="4F26630B">
      <w:pPr>
        <w:pStyle w:val="4"/>
        <w:ind w:left="425"/>
        <w:rPr>
          <w:rFonts w:ascii="宋体" w:hAnsi="宋体" w:cs="宋体"/>
          <w:color w:val="auto"/>
          <w:szCs w:val="32"/>
          <w:highlight w:val="none"/>
        </w:rPr>
      </w:pPr>
      <w:bookmarkStart w:id="261" w:name="_Toc26368"/>
      <w:bookmarkStart w:id="262" w:name="_Toc22801"/>
      <w:r>
        <w:rPr>
          <w:rFonts w:ascii="宋体" w:hAnsi="宋体" w:cs="宋体"/>
          <w:color w:val="auto"/>
          <w:szCs w:val="32"/>
          <w:highlight w:val="none"/>
        </w:rPr>
        <w:t>中小企业声明函</w:t>
      </w:r>
      <w:bookmarkEnd w:id="261"/>
      <w:bookmarkEnd w:id="262"/>
    </w:p>
    <w:p w14:paraId="2A95603C">
      <w:pPr>
        <w:spacing w:line="432" w:lineRule="auto"/>
        <w:ind w:firstLine="444" w:firstLineChars="200"/>
        <w:rPr>
          <w:rFonts w:hint="eastAsia" w:ascii="宋体" w:hAnsi="宋体" w:cs="宋体"/>
          <w:color w:val="auto"/>
          <w:spacing w:val="6"/>
          <w:szCs w:val="21"/>
          <w:highlight w:val="none"/>
        </w:rPr>
      </w:pPr>
    </w:p>
    <w:p w14:paraId="47B0E4CE">
      <w:pPr>
        <w:widowControl/>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kern w:val="0"/>
          <w:szCs w:val="21"/>
          <w:highlight w:val="none"/>
          <w:lang w:bidi="ar"/>
        </w:rPr>
        <w:t>本公司（联合体）郑重声明，根据《政府采购促进中小企业发展管理办法》（财库﹝2020﹞46 号）的规定，本公司（联合体）参加</w:t>
      </w:r>
      <w:r>
        <w:rPr>
          <w:rFonts w:hint="eastAsia" w:hAnsi="宋体" w:cs="宋体"/>
          <w:color w:val="auto"/>
          <w:kern w:val="0"/>
          <w:szCs w:val="21"/>
          <w:highlight w:val="none"/>
          <w:u w:val="single"/>
          <w:lang w:bidi="ar"/>
        </w:rPr>
        <w:t xml:space="preserve">   </w:t>
      </w:r>
      <w:r>
        <w:rPr>
          <w:rFonts w:hint="eastAsia" w:ascii="宋体" w:hAnsi="宋体" w:cs="宋体"/>
          <w:color w:val="auto"/>
          <w:kern w:val="0"/>
          <w:szCs w:val="21"/>
          <w:highlight w:val="none"/>
          <w:u w:val="single"/>
          <w:lang w:bidi="ar"/>
        </w:rPr>
        <w:t>（单位名称）</w:t>
      </w:r>
      <w:r>
        <w:rPr>
          <w:rFonts w:hint="eastAsia" w:hAnsi="宋体" w:cs="宋体"/>
          <w:color w:val="auto"/>
          <w:kern w:val="0"/>
          <w:szCs w:val="21"/>
          <w:highlight w:val="none"/>
          <w:u w:val="single"/>
          <w:lang w:bidi="ar"/>
        </w:rPr>
        <w:t xml:space="preserve">   </w:t>
      </w:r>
      <w:r>
        <w:rPr>
          <w:rFonts w:hint="eastAsia" w:ascii="宋体" w:hAnsi="宋体" w:cs="宋体"/>
          <w:color w:val="auto"/>
          <w:kern w:val="0"/>
          <w:szCs w:val="21"/>
          <w:highlight w:val="none"/>
          <w:lang w:bidi="ar"/>
        </w:rPr>
        <w:t>的</w:t>
      </w:r>
      <w:r>
        <w:rPr>
          <w:rFonts w:hint="eastAsia" w:hAnsi="宋体" w:cs="宋体"/>
          <w:color w:val="auto"/>
          <w:kern w:val="0"/>
          <w:szCs w:val="21"/>
          <w:highlight w:val="none"/>
          <w:u w:val="single"/>
          <w:lang w:bidi="ar"/>
        </w:rPr>
        <w:t xml:space="preserve">   </w:t>
      </w:r>
      <w:r>
        <w:rPr>
          <w:rFonts w:hint="eastAsia" w:ascii="宋体" w:hAnsi="宋体" w:cs="宋体"/>
          <w:color w:val="auto"/>
          <w:kern w:val="0"/>
          <w:szCs w:val="21"/>
          <w:highlight w:val="none"/>
          <w:u w:val="single"/>
          <w:lang w:bidi="ar"/>
        </w:rPr>
        <w:t>（项目名称）</w:t>
      </w:r>
      <w:r>
        <w:rPr>
          <w:rFonts w:hint="eastAsia" w:hAnsi="宋体" w:cs="宋体"/>
          <w:color w:val="auto"/>
          <w:kern w:val="0"/>
          <w:szCs w:val="21"/>
          <w:highlight w:val="none"/>
          <w:u w:val="single"/>
          <w:lang w:bidi="ar"/>
        </w:rPr>
        <w:t xml:space="preserve">   </w:t>
      </w:r>
      <w:r>
        <w:rPr>
          <w:rFonts w:hint="eastAsia" w:ascii="宋体" w:hAnsi="宋体" w:cs="宋体"/>
          <w:color w:val="auto"/>
          <w:kern w:val="0"/>
          <w:szCs w:val="21"/>
          <w:highlight w:val="none"/>
          <w:lang w:bidi="ar"/>
        </w:rPr>
        <w:t>采购活动，服务全部由符合政策要求的中小企业承接。相关企业（含联合体中的中小企业、签订分包意向协议的中小企业）的具体情况如下：</w:t>
      </w:r>
    </w:p>
    <w:p w14:paraId="298D45A2">
      <w:pPr>
        <w:widowControl/>
        <w:spacing w:line="360" w:lineRule="auto"/>
        <w:jc w:val="left"/>
        <w:rPr>
          <w:rFonts w:hint="eastAsia" w:ascii="宋体" w:hAnsi="宋体" w:cs="宋体"/>
          <w:color w:val="auto"/>
          <w:szCs w:val="21"/>
          <w:highlight w:val="none"/>
        </w:rPr>
      </w:pPr>
      <w:r>
        <w:rPr>
          <w:rFonts w:hint="eastAsia" w:ascii="宋体" w:hAnsi="宋体" w:cs="宋体"/>
          <w:color w:val="auto"/>
          <w:kern w:val="0"/>
          <w:szCs w:val="21"/>
          <w:highlight w:val="none"/>
          <w:lang w:bidi="ar"/>
        </w:rPr>
        <w:t>1.</w:t>
      </w:r>
      <w:r>
        <w:rPr>
          <w:rFonts w:hint="eastAsia" w:ascii="宋体" w:hAnsi="宋体" w:cs="宋体"/>
          <w:color w:val="auto"/>
          <w:kern w:val="0"/>
          <w:szCs w:val="21"/>
          <w:highlight w:val="none"/>
          <w:u w:val="single"/>
          <w:lang w:bidi="ar"/>
        </w:rPr>
        <w:t xml:space="preserve"> （标的名称） </w:t>
      </w:r>
      <w:r>
        <w:rPr>
          <w:rFonts w:hint="eastAsia" w:ascii="宋体" w:hAnsi="宋体" w:cs="宋体"/>
          <w:color w:val="auto"/>
          <w:kern w:val="0"/>
          <w:szCs w:val="21"/>
          <w:highlight w:val="none"/>
          <w:lang w:bidi="ar"/>
        </w:rPr>
        <w:t>，属于</w:t>
      </w:r>
      <w:r>
        <w:rPr>
          <w:rFonts w:hint="eastAsia" w:ascii="宋体" w:hAnsi="宋体" w:cs="宋体"/>
          <w:color w:val="auto"/>
          <w:kern w:val="0"/>
          <w:szCs w:val="21"/>
          <w:highlight w:val="none"/>
          <w:u w:val="single"/>
          <w:lang w:bidi="ar"/>
        </w:rPr>
        <w:t>（采购文件中明确的所属行业）</w:t>
      </w:r>
      <w:r>
        <w:rPr>
          <w:rFonts w:hint="eastAsia" w:hAnsi="宋体" w:cs="宋体"/>
          <w:color w:val="auto"/>
          <w:kern w:val="0"/>
          <w:szCs w:val="21"/>
          <w:highlight w:val="none"/>
          <w:lang w:bidi="ar"/>
        </w:rPr>
        <w:t>；</w:t>
      </w:r>
      <w:r>
        <w:rPr>
          <w:rFonts w:hint="eastAsia" w:ascii="宋体" w:hAnsi="宋体" w:cs="宋体"/>
          <w:color w:val="auto"/>
          <w:kern w:val="0"/>
          <w:szCs w:val="21"/>
          <w:highlight w:val="none"/>
          <w:lang w:bidi="ar"/>
        </w:rPr>
        <w:t>承建（承接）企业为</w:t>
      </w:r>
      <w:r>
        <w:rPr>
          <w:rFonts w:hint="eastAsia" w:hAnsi="宋体" w:cs="宋体"/>
          <w:color w:val="auto"/>
          <w:kern w:val="0"/>
          <w:szCs w:val="21"/>
          <w:highlight w:val="none"/>
          <w:u w:val="single"/>
          <w:lang w:bidi="ar"/>
        </w:rPr>
        <w:t xml:space="preserve">   </w:t>
      </w:r>
      <w:r>
        <w:rPr>
          <w:rFonts w:hint="eastAsia" w:ascii="宋体" w:hAnsi="宋体" w:cs="宋体"/>
          <w:color w:val="auto"/>
          <w:kern w:val="0"/>
          <w:szCs w:val="21"/>
          <w:highlight w:val="none"/>
          <w:u w:val="single"/>
          <w:lang w:bidi="ar"/>
        </w:rPr>
        <w:t>（企业名称）</w:t>
      </w:r>
      <w:r>
        <w:rPr>
          <w:rFonts w:hint="eastAsia" w:hAnsi="宋体" w:cs="宋体"/>
          <w:color w:val="auto"/>
          <w:kern w:val="0"/>
          <w:szCs w:val="21"/>
          <w:highlight w:val="none"/>
          <w:u w:val="single"/>
          <w:lang w:bidi="ar"/>
        </w:rPr>
        <w:t xml:space="preserve">   </w:t>
      </w:r>
      <w:r>
        <w:rPr>
          <w:rFonts w:hint="eastAsia" w:ascii="宋体" w:hAnsi="宋体" w:cs="宋体"/>
          <w:color w:val="auto"/>
          <w:kern w:val="0"/>
          <w:szCs w:val="21"/>
          <w:highlight w:val="none"/>
          <w:lang w:bidi="ar"/>
        </w:rPr>
        <w:t>，从业人员</w:t>
      </w:r>
      <w:r>
        <w:rPr>
          <w:rFonts w:hint="eastAsia" w:hAnsi="宋体" w:cs="宋体"/>
          <w:color w:val="auto"/>
          <w:kern w:val="0"/>
          <w:szCs w:val="21"/>
          <w:highlight w:val="none"/>
          <w:u w:val="single"/>
          <w:lang w:bidi="ar"/>
        </w:rPr>
        <w:t xml:space="preserve">   </w:t>
      </w:r>
      <w:r>
        <w:rPr>
          <w:rFonts w:hint="eastAsia" w:ascii="宋体" w:hAnsi="宋体" w:cs="宋体"/>
          <w:color w:val="auto"/>
          <w:kern w:val="0"/>
          <w:szCs w:val="21"/>
          <w:highlight w:val="none"/>
          <w:lang w:bidi="ar"/>
        </w:rPr>
        <w:t>人，营业收入为</w:t>
      </w:r>
      <w:r>
        <w:rPr>
          <w:rFonts w:hint="eastAsia" w:hAnsi="宋体" w:cs="宋体"/>
          <w:color w:val="auto"/>
          <w:kern w:val="0"/>
          <w:szCs w:val="21"/>
          <w:highlight w:val="none"/>
          <w:u w:val="single"/>
          <w:lang w:bidi="ar"/>
        </w:rPr>
        <w:t xml:space="preserve">   </w:t>
      </w:r>
      <w:r>
        <w:rPr>
          <w:rFonts w:hint="eastAsia" w:ascii="宋体" w:hAnsi="宋体" w:cs="宋体"/>
          <w:color w:val="auto"/>
          <w:kern w:val="0"/>
          <w:szCs w:val="21"/>
          <w:highlight w:val="none"/>
          <w:lang w:bidi="ar"/>
        </w:rPr>
        <w:t>万元，资产总额为</w:t>
      </w:r>
      <w:r>
        <w:rPr>
          <w:rFonts w:hint="eastAsia" w:hAnsi="宋体" w:cs="宋体"/>
          <w:color w:val="auto"/>
          <w:kern w:val="0"/>
          <w:szCs w:val="21"/>
          <w:highlight w:val="none"/>
          <w:u w:val="single"/>
          <w:lang w:bidi="ar"/>
        </w:rPr>
        <w:t xml:space="preserve">   </w:t>
      </w:r>
      <w:r>
        <w:rPr>
          <w:rFonts w:hint="eastAsia" w:ascii="宋体" w:hAnsi="宋体" w:cs="宋体"/>
          <w:color w:val="auto"/>
          <w:kern w:val="0"/>
          <w:szCs w:val="21"/>
          <w:highlight w:val="none"/>
          <w:lang w:bidi="ar"/>
        </w:rPr>
        <w:t>万元</w:t>
      </w:r>
      <w:r>
        <w:rPr>
          <w:rFonts w:hint="eastAsia" w:hAnsi="宋体" w:cs="宋体"/>
          <w:color w:val="auto"/>
          <w:kern w:val="0"/>
          <w:szCs w:val="21"/>
          <w:highlight w:val="none"/>
          <w:vertAlign w:val="superscript"/>
          <w:lang w:bidi="ar"/>
        </w:rPr>
        <w:t>1</w:t>
      </w:r>
      <w:r>
        <w:rPr>
          <w:rFonts w:hint="eastAsia" w:ascii="宋体" w:hAnsi="宋体" w:cs="宋体"/>
          <w:color w:val="auto"/>
          <w:kern w:val="0"/>
          <w:szCs w:val="21"/>
          <w:highlight w:val="none"/>
          <w:lang w:bidi="ar"/>
        </w:rPr>
        <w:t>，属于</w:t>
      </w:r>
      <w:r>
        <w:rPr>
          <w:rFonts w:hint="eastAsia" w:ascii="宋体" w:hAnsi="宋体" w:cs="宋体"/>
          <w:color w:val="auto"/>
          <w:kern w:val="0"/>
          <w:szCs w:val="21"/>
          <w:highlight w:val="none"/>
          <w:u w:val="single"/>
          <w:lang w:bidi="ar"/>
        </w:rPr>
        <w:t>（中型企业、小型企业、微型企业）</w:t>
      </w:r>
      <w:r>
        <w:rPr>
          <w:rFonts w:hint="eastAsia" w:ascii="宋体" w:hAnsi="宋体" w:cs="宋体"/>
          <w:color w:val="auto"/>
          <w:kern w:val="0"/>
          <w:szCs w:val="21"/>
          <w:highlight w:val="none"/>
          <w:lang w:bidi="ar"/>
        </w:rPr>
        <w:t>；</w:t>
      </w:r>
    </w:p>
    <w:p w14:paraId="60088C5D">
      <w:pPr>
        <w:widowControl/>
        <w:spacing w:line="360" w:lineRule="auto"/>
        <w:jc w:val="left"/>
        <w:rPr>
          <w:rFonts w:hint="eastAsia" w:ascii="宋体" w:hAnsi="宋体" w:cs="宋体"/>
          <w:color w:val="auto"/>
          <w:szCs w:val="21"/>
          <w:highlight w:val="none"/>
        </w:rPr>
      </w:pPr>
      <w:r>
        <w:rPr>
          <w:rFonts w:hint="eastAsia" w:ascii="宋体" w:hAnsi="宋体" w:cs="宋体"/>
          <w:color w:val="auto"/>
          <w:kern w:val="0"/>
          <w:szCs w:val="21"/>
          <w:highlight w:val="none"/>
          <w:lang w:bidi="ar"/>
        </w:rPr>
        <w:t>2</w:t>
      </w:r>
      <w:r>
        <w:rPr>
          <w:rFonts w:hint="eastAsia" w:ascii="宋体" w:hAnsi="宋体" w:cs="宋体"/>
          <w:color w:val="auto"/>
          <w:kern w:val="0"/>
          <w:szCs w:val="21"/>
          <w:highlight w:val="none"/>
          <w:u w:val="single"/>
          <w:lang w:bidi="ar"/>
        </w:rPr>
        <w:t xml:space="preserve">. （标的名称） </w:t>
      </w:r>
      <w:r>
        <w:rPr>
          <w:rFonts w:hint="eastAsia" w:ascii="宋体" w:hAnsi="宋体" w:cs="宋体"/>
          <w:color w:val="auto"/>
          <w:kern w:val="0"/>
          <w:szCs w:val="21"/>
          <w:highlight w:val="none"/>
          <w:lang w:bidi="ar"/>
        </w:rPr>
        <w:t>，属于</w:t>
      </w:r>
      <w:r>
        <w:rPr>
          <w:rFonts w:hint="eastAsia" w:ascii="宋体" w:hAnsi="宋体" w:cs="宋体"/>
          <w:color w:val="auto"/>
          <w:kern w:val="0"/>
          <w:szCs w:val="21"/>
          <w:highlight w:val="none"/>
          <w:u w:val="single"/>
          <w:lang w:bidi="ar"/>
        </w:rPr>
        <w:t>（采购文件中明确的所属行业）</w:t>
      </w:r>
      <w:r>
        <w:rPr>
          <w:rFonts w:hint="eastAsia" w:ascii="宋体" w:hAnsi="宋体" w:cs="宋体"/>
          <w:color w:val="auto"/>
          <w:kern w:val="0"/>
          <w:szCs w:val="21"/>
          <w:highlight w:val="none"/>
          <w:lang w:bidi="ar"/>
        </w:rPr>
        <w:t>；承建（承接）企业为</w:t>
      </w:r>
      <w:r>
        <w:rPr>
          <w:rFonts w:hint="eastAsia" w:ascii="宋体" w:hAnsi="宋体" w:cs="宋体"/>
          <w:color w:val="auto"/>
          <w:kern w:val="0"/>
          <w:szCs w:val="21"/>
          <w:highlight w:val="none"/>
          <w:u w:val="single"/>
          <w:lang w:bidi="ar"/>
        </w:rPr>
        <w:t>（企业名称）</w:t>
      </w:r>
      <w:r>
        <w:rPr>
          <w:rFonts w:hint="eastAsia" w:ascii="宋体" w:hAnsi="宋体" w:cs="宋体"/>
          <w:color w:val="auto"/>
          <w:kern w:val="0"/>
          <w:szCs w:val="21"/>
          <w:highlight w:val="none"/>
          <w:lang w:bidi="ar"/>
        </w:rPr>
        <w:t>，从业人员</w:t>
      </w:r>
      <w:r>
        <w:rPr>
          <w:rFonts w:hint="eastAsia" w:hAnsi="宋体" w:cs="宋体"/>
          <w:color w:val="auto"/>
          <w:kern w:val="0"/>
          <w:szCs w:val="21"/>
          <w:highlight w:val="none"/>
          <w:u w:val="single"/>
          <w:lang w:bidi="ar"/>
        </w:rPr>
        <w:t xml:space="preserve">   </w:t>
      </w:r>
      <w:r>
        <w:rPr>
          <w:rFonts w:hint="eastAsia" w:ascii="宋体" w:hAnsi="宋体" w:cs="宋体"/>
          <w:color w:val="auto"/>
          <w:kern w:val="0"/>
          <w:szCs w:val="21"/>
          <w:highlight w:val="none"/>
          <w:lang w:bidi="ar"/>
        </w:rPr>
        <w:t>人，营业收入为</w:t>
      </w:r>
      <w:r>
        <w:rPr>
          <w:rFonts w:hint="eastAsia" w:hAnsi="宋体" w:cs="宋体"/>
          <w:color w:val="auto"/>
          <w:kern w:val="0"/>
          <w:szCs w:val="21"/>
          <w:highlight w:val="none"/>
          <w:u w:val="single"/>
          <w:lang w:bidi="ar"/>
        </w:rPr>
        <w:t xml:space="preserve">   </w:t>
      </w:r>
      <w:r>
        <w:rPr>
          <w:rFonts w:hint="eastAsia" w:ascii="宋体" w:hAnsi="宋体" w:cs="宋体"/>
          <w:color w:val="auto"/>
          <w:kern w:val="0"/>
          <w:szCs w:val="21"/>
          <w:highlight w:val="none"/>
          <w:lang w:bidi="ar"/>
        </w:rPr>
        <w:t>万元，资产总额为</w:t>
      </w:r>
      <w:r>
        <w:rPr>
          <w:rFonts w:hint="eastAsia" w:hAnsi="宋体" w:cs="宋体"/>
          <w:color w:val="auto"/>
          <w:kern w:val="0"/>
          <w:szCs w:val="21"/>
          <w:highlight w:val="none"/>
          <w:u w:val="single"/>
          <w:lang w:bidi="ar"/>
        </w:rPr>
        <w:t xml:space="preserve">   </w:t>
      </w:r>
      <w:r>
        <w:rPr>
          <w:rFonts w:hint="eastAsia" w:ascii="宋体" w:hAnsi="宋体" w:cs="宋体"/>
          <w:color w:val="auto"/>
          <w:kern w:val="0"/>
          <w:szCs w:val="21"/>
          <w:highlight w:val="none"/>
          <w:lang w:bidi="ar"/>
        </w:rPr>
        <w:t>万元，属于</w:t>
      </w:r>
      <w:r>
        <w:rPr>
          <w:rFonts w:hint="eastAsia" w:ascii="宋体" w:hAnsi="宋体" w:cs="宋体"/>
          <w:color w:val="auto"/>
          <w:kern w:val="0"/>
          <w:szCs w:val="21"/>
          <w:highlight w:val="none"/>
          <w:u w:val="single"/>
          <w:lang w:bidi="ar"/>
        </w:rPr>
        <w:t>（中型企业、小型企业、微型企业）</w:t>
      </w:r>
      <w:r>
        <w:rPr>
          <w:rFonts w:hint="eastAsia" w:ascii="宋体" w:hAnsi="宋体" w:cs="宋体"/>
          <w:color w:val="auto"/>
          <w:kern w:val="0"/>
          <w:szCs w:val="21"/>
          <w:highlight w:val="none"/>
          <w:lang w:bidi="ar"/>
        </w:rPr>
        <w:t>；</w:t>
      </w:r>
    </w:p>
    <w:p w14:paraId="114656A5">
      <w:pPr>
        <w:widowControl/>
        <w:spacing w:line="360" w:lineRule="auto"/>
        <w:jc w:val="left"/>
        <w:rPr>
          <w:rFonts w:hint="eastAsia" w:ascii="宋体" w:hAnsi="宋体" w:cs="宋体"/>
          <w:color w:val="auto"/>
          <w:szCs w:val="21"/>
          <w:highlight w:val="none"/>
        </w:rPr>
      </w:pPr>
      <w:r>
        <w:rPr>
          <w:rFonts w:hint="eastAsia" w:ascii="宋体" w:hAnsi="宋体" w:cs="宋体"/>
          <w:color w:val="auto"/>
          <w:kern w:val="0"/>
          <w:szCs w:val="21"/>
          <w:highlight w:val="none"/>
          <w:lang w:bidi="ar"/>
        </w:rPr>
        <w:t>……</w:t>
      </w:r>
    </w:p>
    <w:p w14:paraId="11F1FFBC">
      <w:pPr>
        <w:widowControl/>
        <w:spacing w:line="360" w:lineRule="auto"/>
        <w:jc w:val="left"/>
        <w:rPr>
          <w:rFonts w:hint="eastAsia" w:ascii="宋体" w:hAnsi="宋体" w:cs="宋体"/>
          <w:color w:val="auto"/>
          <w:szCs w:val="21"/>
          <w:highlight w:val="none"/>
        </w:rPr>
      </w:pPr>
      <w:r>
        <w:rPr>
          <w:rFonts w:hint="eastAsia" w:ascii="宋体" w:hAnsi="宋体" w:cs="宋体"/>
          <w:color w:val="auto"/>
          <w:kern w:val="0"/>
          <w:szCs w:val="21"/>
          <w:highlight w:val="none"/>
          <w:lang w:bidi="ar"/>
        </w:rPr>
        <w:t>以上企业，不属于大企业的分支机构，不存在控股股东为大企业的情形，也不存在与大企业的负责人为同一人的情形。</w:t>
      </w:r>
    </w:p>
    <w:p w14:paraId="227418FF">
      <w:pPr>
        <w:widowControl/>
        <w:spacing w:line="360" w:lineRule="auto"/>
        <w:jc w:val="left"/>
        <w:rPr>
          <w:rFonts w:hint="eastAsia" w:ascii="宋体" w:hAnsi="宋体" w:cs="宋体"/>
          <w:color w:val="auto"/>
          <w:szCs w:val="21"/>
          <w:highlight w:val="none"/>
        </w:rPr>
      </w:pPr>
      <w:r>
        <w:rPr>
          <w:rFonts w:hint="eastAsia" w:ascii="宋体" w:hAnsi="宋体" w:cs="宋体"/>
          <w:color w:val="auto"/>
          <w:kern w:val="0"/>
          <w:szCs w:val="21"/>
          <w:highlight w:val="none"/>
          <w:lang w:bidi="ar"/>
        </w:rPr>
        <w:t>本企业对上述声明内容的真实性负责。如有虚假，将依法承担相应责任。</w:t>
      </w:r>
    </w:p>
    <w:p w14:paraId="029F495B">
      <w:pPr>
        <w:widowControl/>
        <w:spacing w:line="360" w:lineRule="auto"/>
        <w:jc w:val="left"/>
        <w:rPr>
          <w:rFonts w:hint="eastAsia" w:ascii="宋体" w:hAnsi="宋体" w:cs="宋体"/>
          <w:color w:val="auto"/>
          <w:kern w:val="0"/>
          <w:szCs w:val="21"/>
          <w:highlight w:val="none"/>
          <w:lang w:bidi="ar"/>
        </w:rPr>
      </w:pPr>
    </w:p>
    <w:p w14:paraId="3A89375E">
      <w:pPr>
        <w:widowControl/>
        <w:spacing w:line="360" w:lineRule="auto"/>
        <w:jc w:val="left"/>
        <w:rPr>
          <w:rFonts w:hint="eastAsia" w:ascii="宋体" w:hAnsi="宋体" w:cs="宋体"/>
          <w:color w:val="auto"/>
          <w:szCs w:val="21"/>
          <w:highlight w:val="none"/>
        </w:rPr>
      </w:pPr>
      <w:r>
        <w:rPr>
          <w:rFonts w:hint="eastAsia" w:ascii="宋体" w:hAnsi="宋体" w:cs="宋体"/>
          <w:color w:val="auto"/>
          <w:kern w:val="0"/>
          <w:szCs w:val="21"/>
          <w:highlight w:val="none"/>
          <w:lang w:bidi="ar"/>
        </w:rPr>
        <w:t>企业名称（盖章）：</w:t>
      </w:r>
    </w:p>
    <w:p w14:paraId="050A1147">
      <w:pPr>
        <w:widowControl/>
        <w:spacing w:line="360" w:lineRule="auto"/>
        <w:jc w:val="left"/>
        <w:rPr>
          <w:rFonts w:hint="eastAsia" w:ascii="宋体" w:hAnsi="宋体" w:cs="宋体"/>
          <w:color w:val="auto"/>
          <w:kern w:val="0"/>
          <w:szCs w:val="21"/>
          <w:highlight w:val="none"/>
          <w:lang w:bidi="ar"/>
        </w:rPr>
      </w:pPr>
    </w:p>
    <w:p w14:paraId="22C4D900">
      <w:pPr>
        <w:widowControl/>
        <w:spacing w:line="360" w:lineRule="auto"/>
        <w:jc w:val="left"/>
        <w:rPr>
          <w:rFonts w:hint="eastAsia" w:ascii="宋体" w:hAnsi="宋体" w:cs="宋体"/>
          <w:color w:val="auto"/>
          <w:szCs w:val="21"/>
          <w:highlight w:val="none"/>
        </w:rPr>
      </w:pPr>
      <w:r>
        <w:rPr>
          <w:rFonts w:hint="eastAsia" w:ascii="宋体" w:hAnsi="宋体" w:cs="宋体"/>
          <w:color w:val="auto"/>
          <w:kern w:val="0"/>
          <w:szCs w:val="21"/>
          <w:highlight w:val="none"/>
          <w:lang w:bidi="ar"/>
        </w:rPr>
        <w:t>日 期：</w:t>
      </w:r>
    </w:p>
    <w:p w14:paraId="3049F060">
      <w:pPr>
        <w:widowControl/>
        <w:spacing w:line="360" w:lineRule="auto"/>
        <w:jc w:val="left"/>
        <w:rPr>
          <w:rFonts w:hint="eastAsia" w:ascii="宋体" w:hAnsi="宋体" w:cs="宋体"/>
          <w:color w:val="auto"/>
          <w:kern w:val="0"/>
          <w:szCs w:val="21"/>
          <w:highlight w:val="none"/>
          <w:vertAlign w:val="superscript"/>
          <w:lang w:bidi="ar"/>
        </w:rPr>
      </w:pPr>
    </w:p>
    <w:p w14:paraId="5D6A8C5F">
      <w:pPr>
        <w:widowControl/>
        <w:spacing w:line="360" w:lineRule="auto"/>
        <w:jc w:val="left"/>
        <w:rPr>
          <w:rFonts w:hint="eastAsia" w:ascii="宋体" w:hAnsi="宋体" w:cs="宋体"/>
          <w:color w:val="auto"/>
          <w:szCs w:val="21"/>
          <w:highlight w:val="none"/>
        </w:rPr>
      </w:pPr>
      <w:r>
        <w:rPr>
          <w:rFonts w:hint="eastAsia" w:ascii="宋体" w:hAnsi="宋体" w:cs="宋体"/>
          <w:color w:val="auto"/>
          <w:kern w:val="0"/>
          <w:szCs w:val="21"/>
          <w:highlight w:val="none"/>
          <w:vertAlign w:val="superscript"/>
          <w:lang w:bidi="ar"/>
        </w:rPr>
        <w:t>1</w:t>
      </w:r>
      <w:r>
        <w:rPr>
          <w:rFonts w:hint="eastAsia" w:ascii="宋体" w:hAnsi="宋体" w:cs="宋体"/>
          <w:color w:val="auto"/>
          <w:kern w:val="0"/>
          <w:szCs w:val="21"/>
          <w:highlight w:val="none"/>
          <w:lang w:bidi="ar"/>
        </w:rPr>
        <w:t>从业人员、营业收入、资产总额填报上一年度数据，无上一年度数据的新成立企业可不填报。</w:t>
      </w:r>
    </w:p>
    <w:p w14:paraId="1D0A86A8">
      <w:pPr>
        <w:pStyle w:val="33"/>
        <w:spacing w:before="0" w:beforeAutospacing="0" w:after="0" w:afterAutospacing="0" w:line="360" w:lineRule="auto"/>
        <w:rPr>
          <w:rFonts w:hint="eastAsia" w:ascii="宋体" w:cs="宋体"/>
          <w:b/>
          <w:color w:val="auto"/>
          <w:sz w:val="21"/>
          <w:szCs w:val="21"/>
          <w:highlight w:val="none"/>
        </w:rPr>
      </w:pPr>
      <w:r>
        <w:rPr>
          <w:rFonts w:hint="eastAsia" w:ascii="宋体" w:cs="宋体"/>
          <w:b/>
          <w:color w:val="auto"/>
          <w:sz w:val="21"/>
          <w:szCs w:val="21"/>
          <w:highlight w:val="none"/>
        </w:rPr>
        <w:t>注：1</w:t>
      </w:r>
      <w:r>
        <w:rPr>
          <w:rFonts w:hint="eastAsia" w:ascii="宋体" w:cs="宋体"/>
          <w:b/>
          <w:color w:val="auto"/>
          <w:sz w:val="21"/>
          <w:szCs w:val="21"/>
          <w:highlight w:val="none"/>
          <w:lang w:val="en-US" w:eastAsia="zh-CN"/>
        </w:rPr>
        <w:t>.</w:t>
      </w:r>
      <w:r>
        <w:rPr>
          <w:rFonts w:hint="eastAsia" w:ascii="宋体" w:cs="宋体"/>
          <w:b/>
          <w:color w:val="auto"/>
          <w:sz w:val="21"/>
          <w:szCs w:val="21"/>
          <w:highlight w:val="none"/>
        </w:rPr>
        <w:t>符合《政府采购促进中小企业发展管理办法》（财库[2020]46号）价格扣减条件的供应商需提供《中小企业声明函》。</w:t>
      </w:r>
    </w:p>
    <w:p w14:paraId="62AF450E">
      <w:pPr>
        <w:jc w:val="left"/>
        <w:rPr>
          <w:rFonts w:hint="eastAsia" w:ascii="宋体" w:hAnsi="宋体" w:cs="宋体"/>
          <w:b/>
          <w:color w:val="auto"/>
          <w:szCs w:val="21"/>
          <w:highlight w:val="none"/>
        </w:rPr>
      </w:pPr>
      <w:r>
        <w:rPr>
          <w:rFonts w:hint="eastAsia" w:ascii="宋体" w:hAnsi="宋体" w:cs="宋体"/>
          <w:b/>
          <w:color w:val="auto"/>
          <w:szCs w:val="21"/>
          <w:highlight w:val="none"/>
        </w:rPr>
        <w:t>2.不享受中小企业优先采购政策的供应商不需填写《中小企业声明函》。</w:t>
      </w:r>
      <w:bookmarkEnd w:id="260"/>
    </w:p>
    <w:p w14:paraId="7EA1CB14">
      <w:pPr>
        <w:keepNext/>
        <w:keepLines/>
        <w:spacing w:after="120" w:line="360" w:lineRule="auto"/>
        <w:jc w:val="left"/>
        <w:outlineLvl w:val="1"/>
        <w:rPr>
          <w:rFonts w:hint="default" w:ascii="宋体" w:hAnsi="宋体" w:eastAsia="宋体" w:cs="宋体"/>
          <w:b/>
          <w:color w:val="auto"/>
          <w:sz w:val="28"/>
          <w:szCs w:val="28"/>
          <w:highlight w:val="none"/>
          <w:lang w:val="en-US" w:eastAsia="zh-CN"/>
        </w:rPr>
      </w:pPr>
      <w:r>
        <w:rPr>
          <w:rFonts w:hint="eastAsia" w:ascii="宋体" w:hAnsi="宋体" w:cs="宋体"/>
          <w:b/>
          <w:color w:val="auto"/>
          <w:szCs w:val="21"/>
          <w:highlight w:val="none"/>
        </w:rPr>
        <w:br w:type="page"/>
      </w:r>
      <w:bookmarkStart w:id="263" w:name="_Toc26184"/>
      <w:bookmarkStart w:id="264" w:name="_Toc29868"/>
      <w:bookmarkStart w:id="265" w:name="_Toc19033"/>
      <w:bookmarkStart w:id="266" w:name="_Toc20760"/>
      <w:bookmarkStart w:id="267" w:name="_Toc20551"/>
      <w:bookmarkStart w:id="268" w:name="_Toc27732"/>
      <w:bookmarkStart w:id="269" w:name="_Toc18758"/>
      <w:r>
        <w:rPr>
          <w:rFonts w:hint="eastAsia" w:ascii="宋体" w:hAnsi="宋体" w:cs="宋体"/>
          <w:b/>
          <w:color w:val="auto"/>
          <w:sz w:val="28"/>
          <w:szCs w:val="28"/>
          <w:highlight w:val="none"/>
        </w:rPr>
        <w:t>格式</w:t>
      </w:r>
      <w:bookmarkEnd w:id="263"/>
      <w:bookmarkEnd w:id="264"/>
      <w:bookmarkEnd w:id="265"/>
      <w:bookmarkEnd w:id="266"/>
      <w:bookmarkEnd w:id="267"/>
      <w:bookmarkEnd w:id="268"/>
      <w:r>
        <w:rPr>
          <w:rFonts w:hint="eastAsia" w:ascii="宋体" w:hAnsi="宋体" w:cs="宋体"/>
          <w:b/>
          <w:color w:val="auto"/>
          <w:sz w:val="28"/>
          <w:szCs w:val="28"/>
          <w:highlight w:val="none"/>
          <w:lang w:val="en-US" w:eastAsia="zh-CN"/>
        </w:rPr>
        <w:t>1</w:t>
      </w:r>
      <w:bookmarkEnd w:id="269"/>
      <w:r>
        <w:rPr>
          <w:rFonts w:hint="eastAsia" w:ascii="宋体" w:hAnsi="宋体" w:cs="宋体"/>
          <w:b/>
          <w:color w:val="auto"/>
          <w:sz w:val="28"/>
          <w:szCs w:val="28"/>
          <w:highlight w:val="none"/>
          <w:lang w:val="en-US" w:eastAsia="zh-CN"/>
        </w:rPr>
        <w:t>2</w:t>
      </w:r>
    </w:p>
    <w:p w14:paraId="28B73250">
      <w:pPr>
        <w:tabs>
          <w:tab w:val="left" w:pos="5580"/>
        </w:tabs>
        <w:spacing w:line="240" w:lineRule="atLeast"/>
        <w:jc w:val="center"/>
        <w:rPr>
          <w:rFonts w:hint="eastAsia" w:ascii="宋体" w:hAnsi="宋体" w:cs="宋体"/>
          <w:b/>
          <w:color w:val="auto"/>
          <w:sz w:val="28"/>
          <w:highlight w:val="none"/>
        </w:rPr>
      </w:pPr>
      <w:r>
        <w:rPr>
          <w:rFonts w:hint="eastAsia" w:ascii="宋体" w:hAnsi="宋体" w:cs="宋体"/>
          <w:b/>
          <w:color w:val="auto"/>
          <w:sz w:val="28"/>
          <w:highlight w:val="none"/>
        </w:rPr>
        <w:t>《监狱企业证明文件》（《财政部 司法部关于政府采购支持监狱企业发展有关问题的通知》（财库[2014]68号）价格扣减条件的供应商需提交）</w:t>
      </w:r>
    </w:p>
    <w:p w14:paraId="0E94CC92">
      <w:pPr>
        <w:keepNext/>
        <w:keepLines/>
        <w:spacing w:before="120" w:after="120" w:line="360" w:lineRule="auto"/>
        <w:jc w:val="center"/>
        <w:outlineLvl w:val="1"/>
        <w:rPr>
          <w:rFonts w:hint="eastAsia" w:ascii="宋体" w:hAnsi="宋体" w:cs="宋体"/>
          <w:b/>
          <w:bCs/>
          <w:color w:val="auto"/>
          <w:sz w:val="28"/>
          <w:szCs w:val="32"/>
          <w:highlight w:val="none"/>
        </w:rPr>
      </w:pPr>
      <w:bookmarkStart w:id="270" w:name="_Toc29903"/>
      <w:bookmarkStart w:id="271" w:name="_Toc12899"/>
      <w:bookmarkStart w:id="272" w:name="_Toc29606"/>
      <w:bookmarkStart w:id="273" w:name="_Toc19095"/>
      <w:bookmarkStart w:id="274" w:name="_Toc9265"/>
      <w:bookmarkStart w:id="275" w:name="_Toc24594"/>
      <w:bookmarkStart w:id="276" w:name="_Toc20250"/>
      <w:r>
        <w:rPr>
          <w:rFonts w:hint="eastAsia" w:ascii="宋体" w:hAnsi="宋体" w:cs="宋体"/>
          <w:b/>
          <w:bCs/>
          <w:color w:val="auto"/>
          <w:sz w:val="28"/>
          <w:szCs w:val="32"/>
          <w:highlight w:val="none"/>
        </w:rPr>
        <w:t>监狱企业证明文件</w:t>
      </w:r>
      <w:bookmarkEnd w:id="270"/>
      <w:bookmarkEnd w:id="271"/>
      <w:bookmarkEnd w:id="272"/>
      <w:bookmarkEnd w:id="273"/>
      <w:bookmarkEnd w:id="274"/>
      <w:bookmarkEnd w:id="275"/>
      <w:bookmarkEnd w:id="276"/>
    </w:p>
    <w:p w14:paraId="438C5BB8">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B69EBBA">
      <w:pPr>
        <w:widowControl/>
        <w:spacing w:line="360" w:lineRule="auto"/>
        <w:ind w:firstLine="420" w:firstLineChars="200"/>
        <w:jc w:val="left"/>
        <w:outlineLvl w:val="9"/>
        <w:rPr>
          <w:rFonts w:hint="eastAsia" w:ascii="宋体" w:hAnsi="宋体" w:cs="宋体"/>
          <w:b/>
          <w:color w:val="auto"/>
          <w:szCs w:val="21"/>
          <w:highlight w:val="none"/>
        </w:rPr>
      </w:pPr>
      <w:r>
        <w:rPr>
          <w:rFonts w:hint="eastAsia" w:ascii="宋体" w:hAnsi="宋体" w:cs="宋体"/>
          <w:color w:val="auto"/>
          <w:szCs w:val="21"/>
          <w:highlight w:val="none"/>
        </w:rPr>
        <w:t>监狱企业参加政府采购活动时，应当提供由省级以上监狱管理局、戒毒管理局（含新疆生产建设兵团）出具的属于监狱企业的证明文件。</w:t>
      </w:r>
    </w:p>
    <w:p w14:paraId="7B202CAB">
      <w:pPr>
        <w:widowControl/>
        <w:jc w:val="left"/>
        <w:outlineLvl w:val="9"/>
        <w:rPr>
          <w:rFonts w:hint="eastAsia" w:ascii="宋体" w:hAnsi="宋体" w:cs="宋体"/>
          <w:b/>
          <w:color w:val="auto"/>
          <w:sz w:val="28"/>
          <w:szCs w:val="28"/>
          <w:highlight w:val="none"/>
        </w:rPr>
      </w:pPr>
    </w:p>
    <w:p w14:paraId="6B89D009">
      <w:pPr>
        <w:keepNext/>
        <w:keepLines/>
        <w:spacing w:after="120" w:line="360" w:lineRule="auto"/>
        <w:jc w:val="left"/>
        <w:outlineLvl w:val="9"/>
        <w:rPr>
          <w:rFonts w:hint="default" w:ascii="宋体" w:hAnsi="宋体" w:eastAsia="宋体" w:cs="宋体"/>
          <w:b/>
          <w:color w:val="auto"/>
          <w:sz w:val="28"/>
          <w:szCs w:val="28"/>
          <w:highlight w:val="none"/>
          <w:lang w:val="en-US" w:eastAsia="zh-CN"/>
        </w:rPr>
      </w:pPr>
      <w:bookmarkStart w:id="277" w:name="_Toc12011"/>
      <w:bookmarkStart w:id="278" w:name="_Toc8044"/>
      <w:bookmarkStart w:id="279" w:name="_Toc31092"/>
      <w:bookmarkStart w:id="280" w:name="_Toc22099"/>
      <w:bookmarkStart w:id="281" w:name="_Toc5227"/>
      <w:r>
        <w:rPr>
          <w:rFonts w:hint="eastAsia" w:ascii="宋体" w:hAnsi="宋体" w:cs="宋体"/>
          <w:b/>
          <w:color w:val="auto"/>
          <w:szCs w:val="21"/>
          <w:highlight w:val="none"/>
        </w:rPr>
        <w:t>注：符合条件的监狱企业在参加政府采购活动时，应当按《财政部 司法部关于政府采购支持监狱企业发展有关问题的通知》（财库[2014]68号）提供规定的《监狱企业证明文件》，并对</w:t>
      </w:r>
      <w:r>
        <w:rPr>
          <w:rFonts w:hint="eastAsia" w:ascii="宋体" w:hAnsi="宋体" w:cs="宋体"/>
          <w:b/>
          <w:color w:val="auto"/>
          <w:szCs w:val="21"/>
          <w:highlight w:val="none"/>
          <w:lang w:eastAsia="zh-CN"/>
        </w:rPr>
        <w:t>证明</w:t>
      </w:r>
      <w:r>
        <w:rPr>
          <w:rFonts w:hint="eastAsia" w:ascii="宋体" w:hAnsi="宋体" w:cs="宋体"/>
          <w:b/>
          <w:color w:val="auto"/>
          <w:szCs w:val="21"/>
          <w:highlight w:val="none"/>
        </w:rPr>
        <w:t>文件的真实性负责。</w:t>
      </w:r>
      <w:r>
        <w:rPr>
          <w:rFonts w:hint="eastAsia" w:ascii="宋体" w:hAnsi="宋体" w:cs="宋体"/>
          <w:b/>
          <w:color w:val="auto"/>
          <w:sz w:val="28"/>
          <w:szCs w:val="28"/>
          <w:highlight w:val="none"/>
        </w:rPr>
        <w:br w:type="page"/>
      </w:r>
      <w:r>
        <w:rPr>
          <w:rFonts w:hint="eastAsia" w:ascii="宋体" w:hAnsi="宋体" w:cs="宋体"/>
          <w:b/>
          <w:color w:val="auto"/>
          <w:sz w:val="28"/>
          <w:szCs w:val="28"/>
          <w:highlight w:val="none"/>
        </w:rPr>
        <w:t>格式</w:t>
      </w:r>
      <w:bookmarkEnd w:id="277"/>
      <w:bookmarkEnd w:id="278"/>
      <w:bookmarkEnd w:id="279"/>
      <w:bookmarkEnd w:id="280"/>
      <w:bookmarkEnd w:id="281"/>
      <w:r>
        <w:rPr>
          <w:rFonts w:hint="eastAsia" w:ascii="宋体" w:hAnsi="宋体" w:cs="宋体"/>
          <w:b/>
          <w:color w:val="auto"/>
          <w:sz w:val="28"/>
          <w:szCs w:val="28"/>
          <w:highlight w:val="none"/>
          <w:lang w:val="en-US" w:eastAsia="zh-CN"/>
        </w:rPr>
        <w:t>13</w:t>
      </w:r>
    </w:p>
    <w:p w14:paraId="1377379D">
      <w:pPr>
        <w:tabs>
          <w:tab w:val="left" w:pos="5580"/>
        </w:tabs>
        <w:spacing w:line="240" w:lineRule="atLeast"/>
        <w:jc w:val="center"/>
        <w:rPr>
          <w:rFonts w:hint="eastAsia" w:ascii="宋体" w:hAnsi="宋体" w:cs="宋体"/>
          <w:b/>
          <w:color w:val="auto"/>
          <w:sz w:val="28"/>
          <w:highlight w:val="none"/>
        </w:rPr>
      </w:pPr>
      <w:r>
        <w:rPr>
          <w:rFonts w:hint="eastAsia" w:ascii="宋体" w:hAnsi="宋体" w:cs="宋体"/>
          <w:b/>
          <w:color w:val="auto"/>
          <w:sz w:val="28"/>
          <w:highlight w:val="none"/>
        </w:rPr>
        <w:t>《残疾人福利性单位声明函》（符合《三部门联合发布关于促进残疾人就业政府采购政策的通知》（财库〔2017〕141号）价格扣减条件的供应商需提交）</w:t>
      </w:r>
    </w:p>
    <w:p w14:paraId="32763B65">
      <w:pPr>
        <w:keepNext/>
        <w:keepLines/>
        <w:spacing w:before="120" w:after="120" w:line="360" w:lineRule="auto"/>
        <w:jc w:val="center"/>
        <w:outlineLvl w:val="1"/>
        <w:rPr>
          <w:rFonts w:hint="eastAsia" w:ascii="宋体" w:hAnsi="宋体" w:cs="宋体"/>
          <w:b/>
          <w:bCs/>
          <w:color w:val="auto"/>
          <w:sz w:val="28"/>
          <w:szCs w:val="32"/>
          <w:highlight w:val="none"/>
        </w:rPr>
      </w:pPr>
      <w:bookmarkStart w:id="282" w:name="_Toc32109"/>
      <w:bookmarkStart w:id="283" w:name="_Toc11848"/>
      <w:bookmarkStart w:id="284" w:name="_Toc7266"/>
      <w:bookmarkStart w:id="285" w:name="_Toc28797"/>
      <w:bookmarkStart w:id="286" w:name="_Toc31149"/>
      <w:bookmarkStart w:id="287" w:name="_Toc31025"/>
      <w:bookmarkStart w:id="288" w:name="_Toc8710"/>
      <w:bookmarkStart w:id="289" w:name="OLE_LINK13"/>
      <w:bookmarkStart w:id="290" w:name="OLE_LINK14"/>
      <w:r>
        <w:rPr>
          <w:rFonts w:hint="eastAsia" w:ascii="宋体" w:hAnsi="宋体" w:cs="宋体"/>
          <w:b/>
          <w:bCs/>
          <w:color w:val="auto"/>
          <w:sz w:val="28"/>
          <w:szCs w:val="32"/>
          <w:highlight w:val="none"/>
        </w:rPr>
        <w:t>残疾人福利性单位声明函</w:t>
      </w:r>
      <w:bookmarkEnd w:id="282"/>
      <w:bookmarkEnd w:id="283"/>
      <w:bookmarkEnd w:id="284"/>
      <w:bookmarkEnd w:id="285"/>
      <w:bookmarkEnd w:id="286"/>
      <w:bookmarkEnd w:id="287"/>
      <w:bookmarkEnd w:id="288"/>
    </w:p>
    <w:bookmarkEnd w:id="289"/>
    <w:bookmarkEnd w:id="290"/>
    <w:p w14:paraId="2E03AE69">
      <w:pPr>
        <w:spacing w:line="588" w:lineRule="exact"/>
        <w:ind w:firstLine="444" w:firstLineChars="200"/>
        <w:rPr>
          <w:rFonts w:hint="eastAsia" w:ascii="宋体" w:hAnsi="宋体" w:cs="宋体"/>
          <w:color w:val="auto"/>
          <w:spacing w:val="6"/>
          <w:szCs w:val="21"/>
          <w:highlight w:val="none"/>
        </w:rPr>
      </w:pPr>
      <w:r>
        <w:rPr>
          <w:rFonts w:hint="eastAsia" w:ascii="宋体" w:hAnsi="宋体" w:cs="宋体"/>
          <w:color w:val="auto"/>
          <w:spacing w:val="6"/>
          <w:szCs w:val="21"/>
          <w:highlight w:val="none"/>
        </w:rPr>
        <w:t>本单位郑重声明，根据《财政部 民政部 中国残疾人联合会关于促进残疾人就业政府采购政策的通知》（财库</w:t>
      </w:r>
      <w:r>
        <w:rPr>
          <w:rFonts w:hint="eastAsia" w:ascii="宋体" w:hAnsi="宋体" w:cs="宋体"/>
          <w:color w:val="auto"/>
          <w:szCs w:val="21"/>
          <w:highlight w:val="none"/>
        </w:rPr>
        <w:t>〔2017〕 141</w:t>
      </w:r>
      <w:r>
        <w:rPr>
          <w:rFonts w:hint="eastAsia" w:ascii="宋体" w:hAnsi="宋体" w:cs="宋体"/>
          <w:color w:val="auto"/>
          <w:spacing w:val="6"/>
          <w:szCs w:val="21"/>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6A3FF2F">
      <w:pPr>
        <w:spacing w:line="588" w:lineRule="exact"/>
        <w:ind w:firstLine="444" w:firstLineChars="200"/>
        <w:rPr>
          <w:rFonts w:hint="eastAsia" w:ascii="宋体" w:hAnsi="宋体" w:cs="宋体"/>
          <w:color w:val="auto"/>
          <w:spacing w:val="6"/>
          <w:szCs w:val="21"/>
          <w:highlight w:val="none"/>
        </w:rPr>
      </w:pPr>
      <w:r>
        <w:rPr>
          <w:rFonts w:hint="eastAsia" w:ascii="宋体" w:hAnsi="宋体" w:cs="宋体"/>
          <w:color w:val="auto"/>
          <w:spacing w:val="6"/>
          <w:szCs w:val="21"/>
          <w:highlight w:val="none"/>
        </w:rPr>
        <w:t>本单位对上述声明的真实性负责。如有虚假，将依法承担相应责任。</w:t>
      </w:r>
    </w:p>
    <w:p w14:paraId="78D687B1">
      <w:pPr>
        <w:spacing w:line="588" w:lineRule="exact"/>
        <w:ind w:firstLine="444" w:firstLineChars="200"/>
        <w:rPr>
          <w:rFonts w:hint="eastAsia" w:ascii="宋体" w:hAnsi="宋体" w:cs="宋体"/>
          <w:color w:val="auto"/>
          <w:spacing w:val="6"/>
          <w:szCs w:val="21"/>
          <w:highlight w:val="none"/>
        </w:rPr>
      </w:pPr>
    </w:p>
    <w:p w14:paraId="151967D7">
      <w:pPr>
        <w:spacing w:line="588" w:lineRule="exact"/>
        <w:ind w:firstLine="444" w:firstLineChars="200"/>
        <w:rPr>
          <w:rFonts w:hint="eastAsia" w:ascii="宋体" w:hAnsi="宋体" w:cs="宋体"/>
          <w:color w:val="auto"/>
          <w:spacing w:val="6"/>
          <w:szCs w:val="21"/>
          <w:highlight w:val="none"/>
        </w:rPr>
      </w:pPr>
    </w:p>
    <w:p w14:paraId="573C3F52">
      <w:pPr>
        <w:tabs>
          <w:tab w:val="left" w:pos="4860"/>
        </w:tabs>
        <w:spacing w:line="588" w:lineRule="exact"/>
        <w:ind w:right="1560" w:firstLine="444" w:firstLineChars="200"/>
        <w:jc w:val="center"/>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               单位名称（盖章）：</w:t>
      </w:r>
    </w:p>
    <w:p w14:paraId="45CE66F5">
      <w:pPr>
        <w:tabs>
          <w:tab w:val="left" w:pos="4860"/>
        </w:tabs>
        <w:spacing w:line="588" w:lineRule="exact"/>
        <w:ind w:right="1560" w:firstLine="444" w:firstLineChars="200"/>
        <w:jc w:val="center"/>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p>
    <w:p w14:paraId="127EAE20">
      <w:pPr>
        <w:rPr>
          <w:rFonts w:hint="eastAsia" w:ascii="宋体" w:hAnsi="宋体" w:cs="宋体"/>
          <w:b/>
          <w:color w:val="auto"/>
          <w:szCs w:val="21"/>
          <w:highlight w:val="none"/>
        </w:rPr>
      </w:pPr>
    </w:p>
    <w:p w14:paraId="759455F8">
      <w:pPr>
        <w:rPr>
          <w:rFonts w:hint="eastAsia" w:ascii="宋体" w:hAnsi="宋体" w:cs="宋体"/>
          <w:b/>
          <w:color w:val="auto"/>
          <w:szCs w:val="21"/>
          <w:highlight w:val="none"/>
        </w:rPr>
      </w:pPr>
    </w:p>
    <w:p w14:paraId="20C23DFA">
      <w:pPr>
        <w:rPr>
          <w:rFonts w:hint="eastAsia" w:ascii="宋体" w:hAnsi="宋体" w:cs="宋体"/>
          <w:b/>
          <w:color w:val="auto"/>
          <w:szCs w:val="21"/>
          <w:highlight w:val="none"/>
        </w:rPr>
      </w:pPr>
    </w:p>
    <w:p w14:paraId="56341F08">
      <w:pPr>
        <w:jc w:val="left"/>
        <w:rPr>
          <w:rFonts w:hint="eastAsia" w:ascii="宋体" w:hAnsi="宋体" w:cs="宋体"/>
          <w:b/>
          <w:bCs/>
          <w:color w:val="auto"/>
          <w:kern w:val="0"/>
          <w:sz w:val="32"/>
          <w:szCs w:val="32"/>
          <w:highlight w:val="none"/>
        </w:rPr>
      </w:pPr>
      <w:r>
        <w:rPr>
          <w:rFonts w:hint="eastAsia" w:ascii="宋体" w:hAnsi="宋体" w:cs="宋体"/>
          <w:b/>
          <w:color w:val="auto"/>
          <w:szCs w:val="21"/>
          <w:highlight w:val="none"/>
        </w:rPr>
        <w:t>注：符合条件的残疾人福利性单位在参加政府采购活动时，应当按《三部门联合发布关于促进残疾人就业政府采购政策的通知》（财库〔2017〕141号）提供规定的《残疾人福利性单位声明函》，并对声明的真实性负责。</w:t>
      </w:r>
      <w:r>
        <w:rPr>
          <w:rFonts w:hint="eastAsia" w:ascii="宋体" w:hAnsi="宋体" w:cs="宋体"/>
          <w:b/>
          <w:bCs/>
          <w:color w:val="auto"/>
          <w:kern w:val="0"/>
          <w:sz w:val="32"/>
          <w:szCs w:val="32"/>
          <w:highlight w:val="none"/>
        </w:rPr>
        <w:br w:type="textWrapping"/>
      </w:r>
    </w:p>
    <w:p w14:paraId="73F37E54">
      <w:pPr>
        <w:keepNext/>
        <w:keepLines/>
        <w:spacing w:before="120" w:after="120" w:line="360" w:lineRule="auto"/>
        <w:jc w:val="center"/>
        <w:outlineLvl w:val="1"/>
        <w:rPr>
          <w:rFonts w:hint="eastAsia" w:ascii="宋体" w:hAnsi="宋体" w:cs="宋体"/>
          <w:b/>
          <w:bCs/>
          <w:color w:val="auto"/>
          <w:kern w:val="0"/>
          <w:sz w:val="32"/>
          <w:szCs w:val="32"/>
          <w:highlight w:val="none"/>
        </w:rPr>
      </w:pPr>
      <w:r>
        <w:rPr>
          <w:rFonts w:hint="eastAsia" w:ascii="宋体" w:hAnsi="宋体" w:cs="宋体"/>
          <w:b/>
          <w:bCs/>
          <w:color w:val="auto"/>
          <w:kern w:val="0"/>
          <w:sz w:val="32"/>
          <w:szCs w:val="32"/>
          <w:highlight w:val="none"/>
        </w:rPr>
        <w:br w:type="page"/>
      </w:r>
    </w:p>
    <w:p w14:paraId="3E0FADF3">
      <w:pPr>
        <w:keepNext/>
        <w:keepLines/>
        <w:spacing w:after="120" w:line="360" w:lineRule="auto"/>
        <w:jc w:val="left"/>
        <w:outlineLvl w:val="1"/>
        <w:rPr>
          <w:rFonts w:hint="default" w:ascii="宋体" w:hAnsi="宋体" w:eastAsia="宋体" w:cs="宋体"/>
          <w:b/>
          <w:color w:val="auto"/>
          <w:sz w:val="28"/>
          <w:szCs w:val="28"/>
          <w:highlight w:val="none"/>
          <w:lang w:val="en-US" w:eastAsia="zh-CN"/>
        </w:rPr>
      </w:pPr>
      <w:bookmarkStart w:id="291" w:name="_Toc26044"/>
      <w:bookmarkStart w:id="292" w:name="_Toc27944"/>
      <w:r>
        <w:rPr>
          <w:rFonts w:hint="eastAsia" w:ascii="宋体" w:hAnsi="宋体" w:cs="宋体"/>
          <w:b/>
          <w:color w:val="auto"/>
          <w:sz w:val="28"/>
          <w:szCs w:val="28"/>
          <w:highlight w:val="none"/>
        </w:rPr>
        <w:t>格式</w:t>
      </w:r>
      <w:r>
        <w:rPr>
          <w:rFonts w:hint="eastAsia" w:ascii="宋体" w:hAnsi="宋体" w:cs="宋体"/>
          <w:b/>
          <w:color w:val="auto"/>
          <w:sz w:val="28"/>
          <w:szCs w:val="28"/>
          <w:highlight w:val="none"/>
          <w:lang w:val="en-US" w:eastAsia="zh-CN"/>
        </w:rPr>
        <w:t>1</w:t>
      </w:r>
      <w:bookmarkEnd w:id="291"/>
      <w:bookmarkEnd w:id="292"/>
      <w:r>
        <w:rPr>
          <w:rFonts w:hint="eastAsia" w:ascii="宋体" w:hAnsi="宋体" w:cs="宋体"/>
          <w:b/>
          <w:color w:val="auto"/>
          <w:sz w:val="28"/>
          <w:szCs w:val="28"/>
          <w:highlight w:val="none"/>
          <w:lang w:val="en-US" w:eastAsia="zh-CN"/>
        </w:rPr>
        <w:t>4</w:t>
      </w:r>
    </w:p>
    <w:p w14:paraId="78D1C2B9">
      <w:pPr>
        <w:keepNext/>
        <w:keepLines/>
        <w:spacing w:before="120" w:after="120" w:line="360" w:lineRule="auto"/>
        <w:jc w:val="center"/>
        <w:outlineLvl w:val="1"/>
        <w:rPr>
          <w:rFonts w:hint="eastAsia" w:ascii="宋体" w:hAnsi="宋体" w:cs="宋体"/>
          <w:b/>
          <w:bCs/>
          <w:color w:val="auto"/>
          <w:sz w:val="28"/>
          <w:szCs w:val="32"/>
          <w:highlight w:val="none"/>
        </w:rPr>
      </w:pPr>
      <w:bookmarkStart w:id="293" w:name="_Toc3426"/>
      <w:bookmarkStart w:id="294" w:name="_Toc14551"/>
      <w:r>
        <w:rPr>
          <w:rFonts w:hint="eastAsia" w:ascii="宋体" w:hAnsi="宋体" w:cs="宋体"/>
          <w:b/>
          <w:bCs/>
          <w:color w:val="auto"/>
          <w:sz w:val="28"/>
          <w:szCs w:val="32"/>
          <w:highlight w:val="none"/>
          <w:lang w:eastAsia="zh-CN"/>
        </w:rPr>
        <w:t>采购</w:t>
      </w:r>
      <w:r>
        <w:rPr>
          <w:rFonts w:hint="eastAsia" w:ascii="宋体" w:hAnsi="宋体" w:cs="宋体"/>
          <w:b/>
          <w:bCs/>
          <w:color w:val="auto"/>
          <w:sz w:val="28"/>
          <w:szCs w:val="32"/>
          <w:highlight w:val="none"/>
        </w:rPr>
        <w:t>需求分析</w:t>
      </w:r>
      <w:bookmarkEnd w:id="293"/>
      <w:bookmarkEnd w:id="294"/>
    </w:p>
    <w:p w14:paraId="5102280A">
      <w:pPr>
        <w:autoSpaceDE w:val="0"/>
        <w:autoSpaceDN w:val="0"/>
        <w:adjustRightInd w:val="0"/>
        <w:spacing w:line="360" w:lineRule="auto"/>
        <w:jc w:val="center"/>
        <w:rPr>
          <w:rFonts w:hint="eastAsia" w:ascii="宋体" w:hAnsi="宋体" w:cs="宋体"/>
          <w:color w:val="auto"/>
          <w:szCs w:val="21"/>
          <w:highlight w:val="none"/>
        </w:rPr>
      </w:pPr>
      <w:r>
        <w:rPr>
          <w:rFonts w:hint="eastAsia" w:ascii="宋体" w:hAnsi="宋体" w:cs="宋体"/>
          <w:snapToGrid/>
          <w:color w:val="auto"/>
          <w:kern w:val="2"/>
          <w:szCs w:val="21"/>
          <w:highlight w:val="none"/>
        </w:rPr>
        <w:t>(</w:t>
      </w:r>
      <w:r>
        <w:rPr>
          <w:rFonts w:hint="eastAsia" w:ascii="宋体" w:hAnsi="宋体" w:cs="宋体"/>
          <w:snapToGrid/>
          <w:color w:val="auto"/>
          <w:kern w:val="2"/>
          <w:szCs w:val="21"/>
          <w:highlight w:val="none"/>
          <w:lang w:eastAsia="zh-CN"/>
        </w:rPr>
        <w:t>内容自拟</w:t>
      </w:r>
      <w:r>
        <w:rPr>
          <w:rFonts w:hint="eastAsia" w:ascii="宋体" w:hAnsi="宋体" w:cs="宋体"/>
          <w:snapToGrid/>
          <w:color w:val="auto"/>
          <w:kern w:val="2"/>
          <w:szCs w:val="21"/>
          <w:highlight w:val="none"/>
        </w:rPr>
        <w:t>)</w:t>
      </w:r>
    </w:p>
    <w:p w14:paraId="5EAC3833">
      <w:pPr>
        <w:spacing w:line="360" w:lineRule="auto"/>
        <w:ind w:firstLine="2" w:firstLineChars="1"/>
        <w:jc w:val="left"/>
        <w:rPr>
          <w:rFonts w:hint="eastAsia" w:ascii="宋体" w:hAnsi="宋体" w:cs="宋体"/>
          <w:color w:val="auto"/>
          <w:szCs w:val="21"/>
          <w:highlight w:val="none"/>
        </w:rPr>
      </w:pPr>
    </w:p>
    <w:p w14:paraId="5BE8CDE3">
      <w:pPr>
        <w:spacing w:line="360" w:lineRule="auto"/>
        <w:ind w:firstLine="2" w:firstLineChars="1"/>
        <w:jc w:val="left"/>
        <w:rPr>
          <w:rFonts w:hint="eastAsia" w:ascii="宋体" w:hAnsi="宋体" w:cs="宋体"/>
          <w:color w:val="auto"/>
          <w:szCs w:val="21"/>
          <w:highlight w:val="none"/>
        </w:rPr>
      </w:pPr>
    </w:p>
    <w:p w14:paraId="25B09553">
      <w:pPr>
        <w:spacing w:line="360" w:lineRule="auto"/>
        <w:ind w:firstLine="2" w:firstLineChars="1"/>
        <w:jc w:val="left"/>
        <w:outlineLvl w:val="9"/>
        <w:rPr>
          <w:rFonts w:hint="eastAsia" w:ascii="宋体" w:hAnsi="宋体" w:cs="宋体"/>
          <w:color w:val="auto"/>
          <w:szCs w:val="21"/>
          <w:highlight w:val="none"/>
        </w:rPr>
      </w:pPr>
    </w:p>
    <w:p w14:paraId="249F61D9">
      <w:pPr>
        <w:spacing w:line="360" w:lineRule="auto"/>
        <w:ind w:firstLine="2" w:firstLineChars="1"/>
        <w:jc w:val="left"/>
        <w:outlineLvl w:val="9"/>
        <w:rPr>
          <w:rFonts w:hint="eastAsia" w:ascii="宋体" w:hAnsi="宋体" w:cs="宋体"/>
          <w:color w:val="auto"/>
          <w:szCs w:val="21"/>
          <w:highlight w:val="none"/>
        </w:rPr>
      </w:pPr>
    </w:p>
    <w:p w14:paraId="7B431B4A">
      <w:pPr>
        <w:spacing w:line="360" w:lineRule="auto"/>
        <w:ind w:firstLine="2" w:firstLineChars="1"/>
        <w:jc w:val="left"/>
        <w:outlineLvl w:val="9"/>
        <w:rPr>
          <w:rFonts w:hint="eastAsia" w:ascii="宋体" w:hAnsi="宋体" w:cs="宋体"/>
          <w:color w:val="auto"/>
          <w:szCs w:val="21"/>
          <w:highlight w:val="none"/>
        </w:rPr>
      </w:pPr>
    </w:p>
    <w:p w14:paraId="663B91BD">
      <w:pPr>
        <w:spacing w:line="360" w:lineRule="auto"/>
        <w:ind w:firstLine="2" w:firstLineChars="1"/>
        <w:jc w:val="left"/>
        <w:outlineLvl w:val="9"/>
        <w:rPr>
          <w:rFonts w:hint="eastAsia" w:ascii="宋体" w:hAnsi="宋体" w:cs="宋体"/>
          <w:color w:val="auto"/>
          <w:szCs w:val="21"/>
          <w:highlight w:val="none"/>
        </w:rPr>
      </w:pPr>
    </w:p>
    <w:p w14:paraId="07E9AB52">
      <w:pPr>
        <w:spacing w:line="360" w:lineRule="auto"/>
        <w:ind w:firstLine="2" w:firstLineChars="1"/>
        <w:jc w:val="left"/>
        <w:outlineLvl w:val="9"/>
        <w:rPr>
          <w:rFonts w:hint="eastAsia" w:ascii="宋体" w:hAnsi="宋体" w:cs="宋体"/>
          <w:color w:val="auto"/>
          <w:szCs w:val="21"/>
          <w:highlight w:val="none"/>
        </w:rPr>
      </w:pPr>
    </w:p>
    <w:p w14:paraId="0958A36A">
      <w:pPr>
        <w:spacing w:line="360" w:lineRule="auto"/>
        <w:ind w:firstLine="2" w:firstLineChars="1"/>
        <w:jc w:val="left"/>
        <w:outlineLvl w:val="9"/>
        <w:rPr>
          <w:rFonts w:hint="eastAsia" w:ascii="宋体" w:hAnsi="宋体" w:cs="宋体"/>
          <w:color w:val="auto"/>
          <w:szCs w:val="21"/>
          <w:highlight w:val="none"/>
        </w:rPr>
      </w:pPr>
    </w:p>
    <w:p w14:paraId="6663EA6C">
      <w:pPr>
        <w:spacing w:line="360" w:lineRule="auto"/>
        <w:ind w:firstLine="2" w:firstLineChars="1"/>
        <w:jc w:val="left"/>
        <w:outlineLvl w:val="9"/>
        <w:rPr>
          <w:rFonts w:hint="eastAsia" w:ascii="宋体" w:hAnsi="宋体" w:cs="宋体"/>
          <w:color w:val="auto"/>
          <w:szCs w:val="21"/>
          <w:highlight w:val="none"/>
        </w:rPr>
      </w:pPr>
    </w:p>
    <w:p w14:paraId="046CC7C1">
      <w:pPr>
        <w:spacing w:line="360" w:lineRule="auto"/>
        <w:ind w:firstLine="2" w:firstLineChars="1"/>
        <w:jc w:val="left"/>
        <w:outlineLvl w:val="9"/>
        <w:rPr>
          <w:rFonts w:hint="eastAsia" w:ascii="宋体" w:hAnsi="宋体" w:cs="宋体"/>
          <w:color w:val="auto"/>
          <w:szCs w:val="21"/>
          <w:highlight w:val="none"/>
        </w:rPr>
      </w:pPr>
    </w:p>
    <w:p w14:paraId="314FCC81">
      <w:pPr>
        <w:spacing w:line="360" w:lineRule="auto"/>
        <w:jc w:val="left"/>
        <w:outlineLvl w:val="9"/>
        <w:rPr>
          <w:rFonts w:hint="eastAsia" w:ascii="宋体" w:hAnsi="宋体" w:cs="宋体"/>
          <w:color w:val="auto"/>
          <w:szCs w:val="21"/>
          <w:highlight w:val="none"/>
        </w:rPr>
      </w:pPr>
    </w:p>
    <w:p w14:paraId="4FA2DFFB">
      <w:pPr>
        <w:outlineLvl w:val="9"/>
        <w:rPr>
          <w:rFonts w:hint="eastAsia" w:cs="宋体"/>
          <w:color w:val="auto"/>
          <w:szCs w:val="21"/>
          <w:highlight w:val="none"/>
        </w:rPr>
      </w:pPr>
    </w:p>
    <w:p w14:paraId="0913A562">
      <w:pPr>
        <w:jc w:val="both"/>
        <w:outlineLvl w:val="9"/>
        <w:rPr>
          <w:rFonts w:hint="eastAsia" w:cs="宋体"/>
          <w:color w:val="auto"/>
          <w:highlight w:val="none"/>
        </w:rPr>
      </w:pPr>
    </w:p>
    <w:p w14:paraId="77A1271F">
      <w:pPr>
        <w:spacing w:line="360" w:lineRule="auto"/>
        <w:jc w:val="left"/>
        <w:outlineLvl w:val="9"/>
        <w:rPr>
          <w:rFonts w:hint="eastAsia" w:ascii="宋体" w:hAnsi="宋体" w:cs="宋体"/>
          <w:color w:val="auto"/>
          <w:szCs w:val="21"/>
          <w:highlight w:val="none"/>
        </w:rPr>
      </w:pPr>
    </w:p>
    <w:p w14:paraId="6C7B05F0">
      <w:pPr>
        <w:jc w:val="both"/>
        <w:outlineLvl w:val="9"/>
        <w:rPr>
          <w:rFonts w:hint="eastAsia" w:cs="宋体"/>
          <w:color w:val="auto"/>
          <w:highlight w:val="none"/>
        </w:rPr>
      </w:pPr>
    </w:p>
    <w:p w14:paraId="424BC048">
      <w:pPr>
        <w:spacing w:line="360" w:lineRule="auto"/>
        <w:jc w:val="left"/>
        <w:rPr>
          <w:rFonts w:hint="eastAsia" w:ascii="宋体" w:hAnsi="宋体" w:cs="宋体"/>
          <w:color w:val="auto"/>
          <w:szCs w:val="21"/>
          <w:highlight w:val="none"/>
        </w:rPr>
      </w:pPr>
    </w:p>
    <w:p w14:paraId="40B90F61">
      <w:pPr>
        <w:spacing w:line="360" w:lineRule="auto"/>
        <w:ind w:firstLine="2" w:firstLineChars="1"/>
        <w:jc w:val="left"/>
        <w:rPr>
          <w:rFonts w:hint="eastAsia" w:ascii="宋体" w:hAnsi="宋体" w:cs="宋体"/>
          <w:color w:val="auto"/>
          <w:szCs w:val="21"/>
          <w:highlight w:val="none"/>
        </w:rPr>
      </w:pPr>
      <w:r>
        <w:rPr>
          <w:rFonts w:hint="eastAsia" w:ascii="宋体" w:hAnsi="宋体" w:cs="宋体"/>
          <w:color w:val="auto"/>
          <w:szCs w:val="21"/>
          <w:highlight w:val="none"/>
        </w:rPr>
        <w:t>供应商（</w:t>
      </w:r>
      <w:r>
        <w:rPr>
          <w:rFonts w:hint="eastAsia" w:ascii="宋体" w:hAnsi="宋体" w:cs="宋体"/>
          <w:color w:val="auto"/>
          <w:szCs w:val="21"/>
          <w:highlight w:val="none"/>
          <w:lang w:eastAsia="zh-CN"/>
        </w:rPr>
        <w:t>加盖供应商电子公章</w:t>
      </w:r>
      <w:r>
        <w:rPr>
          <w:rFonts w:hint="eastAsia" w:ascii="宋体" w:hAnsi="宋体" w:cs="宋体"/>
          <w:color w:val="auto"/>
          <w:szCs w:val="21"/>
          <w:highlight w:val="none"/>
        </w:rPr>
        <w:t>）：</w:t>
      </w:r>
    </w:p>
    <w:p w14:paraId="5101634E">
      <w:pPr>
        <w:spacing w:line="360" w:lineRule="auto"/>
        <w:ind w:firstLine="2" w:firstLineChars="1"/>
        <w:jc w:val="left"/>
        <w:rPr>
          <w:rFonts w:hint="eastAsia" w:ascii="宋体" w:hAnsi="宋体" w:cs="宋体"/>
          <w:color w:val="auto"/>
          <w:szCs w:val="21"/>
          <w:highlight w:val="none"/>
        </w:rPr>
      </w:pPr>
    </w:p>
    <w:p w14:paraId="39BDEF69">
      <w:pPr>
        <w:spacing w:line="360" w:lineRule="auto"/>
        <w:ind w:firstLine="2" w:firstLineChars="1"/>
        <w:jc w:val="left"/>
        <w:rPr>
          <w:rFonts w:hint="eastAsia" w:ascii="宋体" w:hAnsi="宋体" w:cs="宋体"/>
          <w:color w:val="auto"/>
          <w:szCs w:val="21"/>
          <w:highlight w:val="none"/>
        </w:rPr>
      </w:pPr>
      <w:r>
        <w:rPr>
          <w:rFonts w:hint="eastAsia" w:ascii="宋体" w:hAnsi="宋体" w:cs="宋体"/>
          <w:color w:val="auto"/>
          <w:szCs w:val="21"/>
          <w:highlight w:val="none"/>
        </w:rPr>
        <w:t>法定代表人（</w:t>
      </w:r>
      <w:r>
        <w:rPr>
          <w:rFonts w:hint="eastAsia" w:ascii="宋体" w:hAnsi="宋体" w:cs="宋体"/>
          <w:color w:val="auto"/>
          <w:szCs w:val="21"/>
          <w:highlight w:val="none"/>
          <w:lang w:eastAsia="zh-CN"/>
        </w:rPr>
        <w:t>电子签名或盖章</w:t>
      </w:r>
      <w:r>
        <w:rPr>
          <w:rFonts w:hint="eastAsia" w:ascii="宋体" w:hAnsi="宋体" w:cs="宋体"/>
          <w:color w:val="auto"/>
          <w:szCs w:val="21"/>
          <w:highlight w:val="none"/>
        </w:rPr>
        <w:t>）：</w:t>
      </w:r>
    </w:p>
    <w:p w14:paraId="1E4F0110">
      <w:pPr>
        <w:spacing w:line="360" w:lineRule="auto"/>
        <w:ind w:firstLine="2" w:firstLineChars="1"/>
        <w:jc w:val="left"/>
        <w:rPr>
          <w:rFonts w:hint="eastAsia" w:ascii="宋体" w:hAnsi="宋体" w:cs="宋体"/>
          <w:color w:val="auto"/>
          <w:szCs w:val="21"/>
          <w:highlight w:val="none"/>
        </w:rPr>
      </w:pPr>
    </w:p>
    <w:p w14:paraId="54AFA6FC">
      <w:pPr>
        <w:autoSpaceDE w:val="0"/>
        <w:autoSpaceDN w:val="0"/>
        <w:adjustRightIn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日期：</w:t>
      </w:r>
    </w:p>
    <w:p w14:paraId="6A92482E">
      <w:pPr>
        <w:keepNext/>
        <w:keepLines/>
        <w:spacing w:after="120" w:line="360" w:lineRule="auto"/>
        <w:jc w:val="left"/>
        <w:outlineLvl w:val="1"/>
        <w:rPr>
          <w:rFonts w:hint="default" w:ascii="宋体" w:hAnsi="宋体" w:eastAsia="宋体" w:cs="宋体"/>
          <w:b/>
          <w:color w:val="auto"/>
          <w:sz w:val="28"/>
          <w:szCs w:val="28"/>
          <w:highlight w:val="none"/>
          <w:lang w:val="en-US" w:eastAsia="zh-CN"/>
        </w:rPr>
      </w:pPr>
      <w:r>
        <w:rPr>
          <w:rFonts w:hint="eastAsia" w:ascii="宋体" w:hAnsi="宋体" w:cs="宋体"/>
          <w:b/>
          <w:color w:val="auto"/>
          <w:kern w:val="0"/>
          <w:sz w:val="28"/>
          <w:szCs w:val="28"/>
          <w:highlight w:val="none"/>
        </w:rPr>
        <w:br w:type="page"/>
      </w:r>
      <w:bookmarkStart w:id="295" w:name="_Toc2484"/>
      <w:bookmarkStart w:id="296" w:name="_Toc6706"/>
      <w:r>
        <w:rPr>
          <w:rFonts w:hint="eastAsia" w:ascii="宋体" w:hAnsi="宋体" w:cs="宋体"/>
          <w:b/>
          <w:color w:val="auto"/>
          <w:sz w:val="28"/>
          <w:szCs w:val="28"/>
          <w:highlight w:val="none"/>
        </w:rPr>
        <w:t>格式</w:t>
      </w:r>
      <w:r>
        <w:rPr>
          <w:rFonts w:hint="eastAsia" w:ascii="宋体" w:hAnsi="宋体" w:cs="宋体"/>
          <w:b/>
          <w:color w:val="auto"/>
          <w:sz w:val="28"/>
          <w:szCs w:val="28"/>
          <w:highlight w:val="none"/>
          <w:lang w:val="en-US" w:eastAsia="zh-CN"/>
        </w:rPr>
        <w:t>1</w:t>
      </w:r>
      <w:bookmarkEnd w:id="295"/>
      <w:bookmarkEnd w:id="296"/>
      <w:r>
        <w:rPr>
          <w:rFonts w:hint="eastAsia" w:ascii="宋体" w:hAnsi="宋体" w:cs="宋体"/>
          <w:b/>
          <w:color w:val="auto"/>
          <w:sz w:val="28"/>
          <w:szCs w:val="28"/>
          <w:highlight w:val="none"/>
          <w:lang w:val="en-US" w:eastAsia="zh-CN"/>
        </w:rPr>
        <w:t>5</w:t>
      </w:r>
    </w:p>
    <w:p w14:paraId="01D5DCF5">
      <w:pPr>
        <w:keepNext/>
        <w:keepLines/>
        <w:spacing w:before="120" w:after="120" w:line="360" w:lineRule="auto"/>
        <w:jc w:val="center"/>
        <w:outlineLvl w:val="1"/>
        <w:rPr>
          <w:rFonts w:hint="eastAsia" w:ascii="宋体" w:hAnsi="宋体" w:cs="宋体"/>
          <w:b/>
          <w:bCs/>
          <w:color w:val="auto"/>
          <w:sz w:val="28"/>
          <w:szCs w:val="32"/>
          <w:highlight w:val="none"/>
        </w:rPr>
      </w:pPr>
      <w:bookmarkStart w:id="297" w:name="_Toc8811"/>
      <w:bookmarkStart w:id="298" w:name="_Toc274"/>
      <w:r>
        <w:rPr>
          <w:rFonts w:hint="eastAsia" w:ascii="宋体" w:hAnsi="宋体" w:cs="宋体"/>
          <w:b/>
          <w:bCs/>
          <w:color w:val="auto"/>
          <w:sz w:val="28"/>
          <w:szCs w:val="32"/>
          <w:highlight w:val="none"/>
        </w:rPr>
        <w:t>商用密码应用安全性评估服务方案</w:t>
      </w:r>
      <w:bookmarkEnd w:id="297"/>
      <w:bookmarkEnd w:id="298"/>
    </w:p>
    <w:p w14:paraId="725B1401">
      <w:pPr>
        <w:autoSpaceDE w:val="0"/>
        <w:autoSpaceDN w:val="0"/>
        <w:adjustRightInd w:val="0"/>
        <w:spacing w:line="360" w:lineRule="auto"/>
        <w:jc w:val="center"/>
        <w:rPr>
          <w:rFonts w:hint="eastAsia" w:ascii="宋体" w:hAnsi="宋体" w:cs="宋体"/>
          <w:snapToGrid/>
          <w:color w:val="auto"/>
          <w:kern w:val="2"/>
          <w:szCs w:val="21"/>
          <w:highlight w:val="none"/>
        </w:rPr>
      </w:pPr>
      <w:r>
        <w:rPr>
          <w:rFonts w:hint="eastAsia" w:ascii="宋体" w:hAnsi="宋体" w:cs="宋体"/>
          <w:snapToGrid/>
          <w:color w:val="auto"/>
          <w:kern w:val="2"/>
          <w:szCs w:val="21"/>
          <w:highlight w:val="none"/>
        </w:rPr>
        <w:t>(</w:t>
      </w:r>
      <w:r>
        <w:rPr>
          <w:rFonts w:hint="eastAsia" w:ascii="宋体" w:hAnsi="宋体" w:cs="宋体"/>
          <w:snapToGrid/>
          <w:color w:val="auto"/>
          <w:kern w:val="2"/>
          <w:szCs w:val="21"/>
          <w:highlight w:val="none"/>
          <w:lang w:eastAsia="zh-CN"/>
        </w:rPr>
        <w:t>内容自拟</w:t>
      </w:r>
      <w:r>
        <w:rPr>
          <w:rFonts w:hint="eastAsia" w:ascii="宋体" w:hAnsi="宋体" w:cs="宋体"/>
          <w:snapToGrid/>
          <w:color w:val="auto"/>
          <w:kern w:val="2"/>
          <w:szCs w:val="21"/>
          <w:highlight w:val="none"/>
        </w:rPr>
        <w:t>)</w:t>
      </w:r>
    </w:p>
    <w:p w14:paraId="0362F892">
      <w:pPr>
        <w:spacing w:line="360" w:lineRule="auto"/>
        <w:ind w:firstLine="2" w:firstLineChars="1"/>
        <w:jc w:val="left"/>
        <w:outlineLvl w:val="9"/>
        <w:rPr>
          <w:rFonts w:hint="eastAsia" w:ascii="宋体" w:hAnsi="宋体" w:cs="宋体"/>
          <w:color w:val="auto"/>
          <w:szCs w:val="21"/>
          <w:highlight w:val="none"/>
        </w:rPr>
      </w:pPr>
    </w:p>
    <w:p w14:paraId="54DAA1F5">
      <w:pPr>
        <w:spacing w:line="360" w:lineRule="auto"/>
        <w:ind w:firstLine="2" w:firstLineChars="1"/>
        <w:jc w:val="left"/>
        <w:outlineLvl w:val="9"/>
        <w:rPr>
          <w:rFonts w:hint="eastAsia" w:ascii="宋体" w:hAnsi="宋体" w:cs="宋体"/>
          <w:color w:val="auto"/>
          <w:szCs w:val="21"/>
          <w:highlight w:val="none"/>
        </w:rPr>
      </w:pPr>
    </w:p>
    <w:p w14:paraId="7C8884CE">
      <w:pPr>
        <w:spacing w:line="360" w:lineRule="auto"/>
        <w:ind w:firstLine="2" w:firstLineChars="1"/>
        <w:jc w:val="left"/>
        <w:rPr>
          <w:rFonts w:hint="eastAsia" w:ascii="宋体" w:hAnsi="宋体" w:cs="宋体"/>
          <w:color w:val="auto"/>
          <w:szCs w:val="21"/>
          <w:highlight w:val="none"/>
        </w:rPr>
      </w:pPr>
    </w:p>
    <w:p w14:paraId="3E0A8785">
      <w:pPr>
        <w:spacing w:line="360" w:lineRule="auto"/>
        <w:ind w:firstLine="2" w:firstLineChars="1"/>
        <w:jc w:val="left"/>
        <w:rPr>
          <w:rFonts w:hint="eastAsia" w:ascii="宋体" w:hAnsi="宋体" w:cs="宋体"/>
          <w:color w:val="auto"/>
          <w:szCs w:val="21"/>
          <w:highlight w:val="none"/>
        </w:rPr>
      </w:pPr>
    </w:p>
    <w:p w14:paraId="5D2B1711">
      <w:pPr>
        <w:spacing w:line="360" w:lineRule="auto"/>
        <w:ind w:firstLine="2" w:firstLineChars="1"/>
        <w:jc w:val="left"/>
        <w:rPr>
          <w:rFonts w:hint="eastAsia" w:ascii="宋体" w:hAnsi="宋体" w:cs="宋体"/>
          <w:color w:val="auto"/>
          <w:szCs w:val="21"/>
          <w:highlight w:val="none"/>
        </w:rPr>
      </w:pPr>
    </w:p>
    <w:p w14:paraId="7DBF0625">
      <w:pPr>
        <w:spacing w:line="360" w:lineRule="auto"/>
        <w:ind w:firstLine="2" w:firstLineChars="1"/>
        <w:jc w:val="left"/>
        <w:rPr>
          <w:rFonts w:hint="eastAsia" w:ascii="宋体" w:hAnsi="宋体" w:cs="宋体"/>
          <w:color w:val="auto"/>
          <w:szCs w:val="21"/>
          <w:highlight w:val="none"/>
        </w:rPr>
      </w:pPr>
    </w:p>
    <w:p w14:paraId="349B559B">
      <w:pPr>
        <w:jc w:val="both"/>
        <w:outlineLvl w:val="9"/>
        <w:rPr>
          <w:rFonts w:hint="eastAsia" w:cs="宋体"/>
          <w:color w:val="auto"/>
          <w:highlight w:val="none"/>
        </w:rPr>
      </w:pPr>
    </w:p>
    <w:p w14:paraId="41ADFE50">
      <w:pPr>
        <w:spacing w:line="360" w:lineRule="auto"/>
        <w:ind w:firstLine="2" w:firstLineChars="1"/>
        <w:jc w:val="left"/>
        <w:rPr>
          <w:rFonts w:hint="eastAsia" w:ascii="宋体" w:hAnsi="宋体" w:eastAsia="宋体" w:cs="宋体"/>
          <w:color w:val="auto"/>
          <w:szCs w:val="21"/>
          <w:highlight w:val="none"/>
        </w:rPr>
      </w:pPr>
    </w:p>
    <w:p w14:paraId="125A203E">
      <w:pPr>
        <w:spacing w:line="360" w:lineRule="auto"/>
        <w:ind w:firstLine="2" w:firstLineChars="1"/>
        <w:jc w:val="left"/>
        <w:rPr>
          <w:rFonts w:hint="eastAsia" w:ascii="宋体" w:hAnsi="宋体" w:eastAsia="宋体" w:cs="宋体"/>
          <w:color w:val="auto"/>
          <w:szCs w:val="21"/>
          <w:highlight w:val="none"/>
        </w:rPr>
      </w:pPr>
    </w:p>
    <w:p w14:paraId="794E5635">
      <w:pPr>
        <w:spacing w:line="360" w:lineRule="auto"/>
        <w:ind w:firstLine="2" w:firstLineChars="1"/>
        <w:jc w:val="left"/>
        <w:rPr>
          <w:rFonts w:hint="eastAsia" w:ascii="宋体" w:hAnsi="宋体" w:eastAsia="宋体" w:cs="宋体"/>
          <w:color w:val="auto"/>
          <w:szCs w:val="21"/>
          <w:highlight w:val="none"/>
        </w:rPr>
      </w:pPr>
    </w:p>
    <w:p w14:paraId="77FDCD32">
      <w:pPr>
        <w:spacing w:line="360" w:lineRule="auto"/>
        <w:ind w:firstLine="2" w:firstLineChars="1"/>
        <w:jc w:val="left"/>
        <w:rPr>
          <w:rFonts w:hint="eastAsia" w:ascii="宋体" w:hAnsi="宋体" w:eastAsia="宋体" w:cs="宋体"/>
          <w:color w:val="auto"/>
          <w:szCs w:val="21"/>
          <w:highlight w:val="none"/>
        </w:rPr>
      </w:pPr>
    </w:p>
    <w:p w14:paraId="44C3D453">
      <w:pPr>
        <w:pStyle w:val="3"/>
        <w:rPr>
          <w:rFonts w:hint="eastAsia" w:ascii="宋体" w:hAnsi="宋体" w:eastAsia="宋体" w:cs="宋体"/>
          <w:color w:val="auto"/>
          <w:szCs w:val="21"/>
          <w:highlight w:val="none"/>
        </w:rPr>
      </w:pPr>
    </w:p>
    <w:p w14:paraId="31A1F0B4">
      <w:pPr>
        <w:rPr>
          <w:rFonts w:hint="eastAsia" w:ascii="宋体" w:hAnsi="宋体" w:eastAsia="宋体" w:cs="宋体"/>
          <w:color w:val="auto"/>
          <w:szCs w:val="21"/>
          <w:highlight w:val="none"/>
        </w:rPr>
      </w:pPr>
    </w:p>
    <w:p w14:paraId="4E613E03">
      <w:pPr>
        <w:pStyle w:val="3"/>
        <w:rPr>
          <w:rFonts w:hint="eastAsia"/>
          <w:color w:val="auto"/>
          <w:highlight w:val="none"/>
        </w:rPr>
      </w:pPr>
    </w:p>
    <w:p w14:paraId="3B043F30">
      <w:pPr>
        <w:spacing w:line="360" w:lineRule="auto"/>
        <w:ind w:firstLine="2" w:firstLineChars="1"/>
        <w:jc w:val="left"/>
        <w:rPr>
          <w:rFonts w:hint="eastAsia" w:ascii="宋体" w:hAnsi="宋体" w:eastAsia="宋体" w:cs="宋体"/>
          <w:color w:val="auto"/>
          <w:szCs w:val="21"/>
          <w:highlight w:val="none"/>
        </w:rPr>
      </w:pPr>
    </w:p>
    <w:p w14:paraId="718F67DC">
      <w:pPr>
        <w:spacing w:line="360" w:lineRule="auto"/>
        <w:ind w:firstLine="2" w:firstLineChars="1"/>
        <w:jc w:val="left"/>
        <w:rPr>
          <w:rFonts w:hint="eastAsia" w:ascii="宋体" w:hAnsi="宋体" w:cs="宋体"/>
          <w:color w:val="auto"/>
          <w:szCs w:val="21"/>
          <w:highlight w:val="none"/>
        </w:rPr>
      </w:pPr>
      <w:r>
        <w:rPr>
          <w:rFonts w:hint="eastAsia" w:ascii="宋体" w:hAnsi="宋体" w:cs="宋体"/>
          <w:color w:val="auto"/>
          <w:szCs w:val="21"/>
          <w:highlight w:val="none"/>
        </w:rPr>
        <w:t>供应商（</w:t>
      </w:r>
      <w:r>
        <w:rPr>
          <w:rFonts w:hint="eastAsia" w:ascii="宋体" w:hAnsi="宋体" w:cs="宋体"/>
          <w:color w:val="auto"/>
          <w:szCs w:val="21"/>
          <w:highlight w:val="none"/>
          <w:lang w:eastAsia="zh-CN"/>
        </w:rPr>
        <w:t>加盖供应商电子公章</w:t>
      </w:r>
      <w:r>
        <w:rPr>
          <w:rFonts w:hint="eastAsia" w:ascii="宋体" w:hAnsi="宋体" w:cs="宋体"/>
          <w:color w:val="auto"/>
          <w:szCs w:val="21"/>
          <w:highlight w:val="none"/>
        </w:rPr>
        <w:t>）：</w:t>
      </w:r>
    </w:p>
    <w:p w14:paraId="753A32EF">
      <w:pPr>
        <w:spacing w:line="360" w:lineRule="auto"/>
        <w:ind w:firstLine="2" w:firstLineChars="1"/>
        <w:jc w:val="left"/>
        <w:rPr>
          <w:rFonts w:hint="eastAsia" w:ascii="宋体" w:hAnsi="宋体" w:cs="宋体"/>
          <w:color w:val="auto"/>
          <w:szCs w:val="21"/>
          <w:highlight w:val="none"/>
        </w:rPr>
      </w:pPr>
    </w:p>
    <w:p w14:paraId="39BCE5D2">
      <w:pPr>
        <w:spacing w:line="360" w:lineRule="auto"/>
        <w:ind w:firstLine="2" w:firstLineChars="1"/>
        <w:jc w:val="left"/>
        <w:rPr>
          <w:rFonts w:hint="eastAsia" w:ascii="宋体" w:hAnsi="宋体" w:cs="宋体"/>
          <w:color w:val="auto"/>
          <w:szCs w:val="21"/>
          <w:highlight w:val="none"/>
        </w:rPr>
      </w:pPr>
      <w:r>
        <w:rPr>
          <w:rFonts w:hint="eastAsia" w:ascii="宋体" w:hAnsi="宋体" w:cs="宋体"/>
          <w:color w:val="auto"/>
          <w:szCs w:val="21"/>
          <w:highlight w:val="none"/>
        </w:rPr>
        <w:t>法定代表人（</w:t>
      </w:r>
      <w:r>
        <w:rPr>
          <w:rFonts w:hint="eastAsia" w:ascii="宋体" w:hAnsi="宋体" w:cs="宋体"/>
          <w:color w:val="auto"/>
          <w:szCs w:val="21"/>
          <w:highlight w:val="none"/>
          <w:lang w:eastAsia="zh-CN"/>
        </w:rPr>
        <w:t>电子签名或盖章</w:t>
      </w:r>
      <w:r>
        <w:rPr>
          <w:rFonts w:hint="eastAsia" w:ascii="宋体" w:hAnsi="宋体" w:cs="宋体"/>
          <w:color w:val="auto"/>
          <w:szCs w:val="21"/>
          <w:highlight w:val="none"/>
        </w:rPr>
        <w:t>）：</w:t>
      </w:r>
    </w:p>
    <w:p w14:paraId="5FCDB1DB">
      <w:pPr>
        <w:spacing w:line="360" w:lineRule="auto"/>
        <w:ind w:firstLine="2" w:firstLineChars="1"/>
        <w:jc w:val="left"/>
        <w:rPr>
          <w:rFonts w:hint="eastAsia" w:ascii="宋体" w:hAnsi="宋体" w:cs="宋体"/>
          <w:color w:val="auto"/>
          <w:szCs w:val="21"/>
          <w:highlight w:val="none"/>
        </w:rPr>
      </w:pPr>
    </w:p>
    <w:p w14:paraId="67139B9D">
      <w:pPr>
        <w:autoSpaceDE w:val="0"/>
        <w:autoSpaceDN w:val="0"/>
        <w:adjustRightIn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日期：</w:t>
      </w:r>
    </w:p>
    <w:p w14:paraId="154DA31E">
      <w:pPr>
        <w:keepNext/>
        <w:keepLines/>
        <w:spacing w:after="120" w:line="360" w:lineRule="auto"/>
        <w:jc w:val="left"/>
        <w:outlineLvl w:val="1"/>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rPr>
        <w:br w:type="page"/>
      </w:r>
      <w:bookmarkEnd w:id="204"/>
      <w:bookmarkEnd w:id="205"/>
      <w:bookmarkEnd w:id="206"/>
      <w:bookmarkEnd w:id="207"/>
      <w:bookmarkEnd w:id="208"/>
      <w:bookmarkStart w:id="299" w:name="_Toc20560"/>
      <w:bookmarkStart w:id="300" w:name="_Toc30"/>
      <w:bookmarkStart w:id="301" w:name="_Toc494043379"/>
      <w:bookmarkStart w:id="302" w:name="_Toc23733"/>
      <w:bookmarkStart w:id="303" w:name="_Toc18026"/>
      <w:bookmarkStart w:id="304" w:name="_Toc31090"/>
      <w:bookmarkStart w:id="305" w:name="_Toc29839"/>
      <w:bookmarkStart w:id="306" w:name="_Toc31441"/>
      <w:r>
        <w:rPr>
          <w:rFonts w:hint="eastAsia" w:ascii="宋体" w:hAnsi="宋体" w:cs="宋体"/>
          <w:b/>
          <w:color w:val="auto"/>
          <w:sz w:val="28"/>
          <w:szCs w:val="28"/>
          <w:highlight w:val="none"/>
        </w:rPr>
        <w:t>格式</w:t>
      </w:r>
      <w:r>
        <w:rPr>
          <w:rFonts w:hint="eastAsia" w:ascii="宋体" w:hAnsi="宋体" w:cs="宋体"/>
          <w:b/>
          <w:color w:val="auto"/>
          <w:sz w:val="28"/>
          <w:szCs w:val="28"/>
          <w:highlight w:val="none"/>
          <w:lang w:val="en-US" w:eastAsia="zh-CN"/>
        </w:rPr>
        <w:t>1</w:t>
      </w:r>
      <w:bookmarkEnd w:id="299"/>
      <w:bookmarkEnd w:id="300"/>
      <w:r>
        <w:rPr>
          <w:rFonts w:hint="eastAsia" w:ascii="宋体" w:hAnsi="宋体" w:cs="宋体"/>
          <w:b/>
          <w:color w:val="auto"/>
          <w:sz w:val="28"/>
          <w:szCs w:val="28"/>
          <w:highlight w:val="none"/>
          <w:lang w:val="en-US" w:eastAsia="zh-CN"/>
        </w:rPr>
        <w:t>6</w:t>
      </w:r>
    </w:p>
    <w:p w14:paraId="3F043B55">
      <w:pPr>
        <w:keepNext/>
        <w:keepLines/>
        <w:spacing w:before="120" w:after="120" w:line="360" w:lineRule="auto"/>
        <w:jc w:val="center"/>
        <w:outlineLvl w:val="1"/>
        <w:rPr>
          <w:rFonts w:hint="eastAsia" w:ascii="宋体" w:hAnsi="宋体" w:eastAsia="宋体" w:cs="宋体"/>
          <w:b/>
          <w:bCs/>
          <w:color w:val="auto"/>
          <w:sz w:val="28"/>
          <w:szCs w:val="32"/>
          <w:highlight w:val="none"/>
          <w:lang w:eastAsia="zh-CN"/>
        </w:rPr>
      </w:pPr>
      <w:bookmarkStart w:id="307" w:name="_Toc24730"/>
      <w:bookmarkStart w:id="308" w:name="_Toc28105"/>
      <w:r>
        <w:rPr>
          <w:rFonts w:hint="eastAsia" w:ascii="宋体" w:hAnsi="宋体" w:cs="宋体"/>
          <w:b/>
          <w:bCs/>
          <w:color w:val="auto"/>
          <w:sz w:val="28"/>
          <w:szCs w:val="32"/>
          <w:highlight w:val="none"/>
          <w:lang w:eastAsia="zh-CN"/>
        </w:rPr>
        <w:t>突发情况应急解决方案</w:t>
      </w:r>
      <w:bookmarkEnd w:id="307"/>
      <w:bookmarkEnd w:id="308"/>
    </w:p>
    <w:p w14:paraId="57988339">
      <w:pPr>
        <w:autoSpaceDE w:val="0"/>
        <w:autoSpaceDN w:val="0"/>
        <w:adjustRightInd w:val="0"/>
        <w:spacing w:line="360" w:lineRule="auto"/>
        <w:jc w:val="center"/>
        <w:rPr>
          <w:rFonts w:hint="eastAsia" w:ascii="宋体" w:hAnsi="宋体" w:cs="宋体"/>
          <w:color w:val="auto"/>
          <w:szCs w:val="21"/>
          <w:highlight w:val="none"/>
        </w:rPr>
      </w:pPr>
      <w:r>
        <w:rPr>
          <w:rFonts w:hint="eastAsia" w:ascii="宋体" w:hAnsi="宋体" w:cs="宋体"/>
          <w:snapToGrid/>
          <w:color w:val="auto"/>
          <w:kern w:val="2"/>
          <w:szCs w:val="21"/>
          <w:highlight w:val="none"/>
        </w:rPr>
        <w:t>(</w:t>
      </w:r>
      <w:r>
        <w:rPr>
          <w:rFonts w:hint="eastAsia" w:ascii="宋体" w:hAnsi="宋体" w:cs="宋体"/>
          <w:snapToGrid/>
          <w:color w:val="auto"/>
          <w:kern w:val="2"/>
          <w:szCs w:val="21"/>
          <w:highlight w:val="none"/>
          <w:lang w:eastAsia="zh-CN"/>
        </w:rPr>
        <w:t>内容自拟</w:t>
      </w:r>
      <w:r>
        <w:rPr>
          <w:rFonts w:hint="eastAsia" w:ascii="宋体" w:hAnsi="宋体" w:cs="宋体"/>
          <w:snapToGrid/>
          <w:color w:val="auto"/>
          <w:kern w:val="2"/>
          <w:szCs w:val="21"/>
          <w:highlight w:val="none"/>
        </w:rPr>
        <w:t>)</w:t>
      </w:r>
    </w:p>
    <w:p w14:paraId="7306945D">
      <w:pPr>
        <w:spacing w:line="360" w:lineRule="auto"/>
        <w:ind w:firstLine="2" w:firstLineChars="1"/>
        <w:jc w:val="left"/>
        <w:rPr>
          <w:rFonts w:hint="eastAsia" w:ascii="宋体" w:hAnsi="宋体" w:cs="宋体"/>
          <w:color w:val="auto"/>
          <w:szCs w:val="21"/>
          <w:highlight w:val="none"/>
        </w:rPr>
      </w:pPr>
    </w:p>
    <w:p w14:paraId="1F4AD823">
      <w:pPr>
        <w:spacing w:line="360" w:lineRule="auto"/>
        <w:ind w:firstLine="2" w:firstLineChars="1"/>
        <w:jc w:val="left"/>
        <w:rPr>
          <w:rFonts w:hint="eastAsia" w:ascii="宋体" w:hAnsi="宋体" w:cs="宋体"/>
          <w:color w:val="auto"/>
          <w:szCs w:val="21"/>
          <w:highlight w:val="none"/>
        </w:rPr>
      </w:pPr>
    </w:p>
    <w:p w14:paraId="259A0625">
      <w:pPr>
        <w:spacing w:line="360" w:lineRule="auto"/>
        <w:ind w:firstLine="2" w:firstLineChars="1"/>
        <w:jc w:val="left"/>
        <w:rPr>
          <w:rFonts w:hint="eastAsia" w:ascii="宋体" w:hAnsi="宋体" w:cs="宋体"/>
          <w:color w:val="auto"/>
          <w:szCs w:val="21"/>
          <w:highlight w:val="none"/>
        </w:rPr>
      </w:pPr>
    </w:p>
    <w:p w14:paraId="4A8C387B">
      <w:pPr>
        <w:spacing w:line="360" w:lineRule="auto"/>
        <w:ind w:firstLine="2" w:firstLineChars="1"/>
        <w:jc w:val="left"/>
        <w:rPr>
          <w:rFonts w:hint="eastAsia" w:ascii="宋体" w:hAnsi="宋体" w:cs="宋体"/>
          <w:color w:val="auto"/>
          <w:szCs w:val="21"/>
          <w:highlight w:val="none"/>
        </w:rPr>
      </w:pPr>
    </w:p>
    <w:p w14:paraId="7364E381">
      <w:pPr>
        <w:spacing w:line="360" w:lineRule="auto"/>
        <w:ind w:firstLine="2" w:firstLineChars="1"/>
        <w:jc w:val="left"/>
        <w:rPr>
          <w:rFonts w:hint="eastAsia" w:ascii="宋体" w:hAnsi="宋体" w:cs="宋体"/>
          <w:color w:val="auto"/>
          <w:szCs w:val="21"/>
          <w:highlight w:val="none"/>
        </w:rPr>
      </w:pPr>
    </w:p>
    <w:p w14:paraId="388E54AB">
      <w:pPr>
        <w:spacing w:line="360" w:lineRule="auto"/>
        <w:ind w:firstLine="2" w:firstLineChars="1"/>
        <w:jc w:val="left"/>
        <w:outlineLvl w:val="9"/>
        <w:rPr>
          <w:rFonts w:hint="eastAsia" w:ascii="宋体" w:hAnsi="宋体" w:cs="宋体"/>
          <w:color w:val="auto"/>
          <w:szCs w:val="21"/>
          <w:highlight w:val="none"/>
        </w:rPr>
      </w:pPr>
    </w:p>
    <w:p w14:paraId="21F62C01">
      <w:pPr>
        <w:spacing w:line="360" w:lineRule="auto"/>
        <w:ind w:firstLine="2" w:firstLineChars="1"/>
        <w:jc w:val="left"/>
        <w:outlineLvl w:val="9"/>
        <w:rPr>
          <w:rFonts w:hint="eastAsia" w:ascii="宋体" w:hAnsi="宋体" w:cs="宋体"/>
          <w:color w:val="auto"/>
          <w:szCs w:val="21"/>
          <w:highlight w:val="none"/>
        </w:rPr>
      </w:pPr>
    </w:p>
    <w:p w14:paraId="0335BEFB">
      <w:pPr>
        <w:spacing w:line="360" w:lineRule="auto"/>
        <w:ind w:firstLine="2" w:firstLineChars="1"/>
        <w:jc w:val="left"/>
        <w:outlineLvl w:val="9"/>
        <w:rPr>
          <w:rFonts w:hint="eastAsia" w:ascii="宋体" w:hAnsi="宋体" w:cs="宋体"/>
          <w:color w:val="auto"/>
          <w:szCs w:val="21"/>
          <w:highlight w:val="none"/>
        </w:rPr>
      </w:pPr>
    </w:p>
    <w:p w14:paraId="77F71335">
      <w:pPr>
        <w:spacing w:line="360" w:lineRule="auto"/>
        <w:ind w:firstLine="2" w:firstLineChars="1"/>
        <w:jc w:val="left"/>
        <w:outlineLvl w:val="9"/>
        <w:rPr>
          <w:rFonts w:hint="eastAsia" w:ascii="宋体" w:hAnsi="宋体" w:cs="宋体"/>
          <w:color w:val="auto"/>
          <w:szCs w:val="21"/>
          <w:highlight w:val="none"/>
        </w:rPr>
      </w:pPr>
    </w:p>
    <w:p w14:paraId="52893942">
      <w:pPr>
        <w:spacing w:line="360" w:lineRule="auto"/>
        <w:ind w:firstLine="2" w:firstLineChars="1"/>
        <w:jc w:val="left"/>
        <w:outlineLvl w:val="9"/>
        <w:rPr>
          <w:rFonts w:hint="eastAsia" w:ascii="宋体" w:hAnsi="宋体" w:cs="宋体"/>
          <w:color w:val="auto"/>
          <w:szCs w:val="21"/>
          <w:highlight w:val="none"/>
        </w:rPr>
      </w:pPr>
    </w:p>
    <w:p w14:paraId="54E5BC55">
      <w:pPr>
        <w:outlineLvl w:val="9"/>
        <w:rPr>
          <w:rFonts w:hint="eastAsia"/>
          <w:color w:val="auto"/>
          <w:highlight w:val="none"/>
        </w:rPr>
      </w:pPr>
    </w:p>
    <w:p w14:paraId="6DA6DDC3">
      <w:pPr>
        <w:outlineLvl w:val="9"/>
        <w:rPr>
          <w:rFonts w:hint="eastAsia"/>
          <w:color w:val="auto"/>
          <w:highlight w:val="none"/>
        </w:rPr>
      </w:pPr>
    </w:p>
    <w:p w14:paraId="08B670F9">
      <w:pPr>
        <w:outlineLvl w:val="9"/>
        <w:rPr>
          <w:rFonts w:hint="eastAsia"/>
          <w:color w:val="auto"/>
          <w:highlight w:val="none"/>
        </w:rPr>
      </w:pPr>
    </w:p>
    <w:p w14:paraId="2F77915E">
      <w:pPr>
        <w:outlineLvl w:val="9"/>
        <w:rPr>
          <w:rFonts w:hint="eastAsia"/>
          <w:color w:val="auto"/>
          <w:highlight w:val="none"/>
        </w:rPr>
      </w:pPr>
    </w:p>
    <w:p w14:paraId="03A64B2D">
      <w:pPr>
        <w:outlineLvl w:val="9"/>
        <w:rPr>
          <w:rFonts w:hint="eastAsia"/>
          <w:color w:val="auto"/>
          <w:highlight w:val="none"/>
        </w:rPr>
      </w:pPr>
    </w:p>
    <w:p w14:paraId="3C1B2DF7">
      <w:pPr>
        <w:outlineLvl w:val="9"/>
        <w:rPr>
          <w:rFonts w:hint="eastAsia"/>
          <w:color w:val="auto"/>
          <w:highlight w:val="none"/>
        </w:rPr>
      </w:pPr>
    </w:p>
    <w:p w14:paraId="0FFE8905">
      <w:pPr>
        <w:outlineLvl w:val="9"/>
        <w:rPr>
          <w:rFonts w:hint="eastAsia"/>
          <w:color w:val="auto"/>
          <w:highlight w:val="none"/>
        </w:rPr>
      </w:pPr>
    </w:p>
    <w:p w14:paraId="6E04FB8A">
      <w:pPr>
        <w:rPr>
          <w:rFonts w:hint="eastAsia"/>
          <w:color w:val="auto"/>
          <w:highlight w:val="none"/>
        </w:rPr>
      </w:pPr>
    </w:p>
    <w:p w14:paraId="6775FC19">
      <w:pPr>
        <w:spacing w:line="360" w:lineRule="auto"/>
        <w:rPr>
          <w:rFonts w:hint="eastAsia" w:ascii="宋体" w:hAnsi="宋体" w:cs="宋体"/>
          <w:color w:val="auto"/>
          <w:highlight w:val="none"/>
        </w:rPr>
      </w:pPr>
      <w:r>
        <w:rPr>
          <w:rFonts w:hint="eastAsia" w:ascii="宋体" w:hAnsi="宋体" w:cs="宋体"/>
          <w:color w:val="auto"/>
          <w:highlight w:val="none"/>
        </w:rPr>
        <w:t>供应商（</w:t>
      </w:r>
      <w:r>
        <w:rPr>
          <w:rFonts w:hint="eastAsia" w:ascii="宋体" w:hAnsi="宋体" w:cs="宋体"/>
          <w:color w:val="auto"/>
          <w:highlight w:val="none"/>
          <w:lang w:eastAsia="zh-CN"/>
        </w:rPr>
        <w:t>加盖供应商电子公章</w:t>
      </w:r>
      <w:r>
        <w:rPr>
          <w:rFonts w:hint="eastAsia" w:ascii="宋体" w:hAnsi="宋体" w:cs="宋体"/>
          <w:color w:val="auto"/>
          <w:highlight w:val="none"/>
        </w:rPr>
        <w:t>）：</w:t>
      </w:r>
    </w:p>
    <w:p w14:paraId="51AB3510">
      <w:pPr>
        <w:spacing w:line="360" w:lineRule="auto"/>
        <w:rPr>
          <w:rFonts w:hint="eastAsia" w:ascii="宋体" w:hAnsi="宋体" w:cs="宋体"/>
          <w:color w:val="auto"/>
          <w:highlight w:val="none"/>
        </w:rPr>
      </w:pPr>
      <w:r>
        <w:rPr>
          <w:rFonts w:hint="eastAsia" w:ascii="宋体" w:hAnsi="宋体" w:cs="宋体"/>
          <w:color w:val="auto"/>
          <w:highlight w:val="none"/>
        </w:rPr>
        <w:t>法定代表人（</w:t>
      </w:r>
      <w:r>
        <w:rPr>
          <w:rFonts w:hint="eastAsia" w:ascii="宋体" w:hAnsi="宋体" w:cs="宋体"/>
          <w:color w:val="auto"/>
          <w:highlight w:val="none"/>
          <w:lang w:eastAsia="zh-CN"/>
        </w:rPr>
        <w:t>电子签名或盖章</w:t>
      </w:r>
      <w:r>
        <w:rPr>
          <w:rFonts w:hint="eastAsia" w:ascii="宋体" w:hAnsi="宋体" w:cs="宋体"/>
          <w:color w:val="auto"/>
          <w:highlight w:val="none"/>
        </w:rPr>
        <w:t>）：</w:t>
      </w:r>
    </w:p>
    <w:p w14:paraId="2C0398A1">
      <w:pPr>
        <w:spacing w:line="360" w:lineRule="auto"/>
        <w:rPr>
          <w:rFonts w:hint="eastAsia" w:ascii="宋体" w:hAnsi="宋体" w:cs="宋体"/>
          <w:color w:val="auto"/>
          <w:highlight w:val="none"/>
        </w:rPr>
      </w:pPr>
      <w:r>
        <w:rPr>
          <w:rFonts w:hint="eastAsia" w:ascii="宋体" w:hAnsi="宋体" w:cs="宋体"/>
          <w:color w:val="auto"/>
          <w:highlight w:val="none"/>
        </w:rPr>
        <w:t>日期：</w:t>
      </w:r>
    </w:p>
    <w:p w14:paraId="6F8F980A">
      <w:pPr>
        <w:autoSpaceDE w:val="0"/>
        <w:autoSpaceDN w:val="0"/>
        <w:adjustRightInd w:val="0"/>
        <w:spacing w:line="360" w:lineRule="auto"/>
        <w:jc w:val="left"/>
        <w:rPr>
          <w:rFonts w:hint="eastAsia" w:ascii="宋体" w:hAnsi="宋体" w:cs="宋体"/>
          <w:color w:val="auto"/>
          <w:szCs w:val="21"/>
          <w:highlight w:val="none"/>
        </w:rPr>
      </w:pPr>
    </w:p>
    <w:p w14:paraId="5CDB482F">
      <w:pPr>
        <w:autoSpaceDE w:val="0"/>
        <w:autoSpaceDN w:val="0"/>
        <w:adjustRightInd w:val="0"/>
        <w:spacing w:line="360" w:lineRule="auto"/>
        <w:jc w:val="left"/>
        <w:rPr>
          <w:rFonts w:hint="eastAsia" w:ascii="宋体" w:hAnsi="宋体" w:cs="宋体"/>
          <w:color w:val="auto"/>
          <w:szCs w:val="21"/>
          <w:highlight w:val="none"/>
        </w:rPr>
      </w:pPr>
    </w:p>
    <w:p w14:paraId="0683B36E">
      <w:pPr>
        <w:keepNext/>
        <w:keepLines/>
        <w:spacing w:after="120" w:line="360" w:lineRule="auto"/>
        <w:jc w:val="left"/>
        <w:outlineLvl w:val="1"/>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rPr>
        <w:br w:type="page"/>
      </w:r>
      <w:bookmarkStart w:id="309" w:name="_Toc10223"/>
      <w:bookmarkStart w:id="310" w:name="_Toc29725"/>
      <w:r>
        <w:rPr>
          <w:rFonts w:hint="eastAsia" w:ascii="宋体" w:hAnsi="宋体" w:cs="宋体"/>
          <w:b/>
          <w:color w:val="auto"/>
          <w:sz w:val="28"/>
          <w:szCs w:val="28"/>
          <w:highlight w:val="none"/>
        </w:rPr>
        <w:t>格式</w:t>
      </w:r>
      <w:r>
        <w:rPr>
          <w:rFonts w:hint="eastAsia" w:ascii="宋体" w:hAnsi="宋体" w:cs="宋体"/>
          <w:b/>
          <w:color w:val="auto"/>
          <w:sz w:val="28"/>
          <w:szCs w:val="28"/>
          <w:highlight w:val="none"/>
          <w:lang w:val="en-US" w:eastAsia="zh-CN"/>
        </w:rPr>
        <w:t>1</w:t>
      </w:r>
      <w:bookmarkEnd w:id="309"/>
      <w:r>
        <w:rPr>
          <w:rFonts w:hint="eastAsia" w:ascii="宋体" w:hAnsi="宋体" w:cs="宋体"/>
          <w:b/>
          <w:color w:val="auto"/>
          <w:sz w:val="28"/>
          <w:szCs w:val="28"/>
          <w:highlight w:val="none"/>
          <w:lang w:val="en-US" w:eastAsia="zh-CN"/>
        </w:rPr>
        <w:t>7</w:t>
      </w:r>
    </w:p>
    <w:p w14:paraId="25264389">
      <w:pPr>
        <w:keepNext/>
        <w:keepLines/>
        <w:spacing w:before="120" w:after="120" w:line="360" w:lineRule="auto"/>
        <w:jc w:val="center"/>
        <w:outlineLvl w:val="1"/>
        <w:rPr>
          <w:rFonts w:hint="eastAsia" w:ascii="宋体" w:hAnsi="宋体" w:cs="宋体"/>
          <w:b/>
          <w:bCs/>
          <w:color w:val="auto"/>
          <w:sz w:val="28"/>
          <w:szCs w:val="32"/>
          <w:highlight w:val="none"/>
          <w:lang w:eastAsia="zh-CN"/>
        </w:rPr>
      </w:pPr>
      <w:bookmarkStart w:id="311" w:name="_Toc10104"/>
      <w:r>
        <w:rPr>
          <w:rFonts w:hint="eastAsia" w:ascii="宋体" w:hAnsi="宋体" w:cs="宋体"/>
          <w:b/>
          <w:bCs/>
          <w:color w:val="auto"/>
          <w:sz w:val="28"/>
          <w:szCs w:val="32"/>
          <w:highlight w:val="none"/>
          <w:lang w:eastAsia="zh-CN"/>
        </w:rPr>
        <w:t>保密措施及承诺</w:t>
      </w:r>
      <w:bookmarkEnd w:id="311"/>
    </w:p>
    <w:p w14:paraId="34FE14B8">
      <w:pPr>
        <w:autoSpaceDE w:val="0"/>
        <w:autoSpaceDN w:val="0"/>
        <w:adjustRightInd w:val="0"/>
        <w:spacing w:line="360" w:lineRule="auto"/>
        <w:jc w:val="center"/>
        <w:rPr>
          <w:rFonts w:hint="eastAsia" w:ascii="宋体" w:hAnsi="宋体" w:cs="宋体"/>
          <w:color w:val="auto"/>
          <w:szCs w:val="21"/>
          <w:highlight w:val="none"/>
        </w:rPr>
      </w:pPr>
      <w:r>
        <w:rPr>
          <w:rFonts w:hint="eastAsia" w:ascii="宋体" w:hAnsi="宋体" w:cs="宋体"/>
          <w:snapToGrid/>
          <w:color w:val="auto"/>
          <w:kern w:val="2"/>
          <w:szCs w:val="21"/>
          <w:highlight w:val="none"/>
        </w:rPr>
        <w:t>(内容自拟)</w:t>
      </w:r>
    </w:p>
    <w:p w14:paraId="6F4125D1">
      <w:pPr>
        <w:spacing w:line="360" w:lineRule="auto"/>
        <w:ind w:firstLine="2" w:firstLineChars="1"/>
        <w:jc w:val="left"/>
        <w:rPr>
          <w:rFonts w:hint="eastAsia" w:ascii="宋体" w:hAnsi="宋体" w:cs="宋体"/>
          <w:color w:val="auto"/>
          <w:szCs w:val="21"/>
          <w:highlight w:val="none"/>
        </w:rPr>
      </w:pPr>
    </w:p>
    <w:p w14:paraId="1910AFF8">
      <w:pPr>
        <w:spacing w:line="360" w:lineRule="auto"/>
        <w:ind w:firstLine="2" w:firstLineChars="1"/>
        <w:jc w:val="left"/>
        <w:rPr>
          <w:rFonts w:hint="eastAsia" w:ascii="宋体" w:hAnsi="宋体" w:cs="宋体"/>
          <w:color w:val="auto"/>
          <w:szCs w:val="21"/>
          <w:highlight w:val="none"/>
        </w:rPr>
      </w:pPr>
    </w:p>
    <w:p w14:paraId="22437499">
      <w:pPr>
        <w:spacing w:line="360" w:lineRule="auto"/>
        <w:ind w:firstLine="2" w:firstLineChars="1"/>
        <w:jc w:val="left"/>
        <w:rPr>
          <w:rFonts w:hint="eastAsia" w:ascii="宋体" w:hAnsi="宋体" w:cs="宋体"/>
          <w:color w:val="auto"/>
          <w:szCs w:val="21"/>
          <w:highlight w:val="none"/>
        </w:rPr>
      </w:pPr>
    </w:p>
    <w:p w14:paraId="4F966474">
      <w:pPr>
        <w:spacing w:line="360" w:lineRule="auto"/>
        <w:ind w:firstLine="2" w:firstLineChars="1"/>
        <w:jc w:val="left"/>
        <w:rPr>
          <w:rFonts w:hint="eastAsia" w:ascii="宋体" w:hAnsi="宋体" w:cs="宋体"/>
          <w:color w:val="auto"/>
          <w:szCs w:val="21"/>
          <w:highlight w:val="none"/>
        </w:rPr>
      </w:pPr>
    </w:p>
    <w:p w14:paraId="04BF771D">
      <w:pPr>
        <w:spacing w:line="360" w:lineRule="auto"/>
        <w:ind w:firstLine="2" w:firstLineChars="1"/>
        <w:jc w:val="left"/>
        <w:rPr>
          <w:rFonts w:hint="eastAsia" w:ascii="宋体" w:hAnsi="宋体" w:cs="宋体"/>
          <w:color w:val="auto"/>
          <w:szCs w:val="21"/>
          <w:highlight w:val="none"/>
        </w:rPr>
      </w:pPr>
    </w:p>
    <w:p w14:paraId="1B28F748">
      <w:pPr>
        <w:spacing w:line="360" w:lineRule="auto"/>
        <w:ind w:firstLine="2" w:firstLineChars="1"/>
        <w:jc w:val="left"/>
        <w:outlineLvl w:val="9"/>
        <w:rPr>
          <w:rFonts w:hint="eastAsia" w:ascii="宋体" w:hAnsi="宋体" w:cs="宋体"/>
          <w:color w:val="auto"/>
          <w:szCs w:val="21"/>
          <w:highlight w:val="none"/>
        </w:rPr>
      </w:pPr>
    </w:p>
    <w:p w14:paraId="5322C918">
      <w:pPr>
        <w:spacing w:line="360" w:lineRule="auto"/>
        <w:ind w:firstLine="2" w:firstLineChars="1"/>
        <w:jc w:val="left"/>
        <w:outlineLvl w:val="9"/>
        <w:rPr>
          <w:rFonts w:hint="eastAsia" w:ascii="宋体" w:hAnsi="宋体" w:cs="宋体"/>
          <w:color w:val="auto"/>
          <w:szCs w:val="21"/>
          <w:highlight w:val="none"/>
        </w:rPr>
      </w:pPr>
    </w:p>
    <w:p w14:paraId="43FD17D7">
      <w:pPr>
        <w:spacing w:line="360" w:lineRule="auto"/>
        <w:ind w:firstLine="2" w:firstLineChars="1"/>
        <w:jc w:val="left"/>
        <w:outlineLvl w:val="9"/>
        <w:rPr>
          <w:rFonts w:hint="eastAsia" w:ascii="宋体" w:hAnsi="宋体" w:cs="宋体"/>
          <w:color w:val="auto"/>
          <w:szCs w:val="21"/>
          <w:highlight w:val="none"/>
        </w:rPr>
      </w:pPr>
    </w:p>
    <w:p w14:paraId="09FA97A0">
      <w:pPr>
        <w:spacing w:line="360" w:lineRule="auto"/>
        <w:ind w:firstLine="2" w:firstLineChars="1"/>
        <w:jc w:val="left"/>
        <w:outlineLvl w:val="9"/>
        <w:rPr>
          <w:rFonts w:hint="eastAsia" w:ascii="宋体" w:hAnsi="宋体" w:cs="宋体"/>
          <w:color w:val="auto"/>
          <w:szCs w:val="21"/>
          <w:highlight w:val="none"/>
        </w:rPr>
      </w:pPr>
    </w:p>
    <w:p w14:paraId="7394790F">
      <w:pPr>
        <w:spacing w:line="360" w:lineRule="auto"/>
        <w:ind w:firstLine="2" w:firstLineChars="1"/>
        <w:jc w:val="left"/>
        <w:outlineLvl w:val="9"/>
        <w:rPr>
          <w:rFonts w:hint="eastAsia" w:ascii="宋体" w:hAnsi="宋体" w:cs="宋体"/>
          <w:color w:val="auto"/>
          <w:szCs w:val="21"/>
          <w:highlight w:val="none"/>
        </w:rPr>
      </w:pPr>
    </w:p>
    <w:p w14:paraId="19C2A3E8">
      <w:pPr>
        <w:outlineLvl w:val="9"/>
        <w:rPr>
          <w:rFonts w:hint="eastAsia"/>
          <w:color w:val="auto"/>
          <w:highlight w:val="none"/>
        </w:rPr>
      </w:pPr>
    </w:p>
    <w:p w14:paraId="4296664B">
      <w:pPr>
        <w:outlineLvl w:val="9"/>
        <w:rPr>
          <w:rFonts w:hint="eastAsia"/>
          <w:color w:val="auto"/>
          <w:highlight w:val="none"/>
        </w:rPr>
      </w:pPr>
    </w:p>
    <w:p w14:paraId="4CB16CA1">
      <w:pPr>
        <w:outlineLvl w:val="9"/>
        <w:rPr>
          <w:rFonts w:hint="eastAsia"/>
          <w:color w:val="auto"/>
          <w:highlight w:val="none"/>
        </w:rPr>
      </w:pPr>
    </w:p>
    <w:p w14:paraId="61EEDBCF">
      <w:pPr>
        <w:outlineLvl w:val="9"/>
        <w:rPr>
          <w:rFonts w:hint="eastAsia"/>
          <w:color w:val="auto"/>
          <w:highlight w:val="none"/>
        </w:rPr>
      </w:pPr>
    </w:p>
    <w:p w14:paraId="237CEC45">
      <w:pPr>
        <w:outlineLvl w:val="9"/>
        <w:rPr>
          <w:rFonts w:hint="eastAsia"/>
          <w:color w:val="auto"/>
          <w:highlight w:val="none"/>
        </w:rPr>
      </w:pPr>
    </w:p>
    <w:p w14:paraId="7D056AF1">
      <w:pPr>
        <w:outlineLvl w:val="9"/>
        <w:rPr>
          <w:rFonts w:hint="eastAsia"/>
          <w:color w:val="auto"/>
          <w:highlight w:val="none"/>
        </w:rPr>
      </w:pPr>
    </w:p>
    <w:p w14:paraId="79C78915">
      <w:pPr>
        <w:outlineLvl w:val="9"/>
        <w:rPr>
          <w:rFonts w:hint="eastAsia"/>
          <w:color w:val="auto"/>
          <w:highlight w:val="none"/>
        </w:rPr>
      </w:pPr>
    </w:p>
    <w:p w14:paraId="7FC42FD2">
      <w:pPr>
        <w:rPr>
          <w:rFonts w:hint="eastAsia"/>
          <w:color w:val="auto"/>
          <w:highlight w:val="none"/>
        </w:rPr>
      </w:pPr>
    </w:p>
    <w:p w14:paraId="5EB18AE3">
      <w:pPr>
        <w:spacing w:line="360" w:lineRule="auto"/>
        <w:rPr>
          <w:rFonts w:hint="eastAsia" w:ascii="宋体" w:hAnsi="宋体" w:cs="宋体"/>
          <w:color w:val="auto"/>
          <w:highlight w:val="none"/>
        </w:rPr>
      </w:pPr>
      <w:r>
        <w:rPr>
          <w:rFonts w:hint="eastAsia" w:ascii="宋体" w:hAnsi="宋体" w:cs="宋体"/>
          <w:color w:val="auto"/>
          <w:highlight w:val="none"/>
        </w:rPr>
        <w:t>供应商（</w:t>
      </w:r>
      <w:r>
        <w:rPr>
          <w:rFonts w:hint="eastAsia" w:ascii="宋体" w:hAnsi="宋体" w:cs="宋体"/>
          <w:color w:val="auto"/>
          <w:highlight w:val="none"/>
          <w:lang w:eastAsia="zh-CN"/>
        </w:rPr>
        <w:t>加盖供应商电子公章</w:t>
      </w:r>
      <w:r>
        <w:rPr>
          <w:rFonts w:hint="eastAsia" w:ascii="宋体" w:hAnsi="宋体" w:cs="宋体"/>
          <w:color w:val="auto"/>
          <w:highlight w:val="none"/>
        </w:rPr>
        <w:t>）：</w:t>
      </w:r>
    </w:p>
    <w:p w14:paraId="4CE686BD">
      <w:pPr>
        <w:spacing w:line="360" w:lineRule="auto"/>
        <w:rPr>
          <w:rFonts w:hint="eastAsia" w:ascii="宋体" w:hAnsi="宋体" w:cs="宋体"/>
          <w:color w:val="auto"/>
          <w:highlight w:val="none"/>
        </w:rPr>
      </w:pPr>
      <w:r>
        <w:rPr>
          <w:rFonts w:hint="eastAsia" w:ascii="宋体" w:hAnsi="宋体" w:cs="宋体"/>
          <w:color w:val="auto"/>
          <w:highlight w:val="none"/>
        </w:rPr>
        <w:t>法定代表人（</w:t>
      </w:r>
      <w:r>
        <w:rPr>
          <w:rFonts w:hint="eastAsia" w:ascii="宋体" w:hAnsi="宋体" w:cs="宋体"/>
          <w:color w:val="auto"/>
          <w:highlight w:val="none"/>
          <w:lang w:eastAsia="zh-CN"/>
        </w:rPr>
        <w:t>电子签名或盖章</w:t>
      </w:r>
      <w:r>
        <w:rPr>
          <w:rFonts w:hint="eastAsia" w:ascii="宋体" w:hAnsi="宋体" w:cs="宋体"/>
          <w:color w:val="auto"/>
          <w:highlight w:val="none"/>
        </w:rPr>
        <w:t>）：</w:t>
      </w:r>
    </w:p>
    <w:p w14:paraId="45C80762">
      <w:pPr>
        <w:spacing w:line="360" w:lineRule="auto"/>
        <w:rPr>
          <w:rFonts w:hint="eastAsia" w:ascii="宋体" w:hAnsi="宋体" w:cs="宋体"/>
          <w:color w:val="auto"/>
          <w:highlight w:val="none"/>
        </w:rPr>
      </w:pPr>
      <w:r>
        <w:rPr>
          <w:rFonts w:hint="eastAsia" w:ascii="宋体" w:hAnsi="宋体" w:cs="宋体"/>
          <w:color w:val="auto"/>
          <w:highlight w:val="none"/>
        </w:rPr>
        <w:t>日期：</w:t>
      </w:r>
    </w:p>
    <w:p w14:paraId="46CBB7C9">
      <w:pPr>
        <w:autoSpaceDE w:val="0"/>
        <w:autoSpaceDN w:val="0"/>
        <w:adjustRightInd w:val="0"/>
        <w:spacing w:line="360" w:lineRule="auto"/>
        <w:jc w:val="left"/>
        <w:rPr>
          <w:rFonts w:hint="eastAsia" w:ascii="宋体" w:hAnsi="宋体" w:cs="宋体"/>
          <w:color w:val="auto"/>
          <w:szCs w:val="21"/>
          <w:highlight w:val="none"/>
        </w:rPr>
      </w:pPr>
    </w:p>
    <w:p w14:paraId="38029D3F">
      <w:pPr>
        <w:keepNext/>
        <w:keepLines/>
        <w:spacing w:after="120" w:line="360" w:lineRule="auto"/>
        <w:jc w:val="left"/>
        <w:outlineLvl w:val="1"/>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rPr>
        <w:br w:type="page"/>
      </w:r>
      <w:bookmarkStart w:id="312" w:name="_Toc21765"/>
      <w:bookmarkStart w:id="313" w:name="_Toc307"/>
      <w:bookmarkStart w:id="314" w:name="_Toc14494"/>
      <w:r>
        <w:rPr>
          <w:rFonts w:hint="eastAsia" w:ascii="宋体" w:hAnsi="宋体" w:cs="宋体"/>
          <w:b/>
          <w:color w:val="auto"/>
          <w:sz w:val="28"/>
          <w:szCs w:val="28"/>
          <w:highlight w:val="none"/>
        </w:rPr>
        <w:t>格式</w:t>
      </w:r>
      <w:r>
        <w:rPr>
          <w:rFonts w:hint="eastAsia" w:ascii="宋体" w:hAnsi="宋体" w:cs="宋体"/>
          <w:b/>
          <w:color w:val="auto"/>
          <w:sz w:val="28"/>
          <w:szCs w:val="28"/>
          <w:highlight w:val="none"/>
          <w:lang w:val="en-US" w:eastAsia="zh-CN"/>
        </w:rPr>
        <w:t>1</w:t>
      </w:r>
      <w:bookmarkEnd w:id="312"/>
      <w:bookmarkEnd w:id="313"/>
      <w:r>
        <w:rPr>
          <w:rFonts w:hint="eastAsia" w:ascii="宋体" w:hAnsi="宋体" w:cs="宋体"/>
          <w:b/>
          <w:color w:val="auto"/>
          <w:sz w:val="28"/>
          <w:szCs w:val="28"/>
          <w:highlight w:val="none"/>
          <w:lang w:val="en-US" w:eastAsia="zh-CN"/>
        </w:rPr>
        <w:t>8</w:t>
      </w:r>
    </w:p>
    <w:p w14:paraId="222079FA">
      <w:pPr>
        <w:keepNext/>
        <w:keepLines/>
        <w:spacing w:before="120" w:after="120" w:line="360" w:lineRule="auto"/>
        <w:jc w:val="center"/>
        <w:outlineLvl w:val="1"/>
        <w:rPr>
          <w:rFonts w:hint="eastAsia" w:ascii="宋体" w:hAnsi="宋体" w:cs="宋体"/>
          <w:b/>
          <w:bCs/>
          <w:color w:val="auto"/>
          <w:sz w:val="28"/>
          <w:szCs w:val="28"/>
          <w:highlight w:val="none"/>
        </w:rPr>
      </w:pPr>
      <w:bookmarkStart w:id="315" w:name="_Toc16986"/>
      <w:bookmarkStart w:id="316" w:name="_Toc13930"/>
      <w:r>
        <w:rPr>
          <w:rFonts w:hint="eastAsia" w:ascii="宋体" w:hAnsi="宋体" w:cs="宋体"/>
          <w:b/>
          <w:bCs/>
          <w:color w:val="auto"/>
          <w:sz w:val="28"/>
          <w:szCs w:val="28"/>
          <w:highlight w:val="none"/>
        </w:rPr>
        <w:t>项目服务团队人员配备表</w:t>
      </w:r>
      <w:bookmarkEnd w:id="315"/>
      <w:bookmarkEnd w:id="316"/>
    </w:p>
    <w:p w14:paraId="3000E210">
      <w:pPr>
        <w:pStyle w:val="18"/>
        <w:spacing w:afterLines="50"/>
        <w:jc w:val="center"/>
        <w:rPr>
          <w:rFonts w:hint="eastAsia" w:ascii="宋体" w:hAnsi="宋体" w:eastAsia="宋体" w:cs="宋体"/>
          <w:b/>
          <w:color w:val="auto"/>
          <w:spacing w:val="40"/>
          <w:sz w:val="28"/>
          <w:szCs w:val="28"/>
          <w:highlight w:val="none"/>
        </w:rPr>
      </w:pPr>
      <w:bookmarkStart w:id="317" w:name="_Toc6934"/>
      <w:r>
        <w:rPr>
          <w:rFonts w:hint="eastAsia" w:ascii="宋体" w:hAnsi="宋体" w:cs="宋体"/>
          <w:b/>
          <w:bCs w:val="0"/>
          <w:color w:val="auto"/>
          <w:spacing w:val="0"/>
          <w:kern w:val="2"/>
          <w:sz w:val="28"/>
          <w:szCs w:val="28"/>
          <w:highlight w:val="none"/>
          <w:lang w:eastAsia="zh-CN"/>
        </w:rPr>
        <w:t>（</w:t>
      </w:r>
      <w:r>
        <w:rPr>
          <w:rFonts w:hint="eastAsia" w:ascii="宋体" w:hAnsi="宋体" w:cs="宋体"/>
          <w:b/>
          <w:bCs w:val="0"/>
          <w:color w:val="auto"/>
          <w:spacing w:val="0"/>
          <w:kern w:val="2"/>
          <w:sz w:val="28"/>
          <w:szCs w:val="28"/>
          <w:highlight w:val="none"/>
          <w:lang w:val="en-US" w:eastAsia="zh-CN"/>
        </w:rPr>
        <w:t>1</w:t>
      </w:r>
      <w:r>
        <w:rPr>
          <w:rFonts w:hint="eastAsia" w:ascii="宋体" w:hAnsi="宋体" w:cs="宋体"/>
          <w:b/>
          <w:bCs w:val="0"/>
          <w:color w:val="auto"/>
          <w:spacing w:val="0"/>
          <w:kern w:val="2"/>
          <w:sz w:val="28"/>
          <w:szCs w:val="28"/>
          <w:highlight w:val="none"/>
          <w:lang w:eastAsia="zh-CN"/>
        </w:rPr>
        <w:t>）</w:t>
      </w:r>
      <w:bookmarkEnd w:id="317"/>
      <w:r>
        <w:rPr>
          <w:rFonts w:hint="eastAsia" w:ascii="宋体" w:hAnsi="宋体" w:eastAsia="宋体" w:cs="宋体"/>
          <w:b/>
          <w:bCs w:val="0"/>
          <w:color w:val="auto"/>
          <w:spacing w:val="40"/>
          <w:sz w:val="28"/>
          <w:szCs w:val="28"/>
          <w:highlight w:val="none"/>
        </w:rPr>
        <w:t>项目</w:t>
      </w:r>
      <w:r>
        <w:rPr>
          <w:rFonts w:hint="eastAsia" w:hAnsi="宋体" w:cs="宋体"/>
          <w:b/>
          <w:bCs w:val="0"/>
          <w:color w:val="auto"/>
          <w:spacing w:val="40"/>
          <w:sz w:val="28"/>
          <w:szCs w:val="28"/>
          <w:highlight w:val="none"/>
          <w:lang w:eastAsia="zh-CN"/>
        </w:rPr>
        <w:t>经</w:t>
      </w:r>
      <w:r>
        <w:rPr>
          <w:rFonts w:hint="eastAsia" w:hAnsi="宋体" w:cs="宋体"/>
          <w:b/>
          <w:color w:val="auto"/>
          <w:spacing w:val="40"/>
          <w:sz w:val="28"/>
          <w:szCs w:val="28"/>
          <w:highlight w:val="none"/>
          <w:lang w:eastAsia="zh-CN"/>
        </w:rPr>
        <w:t>理</w:t>
      </w:r>
      <w:r>
        <w:rPr>
          <w:rFonts w:hint="eastAsia" w:ascii="宋体" w:hAnsi="宋体" w:eastAsia="宋体" w:cs="宋体"/>
          <w:b/>
          <w:color w:val="auto"/>
          <w:spacing w:val="40"/>
          <w:sz w:val="28"/>
          <w:szCs w:val="28"/>
          <w:highlight w:val="none"/>
        </w:rPr>
        <w:t>简历表</w:t>
      </w:r>
    </w:p>
    <w:tbl>
      <w:tblPr>
        <w:tblStyle w:val="36"/>
        <w:tblW w:w="0" w:type="auto"/>
        <w:tblInd w:w="1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6"/>
        <w:gridCol w:w="1680"/>
        <w:gridCol w:w="1290"/>
        <w:gridCol w:w="1718"/>
        <w:gridCol w:w="1119"/>
        <w:gridCol w:w="1411"/>
      </w:tblGrid>
      <w:tr w14:paraId="68011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1366" w:type="dxa"/>
            <w:noWrap w:val="0"/>
            <w:vAlign w:val="center"/>
          </w:tcPr>
          <w:p w14:paraId="26B5704A">
            <w:pPr>
              <w:keepNext w:val="0"/>
              <w:keepLines w:val="0"/>
              <w:suppressLineNumbers w:val="0"/>
              <w:spacing w:before="0" w:beforeAutospacing="0" w:after="0" w:afterAutospacing="0" w:line="5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姓名</w:t>
            </w:r>
          </w:p>
        </w:tc>
        <w:tc>
          <w:tcPr>
            <w:tcW w:w="1680" w:type="dxa"/>
            <w:noWrap w:val="0"/>
            <w:vAlign w:val="center"/>
          </w:tcPr>
          <w:p w14:paraId="54916A7A">
            <w:pPr>
              <w:keepNext w:val="0"/>
              <w:keepLines w:val="0"/>
              <w:suppressLineNumbers w:val="0"/>
              <w:spacing w:before="0" w:beforeAutospacing="0" w:after="0" w:afterAutospacing="0" w:line="500" w:lineRule="exact"/>
              <w:ind w:left="0" w:right="0"/>
              <w:jc w:val="center"/>
              <w:rPr>
                <w:rFonts w:hint="eastAsia" w:ascii="宋体" w:hAnsi="宋体" w:eastAsia="宋体" w:cs="宋体"/>
                <w:color w:val="auto"/>
                <w:szCs w:val="21"/>
                <w:highlight w:val="none"/>
              </w:rPr>
            </w:pPr>
          </w:p>
        </w:tc>
        <w:tc>
          <w:tcPr>
            <w:tcW w:w="1290" w:type="dxa"/>
            <w:noWrap w:val="0"/>
            <w:vAlign w:val="center"/>
          </w:tcPr>
          <w:p w14:paraId="7F902A21">
            <w:pPr>
              <w:keepNext w:val="0"/>
              <w:keepLines w:val="0"/>
              <w:suppressLineNumbers w:val="0"/>
              <w:spacing w:before="0" w:beforeAutospacing="0" w:after="0" w:afterAutospacing="0" w:line="5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性别</w:t>
            </w:r>
          </w:p>
        </w:tc>
        <w:tc>
          <w:tcPr>
            <w:tcW w:w="1718" w:type="dxa"/>
            <w:noWrap w:val="0"/>
            <w:vAlign w:val="center"/>
          </w:tcPr>
          <w:p w14:paraId="33AE4D4A">
            <w:pPr>
              <w:keepNext w:val="0"/>
              <w:keepLines w:val="0"/>
              <w:suppressLineNumbers w:val="0"/>
              <w:spacing w:before="0" w:beforeAutospacing="0" w:after="0" w:afterAutospacing="0" w:line="500" w:lineRule="exact"/>
              <w:ind w:left="0" w:right="0"/>
              <w:jc w:val="center"/>
              <w:rPr>
                <w:rFonts w:hint="eastAsia" w:ascii="宋体" w:hAnsi="宋体" w:eastAsia="宋体" w:cs="宋体"/>
                <w:color w:val="auto"/>
                <w:szCs w:val="21"/>
                <w:highlight w:val="none"/>
              </w:rPr>
            </w:pPr>
          </w:p>
        </w:tc>
        <w:tc>
          <w:tcPr>
            <w:tcW w:w="1119" w:type="dxa"/>
            <w:noWrap w:val="0"/>
            <w:vAlign w:val="center"/>
          </w:tcPr>
          <w:p w14:paraId="7BC41EF5">
            <w:pPr>
              <w:keepNext w:val="0"/>
              <w:keepLines w:val="0"/>
              <w:suppressLineNumbers w:val="0"/>
              <w:spacing w:before="0" w:beforeAutospacing="0" w:after="0" w:afterAutospacing="0" w:line="5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年龄</w:t>
            </w:r>
          </w:p>
        </w:tc>
        <w:tc>
          <w:tcPr>
            <w:tcW w:w="1411" w:type="dxa"/>
            <w:noWrap w:val="0"/>
            <w:vAlign w:val="center"/>
          </w:tcPr>
          <w:p w14:paraId="07B11667">
            <w:pPr>
              <w:keepNext w:val="0"/>
              <w:keepLines w:val="0"/>
              <w:suppressLineNumbers w:val="0"/>
              <w:spacing w:before="0" w:beforeAutospacing="0" w:after="0" w:afterAutospacing="0" w:line="500" w:lineRule="exact"/>
              <w:ind w:left="0" w:right="0"/>
              <w:jc w:val="center"/>
              <w:rPr>
                <w:rFonts w:hint="eastAsia" w:ascii="宋体" w:hAnsi="宋体" w:eastAsia="宋体" w:cs="宋体"/>
                <w:color w:val="auto"/>
                <w:szCs w:val="21"/>
                <w:highlight w:val="none"/>
              </w:rPr>
            </w:pPr>
          </w:p>
        </w:tc>
      </w:tr>
      <w:tr w14:paraId="39FB3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366" w:type="dxa"/>
            <w:noWrap w:val="0"/>
            <w:vAlign w:val="center"/>
          </w:tcPr>
          <w:p w14:paraId="121D5EE5">
            <w:pPr>
              <w:keepNext w:val="0"/>
              <w:keepLines w:val="0"/>
              <w:suppressLineNumbers w:val="0"/>
              <w:spacing w:before="0" w:beforeAutospacing="0" w:after="0" w:afterAutospacing="0" w:line="5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职务</w:t>
            </w:r>
          </w:p>
        </w:tc>
        <w:tc>
          <w:tcPr>
            <w:tcW w:w="1680" w:type="dxa"/>
            <w:noWrap w:val="0"/>
            <w:vAlign w:val="center"/>
          </w:tcPr>
          <w:p w14:paraId="72E1ECDF">
            <w:pPr>
              <w:keepNext w:val="0"/>
              <w:keepLines w:val="0"/>
              <w:suppressLineNumbers w:val="0"/>
              <w:spacing w:before="0" w:beforeAutospacing="0" w:after="0" w:afterAutospacing="0" w:line="500" w:lineRule="exact"/>
              <w:ind w:left="0" w:right="0"/>
              <w:jc w:val="center"/>
              <w:rPr>
                <w:rFonts w:hint="eastAsia" w:ascii="宋体" w:hAnsi="宋体" w:eastAsia="宋体" w:cs="宋体"/>
                <w:color w:val="auto"/>
                <w:szCs w:val="21"/>
                <w:highlight w:val="none"/>
              </w:rPr>
            </w:pPr>
          </w:p>
        </w:tc>
        <w:tc>
          <w:tcPr>
            <w:tcW w:w="1290" w:type="dxa"/>
            <w:noWrap w:val="0"/>
            <w:vAlign w:val="center"/>
          </w:tcPr>
          <w:p w14:paraId="1ECBD6F9">
            <w:pPr>
              <w:keepNext w:val="0"/>
              <w:keepLines w:val="0"/>
              <w:suppressLineNumbers w:val="0"/>
              <w:spacing w:before="0" w:beforeAutospacing="0" w:after="0" w:afterAutospacing="0" w:line="5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毕业院校</w:t>
            </w:r>
          </w:p>
        </w:tc>
        <w:tc>
          <w:tcPr>
            <w:tcW w:w="1718" w:type="dxa"/>
            <w:noWrap w:val="0"/>
            <w:vAlign w:val="center"/>
          </w:tcPr>
          <w:p w14:paraId="43B2CD91">
            <w:pPr>
              <w:keepNext w:val="0"/>
              <w:keepLines w:val="0"/>
              <w:suppressLineNumbers w:val="0"/>
              <w:spacing w:before="0" w:beforeAutospacing="0" w:after="0" w:afterAutospacing="0" w:line="500" w:lineRule="exact"/>
              <w:ind w:left="0" w:right="0"/>
              <w:jc w:val="center"/>
              <w:rPr>
                <w:rFonts w:hint="eastAsia" w:ascii="宋体" w:hAnsi="宋体" w:eastAsia="宋体" w:cs="宋体"/>
                <w:color w:val="auto"/>
                <w:szCs w:val="21"/>
                <w:highlight w:val="none"/>
              </w:rPr>
            </w:pPr>
          </w:p>
        </w:tc>
        <w:tc>
          <w:tcPr>
            <w:tcW w:w="1119" w:type="dxa"/>
            <w:noWrap w:val="0"/>
            <w:vAlign w:val="center"/>
          </w:tcPr>
          <w:p w14:paraId="76A51D73">
            <w:pPr>
              <w:keepNext w:val="0"/>
              <w:keepLines w:val="0"/>
              <w:suppressLineNumbers w:val="0"/>
              <w:spacing w:before="0" w:beforeAutospacing="0" w:after="0" w:afterAutospacing="0" w:line="5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学历</w:t>
            </w:r>
          </w:p>
        </w:tc>
        <w:tc>
          <w:tcPr>
            <w:tcW w:w="1411" w:type="dxa"/>
            <w:noWrap w:val="0"/>
            <w:vAlign w:val="center"/>
          </w:tcPr>
          <w:p w14:paraId="0FE94CF5">
            <w:pPr>
              <w:keepNext w:val="0"/>
              <w:keepLines w:val="0"/>
              <w:suppressLineNumbers w:val="0"/>
              <w:spacing w:before="0" w:beforeAutospacing="0" w:after="0" w:afterAutospacing="0" w:line="500" w:lineRule="exact"/>
              <w:ind w:left="0" w:right="0"/>
              <w:jc w:val="center"/>
              <w:rPr>
                <w:rFonts w:hint="eastAsia" w:ascii="宋体" w:hAnsi="宋体" w:eastAsia="宋体" w:cs="宋体"/>
                <w:color w:val="auto"/>
                <w:szCs w:val="21"/>
                <w:highlight w:val="none"/>
              </w:rPr>
            </w:pPr>
          </w:p>
        </w:tc>
      </w:tr>
      <w:tr w14:paraId="00B73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1366" w:type="dxa"/>
            <w:noWrap w:val="0"/>
            <w:vAlign w:val="center"/>
          </w:tcPr>
          <w:p w14:paraId="5FDF0243">
            <w:pPr>
              <w:keepNext w:val="0"/>
              <w:keepLines w:val="0"/>
              <w:suppressLineNumbers w:val="0"/>
              <w:spacing w:before="0" w:beforeAutospacing="0" w:after="0" w:afterAutospacing="0" w:line="5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专业</w:t>
            </w:r>
          </w:p>
        </w:tc>
        <w:tc>
          <w:tcPr>
            <w:tcW w:w="2970" w:type="dxa"/>
            <w:gridSpan w:val="2"/>
            <w:noWrap w:val="0"/>
            <w:vAlign w:val="center"/>
          </w:tcPr>
          <w:p w14:paraId="4C808BF6">
            <w:pPr>
              <w:keepNext w:val="0"/>
              <w:keepLines w:val="0"/>
              <w:suppressLineNumbers w:val="0"/>
              <w:spacing w:before="0" w:beforeAutospacing="0" w:after="0" w:afterAutospacing="0" w:line="500" w:lineRule="exact"/>
              <w:ind w:left="0" w:right="0"/>
              <w:jc w:val="center"/>
              <w:rPr>
                <w:rFonts w:hint="eastAsia" w:ascii="宋体" w:hAnsi="宋体" w:eastAsia="宋体" w:cs="宋体"/>
                <w:color w:val="auto"/>
                <w:szCs w:val="21"/>
                <w:highlight w:val="none"/>
              </w:rPr>
            </w:pPr>
          </w:p>
        </w:tc>
        <w:tc>
          <w:tcPr>
            <w:tcW w:w="1718" w:type="dxa"/>
            <w:noWrap w:val="0"/>
            <w:vAlign w:val="center"/>
          </w:tcPr>
          <w:p w14:paraId="4D7AD417">
            <w:pPr>
              <w:keepNext w:val="0"/>
              <w:keepLines w:val="0"/>
              <w:suppressLineNumbers w:val="0"/>
              <w:spacing w:before="0" w:beforeAutospacing="0" w:after="0" w:afterAutospacing="0" w:line="5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已获得的</w:t>
            </w:r>
            <w:r>
              <w:rPr>
                <w:rFonts w:hint="eastAsia" w:ascii="宋体" w:hAnsi="宋体" w:eastAsia="宋体" w:cs="宋体"/>
                <w:color w:val="auto"/>
                <w:szCs w:val="21"/>
                <w:highlight w:val="none"/>
                <w:lang w:eastAsia="zh-CN"/>
              </w:rPr>
              <w:t>相关</w:t>
            </w:r>
            <w:r>
              <w:rPr>
                <w:rFonts w:hint="eastAsia" w:ascii="宋体" w:hAnsi="宋体" w:eastAsia="宋体" w:cs="宋体"/>
                <w:color w:val="auto"/>
                <w:szCs w:val="21"/>
                <w:highlight w:val="none"/>
              </w:rPr>
              <w:t>技术资格证书</w:t>
            </w:r>
          </w:p>
        </w:tc>
        <w:tc>
          <w:tcPr>
            <w:tcW w:w="2530" w:type="dxa"/>
            <w:gridSpan w:val="2"/>
            <w:noWrap w:val="0"/>
            <w:vAlign w:val="center"/>
          </w:tcPr>
          <w:p w14:paraId="75BEF174">
            <w:pPr>
              <w:keepNext w:val="0"/>
              <w:keepLines w:val="0"/>
              <w:suppressLineNumbers w:val="0"/>
              <w:spacing w:before="0" w:beforeAutospacing="0" w:after="0" w:afterAutospacing="0" w:line="500" w:lineRule="exact"/>
              <w:ind w:left="0" w:right="0"/>
              <w:jc w:val="center"/>
              <w:rPr>
                <w:rFonts w:hint="eastAsia" w:ascii="宋体" w:hAnsi="宋体" w:eastAsia="宋体" w:cs="宋体"/>
                <w:color w:val="auto"/>
                <w:szCs w:val="21"/>
                <w:highlight w:val="none"/>
              </w:rPr>
            </w:pPr>
          </w:p>
        </w:tc>
      </w:tr>
      <w:tr w14:paraId="5CFA5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1366" w:type="dxa"/>
            <w:noWrap w:val="0"/>
            <w:vAlign w:val="center"/>
          </w:tcPr>
          <w:p w14:paraId="038DC16B">
            <w:pPr>
              <w:keepNext w:val="0"/>
              <w:keepLines w:val="0"/>
              <w:suppressLineNumbers w:val="0"/>
              <w:spacing w:before="0" w:beforeAutospacing="0" w:after="0" w:afterAutospacing="0" w:line="500" w:lineRule="exact"/>
              <w:ind w:left="0" w:right="0"/>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工作年限</w:t>
            </w:r>
          </w:p>
        </w:tc>
        <w:tc>
          <w:tcPr>
            <w:tcW w:w="7218" w:type="dxa"/>
            <w:gridSpan w:val="5"/>
            <w:noWrap w:val="0"/>
            <w:vAlign w:val="center"/>
          </w:tcPr>
          <w:p w14:paraId="3EA3794C">
            <w:pPr>
              <w:keepNext w:val="0"/>
              <w:keepLines w:val="0"/>
              <w:suppressLineNumbers w:val="0"/>
              <w:spacing w:before="0" w:beforeAutospacing="0" w:after="0" w:afterAutospacing="0" w:line="500" w:lineRule="exact"/>
              <w:ind w:left="0" w:right="0"/>
              <w:jc w:val="center"/>
              <w:rPr>
                <w:rFonts w:hint="eastAsia" w:ascii="宋体" w:hAnsi="宋体" w:eastAsia="宋体" w:cs="宋体"/>
                <w:color w:val="auto"/>
                <w:szCs w:val="21"/>
                <w:highlight w:val="none"/>
              </w:rPr>
            </w:pPr>
          </w:p>
        </w:tc>
      </w:tr>
      <w:tr w14:paraId="2A06A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8584" w:type="dxa"/>
            <w:gridSpan w:val="6"/>
            <w:noWrap w:val="0"/>
            <w:vAlign w:val="center"/>
          </w:tcPr>
          <w:p w14:paraId="17047166">
            <w:pPr>
              <w:keepNext w:val="0"/>
              <w:keepLines w:val="0"/>
              <w:suppressLineNumbers w:val="0"/>
              <w:spacing w:before="0" w:beforeAutospacing="0" w:after="0" w:afterAutospacing="0" w:line="5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val="en-US" w:eastAsia="zh-CN"/>
              </w:rPr>
              <w:t>已完成</w:t>
            </w:r>
            <w:r>
              <w:rPr>
                <w:rFonts w:hint="eastAsia" w:ascii="宋体" w:hAnsi="宋体" w:eastAsia="宋体" w:cs="宋体"/>
                <w:color w:val="auto"/>
                <w:szCs w:val="21"/>
                <w:highlight w:val="none"/>
              </w:rPr>
              <w:t>的类似项目业绩情况</w:t>
            </w:r>
          </w:p>
        </w:tc>
      </w:tr>
      <w:tr w14:paraId="29204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3046" w:type="dxa"/>
            <w:gridSpan w:val="2"/>
            <w:noWrap w:val="0"/>
            <w:vAlign w:val="center"/>
          </w:tcPr>
          <w:p w14:paraId="2E1859FF">
            <w:pPr>
              <w:keepNext w:val="0"/>
              <w:keepLines w:val="0"/>
              <w:suppressLineNumbers w:val="0"/>
              <w:spacing w:before="0" w:beforeAutospacing="0" w:after="0" w:afterAutospacing="0" w:line="5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项目名称</w:t>
            </w:r>
          </w:p>
        </w:tc>
        <w:tc>
          <w:tcPr>
            <w:tcW w:w="1290" w:type="dxa"/>
            <w:noWrap w:val="0"/>
            <w:vAlign w:val="center"/>
          </w:tcPr>
          <w:p w14:paraId="19548985">
            <w:pPr>
              <w:keepNext w:val="0"/>
              <w:keepLines w:val="0"/>
              <w:suppressLineNumbers w:val="0"/>
              <w:spacing w:before="0" w:beforeAutospacing="0" w:after="0" w:afterAutospacing="0" w:line="500" w:lineRule="exact"/>
              <w:ind w:left="0" w:right="0"/>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委托方</w:t>
            </w:r>
          </w:p>
        </w:tc>
        <w:tc>
          <w:tcPr>
            <w:tcW w:w="1718" w:type="dxa"/>
            <w:noWrap w:val="0"/>
            <w:vAlign w:val="center"/>
          </w:tcPr>
          <w:p w14:paraId="32EEFFD0">
            <w:pPr>
              <w:keepNext w:val="0"/>
              <w:keepLines w:val="0"/>
              <w:suppressLineNumbers w:val="0"/>
              <w:spacing w:before="0" w:beforeAutospacing="0" w:after="0" w:afterAutospacing="0" w:line="5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服务时间</w:t>
            </w:r>
          </w:p>
        </w:tc>
        <w:tc>
          <w:tcPr>
            <w:tcW w:w="1119" w:type="dxa"/>
            <w:noWrap w:val="0"/>
            <w:vAlign w:val="center"/>
          </w:tcPr>
          <w:p w14:paraId="499A65B0">
            <w:pPr>
              <w:keepNext w:val="0"/>
              <w:keepLines w:val="0"/>
              <w:suppressLineNumbers w:val="0"/>
              <w:spacing w:before="0" w:beforeAutospacing="0" w:after="0" w:afterAutospacing="0" w:line="5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担任职务</w:t>
            </w:r>
          </w:p>
        </w:tc>
        <w:tc>
          <w:tcPr>
            <w:tcW w:w="1411" w:type="dxa"/>
            <w:noWrap w:val="0"/>
            <w:vAlign w:val="center"/>
          </w:tcPr>
          <w:p w14:paraId="190DA085">
            <w:pPr>
              <w:keepNext w:val="0"/>
              <w:keepLines w:val="0"/>
              <w:suppressLineNumbers w:val="0"/>
              <w:spacing w:before="0" w:beforeAutospacing="0" w:after="0" w:afterAutospacing="0" w:line="500" w:lineRule="exact"/>
              <w:ind w:left="0" w:right="0"/>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合同金额</w:t>
            </w:r>
          </w:p>
        </w:tc>
      </w:tr>
      <w:tr w14:paraId="340D0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6" w:type="dxa"/>
            <w:gridSpan w:val="2"/>
            <w:noWrap w:val="0"/>
            <w:vAlign w:val="center"/>
          </w:tcPr>
          <w:p w14:paraId="7484D0A4">
            <w:pPr>
              <w:keepNext w:val="0"/>
              <w:keepLines w:val="0"/>
              <w:suppressLineNumbers w:val="0"/>
              <w:spacing w:before="0" w:beforeAutospacing="0" w:after="0" w:afterAutospacing="0" w:line="500" w:lineRule="exact"/>
              <w:ind w:left="0" w:right="0"/>
              <w:jc w:val="center"/>
              <w:rPr>
                <w:rFonts w:hint="eastAsia" w:ascii="宋体" w:hAnsi="宋体" w:eastAsia="宋体" w:cs="宋体"/>
                <w:color w:val="auto"/>
                <w:szCs w:val="21"/>
                <w:highlight w:val="none"/>
              </w:rPr>
            </w:pPr>
          </w:p>
        </w:tc>
        <w:tc>
          <w:tcPr>
            <w:tcW w:w="1290" w:type="dxa"/>
            <w:noWrap w:val="0"/>
            <w:vAlign w:val="center"/>
          </w:tcPr>
          <w:p w14:paraId="70ADFBED">
            <w:pPr>
              <w:keepNext w:val="0"/>
              <w:keepLines w:val="0"/>
              <w:suppressLineNumbers w:val="0"/>
              <w:spacing w:before="0" w:beforeAutospacing="0" w:after="0" w:afterAutospacing="0" w:line="500" w:lineRule="exact"/>
              <w:ind w:left="0" w:right="0"/>
              <w:jc w:val="center"/>
              <w:rPr>
                <w:rFonts w:hint="eastAsia" w:ascii="宋体" w:hAnsi="宋体" w:eastAsia="宋体" w:cs="宋体"/>
                <w:color w:val="auto"/>
                <w:szCs w:val="21"/>
                <w:highlight w:val="none"/>
              </w:rPr>
            </w:pPr>
          </w:p>
        </w:tc>
        <w:tc>
          <w:tcPr>
            <w:tcW w:w="1718" w:type="dxa"/>
            <w:noWrap w:val="0"/>
            <w:vAlign w:val="center"/>
          </w:tcPr>
          <w:p w14:paraId="16E68276">
            <w:pPr>
              <w:keepNext w:val="0"/>
              <w:keepLines w:val="0"/>
              <w:suppressLineNumbers w:val="0"/>
              <w:spacing w:before="0" w:beforeAutospacing="0" w:after="0" w:afterAutospacing="0" w:line="500" w:lineRule="exact"/>
              <w:ind w:left="0" w:right="0"/>
              <w:jc w:val="center"/>
              <w:rPr>
                <w:rFonts w:hint="eastAsia" w:ascii="宋体" w:hAnsi="宋体" w:eastAsia="宋体" w:cs="宋体"/>
                <w:color w:val="auto"/>
                <w:szCs w:val="21"/>
                <w:highlight w:val="none"/>
              </w:rPr>
            </w:pPr>
          </w:p>
        </w:tc>
        <w:tc>
          <w:tcPr>
            <w:tcW w:w="1119" w:type="dxa"/>
            <w:noWrap w:val="0"/>
            <w:vAlign w:val="center"/>
          </w:tcPr>
          <w:p w14:paraId="1ADFCC87">
            <w:pPr>
              <w:keepNext w:val="0"/>
              <w:keepLines w:val="0"/>
              <w:suppressLineNumbers w:val="0"/>
              <w:spacing w:before="0" w:beforeAutospacing="0" w:after="0" w:afterAutospacing="0" w:line="500" w:lineRule="exact"/>
              <w:ind w:left="0" w:right="0"/>
              <w:jc w:val="center"/>
              <w:rPr>
                <w:rFonts w:hint="eastAsia" w:ascii="宋体" w:hAnsi="宋体" w:eastAsia="宋体" w:cs="宋体"/>
                <w:color w:val="auto"/>
                <w:szCs w:val="21"/>
                <w:highlight w:val="none"/>
              </w:rPr>
            </w:pPr>
          </w:p>
        </w:tc>
        <w:tc>
          <w:tcPr>
            <w:tcW w:w="1411" w:type="dxa"/>
            <w:noWrap w:val="0"/>
            <w:vAlign w:val="center"/>
          </w:tcPr>
          <w:p w14:paraId="39755601">
            <w:pPr>
              <w:keepNext w:val="0"/>
              <w:keepLines w:val="0"/>
              <w:suppressLineNumbers w:val="0"/>
              <w:spacing w:before="0" w:beforeAutospacing="0" w:after="0" w:afterAutospacing="0" w:line="500" w:lineRule="exact"/>
              <w:ind w:left="0" w:right="0"/>
              <w:jc w:val="center"/>
              <w:rPr>
                <w:rFonts w:hint="eastAsia" w:ascii="宋体" w:hAnsi="宋体" w:eastAsia="宋体" w:cs="宋体"/>
                <w:color w:val="auto"/>
                <w:szCs w:val="21"/>
                <w:highlight w:val="none"/>
              </w:rPr>
            </w:pPr>
          </w:p>
        </w:tc>
      </w:tr>
      <w:tr w14:paraId="66D16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6" w:type="dxa"/>
            <w:gridSpan w:val="2"/>
            <w:noWrap w:val="0"/>
            <w:vAlign w:val="center"/>
          </w:tcPr>
          <w:p w14:paraId="75C6F7E8">
            <w:pPr>
              <w:keepNext w:val="0"/>
              <w:keepLines w:val="0"/>
              <w:suppressLineNumbers w:val="0"/>
              <w:spacing w:before="0" w:beforeAutospacing="0" w:after="0" w:afterAutospacing="0" w:line="500" w:lineRule="exact"/>
              <w:ind w:left="0" w:right="0"/>
              <w:jc w:val="center"/>
              <w:rPr>
                <w:rFonts w:hint="eastAsia" w:ascii="宋体" w:hAnsi="宋体" w:eastAsia="宋体" w:cs="宋体"/>
                <w:color w:val="auto"/>
                <w:szCs w:val="21"/>
                <w:highlight w:val="none"/>
              </w:rPr>
            </w:pPr>
          </w:p>
        </w:tc>
        <w:tc>
          <w:tcPr>
            <w:tcW w:w="1290" w:type="dxa"/>
            <w:noWrap w:val="0"/>
            <w:vAlign w:val="center"/>
          </w:tcPr>
          <w:p w14:paraId="47495669">
            <w:pPr>
              <w:keepNext w:val="0"/>
              <w:keepLines w:val="0"/>
              <w:suppressLineNumbers w:val="0"/>
              <w:spacing w:before="0" w:beforeAutospacing="0" w:after="0" w:afterAutospacing="0" w:line="500" w:lineRule="exact"/>
              <w:ind w:left="0" w:right="0"/>
              <w:jc w:val="center"/>
              <w:rPr>
                <w:rFonts w:hint="eastAsia" w:ascii="宋体" w:hAnsi="宋体" w:eastAsia="宋体" w:cs="宋体"/>
                <w:color w:val="auto"/>
                <w:szCs w:val="21"/>
                <w:highlight w:val="none"/>
              </w:rPr>
            </w:pPr>
          </w:p>
        </w:tc>
        <w:tc>
          <w:tcPr>
            <w:tcW w:w="1718" w:type="dxa"/>
            <w:noWrap w:val="0"/>
            <w:vAlign w:val="center"/>
          </w:tcPr>
          <w:p w14:paraId="31D4A850">
            <w:pPr>
              <w:keepNext w:val="0"/>
              <w:keepLines w:val="0"/>
              <w:suppressLineNumbers w:val="0"/>
              <w:spacing w:before="0" w:beforeAutospacing="0" w:after="0" w:afterAutospacing="0" w:line="500" w:lineRule="exact"/>
              <w:ind w:left="0" w:right="0"/>
              <w:jc w:val="center"/>
              <w:rPr>
                <w:rFonts w:hint="eastAsia" w:ascii="宋体" w:hAnsi="宋体" w:eastAsia="宋体" w:cs="宋体"/>
                <w:color w:val="auto"/>
                <w:szCs w:val="21"/>
                <w:highlight w:val="none"/>
              </w:rPr>
            </w:pPr>
          </w:p>
        </w:tc>
        <w:tc>
          <w:tcPr>
            <w:tcW w:w="1119" w:type="dxa"/>
            <w:noWrap w:val="0"/>
            <w:vAlign w:val="center"/>
          </w:tcPr>
          <w:p w14:paraId="5C0BD46D">
            <w:pPr>
              <w:keepNext w:val="0"/>
              <w:keepLines w:val="0"/>
              <w:suppressLineNumbers w:val="0"/>
              <w:spacing w:before="0" w:beforeAutospacing="0" w:after="0" w:afterAutospacing="0" w:line="500" w:lineRule="exact"/>
              <w:ind w:left="0" w:right="0"/>
              <w:jc w:val="center"/>
              <w:rPr>
                <w:rFonts w:hint="eastAsia" w:ascii="宋体" w:hAnsi="宋体" w:eastAsia="宋体" w:cs="宋体"/>
                <w:color w:val="auto"/>
                <w:szCs w:val="21"/>
                <w:highlight w:val="none"/>
              </w:rPr>
            </w:pPr>
          </w:p>
        </w:tc>
        <w:tc>
          <w:tcPr>
            <w:tcW w:w="1411" w:type="dxa"/>
            <w:noWrap w:val="0"/>
            <w:vAlign w:val="center"/>
          </w:tcPr>
          <w:p w14:paraId="2E7E82BC">
            <w:pPr>
              <w:keepNext w:val="0"/>
              <w:keepLines w:val="0"/>
              <w:suppressLineNumbers w:val="0"/>
              <w:spacing w:before="0" w:beforeAutospacing="0" w:after="0" w:afterAutospacing="0" w:line="500" w:lineRule="exact"/>
              <w:ind w:left="0" w:right="0"/>
              <w:jc w:val="center"/>
              <w:rPr>
                <w:rFonts w:hint="eastAsia" w:ascii="宋体" w:hAnsi="宋体" w:eastAsia="宋体" w:cs="宋体"/>
                <w:color w:val="auto"/>
                <w:szCs w:val="21"/>
                <w:highlight w:val="none"/>
              </w:rPr>
            </w:pPr>
          </w:p>
        </w:tc>
      </w:tr>
      <w:tr w14:paraId="574DD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046" w:type="dxa"/>
            <w:gridSpan w:val="2"/>
            <w:noWrap w:val="0"/>
            <w:vAlign w:val="center"/>
          </w:tcPr>
          <w:p w14:paraId="1EF93386">
            <w:pPr>
              <w:keepNext w:val="0"/>
              <w:keepLines w:val="0"/>
              <w:suppressLineNumbers w:val="0"/>
              <w:spacing w:before="0" w:beforeAutospacing="0" w:after="0" w:afterAutospacing="0" w:line="500" w:lineRule="exact"/>
              <w:ind w:left="0" w:right="0"/>
              <w:jc w:val="center"/>
              <w:rPr>
                <w:rFonts w:hint="eastAsia" w:ascii="宋体" w:hAnsi="宋体" w:eastAsia="宋体" w:cs="宋体"/>
                <w:color w:val="auto"/>
                <w:szCs w:val="21"/>
                <w:highlight w:val="none"/>
              </w:rPr>
            </w:pPr>
          </w:p>
        </w:tc>
        <w:tc>
          <w:tcPr>
            <w:tcW w:w="1290" w:type="dxa"/>
            <w:noWrap w:val="0"/>
            <w:vAlign w:val="center"/>
          </w:tcPr>
          <w:p w14:paraId="31595257">
            <w:pPr>
              <w:keepNext w:val="0"/>
              <w:keepLines w:val="0"/>
              <w:suppressLineNumbers w:val="0"/>
              <w:spacing w:before="0" w:beforeAutospacing="0" w:after="0" w:afterAutospacing="0" w:line="500" w:lineRule="exact"/>
              <w:ind w:left="0" w:right="0"/>
              <w:jc w:val="center"/>
              <w:rPr>
                <w:rFonts w:hint="eastAsia" w:ascii="宋体" w:hAnsi="宋体" w:eastAsia="宋体" w:cs="宋体"/>
                <w:color w:val="auto"/>
                <w:szCs w:val="21"/>
                <w:highlight w:val="none"/>
              </w:rPr>
            </w:pPr>
          </w:p>
        </w:tc>
        <w:tc>
          <w:tcPr>
            <w:tcW w:w="1718" w:type="dxa"/>
            <w:noWrap w:val="0"/>
            <w:vAlign w:val="center"/>
          </w:tcPr>
          <w:p w14:paraId="4AB80239">
            <w:pPr>
              <w:keepNext w:val="0"/>
              <w:keepLines w:val="0"/>
              <w:suppressLineNumbers w:val="0"/>
              <w:spacing w:before="0" w:beforeAutospacing="0" w:after="0" w:afterAutospacing="0" w:line="500" w:lineRule="exact"/>
              <w:ind w:left="0" w:right="0"/>
              <w:jc w:val="center"/>
              <w:rPr>
                <w:rFonts w:hint="eastAsia" w:ascii="宋体" w:hAnsi="宋体" w:eastAsia="宋体" w:cs="宋体"/>
                <w:color w:val="auto"/>
                <w:szCs w:val="21"/>
                <w:highlight w:val="none"/>
              </w:rPr>
            </w:pPr>
          </w:p>
        </w:tc>
        <w:tc>
          <w:tcPr>
            <w:tcW w:w="1119" w:type="dxa"/>
            <w:noWrap w:val="0"/>
            <w:vAlign w:val="center"/>
          </w:tcPr>
          <w:p w14:paraId="658C51DC">
            <w:pPr>
              <w:keepNext w:val="0"/>
              <w:keepLines w:val="0"/>
              <w:suppressLineNumbers w:val="0"/>
              <w:spacing w:before="0" w:beforeAutospacing="0" w:after="0" w:afterAutospacing="0" w:line="500" w:lineRule="exact"/>
              <w:ind w:left="0" w:right="0"/>
              <w:jc w:val="center"/>
              <w:rPr>
                <w:rFonts w:hint="eastAsia" w:ascii="宋体" w:hAnsi="宋体" w:eastAsia="宋体" w:cs="宋体"/>
                <w:color w:val="auto"/>
                <w:szCs w:val="21"/>
                <w:highlight w:val="none"/>
              </w:rPr>
            </w:pPr>
          </w:p>
        </w:tc>
        <w:tc>
          <w:tcPr>
            <w:tcW w:w="1411" w:type="dxa"/>
            <w:noWrap w:val="0"/>
            <w:vAlign w:val="center"/>
          </w:tcPr>
          <w:p w14:paraId="751B6426">
            <w:pPr>
              <w:keepNext w:val="0"/>
              <w:keepLines w:val="0"/>
              <w:suppressLineNumbers w:val="0"/>
              <w:spacing w:before="0" w:beforeAutospacing="0" w:after="0" w:afterAutospacing="0" w:line="500" w:lineRule="exact"/>
              <w:ind w:left="0" w:right="0"/>
              <w:jc w:val="center"/>
              <w:rPr>
                <w:rFonts w:hint="eastAsia" w:ascii="宋体" w:hAnsi="宋体" w:eastAsia="宋体" w:cs="宋体"/>
                <w:color w:val="auto"/>
                <w:szCs w:val="21"/>
                <w:highlight w:val="none"/>
              </w:rPr>
            </w:pPr>
          </w:p>
        </w:tc>
      </w:tr>
    </w:tbl>
    <w:p w14:paraId="3E98DDF0">
      <w:pPr>
        <w:numPr>
          <w:ilvl w:val="0"/>
          <w:numId w:val="0"/>
        </w:numPr>
        <w:spacing w:line="360" w:lineRule="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注：</w:t>
      </w:r>
    </w:p>
    <w:p w14:paraId="4993201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1.响应文件中需提供项目</w:t>
      </w:r>
      <w:r>
        <w:rPr>
          <w:rFonts w:hint="eastAsia" w:ascii="宋体" w:hAnsi="宋体" w:cs="宋体"/>
          <w:bCs/>
          <w:color w:val="auto"/>
          <w:szCs w:val="21"/>
          <w:highlight w:val="none"/>
          <w:lang w:val="en-US" w:eastAsia="zh-CN"/>
        </w:rPr>
        <w:t>经理</w:t>
      </w:r>
      <w:r>
        <w:rPr>
          <w:rFonts w:hint="eastAsia" w:ascii="宋体" w:hAnsi="宋体" w:eastAsia="宋体" w:cs="宋体"/>
          <w:color w:val="auto"/>
          <w:sz w:val="21"/>
          <w:szCs w:val="21"/>
          <w:highlight w:val="none"/>
          <w:lang w:val="en-US" w:eastAsia="zh-CN"/>
        </w:rPr>
        <w:t>身份证、毕业证、职称证（如有）、职业资格证书（如有）、缴纳社保证明（缴纳单位须供应商本单位）、业绩证明材料（复印件</w:t>
      </w:r>
      <w:r>
        <w:rPr>
          <w:rFonts w:hint="eastAsia" w:ascii="宋体" w:hAnsi="宋体" w:cs="宋体"/>
          <w:color w:val="auto"/>
          <w:sz w:val="21"/>
          <w:szCs w:val="21"/>
          <w:highlight w:val="none"/>
          <w:lang w:val="en-US" w:eastAsia="zh-CN"/>
        </w:rPr>
        <w:t>加盖供应商电子公章</w:t>
      </w:r>
      <w:r>
        <w:rPr>
          <w:rFonts w:hint="eastAsia" w:ascii="宋体" w:hAnsi="宋体" w:eastAsia="宋体" w:cs="宋体"/>
          <w:color w:val="auto"/>
          <w:sz w:val="21"/>
          <w:szCs w:val="21"/>
          <w:highlight w:val="none"/>
          <w:lang w:val="en-US" w:eastAsia="zh-CN"/>
        </w:rPr>
        <w:t>），无人员资料或人员资料不明确、不清晰、无法体现对应内容的，不予认可。</w:t>
      </w:r>
    </w:p>
    <w:p w14:paraId="61A7971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hAnsi="宋体" w:cs="宋体"/>
          <w:color w:val="auto"/>
          <w:szCs w:val="21"/>
          <w:highlight w:val="none"/>
        </w:rPr>
      </w:pPr>
      <w:r>
        <w:rPr>
          <w:rFonts w:hint="eastAsia" w:ascii="宋体" w:hAnsi="宋体" w:eastAsia="宋体" w:cs="宋体"/>
          <w:bCs/>
          <w:color w:val="auto"/>
          <w:szCs w:val="21"/>
          <w:highlight w:val="none"/>
          <w:lang w:val="en-US" w:eastAsia="zh-CN"/>
        </w:rPr>
        <w:t>2.</w:t>
      </w:r>
      <w:r>
        <w:rPr>
          <w:rFonts w:hint="eastAsia" w:ascii="宋体" w:hAnsi="宋体" w:eastAsia="宋体" w:cs="宋体"/>
          <w:bCs/>
          <w:color w:val="auto"/>
          <w:szCs w:val="21"/>
          <w:highlight w:val="none"/>
          <w:lang w:eastAsia="zh-CN"/>
        </w:rPr>
        <w:t>供应商</w:t>
      </w:r>
      <w:r>
        <w:rPr>
          <w:rFonts w:hint="eastAsia" w:ascii="宋体" w:hAnsi="宋体" w:eastAsia="宋体" w:cs="宋体"/>
          <w:bCs/>
          <w:color w:val="auto"/>
          <w:szCs w:val="21"/>
          <w:highlight w:val="none"/>
        </w:rPr>
        <w:t>可根据实际情况拓展本表，但不得改变格式</w:t>
      </w:r>
      <w:r>
        <w:rPr>
          <w:rFonts w:hint="eastAsia" w:hAnsi="宋体" w:cs="宋体"/>
          <w:bCs/>
          <w:color w:val="auto"/>
          <w:szCs w:val="21"/>
          <w:highlight w:val="none"/>
        </w:rPr>
        <w:t>。</w:t>
      </w:r>
    </w:p>
    <w:p w14:paraId="41FC0EE8">
      <w:pPr>
        <w:spacing w:line="360" w:lineRule="auto"/>
        <w:ind w:firstLine="2" w:firstLineChars="1"/>
        <w:jc w:val="left"/>
        <w:rPr>
          <w:rFonts w:hint="eastAsia" w:hAnsi="宋体" w:cs="宋体"/>
          <w:color w:val="auto"/>
          <w:szCs w:val="21"/>
          <w:highlight w:val="none"/>
        </w:rPr>
      </w:pPr>
    </w:p>
    <w:p w14:paraId="17AEDC7F">
      <w:pPr>
        <w:rPr>
          <w:rFonts w:hint="eastAsia" w:hAnsi="宋体" w:cs="宋体"/>
          <w:color w:val="auto"/>
          <w:szCs w:val="21"/>
          <w:highlight w:val="none"/>
        </w:rPr>
      </w:pPr>
      <w:r>
        <w:rPr>
          <w:rFonts w:hint="eastAsia" w:hAnsi="宋体" w:cs="宋体"/>
          <w:color w:val="auto"/>
          <w:szCs w:val="21"/>
          <w:highlight w:val="none"/>
        </w:rPr>
        <w:br w:type="page"/>
      </w:r>
    </w:p>
    <w:p w14:paraId="57239030">
      <w:pPr>
        <w:pStyle w:val="4"/>
        <w:outlineLvl w:val="1"/>
        <w:rPr>
          <w:rFonts w:hint="eastAsia" w:ascii="宋体" w:hAnsi="宋体" w:eastAsia="宋体" w:cs="宋体"/>
          <w:bCs/>
          <w:color w:val="auto"/>
          <w:spacing w:val="0"/>
          <w:kern w:val="2"/>
          <w:sz w:val="28"/>
          <w:szCs w:val="28"/>
          <w:highlight w:val="none"/>
          <w:lang w:eastAsia="zh-CN"/>
        </w:rPr>
      </w:pPr>
      <w:bookmarkStart w:id="318" w:name="_Toc19653"/>
      <w:r>
        <w:rPr>
          <w:rFonts w:hint="eastAsia" w:ascii="宋体" w:hAnsi="宋体" w:eastAsia="宋体" w:cs="宋体"/>
          <w:bCs/>
          <w:color w:val="auto"/>
          <w:spacing w:val="0"/>
          <w:kern w:val="2"/>
          <w:sz w:val="28"/>
          <w:szCs w:val="28"/>
          <w:highlight w:val="none"/>
          <w:lang w:eastAsia="zh-CN"/>
        </w:rPr>
        <w:t>（2）项目团队人员</w:t>
      </w:r>
      <w:r>
        <w:rPr>
          <w:rFonts w:hint="eastAsia" w:ascii="宋体" w:hAnsi="宋体" w:cs="宋体"/>
          <w:bCs/>
          <w:color w:val="auto"/>
          <w:spacing w:val="0"/>
          <w:kern w:val="2"/>
          <w:sz w:val="28"/>
          <w:szCs w:val="28"/>
          <w:highlight w:val="none"/>
          <w:lang w:eastAsia="zh-CN"/>
        </w:rPr>
        <w:t>配备</w:t>
      </w:r>
      <w:r>
        <w:rPr>
          <w:rFonts w:hint="eastAsia" w:ascii="宋体" w:hAnsi="宋体" w:eastAsia="宋体" w:cs="宋体"/>
          <w:bCs/>
          <w:color w:val="auto"/>
          <w:spacing w:val="0"/>
          <w:kern w:val="2"/>
          <w:sz w:val="28"/>
          <w:szCs w:val="28"/>
          <w:highlight w:val="none"/>
          <w:lang w:eastAsia="zh-CN"/>
        </w:rPr>
        <w:t>方案</w:t>
      </w:r>
      <w:bookmarkEnd w:id="318"/>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228"/>
        <w:gridCol w:w="827"/>
        <w:gridCol w:w="1248"/>
        <w:gridCol w:w="783"/>
        <w:gridCol w:w="900"/>
        <w:gridCol w:w="1904"/>
        <w:gridCol w:w="1262"/>
      </w:tblGrid>
      <w:tr w14:paraId="59898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704" w:type="dxa"/>
            <w:noWrap w:val="0"/>
            <w:vAlign w:val="center"/>
          </w:tcPr>
          <w:p w14:paraId="24DAF470">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1228" w:type="dxa"/>
            <w:noWrap w:val="0"/>
            <w:vAlign w:val="center"/>
          </w:tcPr>
          <w:p w14:paraId="760815BA">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姓名</w:t>
            </w:r>
          </w:p>
        </w:tc>
        <w:tc>
          <w:tcPr>
            <w:tcW w:w="827" w:type="dxa"/>
            <w:noWrap w:val="0"/>
            <w:vAlign w:val="center"/>
          </w:tcPr>
          <w:p w14:paraId="3A1EFC1A">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性别</w:t>
            </w:r>
          </w:p>
        </w:tc>
        <w:tc>
          <w:tcPr>
            <w:tcW w:w="1248" w:type="dxa"/>
            <w:noWrap w:val="0"/>
            <w:vAlign w:val="center"/>
          </w:tcPr>
          <w:p w14:paraId="07D7467B">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出生日期</w:t>
            </w:r>
          </w:p>
        </w:tc>
        <w:tc>
          <w:tcPr>
            <w:tcW w:w="783" w:type="dxa"/>
            <w:noWrap w:val="0"/>
            <w:vAlign w:val="center"/>
          </w:tcPr>
          <w:p w14:paraId="4DC80AA4">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学历</w:t>
            </w:r>
          </w:p>
        </w:tc>
        <w:tc>
          <w:tcPr>
            <w:tcW w:w="900" w:type="dxa"/>
            <w:noWrap w:val="0"/>
            <w:vAlign w:val="center"/>
          </w:tcPr>
          <w:p w14:paraId="0FCA5DAC">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专业</w:t>
            </w:r>
          </w:p>
        </w:tc>
        <w:tc>
          <w:tcPr>
            <w:tcW w:w="1904" w:type="dxa"/>
            <w:noWrap w:val="0"/>
            <w:vAlign w:val="center"/>
          </w:tcPr>
          <w:p w14:paraId="4878542C">
            <w:pPr>
              <w:keepNext w:val="0"/>
              <w:keepLines w:val="0"/>
              <w:suppressLineNumbers w:val="0"/>
              <w:tabs>
                <w:tab w:val="left" w:pos="363"/>
              </w:tabs>
              <w:spacing w:before="0" w:beforeAutospacing="0" w:after="0" w:afterAutospacing="0" w:line="360" w:lineRule="exact"/>
              <w:ind w:left="0" w:right="0"/>
              <w:jc w:val="center"/>
              <w:rPr>
                <w:rFonts w:hint="eastAsia" w:ascii="宋体" w:hAnsi="宋体" w:eastAsia="宋体" w:cs="宋体"/>
                <w:color w:val="auto"/>
                <w:szCs w:val="21"/>
                <w:highlight w:val="none"/>
                <w:lang w:eastAsia="zh-CN"/>
              </w:rPr>
            </w:pPr>
            <w:r>
              <w:rPr>
                <w:rFonts w:hint="eastAsia" w:ascii="Calibri" w:hAnsi="宋体" w:eastAsia="宋体" w:cs="Times New Roman"/>
                <w:color w:val="auto"/>
                <w:szCs w:val="21"/>
                <w:highlight w:val="none"/>
              </w:rPr>
              <w:t>专业技术职业</w:t>
            </w:r>
            <w:r>
              <w:rPr>
                <w:rFonts w:hint="eastAsia" w:ascii="Calibri" w:hAnsi="宋体" w:eastAsia="宋体" w:cs="Times New Roman"/>
                <w:color w:val="auto"/>
                <w:szCs w:val="21"/>
                <w:highlight w:val="none"/>
                <w:lang w:val="en-US" w:eastAsia="zh-CN"/>
              </w:rPr>
              <w:t>资</w:t>
            </w:r>
            <w:r>
              <w:rPr>
                <w:rFonts w:hint="eastAsia" w:ascii="Calibri" w:hAnsi="宋体" w:eastAsia="宋体" w:cs="Times New Roman"/>
                <w:color w:val="auto"/>
                <w:szCs w:val="21"/>
                <w:highlight w:val="none"/>
              </w:rPr>
              <w:t>格</w:t>
            </w:r>
            <w:r>
              <w:rPr>
                <w:rFonts w:hint="eastAsia" w:hAnsi="宋体" w:cs="Times New Roman"/>
                <w:color w:val="auto"/>
                <w:szCs w:val="21"/>
                <w:highlight w:val="none"/>
                <w:lang w:eastAsia="zh-CN"/>
              </w:rPr>
              <w:t>或职称</w:t>
            </w:r>
            <w:r>
              <w:rPr>
                <w:rFonts w:hint="eastAsia" w:ascii="Calibri" w:hAnsi="宋体" w:eastAsia="宋体" w:cs="Times New Roman"/>
                <w:color w:val="auto"/>
                <w:szCs w:val="21"/>
                <w:highlight w:val="none"/>
              </w:rPr>
              <w:t>证书</w:t>
            </w:r>
          </w:p>
        </w:tc>
        <w:tc>
          <w:tcPr>
            <w:tcW w:w="1262" w:type="dxa"/>
            <w:noWrap w:val="0"/>
            <w:vAlign w:val="center"/>
          </w:tcPr>
          <w:p w14:paraId="4260B60E">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在本项目拟任职务</w:t>
            </w:r>
          </w:p>
        </w:tc>
      </w:tr>
      <w:tr w14:paraId="3C938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704" w:type="dxa"/>
            <w:noWrap w:val="0"/>
            <w:vAlign w:val="center"/>
          </w:tcPr>
          <w:p w14:paraId="0ACEE948">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1228" w:type="dxa"/>
            <w:noWrap w:val="0"/>
            <w:vAlign w:val="center"/>
          </w:tcPr>
          <w:p w14:paraId="017AB288">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827" w:type="dxa"/>
            <w:noWrap w:val="0"/>
            <w:vAlign w:val="center"/>
          </w:tcPr>
          <w:p w14:paraId="5ED4CD70">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1248" w:type="dxa"/>
            <w:noWrap w:val="0"/>
            <w:vAlign w:val="center"/>
          </w:tcPr>
          <w:p w14:paraId="4A91F8D5">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783" w:type="dxa"/>
            <w:noWrap w:val="0"/>
            <w:vAlign w:val="center"/>
          </w:tcPr>
          <w:p w14:paraId="4D9AF441">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900" w:type="dxa"/>
            <w:noWrap w:val="0"/>
            <w:vAlign w:val="center"/>
          </w:tcPr>
          <w:p w14:paraId="31CF4196">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1904" w:type="dxa"/>
            <w:noWrap w:val="0"/>
            <w:vAlign w:val="center"/>
          </w:tcPr>
          <w:p w14:paraId="6EEA25AE">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1262" w:type="dxa"/>
            <w:noWrap w:val="0"/>
            <w:vAlign w:val="center"/>
          </w:tcPr>
          <w:p w14:paraId="511CA62E">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r>
      <w:tr w14:paraId="3C139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704" w:type="dxa"/>
            <w:noWrap w:val="0"/>
            <w:vAlign w:val="center"/>
          </w:tcPr>
          <w:p w14:paraId="33BFF828">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1228" w:type="dxa"/>
            <w:noWrap w:val="0"/>
            <w:vAlign w:val="center"/>
          </w:tcPr>
          <w:p w14:paraId="13448BFF">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827" w:type="dxa"/>
            <w:noWrap w:val="0"/>
            <w:vAlign w:val="center"/>
          </w:tcPr>
          <w:p w14:paraId="6F563CA1">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1248" w:type="dxa"/>
            <w:noWrap w:val="0"/>
            <w:vAlign w:val="center"/>
          </w:tcPr>
          <w:p w14:paraId="31D3236D">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783" w:type="dxa"/>
            <w:noWrap w:val="0"/>
            <w:vAlign w:val="center"/>
          </w:tcPr>
          <w:p w14:paraId="75EB615B">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900" w:type="dxa"/>
            <w:noWrap w:val="0"/>
            <w:vAlign w:val="center"/>
          </w:tcPr>
          <w:p w14:paraId="7D0F42D3">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1904" w:type="dxa"/>
            <w:noWrap w:val="0"/>
            <w:vAlign w:val="center"/>
          </w:tcPr>
          <w:p w14:paraId="794914BE">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1262" w:type="dxa"/>
            <w:noWrap w:val="0"/>
            <w:vAlign w:val="center"/>
          </w:tcPr>
          <w:p w14:paraId="5E498BD6">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r>
      <w:tr w14:paraId="232EC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704" w:type="dxa"/>
            <w:noWrap w:val="0"/>
            <w:vAlign w:val="center"/>
          </w:tcPr>
          <w:p w14:paraId="50F8B627">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1228" w:type="dxa"/>
            <w:noWrap w:val="0"/>
            <w:vAlign w:val="center"/>
          </w:tcPr>
          <w:p w14:paraId="7F3B1C82">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827" w:type="dxa"/>
            <w:noWrap w:val="0"/>
            <w:vAlign w:val="center"/>
          </w:tcPr>
          <w:p w14:paraId="2D03C6C7">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1248" w:type="dxa"/>
            <w:noWrap w:val="0"/>
            <w:vAlign w:val="center"/>
          </w:tcPr>
          <w:p w14:paraId="79D3645B">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783" w:type="dxa"/>
            <w:noWrap w:val="0"/>
            <w:vAlign w:val="center"/>
          </w:tcPr>
          <w:p w14:paraId="4EFA4A1F">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900" w:type="dxa"/>
            <w:noWrap w:val="0"/>
            <w:vAlign w:val="center"/>
          </w:tcPr>
          <w:p w14:paraId="6EC460C4">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1904" w:type="dxa"/>
            <w:noWrap w:val="0"/>
            <w:vAlign w:val="center"/>
          </w:tcPr>
          <w:p w14:paraId="42B3F8C1">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1262" w:type="dxa"/>
            <w:noWrap w:val="0"/>
            <w:vAlign w:val="center"/>
          </w:tcPr>
          <w:p w14:paraId="7108086F">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r>
      <w:tr w14:paraId="7982C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704" w:type="dxa"/>
            <w:noWrap w:val="0"/>
            <w:vAlign w:val="center"/>
          </w:tcPr>
          <w:p w14:paraId="0A8AD432">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1228" w:type="dxa"/>
            <w:noWrap w:val="0"/>
            <w:vAlign w:val="center"/>
          </w:tcPr>
          <w:p w14:paraId="28CBB968">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827" w:type="dxa"/>
            <w:noWrap w:val="0"/>
            <w:vAlign w:val="center"/>
          </w:tcPr>
          <w:p w14:paraId="61D8A6CC">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1248" w:type="dxa"/>
            <w:noWrap w:val="0"/>
            <w:vAlign w:val="center"/>
          </w:tcPr>
          <w:p w14:paraId="7CEB5AE4">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783" w:type="dxa"/>
            <w:noWrap w:val="0"/>
            <w:vAlign w:val="center"/>
          </w:tcPr>
          <w:p w14:paraId="5C5DEAE9">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900" w:type="dxa"/>
            <w:noWrap w:val="0"/>
            <w:vAlign w:val="center"/>
          </w:tcPr>
          <w:p w14:paraId="66FA5400">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1904" w:type="dxa"/>
            <w:noWrap w:val="0"/>
            <w:vAlign w:val="center"/>
          </w:tcPr>
          <w:p w14:paraId="5BF84B6E">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1262" w:type="dxa"/>
            <w:noWrap w:val="0"/>
            <w:vAlign w:val="center"/>
          </w:tcPr>
          <w:p w14:paraId="2C58B8FA">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r>
      <w:tr w14:paraId="04445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704" w:type="dxa"/>
            <w:noWrap w:val="0"/>
            <w:vAlign w:val="center"/>
          </w:tcPr>
          <w:p w14:paraId="46D04503">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1228" w:type="dxa"/>
            <w:noWrap w:val="0"/>
            <w:vAlign w:val="center"/>
          </w:tcPr>
          <w:p w14:paraId="4BF1374B">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827" w:type="dxa"/>
            <w:noWrap w:val="0"/>
            <w:vAlign w:val="center"/>
          </w:tcPr>
          <w:p w14:paraId="014C93C7">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1248" w:type="dxa"/>
            <w:noWrap w:val="0"/>
            <w:vAlign w:val="center"/>
          </w:tcPr>
          <w:p w14:paraId="430E5543">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783" w:type="dxa"/>
            <w:noWrap w:val="0"/>
            <w:vAlign w:val="center"/>
          </w:tcPr>
          <w:p w14:paraId="08135E2E">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900" w:type="dxa"/>
            <w:noWrap w:val="0"/>
            <w:vAlign w:val="center"/>
          </w:tcPr>
          <w:p w14:paraId="276691B6">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1904" w:type="dxa"/>
            <w:noWrap w:val="0"/>
            <w:vAlign w:val="center"/>
          </w:tcPr>
          <w:p w14:paraId="24F0B6E0">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1262" w:type="dxa"/>
            <w:noWrap w:val="0"/>
            <w:vAlign w:val="center"/>
          </w:tcPr>
          <w:p w14:paraId="360DF31F">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r>
      <w:tr w14:paraId="4A8B7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704" w:type="dxa"/>
            <w:noWrap w:val="0"/>
            <w:vAlign w:val="center"/>
          </w:tcPr>
          <w:p w14:paraId="0029B892">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1228" w:type="dxa"/>
            <w:noWrap w:val="0"/>
            <w:vAlign w:val="center"/>
          </w:tcPr>
          <w:p w14:paraId="69E41D70">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827" w:type="dxa"/>
            <w:noWrap w:val="0"/>
            <w:vAlign w:val="center"/>
          </w:tcPr>
          <w:p w14:paraId="2A989F11">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1248" w:type="dxa"/>
            <w:noWrap w:val="0"/>
            <w:vAlign w:val="center"/>
          </w:tcPr>
          <w:p w14:paraId="30F4BB3F">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783" w:type="dxa"/>
            <w:noWrap w:val="0"/>
            <w:vAlign w:val="center"/>
          </w:tcPr>
          <w:p w14:paraId="60950F15">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900" w:type="dxa"/>
            <w:noWrap w:val="0"/>
            <w:vAlign w:val="center"/>
          </w:tcPr>
          <w:p w14:paraId="06245E64">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1904" w:type="dxa"/>
            <w:noWrap w:val="0"/>
            <w:vAlign w:val="center"/>
          </w:tcPr>
          <w:p w14:paraId="092DBEE9">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c>
          <w:tcPr>
            <w:tcW w:w="1262" w:type="dxa"/>
            <w:noWrap w:val="0"/>
            <w:vAlign w:val="center"/>
          </w:tcPr>
          <w:p w14:paraId="5C0D0015">
            <w:pPr>
              <w:keepNext w:val="0"/>
              <w:keepLines w:val="0"/>
              <w:suppressLineNumbers w:val="0"/>
              <w:spacing w:before="0" w:beforeAutospacing="0" w:after="0" w:afterAutospacing="0"/>
              <w:ind w:left="0" w:right="0"/>
              <w:rPr>
                <w:rFonts w:hint="eastAsia" w:ascii="宋体" w:hAnsi="宋体" w:eastAsia="宋体" w:cs="宋体"/>
                <w:color w:val="auto"/>
                <w:szCs w:val="21"/>
                <w:highlight w:val="none"/>
              </w:rPr>
            </w:pPr>
          </w:p>
        </w:tc>
      </w:tr>
    </w:tbl>
    <w:p w14:paraId="06E598F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注：</w:t>
      </w:r>
    </w:p>
    <w:p w14:paraId="1F860B36">
      <w:pPr>
        <w:numPr>
          <w:ilvl w:val="0"/>
          <w:numId w:val="0"/>
        </w:num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响应文件中需提供团队人员身份证、毕业证、缴纳社保证明（缴纳单位须供应商本单位）或与供应商签订的合法有效劳动合同、专业技术职业资格或职称证书（如有）（复印件加盖公章），未提供或不按要求提供证明资料的不予认可。</w:t>
      </w:r>
    </w:p>
    <w:p w14:paraId="5FDE4FBB">
      <w:pPr>
        <w:numPr>
          <w:ilvl w:val="0"/>
          <w:numId w:val="0"/>
        </w:num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color w:val="auto"/>
          <w:szCs w:val="21"/>
          <w:highlight w:val="none"/>
          <w:lang w:val="en-US" w:eastAsia="zh-CN"/>
        </w:rPr>
        <w:t>供应商</w:t>
      </w:r>
      <w:r>
        <w:rPr>
          <w:rFonts w:hint="eastAsia" w:ascii="宋体" w:hAnsi="宋体" w:cs="宋体"/>
          <w:color w:val="auto"/>
          <w:szCs w:val="21"/>
          <w:highlight w:val="none"/>
        </w:rPr>
        <w:t>可根据人员配备情况拓展本表，但不得改变格</w:t>
      </w:r>
      <w:r>
        <w:rPr>
          <w:rFonts w:hint="eastAsia" w:ascii="宋体" w:hAnsi="宋体" w:cs="宋体"/>
          <w:color w:val="auto"/>
          <w:szCs w:val="21"/>
          <w:highlight w:val="none"/>
          <w:lang w:eastAsia="zh-CN"/>
        </w:rPr>
        <w:t>式。</w:t>
      </w:r>
    </w:p>
    <w:p w14:paraId="27A6195F">
      <w:pPr>
        <w:spacing w:line="360" w:lineRule="auto"/>
        <w:ind w:firstLine="2" w:firstLineChars="1"/>
        <w:jc w:val="left"/>
        <w:rPr>
          <w:rFonts w:hint="eastAsia" w:ascii="宋体" w:hAnsi="宋体" w:cs="宋体"/>
          <w:color w:val="auto"/>
          <w:szCs w:val="21"/>
          <w:highlight w:val="none"/>
        </w:rPr>
      </w:pPr>
    </w:p>
    <w:p w14:paraId="479C6D75">
      <w:pPr>
        <w:pStyle w:val="18"/>
        <w:spacing w:after="156" w:afterLines="50"/>
        <w:jc w:val="left"/>
        <w:rPr>
          <w:rFonts w:hint="eastAsia" w:hAnsi="宋体" w:eastAsia="宋体" w:cs="宋体"/>
          <w:b/>
          <w:snapToGrid w:val="0"/>
          <w:color w:val="auto"/>
          <w:kern w:val="21"/>
          <w:sz w:val="28"/>
          <w:szCs w:val="28"/>
          <w:highlight w:val="none"/>
          <w:lang w:eastAsia="zh-CN"/>
        </w:rPr>
      </w:pPr>
    </w:p>
    <w:p w14:paraId="153B1242">
      <w:pPr>
        <w:keepNext/>
        <w:keepLines/>
        <w:spacing w:after="120" w:line="360" w:lineRule="auto"/>
        <w:jc w:val="left"/>
        <w:outlineLvl w:val="1"/>
        <w:rPr>
          <w:rFonts w:hint="default" w:ascii="宋体" w:hAnsi="宋体" w:eastAsia="宋体" w:cs="宋体"/>
          <w:b/>
          <w:color w:val="auto"/>
          <w:sz w:val="28"/>
          <w:szCs w:val="28"/>
          <w:highlight w:val="none"/>
          <w:lang w:val="en-US" w:eastAsia="zh-CN"/>
        </w:rPr>
      </w:pPr>
      <w:r>
        <w:rPr>
          <w:rFonts w:hint="eastAsia" w:hAnsi="宋体" w:cs="宋体"/>
          <w:color w:val="auto"/>
          <w:sz w:val="28"/>
          <w:szCs w:val="28"/>
          <w:highlight w:val="none"/>
        </w:rPr>
        <w:br w:type="page"/>
      </w:r>
      <w:bookmarkStart w:id="319" w:name="_Toc3324"/>
      <w:bookmarkStart w:id="320" w:name="_Toc12974"/>
      <w:r>
        <w:rPr>
          <w:rFonts w:hint="eastAsia" w:ascii="宋体" w:hAnsi="宋体" w:cs="宋体"/>
          <w:b/>
          <w:color w:val="auto"/>
          <w:sz w:val="28"/>
          <w:szCs w:val="28"/>
          <w:highlight w:val="none"/>
        </w:rPr>
        <w:t>格式</w:t>
      </w:r>
      <w:r>
        <w:rPr>
          <w:rFonts w:hint="eastAsia" w:ascii="宋体" w:hAnsi="宋体" w:cs="宋体"/>
          <w:b/>
          <w:color w:val="auto"/>
          <w:sz w:val="28"/>
          <w:szCs w:val="28"/>
          <w:highlight w:val="none"/>
          <w:lang w:val="en-US" w:eastAsia="zh-CN"/>
        </w:rPr>
        <w:t>1</w:t>
      </w:r>
      <w:bookmarkEnd w:id="319"/>
      <w:bookmarkEnd w:id="320"/>
      <w:r>
        <w:rPr>
          <w:rFonts w:hint="eastAsia" w:ascii="宋体" w:hAnsi="宋体" w:cs="宋体"/>
          <w:b/>
          <w:color w:val="auto"/>
          <w:sz w:val="28"/>
          <w:szCs w:val="28"/>
          <w:highlight w:val="none"/>
          <w:lang w:val="en-US" w:eastAsia="zh-CN"/>
        </w:rPr>
        <w:t>9</w:t>
      </w:r>
    </w:p>
    <w:p w14:paraId="456CB492">
      <w:pPr>
        <w:keepNext/>
        <w:keepLines/>
        <w:spacing w:before="120" w:after="120" w:line="360" w:lineRule="auto"/>
        <w:jc w:val="center"/>
        <w:outlineLvl w:val="1"/>
        <w:rPr>
          <w:rFonts w:hint="eastAsia" w:ascii="宋体" w:hAnsi="宋体" w:eastAsia="宋体" w:cs="宋体"/>
          <w:b/>
          <w:bCs/>
          <w:color w:val="auto"/>
          <w:sz w:val="28"/>
          <w:szCs w:val="32"/>
          <w:highlight w:val="none"/>
          <w:lang w:eastAsia="zh-CN"/>
        </w:rPr>
      </w:pPr>
      <w:bookmarkStart w:id="321" w:name="_Toc11722"/>
      <w:bookmarkStart w:id="322" w:name="_Toc17892"/>
      <w:r>
        <w:rPr>
          <w:rFonts w:hint="eastAsia" w:ascii="宋体" w:hAnsi="宋体" w:cs="宋体"/>
          <w:b/>
          <w:bCs/>
          <w:color w:val="auto"/>
          <w:sz w:val="28"/>
          <w:szCs w:val="32"/>
          <w:highlight w:val="none"/>
          <w:lang w:eastAsia="zh-CN"/>
        </w:rPr>
        <w:t>服务质量保证措施及承诺</w:t>
      </w:r>
      <w:bookmarkEnd w:id="321"/>
      <w:bookmarkEnd w:id="322"/>
    </w:p>
    <w:p w14:paraId="2037A90D">
      <w:pPr>
        <w:autoSpaceDE w:val="0"/>
        <w:autoSpaceDN w:val="0"/>
        <w:adjustRightInd w:val="0"/>
        <w:spacing w:line="360" w:lineRule="auto"/>
        <w:jc w:val="center"/>
        <w:rPr>
          <w:rFonts w:hint="eastAsia" w:ascii="宋体" w:hAnsi="宋体" w:cs="宋体"/>
          <w:color w:val="auto"/>
          <w:szCs w:val="21"/>
          <w:highlight w:val="none"/>
        </w:rPr>
      </w:pPr>
      <w:r>
        <w:rPr>
          <w:rFonts w:hint="eastAsia" w:ascii="宋体" w:hAnsi="宋体" w:cs="宋体"/>
          <w:snapToGrid/>
          <w:color w:val="auto"/>
          <w:kern w:val="2"/>
          <w:szCs w:val="21"/>
          <w:highlight w:val="none"/>
        </w:rPr>
        <w:t>(</w:t>
      </w:r>
      <w:r>
        <w:rPr>
          <w:rFonts w:hint="eastAsia" w:ascii="宋体" w:hAnsi="宋体" w:cs="宋体"/>
          <w:snapToGrid/>
          <w:color w:val="auto"/>
          <w:kern w:val="2"/>
          <w:szCs w:val="21"/>
          <w:highlight w:val="none"/>
          <w:lang w:eastAsia="zh-CN"/>
        </w:rPr>
        <w:t>内容自拟</w:t>
      </w:r>
      <w:r>
        <w:rPr>
          <w:rFonts w:hint="eastAsia" w:ascii="宋体" w:hAnsi="宋体" w:cs="宋体"/>
          <w:snapToGrid/>
          <w:color w:val="auto"/>
          <w:kern w:val="2"/>
          <w:szCs w:val="21"/>
          <w:highlight w:val="none"/>
        </w:rPr>
        <w:t>)</w:t>
      </w:r>
    </w:p>
    <w:p w14:paraId="5CBC6DCD">
      <w:pPr>
        <w:spacing w:line="360" w:lineRule="auto"/>
        <w:ind w:firstLine="2" w:firstLineChars="1"/>
        <w:jc w:val="left"/>
        <w:rPr>
          <w:rFonts w:hint="eastAsia" w:ascii="宋体" w:hAnsi="宋体" w:cs="宋体"/>
          <w:color w:val="auto"/>
          <w:szCs w:val="21"/>
          <w:highlight w:val="none"/>
        </w:rPr>
      </w:pPr>
    </w:p>
    <w:p w14:paraId="57DF47E5">
      <w:pPr>
        <w:spacing w:line="360" w:lineRule="auto"/>
        <w:ind w:firstLine="2" w:firstLineChars="1"/>
        <w:jc w:val="left"/>
        <w:rPr>
          <w:rFonts w:hint="eastAsia" w:ascii="宋体" w:hAnsi="宋体" w:cs="宋体"/>
          <w:color w:val="auto"/>
          <w:szCs w:val="21"/>
          <w:highlight w:val="none"/>
        </w:rPr>
      </w:pPr>
    </w:p>
    <w:p w14:paraId="34CCF98F">
      <w:pPr>
        <w:spacing w:line="360" w:lineRule="auto"/>
        <w:ind w:firstLine="2" w:firstLineChars="1"/>
        <w:jc w:val="left"/>
        <w:rPr>
          <w:rFonts w:hint="eastAsia" w:ascii="宋体" w:hAnsi="宋体" w:cs="宋体"/>
          <w:color w:val="auto"/>
          <w:szCs w:val="21"/>
          <w:highlight w:val="none"/>
        </w:rPr>
      </w:pPr>
    </w:p>
    <w:p w14:paraId="307F4AE6">
      <w:pPr>
        <w:spacing w:line="360" w:lineRule="auto"/>
        <w:ind w:firstLine="2" w:firstLineChars="1"/>
        <w:jc w:val="left"/>
        <w:rPr>
          <w:rFonts w:hint="eastAsia" w:ascii="宋体" w:hAnsi="宋体" w:cs="宋体"/>
          <w:color w:val="auto"/>
          <w:szCs w:val="21"/>
          <w:highlight w:val="none"/>
        </w:rPr>
      </w:pPr>
    </w:p>
    <w:p w14:paraId="31FFFCF3">
      <w:pPr>
        <w:spacing w:line="360" w:lineRule="auto"/>
        <w:ind w:firstLine="2" w:firstLineChars="1"/>
        <w:jc w:val="left"/>
        <w:rPr>
          <w:rFonts w:hint="eastAsia" w:ascii="宋体" w:hAnsi="宋体" w:cs="宋体"/>
          <w:color w:val="auto"/>
          <w:szCs w:val="21"/>
          <w:highlight w:val="none"/>
        </w:rPr>
      </w:pPr>
    </w:p>
    <w:p w14:paraId="344C0DF3">
      <w:pPr>
        <w:spacing w:line="360" w:lineRule="auto"/>
        <w:ind w:firstLine="2" w:firstLineChars="1"/>
        <w:jc w:val="left"/>
        <w:outlineLvl w:val="9"/>
        <w:rPr>
          <w:rFonts w:hint="eastAsia" w:ascii="宋体" w:hAnsi="宋体" w:cs="宋体"/>
          <w:color w:val="auto"/>
          <w:szCs w:val="21"/>
          <w:highlight w:val="none"/>
        </w:rPr>
      </w:pPr>
    </w:p>
    <w:p w14:paraId="3C8DA363">
      <w:pPr>
        <w:spacing w:line="360" w:lineRule="auto"/>
        <w:ind w:firstLine="2" w:firstLineChars="1"/>
        <w:jc w:val="left"/>
        <w:outlineLvl w:val="9"/>
        <w:rPr>
          <w:rFonts w:hint="eastAsia" w:ascii="宋体" w:hAnsi="宋体" w:cs="宋体"/>
          <w:color w:val="auto"/>
          <w:szCs w:val="21"/>
          <w:highlight w:val="none"/>
        </w:rPr>
      </w:pPr>
    </w:p>
    <w:p w14:paraId="28183854">
      <w:pPr>
        <w:spacing w:line="360" w:lineRule="auto"/>
        <w:ind w:firstLine="2" w:firstLineChars="1"/>
        <w:jc w:val="left"/>
        <w:outlineLvl w:val="9"/>
        <w:rPr>
          <w:rFonts w:hint="eastAsia" w:ascii="宋体" w:hAnsi="宋体" w:cs="宋体"/>
          <w:color w:val="auto"/>
          <w:szCs w:val="21"/>
          <w:highlight w:val="none"/>
        </w:rPr>
      </w:pPr>
    </w:p>
    <w:p w14:paraId="1B34B8F7">
      <w:pPr>
        <w:spacing w:line="360" w:lineRule="auto"/>
        <w:ind w:firstLine="2" w:firstLineChars="1"/>
        <w:jc w:val="left"/>
        <w:outlineLvl w:val="9"/>
        <w:rPr>
          <w:rFonts w:hint="eastAsia" w:ascii="宋体" w:hAnsi="宋体" w:cs="宋体"/>
          <w:color w:val="auto"/>
          <w:szCs w:val="21"/>
          <w:highlight w:val="none"/>
        </w:rPr>
      </w:pPr>
    </w:p>
    <w:p w14:paraId="6C664AD7">
      <w:pPr>
        <w:spacing w:line="360" w:lineRule="auto"/>
        <w:ind w:firstLine="2" w:firstLineChars="1"/>
        <w:jc w:val="left"/>
        <w:outlineLvl w:val="9"/>
        <w:rPr>
          <w:rFonts w:hint="eastAsia" w:ascii="宋体" w:hAnsi="宋体" w:cs="宋体"/>
          <w:color w:val="auto"/>
          <w:szCs w:val="21"/>
          <w:highlight w:val="none"/>
        </w:rPr>
      </w:pPr>
    </w:p>
    <w:p w14:paraId="1692B9E2">
      <w:pPr>
        <w:outlineLvl w:val="9"/>
        <w:rPr>
          <w:rFonts w:hint="eastAsia"/>
          <w:color w:val="auto"/>
          <w:highlight w:val="none"/>
        </w:rPr>
      </w:pPr>
    </w:p>
    <w:p w14:paraId="15AEEBFE">
      <w:pPr>
        <w:outlineLvl w:val="9"/>
        <w:rPr>
          <w:rFonts w:hint="eastAsia"/>
          <w:color w:val="auto"/>
          <w:highlight w:val="none"/>
        </w:rPr>
      </w:pPr>
    </w:p>
    <w:p w14:paraId="1B805927">
      <w:pPr>
        <w:outlineLvl w:val="9"/>
        <w:rPr>
          <w:rFonts w:hint="eastAsia"/>
          <w:color w:val="auto"/>
          <w:highlight w:val="none"/>
        </w:rPr>
      </w:pPr>
    </w:p>
    <w:p w14:paraId="177D4602">
      <w:pPr>
        <w:outlineLvl w:val="9"/>
        <w:rPr>
          <w:rFonts w:hint="eastAsia"/>
          <w:color w:val="auto"/>
          <w:highlight w:val="none"/>
        </w:rPr>
      </w:pPr>
    </w:p>
    <w:p w14:paraId="7325CE8D">
      <w:pPr>
        <w:outlineLvl w:val="9"/>
        <w:rPr>
          <w:rFonts w:hint="eastAsia"/>
          <w:color w:val="auto"/>
          <w:highlight w:val="none"/>
        </w:rPr>
      </w:pPr>
    </w:p>
    <w:p w14:paraId="595710C0">
      <w:pPr>
        <w:outlineLvl w:val="9"/>
        <w:rPr>
          <w:rFonts w:hint="eastAsia"/>
          <w:color w:val="auto"/>
          <w:highlight w:val="none"/>
        </w:rPr>
      </w:pPr>
    </w:p>
    <w:p w14:paraId="5A67DE92">
      <w:pPr>
        <w:outlineLvl w:val="9"/>
        <w:rPr>
          <w:rFonts w:hint="eastAsia"/>
          <w:color w:val="auto"/>
          <w:highlight w:val="none"/>
        </w:rPr>
      </w:pPr>
    </w:p>
    <w:p w14:paraId="3DCEBACD">
      <w:pPr>
        <w:rPr>
          <w:rFonts w:hint="eastAsia"/>
          <w:color w:val="auto"/>
          <w:highlight w:val="none"/>
        </w:rPr>
      </w:pPr>
    </w:p>
    <w:p w14:paraId="2E585F9E">
      <w:pPr>
        <w:spacing w:line="360" w:lineRule="auto"/>
        <w:rPr>
          <w:rFonts w:hint="eastAsia" w:ascii="宋体" w:hAnsi="宋体" w:cs="宋体"/>
          <w:color w:val="auto"/>
          <w:highlight w:val="none"/>
        </w:rPr>
      </w:pPr>
    </w:p>
    <w:p w14:paraId="107A16E9">
      <w:pPr>
        <w:spacing w:line="360" w:lineRule="auto"/>
        <w:rPr>
          <w:rFonts w:hint="eastAsia" w:ascii="宋体" w:hAnsi="宋体" w:cs="宋体"/>
          <w:color w:val="auto"/>
          <w:highlight w:val="none"/>
        </w:rPr>
      </w:pPr>
    </w:p>
    <w:p w14:paraId="7745A0D1">
      <w:pPr>
        <w:spacing w:line="360" w:lineRule="auto"/>
        <w:rPr>
          <w:rFonts w:hint="eastAsia" w:ascii="宋体" w:hAnsi="宋体" w:cs="宋体"/>
          <w:color w:val="auto"/>
          <w:highlight w:val="none"/>
        </w:rPr>
      </w:pPr>
      <w:r>
        <w:rPr>
          <w:rFonts w:hint="eastAsia" w:ascii="宋体" w:hAnsi="宋体" w:cs="宋体"/>
          <w:color w:val="auto"/>
          <w:highlight w:val="none"/>
        </w:rPr>
        <w:t>供应商（</w:t>
      </w:r>
      <w:r>
        <w:rPr>
          <w:rFonts w:hint="eastAsia" w:ascii="宋体" w:hAnsi="宋体" w:cs="宋体"/>
          <w:color w:val="auto"/>
          <w:highlight w:val="none"/>
          <w:lang w:eastAsia="zh-CN"/>
        </w:rPr>
        <w:t>加盖供应商电子公章</w:t>
      </w:r>
      <w:r>
        <w:rPr>
          <w:rFonts w:hint="eastAsia" w:ascii="宋体" w:hAnsi="宋体" w:cs="宋体"/>
          <w:color w:val="auto"/>
          <w:highlight w:val="none"/>
        </w:rPr>
        <w:t>）：</w:t>
      </w:r>
    </w:p>
    <w:p w14:paraId="1C542CF6">
      <w:pPr>
        <w:spacing w:line="360" w:lineRule="auto"/>
        <w:rPr>
          <w:rFonts w:hint="eastAsia" w:ascii="宋体" w:hAnsi="宋体" w:cs="宋体"/>
          <w:color w:val="auto"/>
          <w:highlight w:val="none"/>
        </w:rPr>
      </w:pPr>
      <w:r>
        <w:rPr>
          <w:rFonts w:hint="eastAsia" w:ascii="宋体" w:hAnsi="宋体" w:cs="宋体"/>
          <w:color w:val="auto"/>
          <w:highlight w:val="none"/>
        </w:rPr>
        <w:t>法定代表人（</w:t>
      </w:r>
      <w:r>
        <w:rPr>
          <w:rFonts w:hint="eastAsia" w:ascii="宋体" w:hAnsi="宋体" w:cs="宋体"/>
          <w:color w:val="auto"/>
          <w:highlight w:val="none"/>
          <w:lang w:eastAsia="zh-CN"/>
        </w:rPr>
        <w:t>电子签名或盖章</w:t>
      </w:r>
      <w:r>
        <w:rPr>
          <w:rFonts w:hint="eastAsia" w:ascii="宋体" w:hAnsi="宋体" w:cs="宋体"/>
          <w:color w:val="auto"/>
          <w:highlight w:val="none"/>
        </w:rPr>
        <w:t>）：</w:t>
      </w:r>
    </w:p>
    <w:p w14:paraId="602CEAE4">
      <w:pPr>
        <w:spacing w:line="360" w:lineRule="auto"/>
        <w:rPr>
          <w:rFonts w:hint="eastAsia" w:ascii="宋体" w:hAnsi="宋体" w:cs="宋体"/>
          <w:color w:val="auto"/>
          <w:highlight w:val="none"/>
        </w:rPr>
      </w:pPr>
      <w:r>
        <w:rPr>
          <w:rFonts w:hint="eastAsia" w:ascii="宋体" w:hAnsi="宋体" w:cs="宋体"/>
          <w:color w:val="auto"/>
          <w:highlight w:val="none"/>
        </w:rPr>
        <w:t>日期：</w:t>
      </w:r>
    </w:p>
    <w:p w14:paraId="0145C603">
      <w:pPr>
        <w:autoSpaceDE w:val="0"/>
        <w:autoSpaceDN w:val="0"/>
        <w:adjustRightInd w:val="0"/>
        <w:spacing w:line="360" w:lineRule="auto"/>
        <w:jc w:val="left"/>
        <w:rPr>
          <w:rFonts w:hint="eastAsia" w:ascii="宋体" w:hAnsi="宋体" w:cs="宋体"/>
          <w:color w:val="auto"/>
          <w:szCs w:val="21"/>
          <w:highlight w:val="none"/>
        </w:rPr>
      </w:pPr>
    </w:p>
    <w:p w14:paraId="196CDE97">
      <w:pPr>
        <w:autoSpaceDE w:val="0"/>
        <w:autoSpaceDN w:val="0"/>
        <w:adjustRightInd w:val="0"/>
        <w:spacing w:line="360" w:lineRule="auto"/>
        <w:jc w:val="left"/>
        <w:rPr>
          <w:rFonts w:hint="eastAsia" w:ascii="宋体" w:hAnsi="宋体" w:cs="宋体"/>
          <w:color w:val="auto"/>
          <w:szCs w:val="21"/>
          <w:highlight w:val="none"/>
        </w:rPr>
      </w:pPr>
    </w:p>
    <w:p w14:paraId="3BABB356">
      <w:pPr>
        <w:keepNext/>
        <w:keepLines/>
        <w:spacing w:after="120" w:line="360" w:lineRule="auto"/>
        <w:jc w:val="left"/>
        <w:outlineLvl w:val="1"/>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rPr>
        <w:br w:type="page"/>
      </w:r>
      <w:r>
        <w:rPr>
          <w:rFonts w:hint="eastAsia" w:ascii="宋体" w:hAnsi="宋体" w:cs="宋体"/>
          <w:b/>
          <w:color w:val="auto"/>
          <w:sz w:val="28"/>
          <w:szCs w:val="28"/>
          <w:highlight w:val="none"/>
        </w:rPr>
        <w:t>格式</w:t>
      </w:r>
      <w:bookmarkEnd w:id="314"/>
      <w:r>
        <w:rPr>
          <w:rFonts w:hint="eastAsia" w:ascii="宋体" w:hAnsi="宋体" w:cs="宋体"/>
          <w:b/>
          <w:color w:val="auto"/>
          <w:sz w:val="28"/>
          <w:szCs w:val="28"/>
          <w:highlight w:val="none"/>
          <w:lang w:val="en-US" w:eastAsia="zh-CN"/>
        </w:rPr>
        <w:t>20</w:t>
      </w:r>
    </w:p>
    <w:p w14:paraId="2E664A6B">
      <w:pPr>
        <w:keepNext/>
        <w:keepLines/>
        <w:spacing w:before="120" w:after="120" w:line="360" w:lineRule="auto"/>
        <w:jc w:val="center"/>
        <w:outlineLvl w:val="1"/>
        <w:rPr>
          <w:rFonts w:hint="eastAsia" w:ascii="宋体" w:hAnsi="宋体" w:eastAsia="宋体" w:cs="宋体"/>
          <w:b/>
          <w:bCs/>
          <w:color w:val="auto"/>
          <w:sz w:val="28"/>
          <w:szCs w:val="32"/>
          <w:highlight w:val="none"/>
          <w:lang w:eastAsia="zh-CN"/>
        </w:rPr>
      </w:pPr>
      <w:bookmarkStart w:id="323" w:name="_Toc18652"/>
      <w:r>
        <w:rPr>
          <w:rFonts w:hint="eastAsia" w:ascii="宋体" w:hAnsi="宋体" w:cs="宋体"/>
          <w:b/>
          <w:bCs/>
          <w:color w:val="auto"/>
          <w:sz w:val="28"/>
          <w:szCs w:val="32"/>
          <w:highlight w:val="none"/>
          <w:lang w:eastAsia="zh-CN"/>
        </w:rPr>
        <w:t>服务响应时间进度计划安排</w:t>
      </w:r>
      <w:bookmarkEnd w:id="323"/>
    </w:p>
    <w:p w14:paraId="701CB125">
      <w:pPr>
        <w:autoSpaceDE w:val="0"/>
        <w:autoSpaceDN w:val="0"/>
        <w:adjustRightInd w:val="0"/>
        <w:spacing w:line="360" w:lineRule="auto"/>
        <w:jc w:val="center"/>
        <w:rPr>
          <w:rFonts w:hint="eastAsia" w:ascii="宋体" w:hAnsi="宋体" w:cs="宋体"/>
          <w:color w:val="auto"/>
          <w:szCs w:val="21"/>
          <w:highlight w:val="none"/>
        </w:rPr>
      </w:pPr>
      <w:r>
        <w:rPr>
          <w:rFonts w:hint="eastAsia" w:ascii="宋体" w:hAnsi="宋体" w:cs="宋体"/>
          <w:snapToGrid/>
          <w:color w:val="auto"/>
          <w:kern w:val="2"/>
          <w:szCs w:val="21"/>
          <w:highlight w:val="none"/>
        </w:rPr>
        <w:t>(</w:t>
      </w:r>
      <w:r>
        <w:rPr>
          <w:rFonts w:hint="eastAsia" w:ascii="宋体" w:hAnsi="宋体" w:cs="宋体"/>
          <w:snapToGrid/>
          <w:color w:val="auto"/>
          <w:kern w:val="2"/>
          <w:szCs w:val="21"/>
          <w:highlight w:val="none"/>
          <w:lang w:eastAsia="zh-CN"/>
        </w:rPr>
        <w:t>内容自拟</w:t>
      </w:r>
      <w:r>
        <w:rPr>
          <w:rFonts w:hint="eastAsia" w:ascii="宋体" w:hAnsi="宋体" w:cs="宋体"/>
          <w:snapToGrid/>
          <w:color w:val="auto"/>
          <w:kern w:val="2"/>
          <w:szCs w:val="21"/>
          <w:highlight w:val="none"/>
        </w:rPr>
        <w:t>)</w:t>
      </w:r>
    </w:p>
    <w:p w14:paraId="71076B6C">
      <w:pPr>
        <w:spacing w:line="360" w:lineRule="auto"/>
        <w:ind w:firstLine="2" w:firstLineChars="1"/>
        <w:jc w:val="left"/>
        <w:rPr>
          <w:rFonts w:hint="eastAsia" w:ascii="宋体" w:hAnsi="宋体" w:cs="宋体"/>
          <w:color w:val="auto"/>
          <w:szCs w:val="21"/>
          <w:highlight w:val="none"/>
        </w:rPr>
      </w:pPr>
    </w:p>
    <w:p w14:paraId="28C12597">
      <w:pPr>
        <w:spacing w:line="360" w:lineRule="auto"/>
        <w:ind w:firstLine="2" w:firstLineChars="1"/>
        <w:jc w:val="left"/>
        <w:rPr>
          <w:rFonts w:hint="eastAsia" w:ascii="宋体" w:hAnsi="宋体" w:cs="宋体"/>
          <w:color w:val="auto"/>
          <w:szCs w:val="21"/>
          <w:highlight w:val="none"/>
        </w:rPr>
      </w:pPr>
    </w:p>
    <w:p w14:paraId="586A7172">
      <w:pPr>
        <w:spacing w:line="360" w:lineRule="auto"/>
        <w:ind w:firstLine="2" w:firstLineChars="1"/>
        <w:jc w:val="left"/>
        <w:rPr>
          <w:rFonts w:hint="eastAsia" w:ascii="宋体" w:hAnsi="宋体" w:cs="宋体"/>
          <w:color w:val="auto"/>
          <w:szCs w:val="21"/>
          <w:highlight w:val="none"/>
        </w:rPr>
      </w:pPr>
    </w:p>
    <w:p w14:paraId="6E741ADB">
      <w:pPr>
        <w:spacing w:line="360" w:lineRule="auto"/>
        <w:ind w:firstLine="2" w:firstLineChars="1"/>
        <w:jc w:val="left"/>
        <w:rPr>
          <w:rFonts w:hint="eastAsia" w:ascii="宋体" w:hAnsi="宋体" w:cs="宋体"/>
          <w:color w:val="auto"/>
          <w:szCs w:val="21"/>
          <w:highlight w:val="none"/>
        </w:rPr>
      </w:pPr>
    </w:p>
    <w:p w14:paraId="612F780A">
      <w:pPr>
        <w:spacing w:line="360" w:lineRule="auto"/>
        <w:ind w:firstLine="2" w:firstLineChars="1"/>
        <w:jc w:val="left"/>
        <w:rPr>
          <w:rFonts w:hint="eastAsia" w:ascii="宋体" w:hAnsi="宋体" w:cs="宋体"/>
          <w:color w:val="auto"/>
          <w:szCs w:val="21"/>
          <w:highlight w:val="none"/>
        </w:rPr>
      </w:pPr>
    </w:p>
    <w:p w14:paraId="0CA9600F">
      <w:pPr>
        <w:spacing w:line="360" w:lineRule="auto"/>
        <w:ind w:firstLine="2" w:firstLineChars="1"/>
        <w:jc w:val="left"/>
        <w:outlineLvl w:val="9"/>
        <w:rPr>
          <w:rFonts w:hint="eastAsia" w:ascii="宋体" w:hAnsi="宋体" w:cs="宋体"/>
          <w:color w:val="auto"/>
          <w:szCs w:val="21"/>
          <w:highlight w:val="none"/>
        </w:rPr>
      </w:pPr>
    </w:p>
    <w:p w14:paraId="73487F21">
      <w:pPr>
        <w:spacing w:line="360" w:lineRule="auto"/>
        <w:ind w:firstLine="2" w:firstLineChars="1"/>
        <w:jc w:val="left"/>
        <w:outlineLvl w:val="9"/>
        <w:rPr>
          <w:rFonts w:hint="eastAsia" w:ascii="宋体" w:hAnsi="宋体" w:cs="宋体"/>
          <w:color w:val="auto"/>
          <w:szCs w:val="21"/>
          <w:highlight w:val="none"/>
        </w:rPr>
      </w:pPr>
    </w:p>
    <w:p w14:paraId="41504E30">
      <w:pPr>
        <w:spacing w:line="360" w:lineRule="auto"/>
        <w:ind w:firstLine="2" w:firstLineChars="1"/>
        <w:jc w:val="left"/>
        <w:outlineLvl w:val="9"/>
        <w:rPr>
          <w:rFonts w:hint="eastAsia" w:ascii="宋体" w:hAnsi="宋体" w:cs="宋体"/>
          <w:color w:val="auto"/>
          <w:szCs w:val="21"/>
          <w:highlight w:val="none"/>
        </w:rPr>
      </w:pPr>
    </w:p>
    <w:p w14:paraId="79EE08E6">
      <w:pPr>
        <w:spacing w:line="360" w:lineRule="auto"/>
        <w:ind w:firstLine="2" w:firstLineChars="1"/>
        <w:jc w:val="left"/>
        <w:outlineLvl w:val="9"/>
        <w:rPr>
          <w:rFonts w:hint="eastAsia" w:ascii="宋体" w:hAnsi="宋体" w:cs="宋体"/>
          <w:color w:val="auto"/>
          <w:szCs w:val="21"/>
          <w:highlight w:val="none"/>
        </w:rPr>
      </w:pPr>
    </w:p>
    <w:p w14:paraId="320AED88">
      <w:pPr>
        <w:spacing w:line="360" w:lineRule="auto"/>
        <w:ind w:firstLine="2" w:firstLineChars="1"/>
        <w:jc w:val="left"/>
        <w:outlineLvl w:val="9"/>
        <w:rPr>
          <w:rFonts w:hint="eastAsia" w:ascii="宋体" w:hAnsi="宋体" w:cs="宋体"/>
          <w:color w:val="auto"/>
          <w:szCs w:val="21"/>
          <w:highlight w:val="none"/>
        </w:rPr>
      </w:pPr>
    </w:p>
    <w:p w14:paraId="061F497A">
      <w:pPr>
        <w:outlineLvl w:val="9"/>
        <w:rPr>
          <w:rFonts w:hint="eastAsia"/>
          <w:color w:val="auto"/>
          <w:highlight w:val="none"/>
        </w:rPr>
      </w:pPr>
    </w:p>
    <w:p w14:paraId="6E891936">
      <w:pPr>
        <w:outlineLvl w:val="9"/>
        <w:rPr>
          <w:rFonts w:hint="eastAsia"/>
          <w:color w:val="auto"/>
          <w:highlight w:val="none"/>
        </w:rPr>
      </w:pPr>
    </w:p>
    <w:p w14:paraId="0408EE3C">
      <w:pPr>
        <w:outlineLvl w:val="9"/>
        <w:rPr>
          <w:rFonts w:hint="eastAsia"/>
          <w:color w:val="auto"/>
          <w:highlight w:val="none"/>
        </w:rPr>
      </w:pPr>
    </w:p>
    <w:p w14:paraId="5EFB9C70">
      <w:pPr>
        <w:outlineLvl w:val="9"/>
        <w:rPr>
          <w:rFonts w:hint="eastAsia"/>
          <w:color w:val="auto"/>
          <w:highlight w:val="none"/>
        </w:rPr>
      </w:pPr>
    </w:p>
    <w:p w14:paraId="24F8448F">
      <w:pPr>
        <w:outlineLvl w:val="9"/>
        <w:rPr>
          <w:rFonts w:hint="eastAsia"/>
          <w:color w:val="auto"/>
          <w:highlight w:val="none"/>
        </w:rPr>
      </w:pPr>
    </w:p>
    <w:p w14:paraId="00F117A1">
      <w:pPr>
        <w:outlineLvl w:val="9"/>
        <w:rPr>
          <w:rFonts w:hint="eastAsia"/>
          <w:color w:val="auto"/>
          <w:highlight w:val="none"/>
        </w:rPr>
      </w:pPr>
    </w:p>
    <w:p w14:paraId="63F639B0">
      <w:pPr>
        <w:outlineLvl w:val="9"/>
        <w:rPr>
          <w:rFonts w:hint="eastAsia"/>
          <w:color w:val="auto"/>
          <w:highlight w:val="none"/>
        </w:rPr>
      </w:pPr>
    </w:p>
    <w:p w14:paraId="024C6224">
      <w:pPr>
        <w:rPr>
          <w:rFonts w:hint="eastAsia"/>
          <w:color w:val="auto"/>
          <w:highlight w:val="none"/>
        </w:rPr>
      </w:pPr>
    </w:p>
    <w:p w14:paraId="13903637">
      <w:pPr>
        <w:spacing w:line="360" w:lineRule="auto"/>
        <w:rPr>
          <w:rFonts w:hint="eastAsia" w:ascii="宋体" w:hAnsi="宋体" w:cs="宋体"/>
          <w:color w:val="auto"/>
          <w:highlight w:val="none"/>
        </w:rPr>
      </w:pPr>
      <w:r>
        <w:rPr>
          <w:rFonts w:hint="eastAsia" w:ascii="宋体" w:hAnsi="宋体" w:cs="宋体"/>
          <w:color w:val="auto"/>
          <w:highlight w:val="none"/>
        </w:rPr>
        <w:t>供应商（</w:t>
      </w:r>
      <w:r>
        <w:rPr>
          <w:rFonts w:hint="eastAsia" w:ascii="宋体" w:hAnsi="宋体" w:cs="宋体"/>
          <w:color w:val="auto"/>
          <w:highlight w:val="none"/>
          <w:lang w:eastAsia="zh-CN"/>
        </w:rPr>
        <w:t>加盖供应商电子公章</w:t>
      </w:r>
      <w:r>
        <w:rPr>
          <w:rFonts w:hint="eastAsia" w:ascii="宋体" w:hAnsi="宋体" w:cs="宋体"/>
          <w:color w:val="auto"/>
          <w:highlight w:val="none"/>
        </w:rPr>
        <w:t>）：</w:t>
      </w:r>
    </w:p>
    <w:p w14:paraId="02462110">
      <w:pPr>
        <w:spacing w:line="360" w:lineRule="auto"/>
        <w:rPr>
          <w:rFonts w:hint="eastAsia" w:ascii="宋体" w:hAnsi="宋体" w:cs="宋体"/>
          <w:color w:val="auto"/>
          <w:highlight w:val="none"/>
        </w:rPr>
      </w:pPr>
      <w:r>
        <w:rPr>
          <w:rFonts w:hint="eastAsia" w:ascii="宋体" w:hAnsi="宋体" w:cs="宋体"/>
          <w:color w:val="auto"/>
          <w:highlight w:val="none"/>
        </w:rPr>
        <w:t>法定代表人（</w:t>
      </w:r>
      <w:r>
        <w:rPr>
          <w:rFonts w:hint="eastAsia" w:ascii="宋体" w:hAnsi="宋体" w:cs="宋体"/>
          <w:color w:val="auto"/>
          <w:highlight w:val="none"/>
          <w:lang w:eastAsia="zh-CN"/>
        </w:rPr>
        <w:t>电子签名或盖章</w:t>
      </w:r>
      <w:r>
        <w:rPr>
          <w:rFonts w:hint="eastAsia" w:ascii="宋体" w:hAnsi="宋体" w:cs="宋体"/>
          <w:color w:val="auto"/>
          <w:highlight w:val="none"/>
        </w:rPr>
        <w:t>）：</w:t>
      </w:r>
    </w:p>
    <w:p w14:paraId="3417240D">
      <w:pPr>
        <w:spacing w:line="360" w:lineRule="auto"/>
        <w:rPr>
          <w:rFonts w:hint="eastAsia" w:ascii="宋体" w:hAnsi="宋体" w:cs="宋体"/>
          <w:color w:val="auto"/>
          <w:highlight w:val="none"/>
        </w:rPr>
      </w:pPr>
      <w:r>
        <w:rPr>
          <w:rFonts w:hint="eastAsia" w:ascii="宋体" w:hAnsi="宋体" w:cs="宋体"/>
          <w:color w:val="auto"/>
          <w:highlight w:val="none"/>
        </w:rPr>
        <w:t>日期：</w:t>
      </w:r>
    </w:p>
    <w:p w14:paraId="3A8C83D5">
      <w:pPr>
        <w:autoSpaceDE w:val="0"/>
        <w:autoSpaceDN w:val="0"/>
        <w:adjustRightInd w:val="0"/>
        <w:spacing w:line="360" w:lineRule="auto"/>
        <w:jc w:val="left"/>
        <w:rPr>
          <w:rFonts w:hint="eastAsia" w:ascii="宋体" w:hAnsi="宋体" w:cs="宋体"/>
          <w:color w:val="auto"/>
          <w:szCs w:val="21"/>
          <w:highlight w:val="none"/>
        </w:rPr>
      </w:pPr>
    </w:p>
    <w:p w14:paraId="13053F58">
      <w:pPr>
        <w:keepNext/>
        <w:keepLines/>
        <w:spacing w:after="120" w:line="360" w:lineRule="auto"/>
        <w:jc w:val="left"/>
        <w:outlineLvl w:val="1"/>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rPr>
        <w:br w:type="page"/>
      </w:r>
      <w:bookmarkStart w:id="324" w:name="_Toc13379"/>
      <w:r>
        <w:rPr>
          <w:rFonts w:hint="eastAsia" w:ascii="宋体" w:hAnsi="宋体" w:cs="宋体"/>
          <w:b/>
          <w:color w:val="auto"/>
          <w:sz w:val="28"/>
          <w:szCs w:val="28"/>
          <w:highlight w:val="none"/>
        </w:rPr>
        <w:t>格式</w:t>
      </w:r>
      <w:bookmarkEnd w:id="310"/>
      <w:r>
        <w:rPr>
          <w:rFonts w:hint="eastAsia" w:ascii="宋体" w:hAnsi="宋体" w:cs="宋体"/>
          <w:b/>
          <w:color w:val="auto"/>
          <w:sz w:val="28"/>
          <w:szCs w:val="28"/>
          <w:highlight w:val="none"/>
          <w:lang w:val="en-US" w:eastAsia="zh-CN"/>
        </w:rPr>
        <w:t>2</w:t>
      </w:r>
      <w:bookmarkEnd w:id="301"/>
      <w:bookmarkEnd w:id="302"/>
      <w:bookmarkEnd w:id="303"/>
      <w:bookmarkEnd w:id="304"/>
      <w:bookmarkEnd w:id="305"/>
      <w:bookmarkEnd w:id="306"/>
      <w:bookmarkEnd w:id="324"/>
      <w:r>
        <w:rPr>
          <w:rFonts w:hint="eastAsia" w:ascii="宋体" w:hAnsi="宋体" w:cs="宋体"/>
          <w:b/>
          <w:color w:val="auto"/>
          <w:sz w:val="28"/>
          <w:szCs w:val="28"/>
          <w:highlight w:val="none"/>
          <w:lang w:val="en-US" w:eastAsia="zh-CN"/>
        </w:rPr>
        <w:t>1</w:t>
      </w:r>
    </w:p>
    <w:p w14:paraId="09CDE472">
      <w:pPr>
        <w:keepNext/>
        <w:keepLines/>
        <w:spacing w:before="120" w:after="120" w:line="360" w:lineRule="auto"/>
        <w:ind w:left="425"/>
        <w:jc w:val="center"/>
        <w:outlineLvl w:val="1"/>
        <w:rPr>
          <w:rFonts w:hint="eastAsia" w:ascii="宋体" w:hAnsi="宋体" w:eastAsia="宋体" w:cs="宋体"/>
          <w:b/>
          <w:bCs/>
          <w:color w:val="auto"/>
          <w:sz w:val="28"/>
          <w:szCs w:val="32"/>
          <w:highlight w:val="none"/>
          <w:lang w:val="en-US" w:eastAsia="zh-CN"/>
        </w:rPr>
      </w:pPr>
      <w:bookmarkStart w:id="325" w:name="_Toc4345"/>
      <w:bookmarkStart w:id="326" w:name="_Toc494043384"/>
      <w:bookmarkStart w:id="327" w:name="_Toc21938"/>
      <w:bookmarkStart w:id="328" w:name="_Toc31475"/>
      <w:bookmarkStart w:id="329" w:name="_Toc3512"/>
      <w:bookmarkStart w:id="330" w:name="_Toc20192"/>
      <w:bookmarkStart w:id="331" w:name="_Toc11157"/>
      <w:bookmarkStart w:id="332" w:name="_Toc17581"/>
      <w:bookmarkStart w:id="333" w:name="_Toc4315"/>
      <w:bookmarkStart w:id="334" w:name="_Toc12799"/>
      <w:bookmarkStart w:id="335" w:name="_Toc491307509"/>
      <w:bookmarkStart w:id="336" w:name="_Toc491307389"/>
      <w:bookmarkStart w:id="337" w:name="_Toc491307327"/>
      <w:bookmarkStart w:id="338" w:name="_Toc14705"/>
      <w:bookmarkStart w:id="339" w:name="_Toc494043363"/>
      <w:bookmarkStart w:id="340" w:name="_Toc32430"/>
      <w:bookmarkStart w:id="341" w:name="_Toc28878"/>
      <w:r>
        <w:rPr>
          <w:rFonts w:hint="eastAsia" w:ascii="宋体" w:hAnsi="宋体" w:cs="宋体"/>
          <w:b/>
          <w:bCs/>
          <w:color w:val="auto"/>
          <w:sz w:val="28"/>
          <w:szCs w:val="32"/>
          <w:highlight w:val="none"/>
        </w:rPr>
        <w:t>供应商类似</w:t>
      </w:r>
      <w:bookmarkEnd w:id="325"/>
      <w:bookmarkEnd w:id="326"/>
      <w:bookmarkEnd w:id="327"/>
      <w:bookmarkEnd w:id="328"/>
      <w:bookmarkEnd w:id="329"/>
      <w:bookmarkEnd w:id="330"/>
      <w:r>
        <w:rPr>
          <w:rFonts w:hint="eastAsia" w:ascii="宋体" w:hAnsi="宋体" w:cs="宋体"/>
          <w:b/>
          <w:bCs/>
          <w:color w:val="auto"/>
          <w:sz w:val="28"/>
          <w:szCs w:val="32"/>
          <w:highlight w:val="none"/>
        </w:rPr>
        <w:t>业绩</w:t>
      </w:r>
      <w:bookmarkEnd w:id="331"/>
      <w:bookmarkEnd w:id="332"/>
      <w:r>
        <w:rPr>
          <w:rFonts w:hint="eastAsia" w:ascii="宋体" w:hAnsi="宋体" w:cs="宋体"/>
          <w:b/>
          <w:bCs/>
          <w:color w:val="auto"/>
          <w:sz w:val="28"/>
          <w:szCs w:val="32"/>
          <w:highlight w:val="none"/>
          <w:lang w:val="en-US" w:eastAsia="zh-CN"/>
        </w:rPr>
        <w:t>列表</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5"/>
        <w:gridCol w:w="3135"/>
        <w:gridCol w:w="1561"/>
        <w:gridCol w:w="1965"/>
        <w:gridCol w:w="1965"/>
      </w:tblGrid>
      <w:tr w14:paraId="3EA9B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noWrap w:val="0"/>
            <w:vAlign w:val="top"/>
          </w:tcPr>
          <w:p w14:paraId="7775EA6E">
            <w:pPr>
              <w:keepNext/>
              <w:keepLines/>
              <w:suppressLineNumbers w:val="0"/>
              <w:spacing w:before="120" w:beforeAutospacing="0" w:after="120" w:afterAutospacing="0" w:line="360" w:lineRule="auto"/>
              <w:ind w:left="0" w:right="0"/>
              <w:jc w:val="center"/>
              <w:outlineLvl w:val="1"/>
              <w:rPr>
                <w:rFonts w:hint="eastAsia" w:ascii="宋体" w:hAnsi="宋体" w:eastAsia="宋体" w:cs="宋体"/>
                <w:bCs/>
                <w:color w:val="auto"/>
                <w:szCs w:val="21"/>
                <w:highlight w:val="none"/>
              </w:rPr>
            </w:pPr>
            <w:bookmarkStart w:id="342" w:name="_Toc18392"/>
            <w:bookmarkStart w:id="343" w:name="_Toc22181"/>
            <w:bookmarkStart w:id="344" w:name="_Toc23852"/>
            <w:bookmarkStart w:id="345" w:name="_Toc29288"/>
            <w:bookmarkStart w:id="346" w:name="_Toc20752"/>
            <w:bookmarkStart w:id="347" w:name="_Toc8931"/>
            <w:bookmarkStart w:id="348" w:name="_Toc494043385"/>
            <w:bookmarkStart w:id="349" w:name="_Toc9263"/>
            <w:r>
              <w:rPr>
                <w:rFonts w:hint="eastAsia" w:ascii="宋体" w:hAnsi="宋体" w:eastAsia="宋体" w:cs="宋体"/>
                <w:bCs/>
                <w:color w:val="auto"/>
                <w:szCs w:val="21"/>
                <w:highlight w:val="none"/>
              </w:rPr>
              <w:t>序号</w:t>
            </w:r>
            <w:bookmarkEnd w:id="342"/>
            <w:bookmarkEnd w:id="343"/>
            <w:bookmarkEnd w:id="344"/>
            <w:bookmarkEnd w:id="345"/>
            <w:bookmarkEnd w:id="346"/>
            <w:bookmarkEnd w:id="347"/>
            <w:bookmarkEnd w:id="348"/>
            <w:bookmarkEnd w:id="349"/>
          </w:p>
        </w:tc>
        <w:tc>
          <w:tcPr>
            <w:tcW w:w="3135" w:type="dxa"/>
            <w:noWrap w:val="0"/>
            <w:vAlign w:val="top"/>
          </w:tcPr>
          <w:p w14:paraId="18F242B8">
            <w:pPr>
              <w:keepNext/>
              <w:keepLines/>
              <w:suppressLineNumbers w:val="0"/>
              <w:spacing w:before="120" w:beforeAutospacing="0" w:after="120" w:afterAutospacing="0" w:line="360" w:lineRule="auto"/>
              <w:ind w:left="0" w:right="0"/>
              <w:jc w:val="center"/>
              <w:outlineLvl w:val="1"/>
              <w:rPr>
                <w:rFonts w:hint="eastAsia" w:ascii="宋体" w:hAnsi="宋体" w:eastAsia="宋体" w:cs="宋体"/>
                <w:bCs/>
                <w:color w:val="auto"/>
                <w:szCs w:val="21"/>
                <w:highlight w:val="none"/>
              </w:rPr>
            </w:pPr>
            <w:bookmarkStart w:id="350" w:name="_Toc13975"/>
            <w:bookmarkStart w:id="351" w:name="_Toc4815"/>
            <w:bookmarkStart w:id="352" w:name="_Toc494043386"/>
            <w:bookmarkStart w:id="353" w:name="_Toc18920"/>
            <w:bookmarkStart w:id="354" w:name="_Toc22288"/>
            <w:bookmarkStart w:id="355" w:name="_Toc21352"/>
            <w:bookmarkStart w:id="356" w:name="_Toc19109"/>
            <w:bookmarkStart w:id="357" w:name="_Toc29105"/>
            <w:r>
              <w:rPr>
                <w:rFonts w:hint="eastAsia" w:ascii="宋体" w:hAnsi="宋体" w:eastAsia="宋体" w:cs="宋体"/>
                <w:bCs/>
                <w:color w:val="auto"/>
                <w:szCs w:val="21"/>
                <w:highlight w:val="none"/>
              </w:rPr>
              <w:t>业绩名称</w:t>
            </w:r>
            <w:bookmarkEnd w:id="350"/>
            <w:bookmarkEnd w:id="351"/>
            <w:bookmarkEnd w:id="352"/>
            <w:bookmarkEnd w:id="353"/>
            <w:bookmarkEnd w:id="354"/>
            <w:bookmarkEnd w:id="355"/>
            <w:bookmarkEnd w:id="356"/>
            <w:bookmarkEnd w:id="357"/>
          </w:p>
        </w:tc>
        <w:tc>
          <w:tcPr>
            <w:tcW w:w="1561" w:type="dxa"/>
            <w:noWrap w:val="0"/>
            <w:vAlign w:val="top"/>
          </w:tcPr>
          <w:p w14:paraId="13EB7B02">
            <w:pPr>
              <w:keepNext/>
              <w:keepLines/>
              <w:suppressLineNumbers w:val="0"/>
              <w:spacing w:before="120" w:beforeAutospacing="0" w:after="120" w:afterAutospacing="0" w:line="360" w:lineRule="auto"/>
              <w:ind w:left="0" w:right="0"/>
              <w:jc w:val="center"/>
              <w:outlineLvl w:val="1"/>
              <w:rPr>
                <w:rFonts w:hint="eastAsia" w:ascii="宋体" w:hAnsi="宋体" w:eastAsia="宋体" w:cs="宋体"/>
                <w:bCs/>
                <w:color w:val="auto"/>
                <w:szCs w:val="21"/>
                <w:highlight w:val="none"/>
              </w:rPr>
            </w:pPr>
            <w:bookmarkStart w:id="358" w:name="_Toc2925"/>
            <w:bookmarkStart w:id="359" w:name="_Toc31143"/>
            <w:bookmarkStart w:id="360" w:name="_Toc494043387"/>
            <w:bookmarkStart w:id="361" w:name="_Toc25612"/>
            <w:bookmarkStart w:id="362" w:name="_Toc1382"/>
            <w:bookmarkStart w:id="363" w:name="_Toc27566"/>
            <w:bookmarkStart w:id="364" w:name="_Toc14365"/>
            <w:bookmarkStart w:id="365" w:name="_Toc24732"/>
            <w:r>
              <w:rPr>
                <w:rFonts w:hint="eastAsia" w:ascii="宋体" w:hAnsi="宋体" w:eastAsia="宋体" w:cs="宋体"/>
                <w:bCs/>
                <w:color w:val="auto"/>
                <w:szCs w:val="21"/>
                <w:highlight w:val="none"/>
              </w:rPr>
              <w:t>委托人</w:t>
            </w:r>
            <w:bookmarkEnd w:id="358"/>
            <w:bookmarkEnd w:id="359"/>
            <w:bookmarkEnd w:id="360"/>
            <w:bookmarkEnd w:id="361"/>
            <w:bookmarkEnd w:id="362"/>
            <w:bookmarkEnd w:id="363"/>
            <w:bookmarkEnd w:id="364"/>
            <w:bookmarkEnd w:id="365"/>
          </w:p>
        </w:tc>
        <w:tc>
          <w:tcPr>
            <w:tcW w:w="1965" w:type="dxa"/>
            <w:noWrap w:val="0"/>
            <w:vAlign w:val="top"/>
          </w:tcPr>
          <w:p w14:paraId="1F0CC144">
            <w:pPr>
              <w:keepNext/>
              <w:keepLines/>
              <w:suppressLineNumbers w:val="0"/>
              <w:spacing w:before="120" w:beforeAutospacing="0" w:after="120" w:afterAutospacing="0" w:line="360" w:lineRule="auto"/>
              <w:ind w:left="0" w:right="0"/>
              <w:jc w:val="center"/>
              <w:outlineLvl w:val="1"/>
              <w:rPr>
                <w:rFonts w:hint="eastAsia" w:ascii="宋体" w:hAnsi="宋体" w:eastAsia="宋体" w:cs="宋体"/>
                <w:bCs/>
                <w:color w:val="auto"/>
                <w:szCs w:val="21"/>
                <w:highlight w:val="none"/>
              </w:rPr>
            </w:pPr>
            <w:bookmarkStart w:id="366" w:name="_Toc8582"/>
            <w:bookmarkStart w:id="367" w:name="_Toc21674"/>
            <w:r>
              <w:rPr>
                <w:rFonts w:hint="eastAsia" w:ascii="宋体" w:hAnsi="宋体" w:eastAsia="宋体" w:cs="宋体"/>
                <w:bCs/>
                <w:color w:val="auto"/>
                <w:szCs w:val="21"/>
                <w:highlight w:val="none"/>
              </w:rPr>
              <w:t>金额（万元）</w:t>
            </w:r>
            <w:bookmarkEnd w:id="366"/>
            <w:bookmarkEnd w:id="367"/>
          </w:p>
        </w:tc>
        <w:tc>
          <w:tcPr>
            <w:tcW w:w="1965" w:type="dxa"/>
            <w:noWrap w:val="0"/>
            <w:vAlign w:val="top"/>
          </w:tcPr>
          <w:p w14:paraId="0D895E3E">
            <w:pPr>
              <w:keepNext/>
              <w:keepLines/>
              <w:suppressLineNumbers w:val="0"/>
              <w:spacing w:before="120" w:beforeAutospacing="0" w:after="120" w:afterAutospacing="0" w:line="360" w:lineRule="auto"/>
              <w:ind w:left="0" w:right="0"/>
              <w:jc w:val="center"/>
              <w:outlineLvl w:val="1"/>
              <w:rPr>
                <w:rFonts w:hint="eastAsia" w:ascii="宋体" w:hAnsi="宋体" w:eastAsia="宋体" w:cs="宋体"/>
                <w:bCs/>
                <w:color w:val="auto"/>
                <w:szCs w:val="21"/>
                <w:highlight w:val="none"/>
              </w:rPr>
            </w:pPr>
            <w:bookmarkStart w:id="368" w:name="_Toc23780"/>
            <w:bookmarkStart w:id="369" w:name="_Toc31909"/>
            <w:r>
              <w:rPr>
                <w:rFonts w:hint="eastAsia" w:ascii="宋体" w:hAnsi="宋体" w:eastAsia="宋体" w:cs="宋体"/>
                <w:bCs/>
                <w:color w:val="auto"/>
                <w:szCs w:val="21"/>
                <w:highlight w:val="none"/>
              </w:rPr>
              <w:t>工作内容</w:t>
            </w:r>
            <w:bookmarkEnd w:id="368"/>
            <w:bookmarkEnd w:id="369"/>
          </w:p>
        </w:tc>
      </w:tr>
      <w:tr w14:paraId="27716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noWrap w:val="0"/>
            <w:vAlign w:val="top"/>
          </w:tcPr>
          <w:p w14:paraId="37B016A5">
            <w:pPr>
              <w:keepNext/>
              <w:keepLines/>
              <w:suppressLineNumbers w:val="0"/>
              <w:spacing w:before="120" w:beforeAutospacing="0" w:after="120" w:afterAutospacing="0" w:line="360" w:lineRule="auto"/>
              <w:ind w:left="0" w:right="0"/>
              <w:jc w:val="center"/>
              <w:outlineLvl w:val="1"/>
              <w:rPr>
                <w:rFonts w:hint="eastAsia" w:ascii="宋体" w:hAnsi="宋体" w:eastAsia="宋体" w:cs="宋体"/>
                <w:bCs/>
                <w:color w:val="auto"/>
                <w:szCs w:val="21"/>
                <w:highlight w:val="none"/>
              </w:rPr>
            </w:pPr>
            <w:bookmarkStart w:id="370" w:name="_Toc494043390"/>
            <w:bookmarkStart w:id="371" w:name="_Toc22751"/>
            <w:bookmarkStart w:id="372" w:name="_Toc13522"/>
            <w:bookmarkStart w:id="373" w:name="_Toc15532"/>
            <w:bookmarkStart w:id="374" w:name="_Toc19170"/>
            <w:bookmarkStart w:id="375" w:name="_Toc25237"/>
            <w:bookmarkStart w:id="376" w:name="_Toc31766"/>
            <w:bookmarkStart w:id="377" w:name="_Toc26625"/>
            <w:r>
              <w:rPr>
                <w:rFonts w:hint="eastAsia" w:ascii="宋体" w:hAnsi="宋体" w:eastAsia="宋体" w:cs="宋体"/>
                <w:bCs/>
                <w:color w:val="auto"/>
                <w:szCs w:val="21"/>
                <w:highlight w:val="none"/>
              </w:rPr>
              <w:t>1</w:t>
            </w:r>
            <w:bookmarkEnd w:id="370"/>
            <w:bookmarkEnd w:id="371"/>
            <w:bookmarkEnd w:id="372"/>
            <w:bookmarkEnd w:id="373"/>
            <w:bookmarkEnd w:id="374"/>
            <w:bookmarkEnd w:id="375"/>
            <w:bookmarkEnd w:id="376"/>
            <w:bookmarkEnd w:id="377"/>
          </w:p>
        </w:tc>
        <w:tc>
          <w:tcPr>
            <w:tcW w:w="3135" w:type="dxa"/>
            <w:noWrap w:val="0"/>
            <w:vAlign w:val="top"/>
          </w:tcPr>
          <w:p w14:paraId="603570F5">
            <w:pPr>
              <w:keepNext/>
              <w:keepLines/>
              <w:suppressLineNumbers w:val="0"/>
              <w:spacing w:before="120" w:beforeAutospacing="0" w:after="120" w:afterAutospacing="0" w:line="360" w:lineRule="auto"/>
              <w:ind w:left="0" w:right="0"/>
              <w:jc w:val="center"/>
              <w:outlineLvl w:val="1"/>
              <w:rPr>
                <w:rFonts w:hint="eastAsia" w:ascii="宋体" w:hAnsi="宋体" w:eastAsia="宋体" w:cs="宋体"/>
                <w:bCs/>
                <w:color w:val="auto"/>
                <w:sz w:val="28"/>
                <w:szCs w:val="32"/>
                <w:highlight w:val="none"/>
              </w:rPr>
            </w:pPr>
          </w:p>
        </w:tc>
        <w:tc>
          <w:tcPr>
            <w:tcW w:w="1561" w:type="dxa"/>
            <w:noWrap w:val="0"/>
            <w:vAlign w:val="top"/>
          </w:tcPr>
          <w:p w14:paraId="49F0B666">
            <w:pPr>
              <w:keepNext/>
              <w:keepLines/>
              <w:suppressLineNumbers w:val="0"/>
              <w:spacing w:before="120" w:beforeAutospacing="0" w:after="120" w:afterAutospacing="0" w:line="360" w:lineRule="auto"/>
              <w:ind w:left="0" w:right="0"/>
              <w:jc w:val="center"/>
              <w:outlineLvl w:val="1"/>
              <w:rPr>
                <w:rFonts w:hint="eastAsia" w:ascii="宋体" w:hAnsi="宋体" w:eastAsia="宋体" w:cs="宋体"/>
                <w:bCs/>
                <w:color w:val="auto"/>
                <w:sz w:val="28"/>
                <w:szCs w:val="32"/>
                <w:highlight w:val="none"/>
              </w:rPr>
            </w:pPr>
          </w:p>
        </w:tc>
        <w:tc>
          <w:tcPr>
            <w:tcW w:w="1965" w:type="dxa"/>
            <w:noWrap w:val="0"/>
            <w:vAlign w:val="top"/>
          </w:tcPr>
          <w:p w14:paraId="266864F9">
            <w:pPr>
              <w:keepNext/>
              <w:keepLines/>
              <w:suppressLineNumbers w:val="0"/>
              <w:spacing w:before="120" w:beforeAutospacing="0" w:after="120" w:afterAutospacing="0" w:line="360" w:lineRule="auto"/>
              <w:ind w:left="0" w:right="0"/>
              <w:jc w:val="center"/>
              <w:outlineLvl w:val="1"/>
              <w:rPr>
                <w:rFonts w:hint="eastAsia" w:ascii="宋体" w:hAnsi="宋体" w:eastAsia="宋体" w:cs="宋体"/>
                <w:bCs/>
                <w:color w:val="auto"/>
                <w:sz w:val="28"/>
                <w:szCs w:val="32"/>
                <w:highlight w:val="none"/>
              </w:rPr>
            </w:pPr>
          </w:p>
        </w:tc>
        <w:tc>
          <w:tcPr>
            <w:tcW w:w="1965" w:type="dxa"/>
            <w:noWrap w:val="0"/>
            <w:vAlign w:val="top"/>
          </w:tcPr>
          <w:p w14:paraId="7C75E0B2">
            <w:pPr>
              <w:keepNext/>
              <w:keepLines/>
              <w:suppressLineNumbers w:val="0"/>
              <w:spacing w:before="120" w:beforeAutospacing="0" w:after="120" w:afterAutospacing="0" w:line="360" w:lineRule="auto"/>
              <w:ind w:left="0" w:right="0"/>
              <w:jc w:val="center"/>
              <w:outlineLvl w:val="1"/>
              <w:rPr>
                <w:rFonts w:hint="eastAsia" w:ascii="宋体" w:hAnsi="宋体" w:eastAsia="宋体" w:cs="宋体"/>
                <w:bCs/>
                <w:color w:val="auto"/>
                <w:sz w:val="28"/>
                <w:szCs w:val="32"/>
                <w:highlight w:val="none"/>
              </w:rPr>
            </w:pPr>
          </w:p>
        </w:tc>
      </w:tr>
      <w:tr w14:paraId="2A578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noWrap w:val="0"/>
            <w:vAlign w:val="top"/>
          </w:tcPr>
          <w:p w14:paraId="46B67150">
            <w:pPr>
              <w:keepNext/>
              <w:keepLines/>
              <w:suppressLineNumbers w:val="0"/>
              <w:spacing w:before="120" w:beforeAutospacing="0" w:after="120" w:afterAutospacing="0" w:line="360" w:lineRule="auto"/>
              <w:ind w:left="0" w:right="0"/>
              <w:jc w:val="center"/>
              <w:outlineLvl w:val="1"/>
              <w:rPr>
                <w:rFonts w:hint="eastAsia" w:ascii="宋体" w:hAnsi="宋体" w:eastAsia="宋体" w:cs="宋体"/>
                <w:bCs/>
                <w:color w:val="auto"/>
                <w:szCs w:val="21"/>
                <w:highlight w:val="none"/>
              </w:rPr>
            </w:pPr>
            <w:bookmarkStart w:id="378" w:name="_Toc494043391"/>
            <w:bookmarkStart w:id="379" w:name="_Toc14919"/>
            <w:bookmarkStart w:id="380" w:name="_Toc13587"/>
            <w:bookmarkStart w:id="381" w:name="_Toc30696"/>
            <w:bookmarkStart w:id="382" w:name="_Toc5660"/>
            <w:bookmarkStart w:id="383" w:name="_Toc6767"/>
            <w:bookmarkStart w:id="384" w:name="_Toc21964"/>
            <w:bookmarkStart w:id="385" w:name="_Toc3062"/>
            <w:r>
              <w:rPr>
                <w:rFonts w:hint="eastAsia" w:ascii="宋体" w:hAnsi="宋体" w:eastAsia="宋体" w:cs="宋体"/>
                <w:bCs/>
                <w:color w:val="auto"/>
                <w:szCs w:val="21"/>
                <w:highlight w:val="none"/>
              </w:rPr>
              <w:t>2</w:t>
            </w:r>
            <w:bookmarkEnd w:id="378"/>
            <w:bookmarkEnd w:id="379"/>
            <w:bookmarkEnd w:id="380"/>
            <w:bookmarkEnd w:id="381"/>
            <w:bookmarkEnd w:id="382"/>
            <w:bookmarkEnd w:id="383"/>
            <w:bookmarkEnd w:id="384"/>
            <w:bookmarkEnd w:id="385"/>
          </w:p>
        </w:tc>
        <w:tc>
          <w:tcPr>
            <w:tcW w:w="3135" w:type="dxa"/>
            <w:noWrap w:val="0"/>
            <w:vAlign w:val="top"/>
          </w:tcPr>
          <w:p w14:paraId="1DA5B133">
            <w:pPr>
              <w:keepNext/>
              <w:keepLines/>
              <w:suppressLineNumbers w:val="0"/>
              <w:spacing w:before="120" w:beforeAutospacing="0" w:after="120" w:afterAutospacing="0" w:line="360" w:lineRule="auto"/>
              <w:ind w:left="0" w:right="0"/>
              <w:jc w:val="center"/>
              <w:outlineLvl w:val="1"/>
              <w:rPr>
                <w:rFonts w:hint="eastAsia" w:ascii="宋体" w:hAnsi="宋体" w:eastAsia="宋体" w:cs="宋体"/>
                <w:bCs/>
                <w:color w:val="auto"/>
                <w:sz w:val="28"/>
                <w:szCs w:val="32"/>
                <w:highlight w:val="none"/>
              </w:rPr>
            </w:pPr>
          </w:p>
        </w:tc>
        <w:tc>
          <w:tcPr>
            <w:tcW w:w="1561" w:type="dxa"/>
            <w:noWrap w:val="0"/>
            <w:vAlign w:val="top"/>
          </w:tcPr>
          <w:p w14:paraId="7F0EA12E">
            <w:pPr>
              <w:keepNext/>
              <w:keepLines/>
              <w:suppressLineNumbers w:val="0"/>
              <w:spacing w:before="120" w:beforeAutospacing="0" w:after="120" w:afterAutospacing="0" w:line="360" w:lineRule="auto"/>
              <w:ind w:left="0" w:right="0"/>
              <w:jc w:val="center"/>
              <w:outlineLvl w:val="1"/>
              <w:rPr>
                <w:rFonts w:hint="eastAsia" w:ascii="宋体" w:hAnsi="宋体" w:eastAsia="宋体" w:cs="宋体"/>
                <w:bCs/>
                <w:color w:val="auto"/>
                <w:sz w:val="28"/>
                <w:szCs w:val="32"/>
                <w:highlight w:val="none"/>
              </w:rPr>
            </w:pPr>
          </w:p>
        </w:tc>
        <w:tc>
          <w:tcPr>
            <w:tcW w:w="1965" w:type="dxa"/>
            <w:noWrap w:val="0"/>
            <w:vAlign w:val="top"/>
          </w:tcPr>
          <w:p w14:paraId="763BCEC6">
            <w:pPr>
              <w:keepNext/>
              <w:keepLines/>
              <w:suppressLineNumbers w:val="0"/>
              <w:spacing w:before="120" w:beforeAutospacing="0" w:after="120" w:afterAutospacing="0" w:line="360" w:lineRule="auto"/>
              <w:ind w:left="0" w:right="0"/>
              <w:jc w:val="center"/>
              <w:outlineLvl w:val="1"/>
              <w:rPr>
                <w:rFonts w:hint="eastAsia" w:ascii="宋体" w:hAnsi="宋体" w:eastAsia="宋体" w:cs="宋体"/>
                <w:bCs/>
                <w:color w:val="auto"/>
                <w:sz w:val="28"/>
                <w:szCs w:val="32"/>
                <w:highlight w:val="none"/>
              </w:rPr>
            </w:pPr>
          </w:p>
        </w:tc>
        <w:tc>
          <w:tcPr>
            <w:tcW w:w="1965" w:type="dxa"/>
            <w:noWrap w:val="0"/>
            <w:vAlign w:val="top"/>
          </w:tcPr>
          <w:p w14:paraId="63AE71B4">
            <w:pPr>
              <w:keepNext/>
              <w:keepLines/>
              <w:suppressLineNumbers w:val="0"/>
              <w:spacing w:before="120" w:beforeAutospacing="0" w:after="120" w:afterAutospacing="0" w:line="360" w:lineRule="auto"/>
              <w:ind w:left="0" w:right="0"/>
              <w:jc w:val="center"/>
              <w:outlineLvl w:val="1"/>
              <w:rPr>
                <w:rFonts w:hint="eastAsia" w:ascii="宋体" w:hAnsi="宋体" w:eastAsia="宋体" w:cs="宋体"/>
                <w:bCs/>
                <w:color w:val="auto"/>
                <w:sz w:val="28"/>
                <w:szCs w:val="32"/>
                <w:highlight w:val="none"/>
              </w:rPr>
            </w:pPr>
          </w:p>
        </w:tc>
      </w:tr>
      <w:tr w14:paraId="58392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noWrap w:val="0"/>
            <w:vAlign w:val="top"/>
          </w:tcPr>
          <w:p w14:paraId="48F44757">
            <w:pPr>
              <w:keepNext/>
              <w:keepLines/>
              <w:suppressLineNumbers w:val="0"/>
              <w:spacing w:before="120" w:beforeAutospacing="0" w:after="120" w:afterAutospacing="0" w:line="360" w:lineRule="auto"/>
              <w:ind w:left="0" w:right="0"/>
              <w:jc w:val="center"/>
              <w:outlineLvl w:val="1"/>
              <w:rPr>
                <w:rFonts w:hint="eastAsia" w:ascii="宋体" w:hAnsi="宋体" w:eastAsia="宋体" w:cs="宋体"/>
                <w:bCs/>
                <w:color w:val="auto"/>
                <w:szCs w:val="21"/>
                <w:highlight w:val="none"/>
              </w:rPr>
            </w:pPr>
            <w:bookmarkStart w:id="386" w:name="_Toc5849"/>
            <w:bookmarkStart w:id="387" w:name="_Toc22426"/>
            <w:bookmarkStart w:id="388" w:name="_Toc18255"/>
            <w:bookmarkStart w:id="389" w:name="_Toc16103"/>
            <w:bookmarkStart w:id="390" w:name="_Toc494043392"/>
            <w:bookmarkStart w:id="391" w:name="_Toc22237"/>
            <w:bookmarkStart w:id="392" w:name="_Toc4025"/>
            <w:bookmarkStart w:id="393" w:name="_Toc28633"/>
            <w:r>
              <w:rPr>
                <w:rFonts w:hint="eastAsia" w:ascii="宋体" w:hAnsi="宋体" w:eastAsia="宋体" w:cs="宋体"/>
                <w:bCs/>
                <w:color w:val="auto"/>
                <w:szCs w:val="21"/>
                <w:highlight w:val="none"/>
              </w:rPr>
              <w:t>3</w:t>
            </w:r>
            <w:bookmarkEnd w:id="386"/>
            <w:bookmarkEnd w:id="387"/>
            <w:bookmarkEnd w:id="388"/>
            <w:bookmarkEnd w:id="389"/>
            <w:bookmarkEnd w:id="390"/>
            <w:bookmarkEnd w:id="391"/>
            <w:bookmarkEnd w:id="392"/>
            <w:bookmarkEnd w:id="393"/>
          </w:p>
        </w:tc>
        <w:tc>
          <w:tcPr>
            <w:tcW w:w="3135" w:type="dxa"/>
            <w:noWrap w:val="0"/>
            <w:vAlign w:val="top"/>
          </w:tcPr>
          <w:p w14:paraId="6197C916">
            <w:pPr>
              <w:keepNext/>
              <w:keepLines/>
              <w:suppressLineNumbers w:val="0"/>
              <w:spacing w:before="120" w:beforeAutospacing="0" w:after="120" w:afterAutospacing="0" w:line="360" w:lineRule="auto"/>
              <w:ind w:left="0" w:right="0"/>
              <w:jc w:val="center"/>
              <w:outlineLvl w:val="1"/>
              <w:rPr>
                <w:rFonts w:hint="eastAsia" w:ascii="宋体" w:hAnsi="宋体" w:eastAsia="宋体" w:cs="宋体"/>
                <w:bCs/>
                <w:color w:val="auto"/>
                <w:sz w:val="28"/>
                <w:szCs w:val="32"/>
                <w:highlight w:val="none"/>
              </w:rPr>
            </w:pPr>
          </w:p>
        </w:tc>
        <w:tc>
          <w:tcPr>
            <w:tcW w:w="1561" w:type="dxa"/>
            <w:noWrap w:val="0"/>
            <w:vAlign w:val="top"/>
          </w:tcPr>
          <w:p w14:paraId="615E5210">
            <w:pPr>
              <w:keepNext/>
              <w:keepLines/>
              <w:suppressLineNumbers w:val="0"/>
              <w:spacing w:before="120" w:beforeAutospacing="0" w:after="120" w:afterAutospacing="0" w:line="360" w:lineRule="auto"/>
              <w:ind w:left="0" w:right="0"/>
              <w:jc w:val="center"/>
              <w:outlineLvl w:val="1"/>
              <w:rPr>
                <w:rFonts w:hint="eastAsia" w:ascii="宋体" w:hAnsi="宋体" w:eastAsia="宋体" w:cs="宋体"/>
                <w:bCs/>
                <w:color w:val="auto"/>
                <w:sz w:val="28"/>
                <w:szCs w:val="32"/>
                <w:highlight w:val="none"/>
              </w:rPr>
            </w:pPr>
          </w:p>
        </w:tc>
        <w:tc>
          <w:tcPr>
            <w:tcW w:w="1965" w:type="dxa"/>
            <w:noWrap w:val="0"/>
            <w:vAlign w:val="top"/>
          </w:tcPr>
          <w:p w14:paraId="52B5ED95">
            <w:pPr>
              <w:keepNext/>
              <w:keepLines/>
              <w:suppressLineNumbers w:val="0"/>
              <w:spacing w:before="120" w:beforeAutospacing="0" w:after="120" w:afterAutospacing="0" w:line="360" w:lineRule="auto"/>
              <w:ind w:left="0" w:right="0"/>
              <w:jc w:val="center"/>
              <w:outlineLvl w:val="1"/>
              <w:rPr>
                <w:rFonts w:hint="eastAsia" w:ascii="宋体" w:hAnsi="宋体" w:eastAsia="宋体" w:cs="宋体"/>
                <w:bCs/>
                <w:color w:val="auto"/>
                <w:sz w:val="28"/>
                <w:szCs w:val="32"/>
                <w:highlight w:val="none"/>
              </w:rPr>
            </w:pPr>
          </w:p>
        </w:tc>
        <w:tc>
          <w:tcPr>
            <w:tcW w:w="1965" w:type="dxa"/>
            <w:noWrap w:val="0"/>
            <w:vAlign w:val="top"/>
          </w:tcPr>
          <w:p w14:paraId="16DC6A10">
            <w:pPr>
              <w:keepNext/>
              <w:keepLines/>
              <w:suppressLineNumbers w:val="0"/>
              <w:spacing w:before="120" w:beforeAutospacing="0" w:after="120" w:afterAutospacing="0" w:line="360" w:lineRule="auto"/>
              <w:ind w:left="0" w:right="0"/>
              <w:jc w:val="center"/>
              <w:outlineLvl w:val="1"/>
              <w:rPr>
                <w:rFonts w:hint="eastAsia" w:ascii="宋体" w:hAnsi="宋体" w:eastAsia="宋体" w:cs="宋体"/>
                <w:bCs/>
                <w:color w:val="auto"/>
                <w:sz w:val="28"/>
                <w:szCs w:val="32"/>
                <w:highlight w:val="none"/>
              </w:rPr>
            </w:pPr>
          </w:p>
        </w:tc>
      </w:tr>
      <w:tr w14:paraId="229D8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noWrap w:val="0"/>
            <w:vAlign w:val="top"/>
          </w:tcPr>
          <w:p w14:paraId="6BF24BBC">
            <w:pPr>
              <w:keepNext/>
              <w:keepLines/>
              <w:suppressLineNumbers w:val="0"/>
              <w:spacing w:before="120" w:beforeAutospacing="0" w:after="120" w:afterAutospacing="0" w:line="360" w:lineRule="auto"/>
              <w:ind w:left="0" w:right="0"/>
              <w:jc w:val="center"/>
              <w:outlineLvl w:val="1"/>
              <w:rPr>
                <w:rFonts w:hint="eastAsia" w:ascii="宋体" w:hAnsi="宋体" w:eastAsia="宋体" w:cs="宋体"/>
                <w:bCs/>
                <w:color w:val="auto"/>
                <w:szCs w:val="21"/>
                <w:highlight w:val="none"/>
              </w:rPr>
            </w:pPr>
            <w:bookmarkStart w:id="394" w:name="_Toc494043393"/>
            <w:bookmarkStart w:id="395" w:name="_Toc25254"/>
            <w:bookmarkStart w:id="396" w:name="_Toc16385"/>
            <w:bookmarkStart w:id="397" w:name="_Toc9777"/>
            <w:bookmarkStart w:id="398" w:name="_Toc12218"/>
            <w:bookmarkStart w:id="399" w:name="_Toc13433"/>
            <w:bookmarkStart w:id="400" w:name="_Toc6649"/>
            <w:bookmarkStart w:id="401" w:name="_Toc23922"/>
            <w:r>
              <w:rPr>
                <w:rFonts w:hint="eastAsia" w:ascii="宋体" w:hAnsi="宋体" w:eastAsia="宋体" w:cs="宋体"/>
                <w:bCs/>
                <w:color w:val="auto"/>
                <w:szCs w:val="21"/>
                <w:highlight w:val="none"/>
              </w:rPr>
              <w:t>4</w:t>
            </w:r>
            <w:bookmarkEnd w:id="394"/>
            <w:bookmarkEnd w:id="395"/>
            <w:bookmarkEnd w:id="396"/>
            <w:bookmarkEnd w:id="397"/>
            <w:bookmarkEnd w:id="398"/>
            <w:bookmarkEnd w:id="399"/>
            <w:bookmarkEnd w:id="400"/>
            <w:bookmarkEnd w:id="401"/>
          </w:p>
        </w:tc>
        <w:tc>
          <w:tcPr>
            <w:tcW w:w="3135" w:type="dxa"/>
            <w:noWrap w:val="0"/>
            <w:vAlign w:val="top"/>
          </w:tcPr>
          <w:p w14:paraId="3D3F758A">
            <w:pPr>
              <w:keepNext/>
              <w:keepLines/>
              <w:suppressLineNumbers w:val="0"/>
              <w:spacing w:before="120" w:beforeAutospacing="0" w:after="120" w:afterAutospacing="0" w:line="360" w:lineRule="auto"/>
              <w:ind w:left="0" w:right="0"/>
              <w:jc w:val="center"/>
              <w:outlineLvl w:val="1"/>
              <w:rPr>
                <w:rFonts w:hint="eastAsia" w:ascii="宋体" w:hAnsi="宋体" w:eastAsia="宋体" w:cs="宋体"/>
                <w:bCs/>
                <w:color w:val="auto"/>
                <w:sz w:val="28"/>
                <w:szCs w:val="32"/>
                <w:highlight w:val="none"/>
              </w:rPr>
            </w:pPr>
          </w:p>
        </w:tc>
        <w:tc>
          <w:tcPr>
            <w:tcW w:w="1561" w:type="dxa"/>
            <w:noWrap w:val="0"/>
            <w:vAlign w:val="top"/>
          </w:tcPr>
          <w:p w14:paraId="26A7A13F">
            <w:pPr>
              <w:keepNext/>
              <w:keepLines/>
              <w:suppressLineNumbers w:val="0"/>
              <w:spacing w:before="120" w:beforeAutospacing="0" w:after="120" w:afterAutospacing="0" w:line="360" w:lineRule="auto"/>
              <w:ind w:left="0" w:right="0"/>
              <w:jc w:val="center"/>
              <w:outlineLvl w:val="1"/>
              <w:rPr>
                <w:rFonts w:hint="eastAsia" w:ascii="宋体" w:hAnsi="宋体" w:eastAsia="宋体" w:cs="宋体"/>
                <w:bCs/>
                <w:color w:val="auto"/>
                <w:sz w:val="28"/>
                <w:szCs w:val="32"/>
                <w:highlight w:val="none"/>
              </w:rPr>
            </w:pPr>
          </w:p>
        </w:tc>
        <w:tc>
          <w:tcPr>
            <w:tcW w:w="1965" w:type="dxa"/>
            <w:noWrap w:val="0"/>
            <w:vAlign w:val="top"/>
          </w:tcPr>
          <w:p w14:paraId="3FEB204D">
            <w:pPr>
              <w:keepNext/>
              <w:keepLines/>
              <w:suppressLineNumbers w:val="0"/>
              <w:spacing w:before="120" w:beforeAutospacing="0" w:after="120" w:afterAutospacing="0" w:line="360" w:lineRule="auto"/>
              <w:ind w:left="0" w:right="0"/>
              <w:jc w:val="center"/>
              <w:outlineLvl w:val="1"/>
              <w:rPr>
                <w:rFonts w:hint="eastAsia" w:ascii="宋体" w:hAnsi="宋体" w:eastAsia="宋体" w:cs="宋体"/>
                <w:bCs/>
                <w:color w:val="auto"/>
                <w:sz w:val="28"/>
                <w:szCs w:val="32"/>
                <w:highlight w:val="none"/>
              </w:rPr>
            </w:pPr>
          </w:p>
        </w:tc>
        <w:tc>
          <w:tcPr>
            <w:tcW w:w="1965" w:type="dxa"/>
            <w:noWrap w:val="0"/>
            <w:vAlign w:val="top"/>
          </w:tcPr>
          <w:p w14:paraId="21B2A150">
            <w:pPr>
              <w:keepNext/>
              <w:keepLines/>
              <w:suppressLineNumbers w:val="0"/>
              <w:spacing w:before="120" w:beforeAutospacing="0" w:after="120" w:afterAutospacing="0" w:line="360" w:lineRule="auto"/>
              <w:ind w:left="0" w:right="0"/>
              <w:jc w:val="center"/>
              <w:outlineLvl w:val="1"/>
              <w:rPr>
                <w:rFonts w:hint="eastAsia" w:ascii="宋体" w:hAnsi="宋体" w:eastAsia="宋体" w:cs="宋体"/>
                <w:bCs/>
                <w:color w:val="auto"/>
                <w:sz w:val="28"/>
                <w:szCs w:val="32"/>
                <w:highlight w:val="none"/>
              </w:rPr>
            </w:pPr>
          </w:p>
        </w:tc>
      </w:tr>
      <w:tr w14:paraId="31764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noWrap w:val="0"/>
            <w:vAlign w:val="top"/>
          </w:tcPr>
          <w:p w14:paraId="23D59CC8">
            <w:pPr>
              <w:keepNext/>
              <w:keepLines/>
              <w:suppressLineNumbers w:val="0"/>
              <w:spacing w:before="120" w:beforeAutospacing="0" w:after="120" w:afterAutospacing="0" w:line="360" w:lineRule="auto"/>
              <w:ind w:left="0" w:right="0"/>
              <w:jc w:val="center"/>
              <w:outlineLvl w:val="1"/>
              <w:rPr>
                <w:rFonts w:hint="eastAsia" w:ascii="宋体" w:hAnsi="宋体" w:eastAsia="宋体" w:cs="宋体"/>
                <w:bCs/>
                <w:color w:val="auto"/>
                <w:szCs w:val="21"/>
                <w:highlight w:val="none"/>
              </w:rPr>
            </w:pPr>
            <w:bookmarkStart w:id="402" w:name="_Toc17990"/>
            <w:bookmarkStart w:id="403" w:name="_Toc29921"/>
            <w:bookmarkStart w:id="404" w:name="_Toc3403"/>
            <w:bookmarkStart w:id="405" w:name="_Toc15025"/>
            <w:bookmarkStart w:id="406" w:name="_Toc22733"/>
            <w:bookmarkStart w:id="407" w:name="_Toc8047"/>
            <w:bookmarkStart w:id="408" w:name="_Toc2852"/>
            <w:bookmarkStart w:id="409" w:name="_Toc494043394"/>
            <w:r>
              <w:rPr>
                <w:rFonts w:hint="eastAsia" w:ascii="宋体" w:hAnsi="宋体" w:eastAsia="宋体" w:cs="宋体"/>
                <w:bCs/>
                <w:color w:val="auto"/>
                <w:szCs w:val="21"/>
                <w:highlight w:val="none"/>
              </w:rPr>
              <w:t>5</w:t>
            </w:r>
            <w:bookmarkEnd w:id="402"/>
            <w:bookmarkEnd w:id="403"/>
            <w:bookmarkEnd w:id="404"/>
            <w:bookmarkEnd w:id="405"/>
            <w:bookmarkEnd w:id="406"/>
            <w:bookmarkEnd w:id="407"/>
            <w:bookmarkEnd w:id="408"/>
            <w:bookmarkEnd w:id="409"/>
          </w:p>
        </w:tc>
        <w:tc>
          <w:tcPr>
            <w:tcW w:w="3135" w:type="dxa"/>
            <w:noWrap w:val="0"/>
            <w:vAlign w:val="top"/>
          </w:tcPr>
          <w:p w14:paraId="73C41B92">
            <w:pPr>
              <w:keepNext/>
              <w:keepLines/>
              <w:suppressLineNumbers w:val="0"/>
              <w:spacing w:before="120" w:beforeAutospacing="0" w:after="120" w:afterAutospacing="0" w:line="360" w:lineRule="auto"/>
              <w:ind w:left="0" w:right="0"/>
              <w:jc w:val="center"/>
              <w:outlineLvl w:val="1"/>
              <w:rPr>
                <w:rFonts w:hint="eastAsia" w:ascii="宋体" w:hAnsi="宋体" w:eastAsia="宋体" w:cs="宋体"/>
                <w:bCs/>
                <w:color w:val="auto"/>
                <w:sz w:val="28"/>
                <w:szCs w:val="32"/>
                <w:highlight w:val="none"/>
              </w:rPr>
            </w:pPr>
          </w:p>
        </w:tc>
        <w:tc>
          <w:tcPr>
            <w:tcW w:w="1561" w:type="dxa"/>
            <w:noWrap w:val="0"/>
            <w:vAlign w:val="top"/>
          </w:tcPr>
          <w:p w14:paraId="3320F89D">
            <w:pPr>
              <w:keepNext/>
              <w:keepLines/>
              <w:suppressLineNumbers w:val="0"/>
              <w:spacing w:before="120" w:beforeAutospacing="0" w:after="120" w:afterAutospacing="0" w:line="360" w:lineRule="auto"/>
              <w:ind w:left="0" w:right="0"/>
              <w:jc w:val="center"/>
              <w:outlineLvl w:val="1"/>
              <w:rPr>
                <w:rFonts w:hint="eastAsia" w:ascii="宋体" w:hAnsi="宋体" w:eastAsia="宋体" w:cs="宋体"/>
                <w:bCs/>
                <w:color w:val="auto"/>
                <w:sz w:val="28"/>
                <w:szCs w:val="32"/>
                <w:highlight w:val="none"/>
              </w:rPr>
            </w:pPr>
          </w:p>
        </w:tc>
        <w:tc>
          <w:tcPr>
            <w:tcW w:w="1965" w:type="dxa"/>
            <w:noWrap w:val="0"/>
            <w:vAlign w:val="top"/>
          </w:tcPr>
          <w:p w14:paraId="0E2E3284">
            <w:pPr>
              <w:keepNext/>
              <w:keepLines/>
              <w:suppressLineNumbers w:val="0"/>
              <w:spacing w:before="120" w:beforeAutospacing="0" w:after="120" w:afterAutospacing="0" w:line="360" w:lineRule="auto"/>
              <w:ind w:left="0" w:right="0"/>
              <w:jc w:val="center"/>
              <w:outlineLvl w:val="1"/>
              <w:rPr>
                <w:rFonts w:hint="eastAsia" w:ascii="宋体" w:hAnsi="宋体" w:eastAsia="宋体" w:cs="宋体"/>
                <w:bCs/>
                <w:color w:val="auto"/>
                <w:sz w:val="28"/>
                <w:szCs w:val="32"/>
                <w:highlight w:val="none"/>
              </w:rPr>
            </w:pPr>
          </w:p>
        </w:tc>
        <w:tc>
          <w:tcPr>
            <w:tcW w:w="1965" w:type="dxa"/>
            <w:noWrap w:val="0"/>
            <w:vAlign w:val="top"/>
          </w:tcPr>
          <w:p w14:paraId="2C8CD04C">
            <w:pPr>
              <w:keepNext/>
              <w:keepLines/>
              <w:suppressLineNumbers w:val="0"/>
              <w:spacing w:before="120" w:beforeAutospacing="0" w:after="120" w:afterAutospacing="0" w:line="360" w:lineRule="auto"/>
              <w:ind w:left="0" w:right="0"/>
              <w:jc w:val="center"/>
              <w:outlineLvl w:val="1"/>
              <w:rPr>
                <w:rFonts w:hint="eastAsia" w:ascii="宋体" w:hAnsi="宋体" w:eastAsia="宋体" w:cs="宋体"/>
                <w:bCs/>
                <w:color w:val="auto"/>
                <w:sz w:val="28"/>
                <w:szCs w:val="32"/>
                <w:highlight w:val="none"/>
              </w:rPr>
            </w:pPr>
          </w:p>
        </w:tc>
      </w:tr>
    </w:tbl>
    <w:p w14:paraId="03544B65">
      <w:pPr>
        <w:keepNext/>
        <w:keepLines/>
        <w:spacing w:line="360" w:lineRule="auto"/>
        <w:jc w:val="left"/>
        <w:outlineLvl w:val="9"/>
        <w:rPr>
          <w:rFonts w:hint="eastAsia" w:ascii="宋体" w:hAnsi="宋体" w:cs="宋体"/>
          <w:bCs/>
          <w:color w:val="auto"/>
          <w:szCs w:val="21"/>
          <w:highlight w:val="none"/>
        </w:rPr>
      </w:pPr>
      <w:bookmarkStart w:id="410" w:name="_Toc7829"/>
      <w:bookmarkStart w:id="411" w:name="_Toc15754"/>
      <w:bookmarkStart w:id="412" w:name="_Toc10700"/>
      <w:bookmarkStart w:id="413" w:name="_Toc494043395"/>
      <w:bookmarkStart w:id="414" w:name="_Toc15975"/>
      <w:bookmarkStart w:id="415" w:name="_Toc708"/>
      <w:r>
        <w:rPr>
          <w:rFonts w:hint="eastAsia" w:ascii="宋体" w:hAnsi="宋体" w:cs="宋体"/>
          <w:bCs/>
          <w:color w:val="auto"/>
          <w:szCs w:val="21"/>
          <w:highlight w:val="none"/>
        </w:rPr>
        <w:t>注：</w:t>
      </w:r>
      <w:bookmarkEnd w:id="410"/>
      <w:bookmarkEnd w:id="411"/>
      <w:bookmarkEnd w:id="412"/>
      <w:bookmarkEnd w:id="413"/>
      <w:bookmarkEnd w:id="414"/>
      <w:bookmarkEnd w:id="415"/>
    </w:p>
    <w:p w14:paraId="49CF17A5">
      <w:pPr>
        <w:keepNext/>
        <w:keepLines/>
        <w:spacing w:line="360" w:lineRule="auto"/>
        <w:jc w:val="left"/>
        <w:outlineLvl w:val="9"/>
        <w:rPr>
          <w:rFonts w:hint="eastAsia" w:ascii="宋体" w:hAnsi="宋体" w:cs="宋体"/>
          <w:color w:val="auto"/>
          <w:szCs w:val="21"/>
          <w:highlight w:val="none"/>
        </w:rPr>
      </w:pPr>
      <w:bookmarkStart w:id="416" w:name="_Toc23370"/>
      <w:bookmarkStart w:id="417" w:name="_Toc494043396"/>
      <w:bookmarkStart w:id="418" w:name="_Toc3305"/>
      <w:bookmarkStart w:id="419" w:name="_Toc6865"/>
      <w:bookmarkStart w:id="420" w:name="_Toc26180"/>
      <w:bookmarkStart w:id="421" w:name="_Toc24783"/>
      <w:r>
        <w:rPr>
          <w:rFonts w:hint="eastAsia" w:ascii="宋体" w:hAnsi="宋体" w:cs="宋体"/>
          <w:color w:val="auto"/>
          <w:szCs w:val="21"/>
          <w:highlight w:val="none"/>
        </w:rPr>
        <w:t>1.</w:t>
      </w:r>
      <w:bookmarkEnd w:id="416"/>
      <w:bookmarkEnd w:id="417"/>
      <w:bookmarkEnd w:id="418"/>
      <w:bookmarkEnd w:id="419"/>
      <w:bookmarkEnd w:id="420"/>
      <w:bookmarkEnd w:id="421"/>
      <w:r>
        <w:rPr>
          <w:rFonts w:hint="eastAsia" w:ascii="宋体" w:hAnsi="宋体" w:cs="宋体"/>
          <w:color w:val="auto"/>
          <w:szCs w:val="21"/>
          <w:highlight w:val="none"/>
        </w:rPr>
        <w:t>供应商须提供类似业绩的合同（包含合同首页、金额页、甲乙双方签字盖章页）或中标通知书（成交通知书）或委托方出具的考核评价意见等证明材料（复印件加盖供应商电子公章），未提供或未按要求提供或证明材料不明确、无法体现对应内容的不予认可。</w:t>
      </w:r>
    </w:p>
    <w:p w14:paraId="0F6657EF">
      <w:pPr>
        <w:spacing w:line="360" w:lineRule="auto"/>
        <w:ind w:firstLine="2" w:firstLineChars="1"/>
        <w:jc w:val="left"/>
        <w:outlineLvl w:val="9"/>
        <w:rPr>
          <w:rFonts w:hint="eastAsia" w:ascii="宋体" w:hAnsi="宋体" w:cs="宋体"/>
          <w:color w:val="auto"/>
          <w:szCs w:val="21"/>
          <w:highlight w:val="none"/>
        </w:rPr>
      </w:pPr>
      <w:bookmarkStart w:id="422" w:name="_Toc3501"/>
      <w:bookmarkStart w:id="423" w:name="_Toc5720"/>
      <w:bookmarkStart w:id="424" w:name="_Toc30847"/>
      <w:bookmarkStart w:id="425" w:name="_Toc494043397"/>
      <w:bookmarkStart w:id="426" w:name="_Toc10885"/>
      <w:bookmarkStart w:id="427" w:name="_Toc15527"/>
      <w:r>
        <w:rPr>
          <w:rFonts w:hint="eastAsia" w:ascii="宋体" w:hAnsi="宋体" w:cs="宋体"/>
          <w:color w:val="auto"/>
          <w:szCs w:val="21"/>
          <w:highlight w:val="none"/>
        </w:rPr>
        <w:t>2.供应商可根据类似业绩情况拓展本表，但不得改变格式。</w:t>
      </w:r>
      <w:bookmarkEnd w:id="422"/>
      <w:bookmarkEnd w:id="423"/>
      <w:bookmarkEnd w:id="424"/>
      <w:bookmarkEnd w:id="425"/>
      <w:bookmarkEnd w:id="426"/>
      <w:bookmarkEnd w:id="427"/>
    </w:p>
    <w:p w14:paraId="05C6C407">
      <w:pPr>
        <w:spacing w:line="360" w:lineRule="auto"/>
        <w:ind w:firstLine="2" w:firstLineChars="1"/>
        <w:jc w:val="left"/>
        <w:outlineLvl w:val="9"/>
        <w:rPr>
          <w:rFonts w:hint="eastAsia" w:ascii="宋体" w:hAnsi="宋体" w:cs="宋体"/>
          <w:color w:val="auto"/>
          <w:szCs w:val="21"/>
          <w:highlight w:val="none"/>
        </w:rPr>
      </w:pPr>
    </w:p>
    <w:p w14:paraId="52B7D48B">
      <w:pPr>
        <w:spacing w:line="360" w:lineRule="auto"/>
        <w:ind w:firstLine="2" w:firstLineChars="1"/>
        <w:jc w:val="left"/>
        <w:outlineLvl w:val="9"/>
        <w:rPr>
          <w:rFonts w:hint="eastAsia" w:ascii="宋体" w:hAnsi="宋体" w:cs="宋体"/>
          <w:color w:val="auto"/>
          <w:szCs w:val="21"/>
          <w:highlight w:val="none"/>
        </w:rPr>
      </w:pPr>
    </w:p>
    <w:p w14:paraId="1848EB39">
      <w:pPr>
        <w:spacing w:line="360" w:lineRule="auto"/>
        <w:ind w:firstLine="2" w:firstLineChars="1"/>
        <w:jc w:val="left"/>
        <w:outlineLvl w:val="9"/>
        <w:rPr>
          <w:rFonts w:hint="eastAsia" w:ascii="宋体" w:hAnsi="宋体" w:cs="宋体"/>
          <w:color w:val="auto"/>
          <w:szCs w:val="21"/>
          <w:highlight w:val="none"/>
        </w:rPr>
      </w:pPr>
      <w:r>
        <w:rPr>
          <w:rFonts w:hint="eastAsia" w:ascii="宋体" w:hAnsi="宋体" w:cs="宋体"/>
          <w:color w:val="auto"/>
          <w:szCs w:val="21"/>
          <w:highlight w:val="none"/>
        </w:rPr>
        <w:t>供应商（</w:t>
      </w:r>
      <w:r>
        <w:rPr>
          <w:rFonts w:hint="eastAsia" w:ascii="宋体" w:hAnsi="宋体" w:cs="宋体"/>
          <w:color w:val="auto"/>
          <w:szCs w:val="21"/>
          <w:highlight w:val="none"/>
          <w:lang w:eastAsia="zh-CN"/>
        </w:rPr>
        <w:t>加盖供应商电子公章</w:t>
      </w:r>
      <w:r>
        <w:rPr>
          <w:rFonts w:hint="eastAsia" w:ascii="宋体" w:hAnsi="宋体" w:cs="宋体"/>
          <w:color w:val="auto"/>
          <w:szCs w:val="21"/>
          <w:highlight w:val="none"/>
        </w:rPr>
        <w:t>）：</w:t>
      </w:r>
    </w:p>
    <w:p w14:paraId="71956724">
      <w:pPr>
        <w:spacing w:line="360" w:lineRule="auto"/>
        <w:ind w:firstLine="2" w:firstLineChars="1"/>
        <w:jc w:val="left"/>
        <w:outlineLvl w:val="9"/>
        <w:rPr>
          <w:rFonts w:hint="eastAsia" w:ascii="宋体" w:hAnsi="宋体" w:cs="宋体"/>
          <w:color w:val="auto"/>
          <w:szCs w:val="21"/>
          <w:highlight w:val="none"/>
        </w:rPr>
      </w:pPr>
    </w:p>
    <w:p w14:paraId="4F39EA7E">
      <w:pPr>
        <w:spacing w:line="360" w:lineRule="auto"/>
        <w:ind w:firstLine="2" w:firstLineChars="1"/>
        <w:jc w:val="left"/>
        <w:outlineLvl w:val="9"/>
        <w:rPr>
          <w:rFonts w:hint="eastAsia" w:ascii="宋体" w:hAnsi="宋体" w:cs="宋体"/>
          <w:color w:val="auto"/>
          <w:szCs w:val="21"/>
          <w:highlight w:val="none"/>
        </w:rPr>
      </w:pPr>
      <w:r>
        <w:rPr>
          <w:rFonts w:hint="eastAsia" w:ascii="宋体" w:hAnsi="宋体" w:cs="宋体"/>
          <w:color w:val="auto"/>
          <w:szCs w:val="21"/>
          <w:highlight w:val="none"/>
        </w:rPr>
        <w:t>法定代表人（</w:t>
      </w:r>
      <w:r>
        <w:rPr>
          <w:rFonts w:hint="eastAsia" w:ascii="宋体" w:hAnsi="宋体" w:cs="宋体"/>
          <w:color w:val="auto"/>
          <w:szCs w:val="21"/>
          <w:highlight w:val="none"/>
          <w:lang w:eastAsia="zh-CN"/>
        </w:rPr>
        <w:t>电子签名或盖章</w:t>
      </w:r>
      <w:r>
        <w:rPr>
          <w:rFonts w:hint="eastAsia" w:ascii="宋体" w:hAnsi="宋体" w:cs="宋体"/>
          <w:color w:val="auto"/>
          <w:szCs w:val="21"/>
          <w:highlight w:val="none"/>
        </w:rPr>
        <w:t>）：</w:t>
      </w:r>
    </w:p>
    <w:p w14:paraId="40CB58AC">
      <w:pPr>
        <w:autoSpaceDE w:val="0"/>
        <w:autoSpaceDN w:val="0"/>
        <w:adjustRightInd w:val="0"/>
        <w:spacing w:line="360" w:lineRule="auto"/>
        <w:jc w:val="left"/>
        <w:outlineLvl w:val="9"/>
        <w:rPr>
          <w:rFonts w:hint="eastAsia" w:ascii="宋体" w:hAnsi="宋体" w:cs="宋体"/>
          <w:color w:val="auto"/>
          <w:szCs w:val="21"/>
          <w:highlight w:val="none"/>
        </w:rPr>
      </w:pPr>
    </w:p>
    <w:p w14:paraId="0C221F29">
      <w:pPr>
        <w:autoSpaceDE w:val="0"/>
        <w:autoSpaceDN w:val="0"/>
        <w:adjustRightInd w:val="0"/>
        <w:spacing w:line="360" w:lineRule="auto"/>
        <w:jc w:val="left"/>
        <w:outlineLvl w:val="9"/>
        <w:rPr>
          <w:rFonts w:hint="eastAsia" w:ascii="宋体" w:hAnsi="宋体" w:cs="宋体"/>
          <w:color w:val="auto"/>
          <w:szCs w:val="21"/>
          <w:highlight w:val="none"/>
        </w:rPr>
      </w:pPr>
      <w:r>
        <w:rPr>
          <w:rFonts w:hint="eastAsia" w:ascii="宋体" w:hAnsi="宋体" w:cs="宋体"/>
          <w:color w:val="auto"/>
          <w:szCs w:val="21"/>
          <w:highlight w:val="none"/>
        </w:rPr>
        <w:t>日期：</w:t>
      </w:r>
    </w:p>
    <w:p w14:paraId="6B018295">
      <w:pPr>
        <w:spacing w:line="360" w:lineRule="auto"/>
        <w:rPr>
          <w:rFonts w:hint="default" w:ascii="宋体" w:hAnsi="宋体" w:eastAsia="宋体" w:cs="宋体"/>
          <w:b/>
          <w:color w:val="auto"/>
          <w:sz w:val="28"/>
          <w:szCs w:val="28"/>
          <w:highlight w:val="none"/>
          <w:lang w:val="en-US" w:eastAsia="zh-CN"/>
        </w:rPr>
      </w:pPr>
      <w:r>
        <w:rPr>
          <w:rFonts w:hint="eastAsia" w:ascii="宋体" w:hAnsi="宋体" w:cs="宋体"/>
          <w:color w:val="auto"/>
          <w:szCs w:val="21"/>
          <w:highlight w:val="none"/>
        </w:rPr>
        <w:br w:type="page"/>
      </w:r>
      <w:bookmarkStart w:id="428" w:name="_Toc7498"/>
      <w:bookmarkStart w:id="429" w:name="_Toc22179"/>
      <w:r>
        <w:rPr>
          <w:rFonts w:hint="eastAsia" w:ascii="宋体" w:hAnsi="宋体" w:cs="宋体"/>
          <w:b/>
          <w:color w:val="auto"/>
          <w:sz w:val="28"/>
          <w:szCs w:val="28"/>
          <w:highlight w:val="none"/>
        </w:rPr>
        <w:t>格式</w:t>
      </w:r>
      <w:r>
        <w:rPr>
          <w:rFonts w:hint="eastAsia" w:ascii="宋体" w:hAnsi="宋体" w:cs="宋体"/>
          <w:b/>
          <w:color w:val="auto"/>
          <w:sz w:val="28"/>
          <w:szCs w:val="28"/>
          <w:highlight w:val="none"/>
          <w:lang w:val="en-US" w:eastAsia="zh-CN"/>
        </w:rPr>
        <w:t>22</w:t>
      </w:r>
    </w:p>
    <w:p w14:paraId="63DAD272">
      <w:pPr>
        <w:keepNext/>
        <w:keepLines/>
        <w:spacing w:before="120" w:after="120" w:line="360" w:lineRule="auto"/>
        <w:jc w:val="center"/>
        <w:outlineLvl w:val="1"/>
        <w:rPr>
          <w:rFonts w:hint="eastAsia" w:ascii="宋体" w:hAnsi="宋体" w:cs="宋体"/>
          <w:b/>
          <w:bCs/>
          <w:color w:val="auto"/>
          <w:sz w:val="28"/>
          <w:szCs w:val="32"/>
          <w:highlight w:val="none"/>
        </w:rPr>
      </w:pPr>
      <w:bookmarkStart w:id="430" w:name="_Toc11384"/>
      <w:bookmarkStart w:id="431" w:name="_Toc491307474"/>
      <w:bookmarkStart w:id="432" w:name="_Toc19788"/>
      <w:bookmarkStart w:id="433" w:name="_Toc494043380"/>
      <w:bookmarkStart w:id="434" w:name="_Toc18785"/>
      <w:bookmarkStart w:id="435" w:name="_Toc29891"/>
      <w:bookmarkStart w:id="436" w:name="_Toc12268"/>
      <w:bookmarkStart w:id="437" w:name="_Toc491307354"/>
      <w:bookmarkStart w:id="438" w:name="_Toc18222"/>
      <w:bookmarkStart w:id="439" w:name="_Toc491307292"/>
      <w:bookmarkStart w:id="440" w:name="_Toc5130"/>
      <w:r>
        <w:rPr>
          <w:rFonts w:hint="eastAsia" w:ascii="宋体" w:hAnsi="宋体" w:cs="宋体"/>
          <w:b/>
          <w:bCs/>
          <w:color w:val="auto"/>
          <w:sz w:val="28"/>
          <w:szCs w:val="32"/>
          <w:highlight w:val="none"/>
        </w:rPr>
        <w:t>商务条款偏离表</w:t>
      </w:r>
      <w:bookmarkEnd w:id="430"/>
      <w:bookmarkEnd w:id="431"/>
      <w:bookmarkEnd w:id="432"/>
      <w:bookmarkEnd w:id="433"/>
      <w:bookmarkEnd w:id="434"/>
      <w:bookmarkEnd w:id="435"/>
      <w:bookmarkEnd w:id="436"/>
      <w:bookmarkEnd w:id="437"/>
      <w:bookmarkEnd w:id="438"/>
      <w:bookmarkEnd w:id="439"/>
      <w:bookmarkEnd w:id="440"/>
    </w:p>
    <w:p w14:paraId="66802C16">
      <w:pPr>
        <w:pStyle w:val="18"/>
        <w:rPr>
          <w:rFonts w:hint="eastAsia" w:hAnsi="宋体" w:cs="宋体"/>
          <w:b/>
          <w:color w:val="auto"/>
          <w:szCs w:val="21"/>
          <w:highlight w:val="none"/>
        </w:rPr>
      </w:pPr>
      <w:r>
        <w:rPr>
          <w:rFonts w:hint="eastAsia" w:hAnsi="宋体" w:cs="宋体"/>
          <w:b/>
          <w:color w:val="auto"/>
          <w:szCs w:val="21"/>
          <w:highlight w:val="none"/>
        </w:rPr>
        <w:t>项目名称：</w:t>
      </w:r>
    </w:p>
    <w:p w14:paraId="362A3A77">
      <w:pPr>
        <w:pStyle w:val="18"/>
        <w:rPr>
          <w:rFonts w:hint="eastAsia" w:hAnsi="宋体" w:cs="宋体"/>
          <w:b/>
          <w:color w:val="auto"/>
          <w:szCs w:val="21"/>
          <w:highlight w:val="none"/>
        </w:rPr>
      </w:pPr>
      <w:r>
        <w:rPr>
          <w:rFonts w:hint="eastAsia" w:hAnsi="宋体" w:cs="宋体"/>
          <w:b/>
          <w:color w:val="auto"/>
          <w:szCs w:val="21"/>
          <w:highlight w:val="none"/>
        </w:rPr>
        <w:t>项目编号：</w:t>
      </w:r>
    </w:p>
    <w:tbl>
      <w:tblPr>
        <w:tblStyle w:val="36"/>
        <w:tblW w:w="0" w:type="auto"/>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543"/>
        <w:gridCol w:w="3119"/>
        <w:gridCol w:w="1417"/>
      </w:tblGrid>
      <w:tr w14:paraId="7170C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1015" w:type="dxa"/>
            <w:noWrap w:val="0"/>
            <w:vAlign w:val="center"/>
          </w:tcPr>
          <w:p w14:paraId="33E6FC38">
            <w:pPr>
              <w:pStyle w:val="18"/>
              <w:keepNext w:val="0"/>
              <w:keepLines w:val="0"/>
              <w:suppressLineNumbers w:val="0"/>
              <w:spacing w:before="0" w:beforeAutospacing="0" w:after="0" w:afterAutospacing="0"/>
              <w:ind w:left="0" w:right="0"/>
              <w:jc w:val="center"/>
              <w:rPr>
                <w:rFonts w:hint="eastAsia" w:hAnsi="宋体" w:eastAsia="宋体" w:cs="宋体"/>
                <w:b/>
                <w:color w:val="auto"/>
                <w:szCs w:val="21"/>
                <w:highlight w:val="none"/>
              </w:rPr>
            </w:pPr>
            <w:r>
              <w:rPr>
                <w:rFonts w:hint="eastAsia" w:hAnsi="宋体" w:eastAsia="宋体" w:cs="宋体"/>
                <w:b/>
                <w:color w:val="auto"/>
                <w:szCs w:val="21"/>
                <w:highlight w:val="none"/>
              </w:rPr>
              <w:t>序号</w:t>
            </w:r>
          </w:p>
        </w:tc>
        <w:tc>
          <w:tcPr>
            <w:tcW w:w="3543" w:type="dxa"/>
            <w:noWrap w:val="0"/>
            <w:vAlign w:val="center"/>
          </w:tcPr>
          <w:p w14:paraId="4DD330DC">
            <w:pPr>
              <w:pStyle w:val="18"/>
              <w:keepNext w:val="0"/>
              <w:keepLines w:val="0"/>
              <w:suppressLineNumbers w:val="0"/>
              <w:spacing w:before="0" w:beforeAutospacing="0" w:after="0" w:afterAutospacing="0"/>
              <w:ind w:left="0" w:right="0"/>
              <w:jc w:val="center"/>
              <w:rPr>
                <w:rFonts w:hint="eastAsia" w:hAnsi="宋体" w:eastAsia="宋体" w:cs="宋体"/>
                <w:b/>
                <w:color w:val="auto"/>
                <w:szCs w:val="21"/>
                <w:highlight w:val="none"/>
              </w:rPr>
            </w:pPr>
            <w:r>
              <w:rPr>
                <w:rFonts w:hint="eastAsia" w:hAnsi="宋体" w:eastAsia="宋体" w:cs="宋体"/>
                <w:b/>
                <w:color w:val="auto"/>
                <w:szCs w:val="21"/>
                <w:highlight w:val="none"/>
              </w:rPr>
              <w:t>磋商文件商务条款</w:t>
            </w:r>
          </w:p>
        </w:tc>
        <w:tc>
          <w:tcPr>
            <w:tcW w:w="3119" w:type="dxa"/>
            <w:noWrap w:val="0"/>
            <w:vAlign w:val="center"/>
          </w:tcPr>
          <w:p w14:paraId="1153E6C8">
            <w:pPr>
              <w:pStyle w:val="18"/>
              <w:keepNext w:val="0"/>
              <w:keepLines w:val="0"/>
              <w:suppressLineNumbers w:val="0"/>
              <w:spacing w:before="0" w:beforeAutospacing="0" w:after="0" w:afterAutospacing="0"/>
              <w:ind w:left="0" w:right="0"/>
              <w:jc w:val="center"/>
              <w:rPr>
                <w:rFonts w:hint="eastAsia" w:hAnsi="宋体" w:eastAsia="宋体" w:cs="宋体"/>
                <w:b/>
                <w:color w:val="auto"/>
                <w:szCs w:val="21"/>
                <w:highlight w:val="none"/>
              </w:rPr>
            </w:pPr>
            <w:r>
              <w:rPr>
                <w:rFonts w:hint="eastAsia" w:hAnsi="宋体" w:eastAsia="宋体" w:cs="宋体"/>
                <w:b/>
                <w:color w:val="auto"/>
                <w:szCs w:val="21"/>
                <w:highlight w:val="none"/>
              </w:rPr>
              <w:t>响应文件响应情况</w:t>
            </w:r>
          </w:p>
        </w:tc>
        <w:tc>
          <w:tcPr>
            <w:tcW w:w="1417" w:type="dxa"/>
            <w:noWrap w:val="0"/>
            <w:vAlign w:val="center"/>
          </w:tcPr>
          <w:p w14:paraId="6E4C442A">
            <w:pPr>
              <w:pStyle w:val="18"/>
              <w:keepNext w:val="0"/>
              <w:keepLines w:val="0"/>
              <w:suppressLineNumbers w:val="0"/>
              <w:spacing w:before="0" w:beforeAutospacing="0" w:after="0" w:afterAutospacing="0"/>
              <w:ind w:left="0" w:right="0"/>
              <w:jc w:val="center"/>
              <w:rPr>
                <w:rFonts w:hint="eastAsia" w:hAnsi="宋体" w:eastAsia="宋体" w:cs="宋体"/>
                <w:b/>
                <w:color w:val="auto"/>
                <w:szCs w:val="21"/>
                <w:highlight w:val="none"/>
              </w:rPr>
            </w:pPr>
            <w:r>
              <w:rPr>
                <w:rFonts w:hint="eastAsia" w:hAnsi="宋体" w:eastAsia="宋体" w:cs="宋体"/>
                <w:b/>
                <w:color w:val="auto"/>
                <w:szCs w:val="21"/>
                <w:highlight w:val="none"/>
              </w:rPr>
              <w:t>偏离</w:t>
            </w:r>
          </w:p>
        </w:tc>
      </w:tr>
      <w:tr w14:paraId="28450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1015" w:type="dxa"/>
            <w:noWrap w:val="0"/>
            <w:vAlign w:val="top"/>
          </w:tcPr>
          <w:p w14:paraId="139E492D">
            <w:pPr>
              <w:pStyle w:val="18"/>
              <w:keepNext w:val="0"/>
              <w:keepLines w:val="0"/>
              <w:suppressLineNumbers w:val="0"/>
              <w:spacing w:before="0" w:beforeAutospacing="0" w:after="0" w:afterAutospacing="0"/>
              <w:ind w:left="0" w:right="0"/>
              <w:rPr>
                <w:rFonts w:hint="eastAsia" w:hAnsi="宋体" w:eastAsia="宋体" w:cs="宋体"/>
                <w:color w:val="auto"/>
                <w:szCs w:val="21"/>
                <w:highlight w:val="none"/>
              </w:rPr>
            </w:pPr>
          </w:p>
        </w:tc>
        <w:tc>
          <w:tcPr>
            <w:tcW w:w="3543" w:type="dxa"/>
            <w:noWrap w:val="0"/>
            <w:vAlign w:val="top"/>
          </w:tcPr>
          <w:p w14:paraId="3B218E44">
            <w:pPr>
              <w:pStyle w:val="18"/>
              <w:keepNext w:val="0"/>
              <w:keepLines w:val="0"/>
              <w:suppressLineNumbers w:val="0"/>
              <w:spacing w:before="0" w:beforeAutospacing="0" w:after="0" w:afterAutospacing="0"/>
              <w:ind w:left="0" w:right="0"/>
              <w:rPr>
                <w:rFonts w:hint="eastAsia" w:hAnsi="宋体" w:eastAsia="宋体" w:cs="宋体"/>
                <w:color w:val="auto"/>
                <w:szCs w:val="21"/>
                <w:highlight w:val="none"/>
              </w:rPr>
            </w:pPr>
          </w:p>
        </w:tc>
        <w:tc>
          <w:tcPr>
            <w:tcW w:w="3119" w:type="dxa"/>
            <w:noWrap w:val="0"/>
            <w:vAlign w:val="top"/>
          </w:tcPr>
          <w:p w14:paraId="07F0B1CB">
            <w:pPr>
              <w:pStyle w:val="18"/>
              <w:keepNext w:val="0"/>
              <w:keepLines w:val="0"/>
              <w:suppressLineNumbers w:val="0"/>
              <w:spacing w:before="0" w:beforeAutospacing="0" w:after="0" w:afterAutospacing="0"/>
              <w:ind w:left="0" w:right="0"/>
              <w:rPr>
                <w:rFonts w:hint="eastAsia" w:hAnsi="宋体" w:eastAsia="宋体" w:cs="宋体"/>
                <w:color w:val="auto"/>
                <w:szCs w:val="21"/>
                <w:highlight w:val="none"/>
              </w:rPr>
            </w:pPr>
          </w:p>
        </w:tc>
        <w:tc>
          <w:tcPr>
            <w:tcW w:w="1417" w:type="dxa"/>
            <w:noWrap w:val="0"/>
            <w:vAlign w:val="top"/>
          </w:tcPr>
          <w:p w14:paraId="2F3C6AB2">
            <w:pPr>
              <w:pStyle w:val="18"/>
              <w:keepNext w:val="0"/>
              <w:keepLines w:val="0"/>
              <w:suppressLineNumbers w:val="0"/>
              <w:spacing w:before="0" w:beforeAutospacing="0" w:after="0" w:afterAutospacing="0"/>
              <w:ind w:left="0" w:right="0"/>
              <w:rPr>
                <w:rFonts w:hint="eastAsia" w:hAnsi="宋体" w:eastAsia="宋体" w:cs="宋体"/>
                <w:color w:val="auto"/>
                <w:szCs w:val="21"/>
                <w:highlight w:val="none"/>
              </w:rPr>
            </w:pPr>
          </w:p>
        </w:tc>
      </w:tr>
      <w:tr w14:paraId="42EF6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1015" w:type="dxa"/>
            <w:noWrap w:val="0"/>
            <w:vAlign w:val="top"/>
          </w:tcPr>
          <w:p w14:paraId="6078F319">
            <w:pPr>
              <w:pStyle w:val="18"/>
              <w:keepNext w:val="0"/>
              <w:keepLines w:val="0"/>
              <w:suppressLineNumbers w:val="0"/>
              <w:spacing w:before="0" w:beforeAutospacing="0" w:after="0" w:afterAutospacing="0"/>
              <w:ind w:left="0" w:right="0"/>
              <w:rPr>
                <w:rFonts w:hint="eastAsia" w:hAnsi="宋体" w:eastAsia="宋体" w:cs="宋体"/>
                <w:color w:val="auto"/>
                <w:szCs w:val="21"/>
                <w:highlight w:val="none"/>
              </w:rPr>
            </w:pPr>
          </w:p>
        </w:tc>
        <w:tc>
          <w:tcPr>
            <w:tcW w:w="3543" w:type="dxa"/>
            <w:noWrap w:val="0"/>
            <w:vAlign w:val="top"/>
          </w:tcPr>
          <w:p w14:paraId="77DAFA8A">
            <w:pPr>
              <w:pStyle w:val="18"/>
              <w:keepNext w:val="0"/>
              <w:keepLines w:val="0"/>
              <w:suppressLineNumbers w:val="0"/>
              <w:spacing w:before="0" w:beforeAutospacing="0" w:after="0" w:afterAutospacing="0"/>
              <w:ind w:left="0" w:right="0"/>
              <w:rPr>
                <w:rFonts w:hint="eastAsia" w:hAnsi="宋体" w:eastAsia="宋体" w:cs="宋体"/>
                <w:color w:val="auto"/>
                <w:szCs w:val="21"/>
                <w:highlight w:val="none"/>
              </w:rPr>
            </w:pPr>
          </w:p>
        </w:tc>
        <w:tc>
          <w:tcPr>
            <w:tcW w:w="3119" w:type="dxa"/>
            <w:noWrap w:val="0"/>
            <w:vAlign w:val="top"/>
          </w:tcPr>
          <w:p w14:paraId="2D4E7033">
            <w:pPr>
              <w:pStyle w:val="18"/>
              <w:keepNext w:val="0"/>
              <w:keepLines w:val="0"/>
              <w:suppressLineNumbers w:val="0"/>
              <w:spacing w:before="0" w:beforeAutospacing="0" w:after="0" w:afterAutospacing="0"/>
              <w:ind w:left="0" w:right="0"/>
              <w:rPr>
                <w:rFonts w:hint="eastAsia" w:hAnsi="宋体" w:eastAsia="宋体" w:cs="宋体"/>
                <w:color w:val="auto"/>
                <w:szCs w:val="21"/>
                <w:highlight w:val="none"/>
              </w:rPr>
            </w:pPr>
          </w:p>
        </w:tc>
        <w:tc>
          <w:tcPr>
            <w:tcW w:w="1417" w:type="dxa"/>
            <w:noWrap w:val="0"/>
            <w:vAlign w:val="top"/>
          </w:tcPr>
          <w:p w14:paraId="6A5EBE23">
            <w:pPr>
              <w:pStyle w:val="18"/>
              <w:keepNext w:val="0"/>
              <w:keepLines w:val="0"/>
              <w:suppressLineNumbers w:val="0"/>
              <w:spacing w:before="0" w:beforeAutospacing="0" w:after="0" w:afterAutospacing="0"/>
              <w:ind w:left="0" w:right="0"/>
              <w:rPr>
                <w:rFonts w:hint="eastAsia" w:hAnsi="宋体" w:eastAsia="宋体" w:cs="宋体"/>
                <w:color w:val="auto"/>
                <w:szCs w:val="21"/>
                <w:highlight w:val="none"/>
              </w:rPr>
            </w:pPr>
          </w:p>
        </w:tc>
      </w:tr>
      <w:tr w14:paraId="04D56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1015" w:type="dxa"/>
            <w:noWrap w:val="0"/>
            <w:vAlign w:val="top"/>
          </w:tcPr>
          <w:p w14:paraId="1C657500">
            <w:pPr>
              <w:pStyle w:val="18"/>
              <w:keepNext w:val="0"/>
              <w:keepLines w:val="0"/>
              <w:suppressLineNumbers w:val="0"/>
              <w:spacing w:before="0" w:beforeAutospacing="0" w:after="0" w:afterAutospacing="0"/>
              <w:ind w:left="0" w:right="0"/>
              <w:rPr>
                <w:rFonts w:hint="eastAsia" w:hAnsi="宋体" w:eastAsia="宋体" w:cs="宋体"/>
                <w:color w:val="auto"/>
                <w:szCs w:val="21"/>
                <w:highlight w:val="none"/>
              </w:rPr>
            </w:pPr>
          </w:p>
        </w:tc>
        <w:tc>
          <w:tcPr>
            <w:tcW w:w="3543" w:type="dxa"/>
            <w:noWrap w:val="0"/>
            <w:vAlign w:val="top"/>
          </w:tcPr>
          <w:p w14:paraId="6CFE7603">
            <w:pPr>
              <w:pStyle w:val="18"/>
              <w:keepNext w:val="0"/>
              <w:keepLines w:val="0"/>
              <w:suppressLineNumbers w:val="0"/>
              <w:spacing w:before="0" w:beforeAutospacing="0" w:after="0" w:afterAutospacing="0"/>
              <w:ind w:left="0" w:right="0"/>
              <w:rPr>
                <w:rFonts w:hint="eastAsia" w:hAnsi="宋体" w:eastAsia="宋体" w:cs="宋体"/>
                <w:color w:val="auto"/>
                <w:szCs w:val="21"/>
                <w:highlight w:val="none"/>
              </w:rPr>
            </w:pPr>
          </w:p>
        </w:tc>
        <w:tc>
          <w:tcPr>
            <w:tcW w:w="3119" w:type="dxa"/>
            <w:noWrap w:val="0"/>
            <w:vAlign w:val="top"/>
          </w:tcPr>
          <w:p w14:paraId="1540853D">
            <w:pPr>
              <w:pStyle w:val="18"/>
              <w:keepNext w:val="0"/>
              <w:keepLines w:val="0"/>
              <w:suppressLineNumbers w:val="0"/>
              <w:spacing w:before="0" w:beforeAutospacing="0" w:after="0" w:afterAutospacing="0"/>
              <w:ind w:left="0" w:right="0"/>
              <w:rPr>
                <w:rFonts w:hint="eastAsia" w:hAnsi="宋体" w:eastAsia="宋体" w:cs="宋体"/>
                <w:color w:val="auto"/>
                <w:szCs w:val="21"/>
                <w:highlight w:val="none"/>
              </w:rPr>
            </w:pPr>
          </w:p>
        </w:tc>
        <w:tc>
          <w:tcPr>
            <w:tcW w:w="1417" w:type="dxa"/>
            <w:noWrap w:val="0"/>
            <w:vAlign w:val="top"/>
          </w:tcPr>
          <w:p w14:paraId="3C38372D">
            <w:pPr>
              <w:pStyle w:val="18"/>
              <w:keepNext w:val="0"/>
              <w:keepLines w:val="0"/>
              <w:suppressLineNumbers w:val="0"/>
              <w:spacing w:before="0" w:beforeAutospacing="0" w:after="0" w:afterAutospacing="0"/>
              <w:ind w:left="0" w:right="0"/>
              <w:rPr>
                <w:rFonts w:hint="eastAsia" w:hAnsi="宋体" w:eastAsia="宋体" w:cs="宋体"/>
                <w:color w:val="auto"/>
                <w:szCs w:val="21"/>
                <w:highlight w:val="none"/>
              </w:rPr>
            </w:pPr>
          </w:p>
        </w:tc>
      </w:tr>
    </w:tbl>
    <w:p w14:paraId="19E543A5">
      <w:pPr>
        <w:pStyle w:val="18"/>
        <w:spacing w:line="360" w:lineRule="auto"/>
        <w:rPr>
          <w:rFonts w:hint="eastAsia" w:hAnsi="宋体" w:cs="宋体"/>
          <w:color w:val="auto"/>
          <w:szCs w:val="21"/>
          <w:highlight w:val="none"/>
        </w:rPr>
      </w:pPr>
      <w:r>
        <w:rPr>
          <w:rFonts w:hint="eastAsia" w:hAnsi="宋体" w:cs="宋体"/>
          <w:color w:val="auto"/>
          <w:szCs w:val="21"/>
          <w:highlight w:val="none"/>
        </w:rPr>
        <w:t>注：</w:t>
      </w:r>
    </w:p>
    <w:p w14:paraId="4BD83261">
      <w:pPr>
        <w:pStyle w:val="18"/>
        <w:spacing w:line="360" w:lineRule="auto"/>
        <w:rPr>
          <w:rFonts w:hint="eastAsia" w:hAnsi="宋体" w:cs="宋体"/>
          <w:color w:val="auto"/>
          <w:szCs w:val="21"/>
          <w:highlight w:val="none"/>
        </w:rPr>
      </w:pPr>
      <w:r>
        <w:rPr>
          <w:rFonts w:hint="eastAsia" w:hAnsi="宋体" w:cs="宋体"/>
          <w:color w:val="auto"/>
          <w:szCs w:val="21"/>
          <w:highlight w:val="none"/>
        </w:rPr>
        <w:t>1.表格中“偏离”一列，供应商只能如实填写“正偏离”、“负偏离”或“无偏离”。凡响应内容高于磋商文件要求的，按“正偏离”填写；低于磋商文件要求的，按“负偏离”填写；满足磋商文件要求的，按“无偏离”填写。</w:t>
      </w:r>
    </w:p>
    <w:p w14:paraId="440B3780">
      <w:pPr>
        <w:pStyle w:val="18"/>
        <w:spacing w:line="360" w:lineRule="auto"/>
        <w:rPr>
          <w:rFonts w:hint="eastAsia" w:hAnsi="宋体" w:cs="宋体"/>
          <w:color w:val="auto"/>
          <w:szCs w:val="21"/>
          <w:highlight w:val="none"/>
        </w:rPr>
      </w:pPr>
      <w:r>
        <w:rPr>
          <w:rFonts w:hint="eastAsia" w:hAnsi="宋体" w:cs="宋体"/>
          <w:color w:val="auto"/>
          <w:szCs w:val="21"/>
          <w:highlight w:val="none"/>
        </w:rPr>
        <w:t>2.序号应对应该商务条款在</w:t>
      </w:r>
      <w:r>
        <w:rPr>
          <w:rFonts w:hint="eastAsia" w:hAnsi="宋体" w:cs="宋体"/>
          <w:bCs/>
          <w:color w:val="auto"/>
          <w:szCs w:val="21"/>
          <w:highlight w:val="none"/>
        </w:rPr>
        <w:t>第三章《</w:t>
      </w:r>
      <w:r>
        <w:rPr>
          <w:rFonts w:hint="eastAsia" w:hAnsi="宋体" w:cs="宋体"/>
          <w:color w:val="auto"/>
          <w:szCs w:val="21"/>
          <w:highlight w:val="none"/>
        </w:rPr>
        <w:t>合同条款前附表</w:t>
      </w:r>
      <w:r>
        <w:rPr>
          <w:rFonts w:hint="eastAsia" w:hAnsi="宋体" w:cs="宋体"/>
          <w:bCs/>
          <w:color w:val="auto"/>
          <w:szCs w:val="21"/>
          <w:highlight w:val="none"/>
        </w:rPr>
        <w:t>》中的序号。</w:t>
      </w:r>
    </w:p>
    <w:p w14:paraId="5CE1D053">
      <w:pPr>
        <w:pStyle w:val="18"/>
        <w:spacing w:line="360" w:lineRule="auto"/>
        <w:rPr>
          <w:rFonts w:hint="eastAsia" w:hAnsi="宋体" w:cs="宋体"/>
          <w:color w:val="auto"/>
          <w:szCs w:val="21"/>
          <w:highlight w:val="none"/>
        </w:rPr>
      </w:pPr>
      <w:r>
        <w:rPr>
          <w:rFonts w:hint="eastAsia" w:hAnsi="宋体" w:cs="宋体"/>
          <w:color w:val="auto"/>
          <w:szCs w:val="21"/>
          <w:highlight w:val="none"/>
        </w:rPr>
        <w:t>3.各供应商必须对磋商文件</w:t>
      </w:r>
      <w:r>
        <w:rPr>
          <w:rFonts w:hint="eastAsia" w:hAnsi="宋体" w:cs="宋体"/>
          <w:bCs/>
          <w:color w:val="auto"/>
          <w:szCs w:val="21"/>
          <w:highlight w:val="none"/>
        </w:rPr>
        <w:t>第三章《</w:t>
      </w:r>
      <w:r>
        <w:rPr>
          <w:rFonts w:hint="eastAsia" w:hAnsi="宋体" w:cs="宋体"/>
          <w:color w:val="auto"/>
          <w:szCs w:val="21"/>
          <w:highlight w:val="none"/>
        </w:rPr>
        <w:t>合同条款前附表</w:t>
      </w:r>
      <w:r>
        <w:rPr>
          <w:rFonts w:hint="eastAsia" w:hAnsi="宋体" w:cs="宋体"/>
          <w:bCs/>
          <w:color w:val="auto"/>
          <w:szCs w:val="21"/>
          <w:highlight w:val="none"/>
        </w:rPr>
        <w:t>》</w:t>
      </w:r>
      <w:r>
        <w:rPr>
          <w:rFonts w:hint="eastAsia" w:hAnsi="宋体" w:cs="宋体"/>
          <w:color w:val="auto"/>
          <w:szCs w:val="21"/>
          <w:highlight w:val="none"/>
        </w:rPr>
        <w:t>中的商务条款作出全面、真实的反映，若响应文件中响应情况与磋商文件商务条款不符或无有效证明，而供应商又未在响应文件中作出说明和解释的，磋商小组在评审时可以视为不响应该条商务条款的规定。</w:t>
      </w:r>
    </w:p>
    <w:p w14:paraId="34B31BAE">
      <w:pPr>
        <w:pStyle w:val="18"/>
        <w:spacing w:line="360" w:lineRule="auto"/>
        <w:rPr>
          <w:rFonts w:hint="eastAsia" w:hAnsi="宋体" w:cs="宋体"/>
          <w:color w:val="auto"/>
          <w:szCs w:val="21"/>
          <w:highlight w:val="none"/>
        </w:rPr>
      </w:pPr>
      <w:r>
        <w:rPr>
          <w:rFonts w:hint="eastAsia" w:hAnsi="宋体" w:cs="宋体"/>
          <w:color w:val="auto"/>
          <w:szCs w:val="21"/>
          <w:highlight w:val="none"/>
        </w:rPr>
        <w:t>4.供应商可根据磋商文件商务条款拓展本表，但不得改变格式。</w:t>
      </w:r>
    </w:p>
    <w:p w14:paraId="2DB995E1">
      <w:pPr>
        <w:spacing w:line="360" w:lineRule="auto"/>
        <w:ind w:firstLine="2" w:firstLineChars="1"/>
        <w:jc w:val="left"/>
        <w:rPr>
          <w:rFonts w:hint="eastAsia" w:ascii="宋体" w:hAnsi="宋体" w:cs="宋体"/>
          <w:color w:val="auto"/>
          <w:szCs w:val="21"/>
          <w:highlight w:val="none"/>
        </w:rPr>
      </w:pPr>
    </w:p>
    <w:p w14:paraId="2E6F8DCC">
      <w:pPr>
        <w:spacing w:line="360" w:lineRule="auto"/>
        <w:ind w:firstLine="2" w:firstLineChars="1"/>
        <w:jc w:val="left"/>
        <w:rPr>
          <w:rFonts w:hint="eastAsia" w:ascii="宋体" w:hAnsi="宋体" w:cs="宋体"/>
          <w:color w:val="auto"/>
          <w:szCs w:val="21"/>
          <w:highlight w:val="none"/>
        </w:rPr>
      </w:pPr>
    </w:p>
    <w:p w14:paraId="7B5B8AAB">
      <w:pPr>
        <w:spacing w:line="360" w:lineRule="auto"/>
        <w:ind w:firstLine="2" w:firstLineChars="1"/>
        <w:jc w:val="left"/>
        <w:rPr>
          <w:rFonts w:hint="eastAsia" w:ascii="宋体" w:hAnsi="宋体" w:cs="宋体"/>
          <w:color w:val="auto"/>
          <w:szCs w:val="21"/>
          <w:highlight w:val="none"/>
        </w:rPr>
      </w:pPr>
      <w:r>
        <w:rPr>
          <w:rFonts w:hint="eastAsia" w:ascii="宋体" w:hAnsi="宋体" w:cs="宋体"/>
          <w:color w:val="auto"/>
          <w:szCs w:val="21"/>
          <w:highlight w:val="none"/>
        </w:rPr>
        <w:t>供应商（</w:t>
      </w:r>
      <w:r>
        <w:rPr>
          <w:rFonts w:hint="eastAsia" w:ascii="宋体" w:hAnsi="宋体" w:cs="宋体"/>
          <w:color w:val="auto"/>
          <w:szCs w:val="21"/>
          <w:highlight w:val="none"/>
          <w:lang w:eastAsia="zh-CN"/>
        </w:rPr>
        <w:t>加盖供应商电子公章</w:t>
      </w:r>
      <w:r>
        <w:rPr>
          <w:rFonts w:hint="eastAsia" w:ascii="宋体" w:hAnsi="宋体" w:cs="宋体"/>
          <w:color w:val="auto"/>
          <w:szCs w:val="21"/>
          <w:highlight w:val="none"/>
        </w:rPr>
        <w:t>）：</w:t>
      </w:r>
    </w:p>
    <w:p w14:paraId="69BE50B9">
      <w:pPr>
        <w:spacing w:line="360" w:lineRule="auto"/>
        <w:ind w:firstLine="2" w:firstLineChars="1"/>
        <w:jc w:val="left"/>
        <w:rPr>
          <w:rFonts w:hint="eastAsia" w:ascii="宋体" w:hAnsi="宋体" w:cs="宋体"/>
          <w:color w:val="auto"/>
          <w:szCs w:val="21"/>
          <w:highlight w:val="none"/>
        </w:rPr>
      </w:pPr>
      <w:r>
        <w:rPr>
          <w:rFonts w:hint="eastAsia" w:ascii="宋体" w:hAnsi="宋体" w:cs="宋体"/>
          <w:color w:val="auto"/>
          <w:szCs w:val="21"/>
          <w:highlight w:val="none"/>
        </w:rPr>
        <w:t>法定代表人（</w:t>
      </w:r>
      <w:r>
        <w:rPr>
          <w:rFonts w:hint="eastAsia" w:ascii="宋体" w:hAnsi="宋体" w:cs="宋体"/>
          <w:color w:val="auto"/>
          <w:szCs w:val="21"/>
          <w:highlight w:val="none"/>
          <w:lang w:eastAsia="zh-CN"/>
        </w:rPr>
        <w:t>电子签名或盖章</w:t>
      </w:r>
      <w:r>
        <w:rPr>
          <w:rFonts w:hint="eastAsia" w:ascii="宋体" w:hAnsi="宋体" w:cs="宋体"/>
          <w:color w:val="auto"/>
          <w:szCs w:val="21"/>
          <w:highlight w:val="none"/>
        </w:rPr>
        <w:t>）：</w:t>
      </w:r>
    </w:p>
    <w:p w14:paraId="53D950B3">
      <w:pPr>
        <w:autoSpaceDE w:val="0"/>
        <w:autoSpaceDN w:val="0"/>
        <w:adjustRightIn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日期：</w:t>
      </w:r>
    </w:p>
    <w:p w14:paraId="61AE19F5">
      <w:pPr>
        <w:keepNext/>
        <w:keepLines/>
        <w:spacing w:before="120" w:after="120" w:line="360" w:lineRule="auto"/>
        <w:jc w:val="left"/>
        <w:outlineLvl w:val="1"/>
        <w:rPr>
          <w:rFonts w:hint="default" w:ascii="宋体" w:hAnsi="宋体" w:eastAsia="宋体" w:cs="宋体"/>
          <w:b/>
          <w:color w:val="auto"/>
          <w:szCs w:val="21"/>
          <w:highlight w:val="none"/>
          <w:lang w:val="en-US" w:eastAsia="zh-CN"/>
        </w:rPr>
      </w:pPr>
      <w:r>
        <w:rPr>
          <w:rFonts w:hint="eastAsia" w:ascii="宋体" w:hAnsi="宋体" w:cs="宋体"/>
          <w:color w:val="auto"/>
          <w:szCs w:val="21"/>
          <w:highlight w:val="none"/>
        </w:rPr>
        <w:br w:type="page"/>
      </w:r>
      <w:bookmarkStart w:id="441" w:name="_Toc2307"/>
      <w:r>
        <w:rPr>
          <w:rFonts w:hint="eastAsia" w:ascii="宋体" w:hAnsi="宋体" w:cs="宋体"/>
          <w:b/>
          <w:color w:val="auto"/>
          <w:sz w:val="28"/>
          <w:szCs w:val="28"/>
          <w:highlight w:val="none"/>
        </w:rPr>
        <w:t>格式</w:t>
      </w:r>
      <w:bookmarkEnd w:id="428"/>
      <w:r>
        <w:rPr>
          <w:rFonts w:hint="eastAsia" w:ascii="宋体" w:hAnsi="宋体" w:cs="宋体"/>
          <w:b/>
          <w:color w:val="auto"/>
          <w:sz w:val="28"/>
          <w:szCs w:val="28"/>
          <w:highlight w:val="none"/>
          <w:lang w:val="en-US" w:eastAsia="zh-CN"/>
        </w:rPr>
        <w:t>2</w:t>
      </w:r>
      <w:bookmarkEnd w:id="441"/>
      <w:r>
        <w:rPr>
          <w:rFonts w:hint="eastAsia" w:ascii="宋体" w:hAnsi="宋体" w:cs="宋体"/>
          <w:b/>
          <w:color w:val="auto"/>
          <w:sz w:val="28"/>
          <w:szCs w:val="28"/>
          <w:highlight w:val="none"/>
          <w:lang w:val="en-US" w:eastAsia="zh-CN"/>
        </w:rPr>
        <w:t>3</w:t>
      </w:r>
    </w:p>
    <w:p w14:paraId="2C4FF651">
      <w:pPr>
        <w:keepNext/>
        <w:keepLines/>
        <w:spacing w:before="120" w:after="120" w:line="360" w:lineRule="auto"/>
        <w:jc w:val="center"/>
        <w:outlineLvl w:val="1"/>
        <w:rPr>
          <w:rFonts w:hint="eastAsia" w:ascii="宋体" w:hAnsi="宋体" w:cs="宋体"/>
          <w:b/>
          <w:bCs/>
          <w:color w:val="auto"/>
          <w:sz w:val="28"/>
          <w:szCs w:val="32"/>
          <w:highlight w:val="none"/>
        </w:rPr>
      </w:pPr>
      <w:bookmarkStart w:id="442" w:name="_Toc22168"/>
      <w:bookmarkStart w:id="443" w:name="_Toc9977"/>
      <w:bookmarkStart w:id="444" w:name="_Toc488633629"/>
      <w:bookmarkStart w:id="445" w:name="_Toc481694857"/>
      <w:bookmarkStart w:id="446" w:name="_Toc22314"/>
      <w:bookmarkStart w:id="447" w:name="_Toc494043354"/>
      <w:bookmarkStart w:id="448" w:name="_Toc491307500"/>
      <w:bookmarkStart w:id="449" w:name="_Toc491307318"/>
      <w:bookmarkStart w:id="450" w:name="_Toc491307380"/>
      <w:bookmarkStart w:id="451" w:name="_Toc23266"/>
      <w:bookmarkStart w:id="452" w:name="_Toc15836"/>
      <w:bookmarkStart w:id="453" w:name="_Toc1487"/>
      <w:bookmarkStart w:id="454" w:name="_Toc26168"/>
      <w:r>
        <w:rPr>
          <w:rFonts w:hint="eastAsia" w:ascii="宋体" w:hAnsi="宋体" w:cs="宋体"/>
          <w:b/>
          <w:bCs/>
          <w:color w:val="auto"/>
          <w:sz w:val="28"/>
          <w:szCs w:val="32"/>
          <w:highlight w:val="none"/>
        </w:rPr>
        <w:t>法定代表人身份证明书</w:t>
      </w:r>
      <w:bookmarkEnd w:id="442"/>
      <w:bookmarkEnd w:id="443"/>
      <w:bookmarkEnd w:id="444"/>
      <w:bookmarkEnd w:id="445"/>
      <w:bookmarkEnd w:id="446"/>
      <w:bookmarkEnd w:id="447"/>
      <w:bookmarkEnd w:id="448"/>
      <w:bookmarkEnd w:id="449"/>
      <w:bookmarkEnd w:id="450"/>
      <w:bookmarkEnd w:id="451"/>
      <w:bookmarkEnd w:id="452"/>
      <w:bookmarkEnd w:id="453"/>
      <w:bookmarkEnd w:id="454"/>
    </w:p>
    <w:p w14:paraId="27361CBB">
      <w:pPr>
        <w:spacing w:line="440" w:lineRule="exact"/>
        <w:jc w:val="center"/>
        <w:rPr>
          <w:rFonts w:hint="eastAsia" w:ascii="宋体" w:hAnsi="宋体" w:cs="宋体"/>
          <w:b/>
          <w:color w:val="auto"/>
          <w:sz w:val="30"/>
          <w:szCs w:val="30"/>
          <w:highlight w:val="none"/>
        </w:rPr>
      </w:pPr>
    </w:p>
    <w:p w14:paraId="0C1BADC8">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供应商名称：</w:t>
      </w:r>
      <w:r>
        <w:rPr>
          <w:rFonts w:hint="eastAsia" w:ascii="宋体" w:hAnsi="宋体" w:cs="宋体"/>
          <w:color w:val="auto"/>
          <w:szCs w:val="21"/>
          <w:highlight w:val="none"/>
          <w:u w:val="single"/>
        </w:rPr>
        <w:t xml:space="preserve">                        </w:t>
      </w:r>
    </w:p>
    <w:p w14:paraId="67CAA34C">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单位性质：</w:t>
      </w:r>
      <w:r>
        <w:rPr>
          <w:rFonts w:hint="eastAsia" w:ascii="宋体" w:hAnsi="宋体" w:cs="宋体"/>
          <w:color w:val="auto"/>
          <w:szCs w:val="21"/>
          <w:highlight w:val="none"/>
          <w:u w:val="single"/>
        </w:rPr>
        <w:t xml:space="preserve">                          </w:t>
      </w:r>
    </w:p>
    <w:p w14:paraId="2770EC74">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成立时间：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46FA2253">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经营期限：</w:t>
      </w:r>
      <w:r>
        <w:rPr>
          <w:rFonts w:hint="eastAsia" w:ascii="宋体" w:hAnsi="宋体" w:cs="宋体"/>
          <w:color w:val="auto"/>
          <w:szCs w:val="21"/>
          <w:highlight w:val="none"/>
          <w:u w:val="single"/>
        </w:rPr>
        <w:t xml:space="preserve">                          </w:t>
      </w:r>
    </w:p>
    <w:p w14:paraId="5E6E687C">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职务：</w:t>
      </w:r>
      <w:r>
        <w:rPr>
          <w:rFonts w:hint="eastAsia" w:ascii="宋体" w:hAnsi="宋体" w:cs="宋体"/>
          <w:color w:val="auto"/>
          <w:szCs w:val="21"/>
          <w:highlight w:val="none"/>
          <w:u w:val="single"/>
        </w:rPr>
        <w:t xml:space="preserve">            </w:t>
      </w:r>
    </w:p>
    <w:p w14:paraId="460787B5">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系</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（供应商名称）的法定代表人。</w:t>
      </w:r>
    </w:p>
    <w:p w14:paraId="629D9969">
      <w:pPr>
        <w:spacing w:line="360" w:lineRule="auto"/>
        <w:rPr>
          <w:rFonts w:hint="eastAsia" w:ascii="宋体" w:hAnsi="宋体" w:cs="宋体"/>
          <w:color w:val="auto"/>
          <w:szCs w:val="21"/>
          <w:highlight w:val="none"/>
        </w:rPr>
      </w:pPr>
    </w:p>
    <w:p w14:paraId="1683CD9A">
      <w:pPr>
        <w:spacing w:line="360" w:lineRule="auto"/>
        <w:ind w:firstLine="420" w:firstLineChars="200"/>
        <w:rPr>
          <w:rFonts w:hint="eastAsia" w:ascii="宋体" w:hAnsi="宋体" w:cs="宋体"/>
          <w:color w:val="auto"/>
          <w:szCs w:val="21"/>
          <w:highlight w:val="none"/>
        </w:rPr>
      </w:pPr>
    </w:p>
    <w:p w14:paraId="75876F8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特此证明。</w:t>
      </w:r>
    </w:p>
    <w:p w14:paraId="1EDF3C0F">
      <w:pPr>
        <w:spacing w:line="360" w:lineRule="auto"/>
        <w:rPr>
          <w:rFonts w:hint="eastAsia" w:ascii="宋体" w:hAnsi="宋体" w:cs="宋体"/>
          <w:color w:val="auto"/>
          <w:szCs w:val="21"/>
          <w:highlight w:val="none"/>
        </w:rPr>
      </w:pPr>
    </w:p>
    <w:p w14:paraId="1AD0AEB9">
      <w:pPr>
        <w:spacing w:line="360" w:lineRule="auto"/>
        <w:rPr>
          <w:rFonts w:hint="eastAsia" w:ascii="宋体" w:hAnsi="宋体" w:cs="宋体"/>
          <w:color w:val="auto"/>
          <w:szCs w:val="21"/>
          <w:highlight w:val="none"/>
        </w:rPr>
      </w:pPr>
    </w:p>
    <w:p w14:paraId="7443709C">
      <w:pPr>
        <w:spacing w:line="360" w:lineRule="auto"/>
        <w:rPr>
          <w:rFonts w:hint="eastAsia" w:ascii="宋体" w:hAnsi="宋体" w:cs="宋体"/>
          <w:color w:val="auto"/>
          <w:szCs w:val="21"/>
          <w:highlight w:val="none"/>
        </w:rPr>
      </w:pPr>
    </w:p>
    <w:p w14:paraId="2EAA0FE8">
      <w:pPr>
        <w:spacing w:line="360" w:lineRule="auto"/>
        <w:rPr>
          <w:rFonts w:hint="eastAsia" w:ascii="宋体" w:hAnsi="宋体" w:cs="宋体"/>
          <w:color w:val="auto"/>
          <w:szCs w:val="21"/>
          <w:highlight w:val="none"/>
        </w:rPr>
      </w:pPr>
    </w:p>
    <w:p w14:paraId="0403A9B1">
      <w:pPr>
        <w:spacing w:line="360" w:lineRule="auto"/>
        <w:ind w:left="5397" w:leftChars="2570"/>
        <w:jc w:val="left"/>
        <w:rPr>
          <w:rFonts w:hint="eastAsia" w:ascii="宋体" w:hAnsi="宋体" w:cs="宋体"/>
          <w:color w:val="auto"/>
          <w:szCs w:val="21"/>
          <w:highlight w:val="none"/>
        </w:rPr>
      </w:pPr>
      <w:r>
        <w:rPr>
          <w:rFonts w:hint="eastAsia" w:ascii="宋体" w:hAnsi="宋体" w:cs="宋体"/>
          <w:color w:val="auto"/>
          <w:szCs w:val="21"/>
          <w:highlight w:val="none"/>
        </w:rPr>
        <w:t>供应商（</w:t>
      </w:r>
      <w:r>
        <w:rPr>
          <w:rFonts w:hint="eastAsia" w:ascii="宋体" w:hAnsi="宋体" w:cs="宋体"/>
          <w:color w:val="auto"/>
          <w:szCs w:val="21"/>
          <w:highlight w:val="none"/>
          <w:lang w:eastAsia="zh-CN"/>
        </w:rPr>
        <w:t>加盖供应商电子公章</w:t>
      </w:r>
      <w:r>
        <w:rPr>
          <w:rFonts w:hint="eastAsia" w:ascii="宋体" w:hAnsi="宋体" w:cs="宋体"/>
          <w:color w:val="auto"/>
          <w:szCs w:val="21"/>
          <w:highlight w:val="none"/>
        </w:rPr>
        <w:t>）：</w:t>
      </w:r>
    </w:p>
    <w:p w14:paraId="19BFEEDC">
      <w:pPr>
        <w:spacing w:line="360" w:lineRule="auto"/>
        <w:ind w:left="5397" w:leftChars="2570"/>
        <w:jc w:val="left"/>
        <w:rPr>
          <w:rFonts w:hint="eastAsia" w:ascii="宋体" w:hAnsi="宋体" w:cs="宋体"/>
          <w:color w:val="auto"/>
          <w:szCs w:val="21"/>
          <w:highlight w:val="none"/>
        </w:rPr>
      </w:pPr>
    </w:p>
    <w:p w14:paraId="5537C652">
      <w:pPr>
        <w:spacing w:line="360" w:lineRule="auto"/>
        <w:ind w:left="5397" w:leftChars="2570"/>
        <w:jc w:val="left"/>
        <w:rPr>
          <w:rFonts w:hint="eastAsia" w:ascii="宋体" w:hAnsi="宋体" w:cs="宋体"/>
          <w:color w:val="auto"/>
          <w:szCs w:val="21"/>
          <w:highlight w:val="none"/>
        </w:rPr>
      </w:pPr>
      <w:r>
        <w:rPr>
          <w:rFonts w:hint="eastAsia" w:ascii="宋体" w:hAnsi="宋体" w:cs="宋体"/>
          <w:color w:val="auto"/>
          <w:szCs w:val="21"/>
          <w:highlight w:val="none"/>
        </w:rPr>
        <w:t>日期：</w:t>
      </w:r>
    </w:p>
    <w:p w14:paraId="23301AE1">
      <w:pPr>
        <w:spacing w:line="360" w:lineRule="auto"/>
        <w:jc w:val="left"/>
        <w:rPr>
          <w:rFonts w:hint="eastAsia" w:ascii="宋体" w:hAnsi="宋体" w:cs="宋体"/>
          <w:b/>
          <w:bCs/>
          <w:color w:val="auto"/>
          <w:szCs w:val="21"/>
          <w:highlight w:val="none"/>
        </w:rPr>
      </w:pPr>
    </w:p>
    <w:p w14:paraId="62BE955F">
      <w:pPr>
        <w:spacing w:line="360" w:lineRule="auto"/>
        <w:jc w:val="left"/>
        <w:rPr>
          <w:rFonts w:hint="eastAsia" w:ascii="宋体" w:hAnsi="宋体" w:cs="宋体"/>
          <w:color w:val="auto"/>
          <w:szCs w:val="21"/>
          <w:highlight w:val="none"/>
        </w:rPr>
      </w:pPr>
      <w:r>
        <w:rPr>
          <w:rFonts w:hint="eastAsia" w:ascii="宋体" w:hAnsi="宋体" w:cs="宋体"/>
          <w:b/>
          <w:bCs/>
          <w:color w:val="auto"/>
          <w:szCs w:val="21"/>
          <w:highlight w:val="none"/>
        </w:rPr>
        <w:t>附:法定代表人居民身份证复印件。</w:t>
      </w:r>
    </w:p>
    <w:p w14:paraId="7904416D">
      <w:pPr>
        <w:keepNext/>
        <w:keepLines/>
        <w:spacing w:after="120" w:line="360" w:lineRule="auto"/>
        <w:jc w:val="left"/>
        <w:outlineLvl w:val="1"/>
        <w:rPr>
          <w:rFonts w:hint="default" w:ascii="宋体" w:hAnsi="宋体" w:eastAsia="宋体" w:cs="宋体"/>
          <w:b/>
          <w:color w:val="auto"/>
          <w:sz w:val="28"/>
          <w:szCs w:val="28"/>
          <w:highlight w:val="none"/>
          <w:lang w:val="en-US" w:eastAsia="zh-CN"/>
        </w:rPr>
      </w:pPr>
      <w:r>
        <w:rPr>
          <w:rFonts w:hint="eastAsia" w:ascii="宋体" w:hAnsi="宋体" w:cs="宋体"/>
          <w:color w:val="auto"/>
          <w:sz w:val="24"/>
          <w:highlight w:val="none"/>
        </w:rPr>
        <w:br w:type="page"/>
      </w:r>
      <w:bookmarkStart w:id="455" w:name="_Toc31647"/>
      <w:bookmarkStart w:id="456" w:name="_Toc491307381"/>
      <w:bookmarkStart w:id="457" w:name="_Toc20803"/>
      <w:bookmarkStart w:id="458" w:name="_Toc30582"/>
      <w:bookmarkStart w:id="459" w:name="_Toc494043355"/>
      <w:bookmarkStart w:id="460" w:name="_Toc491307319"/>
      <w:bookmarkStart w:id="461" w:name="_Toc31376"/>
      <w:bookmarkStart w:id="462" w:name="_Toc13641"/>
      <w:bookmarkStart w:id="463" w:name="_Toc491307501"/>
      <w:bookmarkStart w:id="464" w:name="_Toc14574"/>
      <w:bookmarkStart w:id="465" w:name="_Toc6585"/>
      <w:r>
        <w:rPr>
          <w:rFonts w:hint="eastAsia" w:ascii="宋体" w:hAnsi="宋体" w:cs="宋体"/>
          <w:b/>
          <w:color w:val="auto"/>
          <w:sz w:val="28"/>
          <w:szCs w:val="28"/>
          <w:highlight w:val="none"/>
        </w:rPr>
        <w:t>格式</w:t>
      </w:r>
      <w:bookmarkEnd w:id="455"/>
      <w:bookmarkEnd w:id="456"/>
      <w:bookmarkEnd w:id="457"/>
      <w:bookmarkEnd w:id="458"/>
      <w:bookmarkEnd w:id="459"/>
      <w:bookmarkEnd w:id="460"/>
      <w:bookmarkEnd w:id="461"/>
      <w:bookmarkEnd w:id="462"/>
      <w:bookmarkEnd w:id="463"/>
      <w:bookmarkEnd w:id="464"/>
      <w:r>
        <w:rPr>
          <w:rFonts w:hint="eastAsia" w:ascii="宋体" w:hAnsi="宋体" w:cs="宋体"/>
          <w:b/>
          <w:color w:val="auto"/>
          <w:sz w:val="28"/>
          <w:szCs w:val="28"/>
          <w:highlight w:val="none"/>
          <w:lang w:val="en-US" w:eastAsia="zh-CN"/>
        </w:rPr>
        <w:t>2</w:t>
      </w:r>
      <w:bookmarkEnd w:id="465"/>
      <w:r>
        <w:rPr>
          <w:rFonts w:hint="eastAsia" w:ascii="宋体" w:hAnsi="宋体" w:cs="宋体"/>
          <w:b/>
          <w:color w:val="auto"/>
          <w:sz w:val="28"/>
          <w:szCs w:val="28"/>
          <w:highlight w:val="none"/>
          <w:lang w:val="en-US" w:eastAsia="zh-CN"/>
        </w:rPr>
        <w:t>4</w:t>
      </w:r>
    </w:p>
    <w:p w14:paraId="28043DC6">
      <w:pPr>
        <w:keepNext/>
        <w:keepLines/>
        <w:spacing w:before="120" w:after="120" w:line="360" w:lineRule="auto"/>
        <w:jc w:val="center"/>
        <w:outlineLvl w:val="1"/>
        <w:rPr>
          <w:rFonts w:hint="eastAsia" w:ascii="宋体" w:hAnsi="宋体" w:cs="宋体"/>
          <w:b/>
          <w:bCs/>
          <w:color w:val="auto"/>
          <w:sz w:val="28"/>
          <w:szCs w:val="32"/>
          <w:highlight w:val="none"/>
        </w:rPr>
      </w:pPr>
      <w:bookmarkStart w:id="466" w:name="_Toc491307382"/>
      <w:bookmarkStart w:id="467" w:name="_Toc213141107"/>
      <w:bookmarkStart w:id="468" w:name="_Toc494043356"/>
      <w:bookmarkStart w:id="469" w:name="_Toc481694858"/>
      <w:bookmarkStart w:id="470" w:name="_Toc488633630"/>
      <w:bookmarkStart w:id="471" w:name="_Toc14773"/>
      <w:bookmarkStart w:id="472" w:name="_Toc19041"/>
      <w:bookmarkStart w:id="473" w:name="_Toc491307502"/>
      <w:bookmarkStart w:id="474" w:name="_Toc2204"/>
      <w:bookmarkStart w:id="475" w:name="_Toc27238"/>
      <w:bookmarkStart w:id="476" w:name="_Toc26983"/>
      <w:bookmarkStart w:id="477" w:name="_Toc11900"/>
      <w:bookmarkStart w:id="478" w:name="_Toc491307320"/>
      <w:bookmarkStart w:id="479" w:name="_Toc25490"/>
      <w:r>
        <w:rPr>
          <w:rFonts w:hint="eastAsia" w:ascii="宋体" w:hAnsi="宋体" w:cs="宋体"/>
          <w:b/>
          <w:bCs/>
          <w:color w:val="auto"/>
          <w:sz w:val="28"/>
          <w:szCs w:val="32"/>
          <w:highlight w:val="none"/>
        </w:rPr>
        <w:t>法定代表人授权委托书</w:t>
      </w:r>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p>
    <w:p w14:paraId="3E025968">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本授权书声明：</w:t>
      </w:r>
      <w:r>
        <w:rPr>
          <w:rFonts w:hint="eastAsia" w:ascii="宋体" w:hAnsi="宋体" w:cs="宋体"/>
          <w:color w:val="auto"/>
          <w:szCs w:val="21"/>
          <w:highlight w:val="none"/>
          <w:u w:val="single"/>
        </w:rPr>
        <w:t xml:space="preserve">  （供应商全称） </w:t>
      </w:r>
      <w:r>
        <w:rPr>
          <w:rFonts w:hint="eastAsia" w:ascii="宋体" w:hAnsi="宋体" w:cs="宋体"/>
          <w:color w:val="auto"/>
          <w:szCs w:val="21"/>
          <w:highlight w:val="none"/>
        </w:rPr>
        <w:t>的法定代表人代表本公司/单位授权</w:t>
      </w:r>
      <w:r>
        <w:rPr>
          <w:rFonts w:hint="eastAsia" w:ascii="宋体" w:hAnsi="宋体" w:cs="宋体"/>
          <w:color w:val="auto"/>
          <w:szCs w:val="21"/>
          <w:highlight w:val="none"/>
          <w:u w:val="single"/>
        </w:rPr>
        <w:t>（委托代理人姓名）</w:t>
      </w:r>
      <w:r>
        <w:rPr>
          <w:rFonts w:hint="eastAsia" w:ascii="宋体" w:hAnsi="宋体" w:cs="宋体"/>
          <w:color w:val="auto"/>
          <w:szCs w:val="21"/>
          <w:highlight w:val="none"/>
        </w:rPr>
        <w:t>为本公司/单位合法代理人，就贵方组织的</w:t>
      </w:r>
      <w:r>
        <w:rPr>
          <w:rFonts w:hint="eastAsia" w:ascii="宋体" w:hAnsi="宋体" w:cs="宋体"/>
          <w:color w:val="auto"/>
          <w:szCs w:val="21"/>
          <w:highlight w:val="none"/>
          <w:u w:val="single"/>
        </w:rPr>
        <w:t>（项目名称）</w:t>
      </w:r>
      <w:r>
        <w:rPr>
          <w:rFonts w:hint="eastAsia" w:ascii="宋体" w:hAnsi="宋体" w:cs="宋体"/>
          <w:color w:val="auto"/>
          <w:szCs w:val="21"/>
          <w:highlight w:val="none"/>
        </w:rPr>
        <w:t>（项目编号：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）的竞争性磋商，以本公司/单位名义参加。代理人在本项目磋商过程中所签署的一切文件和处理与之有关的一切事务，我方均予承认。</w:t>
      </w:r>
    </w:p>
    <w:p w14:paraId="2CE6E851">
      <w:pPr>
        <w:pStyle w:val="18"/>
        <w:spacing w:line="500" w:lineRule="exact"/>
        <w:ind w:firstLine="420"/>
        <w:rPr>
          <w:rFonts w:hint="eastAsia" w:hAnsi="宋体" w:cs="宋体"/>
          <w:color w:val="auto"/>
          <w:szCs w:val="21"/>
          <w:highlight w:val="none"/>
        </w:rPr>
      </w:pPr>
      <w:r>
        <w:rPr>
          <w:rFonts w:hint="eastAsia" w:hAnsi="宋体" w:cs="宋体"/>
          <w:color w:val="auto"/>
          <w:szCs w:val="21"/>
          <w:highlight w:val="none"/>
        </w:rPr>
        <w:t>代理人无转委托权。</w:t>
      </w:r>
    </w:p>
    <w:p w14:paraId="7A193AC6">
      <w:pPr>
        <w:pStyle w:val="18"/>
        <w:spacing w:line="500" w:lineRule="exact"/>
        <w:jc w:val="left"/>
        <w:rPr>
          <w:rFonts w:hint="eastAsia" w:hAnsi="宋体" w:cs="宋体"/>
          <w:color w:val="auto"/>
          <w:szCs w:val="21"/>
          <w:highlight w:val="none"/>
        </w:rPr>
      </w:pPr>
    </w:p>
    <w:p w14:paraId="51AC14DF">
      <w:pPr>
        <w:spacing w:line="360" w:lineRule="auto"/>
        <w:ind w:firstLine="2" w:firstLineChars="1"/>
        <w:jc w:val="left"/>
        <w:rPr>
          <w:rFonts w:hint="eastAsia" w:ascii="宋体" w:hAnsi="宋体" w:cs="宋体"/>
          <w:color w:val="auto"/>
          <w:szCs w:val="21"/>
          <w:highlight w:val="none"/>
        </w:rPr>
      </w:pPr>
      <w:r>
        <w:rPr>
          <w:rFonts w:hint="eastAsia" w:ascii="宋体" w:hAnsi="宋体" w:cs="宋体"/>
          <w:color w:val="auto"/>
          <w:szCs w:val="21"/>
          <w:highlight w:val="none"/>
        </w:rPr>
        <w:t>供应商（</w:t>
      </w:r>
      <w:r>
        <w:rPr>
          <w:rFonts w:hint="eastAsia" w:ascii="宋体" w:hAnsi="宋体" w:cs="宋体"/>
          <w:color w:val="auto"/>
          <w:szCs w:val="21"/>
          <w:highlight w:val="none"/>
          <w:lang w:eastAsia="zh-CN"/>
        </w:rPr>
        <w:t>加盖供应商电子公章</w:t>
      </w:r>
      <w:r>
        <w:rPr>
          <w:rFonts w:hint="eastAsia" w:ascii="宋体" w:hAnsi="宋体" w:cs="宋体"/>
          <w:color w:val="auto"/>
          <w:szCs w:val="21"/>
          <w:highlight w:val="none"/>
        </w:rPr>
        <w:t>）：</w:t>
      </w:r>
    </w:p>
    <w:p w14:paraId="3CE7D147">
      <w:pPr>
        <w:spacing w:line="360" w:lineRule="auto"/>
        <w:ind w:firstLine="2" w:firstLineChars="1"/>
        <w:jc w:val="left"/>
        <w:rPr>
          <w:rFonts w:hint="eastAsia" w:ascii="宋体" w:hAnsi="宋体" w:cs="宋体"/>
          <w:color w:val="auto"/>
          <w:szCs w:val="21"/>
          <w:highlight w:val="none"/>
        </w:rPr>
      </w:pPr>
    </w:p>
    <w:p w14:paraId="24AA362F">
      <w:pPr>
        <w:spacing w:line="360" w:lineRule="auto"/>
        <w:ind w:firstLine="2" w:firstLineChars="1"/>
        <w:jc w:val="left"/>
        <w:rPr>
          <w:rFonts w:hint="eastAsia" w:ascii="宋体" w:hAnsi="宋体" w:cs="宋体"/>
          <w:color w:val="auto"/>
          <w:szCs w:val="21"/>
          <w:highlight w:val="none"/>
        </w:rPr>
      </w:pPr>
      <w:r>
        <w:rPr>
          <w:rFonts w:hint="eastAsia" w:ascii="宋体" w:hAnsi="宋体" w:cs="宋体"/>
          <w:color w:val="auto"/>
          <w:szCs w:val="21"/>
          <w:highlight w:val="none"/>
        </w:rPr>
        <w:t>法定代表人（</w:t>
      </w:r>
      <w:r>
        <w:rPr>
          <w:rFonts w:hint="eastAsia" w:ascii="宋体" w:hAnsi="宋体" w:cs="宋体"/>
          <w:color w:val="auto"/>
          <w:szCs w:val="21"/>
          <w:highlight w:val="none"/>
          <w:lang w:eastAsia="zh-CN"/>
        </w:rPr>
        <w:t>电子签名或盖章</w:t>
      </w:r>
      <w:r>
        <w:rPr>
          <w:rFonts w:hint="eastAsia" w:ascii="宋体" w:hAnsi="宋体" w:cs="宋体"/>
          <w:color w:val="auto"/>
          <w:szCs w:val="21"/>
          <w:highlight w:val="none"/>
        </w:rPr>
        <w:t>）：</w:t>
      </w:r>
    </w:p>
    <w:p w14:paraId="77840F18">
      <w:pPr>
        <w:spacing w:line="360" w:lineRule="auto"/>
        <w:jc w:val="left"/>
        <w:rPr>
          <w:rFonts w:hint="eastAsia" w:ascii="宋体" w:hAnsi="宋体" w:cs="宋体"/>
          <w:color w:val="auto"/>
          <w:szCs w:val="21"/>
          <w:highlight w:val="none"/>
        </w:rPr>
      </w:pPr>
    </w:p>
    <w:p w14:paraId="41FD836A">
      <w:pPr>
        <w:pStyle w:val="18"/>
        <w:spacing w:line="500" w:lineRule="exact"/>
        <w:rPr>
          <w:rFonts w:hint="eastAsia" w:hAnsi="宋体" w:cs="宋体"/>
          <w:color w:val="auto"/>
          <w:szCs w:val="21"/>
          <w:highlight w:val="none"/>
        </w:rPr>
      </w:pPr>
      <w:r>
        <w:rPr>
          <w:rFonts w:hint="eastAsia" w:hAnsi="宋体" w:cs="宋体"/>
          <w:color w:val="auto"/>
          <w:szCs w:val="21"/>
          <w:highlight w:val="none"/>
        </w:rPr>
        <w:t>日期：</w:t>
      </w:r>
    </w:p>
    <w:tbl>
      <w:tblPr>
        <w:tblStyle w:val="36"/>
        <w:tblW w:w="0" w:type="auto"/>
        <w:tblInd w:w="720" w:type="dxa"/>
        <w:tblLayout w:type="fixed"/>
        <w:tblCellMar>
          <w:top w:w="0" w:type="dxa"/>
          <w:left w:w="108" w:type="dxa"/>
          <w:bottom w:w="0" w:type="dxa"/>
          <w:right w:w="108" w:type="dxa"/>
        </w:tblCellMar>
      </w:tblPr>
      <w:tblGrid>
        <w:gridCol w:w="1908"/>
        <w:gridCol w:w="3960"/>
      </w:tblGrid>
      <w:tr w14:paraId="7B261111">
        <w:tblPrEx>
          <w:tblCellMar>
            <w:top w:w="0" w:type="dxa"/>
            <w:left w:w="108" w:type="dxa"/>
            <w:bottom w:w="0" w:type="dxa"/>
            <w:right w:w="108" w:type="dxa"/>
          </w:tblCellMar>
        </w:tblPrEx>
        <w:tc>
          <w:tcPr>
            <w:tcW w:w="1908" w:type="dxa"/>
            <w:tcBorders>
              <w:top w:val="nil"/>
              <w:left w:val="nil"/>
              <w:bottom w:val="nil"/>
              <w:right w:val="nil"/>
            </w:tcBorders>
            <w:noWrap w:val="0"/>
            <w:vAlign w:val="top"/>
          </w:tcPr>
          <w:p w14:paraId="673979B2">
            <w:pPr>
              <w:pStyle w:val="18"/>
              <w:keepNext w:val="0"/>
              <w:keepLines w:val="0"/>
              <w:suppressLineNumbers w:val="0"/>
              <w:spacing w:before="0" w:beforeAutospacing="0" w:after="0" w:afterAutospacing="0" w:line="500" w:lineRule="exact"/>
              <w:ind w:left="0" w:right="0"/>
              <w:rPr>
                <w:rFonts w:hint="eastAsia" w:hAnsi="宋体" w:eastAsia="宋体" w:cs="宋体"/>
                <w:color w:val="auto"/>
                <w:szCs w:val="21"/>
                <w:highlight w:val="none"/>
              </w:rPr>
            </w:pPr>
            <w:r>
              <w:rPr>
                <w:rFonts w:hint="eastAsia" w:hAnsi="宋体" w:eastAsia="宋体" w:cs="宋体"/>
                <w:color w:val="auto"/>
                <w:szCs w:val="21"/>
                <w:highlight w:val="none"/>
              </w:rPr>
              <w:t xml:space="preserve">附： </w:t>
            </w:r>
          </w:p>
        </w:tc>
        <w:tc>
          <w:tcPr>
            <w:tcW w:w="3960" w:type="dxa"/>
            <w:tcBorders>
              <w:top w:val="nil"/>
              <w:left w:val="nil"/>
              <w:bottom w:val="nil"/>
              <w:right w:val="nil"/>
            </w:tcBorders>
            <w:noWrap w:val="0"/>
            <w:vAlign w:val="top"/>
          </w:tcPr>
          <w:p w14:paraId="01AA8427">
            <w:pPr>
              <w:pStyle w:val="18"/>
              <w:keepNext w:val="0"/>
              <w:keepLines w:val="0"/>
              <w:suppressLineNumbers w:val="0"/>
              <w:spacing w:before="0" w:beforeAutospacing="0" w:after="0" w:afterAutospacing="0" w:line="500" w:lineRule="exact"/>
              <w:ind w:left="0" w:right="0"/>
              <w:rPr>
                <w:rFonts w:hint="eastAsia" w:hAnsi="宋体" w:eastAsia="宋体" w:cs="宋体"/>
                <w:color w:val="auto"/>
                <w:szCs w:val="21"/>
                <w:highlight w:val="none"/>
              </w:rPr>
            </w:pPr>
            <w:r>
              <w:rPr>
                <w:rFonts w:hint="eastAsia" w:hAnsi="宋体" w:eastAsia="宋体" w:cs="宋体"/>
                <w:color w:val="auto"/>
                <w:szCs w:val="21"/>
                <w:highlight w:val="none"/>
              </w:rPr>
              <w:tab/>
            </w:r>
            <w:r>
              <w:rPr>
                <w:rFonts w:hint="eastAsia" w:hAnsi="宋体" w:eastAsia="宋体" w:cs="宋体"/>
                <w:color w:val="auto"/>
                <w:szCs w:val="21"/>
                <w:highlight w:val="none"/>
              </w:rPr>
              <w:tab/>
            </w:r>
            <w:r>
              <w:rPr>
                <w:rFonts w:hint="eastAsia" w:hAnsi="宋体" w:eastAsia="宋体" w:cs="宋体"/>
                <w:color w:val="auto"/>
                <w:szCs w:val="21"/>
                <w:highlight w:val="none"/>
              </w:rPr>
              <w:tab/>
            </w:r>
            <w:r>
              <w:rPr>
                <w:rFonts w:hint="eastAsia" w:hAnsi="宋体" w:eastAsia="宋体" w:cs="宋体"/>
                <w:color w:val="auto"/>
                <w:szCs w:val="21"/>
                <w:highlight w:val="none"/>
              </w:rPr>
              <w:tab/>
            </w:r>
            <w:r>
              <w:rPr>
                <w:rFonts w:hint="eastAsia" w:hAnsi="宋体" w:eastAsia="宋体" w:cs="宋体"/>
                <w:color w:val="auto"/>
                <w:szCs w:val="21"/>
                <w:highlight w:val="none"/>
              </w:rPr>
              <w:tab/>
            </w:r>
          </w:p>
        </w:tc>
      </w:tr>
      <w:tr w14:paraId="3A756819">
        <w:tblPrEx>
          <w:tblCellMar>
            <w:top w:w="0" w:type="dxa"/>
            <w:left w:w="108" w:type="dxa"/>
            <w:bottom w:w="0" w:type="dxa"/>
            <w:right w:w="108" w:type="dxa"/>
          </w:tblCellMar>
        </w:tblPrEx>
        <w:tc>
          <w:tcPr>
            <w:tcW w:w="1908" w:type="dxa"/>
            <w:tcBorders>
              <w:top w:val="nil"/>
              <w:left w:val="nil"/>
              <w:bottom w:val="nil"/>
              <w:right w:val="nil"/>
            </w:tcBorders>
            <w:noWrap w:val="0"/>
            <w:vAlign w:val="top"/>
          </w:tcPr>
          <w:p w14:paraId="47D599F7">
            <w:pPr>
              <w:pStyle w:val="18"/>
              <w:keepNext w:val="0"/>
              <w:keepLines w:val="0"/>
              <w:suppressLineNumbers w:val="0"/>
              <w:spacing w:before="0" w:beforeAutospacing="0" w:after="0" w:afterAutospacing="0" w:line="500" w:lineRule="exact"/>
              <w:ind w:left="0" w:right="0"/>
              <w:jc w:val="distribute"/>
              <w:rPr>
                <w:rFonts w:hint="eastAsia" w:hAnsi="宋体" w:eastAsia="宋体" w:cs="宋体"/>
                <w:color w:val="auto"/>
                <w:szCs w:val="21"/>
                <w:highlight w:val="none"/>
              </w:rPr>
            </w:pPr>
            <w:r>
              <w:rPr>
                <w:rFonts w:hint="eastAsia" w:hAnsi="宋体" w:eastAsia="宋体" w:cs="宋体"/>
                <w:color w:val="auto"/>
                <w:szCs w:val="21"/>
                <w:highlight w:val="none"/>
              </w:rPr>
              <w:t>委托代理人姓名：</w:t>
            </w:r>
          </w:p>
        </w:tc>
        <w:tc>
          <w:tcPr>
            <w:tcW w:w="3960" w:type="dxa"/>
            <w:tcBorders>
              <w:top w:val="nil"/>
              <w:left w:val="nil"/>
              <w:bottom w:val="nil"/>
              <w:right w:val="nil"/>
            </w:tcBorders>
            <w:noWrap w:val="0"/>
            <w:vAlign w:val="top"/>
          </w:tcPr>
          <w:p w14:paraId="6CDF8C1F">
            <w:pPr>
              <w:pStyle w:val="18"/>
              <w:keepNext w:val="0"/>
              <w:keepLines w:val="0"/>
              <w:suppressLineNumbers w:val="0"/>
              <w:spacing w:before="0" w:beforeAutospacing="0" w:after="0" w:afterAutospacing="0" w:line="500" w:lineRule="exact"/>
              <w:ind w:left="0" w:right="0"/>
              <w:rPr>
                <w:rFonts w:hint="eastAsia" w:hAnsi="宋体" w:eastAsia="宋体" w:cs="宋体"/>
                <w:color w:val="auto"/>
                <w:szCs w:val="21"/>
                <w:highlight w:val="none"/>
              </w:rPr>
            </w:pPr>
          </w:p>
        </w:tc>
      </w:tr>
      <w:tr w14:paraId="7E9CDED4">
        <w:tblPrEx>
          <w:tblCellMar>
            <w:top w:w="0" w:type="dxa"/>
            <w:left w:w="108" w:type="dxa"/>
            <w:bottom w:w="0" w:type="dxa"/>
            <w:right w:w="108" w:type="dxa"/>
          </w:tblCellMar>
        </w:tblPrEx>
        <w:tc>
          <w:tcPr>
            <w:tcW w:w="1908" w:type="dxa"/>
            <w:tcBorders>
              <w:top w:val="nil"/>
              <w:left w:val="nil"/>
              <w:bottom w:val="nil"/>
              <w:right w:val="nil"/>
            </w:tcBorders>
            <w:noWrap w:val="0"/>
            <w:vAlign w:val="top"/>
          </w:tcPr>
          <w:p w14:paraId="36597273">
            <w:pPr>
              <w:pStyle w:val="18"/>
              <w:keepNext w:val="0"/>
              <w:keepLines w:val="0"/>
              <w:suppressLineNumbers w:val="0"/>
              <w:spacing w:before="0" w:beforeAutospacing="0" w:after="0" w:afterAutospacing="0" w:line="500" w:lineRule="exact"/>
              <w:ind w:left="0" w:right="0"/>
              <w:jc w:val="distribute"/>
              <w:rPr>
                <w:rFonts w:hint="eastAsia" w:hAnsi="宋体" w:eastAsia="宋体" w:cs="宋体"/>
                <w:color w:val="auto"/>
                <w:szCs w:val="21"/>
                <w:highlight w:val="none"/>
              </w:rPr>
            </w:pPr>
            <w:r>
              <w:rPr>
                <w:rFonts w:hint="eastAsia" w:hAnsi="宋体" w:eastAsia="宋体" w:cs="宋体"/>
                <w:color w:val="auto"/>
                <w:szCs w:val="21"/>
                <w:highlight w:val="none"/>
              </w:rPr>
              <w:t>职       务：</w:t>
            </w:r>
          </w:p>
        </w:tc>
        <w:tc>
          <w:tcPr>
            <w:tcW w:w="3960" w:type="dxa"/>
            <w:tcBorders>
              <w:top w:val="nil"/>
              <w:left w:val="nil"/>
              <w:bottom w:val="nil"/>
              <w:right w:val="nil"/>
            </w:tcBorders>
            <w:noWrap w:val="0"/>
            <w:vAlign w:val="top"/>
          </w:tcPr>
          <w:p w14:paraId="6F51CCC3">
            <w:pPr>
              <w:pStyle w:val="18"/>
              <w:keepNext w:val="0"/>
              <w:keepLines w:val="0"/>
              <w:suppressLineNumbers w:val="0"/>
              <w:spacing w:before="0" w:beforeAutospacing="0" w:after="0" w:afterAutospacing="0" w:line="500" w:lineRule="exact"/>
              <w:ind w:left="0" w:right="0"/>
              <w:rPr>
                <w:rFonts w:hint="eastAsia" w:hAnsi="宋体" w:eastAsia="宋体" w:cs="宋体"/>
                <w:color w:val="auto"/>
                <w:szCs w:val="21"/>
                <w:highlight w:val="none"/>
              </w:rPr>
            </w:pPr>
          </w:p>
        </w:tc>
      </w:tr>
      <w:tr w14:paraId="1B4FA0DA">
        <w:tblPrEx>
          <w:tblCellMar>
            <w:top w:w="0" w:type="dxa"/>
            <w:left w:w="108" w:type="dxa"/>
            <w:bottom w:w="0" w:type="dxa"/>
            <w:right w:w="108" w:type="dxa"/>
          </w:tblCellMar>
        </w:tblPrEx>
        <w:tc>
          <w:tcPr>
            <w:tcW w:w="1908" w:type="dxa"/>
            <w:tcBorders>
              <w:top w:val="nil"/>
              <w:left w:val="nil"/>
              <w:bottom w:val="nil"/>
              <w:right w:val="nil"/>
            </w:tcBorders>
            <w:noWrap w:val="0"/>
            <w:vAlign w:val="top"/>
          </w:tcPr>
          <w:p w14:paraId="3D4D158F">
            <w:pPr>
              <w:pStyle w:val="18"/>
              <w:keepNext w:val="0"/>
              <w:keepLines w:val="0"/>
              <w:suppressLineNumbers w:val="0"/>
              <w:spacing w:before="0" w:beforeAutospacing="0" w:after="0" w:afterAutospacing="0" w:line="500" w:lineRule="exact"/>
              <w:ind w:left="0" w:right="0"/>
              <w:jc w:val="distribute"/>
              <w:rPr>
                <w:rFonts w:hint="eastAsia" w:hAnsi="宋体" w:eastAsia="宋体" w:cs="宋体"/>
                <w:color w:val="auto"/>
                <w:szCs w:val="21"/>
                <w:highlight w:val="none"/>
              </w:rPr>
            </w:pPr>
            <w:r>
              <w:rPr>
                <w:rFonts w:hint="eastAsia" w:hAnsi="宋体" w:eastAsia="宋体" w:cs="宋体"/>
                <w:color w:val="auto"/>
                <w:szCs w:val="21"/>
                <w:highlight w:val="none"/>
              </w:rPr>
              <w:t>居民身份证号码：</w:t>
            </w:r>
          </w:p>
        </w:tc>
        <w:tc>
          <w:tcPr>
            <w:tcW w:w="3960" w:type="dxa"/>
            <w:tcBorders>
              <w:top w:val="nil"/>
              <w:left w:val="nil"/>
              <w:bottom w:val="nil"/>
              <w:right w:val="nil"/>
            </w:tcBorders>
            <w:noWrap w:val="0"/>
            <w:vAlign w:val="top"/>
          </w:tcPr>
          <w:p w14:paraId="4718D2EE">
            <w:pPr>
              <w:pStyle w:val="18"/>
              <w:keepNext w:val="0"/>
              <w:keepLines w:val="0"/>
              <w:suppressLineNumbers w:val="0"/>
              <w:spacing w:before="0" w:beforeAutospacing="0" w:after="0" w:afterAutospacing="0" w:line="500" w:lineRule="exact"/>
              <w:ind w:left="0" w:right="0"/>
              <w:rPr>
                <w:rFonts w:hint="eastAsia" w:hAnsi="宋体" w:eastAsia="宋体" w:cs="宋体"/>
                <w:color w:val="auto"/>
                <w:szCs w:val="21"/>
                <w:highlight w:val="none"/>
              </w:rPr>
            </w:pPr>
          </w:p>
        </w:tc>
      </w:tr>
      <w:tr w14:paraId="6AB02DF7">
        <w:tblPrEx>
          <w:tblCellMar>
            <w:top w:w="0" w:type="dxa"/>
            <w:left w:w="108" w:type="dxa"/>
            <w:bottom w:w="0" w:type="dxa"/>
            <w:right w:w="108" w:type="dxa"/>
          </w:tblCellMar>
        </w:tblPrEx>
        <w:tc>
          <w:tcPr>
            <w:tcW w:w="1908" w:type="dxa"/>
            <w:tcBorders>
              <w:top w:val="nil"/>
              <w:left w:val="nil"/>
              <w:bottom w:val="nil"/>
              <w:right w:val="nil"/>
            </w:tcBorders>
            <w:noWrap w:val="0"/>
            <w:vAlign w:val="top"/>
          </w:tcPr>
          <w:p w14:paraId="319405D5">
            <w:pPr>
              <w:pStyle w:val="18"/>
              <w:keepNext w:val="0"/>
              <w:keepLines w:val="0"/>
              <w:suppressLineNumbers w:val="0"/>
              <w:spacing w:before="0" w:beforeAutospacing="0" w:after="0" w:afterAutospacing="0" w:line="500" w:lineRule="exact"/>
              <w:ind w:left="0" w:right="0"/>
              <w:jc w:val="distribute"/>
              <w:rPr>
                <w:rFonts w:hint="eastAsia" w:hAnsi="宋体" w:eastAsia="宋体" w:cs="宋体"/>
                <w:color w:val="auto"/>
                <w:szCs w:val="21"/>
                <w:highlight w:val="none"/>
              </w:rPr>
            </w:pPr>
            <w:r>
              <w:rPr>
                <w:rFonts w:hint="eastAsia" w:hAnsi="宋体" w:eastAsia="宋体" w:cs="宋体"/>
                <w:color w:val="auto"/>
                <w:szCs w:val="21"/>
                <w:highlight w:val="none"/>
              </w:rPr>
              <w:t>详 细  地 址：</w:t>
            </w:r>
          </w:p>
        </w:tc>
        <w:tc>
          <w:tcPr>
            <w:tcW w:w="3960" w:type="dxa"/>
            <w:tcBorders>
              <w:top w:val="nil"/>
              <w:left w:val="nil"/>
              <w:bottom w:val="nil"/>
              <w:right w:val="nil"/>
            </w:tcBorders>
            <w:noWrap w:val="0"/>
            <w:vAlign w:val="top"/>
          </w:tcPr>
          <w:p w14:paraId="6E51597A">
            <w:pPr>
              <w:pStyle w:val="18"/>
              <w:keepNext w:val="0"/>
              <w:keepLines w:val="0"/>
              <w:suppressLineNumbers w:val="0"/>
              <w:spacing w:before="0" w:beforeAutospacing="0" w:after="0" w:afterAutospacing="0" w:line="500" w:lineRule="exact"/>
              <w:ind w:left="0" w:right="0"/>
              <w:rPr>
                <w:rFonts w:hint="eastAsia" w:hAnsi="宋体" w:eastAsia="宋体" w:cs="宋体"/>
                <w:color w:val="auto"/>
                <w:szCs w:val="21"/>
                <w:highlight w:val="none"/>
              </w:rPr>
            </w:pPr>
          </w:p>
        </w:tc>
      </w:tr>
      <w:tr w14:paraId="5DCFBB2C">
        <w:tblPrEx>
          <w:tblCellMar>
            <w:top w:w="0" w:type="dxa"/>
            <w:left w:w="108" w:type="dxa"/>
            <w:bottom w:w="0" w:type="dxa"/>
            <w:right w:w="108" w:type="dxa"/>
          </w:tblCellMar>
        </w:tblPrEx>
        <w:tc>
          <w:tcPr>
            <w:tcW w:w="1908" w:type="dxa"/>
            <w:tcBorders>
              <w:top w:val="nil"/>
              <w:left w:val="nil"/>
              <w:bottom w:val="nil"/>
              <w:right w:val="nil"/>
            </w:tcBorders>
            <w:noWrap w:val="0"/>
            <w:vAlign w:val="top"/>
          </w:tcPr>
          <w:p w14:paraId="11FB0665">
            <w:pPr>
              <w:pStyle w:val="18"/>
              <w:keepNext w:val="0"/>
              <w:keepLines w:val="0"/>
              <w:suppressLineNumbers w:val="0"/>
              <w:spacing w:before="0" w:beforeAutospacing="0" w:after="0" w:afterAutospacing="0" w:line="500" w:lineRule="exact"/>
              <w:ind w:left="0" w:right="0"/>
              <w:jc w:val="distribute"/>
              <w:rPr>
                <w:rFonts w:hint="eastAsia" w:hAnsi="宋体" w:eastAsia="宋体" w:cs="宋体"/>
                <w:color w:val="auto"/>
                <w:szCs w:val="21"/>
                <w:highlight w:val="none"/>
              </w:rPr>
            </w:pPr>
            <w:r>
              <w:rPr>
                <w:rFonts w:hint="eastAsia" w:hAnsi="宋体" w:eastAsia="宋体" w:cs="宋体"/>
                <w:color w:val="auto"/>
                <w:szCs w:val="21"/>
                <w:highlight w:val="none"/>
              </w:rPr>
              <w:t>电       话：</w:t>
            </w:r>
          </w:p>
        </w:tc>
        <w:tc>
          <w:tcPr>
            <w:tcW w:w="3960" w:type="dxa"/>
            <w:tcBorders>
              <w:top w:val="nil"/>
              <w:left w:val="nil"/>
              <w:bottom w:val="nil"/>
              <w:right w:val="nil"/>
            </w:tcBorders>
            <w:noWrap w:val="0"/>
            <w:vAlign w:val="top"/>
          </w:tcPr>
          <w:p w14:paraId="7D92A811">
            <w:pPr>
              <w:pStyle w:val="18"/>
              <w:keepNext w:val="0"/>
              <w:keepLines w:val="0"/>
              <w:suppressLineNumbers w:val="0"/>
              <w:spacing w:before="0" w:beforeAutospacing="0" w:after="0" w:afterAutospacing="0" w:line="500" w:lineRule="exact"/>
              <w:ind w:left="0" w:right="0"/>
              <w:rPr>
                <w:rFonts w:hint="eastAsia" w:hAnsi="宋体" w:eastAsia="宋体" w:cs="宋体"/>
                <w:color w:val="auto"/>
                <w:szCs w:val="21"/>
                <w:highlight w:val="none"/>
              </w:rPr>
            </w:pPr>
          </w:p>
        </w:tc>
      </w:tr>
      <w:tr w14:paraId="57643FFB">
        <w:tblPrEx>
          <w:tblCellMar>
            <w:top w:w="0" w:type="dxa"/>
            <w:left w:w="108" w:type="dxa"/>
            <w:bottom w:w="0" w:type="dxa"/>
            <w:right w:w="108" w:type="dxa"/>
          </w:tblCellMar>
        </w:tblPrEx>
        <w:tc>
          <w:tcPr>
            <w:tcW w:w="1908" w:type="dxa"/>
            <w:tcBorders>
              <w:top w:val="nil"/>
              <w:left w:val="nil"/>
              <w:bottom w:val="nil"/>
              <w:right w:val="nil"/>
            </w:tcBorders>
            <w:noWrap w:val="0"/>
            <w:vAlign w:val="top"/>
          </w:tcPr>
          <w:p w14:paraId="6616AB2E">
            <w:pPr>
              <w:pStyle w:val="18"/>
              <w:keepNext w:val="0"/>
              <w:keepLines w:val="0"/>
              <w:suppressLineNumbers w:val="0"/>
              <w:spacing w:before="0" w:beforeAutospacing="0" w:after="0" w:afterAutospacing="0" w:line="500" w:lineRule="exact"/>
              <w:ind w:left="0" w:right="0"/>
              <w:jc w:val="distribute"/>
              <w:rPr>
                <w:rFonts w:hint="eastAsia" w:hAnsi="宋体" w:eastAsia="宋体" w:cs="宋体"/>
                <w:color w:val="auto"/>
                <w:szCs w:val="21"/>
                <w:highlight w:val="none"/>
                <w:lang w:eastAsia="zh-CN"/>
              </w:rPr>
            </w:pPr>
            <w:r>
              <w:rPr>
                <w:rFonts w:hint="eastAsia" w:hAnsi="宋体" w:eastAsia="宋体" w:cs="宋体"/>
                <w:color w:val="auto"/>
                <w:szCs w:val="21"/>
                <w:highlight w:val="none"/>
                <w:lang w:eastAsia="zh-CN"/>
              </w:rPr>
              <w:t>电子邮箱：</w:t>
            </w:r>
          </w:p>
        </w:tc>
        <w:tc>
          <w:tcPr>
            <w:tcW w:w="3960" w:type="dxa"/>
            <w:tcBorders>
              <w:top w:val="nil"/>
              <w:left w:val="nil"/>
              <w:bottom w:val="nil"/>
              <w:right w:val="nil"/>
            </w:tcBorders>
            <w:noWrap w:val="0"/>
            <w:vAlign w:val="top"/>
          </w:tcPr>
          <w:p w14:paraId="2FD37C0F">
            <w:pPr>
              <w:pStyle w:val="18"/>
              <w:keepNext w:val="0"/>
              <w:keepLines w:val="0"/>
              <w:suppressLineNumbers w:val="0"/>
              <w:spacing w:before="0" w:beforeAutospacing="0" w:after="0" w:afterAutospacing="0" w:line="500" w:lineRule="exact"/>
              <w:ind w:left="0" w:right="0"/>
              <w:rPr>
                <w:rFonts w:hint="eastAsia" w:hAnsi="宋体" w:eastAsia="宋体" w:cs="宋体"/>
                <w:color w:val="auto"/>
                <w:szCs w:val="21"/>
                <w:highlight w:val="none"/>
              </w:rPr>
            </w:pPr>
          </w:p>
        </w:tc>
      </w:tr>
    </w:tbl>
    <w:p w14:paraId="11FDE338">
      <w:pPr>
        <w:pStyle w:val="18"/>
        <w:spacing w:line="500" w:lineRule="exact"/>
        <w:rPr>
          <w:rFonts w:hint="eastAsia" w:hAnsi="宋体" w:cs="宋体"/>
          <w:b/>
          <w:bCs/>
          <w:color w:val="auto"/>
          <w:szCs w:val="21"/>
          <w:highlight w:val="none"/>
        </w:rPr>
      </w:pPr>
      <w:r>
        <w:rPr>
          <w:rFonts w:hint="eastAsia" w:hAnsi="宋体" w:cs="宋体"/>
          <w:b/>
          <w:bCs/>
          <w:color w:val="auto"/>
          <w:szCs w:val="21"/>
          <w:highlight w:val="none"/>
        </w:rPr>
        <w:t>注:附委托代理人居民身份证复印件。</w:t>
      </w:r>
    </w:p>
    <w:p w14:paraId="4DAD381A">
      <w:pPr>
        <w:keepNext/>
        <w:keepLines/>
        <w:spacing w:after="120" w:line="360" w:lineRule="auto"/>
        <w:jc w:val="left"/>
        <w:outlineLvl w:val="1"/>
        <w:rPr>
          <w:rFonts w:hint="default" w:ascii="宋体" w:hAnsi="宋体" w:eastAsia="宋体" w:cs="宋体"/>
          <w:b/>
          <w:color w:val="auto"/>
          <w:sz w:val="28"/>
          <w:szCs w:val="28"/>
          <w:highlight w:val="none"/>
          <w:lang w:val="en-US" w:eastAsia="zh-CN"/>
        </w:rPr>
      </w:pPr>
      <w:r>
        <w:rPr>
          <w:rFonts w:hint="eastAsia" w:ascii="宋体" w:hAnsi="宋体" w:cs="宋体"/>
          <w:b/>
          <w:bCs/>
          <w:color w:val="auto"/>
          <w:szCs w:val="21"/>
          <w:highlight w:val="none"/>
        </w:rPr>
        <w:br w:type="page"/>
      </w:r>
      <w:bookmarkStart w:id="480" w:name="_Toc530"/>
      <w:bookmarkStart w:id="481" w:name="_Toc7216"/>
      <w:bookmarkStart w:id="482" w:name="_Toc491307503"/>
      <w:bookmarkStart w:id="483" w:name="_Toc491307321"/>
      <w:bookmarkStart w:id="484" w:name="_Toc115"/>
      <w:bookmarkStart w:id="485" w:name="_Toc494043357"/>
      <w:bookmarkStart w:id="486" w:name="_Toc26951"/>
      <w:bookmarkStart w:id="487" w:name="_Toc491307383"/>
      <w:bookmarkStart w:id="488" w:name="_Toc18629"/>
      <w:bookmarkStart w:id="489" w:name="_Toc12784"/>
      <w:bookmarkStart w:id="490" w:name="_Toc6424"/>
      <w:r>
        <w:rPr>
          <w:rFonts w:hint="eastAsia" w:ascii="宋体" w:hAnsi="宋体" w:cs="宋体"/>
          <w:b/>
          <w:color w:val="auto"/>
          <w:sz w:val="28"/>
          <w:szCs w:val="28"/>
          <w:highlight w:val="none"/>
        </w:rPr>
        <w:t>格式</w:t>
      </w:r>
      <w:bookmarkEnd w:id="480"/>
      <w:bookmarkEnd w:id="481"/>
      <w:bookmarkEnd w:id="482"/>
      <w:bookmarkEnd w:id="483"/>
      <w:bookmarkEnd w:id="484"/>
      <w:bookmarkEnd w:id="485"/>
      <w:bookmarkEnd w:id="486"/>
      <w:bookmarkEnd w:id="487"/>
      <w:bookmarkEnd w:id="488"/>
      <w:bookmarkEnd w:id="489"/>
      <w:r>
        <w:rPr>
          <w:rFonts w:hint="eastAsia" w:ascii="宋体" w:hAnsi="宋体" w:cs="宋体"/>
          <w:b/>
          <w:color w:val="auto"/>
          <w:sz w:val="28"/>
          <w:szCs w:val="28"/>
          <w:highlight w:val="none"/>
          <w:lang w:val="en-US" w:eastAsia="zh-CN"/>
        </w:rPr>
        <w:t>2</w:t>
      </w:r>
      <w:bookmarkEnd w:id="490"/>
      <w:r>
        <w:rPr>
          <w:rFonts w:hint="eastAsia" w:ascii="宋体" w:hAnsi="宋体" w:cs="宋体"/>
          <w:b/>
          <w:color w:val="auto"/>
          <w:sz w:val="28"/>
          <w:szCs w:val="28"/>
          <w:highlight w:val="none"/>
          <w:lang w:val="en-US" w:eastAsia="zh-CN"/>
        </w:rPr>
        <w:t>5</w:t>
      </w:r>
    </w:p>
    <w:p w14:paraId="3F87619B">
      <w:pPr>
        <w:keepNext/>
        <w:keepLines/>
        <w:spacing w:before="120" w:after="120" w:line="360" w:lineRule="auto"/>
        <w:jc w:val="center"/>
        <w:outlineLvl w:val="1"/>
        <w:rPr>
          <w:rFonts w:hint="eastAsia" w:ascii="宋体" w:hAnsi="宋体" w:cs="宋体"/>
          <w:b/>
          <w:bCs/>
          <w:color w:val="auto"/>
          <w:sz w:val="28"/>
          <w:szCs w:val="32"/>
          <w:highlight w:val="none"/>
        </w:rPr>
      </w:pPr>
      <w:bookmarkStart w:id="491" w:name="_Toc31511"/>
      <w:bookmarkStart w:id="492" w:name="_Toc491307322"/>
      <w:bookmarkStart w:id="493" w:name="_Toc31796"/>
      <w:bookmarkStart w:id="494" w:name="_Toc10525"/>
      <w:bookmarkStart w:id="495" w:name="_Toc494043358"/>
      <w:bookmarkStart w:id="496" w:name="_Toc25887"/>
      <w:bookmarkStart w:id="497" w:name="_Toc2938"/>
      <w:bookmarkStart w:id="498" w:name="_Toc851"/>
      <w:bookmarkStart w:id="499" w:name="_Toc12293"/>
      <w:bookmarkStart w:id="500" w:name="_Toc491307504"/>
      <w:bookmarkStart w:id="501" w:name="_Toc488633631"/>
      <w:bookmarkStart w:id="502" w:name="_Toc491307384"/>
      <w:bookmarkStart w:id="503" w:name="_Toc481694859"/>
      <w:r>
        <w:rPr>
          <w:rFonts w:hint="eastAsia" w:ascii="宋体" w:hAnsi="宋体" w:cs="宋体"/>
          <w:b/>
          <w:bCs/>
          <w:color w:val="auto"/>
          <w:sz w:val="28"/>
          <w:szCs w:val="32"/>
          <w:highlight w:val="none"/>
        </w:rPr>
        <w:t>供应商具备参加政府采购活动条件承诺书</w:t>
      </w:r>
      <w:bookmarkEnd w:id="491"/>
      <w:bookmarkEnd w:id="492"/>
      <w:bookmarkEnd w:id="493"/>
      <w:bookmarkEnd w:id="494"/>
      <w:bookmarkEnd w:id="495"/>
      <w:bookmarkEnd w:id="496"/>
      <w:bookmarkEnd w:id="497"/>
      <w:bookmarkEnd w:id="498"/>
      <w:bookmarkEnd w:id="499"/>
      <w:bookmarkEnd w:id="500"/>
      <w:bookmarkEnd w:id="501"/>
      <w:bookmarkEnd w:id="502"/>
      <w:bookmarkEnd w:id="503"/>
    </w:p>
    <w:p w14:paraId="2A5AB88E">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致：（采购人名称）：</w:t>
      </w:r>
    </w:p>
    <w:p w14:paraId="5E26D774">
      <w:pPr>
        <w:ind w:firstLine="4410" w:firstLineChars="2100"/>
        <w:rPr>
          <w:rFonts w:hint="eastAsia" w:ascii="宋体" w:hAnsi="宋体" w:cs="宋体"/>
          <w:color w:val="auto"/>
          <w:highlight w:val="none"/>
        </w:rPr>
      </w:pPr>
    </w:p>
    <w:p w14:paraId="3ABFE0E3">
      <w:pPr>
        <w:ind w:firstLine="4410" w:firstLineChars="2100"/>
        <w:rPr>
          <w:rFonts w:hint="eastAsia" w:ascii="宋体" w:hAnsi="宋体" w:cs="宋体"/>
          <w:color w:val="auto"/>
          <w:highlight w:val="none"/>
        </w:rPr>
      </w:pPr>
    </w:p>
    <w:p w14:paraId="6DC4CFA8">
      <w:pPr>
        <w:ind w:firstLine="735" w:firstLineChars="350"/>
        <w:rPr>
          <w:rFonts w:hint="eastAsia" w:ascii="宋体" w:hAnsi="宋体" w:cs="宋体"/>
          <w:color w:val="auto"/>
          <w:highlight w:val="none"/>
        </w:rPr>
      </w:pPr>
      <w:r>
        <w:rPr>
          <w:rFonts w:hint="eastAsia" w:ascii="宋体" w:hAnsi="宋体" w:cs="宋体"/>
          <w:color w:val="auto"/>
          <w:highlight w:val="none"/>
        </w:rPr>
        <w:t>（供应商自行承诺及说明，内容自拟）</w:t>
      </w:r>
    </w:p>
    <w:p w14:paraId="5A7C12D4">
      <w:pPr>
        <w:spacing w:line="360" w:lineRule="auto"/>
        <w:jc w:val="left"/>
        <w:rPr>
          <w:rFonts w:hint="eastAsia" w:ascii="宋体" w:hAnsi="宋体" w:cs="宋体"/>
          <w:color w:val="auto"/>
          <w:sz w:val="24"/>
          <w:highlight w:val="none"/>
        </w:rPr>
      </w:pPr>
    </w:p>
    <w:p w14:paraId="0D7AC65D">
      <w:pPr>
        <w:spacing w:line="360" w:lineRule="auto"/>
        <w:jc w:val="left"/>
        <w:rPr>
          <w:rFonts w:hint="eastAsia" w:ascii="宋体" w:hAnsi="宋体" w:cs="宋体"/>
          <w:color w:val="auto"/>
          <w:sz w:val="24"/>
          <w:highlight w:val="none"/>
        </w:rPr>
      </w:pPr>
    </w:p>
    <w:p w14:paraId="65AECF59">
      <w:pPr>
        <w:spacing w:line="360" w:lineRule="auto"/>
        <w:jc w:val="left"/>
        <w:rPr>
          <w:rFonts w:hint="eastAsia" w:ascii="宋体" w:hAnsi="宋体" w:cs="宋体"/>
          <w:color w:val="auto"/>
          <w:sz w:val="24"/>
          <w:highlight w:val="none"/>
        </w:rPr>
      </w:pPr>
    </w:p>
    <w:p w14:paraId="22B824E1">
      <w:pPr>
        <w:spacing w:line="360" w:lineRule="auto"/>
        <w:jc w:val="left"/>
        <w:rPr>
          <w:rFonts w:hint="eastAsia" w:ascii="宋体" w:hAnsi="宋体" w:cs="宋体"/>
          <w:color w:val="auto"/>
          <w:sz w:val="24"/>
          <w:highlight w:val="none"/>
        </w:rPr>
      </w:pPr>
    </w:p>
    <w:p w14:paraId="24A9F7DA">
      <w:pPr>
        <w:spacing w:line="360" w:lineRule="auto"/>
        <w:jc w:val="left"/>
        <w:rPr>
          <w:rFonts w:hint="eastAsia" w:ascii="宋体" w:hAnsi="宋体" w:cs="宋体"/>
          <w:color w:val="auto"/>
          <w:sz w:val="24"/>
          <w:highlight w:val="none"/>
        </w:rPr>
      </w:pPr>
    </w:p>
    <w:p w14:paraId="63EEE769">
      <w:pPr>
        <w:spacing w:line="360" w:lineRule="auto"/>
        <w:jc w:val="left"/>
        <w:rPr>
          <w:rFonts w:hint="eastAsia" w:ascii="宋体" w:hAnsi="宋体" w:cs="宋体"/>
          <w:color w:val="auto"/>
          <w:sz w:val="24"/>
          <w:highlight w:val="none"/>
        </w:rPr>
      </w:pPr>
    </w:p>
    <w:p w14:paraId="79A47279">
      <w:pPr>
        <w:spacing w:line="360" w:lineRule="auto"/>
        <w:jc w:val="left"/>
        <w:rPr>
          <w:rFonts w:hint="eastAsia" w:ascii="宋体" w:hAnsi="宋体" w:cs="宋体"/>
          <w:color w:val="auto"/>
          <w:sz w:val="24"/>
          <w:highlight w:val="none"/>
        </w:rPr>
      </w:pPr>
    </w:p>
    <w:p w14:paraId="717D58F4">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供应商（</w:t>
      </w:r>
      <w:r>
        <w:rPr>
          <w:rFonts w:hint="eastAsia" w:ascii="宋体" w:hAnsi="宋体" w:cs="宋体"/>
          <w:color w:val="auto"/>
          <w:szCs w:val="21"/>
          <w:highlight w:val="none"/>
          <w:lang w:eastAsia="zh-CN"/>
        </w:rPr>
        <w:t>加盖供应商电子公章</w:t>
      </w:r>
      <w:r>
        <w:rPr>
          <w:rFonts w:hint="eastAsia" w:ascii="宋体" w:hAnsi="宋体" w:cs="宋体"/>
          <w:color w:val="auto"/>
          <w:szCs w:val="21"/>
          <w:highlight w:val="none"/>
        </w:rPr>
        <w:t>）：</w:t>
      </w:r>
    </w:p>
    <w:p w14:paraId="653662B6">
      <w:pPr>
        <w:spacing w:line="360" w:lineRule="auto"/>
        <w:jc w:val="left"/>
        <w:rPr>
          <w:rFonts w:hint="eastAsia" w:ascii="宋体" w:hAnsi="宋体" w:cs="宋体"/>
          <w:color w:val="auto"/>
          <w:szCs w:val="21"/>
          <w:highlight w:val="none"/>
        </w:rPr>
      </w:pPr>
    </w:p>
    <w:p w14:paraId="0E63C3B5">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法定代表人（</w:t>
      </w:r>
      <w:r>
        <w:rPr>
          <w:rFonts w:hint="eastAsia" w:ascii="宋体" w:hAnsi="宋体" w:cs="宋体"/>
          <w:color w:val="auto"/>
          <w:szCs w:val="21"/>
          <w:highlight w:val="none"/>
          <w:lang w:eastAsia="zh-CN"/>
        </w:rPr>
        <w:t>电子签名或盖章</w:t>
      </w:r>
      <w:r>
        <w:rPr>
          <w:rFonts w:hint="eastAsia" w:ascii="宋体" w:hAnsi="宋体" w:cs="宋体"/>
          <w:color w:val="auto"/>
          <w:szCs w:val="21"/>
          <w:highlight w:val="none"/>
        </w:rPr>
        <w:t>）：</w:t>
      </w:r>
    </w:p>
    <w:p w14:paraId="1F8096E1">
      <w:pPr>
        <w:spacing w:line="360" w:lineRule="auto"/>
        <w:jc w:val="left"/>
        <w:rPr>
          <w:rFonts w:hint="eastAsia" w:ascii="宋体" w:hAnsi="宋体" w:cs="宋体"/>
          <w:color w:val="auto"/>
          <w:szCs w:val="21"/>
          <w:highlight w:val="none"/>
        </w:rPr>
      </w:pPr>
    </w:p>
    <w:p w14:paraId="7E478E6C">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日期：</w:t>
      </w:r>
    </w:p>
    <w:p w14:paraId="5FFB0509">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注：</w:t>
      </w:r>
    </w:p>
    <w:p w14:paraId="17D88659">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1.供应商应对是否满足“具有独立承担民事责任的能力；良好的商业信誉和健全的财务会计制度；具有履行合同所必需的设备和专业技术能力；有依法缴纳税收和社会保障资金的良好记录；参加政府采购活动前三年内，在经营活动中没有重大违法记录；法律、行政法规规定的其他条件。”（《政府采购法》第二十二条规定）进行说明和承诺；</w:t>
      </w:r>
    </w:p>
    <w:p w14:paraId="46D0AD4E">
      <w:pPr>
        <w:pStyle w:val="18"/>
        <w:spacing w:line="500" w:lineRule="exact"/>
        <w:rPr>
          <w:rFonts w:hint="eastAsia" w:hAnsi="宋体" w:cs="宋体"/>
          <w:color w:val="auto"/>
          <w:szCs w:val="21"/>
          <w:highlight w:val="none"/>
        </w:rPr>
      </w:pPr>
      <w:r>
        <w:rPr>
          <w:rFonts w:hint="eastAsia" w:hAnsi="宋体" w:cs="宋体"/>
          <w:color w:val="auto"/>
          <w:szCs w:val="21"/>
          <w:highlight w:val="none"/>
        </w:rPr>
        <w:t>2.若竞争性磋商文件中明确要求提供证明资料的，以证明资料为准。</w:t>
      </w:r>
    </w:p>
    <w:p w14:paraId="00BFF918">
      <w:pPr>
        <w:keepNext/>
        <w:keepLines/>
        <w:spacing w:after="120" w:line="360" w:lineRule="auto"/>
        <w:jc w:val="left"/>
        <w:outlineLvl w:val="9"/>
        <w:rPr>
          <w:rFonts w:hint="eastAsia" w:ascii="宋体" w:hAnsi="宋体" w:cs="宋体"/>
          <w:b/>
          <w:color w:val="auto"/>
          <w:sz w:val="28"/>
          <w:szCs w:val="28"/>
          <w:highlight w:val="none"/>
        </w:rPr>
      </w:pPr>
      <w:bookmarkStart w:id="504" w:name="_Toc428404332"/>
    </w:p>
    <w:bookmarkEnd w:id="504"/>
    <w:p w14:paraId="400C1D21">
      <w:pPr>
        <w:keepNext/>
        <w:keepLines/>
        <w:spacing w:after="120" w:line="360" w:lineRule="auto"/>
        <w:jc w:val="left"/>
        <w:outlineLvl w:val="1"/>
        <w:rPr>
          <w:rFonts w:hint="default" w:ascii="宋体" w:hAnsi="宋体" w:eastAsia="宋体" w:cs="宋体"/>
          <w:b/>
          <w:color w:val="auto"/>
          <w:sz w:val="28"/>
          <w:szCs w:val="28"/>
          <w:highlight w:val="none"/>
          <w:lang w:val="en-US" w:eastAsia="zh-CN"/>
        </w:rPr>
      </w:pPr>
      <w:r>
        <w:rPr>
          <w:rFonts w:hint="eastAsia" w:hAnsi="宋体" w:cs="宋体"/>
          <w:color w:val="auto"/>
          <w:szCs w:val="21"/>
          <w:highlight w:val="none"/>
          <w:u w:val="single"/>
        </w:rPr>
        <w:br w:type="page"/>
      </w:r>
      <w:bookmarkStart w:id="505" w:name="_Toc12975"/>
      <w:r>
        <w:rPr>
          <w:rFonts w:hint="eastAsia" w:ascii="宋体" w:hAnsi="宋体" w:cs="宋体"/>
          <w:b/>
          <w:color w:val="auto"/>
          <w:sz w:val="28"/>
          <w:szCs w:val="28"/>
          <w:highlight w:val="none"/>
        </w:rPr>
        <w:t>格式</w:t>
      </w:r>
      <w:bookmarkEnd w:id="333"/>
      <w:bookmarkEnd w:id="334"/>
      <w:bookmarkEnd w:id="335"/>
      <w:bookmarkEnd w:id="336"/>
      <w:bookmarkEnd w:id="337"/>
      <w:bookmarkEnd w:id="338"/>
      <w:bookmarkEnd w:id="339"/>
      <w:bookmarkEnd w:id="340"/>
      <w:bookmarkEnd w:id="341"/>
      <w:bookmarkEnd w:id="429"/>
      <w:r>
        <w:rPr>
          <w:rFonts w:hint="eastAsia" w:ascii="宋体" w:hAnsi="宋体" w:cs="宋体"/>
          <w:b/>
          <w:color w:val="auto"/>
          <w:sz w:val="28"/>
          <w:szCs w:val="28"/>
          <w:highlight w:val="none"/>
          <w:lang w:val="en-US" w:eastAsia="zh-CN"/>
        </w:rPr>
        <w:t>2</w:t>
      </w:r>
      <w:bookmarkEnd w:id="505"/>
      <w:r>
        <w:rPr>
          <w:rFonts w:hint="eastAsia" w:ascii="宋体" w:hAnsi="宋体" w:cs="宋体"/>
          <w:b/>
          <w:color w:val="auto"/>
          <w:sz w:val="28"/>
          <w:szCs w:val="28"/>
          <w:highlight w:val="none"/>
          <w:lang w:val="en-US" w:eastAsia="zh-CN"/>
        </w:rPr>
        <w:t>6</w:t>
      </w:r>
    </w:p>
    <w:p w14:paraId="31301DD2">
      <w:pPr>
        <w:keepNext/>
        <w:keepLines/>
        <w:spacing w:before="120" w:after="120" w:line="360" w:lineRule="auto"/>
        <w:jc w:val="center"/>
        <w:outlineLvl w:val="1"/>
        <w:rPr>
          <w:rFonts w:hint="eastAsia" w:ascii="宋体" w:hAnsi="宋体" w:cs="宋体"/>
          <w:b/>
          <w:bCs/>
          <w:color w:val="auto"/>
          <w:sz w:val="28"/>
          <w:szCs w:val="32"/>
          <w:highlight w:val="none"/>
        </w:rPr>
      </w:pPr>
      <w:bookmarkStart w:id="506" w:name="_Toc9631"/>
      <w:bookmarkStart w:id="507" w:name="_Toc491307510"/>
      <w:bookmarkStart w:id="508" w:name="_Toc491307328"/>
      <w:bookmarkStart w:id="509" w:name="_Toc9078"/>
      <w:bookmarkStart w:id="510" w:name="_Toc23753"/>
      <w:bookmarkStart w:id="511" w:name="_Toc494043364"/>
      <w:bookmarkStart w:id="512" w:name="_Toc26637"/>
      <w:bookmarkStart w:id="513" w:name="_Toc30161"/>
      <w:bookmarkStart w:id="514" w:name="_Toc32707"/>
      <w:bookmarkStart w:id="515" w:name="_Toc491307390"/>
      <w:bookmarkStart w:id="516" w:name="_Toc14674"/>
      <w:r>
        <w:rPr>
          <w:rFonts w:hint="eastAsia" w:ascii="宋体" w:hAnsi="宋体" w:cs="宋体"/>
          <w:b/>
          <w:bCs/>
          <w:color w:val="auto"/>
          <w:sz w:val="28"/>
          <w:szCs w:val="32"/>
          <w:highlight w:val="none"/>
        </w:rPr>
        <w:t>构成响应文件的其他资料</w:t>
      </w:r>
      <w:bookmarkEnd w:id="506"/>
      <w:bookmarkEnd w:id="507"/>
      <w:bookmarkEnd w:id="508"/>
      <w:bookmarkEnd w:id="509"/>
      <w:bookmarkEnd w:id="510"/>
      <w:bookmarkEnd w:id="511"/>
      <w:bookmarkEnd w:id="512"/>
      <w:bookmarkEnd w:id="513"/>
      <w:bookmarkEnd w:id="514"/>
      <w:bookmarkEnd w:id="515"/>
      <w:bookmarkEnd w:id="516"/>
    </w:p>
    <w:p w14:paraId="332CA626">
      <w:pPr>
        <w:autoSpaceDE w:val="0"/>
        <w:autoSpaceDN w:val="0"/>
        <w:snapToGrid w:val="0"/>
        <w:spacing w:line="360" w:lineRule="auto"/>
        <w:textAlignment w:val="bottom"/>
        <w:rPr>
          <w:rFonts w:hint="eastAsia" w:ascii="宋体" w:hAnsi="宋体" w:cs="宋体"/>
          <w:color w:val="auto"/>
          <w:szCs w:val="21"/>
          <w:highlight w:val="none"/>
        </w:rPr>
      </w:pPr>
      <w:r>
        <w:rPr>
          <w:rFonts w:hint="eastAsia" w:ascii="宋体" w:hAnsi="宋体" w:cs="宋体"/>
          <w:color w:val="auto"/>
          <w:szCs w:val="21"/>
          <w:highlight w:val="none"/>
        </w:rPr>
        <w:t>详见第二章《供应商须知前附表》第15.</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条，请自拟格式。</w:t>
      </w:r>
    </w:p>
    <w:p w14:paraId="21AD3CBE">
      <w:pPr>
        <w:autoSpaceDE w:val="0"/>
        <w:autoSpaceDN w:val="0"/>
        <w:snapToGrid w:val="0"/>
        <w:spacing w:line="360" w:lineRule="auto"/>
        <w:textAlignment w:val="bottom"/>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eastAsia="宋体" w:cs="宋体"/>
          <w:color w:val="auto"/>
          <w:szCs w:val="21"/>
          <w:highlight w:val="none"/>
        </w:rPr>
        <w:t>磋商保证金交纳凭证</w:t>
      </w:r>
      <w:r>
        <w:rPr>
          <w:rFonts w:hint="eastAsia" w:ascii="宋体" w:hAnsi="宋体" w:cs="宋体"/>
          <w:color w:val="auto"/>
          <w:szCs w:val="21"/>
          <w:highlight w:val="none"/>
          <w:lang w:eastAsia="zh-CN"/>
        </w:rPr>
        <w:t>或保函或投标（竞标）保证保险保单</w:t>
      </w:r>
      <w:r>
        <w:rPr>
          <w:rFonts w:hint="eastAsia" w:ascii="宋体" w:hAnsi="宋体" w:cs="宋体"/>
          <w:color w:val="auto"/>
          <w:szCs w:val="21"/>
          <w:highlight w:val="none"/>
        </w:rPr>
        <w:t>（复印件</w:t>
      </w:r>
      <w:r>
        <w:rPr>
          <w:rFonts w:hint="eastAsia" w:ascii="宋体" w:hAnsi="宋体" w:cs="宋体"/>
          <w:color w:val="auto"/>
          <w:szCs w:val="21"/>
          <w:highlight w:val="none"/>
          <w:lang w:eastAsia="zh-CN"/>
        </w:rPr>
        <w:t>加盖供应商电子公章</w:t>
      </w:r>
      <w:r>
        <w:rPr>
          <w:rFonts w:hint="eastAsia" w:ascii="宋体" w:hAnsi="宋体" w:cs="宋体"/>
          <w:color w:val="auto"/>
          <w:szCs w:val="21"/>
          <w:highlight w:val="none"/>
        </w:rPr>
        <w:t>）</w:t>
      </w:r>
    </w:p>
    <w:p w14:paraId="1010084C">
      <w:pPr>
        <w:autoSpaceDE w:val="0"/>
        <w:autoSpaceDN w:val="0"/>
        <w:snapToGrid w:val="0"/>
        <w:spacing w:line="360" w:lineRule="auto"/>
        <w:textAlignment w:val="bottom"/>
        <w:rPr>
          <w:rFonts w:hint="eastAsia" w:ascii="宋体" w:hAnsi="宋体" w:cs="宋体"/>
          <w:color w:val="auto"/>
          <w:szCs w:val="21"/>
          <w:highlight w:val="none"/>
        </w:rPr>
      </w:pPr>
      <w:r>
        <w:rPr>
          <w:rFonts w:hint="eastAsia" w:ascii="宋体" w:hAnsi="宋体" w:cs="宋体"/>
          <w:color w:val="auto"/>
          <w:szCs w:val="21"/>
          <w:highlight w:val="none"/>
        </w:rPr>
        <w:t>2.第五章《采购需求》中要求提供的其他资料；</w:t>
      </w:r>
    </w:p>
    <w:p w14:paraId="204AAFF1">
      <w:pPr>
        <w:autoSpaceDE w:val="0"/>
        <w:autoSpaceDN w:val="0"/>
        <w:snapToGrid w:val="0"/>
        <w:spacing w:line="360" w:lineRule="auto"/>
        <w:textAlignment w:val="bottom"/>
        <w:rPr>
          <w:rFonts w:hint="eastAsia" w:ascii="宋体" w:hAnsi="宋体" w:cs="宋体"/>
          <w:color w:val="auto"/>
          <w:szCs w:val="21"/>
          <w:highlight w:val="none"/>
        </w:rPr>
      </w:pPr>
      <w:r>
        <w:rPr>
          <w:rFonts w:hint="eastAsia" w:ascii="宋体" w:hAnsi="宋体" w:cs="宋体"/>
          <w:color w:val="auto"/>
          <w:szCs w:val="21"/>
          <w:highlight w:val="none"/>
        </w:rPr>
        <w:t>3.竞争性磋商文件中所涉及到的相关资料及证明文件或供应商认为必须提供的其他相关资料。</w:t>
      </w:r>
    </w:p>
    <w:p w14:paraId="67390A9A">
      <w:pPr>
        <w:keepNext/>
        <w:keepLines/>
        <w:spacing w:after="120" w:line="360" w:lineRule="auto"/>
        <w:jc w:val="left"/>
        <w:outlineLvl w:val="9"/>
        <w:rPr>
          <w:rFonts w:hint="eastAsia" w:ascii="宋体" w:hAnsi="宋体" w:cs="宋体"/>
          <w:color w:val="auto"/>
          <w:szCs w:val="21"/>
          <w:highlight w:val="none"/>
        </w:rPr>
      </w:pPr>
    </w:p>
    <w:p w14:paraId="3F8C3F91">
      <w:pPr>
        <w:pStyle w:val="3"/>
        <w:spacing w:before="0" w:after="0" w:line="440" w:lineRule="exact"/>
        <w:rPr>
          <w:rFonts w:hint="eastAsia" w:cs="宋体"/>
          <w:color w:val="auto"/>
          <w:highlight w:val="none"/>
        </w:rPr>
      </w:pPr>
      <w:r>
        <w:rPr>
          <w:rFonts w:hint="eastAsia" w:cs="宋体"/>
          <w:color w:val="auto"/>
          <w:szCs w:val="21"/>
          <w:highlight w:val="none"/>
        </w:rPr>
        <w:br w:type="page"/>
      </w:r>
      <w:bookmarkStart w:id="517" w:name="_Toc5327"/>
      <w:bookmarkStart w:id="518" w:name="_Toc491307331"/>
      <w:r>
        <w:rPr>
          <w:rFonts w:hint="eastAsia" w:cs="宋体"/>
          <w:color w:val="auto"/>
          <w:sz w:val="32"/>
          <w:highlight w:val="none"/>
        </w:rPr>
        <w:t>第五章  采购需求</w:t>
      </w:r>
      <w:bookmarkEnd w:id="517"/>
      <w:bookmarkEnd w:id="518"/>
    </w:p>
    <w:p w14:paraId="19162C49">
      <w:pPr>
        <w:spacing w:before="60" w:after="60" w:line="360" w:lineRule="auto"/>
        <w:ind w:firstLine="207" w:firstLineChars="98"/>
        <w:rPr>
          <w:rFonts w:hint="eastAsia" w:ascii="宋体" w:hAnsi="宋体" w:cs="宋体"/>
          <w:b/>
          <w:bCs/>
          <w:color w:val="auto"/>
          <w:szCs w:val="21"/>
          <w:highlight w:val="none"/>
        </w:rPr>
      </w:pPr>
      <w:bookmarkStart w:id="519" w:name="_Toc421622894"/>
      <w:bookmarkStart w:id="520" w:name="_Toc421799430"/>
      <w:r>
        <w:rPr>
          <w:rFonts w:hint="eastAsia" w:ascii="宋体" w:hAnsi="宋体" w:cs="宋体"/>
          <w:b/>
          <w:bCs/>
          <w:color w:val="auto"/>
          <w:szCs w:val="21"/>
          <w:highlight w:val="none"/>
        </w:rPr>
        <w:t>说明：</w:t>
      </w:r>
    </w:p>
    <w:p w14:paraId="283F1A59">
      <w:pPr>
        <w:spacing w:before="60" w:after="60" w:line="360" w:lineRule="auto"/>
        <w:ind w:firstLine="510"/>
        <w:rPr>
          <w:rFonts w:ascii="宋体" w:hAnsi="宋体" w:cs="宋体"/>
          <w:bCs/>
          <w:color w:val="auto"/>
          <w:szCs w:val="21"/>
          <w:highlight w:val="none"/>
        </w:rPr>
      </w:pPr>
      <w:r>
        <w:rPr>
          <w:rFonts w:hint="eastAsia" w:ascii="宋体" w:hAnsi="宋体" w:cs="宋体"/>
          <w:bCs/>
          <w:color w:val="auto"/>
          <w:szCs w:val="21"/>
          <w:highlight w:val="none"/>
        </w:rPr>
        <w:t>1</w:t>
      </w:r>
      <w:bookmarkStart w:id="521" w:name="_Toc491307394"/>
      <w:bookmarkStart w:id="522" w:name="_Toc491307332"/>
      <w:r>
        <w:rPr>
          <w:rFonts w:hint="eastAsia" w:ascii="宋体" w:hAnsi="宋体" w:cs="宋体"/>
          <w:bCs/>
          <w:color w:val="auto"/>
          <w:szCs w:val="21"/>
          <w:highlight w:val="none"/>
        </w:rPr>
        <w:t>.本章各项规格、技术条款和性能要求如出现引用某一特定的专利技术、商标、名称、设计、原产地或供应者等情况，则仅起参考作用。供应商可选用实质上“相当于”或“优于”该参考技术规格要求的产品投报，同时填写技术条款偏离表。关键技术响应应与竞争性谈判文件采购需求一致（或高于竞争性谈判文件所列采购需求）。</w:t>
      </w:r>
    </w:p>
    <w:p w14:paraId="698756B4">
      <w:pPr>
        <w:spacing w:before="60" w:after="60" w:line="360" w:lineRule="auto"/>
        <w:ind w:firstLine="510"/>
        <w:rPr>
          <w:rFonts w:ascii="宋体" w:hAnsi="宋体" w:cs="宋体"/>
          <w:bCs/>
          <w:color w:val="auto"/>
          <w:szCs w:val="21"/>
          <w:highlight w:val="none"/>
        </w:rPr>
      </w:pPr>
      <w:r>
        <w:rPr>
          <w:rFonts w:hint="eastAsia" w:ascii="宋体" w:hAnsi="宋体" w:cs="宋体"/>
          <w:bCs/>
          <w:color w:val="auto"/>
          <w:szCs w:val="21"/>
          <w:highlight w:val="none"/>
        </w:rPr>
        <w:t>2.凡在“规格、技术条款、性能要求”中表述为“标配”或“标准配置”的设备，供应商应在分项报价一览表中将其标配参数详细列明。</w:t>
      </w:r>
    </w:p>
    <w:p w14:paraId="5EA64DBC">
      <w:pPr>
        <w:spacing w:before="60" w:after="60" w:line="360" w:lineRule="auto"/>
        <w:ind w:firstLine="510"/>
        <w:rPr>
          <w:rFonts w:ascii="宋体" w:hAnsi="宋体" w:cs="宋体"/>
          <w:bCs/>
          <w:color w:val="auto"/>
          <w:szCs w:val="21"/>
          <w:highlight w:val="none"/>
        </w:rPr>
      </w:pPr>
      <w:r>
        <w:rPr>
          <w:rFonts w:hint="eastAsia" w:ascii="宋体" w:hAnsi="宋体" w:cs="宋体"/>
          <w:bCs/>
          <w:color w:val="auto"/>
          <w:szCs w:val="21"/>
          <w:highlight w:val="none"/>
        </w:rPr>
        <w:t>3.供应商应保证其提供的货物、工程或者服务在采购人使用期间不受第三方可能提出的侵犯其所有权、知识产权、商标权、专利权、著作权等相关权利的起诉。</w:t>
      </w:r>
    </w:p>
    <w:p w14:paraId="60A04B1F">
      <w:pPr>
        <w:spacing w:before="60" w:after="60" w:line="360" w:lineRule="auto"/>
        <w:ind w:firstLine="510"/>
        <w:rPr>
          <w:rFonts w:hint="eastAsia" w:ascii="宋体" w:hAnsi="宋体" w:eastAsia="宋体" w:cs="宋体"/>
          <w:bCs/>
          <w:color w:val="auto"/>
          <w:szCs w:val="21"/>
          <w:highlight w:val="none"/>
        </w:rPr>
      </w:pPr>
      <w:r>
        <w:rPr>
          <w:rFonts w:hint="eastAsia" w:ascii="宋体" w:hAnsi="宋体" w:cs="宋体"/>
          <w:bCs/>
          <w:color w:val="auto"/>
          <w:szCs w:val="21"/>
          <w:highlight w:val="none"/>
        </w:rPr>
        <w:t>4.供应商应对在项目服务的过程中，涉及到甲方的工作信息等秘密内容进行保密。双方应共同对</w:t>
      </w:r>
      <w:r>
        <w:rPr>
          <w:rFonts w:hint="eastAsia" w:ascii="宋体" w:hAnsi="宋体" w:eastAsia="宋体" w:cs="宋体"/>
          <w:bCs/>
          <w:color w:val="auto"/>
          <w:szCs w:val="21"/>
          <w:highlight w:val="none"/>
        </w:rPr>
        <w:t>系统中涉及的技术情报和资料进行保密。</w:t>
      </w:r>
    </w:p>
    <w:p w14:paraId="7E6085D6">
      <w:pPr>
        <w:spacing w:before="60" w:after="60" w:line="360" w:lineRule="auto"/>
        <w:ind w:firstLine="51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5.本文件解释权归采购人、采购代理机构。</w:t>
      </w:r>
      <w:bookmarkEnd w:id="521"/>
      <w:bookmarkEnd w:id="522"/>
    </w:p>
    <w:p w14:paraId="292581A7">
      <w:pPr>
        <w:spacing w:line="360" w:lineRule="auto"/>
        <w:ind w:firstLine="422" w:firstLineChars="200"/>
        <w:rPr>
          <w:rFonts w:hint="eastAsia" w:asciiTheme="minorEastAsia" w:hAnsiTheme="minorEastAsia" w:eastAsiaTheme="minorEastAsia" w:cstheme="minorEastAsia"/>
          <w:bCs/>
          <w:sz w:val="21"/>
          <w:szCs w:val="21"/>
          <w:lang w:val="en-US" w:eastAsia="zh-CN"/>
        </w:rPr>
      </w:pPr>
      <w:r>
        <w:rPr>
          <w:rFonts w:hint="eastAsia"/>
          <w:b/>
          <w:bCs/>
          <w:color w:val="auto"/>
          <w:szCs w:val="21"/>
          <w:highlight w:val="none"/>
        </w:rPr>
        <w:br w:type="page"/>
      </w:r>
      <w:r>
        <w:rPr>
          <w:rFonts w:hint="eastAsia" w:asciiTheme="minorEastAsia" w:hAnsiTheme="minorEastAsia" w:eastAsiaTheme="minorEastAsia" w:cstheme="minorEastAsia"/>
          <w:bCs/>
          <w:sz w:val="21"/>
          <w:szCs w:val="21"/>
          <w:lang w:val="en-US" w:eastAsia="zh-CN"/>
        </w:rPr>
        <w:t>1.项目概况</w:t>
      </w:r>
    </w:p>
    <w:p w14:paraId="2CE5F096">
      <w:pPr>
        <w:spacing w:line="360" w:lineRule="auto"/>
        <w:ind w:firstLine="420" w:firstLineChars="200"/>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为确保</w:t>
      </w:r>
      <w:r>
        <w:rPr>
          <w:rFonts w:hint="eastAsia" w:asciiTheme="minorEastAsia" w:hAnsiTheme="minorEastAsia" w:eastAsiaTheme="minorEastAsia" w:cstheme="minorEastAsia"/>
          <w:bCs/>
          <w:sz w:val="21"/>
          <w:szCs w:val="21"/>
          <w:lang w:val="en-US" w:eastAsia="zh-CN"/>
        </w:rPr>
        <w:t>昆明市公安局</w:t>
      </w:r>
      <w:r>
        <w:rPr>
          <w:rFonts w:hint="eastAsia" w:asciiTheme="minorEastAsia" w:hAnsiTheme="minorEastAsia" w:eastAsiaTheme="minorEastAsia" w:cstheme="minorEastAsia"/>
          <w:bCs/>
          <w:sz w:val="21"/>
          <w:szCs w:val="21"/>
        </w:rPr>
        <w:t>信息系统商用密码应用符合有关法律、行政法规、标准及规范的要求，提升</w:t>
      </w:r>
      <w:r>
        <w:rPr>
          <w:rFonts w:hint="eastAsia" w:asciiTheme="minorEastAsia" w:hAnsiTheme="minorEastAsia" w:eastAsiaTheme="minorEastAsia" w:cstheme="minorEastAsia"/>
          <w:bCs/>
          <w:sz w:val="21"/>
          <w:szCs w:val="21"/>
          <w:lang w:val="en-US" w:eastAsia="zh-CN"/>
        </w:rPr>
        <w:t>信息系统</w:t>
      </w:r>
      <w:r>
        <w:rPr>
          <w:rFonts w:hint="eastAsia" w:asciiTheme="minorEastAsia" w:hAnsiTheme="minorEastAsia" w:eastAsiaTheme="minorEastAsia" w:cstheme="minorEastAsia"/>
          <w:bCs/>
          <w:sz w:val="21"/>
          <w:szCs w:val="21"/>
        </w:rPr>
        <w:t>的安全防护能力，健全密码应用的安全保障体系，</w:t>
      </w:r>
      <w:r>
        <w:rPr>
          <w:rFonts w:hint="eastAsia" w:asciiTheme="minorEastAsia" w:hAnsiTheme="minorEastAsia" w:eastAsiaTheme="minorEastAsia" w:cstheme="minorEastAsia"/>
          <w:bCs/>
          <w:sz w:val="21"/>
          <w:szCs w:val="21"/>
          <w:lang w:val="en-US" w:eastAsia="zh-CN"/>
        </w:rPr>
        <w:t>昆明市公安局</w:t>
      </w:r>
      <w:r>
        <w:rPr>
          <w:rFonts w:hint="eastAsia" w:asciiTheme="minorEastAsia" w:hAnsiTheme="minorEastAsia" w:eastAsiaTheme="minorEastAsia" w:cstheme="minorEastAsia"/>
          <w:bCs/>
          <w:sz w:val="21"/>
          <w:szCs w:val="21"/>
        </w:rPr>
        <w:t>开展密码应用安全性评估项目。</w:t>
      </w:r>
    </w:p>
    <w:p w14:paraId="70445993">
      <w:pPr>
        <w:spacing w:line="360" w:lineRule="auto"/>
        <w:ind w:firstLine="420" w:firstLineChars="200"/>
        <w:rPr>
          <w:rFonts w:hint="eastAsia" w:asciiTheme="minorEastAsia" w:hAnsiTheme="minorEastAsia" w:eastAsiaTheme="minorEastAsia" w:cstheme="minorEastAsia"/>
          <w:bCs/>
          <w:sz w:val="21"/>
          <w:szCs w:val="21"/>
          <w:lang w:val="en-US" w:eastAsia="zh-CN"/>
        </w:rPr>
      </w:pPr>
      <w:r>
        <w:rPr>
          <w:rFonts w:hint="eastAsia" w:asciiTheme="minorEastAsia" w:hAnsiTheme="minorEastAsia" w:eastAsiaTheme="minorEastAsia" w:cstheme="minorEastAsia"/>
          <w:bCs/>
          <w:sz w:val="21"/>
          <w:szCs w:val="21"/>
          <w:lang w:val="en-US" w:eastAsia="zh-CN"/>
        </w:rPr>
        <w:t>2.评估依据</w:t>
      </w:r>
    </w:p>
    <w:p w14:paraId="1756219F">
      <w:pPr>
        <w:spacing w:line="360" w:lineRule="auto"/>
        <w:ind w:firstLine="420" w:firstLineChars="200"/>
        <w:rPr>
          <w:rFonts w:hint="eastAsia" w:asciiTheme="minorEastAsia" w:hAnsiTheme="minorEastAsia" w:eastAsiaTheme="minorEastAsia" w:cstheme="minorEastAsia"/>
          <w:bCs/>
          <w:sz w:val="21"/>
          <w:szCs w:val="21"/>
          <w:lang w:val="en-US" w:eastAsia="zh-CN"/>
        </w:rPr>
      </w:pPr>
      <w:r>
        <w:rPr>
          <w:rFonts w:hint="eastAsia" w:asciiTheme="minorEastAsia" w:hAnsiTheme="minorEastAsia" w:eastAsiaTheme="minorEastAsia" w:cstheme="minorEastAsia"/>
          <w:bCs/>
          <w:sz w:val="21"/>
          <w:szCs w:val="21"/>
          <w:lang w:val="en-US" w:eastAsia="zh-CN"/>
        </w:rPr>
        <w:t>《中华人民共和国网络安全法》</w:t>
      </w:r>
    </w:p>
    <w:p w14:paraId="18FA9553">
      <w:pPr>
        <w:spacing w:line="360" w:lineRule="auto"/>
        <w:ind w:firstLine="420" w:firstLineChars="200"/>
        <w:rPr>
          <w:rFonts w:hint="eastAsia" w:asciiTheme="minorEastAsia" w:hAnsiTheme="minorEastAsia" w:eastAsiaTheme="minorEastAsia" w:cstheme="minorEastAsia"/>
          <w:bCs/>
          <w:sz w:val="21"/>
          <w:szCs w:val="21"/>
          <w:lang w:val="en-US" w:eastAsia="zh-CN"/>
        </w:rPr>
      </w:pPr>
      <w:r>
        <w:rPr>
          <w:rFonts w:hint="eastAsia" w:asciiTheme="minorEastAsia" w:hAnsiTheme="minorEastAsia" w:eastAsiaTheme="minorEastAsia" w:cstheme="minorEastAsia"/>
          <w:bCs/>
          <w:sz w:val="21"/>
          <w:szCs w:val="21"/>
          <w:lang w:val="en-US" w:eastAsia="zh-CN"/>
        </w:rPr>
        <w:t>《中华人民共和国密码法》</w:t>
      </w:r>
    </w:p>
    <w:p w14:paraId="3B7C7B78">
      <w:pPr>
        <w:spacing w:line="360" w:lineRule="auto"/>
        <w:ind w:firstLine="420" w:firstLineChars="200"/>
        <w:rPr>
          <w:rFonts w:hint="eastAsia" w:asciiTheme="minorEastAsia" w:hAnsiTheme="minorEastAsia" w:eastAsiaTheme="minorEastAsia" w:cstheme="minorEastAsia"/>
          <w:bCs/>
          <w:sz w:val="21"/>
          <w:szCs w:val="21"/>
          <w:lang w:val="en-US" w:eastAsia="zh-CN"/>
        </w:rPr>
      </w:pPr>
      <w:r>
        <w:rPr>
          <w:rFonts w:hint="eastAsia" w:asciiTheme="minorEastAsia" w:hAnsiTheme="minorEastAsia" w:eastAsiaTheme="minorEastAsia" w:cstheme="minorEastAsia"/>
          <w:bCs/>
          <w:sz w:val="21"/>
          <w:szCs w:val="21"/>
          <w:lang w:val="en-US" w:eastAsia="zh-CN"/>
        </w:rPr>
        <w:t>《商用密码管理条例》</w:t>
      </w:r>
    </w:p>
    <w:p w14:paraId="601816FB">
      <w:pPr>
        <w:spacing w:line="360" w:lineRule="auto"/>
        <w:ind w:firstLine="420" w:firstLineChars="200"/>
        <w:rPr>
          <w:rFonts w:hint="eastAsia" w:asciiTheme="minorEastAsia" w:hAnsiTheme="minorEastAsia" w:eastAsiaTheme="minorEastAsia" w:cstheme="minorEastAsia"/>
          <w:bCs/>
          <w:sz w:val="21"/>
          <w:szCs w:val="21"/>
          <w:lang w:val="en-US" w:eastAsia="zh-CN"/>
        </w:rPr>
      </w:pPr>
      <w:r>
        <w:rPr>
          <w:rFonts w:hint="eastAsia" w:asciiTheme="minorEastAsia" w:hAnsiTheme="minorEastAsia" w:eastAsiaTheme="minorEastAsia" w:cstheme="minorEastAsia"/>
          <w:bCs/>
          <w:sz w:val="21"/>
          <w:szCs w:val="21"/>
          <w:lang w:val="en-US" w:eastAsia="zh-CN"/>
        </w:rPr>
        <w:t>《GB/T 39786-2021 信息安全技术 信息系统密码应用基本要求》</w:t>
      </w:r>
    </w:p>
    <w:p w14:paraId="0D06327C">
      <w:pPr>
        <w:spacing w:line="360" w:lineRule="auto"/>
        <w:ind w:firstLine="420" w:firstLineChars="200"/>
        <w:rPr>
          <w:rFonts w:hint="eastAsia" w:asciiTheme="minorEastAsia" w:hAnsiTheme="minorEastAsia" w:eastAsiaTheme="minorEastAsia" w:cstheme="minorEastAsia"/>
          <w:bCs/>
          <w:sz w:val="21"/>
          <w:szCs w:val="21"/>
          <w:lang w:val="en-US" w:eastAsia="zh-CN"/>
        </w:rPr>
      </w:pPr>
      <w:r>
        <w:rPr>
          <w:rFonts w:hint="eastAsia" w:asciiTheme="minorEastAsia" w:hAnsiTheme="minorEastAsia" w:eastAsiaTheme="minorEastAsia" w:cstheme="minorEastAsia"/>
          <w:bCs/>
          <w:sz w:val="21"/>
          <w:szCs w:val="21"/>
          <w:lang w:val="en-US" w:eastAsia="zh-CN"/>
        </w:rPr>
        <w:t>《GB/T 43206-2023信息安全技术 信息系统密码应用测评要求》</w:t>
      </w:r>
    </w:p>
    <w:p w14:paraId="3051FD67">
      <w:pPr>
        <w:spacing w:line="360" w:lineRule="auto"/>
        <w:ind w:firstLine="420" w:firstLineChars="200"/>
        <w:rPr>
          <w:rFonts w:hint="eastAsia" w:asciiTheme="minorEastAsia" w:hAnsiTheme="minorEastAsia" w:eastAsiaTheme="minorEastAsia" w:cstheme="minorEastAsia"/>
          <w:bCs/>
          <w:sz w:val="21"/>
          <w:szCs w:val="21"/>
          <w:lang w:val="en-US" w:eastAsia="zh-CN"/>
        </w:rPr>
      </w:pPr>
      <w:r>
        <w:rPr>
          <w:rFonts w:hint="eastAsia" w:asciiTheme="minorEastAsia" w:hAnsiTheme="minorEastAsia" w:eastAsiaTheme="minorEastAsia" w:cstheme="minorEastAsia"/>
          <w:bCs/>
          <w:sz w:val="21"/>
          <w:szCs w:val="21"/>
          <w:lang w:val="en-US" w:eastAsia="zh-CN"/>
        </w:rPr>
        <w:t>《GB/T 43207-2023信息安全技术 信息系统密码应用涉及指南》</w:t>
      </w:r>
    </w:p>
    <w:p w14:paraId="433B5490">
      <w:pPr>
        <w:spacing w:line="360" w:lineRule="auto"/>
        <w:ind w:firstLine="420" w:firstLineChars="200"/>
        <w:rPr>
          <w:rFonts w:hint="eastAsia" w:asciiTheme="minorEastAsia" w:hAnsiTheme="minorEastAsia" w:eastAsiaTheme="minorEastAsia" w:cstheme="minorEastAsia"/>
          <w:bCs/>
          <w:sz w:val="21"/>
          <w:szCs w:val="21"/>
          <w:lang w:val="en-US" w:eastAsia="zh-CN"/>
        </w:rPr>
      </w:pPr>
      <w:r>
        <w:rPr>
          <w:rFonts w:hint="eastAsia" w:asciiTheme="minorEastAsia" w:hAnsiTheme="minorEastAsia" w:eastAsiaTheme="minorEastAsia" w:cstheme="minorEastAsia"/>
          <w:bCs/>
          <w:sz w:val="21"/>
          <w:szCs w:val="21"/>
          <w:lang w:val="en-US" w:eastAsia="zh-CN"/>
        </w:rPr>
        <w:t>《政务信息系统密码应用与安全性评估工作指南》</w:t>
      </w:r>
    </w:p>
    <w:p w14:paraId="610D6C50">
      <w:pPr>
        <w:spacing w:line="360" w:lineRule="auto"/>
        <w:ind w:firstLine="420" w:firstLineChars="200"/>
        <w:rPr>
          <w:rFonts w:hint="eastAsia" w:asciiTheme="minorEastAsia" w:hAnsiTheme="minorEastAsia" w:eastAsiaTheme="minorEastAsia" w:cstheme="minorEastAsia"/>
          <w:bCs/>
          <w:sz w:val="21"/>
          <w:szCs w:val="21"/>
          <w:lang w:val="en-US" w:eastAsia="zh-CN"/>
        </w:rPr>
      </w:pPr>
      <w:r>
        <w:rPr>
          <w:rFonts w:hint="eastAsia" w:asciiTheme="minorEastAsia" w:hAnsiTheme="minorEastAsia" w:eastAsiaTheme="minorEastAsia" w:cstheme="minorEastAsia"/>
          <w:bCs/>
          <w:sz w:val="21"/>
          <w:szCs w:val="21"/>
          <w:lang w:val="en-US" w:eastAsia="zh-CN"/>
        </w:rPr>
        <w:t>《信息系统密码应用高风险判定指引》</w:t>
      </w:r>
    </w:p>
    <w:p w14:paraId="1BAB696E">
      <w:pPr>
        <w:spacing w:line="360" w:lineRule="auto"/>
        <w:ind w:firstLine="420" w:firstLineChars="200"/>
        <w:rPr>
          <w:rFonts w:hint="eastAsia" w:asciiTheme="minorEastAsia" w:hAnsiTheme="minorEastAsia" w:eastAsiaTheme="minorEastAsia" w:cstheme="minorEastAsia"/>
          <w:bCs/>
          <w:sz w:val="21"/>
          <w:szCs w:val="21"/>
          <w:lang w:val="en-US" w:eastAsia="zh-CN"/>
        </w:rPr>
      </w:pPr>
      <w:r>
        <w:rPr>
          <w:rFonts w:hint="eastAsia" w:asciiTheme="minorEastAsia" w:hAnsiTheme="minorEastAsia" w:eastAsiaTheme="minorEastAsia" w:cstheme="minorEastAsia"/>
          <w:bCs/>
          <w:sz w:val="21"/>
          <w:szCs w:val="21"/>
          <w:lang w:val="en-US" w:eastAsia="zh-CN"/>
        </w:rPr>
        <w:t>《商用密码应用安全性评估量化评估规则》</w:t>
      </w:r>
    </w:p>
    <w:p w14:paraId="46366E43">
      <w:pPr>
        <w:spacing w:line="360" w:lineRule="auto"/>
        <w:ind w:firstLine="420" w:firstLineChars="200"/>
        <w:rPr>
          <w:rFonts w:hint="eastAsia" w:asciiTheme="minorEastAsia" w:hAnsiTheme="minorEastAsia" w:eastAsiaTheme="minorEastAsia" w:cstheme="minorEastAsia"/>
          <w:bCs/>
          <w:sz w:val="21"/>
          <w:szCs w:val="21"/>
          <w:lang w:val="en-US" w:eastAsia="zh-CN"/>
        </w:rPr>
      </w:pPr>
      <w:r>
        <w:rPr>
          <w:rFonts w:hint="eastAsia" w:asciiTheme="minorEastAsia" w:hAnsiTheme="minorEastAsia" w:eastAsiaTheme="minorEastAsia" w:cstheme="minorEastAsia"/>
          <w:bCs/>
          <w:sz w:val="21"/>
          <w:szCs w:val="21"/>
          <w:lang w:val="en-US" w:eastAsia="zh-CN"/>
        </w:rPr>
        <w:t xml:space="preserve">《国家政务信息化项目建设管理办法》 </w:t>
      </w:r>
    </w:p>
    <w:p w14:paraId="51CFEE97">
      <w:pPr>
        <w:spacing w:line="360" w:lineRule="auto"/>
        <w:ind w:firstLine="420" w:firstLineChars="200"/>
        <w:rPr>
          <w:rFonts w:hint="eastAsia" w:asciiTheme="minorEastAsia" w:hAnsiTheme="minorEastAsia" w:eastAsiaTheme="minorEastAsia" w:cstheme="minorEastAsia"/>
          <w:bCs/>
          <w:sz w:val="21"/>
          <w:szCs w:val="21"/>
          <w:lang w:val="en-US" w:eastAsia="zh-CN"/>
        </w:rPr>
      </w:pPr>
      <w:r>
        <w:rPr>
          <w:rFonts w:hint="eastAsia" w:asciiTheme="minorEastAsia" w:hAnsiTheme="minorEastAsia" w:eastAsiaTheme="minorEastAsia" w:cstheme="minorEastAsia"/>
          <w:bCs/>
          <w:sz w:val="21"/>
          <w:szCs w:val="21"/>
          <w:lang w:val="en-US" w:eastAsia="zh-CN"/>
        </w:rPr>
        <w:t>3.服务内容</w:t>
      </w:r>
    </w:p>
    <w:p w14:paraId="4F43764A">
      <w:pPr>
        <w:widowControl/>
        <w:spacing w:line="360" w:lineRule="auto"/>
        <w:ind w:firstLine="411" w:firstLineChars="196"/>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根据</w:t>
      </w:r>
      <w:r>
        <w:rPr>
          <w:rFonts w:hint="eastAsia" w:asciiTheme="minorEastAsia" w:hAnsiTheme="minorEastAsia" w:eastAsiaTheme="minorEastAsia" w:cstheme="minorEastAsia"/>
          <w:bCs/>
          <w:sz w:val="21"/>
          <w:szCs w:val="21"/>
        </w:rPr>
        <w:t>有关法律、行政法规、标准及规范</w:t>
      </w:r>
      <w:r>
        <w:rPr>
          <w:rFonts w:hint="eastAsia" w:asciiTheme="minorEastAsia" w:hAnsiTheme="minorEastAsia" w:eastAsiaTheme="minorEastAsia" w:cstheme="minorEastAsia"/>
          <w:color w:val="000000"/>
          <w:sz w:val="21"/>
          <w:szCs w:val="21"/>
          <w:lang w:val="en-US" w:eastAsia="zh-CN"/>
        </w:rPr>
        <w:t>和要求</w:t>
      </w:r>
      <w:r>
        <w:rPr>
          <w:rFonts w:hint="eastAsia" w:asciiTheme="minorEastAsia" w:hAnsiTheme="minorEastAsia" w:eastAsiaTheme="minorEastAsia" w:cstheme="minorEastAsia"/>
          <w:color w:val="000000"/>
          <w:sz w:val="21"/>
          <w:szCs w:val="21"/>
        </w:rPr>
        <w:t>对</w:t>
      </w:r>
      <w:r>
        <w:rPr>
          <w:rFonts w:hint="eastAsia" w:asciiTheme="minorEastAsia" w:hAnsiTheme="minorEastAsia" w:eastAsiaTheme="minorEastAsia" w:cstheme="minorEastAsia"/>
          <w:bCs/>
          <w:sz w:val="21"/>
          <w:szCs w:val="21"/>
          <w:lang w:val="zh-CN"/>
        </w:rPr>
        <w:t>昆明市公安局</w:t>
      </w:r>
      <w:r>
        <w:rPr>
          <w:rFonts w:hint="eastAsia" w:asciiTheme="minorEastAsia" w:hAnsiTheme="minorEastAsia" w:eastAsiaTheme="minorEastAsia" w:cstheme="minorEastAsia"/>
          <w:bCs/>
          <w:sz w:val="21"/>
          <w:szCs w:val="21"/>
          <w:lang w:val="en-US" w:eastAsia="zh-CN"/>
        </w:rPr>
        <w:t>11个</w:t>
      </w:r>
      <w:r>
        <w:rPr>
          <w:rFonts w:hint="eastAsia" w:asciiTheme="minorEastAsia" w:hAnsiTheme="minorEastAsia" w:eastAsiaTheme="minorEastAsia" w:cstheme="minorEastAsia"/>
          <w:bCs/>
          <w:sz w:val="21"/>
          <w:szCs w:val="21"/>
        </w:rPr>
        <w:t>信息系统</w:t>
      </w:r>
      <w:r>
        <w:rPr>
          <w:rFonts w:hint="eastAsia" w:asciiTheme="minorEastAsia" w:hAnsiTheme="minorEastAsia" w:eastAsiaTheme="minorEastAsia" w:cstheme="minorEastAsia"/>
          <w:color w:val="000000"/>
          <w:sz w:val="21"/>
          <w:szCs w:val="21"/>
        </w:rPr>
        <w:t>依据第三级要求开展商用密码应用安全性评估服务，应在国家商用密码应用安全相关政策和标准的指导下，结合采购方实际信息网络及应用系统现状，评估系统密码应用是否合规、正确、有效，并通过测评发现其密码保障系统存在的安全隐患和风险，提出有针对性的加强完善密码安全管理和防护建议，协助采购人到密码管理部门完成备案工作。</w:t>
      </w:r>
    </w:p>
    <w:p w14:paraId="26124BB6">
      <w:pPr>
        <w:widowControl/>
        <w:spacing w:line="360" w:lineRule="auto"/>
        <w:ind w:firstLine="411" w:firstLineChars="196"/>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具体要求：成交人应根据采购人待评估系统的现状，结合相关国家标准和要求，从信息系统的物理和环境安全、网络和通信安全、设备和计算安全、应用和数据安全的各个层面提供全面整体的密码应用安全技术支撑，保障信息系统的用户身份真实性、重要数据的机密性和完整性、操作行为的不可否认性等。密码应用安全性评估工作包括但不限于以下层面：</w:t>
      </w:r>
    </w:p>
    <w:tbl>
      <w:tblPr>
        <w:tblStyle w:val="36"/>
        <w:tblW w:w="9020"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1167"/>
        <w:gridCol w:w="1478"/>
        <w:gridCol w:w="6375"/>
      </w:tblGrid>
      <w:tr w14:paraId="42015E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39" w:hRule="atLeast"/>
          <w:jc w:val="center"/>
        </w:trPr>
        <w:tc>
          <w:tcPr>
            <w:tcW w:w="9020" w:type="dxa"/>
            <w:gridSpan w:val="3"/>
            <w:tcBorders>
              <w:tl2br w:val="nil"/>
              <w:tr2bl w:val="nil"/>
            </w:tcBorders>
            <w:vAlign w:val="center"/>
          </w:tcPr>
          <w:p w14:paraId="6F4C1FBE">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指标体系</w:t>
            </w:r>
          </w:p>
        </w:tc>
      </w:tr>
      <w:tr w14:paraId="050AE2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restart"/>
            <w:tcBorders>
              <w:tl2br w:val="nil"/>
              <w:tr2bl w:val="nil"/>
            </w:tcBorders>
            <w:vAlign w:val="center"/>
          </w:tcPr>
          <w:p w14:paraId="74787F19">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技术要求</w:t>
            </w:r>
          </w:p>
        </w:tc>
        <w:tc>
          <w:tcPr>
            <w:tcW w:w="1478" w:type="dxa"/>
            <w:vMerge w:val="restart"/>
            <w:tcBorders>
              <w:tl2br w:val="nil"/>
              <w:tr2bl w:val="nil"/>
            </w:tcBorders>
            <w:vAlign w:val="center"/>
          </w:tcPr>
          <w:p w14:paraId="739DA1DE">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物理和环境安全</w:t>
            </w:r>
          </w:p>
        </w:tc>
        <w:tc>
          <w:tcPr>
            <w:tcW w:w="6375" w:type="dxa"/>
            <w:tcBorders>
              <w:tl2br w:val="nil"/>
              <w:tr2bl w:val="nil"/>
            </w:tcBorders>
            <w:vAlign w:val="center"/>
          </w:tcPr>
          <w:p w14:paraId="23F1FD05">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身份鉴别</w:t>
            </w:r>
          </w:p>
        </w:tc>
      </w:tr>
      <w:tr w14:paraId="057E26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continue"/>
            <w:tcBorders>
              <w:tl2br w:val="nil"/>
              <w:tr2bl w:val="nil"/>
            </w:tcBorders>
            <w:vAlign w:val="center"/>
          </w:tcPr>
          <w:p w14:paraId="1E55B8EF">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478" w:type="dxa"/>
            <w:vMerge w:val="continue"/>
            <w:tcBorders>
              <w:tl2br w:val="nil"/>
              <w:tr2bl w:val="nil"/>
            </w:tcBorders>
            <w:vAlign w:val="center"/>
          </w:tcPr>
          <w:p w14:paraId="6A925266">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375" w:type="dxa"/>
            <w:tcBorders>
              <w:tl2br w:val="nil"/>
              <w:tr2bl w:val="nil"/>
            </w:tcBorders>
            <w:vAlign w:val="center"/>
          </w:tcPr>
          <w:p w14:paraId="147D76CC">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电子门禁记录数据完整性</w:t>
            </w:r>
          </w:p>
        </w:tc>
      </w:tr>
      <w:tr w14:paraId="79EB13D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continue"/>
            <w:tcBorders>
              <w:tl2br w:val="nil"/>
              <w:tr2bl w:val="nil"/>
            </w:tcBorders>
            <w:vAlign w:val="center"/>
          </w:tcPr>
          <w:p w14:paraId="0472B985">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478" w:type="dxa"/>
            <w:vMerge w:val="continue"/>
            <w:tcBorders>
              <w:tl2br w:val="nil"/>
              <w:tr2bl w:val="nil"/>
            </w:tcBorders>
            <w:vAlign w:val="center"/>
          </w:tcPr>
          <w:p w14:paraId="0647A351">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375" w:type="dxa"/>
            <w:tcBorders>
              <w:tl2br w:val="nil"/>
              <w:tr2bl w:val="nil"/>
            </w:tcBorders>
            <w:vAlign w:val="center"/>
          </w:tcPr>
          <w:p w14:paraId="0DBF7721">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视频监控记录数据存储完整性</w:t>
            </w:r>
          </w:p>
        </w:tc>
      </w:tr>
      <w:tr w14:paraId="2950F5B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continue"/>
            <w:tcBorders>
              <w:tl2br w:val="nil"/>
              <w:tr2bl w:val="nil"/>
            </w:tcBorders>
            <w:vAlign w:val="center"/>
          </w:tcPr>
          <w:p w14:paraId="6D8F6F92">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478" w:type="dxa"/>
            <w:vMerge w:val="continue"/>
            <w:tcBorders>
              <w:tl2br w:val="nil"/>
              <w:tr2bl w:val="nil"/>
            </w:tcBorders>
            <w:vAlign w:val="center"/>
          </w:tcPr>
          <w:p w14:paraId="6C954BD4">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375" w:type="dxa"/>
            <w:tcBorders>
              <w:tl2br w:val="nil"/>
              <w:tr2bl w:val="nil"/>
            </w:tcBorders>
            <w:vAlign w:val="center"/>
          </w:tcPr>
          <w:p w14:paraId="56D52E49">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密码服务</w:t>
            </w:r>
          </w:p>
        </w:tc>
      </w:tr>
      <w:tr w14:paraId="5C7C03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continue"/>
            <w:tcBorders>
              <w:tl2br w:val="nil"/>
              <w:tr2bl w:val="nil"/>
            </w:tcBorders>
            <w:vAlign w:val="center"/>
          </w:tcPr>
          <w:p w14:paraId="71DD193F">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478" w:type="dxa"/>
            <w:vMerge w:val="continue"/>
            <w:tcBorders>
              <w:tl2br w:val="nil"/>
              <w:tr2bl w:val="nil"/>
            </w:tcBorders>
            <w:vAlign w:val="center"/>
          </w:tcPr>
          <w:p w14:paraId="17907A89">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375" w:type="dxa"/>
            <w:tcBorders>
              <w:tl2br w:val="nil"/>
              <w:tr2bl w:val="nil"/>
            </w:tcBorders>
            <w:vAlign w:val="center"/>
          </w:tcPr>
          <w:p w14:paraId="423029AE">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密码产品</w:t>
            </w:r>
          </w:p>
        </w:tc>
      </w:tr>
      <w:tr w14:paraId="1ABFC3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continue"/>
            <w:tcBorders>
              <w:tl2br w:val="nil"/>
              <w:tr2bl w:val="nil"/>
            </w:tcBorders>
            <w:vAlign w:val="center"/>
          </w:tcPr>
          <w:p w14:paraId="295CFBF1">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478" w:type="dxa"/>
            <w:vMerge w:val="restart"/>
            <w:tcBorders>
              <w:tl2br w:val="nil"/>
              <w:tr2bl w:val="nil"/>
            </w:tcBorders>
            <w:vAlign w:val="center"/>
          </w:tcPr>
          <w:p w14:paraId="3D921589">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网络和通信安全</w:t>
            </w:r>
          </w:p>
        </w:tc>
        <w:tc>
          <w:tcPr>
            <w:tcW w:w="6375" w:type="dxa"/>
            <w:tcBorders>
              <w:tl2br w:val="nil"/>
              <w:tr2bl w:val="nil"/>
            </w:tcBorders>
            <w:vAlign w:val="center"/>
          </w:tcPr>
          <w:p w14:paraId="732D7712">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身份鉴别</w:t>
            </w:r>
          </w:p>
        </w:tc>
      </w:tr>
      <w:tr w14:paraId="7CC6D99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continue"/>
            <w:tcBorders>
              <w:tl2br w:val="nil"/>
              <w:tr2bl w:val="nil"/>
            </w:tcBorders>
            <w:vAlign w:val="center"/>
          </w:tcPr>
          <w:p w14:paraId="35F024CA">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478" w:type="dxa"/>
            <w:vMerge w:val="continue"/>
            <w:tcBorders>
              <w:tl2br w:val="nil"/>
              <w:tr2bl w:val="nil"/>
            </w:tcBorders>
            <w:vAlign w:val="center"/>
          </w:tcPr>
          <w:p w14:paraId="018AD3F9">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375" w:type="dxa"/>
            <w:tcBorders>
              <w:tl2br w:val="nil"/>
              <w:tr2bl w:val="nil"/>
            </w:tcBorders>
            <w:vAlign w:val="center"/>
          </w:tcPr>
          <w:p w14:paraId="146A9527">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通信数据完整性</w:t>
            </w:r>
          </w:p>
        </w:tc>
      </w:tr>
      <w:tr w14:paraId="5C1B78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continue"/>
            <w:tcBorders>
              <w:tl2br w:val="nil"/>
              <w:tr2bl w:val="nil"/>
            </w:tcBorders>
            <w:vAlign w:val="center"/>
          </w:tcPr>
          <w:p w14:paraId="2A7B4222">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478" w:type="dxa"/>
            <w:vMerge w:val="continue"/>
            <w:tcBorders>
              <w:tl2br w:val="nil"/>
              <w:tr2bl w:val="nil"/>
            </w:tcBorders>
            <w:vAlign w:val="center"/>
          </w:tcPr>
          <w:p w14:paraId="4DA2F6B3">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375" w:type="dxa"/>
            <w:tcBorders>
              <w:tl2br w:val="nil"/>
              <w:tr2bl w:val="nil"/>
            </w:tcBorders>
            <w:vAlign w:val="center"/>
          </w:tcPr>
          <w:p w14:paraId="745053D5">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通信过程中重要数据的机密性</w:t>
            </w:r>
          </w:p>
        </w:tc>
      </w:tr>
      <w:tr w14:paraId="0D19EC6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continue"/>
            <w:tcBorders>
              <w:tl2br w:val="nil"/>
              <w:tr2bl w:val="nil"/>
            </w:tcBorders>
            <w:vAlign w:val="center"/>
          </w:tcPr>
          <w:p w14:paraId="64AEF123">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478" w:type="dxa"/>
            <w:vMerge w:val="continue"/>
            <w:tcBorders>
              <w:tl2br w:val="nil"/>
              <w:tr2bl w:val="nil"/>
            </w:tcBorders>
            <w:vAlign w:val="center"/>
          </w:tcPr>
          <w:p w14:paraId="5A93C123">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375" w:type="dxa"/>
            <w:tcBorders>
              <w:tl2br w:val="nil"/>
              <w:tr2bl w:val="nil"/>
            </w:tcBorders>
            <w:vAlign w:val="center"/>
          </w:tcPr>
          <w:p w14:paraId="5157E47A">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网络边界访问控制信息的完整性</w:t>
            </w:r>
          </w:p>
        </w:tc>
      </w:tr>
      <w:tr w14:paraId="1840B90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continue"/>
            <w:tcBorders>
              <w:tl2br w:val="nil"/>
              <w:tr2bl w:val="nil"/>
            </w:tcBorders>
            <w:vAlign w:val="center"/>
          </w:tcPr>
          <w:p w14:paraId="1B6F74F4">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478" w:type="dxa"/>
            <w:vMerge w:val="continue"/>
            <w:tcBorders>
              <w:tl2br w:val="nil"/>
              <w:tr2bl w:val="nil"/>
            </w:tcBorders>
            <w:vAlign w:val="center"/>
          </w:tcPr>
          <w:p w14:paraId="2111DD89">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375" w:type="dxa"/>
            <w:tcBorders>
              <w:tl2br w:val="nil"/>
              <w:tr2bl w:val="nil"/>
            </w:tcBorders>
            <w:vAlign w:val="center"/>
          </w:tcPr>
          <w:p w14:paraId="6B4D763A">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安全接入认证</w:t>
            </w:r>
          </w:p>
        </w:tc>
      </w:tr>
      <w:tr w14:paraId="7346066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continue"/>
            <w:tcBorders>
              <w:tl2br w:val="nil"/>
              <w:tr2bl w:val="nil"/>
            </w:tcBorders>
            <w:vAlign w:val="center"/>
          </w:tcPr>
          <w:p w14:paraId="5F220F87">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478" w:type="dxa"/>
            <w:vMerge w:val="continue"/>
            <w:tcBorders>
              <w:tl2br w:val="nil"/>
              <w:tr2bl w:val="nil"/>
            </w:tcBorders>
            <w:vAlign w:val="center"/>
          </w:tcPr>
          <w:p w14:paraId="311B178E">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375" w:type="dxa"/>
            <w:tcBorders>
              <w:tl2br w:val="nil"/>
              <w:tr2bl w:val="nil"/>
            </w:tcBorders>
            <w:vAlign w:val="center"/>
          </w:tcPr>
          <w:p w14:paraId="0B447E87">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密码服务</w:t>
            </w:r>
          </w:p>
        </w:tc>
      </w:tr>
      <w:tr w14:paraId="1B1028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continue"/>
            <w:tcBorders>
              <w:tl2br w:val="nil"/>
              <w:tr2bl w:val="nil"/>
            </w:tcBorders>
            <w:vAlign w:val="center"/>
          </w:tcPr>
          <w:p w14:paraId="589BEF22">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478" w:type="dxa"/>
            <w:vMerge w:val="continue"/>
            <w:tcBorders>
              <w:tl2br w:val="nil"/>
              <w:tr2bl w:val="nil"/>
            </w:tcBorders>
            <w:vAlign w:val="center"/>
          </w:tcPr>
          <w:p w14:paraId="15CB24B1">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375" w:type="dxa"/>
            <w:tcBorders>
              <w:tl2br w:val="nil"/>
              <w:tr2bl w:val="nil"/>
            </w:tcBorders>
            <w:vAlign w:val="center"/>
          </w:tcPr>
          <w:p w14:paraId="1B58DAC2">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密码产品</w:t>
            </w:r>
          </w:p>
        </w:tc>
      </w:tr>
      <w:tr w14:paraId="3E2851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continue"/>
            <w:tcBorders>
              <w:tl2br w:val="nil"/>
              <w:tr2bl w:val="nil"/>
            </w:tcBorders>
            <w:vAlign w:val="center"/>
          </w:tcPr>
          <w:p w14:paraId="64D12BB8">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478" w:type="dxa"/>
            <w:vMerge w:val="restart"/>
            <w:tcBorders>
              <w:tl2br w:val="nil"/>
              <w:tr2bl w:val="nil"/>
            </w:tcBorders>
            <w:vAlign w:val="center"/>
          </w:tcPr>
          <w:p w14:paraId="1F2D8716">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设备和计算安全</w:t>
            </w:r>
          </w:p>
        </w:tc>
        <w:tc>
          <w:tcPr>
            <w:tcW w:w="6375" w:type="dxa"/>
            <w:tcBorders>
              <w:tl2br w:val="nil"/>
              <w:tr2bl w:val="nil"/>
            </w:tcBorders>
            <w:vAlign w:val="center"/>
          </w:tcPr>
          <w:p w14:paraId="2253833E">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身份鉴别</w:t>
            </w:r>
          </w:p>
        </w:tc>
      </w:tr>
      <w:tr w14:paraId="60FC1F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continue"/>
            <w:tcBorders>
              <w:tl2br w:val="nil"/>
              <w:tr2bl w:val="nil"/>
            </w:tcBorders>
            <w:vAlign w:val="center"/>
          </w:tcPr>
          <w:p w14:paraId="72433960">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478" w:type="dxa"/>
            <w:vMerge w:val="continue"/>
            <w:tcBorders>
              <w:tl2br w:val="nil"/>
              <w:tr2bl w:val="nil"/>
            </w:tcBorders>
            <w:vAlign w:val="center"/>
          </w:tcPr>
          <w:p w14:paraId="2A973692">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375" w:type="dxa"/>
            <w:tcBorders>
              <w:tl2br w:val="nil"/>
              <w:tr2bl w:val="nil"/>
            </w:tcBorders>
            <w:vAlign w:val="center"/>
          </w:tcPr>
          <w:p w14:paraId="151B0132">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远程管理通道安全</w:t>
            </w:r>
          </w:p>
        </w:tc>
      </w:tr>
      <w:tr w14:paraId="7E782C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continue"/>
            <w:tcBorders>
              <w:tl2br w:val="nil"/>
              <w:tr2bl w:val="nil"/>
            </w:tcBorders>
            <w:vAlign w:val="center"/>
          </w:tcPr>
          <w:p w14:paraId="7A189694">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478" w:type="dxa"/>
            <w:vMerge w:val="continue"/>
            <w:tcBorders>
              <w:tl2br w:val="nil"/>
              <w:tr2bl w:val="nil"/>
            </w:tcBorders>
            <w:vAlign w:val="center"/>
          </w:tcPr>
          <w:p w14:paraId="4DBF2A10">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375" w:type="dxa"/>
            <w:tcBorders>
              <w:tl2br w:val="nil"/>
              <w:tr2bl w:val="nil"/>
            </w:tcBorders>
            <w:vAlign w:val="center"/>
          </w:tcPr>
          <w:p w14:paraId="149C9BB8">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系统资源访问控制信息完整性</w:t>
            </w:r>
          </w:p>
        </w:tc>
      </w:tr>
      <w:tr w14:paraId="7C5A8C4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continue"/>
            <w:tcBorders>
              <w:tl2br w:val="nil"/>
              <w:tr2bl w:val="nil"/>
            </w:tcBorders>
            <w:vAlign w:val="center"/>
          </w:tcPr>
          <w:p w14:paraId="1171D732">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478" w:type="dxa"/>
            <w:vMerge w:val="continue"/>
            <w:tcBorders>
              <w:tl2br w:val="nil"/>
              <w:tr2bl w:val="nil"/>
            </w:tcBorders>
            <w:vAlign w:val="center"/>
          </w:tcPr>
          <w:p w14:paraId="2B56218B">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375" w:type="dxa"/>
            <w:tcBorders>
              <w:tl2br w:val="nil"/>
              <w:tr2bl w:val="nil"/>
            </w:tcBorders>
            <w:vAlign w:val="center"/>
          </w:tcPr>
          <w:p w14:paraId="218E1152">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重要信息资源安全标记完整性</w:t>
            </w:r>
          </w:p>
        </w:tc>
      </w:tr>
      <w:tr w14:paraId="3D47C0A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continue"/>
            <w:tcBorders>
              <w:tl2br w:val="nil"/>
              <w:tr2bl w:val="nil"/>
            </w:tcBorders>
            <w:vAlign w:val="center"/>
          </w:tcPr>
          <w:p w14:paraId="64E7E331">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478" w:type="dxa"/>
            <w:vMerge w:val="continue"/>
            <w:tcBorders>
              <w:tl2br w:val="nil"/>
              <w:tr2bl w:val="nil"/>
            </w:tcBorders>
            <w:vAlign w:val="center"/>
          </w:tcPr>
          <w:p w14:paraId="23E6FC7F">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375" w:type="dxa"/>
            <w:tcBorders>
              <w:tl2br w:val="nil"/>
              <w:tr2bl w:val="nil"/>
            </w:tcBorders>
            <w:vAlign w:val="center"/>
          </w:tcPr>
          <w:p w14:paraId="566A3344">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日志记录完整性</w:t>
            </w:r>
          </w:p>
        </w:tc>
      </w:tr>
      <w:tr w14:paraId="3C6323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continue"/>
            <w:tcBorders>
              <w:tl2br w:val="nil"/>
              <w:tr2bl w:val="nil"/>
            </w:tcBorders>
            <w:vAlign w:val="center"/>
          </w:tcPr>
          <w:p w14:paraId="1D3731C6">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478" w:type="dxa"/>
            <w:vMerge w:val="continue"/>
            <w:tcBorders>
              <w:tl2br w:val="nil"/>
              <w:tr2bl w:val="nil"/>
            </w:tcBorders>
            <w:vAlign w:val="center"/>
          </w:tcPr>
          <w:p w14:paraId="3F035F51">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375" w:type="dxa"/>
            <w:tcBorders>
              <w:tl2br w:val="nil"/>
              <w:tr2bl w:val="nil"/>
            </w:tcBorders>
            <w:vAlign w:val="center"/>
          </w:tcPr>
          <w:p w14:paraId="57FCC3EA">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重要可执行程序完整性、重要可执行程序来源真实性</w:t>
            </w:r>
          </w:p>
        </w:tc>
      </w:tr>
      <w:tr w14:paraId="0325F1B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continue"/>
            <w:tcBorders>
              <w:tl2br w:val="nil"/>
              <w:tr2bl w:val="nil"/>
            </w:tcBorders>
            <w:vAlign w:val="center"/>
          </w:tcPr>
          <w:p w14:paraId="2107C22A">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478" w:type="dxa"/>
            <w:vMerge w:val="continue"/>
            <w:tcBorders>
              <w:tl2br w:val="nil"/>
              <w:tr2bl w:val="nil"/>
            </w:tcBorders>
            <w:vAlign w:val="center"/>
          </w:tcPr>
          <w:p w14:paraId="2D5B2E4A">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375" w:type="dxa"/>
            <w:tcBorders>
              <w:tl2br w:val="nil"/>
              <w:tr2bl w:val="nil"/>
            </w:tcBorders>
            <w:vAlign w:val="center"/>
          </w:tcPr>
          <w:p w14:paraId="288F577D">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密码服务</w:t>
            </w:r>
          </w:p>
        </w:tc>
      </w:tr>
      <w:tr w14:paraId="4163E28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continue"/>
            <w:tcBorders>
              <w:tl2br w:val="nil"/>
              <w:tr2bl w:val="nil"/>
            </w:tcBorders>
            <w:vAlign w:val="center"/>
          </w:tcPr>
          <w:p w14:paraId="0EE3E130">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478" w:type="dxa"/>
            <w:vMerge w:val="continue"/>
            <w:tcBorders>
              <w:tl2br w:val="nil"/>
              <w:tr2bl w:val="nil"/>
            </w:tcBorders>
            <w:vAlign w:val="center"/>
          </w:tcPr>
          <w:p w14:paraId="6A9ACEC7">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375" w:type="dxa"/>
            <w:tcBorders>
              <w:tl2br w:val="nil"/>
              <w:tr2bl w:val="nil"/>
            </w:tcBorders>
            <w:vAlign w:val="center"/>
          </w:tcPr>
          <w:p w14:paraId="540EC0FE">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密码产品</w:t>
            </w:r>
          </w:p>
        </w:tc>
      </w:tr>
      <w:tr w14:paraId="782B044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continue"/>
            <w:tcBorders>
              <w:tl2br w:val="nil"/>
              <w:tr2bl w:val="nil"/>
            </w:tcBorders>
            <w:vAlign w:val="center"/>
          </w:tcPr>
          <w:p w14:paraId="47486F03">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478" w:type="dxa"/>
            <w:vMerge w:val="restart"/>
            <w:tcBorders>
              <w:tl2br w:val="nil"/>
              <w:tr2bl w:val="nil"/>
            </w:tcBorders>
            <w:vAlign w:val="center"/>
          </w:tcPr>
          <w:p w14:paraId="49DDBBFA">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应用和数据安全</w:t>
            </w:r>
          </w:p>
        </w:tc>
        <w:tc>
          <w:tcPr>
            <w:tcW w:w="6375" w:type="dxa"/>
            <w:tcBorders>
              <w:tl2br w:val="nil"/>
              <w:tr2bl w:val="nil"/>
            </w:tcBorders>
            <w:vAlign w:val="center"/>
          </w:tcPr>
          <w:p w14:paraId="1C97FD5B">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身份鉴别</w:t>
            </w:r>
          </w:p>
        </w:tc>
      </w:tr>
      <w:tr w14:paraId="4F8C1B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continue"/>
            <w:tcBorders>
              <w:tl2br w:val="nil"/>
              <w:tr2bl w:val="nil"/>
            </w:tcBorders>
            <w:vAlign w:val="center"/>
          </w:tcPr>
          <w:p w14:paraId="1830634D">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478" w:type="dxa"/>
            <w:vMerge w:val="continue"/>
            <w:tcBorders>
              <w:tl2br w:val="nil"/>
              <w:tr2bl w:val="nil"/>
            </w:tcBorders>
            <w:vAlign w:val="center"/>
          </w:tcPr>
          <w:p w14:paraId="621664BD">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375" w:type="dxa"/>
            <w:tcBorders>
              <w:tl2br w:val="nil"/>
              <w:tr2bl w:val="nil"/>
            </w:tcBorders>
            <w:vAlign w:val="center"/>
          </w:tcPr>
          <w:p w14:paraId="7FA2216C">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访问控制信息完整性</w:t>
            </w:r>
          </w:p>
        </w:tc>
      </w:tr>
      <w:tr w14:paraId="32C454E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continue"/>
            <w:tcBorders>
              <w:tl2br w:val="nil"/>
              <w:tr2bl w:val="nil"/>
            </w:tcBorders>
            <w:vAlign w:val="center"/>
          </w:tcPr>
          <w:p w14:paraId="0CBBEBC8">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478" w:type="dxa"/>
            <w:vMerge w:val="continue"/>
            <w:tcBorders>
              <w:tl2br w:val="nil"/>
              <w:tr2bl w:val="nil"/>
            </w:tcBorders>
            <w:vAlign w:val="center"/>
          </w:tcPr>
          <w:p w14:paraId="51556401">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375" w:type="dxa"/>
            <w:tcBorders>
              <w:tl2br w:val="nil"/>
              <w:tr2bl w:val="nil"/>
            </w:tcBorders>
            <w:vAlign w:val="center"/>
          </w:tcPr>
          <w:p w14:paraId="16A22768">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重要信息资源安全标记完整性</w:t>
            </w:r>
          </w:p>
        </w:tc>
      </w:tr>
      <w:tr w14:paraId="50437A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continue"/>
            <w:tcBorders>
              <w:tl2br w:val="nil"/>
              <w:tr2bl w:val="nil"/>
            </w:tcBorders>
            <w:vAlign w:val="center"/>
          </w:tcPr>
          <w:p w14:paraId="01FC85BB">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478" w:type="dxa"/>
            <w:vMerge w:val="continue"/>
            <w:tcBorders>
              <w:tl2br w:val="nil"/>
              <w:tr2bl w:val="nil"/>
            </w:tcBorders>
            <w:vAlign w:val="center"/>
          </w:tcPr>
          <w:p w14:paraId="2594E794">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375" w:type="dxa"/>
            <w:tcBorders>
              <w:tl2br w:val="nil"/>
              <w:tr2bl w:val="nil"/>
            </w:tcBorders>
            <w:vAlign w:val="center"/>
          </w:tcPr>
          <w:p w14:paraId="471F39F5">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重要数据传输机密性</w:t>
            </w:r>
          </w:p>
        </w:tc>
      </w:tr>
      <w:tr w14:paraId="18020E5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continue"/>
            <w:tcBorders>
              <w:tl2br w:val="nil"/>
              <w:tr2bl w:val="nil"/>
            </w:tcBorders>
            <w:vAlign w:val="center"/>
          </w:tcPr>
          <w:p w14:paraId="1C44E18E">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478" w:type="dxa"/>
            <w:vMerge w:val="continue"/>
            <w:tcBorders>
              <w:tl2br w:val="nil"/>
              <w:tr2bl w:val="nil"/>
            </w:tcBorders>
            <w:vAlign w:val="center"/>
          </w:tcPr>
          <w:p w14:paraId="6F35A792">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375" w:type="dxa"/>
            <w:tcBorders>
              <w:tl2br w:val="nil"/>
              <w:tr2bl w:val="nil"/>
            </w:tcBorders>
            <w:vAlign w:val="center"/>
          </w:tcPr>
          <w:p w14:paraId="693E9855">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重要数据存储机密性</w:t>
            </w:r>
          </w:p>
        </w:tc>
      </w:tr>
      <w:tr w14:paraId="212B9F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continue"/>
            <w:tcBorders>
              <w:tl2br w:val="nil"/>
              <w:tr2bl w:val="nil"/>
            </w:tcBorders>
            <w:vAlign w:val="center"/>
          </w:tcPr>
          <w:p w14:paraId="76E53D57">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478" w:type="dxa"/>
            <w:vMerge w:val="continue"/>
            <w:tcBorders>
              <w:tl2br w:val="nil"/>
              <w:tr2bl w:val="nil"/>
            </w:tcBorders>
            <w:vAlign w:val="center"/>
          </w:tcPr>
          <w:p w14:paraId="71E4B2A9">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375" w:type="dxa"/>
            <w:tcBorders>
              <w:tl2br w:val="nil"/>
              <w:tr2bl w:val="nil"/>
            </w:tcBorders>
            <w:vAlign w:val="center"/>
          </w:tcPr>
          <w:p w14:paraId="46F530D3">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重要数据传输完整性</w:t>
            </w:r>
          </w:p>
        </w:tc>
      </w:tr>
      <w:tr w14:paraId="277E720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continue"/>
            <w:tcBorders>
              <w:tl2br w:val="nil"/>
              <w:tr2bl w:val="nil"/>
            </w:tcBorders>
            <w:vAlign w:val="center"/>
          </w:tcPr>
          <w:p w14:paraId="5995EFA9">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478" w:type="dxa"/>
            <w:vMerge w:val="continue"/>
            <w:tcBorders>
              <w:tl2br w:val="nil"/>
              <w:tr2bl w:val="nil"/>
            </w:tcBorders>
            <w:vAlign w:val="center"/>
          </w:tcPr>
          <w:p w14:paraId="0F38AD86">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375" w:type="dxa"/>
            <w:tcBorders>
              <w:tl2br w:val="nil"/>
              <w:tr2bl w:val="nil"/>
            </w:tcBorders>
            <w:vAlign w:val="center"/>
          </w:tcPr>
          <w:p w14:paraId="509F6178">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重要数据存储完整性</w:t>
            </w:r>
          </w:p>
        </w:tc>
      </w:tr>
      <w:tr w14:paraId="12A029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continue"/>
            <w:tcBorders>
              <w:tl2br w:val="nil"/>
              <w:tr2bl w:val="nil"/>
            </w:tcBorders>
            <w:vAlign w:val="center"/>
          </w:tcPr>
          <w:p w14:paraId="0C2B3F35">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478" w:type="dxa"/>
            <w:vMerge w:val="continue"/>
            <w:tcBorders>
              <w:tl2br w:val="nil"/>
              <w:tr2bl w:val="nil"/>
            </w:tcBorders>
            <w:vAlign w:val="center"/>
          </w:tcPr>
          <w:p w14:paraId="66078E65">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375" w:type="dxa"/>
            <w:tcBorders>
              <w:tl2br w:val="nil"/>
              <w:tr2bl w:val="nil"/>
            </w:tcBorders>
            <w:vAlign w:val="center"/>
          </w:tcPr>
          <w:p w14:paraId="53A39FD6">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不可否认性</w:t>
            </w:r>
          </w:p>
        </w:tc>
      </w:tr>
      <w:tr w14:paraId="1C4125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continue"/>
            <w:tcBorders>
              <w:tl2br w:val="nil"/>
              <w:tr2bl w:val="nil"/>
            </w:tcBorders>
            <w:vAlign w:val="center"/>
          </w:tcPr>
          <w:p w14:paraId="61E35814">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478" w:type="dxa"/>
            <w:vMerge w:val="continue"/>
            <w:tcBorders>
              <w:tl2br w:val="nil"/>
              <w:tr2bl w:val="nil"/>
            </w:tcBorders>
            <w:vAlign w:val="center"/>
          </w:tcPr>
          <w:p w14:paraId="0EA8FE00">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375" w:type="dxa"/>
            <w:tcBorders>
              <w:tl2br w:val="nil"/>
              <w:tr2bl w:val="nil"/>
            </w:tcBorders>
            <w:vAlign w:val="center"/>
          </w:tcPr>
          <w:p w14:paraId="107D26C9">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密码服务</w:t>
            </w:r>
          </w:p>
        </w:tc>
      </w:tr>
      <w:tr w14:paraId="78ABEEF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continue"/>
            <w:tcBorders>
              <w:tl2br w:val="nil"/>
              <w:tr2bl w:val="nil"/>
            </w:tcBorders>
            <w:vAlign w:val="center"/>
          </w:tcPr>
          <w:p w14:paraId="104BBFDA">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478" w:type="dxa"/>
            <w:vMerge w:val="continue"/>
            <w:tcBorders>
              <w:tl2br w:val="nil"/>
              <w:tr2bl w:val="nil"/>
            </w:tcBorders>
            <w:vAlign w:val="center"/>
          </w:tcPr>
          <w:p w14:paraId="690CE4DA">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375" w:type="dxa"/>
            <w:tcBorders>
              <w:tl2br w:val="nil"/>
              <w:tr2bl w:val="nil"/>
            </w:tcBorders>
            <w:vAlign w:val="center"/>
          </w:tcPr>
          <w:p w14:paraId="294B4A7D">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密码产品</w:t>
            </w:r>
          </w:p>
        </w:tc>
      </w:tr>
      <w:tr w14:paraId="4F803F0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restart"/>
            <w:tcBorders>
              <w:tl2br w:val="nil"/>
              <w:tr2bl w:val="nil"/>
            </w:tcBorders>
            <w:vAlign w:val="center"/>
          </w:tcPr>
          <w:p w14:paraId="4314ECC9">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管理要求</w:t>
            </w:r>
          </w:p>
        </w:tc>
        <w:tc>
          <w:tcPr>
            <w:tcW w:w="1478" w:type="dxa"/>
            <w:vMerge w:val="restart"/>
            <w:tcBorders>
              <w:tl2br w:val="nil"/>
              <w:tr2bl w:val="nil"/>
            </w:tcBorders>
            <w:vAlign w:val="center"/>
          </w:tcPr>
          <w:p w14:paraId="55F84D3F">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管理制度</w:t>
            </w:r>
          </w:p>
        </w:tc>
        <w:tc>
          <w:tcPr>
            <w:tcW w:w="6375" w:type="dxa"/>
            <w:tcBorders>
              <w:tl2br w:val="nil"/>
              <w:tr2bl w:val="nil"/>
            </w:tcBorders>
            <w:vAlign w:val="center"/>
          </w:tcPr>
          <w:p w14:paraId="314EDA8C">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具备密码应用安全管理制度</w:t>
            </w:r>
          </w:p>
        </w:tc>
      </w:tr>
      <w:tr w14:paraId="7CCE11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continue"/>
            <w:tcBorders>
              <w:tl2br w:val="nil"/>
              <w:tr2bl w:val="nil"/>
            </w:tcBorders>
            <w:vAlign w:val="center"/>
          </w:tcPr>
          <w:p w14:paraId="0219453A">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478" w:type="dxa"/>
            <w:vMerge w:val="continue"/>
            <w:tcBorders>
              <w:tl2br w:val="nil"/>
              <w:tr2bl w:val="nil"/>
            </w:tcBorders>
            <w:vAlign w:val="center"/>
          </w:tcPr>
          <w:p w14:paraId="0863B9C2">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375" w:type="dxa"/>
            <w:tcBorders>
              <w:tl2br w:val="nil"/>
              <w:tr2bl w:val="nil"/>
            </w:tcBorders>
            <w:vAlign w:val="center"/>
          </w:tcPr>
          <w:p w14:paraId="6FCA4487">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密钥管理规则</w:t>
            </w:r>
          </w:p>
        </w:tc>
      </w:tr>
      <w:tr w14:paraId="4B9FEB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continue"/>
            <w:tcBorders>
              <w:tl2br w:val="nil"/>
              <w:tr2bl w:val="nil"/>
            </w:tcBorders>
            <w:vAlign w:val="center"/>
          </w:tcPr>
          <w:p w14:paraId="33F817A2">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478" w:type="dxa"/>
            <w:vMerge w:val="continue"/>
            <w:tcBorders>
              <w:tl2br w:val="nil"/>
              <w:tr2bl w:val="nil"/>
            </w:tcBorders>
            <w:vAlign w:val="center"/>
          </w:tcPr>
          <w:p w14:paraId="1F993B40">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375" w:type="dxa"/>
            <w:tcBorders>
              <w:tl2br w:val="nil"/>
              <w:tr2bl w:val="nil"/>
            </w:tcBorders>
            <w:vAlign w:val="center"/>
          </w:tcPr>
          <w:p w14:paraId="1396D2D6">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建立操作规程</w:t>
            </w:r>
          </w:p>
        </w:tc>
      </w:tr>
      <w:tr w14:paraId="7A0BB7B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continue"/>
            <w:tcBorders>
              <w:tl2br w:val="nil"/>
              <w:tr2bl w:val="nil"/>
            </w:tcBorders>
            <w:vAlign w:val="center"/>
          </w:tcPr>
          <w:p w14:paraId="507155DC">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478" w:type="dxa"/>
            <w:vMerge w:val="continue"/>
            <w:tcBorders>
              <w:tl2br w:val="nil"/>
              <w:tr2bl w:val="nil"/>
            </w:tcBorders>
            <w:vAlign w:val="center"/>
          </w:tcPr>
          <w:p w14:paraId="579A82F1">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375" w:type="dxa"/>
            <w:tcBorders>
              <w:tl2br w:val="nil"/>
              <w:tr2bl w:val="nil"/>
            </w:tcBorders>
            <w:vAlign w:val="center"/>
          </w:tcPr>
          <w:p w14:paraId="3CCD7DD3">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定期修订安全管理制度</w:t>
            </w:r>
          </w:p>
        </w:tc>
      </w:tr>
      <w:tr w14:paraId="1C6C4AE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continue"/>
            <w:tcBorders>
              <w:tl2br w:val="nil"/>
              <w:tr2bl w:val="nil"/>
            </w:tcBorders>
            <w:vAlign w:val="center"/>
          </w:tcPr>
          <w:p w14:paraId="137FF200">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478" w:type="dxa"/>
            <w:vMerge w:val="continue"/>
            <w:tcBorders>
              <w:tl2br w:val="nil"/>
              <w:tr2bl w:val="nil"/>
            </w:tcBorders>
            <w:vAlign w:val="center"/>
          </w:tcPr>
          <w:p w14:paraId="36D11B74">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375" w:type="dxa"/>
            <w:tcBorders>
              <w:tl2br w:val="nil"/>
              <w:tr2bl w:val="nil"/>
            </w:tcBorders>
            <w:vAlign w:val="center"/>
          </w:tcPr>
          <w:p w14:paraId="13936393">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明确管理制度发布流程</w:t>
            </w:r>
          </w:p>
        </w:tc>
      </w:tr>
      <w:tr w14:paraId="2FC5A0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continue"/>
            <w:tcBorders>
              <w:tl2br w:val="nil"/>
              <w:tr2bl w:val="nil"/>
            </w:tcBorders>
            <w:vAlign w:val="center"/>
          </w:tcPr>
          <w:p w14:paraId="535F5295">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478" w:type="dxa"/>
            <w:vMerge w:val="continue"/>
            <w:tcBorders>
              <w:tl2br w:val="nil"/>
              <w:tr2bl w:val="nil"/>
            </w:tcBorders>
            <w:vAlign w:val="center"/>
          </w:tcPr>
          <w:p w14:paraId="3FD2E6E1">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375" w:type="dxa"/>
            <w:tcBorders>
              <w:tl2br w:val="nil"/>
              <w:tr2bl w:val="nil"/>
            </w:tcBorders>
            <w:vAlign w:val="center"/>
          </w:tcPr>
          <w:p w14:paraId="2C0FDFD9">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制度执行过程记录留存</w:t>
            </w:r>
          </w:p>
        </w:tc>
      </w:tr>
      <w:tr w14:paraId="754B4E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continue"/>
            <w:tcBorders>
              <w:tl2br w:val="nil"/>
              <w:tr2bl w:val="nil"/>
            </w:tcBorders>
            <w:vAlign w:val="center"/>
          </w:tcPr>
          <w:p w14:paraId="0BC325C2">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478" w:type="dxa"/>
            <w:vMerge w:val="restart"/>
            <w:tcBorders>
              <w:tl2br w:val="nil"/>
              <w:tr2bl w:val="nil"/>
            </w:tcBorders>
            <w:vAlign w:val="center"/>
          </w:tcPr>
          <w:p w14:paraId="4BA5D71D">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人员管理</w:t>
            </w:r>
          </w:p>
        </w:tc>
        <w:tc>
          <w:tcPr>
            <w:tcW w:w="6375" w:type="dxa"/>
            <w:tcBorders>
              <w:tl2br w:val="nil"/>
              <w:tr2bl w:val="nil"/>
            </w:tcBorders>
            <w:vAlign w:val="center"/>
          </w:tcPr>
          <w:p w14:paraId="06BAE45E">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了解并遵守密码相关法律法规和密码管理制度</w:t>
            </w:r>
          </w:p>
        </w:tc>
      </w:tr>
      <w:tr w14:paraId="477E88C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continue"/>
            <w:tcBorders>
              <w:tl2br w:val="nil"/>
              <w:tr2bl w:val="nil"/>
            </w:tcBorders>
            <w:vAlign w:val="center"/>
          </w:tcPr>
          <w:p w14:paraId="4F2238BD">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478" w:type="dxa"/>
            <w:vMerge w:val="continue"/>
            <w:tcBorders>
              <w:tl2br w:val="nil"/>
              <w:tr2bl w:val="nil"/>
            </w:tcBorders>
            <w:vAlign w:val="center"/>
          </w:tcPr>
          <w:p w14:paraId="3D766428">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375" w:type="dxa"/>
            <w:tcBorders>
              <w:tl2br w:val="nil"/>
              <w:tr2bl w:val="nil"/>
            </w:tcBorders>
            <w:vAlign w:val="center"/>
          </w:tcPr>
          <w:p w14:paraId="3B7280A9">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建立密码应用岗位责任制度</w:t>
            </w:r>
          </w:p>
        </w:tc>
      </w:tr>
      <w:tr w14:paraId="34FCA02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continue"/>
            <w:tcBorders>
              <w:tl2br w:val="nil"/>
              <w:tr2bl w:val="nil"/>
            </w:tcBorders>
            <w:vAlign w:val="center"/>
          </w:tcPr>
          <w:p w14:paraId="7565BD00">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478" w:type="dxa"/>
            <w:vMerge w:val="continue"/>
            <w:tcBorders>
              <w:tl2br w:val="nil"/>
              <w:tr2bl w:val="nil"/>
            </w:tcBorders>
            <w:vAlign w:val="center"/>
          </w:tcPr>
          <w:p w14:paraId="588EA07C">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375" w:type="dxa"/>
            <w:tcBorders>
              <w:tl2br w:val="nil"/>
              <w:tr2bl w:val="nil"/>
            </w:tcBorders>
            <w:vAlign w:val="center"/>
          </w:tcPr>
          <w:p w14:paraId="5FB85537">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建立上岗人员培训制度</w:t>
            </w:r>
          </w:p>
        </w:tc>
      </w:tr>
      <w:tr w14:paraId="653F970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continue"/>
            <w:tcBorders>
              <w:tl2br w:val="nil"/>
              <w:tr2bl w:val="nil"/>
            </w:tcBorders>
            <w:vAlign w:val="center"/>
          </w:tcPr>
          <w:p w14:paraId="752DEBEC">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478" w:type="dxa"/>
            <w:vMerge w:val="continue"/>
            <w:tcBorders>
              <w:tl2br w:val="nil"/>
              <w:tr2bl w:val="nil"/>
            </w:tcBorders>
            <w:vAlign w:val="center"/>
          </w:tcPr>
          <w:p w14:paraId="01CBC27A">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375" w:type="dxa"/>
            <w:tcBorders>
              <w:tl2br w:val="nil"/>
              <w:tr2bl w:val="nil"/>
            </w:tcBorders>
            <w:vAlign w:val="center"/>
          </w:tcPr>
          <w:p w14:paraId="3CA6C6E1">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定期进行安全岗位人员考核</w:t>
            </w:r>
          </w:p>
        </w:tc>
      </w:tr>
      <w:tr w14:paraId="6A4D805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continue"/>
            <w:tcBorders>
              <w:tl2br w:val="nil"/>
              <w:tr2bl w:val="nil"/>
            </w:tcBorders>
            <w:vAlign w:val="center"/>
          </w:tcPr>
          <w:p w14:paraId="292EA756">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478" w:type="dxa"/>
            <w:vMerge w:val="continue"/>
            <w:tcBorders>
              <w:tl2br w:val="nil"/>
              <w:tr2bl w:val="nil"/>
            </w:tcBorders>
            <w:vAlign w:val="center"/>
          </w:tcPr>
          <w:p w14:paraId="7F80ED15">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375" w:type="dxa"/>
            <w:tcBorders>
              <w:tl2br w:val="nil"/>
              <w:tr2bl w:val="nil"/>
            </w:tcBorders>
            <w:vAlign w:val="center"/>
          </w:tcPr>
          <w:p w14:paraId="164C84C1">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建立关键岗位人员保密制度和调离制度</w:t>
            </w:r>
          </w:p>
        </w:tc>
      </w:tr>
      <w:tr w14:paraId="125A37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continue"/>
            <w:tcBorders>
              <w:tl2br w:val="nil"/>
              <w:tr2bl w:val="nil"/>
            </w:tcBorders>
            <w:vAlign w:val="center"/>
          </w:tcPr>
          <w:p w14:paraId="4E5962C7">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478" w:type="dxa"/>
            <w:vMerge w:val="restart"/>
            <w:tcBorders>
              <w:tl2br w:val="nil"/>
              <w:tr2bl w:val="nil"/>
            </w:tcBorders>
            <w:vAlign w:val="center"/>
          </w:tcPr>
          <w:p w14:paraId="126BD11B">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建设运行</w:t>
            </w:r>
          </w:p>
        </w:tc>
        <w:tc>
          <w:tcPr>
            <w:tcW w:w="6375" w:type="dxa"/>
            <w:tcBorders>
              <w:tl2br w:val="nil"/>
              <w:tr2bl w:val="nil"/>
            </w:tcBorders>
            <w:vAlign w:val="center"/>
          </w:tcPr>
          <w:p w14:paraId="7353A80A">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制定密码应用方案</w:t>
            </w:r>
          </w:p>
        </w:tc>
      </w:tr>
      <w:tr w14:paraId="019506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continue"/>
            <w:tcBorders>
              <w:tl2br w:val="nil"/>
              <w:tr2bl w:val="nil"/>
            </w:tcBorders>
            <w:vAlign w:val="center"/>
          </w:tcPr>
          <w:p w14:paraId="0452E3AA">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478" w:type="dxa"/>
            <w:vMerge w:val="continue"/>
            <w:tcBorders>
              <w:tl2br w:val="nil"/>
              <w:tr2bl w:val="nil"/>
            </w:tcBorders>
            <w:vAlign w:val="center"/>
          </w:tcPr>
          <w:p w14:paraId="37D66E84">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375" w:type="dxa"/>
            <w:tcBorders>
              <w:tl2br w:val="nil"/>
              <w:tr2bl w:val="nil"/>
            </w:tcBorders>
            <w:vAlign w:val="center"/>
          </w:tcPr>
          <w:p w14:paraId="37F08BBD">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制定密钥安全管理策略</w:t>
            </w:r>
          </w:p>
        </w:tc>
      </w:tr>
      <w:tr w14:paraId="01B7A4B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continue"/>
            <w:tcBorders>
              <w:tl2br w:val="nil"/>
              <w:tr2bl w:val="nil"/>
            </w:tcBorders>
            <w:vAlign w:val="center"/>
          </w:tcPr>
          <w:p w14:paraId="3B38D64A">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478" w:type="dxa"/>
            <w:vMerge w:val="continue"/>
            <w:tcBorders>
              <w:tl2br w:val="nil"/>
              <w:tr2bl w:val="nil"/>
            </w:tcBorders>
            <w:vAlign w:val="center"/>
          </w:tcPr>
          <w:p w14:paraId="2B37CD9F">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375" w:type="dxa"/>
            <w:tcBorders>
              <w:tl2br w:val="nil"/>
              <w:tr2bl w:val="nil"/>
            </w:tcBorders>
            <w:vAlign w:val="center"/>
          </w:tcPr>
          <w:p w14:paraId="490E08D1">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制定实施方案</w:t>
            </w:r>
          </w:p>
        </w:tc>
      </w:tr>
      <w:tr w14:paraId="6566A1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continue"/>
            <w:tcBorders>
              <w:tl2br w:val="nil"/>
              <w:tr2bl w:val="nil"/>
            </w:tcBorders>
            <w:vAlign w:val="center"/>
          </w:tcPr>
          <w:p w14:paraId="6B0FA001">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478" w:type="dxa"/>
            <w:vMerge w:val="continue"/>
            <w:tcBorders>
              <w:tl2br w:val="nil"/>
              <w:tr2bl w:val="nil"/>
            </w:tcBorders>
            <w:vAlign w:val="center"/>
          </w:tcPr>
          <w:p w14:paraId="52EDF1A4">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375" w:type="dxa"/>
            <w:tcBorders>
              <w:tl2br w:val="nil"/>
              <w:tr2bl w:val="nil"/>
            </w:tcBorders>
            <w:vAlign w:val="center"/>
          </w:tcPr>
          <w:p w14:paraId="3BF5A502">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投入运行前进行密码应用安全性评估</w:t>
            </w:r>
          </w:p>
        </w:tc>
      </w:tr>
      <w:tr w14:paraId="46E43E0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continue"/>
            <w:tcBorders>
              <w:tl2br w:val="nil"/>
              <w:tr2bl w:val="nil"/>
            </w:tcBorders>
            <w:vAlign w:val="center"/>
          </w:tcPr>
          <w:p w14:paraId="421211C1">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478" w:type="dxa"/>
            <w:vMerge w:val="continue"/>
            <w:tcBorders>
              <w:tl2br w:val="nil"/>
              <w:tr2bl w:val="nil"/>
            </w:tcBorders>
            <w:vAlign w:val="center"/>
          </w:tcPr>
          <w:p w14:paraId="127114F1">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375" w:type="dxa"/>
            <w:tcBorders>
              <w:tl2br w:val="nil"/>
              <w:tr2bl w:val="nil"/>
            </w:tcBorders>
            <w:vAlign w:val="center"/>
          </w:tcPr>
          <w:p w14:paraId="7096186D">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定期开展密码应用安全性评估及攻防对抗演习</w:t>
            </w:r>
          </w:p>
        </w:tc>
      </w:tr>
      <w:tr w14:paraId="6EC4C07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continue"/>
            <w:tcBorders>
              <w:tl2br w:val="nil"/>
              <w:tr2bl w:val="nil"/>
            </w:tcBorders>
            <w:vAlign w:val="center"/>
          </w:tcPr>
          <w:p w14:paraId="661B9D99">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478" w:type="dxa"/>
            <w:vMerge w:val="restart"/>
            <w:tcBorders>
              <w:tl2br w:val="nil"/>
              <w:tr2bl w:val="nil"/>
            </w:tcBorders>
            <w:vAlign w:val="center"/>
          </w:tcPr>
          <w:p w14:paraId="7E9B1AF4">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应急处置</w:t>
            </w:r>
          </w:p>
        </w:tc>
        <w:tc>
          <w:tcPr>
            <w:tcW w:w="6375" w:type="dxa"/>
            <w:tcBorders>
              <w:tl2br w:val="nil"/>
              <w:tr2bl w:val="nil"/>
            </w:tcBorders>
            <w:vAlign w:val="center"/>
          </w:tcPr>
          <w:p w14:paraId="49A3C13F">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应急预案（制定完善与执行）</w:t>
            </w:r>
          </w:p>
        </w:tc>
      </w:tr>
      <w:tr w14:paraId="64071E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6" w:hRule="atLeast"/>
          <w:jc w:val="center"/>
        </w:trPr>
        <w:tc>
          <w:tcPr>
            <w:tcW w:w="1167" w:type="dxa"/>
            <w:vMerge w:val="continue"/>
            <w:tcBorders>
              <w:tl2br w:val="nil"/>
              <w:tr2bl w:val="nil"/>
            </w:tcBorders>
            <w:vAlign w:val="center"/>
          </w:tcPr>
          <w:p w14:paraId="339861EC">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478" w:type="dxa"/>
            <w:vMerge w:val="continue"/>
            <w:tcBorders>
              <w:tl2br w:val="nil"/>
              <w:tr2bl w:val="nil"/>
            </w:tcBorders>
            <w:vAlign w:val="center"/>
          </w:tcPr>
          <w:p w14:paraId="277C5717">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375" w:type="dxa"/>
            <w:tcBorders>
              <w:tl2br w:val="nil"/>
              <w:tr2bl w:val="nil"/>
            </w:tcBorders>
            <w:vAlign w:val="center"/>
          </w:tcPr>
          <w:p w14:paraId="634C1AEC">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事件处置</w:t>
            </w:r>
          </w:p>
        </w:tc>
      </w:tr>
      <w:tr w14:paraId="14F0415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20" w:hRule="atLeast"/>
          <w:jc w:val="center"/>
        </w:trPr>
        <w:tc>
          <w:tcPr>
            <w:tcW w:w="1167" w:type="dxa"/>
            <w:vMerge w:val="continue"/>
            <w:tcBorders>
              <w:tl2br w:val="nil"/>
              <w:tr2bl w:val="nil"/>
            </w:tcBorders>
            <w:vAlign w:val="center"/>
          </w:tcPr>
          <w:p w14:paraId="7ED89314">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1478" w:type="dxa"/>
            <w:vMerge w:val="continue"/>
            <w:tcBorders>
              <w:tl2br w:val="nil"/>
              <w:tr2bl w:val="nil"/>
            </w:tcBorders>
            <w:vAlign w:val="center"/>
          </w:tcPr>
          <w:p w14:paraId="671354D5">
            <w:pPr>
              <w:keepNext w:val="0"/>
              <w:keepLines w:val="0"/>
              <w:widowControl/>
              <w:suppressLineNumbers w:val="0"/>
              <w:spacing w:before="0" w:beforeAutospacing="0" w:after="0" w:afterAutospacing="0" w:line="360" w:lineRule="auto"/>
              <w:ind w:left="0" w:right="0" w:firstLine="411" w:firstLineChars="196"/>
              <w:rPr>
                <w:rFonts w:hint="eastAsia" w:asciiTheme="minorEastAsia" w:hAnsiTheme="minorEastAsia" w:eastAsiaTheme="minorEastAsia" w:cstheme="minorEastAsia"/>
                <w:color w:val="000000"/>
                <w:sz w:val="21"/>
                <w:szCs w:val="21"/>
              </w:rPr>
            </w:pPr>
          </w:p>
        </w:tc>
        <w:tc>
          <w:tcPr>
            <w:tcW w:w="6375" w:type="dxa"/>
            <w:tcBorders>
              <w:tl2br w:val="nil"/>
              <w:tr2bl w:val="nil"/>
            </w:tcBorders>
            <w:vAlign w:val="center"/>
          </w:tcPr>
          <w:p w14:paraId="164E7F83">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向有关主管部门上报处置情况</w:t>
            </w:r>
          </w:p>
        </w:tc>
      </w:tr>
    </w:tbl>
    <w:p w14:paraId="0243AA34">
      <w:pPr>
        <w:widowControl/>
        <w:spacing w:line="360" w:lineRule="auto"/>
        <w:ind w:firstLine="411" w:firstLineChars="196"/>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4.</w:t>
      </w:r>
      <w:r>
        <w:rPr>
          <w:rFonts w:hint="eastAsia" w:asciiTheme="minorEastAsia" w:hAnsiTheme="minorEastAsia" w:eastAsiaTheme="minorEastAsia" w:cstheme="minorEastAsia"/>
          <w:color w:val="000000"/>
          <w:sz w:val="21"/>
          <w:szCs w:val="21"/>
        </w:rPr>
        <w:t>整改建议</w:t>
      </w:r>
    </w:p>
    <w:p w14:paraId="4875F4BD">
      <w:pPr>
        <w:widowControl/>
        <w:spacing w:line="360" w:lineRule="auto"/>
        <w:ind w:firstLine="411" w:firstLineChars="196"/>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成交人应对照密码应用安全性评估要求，对评估报告中的整改项目，提出详细的、切实可行的改进措施和建议，并做好密改工作的技术指导和协调配合工作，确保达成评估对应的等级标准要求。</w:t>
      </w:r>
    </w:p>
    <w:p w14:paraId="0626F694">
      <w:pPr>
        <w:widowControl/>
        <w:spacing w:line="360" w:lineRule="auto"/>
        <w:ind w:firstLine="411" w:firstLineChars="196"/>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5.</w:t>
      </w:r>
      <w:r>
        <w:rPr>
          <w:rFonts w:hint="eastAsia" w:asciiTheme="minorEastAsia" w:hAnsiTheme="minorEastAsia" w:eastAsiaTheme="minorEastAsia" w:cstheme="minorEastAsia"/>
          <w:color w:val="000000"/>
          <w:sz w:val="21"/>
          <w:szCs w:val="21"/>
        </w:rPr>
        <w:t>成果交付</w:t>
      </w:r>
    </w:p>
    <w:p w14:paraId="438B6256">
      <w:pPr>
        <w:widowControl/>
        <w:spacing w:line="360" w:lineRule="auto"/>
        <w:ind w:firstLine="411" w:firstLineChars="196"/>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“商用密码应用安全性评估”成果交付物包括但不限于以下内容（包括纸质版和电子版）：</w:t>
      </w:r>
    </w:p>
    <w:p w14:paraId="1EFBE11F">
      <w:pPr>
        <w:widowControl/>
        <w:spacing w:line="360" w:lineRule="auto"/>
        <w:ind w:firstLine="411" w:firstLineChars="196"/>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（1）《商用密码应用安全性评估实施方案》；</w:t>
      </w:r>
    </w:p>
    <w:p w14:paraId="333E8D5C">
      <w:pPr>
        <w:widowControl/>
        <w:spacing w:line="360" w:lineRule="auto"/>
        <w:ind w:firstLine="411" w:firstLineChars="196"/>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w:t>
      </w:r>
      <w:r>
        <w:rPr>
          <w:rFonts w:hint="eastAsia" w:asciiTheme="minorEastAsia" w:hAnsiTheme="minorEastAsia" w:eastAsiaTheme="minorEastAsia" w:cstheme="minorEastAsia"/>
          <w:color w:val="000000"/>
          <w:sz w:val="21"/>
          <w:szCs w:val="21"/>
          <w:lang w:val="en-US" w:eastAsia="zh-CN"/>
        </w:rPr>
        <w:t>2</w:t>
      </w:r>
      <w:r>
        <w:rPr>
          <w:rFonts w:hint="eastAsia" w:asciiTheme="minorEastAsia" w:hAnsiTheme="minorEastAsia" w:eastAsiaTheme="minorEastAsia" w:cstheme="minorEastAsia"/>
          <w:color w:val="000000"/>
          <w:sz w:val="21"/>
          <w:szCs w:val="21"/>
        </w:rPr>
        <w:t>）《商用密码应用安全性评估过程记录文件》；</w:t>
      </w:r>
    </w:p>
    <w:p w14:paraId="33D46814">
      <w:pPr>
        <w:widowControl/>
        <w:spacing w:line="360" w:lineRule="auto"/>
        <w:ind w:firstLine="411" w:firstLineChars="196"/>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w:t>
      </w:r>
      <w:r>
        <w:rPr>
          <w:rFonts w:hint="eastAsia" w:asciiTheme="minorEastAsia" w:hAnsiTheme="minorEastAsia" w:eastAsiaTheme="minorEastAsia" w:cstheme="minorEastAsia"/>
          <w:color w:val="000000"/>
          <w:sz w:val="21"/>
          <w:szCs w:val="21"/>
          <w:lang w:val="en-US" w:eastAsia="zh-CN"/>
        </w:rPr>
        <w:t>3</w:t>
      </w:r>
      <w:r>
        <w:rPr>
          <w:rFonts w:hint="eastAsia" w:asciiTheme="minorEastAsia" w:hAnsiTheme="minorEastAsia" w:eastAsiaTheme="minorEastAsia" w:cstheme="minorEastAsia"/>
          <w:color w:val="000000"/>
          <w:sz w:val="21"/>
          <w:szCs w:val="21"/>
        </w:rPr>
        <w:t>）《商用密码应用安全性评估报告》；</w:t>
      </w:r>
    </w:p>
    <w:p w14:paraId="391EA98A">
      <w:pPr>
        <w:widowControl/>
        <w:spacing w:line="360" w:lineRule="auto"/>
        <w:ind w:firstLine="411" w:firstLineChars="196"/>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w:t>
      </w:r>
      <w:r>
        <w:rPr>
          <w:rFonts w:hint="eastAsia" w:asciiTheme="minorEastAsia" w:hAnsiTheme="minorEastAsia" w:eastAsiaTheme="minorEastAsia" w:cstheme="minorEastAsia"/>
          <w:color w:val="000000"/>
          <w:sz w:val="21"/>
          <w:szCs w:val="21"/>
          <w:lang w:val="en-US" w:eastAsia="zh-CN"/>
        </w:rPr>
        <w:t>4</w:t>
      </w:r>
      <w:r>
        <w:rPr>
          <w:rFonts w:hint="eastAsia" w:asciiTheme="minorEastAsia" w:hAnsiTheme="minorEastAsia" w:eastAsiaTheme="minorEastAsia" w:cstheme="minorEastAsia"/>
          <w:color w:val="000000"/>
          <w:sz w:val="21"/>
          <w:szCs w:val="21"/>
        </w:rPr>
        <w:t>）相关的备案证书/证明材料；</w:t>
      </w:r>
    </w:p>
    <w:p w14:paraId="7CE37C3C">
      <w:pPr>
        <w:widowControl/>
        <w:spacing w:line="360" w:lineRule="auto"/>
        <w:ind w:firstLine="411" w:firstLineChars="196"/>
        <w:rPr>
          <w:rFonts w:hint="eastAsia" w:ascii="宋体" w:hAnsi="宋体" w:eastAsia="宋体" w:cs="宋体"/>
          <w:color w:val="auto"/>
          <w:sz w:val="21"/>
          <w:szCs w:val="21"/>
          <w:highlight w:val="yellow"/>
        </w:rPr>
      </w:pPr>
      <w:r>
        <w:rPr>
          <w:rFonts w:hint="eastAsia" w:asciiTheme="minorEastAsia" w:hAnsiTheme="minorEastAsia" w:eastAsiaTheme="minorEastAsia" w:cstheme="minorEastAsia"/>
          <w:color w:val="000000"/>
          <w:sz w:val="21"/>
          <w:szCs w:val="21"/>
        </w:rPr>
        <w:t>（</w:t>
      </w:r>
      <w:r>
        <w:rPr>
          <w:rFonts w:hint="eastAsia" w:asciiTheme="minorEastAsia" w:hAnsiTheme="minorEastAsia" w:eastAsiaTheme="minorEastAsia" w:cstheme="minorEastAsia"/>
          <w:color w:val="000000"/>
          <w:sz w:val="21"/>
          <w:szCs w:val="21"/>
          <w:lang w:val="en-US" w:eastAsia="zh-CN"/>
        </w:rPr>
        <w:t>5</w:t>
      </w:r>
      <w:r>
        <w:rPr>
          <w:rFonts w:hint="eastAsia" w:asciiTheme="minorEastAsia" w:hAnsiTheme="minorEastAsia" w:eastAsiaTheme="minorEastAsia" w:cstheme="minorEastAsia"/>
          <w:color w:val="000000"/>
          <w:sz w:val="21"/>
          <w:szCs w:val="21"/>
        </w:rPr>
        <w:t>）其他应交付的文档等。</w:t>
      </w:r>
    </w:p>
    <w:p w14:paraId="39D758D8">
      <w:pPr>
        <w:rPr>
          <w:rFonts w:hint="eastAsia"/>
          <w:b/>
          <w:bCs/>
          <w:color w:val="auto"/>
          <w:szCs w:val="21"/>
          <w:highlight w:val="none"/>
        </w:rPr>
      </w:pPr>
      <w:r>
        <w:rPr>
          <w:rFonts w:hint="eastAsia"/>
          <w:b/>
          <w:bCs/>
          <w:color w:val="auto"/>
          <w:szCs w:val="21"/>
          <w:highlight w:val="none"/>
        </w:rPr>
        <w:br w:type="page"/>
      </w:r>
    </w:p>
    <w:p w14:paraId="0989DD1B">
      <w:pPr>
        <w:pStyle w:val="9"/>
        <w:tabs>
          <w:tab w:val="left" w:pos="750"/>
        </w:tabs>
        <w:spacing w:beforeLines="0" w:line="440" w:lineRule="exact"/>
        <w:ind w:left="210" w:leftChars="0" w:firstLine="10" w:firstLineChars="0"/>
        <w:jc w:val="center"/>
        <w:outlineLvl w:val="0"/>
        <w:rPr>
          <w:rStyle w:val="46"/>
          <w:rFonts w:hint="eastAsia" w:cs="宋体"/>
          <w:color w:val="auto"/>
          <w:highlight w:val="none"/>
        </w:rPr>
      </w:pPr>
      <w:bookmarkStart w:id="523" w:name="_Toc22825"/>
      <w:r>
        <w:rPr>
          <w:rStyle w:val="46"/>
          <w:rFonts w:hint="eastAsia" w:ascii="宋体" w:hAnsi="宋体" w:eastAsia="宋体" w:cs="宋体"/>
          <w:color w:val="auto"/>
          <w:highlight w:val="none"/>
          <w:lang w:val="en-US" w:eastAsia="zh-CN"/>
        </w:rPr>
        <w:t>第</w:t>
      </w:r>
      <w:r>
        <w:rPr>
          <w:rStyle w:val="46"/>
          <w:rFonts w:hint="eastAsia" w:ascii="宋体" w:hAnsi="宋体" w:eastAsia="宋体" w:cs="宋体"/>
          <w:color w:val="auto"/>
          <w:highlight w:val="none"/>
        </w:rPr>
        <w:t xml:space="preserve">六章  </w:t>
      </w:r>
      <w:bookmarkEnd w:id="519"/>
      <w:bookmarkEnd w:id="520"/>
      <w:r>
        <w:rPr>
          <w:rStyle w:val="46"/>
          <w:rFonts w:hint="eastAsia" w:ascii="宋体" w:hAnsi="宋体" w:eastAsia="宋体" w:cs="宋体"/>
          <w:color w:val="auto"/>
          <w:highlight w:val="none"/>
        </w:rPr>
        <w:t>评审</w:t>
      </w:r>
      <w:r>
        <w:rPr>
          <w:rStyle w:val="46"/>
          <w:rFonts w:hint="eastAsia" w:cs="宋体"/>
          <w:color w:val="auto"/>
          <w:highlight w:val="none"/>
        </w:rPr>
        <w:t>方法</w:t>
      </w:r>
      <w:bookmarkEnd w:id="523"/>
      <w:bookmarkStart w:id="524" w:name="_Toc196764552"/>
    </w:p>
    <w:p w14:paraId="29DC13BE">
      <w:pPr>
        <w:pStyle w:val="4"/>
        <w:rPr>
          <w:rFonts w:ascii="宋体" w:hAnsi="宋体" w:cs="宋体"/>
          <w:color w:val="auto"/>
          <w:highlight w:val="none"/>
        </w:rPr>
      </w:pPr>
      <w:bookmarkStart w:id="525" w:name="_Toc482343782"/>
      <w:bookmarkStart w:id="526" w:name="_Toc28881"/>
      <w:bookmarkStart w:id="527" w:name="_Toc22698"/>
      <w:r>
        <w:rPr>
          <w:rFonts w:ascii="宋体" w:hAnsi="宋体" w:cs="宋体"/>
          <w:color w:val="auto"/>
          <w:highlight w:val="none"/>
        </w:rPr>
        <w:t>评审方法前附表</w:t>
      </w:r>
      <w:bookmarkEnd w:id="525"/>
      <w:bookmarkEnd w:id="526"/>
      <w:bookmarkEnd w:id="527"/>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7"/>
        <w:gridCol w:w="810"/>
        <w:gridCol w:w="1695"/>
        <w:gridCol w:w="1497"/>
        <w:gridCol w:w="4539"/>
      </w:tblGrid>
      <w:tr w14:paraId="01DDA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1367" w:type="dxa"/>
            <w:gridSpan w:val="2"/>
            <w:noWrap w:val="0"/>
            <w:vAlign w:val="center"/>
          </w:tcPr>
          <w:p w14:paraId="3AE35D0A">
            <w:pPr>
              <w:keepNext w:val="0"/>
              <w:keepLines w:val="0"/>
              <w:suppressLineNumbers w:val="0"/>
              <w:spacing w:before="100" w:beforeAutospacing="1" w:after="100" w:afterAutospacing="1" w:line="360" w:lineRule="auto"/>
              <w:ind w:left="0" w:right="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条款号</w:t>
            </w:r>
          </w:p>
        </w:tc>
        <w:tc>
          <w:tcPr>
            <w:tcW w:w="1695" w:type="dxa"/>
            <w:noWrap w:val="0"/>
            <w:vAlign w:val="center"/>
          </w:tcPr>
          <w:p w14:paraId="3A7D6450">
            <w:pPr>
              <w:keepNext w:val="0"/>
              <w:keepLines w:val="0"/>
              <w:suppressLineNumbers w:val="0"/>
              <w:spacing w:before="100" w:beforeAutospacing="1" w:after="100" w:afterAutospacing="1" w:line="360" w:lineRule="auto"/>
              <w:ind w:left="0" w:right="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评 审 内 容</w:t>
            </w:r>
          </w:p>
        </w:tc>
        <w:tc>
          <w:tcPr>
            <w:tcW w:w="6036" w:type="dxa"/>
            <w:gridSpan w:val="2"/>
            <w:noWrap w:val="0"/>
            <w:vAlign w:val="center"/>
          </w:tcPr>
          <w:p w14:paraId="0A3A68EB">
            <w:pPr>
              <w:keepNext w:val="0"/>
              <w:keepLines w:val="0"/>
              <w:suppressLineNumbers w:val="0"/>
              <w:spacing w:before="100" w:beforeAutospacing="1" w:after="100" w:afterAutospacing="1" w:line="360" w:lineRule="auto"/>
              <w:ind w:left="0" w:right="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评 审 标 准</w:t>
            </w:r>
          </w:p>
        </w:tc>
      </w:tr>
      <w:tr w14:paraId="40518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557" w:type="dxa"/>
            <w:vMerge w:val="restart"/>
            <w:noWrap w:val="0"/>
            <w:vAlign w:val="center"/>
          </w:tcPr>
          <w:p w14:paraId="32F35149">
            <w:pPr>
              <w:keepNext w:val="0"/>
              <w:keepLines w:val="0"/>
              <w:suppressLineNumbers w:val="0"/>
              <w:spacing w:before="100" w:beforeAutospacing="1" w:after="100" w:afterAutospacing="1" w:line="360" w:lineRule="auto"/>
              <w:ind w:left="0" w:right="0"/>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2.1</w:t>
            </w:r>
          </w:p>
        </w:tc>
        <w:tc>
          <w:tcPr>
            <w:tcW w:w="810" w:type="dxa"/>
            <w:vMerge w:val="restart"/>
            <w:noWrap w:val="0"/>
            <w:vAlign w:val="center"/>
          </w:tcPr>
          <w:p w14:paraId="16180609">
            <w:pPr>
              <w:keepNext w:val="0"/>
              <w:keepLines w:val="0"/>
              <w:suppressLineNumbers w:val="0"/>
              <w:spacing w:before="100" w:beforeAutospacing="1" w:after="100" w:afterAutospacing="1" w:line="360" w:lineRule="auto"/>
              <w:ind w:left="0" w:right="0"/>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实质性评审标准</w:t>
            </w:r>
          </w:p>
        </w:tc>
        <w:tc>
          <w:tcPr>
            <w:tcW w:w="1695" w:type="dxa"/>
            <w:noWrap w:val="0"/>
            <w:vAlign w:val="center"/>
          </w:tcPr>
          <w:p w14:paraId="6D46AE34">
            <w:pPr>
              <w:keepNext w:val="0"/>
              <w:keepLines w:val="0"/>
              <w:suppressLineNumbers w:val="0"/>
              <w:spacing w:before="100" w:beforeAutospacing="1" w:after="100" w:afterAutospacing="1" w:line="360" w:lineRule="auto"/>
              <w:ind w:left="0" w:right="0"/>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资格条件</w:t>
            </w:r>
          </w:p>
        </w:tc>
        <w:tc>
          <w:tcPr>
            <w:tcW w:w="6036" w:type="dxa"/>
            <w:gridSpan w:val="2"/>
            <w:noWrap w:val="0"/>
            <w:vAlign w:val="center"/>
          </w:tcPr>
          <w:p w14:paraId="7301A74C">
            <w:pPr>
              <w:keepNext w:val="0"/>
              <w:keepLines w:val="0"/>
              <w:pageBreakBefore w:val="0"/>
              <w:widowControl w:val="0"/>
              <w:suppressLineNumbers w:val="0"/>
              <w:tabs>
                <w:tab w:val="left" w:pos="540"/>
              </w:tabs>
              <w:kinsoku/>
              <w:wordWrap/>
              <w:overflowPunct/>
              <w:topLinePunct w:val="0"/>
              <w:autoSpaceDE/>
              <w:autoSpaceDN/>
              <w:bidi w:val="0"/>
              <w:adjustRightInd w:val="0"/>
              <w:snapToGrid/>
              <w:spacing w:before="0" w:beforeAutospacing="0" w:after="0" w:afterAutospacing="0" w:line="360" w:lineRule="auto"/>
              <w:ind w:left="0" w:right="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符合第二章“供应商须知”第4项规定</w:t>
            </w:r>
          </w:p>
        </w:tc>
      </w:tr>
      <w:tr w14:paraId="07789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557" w:type="dxa"/>
            <w:vMerge w:val="continue"/>
            <w:noWrap w:val="0"/>
            <w:vAlign w:val="center"/>
          </w:tcPr>
          <w:p w14:paraId="0DA37DC6">
            <w:pPr>
              <w:keepNext w:val="0"/>
              <w:keepLines w:val="0"/>
              <w:suppressLineNumbers w:val="0"/>
              <w:spacing w:before="100" w:beforeAutospacing="1" w:after="100" w:afterAutospacing="1" w:line="360" w:lineRule="auto"/>
              <w:ind w:left="0" w:right="0"/>
              <w:jc w:val="center"/>
              <w:rPr>
                <w:rFonts w:hint="eastAsia" w:asciiTheme="minorEastAsia" w:hAnsiTheme="minorEastAsia" w:eastAsiaTheme="minorEastAsia" w:cstheme="minorEastAsia"/>
                <w:b/>
                <w:bCs/>
                <w:color w:val="auto"/>
                <w:sz w:val="21"/>
                <w:szCs w:val="21"/>
                <w:highlight w:val="none"/>
              </w:rPr>
            </w:pPr>
          </w:p>
        </w:tc>
        <w:tc>
          <w:tcPr>
            <w:tcW w:w="810" w:type="dxa"/>
            <w:vMerge w:val="continue"/>
            <w:noWrap w:val="0"/>
            <w:vAlign w:val="center"/>
          </w:tcPr>
          <w:p w14:paraId="7B69EE59">
            <w:pPr>
              <w:keepNext w:val="0"/>
              <w:keepLines w:val="0"/>
              <w:suppressLineNumbers w:val="0"/>
              <w:spacing w:before="100" w:beforeAutospacing="1" w:after="100" w:afterAutospacing="1" w:line="360" w:lineRule="auto"/>
              <w:ind w:left="0" w:right="0"/>
              <w:jc w:val="center"/>
              <w:rPr>
                <w:rFonts w:hint="eastAsia" w:asciiTheme="minorEastAsia" w:hAnsiTheme="minorEastAsia" w:eastAsiaTheme="minorEastAsia" w:cstheme="minorEastAsia"/>
                <w:b/>
                <w:bCs/>
                <w:color w:val="auto"/>
                <w:sz w:val="21"/>
                <w:szCs w:val="21"/>
                <w:highlight w:val="none"/>
              </w:rPr>
            </w:pPr>
          </w:p>
        </w:tc>
        <w:tc>
          <w:tcPr>
            <w:tcW w:w="1695" w:type="dxa"/>
            <w:noWrap w:val="0"/>
            <w:vAlign w:val="center"/>
          </w:tcPr>
          <w:p w14:paraId="5FC40AB6">
            <w:pPr>
              <w:keepNext w:val="0"/>
              <w:keepLines w:val="0"/>
              <w:suppressLineNumbers w:val="0"/>
              <w:spacing w:before="100" w:beforeAutospacing="1" w:after="100" w:afterAutospacing="1" w:line="360" w:lineRule="auto"/>
              <w:ind w:left="0" w:right="0"/>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磋商保证金</w:t>
            </w:r>
          </w:p>
        </w:tc>
        <w:tc>
          <w:tcPr>
            <w:tcW w:w="6036" w:type="dxa"/>
            <w:gridSpan w:val="2"/>
            <w:noWrap w:val="0"/>
            <w:vAlign w:val="center"/>
          </w:tcPr>
          <w:p w14:paraId="170F1E26">
            <w:pPr>
              <w:keepNext w:val="0"/>
              <w:keepLines w:val="0"/>
              <w:pageBreakBefore w:val="0"/>
              <w:widowControl w:val="0"/>
              <w:suppressLineNumbers w:val="0"/>
              <w:tabs>
                <w:tab w:val="left" w:pos="540"/>
              </w:tabs>
              <w:kinsoku/>
              <w:wordWrap/>
              <w:overflowPunct/>
              <w:topLinePunct w:val="0"/>
              <w:autoSpaceDE/>
              <w:autoSpaceDN/>
              <w:bidi w:val="0"/>
              <w:adjustRightInd w:val="0"/>
              <w:snapToGrid/>
              <w:spacing w:before="0" w:beforeAutospacing="0" w:after="0" w:afterAutospacing="0" w:line="360" w:lineRule="auto"/>
              <w:ind w:left="0" w:right="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符合第二章“供应商须知”第18.1项规定</w:t>
            </w:r>
          </w:p>
        </w:tc>
      </w:tr>
      <w:tr w14:paraId="19EC9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57" w:type="dxa"/>
            <w:vMerge w:val="continue"/>
            <w:noWrap w:val="0"/>
            <w:vAlign w:val="center"/>
          </w:tcPr>
          <w:p w14:paraId="27A64807">
            <w:pPr>
              <w:keepNext w:val="0"/>
              <w:keepLines w:val="0"/>
              <w:suppressLineNumbers w:val="0"/>
              <w:spacing w:before="100" w:beforeAutospacing="1" w:after="100" w:afterAutospacing="1" w:line="360" w:lineRule="auto"/>
              <w:ind w:left="0" w:right="0"/>
              <w:jc w:val="center"/>
              <w:rPr>
                <w:rFonts w:hint="eastAsia" w:asciiTheme="minorEastAsia" w:hAnsiTheme="minorEastAsia" w:eastAsiaTheme="minorEastAsia" w:cstheme="minorEastAsia"/>
                <w:b/>
                <w:bCs/>
                <w:color w:val="auto"/>
                <w:sz w:val="21"/>
                <w:szCs w:val="21"/>
                <w:highlight w:val="none"/>
              </w:rPr>
            </w:pPr>
          </w:p>
        </w:tc>
        <w:tc>
          <w:tcPr>
            <w:tcW w:w="810" w:type="dxa"/>
            <w:vMerge w:val="continue"/>
            <w:noWrap w:val="0"/>
            <w:vAlign w:val="center"/>
          </w:tcPr>
          <w:p w14:paraId="0AE5C7A6">
            <w:pPr>
              <w:keepNext w:val="0"/>
              <w:keepLines w:val="0"/>
              <w:suppressLineNumbers w:val="0"/>
              <w:spacing w:before="100" w:beforeAutospacing="1" w:after="100" w:afterAutospacing="1" w:line="360" w:lineRule="auto"/>
              <w:ind w:left="0" w:right="0"/>
              <w:jc w:val="center"/>
              <w:rPr>
                <w:rFonts w:hint="eastAsia" w:asciiTheme="minorEastAsia" w:hAnsiTheme="minorEastAsia" w:eastAsiaTheme="minorEastAsia" w:cstheme="minorEastAsia"/>
                <w:b/>
                <w:bCs/>
                <w:color w:val="auto"/>
                <w:sz w:val="21"/>
                <w:szCs w:val="21"/>
                <w:highlight w:val="none"/>
              </w:rPr>
            </w:pPr>
          </w:p>
        </w:tc>
        <w:tc>
          <w:tcPr>
            <w:tcW w:w="1695" w:type="dxa"/>
            <w:noWrap w:val="0"/>
            <w:vAlign w:val="center"/>
          </w:tcPr>
          <w:p w14:paraId="58AA63CB">
            <w:pPr>
              <w:keepNext w:val="0"/>
              <w:keepLines w:val="0"/>
              <w:suppressLineNumbers w:val="0"/>
              <w:spacing w:before="100" w:beforeAutospacing="1" w:after="100" w:afterAutospacing="1" w:line="360" w:lineRule="auto"/>
              <w:ind w:left="0" w:right="0"/>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磋商申请函</w:t>
            </w:r>
          </w:p>
        </w:tc>
        <w:tc>
          <w:tcPr>
            <w:tcW w:w="6036" w:type="dxa"/>
            <w:gridSpan w:val="2"/>
            <w:noWrap w:val="0"/>
            <w:vAlign w:val="center"/>
          </w:tcPr>
          <w:p w14:paraId="5B58132F">
            <w:pPr>
              <w:keepNext w:val="0"/>
              <w:keepLines w:val="0"/>
              <w:pageBreakBefore w:val="0"/>
              <w:widowControl w:val="0"/>
              <w:suppressLineNumbers w:val="0"/>
              <w:tabs>
                <w:tab w:val="left" w:pos="540"/>
              </w:tabs>
              <w:kinsoku/>
              <w:wordWrap/>
              <w:overflowPunct/>
              <w:topLinePunct w:val="0"/>
              <w:autoSpaceDE/>
              <w:autoSpaceDN/>
              <w:bidi w:val="0"/>
              <w:adjustRightInd w:val="0"/>
              <w:snapToGrid/>
              <w:spacing w:before="0" w:beforeAutospacing="0" w:after="0" w:afterAutospacing="0" w:line="360" w:lineRule="auto"/>
              <w:ind w:left="0" w:right="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符合第四章“响应文件格式”中规定的格式及内容。有法定代表人电子签名或盖章，并加盖供应商电子公章；</w:t>
            </w:r>
          </w:p>
        </w:tc>
      </w:tr>
      <w:tr w14:paraId="3AD1E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557" w:type="dxa"/>
            <w:vMerge w:val="continue"/>
            <w:noWrap w:val="0"/>
            <w:vAlign w:val="center"/>
          </w:tcPr>
          <w:p w14:paraId="30811BC8">
            <w:pPr>
              <w:keepNext w:val="0"/>
              <w:keepLines w:val="0"/>
              <w:suppressLineNumbers w:val="0"/>
              <w:spacing w:before="100" w:beforeAutospacing="1" w:after="100" w:afterAutospacing="1" w:line="360" w:lineRule="auto"/>
              <w:ind w:left="0" w:right="0"/>
              <w:rPr>
                <w:rFonts w:hint="eastAsia" w:asciiTheme="minorEastAsia" w:hAnsiTheme="minorEastAsia" w:eastAsiaTheme="minorEastAsia" w:cstheme="minorEastAsia"/>
                <w:b/>
                <w:bCs/>
                <w:color w:val="auto"/>
                <w:sz w:val="21"/>
                <w:szCs w:val="21"/>
                <w:highlight w:val="none"/>
              </w:rPr>
            </w:pPr>
          </w:p>
        </w:tc>
        <w:tc>
          <w:tcPr>
            <w:tcW w:w="810" w:type="dxa"/>
            <w:vMerge w:val="continue"/>
            <w:noWrap w:val="0"/>
            <w:vAlign w:val="center"/>
          </w:tcPr>
          <w:p w14:paraId="2A4F0963">
            <w:pPr>
              <w:keepNext w:val="0"/>
              <w:keepLines w:val="0"/>
              <w:suppressLineNumbers w:val="0"/>
              <w:spacing w:before="100" w:beforeAutospacing="1" w:after="100" w:afterAutospacing="1" w:line="360" w:lineRule="auto"/>
              <w:ind w:left="0" w:right="0"/>
              <w:jc w:val="center"/>
              <w:rPr>
                <w:rFonts w:hint="eastAsia" w:asciiTheme="minorEastAsia" w:hAnsiTheme="minorEastAsia" w:eastAsiaTheme="minorEastAsia" w:cstheme="minorEastAsia"/>
                <w:b/>
                <w:bCs/>
                <w:color w:val="auto"/>
                <w:sz w:val="21"/>
                <w:szCs w:val="21"/>
                <w:highlight w:val="none"/>
              </w:rPr>
            </w:pPr>
          </w:p>
        </w:tc>
        <w:tc>
          <w:tcPr>
            <w:tcW w:w="1695" w:type="dxa"/>
            <w:noWrap w:val="0"/>
            <w:vAlign w:val="center"/>
          </w:tcPr>
          <w:p w14:paraId="7115B3D6">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法定代表人身份证明书</w:t>
            </w:r>
          </w:p>
        </w:tc>
        <w:tc>
          <w:tcPr>
            <w:tcW w:w="6036" w:type="dxa"/>
            <w:gridSpan w:val="2"/>
            <w:noWrap w:val="0"/>
            <w:vAlign w:val="center"/>
          </w:tcPr>
          <w:p w14:paraId="5D6A6B29">
            <w:pPr>
              <w:keepNext w:val="0"/>
              <w:keepLines w:val="0"/>
              <w:pageBreakBefore w:val="0"/>
              <w:widowControl w:val="0"/>
              <w:suppressLineNumbers w:val="0"/>
              <w:tabs>
                <w:tab w:val="left" w:pos="540"/>
              </w:tabs>
              <w:kinsoku/>
              <w:wordWrap/>
              <w:overflowPunct/>
              <w:topLinePunct w:val="0"/>
              <w:autoSpaceDE/>
              <w:autoSpaceDN/>
              <w:bidi w:val="0"/>
              <w:adjustRightInd w:val="0"/>
              <w:snapToGrid/>
              <w:spacing w:before="0" w:beforeAutospacing="0" w:after="0" w:afterAutospacing="0" w:line="360" w:lineRule="auto"/>
              <w:ind w:left="0" w:right="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符合竞争性磋商文件规定的格式及内容，并加盖供应商电子公章；</w:t>
            </w:r>
          </w:p>
        </w:tc>
      </w:tr>
      <w:tr w14:paraId="7D8C1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557" w:type="dxa"/>
            <w:vMerge w:val="continue"/>
            <w:noWrap w:val="0"/>
            <w:vAlign w:val="center"/>
          </w:tcPr>
          <w:p w14:paraId="53BA02A5">
            <w:pPr>
              <w:keepNext w:val="0"/>
              <w:keepLines w:val="0"/>
              <w:suppressLineNumbers w:val="0"/>
              <w:spacing w:before="100" w:beforeAutospacing="1" w:after="100" w:afterAutospacing="1" w:line="360" w:lineRule="auto"/>
              <w:ind w:left="0" w:right="0"/>
              <w:rPr>
                <w:rFonts w:hint="eastAsia" w:asciiTheme="minorEastAsia" w:hAnsiTheme="minorEastAsia" w:eastAsiaTheme="minorEastAsia" w:cstheme="minorEastAsia"/>
                <w:b/>
                <w:bCs/>
                <w:color w:val="auto"/>
                <w:sz w:val="21"/>
                <w:szCs w:val="21"/>
                <w:highlight w:val="none"/>
              </w:rPr>
            </w:pPr>
          </w:p>
        </w:tc>
        <w:tc>
          <w:tcPr>
            <w:tcW w:w="810" w:type="dxa"/>
            <w:vMerge w:val="continue"/>
            <w:noWrap w:val="0"/>
            <w:vAlign w:val="center"/>
          </w:tcPr>
          <w:p w14:paraId="3DC15A51">
            <w:pPr>
              <w:keepNext w:val="0"/>
              <w:keepLines w:val="0"/>
              <w:suppressLineNumbers w:val="0"/>
              <w:spacing w:before="100" w:beforeAutospacing="1" w:after="100" w:afterAutospacing="1" w:line="360" w:lineRule="auto"/>
              <w:ind w:left="0" w:right="0"/>
              <w:jc w:val="center"/>
              <w:rPr>
                <w:rFonts w:hint="eastAsia" w:asciiTheme="minorEastAsia" w:hAnsiTheme="minorEastAsia" w:eastAsiaTheme="minorEastAsia" w:cstheme="minorEastAsia"/>
                <w:b/>
                <w:bCs/>
                <w:color w:val="auto"/>
                <w:sz w:val="21"/>
                <w:szCs w:val="21"/>
                <w:highlight w:val="none"/>
              </w:rPr>
            </w:pPr>
          </w:p>
        </w:tc>
        <w:tc>
          <w:tcPr>
            <w:tcW w:w="1695" w:type="dxa"/>
            <w:noWrap w:val="0"/>
            <w:vAlign w:val="center"/>
          </w:tcPr>
          <w:p w14:paraId="743CAB46">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法定代表人授权委托书</w:t>
            </w:r>
          </w:p>
        </w:tc>
        <w:tc>
          <w:tcPr>
            <w:tcW w:w="6036" w:type="dxa"/>
            <w:gridSpan w:val="2"/>
            <w:noWrap w:val="0"/>
            <w:vAlign w:val="center"/>
          </w:tcPr>
          <w:p w14:paraId="4A85A712">
            <w:pPr>
              <w:keepNext w:val="0"/>
              <w:keepLines w:val="0"/>
              <w:pageBreakBefore w:val="0"/>
              <w:widowControl w:val="0"/>
              <w:suppressLineNumbers w:val="0"/>
              <w:tabs>
                <w:tab w:val="left" w:pos="540"/>
              </w:tabs>
              <w:kinsoku/>
              <w:wordWrap/>
              <w:overflowPunct/>
              <w:topLinePunct w:val="0"/>
              <w:autoSpaceDE/>
              <w:autoSpaceDN/>
              <w:bidi w:val="0"/>
              <w:adjustRightInd w:val="0"/>
              <w:snapToGrid/>
              <w:spacing w:before="0" w:beforeAutospacing="0" w:after="0" w:afterAutospacing="0" w:line="360" w:lineRule="auto"/>
              <w:ind w:left="0" w:right="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符合竞争性磋商文件规定的格式及内容；有法定代表人电子签名或盖章，并加盖供应商电子公章；</w:t>
            </w:r>
          </w:p>
        </w:tc>
      </w:tr>
      <w:tr w14:paraId="0BDE7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57" w:type="dxa"/>
            <w:vMerge w:val="continue"/>
            <w:noWrap w:val="0"/>
            <w:vAlign w:val="center"/>
          </w:tcPr>
          <w:p w14:paraId="5A03AD6E">
            <w:pPr>
              <w:keepNext w:val="0"/>
              <w:keepLines w:val="0"/>
              <w:suppressLineNumbers w:val="0"/>
              <w:spacing w:before="100" w:beforeAutospacing="1" w:after="100" w:afterAutospacing="1" w:line="360" w:lineRule="auto"/>
              <w:ind w:left="0" w:right="0"/>
              <w:rPr>
                <w:rFonts w:hint="eastAsia" w:asciiTheme="minorEastAsia" w:hAnsiTheme="minorEastAsia" w:eastAsiaTheme="minorEastAsia" w:cstheme="minorEastAsia"/>
                <w:b/>
                <w:bCs/>
                <w:color w:val="auto"/>
                <w:sz w:val="21"/>
                <w:szCs w:val="21"/>
                <w:highlight w:val="none"/>
              </w:rPr>
            </w:pPr>
          </w:p>
        </w:tc>
        <w:tc>
          <w:tcPr>
            <w:tcW w:w="810" w:type="dxa"/>
            <w:vMerge w:val="continue"/>
            <w:noWrap w:val="0"/>
            <w:vAlign w:val="center"/>
          </w:tcPr>
          <w:p w14:paraId="240D1A63">
            <w:pPr>
              <w:keepNext w:val="0"/>
              <w:keepLines w:val="0"/>
              <w:suppressLineNumbers w:val="0"/>
              <w:spacing w:before="100" w:beforeAutospacing="1" w:after="100" w:afterAutospacing="1" w:line="360" w:lineRule="auto"/>
              <w:ind w:left="0" w:right="0"/>
              <w:jc w:val="center"/>
              <w:rPr>
                <w:rFonts w:hint="eastAsia" w:asciiTheme="minorEastAsia" w:hAnsiTheme="minorEastAsia" w:eastAsiaTheme="minorEastAsia" w:cstheme="minorEastAsia"/>
                <w:b/>
                <w:bCs/>
                <w:color w:val="auto"/>
                <w:sz w:val="21"/>
                <w:szCs w:val="21"/>
                <w:highlight w:val="none"/>
              </w:rPr>
            </w:pPr>
          </w:p>
        </w:tc>
        <w:tc>
          <w:tcPr>
            <w:tcW w:w="1695" w:type="dxa"/>
            <w:noWrap w:val="0"/>
            <w:vAlign w:val="center"/>
          </w:tcPr>
          <w:p w14:paraId="2AF20008">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供应商具备参加政府采购活动条件承诺书</w:t>
            </w:r>
          </w:p>
        </w:tc>
        <w:tc>
          <w:tcPr>
            <w:tcW w:w="6036" w:type="dxa"/>
            <w:gridSpan w:val="2"/>
            <w:noWrap w:val="0"/>
            <w:vAlign w:val="center"/>
          </w:tcPr>
          <w:p w14:paraId="331AED54">
            <w:pPr>
              <w:keepNext w:val="0"/>
              <w:keepLines w:val="0"/>
              <w:pageBreakBefore w:val="0"/>
              <w:widowControl w:val="0"/>
              <w:suppressLineNumbers w:val="0"/>
              <w:tabs>
                <w:tab w:val="left" w:pos="540"/>
              </w:tabs>
              <w:kinsoku/>
              <w:wordWrap/>
              <w:overflowPunct/>
              <w:topLinePunct w:val="0"/>
              <w:autoSpaceDE/>
              <w:autoSpaceDN/>
              <w:bidi w:val="0"/>
              <w:adjustRightInd w:val="0"/>
              <w:snapToGrid/>
              <w:spacing w:before="0" w:beforeAutospacing="0" w:after="0" w:afterAutospacing="0" w:line="360" w:lineRule="auto"/>
              <w:ind w:left="0" w:right="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符合《中华人民共和国政府采购法》第二十二条规定</w:t>
            </w:r>
          </w:p>
        </w:tc>
      </w:tr>
      <w:tr w14:paraId="195F5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557" w:type="dxa"/>
            <w:vMerge w:val="continue"/>
            <w:noWrap w:val="0"/>
            <w:vAlign w:val="center"/>
          </w:tcPr>
          <w:p w14:paraId="6FBBD661">
            <w:pPr>
              <w:keepNext w:val="0"/>
              <w:keepLines w:val="0"/>
              <w:suppressLineNumbers w:val="0"/>
              <w:spacing w:before="100" w:beforeAutospacing="1" w:after="100" w:afterAutospacing="1" w:line="360" w:lineRule="auto"/>
              <w:ind w:left="0" w:right="0"/>
              <w:rPr>
                <w:rFonts w:hint="eastAsia" w:asciiTheme="minorEastAsia" w:hAnsiTheme="minorEastAsia" w:eastAsiaTheme="minorEastAsia" w:cstheme="minorEastAsia"/>
                <w:b/>
                <w:bCs/>
                <w:color w:val="auto"/>
                <w:sz w:val="21"/>
                <w:szCs w:val="21"/>
                <w:highlight w:val="none"/>
              </w:rPr>
            </w:pPr>
          </w:p>
        </w:tc>
        <w:tc>
          <w:tcPr>
            <w:tcW w:w="810" w:type="dxa"/>
            <w:vMerge w:val="continue"/>
            <w:noWrap w:val="0"/>
            <w:vAlign w:val="center"/>
          </w:tcPr>
          <w:p w14:paraId="79426AAD">
            <w:pPr>
              <w:keepNext w:val="0"/>
              <w:keepLines w:val="0"/>
              <w:suppressLineNumbers w:val="0"/>
              <w:spacing w:before="100" w:beforeAutospacing="1" w:after="100" w:afterAutospacing="1" w:line="360" w:lineRule="auto"/>
              <w:ind w:left="0" w:right="0"/>
              <w:jc w:val="center"/>
              <w:rPr>
                <w:rFonts w:hint="eastAsia" w:asciiTheme="minorEastAsia" w:hAnsiTheme="minorEastAsia" w:eastAsiaTheme="minorEastAsia" w:cstheme="minorEastAsia"/>
                <w:b/>
                <w:bCs/>
                <w:color w:val="auto"/>
                <w:sz w:val="21"/>
                <w:szCs w:val="21"/>
                <w:highlight w:val="none"/>
              </w:rPr>
            </w:pPr>
          </w:p>
        </w:tc>
        <w:tc>
          <w:tcPr>
            <w:tcW w:w="1695" w:type="dxa"/>
            <w:noWrap w:val="0"/>
            <w:vAlign w:val="center"/>
          </w:tcPr>
          <w:p w14:paraId="4625BE9E">
            <w:pPr>
              <w:keepNext w:val="0"/>
              <w:keepLines w:val="0"/>
              <w:suppressLineNumbers w:val="0"/>
              <w:spacing w:before="100" w:beforeAutospacing="1" w:after="100" w:afterAutospacing="1" w:line="360" w:lineRule="auto"/>
              <w:ind w:left="0" w:right="0"/>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报价</w:t>
            </w:r>
          </w:p>
        </w:tc>
        <w:tc>
          <w:tcPr>
            <w:tcW w:w="6036" w:type="dxa"/>
            <w:gridSpan w:val="2"/>
            <w:noWrap w:val="0"/>
            <w:vAlign w:val="center"/>
          </w:tcPr>
          <w:p w14:paraId="6411D1A6">
            <w:pPr>
              <w:keepNext w:val="0"/>
              <w:keepLines w:val="0"/>
              <w:pageBreakBefore w:val="0"/>
              <w:widowControl w:val="0"/>
              <w:suppressLineNumbers w:val="0"/>
              <w:tabs>
                <w:tab w:val="left" w:pos="540"/>
              </w:tabs>
              <w:kinsoku/>
              <w:wordWrap/>
              <w:overflowPunct/>
              <w:topLinePunct w:val="0"/>
              <w:autoSpaceDE/>
              <w:autoSpaceDN/>
              <w:bidi w:val="0"/>
              <w:adjustRightInd w:val="0"/>
              <w:snapToGrid/>
              <w:spacing w:before="0" w:beforeAutospacing="0" w:after="0" w:afterAutospacing="0" w:line="360" w:lineRule="auto"/>
              <w:ind w:left="0" w:right="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最后报价未超过预算金额或最高限价</w:t>
            </w:r>
          </w:p>
        </w:tc>
      </w:tr>
      <w:tr w14:paraId="09527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557" w:type="dxa"/>
            <w:vMerge w:val="continue"/>
            <w:noWrap w:val="0"/>
            <w:vAlign w:val="center"/>
          </w:tcPr>
          <w:p w14:paraId="715932F2">
            <w:pPr>
              <w:keepNext w:val="0"/>
              <w:keepLines w:val="0"/>
              <w:suppressLineNumbers w:val="0"/>
              <w:spacing w:before="100" w:beforeAutospacing="1" w:after="100" w:afterAutospacing="1" w:line="360" w:lineRule="auto"/>
              <w:ind w:left="0" w:right="0"/>
              <w:rPr>
                <w:rFonts w:hint="eastAsia" w:asciiTheme="minorEastAsia" w:hAnsiTheme="minorEastAsia" w:eastAsiaTheme="minorEastAsia" w:cstheme="minorEastAsia"/>
                <w:b/>
                <w:bCs/>
                <w:color w:val="auto"/>
                <w:sz w:val="21"/>
                <w:szCs w:val="21"/>
                <w:highlight w:val="none"/>
              </w:rPr>
            </w:pPr>
          </w:p>
        </w:tc>
        <w:tc>
          <w:tcPr>
            <w:tcW w:w="810" w:type="dxa"/>
            <w:vMerge w:val="continue"/>
            <w:noWrap w:val="0"/>
            <w:vAlign w:val="center"/>
          </w:tcPr>
          <w:p w14:paraId="153BB4A5">
            <w:pPr>
              <w:keepNext w:val="0"/>
              <w:keepLines w:val="0"/>
              <w:suppressLineNumbers w:val="0"/>
              <w:spacing w:before="100" w:beforeAutospacing="1" w:after="100" w:afterAutospacing="1" w:line="360" w:lineRule="auto"/>
              <w:ind w:left="0" w:right="0"/>
              <w:jc w:val="center"/>
              <w:rPr>
                <w:rFonts w:hint="eastAsia" w:asciiTheme="minorEastAsia" w:hAnsiTheme="minorEastAsia" w:eastAsiaTheme="minorEastAsia" w:cstheme="minorEastAsia"/>
                <w:b/>
                <w:bCs/>
                <w:color w:val="auto"/>
                <w:sz w:val="21"/>
                <w:szCs w:val="21"/>
                <w:highlight w:val="none"/>
              </w:rPr>
            </w:pPr>
          </w:p>
        </w:tc>
        <w:tc>
          <w:tcPr>
            <w:tcW w:w="1695" w:type="dxa"/>
            <w:noWrap w:val="0"/>
            <w:vAlign w:val="center"/>
          </w:tcPr>
          <w:p w14:paraId="2DFDC7C9">
            <w:pPr>
              <w:keepNext w:val="0"/>
              <w:keepLines w:val="0"/>
              <w:suppressLineNumbers w:val="0"/>
              <w:spacing w:before="100" w:beforeAutospacing="1" w:after="100" w:afterAutospacing="1" w:line="360" w:lineRule="auto"/>
              <w:ind w:left="0" w:right="0"/>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其它实质性条件</w:t>
            </w:r>
          </w:p>
        </w:tc>
        <w:tc>
          <w:tcPr>
            <w:tcW w:w="6036" w:type="dxa"/>
            <w:gridSpan w:val="2"/>
            <w:noWrap w:val="0"/>
            <w:vAlign w:val="center"/>
          </w:tcPr>
          <w:p w14:paraId="5FDF52BC">
            <w:pPr>
              <w:keepNext w:val="0"/>
              <w:keepLines w:val="0"/>
              <w:pageBreakBefore w:val="0"/>
              <w:widowControl w:val="0"/>
              <w:suppressLineNumbers w:val="0"/>
              <w:tabs>
                <w:tab w:val="left" w:pos="540"/>
              </w:tabs>
              <w:kinsoku/>
              <w:wordWrap/>
              <w:overflowPunct/>
              <w:topLinePunct w:val="0"/>
              <w:autoSpaceDE/>
              <w:autoSpaceDN/>
              <w:bidi w:val="0"/>
              <w:adjustRightInd w:val="0"/>
              <w:snapToGrid/>
              <w:spacing w:before="0" w:beforeAutospacing="0" w:after="0" w:afterAutospacing="0" w:line="360" w:lineRule="auto"/>
              <w:ind w:left="0" w:right="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响应文件实质性响应磋商文件中标注★条款内容且未出现竞争性磋商文件规定的其他无效情形</w:t>
            </w:r>
          </w:p>
        </w:tc>
      </w:tr>
      <w:tr w14:paraId="1609B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7" w:type="dxa"/>
            <w:vMerge w:val="restart"/>
            <w:noWrap w:val="0"/>
            <w:vAlign w:val="center"/>
          </w:tcPr>
          <w:p w14:paraId="5D482820">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4.1</w:t>
            </w:r>
          </w:p>
        </w:tc>
        <w:tc>
          <w:tcPr>
            <w:tcW w:w="810" w:type="dxa"/>
            <w:vMerge w:val="restart"/>
            <w:noWrap w:val="0"/>
            <w:vAlign w:val="center"/>
          </w:tcPr>
          <w:p w14:paraId="32898B4A">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详细评审标准</w:t>
            </w:r>
          </w:p>
        </w:tc>
        <w:tc>
          <w:tcPr>
            <w:tcW w:w="1695" w:type="dxa"/>
            <w:noWrap w:val="0"/>
            <w:vAlign w:val="center"/>
          </w:tcPr>
          <w:p w14:paraId="7C8AAFBF">
            <w:pPr>
              <w:keepNext w:val="0"/>
              <w:keepLines w:val="0"/>
              <w:suppressLineNumbers w:val="0"/>
              <w:snapToGrid w:val="0"/>
              <w:spacing w:before="0" w:beforeAutospacing="0" w:after="0" w:afterAutospacing="0" w:line="360" w:lineRule="auto"/>
              <w:ind w:left="0" w:right="0"/>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rPr>
              <w:t>1）评审得分计算公式</w:t>
            </w:r>
          </w:p>
        </w:tc>
        <w:tc>
          <w:tcPr>
            <w:tcW w:w="6036" w:type="dxa"/>
            <w:gridSpan w:val="2"/>
            <w:noWrap w:val="0"/>
            <w:vAlign w:val="center"/>
          </w:tcPr>
          <w:p w14:paraId="6D2E0D01">
            <w:pPr>
              <w:keepNext w:val="0"/>
              <w:keepLines w:val="0"/>
              <w:pageBreakBefore w:val="0"/>
              <w:widowControl w:val="0"/>
              <w:suppressLineNumbers w:val="0"/>
              <w:tabs>
                <w:tab w:val="left" w:pos="540"/>
              </w:tabs>
              <w:kinsoku/>
              <w:wordWrap/>
              <w:overflowPunct/>
              <w:topLinePunct w:val="0"/>
              <w:autoSpaceDE/>
              <w:autoSpaceDN/>
              <w:bidi w:val="0"/>
              <w:adjustRightInd w:val="0"/>
              <w:snapToGrid/>
              <w:spacing w:before="0" w:beforeAutospacing="0" w:after="0" w:afterAutospacing="0" w:line="360" w:lineRule="auto"/>
              <w:ind w:left="0" w:right="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供应商的评审得分满分100分，</w:t>
            </w:r>
          </w:p>
          <w:p w14:paraId="08AABD28">
            <w:pPr>
              <w:keepNext w:val="0"/>
              <w:keepLines w:val="0"/>
              <w:pageBreakBefore w:val="0"/>
              <w:widowControl w:val="0"/>
              <w:suppressLineNumbers w:val="0"/>
              <w:tabs>
                <w:tab w:val="left" w:pos="540"/>
              </w:tabs>
              <w:kinsoku/>
              <w:wordWrap/>
              <w:overflowPunct/>
              <w:topLinePunct w:val="0"/>
              <w:autoSpaceDE/>
              <w:autoSpaceDN/>
              <w:bidi w:val="0"/>
              <w:adjustRightInd w:val="0"/>
              <w:snapToGrid/>
              <w:spacing w:before="0" w:beforeAutospacing="0" w:after="0" w:afterAutospacing="0" w:line="360" w:lineRule="auto"/>
              <w:ind w:left="0" w:right="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供应商的评审得分＝F1＋F2</w:t>
            </w:r>
          </w:p>
          <w:p w14:paraId="09407DCD">
            <w:pPr>
              <w:keepNext w:val="0"/>
              <w:keepLines w:val="0"/>
              <w:pageBreakBefore w:val="0"/>
              <w:widowControl w:val="0"/>
              <w:suppressLineNumbers w:val="0"/>
              <w:tabs>
                <w:tab w:val="left" w:pos="540"/>
              </w:tabs>
              <w:kinsoku/>
              <w:wordWrap/>
              <w:overflowPunct/>
              <w:topLinePunct w:val="0"/>
              <w:autoSpaceDE/>
              <w:autoSpaceDN/>
              <w:bidi w:val="0"/>
              <w:adjustRightInd w:val="0"/>
              <w:snapToGrid/>
              <w:spacing w:before="0" w:beforeAutospacing="0" w:after="0" w:afterAutospacing="0" w:line="360" w:lineRule="auto"/>
              <w:ind w:left="0" w:right="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其中：F1、F2分别为报价评分、技术商务部分评分2项评审因素的汇总得分。</w:t>
            </w:r>
          </w:p>
        </w:tc>
      </w:tr>
      <w:tr w14:paraId="030A7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557" w:type="dxa"/>
            <w:vMerge w:val="continue"/>
            <w:noWrap w:val="0"/>
            <w:vAlign w:val="center"/>
          </w:tcPr>
          <w:p w14:paraId="3441680A">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auto"/>
                <w:sz w:val="21"/>
                <w:szCs w:val="21"/>
                <w:highlight w:val="none"/>
              </w:rPr>
            </w:pPr>
          </w:p>
        </w:tc>
        <w:tc>
          <w:tcPr>
            <w:tcW w:w="810" w:type="dxa"/>
            <w:vMerge w:val="continue"/>
            <w:noWrap w:val="0"/>
            <w:vAlign w:val="center"/>
          </w:tcPr>
          <w:p w14:paraId="63FD6518">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auto"/>
                <w:sz w:val="21"/>
                <w:szCs w:val="21"/>
                <w:highlight w:val="none"/>
              </w:rPr>
            </w:pPr>
          </w:p>
        </w:tc>
        <w:tc>
          <w:tcPr>
            <w:tcW w:w="1695" w:type="dxa"/>
            <w:noWrap w:val="0"/>
            <w:vAlign w:val="center"/>
          </w:tcPr>
          <w:p w14:paraId="1B011AA6">
            <w:pPr>
              <w:keepNext w:val="0"/>
              <w:keepLines w:val="0"/>
              <w:suppressLineNumbers w:val="0"/>
              <w:snapToGrid w:val="0"/>
              <w:spacing w:before="0" w:beforeAutospacing="0" w:after="0" w:afterAutospacing="0" w:line="360" w:lineRule="auto"/>
              <w:ind w:left="0" w:right="0"/>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rPr>
              <w:t>2）评审因素权重</w:t>
            </w:r>
          </w:p>
        </w:tc>
        <w:tc>
          <w:tcPr>
            <w:tcW w:w="6036" w:type="dxa"/>
            <w:gridSpan w:val="2"/>
            <w:noWrap w:val="0"/>
            <w:vAlign w:val="center"/>
          </w:tcPr>
          <w:p w14:paraId="5BC33DFD">
            <w:pPr>
              <w:keepNext w:val="0"/>
              <w:keepLines w:val="0"/>
              <w:pageBreakBefore w:val="0"/>
              <w:widowControl w:val="0"/>
              <w:suppressLineNumbers w:val="0"/>
              <w:tabs>
                <w:tab w:val="left" w:pos="540"/>
              </w:tabs>
              <w:kinsoku/>
              <w:wordWrap/>
              <w:overflowPunct/>
              <w:topLinePunct w:val="0"/>
              <w:autoSpaceDE/>
              <w:autoSpaceDN/>
              <w:bidi w:val="0"/>
              <w:adjustRightInd w:val="0"/>
              <w:snapToGrid/>
              <w:spacing w:before="0" w:beforeAutospacing="0" w:after="0" w:afterAutospacing="0" w:line="360" w:lineRule="auto"/>
              <w:ind w:left="0" w:right="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报价评分F1：10分。</w:t>
            </w:r>
          </w:p>
          <w:p w14:paraId="731B5E4B">
            <w:pPr>
              <w:keepNext w:val="0"/>
              <w:keepLines w:val="0"/>
              <w:pageBreakBefore w:val="0"/>
              <w:widowControl w:val="0"/>
              <w:suppressLineNumbers w:val="0"/>
              <w:tabs>
                <w:tab w:val="left" w:pos="540"/>
              </w:tabs>
              <w:kinsoku/>
              <w:wordWrap/>
              <w:overflowPunct/>
              <w:topLinePunct w:val="0"/>
              <w:autoSpaceDE/>
              <w:autoSpaceDN/>
              <w:bidi w:val="0"/>
              <w:adjustRightInd w:val="0"/>
              <w:snapToGrid/>
              <w:spacing w:before="0" w:beforeAutospacing="0" w:after="0" w:afterAutospacing="0" w:line="360" w:lineRule="auto"/>
              <w:ind w:left="0" w:right="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技术商务部分评分F2：90分。</w:t>
            </w:r>
          </w:p>
        </w:tc>
      </w:tr>
      <w:tr w14:paraId="4B11E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57" w:type="dxa"/>
            <w:vMerge w:val="continue"/>
            <w:noWrap w:val="0"/>
            <w:vAlign w:val="center"/>
          </w:tcPr>
          <w:p w14:paraId="6346344F">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auto"/>
                <w:sz w:val="21"/>
                <w:szCs w:val="21"/>
                <w:highlight w:val="none"/>
              </w:rPr>
            </w:pPr>
          </w:p>
        </w:tc>
        <w:tc>
          <w:tcPr>
            <w:tcW w:w="810" w:type="dxa"/>
            <w:vMerge w:val="continue"/>
            <w:noWrap w:val="0"/>
            <w:vAlign w:val="center"/>
          </w:tcPr>
          <w:p w14:paraId="1BE967F8">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auto"/>
                <w:sz w:val="21"/>
                <w:szCs w:val="21"/>
                <w:highlight w:val="none"/>
              </w:rPr>
            </w:pPr>
          </w:p>
        </w:tc>
        <w:tc>
          <w:tcPr>
            <w:tcW w:w="1695" w:type="dxa"/>
            <w:tcBorders>
              <w:bottom w:val="single" w:color="auto" w:sz="4" w:space="0"/>
            </w:tcBorders>
            <w:noWrap w:val="0"/>
            <w:vAlign w:val="center"/>
          </w:tcPr>
          <w:p w14:paraId="2E3FA35A">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rPr>
              <w:t>3）报价评分F1（满分10分）</w:t>
            </w:r>
          </w:p>
        </w:tc>
        <w:tc>
          <w:tcPr>
            <w:tcW w:w="6036" w:type="dxa"/>
            <w:gridSpan w:val="2"/>
            <w:tcBorders>
              <w:bottom w:val="single" w:color="auto" w:sz="4" w:space="0"/>
            </w:tcBorders>
            <w:noWrap w:val="0"/>
            <w:vAlign w:val="center"/>
          </w:tcPr>
          <w:p w14:paraId="7A6E367F">
            <w:pPr>
              <w:keepNext w:val="0"/>
              <w:keepLines w:val="0"/>
              <w:pageBreakBefore w:val="0"/>
              <w:widowControl w:val="0"/>
              <w:suppressLineNumbers w:val="0"/>
              <w:tabs>
                <w:tab w:val="left" w:pos="540"/>
              </w:tabs>
              <w:kinsoku/>
              <w:wordWrap/>
              <w:overflowPunct/>
              <w:topLinePunct w:val="0"/>
              <w:autoSpaceDE/>
              <w:autoSpaceDN/>
              <w:bidi w:val="0"/>
              <w:adjustRightInd w:val="0"/>
              <w:snapToGrid/>
              <w:spacing w:before="0" w:beforeAutospacing="0" w:after="0" w:afterAutospacing="0" w:line="360" w:lineRule="auto"/>
              <w:ind w:left="0" w:right="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报价评分采用低价优先法计算，即满足竞争性磋商文件要求且最后报价最低的供应商的价格为磋商基准价，其报价分为满分。其他供应商的报价分统一按照下列公式计算：</w:t>
            </w:r>
          </w:p>
          <w:p w14:paraId="64759DE1">
            <w:pPr>
              <w:keepNext w:val="0"/>
              <w:keepLines w:val="0"/>
              <w:pageBreakBefore w:val="0"/>
              <w:widowControl w:val="0"/>
              <w:suppressLineNumbers w:val="0"/>
              <w:tabs>
                <w:tab w:val="left" w:pos="540"/>
              </w:tabs>
              <w:kinsoku/>
              <w:wordWrap/>
              <w:overflowPunct/>
              <w:topLinePunct w:val="0"/>
              <w:autoSpaceDE/>
              <w:autoSpaceDN/>
              <w:bidi w:val="0"/>
              <w:adjustRightInd w:val="0"/>
              <w:snapToGrid/>
              <w:spacing w:before="0" w:beforeAutospacing="0" w:after="0" w:afterAutospacing="0" w:line="360" w:lineRule="auto"/>
              <w:ind w:left="0" w:right="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磋商报价得分=磋商基准价/最后报价×10</w:t>
            </w:r>
          </w:p>
          <w:p w14:paraId="3C3B1FDD">
            <w:pPr>
              <w:keepNext w:val="0"/>
              <w:keepLines w:val="0"/>
              <w:pageBreakBefore w:val="0"/>
              <w:widowControl w:val="0"/>
              <w:suppressLineNumbers w:val="0"/>
              <w:tabs>
                <w:tab w:val="left" w:pos="540"/>
              </w:tabs>
              <w:kinsoku/>
              <w:wordWrap/>
              <w:overflowPunct/>
              <w:topLinePunct w:val="0"/>
              <w:autoSpaceDE/>
              <w:autoSpaceDN/>
              <w:bidi w:val="0"/>
              <w:adjustRightInd w:val="0"/>
              <w:snapToGrid/>
              <w:spacing w:before="0" w:beforeAutospacing="0" w:after="0" w:afterAutospacing="0" w:line="360" w:lineRule="auto"/>
              <w:ind w:left="0" w:right="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即：F1=C/（B1，B2，…，Bn）×10</w:t>
            </w:r>
          </w:p>
          <w:p w14:paraId="5DF7668C">
            <w:pPr>
              <w:keepNext w:val="0"/>
              <w:keepLines w:val="0"/>
              <w:pageBreakBefore w:val="0"/>
              <w:widowControl w:val="0"/>
              <w:suppressLineNumbers w:val="0"/>
              <w:tabs>
                <w:tab w:val="left" w:pos="540"/>
              </w:tabs>
              <w:kinsoku/>
              <w:wordWrap/>
              <w:overflowPunct/>
              <w:topLinePunct w:val="0"/>
              <w:autoSpaceDE/>
              <w:autoSpaceDN/>
              <w:bidi w:val="0"/>
              <w:adjustRightInd w:val="0"/>
              <w:snapToGrid/>
              <w:spacing w:before="0" w:beforeAutospacing="0" w:after="0" w:afterAutospacing="0" w:line="360" w:lineRule="auto"/>
              <w:ind w:left="0" w:right="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注：1.C为磋商基准价，即满足竞争性磋商文件要求且最后报价最低的供应商的价格为磋商基准价；</w:t>
            </w:r>
          </w:p>
          <w:p w14:paraId="73A5C0D0">
            <w:pPr>
              <w:keepNext w:val="0"/>
              <w:keepLines w:val="0"/>
              <w:pageBreakBefore w:val="0"/>
              <w:widowControl w:val="0"/>
              <w:suppressLineNumbers w:val="0"/>
              <w:tabs>
                <w:tab w:val="left" w:pos="540"/>
              </w:tabs>
              <w:kinsoku/>
              <w:wordWrap/>
              <w:overflowPunct/>
              <w:topLinePunct w:val="0"/>
              <w:autoSpaceDE/>
              <w:autoSpaceDN/>
              <w:bidi w:val="0"/>
              <w:adjustRightInd w:val="0"/>
              <w:snapToGrid/>
              <w:spacing w:before="0" w:beforeAutospacing="0" w:after="0" w:afterAutospacing="0" w:line="360" w:lineRule="auto"/>
              <w:ind w:left="0" w:right="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2.B1，B2，…，Bn为第n个满足竞争性磋商文件要求的最后报价。</w:t>
            </w:r>
          </w:p>
          <w:p w14:paraId="09823477">
            <w:pPr>
              <w:keepNext w:val="0"/>
              <w:keepLines w:val="0"/>
              <w:pageBreakBefore w:val="0"/>
              <w:widowControl w:val="0"/>
              <w:suppressLineNumbers w:val="0"/>
              <w:tabs>
                <w:tab w:val="left" w:pos="540"/>
              </w:tabs>
              <w:kinsoku/>
              <w:wordWrap/>
              <w:overflowPunct/>
              <w:topLinePunct w:val="0"/>
              <w:autoSpaceDE/>
              <w:autoSpaceDN/>
              <w:bidi w:val="0"/>
              <w:adjustRightInd w:val="0"/>
              <w:snapToGrid/>
              <w:spacing w:before="0" w:beforeAutospacing="0" w:after="0" w:afterAutospacing="0" w:line="360" w:lineRule="auto"/>
              <w:ind w:left="0" w:right="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3.在计算磋商报价得分时，对小型或微型企业最终报价给予10%的扣除，用扣除后的价格参与评审，残疾人福利性单位属于小型、微型企业的，不重复享受政策。</w:t>
            </w:r>
          </w:p>
        </w:tc>
      </w:tr>
      <w:tr w14:paraId="109A5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7" w:type="dxa"/>
            <w:vMerge w:val="continue"/>
            <w:noWrap w:val="0"/>
            <w:vAlign w:val="center"/>
          </w:tcPr>
          <w:p w14:paraId="7AE5EAFA">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auto"/>
                <w:sz w:val="21"/>
                <w:szCs w:val="21"/>
                <w:highlight w:val="none"/>
              </w:rPr>
            </w:pPr>
          </w:p>
        </w:tc>
        <w:tc>
          <w:tcPr>
            <w:tcW w:w="810" w:type="dxa"/>
            <w:vMerge w:val="continue"/>
            <w:noWrap w:val="0"/>
            <w:vAlign w:val="center"/>
          </w:tcPr>
          <w:p w14:paraId="5051C07B">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auto"/>
                <w:sz w:val="21"/>
                <w:szCs w:val="21"/>
                <w:highlight w:val="none"/>
              </w:rPr>
            </w:pPr>
          </w:p>
        </w:tc>
        <w:tc>
          <w:tcPr>
            <w:tcW w:w="1695" w:type="dxa"/>
            <w:vMerge w:val="restart"/>
            <w:noWrap w:val="0"/>
            <w:vAlign w:val="center"/>
          </w:tcPr>
          <w:p w14:paraId="121A8840">
            <w:pPr>
              <w:keepNext w:val="0"/>
              <w:keepLines w:val="0"/>
              <w:numPr>
                <w:ilvl w:val="0"/>
                <w:numId w:val="0"/>
              </w:numPr>
              <w:suppressLineNumbers w:val="0"/>
              <w:spacing w:before="0" w:beforeAutospacing="0" w:after="0" w:afterAutospacing="0" w:line="360" w:lineRule="auto"/>
              <w:ind w:left="0" w:right="0" w:rightChars="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（4）</w:t>
            </w:r>
            <w:r>
              <w:rPr>
                <w:rFonts w:hint="eastAsia" w:asciiTheme="minorEastAsia" w:hAnsiTheme="minorEastAsia" w:eastAsiaTheme="minorEastAsia" w:cstheme="minorEastAsia"/>
                <w:b/>
                <w:bCs/>
                <w:color w:val="auto"/>
                <w:sz w:val="21"/>
                <w:szCs w:val="21"/>
                <w:highlight w:val="none"/>
              </w:rPr>
              <w:t>技术</w:t>
            </w:r>
            <w:r>
              <w:rPr>
                <w:rFonts w:hint="eastAsia" w:asciiTheme="minorEastAsia" w:hAnsiTheme="minorEastAsia" w:eastAsiaTheme="minorEastAsia" w:cstheme="minorEastAsia"/>
                <w:b/>
                <w:bCs/>
                <w:color w:val="auto"/>
                <w:sz w:val="21"/>
                <w:szCs w:val="21"/>
                <w:highlight w:val="none"/>
                <w:lang w:val="en-US" w:eastAsia="zh-CN"/>
              </w:rPr>
              <w:t>商务</w:t>
            </w:r>
            <w:r>
              <w:rPr>
                <w:rFonts w:hint="eastAsia" w:asciiTheme="minorEastAsia" w:hAnsiTheme="minorEastAsia" w:eastAsiaTheme="minorEastAsia" w:cstheme="minorEastAsia"/>
                <w:b/>
                <w:bCs/>
                <w:color w:val="auto"/>
                <w:sz w:val="21"/>
                <w:szCs w:val="21"/>
                <w:highlight w:val="none"/>
              </w:rPr>
              <w:t>部分评分F2（满分</w:t>
            </w:r>
            <w:r>
              <w:rPr>
                <w:rFonts w:hint="eastAsia" w:asciiTheme="minorEastAsia" w:hAnsiTheme="minorEastAsia" w:eastAsiaTheme="minorEastAsia" w:cstheme="minorEastAsia"/>
                <w:b/>
                <w:bCs/>
                <w:color w:val="auto"/>
                <w:sz w:val="21"/>
                <w:szCs w:val="21"/>
                <w:highlight w:val="none"/>
                <w:lang w:val="en-US" w:eastAsia="zh-CN"/>
              </w:rPr>
              <w:t>90</w:t>
            </w:r>
            <w:r>
              <w:rPr>
                <w:rFonts w:hint="eastAsia" w:asciiTheme="minorEastAsia" w:hAnsiTheme="minorEastAsia" w:eastAsiaTheme="minorEastAsia" w:cstheme="minorEastAsia"/>
                <w:b/>
                <w:bCs/>
                <w:color w:val="auto"/>
                <w:sz w:val="21"/>
                <w:szCs w:val="21"/>
                <w:highlight w:val="none"/>
              </w:rPr>
              <w:t>分）</w:t>
            </w:r>
          </w:p>
        </w:tc>
        <w:tc>
          <w:tcPr>
            <w:tcW w:w="1497" w:type="dxa"/>
            <w:noWrap w:val="0"/>
            <w:vAlign w:val="center"/>
          </w:tcPr>
          <w:p w14:paraId="03BAE3D4">
            <w:pPr>
              <w:keepNext w:val="0"/>
              <w:keepLines w:val="0"/>
              <w:pageBreakBefore w:val="0"/>
              <w:widowControl w:val="0"/>
              <w:suppressLineNumbers w:val="0"/>
              <w:tabs>
                <w:tab w:val="left" w:pos="540"/>
              </w:tabs>
              <w:kinsoku/>
              <w:wordWrap/>
              <w:overflowPunct/>
              <w:topLinePunct w:val="0"/>
              <w:autoSpaceDE/>
              <w:autoSpaceDN/>
              <w:bidi w:val="0"/>
              <w:adjustRightInd w:val="0"/>
              <w:snapToGrid/>
              <w:spacing w:before="0" w:beforeAutospacing="0" w:after="0" w:afterAutospacing="0" w:line="360" w:lineRule="auto"/>
              <w:ind w:left="0" w:leftChars="0" w:right="0" w:rightChars="0"/>
              <w:jc w:val="center"/>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1）采购需求分析评审评分（满分10分）</w:t>
            </w:r>
          </w:p>
        </w:tc>
        <w:tc>
          <w:tcPr>
            <w:tcW w:w="4539" w:type="dxa"/>
            <w:noWrap w:val="0"/>
            <w:vAlign w:val="center"/>
          </w:tcPr>
          <w:p w14:paraId="12AF5626">
            <w:pPr>
              <w:keepNext w:val="0"/>
              <w:keepLines w:val="0"/>
              <w:pageBreakBefore w:val="0"/>
              <w:widowControl w:val="0"/>
              <w:suppressLineNumbers w:val="0"/>
              <w:tabs>
                <w:tab w:val="left" w:pos="540"/>
              </w:tabs>
              <w:kinsoku/>
              <w:wordWrap/>
              <w:overflowPunct/>
              <w:topLinePunct w:val="0"/>
              <w:autoSpaceDE/>
              <w:autoSpaceDN/>
              <w:bidi w:val="0"/>
              <w:adjustRightInd w:val="0"/>
              <w:snapToGrid/>
              <w:spacing w:before="0" w:beforeAutospacing="0" w:after="0" w:afterAutospacing="0" w:line="360" w:lineRule="auto"/>
              <w:ind w:left="0" w:right="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第一档次（10分）：供应商对项目的采购需求分析目标定位把握准确，需求响应详细完整，分析深入透彻，完全符合采购人实际采购需求；</w:t>
            </w:r>
          </w:p>
          <w:p w14:paraId="5DB905A9">
            <w:pPr>
              <w:keepNext w:val="0"/>
              <w:keepLines w:val="0"/>
              <w:pageBreakBefore w:val="0"/>
              <w:widowControl w:val="0"/>
              <w:suppressLineNumbers w:val="0"/>
              <w:tabs>
                <w:tab w:val="left" w:pos="540"/>
              </w:tabs>
              <w:kinsoku/>
              <w:wordWrap/>
              <w:overflowPunct/>
              <w:topLinePunct w:val="0"/>
              <w:autoSpaceDE/>
              <w:autoSpaceDN/>
              <w:bidi w:val="0"/>
              <w:adjustRightInd w:val="0"/>
              <w:snapToGrid/>
              <w:spacing w:before="0" w:beforeAutospacing="0" w:after="0" w:afterAutospacing="0" w:line="360" w:lineRule="auto"/>
              <w:ind w:left="0" w:right="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第二档次（6分）：供应商对项目的采购需求分析目标定位清晰，需求响应完整，分析到位，符合采购人实际采购需求；</w:t>
            </w:r>
          </w:p>
          <w:p w14:paraId="6C8EDC24">
            <w:pPr>
              <w:keepNext w:val="0"/>
              <w:keepLines w:val="0"/>
              <w:pageBreakBefore w:val="0"/>
              <w:widowControl w:val="0"/>
              <w:suppressLineNumbers w:val="0"/>
              <w:tabs>
                <w:tab w:val="left" w:pos="540"/>
              </w:tabs>
              <w:kinsoku/>
              <w:wordWrap/>
              <w:overflowPunct/>
              <w:topLinePunct w:val="0"/>
              <w:autoSpaceDE/>
              <w:autoSpaceDN/>
              <w:bidi w:val="0"/>
              <w:adjustRightInd w:val="0"/>
              <w:snapToGrid/>
              <w:spacing w:before="0" w:beforeAutospacing="0" w:after="0" w:afterAutospacing="0" w:line="360" w:lineRule="auto"/>
              <w:ind w:left="0" w:right="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第三档次（2分）：供应商对项目采购需求分析把握一般，需求响应基本完整，分析基本符合采购人实际采购需求；</w:t>
            </w:r>
          </w:p>
          <w:p w14:paraId="1FC286BD">
            <w:pPr>
              <w:keepNext w:val="0"/>
              <w:keepLines w:val="0"/>
              <w:pageBreakBefore w:val="0"/>
              <w:widowControl w:val="0"/>
              <w:suppressLineNumbers w:val="0"/>
              <w:tabs>
                <w:tab w:val="left" w:pos="540"/>
              </w:tabs>
              <w:kinsoku/>
              <w:wordWrap/>
              <w:overflowPunct/>
              <w:topLinePunct w:val="0"/>
              <w:autoSpaceDE/>
              <w:autoSpaceDN/>
              <w:bidi w:val="0"/>
              <w:adjustRightInd w:val="0"/>
              <w:snapToGrid/>
              <w:spacing w:before="0" w:beforeAutospacing="0" w:after="0" w:afterAutospacing="0" w:line="360" w:lineRule="auto"/>
              <w:ind w:left="0" w:leftChars="0" w:right="0" w:rightChars="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第四档次（0分）：供应商对项目采购需求分析定位模糊，需求响应缺失，不符合采购人实际采购需求。</w:t>
            </w:r>
          </w:p>
        </w:tc>
      </w:tr>
      <w:tr w14:paraId="7176A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5" w:hRule="atLeast"/>
          <w:jc w:val="center"/>
        </w:trPr>
        <w:tc>
          <w:tcPr>
            <w:tcW w:w="557" w:type="dxa"/>
            <w:vMerge w:val="continue"/>
            <w:noWrap w:val="0"/>
            <w:vAlign w:val="center"/>
          </w:tcPr>
          <w:p w14:paraId="6078D518">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auto"/>
                <w:sz w:val="21"/>
                <w:szCs w:val="21"/>
                <w:highlight w:val="none"/>
              </w:rPr>
            </w:pPr>
          </w:p>
        </w:tc>
        <w:tc>
          <w:tcPr>
            <w:tcW w:w="810" w:type="dxa"/>
            <w:vMerge w:val="continue"/>
            <w:noWrap w:val="0"/>
            <w:vAlign w:val="center"/>
          </w:tcPr>
          <w:p w14:paraId="775B38B6">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auto"/>
                <w:sz w:val="21"/>
                <w:szCs w:val="21"/>
                <w:highlight w:val="none"/>
              </w:rPr>
            </w:pPr>
          </w:p>
        </w:tc>
        <w:tc>
          <w:tcPr>
            <w:tcW w:w="1695" w:type="dxa"/>
            <w:vMerge w:val="continue"/>
            <w:noWrap w:val="0"/>
            <w:vAlign w:val="center"/>
          </w:tcPr>
          <w:p w14:paraId="6C3419A5">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
                <w:bCs/>
                <w:color w:val="auto"/>
                <w:sz w:val="21"/>
                <w:szCs w:val="21"/>
                <w:highlight w:val="none"/>
              </w:rPr>
            </w:pPr>
          </w:p>
        </w:tc>
        <w:tc>
          <w:tcPr>
            <w:tcW w:w="1497" w:type="dxa"/>
            <w:noWrap w:val="0"/>
            <w:vAlign w:val="center"/>
          </w:tcPr>
          <w:p w14:paraId="436475C7">
            <w:pPr>
              <w:keepNext w:val="0"/>
              <w:keepLines w:val="0"/>
              <w:pageBreakBefore w:val="0"/>
              <w:widowControl w:val="0"/>
              <w:suppressLineNumbers w:val="0"/>
              <w:tabs>
                <w:tab w:val="left" w:pos="540"/>
              </w:tabs>
              <w:kinsoku/>
              <w:wordWrap/>
              <w:overflowPunct/>
              <w:topLinePunct w:val="0"/>
              <w:autoSpaceDE/>
              <w:autoSpaceDN/>
              <w:bidi w:val="0"/>
              <w:adjustRightInd w:val="0"/>
              <w:snapToGrid/>
              <w:spacing w:before="0" w:beforeAutospacing="0" w:after="0" w:afterAutospacing="0" w:line="360" w:lineRule="auto"/>
              <w:ind w:left="0" w:leftChars="0" w:right="0" w:rightChars="0"/>
              <w:jc w:val="center"/>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2）商用密码应用安全性评估服务方案评审评分(满分10分)</w:t>
            </w:r>
          </w:p>
        </w:tc>
        <w:tc>
          <w:tcPr>
            <w:tcW w:w="4539" w:type="dxa"/>
            <w:tcBorders>
              <w:bottom w:val="single" w:color="auto" w:sz="4" w:space="0"/>
            </w:tcBorders>
            <w:noWrap w:val="0"/>
            <w:vAlign w:val="center"/>
          </w:tcPr>
          <w:p w14:paraId="01175191">
            <w:pPr>
              <w:keepNext w:val="0"/>
              <w:keepLines w:val="0"/>
              <w:pageBreakBefore w:val="0"/>
              <w:widowControl w:val="0"/>
              <w:suppressLineNumbers w:val="0"/>
              <w:tabs>
                <w:tab w:val="left" w:pos="540"/>
              </w:tabs>
              <w:kinsoku/>
              <w:wordWrap/>
              <w:overflowPunct/>
              <w:topLinePunct w:val="0"/>
              <w:autoSpaceDE/>
              <w:autoSpaceDN/>
              <w:bidi w:val="0"/>
              <w:adjustRightInd w:val="0"/>
              <w:snapToGrid/>
              <w:spacing w:before="0" w:beforeAutospacing="0" w:after="0" w:afterAutospacing="0" w:line="360" w:lineRule="auto"/>
              <w:ind w:left="0" w:right="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第一档次（10分）：供应商针对本项目提供的商用密码应用安全性评估服务方案针对性强、具体、透彻，能结合项目特点制定方案的；</w:t>
            </w:r>
          </w:p>
          <w:p w14:paraId="0485B16C">
            <w:pPr>
              <w:keepNext w:val="0"/>
              <w:keepLines w:val="0"/>
              <w:pageBreakBefore w:val="0"/>
              <w:widowControl w:val="0"/>
              <w:suppressLineNumbers w:val="0"/>
              <w:tabs>
                <w:tab w:val="left" w:pos="540"/>
              </w:tabs>
              <w:kinsoku/>
              <w:wordWrap/>
              <w:overflowPunct/>
              <w:topLinePunct w:val="0"/>
              <w:autoSpaceDE/>
              <w:autoSpaceDN/>
              <w:bidi w:val="0"/>
              <w:adjustRightInd w:val="0"/>
              <w:snapToGrid/>
              <w:spacing w:before="0" w:beforeAutospacing="0" w:after="0" w:afterAutospacing="0" w:line="360" w:lineRule="auto"/>
              <w:ind w:left="0" w:right="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第二档次（6分）：供应商针对本项目提供的商用密码应用安全性评估服务方案方案内容完整，有具体措施描述，但操作性和针对性不够强的；</w:t>
            </w:r>
          </w:p>
          <w:p w14:paraId="7C2A6E7A">
            <w:pPr>
              <w:keepNext w:val="0"/>
              <w:keepLines w:val="0"/>
              <w:pageBreakBefore w:val="0"/>
              <w:widowControl w:val="0"/>
              <w:suppressLineNumbers w:val="0"/>
              <w:tabs>
                <w:tab w:val="left" w:pos="540"/>
              </w:tabs>
              <w:kinsoku/>
              <w:wordWrap/>
              <w:overflowPunct/>
              <w:topLinePunct w:val="0"/>
              <w:autoSpaceDE/>
              <w:autoSpaceDN/>
              <w:bidi w:val="0"/>
              <w:adjustRightInd w:val="0"/>
              <w:snapToGrid/>
              <w:spacing w:before="0" w:beforeAutospacing="0" w:after="0" w:afterAutospacing="0" w:line="360" w:lineRule="auto"/>
              <w:ind w:left="0" w:right="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第三档次（2分）：供应商针对本项目提供的商用密码应用安全性评估服务方案方案内容仅简单重复（响应）采购需求的；</w:t>
            </w:r>
          </w:p>
          <w:p w14:paraId="70539A71">
            <w:pPr>
              <w:keepNext w:val="0"/>
              <w:keepLines w:val="0"/>
              <w:pageBreakBefore w:val="0"/>
              <w:widowControl w:val="0"/>
              <w:suppressLineNumbers w:val="0"/>
              <w:tabs>
                <w:tab w:val="left" w:pos="540"/>
              </w:tabs>
              <w:kinsoku/>
              <w:wordWrap/>
              <w:overflowPunct/>
              <w:topLinePunct w:val="0"/>
              <w:autoSpaceDE/>
              <w:autoSpaceDN/>
              <w:bidi w:val="0"/>
              <w:adjustRightInd w:val="0"/>
              <w:snapToGrid/>
              <w:spacing w:before="0" w:beforeAutospacing="0" w:after="0" w:afterAutospacing="0" w:line="360" w:lineRule="auto"/>
              <w:ind w:left="0" w:right="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第四档次（0分）：供应商针对本项目提供的商用密码应用安全性评估服务方案方案内容不完整、不能满足采购需求、不可行的，或未提供方案的。</w:t>
            </w:r>
          </w:p>
        </w:tc>
      </w:tr>
      <w:tr w14:paraId="5FC39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5" w:hRule="atLeast"/>
          <w:jc w:val="center"/>
        </w:trPr>
        <w:tc>
          <w:tcPr>
            <w:tcW w:w="557" w:type="dxa"/>
            <w:vMerge w:val="continue"/>
            <w:noWrap w:val="0"/>
            <w:vAlign w:val="center"/>
          </w:tcPr>
          <w:p w14:paraId="6BC93DA2">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auto"/>
                <w:sz w:val="21"/>
                <w:szCs w:val="21"/>
                <w:highlight w:val="none"/>
              </w:rPr>
            </w:pPr>
          </w:p>
        </w:tc>
        <w:tc>
          <w:tcPr>
            <w:tcW w:w="810" w:type="dxa"/>
            <w:vMerge w:val="continue"/>
            <w:noWrap w:val="0"/>
            <w:vAlign w:val="center"/>
          </w:tcPr>
          <w:p w14:paraId="6A7DFF7D">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auto"/>
                <w:sz w:val="21"/>
                <w:szCs w:val="21"/>
                <w:highlight w:val="none"/>
              </w:rPr>
            </w:pPr>
          </w:p>
        </w:tc>
        <w:tc>
          <w:tcPr>
            <w:tcW w:w="1695" w:type="dxa"/>
            <w:vMerge w:val="continue"/>
            <w:noWrap w:val="0"/>
            <w:vAlign w:val="center"/>
          </w:tcPr>
          <w:p w14:paraId="3F15DFFE">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
                <w:bCs/>
                <w:color w:val="auto"/>
                <w:sz w:val="21"/>
                <w:szCs w:val="21"/>
                <w:highlight w:val="none"/>
              </w:rPr>
            </w:pPr>
          </w:p>
        </w:tc>
        <w:tc>
          <w:tcPr>
            <w:tcW w:w="1497" w:type="dxa"/>
            <w:noWrap w:val="0"/>
            <w:vAlign w:val="center"/>
          </w:tcPr>
          <w:p w14:paraId="775336EF">
            <w:pPr>
              <w:keepNext w:val="0"/>
              <w:keepLines w:val="0"/>
              <w:pageBreakBefore w:val="0"/>
              <w:suppressLineNumbers w:val="0"/>
              <w:kinsoku/>
              <w:topLinePunct w:val="0"/>
              <w:autoSpaceDE/>
              <w:autoSpaceDN/>
              <w:bidi w:val="0"/>
              <w:spacing w:before="0" w:beforeAutospacing="0" w:after="0" w:afterAutospacing="0" w:line="360" w:lineRule="auto"/>
              <w:ind w:left="0" w:leftChars="0" w:right="0" w:rightChars="0"/>
              <w:jc w:val="center"/>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3）突发情况应急解决方案评审评分（满分10分）</w:t>
            </w:r>
          </w:p>
        </w:tc>
        <w:tc>
          <w:tcPr>
            <w:tcW w:w="4539" w:type="dxa"/>
            <w:tcBorders>
              <w:bottom w:val="single" w:color="auto" w:sz="4" w:space="0"/>
            </w:tcBorders>
            <w:noWrap w:val="0"/>
            <w:vAlign w:val="top"/>
          </w:tcPr>
          <w:p w14:paraId="42BAB905">
            <w:pPr>
              <w:keepNext w:val="0"/>
              <w:keepLines w:val="0"/>
              <w:pageBreakBefore w:val="0"/>
              <w:suppressLineNumbers w:val="0"/>
              <w:kinsoku/>
              <w:topLinePunct w:val="0"/>
              <w:autoSpaceDE/>
              <w:autoSpaceDN/>
              <w:bidi w:val="0"/>
              <w:spacing w:before="0" w:beforeAutospacing="0" w:after="0" w:afterAutospacing="0" w:line="360" w:lineRule="auto"/>
              <w:ind w:left="0" w:right="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第一个档次（10分）：突发情况应急解决方案科学合理、全面完整、标准规范、切实可行，针对性强；</w:t>
            </w:r>
          </w:p>
          <w:p w14:paraId="3CF0F34D">
            <w:pPr>
              <w:keepNext w:val="0"/>
              <w:keepLines w:val="0"/>
              <w:pageBreakBefore w:val="0"/>
              <w:suppressLineNumbers w:val="0"/>
              <w:kinsoku/>
              <w:topLinePunct w:val="0"/>
              <w:autoSpaceDE/>
              <w:autoSpaceDN/>
              <w:bidi w:val="0"/>
              <w:spacing w:before="0" w:beforeAutospacing="0" w:after="0" w:afterAutospacing="0" w:line="360" w:lineRule="auto"/>
              <w:ind w:left="0" w:right="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第二个档次（6分）：突发情况应急解决方案基本合理，基本完整，可行性一般，针对性一般；</w:t>
            </w:r>
          </w:p>
          <w:p w14:paraId="27DC4FCA">
            <w:pPr>
              <w:keepNext w:val="0"/>
              <w:keepLines w:val="0"/>
              <w:pageBreakBefore w:val="0"/>
              <w:suppressLineNumbers w:val="0"/>
              <w:kinsoku/>
              <w:topLinePunct w:val="0"/>
              <w:autoSpaceDE/>
              <w:autoSpaceDN/>
              <w:bidi w:val="0"/>
              <w:spacing w:before="0" w:beforeAutospacing="0" w:after="0" w:afterAutospacing="0" w:line="360" w:lineRule="auto"/>
              <w:ind w:left="0" w:right="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第三个档次（2分）：突发情况应急解决方案缺乏合理性，内容缺漏，可行性差，针对性差。</w:t>
            </w:r>
          </w:p>
          <w:p w14:paraId="6C7FB1F0">
            <w:pPr>
              <w:keepNext w:val="0"/>
              <w:keepLines w:val="0"/>
              <w:pageBreakBefore w:val="0"/>
              <w:suppressLineNumbers w:val="0"/>
              <w:kinsoku/>
              <w:topLinePunct w:val="0"/>
              <w:autoSpaceDE/>
              <w:autoSpaceDN/>
              <w:bidi w:val="0"/>
              <w:spacing w:before="0" w:beforeAutospacing="0" w:after="0" w:afterAutospacing="0" w:line="360" w:lineRule="auto"/>
              <w:ind w:left="0" w:leftChars="0" w:right="0" w:rightChars="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第四个档次（0分）：突发情况应急解决方案不具可行性或供应商未提出突发情况应急解决方案。</w:t>
            </w:r>
          </w:p>
        </w:tc>
      </w:tr>
      <w:tr w14:paraId="1422C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5" w:hRule="atLeast"/>
          <w:jc w:val="center"/>
        </w:trPr>
        <w:tc>
          <w:tcPr>
            <w:tcW w:w="557" w:type="dxa"/>
            <w:vMerge w:val="continue"/>
            <w:noWrap w:val="0"/>
            <w:vAlign w:val="center"/>
          </w:tcPr>
          <w:p w14:paraId="47FA1F83">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auto"/>
                <w:sz w:val="21"/>
                <w:szCs w:val="21"/>
                <w:highlight w:val="none"/>
              </w:rPr>
            </w:pPr>
          </w:p>
        </w:tc>
        <w:tc>
          <w:tcPr>
            <w:tcW w:w="810" w:type="dxa"/>
            <w:vMerge w:val="continue"/>
            <w:noWrap w:val="0"/>
            <w:vAlign w:val="center"/>
          </w:tcPr>
          <w:p w14:paraId="46FF8CC5">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auto"/>
                <w:sz w:val="21"/>
                <w:szCs w:val="21"/>
                <w:highlight w:val="none"/>
              </w:rPr>
            </w:pPr>
          </w:p>
        </w:tc>
        <w:tc>
          <w:tcPr>
            <w:tcW w:w="1695" w:type="dxa"/>
            <w:vMerge w:val="continue"/>
            <w:noWrap w:val="0"/>
            <w:vAlign w:val="center"/>
          </w:tcPr>
          <w:p w14:paraId="6F300762">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
                <w:bCs/>
                <w:color w:val="auto"/>
                <w:sz w:val="21"/>
                <w:szCs w:val="21"/>
                <w:highlight w:val="none"/>
              </w:rPr>
            </w:pPr>
          </w:p>
        </w:tc>
        <w:tc>
          <w:tcPr>
            <w:tcW w:w="1497" w:type="dxa"/>
            <w:noWrap w:val="0"/>
            <w:vAlign w:val="center"/>
          </w:tcPr>
          <w:p w14:paraId="4B04C7C6">
            <w:pPr>
              <w:keepNext w:val="0"/>
              <w:keepLines w:val="0"/>
              <w:pageBreakBefore w:val="0"/>
              <w:suppressLineNumbers w:val="0"/>
              <w:kinsoku/>
              <w:topLinePunct w:val="0"/>
              <w:autoSpaceDE/>
              <w:autoSpaceDN/>
              <w:bidi w:val="0"/>
              <w:spacing w:before="0" w:beforeAutospacing="0" w:after="0" w:afterAutospacing="0" w:line="360" w:lineRule="auto"/>
              <w:ind w:left="0" w:leftChars="0" w:right="0" w:rightChars="0"/>
              <w:jc w:val="center"/>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4）保密措施及承诺评审评分（满分10分）</w:t>
            </w:r>
          </w:p>
        </w:tc>
        <w:tc>
          <w:tcPr>
            <w:tcW w:w="4539" w:type="dxa"/>
            <w:tcBorders>
              <w:bottom w:val="single" w:color="auto" w:sz="4" w:space="0"/>
            </w:tcBorders>
            <w:noWrap w:val="0"/>
            <w:vAlign w:val="center"/>
          </w:tcPr>
          <w:p w14:paraId="4ED94E86">
            <w:pPr>
              <w:keepNext w:val="0"/>
              <w:keepLines w:val="0"/>
              <w:pageBreakBefore w:val="0"/>
              <w:suppressLineNumbers w:val="0"/>
              <w:kinsoku/>
              <w:topLinePunct w:val="0"/>
              <w:autoSpaceDE/>
              <w:autoSpaceDN/>
              <w:bidi w:val="0"/>
              <w:spacing w:before="0" w:beforeAutospacing="0" w:after="0" w:afterAutospacing="0" w:line="360" w:lineRule="auto"/>
              <w:ind w:left="0" w:right="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第一个档次（</w:t>
            </w:r>
            <w:r>
              <w:rPr>
                <w:rFonts w:hint="eastAsia" w:asciiTheme="minorEastAsia" w:hAnsiTheme="minorEastAsia" w:eastAsiaTheme="minorEastAsia" w:cstheme="minorEastAsia"/>
                <w:color w:val="auto"/>
                <w:sz w:val="21"/>
                <w:szCs w:val="21"/>
                <w:highlight w:val="none"/>
                <w:lang w:val="en-US" w:eastAsia="zh-CN"/>
              </w:rPr>
              <w:t>10</w:t>
            </w:r>
            <w:r>
              <w:rPr>
                <w:rFonts w:hint="eastAsia" w:asciiTheme="minorEastAsia" w:hAnsiTheme="minorEastAsia" w:eastAsiaTheme="minorEastAsia" w:cstheme="minorEastAsia"/>
                <w:color w:val="auto"/>
                <w:sz w:val="21"/>
                <w:szCs w:val="21"/>
                <w:highlight w:val="none"/>
              </w:rPr>
              <w:t>分）：</w:t>
            </w:r>
            <w:r>
              <w:rPr>
                <w:rFonts w:hint="eastAsia" w:asciiTheme="minorEastAsia" w:hAnsiTheme="minorEastAsia" w:eastAsiaTheme="minorEastAsia" w:cstheme="minorEastAsia"/>
                <w:b w:val="0"/>
                <w:bCs w:val="0"/>
                <w:color w:val="auto"/>
                <w:sz w:val="21"/>
                <w:szCs w:val="21"/>
                <w:highlight w:val="none"/>
                <w:lang w:val="en-US" w:eastAsia="zh-CN"/>
              </w:rPr>
              <w:t>供应商</w:t>
            </w:r>
            <w:r>
              <w:rPr>
                <w:rFonts w:hint="eastAsia" w:asciiTheme="minorEastAsia" w:hAnsiTheme="minorEastAsia" w:eastAsiaTheme="minorEastAsia" w:cstheme="minorEastAsia"/>
                <w:color w:val="auto"/>
                <w:sz w:val="21"/>
                <w:szCs w:val="21"/>
                <w:highlight w:val="none"/>
              </w:rPr>
              <w:t>应</w:t>
            </w:r>
            <w:r>
              <w:rPr>
                <w:rFonts w:hint="eastAsia" w:asciiTheme="minorEastAsia" w:hAnsiTheme="minorEastAsia" w:eastAsiaTheme="minorEastAsia" w:cstheme="minorEastAsia"/>
                <w:color w:val="auto"/>
                <w:sz w:val="21"/>
                <w:szCs w:val="21"/>
                <w:highlight w:val="none"/>
                <w:lang w:val="en-US" w:eastAsia="zh-CN"/>
              </w:rPr>
              <w:t>针对</w:t>
            </w:r>
            <w:r>
              <w:rPr>
                <w:rFonts w:hint="eastAsia" w:asciiTheme="minorEastAsia" w:hAnsiTheme="minorEastAsia" w:eastAsiaTheme="minorEastAsia" w:cstheme="minorEastAsia"/>
                <w:color w:val="auto"/>
                <w:sz w:val="21"/>
                <w:szCs w:val="21"/>
                <w:highlight w:val="none"/>
              </w:rPr>
              <w:t>项目提出保密措施，内容具体可行，能保证本项目的所有数据资料不泄露，能保证在项目开展后所有与采购人相关的资料保密，对可能造成信息泄露的情形详细分析。</w:t>
            </w:r>
          </w:p>
          <w:p w14:paraId="28060ED5">
            <w:pPr>
              <w:keepNext w:val="0"/>
              <w:keepLines w:val="0"/>
              <w:pageBreakBefore w:val="0"/>
              <w:suppressLineNumbers w:val="0"/>
              <w:kinsoku/>
              <w:topLinePunct w:val="0"/>
              <w:autoSpaceDE/>
              <w:autoSpaceDN/>
              <w:bidi w:val="0"/>
              <w:spacing w:before="0" w:beforeAutospacing="0" w:after="0" w:afterAutospacing="0" w:line="360" w:lineRule="auto"/>
              <w:ind w:left="0" w:right="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w:t>
            </w:r>
            <w:r>
              <w:rPr>
                <w:rFonts w:hint="eastAsia" w:asciiTheme="minorEastAsia" w:hAnsiTheme="minorEastAsia" w:eastAsiaTheme="minorEastAsia" w:cstheme="minorEastAsia"/>
                <w:color w:val="auto"/>
                <w:sz w:val="21"/>
                <w:szCs w:val="21"/>
                <w:highlight w:val="none"/>
                <w:lang w:val="en-US" w:eastAsia="zh-CN"/>
              </w:rPr>
              <w:t>二</w:t>
            </w:r>
            <w:r>
              <w:rPr>
                <w:rFonts w:hint="eastAsia" w:asciiTheme="minorEastAsia" w:hAnsiTheme="minorEastAsia" w:eastAsiaTheme="minorEastAsia" w:cstheme="minorEastAsia"/>
                <w:color w:val="auto"/>
                <w:sz w:val="21"/>
                <w:szCs w:val="21"/>
                <w:highlight w:val="none"/>
              </w:rPr>
              <w:t>个档次（</w:t>
            </w: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分）：</w:t>
            </w:r>
            <w:r>
              <w:rPr>
                <w:rFonts w:hint="eastAsia" w:asciiTheme="minorEastAsia" w:hAnsiTheme="minorEastAsia" w:eastAsiaTheme="minorEastAsia" w:cstheme="minorEastAsia"/>
                <w:b w:val="0"/>
                <w:bCs w:val="0"/>
                <w:color w:val="auto"/>
                <w:sz w:val="21"/>
                <w:szCs w:val="21"/>
                <w:highlight w:val="none"/>
                <w:lang w:val="en-US" w:eastAsia="zh-CN"/>
              </w:rPr>
              <w:t>供应商</w:t>
            </w:r>
            <w:r>
              <w:rPr>
                <w:rFonts w:hint="eastAsia" w:asciiTheme="minorEastAsia" w:hAnsiTheme="minorEastAsia" w:eastAsiaTheme="minorEastAsia" w:cstheme="minorEastAsia"/>
                <w:color w:val="auto"/>
                <w:sz w:val="21"/>
                <w:szCs w:val="21"/>
                <w:highlight w:val="none"/>
              </w:rPr>
              <w:t>应</w:t>
            </w:r>
            <w:r>
              <w:rPr>
                <w:rFonts w:hint="eastAsia" w:asciiTheme="minorEastAsia" w:hAnsiTheme="minorEastAsia" w:eastAsiaTheme="minorEastAsia" w:cstheme="minorEastAsia"/>
                <w:color w:val="auto"/>
                <w:sz w:val="21"/>
                <w:szCs w:val="21"/>
                <w:highlight w:val="none"/>
                <w:lang w:val="en-US" w:eastAsia="zh-CN"/>
              </w:rPr>
              <w:t>针对</w:t>
            </w:r>
            <w:r>
              <w:rPr>
                <w:rFonts w:hint="eastAsia" w:asciiTheme="minorEastAsia" w:hAnsiTheme="minorEastAsia" w:eastAsiaTheme="minorEastAsia" w:cstheme="minorEastAsia"/>
                <w:color w:val="auto"/>
                <w:sz w:val="21"/>
                <w:szCs w:val="21"/>
                <w:highlight w:val="none"/>
              </w:rPr>
              <w:t>项目情况提出的保密措施，内容有一定可行性，对可能造成信息泄露的情形进行了分析。</w:t>
            </w:r>
          </w:p>
          <w:p w14:paraId="03AEA003">
            <w:pPr>
              <w:keepNext w:val="0"/>
              <w:keepLines w:val="0"/>
              <w:pageBreakBefore w:val="0"/>
              <w:suppressLineNumbers w:val="0"/>
              <w:kinsoku/>
              <w:topLinePunct w:val="0"/>
              <w:autoSpaceDE/>
              <w:autoSpaceDN/>
              <w:bidi w:val="0"/>
              <w:spacing w:before="0" w:beforeAutospacing="0" w:after="0" w:afterAutospacing="0" w:line="360" w:lineRule="auto"/>
              <w:ind w:left="0" w:right="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w:t>
            </w:r>
            <w:r>
              <w:rPr>
                <w:rFonts w:hint="eastAsia" w:asciiTheme="minorEastAsia" w:hAnsiTheme="minorEastAsia" w:eastAsiaTheme="minorEastAsia" w:cstheme="minorEastAsia"/>
                <w:color w:val="auto"/>
                <w:sz w:val="21"/>
                <w:szCs w:val="21"/>
                <w:highlight w:val="none"/>
                <w:lang w:val="en-US" w:eastAsia="zh-CN"/>
              </w:rPr>
              <w:t>三</w:t>
            </w:r>
            <w:r>
              <w:rPr>
                <w:rFonts w:hint="eastAsia" w:asciiTheme="minorEastAsia" w:hAnsiTheme="minorEastAsia" w:eastAsiaTheme="minorEastAsia" w:cstheme="minorEastAsia"/>
                <w:color w:val="auto"/>
                <w:sz w:val="21"/>
                <w:szCs w:val="21"/>
                <w:highlight w:val="none"/>
              </w:rPr>
              <w:t>个档次（</w:t>
            </w: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rPr>
              <w:t>分）：</w:t>
            </w:r>
            <w:r>
              <w:rPr>
                <w:rFonts w:hint="eastAsia" w:asciiTheme="minorEastAsia" w:hAnsiTheme="minorEastAsia" w:eastAsiaTheme="minorEastAsia" w:cstheme="minorEastAsia"/>
                <w:b w:val="0"/>
                <w:bCs w:val="0"/>
                <w:color w:val="auto"/>
                <w:sz w:val="21"/>
                <w:szCs w:val="21"/>
                <w:highlight w:val="none"/>
                <w:lang w:val="en-US" w:eastAsia="zh-CN"/>
              </w:rPr>
              <w:t>供应商</w:t>
            </w:r>
            <w:r>
              <w:rPr>
                <w:rFonts w:hint="eastAsia" w:asciiTheme="minorEastAsia" w:hAnsiTheme="minorEastAsia" w:eastAsiaTheme="minorEastAsia" w:cstheme="minorEastAsia"/>
                <w:color w:val="auto"/>
                <w:sz w:val="21"/>
                <w:szCs w:val="21"/>
                <w:highlight w:val="none"/>
              </w:rPr>
              <w:t>应</w:t>
            </w:r>
            <w:r>
              <w:rPr>
                <w:rFonts w:hint="eastAsia" w:asciiTheme="minorEastAsia" w:hAnsiTheme="minorEastAsia" w:eastAsiaTheme="minorEastAsia" w:cstheme="minorEastAsia"/>
                <w:color w:val="auto"/>
                <w:sz w:val="21"/>
                <w:szCs w:val="21"/>
                <w:highlight w:val="none"/>
                <w:lang w:val="en-US" w:eastAsia="zh-CN"/>
              </w:rPr>
              <w:t>针对本项目</w:t>
            </w:r>
            <w:r>
              <w:rPr>
                <w:rFonts w:hint="eastAsia" w:asciiTheme="minorEastAsia" w:hAnsiTheme="minorEastAsia" w:eastAsiaTheme="minorEastAsia" w:cstheme="minorEastAsia"/>
                <w:color w:val="auto"/>
                <w:sz w:val="21"/>
                <w:szCs w:val="21"/>
                <w:highlight w:val="none"/>
              </w:rPr>
              <w:t>提出的保密措施内容简略，对可能造成信息泄露的情形分析较少。</w:t>
            </w:r>
          </w:p>
          <w:p w14:paraId="3875DC68">
            <w:pPr>
              <w:keepNext w:val="0"/>
              <w:keepLines w:val="0"/>
              <w:pageBreakBefore w:val="0"/>
              <w:widowControl w:val="0"/>
              <w:suppressLineNumbers w:val="0"/>
              <w:tabs>
                <w:tab w:val="left" w:pos="540"/>
              </w:tabs>
              <w:kinsoku/>
              <w:wordWrap/>
              <w:overflowPunct/>
              <w:topLinePunct w:val="0"/>
              <w:autoSpaceDE/>
              <w:autoSpaceDN/>
              <w:bidi w:val="0"/>
              <w:adjustRightInd w:val="0"/>
              <w:snapToGrid/>
              <w:spacing w:before="0" w:beforeAutospacing="0" w:after="0" w:afterAutospacing="0" w:line="360" w:lineRule="auto"/>
              <w:ind w:left="0" w:leftChars="0" w:right="0" w:rightChars="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第</w:t>
            </w:r>
            <w:r>
              <w:rPr>
                <w:rFonts w:hint="eastAsia" w:asciiTheme="minorEastAsia" w:hAnsiTheme="minorEastAsia" w:eastAsiaTheme="minorEastAsia" w:cstheme="minorEastAsia"/>
                <w:color w:val="auto"/>
                <w:sz w:val="21"/>
                <w:szCs w:val="21"/>
                <w:highlight w:val="none"/>
                <w:lang w:val="en-US" w:eastAsia="zh-CN"/>
              </w:rPr>
              <w:t>四</w:t>
            </w:r>
            <w:r>
              <w:rPr>
                <w:rFonts w:hint="eastAsia" w:asciiTheme="minorEastAsia" w:hAnsiTheme="minorEastAsia" w:eastAsiaTheme="minorEastAsia" w:cstheme="minorEastAsia"/>
                <w:color w:val="auto"/>
                <w:sz w:val="21"/>
                <w:szCs w:val="21"/>
                <w:highlight w:val="none"/>
              </w:rPr>
              <w:t>个档次（</w:t>
            </w:r>
            <w:r>
              <w:rPr>
                <w:rFonts w:hint="eastAsia" w:asciiTheme="minorEastAsia" w:hAnsiTheme="minorEastAsia" w:eastAsiaTheme="minorEastAsia" w:cstheme="minorEastAsia"/>
                <w:color w:val="auto"/>
                <w:sz w:val="21"/>
                <w:szCs w:val="21"/>
                <w:highlight w:val="none"/>
                <w:lang w:val="en-US" w:eastAsia="zh-CN"/>
              </w:rPr>
              <w:t>0</w:t>
            </w:r>
            <w:r>
              <w:rPr>
                <w:rFonts w:hint="eastAsia" w:asciiTheme="minorEastAsia" w:hAnsiTheme="minorEastAsia" w:eastAsiaTheme="minorEastAsia" w:cstheme="minorEastAsia"/>
                <w:color w:val="auto"/>
                <w:sz w:val="21"/>
                <w:szCs w:val="21"/>
                <w:highlight w:val="none"/>
              </w:rPr>
              <w:t>分）：</w:t>
            </w:r>
            <w:r>
              <w:rPr>
                <w:rFonts w:hint="eastAsia" w:asciiTheme="minorEastAsia" w:hAnsiTheme="minorEastAsia" w:eastAsiaTheme="minorEastAsia" w:cstheme="minorEastAsia"/>
                <w:b w:val="0"/>
                <w:bCs w:val="0"/>
                <w:color w:val="auto"/>
                <w:sz w:val="21"/>
                <w:szCs w:val="21"/>
                <w:highlight w:val="none"/>
                <w:lang w:val="en-US" w:eastAsia="zh-CN"/>
              </w:rPr>
              <w:t>供应商</w:t>
            </w:r>
            <w:r>
              <w:rPr>
                <w:rFonts w:hint="eastAsia" w:asciiTheme="minorEastAsia" w:hAnsiTheme="minorEastAsia" w:eastAsiaTheme="minorEastAsia" w:cstheme="minorEastAsia"/>
                <w:color w:val="auto"/>
                <w:sz w:val="21"/>
                <w:szCs w:val="21"/>
                <w:highlight w:val="none"/>
              </w:rPr>
              <w:t>应</w:t>
            </w:r>
            <w:r>
              <w:rPr>
                <w:rFonts w:hint="eastAsia" w:asciiTheme="minorEastAsia" w:hAnsiTheme="minorEastAsia" w:eastAsiaTheme="minorEastAsia" w:cstheme="minorEastAsia"/>
                <w:color w:val="auto"/>
                <w:sz w:val="21"/>
                <w:szCs w:val="21"/>
                <w:highlight w:val="none"/>
                <w:lang w:val="en-US" w:eastAsia="zh-CN"/>
              </w:rPr>
              <w:t>针对本项目</w:t>
            </w:r>
            <w:r>
              <w:rPr>
                <w:rFonts w:hint="eastAsia" w:asciiTheme="minorEastAsia" w:hAnsiTheme="minorEastAsia" w:eastAsiaTheme="minorEastAsia" w:cstheme="minorEastAsia"/>
                <w:color w:val="auto"/>
                <w:sz w:val="21"/>
                <w:szCs w:val="21"/>
                <w:highlight w:val="none"/>
              </w:rPr>
              <w:t>提出的保密措施</w:t>
            </w:r>
            <w:r>
              <w:rPr>
                <w:rFonts w:hint="eastAsia" w:asciiTheme="minorEastAsia" w:hAnsiTheme="minorEastAsia" w:eastAsiaTheme="minorEastAsia" w:cstheme="minorEastAsia"/>
                <w:color w:val="auto"/>
                <w:sz w:val="21"/>
                <w:szCs w:val="21"/>
                <w:highlight w:val="none"/>
                <w:lang w:val="en-US" w:eastAsia="zh-CN"/>
              </w:rPr>
              <w:t>不具可行性或</w:t>
            </w:r>
            <w:r>
              <w:rPr>
                <w:rFonts w:hint="eastAsia" w:asciiTheme="minorEastAsia" w:hAnsiTheme="minorEastAsia" w:eastAsiaTheme="minorEastAsia" w:cstheme="minorEastAsia"/>
                <w:b w:val="0"/>
                <w:bCs w:val="0"/>
                <w:color w:val="auto"/>
                <w:sz w:val="21"/>
                <w:szCs w:val="21"/>
                <w:highlight w:val="none"/>
                <w:lang w:val="en-US" w:eastAsia="zh-CN"/>
              </w:rPr>
              <w:t>供应商</w:t>
            </w:r>
            <w:r>
              <w:rPr>
                <w:rFonts w:hint="eastAsia" w:asciiTheme="minorEastAsia" w:hAnsiTheme="minorEastAsia" w:eastAsiaTheme="minorEastAsia" w:cstheme="minorEastAsia"/>
                <w:color w:val="auto"/>
                <w:sz w:val="21"/>
                <w:szCs w:val="21"/>
                <w:highlight w:val="none"/>
              </w:rPr>
              <w:t>未提出保密措施及承诺。</w:t>
            </w:r>
          </w:p>
        </w:tc>
      </w:tr>
      <w:tr w14:paraId="34DA3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3" w:hRule="atLeast"/>
          <w:jc w:val="center"/>
        </w:trPr>
        <w:tc>
          <w:tcPr>
            <w:tcW w:w="557" w:type="dxa"/>
            <w:vMerge w:val="continue"/>
            <w:noWrap w:val="0"/>
            <w:vAlign w:val="center"/>
          </w:tcPr>
          <w:p w14:paraId="428A6046">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auto"/>
                <w:sz w:val="21"/>
                <w:szCs w:val="21"/>
                <w:highlight w:val="none"/>
              </w:rPr>
            </w:pPr>
          </w:p>
        </w:tc>
        <w:tc>
          <w:tcPr>
            <w:tcW w:w="810" w:type="dxa"/>
            <w:vMerge w:val="continue"/>
            <w:noWrap w:val="0"/>
            <w:vAlign w:val="center"/>
          </w:tcPr>
          <w:p w14:paraId="5519D902">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auto"/>
                <w:sz w:val="21"/>
                <w:szCs w:val="21"/>
                <w:highlight w:val="none"/>
              </w:rPr>
            </w:pPr>
          </w:p>
        </w:tc>
        <w:tc>
          <w:tcPr>
            <w:tcW w:w="1695" w:type="dxa"/>
            <w:vMerge w:val="continue"/>
            <w:noWrap w:val="0"/>
            <w:vAlign w:val="center"/>
          </w:tcPr>
          <w:p w14:paraId="10C5FAB2">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1"/>
                <w:szCs w:val="21"/>
                <w:highlight w:val="none"/>
              </w:rPr>
            </w:pPr>
          </w:p>
        </w:tc>
        <w:tc>
          <w:tcPr>
            <w:tcW w:w="1497" w:type="dxa"/>
            <w:vMerge w:val="restart"/>
            <w:tcBorders>
              <w:left w:val="single" w:color="auto" w:sz="4" w:space="0"/>
              <w:right w:val="single" w:color="auto" w:sz="4" w:space="0"/>
            </w:tcBorders>
            <w:noWrap w:val="0"/>
            <w:vAlign w:val="center"/>
          </w:tcPr>
          <w:p w14:paraId="3548AFB1">
            <w:pPr>
              <w:keepNext w:val="0"/>
              <w:keepLines w:val="0"/>
              <w:pageBreakBefore w:val="0"/>
              <w:suppressLineNumbers w:val="0"/>
              <w:kinsoku/>
              <w:topLinePunct w:val="0"/>
              <w:autoSpaceDE/>
              <w:autoSpaceDN/>
              <w:bidi w:val="0"/>
              <w:spacing w:before="0" w:beforeAutospacing="0" w:after="0" w:afterAutospacing="0" w:line="360" w:lineRule="auto"/>
              <w:ind w:left="0" w:right="0"/>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5）项目服务团队人员配备</w:t>
            </w:r>
            <w:r>
              <w:rPr>
                <w:rFonts w:hint="eastAsia" w:asciiTheme="minorEastAsia" w:hAnsiTheme="minorEastAsia" w:eastAsiaTheme="minorEastAsia" w:cstheme="minorEastAsia"/>
                <w:b/>
                <w:bCs/>
                <w:color w:val="auto"/>
                <w:sz w:val="21"/>
                <w:szCs w:val="21"/>
                <w:highlight w:val="none"/>
              </w:rPr>
              <w:t>评审评分（满分</w:t>
            </w:r>
            <w:r>
              <w:rPr>
                <w:rFonts w:hint="eastAsia" w:asciiTheme="minorEastAsia" w:hAnsiTheme="minorEastAsia" w:eastAsiaTheme="minorEastAsia" w:cstheme="minorEastAsia"/>
                <w:b/>
                <w:bCs/>
                <w:color w:val="auto"/>
                <w:sz w:val="21"/>
                <w:szCs w:val="21"/>
                <w:highlight w:val="none"/>
                <w:lang w:val="en-US" w:eastAsia="zh-CN"/>
              </w:rPr>
              <w:t>20</w:t>
            </w:r>
            <w:r>
              <w:rPr>
                <w:rFonts w:hint="eastAsia" w:asciiTheme="minorEastAsia" w:hAnsiTheme="minorEastAsia" w:eastAsiaTheme="minorEastAsia" w:cstheme="minorEastAsia"/>
                <w:b/>
                <w:bCs/>
                <w:color w:val="auto"/>
                <w:sz w:val="21"/>
                <w:szCs w:val="21"/>
                <w:highlight w:val="none"/>
              </w:rPr>
              <w:t>分）</w:t>
            </w:r>
          </w:p>
        </w:tc>
        <w:tc>
          <w:tcPr>
            <w:tcW w:w="4539" w:type="dxa"/>
            <w:tcBorders>
              <w:left w:val="single" w:color="auto" w:sz="4" w:space="0"/>
              <w:right w:val="single" w:color="auto" w:sz="4" w:space="0"/>
            </w:tcBorders>
            <w:noWrap w:val="0"/>
            <w:vAlign w:val="center"/>
          </w:tcPr>
          <w:p w14:paraId="4482922F">
            <w:pPr>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1.</w:t>
            </w:r>
            <w:r>
              <w:rPr>
                <w:rFonts w:hint="eastAsia" w:asciiTheme="minorEastAsia" w:hAnsiTheme="minorEastAsia" w:eastAsiaTheme="minorEastAsia" w:cstheme="minorEastAsia"/>
                <w:b/>
                <w:bCs/>
                <w:color w:val="auto"/>
                <w:sz w:val="21"/>
                <w:szCs w:val="21"/>
                <w:highlight w:val="none"/>
              </w:rPr>
              <w:t>项目经理评审评分（满分</w:t>
            </w:r>
            <w:r>
              <w:rPr>
                <w:rFonts w:hint="eastAsia" w:asciiTheme="minorEastAsia" w:hAnsiTheme="minorEastAsia" w:eastAsiaTheme="minorEastAsia" w:cstheme="minorEastAsia"/>
                <w:b/>
                <w:bCs/>
                <w:color w:val="auto"/>
                <w:sz w:val="21"/>
                <w:szCs w:val="21"/>
                <w:highlight w:val="none"/>
                <w:lang w:val="en-US" w:eastAsia="zh-CN"/>
              </w:rPr>
              <w:t>10</w:t>
            </w:r>
            <w:r>
              <w:rPr>
                <w:rFonts w:hint="eastAsia" w:asciiTheme="minorEastAsia" w:hAnsiTheme="minorEastAsia" w:eastAsiaTheme="minorEastAsia" w:cstheme="minorEastAsia"/>
                <w:b/>
                <w:bCs/>
                <w:color w:val="auto"/>
                <w:sz w:val="21"/>
                <w:szCs w:val="21"/>
                <w:highlight w:val="none"/>
              </w:rPr>
              <w:t>分）</w:t>
            </w:r>
          </w:p>
          <w:p w14:paraId="494A4F23">
            <w:pPr>
              <w:keepNext w:val="0"/>
              <w:keepLines w:val="0"/>
              <w:suppressLineNumbers w:val="0"/>
              <w:spacing w:before="0" w:beforeAutospacing="0" w:after="0" w:afterAutospacing="0" w:line="360" w:lineRule="auto"/>
              <w:ind w:left="0" w:right="0"/>
              <w:jc w:val="left"/>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①项目经理具有</w:t>
            </w:r>
            <w:r>
              <w:rPr>
                <w:rFonts w:hint="eastAsia" w:asciiTheme="minorEastAsia" w:hAnsiTheme="minorEastAsia" w:eastAsiaTheme="minorEastAsia" w:cstheme="minorEastAsia"/>
                <w:color w:val="auto"/>
                <w:sz w:val="21"/>
                <w:szCs w:val="21"/>
                <w:highlight w:val="none"/>
              </w:rPr>
              <w:t>商用密码应用安全性评估人员测评能力考核成绩</w:t>
            </w:r>
            <w:r>
              <w:rPr>
                <w:rFonts w:hint="eastAsia" w:asciiTheme="minorEastAsia" w:hAnsiTheme="minorEastAsia" w:eastAsiaTheme="minorEastAsia" w:cstheme="minorEastAsia"/>
                <w:color w:val="auto"/>
                <w:sz w:val="21"/>
                <w:szCs w:val="21"/>
                <w:highlight w:val="none"/>
                <w:lang w:val="en-US" w:eastAsia="zh-CN"/>
              </w:rPr>
              <w:t>合格</w:t>
            </w:r>
            <w:r>
              <w:rPr>
                <w:rFonts w:hint="eastAsia" w:asciiTheme="minorEastAsia" w:hAnsiTheme="minorEastAsia" w:eastAsiaTheme="minorEastAsia" w:cstheme="minorEastAsia"/>
                <w:color w:val="auto"/>
                <w:sz w:val="21"/>
                <w:szCs w:val="21"/>
                <w:highlight w:val="none"/>
              </w:rPr>
              <w:t>证书</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且具有计算机技术与软件专业技术资格(水平)考试中级以上资格证书的得4分。</w:t>
            </w:r>
          </w:p>
          <w:p w14:paraId="15897967">
            <w:pPr>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②拟派往本项目的项目经理每提供一个类似项目业绩证明材料的得2分，满分6分。</w:t>
            </w:r>
          </w:p>
          <w:p w14:paraId="5913E527">
            <w:pPr>
              <w:keepNext w:val="0"/>
              <w:keepLines w:val="0"/>
              <w:pageBreakBefore w:val="0"/>
              <w:widowControl w:val="0"/>
              <w:suppressLineNumbers w:val="0"/>
              <w:tabs>
                <w:tab w:val="left" w:pos="540"/>
              </w:tabs>
              <w:kinsoku/>
              <w:wordWrap/>
              <w:overflowPunct/>
              <w:topLinePunct w:val="0"/>
              <w:autoSpaceDE/>
              <w:autoSpaceDN/>
              <w:bidi w:val="0"/>
              <w:adjustRightInd w:val="0"/>
              <w:snapToGrid/>
              <w:spacing w:before="0" w:beforeAutospacing="0" w:after="0" w:afterAutospacing="0" w:line="360" w:lineRule="auto"/>
              <w:ind w:left="0" w:right="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注：</w:t>
            </w:r>
            <w:r>
              <w:rPr>
                <w:rFonts w:hint="eastAsia" w:asciiTheme="minorEastAsia" w:hAnsiTheme="minorEastAsia" w:eastAsiaTheme="minorEastAsia" w:cstheme="minorEastAsia"/>
                <w:color w:val="auto"/>
                <w:sz w:val="21"/>
                <w:szCs w:val="21"/>
                <w:highlight w:val="none"/>
                <w:lang w:val="en-US" w:eastAsia="zh-CN"/>
              </w:rPr>
              <w:t>响应</w:t>
            </w:r>
            <w:r>
              <w:rPr>
                <w:rFonts w:hint="eastAsia" w:asciiTheme="minorEastAsia" w:hAnsiTheme="minorEastAsia" w:eastAsiaTheme="minorEastAsia" w:cstheme="minorEastAsia"/>
                <w:color w:val="auto"/>
                <w:sz w:val="21"/>
                <w:szCs w:val="21"/>
                <w:highlight w:val="none"/>
                <w:lang w:eastAsia="zh-CN"/>
              </w:rPr>
              <w:t>文件</w:t>
            </w:r>
            <w:r>
              <w:rPr>
                <w:rFonts w:hint="eastAsia" w:asciiTheme="minorEastAsia" w:hAnsiTheme="minorEastAsia" w:eastAsiaTheme="minorEastAsia" w:cstheme="minorEastAsia"/>
                <w:color w:val="auto"/>
                <w:sz w:val="21"/>
                <w:szCs w:val="21"/>
                <w:highlight w:val="none"/>
              </w:rPr>
              <w:t>中需提供项目经理身份证、毕业证、职称证（如有）、职业资格证书（如有）、缴纳社保证明（缴纳单位须</w:t>
            </w:r>
            <w:r>
              <w:rPr>
                <w:rFonts w:hint="eastAsia" w:asciiTheme="minorEastAsia" w:hAnsiTheme="minorEastAsia" w:eastAsiaTheme="minorEastAsia" w:cstheme="minorEastAsia"/>
                <w:color w:val="auto"/>
                <w:sz w:val="21"/>
                <w:szCs w:val="21"/>
                <w:highlight w:val="none"/>
                <w:lang w:eastAsia="zh-CN"/>
              </w:rPr>
              <w:t>供应商</w:t>
            </w:r>
            <w:r>
              <w:rPr>
                <w:rFonts w:hint="eastAsia" w:asciiTheme="minorEastAsia" w:hAnsiTheme="minorEastAsia" w:eastAsiaTheme="minorEastAsia" w:cstheme="minorEastAsia"/>
                <w:color w:val="auto"/>
                <w:sz w:val="21"/>
                <w:szCs w:val="21"/>
                <w:highlight w:val="none"/>
              </w:rPr>
              <w:t>本单位）、业绩证明材料（复印件</w:t>
            </w:r>
            <w:r>
              <w:rPr>
                <w:rFonts w:hint="eastAsia" w:asciiTheme="minorEastAsia" w:hAnsiTheme="minorEastAsia" w:eastAsiaTheme="minorEastAsia" w:cstheme="minorEastAsia"/>
                <w:color w:val="auto"/>
                <w:sz w:val="21"/>
                <w:szCs w:val="21"/>
                <w:highlight w:val="none"/>
                <w:lang w:eastAsia="zh-CN"/>
              </w:rPr>
              <w:t>加盖供应商电子公章</w:t>
            </w:r>
            <w:r>
              <w:rPr>
                <w:rFonts w:hint="eastAsia" w:asciiTheme="minorEastAsia" w:hAnsiTheme="minorEastAsia" w:eastAsiaTheme="minorEastAsia" w:cstheme="minorEastAsia"/>
                <w:color w:val="auto"/>
                <w:sz w:val="21"/>
                <w:szCs w:val="21"/>
                <w:highlight w:val="none"/>
              </w:rPr>
              <w:t>），无人员资料或人员资料不明确、不清晰、无法体现对应内容的，不予认可</w:t>
            </w:r>
            <w:r>
              <w:rPr>
                <w:rFonts w:hint="eastAsia" w:asciiTheme="minorEastAsia" w:hAnsiTheme="minorEastAsia" w:eastAsiaTheme="minorEastAsia" w:cstheme="minorEastAsia"/>
                <w:color w:val="auto"/>
                <w:sz w:val="21"/>
                <w:szCs w:val="21"/>
                <w:highlight w:val="none"/>
                <w:lang w:eastAsia="zh-CN"/>
              </w:rPr>
              <w:t>。</w:t>
            </w:r>
          </w:p>
        </w:tc>
      </w:tr>
      <w:tr w14:paraId="782C5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6" w:hRule="atLeast"/>
          <w:jc w:val="center"/>
        </w:trPr>
        <w:tc>
          <w:tcPr>
            <w:tcW w:w="557" w:type="dxa"/>
            <w:vMerge w:val="continue"/>
            <w:noWrap w:val="0"/>
            <w:vAlign w:val="center"/>
          </w:tcPr>
          <w:p w14:paraId="39D8610A">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auto"/>
                <w:sz w:val="21"/>
                <w:szCs w:val="21"/>
                <w:highlight w:val="none"/>
              </w:rPr>
            </w:pPr>
          </w:p>
        </w:tc>
        <w:tc>
          <w:tcPr>
            <w:tcW w:w="810" w:type="dxa"/>
            <w:vMerge w:val="continue"/>
            <w:noWrap w:val="0"/>
            <w:vAlign w:val="center"/>
          </w:tcPr>
          <w:p w14:paraId="2B8F550A">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auto"/>
                <w:sz w:val="21"/>
                <w:szCs w:val="21"/>
                <w:highlight w:val="none"/>
              </w:rPr>
            </w:pPr>
          </w:p>
        </w:tc>
        <w:tc>
          <w:tcPr>
            <w:tcW w:w="1695" w:type="dxa"/>
            <w:vMerge w:val="continue"/>
            <w:noWrap w:val="0"/>
            <w:vAlign w:val="center"/>
          </w:tcPr>
          <w:p w14:paraId="51BE758B">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1"/>
                <w:szCs w:val="21"/>
                <w:highlight w:val="none"/>
              </w:rPr>
            </w:pPr>
          </w:p>
        </w:tc>
        <w:tc>
          <w:tcPr>
            <w:tcW w:w="1497" w:type="dxa"/>
            <w:vMerge w:val="continue"/>
            <w:tcBorders>
              <w:left w:val="single" w:color="auto" w:sz="4" w:space="0"/>
              <w:right w:val="single" w:color="auto" w:sz="4" w:space="0"/>
            </w:tcBorders>
            <w:noWrap w:val="0"/>
            <w:vAlign w:val="center"/>
          </w:tcPr>
          <w:p w14:paraId="75AF3610">
            <w:pPr>
              <w:keepNext w:val="0"/>
              <w:keepLines w:val="0"/>
              <w:pageBreakBefore w:val="0"/>
              <w:suppressLineNumbers w:val="0"/>
              <w:kinsoku/>
              <w:topLinePunct w:val="0"/>
              <w:autoSpaceDE/>
              <w:autoSpaceDN/>
              <w:bidi w:val="0"/>
              <w:spacing w:before="0" w:beforeAutospacing="0" w:after="0" w:afterAutospacing="0" w:line="360" w:lineRule="auto"/>
              <w:ind w:left="0" w:right="0"/>
              <w:jc w:val="center"/>
              <w:textAlignment w:val="auto"/>
              <w:rPr>
                <w:rFonts w:hint="eastAsia" w:asciiTheme="minorEastAsia" w:hAnsiTheme="minorEastAsia" w:eastAsiaTheme="minorEastAsia" w:cstheme="minorEastAsia"/>
                <w:b/>
                <w:bCs/>
                <w:color w:val="auto"/>
                <w:sz w:val="21"/>
                <w:szCs w:val="21"/>
                <w:highlight w:val="none"/>
                <w:lang w:val="en-US" w:eastAsia="zh-CN"/>
              </w:rPr>
            </w:pPr>
          </w:p>
        </w:tc>
        <w:tc>
          <w:tcPr>
            <w:tcW w:w="4539" w:type="dxa"/>
            <w:tcBorders>
              <w:left w:val="single" w:color="auto" w:sz="4" w:space="0"/>
              <w:right w:val="single" w:color="auto" w:sz="4" w:space="0"/>
            </w:tcBorders>
            <w:noWrap w:val="0"/>
            <w:vAlign w:val="center"/>
          </w:tcPr>
          <w:p w14:paraId="2DAFC19D">
            <w:pPr>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2.</w:t>
            </w:r>
            <w:r>
              <w:rPr>
                <w:rFonts w:hint="eastAsia" w:asciiTheme="minorEastAsia" w:hAnsiTheme="minorEastAsia" w:eastAsiaTheme="minorEastAsia" w:cstheme="minorEastAsia"/>
                <w:b/>
                <w:bCs/>
                <w:color w:val="auto"/>
                <w:sz w:val="21"/>
                <w:szCs w:val="21"/>
                <w:highlight w:val="none"/>
              </w:rPr>
              <w:t>项目团队人员评审评分（满分</w:t>
            </w:r>
            <w:r>
              <w:rPr>
                <w:rFonts w:hint="eastAsia" w:asciiTheme="minorEastAsia" w:hAnsiTheme="minorEastAsia" w:eastAsiaTheme="minorEastAsia" w:cstheme="minorEastAsia"/>
                <w:b/>
                <w:bCs/>
                <w:color w:val="auto"/>
                <w:sz w:val="21"/>
                <w:szCs w:val="21"/>
                <w:highlight w:val="none"/>
                <w:lang w:val="en-US" w:eastAsia="zh-CN"/>
              </w:rPr>
              <w:t>10</w:t>
            </w:r>
            <w:r>
              <w:rPr>
                <w:rFonts w:hint="eastAsia" w:asciiTheme="minorEastAsia" w:hAnsiTheme="minorEastAsia" w:eastAsiaTheme="minorEastAsia" w:cstheme="minorEastAsia"/>
                <w:b/>
                <w:bCs/>
                <w:color w:val="auto"/>
                <w:sz w:val="21"/>
                <w:szCs w:val="21"/>
                <w:highlight w:val="none"/>
              </w:rPr>
              <w:t>分）</w:t>
            </w:r>
          </w:p>
          <w:p w14:paraId="39A6F629">
            <w:pPr>
              <w:keepNext w:val="0"/>
              <w:keepLines w:val="0"/>
              <w:pageBreakBefore w:val="0"/>
              <w:widowControl w:val="0"/>
              <w:suppressLineNumbers w:val="0"/>
              <w:tabs>
                <w:tab w:val="left" w:pos="540"/>
              </w:tabs>
              <w:kinsoku/>
              <w:wordWrap/>
              <w:overflowPunct/>
              <w:topLinePunct w:val="0"/>
              <w:autoSpaceDE/>
              <w:autoSpaceDN/>
              <w:bidi w:val="0"/>
              <w:adjustRightInd w:val="0"/>
              <w:snapToGrid/>
              <w:spacing w:before="0" w:beforeAutospacing="0" w:after="0" w:afterAutospacing="0" w:line="360" w:lineRule="auto"/>
              <w:ind w:left="0" w:right="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项目团队成员中通过商用密码应用安全性评估人员测评能力考核并具有合格成绩证书，每有1个得2分，本项最多得</w:t>
            </w:r>
            <w:r>
              <w:rPr>
                <w:rFonts w:hint="eastAsia" w:asciiTheme="minorEastAsia" w:hAnsiTheme="minorEastAsia" w:eastAsiaTheme="minorEastAsia" w:cstheme="minorEastAsia"/>
                <w:color w:val="auto"/>
                <w:sz w:val="21"/>
                <w:szCs w:val="21"/>
                <w:highlight w:val="none"/>
                <w:lang w:val="en-US" w:eastAsia="zh-CN"/>
              </w:rPr>
              <w:t>10</w:t>
            </w:r>
            <w:r>
              <w:rPr>
                <w:rFonts w:hint="eastAsia" w:asciiTheme="minorEastAsia" w:hAnsiTheme="minorEastAsia" w:eastAsiaTheme="minorEastAsia" w:cstheme="minorEastAsia"/>
                <w:color w:val="auto"/>
                <w:sz w:val="21"/>
                <w:szCs w:val="21"/>
                <w:highlight w:val="none"/>
              </w:rPr>
              <w:t>分，不具有不得分。</w:t>
            </w:r>
          </w:p>
          <w:p w14:paraId="1E126CA6">
            <w:pPr>
              <w:keepNext w:val="0"/>
              <w:keepLines w:val="0"/>
              <w:pageBreakBefore w:val="0"/>
              <w:widowControl w:val="0"/>
              <w:suppressLineNumbers w:val="0"/>
              <w:tabs>
                <w:tab w:val="left" w:pos="540"/>
              </w:tabs>
              <w:kinsoku/>
              <w:wordWrap/>
              <w:overflowPunct/>
              <w:topLinePunct w:val="0"/>
              <w:autoSpaceDE/>
              <w:autoSpaceDN/>
              <w:bidi w:val="0"/>
              <w:adjustRightInd w:val="0"/>
              <w:snapToGrid/>
              <w:spacing w:before="0" w:beforeAutospacing="0" w:after="0" w:afterAutospacing="0" w:line="360" w:lineRule="auto"/>
              <w:ind w:left="0" w:right="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注：响应文件中需提供团队人员身份证、毕业证、缴纳社保证明（缴纳单位须供应商本单位）或与供应商签订的合法有效劳动合同、专业技术职业资格或职称证书（如有）（复印件加盖公章），未提供或不按要求提供证明资料的不予认可</w:t>
            </w:r>
            <w:r>
              <w:rPr>
                <w:rFonts w:hint="eastAsia" w:asciiTheme="minorEastAsia" w:hAnsiTheme="minorEastAsia" w:eastAsiaTheme="minorEastAsia" w:cstheme="minorEastAsia"/>
                <w:color w:val="auto"/>
                <w:sz w:val="21"/>
                <w:szCs w:val="21"/>
                <w:highlight w:val="none"/>
                <w:lang w:eastAsia="zh-CN"/>
              </w:rPr>
              <w:t>。</w:t>
            </w:r>
          </w:p>
        </w:tc>
      </w:tr>
      <w:tr w14:paraId="60E20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557" w:type="dxa"/>
            <w:vMerge w:val="continue"/>
            <w:noWrap w:val="0"/>
            <w:vAlign w:val="center"/>
          </w:tcPr>
          <w:p w14:paraId="1FE5E120">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auto"/>
                <w:sz w:val="21"/>
                <w:szCs w:val="21"/>
                <w:highlight w:val="none"/>
              </w:rPr>
            </w:pPr>
          </w:p>
        </w:tc>
        <w:tc>
          <w:tcPr>
            <w:tcW w:w="810" w:type="dxa"/>
            <w:vMerge w:val="continue"/>
            <w:noWrap w:val="0"/>
            <w:vAlign w:val="center"/>
          </w:tcPr>
          <w:p w14:paraId="08CC2217">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auto"/>
                <w:sz w:val="21"/>
                <w:szCs w:val="21"/>
                <w:highlight w:val="none"/>
              </w:rPr>
            </w:pPr>
          </w:p>
        </w:tc>
        <w:tc>
          <w:tcPr>
            <w:tcW w:w="1695" w:type="dxa"/>
            <w:vMerge w:val="continue"/>
            <w:noWrap w:val="0"/>
            <w:vAlign w:val="center"/>
          </w:tcPr>
          <w:p w14:paraId="77A8350A">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1"/>
                <w:szCs w:val="21"/>
                <w:highlight w:val="none"/>
              </w:rPr>
            </w:pPr>
          </w:p>
        </w:tc>
        <w:tc>
          <w:tcPr>
            <w:tcW w:w="1497" w:type="dxa"/>
            <w:noWrap w:val="0"/>
            <w:vAlign w:val="center"/>
          </w:tcPr>
          <w:p w14:paraId="610EE3A0">
            <w:pPr>
              <w:keepNext w:val="0"/>
              <w:keepLines w:val="0"/>
              <w:pageBreakBefore w:val="0"/>
              <w:suppressLineNumbers w:val="0"/>
              <w:kinsoku/>
              <w:topLinePunct w:val="0"/>
              <w:autoSpaceDE/>
              <w:autoSpaceDN/>
              <w:bidi w:val="0"/>
              <w:spacing w:before="0" w:beforeAutospacing="0" w:after="0" w:afterAutospacing="0" w:line="360" w:lineRule="auto"/>
              <w:ind w:left="0" w:right="0"/>
              <w:jc w:val="center"/>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6）服务质量保证措施及承诺评审评分（满分10分）</w:t>
            </w:r>
          </w:p>
        </w:tc>
        <w:tc>
          <w:tcPr>
            <w:tcW w:w="4539" w:type="dxa"/>
            <w:noWrap w:val="0"/>
            <w:vAlign w:val="top"/>
          </w:tcPr>
          <w:p w14:paraId="4A5B6FA6">
            <w:pPr>
              <w:keepNext w:val="0"/>
              <w:keepLines w:val="0"/>
              <w:pageBreakBefore w:val="0"/>
              <w:suppressLineNumbers w:val="0"/>
              <w:kinsoku/>
              <w:topLinePunct w:val="0"/>
              <w:autoSpaceDE/>
              <w:autoSpaceDN/>
              <w:bidi w:val="0"/>
              <w:spacing w:before="0" w:beforeAutospacing="0" w:after="0" w:afterAutospacing="0" w:line="360" w:lineRule="auto"/>
              <w:ind w:left="0" w:right="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第一个档次（</w:t>
            </w:r>
            <w:r>
              <w:rPr>
                <w:rFonts w:hint="eastAsia" w:asciiTheme="minorEastAsia" w:hAnsiTheme="minorEastAsia" w:eastAsiaTheme="minorEastAsia" w:cstheme="minorEastAsia"/>
                <w:color w:val="auto"/>
                <w:sz w:val="21"/>
                <w:szCs w:val="21"/>
                <w:highlight w:val="none"/>
                <w:lang w:val="en-US" w:eastAsia="zh-CN"/>
              </w:rPr>
              <w:t>10</w:t>
            </w:r>
            <w:r>
              <w:rPr>
                <w:rFonts w:hint="eastAsia" w:asciiTheme="minorEastAsia" w:hAnsiTheme="minorEastAsia" w:eastAsiaTheme="minorEastAsia" w:cstheme="minorEastAsia"/>
                <w:color w:val="auto"/>
                <w:sz w:val="21"/>
                <w:szCs w:val="21"/>
                <w:highlight w:val="none"/>
              </w:rPr>
              <w:t>分）：服务质量保证措施及承诺科学合理、全面完整、标准规范、切实可行，针对性强；</w:t>
            </w:r>
          </w:p>
          <w:p w14:paraId="651DFE96">
            <w:pPr>
              <w:keepNext w:val="0"/>
              <w:keepLines w:val="0"/>
              <w:pageBreakBefore w:val="0"/>
              <w:suppressLineNumbers w:val="0"/>
              <w:kinsoku/>
              <w:topLinePunct w:val="0"/>
              <w:autoSpaceDE/>
              <w:autoSpaceDN/>
              <w:bidi w:val="0"/>
              <w:spacing w:before="0" w:beforeAutospacing="0" w:after="0" w:afterAutospacing="0" w:line="360" w:lineRule="auto"/>
              <w:ind w:left="0" w:right="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第二个档次（</w:t>
            </w: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分）：服务质量保证措施及承诺基本合理，基本完整，可行性一般，针对性一般；</w:t>
            </w:r>
          </w:p>
          <w:p w14:paraId="20D9AC09">
            <w:pPr>
              <w:keepNext w:val="0"/>
              <w:keepLines w:val="0"/>
              <w:pageBreakBefore w:val="0"/>
              <w:suppressLineNumbers w:val="0"/>
              <w:kinsoku/>
              <w:topLinePunct w:val="0"/>
              <w:autoSpaceDE/>
              <w:autoSpaceDN/>
              <w:bidi w:val="0"/>
              <w:spacing w:before="0" w:beforeAutospacing="0" w:after="0" w:afterAutospacing="0" w:line="360" w:lineRule="auto"/>
              <w:ind w:left="0" w:right="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第三个档次（</w:t>
            </w: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rPr>
              <w:t>分）：服务质量保证措施及承诺缺乏合理性，内容缺漏，可行性差，针对性差。</w:t>
            </w:r>
          </w:p>
          <w:p w14:paraId="626CDD1B">
            <w:pPr>
              <w:keepNext w:val="0"/>
              <w:keepLines w:val="0"/>
              <w:pageBreakBefore w:val="0"/>
              <w:suppressLineNumbers w:val="0"/>
              <w:kinsoku/>
              <w:topLinePunct w:val="0"/>
              <w:autoSpaceDE/>
              <w:autoSpaceDN/>
              <w:bidi w:val="0"/>
              <w:spacing w:before="0" w:beforeAutospacing="0" w:after="0" w:afterAutospacing="0" w:line="360" w:lineRule="auto"/>
              <w:ind w:left="0" w:right="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第四个档次（0分）：服务质量保证措施及承诺</w:t>
            </w:r>
            <w:r>
              <w:rPr>
                <w:rFonts w:hint="eastAsia" w:asciiTheme="minorEastAsia" w:hAnsiTheme="minorEastAsia" w:eastAsiaTheme="minorEastAsia" w:cstheme="minorEastAsia"/>
                <w:color w:val="auto"/>
                <w:sz w:val="21"/>
                <w:szCs w:val="21"/>
                <w:highlight w:val="none"/>
                <w:lang w:val="en-US" w:eastAsia="zh-CN"/>
              </w:rPr>
              <w:t>不具可行性或供应商</w:t>
            </w:r>
            <w:r>
              <w:rPr>
                <w:rFonts w:hint="eastAsia" w:asciiTheme="minorEastAsia" w:hAnsiTheme="minorEastAsia" w:eastAsiaTheme="minorEastAsia" w:cstheme="minorEastAsia"/>
                <w:color w:val="auto"/>
                <w:sz w:val="21"/>
                <w:szCs w:val="21"/>
                <w:highlight w:val="none"/>
              </w:rPr>
              <w:t>未提出服务质量保证措施及承诺。</w:t>
            </w:r>
          </w:p>
        </w:tc>
      </w:tr>
      <w:tr w14:paraId="28C52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557" w:type="dxa"/>
            <w:vMerge w:val="continue"/>
            <w:noWrap w:val="0"/>
            <w:vAlign w:val="center"/>
          </w:tcPr>
          <w:p w14:paraId="5BDE5448">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auto"/>
                <w:sz w:val="21"/>
                <w:szCs w:val="21"/>
                <w:highlight w:val="none"/>
              </w:rPr>
            </w:pPr>
          </w:p>
        </w:tc>
        <w:tc>
          <w:tcPr>
            <w:tcW w:w="810" w:type="dxa"/>
            <w:vMerge w:val="continue"/>
            <w:noWrap w:val="0"/>
            <w:vAlign w:val="center"/>
          </w:tcPr>
          <w:p w14:paraId="3ABEFC97">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auto"/>
                <w:sz w:val="21"/>
                <w:szCs w:val="21"/>
                <w:highlight w:val="none"/>
              </w:rPr>
            </w:pPr>
          </w:p>
        </w:tc>
        <w:tc>
          <w:tcPr>
            <w:tcW w:w="1695" w:type="dxa"/>
            <w:vMerge w:val="continue"/>
            <w:noWrap w:val="0"/>
            <w:vAlign w:val="center"/>
          </w:tcPr>
          <w:p w14:paraId="0B6E24D2">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1"/>
                <w:szCs w:val="21"/>
                <w:highlight w:val="none"/>
              </w:rPr>
            </w:pPr>
          </w:p>
        </w:tc>
        <w:tc>
          <w:tcPr>
            <w:tcW w:w="1497" w:type="dxa"/>
            <w:noWrap w:val="0"/>
            <w:vAlign w:val="center"/>
          </w:tcPr>
          <w:p w14:paraId="4D7D6D85">
            <w:pPr>
              <w:keepNext w:val="0"/>
              <w:keepLines w:val="0"/>
              <w:pageBreakBefore w:val="0"/>
              <w:suppressLineNumbers w:val="0"/>
              <w:kinsoku/>
              <w:topLinePunct w:val="0"/>
              <w:autoSpaceDE/>
              <w:autoSpaceDN/>
              <w:bidi w:val="0"/>
              <w:spacing w:before="0" w:beforeAutospacing="0" w:after="0" w:afterAutospacing="0" w:line="360" w:lineRule="auto"/>
              <w:ind w:left="0" w:right="0"/>
              <w:jc w:val="center"/>
              <w:textAlignment w:val="auto"/>
              <w:rPr>
                <w:rFonts w:hint="eastAsia" w:asciiTheme="minorEastAsia" w:hAnsiTheme="minorEastAsia" w:eastAsiaTheme="minorEastAsia" w:cstheme="minorEastAsia"/>
                <w:b/>
                <w:color w:val="auto"/>
                <w:kern w:val="2"/>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7</w:t>
            </w:r>
            <w:r>
              <w:rPr>
                <w:rFonts w:hint="eastAsia" w:asciiTheme="minorEastAsia" w:hAnsiTheme="minorEastAsia" w:eastAsiaTheme="minorEastAsia" w:cstheme="minorEastAsia"/>
                <w:b/>
                <w:bCs/>
                <w:color w:val="auto"/>
                <w:sz w:val="21"/>
                <w:szCs w:val="21"/>
                <w:highlight w:val="none"/>
              </w:rPr>
              <w:t>）服务响应时间进度计划安排评审评分（满分</w:t>
            </w:r>
            <w:r>
              <w:rPr>
                <w:rFonts w:hint="eastAsia" w:asciiTheme="minorEastAsia" w:hAnsiTheme="minorEastAsia" w:eastAsiaTheme="minorEastAsia" w:cstheme="minorEastAsia"/>
                <w:b/>
                <w:bCs/>
                <w:color w:val="auto"/>
                <w:sz w:val="21"/>
                <w:szCs w:val="21"/>
                <w:highlight w:val="none"/>
                <w:lang w:val="en-US" w:eastAsia="zh-CN"/>
              </w:rPr>
              <w:t>10</w:t>
            </w:r>
            <w:r>
              <w:rPr>
                <w:rFonts w:hint="eastAsia" w:asciiTheme="minorEastAsia" w:hAnsiTheme="minorEastAsia" w:eastAsiaTheme="minorEastAsia" w:cstheme="minorEastAsia"/>
                <w:b/>
                <w:bCs/>
                <w:color w:val="auto"/>
                <w:sz w:val="21"/>
                <w:szCs w:val="21"/>
                <w:highlight w:val="none"/>
              </w:rPr>
              <w:t>分）</w:t>
            </w:r>
          </w:p>
        </w:tc>
        <w:tc>
          <w:tcPr>
            <w:tcW w:w="4539" w:type="dxa"/>
            <w:noWrap w:val="0"/>
            <w:vAlign w:val="center"/>
          </w:tcPr>
          <w:p w14:paraId="76454C51">
            <w:pPr>
              <w:keepNext w:val="0"/>
              <w:keepLines w:val="0"/>
              <w:pageBreakBefore w:val="0"/>
              <w:suppressLineNumbers w:val="0"/>
              <w:kinsoku/>
              <w:topLinePunct w:val="0"/>
              <w:autoSpaceDE/>
              <w:autoSpaceDN/>
              <w:bidi w:val="0"/>
              <w:spacing w:before="0" w:beforeAutospacing="0" w:after="0" w:afterAutospacing="0" w:line="360" w:lineRule="auto"/>
              <w:ind w:left="0" w:right="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第一个档次（</w:t>
            </w:r>
            <w:r>
              <w:rPr>
                <w:rFonts w:hint="eastAsia" w:asciiTheme="minorEastAsia" w:hAnsiTheme="minorEastAsia" w:eastAsiaTheme="minorEastAsia" w:cstheme="minorEastAsia"/>
                <w:color w:val="auto"/>
                <w:sz w:val="21"/>
                <w:szCs w:val="21"/>
                <w:highlight w:val="none"/>
                <w:lang w:val="en-US" w:eastAsia="zh-CN"/>
              </w:rPr>
              <w:t>10</w:t>
            </w:r>
            <w:r>
              <w:rPr>
                <w:rFonts w:hint="eastAsia" w:asciiTheme="minorEastAsia" w:hAnsiTheme="minorEastAsia" w:eastAsiaTheme="minorEastAsia" w:cstheme="minorEastAsia"/>
                <w:color w:val="auto"/>
                <w:sz w:val="21"/>
                <w:szCs w:val="21"/>
                <w:highlight w:val="none"/>
              </w:rPr>
              <w:t>分）：</w:t>
            </w:r>
            <w:r>
              <w:rPr>
                <w:rFonts w:hint="eastAsia" w:asciiTheme="minorEastAsia" w:hAnsiTheme="minorEastAsia" w:eastAsiaTheme="minorEastAsia" w:cstheme="minorEastAsia"/>
                <w:b w:val="0"/>
                <w:bCs w:val="0"/>
                <w:color w:val="auto"/>
                <w:sz w:val="21"/>
                <w:szCs w:val="21"/>
                <w:highlight w:val="none"/>
                <w:lang w:val="en-US" w:eastAsia="zh-CN"/>
              </w:rPr>
              <w:t>供应商</w:t>
            </w:r>
            <w:r>
              <w:rPr>
                <w:rFonts w:hint="eastAsia" w:asciiTheme="minorEastAsia" w:hAnsiTheme="minorEastAsia" w:eastAsiaTheme="minorEastAsia" w:cstheme="minorEastAsia"/>
                <w:color w:val="auto"/>
                <w:sz w:val="21"/>
                <w:szCs w:val="21"/>
                <w:highlight w:val="none"/>
              </w:rPr>
              <w:t>应</w:t>
            </w:r>
            <w:r>
              <w:rPr>
                <w:rFonts w:hint="eastAsia" w:asciiTheme="minorEastAsia" w:hAnsiTheme="minorEastAsia" w:eastAsiaTheme="minorEastAsia" w:cstheme="minorEastAsia"/>
                <w:color w:val="auto"/>
                <w:sz w:val="21"/>
                <w:szCs w:val="21"/>
                <w:highlight w:val="none"/>
                <w:lang w:val="en-US" w:eastAsia="zh-CN"/>
              </w:rPr>
              <w:t>针对本项目</w:t>
            </w:r>
            <w:r>
              <w:rPr>
                <w:rFonts w:hint="eastAsia" w:asciiTheme="minorEastAsia" w:hAnsiTheme="minorEastAsia" w:eastAsiaTheme="minorEastAsia" w:cstheme="minorEastAsia"/>
                <w:color w:val="auto"/>
                <w:sz w:val="21"/>
                <w:szCs w:val="21"/>
                <w:highlight w:val="none"/>
              </w:rPr>
              <w:t>提出的服务响应时间进度计划安排完全</w:t>
            </w:r>
            <w:r>
              <w:rPr>
                <w:rFonts w:hint="eastAsia" w:asciiTheme="minorEastAsia" w:hAnsiTheme="minorEastAsia" w:eastAsiaTheme="minorEastAsia" w:cstheme="minorEastAsia"/>
                <w:color w:val="auto"/>
                <w:sz w:val="21"/>
                <w:szCs w:val="21"/>
                <w:highlight w:val="none"/>
                <w:lang w:eastAsia="zh-CN"/>
              </w:rPr>
              <w:t>满足采购人</w:t>
            </w:r>
            <w:r>
              <w:rPr>
                <w:rFonts w:hint="eastAsia" w:asciiTheme="minorEastAsia" w:hAnsiTheme="minorEastAsia" w:eastAsiaTheme="minorEastAsia" w:cstheme="minorEastAsia"/>
                <w:color w:val="auto"/>
                <w:sz w:val="21"/>
                <w:szCs w:val="21"/>
                <w:highlight w:val="none"/>
              </w:rPr>
              <w:t>要求，内容完整、安排合理、切实可行、科学规范、针对性好；</w:t>
            </w:r>
          </w:p>
          <w:p w14:paraId="397F5066">
            <w:pPr>
              <w:keepNext w:val="0"/>
              <w:keepLines w:val="0"/>
              <w:pageBreakBefore w:val="0"/>
              <w:suppressLineNumbers w:val="0"/>
              <w:kinsoku/>
              <w:topLinePunct w:val="0"/>
              <w:autoSpaceDE/>
              <w:autoSpaceDN/>
              <w:bidi w:val="0"/>
              <w:spacing w:before="0" w:beforeAutospacing="0" w:after="0" w:afterAutospacing="0" w:line="360" w:lineRule="auto"/>
              <w:ind w:left="0" w:right="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第二个档次（</w:t>
            </w: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分）：</w:t>
            </w:r>
            <w:r>
              <w:rPr>
                <w:rFonts w:hint="eastAsia" w:asciiTheme="minorEastAsia" w:hAnsiTheme="minorEastAsia" w:eastAsiaTheme="minorEastAsia" w:cstheme="minorEastAsia"/>
                <w:b w:val="0"/>
                <w:bCs w:val="0"/>
                <w:color w:val="auto"/>
                <w:sz w:val="21"/>
                <w:szCs w:val="21"/>
                <w:highlight w:val="none"/>
                <w:lang w:val="en-US" w:eastAsia="zh-CN"/>
              </w:rPr>
              <w:t>供应商</w:t>
            </w:r>
            <w:r>
              <w:rPr>
                <w:rFonts w:hint="eastAsia" w:asciiTheme="minorEastAsia" w:hAnsiTheme="minorEastAsia" w:eastAsiaTheme="minorEastAsia" w:cstheme="minorEastAsia"/>
                <w:color w:val="auto"/>
                <w:sz w:val="21"/>
                <w:szCs w:val="21"/>
                <w:highlight w:val="none"/>
              </w:rPr>
              <w:t>应</w:t>
            </w:r>
            <w:r>
              <w:rPr>
                <w:rFonts w:hint="eastAsia" w:asciiTheme="minorEastAsia" w:hAnsiTheme="minorEastAsia" w:eastAsiaTheme="minorEastAsia" w:cstheme="minorEastAsia"/>
                <w:color w:val="auto"/>
                <w:sz w:val="21"/>
                <w:szCs w:val="21"/>
                <w:highlight w:val="none"/>
                <w:lang w:val="en-US" w:eastAsia="zh-CN"/>
              </w:rPr>
              <w:t>针对本项目</w:t>
            </w:r>
            <w:r>
              <w:rPr>
                <w:rFonts w:hint="eastAsia" w:asciiTheme="minorEastAsia" w:hAnsiTheme="minorEastAsia" w:eastAsiaTheme="minorEastAsia" w:cstheme="minorEastAsia"/>
                <w:color w:val="auto"/>
                <w:sz w:val="21"/>
                <w:szCs w:val="21"/>
                <w:highlight w:val="none"/>
              </w:rPr>
              <w:t>提出的服务响应时间进度计划安排</w:t>
            </w:r>
            <w:r>
              <w:rPr>
                <w:rFonts w:hint="eastAsia" w:asciiTheme="minorEastAsia" w:hAnsiTheme="minorEastAsia" w:eastAsiaTheme="minorEastAsia" w:cstheme="minorEastAsia"/>
                <w:color w:val="auto"/>
                <w:sz w:val="21"/>
                <w:szCs w:val="21"/>
                <w:highlight w:val="none"/>
                <w:lang w:eastAsia="zh-CN"/>
              </w:rPr>
              <w:t>满足采购人</w:t>
            </w:r>
            <w:r>
              <w:rPr>
                <w:rFonts w:hint="eastAsia" w:asciiTheme="minorEastAsia" w:hAnsiTheme="minorEastAsia" w:eastAsiaTheme="minorEastAsia" w:cstheme="minorEastAsia"/>
                <w:color w:val="auto"/>
                <w:sz w:val="21"/>
                <w:szCs w:val="21"/>
                <w:highlight w:val="none"/>
              </w:rPr>
              <w:t>要求，内容基本完整、安排较合理、有一定针对性；</w:t>
            </w:r>
          </w:p>
          <w:p w14:paraId="26EF3D43">
            <w:pPr>
              <w:keepNext w:val="0"/>
              <w:keepLines w:val="0"/>
              <w:pageBreakBefore w:val="0"/>
              <w:suppressLineNumbers w:val="0"/>
              <w:kinsoku/>
              <w:topLinePunct w:val="0"/>
              <w:autoSpaceDE/>
              <w:autoSpaceDN/>
              <w:bidi w:val="0"/>
              <w:spacing w:before="0" w:beforeAutospacing="0" w:after="0" w:afterAutospacing="0" w:line="360" w:lineRule="auto"/>
              <w:ind w:left="0" w:right="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第三个档次（</w:t>
            </w: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rPr>
              <w:t>分）：</w:t>
            </w:r>
            <w:r>
              <w:rPr>
                <w:rFonts w:hint="eastAsia" w:asciiTheme="minorEastAsia" w:hAnsiTheme="minorEastAsia" w:eastAsiaTheme="minorEastAsia" w:cstheme="minorEastAsia"/>
                <w:b w:val="0"/>
                <w:bCs w:val="0"/>
                <w:color w:val="auto"/>
                <w:sz w:val="21"/>
                <w:szCs w:val="21"/>
                <w:highlight w:val="none"/>
                <w:lang w:val="en-US" w:eastAsia="zh-CN"/>
              </w:rPr>
              <w:t>供应商</w:t>
            </w:r>
            <w:r>
              <w:rPr>
                <w:rFonts w:hint="eastAsia" w:asciiTheme="minorEastAsia" w:hAnsiTheme="minorEastAsia" w:eastAsiaTheme="minorEastAsia" w:cstheme="minorEastAsia"/>
                <w:color w:val="auto"/>
                <w:sz w:val="21"/>
                <w:szCs w:val="21"/>
                <w:highlight w:val="none"/>
              </w:rPr>
              <w:t>应</w:t>
            </w:r>
            <w:r>
              <w:rPr>
                <w:rFonts w:hint="eastAsia" w:asciiTheme="minorEastAsia" w:hAnsiTheme="minorEastAsia" w:eastAsiaTheme="minorEastAsia" w:cstheme="minorEastAsia"/>
                <w:color w:val="auto"/>
                <w:sz w:val="21"/>
                <w:szCs w:val="21"/>
                <w:highlight w:val="none"/>
                <w:lang w:val="en-US" w:eastAsia="zh-CN"/>
              </w:rPr>
              <w:t>针对本项目</w:t>
            </w:r>
            <w:r>
              <w:rPr>
                <w:rFonts w:hint="eastAsia" w:asciiTheme="minorEastAsia" w:hAnsiTheme="minorEastAsia" w:eastAsiaTheme="minorEastAsia" w:cstheme="minorEastAsia"/>
                <w:color w:val="auto"/>
                <w:sz w:val="21"/>
                <w:szCs w:val="21"/>
                <w:highlight w:val="none"/>
              </w:rPr>
              <w:t>提出的服务响应时间进度计划安排不</w:t>
            </w:r>
            <w:r>
              <w:rPr>
                <w:rFonts w:hint="eastAsia" w:asciiTheme="minorEastAsia" w:hAnsiTheme="minorEastAsia" w:eastAsiaTheme="minorEastAsia" w:cstheme="minorEastAsia"/>
                <w:color w:val="auto"/>
                <w:sz w:val="21"/>
                <w:szCs w:val="21"/>
                <w:highlight w:val="none"/>
                <w:lang w:eastAsia="zh-CN"/>
              </w:rPr>
              <w:t>满足采购人</w:t>
            </w:r>
            <w:r>
              <w:rPr>
                <w:rFonts w:hint="eastAsia" w:asciiTheme="minorEastAsia" w:hAnsiTheme="minorEastAsia" w:eastAsiaTheme="minorEastAsia" w:cstheme="minorEastAsia"/>
                <w:color w:val="auto"/>
                <w:sz w:val="21"/>
                <w:szCs w:val="21"/>
                <w:highlight w:val="none"/>
              </w:rPr>
              <w:t>要求，内容缺漏、安排不合理、无可行性、无针对性；</w:t>
            </w:r>
          </w:p>
          <w:p w14:paraId="390290BD">
            <w:pPr>
              <w:keepNext w:val="0"/>
              <w:keepLines w:val="0"/>
              <w:pageBreakBefore w:val="0"/>
              <w:suppressLineNumbers w:val="0"/>
              <w:kinsoku/>
              <w:topLinePunct w:val="0"/>
              <w:autoSpaceDE/>
              <w:autoSpaceDN/>
              <w:bidi w:val="0"/>
              <w:spacing w:before="0" w:beforeAutospacing="0" w:after="0" w:afterAutospacing="0" w:line="360" w:lineRule="auto"/>
              <w:ind w:left="0" w:right="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第四个档次（0分）：</w:t>
            </w:r>
            <w:r>
              <w:rPr>
                <w:rFonts w:hint="eastAsia" w:asciiTheme="minorEastAsia" w:hAnsiTheme="minorEastAsia" w:eastAsiaTheme="minorEastAsia" w:cstheme="minorEastAsia"/>
                <w:b w:val="0"/>
                <w:bCs w:val="0"/>
                <w:color w:val="auto"/>
                <w:sz w:val="21"/>
                <w:szCs w:val="21"/>
                <w:highlight w:val="none"/>
                <w:lang w:val="en-US" w:eastAsia="zh-CN"/>
              </w:rPr>
              <w:t>供应商</w:t>
            </w:r>
            <w:r>
              <w:rPr>
                <w:rFonts w:hint="eastAsia" w:asciiTheme="minorEastAsia" w:hAnsiTheme="minorEastAsia" w:eastAsiaTheme="minorEastAsia" w:cstheme="minorEastAsia"/>
                <w:color w:val="auto"/>
                <w:sz w:val="21"/>
                <w:szCs w:val="21"/>
                <w:highlight w:val="none"/>
              </w:rPr>
              <w:t>应</w:t>
            </w:r>
            <w:r>
              <w:rPr>
                <w:rFonts w:hint="eastAsia" w:asciiTheme="minorEastAsia" w:hAnsiTheme="minorEastAsia" w:eastAsiaTheme="minorEastAsia" w:cstheme="minorEastAsia"/>
                <w:color w:val="auto"/>
                <w:sz w:val="21"/>
                <w:szCs w:val="21"/>
                <w:highlight w:val="none"/>
                <w:lang w:val="en-US" w:eastAsia="zh-CN"/>
              </w:rPr>
              <w:t>针对本项目</w:t>
            </w:r>
            <w:r>
              <w:rPr>
                <w:rFonts w:hint="eastAsia" w:asciiTheme="minorEastAsia" w:hAnsiTheme="minorEastAsia" w:eastAsiaTheme="minorEastAsia" w:cstheme="minorEastAsia"/>
                <w:color w:val="auto"/>
                <w:sz w:val="21"/>
                <w:szCs w:val="21"/>
                <w:highlight w:val="none"/>
              </w:rPr>
              <w:t>提出的服务响应时间进度计划安排</w:t>
            </w:r>
            <w:r>
              <w:rPr>
                <w:rFonts w:hint="eastAsia" w:asciiTheme="minorEastAsia" w:hAnsiTheme="minorEastAsia" w:eastAsiaTheme="minorEastAsia" w:cstheme="minorEastAsia"/>
                <w:color w:val="auto"/>
                <w:sz w:val="21"/>
                <w:szCs w:val="21"/>
                <w:highlight w:val="none"/>
                <w:lang w:val="en-US" w:eastAsia="zh-CN"/>
              </w:rPr>
              <w:t>不具可行性或供应商</w:t>
            </w:r>
            <w:r>
              <w:rPr>
                <w:rFonts w:hint="eastAsia" w:asciiTheme="minorEastAsia" w:hAnsiTheme="minorEastAsia" w:eastAsiaTheme="minorEastAsia" w:cstheme="minorEastAsia"/>
                <w:color w:val="auto"/>
                <w:sz w:val="21"/>
                <w:szCs w:val="21"/>
                <w:highlight w:val="none"/>
              </w:rPr>
              <w:t>未提出服务响应时间进度计划安排；</w:t>
            </w:r>
          </w:p>
        </w:tc>
      </w:tr>
      <w:tr w14:paraId="7A01F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557" w:type="dxa"/>
            <w:vMerge w:val="continue"/>
            <w:noWrap w:val="0"/>
            <w:vAlign w:val="center"/>
          </w:tcPr>
          <w:p w14:paraId="50BBF54A">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auto"/>
                <w:sz w:val="21"/>
                <w:szCs w:val="21"/>
                <w:highlight w:val="none"/>
              </w:rPr>
            </w:pPr>
          </w:p>
        </w:tc>
        <w:tc>
          <w:tcPr>
            <w:tcW w:w="810" w:type="dxa"/>
            <w:vMerge w:val="continue"/>
            <w:noWrap w:val="0"/>
            <w:vAlign w:val="center"/>
          </w:tcPr>
          <w:p w14:paraId="58BA1B36">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auto"/>
                <w:sz w:val="21"/>
                <w:szCs w:val="21"/>
                <w:highlight w:val="none"/>
              </w:rPr>
            </w:pPr>
          </w:p>
        </w:tc>
        <w:tc>
          <w:tcPr>
            <w:tcW w:w="1695" w:type="dxa"/>
            <w:vMerge w:val="continue"/>
            <w:noWrap w:val="0"/>
            <w:vAlign w:val="center"/>
          </w:tcPr>
          <w:p w14:paraId="420C5F15">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1"/>
                <w:szCs w:val="21"/>
                <w:highlight w:val="none"/>
              </w:rPr>
            </w:pPr>
          </w:p>
        </w:tc>
        <w:tc>
          <w:tcPr>
            <w:tcW w:w="1497" w:type="dxa"/>
            <w:noWrap w:val="0"/>
            <w:vAlign w:val="center"/>
          </w:tcPr>
          <w:p w14:paraId="14A07350">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lang w:val="en-US" w:eastAsia="zh-CN"/>
              </w:rPr>
              <w:t>8</w:t>
            </w:r>
            <w:r>
              <w:rPr>
                <w:rFonts w:hint="eastAsia" w:asciiTheme="minorEastAsia" w:hAnsiTheme="minorEastAsia" w:eastAsiaTheme="minorEastAsia" w:cstheme="minorEastAsia"/>
                <w:b/>
                <w:bCs/>
                <w:color w:val="auto"/>
                <w:sz w:val="21"/>
                <w:szCs w:val="21"/>
                <w:highlight w:val="none"/>
              </w:rPr>
              <w:t>）</w:t>
            </w:r>
            <w:r>
              <w:rPr>
                <w:rFonts w:hint="eastAsia" w:asciiTheme="minorEastAsia" w:hAnsiTheme="minorEastAsia" w:eastAsiaTheme="minorEastAsia" w:cstheme="minorEastAsia"/>
                <w:b/>
                <w:color w:val="auto"/>
                <w:sz w:val="21"/>
                <w:szCs w:val="21"/>
                <w:highlight w:val="none"/>
              </w:rPr>
              <w:t>供应商类似业绩</w:t>
            </w:r>
            <w:r>
              <w:rPr>
                <w:rFonts w:hint="eastAsia" w:asciiTheme="minorEastAsia" w:hAnsiTheme="minorEastAsia" w:eastAsiaTheme="minorEastAsia" w:cstheme="minorEastAsia"/>
                <w:b/>
                <w:bCs/>
                <w:color w:val="auto"/>
                <w:sz w:val="21"/>
                <w:szCs w:val="21"/>
                <w:highlight w:val="none"/>
              </w:rPr>
              <w:t>评审评分</w:t>
            </w:r>
            <w:r>
              <w:rPr>
                <w:rFonts w:hint="eastAsia" w:asciiTheme="minorEastAsia" w:hAnsiTheme="minorEastAsia" w:eastAsiaTheme="minorEastAsia" w:cstheme="minorEastAsia"/>
                <w:b/>
                <w:color w:val="auto"/>
                <w:sz w:val="21"/>
                <w:szCs w:val="21"/>
                <w:highlight w:val="none"/>
              </w:rPr>
              <w:t>（满分</w:t>
            </w:r>
            <w:r>
              <w:rPr>
                <w:rFonts w:hint="eastAsia" w:asciiTheme="minorEastAsia" w:hAnsiTheme="minorEastAsia" w:eastAsiaTheme="minorEastAsia" w:cstheme="minorEastAsia"/>
                <w:b/>
                <w:color w:val="auto"/>
                <w:sz w:val="21"/>
                <w:szCs w:val="21"/>
                <w:highlight w:val="none"/>
                <w:lang w:val="en-US" w:eastAsia="zh-CN"/>
              </w:rPr>
              <w:t>10</w:t>
            </w:r>
            <w:r>
              <w:rPr>
                <w:rFonts w:hint="eastAsia" w:asciiTheme="minorEastAsia" w:hAnsiTheme="minorEastAsia" w:eastAsiaTheme="minorEastAsia" w:cstheme="minorEastAsia"/>
                <w:b/>
                <w:color w:val="auto"/>
                <w:sz w:val="21"/>
                <w:szCs w:val="21"/>
                <w:highlight w:val="none"/>
              </w:rPr>
              <w:t>分）</w:t>
            </w:r>
          </w:p>
        </w:tc>
        <w:tc>
          <w:tcPr>
            <w:tcW w:w="4539" w:type="dxa"/>
            <w:noWrap w:val="0"/>
            <w:vAlign w:val="center"/>
          </w:tcPr>
          <w:p w14:paraId="4963535A">
            <w:pPr>
              <w:keepNext w:val="0"/>
              <w:keepLines w:val="0"/>
              <w:pageBreakBefore w:val="0"/>
              <w:widowControl w:val="0"/>
              <w:suppressLineNumbers w:val="0"/>
              <w:tabs>
                <w:tab w:val="left" w:pos="540"/>
              </w:tabs>
              <w:kinsoku/>
              <w:wordWrap/>
              <w:overflowPunct/>
              <w:topLinePunct w:val="0"/>
              <w:autoSpaceDE/>
              <w:autoSpaceDN/>
              <w:bidi w:val="0"/>
              <w:adjustRightInd w:val="0"/>
              <w:snapToGrid/>
              <w:spacing w:before="0" w:beforeAutospacing="0" w:after="0" w:afterAutospacing="0" w:line="360" w:lineRule="auto"/>
              <w:ind w:left="0" w:right="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根据供应商至本项目响应文件提交截止时间前已完成的类似业绩进行评价打分，每提供一个类似业绩得2分，满分10分。</w:t>
            </w:r>
          </w:p>
          <w:p w14:paraId="585DB07F">
            <w:pPr>
              <w:keepNext w:val="0"/>
              <w:keepLines w:val="0"/>
              <w:pageBreakBefore w:val="0"/>
              <w:widowControl w:val="0"/>
              <w:suppressLineNumbers w:val="0"/>
              <w:tabs>
                <w:tab w:val="left" w:pos="540"/>
              </w:tabs>
              <w:kinsoku/>
              <w:wordWrap/>
              <w:overflowPunct/>
              <w:topLinePunct w:val="0"/>
              <w:autoSpaceDE/>
              <w:autoSpaceDN/>
              <w:bidi w:val="0"/>
              <w:adjustRightInd w:val="0"/>
              <w:snapToGrid/>
              <w:spacing w:before="0" w:beforeAutospacing="0" w:after="0" w:afterAutospacing="0" w:line="360" w:lineRule="auto"/>
              <w:ind w:left="0" w:right="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注：供应商须提供类似业绩的合同（包含合同首页、金额页、甲乙双方签字盖章页）或中标通知书（成交通知书）或委托方出具的考核评价意见等证明材料（复印件加盖供应商电子公章），未提供或未按要求提供或证明材料不明确、无法体现对应内容的不予认可。</w:t>
            </w:r>
          </w:p>
        </w:tc>
      </w:tr>
      <w:bookmarkEnd w:id="524"/>
    </w:tbl>
    <w:p w14:paraId="60BFFA80">
      <w:pPr>
        <w:pStyle w:val="78"/>
        <w:tabs>
          <w:tab w:val="left" w:pos="105"/>
          <w:tab w:val="left" w:pos="945"/>
          <w:tab w:val="left" w:pos="3360"/>
        </w:tabs>
        <w:adjustRightInd w:val="0"/>
        <w:snapToGrid w:val="0"/>
        <w:spacing w:line="360" w:lineRule="auto"/>
        <w:ind w:left="420"/>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1.评审原则及方法</w:t>
      </w:r>
    </w:p>
    <w:p w14:paraId="3D1EFB4F">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1.1评审原则：磋商小组成员应当按照客观、公正、审慎的原则，根据磋商文件规定的评审程序、评审方法和评审标准进行独立评审。未实质性响应竞争性磋商文件的响应文件按无效响应处理，磋商小组将告知提交响应文件的供应商，供应商不得再继续参加磋商。</w:t>
      </w:r>
    </w:p>
    <w:p w14:paraId="74201F63">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1.2评审方法：综合评分法，是指响应文件满足磋商文件全部实质性要求且按评审因素的量化指标评审得分最高的供应商为成交候选供应商的评审方法。</w:t>
      </w:r>
    </w:p>
    <w:p w14:paraId="0097DBB1">
      <w:pPr>
        <w:pStyle w:val="78"/>
        <w:tabs>
          <w:tab w:val="left" w:pos="105"/>
          <w:tab w:val="left" w:pos="945"/>
          <w:tab w:val="left" w:pos="3360"/>
        </w:tabs>
        <w:adjustRightInd w:val="0"/>
        <w:snapToGrid w:val="0"/>
        <w:spacing w:line="360" w:lineRule="auto"/>
        <w:ind w:left="4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2.实质性评审</w:t>
      </w:r>
    </w:p>
    <w:p w14:paraId="5504924C">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2.1磋商小组依据竞争性磋商文件第六章《评审方法》</w:t>
      </w:r>
      <w:r>
        <w:rPr>
          <w:rFonts w:hint="eastAsia" w:ascii="宋体" w:hAnsi="宋体" w:cs="宋体"/>
          <w:color w:val="auto"/>
          <w:szCs w:val="21"/>
          <w:highlight w:val="none"/>
          <w:lang w:val="en-US" w:eastAsia="zh-CN"/>
        </w:rPr>
        <w:t>评审方法前附表</w:t>
      </w:r>
      <w:r>
        <w:rPr>
          <w:rFonts w:hint="eastAsia" w:ascii="宋体" w:hAnsi="宋体" w:cs="宋体"/>
          <w:color w:val="auto"/>
          <w:szCs w:val="21"/>
          <w:highlight w:val="none"/>
        </w:rPr>
        <w:t>2.1实质性评审标准规定的内容，对供应商响应文件中进行审查，以确定供应商是否具备参加本项目竞争性磋商采购活动的资格，未实质性响应竞争性磋商文件的响应文件按无效响应处理，磋商小组将告知提交响应文件的供应商，供应商不得再继续参加磋商。</w:t>
      </w:r>
    </w:p>
    <w:p w14:paraId="3437FCFE">
      <w:pPr>
        <w:tabs>
          <w:tab w:val="left" w:pos="105"/>
          <w:tab w:val="left" w:pos="945"/>
          <w:tab w:val="left" w:pos="3360"/>
        </w:tabs>
        <w:adjustRightInd w:val="0"/>
        <w:snapToGrid w:val="0"/>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3</w:t>
      </w:r>
      <w:r>
        <w:rPr>
          <w:rFonts w:hint="eastAsia" w:ascii="宋体" w:hAnsi="宋体" w:cs="宋体"/>
          <w:b/>
          <w:bCs/>
          <w:color w:val="auto"/>
          <w:sz w:val="24"/>
          <w:highlight w:val="none"/>
        </w:rPr>
        <w:t>.磋商及最后报价</w:t>
      </w:r>
    </w:p>
    <w:p w14:paraId="408BA69A">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EFC1742">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3.2磋商小组要求供应商澄清、说明或者更正响应文件应当以书面形式作出。供应商的澄清、说明或者更正应当由法定代表人或其授权代表签字或者</w:t>
      </w:r>
      <w:r>
        <w:rPr>
          <w:rFonts w:hint="eastAsia" w:ascii="宋体" w:hAnsi="宋体" w:cs="宋体"/>
          <w:color w:val="auto"/>
          <w:szCs w:val="21"/>
          <w:highlight w:val="none"/>
          <w:lang w:eastAsia="zh-CN"/>
        </w:rPr>
        <w:t>加盖供应商电子公章</w:t>
      </w:r>
      <w:r>
        <w:rPr>
          <w:rFonts w:hint="eastAsia" w:ascii="宋体" w:hAnsi="宋体" w:cs="宋体"/>
          <w:color w:val="auto"/>
          <w:szCs w:val="21"/>
          <w:highlight w:val="none"/>
        </w:rPr>
        <w:t>。由授权代表签字的，应当附法定代表人授权书。供应商为自然人的，应当由本人签字并附身份证明。</w:t>
      </w:r>
    </w:p>
    <w:p w14:paraId="6E0AEC8B">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3.3磋商小组所有成员集中与单一供应商分别进行磋商，并给予所有参加磋商的供应商平等的磋商机会。在磋商过程中，磋商小组可以根据磋商文件和磋商情况实质性变动采购需求中的技术、服务要求以及合同草案条款，但不得变动磋商文件中的其他内容。实质性变动的内容，须经采购人代表确认。</w:t>
      </w:r>
    </w:p>
    <w:p w14:paraId="731BFDE3">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3.4对磋商文件作出的实质性变动是磋商文件的有效组成部分，磋商小组将及时以书面形式同时通知所有参加磋商的供应商。</w:t>
      </w:r>
    </w:p>
    <w:p w14:paraId="7E09F89B">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3.5磋商结束后，磋商小组将要求所有实质性响应的供应商在规定时间内提交最后报价，提交最后报价的供应商</w:t>
      </w:r>
      <w:r>
        <w:rPr>
          <w:rFonts w:hint="eastAsia" w:ascii="宋体" w:hAnsi="宋体" w:cs="宋体"/>
          <w:color w:val="auto"/>
          <w:szCs w:val="21"/>
          <w:highlight w:val="none"/>
          <w:lang w:eastAsia="zh-CN"/>
        </w:rPr>
        <w:t>不得少于</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lang w:eastAsia="zh-CN"/>
        </w:rPr>
        <w:t>家</w:t>
      </w:r>
      <w:r>
        <w:rPr>
          <w:rFonts w:hint="eastAsia" w:ascii="宋体" w:hAnsi="宋体" w:cs="宋体"/>
          <w:color w:val="auto"/>
          <w:szCs w:val="21"/>
          <w:highlight w:val="none"/>
        </w:rPr>
        <w:t>，最后报价应由法定代表人签字，在规定的时间统一密封递交，最后报价是供应商响应文件的有效组成部分。在提交最后报价之前，供应商可以根据磋商情况退出磋商，其磋商保证金按规定的时间予以退还。</w:t>
      </w:r>
    </w:p>
    <w:p w14:paraId="068B7DF3">
      <w:pPr>
        <w:spacing w:line="360" w:lineRule="auto"/>
        <w:ind w:firstLine="420"/>
        <w:rPr>
          <w:rFonts w:hint="eastAsia" w:ascii="宋体" w:hAnsi="宋体" w:cs="宋体"/>
          <w:b/>
          <w:bCs/>
          <w:color w:val="auto"/>
          <w:sz w:val="24"/>
          <w:highlight w:val="none"/>
        </w:rPr>
      </w:pPr>
      <w:r>
        <w:rPr>
          <w:rFonts w:hint="eastAsia" w:ascii="宋体" w:hAnsi="宋体" w:cs="宋体"/>
          <w:b/>
          <w:color w:val="auto"/>
          <w:sz w:val="24"/>
          <w:highlight w:val="none"/>
        </w:rPr>
        <w:t>4</w:t>
      </w:r>
      <w:r>
        <w:rPr>
          <w:rFonts w:hint="eastAsia" w:ascii="宋体" w:hAnsi="宋体" w:cs="宋体"/>
          <w:b/>
          <w:bCs/>
          <w:color w:val="auto"/>
          <w:sz w:val="24"/>
          <w:highlight w:val="none"/>
        </w:rPr>
        <w:t>.详细评审</w:t>
      </w:r>
      <w:r>
        <w:rPr>
          <w:rFonts w:hint="eastAsia" w:ascii="宋体" w:hAnsi="宋体" w:cs="宋体"/>
          <w:b/>
          <w:color w:val="auto"/>
          <w:sz w:val="24"/>
          <w:highlight w:val="none"/>
        </w:rPr>
        <w:t>及</w:t>
      </w:r>
      <w:r>
        <w:rPr>
          <w:rFonts w:hint="eastAsia" w:ascii="宋体" w:hAnsi="宋体" w:cs="宋体"/>
          <w:b/>
          <w:bCs/>
          <w:color w:val="auto"/>
          <w:sz w:val="24"/>
          <w:highlight w:val="none"/>
        </w:rPr>
        <w:t>统分原则</w:t>
      </w:r>
    </w:p>
    <w:p w14:paraId="00378411">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4.1磋商小组各成员将按照竞争性磋商文件第六章《评审方法》</w:t>
      </w:r>
      <w:r>
        <w:rPr>
          <w:rFonts w:hint="eastAsia" w:ascii="宋体" w:hAnsi="宋体" w:cs="宋体"/>
          <w:color w:val="auto"/>
          <w:szCs w:val="21"/>
          <w:highlight w:val="none"/>
          <w:lang w:val="en-US" w:eastAsia="zh-CN"/>
        </w:rPr>
        <w:t>评审方法前附表4.1详细评审</w:t>
      </w:r>
      <w:r>
        <w:rPr>
          <w:rFonts w:hint="eastAsia" w:ascii="宋体" w:hAnsi="宋体" w:cs="宋体"/>
          <w:color w:val="auto"/>
          <w:szCs w:val="21"/>
          <w:highlight w:val="none"/>
        </w:rPr>
        <w:t>中规定的详细评审标准独立对每个有效响应的文件进行评价、打分，然后汇总每个供应商每项评分因素的得分，最终按以下公式计算出各供应商的评审得分。</w:t>
      </w:r>
    </w:p>
    <w:p w14:paraId="2C66B0A0">
      <w:pPr>
        <w:spacing w:line="360" w:lineRule="auto"/>
        <w:ind w:left="420" w:leftChars="200"/>
        <w:jc w:val="left"/>
        <w:rPr>
          <w:rFonts w:hint="eastAsia" w:ascii="宋体" w:hAnsi="宋体" w:cs="宋体"/>
          <w:color w:val="auto"/>
          <w:szCs w:val="21"/>
          <w:highlight w:val="none"/>
        </w:rPr>
      </w:pPr>
      <w:r>
        <w:rPr>
          <w:rFonts w:hint="eastAsia" w:ascii="宋体" w:hAnsi="宋体" w:cs="宋体"/>
          <w:color w:val="auto"/>
          <w:szCs w:val="21"/>
          <w:highlight w:val="none"/>
        </w:rPr>
        <w:t>评审得分=F1＋F2</w:t>
      </w:r>
    </w:p>
    <w:p w14:paraId="15B5E955">
      <w:pPr>
        <w:spacing w:line="360" w:lineRule="auto"/>
        <w:ind w:left="420" w:leftChars="200"/>
        <w:jc w:val="left"/>
        <w:rPr>
          <w:rFonts w:hint="eastAsia" w:ascii="宋体" w:hAnsi="宋体" w:cs="宋体"/>
          <w:color w:val="auto"/>
          <w:szCs w:val="21"/>
          <w:highlight w:val="none"/>
        </w:rPr>
      </w:pPr>
      <w:r>
        <w:rPr>
          <w:rFonts w:hint="eastAsia" w:ascii="宋体" w:hAnsi="宋体" w:cs="宋体"/>
          <w:color w:val="auto"/>
          <w:szCs w:val="21"/>
          <w:highlight w:val="none"/>
        </w:rPr>
        <w:t>其中：F1、F2分别为报价评分、技术商务部分评分</w:t>
      </w:r>
      <w:r>
        <w:rPr>
          <w:rFonts w:hint="eastAsia" w:ascii="宋体" w:hAnsi="宋体" w:cs="宋体"/>
          <w:color w:val="auto"/>
          <w:szCs w:val="21"/>
          <w:highlight w:val="none"/>
          <w:lang w:eastAsia="zh-CN"/>
        </w:rPr>
        <w:t>，</w:t>
      </w:r>
      <w:r>
        <w:rPr>
          <w:rFonts w:hint="eastAsia" w:ascii="宋体" w:hAnsi="宋体" w:cs="宋体"/>
          <w:color w:val="auto"/>
          <w:szCs w:val="21"/>
          <w:highlight w:val="none"/>
        </w:rPr>
        <w:t>评审得分</w:t>
      </w:r>
      <w:r>
        <w:rPr>
          <w:rFonts w:hint="eastAsia" w:ascii="宋体" w:hAnsi="宋体" w:cs="宋体"/>
          <w:color w:val="auto"/>
          <w:szCs w:val="21"/>
          <w:highlight w:val="none"/>
          <w:lang w:val="en-US" w:eastAsia="zh-CN"/>
        </w:rPr>
        <w:t>为2</w:t>
      </w:r>
      <w:r>
        <w:rPr>
          <w:rFonts w:hint="eastAsia" w:ascii="宋体" w:hAnsi="宋体" w:cs="宋体"/>
          <w:color w:val="auto"/>
          <w:szCs w:val="21"/>
          <w:highlight w:val="none"/>
        </w:rPr>
        <w:t>项评审因素的汇总得分。</w:t>
      </w:r>
    </w:p>
    <w:p w14:paraId="2FB4F69E">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4.2磋商小组成员要依法独立审查，并对审查意见承担个人责任。磋商小组成员对需要共同认定的事项存在争议的，按照少数服从多数的原则做出结论。持不同意见的磋商小组成员应当在评审报告上签署不同意见并说明理由，否则视为同意。</w:t>
      </w:r>
    </w:p>
    <w:p w14:paraId="766E357F">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4.3磋商小组对供应商的价格分等客观评分项的评分应当一致，对其他需要借助专业知识评判的主观评分项，应当严格按照评分细则公正评分。</w:t>
      </w:r>
    </w:p>
    <w:p w14:paraId="4974F786">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4.4供应商各项评分因素得分为该项因素各成员评分的算术平均值（保留小数点后两位），小数点后第三位“四舍五入”。</w:t>
      </w:r>
    </w:p>
    <w:p w14:paraId="594757BE">
      <w:pPr>
        <w:spacing w:line="360" w:lineRule="auto"/>
        <w:ind w:firstLine="420"/>
        <w:rPr>
          <w:rFonts w:hint="eastAsia" w:ascii="宋体" w:hAnsi="宋体" w:cs="宋体"/>
          <w:b/>
          <w:bCs/>
          <w:color w:val="auto"/>
          <w:sz w:val="24"/>
          <w:highlight w:val="none"/>
        </w:rPr>
      </w:pPr>
      <w:r>
        <w:rPr>
          <w:rFonts w:hint="eastAsia" w:ascii="宋体" w:hAnsi="宋体" w:cs="宋体"/>
          <w:b/>
          <w:bCs/>
          <w:color w:val="auto"/>
          <w:sz w:val="24"/>
          <w:highlight w:val="none"/>
        </w:rPr>
        <w:t>5.推荐成交候选供应商及确定成交供应商</w:t>
      </w:r>
    </w:p>
    <w:p w14:paraId="07D7F2D2">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5.1磋商小组按照评审得分由高到低顺序推荐</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名以上成交候选供应商，并编写评审报告。评审得分相同的，按照最后报价由低到高的顺序推荐。评审得分且最后报价相同的，按照技术指标优劣顺序推荐。</w:t>
      </w:r>
    </w:p>
    <w:p w14:paraId="441E1C05">
      <w:pPr>
        <w:spacing w:line="360" w:lineRule="auto"/>
        <w:ind w:firstLine="420" w:firstLineChars="200"/>
        <w:jc w:val="left"/>
        <w:rPr>
          <w:rFonts w:hint="eastAsia" w:ascii="宋体" w:hAnsi="宋体" w:cs="宋体"/>
          <w:b/>
          <w:color w:val="auto"/>
          <w:sz w:val="24"/>
          <w:highlight w:val="none"/>
        </w:rPr>
      </w:pPr>
      <w:r>
        <w:rPr>
          <w:rFonts w:hint="eastAsia" w:ascii="宋体" w:hAnsi="宋体" w:cs="宋体"/>
          <w:color w:val="auto"/>
          <w:szCs w:val="21"/>
          <w:highlight w:val="none"/>
        </w:rPr>
        <w:t>5.2采购人从评审报告提出的成交候选供应商中，按照排序由高到低的原则确定成交供应商。</w:t>
      </w:r>
    </w:p>
    <w:sectPr>
      <w:footerReference r:id="rId7" w:type="first"/>
      <w:footerReference r:id="rId6" w:type="default"/>
      <w:pgSz w:w="11906" w:h="16838"/>
      <w:pgMar w:top="1531" w:right="1274" w:bottom="1531" w:left="1331" w:header="844" w:footer="442" w:gutter="0"/>
      <w:pgBorders>
        <w:top w:val="none" w:sz="0" w:space="0"/>
        <w:left w:val="none" w:sz="0" w:space="0"/>
        <w:bottom w:val="none" w:sz="0" w:space="0"/>
        <w:right w:val="none" w:sz="0" w:space="0"/>
      </w:pgBorders>
      <w:pgNumType w:fmt="decimal"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20A204">
    <w:pPr>
      <w:pStyle w:val="23"/>
      <w:wordWrap w:val="0"/>
      <w:jc w:val="right"/>
      <w:rPr>
        <w:rStyle w:val="40"/>
        <w:rFonts w:hint="eastAsia"/>
      </w:rPr>
    </w:pPr>
    <w:r>
      <w:drawing>
        <wp:inline distT="0" distB="0" distL="114300" distR="114300">
          <wp:extent cx="1438275" cy="266700"/>
          <wp:effectExtent l="0" t="0" r="9525" b="0"/>
          <wp:docPr id="1" name="图片 1" descr="冠睿小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冠睿小标"/>
                  <pic:cNvPicPr>
                    <a:picLocks noChangeAspect="1"/>
                  </pic:cNvPicPr>
                </pic:nvPicPr>
                <pic:blipFill>
                  <a:blip r:embed="rId1"/>
                  <a:stretch>
                    <a:fillRect/>
                  </a:stretch>
                </pic:blipFill>
                <pic:spPr>
                  <a:xfrm>
                    <a:off x="0" y="0"/>
                    <a:ext cx="1438275" cy="266700"/>
                  </a:xfrm>
                  <a:prstGeom prst="rect">
                    <a:avLst/>
                  </a:prstGeom>
                  <a:noFill/>
                  <a:ln>
                    <a:noFill/>
                  </a:ln>
                </pic:spPr>
              </pic:pic>
            </a:graphicData>
          </a:graphic>
        </wp:inline>
      </w:drawing>
    </w:r>
  </w:p>
  <w:p w14:paraId="139A81AF">
    <w:pPr>
      <w:pStyle w:val="23"/>
      <w:ind w:right="105"/>
      <w:jc w:val="right"/>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337712">
    <w:pPr>
      <w:pStyle w:val="23"/>
      <w:wordWrap w:val="0"/>
      <w:jc w:val="right"/>
      <w:rPr>
        <w:rStyle w:val="40"/>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0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5A0B7BF4">
                          <w:pPr>
                            <w:pStyle w:val="23"/>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205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GhpgkvTAAAA&#10;BQEAAA8AAAAAAAAAAQAgAAAAIgAAAGRycy9kb3ducmV2LnhtbFBLAQIUABQAAAAIAIdO4kC+ORpC&#10;6QEAAMwDAAAOAAAAAAAAAAEAIAAAACIBAABkcnMvZTJvRG9jLnhtbFBLBQYAAAAABgAGAFkBAAB9&#10;BQAAAAA=&#10;">
              <v:fill on="f" focussize="0,0"/>
              <v:stroke on="f" weight="1.25pt"/>
              <v:imagedata o:title=""/>
              <o:lock v:ext="edit" aspectratio="f"/>
              <v:textbox inset="0mm,0mm,0mm,0mm" style="mso-fit-shape-to-text:t;">
                <w:txbxContent>
                  <w:p w14:paraId="5A0B7BF4">
                    <w:pPr>
                      <w:pStyle w:val="23"/>
                    </w:pPr>
                    <w:r>
                      <w:fldChar w:fldCharType="begin"/>
                    </w:r>
                    <w:r>
                      <w:instrText xml:space="preserve"> PAGE  \* MERGEFORMAT </w:instrText>
                    </w:r>
                    <w:r>
                      <w:fldChar w:fldCharType="separate"/>
                    </w:r>
                    <w:r>
                      <w:t>1</w:t>
                    </w:r>
                    <w:r>
                      <w:fldChar w:fldCharType="end"/>
                    </w:r>
                  </w:p>
                </w:txbxContent>
              </v:textbox>
            </v:shape>
          </w:pict>
        </mc:Fallback>
      </mc:AlternateContent>
    </w:r>
    <w:r>
      <w:drawing>
        <wp:inline distT="0" distB="0" distL="114300" distR="114300">
          <wp:extent cx="1438275" cy="266700"/>
          <wp:effectExtent l="0" t="0" r="9525" b="0"/>
          <wp:docPr id="11" name="图片 11" descr="冠睿小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冠睿小标"/>
                  <pic:cNvPicPr>
                    <a:picLocks noChangeAspect="1"/>
                  </pic:cNvPicPr>
                </pic:nvPicPr>
                <pic:blipFill>
                  <a:blip r:embed="rId1"/>
                  <a:stretch>
                    <a:fillRect/>
                  </a:stretch>
                </pic:blipFill>
                <pic:spPr>
                  <a:xfrm>
                    <a:off x="0" y="0"/>
                    <a:ext cx="1438275" cy="266700"/>
                  </a:xfrm>
                  <a:prstGeom prst="rect">
                    <a:avLst/>
                  </a:prstGeom>
                  <a:noFill/>
                  <a:ln>
                    <a:noFill/>
                  </a:ln>
                </pic:spPr>
              </pic:pic>
            </a:graphicData>
          </a:graphic>
        </wp:inline>
      </w:drawing>
    </w:r>
  </w:p>
  <w:p w14:paraId="46D9282D">
    <w:pPr>
      <w:pStyle w:val="23"/>
      <w:ind w:right="105"/>
      <w:jc w:val="right"/>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2AFCE9">
    <w:pPr>
      <w:pStyle w:val="23"/>
      <w:jc w:val="right"/>
    </w:pPr>
    <w:r>
      <w:drawing>
        <wp:inline distT="0" distB="0" distL="114300" distR="114300">
          <wp:extent cx="1438275" cy="266700"/>
          <wp:effectExtent l="0" t="0" r="9525" b="0"/>
          <wp:docPr id="8" name="图片 8" descr="冠睿小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冠睿小标"/>
                  <pic:cNvPicPr>
                    <a:picLocks noChangeAspect="1"/>
                  </pic:cNvPicPr>
                </pic:nvPicPr>
                <pic:blipFill>
                  <a:blip r:embed="rId1"/>
                  <a:stretch>
                    <a:fillRect/>
                  </a:stretch>
                </pic:blipFill>
                <pic:spPr>
                  <a:xfrm>
                    <a:off x="0" y="0"/>
                    <a:ext cx="1438275" cy="266700"/>
                  </a:xfrm>
                  <a:prstGeom prst="rect">
                    <a:avLst/>
                  </a:prstGeom>
                  <a:noFill/>
                  <a:ln>
                    <a:noFill/>
                  </a:ln>
                </pic:spPr>
              </pic:pic>
            </a:graphicData>
          </a:graphic>
        </wp:inline>
      </w:drawing>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20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20D6A76D">
                          <w:pPr>
                            <w:pStyle w:val="23"/>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205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BoaYJL0wAA&#10;AAUBAAAPAAAAAAAAAAEAIAAAACIAAABkcnMvZG93bnJldi54bWxQSwECFAAUAAAACACHTuJAXZgH&#10;uOoBAADMAwAADgAAAAAAAAABACAAAAAiAQAAZHJzL2Uyb0RvYy54bWxQSwUGAAAAAAYABgBZAQAA&#10;fgUAAAAA&#10;">
              <v:fill on="f" focussize="0,0"/>
              <v:stroke on="f" weight="1.25pt"/>
              <v:imagedata o:title=""/>
              <o:lock v:ext="edit" aspectratio="f"/>
              <v:textbox inset="0mm,0mm,0mm,0mm" style="mso-fit-shape-to-text:t;">
                <w:txbxContent>
                  <w:p w14:paraId="20D6A76D">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DE6D92">
    <w:pPr>
      <w:pStyle w:val="24"/>
      <w:pBdr>
        <w:bottom w:val="single" w:color="auto" w:sz="6" w:space="0"/>
      </w:pBdr>
      <w:jc w:val="left"/>
      <w:rPr>
        <w:rFonts w:hint="eastAsia" w:hAnsi="宋体"/>
        <w:bCs/>
        <w:color w:val="000000"/>
        <w:sz w:val="18"/>
        <w:szCs w:val="18"/>
      </w:rPr>
    </w:pPr>
    <w:r>
      <w:rPr>
        <w:rFonts w:hint="eastAsia" w:hAnsi="宋体" w:cs="宋体"/>
        <w:spacing w:val="-4"/>
        <w:sz w:val="18"/>
        <w:szCs w:val="21"/>
        <w:lang w:val="en-US" w:eastAsia="zh-CN"/>
      </w:rPr>
      <w:t xml:space="preserve">昆明市公安局商用密码应用安全性评估服务                                                   </w:t>
    </w:r>
    <w:r>
      <w:rPr>
        <w:rFonts w:hint="eastAsia" w:hAnsi="宋体"/>
        <w:bCs/>
        <w:color w:val="000000"/>
        <w:sz w:val="18"/>
        <w:szCs w:val="18"/>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966551">
    <w:pPr>
      <w:pStyle w:val="24"/>
      <w:pBdr>
        <w:bottom w:val="single" w:color="auto" w:sz="6" w:space="0"/>
      </w:pBdr>
      <w:jc w:val="left"/>
      <w:rPr>
        <w:w w:val="98"/>
        <w:sz w:val="18"/>
      </w:rPr>
    </w:pPr>
    <w:r>
      <w:rPr>
        <w:rFonts w:hint="eastAsia" w:hAnsi="宋体" w:cs="宋体"/>
        <w:spacing w:val="-4"/>
        <w:sz w:val="18"/>
        <w:szCs w:val="21"/>
        <w:lang w:val="en-US" w:eastAsia="zh-CN"/>
      </w:rPr>
      <w:t>昆明市公安局商用密码应用安全性评估服务                                                     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C3B85"/>
    <w:multiLevelType w:val="singleLevel"/>
    <w:tmpl w:val="C88C3B85"/>
    <w:lvl w:ilvl="0" w:tentative="0">
      <w:start w:val="1"/>
      <w:numFmt w:val="chineseCounting"/>
      <w:suff w:val="nothing"/>
      <w:lvlText w:val="（%1）"/>
      <w:lvlJc w:val="left"/>
      <w:rPr>
        <w:rFonts w:hint="eastAsia"/>
      </w:rPr>
    </w:lvl>
  </w:abstractNum>
  <w:abstractNum w:abstractNumId="1">
    <w:nsid w:val="596C1DF1"/>
    <w:multiLevelType w:val="multilevel"/>
    <w:tmpl w:val="596C1DF1"/>
    <w:lvl w:ilvl="0" w:tentative="0">
      <w:start w:val="1"/>
      <w:numFmt w:val="bullet"/>
      <w:pStyle w:val="89"/>
      <w:lvlText w:val=""/>
      <w:lvlJc w:val="left"/>
      <w:pPr>
        <w:tabs>
          <w:tab w:val="left" w:pos="900"/>
        </w:tabs>
        <w:ind w:left="900" w:hanging="420"/>
      </w:pPr>
      <w:rPr>
        <w:rFonts w:hint="default" w:ascii="Wingdings" w:hAnsi="Wingdings" w:cs="Wingdings"/>
      </w:rPr>
    </w:lvl>
    <w:lvl w:ilvl="1" w:tentative="0">
      <w:start w:val="1"/>
      <w:numFmt w:val="bullet"/>
      <w:lvlText w:val=""/>
      <w:lvlJc w:val="left"/>
      <w:pPr>
        <w:tabs>
          <w:tab w:val="left" w:pos="840"/>
        </w:tabs>
        <w:ind w:left="840" w:hanging="420"/>
      </w:pPr>
      <w:rPr>
        <w:rFonts w:hint="default" w:ascii="Wingdings" w:hAnsi="Wingdings" w:cs="Wingdings"/>
      </w:rPr>
    </w:lvl>
    <w:lvl w:ilvl="2" w:tentative="0">
      <w:start w:val="1"/>
      <w:numFmt w:val="bullet"/>
      <w:lvlText w:val=""/>
      <w:lvlJc w:val="left"/>
      <w:pPr>
        <w:tabs>
          <w:tab w:val="left" w:pos="1260"/>
        </w:tabs>
        <w:ind w:left="1260" w:hanging="420"/>
      </w:pPr>
      <w:rPr>
        <w:rFonts w:hint="default" w:ascii="Wingdings" w:hAnsi="Wingdings" w:cs="Wingdings"/>
      </w:rPr>
    </w:lvl>
    <w:lvl w:ilvl="3" w:tentative="0">
      <w:start w:val="1"/>
      <w:numFmt w:val="bullet"/>
      <w:lvlText w:val=""/>
      <w:lvlJc w:val="left"/>
      <w:pPr>
        <w:tabs>
          <w:tab w:val="left" w:pos="1680"/>
        </w:tabs>
        <w:ind w:left="1680" w:hanging="420"/>
      </w:pPr>
      <w:rPr>
        <w:rFonts w:hint="default" w:ascii="Wingdings" w:hAnsi="Wingdings" w:cs="Wingdings"/>
      </w:rPr>
    </w:lvl>
    <w:lvl w:ilvl="4" w:tentative="0">
      <w:start w:val="1"/>
      <w:numFmt w:val="bullet"/>
      <w:lvlText w:val=""/>
      <w:lvlJc w:val="left"/>
      <w:pPr>
        <w:tabs>
          <w:tab w:val="left" w:pos="2100"/>
        </w:tabs>
        <w:ind w:left="2100" w:hanging="420"/>
      </w:pPr>
      <w:rPr>
        <w:rFonts w:hint="default" w:ascii="Wingdings" w:hAnsi="Wingdings" w:cs="Wingdings"/>
      </w:rPr>
    </w:lvl>
    <w:lvl w:ilvl="5" w:tentative="0">
      <w:start w:val="1"/>
      <w:numFmt w:val="bullet"/>
      <w:lvlText w:val=""/>
      <w:lvlJc w:val="left"/>
      <w:pPr>
        <w:tabs>
          <w:tab w:val="left" w:pos="2520"/>
        </w:tabs>
        <w:ind w:left="2520" w:hanging="420"/>
      </w:pPr>
      <w:rPr>
        <w:rFonts w:hint="default" w:ascii="Wingdings" w:hAnsi="Wingdings" w:cs="Wingdings"/>
      </w:rPr>
    </w:lvl>
    <w:lvl w:ilvl="6" w:tentative="0">
      <w:start w:val="1"/>
      <w:numFmt w:val="bullet"/>
      <w:lvlText w:val=""/>
      <w:lvlJc w:val="left"/>
      <w:pPr>
        <w:tabs>
          <w:tab w:val="left" w:pos="2940"/>
        </w:tabs>
        <w:ind w:left="2940" w:hanging="420"/>
      </w:pPr>
      <w:rPr>
        <w:rFonts w:hint="default" w:ascii="Wingdings" w:hAnsi="Wingdings" w:cs="Wingdings"/>
      </w:rPr>
    </w:lvl>
    <w:lvl w:ilvl="7" w:tentative="0">
      <w:start w:val="1"/>
      <w:numFmt w:val="bullet"/>
      <w:lvlText w:val=""/>
      <w:lvlJc w:val="left"/>
      <w:pPr>
        <w:tabs>
          <w:tab w:val="left" w:pos="3360"/>
        </w:tabs>
        <w:ind w:left="3360" w:hanging="420"/>
      </w:pPr>
      <w:rPr>
        <w:rFonts w:hint="default" w:ascii="Wingdings" w:hAnsi="Wingdings" w:cs="Wingdings"/>
      </w:rPr>
    </w:lvl>
    <w:lvl w:ilvl="8" w:tentative="0">
      <w:start w:val="1"/>
      <w:numFmt w:val="bullet"/>
      <w:lvlText w:val=""/>
      <w:lvlJc w:val="left"/>
      <w:pPr>
        <w:tabs>
          <w:tab w:val="left" w:pos="3780"/>
        </w:tabs>
        <w:ind w:left="3780" w:hanging="420"/>
      </w:pPr>
      <w:rPr>
        <w:rFonts w:hint="default" w:ascii="Wingdings" w:hAnsi="Wingdings" w:cs="Wingdings"/>
      </w:rPr>
    </w:lvl>
  </w:abstractNum>
  <w:abstractNum w:abstractNumId="2">
    <w:nsid w:val="596C1DFC"/>
    <w:multiLevelType w:val="multilevel"/>
    <w:tmpl w:val="596C1DFC"/>
    <w:lvl w:ilvl="0" w:tentative="0">
      <w:start w:val="1"/>
      <w:numFmt w:val="bullet"/>
      <w:pStyle w:val="92"/>
      <w:lvlText w:val=""/>
      <w:lvlJc w:val="left"/>
      <w:pPr>
        <w:tabs>
          <w:tab w:val="left" w:pos="420"/>
        </w:tabs>
        <w:ind w:left="420" w:hanging="420"/>
      </w:pPr>
      <w:rPr>
        <w:rFonts w:hint="default" w:ascii="Wingdings" w:hAnsi="Wingdings" w:cs="Wingdings"/>
      </w:rPr>
    </w:lvl>
    <w:lvl w:ilvl="1" w:tentative="0">
      <w:start w:val="1"/>
      <w:numFmt w:val="bullet"/>
      <w:lvlText w:val=""/>
      <w:lvlJc w:val="left"/>
      <w:pPr>
        <w:tabs>
          <w:tab w:val="left" w:pos="840"/>
        </w:tabs>
        <w:ind w:left="840" w:hanging="420"/>
      </w:pPr>
      <w:rPr>
        <w:rFonts w:hint="default" w:ascii="Wingdings" w:hAnsi="Wingdings" w:cs="Wingdings"/>
      </w:rPr>
    </w:lvl>
    <w:lvl w:ilvl="2" w:tentative="0">
      <w:start w:val="1"/>
      <w:numFmt w:val="bullet"/>
      <w:lvlText w:val=""/>
      <w:lvlJc w:val="left"/>
      <w:pPr>
        <w:tabs>
          <w:tab w:val="left" w:pos="1260"/>
        </w:tabs>
        <w:ind w:left="1260" w:hanging="420"/>
      </w:pPr>
      <w:rPr>
        <w:rFonts w:hint="default" w:ascii="Wingdings" w:hAnsi="Wingdings" w:cs="Wingdings"/>
      </w:rPr>
    </w:lvl>
    <w:lvl w:ilvl="3" w:tentative="0">
      <w:start w:val="1"/>
      <w:numFmt w:val="bullet"/>
      <w:lvlText w:val=""/>
      <w:lvlJc w:val="left"/>
      <w:pPr>
        <w:tabs>
          <w:tab w:val="left" w:pos="1680"/>
        </w:tabs>
        <w:ind w:left="1680" w:hanging="420"/>
      </w:pPr>
      <w:rPr>
        <w:rFonts w:hint="default" w:ascii="Wingdings" w:hAnsi="Wingdings" w:cs="Wingdings"/>
      </w:rPr>
    </w:lvl>
    <w:lvl w:ilvl="4" w:tentative="0">
      <w:start w:val="1"/>
      <w:numFmt w:val="bullet"/>
      <w:lvlText w:val=""/>
      <w:lvlJc w:val="left"/>
      <w:pPr>
        <w:tabs>
          <w:tab w:val="left" w:pos="2100"/>
        </w:tabs>
        <w:ind w:left="2100" w:hanging="420"/>
      </w:pPr>
      <w:rPr>
        <w:rFonts w:hint="default" w:ascii="Wingdings" w:hAnsi="Wingdings" w:cs="Wingdings"/>
      </w:rPr>
    </w:lvl>
    <w:lvl w:ilvl="5" w:tentative="0">
      <w:start w:val="1"/>
      <w:numFmt w:val="bullet"/>
      <w:lvlText w:val=""/>
      <w:lvlJc w:val="left"/>
      <w:pPr>
        <w:tabs>
          <w:tab w:val="left" w:pos="2520"/>
        </w:tabs>
        <w:ind w:left="2520" w:hanging="420"/>
      </w:pPr>
      <w:rPr>
        <w:rFonts w:hint="default" w:ascii="Wingdings" w:hAnsi="Wingdings" w:cs="Wingdings"/>
      </w:rPr>
    </w:lvl>
    <w:lvl w:ilvl="6" w:tentative="0">
      <w:start w:val="1"/>
      <w:numFmt w:val="bullet"/>
      <w:lvlText w:val=""/>
      <w:lvlJc w:val="left"/>
      <w:pPr>
        <w:tabs>
          <w:tab w:val="left" w:pos="2940"/>
        </w:tabs>
        <w:ind w:left="2940" w:hanging="420"/>
      </w:pPr>
      <w:rPr>
        <w:rFonts w:hint="default" w:ascii="Wingdings" w:hAnsi="Wingdings" w:cs="Wingdings"/>
      </w:rPr>
    </w:lvl>
    <w:lvl w:ilvl="7" w:tentative="0">
      <w:start w:val="1"/>
      <w:numFmt w:val="bullet"/>
      <w:lvlText w:val=""/>
      <w:lvlJc w:val="left"/>
      <w:pPr>
        <w:tabs>
          <w:tab w:val="left" w:pos="3360"/>
        </w:tabs>
        <w:ind w:left="3360" w:hanging="420"/>
      </w:pPr>
      <w:rPr>
        <w:rFonts w:hint="default" w:ascii="Wingdings" w:hAnsi="Wingdings" w:cs="Wingdings"/>
      </w:rPr>
    </w:lvl>
    <w:lvl w:ilvl="8" w:tentative="0">
      <w:start w:val="1"/>
      <w:numFmt w:val="bullet"/>
      <w:lvlText w:val=""/>
      <w:lvlJc w:val="left"/>
      <w:pPr>
        <w:tabs>
          <w:tab w:val="left" w:pos="3780"/>
        </w:tabs>
        <w:ind w:left="3780" w:hanging="420"/>
      </w:pPr>
      <w:rPr>
        <w:rFonts w:hint="default" w:ascii="Wingdings" w:hAnsi="Wingdings" w:cs="Wingdings"/>
      </w:rPr>
    </w:lvl>
  </w:abstractNum>
  <w:abstractNum w:abstractNumId="3">
    <w:nsid w:val="596C1E12"/>
    <w:multiLevelType w:val="multilevel"/>
    <w:tmpl w:val="596C1E12"/>
    <w:lvl w:ilvl="0" w:tentative="0">
      <w:start w:val="1"/>
      <w:numFmt w:val="decimal"/>
      <w:suff w:val="space"/>
      <w:lvlText w:val="%1"/>
      <w:lvlJc w:val="left"/>
      <w:pPr>
        <w:tabs>
          <w:tab w:val="left" w:pos="0"/>
        </w:tabs>
        <w:ind w:left="0" w:firstLine="0"/>
      </w:pPr>
      <w:rPr>
        <w:rFonts w:ascii="Arial" w:hAnsi="Arial" w:eastAsia="黑体" w:cs="Times New Roman"/>
        <w:b/>
        <w:iCs w:val="0"/>
        <w:caps w:val="0"/>
        <w:strike w:val="0"/>
        <w:dstrike w:val="0"/>
        <w:vanish w:val="0"/>
        <w:color w:val="000000"/>
        <w:spacing w:val="0"/>
        <w:kern w:val="0"/>
        <w:position w:val="0"/>
        <w:sz w:val="32"/>
        <w:szCs w:val="32"/>
        <w:u w:val="none"/>
      </w:rPr>
    </w:lvl>
    <w:lvl w:ilvl="1" w:tentative="0">
      <w:start w:val="1"/>
      <w:numFmt w:val="decimal"/>
      <w:suff w:val="space"/>
      <w:lvlText w:val="%1.%2"/>
      <w:lvlJc w:val="left"/>
      <w:pPr>
        <w:tabs>
          <w:tab w:val="left" w:pos="0"/>
        </w:tabs>
        <w:ind w:left="0" w:firstLine="0"/>
      </w:pPr>
      <w:rPr>
        <w:rFonts w:hint="default" w:ascii="Arial" w:hAnsi="Arial" w:eastAsia="黑体" w:cs="Times New Roman"/>
        <w:b/>
        <w:sz w:val="28"/>
        <w:szCs w:val="28"/>
      </w:rPr>
    </w:lvl>
    <w:lvl w:ilvl="2" w:tentative="0">
      <w:start w:val="1"/>
      <w:numFmt w:val="decimal"/>
      <w:suff w:val="space"/>
      <w:lvlText w:val="%1.%2.%3"/>
      <w:lvlJc w:val="left"/>
      <w:pPr>
        <w:tabs>
          <w:tab w:val="left" w:pos="0"/>
        </w:tabs>
        <w:ind w:left="0" w:firstLine="0"/>
      </w:pPr>
      <w:rPr>
        <w:rFonts w:hint="default" w:ascii="Arial" w:hAnsi="Arial" w:eastAsia="黑体" w:cs="Times New Roman"/>
        <w:b/>
        <w:sz w:val="28"/>
        <w:szCs w:val="28"/>
      </w:rPr>
    </w:lvl>
    <w:lvl w:ilvl="3" w:tentative="0">
      <w:start w:val="1"/>
      <w:numFmt w:val="decimal"/>
      <w:suff w:val="space"/>
      <w:lvlText w:val="%1.%2.%3.%4"/>
      <w:lvlJc w:val="left"/>
      <w:pPr>
        <w:tabs>
          <w:tab w:val="left" w:pos="0"/>
        </w:tabs>
        <w:ind w:left="0" w:firstLine="0"/>
      </w:pPr>
      <w:rPr>
        <w:rFonts w:hint="default" w:ascii="Arial" w:hAnsi="Arial" w:eastAsia="黑体" w:cs="Times New Roman"/>
        <w:b/>
        <w:sz w:val="30"/>
        <w:szCs w:val="30"/>
      </w:rPr>
    </w:lvl>
    <w:lvl w:ilvl="4" w:tentative="0">
      <w:start w:val="1"/>
      <w:numFmt w:val="decimal"/>
      <w:pStyle w:val="7"/>
      <w:suff w:val="space"/>
      <w:lvlText w:val="%1.%2.%3.%4.%5"/>
      <w:lvlJc w:val="left"/>
      <w:pPr>
        <w:tabs>
          <w:tab w:val="left" w:pos="0"/>
        </w:tabs>
        <w:ind w:left="0" w:firstLine="0"/>
      </w:pPr>
      <w:rPr>
        <w:rFonts w:hint="default" w:ascii="Arial" w:hAnsi="Arial" w:eastAsia="黑体" w:cs="Times New Roman"/>
        <w:b/>
        <w:sz w:val="28"/>
        <w:szCs w:val="28"/>
      </w:rPr>
    </w:lvl>
    <w:lvl w:ilvl="5" w:tentative="0">
      <w:start w:val="1"/>
      <w:numFmt w:val="decimal"/>
      <w:lvlText w:val="%1.%2.%3.%4.%5.%6"/>
      <w:lvlJc w:val="left"/>
      <w:pPr>
        <w:tabs>
          <w:tab w:val="left" w:pos="1152"/>
        </w:tabs>
        <w:ind w:left="0" w:firstLine="0"/>
      </w:pPr>
    </w:lvl>
    <w:lvl w:ilvl="6" w:tentative="0">
      <w:start w:val="1"/>
      <w:numFmt w:val="decimal"/>
      <w:lvlText w:val="%1.%2.%3.%4.%5.%6.%7"/>
      <w:lvlJc w:val="left"/>
      <w:pPr>
        <w:tabs>
          <w:tab w:val="left" w:pos="1296"/>
        </w:tabs>
        <w:ind w:left="0" w:firstLine="0"/>
      </w:pPr>
    </w:lvl>
    <w:lvl w:ilvl="7" w:tentative="0">
      <w:start w:val="1"/>
      <w:numFmt w:val="decimal"/>
      <w:lvlText w:val="%1.%2.%3.%4.%5.%6.%7.%8"/>
      <w:lvlJc w:val="left"/>
      <w:pPr>
        <w:tabs>
          <w:tab w:val="left" w:pos="1440"/>
        </w:tabs>
        <w:ind w:left="0" w:firstLine="0"/>
      </w:pPr>
    </w:lvl>
    <w:lvl w:ilvl="8" w:tentative="0">
      <w:start w:val="1"/>
      <w:numFmt w:val="decimal"/>
      <w:lvlText w:val="%1.%2.%3.%4.%5.%6.%7.%8.%9"/>
      <w:lvlJc w:val="left"/>
      <w:pPr>
        <w:tabs>
          <w:tab w:val="left" w:pos="1584"/>
        </w:tabs>
        <w:ind w:left="0" w:firstLine="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JmYTY2NWIxMjczY2E4MzdkNzQ5MjhhOGZkNTQyNDcifQ=="/>
  </w:docVars>
  <w:rsids>
    <w:rsidRoot w:val="00172A27"/>
    <w:rsid w:val="00000218"/>
    <w:rsid w:val="00001534"/>
    <w:rsid w:val="00002186"/>
    <w:rsid w:val="000028FD"/>
    <w:rsid w:val="00004741"/>
    <w:rsid w:val="00004CE9"/>
    <w:rsid w:val="00006D9A"/>
    <w:rsid w:val="0000736C"/>
    <w:rsid w:val="0000747B"/>
    <w:rsid w:val="00011BA2"/>
    <w:rsid w:val="000121B7"/>
    <w:rsid w:val="00013A6F"/>
    <w:rsid w:val="00013E18"/>
    <w:rsid w:val="00014794"/>
    <w:rsid w:val="00014989"/>
    <w:rsid w:val="00014F19"/>
    <w:rsid w:val="00015C71"/>
    <w:rsid w:val="00015FFF"/>
    <w:rsid w:val="00016C93"/>
    <w:rsid w:val="000172FB"/>
    <w:rsid w:val="00017936"/>
    <w:rsid w:val="00017A47"/>
    <w:rsid w:val="00020CFA"/>
    <w:rsid w:val="00020E9B"/>
    <w:rsid w:val="00021464"/>
    <w:rsid w:val="000217F8"/>
    <w:rsid w:val="00022154"/>
    <w:rsid w:val="0002215A"/>
    <w:rsid w:val="00022AC2"/>
    <w:rsid w:val="00022D41"/>
    <w:rsid w:val="00023954"/>
    <w:rsid w:val="00024184"/>
    <w:rsid w:val="00024194"/>
    <w:rsid w:val="000245EC"/>
    <w:rsid w:val="00024692"/>
    <w:rsid w:val="000269BF"/>
    <w:rsid w:val="00027C07"/>
    <w:rsid w:val="00031F31"/>
    <w:rsid w:val="000322D2"/>
    <w:rsid w:val="00032706"/>
    <w:rsid w:val="000331D7"/>
    <w:rsid w:val="0003337E"/>
    <w:rsid w:val="00033C86"/>
    <w:rsid w:val="000345EB"/>
    <w:rsid w:val="00034FA7"/>
    <w:rsid w:val="000359C9"/>
    <w:rsid w:val="0003626C"/>
    <w:rsid w:val="00036872"/>
    <w:rsid w:val="00037110"/>
    <w:rsid w:val="000375EF"/>
    <w:rsid w:val="000376FE"/>
    <w:rsid w:val="00037FE3"/>
    <w:rsid w:val="000402EF"/>
    <w:rsid w:val="000407E1"/>
    <w:rsid w:val="00041260"/>
    <w:rsid w:val="0004133C"/>
    <w:rsid w:val="0004146E"/>
    <w:rsid w:val="000415E6"/>
    <w:rsid w:val="00041A48"/>
    <w:rsid w:val="00043891"/>
    <w:rsid w:val="000438EF"/>
    <w:rsid w:val="00043EE2"/>
    <w:rsid w:val="0004412F"/>
    <w:rsid w:val="00044642"/>
    <w:rsid w:val="0004475C"/>
    <w:rsid w:val="00044777"/>
    <w:rsid w:val="000451E0"/>
    <w:rsid w:val="00046CE8"/>
    <w:rsid w:val="0004701D"/>
    <w:rsid w:val="000475E4"/>
    <w:rsid w:val="0004771B"/>
    <w:rsid w:val="00047CAC"/>
    <w:rsid w:val="00050837"/>
    <w:rsid w:val="00050BE3"/>
    <w:rsid w:val="00053349"/>
    <w:rsid w:val="00053729"/>
    <w:rsid w:val="000540F3"/>
    <w:rsid w:val="000543FF"/>
    <w:rsid w:val="00054897"/>
    <w:rsid w:val="00054D39"/>
    <w:rsid w:val="00054EA5"/>
    <w:rsid w:val="00055A06"/>
    <w:rsid w:val="000564A3"/>
    <w:rsid w:val="00056855"/>
    <w:rsid w:val="00056BE9"/>
    <w:rsid w:val="00056C86"/>
    <w:rsid w:val="000575A8"/>
    <w:rsid w:val="000577FA"/>
    <w:rsid w:val="00057947"/>
    <w:rsid w:val="000579F3"/>
    <w:rsid w:val="00057FF9"/>
    <w:rsid w:val="000603DF"/>
    <w:rsid w:val="0006190B"/>
    <w:rsid w:val="000625F9"/>
    <w:rsid w:val="00063DBF"/>
    <w:rsid w:val="00063E5E"/>
    <w:rsid w:val="00065141"/>
    <w:rsid w:val="00065268"/>
    <w:rsid w:val="000653F8"/>
    <w:rsid w:val="000661EC"/>
    <w:rsid w:val="000670E1"/>
    <w:rsid w:val="00071066"/>
    <w:rsid w:val="000712A3"/>
    <w:rsid w:val="00071B81"/>
    <w:rsid w:val="00072049"/>
    <w:rsid w:val="0007369B"/>
    <w:rsid w:val="0007425E"/>
    <w:rsid w:val="000744BA"/>
    <w:rsid w:val="00076C7B"/>
    <w:rsid w:val="00077048"/>
    <w:rsid w:val="0007741F"/>
    <w:rsid w:val="0008000C"/>
    <w:rsid w:val="00080122"/>
    <w:rsid w:val="000803DA"/>
    <w:rsid w:val="00081163"/>
    <w:rsid w:val="000814F5"/>
    <w:rsid w:val="00081C43"/>
    <w:rsid w:val="0008219C"/>
    <w:rsid w:val="000835A9"/>
    <w:rsid w:val="00085C05"/>
    <w:rsid w:val="0008641C"/>
    <w:rsid w:val="00086E9B"/>
    <w:rsid w:val="00087D51"/>
    <w:rsid w:val="000906DA"/>
    <w:rsid w:val="000922B5"/>
    <w:rsid w:val="00092BE1"/>
    <w:rsid w:val="000930BE"/>
    <w:rsid w:val="00093D1A"/>
    <w:rsid w:val="000973E7"/>
    <w:rsid w:val="00097E9B"/>
    <w:rsid w:val="000A08B0"/>
    <w:rsid w:val="000A1B0E"/>
    <w:rsid w:val="000A1C96"/>
    <w:rsid w:val="000A20DD"/>
    <w:rsid w:val="000A2B21"/>
    <w:rsid w:val="000A303C"/>
    <w:rsid w:val="000A335F"/>
    <w:rsid w:val="000A43FE"/>
    <w:rsid w:val="000A451F"/>
    <w:rsid w:val="000A5E0C"/>
    <w:rsid w:val="000A761B"/>
    <w:rsid w:val="000B0062"/>
    <w:rsid w:val="000B0AA1"/>
    <w:rsid w:val="000B0D61"/>
    <w:rsid w:val="000B14CE"/>
    <w:rsid w:val="000B18BC"/>
    <w:rsid w:val="000B191E"/>
    <w:rsid w:val="000B1C1F"/>
    <w:rsid w:val="000B3180"/>
    <w:rsid w:val="000B37ED"/>
    <w:rsid w:val="000B3887"/>
    <w:rsid w:val="000B398F"/>
    <w:rsid w:val="000B3999"/>
    <w:rsid w:val="000B486F"/>
    <w:rsid w:val="000B545A"/>
    <w:rsid w:val="000B5BC7"/>
    <w:rsid w:val="000B6E9B"/>
    <w:rsid w:val="000B7338"/>
    <w:rsid w:val="000C0C8E"/>
    <w:rsid w:val="000C355E"/>
    <w:rsid w:val="000C3B0D"/>
    <w:rsid w:val="000C47BC"/>
    <w:rsid w:val="000C4EF7"/>
    <w:rsid w:val="000C5587"/>
    <w:rsid w:val="000C624E"/>
    <w:rsid w:val="000C63EB"/>
    <w:rsid w:val="000C6AAF"/>
    <w:rsid w:val="000D0554"/>
    <w:rsid w:val="000D135A"/>
    <w:rsid w:val="000D19CC"/>
    <w:rsid w:val="000D1FEC"/>
    <w:rsid w:val="000D2877"/>
    <w:rsid w:val="000D2CEB"/>
    <w:rsid w:val="000D359A"/>
    <w:rsid w:val="000D4700"/>
    <w:rsid w:val="000D547C"/>
    <w:rsid w:val="000D6D0F"/>
    <w:rsid w:val="000D7477"/>
    <w:rsid w:val="000D74E6"/>
    <w:rsid w:val="000E222C"/>
    <w:rsid w:val="000E244E"/>
    <w:rsid w:val="000E2A89"/>
    <w:rsid w:val="000E3445"/>
    <w:rsid w:val="000E3B3D"/>
    <w:rsid w:val="000E4324"/>
    <w:rsid w:val="000E4AB2"/>
    <w:rsid w:val="000E7A87"/>
    <w:rsid w:val="000F090A"/>
    <w:rsid w:val="000F0E31"/>
    <w:rsid w:val="000F17D5"/>
    <w:rsid w:val="000F1EBF"/>
    <w:rsid w:val="000F236E"/>
    <w:rsid w:val="000F4A35"/>
    <w:rsid w:val="000F61AB"/>
    <w:rsid w:val="000F6757"/>
    <w:rsid w:val="000F78A2"/>
    <w:rsid w:val="000F79C8"/>
    <w:rsid w:val="000F7FA2"/>
    <w:rsid w:val="0010026C"/>
    <w:rsid w:val="00100418"/>
    <w:rsid w:val="00100D7C"/>
    <w:rsid w:val="00101DD6"/>
    <w:rsid w:val="00101DE1"/>
    <w:rsid w:val="0010270A"/>
    <w:rsid w:val="001029DE"/>
    <w:rsid w:val="001033B7"/>
    <w:rsid w:val="00103439"/>
    <w:rsid w:val="0010392F"/>
    <w:rsid w:val="00104D72"/>
    <w:rsid w:val="00106814"/>
    <w:rsid w:val="00106E0C"/>
    <w:rsid w:val="0011043D"/>
    <w:rsid w:val="001107DB"/>
    <w:rsid w:val="00110E9E"/>
    <w:rsid w:val="0011101B"/>
    <w:rsid w:val="00112375"/>
    <w:rsid w:val="00112610"/>
    <w:rsid w:val="0011278A"/>
    <w:rsid w:val="00112D74"/>
    <w:rsid w:val="00113D4F"/>
    <w:rsid w:val="00114415"/>
    <w:rsid w:val="0011458E"/>
    <w:rsid w:val="00114ECE"/>
    <w:rsid w:val="00114F3A"/>
    <w:rsid w:val="001153A0"/>
    <w:rsid w:val="00116AAB"/>
    <w:rsid w:val="00117696"/>
    <w:rsid w:val="00117911"/>
    <w:rsid w:val="001208AE"/>
    <w:rsid w:val="00120C12"/>
    <w:rsid w:val="001216CE"/>
    <w:rsid w:val="0012262F"/>
    <w:rsid w:val="001249B6"/>
    <w:rsid w:val="00124B96"/>
    <w:rsid w:val="00124D3D"/>
    <w:rsid w:val="00125B89"/>
    <w:rsid w:val="001279AB"/>
    <w:rsid w:val="0013211B"/>
    <w:rsid w:val="001321CB"/>
    <w:rsid w:val="001346C8"/>
    <w:rsid w:val="00134AF4"/>
    <w:rsid w:val="001366B1"/>
    <w:rsid w:val="0013776F"/>
    <w:rsid w:val="00140985"/>
    <w:rsid w:val="00141245"/>
    <w:rsid w:val="001413C7"/>
    <w:rsid w:val="00141A17"/>
    <w:rsid w:val="00142067"/>
    <w:rsid w:val="001420B9"/>
    <w:rsid w:val="001425ED"/>
    <w:rsid w:val="001434AE"/>
    <w:rsid w:val="00143BCB"/>
    <w:rsid w:val="00144369"/>
    <w:rsid w:val="00145028"/>
    <w:rsid w:val="00145B20"/>
    <w:rsid w:val="00145C13"/>
    <w:rsid w:val="001473BD"/>
    <w:rsid w:val="00147B41"/>
    <w:rsid w:val="00147CF2"/>
    <w:rsid w:val="00147F46"/>
    <w:rsid w:val="0015067A"/>
    <w:rsid w:val="0015072F"/>
    <w:rsid w:val="00152A3C"/>
    <w:rsid w:val="00152EC8"/>
    <w:rsid w:val="00152FA5"/>
    <w:rsid w:val="00153DE2"/>
    <w:rsid w:val="00153E3D"/>
    <w:rsid w:val="00154AEA"/>
    <w:rsid w:val="00155621"/>
    <w:rsid w:val="00156694"/>
    <w:rsid w:val="00156E1F"/>
    <w:rsid w:val="0015752B"/>
    <w:rsid w:val="0015765F"/>
    <w:rsid w:val="00157EB5"/>
    <w:rsid w:val="0016046B"/>
    <w:rsid w:val="001607CA"/>
    <w:rsid w:val="00160AA7"/>
    <w:rsid w:val="00162295"/>
    <w:rsid w:val="0016371E"/>
    <w:rsid w:val="00163BCF"/>
    <w:rsid w:val="00164174"/>
    <w:rsid w:val="00164739"/>
    <w:rsid w:val="00164CEA"/>
    <w:rsid w:val="001652FB"/>
    <w:rsid w:val="00165F64"/>
    <w:rsid w:val="00166075"/>
    <w:rsid w:val="00167731"/>
    <w:rsid w:val="00167803"/>
    <w:rsid w:val="0016780D"/>
    <w:rsid w:val="00170372"/>
    <w:rsid w:val="001741C8"/>
    <w:rsid w:val="001765DD"/>
    <w:rsid w:val="00177C74"/>
    <w:rsid w:val="00180A36"/>
    <w:rsid w:val="00180F02"/>
    <w:rsid w:val="001836DD"/>
    <w:rsid w:val="0018382E"/>
    <w:rsid w:val="00185195"/>
    <w:rsid w:val="0018578B"/>
    <w:rsid w:val="001865C7"/>
    <w:rsid w:val="0018704B"/>
    <w:rsid w:val="00190115"/>
    <w:rsid w:val="001910C9"/>
    <w:rsid w:val="00192460"/>
    <w:rsid w:val="00192DC8"/>
    <w:rsid w:val="00192F5C"/>
    <w:rsid w:val="00193229"/>
    <w:rsid w:val="0019323C"/>
    <w:rsid w:val="001942B0"/>
    <w:rsid w:val="0019458A"/>
    <w:rsid w:val="00194C34"/>
    <w:rsid w:val="001963F3"/>
    <w:rsid w:val="00196F3C"/>
    <w:rsid w:val="001A02DF"/>
    <w:rsid w:val="001A0475"/>
    <w:rsid w:val="001A0B04"/>
    <w:rsid w:val="001A0F18"/>
    <w:rsid w:val="001A0F73"/>
    <w:rsid w:val="001A2683"/>
    <w:rsid w:val="001A2846"/>
    <w:rsid w:val="001A43C5"/>
    <w:rsid w:val="001A448D"/>
    <w:rsid w:val="001A46B5"/>
    <w:rsid w:val="001A49E0"/>
    <w:rsid w:val="001A5540"/>
    <w:rsid w:val="001A5A85"/>
    <w:rsid w:val="001A631B"/>
    <w:rsid w:val="001A6BC1"/>
    <w:rsid w:val="001A7973"/>
    <w:rsid w:val="001B0276"/>
    <w:rsid w:val="001B0CEA"/>
    <w:rsid w:val="001B1103"/>
    <w:rsid w:val="001B2E55"/>
    <w:rsid w:val="001B4F3E"/>
    <w:rsid w:val="001B5896"/>
    <w:rsid w:val="001B5A90"/>
    <w:rsid w:val="001B5EE8"/>
    <w:rsid w:val="001B649A"/>
    <w:rsid w:val="001B6EA7"/>
    <w:rsid w:val="001B74B1"/>
    <w:rsid w:val="001B7DD9"/>
    <w:rsid w:val="001C0BCB"/>
    <w:rsid w:val="001C0E53"/>
    <w:rsid w:val="001C1C94"/>
    <w:rsid w:val="001C2191"/>
    <w:rsid w:val="001C2291"/>
    <w:rsid w:val="001C2337"/>
    <w:rsid w:val="001C2BCB"/>
    <w:rsid w:val="001C2FD9"/>
    <w:rsid w:val="001C3110"/>
    <w:rsid w:val="001C3BC4"/>
    <w:rsid w:val="001C427C"/>
    <w:rsid w:val="001C5D40"/>
    <w:rsid w:val="001C66D0"/>
    <w:rsid w:val="001D055B"/>
    <w:rsid w:val="001D225C"/>
    <w:rsid w:val="001D27C0"/>
    <w:rsid w:val="001D2B9B"/>
    <w:rsid w:val="001D2D31"/>
    <w:rsid w:val="001D3725"/>
    <w:rsid w:val="001D4034"/>
    <w:rsid w:val="001D4072"/>
    <w:rsid w:val="001D4D10"/>
    <w:rsid w:val="001D4D47"/>
    <w:rsid w:val="001D6454"/>
    <w:rsid w:val="001D6689"/>
    <w:rsid w:val="001D704C"/>
    <w:rsid w:val="001D7212"/>
    <w:rsid w:val="001D765D"/>
    <w:rsid w:val="001E2825"/>
    <w:rsid w:val="001E32C0"/>
    <w:rsid w:val="001E452A"/>
    <w:rsid w:val="001E4D83"/>
    <w:rsid w:val="001E5464"/>
    <w:rsid w:val="001E581D"/>
    <w:rsid w:val="001E701A"/>
    <w:rsid w:val="001E72E4"/>
    <w:rsid w:val="001F057D"/>
    <w:rsid w:val="001F0CB6"/>
    <w:rsid w:val="001F2084"/>
    <w:rsid w:val="001F273C"/>
    <w:rsid w:val="001F2A43"/>
    <w:rsid w:val="001F2BED"/>
    <w:rsid w:val="001F2E49"/>
    <w:rsid w:val="001F48DF"/>
    <w:rsid w:val="001F584F"/>
    <w:rsid w:val="001F5A39"/>
    <w:rsid w:val="001F5A7B"/>
    <w:rsid w:val="001F5CC6"/>
    <w:rsid w:val="001F71FF"/>
    <w:rsid w:val="001F7D27"/>
    <w:rsid w:val="00201B37"/>
    <w:rsid w:val="00202DA7"/>
    <w:rsid w:val="00202F21"/>
    <w:rsid w:val="00203678"/>
    <w:rsid w:val="00203FEF"/>
    <w:rsid w:val="002040BE"/>
    <w:rsid w:val="002041E7"/>
    <w:rsid w:val="0020421E"/>
    <w:rsid w:val="00204EC4"/>
    <w:rsid w:val="00205377"/>
    <w:rsid w:val="0020562D"/>
    <w:rsid w:val="00205A84"/>
    <w:rsid w:val="00205E6F"/>
    <w:rsid w:val="00207C57"/>
    <w:rsid w:val="00207FA9"/>
    <w:rsid w:val="00210069"/>
    <w:rsid w:val="002103E7"/>
    <w:rsid w:val="00211121"/>
    <w:rsid w:val="00211208"/>
    <w:rsid w:val="00211864"/>
    <w:rsid w:val="00211C3D"/>
    <w:rsid w:val="002120D9"/>
    <w:rsid w:val="002122B8"/>
    <w:rsid w:val="00213B79"/>
    <w:rsid w:val="00214270"/>
    <w:rsid w:val="002142EC"/>
    <w:rsid w:val="00216061"/>
    <w:rsid w:val="00216585"/>
    <w:rsid w:val="00216B2B"/>
    <w:rsid w:val="00216DF6"/>
    <w:rsid w:val="00216E66"/>
    <w:rsid w:val="00217B92"/>
    <w:rsid w:val="002221B6"/>
    <w:rsid w:val="002249AD"/>
    <w:rsid w:val="002256F8"/>
    <w:rsid w:val="002264B1"/>
    <w:rsid w:val="00226642"/>
    <w:rsid w:val="0023064D"/>
    <w:rsid w:val="00230AB1"/>
    <w:rsid w:val="00231F1A"/>
    <w:rsid w:val="0023243B"/>
    <w:rsid w:val="0023269A"/>
    <w:rsid w:val="00232C12"/>
    <w:rsid w:val="00233126"/>
    <w:rsid w:val="0023394B"/>
    <w:rsid w:val="00234130"/>
    <w:rsid w:val="00234318"/>
    <w:rsid w:val="0023466D"/>
    <w:rsid w:val="00235863"/>
    <w:rsid w:val="00235938"/>
    <w:rsid w:val="00235F1E"/>
    <w:rsid w:val="00236835"/>
    <w:rsid w:val="00236AC8"/>
    <w:rsid w:val="00237865"/>
    <w:rsid w:val="0024094F"/>
    <w:rsid w:val="00240A1C"/>
    <w:rsid w:val="00241C3C"/>
    <w:rsid w:val="00243C14"/>
    <w:rsid w:val="00243CA5"/>
    <w:rsid w:val="00243CDF"/>
    <w:rsid w:val="0024450C"/>
    <w:rsid w:val="002473F3"/>
    <w:rsid w:val="0025094A"/>
    <w:rsid w:val="00251099"/>
    <w:rsid w:val="002510CA"/>
    <w:rsid w:val="002532D5"/>
    <w:rsid w:val="00253481"/>
    <w:rsid w:val="00255501"/>
    <w:rsid w:val="002566BF"/>
    <w:rsid w:val="00256AB3"/>
    <w:rsid w:val="00257356"/>
    <w:rsid w:val="0025750C"/>
    <w:rsid w:val="002575E8"/>
    <w:rsid w:val="00257971"/>
    <w:rsid w:val="00264534"/>
    <w:rsid w:val="00264B35"/>
    <w:rsid w:val="002657E0"/>
    <w:rsid w:val="0026693B"/>
    <w:rsid w:val="00267146"/>
    <w:rsid w:val="00267196"/>
    <w:rsid w:val="00267834"/>
    <w:rsid w:val="0027248F"/>
    <w:rsid w:val="0027275A"/>
    <w:rsid w:val="002747CE"/>
    <w:rsid w:val="0027481A"/>
    <w:rsid w:val="002749F1"/>
    <w:rsid w:val="00275121"/>
    <w:rsid w:val="00276F3B"/>
    <w:rsid w:val="00281B3A"/>
    <w:rsid w:val="0028255B"/>
    <w:rsid w:val="00282D54"/>
    <w:rsid w:val="00283EFE"/>
    <w:rsid w:val="00283F06"/>
    <w:rsid w:val="00284187"/>
    <w:rsid w:val="00284228"/>
    <w:rsid w:val="002860DF"/>
    <w:rsid w:val="00287628"/>
    <w:rsid w:val="00287B64"/>
    <w:rsid w:val="00290CDD"/>
    <w:rsid w:val="002923BA"/>
    <w:rsid w:val="002923DA"/>
    <w:rsid w:val="00292B97"/>
    <w:rsid w:val="002942E5"/>
    <w:rsid w:val="0029455A"/>
    <w:rsid w:val="002A1517"/>
    <w:rsid w:val="002A1DB7"/>
    <w:rsid w:val="002A1ED7"/>
    <w:rsid w:val="002A302C"/>
    <w:rsid w:val="002A30F4"/>
    <w:rsid w:val="002A3993"/>
    <w:rsid w:val="002A4281"/>
    <w:rsid w:val="002A43CE"/>
    <w:rsid w:val="002A451A"/>
    <w:rsid w:val="002A54C8"/>
    <w:rsid w:val="002A5FBE"/>
    <w:rsid w:val="002A60EB"/>
    <w:rsid w:val="002A6730"/>
    <w:rsid w:val="002A6A51"/>
    <w:rsid w:val="002A757F"/>
    <w:rsid w:val="002A7A20"/>
    <w:rsid w:val="002A7E8F"/>
    <w:rsid w:val="002B0330"/>
    <w:rsid w:val="002B0502"/>
    <w:rsid w:val="002B0847"/>
    <w:rsid w:val="002B10DD"/>
    <w:rsid w:val="002B1DA2"/>
    <w:rsid w:val="002B2C5D"/>
    <w:rsid w:val="002B2CFD"/>
    <w:rsid w:val="002B2E67"/>
    <w:rsid w:val="002B313D"/>
    <w:rsid w:val="002B31A3"/>
    <w:rsid w:val="002B389D"/>
    <w:rsid w:val="002B4935"/>
    <w:rsid w:val="002B4AEE"/>
    <w:rsid w:val="002B4FA6"/>
    <w:rsid w:val="002B5684"/>
    <w:rsid w:val="002B5C8B"/>
    <w:rsid w:val="002B621A"/>
    <w:rsid w:val="002C0551"/>
    <w:rsid w:val="002C0C60"/>
    <w:rsid w:val="002C10D5"/>
    <w:rsid w:val="002C2EDD"/>
    <w:rsid w:val="002C3205"/>
    <w:rsid w:val="002C476B"/>
    <w:rsid w:val="002C49DD"/>
    <w:rsid w:val="002C4DE3"/>
    <w:rsid w:val="002C58A1"/>
    <w:rsid w:val="002C677B"/>
    <w:rsid w:val="002C6CCA"/>
    <w:rsid w:val="002C75A3"/>
    <w:rsid w:val="002C7FDB"/>
    <w:rsid w:val="002D0859"/>
    <w:rsid w:val="002D165C"/>
    <w:rsid w:val="002D19D7"/>
    <w:rsid w:val="002D2013"/>
    <w:rsid w:val="002D38AB"/>
    <w:rsid w:val="002D4587"/>
    <w:rsid w:val="002D4988"/>
    <w:rsid w:val="002D4BBE"/>
    <w:rsid w:val="002D4CCA"/>
    <w:rsid w:val="002D5048"/>
    <w:rsid w:val="002D65D5"/>
    <w:rsid w:val="002D7924"/>
    <w:rsid w:val="002D7A84"/>
    <w:rsid w:val="002E0725"/>
    <w:rsid w:val="002E0CB8"/>
    <w:rsid w:val="002E11B1"/>
    <w:rsid w:val="002E1FAE"/>
    <w:rsid w:val="002E27BE"/>
    <w:rsid w:val="002E289B"/>
    <w:rsid w:val="002E36FC"/>
    <w:rsid w:val="002E3DE2"/>
    <w:rsid w:val="002E449E"/>
    <w:rsid w:val="002E50ED"/>
    <w:rsid w:val="002E62B1"/>
    <w:rsid w:val="002E70A0"/>
    <w:rsid w:val="002F02D9"/>
    <w:rsid w:val="002F1035"/>
    <w:rsid w:val="002F10E5"/>
    <w:rsid w:val="002F199C"/>
    <w:rsid w:val="002F1ABC"/>
    <w:rsid w:val="002F320C"/>
    <w:rsid w:val="002F4445"/>
    <w:rsid w:val="002F4B56"/>
    <w:rsid w:val="002F522E"/>
    <w:rsid w:val="002F5421"/>
    <w:rsid w:val="002F5B63"/>
    <w:rsid w:val="002F778A"/>
    <w:rsid w:val="0030131A"/>
    <w:rsid w:val="00301DE0"/>
    <w:rsid w:val="00302341"/>
    <w:rsid w:val="00303EF1"/>
    <w:rsid w:val="003053AC"/>
    <w:rsid w:val="00310466"/>
    <w:rsid w:val="00310E1F"/>
    <w:rsid w:val="00311077"/>
    <w:rsid w:val="003116C7"/>
    <w:rsid w:val="0031381E"/>
    <w:rsid w:val="00313921"/>
    <w:rsid w:val="00314E67"/>
    <w:rsid w:val="00315501"/>
    <w:rsid w:val="00315A98"/>
    <w:rsid w:val="00316268"/>
    <w:rsid w:val="003169D3"/>
    <w:rsid w:val="003169F3"/>
    <w:rsid w:val="00316A90"/>
    <w:rsid w:val="00316E98"/>
    <w:rsid w:val="00316EA0"/>
    <w:rsid w:val="0032035D"/>
    <w:rsid w:val="00320A83"/>
    <w:rsid w:val="00321539"/>
    <w:rsid w:val="00321A70"/>
    <w:rsid w:val="00321D2C"/>
    <w:rsid w:val="00321FBD"/>
    <w:rsid w:val="003229C0"/>
    <w:rsid w:val="00322C4A"/>
    <w:rsid w:val="00323CF9"/>
    <w:rsid w:val="00325EEF"/>
    <w:rsid w:val="003265F4"/>
    <w:rsid w:val="00327139"/>
    <w:rsid w:val="00330E06"/>
    <w:rsid w:val="0033150D"/>
    <w:rsid w:val="0033203D"/>
    <w:rsid w:val="00332386"/>
    <w:rsid w:val="003344A1"/>
    <w:rsid w:val="003350C4"/>
    <w:rsid w:val="00335932"/>
    <w:rsid w:val="00335E50"/>
    <w:rsid w:val="00336809"/>
    <w:rsid w:val="00336C45"/>
    <w:rsid w:val="00336D77"/>
    <w:rsid w:val="00340E36"/>
    <w:rsid w:val="00342ACC"/>
    <w:rsid w:val="0034342B"/>
    <w:rsid w:val="00344589"/>
    <w:rsid w:val="00344DBF"/>
    <w:rsid w:val="00345EE7"/>
    <w:rsid w:val="003474B0"/>
    <w:rsid w:val="00347AEB"/>
    <w:rsid w:val="00350720"/>
    <w:rsid w:val="003509B6"/>
    <w:rsid w:val="00350F8A"/>
    <w:rsid w:val="00351061"/>
    <w:rsid w:val="00351832"/>
    <w:rsid w:val="003520E1"/>
    <w:rsid w:val="003537A1"/>
    <w:rsid w:val="003537C9"/>
    <w:rsid w:val="00354ED3"/>
    <w:rsid w:val="00355FAB"/>
    <w:rsid w:val="00356137"/>
    <w:rsid w:val="00356A91"/>
    <w:rsid w:val="00357E27"/>
    <w:rsid w:val="00357E8C"/>
    <w:rsid w:val="003611A3"/>
    <w:rsid w:val="00363122"/>
    <w:rsid w:val="00364004"/>
    <w:rsid w:val="00364093"/>
    <w:rsid w:val="003647B8"/>
    <w:rsid w:val="003647BF"/>
    <w:rsid w:val="0036497E"/>
    <w:rsid w:val="0036577E"/>
    <w:rsid w:val="00365FCE"/>
    <w:rsid w:val="00366DA9"/>
    <w:rsid w:val="003702C8"/>
    <w:rsid w:val="00370932"/>
    <w:rsid w:val="00373000"/>
    <w:rsid w:val="00373A25"/>
    <w:rsid w:val="00374213"/>
    <w:rsid w:val="00374957"/>
    <w:rsid w:val="00375961"/>
    <w:rsid w:val="00376837"/>
    <w:rsid w:val="00376F96"/>
    <w:rsid w:val="00380DF9"/>
    <w:rsid w:val="003814BF"/>
    <w:rsid w:val="003815A8"/>
    <w:rsid w:val="00381E55"/>
    <w:rsid w:val="00382C52"/>
    <w:rsid w:val="00383614"/>
    <w:rsid w:val="00383BC0"/>
    <w:rsid w:val="003843F6"/>
    <w:rsid w:val="00384C06"/>
    <w:rsid w:val="00384F6C"/>
    <w:rsid w:val="003851BA"/>
    <w:rsid w:val="00385E3C"/>
    <w:rsid w:val="00385F18"/>
    <w:rsid w:val="00386A3E"/>
    <w:rsid w:val="003879F5"/>
    <w:rsid w:val="003901A6"/>
    <w:rsid w:val="00390816"/>
    <w:rsid w:val="00390C37"/>
    <w:rsid w:val="00391369"/>
    <w:rsid w:val="003915F3"/>
    <w:rsid w:val="00391960"/>
    <w:rsid w:val="00391E77"/>
    <w:rsid w:val="0039354B"/>
    <w:rsid w:val="00393F89"/>
    <w:rsid w:val="00395922"/>
    <w:rsid w:val="003965B5"/>
    <w:rsid w:val="00396BE1"/>
    <w:rsid w:val="003971DE"/>
    <w:rsid w:val="00397418"/>
    <w:rsid w:val="0039741F"/>
    <w:rsid w:val="003977CE"/>
    <w:rsid w:val="00397B18"/>
    <w:rsid w:val="003A0690"/>
    <w:rsid w:val="003A2FEA"/>
    <w:rsid w:val="003A45CC"/>
    <w:rsid w:val="003A50C2"/>
    <w:rsid w:val="003A59D1"/>
    <w:rsid w:val="003A626E"/>
    <w:rsid w:val="003A6F24"/>
    <w:rsid w:val="003A7011"/>
    <w:rsid w:val="003B1B85"/>
    <w:rsid w:val="003B1F4D"/>
    <w:rsid w:val="003B21D2"/>
    <w:rsid w:val="003B30E7"/>
    <w:rsid w:val="003B33BA"/>
    <w:rsid w:val="003B3D05"/>
    <w:rsid w:val="003B4DC7"/>
    <w:rsid w:val="003B67D4"/>
    <w:rsid w:val="003B70CD"/>
    <w:rsid w:val="003B7621"/>
    <w:rsid w:val="003B7B72"/>
    <w:rsid w:val="003C1022"/>
    <w:rsid w:val="003C1292"/>
    <w:rsid w:val="003C15D4"/>
    <w:rsid w:val="003C2004"/>
    <w:rsid w:val="003C2182"/>
    <w:rsid w:val="003C34EC"/>
    <w:rsid w:val="003C4DB8"/>
    <w:rsid w:val="003C52DA"/>
    <w:rsid w:val="003C55A6"/>
    <w:rsid w:val="003C5DD6"/>
    <w:rsid w:val="003C6280"/>
    <w:rsid w:val="003D09BE"/>
    <w:rsid w:val="003D0EC4"/>
    <w:rsid w:val="003D122E"/>
    <w:rsid w:val="003D233C"/>
    <w:rsid w:val="003D26C0"/>
    <w:rsid w:val="003D2A15"/>
    <w:rsid w:val="003D38F5"/>
    <w:rsid w:val="003D39EA"/>
    <w:rsid w:val="003D3CCF"/>
    <w:rsid w:val="003D3D4C"/>
    <w:rsid w:val="003D4665"/>
    <w:rsid w:val="003D6E1E"/>
    <w:rsid w:val="003D7D7A"/>
    <w:rsid w:val="003E04D7"/>
    <w:rsid w:val="003E0AFB"/>
    <w:rsid w:val="003E0F1D"/>
    <w:rsid w:val="003E1480"/>
    <w:rsid w:val="003E221F"/>
    <w:rsid w:val="003E400E"/>
    <w:rsid w:val="003E47D4"/>
    <w:rsid w:val="003E6179"/>
    <w:rsid w:val="003E6ED3"/>
    <w:rsid w:val="003F0527"/>
    <w:rsid w:val="003F0C7E"/>
    <w:rsid w:val="003F11B8"/>
    <w:rsid w:val="003F1826"/>
    <w:rsid w:val="003F1A25"/>
    <w:rsid w:val="003F2552"/>
    <w:rsid w:val="003F27AA"/>
    <w:rsid w:val="003F2CC1"/>
    <w:rsid w:val="003F45D5"/>
    <w:rsid w:val="003F4769"/>
    <w:rsid w:val="003F560C"/>
    <w:rsid w:val="003F5634"/>
    <w:rsid w:val="003F58D2"/>
    <w:rsid w:val="003F62B6"/>
    <w:rsid w:val="003F66D6"/>
    <w:rsid w:val="003F6849"/>
    <w:rsid w:val="003F70EF"/>
    <w:rsid w:val="003F7513"/>
    <w:rsid w:val="003F775B"/>
    <w:rsid w:val="003F7DEB"/>
    <w:rsid w:val="00400236"/>
    <w:rsid w:val="00400573"/>
    <w:rsid w:val="0040061B"/>
    <w:rsid w:val="00402D3B"/>
    <w:rsid w:val="00402F90"/>
    <w:rsid w:val="004031F8"/>
    <w:rsid w:val="00406FA8"/>
    <w:rsid w:val="00407F9A"/>
    <w:rsid w:val="004106F1"/>
    <w:rsid w:val="00412F93"/>
    <w:rsid w:val="004139AF"/>
    <w:rsid w:val="0041475C"/>
    <w:rsid w:val="00414B9B"/>
    <w:rsid w:val="004154D1"/>
    <w:rsid w:val="00415A29"/>
    <w:rsid w:val="00415CFE"/>
    <w:rsid w:val="004167EC"/>
    <w:rsid w:val="00416858"/>
    <w:rsid w:val="0041730C"/>
    <w:rsid w:val="00417CDA"/>
    <w:rsid w:val="004204A1"/>
    <w:rsid w:val="0042071C"/>
    <w:rsid w:val="00420879"/>
    <w:rsid w:val="00420B8F"/>
    <w:rsid w:val="00422556"/>
    <w:rsid w:val="004227B4"/>
    <w:rsid w:val="0042294F"/>
    <w:rsid w:val="004254CA"/>
    <w:rsid w:val="0042648D"/>
    <w:rsid w:val="004276F4"/>
    <w:rsid w:val="00427B1E"/>
    <w:rsid w:val="0043142C"/>
    <w:rsid w:val="00432694"/>
    <w:rsid w:val="00434174"/>
    <w:rsid w:val="00434B86"/>
    <w:rsid w:val="00435848"/>
    <w:rsid w:val="004361D3"/>
    <w:rsid w:val="004362F5"/>
    <w:rsid w:val="00436644"/>
    <w:rsid w:val="00437EA5"/>
    <w:rsid w:val="004401A3"/>
    <w:rsid w:val="004402FA"/>
    <w:rsid w:val="004404B4"/>
    <w:rsid w:val="00441B2A"/>
    <w:rsid w:val="00441F6D"/>
    <w:rsid w:val="004421AC"/>
    <w:rsid w:val="00443374"/>
    <w:rsid w:val="0044433D"/>
    <w:rsid w:val="004456F8"/>
    <w:rsid w:val="00446A2C"/>
    <w:rsid w:val="00447BDB"/>
    <w:rsid w:val="00450C21"/>
    <w:rsid w:val="004513E6"/>
    <w:rsid w:val="004515A2"/>
    <w:rsid w:val="004527E3"/>
    <w:rsid w:val="004553A1"/>
    <w:rsid w:val="00455566"/>
    <w:rsid w:val="004562BB"/>
    <w:rsid w:val="00456BC6"/>
    <w:rsid w:val="00457C5F"/>
    <w:rsid w:val="00457D69"/>
    <w:rsid w:val="00457EFE"/>
    <w:rsid w:val="0046038D"/>
    <w:rsid w:val="004613C7"/>
    <w:rsid w:val="00461C72"/>
    <w:rsid w:val="00462051"/>
    <w:rsid w:val="00462AA9"/>
    <w:rsid w:val="00462B26"/>
    <w:rsid w:val="00463239"/>
    <w:rsid w:val="00463D1D"/>
    <w:rsid w:val="00466E59"/>
    <w:rsid w:val="00467193"/>
    <w:rsid w:val="004674E1"/>
    <w:rsid w:val="00467BAD"/>
    <w:rsid w:val="00470AD2"/>
    <w:rsid w:val="00471438"/>
    <w:rsid w:val="0047166F"/>
    <w:rsid w:val="00473013"/>
    <w:rsid w:val="00473CFC"/>
    <w:rsid w:val="0047470E"/>
    <w:rsid w:val="00474BA1"/>
    <w:rsid w:val="00474C84"/>
    <w:rsid w:val="00475221"/>
    <w:rsid w:val="004757E8"/>
    <w:rsid w:val="004768FE"/>
    <w:rsid w:val="004769A4"/>
    <w:rsid w:val="00477D26"/>
    <w:rsid w:val="00480783"/>
    <w:rsid w:val="004809D6"/>
    <w:rsid w:val="00481BDB"/>
    <w:rsid w:val="00482D3A"/>
    <w:rsid w:val="00483AB1"/>
    <w:rsid w:val="00483AD2"/>
    <w:rsid w:val="00483E27"/>
    <w:rsid w:val="00484F9B"/>
    <w:rsid w:val="00485490"/>
    <w:rsid w:val="0048649A"/>
    <w:rsid w:val="0048660C"/>
    <w:rsid w:val="004907B6"/>
    <w:rsid w:val="0049149E"/>
    <w:rsid w:val="0049153A"/>
    <w:rsid w:val="00491CCB"/>
    <w:rsid w:val="00492875"/>
    <w:rsid w:val="00493788"/>
    <w:rsid w:val="004943F4"/>
    <w:rsid w:val="00494477"/>
    <w:rsid w:val="00494664"/>
    <w:rsid w:val="00494FA9"/>
    <w:rsid w:val="00495883"/>
    <w:rsid w:val="00496300"/>
    <w:rsid w:val="004963F3"/>
    <w:rsid w:val="00496912"/>
    <w:rsid w:val="00496B46"/>
    <w:rsid w:val="00497C6D"/>
    <w:rsid w:val="004A245A"/>
    <w:rsid w:val="004A2CF8"/>
    <w:rsid w:val="004A2FEF"/>
    <w:rsid w:val="004A3547"/>
    <w:rsid w:val="004A3F4E"/>
    <w:rsid w:val="004A435C"/>
    <w:rsid w:val="004A4779"/>
    <w:rsid w:val="004A47DE"/>
    <w:rsid w:val="004A4B28"/>
    <w:rsid w:val="004A534C"/>
    <w:rsid w:val="004A5C10"/>
    <w:rsid w:val="004A68D2"/>
    <w:rsid w:val="004A6C03"/>
    <w:rsid w:val="004A759B"/>
    <w:rsid w:val="004A7B0B"/>
    <w:rsid w:val="004B151A"/>
    <w:rsid w:val="004B1C7F"/>
    <w:rsid w:val="004B2673"/>
    <w:rsid w:val="004B2B1E"/>
    <w:rsid w:val="004B40AE"/>
    <w:rsid w:val="004B53B6"/>
    <w:rsid w:val="004B5474"/>
    <w:rsid w:val="004B5CF0"/>
    <w:rsid w:val="004B6166"/>
    <w:rsid w:val="004B61DE"/>
    <w:rsid w:val="004B6589"/>
    <w:rsid w:val="004C12F9"/>
    <w:rsid w:val="004C1621"/>
    <w:rsid w:val="004C1927"/>
    <w:rsid w:val="004C220B"/>
    <w:rsid w:val="004C2D05"/>
    <w:rsid w:val="004C2D3C"/>
    <w:rsid w:val="004C4D75"/>
    <w:rsid w:val="004C5527"/>
    <w:rsid w:val="004C568A"/>
    <w:rsid w:val="004C56E3"/>
    <w:rsid w:val="004C5761"/>
    <w:rsid w:val="004C5897"/>
    <w:rsid w:val="004C5A9C"/>
    <w:rsid w:val="004C5D21"/>
    <w:rsid w:val="004C6FFB"/>
    <w:rsid w:val="004D2570"/>
    <w:rsid w:val="004D2909"/>
    <w:rsid w:val="004D341C"/>
    <w:rsid w:val="004D3557"/>
    <w:rsid w:val="004D43F5"/>
    <w:rsid w:val="004D4513"/>
    <w:rsid w:val="004D49EC"/>
    <w:rsid w:val="004D5392"/>
    <w:rsid w:val="004D5CC2"/>
    <w:rsid w:val="004D5F6F"/>
    <w:rsid w:val="004D6753"/>
    <w:rsid w:val="004D678F"/>
    <w:rsid w:val="004D6981"/>
    <w:rsid w:val="004D6ECA"/>
    <w:rsid w:val="004E0ACA"/>
    <w:rsid w:val="004E2197"/>
    <w:rsid w:val="004E258E"/>
    <w:rsid w:val="004E273A"/>
    <w:rsid w:val="004E274B"/>
    <w:rsid w:val="004E3A4D"/>
    <w:rsid w:val="004E41B4"/>
    <w:rsid w:val="004E6601"/>
    <w:rsid w:val="004E6A3F"/>
    <w:rsid w:val="004E6DE1"/>
    <w:rsid w:val="004F01AB"/>
    <w:rsid w:val="004F0F46"/>
    <w:rsid w:val="004F102A"/>
    <w:rsid w:val="004F1B11"/>
    <w:rsid w:val="004F2084"/>
    <w:rsid w:val="004F30A6"/>
    <w:rsid w:val="004F3864"/>
    <w:rsid w:val="004F39B4"/>
    <w:rsid w:val="004F40E3"/>
    <w:rsid w:val="004F42CC"/>
    <w:rsid w:val="004F433E"/>
    <w:rsid w:val="004F5E07"/>
    <w:rsid w:val="004F5F02"/>
    <w:rsid w:val="004F641F"/>
    <w:rsid w:val="00500F3F"/>
    <w:rsid w:val="00500F49"/>
    <w:rsid w:val="0050131A"/>
    <w:rsid w:val="005019D6"/>
    <w:rsid w:val="00502358"/>
    <w:rsid w:val="0050238F"/>
    <w:rsid w:val="005024ED"/>
    <w:rsid w:val="0050311D"/>
    <w:rsid w:val="005034A9"/>
    <w:rsid w:val="0050459D"/>
    <w:rsid w:val="00504769"/>
    <w:rsid w:val="00504A49"/>
    <w:rsid w:val="00504BA5"/>
    <w:rsid w:val="0050548B"/>
    <w:rsid w:val="005054F6"/>
    <w:rsid w:val="00506F69"/>
    <w:rsid w:val="00507A28"/>
    <w:rsid w:val="00510B15"/>
    <w:rsid w:val="00510E77"/>
    <w:rsid w:val="0051489D"/>
    <w:rsid w:val="005149FE"/>
    <w:rsid w:val="0051595B"/>
    <w:rsid w:val="00515AFB"/>
    <w:rsid w:val="005165B7"/>
    <w:rsid w:val="00517444"/>
    <w:rsid w:val="005217D6"/>
    <w:rsid w:val="00521A20"/>
    <w:rsid w:val="00522164"/>
    <w:rsid w:val="00522210"/>
    <w:rsid w:val="00522718"/>
    <w:rsid w:val="00522B6E"/>
    <w:rsid w:val="00524555"/>
    <w:rsid w:val="005246E0"/>
    <w:rsid w:val="00524D25"/>
    <w:rsid w:val="0052508C"/>
    <w:rsid w:val="00526E58"/>
    <w:rsid w:val="005270DE"/>
    <w:rsid w:val="00530AF2"/>
    <w:rsid w:val="00530DD1"/>
    <w:rsid w:val="00530F12"/>
    <w:rsid w:val="00531851"/>
    <w:rsid w:val="0053246F"/>
    <w:rsid w:val="00532DAA"/>
    <w:rsid w:val="00532E63"/>
    <w:rsid w:val="00533192"/>
    <w:rsid w:val="00535768"/>
    <w:rsid w:val="005359F1"/>
    <w:rsid w:val="00535A69"/>
    <w:rsid w:val="00535F8E"/>
    <w:rsid w:val="005363C7"/>
    <w:rsid w:val="00536684"/>
    <w:rsid w:val="00536A23"/>
    <w:rsid w:val="00536DA9"/>
    <w:rsid w:val="005403F6"/>
    <w:rsid w:val="00540502"/>
    <w:rsid w:val="00540846"/>
    <w:rsid w:val="00540935"/>
    <w:rsid w:val="00540C67"/>
    <w:rsid w:val="00542C48"/>
    <w:rsid w:val="00543F28"/>
    <w:rsid w:val="00544B96"/>
    <w:rsid w:val="00544EF1"/>
    <w:rsid w:val="0054574F"/>
    <w:rsid w:val="005459C6"/>
    <w:rsid w:val="00545AAB"/>
    <w:rsid w:val="0054635D"/>
    <w:rsid w:val="00547509"/>
    <w:rsid w:val="00547897"/>
    <w:rsid w:val="00547E46"/>
    <w:rsid w:val="0055041C"/>
    <w:rsid w:val="005518E6"/>
    <w:rsid w:val="00552B52"/>
    <w:rsid w:val="00553575"/>
    <w:rsid w:val="00553E6D"/>
    <w:rsid w:val="0055492C"/>
    <w:rsid w:val="005559D2"/>
    <w:rsid w:val="00555E3D"/>
    <w:rsid w:val="00556407"/>
    <w:rsid w:val="005579F0"/>
    <w:rsid w:val="00560AB2"/>
    <w:rsid w:val="00560C10"/>
    <w:rsid w:val="00560C56"/>
    <w:rsid w:val="00563479"/>
    <w:rsid w:val="0056490D"/>
    <w:rsid w:val="00566C48"/>
    <w:rsid w:val="00570067"/>
    <w:rsid w:val="00570763"/>
    <w:rsid w:val="005709DC"/>
    <w:rsid w:val="005716CD"/>
    <w:rsid w:val="00572AF4"/>
    <w:rsid w:val="00572C05"/>
    <w:rsid w:val="0057373F"/>
    <w:rsid w:val="00574425"/>
    <w:rsid w:val="005746EF"/>
    <w:rsid w:val="00575D59"/>
    <w:rsid w:val="00576856"/>
    <w:rsid w:val="005770BB"/>
    <w:rsid w:val="0057733C"/>
    <w:rsid w:val="0058023A"/>
    <w:rsid w:val="00581DDD"/>
    <w:rsid w:val="00582A48"/>
    <w:rsid w:val="00583CE6"/>
    <w:rsid w:val="00583F6C"/>
    <w:rsid w:val="00584133"/>
    <w:rsid w:val="00584205"/>
    <w:rsid w:val="005848A1"/>
    <w:rsid w:val="00584F88"/>
    <w:rsid w:val="00586717"/>
    <w:rsid w:val="00586827"/>
    <w:rsid w:val="00587436"/>
    <w:rsid w:val="0059043C"/>
    <w:rsid w:val="0059106C"/>
    <w:rsid w:val="00591CFF"/>
    <w:rsid w:val="00592677"/>
    <w:rsid w:val="00593CA4"/>
    <w:rsid w:val="00594184"/>
    <w:rsid w:val="00594A65"/>
    <w:rsid w:val="005962A7"/>
    <w:rsid w:val="0059665C"/>
    <w:rsid w:val="00596C10"/>
    <w:rsid w:val="00597954"/>
    <w:rsid w:val="005A08B3"/>
    <w:rsid w:val="005A1C6E"/>
    <w:rsid w:val="005A42A9"/>
    <w:rsid w:val="005A4DEB"/>
    <w:rsid w:val="005A5929"/>
    <w:rsid w:val="005A5DC0"/>
    <w:rsid w:val="005A6AA6"/>
    <w:rsid w:val="005A6FFD"/>
    <w:rsid w:val="005B0617"/>
    <w:rsid w:val="005B332B"/>
    <w:rsid w:val="005B34B6"/>
    <w:rsid w:val="005B4686"/>
    <w:rsid w:val="005B6204"/>
    <w:rsid w:val="005B694B"/>
    <w:rsid w:val="005B6B79"/>
    <w:rsid w:val="005B71F5"/>
    <w:rsid w:val="005C15C6"/>
    <w:rsid w:val="005C2EA3"/>
    <w:rsid w:val="005C342A"/>
    <w:rsid w:val="005C53C6"/>
    <w:rsid w:val="005C5C04"/>
    <w:rsid w:val="005C64D6"/>
    <w:rsid w:val="005C6822"/>
    <w:rsid w:val="005C6874"/>
    <w:rsid w:val="005C694B"/>
    <w:rsid w:val="005D1D5A"/>
    <w:rsid w:val="005D2499"/>
    <w:rsid w:val="005D324C"/>
    <w:rsid w:val="005D45EC"/>
    <w:rsid w:val="005D46D9"/>
    <w:rsid w:val="005D48C2"/>
    <w:rsid w:val="005D6665"/>
    <w:rsid w:val="005D6B19"/>
    <w:rsid w:val="005D6B33"/>
    <w:rsid w:val="005E0549"/>
    <w:rsid w:val="005E2296"/>
    <w:rsid w:val="005E2B6E"/>
    <w:rsid w:val="005E321B"/>
    <w:rsid w:val="005E331D"/>
    <w:rsid w:val="005E3A27"/>
    <w:rsid w:val="005E4903"/>
    <w:rsid w:val="005E54D3"/>
    <w:rsid w:val="005E5A89"/>
    <w:rsid w:val="005E66A8"/>
    <w:rsid w:val="005E7343"/>
    <w:rsid w:val="005E773E"/>
    <w:rsid w:val="005F008B"/>
    <w:rsid w:val="005F024C"/>
    <w:rsid w:val="005F02E5"/>
    <w:rsid w:val="005F0E9F"/>
    <w:rsid w:val="005F1481"/>
    <w:rsid w:val="005F22E3"/>
    <w:rsid w:val="005F302B"/>
    <w:rsid w:val="005F4882"/>
    <w:rsid w:val="005F4F27"/>
    <w:rsid w:val="005F5656"/>
    <w:rsid w:val="005F5704"/>
    <w:rsid w:val="005F575B"/>
    <w:rsid w:val="005F793F"/>
    <w:rsid w:val="00600744"/>
    <w:rsid w:val="00600804"/>
    <w:rsid w:val="0060279E"/>
    <w:rsid w:val="006029FA"/>
    <w:rsid w:val="0060389F"/>
    <w:rsid w:val="00603959"/>
    <w:rsid w:val="00606513"/>
    <w:rsid w:val="00606DE0"/>
    <w:rsid w:val="00607056"/>
    <w:rsid w:val="00610827"/>
    <w:rsid w:val="006112C9"/>
    <w:rsid w:val="00611B35"/>
    <w:rsid w:val="0061339A"/>
    <w:rsid w:val="0061371F"/>
    <w:rsid w:val="006147AC"/>
    <w:rsid w:val="00616A5B"/>
    <w:rsid w:val="0061756F"/>
    <w:rsid w:val="00617B40"/>
    <w:rsid w:val="00617E57"/>
    <w:rsid w:val="00620339"/>
    <w:rsid w:val="006214CC"/>
    <w:rsid w:val="00622189"/>
    <w:rsid w:val="00622BBD"/>
    <w:rsid w:val="00623890"/>
    <w:rsid w:val="00623CCB"/>
    <w:rsid w:val="00623F56"/>
    <w:rsid w:val="006255D4"/>
    <w:rsid w:val="00626CF7"/>
    <w:rsid w:val="00627A17"/>
    <w:rsid w:val="00630403"/>
    <w:rsid w:val="00630871"/>
    <w:rsid w:val="00630B3F"/>
    <w:rsid w:val="00631647"/>
    <w:rsid w:val="006318D6"/>
    <w:rsid w:val="00631A30"/>
    <w:rsid w:val="00631CF0"/>
    <w:rsid w:val="006335D8"/>
    <w:rsid w:val="00633791"/>
    <w:rsid w:val="00633AD2"/>
    <w:rsid w:val="00634205"/>
    <w:rsid w:val="00635550"/>
    <w:rsid w:val="006360E7"/>
    <w:rsid w:val="00636A57"/>
    <w:rsid w:val="00636BDE"/>
    <w:rsid w:val="006374F0"/>
    <w:rsid w:val="00637695"/>
    <w:rsid w:val="00637CC4"/>
    <w:rsid w:val="006409D1"/>
    <w:rsid w:val="00640BC5"/>
    <w:rsid w:val="00642346"/>
    <w:rsid w:val="006459D4"/>
    <w:rsid w:val="006459FB"/>
    <w:rsid w:val="00646286"/>
    <w:rsid w:val="00646456"/>
    <w:rsid w:val="00646836"/>
    <w:rsid w:val="00646B11"/>
    <w:rsid w:val="0064735C"/>
    <w:rsid w:val="00647CB0"/>
    <w:rsid w:val="00650DF2"/>
    <w:rsid w:val="00651818"/>
    <w:rsid w:val="00653D63"/>
    <w:rsid w:val="0065418F"/>
    <w:rsid w:val="006545EB"/>
    <w:rsid w:val="00654C12"/>
    <w:rsid w:val="006568BD"/>
    <w:rsid w:val="00656A3B"/>
    <w:rsid w:val="00657011"/>
    <w:rsid w:val="00657AA6"/>
    <w:rsid w:val="00660444"/>
    <w:rsid w:val="00660DC7"/>
    <w:rsid w:val="006611AF"/>
    <w:rsid w:val="0066170B"/>
    <w:rsid w:val="0066190C"/>
    <w:rsid w:val="00662397"/>
    <w:rsid w:val="006628AD"/>
    <w:rsid w:val="00663ED7"/>
    <w:rsid w:val="00664122"/>
    <w:rsid w:val="00664D22"/>
    <w:rsid w:val="00665766"/>
    <w:rsid w:val="00666A60"/>
    <w:rsid w:val="00666D74"/>
    <w:rsid w:val="0067114E"/>
    <w:rsid w:val="006717C9"/>
    <w:rsid w:val="006720BA"/>
    <w:rsid w:val="006721A4"/>
    <w:rsid w:val="00672396"/>
    <w:rsid w:val="00672A75"/>
    <w:rsid w:val="00672F29"/>
    <w:rsid w:val="00674499"/>
    <w:rsid w:val="00675F74"/>
    <w:rsid w:val="00676F24"/>
    <w:rsid w:val="0067776C"/>
    <w:rsid w:val="0068035A"/>
    <w:rsid w:val="00680B4F"/>
    <w:rsid w:val="00680D46"/>
    <w:rsid w:val="0068124A"/>
    <w:rsid w:val="0068300A"/>
    <w:rsid w:val="006832A4"/>
    <w:rsid w:val="00683EFB"/>
    <w:rsid w:val="00684360"/>
    <w:rsid w:val="00684644"/>
    <w:rsid w:val="006856CD"/>
    <w:rsid w:val="00685AFE"/>
    <w:rsid w:val="006860D0"/>
    <w:rsid w:val="00686490"/>
    <w:rsid w:val="006869FE"/>
    <w:rsid w:val="00686B36"/>
    <w:rsid w:val="00686D57"/>
    <w:rsid w:val="00687E92"/>
    <w:rsid w:val="006909CC"/>
    <w:rsid w:val="00691ABA"/>
    <w:rsid w:val="00691AFE"/>
    <w:rsid w:val="00691FFE"/>
    <w:rsid w:val="00692A32"/>
    <w:rsid w:val="00692A84"/>
    <w:rsid w:val="0069582A"/>
    <w:rsid w:val="006969E0"/>
    <w:rsid w:val="00697B62"/>
    <w:rsid w:val="00697C81"/>
    <w:rsid w:val="006A0242"/>
    <w:rsid w:val="006A20E1"/>
    <w:rsid w:val="006A20E2"/>
    <w:rsid w:val="006A2B02"/>
    <w:rsid w:val="006A34A5"/>
    <w:rsid w:val="006A4BE0"/>
    <w:rsid w:val="006A7145"/>
    <w:rsid w:val="006B044E"/>
    <w:rsid w:val="006B0951"/>
    <w:rsid w:val="006B11D4"/>
    <w:rsid w:val="006B1985"/>
    <w:rsid w:val="006B2003"/>
    <w:rsid w:val="006B27B8"/>
    <w:rsid w:val="006B2EF2"/>
    <w:rsid w:val="006B34B6"/>
    <w:rsid w:val="006B355E"/>
    <w:rsid w:val="006B3731"/>
    <w:rsid w:val="006B3C61"/>
    <w:rsid w:val="006B3FDB"/>
    <w:rsid w:val="006B59F5"/>
    <w:rsid w:val="006B65D8"/>
    <w:rsid w:val="006B6B6E"/>
    <w:rsid w:val="006C103B"/>
    <w:rsid w:val="006C16E8"/>
    <w:rsid w:val="006C18EE"/>
    <w:rsid w:val="006C23A2"/>
    <w:rsid w:val="006C3F53"/>
    <w:rsid w:val="006C3F95"/>
    <w:rsid w:val="006C41A4"/>
    <w:rsid w:val="006C4826"/>
    <w:rsid w:val="006C586F"/>
    <w:rsid w:val="006C60A3"/>
    <w:rsid w:val="006C67D5"/>
    <w:rsid w:val="006C6F79"/>
    <w:rsid w:val="006C7D9C"/>
    <w:rsid w:val="006D01DF"/>
    <w:rsid w:val="006D05AE"/>
    <w:rsid w:val="006D1BDD"/>
    <w:rsid w:val="006D1D38"/>
    <w:rsid w:val="006D3127"/>
    <w:rsid w:val="006D3D08"/>
    <w:rsid w:val="006D4587"/>
    <w:rsid w:val="006D4B9F"/>
    <w:rsid w:val="006D51B7"/>
    <w:rsid w:val="006D560B"/>
    <w:rsid w:val="006D6A2B"/>
    <w:rsid w:val="006D71D3"/>
    <w:rsid w:val="006E096E"/>
    <w:rsid w:val="006E0F83"/>
    <w:rsid w:val="006E1DD6"/>
    <w:rsid w:val="006E3059"/>
    <w:rsid w:val="006E33CE"/>
    <w:rsid w:val="006E3B37"/>
    <w:rsid w:val="006E431B"/>
    <w:rsid w:val="006E55D6"/>
    <w:rsid w:val="006E5A80"/>
    <w:rsid w:val="006E5B62"/>
    <w:rsid w:val="006E5B93"/>
    <w:rsid w:val="006F1626"/>
    <w:rsid w:val="006F16CC"/>
    <w:rsid w:val="006F1904"/>
    <w:rsid w:val="006F256A"/>
    <w:rsid w:val="006F276A"/>
    <w:rsid w:val="006F60DB"/>
    <w:rsid w:val="006F627C"/>
    <w:rsid w:val="006F650F"/>
    <w:rsid w:val="006F6920"/>
    <w:rsid w:val="006F6923"/>
    <w:rsid w:val="006F6B4C"/>
    <w:rsid w:val="006F72AF"/>
    <w:rsid w:val="006F75E5"/>
    <w:rsid w:val="007004E1"/>
    <w:rsid w:val="00700B90"/>
    <w:rsid w:val="00701520"/>
    <w:rsid w:val="00701710"/>
    <w:rsid w:val="00701D4D"/>
    <w:rsid w:val="00702034"/>
    <w:rsid w:val="0070225D"/>
    <w:rsid w:val="007023D0"/>
    <w:rsid w:val="007035DF"/>
    <w:rsid w:val="00704509"/>
    <w:rsid w:val="00704A37"/>
    <w:rsid w:val="00704BA7"/>
    <w:rsid w:val="00704E03"/>
    <w:rsid w:val="00705417"/>
    <w:rsid w:val="00705E9B"/>
    <w:rsid w:val="0070659D"/>
    <w:rsid w:val="00706FF0"/>
    <w:rsid w:val="0070768B"/>
    <w:rsid w:val="007105D4"/>
    <w:rsid w:val="0071137B"/>
    <w:rsid w:val="00711E1E"/>
    <w:rsid w:val="00711F18"/>
    <w:rsid w:val="007125E8"/>
    <w:rsid w:val="007126D7"/>
    <w:rsid w:val="00712B82"/>
    <w:rsid w:val="0071368F"/>
    <w:rsid w:val="00713BA1"/>
    <w:rsid w:val="00714508"/>
    <w:rsid w:val="00714A10"/>
    <w:rsid w:val="00715190"/>
    <w:rsid w:val="0071683C"/>
    <w:rsid w:val="0071686B"/>
    <w:rsid w:val="00716898"/>
    <w:rsid w:val="007169C6"/>
    <w:rsid w:val="00716D6E"/>
    <w:rsid w:val="00716F83"/>
    <w:rsid w:val="00717F8D"/>
    <w:rsid w:val="007204B8"/>
    <w:rsid w:val="00721966"/>
    <w:rsid w:val="00723056"/>
    <w:rsid w:val="007242D7"/>
    <w:rsid w:val="00724430"/>
    <w:rsid w:val="00724C69"/>
    <w:rsid w:val="00724CCF"/>
    <w:rsid w:val="00724CEB"/>
    <w:rsid w:val="007274BA"/>
    <w:rsid w:val="00730416"/>
    <w:rsid w:val="00731677"/>
    <w:rsid w:val="00732FE7"/>
    <w:rsid w:val="007331A7"/>
    <w:rsid w:val="007333A3"/>
    <w:rsid w:val="00733821"/>
    <w:rsid w:val="00737C26"/>
    <w:rsid w:val="00740806"/>
    <w:rsid w:val="0074108B"/>
    <w:rsid w:val="00741703"/>
    <w:rsid w:val="00742480"/>
    <w:rsid w:val="00742CA7"/>
    <w:rsid w:val="00742D49"/>
    <w:rsid w:val="007447F3"/>
    <w:rsid w:val="00745551"/>
    <w:rsid w:val="00746343"/>
    <w:rsid w:val="00746856"/>
    <w:rsid w:val="00746A1A"/>
    <w:rsid w:val="00746B6C"/>
    <w:rsid w:val="00746E7D"/>
    <w:rsid w:val="0074731A"/>
    <w:rsid w:val="00747639"/>
    <w:rsid w:val="007477D9"/>
    <w:rsid w:val="00747CF0"/>
    <w:rsid w:val="00750833"/>
    <w:rsid w:val="00751EE1"/>
    <w:rsid w:val="007523DB"/>
    <w:rsid w:val="00752751"/>
    <w:rsid w:val="007545AF"/>
    <w:rsid w:val="00755413"/>
    <w:rsid w:val="007556E3"/>
    <w:rsid w:val="00757009"/>
    <w:rsid w:val="0075782C"/>
    <w:rsid w:val="0076061A"/>
    <w:rsid w:val="00761021"/>
    <w:rsid w:val="00761DC1"/>
    <w:rsid w:val="0076275C"/>
    <w:rsid w:val="0076413F"/>
    <w:rsid w:val="0076452A"/>
    <w:rsid w:val="00764A71"/>
    <w:rsid w:val="00764FEF"/>
    <w:rsid w:val="007657AA"/>
    <w:rsid w:val="00765A3C"/>
    <w:rsid w:val="00765A4D"/>
    <w:rsid w:val="00766F04"/>
    <w:rsid w:val="0076711A"/>
    <w:rsid w:val="0076768D"/>
    <w:rsid w:val="00767953"/>
    <w:rsid w:val="00770A1C"/>
    <w:rsid w:val="00771A88"/>
    <w:rsid w:val="007725EE"/>
    <w:rsid w:val="00772C7A"/>
    <w:rsid w:val="00772EA8"/>
    <w:rsid w:val="00773F79"/>
    <w:rsid w:val="0077430A"/>
    <w:rsid w:val="0077437C"/>
    <w:rsid w:val="00774A9A"/>
    <w:rsid w:val="00775EE2"/>
    <w:rsid w:val="00776D1A"/>
    <w:rsid w:val="00781BE7"/>
    <w:rsid w:val="00782C72"/>
    <w:rsid w:val="0078304E"/>
    <w:rsid w:val="00785B68"/>
    <w:rsid w:val="007864A0"/>
    <w:rsid w:val="00787CE6"/>
    <w:rsid w:val="00790115"/>
    <w:rsid w:val="00791CCC"/>
    <w:rsid w:val="00792CC3"/>
    <w:rsid w:val="00794AA6"/>
    <w:rsid w:val="00794D81"/>
    <w:rsid w:val="00795B7A"/>
    <w:rsid w:val="00795BBD"/>
    <w:rsid w:val="007965D7"/>
    <w:rsid w:val="00796B52"/>
    <w:rsid w:val="007971B7"/>
    <w:rsid w:val="007972BF"/>
    <w:rsid w:val="007A01EB"/>
    <w:rsid w:val="007A07BD"/>
    <w:rsid w:val="007A0B47"/>
    <w:rsid w:val="007A1DC8"/>
    <w:rsid w:val="007A2AD4"/>
    <w:rsid w:val="007A2C62"/>
    <w:rsid w:val="007A3A79"/>
    <w:rsid w:val="007A4D74"/>
    <w:rsid w:val="007A4F77"/>
    <w:rsid w:val="007A54D0"/>
    <w:rsid w:val="007A5A60"/>
    <w:rsid w:val="007A5EB4"/>
    <w:rsid w:val="007A6550"/>
    <w:rsid w:val="007A6B4D"/>
    <w:rsid w:val="007A6E8E"/>
    <w:rsid w:val="007A7CAA"/>
    <w:rsid w:val="007B00C8"/>
    <w:rsid w:val="007B01CD"/>
    <w:rsid w:val="007B1053"/>
    <w:rsid w:val="007B1A1B"/>
    <w:rsid w:val="007B2646"/>
    <w:rsid w:val="007B2E0A"/>
    <w:rsid w:val="007B5D09"/>
    <w:rsid w:val="007B6391"/>
    <w:rsid w:val="007B6637"/>
    <w:rsid w:val="007B66B2"/>
    <w:rsid w:val="007B6803"/>
    <w:rsid w:val="007B7A6C"/>
    <w:rsid w:val="007B7DC8"/>
    <w:rsid w:val="007C0565"/>
    <w:rsid w:val="007C1DB2"/>
    <w:rsid w:val="007C210B"/>
    <w:rsid w:val="007C238A"/>
    <w:rsid w:val="007C33E0"/>
    <w:rsid w:val="007C395D"/>
    <w:rsid w:val="007C5BB7"/>
    <w:rsid w:val="007C66A3"/>
    <w:rsid w:val="007C6D4D"/>
    <w:rsid w:val="007D0570"/>
    <w:rsid w:val="007D0D65"/>
    <w:rsid w:val="007D16B8"/>
    <w:rsid w:val="007D2F79"/>
    <w:rsid w:val="007D4300"/>
    <w:rsid w:val="007D4D1D"/>
    <w:rsid w:val="007D4FA7"/>
    <w:rsid w:val="007D6709"/>
    <w:rsid w:val="007D6CB0"/>
    <w:rsid w:val="007D7FA8"/>
    <w:rsid w:val="007E06E4"/>
    <w:rsid w:val="007E173F"/>
    <w:rsid w:val="007E1EE9"/>
    <w:rsid w:val="007E2795"/>
    <w:rsid w:val="007E2DBF"/>
    <w:rsid w:val="007E2F3A"/>
    <w:rsid w:val="007E3448"/>
    <w:rsid w:val="007E36A7"/>
    <w:rsid w:val="007E431F"/>
    <w:rsid w:val="007E435E"/>
    <w:rsid w:val="007E61B5"/>
    <w:rsid w:val="007E6412"/>
    <w:rsid w:val="007E6FEE"/>
    <w:rsid w:val="007E70A7"/>
    <w:rsid w:val="007E7DA5"/>
    <w:rsid w:val="007F09BF"/>
    <w:rsid w:val="007F0AB8"/>
    <w:rsid w:val="007F0C1A"/>
    <w:rsid w:val="007F0CA3"/>
    <w:rsid w:val="007F33AA"/>
    <w:rsid w:val="007F3E46"/>
    <w:rsid w:val="007F3EF0"/>
    <w:rsid w:val="007F3F7B"/>
    <w:rsid w:val="007F48F0"/>
    <w:rsid w:val="007F5C9B"/>
    <w:rsid w:val="007F6288"/>
    <w:rsid w:val="007F6676"/>
    <w:rsid w:val="007F6981"/>
    <w:rsid w:val="007F69B8"/>
    <w:rsid w:val="00801A97"/>
    <w:rsid w:val="008020FE"/>
    <w:rsid w:val="00802877"/>
    <w:rsid w:val="00802BBF"/>
    <w:rsid w:val="00804894"/>
    <w:rsid w:val="0080662E"/>
    <w:rsid w:val="00806D21"/>
    <w:rsid w:val="008076A6"/>
    <w:rsid w:val="008103B9"/>
    <w:rsid w:val="0081107E"/>
    <w:rsid w:val="0081147A"/>
    <w:rsid w:val="00811BEE"/>
    <w:rsid w:val="008120B9"/>
    <w:rsid w:val="008127E5"/>
    <w:rsid w:val="008129B9"/>
    <w:rsid w:val="00814410"/>
    <w:rsid w:val="008147E8"/>
    <w:rsid w:val="00814CC7"/>
    <w:rsid w:val="00816FCD"/>
    <w:rsid w:val="00817119"/>
    <w:rsid w:val="008175BD"/>
    <w:rsid w:val="00817F03"/>
    <w:rsid w:val="00820A97"/>
    <w:rsid w:val="00820EC5"/>
    <w:rsid w:val="0082165A"/>
    <w:rsid w:val="0082230F"/>
    <w:rsid w:val="00822F9A"/>
    <w:rsid w:val="00824B0F"/>
    <w:rsid w:val="00824FDE"/>
    <w:rsid w:val="00825FE4"/>
    <w:rsid w:val="008264D4"/>
    <w:rsid w:val="00826C84"/>
    <w:rsid w:val="008275E7"/>
    <w:rsid w:val="00830246"/>
    <w:rsid w:val="00831141"/>
    <w:rsid w:val="008325D6"/>
    <w:rsid w:val="00833A03"/>
    <w:rsid w:val="00833FE0"/>
    <w:rsid w:val="0083491E"/>
    <w:rsid w:val="00835399"/>
    <w:rsid w:val="00836E80"/>
    <w:rsid w:val="00836F50"/>
    <w:rsid w:val="00837C6E"/>
    <w:rsid w:val="008409B9"/>
    <w:rsid w:val="0084103C"/>
    <w:rsid w:val="008419DE"/>
    <w:rsid w:val="008429E5"/>
    <w:rsid w:val="00843136"/>
    <w:rsid w:val="008431FB"/>
    <w:rsid w:val="00843668"/>
    <w:rsid w:val="00845E20"/>
    <w:rsid w:val="008469A1"/>
    <w:rsid w:val="00847893"/>
    <w:rsid w:val="00850238"/>
    <w:rsid w:val="0085282D"/>
    <w:rsid w:val="00852B72"/>
    <w:rsid w:val="0085581A"/>
    <w:rsid w:val="00855C52"/>
    <w:rsid w:val="00855C85"/>
    <w:rsid w:val="00856BB6"/>
    <w:rsid w:val="00856EF6"/>
    <w:rsid w:val="00860427"/>
    <w:rsid w:val="00863065"/>
    <w:rsid w:val="00863CD6"/>
    <w:rsid w:val="0086447D"/>
    <w:rsid w:val="00864605"/>
    <w:rsid w:val="008667C7"/>
    <w:rsid w:val="008678D7"/>
    <w:rsid w:val="0086790E"/>
    <w:rsid w:val="00867C59"/>
    <w:rsid w:val="008750E6"/>
    <w:rsid w:val="00875445"/>
    <w:rsid w:val="00875565"/>
    <w:rsid w:val="00875AF2"/>
    <w:rsid w:val="008765FB"/>
    <w:rsid w:val="0088193F"/>
    <w:rsid w:val="008826D2"/>
    <w:rsid w:val="008830D6"/>
    <w:rsid w:val="00883F97"/>
    <w:rsid w:val="00885266"/>
    <w:rsid w:val="00885E63"/>
    <w:rsid w:val="00886836"/>
    <w:rsid w:val="00886A72"/>
    <w:rsid w:val="008875C4"/>
    <w:rsid w:val="0088769F"/>
    <w:rsid w:val="00887E15"/>
    <w:rsid w:val="008910CB"/>
    <w:rsid w:val="008910E5"/>
    <w:rsid w:val="008919C2"/>
    <w:rsid w:val="00891D43"/>
    <w:rsid w:val="008926D2"/>
    <w:rsid w:val="00893893"/>
    <w:rsid w:val="008939CD"/>
    <w:rsid w:val="00893EB3"/>
    <w:rsid w:val="0089543E"/>
    <w:rsid w:val="008A023D"/>
    <w:rsid w:val="008A0891"/>
    <w:rsid w:val="008A0CE3"/>
    <w:rsid w:val="008A0DE6"/>
    <w:rsid w:val="008A1762"/>
    <w:rsid w:val="008A228D"/>
    <w:rsid w:val="008A2435"/>
    <w:rsid w:val="008A44A8"/>
    <w:rsid w:val="008A4E90"/>
    <w:rsid w:val="008A6459"/>
    <w:rsid w:val="008A6649"/>
    <w:rsid w:val="008A6CB9"/>
    <w:rsid w:val="008A6ECD"/>
    <w:rsid w:val="008B005B"/>
    <w:rsid w:val="008B0D9D"/>
    <w:rsid w:val="008B0E50"/>
    <w:rsid w:val="008B1AC1"/>
    <w:rsid w:val="008B1B79"/>
    <w:rsid w:val="008B1E5F"/>
    <w:rsid w:val="008B23F8"/>
    <w:rsid w:val="008B27D0"/>
    <w:rsid w:val="008B30B7"/>
    <w:rsid w:val="008B43F3"/>
    <w:rsid w:val="008B490F"/>
    <w:rsid w:val="008B4E8A"/>
    <w:rsid w:val="008B59D4"/>
    <w:rsid w:val="008B5F34"/>
    <w:rsid w:val="008B6948"/>
    <w:rsid w:val="008B716D"/>
    <w:rsid w:val="008C10EF"/>
    <w:rsid w:val="008C1F71"/>
    <w:rsid w:val="008C308C"/>
    <w:rsid w:val="008C34FE"/>
    <w:rsid w:val="008C4043"/>
    <w:rsid w:val="008C4393"/>
    <w:rsid w:val="008C4771"/>
    <w:rsid w:val="008C7416"/>
    <w:rsid w:val="008C7D8E"/>
    <w:rsid w:val="008D0454"/>
    <w:rsid w:val="008D0A42"/>
    <w:rsid w:val="008D0B06"/>
    <w:rsid w:val="008D16B9"/>
    <w:rsid w:val="008D1D3E"/>
    <w:rsid w:val="008D2118"/>
    <w:rsid w:val="008D2563"/>
    <w:rsid w:val="008D2A5F"/>
    <w:rsid w:val="008D37DE"/>
    <w:rsid w:val="008D4E73"/>
    <w:rsid w:val="008D55FB"/>
    <w:rsid w:val="008D5659"/>
    <w:rsid w:val="008D60E3"/>
    <w:rsid w:val="008E0381"/>
    <w:rsid w:val="008E0E80"/>
    <w:rsid w:val="008E0ECD"/>
    <w:rsid w:val="008E1382"/>
    <w:rsid w:val="008E188D"/>
    <w:rsid w:val="008E198B"/>
    <w:rsid w:val="008E2887"/>
    <w:rsid w:val="008E2B40"/>
    <w:rsid w:val="008E2D2A"/>
    <w:rsid w:val="008E37A9"/>
    <w:rsid w:val="008E3B62"/>
    <w:rsid w:val="008E4B47"/>
    <w:rsid w:val="008E54F1"/>
    <w:rsid w:val="008E56A4"/>
    <w:rsid w:val="008E59E6"/>
    <w:rsid w:val="008E6593"/>
    <w:rsid w:val="008E7BBE"/>
    <w:rsid w:val="008F0880"/>
    <w:rsid w:val="008F315F"/>
    <w:rsid w:val="008F349E"/>
    <w:rsid w:val="008F3FF2"/>
    <w:rsid w:val="008F40C9"/>
    <w:rsid w:val="008F4D42"/>
    <w:rsid w:val="008F5622"/>
    <w:rsid w:val="008F5E5B"/>
    <w:rsid w:val="008F6311"/>
    <w:rsid w:val="008F6968"/>
    <w:rsid w:val="008F773B"/>
    <w:rsid w:val="00900A56"/>
    <w:rsid w:val="00901208"/>
    <w:rsid w:val="0090172E"/>
    <w:rsid w:val="00902454"/>
    <w:rsid w:val="009053F1"/>
    <w:rsid w:val="00905575"/>
    <w:rsid w:val="00910F6D"/>
    <w:rsid w:val="00911543"/>
    <w:rsid w:val="00912F7A"/>
    <w:rsid w:val="00913464"/>
    <w:rsid w:val="009137C9"/>
    <w:rsid w:val="00914033"/>
    <w:rsid w:val="00914430"/>
    <w:rsid w:val="009148C3"/>
    <w:rsid w:val="00915793"/>
    <w:rsid w:val="009164DD"/>
    <w:rsid w:val="009164FC"/>
    <w:rsid w:val="00916641"/>
    <w:rsid w:val="00917C53"/>
    <w:rsid w:val="00917DBE"/>
    <w:rsid w:val="009218BF"/>
    <w:rsid w:val="00923410"/>
    <w:rsid w:val="0092422E"/>
    <w:rsid w:val="0092462C"/>
    <w:rsid w:val="0092492E"/>
    <w:rsid w:val="009249DC"/>
    <w:rsid w:val="009251EF"/>
    <w:rsid w:val="00925411"/>
    <w:rsid w:val="009264FD"/>
    <w:rsid w:val="00927EE1"/>
    <w:rsid w:val="00930419"/>
    <w:rsid w:val="009312E3"/>
    <w:rsid w:val="00932BA5"/>
    <w:rsid w:val="00933682"/>
    <w:rsid w:val="00933C70"/>
    <w:rsid w:val="00933E10"/>
    <w:rsid w:val="00933F45"/>
    <w:rsid w:val="0093402C"/>
    <w:rsid w:val="009347D7"/>
    <w:rsid w:val="00935542"/>
    <w:rsid w:val="00935C9F"/>
    <w:rsid w:val="009367DD"/>
    <w:rsid w:val="00937377"/>
    <w:rsid w:val="00937C3E"/>
    <w:rsid w:val="00942461"/>
    <w:rsid w:val="00942875"/>
    <w:rsid w:val="00944501"/>
    <w:rsid w:val="00945C1B"/>
    <w:rsid w:val="0094695A"/>
    <w:rsid w:val="00946D86"/>
    <w:rsid w:val="00947483"/>
    <w:rsid w:val="00947A25"/>
    <w:rsid w:val="00950985"/>
    <w:rsid w:val="00954A2A"/>
    <w:rsid w:val="00954F87"/>
    <w:rsid w:val="00954FA5"/>
    <w:rsid w:val="00955319"/>
    <w:rsid w:val="00956C63"/>
    <w:rsid w:val="00957DF4"/>
    <w:rsid w:val="0096009E"/>
    <w:rsid w:val="009601BA"/>
    <w:rsid w:val="00960836"/>
    <w:rsid w:val="00961433"/>
    <w:rsid w:val="00961B8A"/>
    <w:rsid w:val="009623A9"/>
    <w:rsid w:val="00962E43"/>
    <w:rsid w:val="00962F37"/>
    <w:rsid w:val="009639B3"/>
    <w:rsid w:val="009641D8"/>
    <w:rsid w:val="00964897"/>
    <w:rsid w:val="00964F0D"/>
    <w:rsid w:val="0096674D"/>
    <w:rsid w:val="00966DFC"/>
    <w:rsid w:val="00967BE3"/>
    <w:rsid w:val="00967C4F"/>
    <w:rsid w:val="0097015F"/>
    <w:rsid w:val="00970206"/>
    <w:rsid w:val="009711E5"/>
    <w:rsid w:val="00971AAF"/>
    <w:rsid w:val="00971BF6"/>
    <w:rsid w:val="00972881"/>
    <w:rsid w:val="00972994"/>
    <w:rsid w:val="00972BCC"/>
    <w:rsid w:val="00973BFF"/>
    <w:rsid w:val="009748CE"/>
    <w:rsid w:val="009751A5"/>
    <w:rsid w:val="009755A7"/>
    <w:rsid w:val="0097621C"/>
    <w:rsid w:val="009771B0"/>
    <w:rsid w:val="00977693"/>
    <w:rsid w:val="0098041A"/>
    <w:rsid w:val="009808E1"/>
    <w:rsid w:val="009809F2"/>
    <w:rsid w:val="009810D0"/>
    <w:rsid w:val="009823E2"/>
    <w:rsid w:val="0098347A"/>
    <w:rsid w:val="00983922"/>
    <w:rsid w:val="009839F1"/>
    <w:rsid w:val="00983EB9"/>
    <w:rsid w:val="009840FC"/>
    <w:rsid w:val="009847ED"/>
    <w:rsid w:val="009859C8"/>
    <w:rsid w:val="00985EFD"/>
    <w:rsid w:val="00986759"/>
    <w:rsid w:val="00987639"/>
    <w:rsid w:val="00987AA7"/>
    <w:rsid w:val="00990734"/>
    <w:rsid w:val="0099148A"/>
    <w:rsid w:val="009919EE"/>
    <w:rsid w:val="009923C0"/>
    <w:rsid w:val="009942F9"/>
    <w:rsid w:val="00995980"/>
    <w:rsid w:val="009966F1"/>
    <w:rsid w:val="00996883"/>
    <w:rsid w:val="00996C05"/>
    <w:rsid w:val="00997AC2"/>
    <w:rsid w:val="009A025A"/>
    <w:rsid w:val="009A093E"/>
    <w:rsid w:val="009A09C1"/>
    <w:rsid w:val="009A20C2"/>
    <w:rsid w:val="009A2376"/>
    <w:rsid w:val="009A26CD"/>
    <w:rsid w:val="009A26DE"/>
    <w:rsid w:val="009A26F8"/>
    <w:rsid w:val="009A2B58"/>
    <w:rsid w:val="009A2B6C"/>
    <w:rsid w:val="009A3C60"/>
    <w:rsid w:val="009A5220"/>
    <w:rsid w:val="009A52D6"/>
    <w:rsid w:val="009A5728"/>
    <w:rsid w:val="009B011C"/>
    <w:rsid w:val="009B0191"/>
    <w:rsid w:val="009B095F"/>
    <w:rsid w:val="009B0C76"/>
    <w:rsid w:val="009B1350"/>
    <w:rsid w:val="009B1BB7"/>
    <w:rsid w:val="009B2A65"/>
    <w:rsid w:val="009B2FCE"/>
    <w:rsid w:val="009B3464"/>
    <w:rsid w:val="009B3570"/>
    <w:rsid w:val="009B44C8"/>
    <w:rsid w:val="009B4851"/>
    <w:rsid w:val="009B5A56"/>
    <w:rsid w:val="009B5B9E"/>
    <w:rsid w:val="009B5DAF"/>
    <w:rsid w:val="009B728C"/>
    <w:rsid w:val="009C1278"/>
    <w:rsid w:val="009C1BAE"/>
    <w:rsid w:val="009C1CF3"/>
    <w:rsid w:val="009C277D"/>
    <w:rsid w:val="009C458C"/>
    <w:rsid w:val="009C502D"/>
    <w:rsid w:val="009C52D1"/>
    <w:rsid w:val="009C6054"/>
    <w:rsid w:val="009C623F"/>
    <w:rsid w:val="009C6F18"/>
    <w:rsid w:val="009D035E"/>
    <w:rsid w:val="009D0738"/>
    <w:rsid w:val="009D2B25"/>
    <w:rsid w:val="009D2E17"/>
    <w:rsid w:val="009D39D5"/>
    <w:rsid w:val="009D3A8D"/>
    <w:rsid w:val="009D3E0B"/>
    <w:rsid w:val="009D4F0C"/>
    <w:rsid w:val="009D5072"/>
    <w:rsid w:val="009D5765"/>
    <w:rsid w:val="009D593A"/>
    <w:rsid w:val="009D7E05"/>
    <w:rsid w:val="009E00CA"/>
    <w:rsid w:val="009E0199"/>
    <w:rsid w:val="009E2BFC"/>
    <w:rsid w:val="009E3BCF"/>
    <w:rsid w:val="009E402E"/>
    <w:rsid w:val="009E49D2"/>
    <w:rsid w:val="009E4B57"/>
    <w:rsid w:val="009E5085"/>
    <w:rsid w:val="009E6109"/>
    <w:rsid w:val="009E7C18"/>
    <w:rsid w:val="009E7DD3"/>
    <w:rsid w:val="009F07ED"/>
    <w:rsid w:val="009F136D"/>
    <w:rsid w:val="009F3CAE"/>
    <w:rsid w:val="009F4F2A"/>
    <w:rsid w:val="009F50CC"/>
    <w:rsid w:val="009F523A"/>
    <w:rsid w:val="009F5283"/>
    <w:rsid w:val="009F55BD"/>
    <w:rsid w:val="009F5A9A"/>
    <w:rsid w:val="009F6789"/>
    <w:rsid w:val="009F7720"/>
    <w:rsid w:val="009F7C21"/>
    <w:rsid w:val="00A003D3"/>
    <w:rsid w:val="00A00C37"/>
    <w:rsid w:val="00A02392"/>
    <w:rsid w:val="00A0285D"/>
    <w:rsid w:val="00A035F2"/>
    <w:rsid w:val="00A04414"/>
    <w:rsid w:val="00A04F4E"/>
    <w:rsid w:val="00A05A4F"/>
    <w:rsid w:val="00A066A2"/>
    <w:rsid w:val="00A072BB"/>
    <w:rsid w:val="00A073F7"/>
    <w:rsid w:val="00A07AD0"/>
    <w:rsid w:val="00A114A4"/>
    <w:rsid w:val="00A119EE"/>
    <w:rsid w:val="00A13000"/>
    <w:rsid w:val="00A139FC"/>
    <w:rsid w:val="00A13A9D"/>
    <w:rsid w:val="00A13C3E"/>
    <w:rsid w:val="00A15CFA"/>
    <w:rsid w:val="00A163BD"/>
    <w:rsid w:val="00A16FE9"/>
    <w:rsid w:val="00A2088B"/>
    <w:rsid w:val="00A21F64"/>
    <w:rsid w:val="00A21F68"/>
    <w:rsid w:val="00A2227D"/>
    <w:rsid w:val="00A2268B"/>
    <w:rsid w:val="00A25F78"/>
    <w:rsid w:val="00A267F0"/>
    <w:rsid w:val="00A26FC4"/>
    <w:rsid w:val="00A27D58"/>
    <w:rsid w:val="00A30768"/>
    <w:rsid w:val="00A31055"/>
    <w:rsid w:val="00A318D6"/>
    <w:rsid w:val="00A3221F"/>
    <w:rsid w:val="00A32408"/>
    <w:rsid w:val="00A33132"/>
    <w:rsid w:val="00A33D5A"/>
    <w:rsid w:val="00A341FC"/>
    <w:rsid w:val="00A37847"/>
    <w:rsid w:val="00A379F3"/>
    <w:rsid w:val="00A412A9"/>
    <w:rsid w:val="00A41436"/>
    <w:rsid w:val="00A421DD"/>
    <w:rsid w:val="00A4276F"/>
    <w:rsid w:val="00A42915"/>
    <w:rsid w:val="00A45257"/>
    <w:rsid w:val="00A462D7"/>
    <w:rsid w:val="00A46459"/>
    <w:rsid w:val="00A46A61"/>
    <w:rsid w:val="00A5071B"/>
    <w:rsid w:val="00A50C12"/>
    <w:rsid w:val="00A51EBF"/>
    <w:rsid w:val="00A52B91"/>
    <w:rsid w:val="00A531B5"/>
    <w:rsid w:val="00A5338D"/>
    <w:rsid w:val="00A53983"/>
    <w:rsid w:val="00A565EA"/>
    <w:rsid w:val="00A573AF"/>
    <w:rsid w:val="00A57A21"/>
    <w:rsid w:val="00A60033"/>
    <w:rsid w:val="00A60616"/>
    <w:rsid w:val="00A60715"/>
    <w:rsid w:val="00A60C25"/>
    <w:rsid w:val="00A623F1"/>
    <w:rsid w:val="00A6327B"/>
    <w:rsid w:val="00A64F35"/>
    <w:rsid w:val="00A678E8"/>
    <w:rsid w:val="00A71F33"/>
    <w:rsid w:val="00A71F54"/>
    <w:rsid w:val="00A7284B"/>
    <w:rsid w:val="00A72885"/>
    <w:rsid w:val="00A7392C"/>
    <w:rsid w:val="00A75213"/>
    <w:rsid w:val="00A7529D"/>
    <w:rsid w:val="00A754CD"/>
    <w:rsid w:val="00A756D4"/>
    <w:rsid w:val="00A75D55"/>
    <w:rsid w:val="00A76359"/>
    <w:rsid w:val="00A77499"/>
    <w:rsid w:val="00A77657"/>
    <w:rsid w:val="00A7799C"/>
    <w:rsid w:val="00A803DA"/>
    <w:rsid w:val="00A807E9"/>
    <w:rsid w:val="00A82EB8"/>
    <w:rsid w:val="00A84899"/>
    <w:rsid w:val="00A84B15"/>
    <w:rsid w:val="00A85064"/>
    <w:rsid w:val="00A876C4"/>
    <w:rsid w:val="00A90598"/>
    <w:rsid w:val="00A90725"/>
    <w:rsid w:val="00A908C6"/>
    <w:rsid w:val="00A92402"/>
    <w:rsid w:val="00A92D9F"/>
    <w:rsid w:val="00A93632"/>
    <w:rsid w:val="00A940C4"/>
    <w:rsid w:val="00A95831"/>
    <w:rsid w:val="00A962D8"/>
    <w:rsid w:val="00A97112"/>
    <w:rsid w:val="00A9752F"/>
    <w:rsid w:val="00A97667"/>
    <w:rsid w:val="00A979A2"/>
    <w:rsid w:val="00AA0141"/>
    <w:rsid w:val="00AA125A"/>
    <w:rsid w:val="00AA1340"/>
    <w:rsid w:val="00AA195E"/>
    <w:rsid w:val="00AA1E70"/>
    <w:rsid w:val="00AA20AE"/>
    <w:rsid w:val="00AA2482"/>
    <w:rsid w:val="00AA278D"/>
    <w:rsid w:val="00AA3607"/>
    <w:rsid w:val="00AB0500"/>
    <w:rsid w:val="00AB0868"/>
    <w:rsid w:val="00AB1166"/>
    <w:rsid w:val="00AB3728"/>
    <w:rsid w:val="00AB4126"/>
    <w:rsid w:val="00AB4F4F"/>
    <w:rsid w:val="00AB5DFB"/>
    <w:rsid w:val="00AB615F"/>
    <w:rsid w:val="00AB663E"/>
    <w:rsid w:val="00AB712D"/>
    <w:rsid w:val="00AB796B"/>
    <w:rsid w:val="00AB7A64"/>
    <w:rsid w:val="00AB7CDF"/>
    <w:rsid w:val="00AC03AE"/>
    <w:rsid w:val="00AC0CB0"/>
    <w:rsid w:val="00AC0D58"/>
    <w:rsid w:val="00AC0F34"/>
    <w:rsid w:val="00AC2624"/>
    <w:rsid w:val="00AC29D4"/>
    <w:rsid w:val="00AC2DBD"/>
    <w:rsid w:val="00AC3121"/>
    <w:rsid w:val="00AC3462"/>
    <w:rsid w:val="00AC52F4"/>
    <w:rsid w:val="00AC5733"/>
    <w:rsid w:val="00AC5C8A"/>
    <w:rsid w:val="00AC6B01"/>
    <w:rsid w:val="00AC7C97"/>
    <w:rsid w:val="00AC7FBE"/>
    <w:rsid w:val="00AD0D40"/>
    <w:rsid w:val="00AD1693"/>
    <w:rsid w:val="00AD2014"/>
    <w:rsid w:val="00AD3CCB"/>
    <w:rsid w:val="00AD4F3F"/>
    <w:rsid w:val="00AD56ED"/>
    <w:rsid w:val="00AD6638"/>
    <w:rsid w:val="00AD7913"/>
    <w:rsid w:val="00AE0140"/>
    <w:rsid w:val="00AE078B"/>
    <w:rsid w:val="00AE081F"/>
    <w:rsid w:val="00AE0F0D"/>
    <w:rsid w:val="00AE1B79"/>
    <w:rsid w:val="00AE2125"/>
    <w:rsid w:val="00AE2721"/>
    <w:rsid w:val="00AE29C1"/>
    <w:rsid w:val="00AE2B2B"/>
    <w:rsid w:val="00AE3418"/>
    <w:rsid w:val="00AE37CD"/>
    <w:rsid w:val="00AE3F1A"/>
    <w:rsid w:val="00AE4283"/>
    <w:rsid w:val="00AE5143"/>
    <w:rsid w:val="00AE51F9"/>
    <w:rsid w:val="00AE541B"/>
    <w:rsid w:val="00AE6B1B"/>
    <w:rsid w:val="00AE7608"/>
    <w:rsid w:val="00AE79CC"/>
    <w:rsid w:val="00AF0316"/>
    <w:rsid w:val="00AF0EAD"/>
    <w:rsid w:val="00AF1057"/>
    <w:rsid w:val="00AF17EF"/>
    <w:rsid w:val="00AF24AD"/>
    <w:rsid w:val="00AF34A3"/>
    <w:rsid w:val="00AF4C5D"/>
    <w:rsid w:val="00AF62B9"/>
    <w:rsid w:val="00AF65F7"/>
    <w:rsid w:val="00B03F37"/>
    <w:rsid w:val="00B04395"/>
    <w:rsid w:val="00B0574C"/>
    <w:rsid w:val="00B05C80"/>
    <w:rsid w:val="00B065A7"/>
    <w:rsid w:val="00B06CEB"/>
    <w:rsid w:val="00B06FF9"/>
    <w:rsid w:val="00B0749D"/>
    <w:rsid w:val="00B0758F"/>
    <w:rsid w:val="00B112F8"/>
    <w:rsid w:val="00B122A0"/>
    <w:rsid w:val="00B122A6"/>
    <w:rsid w:val="00B12696"/>
    <w:rsid w:val="00B12737"/>
    <w:rsid w:val="00B12843"/>
    <w:rsid w:val="00B12FB7"/>
    <w:rsid w:val="00B13BD5"/>
    <w:rsid w:val="00B1403E"/>
    <w:rsid w:val="00B165A4"/>
    <w:rsid w:val="00B16B2B"/>
    <w:rsid w:val="00B17005"/>
    <w:rsid w:val="00B2044F"/>
    <w:rsid w:val="00B20945"/>
    <w:rsid w:val="00B20E7D"/>
    <w:rsid w:val="00B211A5"/>
    <w:rsid w:val="00B216DA"/>
    <w:rsid w:val="00B223D2"/>
    <w:rsid w:val="00B2359D"/>
    <w:rsid w:val="00B243B7"/>
    <w:rsid w:val="00B250EA"/>
    <w:rsid w:val="00B26973"/>
    <w:rsid w:val="00B31037"/>
    <w:rsid w:val="00B32811"/>
    <w:rsid w:val="00B328C2"/>
    <w:rsid w:val="00B32BF5"/>
    <w:rsid w:val="00B33BB9"/>
    <w:rsid w:val="00B347F9"/>
    <w:rsid w:val="00B34BAA"/>
    <w:rsid w:val="00B3526D"/>
    <w:rsid w:val="00B35C1D"/>
    <w:rsid w:val="00B36C16"/>
    <w:rsid w:val="00B36CDF"/>
    <w:rsid w:val="00B37654"/>
    <w:rsid w:val="00B37DE2"/>
    <w:rsid w:val="00B436F5"/>
    <w:rsid w:val="00B45459"/>
    <w:rsid w:val="00B45AD3"/>
    <w:rsid w:val="00B45CD6"/>
    <w:rsid w:val="00B478E1"/>
    <w:rsid w:val="00B47C32"/>
    <w:rsid w:val="00B505D7"/>
    <w:rsid w:val="00B5080F"/>
    <w:rsid w:val="00B50FD3"/>
    <w:rsid w:val="00B5106D"/>
    <w:rsid w:val="00B51BAA"/>
    <w:rsid w:val="00B51F46"/>
    <w:rsid w:val="00B526AB"/>
    <w:rsid w:val="00B52E46"/>
    <w:rsid w:val="00B54322"/>
    <w:rsid w:val="00B54FE6"/>
    <w:rsid w:val="00B553DC"/>
    <w:rsid w:val="00B55438"/>
    <w:rsid w:val="00B55ADA"/>
    <w:rsid w:val="00B56FE8"/>
    <w:rsid w:val="00B57E33"/>
    <w:rsid w:val="00B61922"/>
    <w:rsid w:val="00B6265B"/>
    <w:rsid w:val="00B6266F"/>
    <w:rsid w:val="00B6282A"/>
    <w:rsid w:val="00B62DEF"/>
    <w:rsid w:val="00B644C7"/>
    <w:rsid w:val="00B64AC7"/>
    <w:rsid w:val="00B64F49"/>
    <w:rsid w:val="00B665C6"/>
    <w:rsid w:val="00B66A63"/>
    <w:rsid w:val="00B67DD7"/>
    <w:rsid w:val="00B70AEA"/>
    <w:rsid w:val="00B70C0C"/>
    <w:rsid w:val="00B71593"/>
    <w:rsid w:val="00B723A3"/>
    <w:rsid w:val="00B7333F"/>
    <w:rsid w:val="00B74343"/>
    <w:rsid w:val="00B7559D"/>
    <w:rsid w:val="00B7559E"/>
    <w:rsid w:val="00B75658"/>
    <w:rsid w:val="00B76919"/>
    <w:rsid w:val="00B773BD"/>
    <w:rsid w:val="00B773BE"/>
    <w:rsid w:val="00B776E9"/>
    <w:rsid w:val="00B802F9"/>
    <w:rsid w:val="00B819F5"/>
    <w:rsid w:val="00B8245C"/>
    <w:rsid w:val="00B83F8D"/>
    <w:rsid w:val="00B84821"/>
    <w:rsid w:val="00B8604A"/>
    <w:rsid w:val="00B87409"/>
    <w:rsid w:val="00B87A60"/>
    <w:rsid w:val="00B87EF7"/>
    <w:rsid w:val="00B90B28"/>
    <w:rsid w:val="00B9111A"/>
    <w:rsid w:val="00B91DF1"/>
    <w:rsid w:val="00B91F17"/>
    <w:rsid w:val="00B9285A"/>
    <w:rsid w:val="00B92CD7"/>
    <w:rsid w:val="00B93985"/>
    <w:rsid w:val="00B93C00"/>
    <w:rsid w:val="00B94CB9"/>
    <w:rsid w:val="00B961CC"/>
    <w:rsid w:val="00B97773"/>
    <w:rsid w:val="00BA1834"/>
    <w:rsid w:val="00BA1ED4"/>
    <w:rsid w:val="00BA4816"/>
    <w:rsid w:val="00BA4D43"/>
    <w:rsid w:val="00BA50CB"/>
    <w:rsid w:val="00BA60A1"/>
    <w:rsid w:val="00BA69BE"/>
    <w:rsid w:val="00BA6EF5"/>
    <w:rsid w:val="00BA7878"/>
    <w:rsid w:val="00BA7DB4"/>
    <w:rsid w:val="00BB0165"/>
    <w:rsid w:val="00BB076D"/>
    <w:rsid w:val="00BB1674"/>
    <w:rsid w:val="00BB2652"/>
    <w:rsid w:val="00BB2787"/>
    <w:rsid w:val="00BB31B0"/>
    <w:rsid w:val="00BB4595"/>
    <w:rsid w:val="00BB5C6F"/>
    <w:rsid w:val="00BB636D"/>
    <w:rsid w:val="00BB63BA"/>
    <w:rsid w:val="00BC036B"/>
    <w:rsid w:val="00BC0DD6"/>
    <w:rsid w:val="00BC144A"/>
    <w:rsid w:val="00BC3988"/>
    <w:rsid w:val="00BC3EFB"/>
    <w:rsid w:val="00BC5A53"/>
    <w:rsid w:val="00BC6A0A"/>
    <w:rsid w:val="00BC7028"/>
    <w:rsid w:val="00BC79EC"/>
    <w:rsid w:val="00BD07AA"/>
    <w:rsid w:val="00BD27D1"/>
    <w:rsid w:val="00BD4685"/>
    <w:rsid w:val="00BD4BE0"/>
    <w:rsid w:val="00BD54BE"/>
    <w:rsid w:val="00BD6AED"/>
    <w:rsid w:val="00BD7F9F"/>
    <w:rsid w:val="00BE0517"/>
    <w:rsid w:val="00BE0744"/>
    <w:rsid w:val="00BE175C"/>
    <w:rsid w:val="00BE20AD"/>
    <w:rsid w:val="00BE2BD8"/>
    <w:rsid w:val="00BE378F"/>
    <w:rsid w:val="00BE3E9F"/>
    <w:rsid w:val="00BE4D3F"/>
    <w:rsid w:val="00BE5D60"/>
    <w:rsid w:val="00BE643D"/>
    <w:rsid w:val="00BE648B"/>
    <w:rsid w:val="00BE670D"/>
    <w:rsid w:val="00BE6AAF"/>
    <w:rsid w:val="00BE6F28"/>
    <w:rsid w:val="00BE71B4"/>
    <w:rsid w:val="00BE71B5"/>
    <w:rsid w:val="00BF04FF"/>
    <w:rsid w:val="00BF0C14"/>
    <w:rsid w:val="00BF109B"/>
    <w:rsid w:val="00BF1B6D"/>
    <w:rsid w:val="00BF244C"/>
    <w:rsid w:val="00BF3352"/>
    <w:rsid w:val="00BF37BF"/>
    <w:rsid w:val="00BF414C"/>
    <w:rsid w:val="00BF4675"/>
    <w:rsid w:val="00BF4748"/>
    <w:rsid w:val="00BF4E9C"/>
    <w:rsid w:val="00BF6941"/>
    <w:rsid w:val="00C01305"/>
    <w:rsid w:val="00C02C40"/>
    <w:rsid w:val="00C03C3F"/>
    <w:rsid w:val="00C03DC0"/>
    <w:rsid w:val="00C03F72"/>
    <w:rsid w:val="00C0490B"/>
    <w:rsid w:val="00C04EE8"/>
    <w:rsid w:val="00C05217"/>
    <w:rsid w:val="00C0579D"/>
    <w:rsid w:val="00C05993"/>
    <w:rsid w:val="00C067FE"/>
    <w:rsid w:val="00C06B06"/>
    <w:rsid w:val="00C075DA"/>
    <w:rsid w:val="00C07D39"/>
    <w:rsid w:val="00C07D54"/>
    <w:rsid w:val="00C07E46"/>
    <w:rsid w:val="00C11DCE"/>
    <w:rsid w:val="00C12540"/>
    <w:rsid w:val="00C13843"/>
    <w:rsid w:val="00C14EEE"/>
    <w:rsid w:val="00C16B47"/>
    <w:rsid w:val="00C16D47"/>
    <w:rsid w:val="00C17E81"/>
    <w:rsid w:val="00C2057B"/>
    <w:rsid w:val="00C22276"/>
    <w:rsid w:val="00C225E4"/>
    <w:rsid w:val="00C22C5B"/>
    <w:rsid w:val="00C23664"/>
    <w:rsid w:val="00C23BE8"/>
    <w:rsid w:val="00C23E83"/>
    <w:rsid w:val="00C24148"/>
    <w:rsid w:val="00C24320"/>
    <w:rsid w:val="00C2470D"/>
    <w:rsid w:val="00C24DCD"/>
    <w:rsid w:val="00C266E5"/>
    <w:rsid w:val="00C26CF3"/>
    <w:rsid w:val="00C27787"/>
    <w:rsid w:val="00C307D2"/>
    <w:rsid w:val="00C309A5"/>
    <w:rsid w:val="00C32A69"/>
    <w:rsid w:val="00C33CAC"/>
    <w:rsid w:val="00C33FCA"/>
    <w:rsid w:val="00C349D5"/>
    <w:rsid w:val="00C34F13"/>
    <w:rsid w:val="00C35169"/>
    <w:rsid w:val="00C3572E"/>
    <w:rsid w:val="00C371CC"/>
    <w:rsid w:val="00C372C7"/>
    <w:rsid w:val="00C420D8"/>
    <w:rsid w:val="00C4242B"/>
    <w:rsid w:val="00C4268C"/>
    <w:rsid w:val="00C43AFC"/>
    <w:rsid w:val="00C44BDD"/>
    <w:rsid w:val="00C45C63"/>
    <w:rsid w:val="00C47270"/>
    <w:rsid w:val="00C473E3"/>
    <w:rsid w:val="00C477DF"/>
    <w:rsid w:val="00C479F0"/>
    <w:rsid w:val="00C5007D"/>
    <w:rsid w:val="00C51BB2"/>
    <w:rsid w:val="00C52661"/>
    <w:rsid w:val="00C528E0"/>
    <w:rsid w:val="00C54741"/>
    <w:rsid w:val="00C54AA3"/>
    <w:rsid w:val="00C54C53"/>
    <w:rsid w:val="00C5502D"/>
    <w:rsid w:val="00C550F8"/>
    <w:rsid w:val="00C56ED6"/>
    <w:rsid w:val="00C56F75"/>
    <w:rsid w:val="00C57F1C"/>
    <w:rsid w:val="00C60638"/>
    <w:rsid w:val="00C63096"/>
    <w:rsid w:val="00C6314E"/>
    <w:rsid w:val="00C63354"/>
    <w:rsid w:val="00C63F45"/>
    <w:rsid w:val="00C64970"/>
    <w:rsid w:val="00C649C8"/>
    <w:rsid w:val="00C64E57"/>
    <w:rsid w:val="00C652B0"/>
    <w:rsid w:val="00C66FC2"/>
    <w:rsid w:val="00C677F7"/>
    <w:rsid w:val="00C70F1E"/>
    <w:rsid w:val="00C710ED"/>
    <w:rsid w:val="00C718D7"/>
    <w:rsid w:val="00C72905"/>
    <w:rsid w:val="00C729EE"/>
    <w:rsid w:val="00C72E4A"/>
    <w:rsid w:val="00C73400"/>
    <w:rsid w:val="00C75E8D"/>
    <w:rsid w:val="00C80160"/>
    <w:rsid w:val="00C81035"/>
    <w:rsid w:val="00C8183F"/>
    <w:rsid w:val="00C8218E"/>
    <w:rsid w:val="00C82812"/>
    <w:rsid w:val="00C834BE"/>
    <w:rsid w:val="00C83894"/>
    <w:rsid w:val="00C83A07"/>
    <w:rsid w:val="00C844AE"/>
    <w:rsid w:val="00C86A39"/>
    <w:rsid w:val="00C87584"/>
    <w:rsid w:val="00C87AB1"/>
    <w:rsid w:val="00C87D20"/>
    <w:rsid w:val="00C87EE9"/>
    <w:rsid w:val="00C913F7"/>
    <w:rsid w:val="00C916EA"/>
    <w:rsid w:val="00C91924"/>
    <w:rsid w:val="00C91AE4"/>
    <w:rsid w:val="00C921A8"/>
    <w:rsid w:val="00C928C8"/>
    <w:rsid w:val="00C93D65"/>
    <w:rsid w:val="00C96FC5"/>
    <w:rsid w:val="00C970A2"/>
    <w:rsid w:val="00C97F4C"/>
    <w:rsid w:val="00CA014B"/>
    <w:rsid w:val="00CA11C0"/>
    <w:rsid w:val="00CA153B"/>
    <w:rsid w:val="00CA1CC0"/>
    <w:rsid w:val="00CA1CE6"/>
    <w:rsid w:val="00CA3BBD"/>
    <w:rsid w:val="00CA3D26"/>
    <w:rsid w:val="00CA42A1"/>
    <w:rsid w:val="00CA4D21"/>
    <w:rsid w:val="00CA5213"/>
    <w:rsid w:val="00CA57B2"/>
    <w:rsid w:val="00CA7587"/>
    <w:rsid w:val="00CA7FB5"/>
    <w:rsid w:val="00CB1677"/>
    <w:rsid w:val="00CB1CE1"/>
    <w:rsid w:val="00CB2114"/>
    <w:rsid w:val="00CB2B12"/>
    <w:rsid w:val="00CB2F4C"/>
    <w:rsid w:val="00CB3613"/>
    <w:rsid w:val="00CB3CEC"/>
    <w:rsid w:val="00CB3E98"/>
    <w:rsid w:val="00CB3EDE"/>
    <w:rsid w:val="00CB4E17"/>
    <w:rsid w:val="00CB6D35"/>
    <w:rsid w:val="00CB7CDA"/>
    <w:rsid w:val="00CC06F9"/>
    <w:rsid w:val="00CC12C0"/>
    <w:rsid w:val="00CC2906"/>
    <w:rsid w:val="00CC2E86"/>
    <w:rsid w:val="00CC38BE"/>
    <w:rsid w:val="00CC4E62"/>
    <w:rsid w:val="00CC7B69"/>
    <w:rsid w:val="00CD013C"/>
    <w:rsid w:val="00CD22A2"/>
    <w:rsid w:val="00CD292B"/>
    <w:rsid w:val="00CD2C25"/>
    <w:rsid w:val="00CD335B"/>
    <w:rsid w:val="00CD48FF"/>
    <w:rsid w:val="00CD54E2"/>
    <w:rsid w:val="00CD678E"/>
    <w:rsid w:val="00CD79F0"/>
    <w:rsid w:val="00CD7E2B"/>
    <w:rsid w:val="00CE03B8"/>
    <w:rsid w:val="00CE0639"/>
    <w:rsid w:val="00CE0AE9"/>
    <w:rsid w:val="00CE0F2A"/>
    <w:rsid w:val="00CE1638"/>
    <w:rsid w:val="00CE2075"/>
    <w:rsid w:val="00CE3087"/>
    <w:rsid w:val="00CE43C7"/>
    <w:rsid w:val="00CE4541"/>
    <w:rsid w:val="00CE4948"/>
    <w:rsid w:val="00CE4B46"/>
    <w:rsid w:val="00CE5EF6"/>
    <w:rsid w:val="00CE6652"/>
    <w:rsid w:val="00CE7564"/>
    <w:rsid w:val="00CF18F0"/>
    <w:rsid w:val="00CF27F4"/>
    <w:rsid w:val="00CF29B8"/>
    <w:rsid w:val="00CF370F"/>
    <w:rsid w:val="00CF41FB"/>
    <w:rsid w:val="00CF47A2"/>
    <w:rsid w:val="00CF53A5"/>
    <w:rsid w:val="00CF6949"/>
    <w:rsid w:val="00CF6A25"/>
    <w:rsid w:val="00CF6C06"/>
    <w:rsid w:val="00CF6E66"/>
    <w:rsid w:val="00CF739D"/>
    <w:rsid w:val="00D0088C"/>
    <w:rsid w:val="00D00C92"/>
    <w:rsid w:val="00D01555"/>
    <w:rsid w:val="00D0170F"/>
    <w:rsid w:val="00D01740"/>
    <w:rsid w:val="00D01CA2"/>
    <w:rsid w:val="00D01DDF"/>
    <w:rsid w:val="00D035A6"/>
    <w:rsid w:val="00D03E34"/>
    <w:rsid w:val="00D0737A"/>
    <w:rsid w:val="00D07CC6"/>
    <w:rsid w:val="00D11456"/>
    <w:rsid w:val="00D11ABB"/>
    <w:rsid w:val="00D1251E"/>
    <w:rsid w:val="00D1337A"/>
    <w:rsid w:val="00D1382C"/>
    <w:rsid w:val="00D158B3"/>
    <w:rsid w:val="00D16447"/>
    <w:rsid w:val="00D17877"/>
    <w:rsid w:val="00D20BC1"/>
    <w:rsid w:val="00D20BDD"/>
    <w:rsid w:val="00D2183B"/>
    <w:rsid w:val="00D21FC0"/>
    <w:rsid w:val="00D22DA6"/>
    <w:rsid w:val="00D23055"/>
    <w:rsid w:val="00D2326C"/>
    <w:rsid w:val="00D242BE"/>
    <w:rsid w:val="00D245E7"/>
    <w:rsid w:val="00D24D88"/>
    <w:rsid w:val="00D24F63"/>
    <w:rsid w:val="00D27090"/>
    <w:rsid w:val="00D30B02"/>
    <w:rsid w:val="00D30DB2"/>
    <w:rsid w:val="00D315E4"/>
    <w:rsid w:val="00D31963"/>
    <w:rsid w:val="00D32122"/>
    <w:rsid w:val="00D3292F"/>
    <w:rsid w:val="00D33ED2"/>
    <w:rsid w:val="00D34157"/>
    <w:rsid w:val="00D34FE9"/>
    <w:rsid w:val="00D36472"/>
    <w:rsid w:val="00D36822"/>
    <w:rsid w:val="00D36E7B"/>
    <w:rsid w:val="00D401BB"/>
    <w:rsid w:val="00D424BA"/>
    <w:rsid w:val="00D44215"/>
    <w:rsid w:val="00D458F3"/>
    <w:rsid w:val="00D45C79"/>
    <w:rsid w:val="00D45F57"/>
    <w:rsid w:val="00D461E8"/>
    <w:rsid w:val="00D473C3"/>
    <w:rsid w:val="00D47643"/>
    <w:rsid w:val="00D47ADA"/>
    <w:rsid w:val="00D47B1E"/>
    <w:rsid w:val="00D47F47"/>
    <w:rsid w:val="00D50BFA"/>
    <w:rsid w:val="00D52157"/>
    <w:rsid w:val="00D52F99"/>
    <w:rsid w:val="00D535F8"/>
    <w:rsid w:val="00D53A99"/>
    <w:rsid w:val="00D54440"/>
    <w:rsid w:val="00D54B1D"/>
    <w:rsid w:val="00D5509E"/>
    <w:rsid w:val="00D55544"/>
    <w:rsid w:val="00D55D06"/>
    <w:rsid w:val="00D56350"/>
    <w:rsid w:val="00D56903"/>
    <w:rsid w:val="00D56FEB"/>
    <w:rsid w:val="00D57532"/>
    <w:rsid w:val="00D57C9A"/>
    <w:rsid w:val="00D61982"/>
    <w:rsid w:val="00D627A2"/>
    <w:rsid w:val="00D63B5D"/>
    <w:rsid w:val="00D64167"/>
    <w:rsid w:val="00D64295"/>
    <w:rsid w:val="00D64828"/>
    <w:rsid w:val="00D64D3F"/>
    <w:rsid w:val="00D66785"/>
    <w:rsid w:val="00D67CD3"/>
    <w:rsid w:val="00D67E40"/>
    <w:rsid w:val="00D67EB3"/>
    <w:rsid w:val="00D67F20"/>
    <w:rsid w:val="00D715D3"/>
    <w:rsid w:val="00D71B9C"/>
    <w:rsid w:val="00D72AB5"/>
    <w:rsid w:val="00D73565"/>
    <w:rsid w:val="00D73A99"/>
    <w:rsid w:val="00D73E73"/>
    <w:rsid w:val="00D73ED5"/>
    <w:rsid w:val="00D74F4C"/>
    <w:rsid w:val="00D75DCD"/>
    <w:rsid w:val="00D76ED7"/>
    <w:rsid w:val="00D7784B"/>
    <w:rsid w:val="00D804C8"/>
    <w:rsid w:val="00D808D8"/>
    <w:rsid w:val="00D8119B"/>
    <w:rsid w:val="00D81543"/>
    <w:rsid w:val="00D8279B"/>
    <w:rsid w:val="00D84757"/>
    <w:rsid w:val="00D84919"/>
    <w:rsid w:val="00D857F1"/>
    <w:rsid w:val="00D85BD7"/>
    <w:rsid w:val="00D86DD4"/>
    <w:rsid w:val="00D8760C"/>
    <w:rsid w:val="00D91A3F"/>
    <w:rsid w:val="00D91B97"/>
    <w:rsid w:val="00D92E02"/>
    <w:rsid w:val="00D92EFE"/>
    <w:rsid w:val="00D938AB"/>
    <w:rsid w:val="00D94E1B"/>
    <w:rsid w:val="00D950E9"/>
    <w:rsid w:val="00D96069"/>
    <w:rsid w:val="00D964AE"/>
    <w:rsid w:val="00D96C74"/>
    <w:rsid w:val="00DA00B9"/>
    <w:rsid w:val="00DA131B"/>
    <w:rsid w:val="00DA1E8E"/>
    <w:rsid w:val="00DA24F3"/>
    <w:rsid w:val="00DA36BC"/>
    <w:rsid w:val="00DA40A3"/>
    <w:rsid w:val="00DA5032"/>
    <w:rsid w:val="00DA519D"/>
    <w:rsid w:val="00DA5464"/>
    <w:rsid w:val="00DA59DF"/>
    <w:rsid w:val="00DA5BAE"/>
    <w:rsid w:val="00DA6F3A"/>
    <w:rsid w:val="00DA7217"/>
    <w:rsid w:val="00DB015C"/>
    <w:rsid w:val="00DB07AB"/>
    <w:rsid w:val="00DB0CA8"/>
    <w:rsid w:val="00DB1226"/>
    <w:rsid w:val="00DB2048"/>
    <w:rsid w:val="00DB4F0A"/>
    <w:rsid w:val="00DB5460"/>
    <w:rsid w:val="00DB6133"/>
    <w:rsid w:val="00DB6E85"/>
    <w:rsid w:val="00DB7687"/>
    <w:rsid w:val="00DC04A8"/>
    <w:rsid w:val="00DC2049"/>
    <w:rsid w:val="00DC2739"/>
    <w:rsid w:val="00DC3BBC"/>
    <w:rsid w:val="00DC40D2"/>
    <w:rsid w:val="00DC43B3"/>
    <w:rsid w:val="00DC461F"/>
    <w:rsid w:val="00DC5D99"/>
    <w:rsid w:val="00DC5E3A"/>
    <w:rsid w:val="00DC5F81"/>
    <w:rsid w:val="00DD2465"/>
    <w:rsid w:val="00DD3DA6"/>
    <w:rsid w:val="00DD4232"/>
    <w:rsid w:val="00DD46DF"/>
    <w:rsid w:val="00DD4BE6"/>
    <w:rsid w:val="00DD51CC"/>
    <w:rsid w:val="00DD5523"/>
    <w:rsid w:val="00DD59E4"/>
    <w:rsid w:val="00DD606A"/>
    <w:rsid w:val="00DD60D0"/>
    <w:rsid w:val="00DD696A"/>
    <w:rsid w:val="00DD6CAE"/>
    <w:rsid w:val="00DD7AEA"/>
    <w:rsid w:val="00DD7B75"/>
    <w:rsid w:val="00DD7E0E"/>
    <w:rsid w:val="00DE02E9"/>
    <w:rsid w:val="00DE093F"/>
    <w:rsid w:val="00DE0B41"/>
    <w:rsid w:val="00DE0EC5"/>
    <w:rsid w:val="00DE153D"/>
    <w:rsid w:val="00DE21A9"/>
    <w:rsid w:val="00DE2775"/>
    <w:rsid w:val="00DE294B"/>
    <w:rsid w:val="00DE337D"/>
    <w:rsid w:val="00DE389B"/>
    <w:rsid w:val="00DE3BFF"/>
    <w:rsid w:val="00DE5322"/>
    <w:rsid w:val="00DE60DF"/>
    <w:rsid w:val="00DE6719"/>
    <w:rsid w:val="00DE710B"/>
    <w:rsid w:val="00DE742E"/>
    <w:rsid w:val="00DF011F"/>
    <w:rsid w:val="00DF0C3C"/>
    <w:rsid w:val="00DF17D1"/>
    <w:rsid w:val="00DF20AD"/>
    <w:rsid w:val="00DF2897"/>
    <w:rsid w:val="00DF2A18"/>
    <w:rsid w:val="00DF2D51"/>
    <w:rsid w:val="00DF3364"/>
    <w:rsid w:val="00DF44EF"/>
    <w:rsid w:val="00DF4665"/>
    <w:rsid w:val="00DF5865"/>
    <w:rsid w:val="00E00169"/>
    <w:rsid w:val="00E010D5"/>
    <w:rsid w:val="00E01E64"/>
    <w:rsid w:val="00E02A0A"/>
    <w:rsid w:val="00E02D63"/>
    <w:rsid w:val="00E03EEE"/>
    <w:rsid w:val="00E04992"/>
    <w:rsid w:val="00E05DEB"/>
    <w:rsid w:val="00E07C66"/>
    <w:rsid w:val="00E07D18"/>
    <w:rsid w:val="00E07DEB"/>
    <w:rsid w:val="00E102D2"/>
    <w:rsid w:val="00E13243"/>
    <w:rsid w:val="00E13828"/>
    <w:rsid w:val="00E146B8"/>
    <w:rsid w:val="00E14E93"/>
    <w:rsid w:val="00E15B15"/>
    <w:rsid w:val="00E161B8"/>
    <w:rsid w:val="00E164AF"/>
    <w:rsid w:val="00E17F6C"/>
    <w:rsid w:val="00E2036B"/>
    <w:rsid w:val="00E2179E"/>
    <w:rsid w:val="00E22E3D"/>
    <w:rsid w:val="00E23949"/>
    <w:rsid w:val="00E2396C"/>
    <w:rsid w:val="00E24DC8"/>
    <w:rsid w:val="00E2535F"/>
    <w:rsid w:val="00E27CCB"/>
    <w:rsid w:val="00E27DCE"/>
    <w:rsid w:val="00E3234F"/>
    <w:rsid w:val="00E3308B"/>
    <w:rsid w:val="00E33108"/>
    <w:rsid w:val="00E33584"/>
    <w:rsid w:val="00E33C1F"/>
    <w:rsid w:val="00E34723"/>
    <w:rsid w:val="00E34748"/>
    <w:rsid w:val="00E359F4"/>
    <w:rsid w:val="00E36099"/>
    <w:rsid w:val="00E365EA"/>
    <w:rsid w:val="00E36637"/>
    <w:rsid w:val="00E36697"/>
    <w:rsid w:val="00E36FDD"/>
    <w:rsid w:val="00E3742F"/>
    <w:rsid w:val="00E413EF"/>
    <w:rsid w:val="00E4273C"/>
    <w:rsid w:val="00E42983"/>
    <w:rsid w:val="00E42D5E"/>
    <w:rsid w:val="00E44C51"/>
    <w:rsid w:val="00E45472"/>
    <w:rsid w:val="00E45BB2"/>
    <w:rsid w:val="00E45F34"/>
    <w:rsid w:val="00E4775F"/>
    <w:rsid w:val="00E500AE"/>
    <w:rsid w:val="00E50640"/>
    <w:rsid w:val="00E50D2D"/>
    <w:rsid w:val="00E50E1E"/>
    <w:rsid w:val="00E51689"/>
    <w:rsid w:val="00E52222"/>
    <w:rsid w:val="00E53ABF"/>
    <w:rsid w:val="00E5414A"/>
    <w:rsid w:val="00E55BE9"/>
    <w:rsid w:val="00E56D76"/>
    <w:rsid w:val="00E57569"/>
    <w:rsid w:val="00E578D9"/>
    <w:rsid w:val="00E60434"/>
    <w:rsid w:val="00E60862"/>
    <w:rsid w:val="00E60B95"/>
    <w:rsid w:val="00E61502"/>
    <w:rsid w:val="00E62743"/>
    <w:rsid w:val="00E63968"/>
    <w:rsid w:val="00E63BA8"/>
    <w:rsid w:val="00E63DFD"/>
    <w:rsid w:val="00E6412F"/>
    <w:rsid w:val="00E644B7"/>
    <w:rsid w:val="00E6524B"/>
    <w:rsid w:val="00E65C85"/>
    <w:rsid w:val="00E65D0C"/>
    <w:rsid w:val="00E65D73"/>
    <w:rsid w:val="00E65E8C"/>
    <w:rsid w:val="00E670EE"/>
    <w:rsid w:val="00E70819"/>
    <w:rsid w:val="00E70A9B"/>
    <w:rsid w:val="00E70B09"/>
    <w:rsid w:val="00E72FEA"/>
    <w:rsid w:val="00E733DF"/>
    <w:rsid w:val="00E73544"/>
    <w:rsid w:val="00E760C7"/>
    <w:rsid w:val="00E763C4"/>
    <w:rsid w:val="00E779D9"/>
    <w:rsid w:val="00E804B8"/>
    <w:rsid w:val="00E8139F"/>
    <w:rsid w:val="00E82E8B"/>
    <w:rsid w:val="00E835DA"/>
    <w:rsid w:val="00E83C51"/>
    <w:rsid w:val="00E848A3"/>
    <w:rsid w:val="00E84B1B"/>
    <w:rsid w:val="00E84E5E"/>
    <w:rsid w:val="00E85033"/>
    <w:rsid w:val="00E8563B"/>
    <w:rsid w:val="00E85C46"/>
    <w:rsid w:val="00E8689B"/>
    <w:rsid w:val="00E87169"/>
    <w:rsid w:val="00E876B1"/>
    <w:rsid w:val="00E914B3"/>
    <w:rsid w:val="00E923B3"/>
    <w:rsid w:val="00E92E1E"/>
    <w:rsid w:val="00E94509"/>
    <w:rsid w:val="00E95473"/>
    <w:rsid w:val="00E9571D"/>
    <w:rsid w:val="00E95B29"/>
    <w:rsid w:val="00E966BE"/>
    <w:rsid w:val="00E96E66"/>
    <w:rsid w:val="00E97D0A"/>
    <w:rsid w:val="00EA035F"/>
    <w:rsid w:val="00EA0E77"/>
    <w:rsid w:val="00EA27E0"/>
    <w:rsid w:val="00EA445E"/>
    <w:rsid w:val="00EA4704"/>
    <w:rsid w:val="00EA4B35"/>
    <w:rsid w:val="00EA75A6"/>
    <w:rsid w:val="00EA7D93"/>
    <w:rsid w:val="00EB069C"/>
    <w:rsid w:val="00EB0D70"/>
    <w:rsid w:val="00EB1A96"/>
    <w:rsid w:val="00EB2017"/>
    <w:rsid w:val="00EB2E25"/>
    <w:rsid w:val="00EB321C"/>
    <w:rsid w:val="00EB474D"/>
    <w:rsid w:val="00EB4DDD"/>
    <w:rsid w:val="00EB684E"/>
    <w:rsid w:val="00EB6B0C"/>
    <w:rsid w:val="00EB6B6E"/>
    <w:rsid w:val="00EB7496"/>
    <w:rsid w:val="00EB7556"/>
    <w:rsid w:val="00EB78DC"/>
    <w:rsid w:val="00EB7D8E"/>
    <w:rsid w:val="00EC011B"/>
    <w:rsid w:val="00EC0F86"/>
    <w:rsid w:val="00EC1D7B"/>
    <w:rsid w:val="00EC2716"/>
    <w:rsid w:val="00EC311C"/>
    <w:rsid w:val="00EC63B2"/>
    <w:rsid w:val="00EC6703"/>
    <w:rsid w:val="00EC6EA4"/>
    <w:rsid w:val="00EC71BF"/>
    <w:rsid w:val="00EC7B55"/>
    <w:rsid w:val="00ED0FD4"/>
    <w:rsid w:val="00ED1349"/>
    <w:rsid w:val="00ED2374"/>
    <w:rsid w:val="00ED2DD3"/>
    <w:rsid w:val="00ED4A6C"/>
    <w:rsid w:val="00ED4F08"/>
    <w:rsid w:val="00ED6173"/>
    <w:rsid w:val="00ED6BA9"/>
    <w:rsid w:val="00EE01CC"/>
    <w:rsid w:val="00EE11B0"/>
    <w:rsid w:val="00EE2CA0"/>
    <w:rsid w:val="00EE3291"/>
    <w:rsid w:val="00EE348A"/>
    <w:rsid w:val="00EE3B70"/>
    <w:rsid w:val="00EE48F7"/>
    <w:rsid w:val="00EE5637"/>
    <w:rsid w:val="00EE5F8E"/>
    <w:rsid w:val="00EE606C"/>
    <w:rsid w:val="00EE6185"/>
    <w:rsid w:val="00EE61B9"/>
    <w:rsid w:val="00EF07FE"/>
    <w:rsid w:val="00EF0808"/>
    <w:rsid w:val="00EF46D7"/>
    <w:rsid w:val="00EF4AF1"/>
    <w:rsid w:val="00EF551D"/>
    <w:rsid w:val="00EF5B6C"/>
    <w:rsid w:val="00EF5C31"/>
    <w:rsid w:val="00EF6109"/>
    <w:rsid w:val="00EF6915"/>
    <w:rsid w:val="00EF7BDE"/>
    <w:rsid w:val="00EF7EFF"/>
    <w:rsid w:val="00F00B83"/>
    <w:rsid w:val="00F01316"/>
    <w:rsid w:val="00F02B11"/>
    <w:rsid w:val="00F02C0F"/>
    <w:rsid w:val="00F04713"/>
    <w:rsid w:val="00F05159"/>
    <w:rsid w:val="00F060D5"/>
    <w:rsid w:val="00F062A5"/>
    <w:rsid w:val="00F06757"/>
    <w:rsid w:val="00F06958"/>
    <w:rsid w:val="00F07008"/>
    <w:rsid w:val="00F07330"/>
    <w:rsid w:val="00F07534"/>
    <w:rsid w:val="00F1063F"/>
    <w:rsid w:val="00F10A48"/>
    <w:rsid w:val="00F10D23"/>
    <w:rsid w:val="00F10F22"/>
    <w:rsid w:val="00F11B9B"/>
    <w:rsid w:val="00F12768"/>
    <w:rsid w:val="00F133D0"/>
    <w:rsid w:val="00F1344F"/>
    <w:rsid w:val="00F13A8E"/>
    <w:rsid w:val="00F141FE"/>
    <w:rsid w:val="00F144DE"/>
    <w:rsid w:val="00F149E2"/>
    <w:rsid w:val="00F14DD6"/>
    <w:rsid w:val="00F14EAC"/>
    <w:rsid w:val="00F15E02"/>
    <w:rsid w:val="00F16BEA"/>
    <w:rsid w:val="00F17031"/>
    <w:rsid w:val="00F17D7C"/>
    <w:rsid w:val="00F204FD"/>
    <w:rsid w:val="00F20FA6"/>
    <w:rsid w:val="00F21008"/>
    <w:rsid w:val="00F213BE"/>
    <w:rsid w:val="00F21564"/>
    <w:rsid w:val="00F21A28"/>
    <w:rsid w:val="00F232A8"/>
    <w:rsid w:val="00F23F10"/>
    <w:rsid w:val="00F26544"/>
    <w:rsid w:val="00F27B4D"/>
    <w:rsid w:val="00F301C3"/>
    <w:rsid w:val="00F302FD"/>
    <w:rsid w:val="00F309C8"/>
    <w:rsid w:val="00F30B3D"/>
    <w:rsid w:val="00F30C8A"/>
    <w:rsid w:val="00F3242A"/>
    <w:rsid w:val="00F328CC"/>
    <w:rsid w:val="00F32DCE"/>
    <w:rsid w:val="00F32EA5"/>
    <w:rsid w:val="00F345A2"/>
    <w:rsid w:val="00F34A34"/>
    <w:rsid w:val="00F34EA6"/>
    <w:rsid w:val="00F34FAD"/>
    <w:rsid w:val="00F3513D"/>
    <w:rsid w:val="00F35420"/>
    <w:rsid w:val="00F3547A"/>
    <w:rsid w:val="00F35883"/>
    <w:rsid w:val="00F36F3B"/>
    <w:rsid w:val="00F37F5D"/>
    <w:rsid w:val="00F40AB1"/>
    <w:rsid w:val="00F41426"/>
    <w:rsid w:val="00F41B54"/>
    <w:rsid w:val="00F41DE8"/>
    <w:rsid w:val="00F420A8"/>
    <w:rsid w:val="00F4221D"/>
    <w:rsid w:val="00F42821"/>
    <w:rsid w:val="00F42944"/>
    <w:rsid w:val="00F42C8D"/>
    <w:rsid w:val="00F42D03"/>
    <w:rsid w:val="00F43E70"/>
    <w:rsid w:val="00F45147"/>
    <w:rsid w:val="00F45DB0"/>
    <w:rsid w:val="00F4608D"/>
    <w:rsid w:val="00F47478"/>
    <w:rsid w:val="00F476D0"/>
    <w:rsid w:val="00F47C3F"/>
    <w:rsid w:val="00F5187F"/>
    <w:rsid w:val="00F51DED"/>
    <w:rsid w:val="00F5364D"/>
    <w:rsid w:val="00F54754"/>
    <w:rsid w:val="00F55C81"/>
    <w:rsid w:val="00F560DE"/>
    <w:rsid w:val="00F56B80"/>
    <w:rsid w:val="00F56C98"/>
    <w:rsid w:val="00F573DD"/>
    <w:rsid w:val="00F60853"/>
    <w:rsid w:val="00F61C64"/>
    <w:rsid w:val="00F634E2"/>
    <w:rsid w:val="00F63633"/>
    <w:rsid w:val="00F647DB"/>
    <w:rsid w:val="00F649CE"/>
    <w:rsid w:val="00F65940"/>
    <w:rsid w:val="00F65A39"/>
    <w:rsid w:val="00F65F42"/>
    <w:rsid w:val="00F6626F"/>
    <w:rsid w:val="00F66791"/>
    <w:rsid w:val="00F66BBC"/>
    <w:rsid w:val="00F67D76"/>
    <w:rsid w:val="00F7101E"/>
    <w:rsid w:val="00F711D4"/>
    <w:rsid w:val="00F71DD9"/>
    <w:rsid w:val="00F72131"/>
    <w:rsid w:val="00F721DD"/>
    <w:rsid w:val="00F73080"/>
    <w:rsid w:val="00F733B8"/>
    <w:rsid w:val="00F73A4E"/>
    <w:rsid w:val="00F73EBA"/>
    <w:rsid w:val="00F75908"/>
    <w:rsid w:val="00F7675D"/>
    <w:rsid w:val="00F76E36"/>
    <w:rsid w:val="00F77267"/>
    <w:rsid w:val="00F77634"/>
    <w:rsid w:val="00F80D41"/>
    <w:rsid w:val="00F80F32"/>
    <w:rsid w:val="00F81073"/>
    <w:rsid w:val="00F81561"/>
    <w:rsid w:val="00F82CD2"/>
    <w:rsid w:val="00F82F4A"/>
    <w:rsid w:val="00F82F8A"/>
    <w:rsid w:val="00F831F4"/>
    <w:rsid w:val="00F8366C"/>
    <w:rsid w:val="00F836FE"/>
    <w:rsid w:val="00F8384C"/>
    <w:rsid w:val="00F840A7"/>
    <w:rsid w:val="00F8479D"/>
    <w:rsid w:val="00F847F9"/>
    <w:rsid w:val="00F84E72"/>
    <w:rsid w:val="00F8515B"/>
    <w:rsid w:val="00F859AE"/>
    <w:rsid w:val="00F86375"/>
    <w:rsid w:val="00F87B01"/>
    <w:rsid w:val="00F90F60"/>
    <w:rsid w:val="00F92432"/>
    <w:rsid w:val="00F92CD2"/>
    <w:rsid w:val="00F93BC9"/>
    <w:rsid w:val="00F9570D"/>
    <w:rsid w:val="00F95E4D"/>
    <w:rsid w:val="00F96221"/>
    <w:rsid w:val="00F97710"/>
    <w:rsid w:val="00F97BE3"/>
    <w:rsid w:val="00F97CF2"/>
    <w:rsid w:val="00FA014D"/>
    <w:rsid w:val="00FA1A47"/>
    <w:rsid w:val="00FA1BCF"/>
    <w:rsid w:val="00FA2F46"/>
    <w:rsid w:val="00FA39B9"/>
    <w:rsid w:val="00FA3F62"/>
    <w:rsid w:val="00FA467E"/>
    <w:rsid w:val="00FA56FD"/>
    <w:rsid w:val="00FA5F54"/>
    <w:rsid w:val="00FA604D"/>
    <w:rsid w:val="00FA682E"/>
    <w:rsid w:val="00FA6BF8"/>
    <w:rsid w:val="00FA7204"/>
    <w:rsid w:val="00FA72F8"/>
    <w:rsid w:val="00FA734A"/>
    <w:rsid w:val="00FA78EC"/>
    <w:rsid w:val="00FA7A67"/>
    <w:rsid w:val="00FB08C1"/>
    <w:rsid w:val="00FB163A"/>
    <w:rsid w:val="00FB3005"/>
    <w:rsid w:val="00FB348D"/>
    <w:rsid w:val="00FB3726"/>
    <w:rsid w:val="00FB398A"/>
    <w:rsid w:val="00FB473E"/>
    <w:rsid w:val="00FB51CB"/>
    <w:rsid w:val="00FB597D"/>
    <w:rsid w:val="00FB59DA"/>
    <w:rsid w:val="00FB633C"/>
    <w:rsid w:val="00FB71E3"/>
    <w:rsid w:val="00FB7AF7"/>
    <w:rsid w:val="00FC1562"/>
    <w:rsid w:val="00FC25B1"/>
    <w:rsid w:val="00FC31AA"/>
    <w:rsid w:val="00FC535C"/>
    <w:rsid w:val="00FC5A97"/>
    <w:rsid w:val="00FC6EDA"/>
    <w:rsid w:val="00FC79AA"/>
    <w:rsid w:val="00FD085E"/>
    <w:rsid w:val="00FD3E26"/>
    <w:rsid w:val="00FD3F34"/>
    <w:rsid w:val="00FD4C89"/>
    <w:rsid w:val="00FD525D"/>
    <w:rsid w:val="00FD580C"/>
    <w:rsid w:val="00FD64F4"/>
    <w:rsid w:val="00FE0C44"/>
    <w:rsid w:val="00FE17FF"/>
    <w:rsid w:val="00FE2B3C"/>
    <w:rsid w:val="00FE3E86"/>
    <w:rsid w:val="00FE4779"/>
    <w:rsid w:val="00FE5390"/>
    <w:rsid w:val="00FE6378"/>
    <w:rsid w:val="00FE69C0"/>
    <w:rsid w:val="00FF06AE"/>
    <w:rsid w:val="00FF0C18"/>
    <w:rsid w:val="00FF18A8"/>
    <w:rsid w:val="00FF1D90"/>
    <w:rsid w:val="00FF1DF6"/>
    <w:rsid w:val="00FF2B39"/>
    <w:rsid w:val="00FF2CE8"/>
    <w:rsid w:val="00FF4E77"/>
    <w:rsid w:val="00FF557F"/>
    <w:rsid w:val="00FF6BAB"/>
    <w:rsid w:val="015C0784"/>
    <w:rsid w:val="015F1FB4"/>
    <w:rsid w:val="01802EB3"/>
    <w:rsid w:val="01806B0D"/>
    <w:rsid w:val="01BE7323"/>
    <w:rsid w:val="01CE1600"/>
    <w:rsid w:val="01D37272"/>
    <w:rsid w:val="01D92B12"/>
    <w:rsid w:val="02095C3A"/>
    <w:rsid w:val="02115AAB"/>
    <w:rsid w:val="02136130"/>
    <w:rsid w:val="02284E32"/>
    <w:rsid w:val="022C2B1B"/>
    <w:rsid w:val="022E180E"/>
    <w:rsid w:val="02A902E6"/>
    <w:rsid w:val="02D73510"/>
    <w:rsid w:val="02E63F25"/>
    <w:rsid w:val="02EB1C0A"/>
    <w:rsid w:val="03077BEB"/>
    <w:rsid w:val="030A4F6C"/>
    <w:rsid w:val="031A5719"/>
    <w:rsid w:val="03295613"/>
    <w:rsid w:val="03317D34"/>
    <w:rsid w:val="03547F3F"/>
    <w:rsid w:val="035B751F"/>
    <w:rsid w:val="03630814"/>
    <w:rsid w:val="03685798"/>
    <w:rsid w:val="037067DB"/>
    <w:rsid w:val="03824A08"/>
    <w:rsid w:val="03885F08"/>
    <w:rsid w:val="03B6375F"/>
    <w:rsid w:val="03C2759E"/>
    <w:rsid w:val="03CE735A"/>
    <w:rsid w:val="03D2736D"/>
    <w:rsid w:val="03D96696"/>
    <w:rsid w:val="03E312C3"/>
    <w:rsid w:val="03F308D5"/>
    <w:rsid w:val="0401211F"/>
    <w:rsid w:val="0408497D"/>
    <w:rsid w:val="041B6F98"/>
    <w:rsid w:val="0443336B"/>
    <w:rsid w:val="045A2A0F"/>
    <w:rsid w:val="045B2455"/>
    <w:rsid w:val="045D1307"/>
    <w:rsid w:val="04601A1E"/>
    <w:rsid w:val="04607788"/>
    <w:rsid w:val="04675A03"/>
    <w:rsid w:val="047B0B7A"/>
    <w:rsid w:val="049241B7"/>
    <w:rsid w:val="04A46CA4"/>
    <w:rsid w:val="04B054D9"/>
    <w:rsid w:val="04B34C90"/>
    <w:rsid w:val="04B36EE7"/>
    <w:rsid w:val="04B85FF7"/>
    <w:rsid w:val="04CA3C53"/>
    <w:rsid w:val="04DF3990"/>
    <w:rsid w:val="04EA66E0"/>
    <w:rsid w:val="04F35535"/>
    <w:rsid w:val="04FB48DD"/>
    <w:rsid w:val="04FC4FA9"/>
    <w:rsid w:val="05007D2E"/>
    <w:rsid w:val="05016BF0"/>
    <w:rsid w:val="050D37C6"/>
    <w:rsid w:val="05120CA5"/>
    <w:rsid w:val="0513009D"/>
    <w:rsid w:val="051E789F"/>
    <w:rsid w:val="052429F8"/>
    <w:rsid w:val="05490AFE"/>
    <w:rsid w:val="05500BDA"/>
    <w:rsid w:val="05573D16"/>
    <w:rsid w:val="055B164F"/>
    <w:rsid w:val="05A12E60"/>
    <w:rsid w:val="05A52CD4"/>
    <w:rsid w:val="05A62DC6"/>
    <w:rsid w:val="05AD5464"/>
    <w:rsid w:val="05B17B43"/>
    <w:rsid w:val="05CB61A2"/>
    <w:rsid w:val="05D42A1F"/>
    <w:rsid w:val="05D97903"/>
    <w:rsid w:val="05F41999"/>
    <w:rsid w:val="05FE51E2"/>
    <w:rsid w:val="06037F56"/>
    <w:rsid w:val="06182843"/>
    <w:rsid w:val="06187D86"/>
    <w:rsid w:val="06253E7E"/>
    <w:rsid w:val="06292D92"/>
    <w:rsid w:val="06307ED0"/>
    <w:rsid w:val="063B2F16"/>
    <w:rsid w:val="063D201A"/>
    <w:rsid w:val="066D0205"/>
    <w:rsid w:val="066E7ABF"/>
    <w:rsid w:val="06711052"/>
    <w:rsid w:val="06772F85"/>
    <w:rsid w:val="0690068F"/>
    <w:rsid w:val="069D101F"/>
    <w:rsid w:val="06D46DB1"/>
    <w:rsid w:val="06E66938"/>
    <w:rsid w:val="06F402A1"/>
    <w:rsid w:val="06FA2BAB"/>
    <w:rsid w:val="06FC6923"/>
    <w:rsid w:val="07064F8B"/>
    <w:rsid w:val="07113B79"/>
    <w:rsid w:val="07163D0D"/>
    <w:rsid w:val="07272F8C"/>
    <w:rsid w:val="07377FC4"/>
    <w:rsid w:val="073B61DF"/>
    <w:rsid w:val="07560AB0"/>
    <w:rsid w:val="076C6B7F"/>
    <w:rsid w:val="07715AC1"/>
    <w:rsid w:val="07731B8C"/>
    <w:rsid w:val="07806D30"/>
    <w:rsid w:val="078A5959"/>
    <w:rsid w:val="079643BD"/>
    <w:rsid w:val="079A0F5F"/>
    <w:rsid w:val="07A52BB7"/>
    <w:rsid w:val="07C37441"/>
    <w:rsid w:val="07C871A5"/>
    <w:rsid w:val="07CB7F20"/>
    <w:rsid w:val="07DF6E0A"/>
    <w:rsid w:val="07E97F64"/>
    <w:rsid w:val="07EA1B4A"/>
    <w:rsid w:val="07F1509C"/>
    <w:rsid w:val="07F752BA"/>
    <w:rsid w:val="08075B55"/>
    <w:rsid w:val="08162D22"/>
    <w:rsid w:val="08164AC7"/>
    <w:rsid w:val="083542F4"/>
    <w:rsid w:val="0849299E"/>
    <w:rsid w:val="084934EB"/>
    <w:rsid w:val="085B0D1C"/>
    <w:rsid w:val="086657BF"/>
    <w:rsid w:val="089D4D2E"/>
    <w:rsid w:val="0916411E"/>
    <w:rsid w:val="093957DA"/>
    <w:rsid w:val="09466C5D"/>
    <w:rsid w:val="094814DE"/>
    <w:rsid w:val="0969578B"/>
    <w:rsid w:val="0971645C"/>
    <w:rsid w:val="097C21C2"/>
    <w:rsid w:val="098361C8"/>
    <w:rsid w:val="09846660"/>
    <w:rsid w:val="098B51F1"/>
    <w:rsid w:val="09961084"/>
    <w:rsid w:val="09A173E8"/>
    <w:rsid w:val="09A800CF"/>
    <w:rsid w:val="09A93A5E"/>
    <w:rsid w:val="09B30CFF"/>
    <w:rsid w:val="09C90ECA"/>
    <w:rsid w:val="09E07B2B"/>
    <w:rsid w:val="0A081EEC"/>
    <w:rsid w:val="0A2309A1"/>
    <w:rsid w:val="0A257910"/>
    <w:rsid w:val="0A2D472E"/>
    <w:rsid w:val="0A4E2F50"/>
    <w:rsid w:val="0A5D1DCF"/>
    <w:rsid w:val="0A621F79"/>
    <w:rsid w:val="0A7B4304"/>
    <w:rsid w:val="0A897273"/>
    <w:rsid w:val="0AA64BEB"/>
    <w:rsid w:val="0AAD70C5"/>
    <w:rsid w:val="0AB22D97"/>
    <w:rsid w:val="0AC5509D"/>
    <w:rsid w:val="0ACB07B7"/>
    <w:rsid w:val="0AE257AD"/>
    <w:rsid w:val="0AF52BC5"/>
    <w:rsid w:val="0AFE0709"/>
    <w:rsid w:val="0B16390E"/>
    <w:rsid w:val="0B266CF5"/>
    <w:rsid w:val="0B4C6EA1"/>
    <w:rsid w:val="0B6566CE"/>
    <w:rsid w:val="0B74278D"/>
    <w:rsid w:val="0BA91639"/>
    <w:rsid w:val="0BBF3E33"/>
    <w:rsid w:val="0C0A0A79"/>
    <w:rsid w:val="0C3B0752"/>
    <w:rsid w:val="0C54433C"/>
    <w:rsid w:val="0C8539D9"/>
    <w:rsid w:val="0C923718"/>
    <w:rsid w:val="0CC842AA"/>
    <w:rsid w:val="0CEA6529"/>
    <w:rsid w:val="0CEE225F"/>
    <w:rsid w:val="0CF071C5"/>
    <w:rsid w:val="0D110C4F"/>
    <w:rsid w:val="0D162D3C"/>
    <w:rsid w:val="0D181608"/>
    <w:rsid w:val="0D2151C8"/>
    <w:rsid w:val="0D3967F9"/>
    <w:rsid w:val="0D5B4B52"/>
    <w:rsid w:val="0D64140A"/>
    <w:rsid w:val="0D7227FA"/>
    <w:rsid w:val="0DCC0065"/>
    <w:rsid w:val="0DD44E83"/>
    <w:rsid w:val="0DD92B3F"/>
    <w:rsid w:val="0DDC415F"/>
    <w:rsid w:val="0DED54B7"/>
    <w:rsid w:val="0E056632"/>
    <w:rsid w:val="0E1A721C"/>
    <w:rsid w:val="0E2958A2"/>
    <w:rsid w:val="0E486D45"/>
    <w:rsid w:val="0E51724A"/>
    <w:rsid w:val="0E5C71DE"/>
    <w:rsid w:val="0E741495"/>
    <w:rsid w:val="0E7E7133"/>
    <w:rsid w:val="0E8F5F73"/>
    <w:rsid w:val="0EC95C0A"/>
    <w:rsid w:val="0ED8663B"/>
    <w:rsid w:val="0EDE3D32"/>
    <w:rsid w:val="0EDF0526"/>
    <w:rsid w:val="0EF434BD"/>
    <w:rsid w:val="0F1B5DB5"/>
    <w:rsid w:val="0F371244"/>
    <w:rsid w:val="0F4D5650"/>
    <w:rsid w:val="0F61506A"/>
    <w:rsid w:val="0F6F2304"/>
    <w:rsid w:val="0F717AB6"/>
    <w:rsid w:val="0F9C6EF5"/>
    <w:rsid w:val="0FB974C2"/>
    <w:rsid w:val="0FBD4366"/>
    <w:rsid w:val="0FE03B15"/>
    <w:rsid w:val="0FE70CA3"/>
    <w:rsid w:val="10000BD1"/>
    <w:rsid w:val="10042CED"/>
    <w:rsid w:val="102A14D1"/>
    <w:rsid w:val="102D3D71"/>
    <w:rsid w:val="1039601E"/>
    <w:rsid w:val="103C2A2B"/>
    <w:rsid w:val="104A4BA3"/>
    <w:rsid w:val="10620788"/>
    <w:rsid w:val="10733A19"/>
    <w:rsid w:val="107734BE"/>
    <w:rsid w:val="1080103A"/>
    <w:rsid w:val="10AA3894"/>
    <w:rsid w:val="10AF0EAA"/>
    <w:rsid w:val="10C268A6"/>
    <w:rsid w:val="10D75D0B"/>
    <w:rsid w:val="10DA37F4"/>
    <w:rsid w:val="110127EB"/>
    <w:rsid w:val="11110A78"/>
    <w:rsid w:val="1112723B"/>
    <w:rsid w:val="111A6C14"/>
    <w:rsid w:val="11427629"/>
    <w:rsid w:val="11490133"/>
    <w:rsid w:val="115E4861"/>
    <w:rsid w:val="11853D3E"/>
    <w:rsid w:val="11BB580F"/>
    <w:rsid w:val="11CF16C6"/>
    <w:rsid w:val="11D201B2"/>
    <w:rsid w:val="11D64215"/>
    <w:rsid w:val="11F11DDE"/>
    <w:rsid w:val="11F823DD"/>
    <w:rsid w:val="11F95C09"/>
    <w:rsid w:val="12000CEA"/>
    <w:rsid w:val="120945EA"/>
    <w:rsid w:val="1256709B"/>
    <w:rsid w:val="125B097B"/>
    <w:rsid w:val="12700CE6"/>
    <w:rsid w:val="12725125"/>
    <w:rsid w:val="127C5350"/>
    <w:rsid w:val="12915B31"/>
    <w:rsid w:val="12A11CFD"/>
    <w:rsid w:val="12AD31C8"/>
    <w:rsid w:val="12C36758"/>
    <w:rsid w:val="12DF0E32"/>
    <w:rsid w:val="12E8329E"/>
    <w:rsid w:val="12EB3872"/>
    <w:rsid w:val="12F13FD5"/>
    <w:rsid w:val="13284B0E"/>
    <w:rsid w:val="1340502B"/>
    <w:rsid w:val="13486233"/>
    <w:rsid w:val="1356160F"/>
    <w:rsid w:val="13912AE9"/>
    <w:rsid w:val="13A05067"/>
    <w:rsid w:val="13BB333E"/>
    <w:rsid w:val="13C9436A"/>
    <w:rsid w:val="13DF3CBD"/>
    <w:rsid w:val="13EC4B68"/>
    <w:rsid w:val="13FC3B25"/>
    <w:rsid w:val="13FD017F"/>
    <w:rsid w:val="14270AF0"/>
    <w:rsid w:val="14354066"/>
    <w:rsid w:val="144A15EF"/>
    <w:rsid w:val="146661DD"/>
    <w:rsid w:val="147D43B0"/>
    <w:rsid w:val="14852627"/>
    <w:rsid w:val="1488521A"/>
    <w:rsid w:val="14B60DC7"/>
    <w:rsid w:val="14B633F0"/>
    <w:rsid w:val="14F0780D"/>
    <w:rsid w:val="1528685D"/>
    <w:rsid w:val="15364A58"/>
    <w:rsid w:val="15374FCF"/>
    <w:rsid w:val="15412F7D"/>
    <w:rsid w:val="1579069D"/>
    <w:rsid w:val="15842905"/>
    <w:rsid w:val="159312A8"/>
    <w:rsid w:val="15B45296"/>
    <w:rsid w:val="15BF4F69"/>
    <w:rsid w:val="15C928B3"/>
    <w:rsid w:val="15CE063D"/>
    <w:rsid w:val="15D35B94"/>
    <w:rsid w:val="15E8276F"/>
    <w:rsid w:val="15F80146"/>
    <w:rsid w:val="16043ED0"/>
    <w:rsid w:val="16067274"/>
    <w:rsid w:val="161A6DC6"/>
    <w:rsid w:val="161E1086"/>
    <w:rsid w:val="163B540A"/>
    <w:rsid w:val="163E4BFC"/>
    <w:rsid w:val="16485D64"/>
    <w:rsid w:val="167E02A6"/>
    <w:rsid w:val="169049B8"/>
    <w:rsid w:val="16993B83"/>
    <w:rsid w:val="16995EC1"/>
    <w:rsid w:val="16A64A2A"/>
    <w:rsid w:val="16CC4299"/>
    <w:rsid w:val="16CD0872"/>
    <w:rsid w:val="16D46985"/>
    <w:rsid w:val="16D5309F"/>
    <w:rsid w:val="16D73A08"/>
    <w:rsid w:val="16DB4F29"/>
    <w:rsid w:val="16EB2F3D"/>
    <w:rsid w:val="16EF4D34"/>
    <w:rsid w:val="16F747DB"/>
    <w:rsid w:val="1704447F"/>
    <w:rsid w:val="171F0B5F"/>
    <w:rsid w:val="172C5003"/>
    <w:rsid w:val="172E3FE6"/>
    <w:rsid w:val="175077AF"/>
    <w:rsid w:val="17571A98"/>
    <w:rsid w:val="17586520"/>
    <w:rsid w:val="175B6D57"/>
    <w:rsid w:val="176049A8"/>
    <w:rsid w:val="1764671D"/>
    <w:rsid w:val="17681DB3"/>
    <w:rsid w:val="176F3114"/>
    <w:rsid w:val="177960E9"/>
    <w:rsid w:val="178E207C"/>
    <w:rsid w:val="179400B6"/>
    <w:rsid w:val="17DF4AF2"/>
    <w:rsid w:val="17E77312"/>
    <w:rsid w:val="18005A37"/>
    <w:rsid w:val="180D2DF3"/>
    <w:rsid w:val="1811675A"/>
    <w:rsid w:val="18274933"/>
    <w:rsid w:val="182A6317"/>
    <w:rsid w:val="18493615"/>
    <w:rsid w:val="1863350B"/>
    <w:rsid w:val="18654806"/>
    <w:rsid w:val="18872641"/>
    <w:rsid w:val="18AD4687"/>
    <w:rsid w:val="18E66B73"/>
    <w:rsid w:val="18E958C3"/>
    <w:rsid w:val="18EE4F0F"/>
    <w:rsid w:val="19117FE4"/>
    <w:rsid w:val="19471C41"/>
    <w:rsid w:val="19513E0C"/>
    <w:rsid w:val="196D30C0"/>
    <w:rsid w:val="19792055"/>
    <w:rsid w:val="1996213F"/>
    <w:rsid w:val="19BB4674"/>
    <w:rsid w:val="19DA7D58"/>
    <w:rsid w:val="19E74FA8"/>
    <w:rsid w:val="19EB1A75"/>
    <w:rsid w:val="19F04DB0"/>
    <w:rsid w:val="19F67E71"/>
    <w:rsid w:val="1A0238DC"/>
    <w:rsid w:val="1A0703CB"/>
    <w:rsid w:val="1A3925F8"/>
    <w:rsid w:val="1A3C0F36"/>
    <w:rsid w:val="1A4B0BA2"/>
    <w:rsid w:val="1A4B5B6A"/>
    <w:rsid w:val="1A5F118F"/>
    <w:rsid w:val="1A6201BA"/>
    <w:rsid w:val="1A750A6F"/>
    <w:rsid w:val="1A9503CA"/>
    <w:rsid w:val="1ADD671D"/>
    <w:rsid w:val="1AEB26BE"/>
    <w:rsid w:val="1B021DC3"/>
    <w:rsid w:val="1B051EC9"/>
    <w:rsid w:val="1B183902"/>
    <w:rsid w:val="1B284622"/>
    <w:rsid w:val="1B3D4306"/>
    <w:rsid w:val="1B441B14"/>
    <w:rsid w:val="1B46240B"/>
    <w:rsid w:val="1B542D6F"/>
    <w:rsid w:val="1BA01BBF"/>
    <w:rsid w:val="1BA23AE5"/>
    <w:rsid w:val="1BEC6B0F"/>
    <w:rsid w:val="1BF71D2C"/>
    <w:rsid w:val="1BFC74F2"/>
    <w:rsid w:val="1C0C4AE8"/>
    <w:rsid w:val="1C3873EB"/>
    <w:rsid w:val="1C397E78"/>
    <w:rsid w:val="1C4A2586"/>
    <w:rsid w:val="1C591885"/>
    <w:rsid w:val="1C76287C"/>
    <w:rsid w:val="1C770DEF"/>
    <w:rsid w:val="1C7832E4"/>
    <w:rsid w:val="1C95072C"/>
    <w:rsid w:val="1CCC525A"/>
    <w:rsid w:val="1CDC0276"/>
    <w:rsid w:val="1CE510B9"/>
    <w:rsid w:val="1CED6332"/>
    <w:rsid w:val="1D1050C0"/>
    <w:rsid w:val="1D365762"/>
    <w:rsid w:val="1D3F4AA3"/>
    <w:rsid w:val="1D571BE9"/>
    <w:rsid w:val="1D602818"/>
    <w:rsid w:val="1D6B6DDF"/>
    <w:rsid w:val="1D8265BC"/>
    <w:rsid w:val="1D8C1EAE"/>
    <w:rsid w:val="1D9207B2"/>
    <w:rsid w:val="1DC70E47"/>
    <w:rsid w:val="1DFC4C22"/>
    <w:rsid w:val="1DFC5BA4"/>
    <w:rsid w:val="1DFF5899"/>
    <w:rsid w:val="1E173D43"/>
    <w:rsid w:val="1E4E1D03"/>
    <w:rsid w:val="1E5D3E53"/>
    <w:rsid w:val="1E5D65EF"/>
    <w:rsid w:val="1E652224"/>
    <w:rsid w:val="1E853F20"/>
    <w:rsid w:val="1E85617A"/>
    <w:rsid w:val="1E8C2485"/>
    <w:rsid w:val="1E8F747B"/>
    <w:rsid w:val="1E9B2BAB"/>
    <w:rsid w:val="1EB13533"/>
    <w:rsid w:val="1EB74F71"/>
    <w:rsid w:val="1EBF5A3E"/>
    <w:rsid w:val="1EDA3EAE"/>
    <w:rsid w:val="1EE549BE"/>
    <w:rsid w:val="1EEC4257"/>
    <w:rsid w:val="1F073C5F"/>
    <w:rsid w:val="1F0E2838"/>
    <w:rsid w:val="1F2B3BB9"/>
    <w:rsid w:val="1F374545"/>
    <w:rsid w:val="1F3C5671"/>
    <w:rsid w:val="1F3D0E49"/>
    <w:rsid w:val="1F4A65C2"/>
    <w:rsid w:val="1F6D4C3F"/>
    <w:rsid w:val="1F7334F0"/>
    <w:rsid w:val="1F811C64"/>
    <w:rsid w:val="1F884DA0"/>
    <w:rsid w:val="1F8A55DA"/>
    <w:rsid w:val="1F9D1F36"/>
    <w:rsid w:val="1FAE2111"/>
    <w:rsid w:val="1FC34680"/>
    <w:rsid w:val="1FCD57C3"/>
    <w:rsid w:val="1FCF1CEF"/>
    <w:rsid w:val="1FEB65AC"/>
    <w:rsid w:val="1FFB1320"/>
    <w:rsid w:val="1FFB2EBA"/>
    <w:rsid w:val="2012759C"/>
    <w:rsid w:val="20147303"/>
    <w:rsid w:val="201B5DF3"/>
    <w:rsid w:val="20204684"/>
    <w:rsid w:val="202D09DF"/>
    <w:rsid w:val="203051A3"/>
    <w:rsid w:val="20365F57"/>
    <w:rsid w:val="203C10B2"/>
    <w:rsid w:val="204600F8"/>
    <w:rsid w:val="20853119"/>
    <w:rsid w:val="209E5928"/>
    <w:rsid w:val="20B012C7"/>
    <w:rsid w:val="20D324BC"/>
    <w:rsid w:val="20D940E2"/>
    <w:rsid w:val="20DE3AF0"/>
    <w:rsid w:val="20FE31E6"/>
    <w:rsid w:val="20FF6EA6"/>
    <w:rsid w:val="2103792F"/>
    <w:rsid w:val="210E7A53"/>
    <w:rsid w:val="211B195F"/>
    <w:rsid w:val="21297761"/>
    <w:rsid w:val="21307E6E"/>
    <w:rsid w:val="21667363"/>
    <w:rsid w:val="21735457"/>
    <w:rsid w:val="21901015"/>
    <w:rsid w:val="21991585"/>
    <w:rsid w:val="219C246D"/>
    <w:rsid w:val="21A57503"/>
    <w:rsid w:val="21B307BF"/>
    <w:rsid w:val="21CB1DC1"/>
    <w:rsid w:val="21DF308D"/>
    <w:rsid w:val="21E14C3C"/>
    <w:rsid w:val="22060CEC"/>
    <w:rsid w:val="221C634C"/>
    <w:rsid w:val="222827CD"/>
    <w:rsid w:val="222D1C2F"/>
    <w:rsid w:val="2245641C"/>
    <w:rsid w:val="224C2F8F"/>
    <w:rsid w:val="22523709"/>
    <w:rsid w:val="227A1633"/>
    <w:rsid w:val="22AE1C1B"/>
    <w:rsid w:val="22B149BB"/>
    <w:rsid w:val="22B70569"/>
    <w:rsid w:val="22C850E1"/>
    <w:rsid w:val="22E30CAD"/>
    <w:rsid w:val="22FE3EE2"/>
    <w:rsid w:val="23086F83"/>
    <w:rsid w:val="23215ADD"/>
    <w:rsid w:val="234B6D3B"/>
    <w:rsid w:val="23616034"/>
    <w:rsid w:val="23687127"/>
    <w:rsid w:val="23696C97"/>
    <w:rsid w:val="237A06C2"/>
    <w:rsid w:val="237C3D05"/>
    <w:rsid w:val="23936D9F"/>
    <w:rsid w:val="23A73E17"/>
    <w:rsid w:val="23BA4BC5"/>
    <w:rsid w:val="23BC0EE1"/>
    <w:rsid w:val="23D603A8"/>
    <w:rsid w:val="23D91A8B"/>
    <w:rsid w:val="23EB16FF"/>
    <w:rsid w:val="23F14894"/>
    <w:rsid w:val="23FD3EBC"/>
    <w:rsid w:val="240E685D"/>
    <w:rsid w:val="241F37F9"/>
    <w:rsid w:val="244A4B10"/>
    <w:rsid w:val="244B6FBA"/>
    <w:rsid w:val="24522708"/>
    <w:rsid w:val="24801D51"/>
    <w:rsid w:val="24877939"/>
    <w:rsid w:val="2489497E"/>
    <w:rsid w:val="24A77667"/>
    <w:rsid w:val="24D155B1"/>
    <w:rsid w:val="24DE6CD3"/>
    <w:rsid w:val="24F87D09"/>
    <w:rsid w:val="250C7363"/>
    <w:rsid w:val="25207C38"/>
    <w:rsid w:val="253326F3"/>
    <w:rsid w:val="25356DA7"/>
    <w:rsid w:val="253B4E1A"/>
    <w:rsid w:val="253C0E90"/>
    <w:rsid w:val="25551F7F"/>
    <w:rsid w:val="255E18F2"/>
    <w:rsid w:val="25663F65"/>
    <w:rsid w:val="25732F8A"/>
    <w:rsid w:val="25B67AB8"/>
    <w:rsid w:val="25C35C99"/>
    <w:rsid w:val="25D778F5"/>
    <w:rsid w:val="26461A1E"/>
    <w:rsid w:val="2657414E"/>
    <w:rsid w:val="26581738"/>
    <w:rsid w:val="26585FB6"/>
    <w:rsid w:val="26661BB3"/>
    <w:rsid w:val="26670972"/>
    <w:rsid w:val="268A422C"/>
    <w:rsid w:val="26A36964"/>
    <w:rsid w:val="26A92E27"/>
    <w:rsid w:val="26D764FC"/>
    <w:rsid w:val="26E36F5F"/>
    <w:rsid w:val="26F171AF"/>
    <w:rsid w:val="26FA5857"/>
    <w:rsid w:val="27090072"/>
    <w:rsid w:val="270A74CD"/>
    <w:rsid w:val="271229E2"/>
    <w:rsid w:val="27194E78"/>
    <w:rsid w:val="27632DED"/>
    <w:rsid w:val="27847004"/>
    <w:rsid w:val="27857E66"/>
    <w:rsid w:val="278940EE"/>
    <w:rsid w:val="278D45E1"/>
    <w:rsid w:val="2799236F"/>
    <w:rsid w:val="27A23922"/>
    <w:rsid w:val="27AB0825"/>
    <w:rsid w:val="27AD5EF5"/>
    <w:rsid w:val="27B34204"/>
    <w:rsid w:val="27B859F7"/>
    <w:rsid w:val="27C2106B"/>
    <w:rsid w:val="27C25FBF"/>
    <w:rsid w:val="27C55AB1"/>
    <w:rsid w:val="27CA091F"/>
    <w:rsid w:val="27DA3830"/>
    <w:rsid w:val="27E92EE9"/>
    <w:rsid w:val="27F56808"/>
    <w:rsid w:val="280F1AE4"/>
    <w:rsid w:val="28100029"/>
    <w:rsid w:val="281174D7"/>
    <w:rsid w:val="28233786"/>
    <w:rsid w:val="28312032"/>
    <w:rsid w:val="2852419D"/>
    <w:rsid w:val="28582EEB"/>
    <w:rsid w:val="28687486"/>
    <w:rsid w:val="286A505B"/>
    <w:rsid w:val="28764912"/>
    <w:rsid w:val="287B6339"/>
    <w:rsid w:val="287F037F"/>
    <w:rsid w:val="288D3065"/>
    <w:rsid w:val="28BA24A9"/>
    <w:rsid w:val="28FE7F9A"/>
    <w:rsid w:val="291C3805"/>
    <w:rsid w:val="294616D3"/>
    <w:rsid w:val="2948157A"/>
    <w:rsid w:val="294F4487"/>
    <w:rsid w:val="296543A4"/>
    <w:rsid w:val="29683861"/>
    <w:rsid w:val="296B1032"/>
    <w:rsid w:val="29737B37"/>
    <w:rsid w:val="29842A7C"/>
    <w:rsid w:val="298D0BC4"/>
    <w:rsid w:val="29A24D0C"/>
    <w:rsid w:val="29DF7CB3"/>
    <w:rsid w:val="29E003D7"/>
    <w:rsid w:val="29E53B9B"/>
    <w:rsid w:val="29FD7F40"/>
    <w:rsid w:val="2A027AAE"/>
    <w:rsid w:val="2A1559C6"/>
    <w:rsid w:val="2A1B1621"/>
    <w:rsid w:val="2A255353"/>
    <w:rsid w:val="2A334C3A"/>
    <w:rsid w:val="2A4915D0"/>
    <w:rsid w:val="2A4B6CE3"/>
    <w:rsid w:val="2A6201A8"/>
    <w:rsid w:val="2A641AE7"/>
    <w:rsid w:val="2A6456D4"/>
    <w:rsid w:val="2A7F5F1C"/>
    <w:rsid w:val="2A8036EF"/>
    <w:rsid w:val="2AC02D77"/>
    <w:rsid w:val="2AD66374"/>
    <w:rsid w:val="2AE5579D"/>
    <w:rsid w:val="2AEC7848"/>
    <w:rsid w:val="2AEE57C8"/>
    <w:rsid w:val="2AF3565B"/>
    <w:rsid w:val="2B0100FD"/>
    <w:rsid w:val="2B0E649E"/>
    <w:rsid w:val="2B1C5AF6"/>
    <w:rsid w:val="2B2F6A18"/>
    <w:rsid w:val="2B370E6F"/>
    <w:rsid w:val="2B4639C0"/>
    <w:rsid w:val="2B4712A3"/>
    <w:rsid w:val="2B485D2C"/>
    <w:rsid w:val="2B535F53"/>
    <w:rsid w:val="2B54784C"/>
    <w:rsid w:val="2B62504B"/>
    <w:rsid w:val="2B914F79"/>
    <w:rsid w:val="2B9C00AB"/>
    <w:rsid w:val="2BA42396"/>
    <w:rsid w:val="2BAD0460"/>
    <w:rsid w:val="2BD5311E"/>
    <w:rsid w:val="2BE57FA0"/>
    <w:rsid w:val="2BF13DDC"/>
    <w:rsid w:val="2C1B0FB3"/>
    <w:rsid w:val="2C1B5FCE"/>
    <w:rsid w:val="2C2912C6"/>
    <w:rsid w:val="2C2E6CCF"/>
    <w:rsid w:val="2C421B66"/>
    <w:rsid w:val="2C43072A"/>
    <w:rsid w:val="2C49542B"/>
    <w:rsid w:val="2C6230E0"/>
    <w:rsid w:val="2C6E3570"/>
    <w:rsid w:val="2C701096"/>
    <w:rsid w:val="2C78619D"/>
    <w:rsid w:val="2C854CFD"/>
    <w:rsid w:val="2C8A5E11"/>
    <w:rsid w:val="2C9D7D9A"/>
    <w:rsid w:val="2CA54664"/>
    <w:rsid w:val="2CAC0708"/>
    <w:rsid w:val="2CB15CA6"/>
    <w:rsid w:val="2CC6384A"/>
    <w:rsid w:val="2CEA6681"/>
    <w:rsid w:val="2CFB7A0C"/>
    <w:rsid w:val="2D0E4AA6"/>
    <w:rsid w:val="2D106142"/>
    <w:rsid w:val="2D1F486A"/>
    <w:rsid w:val="2D1F757A"/>
    <w:rsid w:val="2D3A30FE"/>
    <w:rsid w:val="2D450B21"/>
    <w:rsid w:val="2D46749E"/>
    <w:rsid w:val="2D5D3775"/>
    <w:rsid w:val="2D690DA3"/>
    <w:rsid w:val="2D8545F9"/>
    <w:rsid w:val="2D8760AC"/>
    <w:rsid w:val="2DA75175"/>
    <w:rsid w:val="2DAB13AB"/>
    <w:rsid w:val="2DB40FD0"/>
    <w:rsid w:val="2DB90F99"/>
    <w:rsid w:val="2DCC2AC0"/>
    <w:rsid w:val="2DDF2ABB"/>
    <w:rsid w:val="2DE77864"/>
    <w:rsid w:val="2E0D5757"/>
    <w:rsid w:val="2E125474"/>
    <w:rsid w:val="2E306188"/>
    <w:rsid w:val="2E351416"/>
    <w:rsid w:val="2E487D41"/>
    <w:rsid w:val="2E4932B2"/>
    <w:rsid w:val="2E520549"/>
    <w:rsid w:val="2E5F7614"/>
    <w:rsid w:val="2E7363A5"/>
    <w:rsid w:val="2E76495E"/>
    <w:rsid w:val="2E802069"/>
    <w:rsid w:val="2E9335DF"/>
    <w:rsid w:val="2E994ACD"/>
    <w:rsid w:val="2EB536D8"/>
    <w:rsid w:val="2EB566DD"/>
    <w:rsid w:val="2EB904B6"/>
    <w:rsid w:val="2ED7364E"/>
    <w:rsid w:val="2EDC420F"/>
    <w:rsid w:val="2EF81C21"/>
    <w:rsid w:val="2EFE7B1A"/>
    <w:rsid w:val="2F047785"/>
    <w:rsid w:val="2F2B3D85"/>
    <w:rsid w:val="2F346562"/>
    <w:rsid w:val="2F3E4FAD"/>
    <w:rsid w:val="2F456F54"/>
    <w:rsid w:val="2F4D4B34"/>
    <w:rsid w:val="2F541DA4"/>
    <w:rsid w:val="2F570E9B"/>
    <w:rsid w:val="2F6D14BB"/>
    <w:rsid w:val="2F7D2F73"/>
    <w:rsid w:val="2F8C60DD"/>
    <w:rsid w:val="2F9477E5"/>
    <w:rsid w:val="2FA70658"/>
    <w:rsid w:val="2FA75BCE"/>
    <w:rsid w:val="2FAB3ACD"/>
    <w:rsid w:val="2FD55B5A"/>
    <w:rsid w:val="2FDD2763"/>
    <w:rsid w:val="2FFE4989"/>
    <w:rsid w:val="301A527A"/>
    <w:rsid w:val="301C1FDF"/>
    <w:rsid w:val="30330D58"/>
    <w:rsid w:val="30474589"/>
    <w:rsid w:val="306733DF"/>
    <w:rsid w:val="30697615"/>
    <w:rsid w:val="30771402"/>
    <w:rsid w:val="30822C3D"/>
    <w:rsid w:val="30852EBC"/>
    <w:rsid w:val="308E0BA5"/>
    <w:rsid w:val="30926117"/>
    <w:rsid w:val="30A5560E"/>
    <w:rsid w:val="30AA050B"/>
    <w:rsid w:val="30CF4362"/>
    <w:rsid w:val="30D065A7"/>
    <w:rsid w:val="30F41205"/>
    <w:rsid w:val="310A0FCB"/>
    <w:rsid w:val="310C5B45"/>
    <w:rsid w:val="31183996"/>
    <w:rsid w:val="31191436"/>
    <w:rsid w:val="312F408D"/>
    <w:rsid w:val="31337F00"/>
    <w:rsid w:val="313609CA"/>
    <w:rsid w:val="314D739A"/>
    <w:rsid w:val="315E3834"/>
    <w:rsid w:val="318B1904"/>
    <w:rsid w:val="319C0907"/>
    <w:rsid w:val="31BB4054"/>
    <w:rsid w:val="31E41D02"/>
    <w:rsid w:val="324C732B"/>
    <w:rsid w:val="325E7261"/>
    <w:rsid w:val="326F11AD"/>
    <w:rsid w:val="327D3308"/>
    <w:rsid w:val="32834B6D"/>
    <w:rsid w:val="32861C19"/>
    <w:rsid w:val="328E5E41"/>
    <w:rsid w:val="329B048C"/>
    <w:rsid w:val="32A5216D"/>
    <w:rsid w:val="32AE46C6"/>
    <w:rsid w:val="32D45236"/>
    <w:rsid w:val="32DD1C6E"/>
    <w:rsid w:val="32E427DE"/>
    <w:rsid w:val="32E4664D"/>
    <w:rsid w:val="32E825DF"/>
    <w:rsid w:val="330F784A"/>
    <w:rsid w:val="331862CF"/>
    <w:rsid w:val="333C4A70"/>
    <w:rsid w:val="33470FEA"/>
    <w:rsid w:val="3348091B"/>
    <w:rsid w:val="3350562B"/>
    <w:rsid w:val="33552A91"/>
    <w:rsid w:val="336B6405"/>
    <w:rsid w:val="33D572A2"/>
    <w:rsid w:val="33DE751F"/>
    <w:rsid w:val="33E41A58"/>
    <w:rsid w:val="33E6536B"/>
    <w:rsid w:val="3442571D"/>
    <w:rsid w:val="344C1D86"/>
    <w:rsid w:val="3451118F"/>
    <w:rsid w:val="3471562F"/>
    <w:rsid w:val="34BA1A48"/>
    <w:rsid w:val="34BD3B92"/>
    <w:rsid w:val="34C56E13"/>
    <w:rsid w:val="34CC5FFC"/>
    <w:rsid w:val="34D70287"/>
    <w:rsid w:val="34DB1A12"/>
    <w:rsid w:val="34E770B4"/>
    <w:rsid w:val="34EA2004"/>
    <w:rsid w:val="34EC1AFA"/>
    <w:rsid w:val="34EE3E95"/>
    <w:rsid w:val="34F271D4"/>
    <w:rsid w:val="350B2096"/>
    <w:rsid w:val="35122BE0"/>
    <w:rsid w:val="357165DC"/>
    <w:rsid w:val="35986438"/>
    <w:rsid w:val="35A27CA7"/>
    <w:rsid w:val="35A3648B"/>
    <w:rsid w:val="35AB64B7"/>
    <w:rsid w:val="35AF2191"/>
    <w:rsid w:val="35BB494B"/>
    <w:rsid w:val="35FD10F5"/>
    <w:rsid w:val="360C3B85"/>
    <w:rsid w:val="360C64B1"/>
    <w:rsid w:val="365F2639"/>
    <w:rsid w:val="36644E65"/>
    <w:rsid w:val="36656D9A"/>
    <w:rsid w:val="36B171F5"/>
    <w:rsid w:val="36CA20AE"/>
    <w:rsid w:val="36CC6FDA"/>
    <w:rsid w:val="36DF08C7"/>
    <w:rsid w:val="36ED45D0"/>
    <w:rsid w:val="36EF7090"/>
    <w:rsid w:val="36FC5A0D"/>
    <w:rsid w:val="36FC7C3D"/>
    <w:rsid w:val="371132F0"/>
    <w:rsid w:val="3718487A"/>
    <w:rsid w:val="37187BD7"/>
    <w:rsid w:val="372B14C9"/>
    <w:rsid w:val="372B7320"/>
    <w:rsid w:val="374455F9"/>
    <w:rsid w:val="3752224E"/>
    <w:rsid w:val="375F6C66"/>
    <w:rsid w:val="376045C0"/>
    <w:rsid w:val="37781058"/>
    <w:rsid w:val="37787614"/>
    <w:rsid w:val="377A101B"/>
    <w:rsid w:val="377F1935"/>
    <w:rsid w:val="378123A9"/>
    <w:rsid w:val="37870E2C"/>
    <w:rsid w:val="37886EE9"/>
    <w:rsid w:val="379B05CF"/>
    <w:rsid w:val="37BE0CC6"/>
    <w:rsid w:val="37D7440F"/>
    <w:rsid w:val="37E87A77"/>
    <w:rsid w:val="381152BF"/>
    <w:rsid w:val="38263EBB"/>
    <w:rsid w:val="3828316D"/>
    <w:rsid w:val="382C3A30"/>
    <w:rsid w:val="383C09C6"/>
    <w:rsid w:val="38435980"/>
    <w:rsid w:val="38557D77"/>
    <w:rsid w:val="38751702"/>
    <w:rsid w:val="388446DA"/>
    <w:rsid w:val="389464CD"/>
    <w:rsid w:val="38D456D0"/>
    <w:rsid w:val="38D94FE9"/>
    <w:rsid w:val="38DB01DF"/>
    <w:rsid w:val="38E05BE4"/>
    <w:rsid w:val="38E5453C"/>
    <w:rsid w:val="38E54EFA"/>
    <w:rsid w:val="38E8048B"/>
    <w:rsid w:val="38FF05CF"/>
    <w:rsid w:val="3904602B"/>
    <w:rsid w:val="39226E3C"/>
    <w:rsid w:val="392A7FB9"/>
    <w:rsid w:val="3941752A"/>
    <w:rsid w:val="394D45D7"/>
    <w:rsid w:val="39617B59"/>
    <w:rsid w:val="396B1563"/>
    <w:rsid w:val="39A60CF0"/>
    <w:rsid w:val="39C06F46"/>
    <w:rsid w:val="39E05ABE"/>
    <w:rsid w:val="39F61F6A"/>
    <w:rsid w:val="3A261993"/>
    <w:rsid w:val="3A282258"/>
    <w:rsid w:val="3A435C62"/>
    <w:rsid w:val="3A477E45"/>
    <w:rsid w:val="3A4901A8"/>
    <w:rsid w:val="3A604EC9"/>
    <w:rsid w:val="3A634334"/>
    <w:rsid w:val="3A7737F3"/>
    <w:rsid w:val="3A874A44"/>
    <w:rsid w:val="3A914B0B"/>
    <w:rsid w:val="3A9B3FF0"/>
    <w:rsid w:val="3AC82585"/>
    <w:rsid w:val="3AD3639A"/>
    <w:rsid w:val="3AE6590C"/>
    <w:rsid w:val="3AEA46B6"/>
    <w:rsid w:val="3AEE222D"/>
    <w:rsid w:val="3AF133D0"/>
    <w:rsid w:val="3B003F1C"/>
    <w:rsid w:val="3B0A45D4"/>
    <w:rsid w:val="3B1F0857"/>
    <w:rsid w:val="3B2C6648"/>
    <w:rsid w:val="3B363692"/>
    <w:rsid w:val="3B5A0A01"/>
    <w:rsid w:val="3B5F10FA"/>
    <w:rsid w:val="3B671A7A"/>
    <w:rsid w:val="3B8C292B"/>
    <w:rsid w:val="3BA21D95"/>
    <w:rsid w:val="3BA61FB5"/>
    <w:rsid w:val="3BAA5DC2"/>
    <w:rsid w:val="3BBF660F"/>
    <w:rsid w:val="3BC6604C"/>
    <w:rsid w:val="3BCB1D9D"/>
    <w:rsid w:val="3BCD0DED"/>
    <w:rsid w:val="3BDA50B3"/>
    <w:rsid w:val="3BE447C2"/>
    <w:rsid w:val="3BF6437E"/>
    <w:rsid w:val="3C137C90"/>
    <w:rsid w:val="3C2E1E25"/>
    <w:rsid w:val="3C300639"/>
    <w:rsid w:val="3C4C3D8F"/>
    <w:rsid w:val="3C95379F"/>
    <w:rsid w:val="3C9D4B38"/>
    <w:rsid w:val="3C9E2C23"/>
    <w:rsid w:val="3CA10063"/>
    <w:rsid w:val="3CB9367E"/>
    <w:rsid w:val="3CFE26EE"/>
    <w:rsid w:val="3D0C3C73"/>
    <w:rsid w:val="3D164303"/>
    <w:rsid w:val="3D1B4D17"/>
    <w:rsid w:val="3D2217B1"/>
    <w:rsid w:val="3D2230E8"/>
    <w:rsid w:val="3D6F7F64"/>
    <w:rsid w:val="3D7F3E2F"/>
    <w:rsid w:val="3D80145C"/>
    <w:rsid w:val="3D887549"/>
    <w:rsid w:val="3D994F8E"/>
    <w:rsid w:val="3DA74250"/>
    <w:rsid w:val="3DAA060B"/>
    <w:rsid w:val="3DD66BAE"/>
    <w:rsid w:val="3DF46888"/>
    <w:rsid w:val="3DFF273F"/>
    <w:rsid w:val="3E094829"/>
    <w:rsid w:val="3E3D5F99"/>
    <w:rsid w:val="3E417B31"/>
    <w:rsid w:val="3E4B0668"/>
    <w:rsid w:val="3E524A9F"/>
    <w:rsid w:val="3E661536"/>
    <w:rsid w:val="3E6847B7"/>
    <w:rsid w:val="3E827AC8"/>
    <w:rsid w:val="3E972D46"/>
    <w:rsid w:val="3E980065"/>
    <w:rsid w:val="3ECC1C4F"/>
    <w:rsid w:val="3ECC2B23"/>
    <w:rsid w:val="3ECD4126"/>
    <w:rsid w:val="3EF41259"/>
    <w:rsid w:val="3F2B282A"/>
    <w:rsid w:val="3F33607C"/>
    <w:rsid w:val="3F495659"/>
    <w:rsid w:val="3F4A1C1A"/>
    <w:rsid w:val="3F4D432C"/>
    <w:rsid w:val="3F5665EC"/>
    <w:rsid w:val="3F5E6449"/>
    <w:rsid w:val="3F6619F3"/>
    <w:rsid w:val="3F6A2544"/>
    <w:rsid w:val="3F941C27"/>
    <w:rsid w:val="3FB40AC1"/>
    <w:rsid w:val="3FB7641E"/>
    <w:rsid w:val="3FBB48C6"/>
    <w:rsid w:val="3FE86821"/>
    <w:rsid w:val="3FFA4EF1"/>
    <w:rsid w:val="3FFC5456"/>
    <w:rsid w:val="3FFF7C94"/>
    <w:rsid w:val="402072C7"/>
    <w:rsid w:val="40230653"/>
    <w:rsid w:val="40364BBA"/>
    <w:rsid w:val="405B4D53"/>
    <w:rsid w:val="406F1F89"/>
    <w:rsid w:val="40765924"/>
    <w:rsid w:val="4081166C"/>
    <w:rsid w:val="40821A65"/>
    <w:rsid w:val="40A94E0B"/>
    <w:rsid w:val="40D36C33"/>
    <w:rsid w:val="40E77988"/>
    <w:rsid w:val="40F569AF"/>
    <w:rsid w:val="40F8495D"/>
    <w:rsid w:val="41111AC4"/>
    <w:rsid w:val="41171FD0"/>
    <w:rsid w:val="41326E0A"/>
    <w:rsid w:val="413E0C29"/>
    <w:rsid w:val="414C1C7A"/>
    <w:rsid w:val="41B2550D"/>
    <w:rsid w:val="41B418B8"/>
    <w:rsid w:val="41BA21D5"/>
    <w:rsid w:val="41BA3087"/>
    <w:rsid w:val="41C02ADC"/>
    <w:rsid w:val="41F27ABF"/>
    <w:rsid w:val="420D3DD4"/>
    <w:rsid w:val="421869DF"/>
    <w:rsid w:val="421B1D1E"/>
    <w:rsid w:val="421F4B71"/>
    <w:rsid w:val="42203638"/>
    <w:rsid w:val="422967AF"/>
    <w:rsid w:val="42301273"/>
    <w:rsid w:val="4230334A"/>
    <w:rsid w:val="42595DC9"/>
    <w:rsid w:val="42607A93"/>
    <w:rsid w:val="426E76D3"/>
    <w:rsid w:val="42750D5C"/>
    <w:rsid w:val="427A45C5"/>
    <w:rsid w:val="427B0042"/>
    <w:rsid w:val="427B395C"/>
    <w:rsid w:val="428226D0"/>
    <w:rsid w:val="4283273D"/>
    <w:rsid w:val="42871B0E"/>
    <w:rsid w:val="428A06C8"/>
    <w:rsid w:val="429A1363"/>
    <w:rsid w:val="429A5DF0"/>
    <w:rsid w:val="42A23BBA"/>
    <w:rsid w:val="42B36D13"/>
    <w:rsid w:val="42C1285E"/>
    <w:rsid w:val="42C360F8"/>
    <w:rsid w:val="42C93777"/>
    <w:rsid w:val="42D4339A"/>
    <w:rsid w:val="42D97AE4"/>
    <w:rsid w:val="42DA4375"/>
    <w:rsid w:val="42DF267A"/>
    <w:rsid w:val="42F60FA3"/>
    <w:rsid w:val="430F518E"/>
    <w:rsid w:val="43107FEB"/>
    <w:rsid w:val="43204987"/>
    <w:rsid w:val="4326337A"/>
    <w:rsid w:val="432B1D63"/>
    <w:rsid w:val="43302EA2"/>
    <w:rsid w:val="434169C1"/>
    <w:rsid w:val="43557499"/>
    <w:rsid w:val="435E1DD2"/>
    <w:rsid w:val="435F578A"/>
    <w:rsid w:val="437349BD"/>
    <w:rsid w:val="438A1685"/>
    <w:rsid w:val="439A1480"/>
    <w:rsid w:val="43A7763B"/>
    <w:rsid w:val="43AB1249"/>
    <w:rsid w:val="43B33062"/>
    <w:rsid w:val="43BB41A8"/>
    <w:rsid w:val="43D146B8"/>
    <w:rsid w:val="43D60C48"/>
    <w:rsid w:val="43E61D35"/>
    <w:rsid w:val="43EE1585"/>
    <w:rsid w:val="43EF4B3E"/>
    <w:rsid w:val="441B1DD7"/>
    <w:rsid w:val="443C3F4A"/>
    <w:rsid w:val="4448301D"/>
    <w:rsid w:val="444B6086"/>
    <w:rsid w:val="446560D0"/>
    <w:rsid w:val="44827761"/>
    <w:rsid w:val="44854632"/>
    <w:rsid w:val="44C455D1"/>
    <w:rsid w:val="44D310DF"/>
    <w:rsid w:val="44D63F79"/>
    <w:rsid w:val="44DC50C3"/>
    <w:rsid w:val="44EB64CD"/>
    <w:rsid w:val="45010FCD"/>
    <w:rsid w:val="4545310D"/>
    <w:rsid w:val="454B19B7"/>
    <w:rsid w:val="456F5F37"/>
    <w:rsid w:val="457821B9"/>
    <w:rsid w:val="457D260A"/>
    <w:rsid w:val="458442C7"/>
    <w:rsid w:val="45905801"/>
    <w:rsid w:val="45984D1B"/>
    <w:rsid w:val="45E83F3B"/>
    <w:rsid w:val="45FB77CB"/>
    <w:rsid w:val="461411E5"/>
    <w:rsid w:val="461A1A00"/>
    <w:rsid w:val="464E438B"/>
    <w:rsid w:val="46552D3E"/>
    <w:rsid w:val="46565BA1"/>
    <w:rsid w:val="46604AF4"/>
    <w:rsid w:val="46892ADE"/>
    <w:rsid w:val="46A44232"/>
    <w:rsid w:val="46A7022C"/>
    <w:rsid w:val="46AA75A8"/>
    <w:rsid w:val="46B967C6"/>
    <w:rsid w:val="46D06998"/>
    <w:rsid w:val="46E12E64"/>
    <w:rsid w:val="46EE1756"/>
    <w:rsid w:val="46F763C1"/>
    <w:rsid w:val="46F76884"/>
    <w:rsid w:val="47010E0B"/>
    <w:rsid w:val="470D5A07"/>
    <w:rsid w:val="471D4627"/>
    <w:rsid w:val="47257FF7"/>
    <w:rsid w:val="472F0EC9"/>
    <w:rsid w:val="473D2E3A"/>
    <w:rsid w:val="47541B01"/>
    <w:rsid w:val="47690B44"/>
    <w:rsid w:val="476B4ED8"/>
    <w:rsid w:val="47704A71"/>
    <w:rsid w:val="477D4101"/>
    <w:rsid w:val="47A04ACD"/>
    <w:rsid w:val="47F155E6"/>
    <w:rsid w:val="47F977CB"/>
    <w:rsid w:val="48037A49"/>
    <w:rsid w:val="480A6B7A"/>
    <w:rsid w:val="480F755D"/>
    <w:rsid w:val="480F7FFE"/>
    <w:rsid w:val="48247EE5"/>
    <w:rsid w:val="482D3343"/>
    <w:rsid w:val="482E31C5"/>
    <w:rsid w:val="48316F95"/>
    <w:rsid w:val="485F6284"/>
    <w:rsid w:val="487C129D"/>
    <w:rsid w:val="488417D6"/>
    <w:rsid w:val="48884263"/>
    <w:rsid w:val="48A6144B"/>
    <w:rsid w:val="48AB2F92"/>
    <w:rsid w:val="48C276C9"/>
    <w:rsid w:val="48C75821"/>
    <w:rsid w:val="48D77225"/>
    <w:rsid w:val="48F50D38"/>
    <w:rsid w:val="49036AD5"/>
    <w:rsid w:val="49141465"/>
    <w:rsid w:val="491F5344"/>
    <w:rsid w:val="49380F0E"/>
    <w:rsid w:val="496E6D5E"/>
    <w:rsid w:val="49702AF2"/>
    <w:rsid w:val="497E2BEC"/>
    <w:rsid w:val="49A53B29"/>
    <w:rsid w:val="49AB3480"/>
    <w:rsid w:val="49AF35B4"/>
    <w:rsid w:val="49BF1338"/>
    <w:rsid w:val="49F375E7"/>
    <w:rsid w:val="49F40B07"/>
    <w:rsid w:val="4A0768CC"/>
    <w:rsid w:val="4A0B59D8"/>
    <w:rsid w:val="4A0C7D34"/>
    <w:rsid w:val="4A1F7CEC"/>
    <w:rsid w:val="4A2E3732"/>
    <w:rsid w:val="4A3B738F"/>
    <w:rsid w:val="4A4A1D45"/>
    <w:rsid w:val="4A500E3E"/>
    <w:rsid w:val="4A86191B"/>
    <w:rsid w:val="4A94308C"/>
    <w:rsid w:val="4AB51D9D"/>
    <w:rsid w:val="4AE40691"/>
    <w:rsid w:val="4AFD3FD5"/>
    <w:rsid w:val="4B0215FB"/>
    <w:rsid w:val="4B110289"/>
    <w:rsid w:val="4B142BCE"/>
    <w:rsid w:val="4B2D75D4"/>
    <w:rsid w:val="4B3606AA"/>
    <w:rsid w:val="4B3633DD"/>
    <w:rsid w:val="4B3820C2"/>
    <w:rsid w:val="4B4614E8"/>
    <w:rsid w:val="4B5F44FB"/>
    <w:rsid w:val="4B681F93"/>
    <w:rsid w:val="4B72052F"/>
    <w:rsid w:val="4B782618"/>
    <w:rsid w:val="4B921A89"/>
    <w:rsid w:val="4B944949"/>
    <w:rsid w:val="4BA076E8"/>
    <w:rsid w:val="4BA86C90"/>
    <w:rsid w:val="4BA91968"/>
    <w:rsid w:val="4BB216BC"/>
    <w:rsid w:val="4BB24A59"/>
    <w:rsid w:val="4BB41AB5"/>
    <w:rsid w:val="4BBA54C8"/>
    <w:rsid w:val="4BD2790E"/>
    <w:rsid w:val="4C007DDF"/>
    <w:rsid w:val="4C1A0AAA"/>
    <w:rsid w:val="4C206C72"/>
    <w:rsid w:val="4C383DDE"/>
    <w:rsid w:val="4C453AEC"/>
    <w:rsid w:val="4C6A1B90"/>
    <w:rsid w:val="4C6C0F76"/>
    <w:rsid w:val="4C723FB2"/>
    <w:rsid w:val="4C767FB3"/>
    <w:rsid w:val="4C7F01A1"/>
    <w:rsid w:val="4C9E4205"/>
    <w:rsid w:val="4CA75EBA"/>
    <w:rsid w:val="4CAA0E33"/>
    <w:rsid w:val="4CB47AAF"/>
    <w:rsid w:val="4CB77F3B"/>
    <w:rsid w:val="4CBA00D1"/>
    <w:rsid w:val="4CC11503"/>
    <w:rsid w:val="4CC526DF"/>
    <w:rsid w:val="4CCC0113"/>
    <w:rsid w:val="4CE506EC"/>
    <w:rsid w:val="4CE76216"/>
    <w:rsid w:val="4D082A8A"/>
    <w:rsid w:val="4D1A0E7E"/>
    <w:rsid w:val="4D1F3A4B"/>
    <w:rsid w:val="4D334CCA"/>
    <w:rsid w:val="4D553325"/>
    <w:rsid w:val="4D5970D1"/>
    <w:rsid w:val="4D5E361A"/>
    <w:rsid w:val="4D73093A"/>
    <w:rsid w:val="4D897DB2"/>
    <w:rsid w:val="4D8B0B14"/>
    <w:rsid w:val="4DD91D5A"/>
    <w:rsid w:val="4DE95212"/>
    <w:rsid w:val="4DF01BDF"/>
    <w:rsid w:val="4DFC7BD0"/>
    <w:rsid w:val="4E090B8D"/>
    <w:rsid w:val="4E152ADC"/>
    <w:rsid w:val="4E197388"/>
    <w:rsid w:val="4E2421C2"/>
    <w:rsid w:val="4E2C2275"/>
    <w:rsid w:val="4E353A96"/>
    <w:rsid w:val="4E3D70E2"/>
    <w:rsid w:val="4E437F61"/>
    <w:rsid w:val="4E497F1B"/>
    <w:rsid w:val="4E5A0E38"/>
    <w:rsid w:val="4E644AE9"/>
    <w:rsid w:val="4E713205"/>
    <w:rsid w:val="4E8B39A8"/>
    <w:rsid w:val="4E8C1587"/>
    <w:rsid w:val="4EAA1573"/>
    <w:rsid w:val="4EC34276"/>
    <w:rsid w:val="4EC6790A"/>
    <w:rsid w:val="4EDE5EDB"/>
    <w:rsid w:val="4EFE08DB"/>
    <w:rsid w:val="4F142E71"/>
    <w:rsid w:val="4F2911D9"/>
    <w:rsid w:val="4F300F91"/>
    <w:rsid w:val="4F366651"/>
    <w:rsid w:val="4F8C4055"/>
    <w:rsid w:val="4F97264F"/>
    <w:rsid w:val="4FAF29CC"/>
    <w:rsid w:val="4FB912D9"/>
    <w:rsid w:val="4FE51990"/>
    <w:rsid w:val="4FF72155"/>
    <w:rsid w:val="500A06BD"/>
    <w:rsid w:val="501222E0"/>
    <w:rsid w:val="502F4C40"/>
    <w:rsid w:val="503648F3"/>
    <w:rsid w:val="5036745C"/>
    <w:rsid w:val="50497A6C"/>
    <w:rsid w:val="504F0E09"/>
    <w:rsid w:val="50571FE6"/>
    <w:rsid w:val="50820DC9"/>
    <w:rsid w:val="508D3592"/>
    <w:rsid w:val="50AB1EA2"/>
    <w:rsid w:val="50AC7866"/>
    <w:rsid w:val="50CA60D9"/>
    <w:rsid w:val="50E70EF5"/>
    <w:rsid w:val="510313B3"/>
    <w:rsid w:val="51116092"/>
    <w:rsid w:val="51162D79"/>
    <w:rsid w:val="511D2CEB"/>
    <w:rsid w:val="513444D8"/>
    <w:rsid w:val="51451A66"/>
    <w:rsid w:val="51664618"/>
    <w:rsid w:val="5167665C"/>
    <w:rsid w:val="5176689F"/>
    <w:rsid w:val="517E4EAC"/>
    <w:rsid w:val="51883FC2"/>
    <w:rsid w:val="51AE75AA"/>
    <w:rsid w:val="51B059ED"/>
    <w:rsid w:val="51B75452"/>
    <w:rsid w:val="51BC69A8"/>
    <w:rsid w:val="51CA196A"/>
    <w:rsid w:val="51CE0BF6"/>
    <w:rsid w:val="51D469BA"/>
    <w:rsid w:val="51EB4BA7"/>
    <w:rsid w:val="51F16466"/>
    <w:rsid w:val="520A240C"/>
    <w:rsid w:val="52122478"/>
    <w:rsid w:val="52341B44"/>
    <w:rsid w:val="524675F1"/>
    <w:rsid w:val="526866CB"/>
    <w:rsid w:val="52733F35"/>
    <w:rsid w:val="528D2439"/>
    <w:rsid w:val="528E0F94"/>
    <w:rsid w:val="529C5361"/>
    <w:rsid w:val="52BE08CD"/>
    <w:rsid w:val="52D1331E"/>
    <w:rsid w:val="52D141C5"/>
    <w:rsid w:val="52D459AD"/>
    <w:rsid w:val="52E32A86"/>
    <w:rsid w:val="52FE58B2"/>
    <w:rsid w:val="52FF117E"/>
    <w:rsid w:val="53405086"/>
    <w:rsid w:val="535A25D5"/>
    <w:rsid w:val="53602935"/>
    <w:rsid w:val="53716F8B"/>
    <w:rsid w:val="53764934"/>
    <w:rsid w:val="5378538A"/>
    <w:rsid w:val="537F7C8D"/>
    <w:rsid w:val="53883EE0"/>
    <w:rsid w:val="5393184E"/>
    <w:rsid w:val="53953C5E"/>
    <w:rsid w:val="53BA6F17"/>
    <w:rsid w:val="53C432D7"/>
    <w:rsid w:val="53EC299C"/>
    <w:rsid w:val="53FE0A63"/>
    <w:rsid w:val="54161C85"/>
    <w:rsid w:val="5434575C"/>
    <w:rsid w:val="54346D88"/>
    <w:rsid w:val="5438167A"/>
    <w:rsid w:val="54616660"/>
    <w:rsid w:val="54755E9C"/>
    <w:rsid w:val="54941AD4"/>
    <w:rsid w:val="54C142D5"/>
    <w:rsid w:val="54C62B86"/>
    <w:rsid w:val="54CB2D6B"/>
    <w:rsid w:val="54D437AB"/>
    <w:rsid w:val="54FC2685"/>
    <w:rsid w:val="55003079"/>
    <w:rsid w:val="550167F0"/>
    <w:rsid w:val="550179AB"/>
    <w:rsid w:val="550922A8"/>
    <w:rsid w:val="5526180A"/>
    <w:rsid w:val="55262289"/>
    <w:rsid w:val="553C2569"/>
    <w:rsid w:val="554D25B5"/>
    <w:rsid w:val="555A48E8"/>
    <w:rsid w:val="55617E42"/>
    <w:rsid w:val="55732236"/>
    <w:rsid w:val="558A3031"/>
    <w:rsid w:val="558C02BB"/>
    <w:rsid w:val="559264BF"/>
    <w:rsid w:val="559B5180"/>
    <w:rsid w:val="55A3658E"/>
    <w:rsid w:val="55AE1C39"/>
    <w:rsid w:val="55BD3B21"/>
    <w:rsid w:val="55CE321A"/>
    <w:rsid w:val="55E52266"/>
    <w:rsid w:val="55F40A0B"/>
    <w:rsid w:val="560426CB"/>
    <w:rsid w:val="560E354A"/>
    <w:rsid w:val="56165544"/>
    <w:rsid w:val="561B16C6"/>
    <w:rsid w:val="564A7FDA"/>
    <w:rsid w:val="564F3EDC"/>
    <w:rsid w:val="56872585"/>
    <w:rsid w:val="5693069D"/>
    <w:rsid w:val="56A45C5C"/>
    <w:rsid w:val="56B85264"/>
    <w:rsid w:val="56BF51CD"/>
    <w:rsid w:val="56CA496B"/>
    <w:rsid w:val="56CD7815"/>
    <w:rsid w:val="56DF10F6"/>
    <w:rsid w:val="56E46271"/>
    <w:rsid w:val="56E81EC4"/>
    <w:rsid w:val="56EA203D"/>
    <w:rsid w:val="56EA7B13"/>
    <w:rsid w:val="570340E6"/>
    <w:rsid w:val="575628C5"/>
    <w:rsid w:val="575B6C94"/>
    <w:rsid w:val="57650F48"/>
    <w:rsid w:val="576E1244"/>
    <w:rsid w:val="57786402"/>
    <w:rsid w:val="577B281F"/>
    <w:rsid w:val="577C63A7"/>
    <w:rsid w:val="577E6F73"/>
    <w:rsid w:val="578E07AB"/>
    <w:rsid w:val="5794374A"/>
    <w:rsid w:val="57CA0C15"/>
    <w:rsid w:val="57D0400D"/>
    <w:rsid w:val="57D77C44"/>
    <w:rsid w:val="57DC4DDA"/>
    <w:rsid w:val="57F76B8C"/>
    <w:rsid w:val="580A562C"/>
    <w:rsid w:val="582A5AA0"/>
    <w:rsid w:val="58452B1E"/>
    <w:rsid w:val="585C52BB"/>
    <w:rsid w:val="58787AA1"/>
    <w:rsid w:val="589E45F3"/>
    <w:rsid w:val="589F0C2D"/>
    <w:rsid w:val="58A54B0B"/>
    <w:rsid w:val="58B328C3"/>
    <w:rsid w:val="58C145B7"/>
    <w:rsid w:val="58C61E32"/>
    <w:rsid w:val="58E930DD"/>
    <w:rsid w:val="58F26F9C"/>
    <w:rsid w:val="59110D7F"/>
    <w:rsid w:val="592866D1"/>
    <w:rsid w:val="5929493D"/>
    <w:rsid w:val="592B4413"/>
    <w:rsid w:val="592B55B9"/>
    <w:rsid w:val="593175BE"/>
    <w:rsid w:val="59326F1A"/>
    <w:rsid w:val="593743A2"/>
    <w:rsid w:val="59403573"/>
    <w:rsid w:val="595947D3"/>
    <w:rsid w:val="59603DAB"/>
    <w:rsid w:val="59723DF0"/>
    <w:rsid w:val="598F6C6C"/>
    <w:rsid w:val="59BB1895"/>
    <w:rsid w:val="59C06909"/>
    <w:rsid w:val="59C240BA"/>
    <w:rsid w:val="59E8019B"/>
    <w:rsid w:val="5A034BED"/>
    <w:rsid w:val="5A054FF5"/>
    <w:rsid w:val="5A082F56"/>
    <w:rsid w:val="5A13621B"/>
    <w:rsid w:val="5A1A7E61"/>
    <w:rsid w:val="5A387B5A"/>
    <w:rsid w:val="5A4532DD"/>
    <w:rsid w:val="5A506702"/>
    <w:rsid w:val="5A5319FC"/>
    <w:rsid w:val="5A6C4CE3"/>
    <w:rsid w:val="5A6F153A"/>
    <w:rsid w:val="5A9A4372"/>
    <w:rsid w:val="5AA21828"/>
    <w:rsid w:val="5AAA3437"/>
    <w:rsid w:val="5AAC37BA"/>
    <w:rsid w:val="5ACA232C"/>
    <w:rsid w:val="5AEE78B1"/>
    <w:rsid w:val="5B01367D"/>
    <w:rsid w:val="5B0A62C6"/>
    <w:rsid w:val="5B0B0055"/>
    <w:rsid w:val="5B376119"/>
    <w:rsid w:val="5B45492A"/>
    <w:rsid w:val="5B46008B"/>
    <w:rsid w:val="5B562740"/>
    <w:rsid w:val="5B585037"/>
    <w:rsid w:val="5B5D6705"/>
    <w:rsid w:val="5B7A1E4F"/>
    <w:rsid w:val="5B8B544C"/>
    <w:rsid w:val="5B8D77DF"/>
    <w:rsid w:val="5B9A50EC"/>
    <w:rsid w:val="5BAC1950"/>
    <w:rsid w:val="5BDB1EAB"/>
    <w:rsid w:val="5BEC36AA"/>
    <w:rsid w:val="5C043425"/>
    <w:rsid w:val="5C0827EA"/>
    <w:rsid w:val="5C181A1E"/>
    <w:rsid w:val="5C4C4298"/>
    <w:rsid w:val="5C5D5DF6"/>
    <w:rsid w:val="5C897AFA"/>
    <w:rsid w:val="5CC6692D"/>
    <w:rsid w:val="5CD137AE"/>
    <w:rsid w:val="5CD52605"/>
    <w:rsid w:val="5CE81F53"/>
    <w:rsid w:val="5CED178D"/>
    <w:rsid w:val="5D05762D"/>
    <w:rsid w:val="5D09467B"/>
    <w:rsid w:val="5D1335F8"/>
    <w:rsid w:val="5D26000A"/>
    <w:rsid w:val="5D263E46"/>
    <w:rsid w:val="5D2E40B1"/>
    <w:rsid w:val="5D4E0A2C"/>
    <w:rsid w:val="5D6F4B03"/>
    <w:rsid w:val="5D827C93"/>
    <w:rsid w:val="5D9B372D"/>
    <w:rsid w:val="5DA87DE0"/>
    <w:rsid w:val="5DAB167E"/>
    <w:rsid w:val="5DAF4A56"/>
    <w:rsid w:val="5DB162D0"/>
    <w:rsid w:val="5DC86D42"/>
    <w:rsid w:val="5DD64E44"/>
    <w:rsid w:val="5DE85E5F"/>
    <w:rsid w:val="5DF748C4"/>
    <w:rsid w:val="5E1176F8"/>
    <w:rsid w:val="5E411E02"/>
    <w:rsid w:val="5E4372A9"/>
    <w:rsid w:val="5E646C65"/>
    <w:rsid w:val="5E6F7788"/>
    <w:rsid w:val="5E78621D"/>
    <w:rsid w:val="5E804CA8"/>
    <w:rsid w:val="5E833057"/>
    <w:rsid w:val="5E952B59"/>
    <w:rsid w:val="5E9B633C"/>
    <w:rsid w:val="5EA63086"/>
    <w:rsid w:val="5EBC3885"/>
    <w:rsid w:val="5EC231E8"/>
    <w:rsid w:val="5ED118F7"/>
    <w:rsid w:val="5F143ED4"/>
    <w:rsid w:val="5F26529A"/>
    <w:rsid w:val="5F356DBE"/>
    <w:rsid w:val="5F393220"/>
    <w:rsid w:val="5F4768EB"/>
    <w:rsid w:val="5F5A7F0D"/>
    <w:rsid w:val="5F605944"/>
    <w:rsid w:val="5F6175B2"/>
    <w:rsid w:val="5F6C6395"/>
    <w:rsid w:val="5F7B5397"/>
    <w:rsid w:val="5F9439FA"/>
    <w:rsid w:val="5FA42829"/>
    <w:rsid w:val="5FAB6DDC"/>
    <w:rsid w:val="5FD51A3E"/>
    <w:rsid w:val="5FDC7ECD"/>
    <w:rsid w:val="5FE47DA9"/>
    <w:rsid w:val="5FFB791A"/>
    <w:rsid w:val="60213E7A"/>
    <w:rsid w:val="602A1CDC"/>
    <w:rsid w:val="6041477D"/>
    <w:rsid w:val="60460F33"/>
    <w:rsid w:val="604A3B91"/>
    <w:rsid w:val="605C1BBD"/>
    <w:rsid w:val="607E42DF"/>
    <w:rsid w:val="60833963"/>
    <w:rsid w:val="6085265B"/>
    <w:rsid w:val="609276BC"/>
    <w:rsid w:val="60AE2C7C"/>
    <w:rsid w:val="60C802F2"/>
    <w:rsid w:val="60CC028A"/>
    <w:rsid w:val="61070932"/>
    <w:rsid w:val="611C12F2"/>
    <w:rsid w:val="61392B35"/>
    <w:rsid w:val="613E1149"/>
    <w:rsid w:val="614810C1"/>
    <w:rsid w:val="61640577"/>
    <w:rsid w:val="616F61B4"/>
    <w:rsid w:val="61A3261D"/>
    <w:rsid w:val="61B67C90"/>
    <w:rsid w:val="61C62679"/>
    <w:rsid w:val="61F31EFD"/>
    <w:rsid w:val="61F91B91"/>
    <w:rsid w:val="61F949B0"/>
    <w:rsid w:val="61FA1FC1"/>
    <w:rsid w:val="620B7F7C"/>
    <w:rsid w:val="62296690"/>
    <w:rsid w:val="62486E4A"/>
    <w:rsid w:val="625C42F3"/>
    <w:rsid w:val="627209BD"/>
    <w:rsid w:val="628218E8"/>
    <w:rsid w:val="629B385C"/>
    <w:rsid w:val="62AC73E5"/>
    <w:rsid w:val="62C320CE"/>
    <w:rsid w:val="62D21569"/>
    <w:rsid w:val="62E47B0C"/>
    <w:rsid w:val="63017921"/>
    <w:rsid w:val="632B60AB"/>
    <w:rsid w:val="632E2CA1"/>
    <w:rsid w:val="6333639E"/>
    <w:rsid w:val="6372491A"/>
    <w:rsid w:val="637A089E"/>
    <w:rsid w:val="637F14F0"/>
    <w:rsid w:val="638145C5"/>
    <w:rsid w:val="638D0B4D"/>
    <w:rsid w:val="63C52A56"/>
    <w:rsid w:val="63EB0CAD"/>
    <w:rsid w:val="6402675B"/>
    <w:rsid w:val="640507C3"/>
    <w:rsid w:val="640E4BAC"/>
    <w:rsid w:val="64122DF8"/>
    <w:rsid w:val="643832B6"/>
    <w:rsid w:val="643B6021"/>
    <w:rsid w:val="64417DC7"/>
    <w:rsid w:val="64601A72"/>
    <w:rsid w:val="64743B55"/>
    <w:rsid w:val="64A70DF2"/>
    <w:rsid w:val="64B44414"/>
    <w:rsid w:val="64C300C5"/>
    <w:rsid w:val="64D534CE"/>
    <w:rsid w:val="64EA5D49"/>
    <w:rsid w:val="64F25DE5"/>
    <w:rsid w:val="64F95BE2"/>
    <w:rsid w:val="651208B5"/>
    <w:rsid w:val="651A6331"/>
    <w:rsid w:val="65217654"/>
    <w:rsid w:val="652B6CC0"/>
    <w:rsid w:val="653561D6"/>
    <w:rsid w:val="65393743"/>
    <w:rsid w:val="653D6ED6"/>
    <w:rsid w:val="6549634D"/>
    <w:rsid w:val="655C36CC"/>
    <w:rsid w:val="65960E66"/>
    <w:rsid w:val="65A64CEE"/>
    <w:rsid w:val="65C94D77"/>
    <w:rsid w:val="65CB662B"/>
    <w:rsid w:val="65EF1235"/>
    <w:rsid w:val="65FA00F8"/>
    <w:rsid w:val="660B4B89"/>
    <w:rsid w:val="6631327B"/>
    <w:rsid w:val="6632497D"/>
    <w:rsid w:val="664775B5"/>
    <w:rsid w:val="664E2CAD"/>
    <w:rsid w:val="6654626B"/>
    <w:rsid w:val="668C0E08"/>
    <w:rsid w:val="66B549DF"/>
    <w:rsid w:val="66DA0585"/>
    <w:rsid w:val="66F42B53"/>
    <w:rsid w:val="66F8491D"/>
    <w:rsid w:val="6703300B"/>
    <w:rsid w:val="670562A3"/>
    <w:rsid w:val="670B565C"/>
    <w:rsid w:val="671A294D"/>
    <w:rsid w:val="671E0416"/>
    <w:rsid w:val="67216BF7"/>
    <w:rsid w:val="67446DCC"/>
    <w:rsid w:val="67660C86"/>
    <w:rsid w:val="676A4358"/>
    <w:rsid w:val="6780215A"/>
    <w:rsid w:val="6783265D"/>
    <w:rsid w:val="67970867"/>
    <w:rsid w:val="679E7414"/>
    <w:rsid w:val="67C07444"/>
    <w:rsid w:val="67D23B83"/>
    <w:rsid w:val="67FC7D39"/>
    <w:rsid w:val="683C3F47"/>
    <w:rsid w:val="687F067C"/>
    <w:rsid w:val="68BB3998"/>
    <w:rsid w:val="68E73873"/>
    <w:rsid w:val="68EE7674"/>
    <w:rsid w:val="68FA35C2"/>
    <w:rsid w:val="69230EBD"/>
    <w:rsid w:val="692D47C9"/>
    <w:rsid w:val="69474951"/>
    <w:rsid w:val="694D07FE"/>
    <w:rsid w:val="69505204"/>
    <w:rsid w:val="698416E7"/>
    <w:rsid w:val="699B752F"/>
    <w:rsid w:val="69A21FC1"/>
    <w:rsid w:val="69AA3132"/>
    <w:rsid w:val="69AD184A"/>
    <w:rsid w:val="69B27ADF"/>
    <w:rsid w:val="69BE6882"/>
    <w:rsid w:val="69BE7446"/>
    <w:rsid w:val="69C46CC3"/>
    <w:rsid w:val="69E451A5"/>
    <w:rsid w:val="69E653DE"/>
    <w:rsid w:val="69E66B78"/>
    <w:rsid w:val="69F525FF"/>
    <w:rsid w:val="6A0349C6"/>
    <w:rsid w:val="6A103B58"/>
    <w:rsid w:val="6A1F58CE"/>
    <w:rsid w:val="6A21203E"/>
    <w:rsid w:val="6A411C1A"/>
    <w:rsid w:val="6A470981"/>
    <w:rsid w:val="6A682385"/>
    <w:rsid w:val="6A6F5F3C"/>
    <w:rsid w:val="6A785F2A"/>
    <w:rsid w:val="6A86187D"/>
    <w:rsid w:val="6A916863"/>
    <w:rsid w:val="6AB4102B"/>
    <w:rsid w:val="6AC16F10"/>
    <w:rsid w:val="6AC3562B"/>
    <w:rsid w:val="6ACB15B2"/>
    <w:rsid w:val="6B081D09"/>
    <w:rsid w:val="6B0E6829"/>
    <w:rsid w:val="6B103B38"/>
    <w:rsid w:val="6B130A65"/>
    <w:rsid w:val="6B237048"/>
    <w:rsid w:val="6B3E3B32"/>
    <w:rsid w:val="6B5B4C56"/>
    <w:rsid w:val="6B657648"/>
    <w:rsid w:val="6B672C9B"/>
    <w:rsid w:val="6B717934"/>
    <w:rsid w:val="6B9D33DE"/>
    <w:rsid w:val="6BA83261"/>
    <w:rsid w:val="6BB438F0"/>
    <w:rsid w:val="6BBC4C1A"/>
    <w:rsid w:val="6BEE07D6"/>
    <w:rsid w:val="6BF15048"/>
    <w:rsid w:val="6C0A7EB8"/>
    <w:rsid w:val="6C0C3572"/>
    <w:rsid w:val="6C0E7A2C"/>
    <w:rsid w:val="6C215C79"/>
    <w:rsid w:val="6C3B0A8F"/>
    <w:rsid w:val="6C3C7E26"/>
    <w:rsid w:val="6C421E32"/>
    <w:rsid w:val="6C4437A2"/>
    <w:rsid w:val="6C4E5FF7"/>
    <w:rsid w:val="6C7E7359"/>
    <w:rsid w:val="6C8B76D6"/>
    <w:rsid w:val="6C947904"/>
    <w:rsid w:val="6C963AA3"/>
    <w:rsid w:val="6CA61647"/>
    <w:rsid w:val="6CB44A97"/>
    <w:rsid w:val="6CBE6F36"/>
    <w:rsid w:val="6CD66279"/>
    <w:rsid w:val="6CDD30E3"/>
    <w:rsid w:val="6CDF6EF9"/>
    <w:rsid w:val="6D1735EE"/>
    <w:rsid w:val="6D1C2C40"/>
    <w:rsid w:val="6D465DC6"/>
    <w:rsid w:val="6D5156B9"/>
    <w:rsid w:val="6D646CAE"/>
    <w:rsid w:val="6D94140E"/>
    <w:rsid w:val="6DA33241"/>
    <w:rsid w:val="6DA40E00"/>
    <w:rsid w:val="6DA92915"/>
    <w:rsid w:val="6DC7768C"/>
    <w:rsid w:val="6DCC0D85"/>
    <w:rsid w:val="6DE8147C"/>
    <w:rsid w:val="6DFC5FDF"/>
    <w:rsid w:val="6E004AA4"/>
    <w:rsid w:val="6E192075"/>
    <w:rsid w:val="6E3520D7"/>
    <w:rsid w:val="6E40772A"/>
    <w:rsid w:val="6E5A5297"/>
    <w:rsid w:val="6E5B2C4D"/>
    <w:rsid w:val="6E5D60FE"/>
    <w:rsid w:val="6E70570F"/>
    <w:rsid w:val="6E715748"/>
    <w:rsid w:val="6E7478F4"/>
    <w:rsid w:val="6E9210C2"/>
    <w:rsid w:val="6E9C3F59"/>
    <w:rsid w:val="6EAC5CA4"/>
    <w:rsid w:val="6EB011EB"/>
    <w:rsid w:val="6EE67CEA"/>
    <w:rsid w:val="6EEC206C"/>
    <w:rsid w:val="6EF67A0F"/>
    <w:rsid w:val="6EF95CF7"/>
    <w:rsid w:val="6F022C2C"/>
    <w:rsid w:val="6F065A67"/>
    <w:rsid w:val="6F0C7219"/>
    <w:rsid w:val="6F0D1871"/>
    <w:rsid w:val="6F0F5FAE"/>
    <w:rsid w:val="6F13641C"/>
    <w:rsid w:val="6F286FD3"/>
    <w:rsid w:val="6F384C4C"/>
    <w:rsid w:val="6F4900EA"/>
    <w:rsid w:val="6F507981"/>
    <w:rsid w:val="6F5A4CB2"/>
    <w:rsid w:val="6F5C63D3"/>
    <w:rsid w:val="6F631DB9"/>
    <w:rsid w:val="6F764AF3"/>
    <w:rsid w:val="6F7B5841"/>
    <w:rsid w:val="6F803663"/>
    <w:rsid w:val="6F8F7052"/>
    <w:rsid w:val="6F9E1EE0"/>
    <w:rsid w:val="6FC12D69"/>
    <w:rsid w:val="6FD32D21"/>
    <w:rsid w:val="6FEC03DF"/>
    <w:rsid w:val="6FFD045F"/>
    <w:rsid w:val="702B44F9"/>
    <w:rsid w:val="703F63F8"/>
    <w:rsid w:val="70425469"/>
    <w:rsid w:val="7046490B"/>
    <w:rsid w:val="705F2EAD"/>
    <w:rsid w:val="70A95EF1"/>
    <w:rsid w:val="70C65E14"/>
    <w:rsid w:val="70E1331C"/>
    <w:rsid w:val="70E25A76"/>
    <w:rsid w:val="70E77EE3"/>
    <w:rsid w:val="70E91C63"/>
    <w:rsid w:val="70EA4902"/>
    <w:rsid w:val="710106F9"/>
    <w:rsid w:val="71084BBD"/>
    <w:rsid w:val="71214CF2"/>
    <w:rsid w:val="71280BDB"/>
    <w:rsid w:val="712C1AF0"/>
    <w:rsid w:val="712F428E"/>
    <w:rsid w:val="71302DD8"/>
    <w:rsid w:val="71374599"/>
    <w:rsid w:val="713C291A"/>
    <w:rsid w:val="714640A9"/>
    <w:rsid w:val="71496FB3"/>
    <w:rsid w:val="716341B9"/>
    <w:rsid w:val="71767E43"/>
    <w:rsid w:val="71824D19"/>
    <w:rsid w:val="71827990"/>
    <w:rsid w:val="71905411"/>
    <w:rsid w:val="71A9273D"/>
    <w:rsid w:val="71AC4237"/>
    <w:rsid w:val="71B37149"/>
    <w:rsid w:val="71FA5285"/>
    <w:rsid w:val="722066C1"/>
    <w:rsid w:val="722D010F"/>
    <w:rsid w:val="7240146A"/>
    <w:rsid w:val="72530C16"/>
    <w:rsid w:val="726227FC"/>
    <w:rsid w:val="727507A1"/>
    <w:rsid w:val="72897D89"/>
    <w:rsid w:val="72897F70"/>
    <w:rsid w:val="729B22F4"/>
    <w:rsid w:val="72A91841"/>
    <w:rsid w:val="7301545B"/>
    <w:rsid w:val="731431F6"/>
    <w:rsid w:val="731A1328"/>
    <w:rsid w:val="734A48BB"/>
    <w:rsid w:val="734E4A68"/>
    <w:rsid w:val="73834058"/>
    <w:rsid w:val="73B66D15"/>
    <w:rsid w:val="73B7296C"/>
    <w:rsid w:val="73C9668B"/>
    <w:rsid w:val="73CE1328"/>
    <w:rsid w:val="73E6432F"/>
    <w:rsid w:val="740069FD"/>
    <w:rsid w:val="740873D3"/>
    <w:rsid w:val="740B5946"/>
    <w:rsid w:val="740F3B71"/>
    <w:rsid w:val="740F42BD"/>
    <w:rsid w:val="74193EE0"/>
    <w:rsid w:val="741E0C78"/>
    <w:rsid w:val="74431762"/>
    <w:rsid w:val="74460FA9"/>
    <w:rsid w:val="74713AB7"/>
    <w:rsid w:val="748D1686"/>
    <w:rsid w:val="74911176"/>
    <w:rsid w:val="74BD6564"/>
    <w:rsid w:val="74C51640"/>
    <w:rsid w:val="74C5588B"/>
    <w:rsid w:val="75137DDD"/>
    <w:rsid w:val="75326C91"/>
    <w:rsid w:val="75382394"/>
    <w:rsid w:val="754E52B9"/>
    <w:rsid w:val="75751FDF"/>
    <w:rsid w:val="757D5F6B"/>
    <w:rsid w:val="757F0178"/>
    <w:rsid w:val="759B4351"/>
    <w:rsid w:val="75B34CC2"/>
    <w:rsid w:val="75D96451"/>
    <w:rsid w:val="75E518E2"/>
    <w:rsid w:val="75EF05E5"/>
    <w:rsid w:val="75F96676"/>
    <w:rsid w:val="75FD0CDE"/>
    <w:rsid w:val="76045D71"/>
    <w:rsid w:val="761C6D77"/>
    <w:rsid w:val="76321410"/>
    <w:rsid w:val="763E07F5"/>
    <w:rsid w:val="764264E5"/>
    <w:rsid w:val="76472434"/>
    <w:rsid w:val="76622430"/>
    <w:rsid w:val="76657A2B"/>
    <w:rsid w:val="766F3508"/>
    <w:rsid w:val="76721858"/>
    <w:rsid w:val="767E096B"/>
    <w:rsid w:val="768D6BDB"/>
    <w:rsid w:val="769B510E"/>
    <w:rsid w:val="76D173FE"/>
    <w:rsid w:val="76F36118"/>
    <w:rsid w:val="76F85EA3"/>
    <w:rsid w:val="77012B82"/>
    <w:rsid w:val="770C5633"/>
    <w:rsid w:val="771762D0"/>
    <w:rsid w:val="77194FD8"/>
    <w:rsid w:val="771A28D2"/>
    <w:rsid w:val="771B64EE"/>
    <w:rsid w:val="77234599"/>
    <w:rsid w:val="7748040C"/>
    <w:rsid w:val="777B6105"/>
    <w:rsid w:val="77951B95"/>
    <w:rsid w:val="779B4B59"/>
    <w:rsid w:val="77A90C7A"/>
    <w:rsid w:val="77BD0F80"/>
    <w:rsid w:val="77CE5ACC"/>
    <w:rsid w:val="77D00208"/>
    <w:rsid w:val="77ED5DBA"/>
    <w:rsid w:val="77F078C6"/>
    <w:rsid w:val="77FB42DA"/>
    <w:rsid w:val="77FC2A62"/>
    <w:rsid w:val="781400F4"/>
    <w:rsid w:val="782B5627"/>
    <w:rsid w:val="78350521"/>
    <w:rsid w:val="783B3B27"/>
    <w:rsid w:val="78780A20"/>
    <w:rsid w:val="787C144A"/>
    <w:rsid w:val="78834A1B"/>
    <w:rsid w:val="78940298"/>
    <w:rsid w:val="78BD2F86"/>
    <w:rsid w:val="78C67C07"/>
    <w:rsid w:val="78D22BF7"/>
    <w:rsid w:val="78D67D2D"/>
    <w:rsid w:val="78DF1E73"/>
    <w:rsid w:val="79213C3F"/>
    <w:rsid w:val="79565232"/>
    <w:rsid w:val="795C0578"/>
    <w:rsid w:val="795E3C7F"/>
    <w:rsid w:val="795E46A1"/>
    <w:rsid w:val="79674804"/>
    <w:rsid w:val="7974106B"/>
    <w:rsid w:val="79747548"/>
    <w:rsid w:val="79B80F53"/>
    <w:rsid w:val="79B87356"/>
    <w:rsid w:val="79D00993"/>
    <w:rsid w:val="79EF706B"/>
    <w:rsid w:val="7A012115"/>
    <w:rsid w:val="7A0F4D5A"/>
    <w:rsid w:val="7A122D59"/>
    <w:rsid w:val="7A3E2AD8"/>
    <w:rsid w:val="7A3E30B9"/>
    <w:rsid w:val="7A427668"/>
    <w:rsid w:val="7A4C78ED"/>
    <w:rsid w:val="7A525BE5"/>
    <w:rsid w:val="7A7014AC"/>
    <w:rsid w:val="7A7E037F"/>
    <w:rsid w:val="7A8533AA"/>
    <w:rsid w:val="7AC24D96"/>
    <w:rsid w:val="7ACA53E2"/>
    <w:rsid w:val="7ACD4A6E"/>
    <w:rsid w:val="7AD21D88"/>
    <w:rsid w:val="7AFC4CAF"/>
    <w:rsid w:val="7B2368A0"/>
    <w:rsid w:val="7B2D7D20"/>
    <w:rsid w:val="7B4031F9"/>
    <w:rsid w:val="7B431965"/>
    <w:rsid w:val="7B5364AD"/>
    <w:rsid w:val="7B605DAF"/>
    <w:rsid w:val="7B666CD1"/>
    <w:rsid w:val="7B723B00"/>
    <w:rsid w:val="7B9709DE"/>
    <w:rsid w:val="7BA069E7"/>
    <w:rsid w:val="7BB464FD"/>
    <w:rsid w:val="7BB70A0F"/>
    <w:rsid w:val="7BB91991"/>
    <w:rsid w:val="7BC24A6F"/>
    <w:rsid w:val="7BD068A1"/>
    <w:rsid w:val="7BD6473D"/>
    <w:rsid w:val="7BE3111D"/>
    <w:rsid w:val="7BEC7CE4"/>
    <w:rsid w:val="7C116406"/>
    <w:rsid w:val="7C161803"/>
    <w:rsid w:val="7C195E48"/>
    <w:rsid w:val="7C29136C"/>
    <w:rsid w:val="7C30396B"/>
    <w:rsid w:val="7C327425"/>
    <w:rsid w:val="7C35085A"/>
    <w:rsid w:val="7C420366"/>
    <w:rsid w:val="7C5F0275"/>
    <w:rsid w:val="7C6221C7"/>
    <w:rsid w:val="7C7D12CB"/>
    <w:rsid w:val="7C86527C"/>
    <w:rsid w:val="7C8B3116"/>
    <w:rsid w:val="7CAA036F"/>
    <w:rsid w:val="7CC52876"/>
    <w:rsid w:val="7CC67CF9"/>
    <w:rsid w:val="7CD939F5"/>
    <w:rsid w:val="7CDE33C7"/>
    <w:rsid w:val="7CE71915"/>
    <w:rsid w:val="7CF272F5"/>
    <w:rsid w:val="7CF36ED4"/>
    <w:rsid w:val="7CF87651"/>
    <w:rsid w:val="7CFD435D"/>
    <w:rsid w:val="7D0E391B"/>
    <w:rsid w:val="7D266A42"/>
    <w:rsid w:val="7D2F0201"/>
    <w:rsid w:val="7D2F777E"/>
    <w:rsid w:val="7D425704"/>
    <w:rsid w:val="7D4D4546"/>
    <w:rsid w:val="7D661428"/>
    <w:rsid w:val="7D6942A8"/>
    <w:rsid w:val="7D833176"/>
    <w:rsid w:val="7D865335"/>
    <w:rsid w:val="7DA532AF"/>
    <w:rsid w:val="7DAC34AA"/>
    <w:rsid w:val="7DB15F74"/>
    <w:rsid w:val="7DCC7AFA"/>
    <w:rsid w:val="7DD35F38"/>
    <w:rsid w:val="7DD42080"/>
    <w:rsid w:val="7DDF3440"/>
    <w:rsid w:val="7DE32582"/>
    <w:rsid w:val="7DF63207"/>
    <w:rsid w:val="7E072AC5"/>
    <w:rsid w:val="7E165030"/>
    <w:rsid w:val="7E1669E8"/>
    <w:rsid w:val="7E175FAF"/>
    <w:rsid w:val="7E273CC9"/>
    <w:rsid w:val="7E321345"/>
    <w:rsid w:val="7E436791"/>
    <w:rsid w:val="7E485D5E"/>
    <w:rsid w:val="7E592A6D"/>
    <w:rsid w:val="7E62308B"/>
    <w:rsid w:val="7E68493D"/>
    <w:rsid w:val="7E75409F"/>
    <w:rsid w:val="7E7D101C"/>
    <w:rsid w:val="7EBB6807"/>
    <w:rsid w:val="7EBE1FFF"/>
    <w:rsid w:val="7EDE59FB"/>
    <w:rsid w:val="7EDE7564"/>
    <w:rsid w:val="7EF506CD"/>
    <w:rsid w:val="7EFD3E5D"/>
    <w:rsid w:val="7F0344D1"/>
    <w:rsid w:val="7F043C8F"/>
    <w:rsid w:val="7F153C8D"/>
    <w:rsid w:val="7F1C3500"/>
    <w:rsid w:val="7F27789E"/>
    <w:rsid w:val="7F363046"/>
    <w:rsid w:val="7F37646F"/>
    <w:rsid w:val="7F3A17D2"/>
    <w:rsid w:val="7F3E53F1"/>
    <w:rsid w:val="7F451F8F"/>
    <w:rsid w:val="7F542D0F"/>
    <w:rsid w:val="7F646744"/>
    <w:rsid w:val="7F651195"/>
    <w:rsid w:val="7F702403"/>
    <w:rsid w:val="7F7579A8"/>
    <w:rsid w:val="7F7D6EC7"/>
    <w:rsid w:val="7F8179B8"/>
    <w:rsid w:val="7F872CCD"/>
    <w:rsid w:val="7F8D2E2B"/>
    <w:rsid w:val="7FA51BD1"/>
    <w:rsid w:val="7FE57DB5"/>
    <w:rsid w:val="7FE77059"/>
    <w:rsid w:val="7FEC2D96"/>
    <w:rsid w:val="7FF50BD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snapToGrid w:val="0"/>
      <w:kern w:val="21"/>
      <w:sz w:val="21"/>
      <w:szCs w:val="24"/>
      <w:lang w:val="en-US" w:eastAsia="zh-CN" w:bidi="ar-SA"/>
    </w:rPr>
  </w:style>
  <w:style w:type="paragraph" w:styleId="3">
    <w:name w:val="heading 1"/>
    <w:basedOn w:val="1"/>
    <w:next w:val="1"/>
    <w:link w:val="46"/>
    <w:autoRedefine/>
    <w:qFormat/>
    <w:uiPriority w:val="0"/>
    <w:pPr>
      <w:keepNext/>
      <w:keepLines/>
      <w:spacing w:before="120" w:beforeLines="0" w:after="120" w:afterLines="0" w:line="360" w:lineRule="auto"/>
      <w:jc w:val="center"/>
      <w:outlineLvl w:val="0"/>
    </w:pPr>
    <w:rPr>
      <w:rFonts w:ascii="宋体" w:hAnsi="宋体"/>
      <w:b/>
      <w:bCs/>
      <w:snapToGrid/>
      <w:kern w:val="44"/>
      <w:sz w:val="30"/>
      <w:szCs w:val="44"/>
    </w:rPr>
  </w:style>
  <w:style w:type="paragraph" w:styleId="4">
    <w:name w:val="heading 2"/>
    <w:basedOn w:val="1"/>
    <w:next w:val="1"/>
    <w:link w:val="47"/>
    <w:autoRedefine/>
    <w:qFormat/>
    <w:uiPriority w:val="0"/>
    <w:pPr>
      <w:keepNext/>
      <w:keepLines/>
      <w:spacing w:beforeLines="0" w:afterLines="0" w:line="416" w:lineRule="auto"/>
      <w:jc w:val="center"/>
      <w:outlineLvl w:val="1"/>
    </w:pPr>
    <w:rPr>
      <w:rFonts w:hint="eastAsia" w:ascii="黑体" w:hAnsi="黑体"/>
      <w:b/>
      <w:bCs/>
      <w:snapToGrid/>
      <w:kern w:val="2"/>
      <w:sz w:val="30"/>
      <w:szCs w:val="36"/>
    </w:rPr>
  </w:style>
  <w:style w:type="paragraph" w:styleId="5">
    <w:name w:val="heading 3"/>
    <w:basedOn w:val="1"/>
    <w:next w:val="1"/>
    <w:link w:val="48"/>
    <w:autoRedefine/>
    <w:qFormat/>
    <w:uiPriority w:val="0"/>
    <w:pPr>
      <w:keepNext/>
      <w:keepLines/>
      <w:spacing w:before="60" w:beforeLines="0" w:after="60" w:afterLines="0" w:line="400" w:lineRule="exact"/>
      <w:ind w:firstLine="510"/>
      <w:outlineLvl w:val="2"/>
    </w:pPr>
    <w:rPr>
      <w:rFonts w:hint="eastAsia" w:ascii="黑体" w:hAnsi="宋体" w:eastAsia="黑体"/>
      <w:bCs/>
      <w:snapToGrid/>
      <w:kern w:val="2"/>
      <w:sz w:val="30"/>
      <w:szCs w:val="20"/>
    </w:rPr>
  </w:style>
  <w:style w:type="paragraph" w:styleId="6">
    <w:name w:val="heading 4"/>
    <w:basedOn w:val="1"/>
    <w:next w:val="1"/>
    <w:link w:val="49"/>
    <w:autoRedefine/>
    <w:qFormat/>
    <w:uiPriority w:val="0"/>
    <w:pPr>
      <w:keepNext/>
      <w:keepLines/>
      <w:spacing w:before="280" w:after="290" w:line="376" w:lineRule="auto"/>
      <w:outlineLvl w:val="3"/>
    </w:pPr>
    <w:rPr>
      <w:rFonts w:ascii="Cambria" w:hAnsi="Cambria"/>
      <w:b/>
      <w:bCs/>
      <w:sz w:val="28"/>
      <w:szCs w:val="28"/>
    </w:rPr>
  </w:style>
  <w:style w:type="paragraph" w:styleId="7">
    <w:name w:val="heading 5"/>
    <w:basedOn w:val="1"/>
    <w:next w:val="1"/>
    <w:autoRedefine/>
    <w:qFormat/>
    <w:uiPriority w:val="0"/>
    <w:pPr>
      <w:keepNext/>
      <w:keepLines/>
      <w:widowControl w:val="0"/>
      <w:numPr>
        <w:ilvl w:val="4"/>
        <w:numId w:val="1"/>
      </w:numPr>
      <w:suppressLineNumbers w:val="0"/>
      <w:snapToGrid w:val="0"/>
      <w:spacing w:before="0" w:beforeAutospacing="0" w:after="0" w:afterAutospacing="0" w:line="360" w:lineRule="auto"/>
      <w:ind w:left="0" w:right="0" w:firstLine="0" w:firstLineChars="0"/>
      <w:jc w:val="left"/>
      <w:outlineLvl w:val="4"/>
    </w:pPr>
    <w:rPr>
      <w:rFonts w:hint="default" w:ascii="Arial" w:hAnsi="Arial" w:eastAsia="黑体" w:cs="Times New Roman"/>
      <w:b/>
      <w:kern w:val="2"/>
      <w:sz w:val="24"/>
      <w:szCs w:val="24"/>
      <w:lang w:val="en-US" w:eastAsia="zh-CN" w:bidi="ar"/>
    </w:rPr>
  </w:style>
  <w:style w:type="character" w:default="1" w:styleId="38">
    <w:name w:val="Default Paragraph Font"/>
    <w:autoRedefine/>
    <w:semiHidden/>
    <w:qFormat/>
    <w:uiPriority w:val="0"/>
  </w:style>
  <w:style w:type="table" w:default="1" w:styleId="36">
    <w:name w:val="Normal Table"/>
    <w:autoRedefine/>
    <w:semiHidden/>
    <w:qFormat/>
    <w:uiPriority w:val="0"/>
    <w:pPr>
      <w:keepNext w:val="0"/>
      <w:keepLines w:val="0"/>
      <w:widowControl/>
      <w:suppressLineNumbers w:val="0"/>
      <w:spacing w:before="0" w:beforeAutospacing="0" w:after="0" w:afterAutospacing="0"/>
      <w:ind w:left="0" w:right="0"/>
    </w:pPr>
    <w:rPr>
      <w:rFonts w:hint="default" w:ascii="Calibri" w:hAnsi="Calibri" w:eastAsia="宋体" w:cs="Times New Roman"/>
      <w:kern w:val="2"/>
      <w:sz w:val="21"/>
      <w:szCs w:val="22"/>
    </w:rPr>
    <w:tblPr>
      <w:tblCellMar>
        <w:top w:w="0" w:type="dxa"/>
        <w:left w:w="108" w:type="dxa"/>
        <w:bottom w:w="0" w:type="dxa"/>
        <w:right w:w="108" w:type="dxa"/>
      </w:tblCellMar>
    </w:tblPr>
  </w:style>
  <w:style w:type="paragraph" w:styleId="2">
    <w:name w:val="Body Text"/>
    <w:basedOn w:val="1"/>
    <w:next w:val="1"/>
    <w:autoRedefine/>
    <w:qFormat/>
    <w:uiPriority w:val="0"/>
    <w:pPr>
      <w:spacing w:after="120" w:afterLines="0"/>
    </w:pPr>
  </w:style>
  <w:style w:type="paragraph" w:styleId="8">
    <w:name w:val="toc 7"/>
    <w:basedOn w:val="1"/>
    <w:next w:val="1"/>
    <w:autoRedefine/>
    <w:semiHidden/>
    <w:qFormat/>
    <w:uiPriority w:val="0"/>
    <w:pPr>
      <w:ind w:left="1260"/>
      <w:jc w:val="left"/>
    </w:pPr>
    <w:rPr>
      <w:rFonts w:ascii="Times New Roman"/>
      <w:sz w:val="18"/>
      <w:szCs w:val="18"/>
    </w:rPr>
  </w:style>
  <w:style w:type="paragraph" w:styleId="9">
    <w:name w:val="Normal Indent"/>
    <w:basedOn w:val="1"/>
    <w:next w:val="1"/>
    <w:link w:val="50"/>
    <w:autoRedefine/>
    <w:qFormat/>
    <w:uiPriority w:val="0"/>
    <w:pPr>
      <w:ind w:firstLine="420"/>
    </w:pPr>
    <w:rPr>
      <w:snapToGrid/>
      <w:kern w:val="2"/>
      <w:szCs w:val="20"/>
    </w:rPr>
  </w:style>
  <w:style w:type="paragraph" w:styleId="10">
    <w:name w:val="caption"/>
    <w:basedOn w:val="1"/>
    <w:next w:val="1"/>
    <w:autoRedefine/>
    <w:qFormat/>
    <w:uiPriority w:val="0"/>
    <w:rPr>
      <w:rFonts w:ascii="Cambria" w:hAnsi="Cambria" w:eastAsia="黑体"/>
      <w:snapToGrid/>
      <w:kern w:val="2"/>
      <w:sz w:val="20"/>
      <w:szCs w:val="20"/>
    </w:rPr>
  </w:style>
  <w:style w:type="paragraph" w:styleId="11">
    <w:name w:val="Document Map"/>
    <w:basedOn w:val="1"/>
    <w:autoRedefine/>
    <w:semiHidden/>
    <w:qFormat/>
    <w:uiPriority w:val="0"/>
    <w:pPr>
      <w:shd w:val="clear" w:color="auto" w:fill="000080"/>
    </w:pPr>
  </w:style>
  <w:style w:type="paragraph" w:styleId="12">
    <w:name w:val="annotation text"/>
    <w:basedOn w:val="1"/>
    <w:link w:val="51"/>
    <w:autoRedefine/>
    <w:semiHidden/>
    <w:qFormat/>
    <w:uiPriority w:val="0"/>
    <w:pPr>
      <w:jc w:val="left"/>
    </w:pPr>
    <w:rPr>
      <w:snapToGrid/>
      <w:kern w:val="2"/>
      <w:szCs w:val="20"/>
    </w:rPr>
  </w:style>
  <w:style w:type="paragraph" w:styleId="13">
    <w:name w:val="Body Text 3"/>
    <w:basedOn w:val="1"/>
    <w:autoRedefine/>
    <w:qFormat/>
    <w:uiPriority w:val="0"/>
    <w:pPr>
      <w:spacing w:after="120" w:afterLines="0"/>
    </w:pPr>
    <w:rPr>
      <w:rFonts w:ascii="Times New Roman"/>
      <w:snapToGrid/>
      <w:kern w:val="2"/>
      <w:sz w:val="16"/>
      <w:szCs w:val="16"/>
    </w:rPr>
  </w:style>
  <w:style w:type="paragraph" w:styleId="14">
    <w:name w:val="Body Text Indent"/>
    <w:basedOn w:val="1"/>
    <w:link w:val="52"/>
    <w:autoRedefine/>
    <w:qFormat/>
    <w:uiPriority w:val="0"/>
    <w:pPr>
      <w:keepNext w:val="0"/>
      <w:keepLines w:val="0"/>
      <w:widowControl w:val="0"/>
      <w:suppressLineNumbers w:val="0"/>
      <w:spacing w:before="0" w:beforeAutospacing="0" w:after="0" w:afterAutospacing="0" w:line="460" w:lineRule="exact"/>
      <w:ind w:left="0" w:right="0" w:firstLine="510"/>
      <w:jc w:val="both"/>
    </w:pPr>
    <w:rPr>
      <w:rFonts w:ascii="宋体"/>
    </w:rPr>
  </w:style>
  <w:style w:type="paragraph" w:styleId="15">
    <w:name w:val="toc 5"/>
    <w:basedOn w:val="1"/>
    <w:next w:val="1"/>
    <w:autoRedefine/>
    <w:semiHidden/>
    <w:qFormat/>
    <w:uiPriority w:val="0"/>
    <w:pPr>
      <w:ind w:left="840"/>
      <w:jc w:val="left"/>
    </w:pPr>
    <w:rPr>
      <w:rFonts w:ascii="Times New Roman"/>
      <w:sz w:val="18"/>
      <w:szCs w:val="18"/>
    </w:rPr>
  </w:style>
  <w:style w:type="paragraph" w:styleId="16">
    <w:name w:val="toc 3"/>
    <w:basedOn w:val="17"/>
    <w:next w:val="1"/>
    <w:autoRedefine/>
    <w:qFormat/>
    <w:uiPriority w:val="39"/>
    <w:pPr>
      <w:ind w:left="420"/>
      <w:jc w:val="left"/>
    </w:pPr>
    <w:rPr>
      <w:rFonts w:ascii="Times New Roman"/>
      <w:i/>
      <w:iCs/>
      <w:sz w:val="20"/>
      <w:szCs w:val="20"/>
    </w:rPr>
  </w:style>
  <w:style w:type="paragraph" w:styleId="17">
    <w:name w:val="toc 2"/>
    <w:basedOn w:val="1"/>
    <w:next w:val="16"/>
    <w:autoRedefine/>
    <w:qFormat/>
    <w:uiPriority w:val="39"/>
    <w:pPr>
      <w:ind w:left="210"/>
      <w:jc w:val="left"/>
    </w:pPr>
    <w:rPr>
      <w:rFonts w:ascii="Times New Roman"/>
      <w:smallCaps/>
      <w:sz w:val="20"/>
      <w:szCs w:val="20"/>
    </w:rPr>
  </w:style>
  <w:style w:type="paragraph" w:styleId="18">
    <w:name w:val="Plain Text"/>
    <w:basedOn w:val="1"/>
    <w:next w:val="1"/>
    <w:link w:val="53"/>
    <w:autoRedefine/>
    <w:qFormat/>
    <w:uiPriority w:val="99"/>
    <w:rPr>
      <w:rFonts w:ascii="宋体"/>
      <w:snapToGrid/>
      <w:kern w:val="2"/>
      <w:szCs w:val="20"/>
    </w:rPr>
  </w:style>
  <w:style w:type="paragraph" w:styleId="19">
    <w:name w:val="toc 8"/>
    <w:basedOn w:val="1"/>
    <w:next w:val="1"/>
    <w:autoRedefine/>
    <w:semiHidden/>
    <w:qFormat/>
    <w:uiPriority w:val="0"/>
    <w:pPr>
      <w:ind w:left="1470"/>
      <w:jc w:val="left"/>
    </w:pPr>
    <w:rPr>
      <w:rFonts w:ascii="Times New Roman"/>
      <w:sz w:val="18"/>
      <w:szCs w:val="18"/>
    </w:rPr>
  </w:style>
  <w:style w:type="paragraph" w:styleId="20">
    <w:name w:val="Date"/>
    <w:basedOn w:val="1"/>
    <w:next w:val="1"/>
    <w:autoRedefine/>
    <w:qFormat/>
    <w:uiPriority w:val="0"/>
    <w:rPr>
      <w:rFonts w:ascii="Times New Roman"/>
      <w:snapToGrid/>
      <w:kern w:val="0"/>
      <w:sz w:val="28"/>
      <w:szCs w:val="20"/>
    </w:rPr>
  </w:style>
  <w:style w:type="paragraph" w:styleId="21">
    <w:name w:val="Body Text Indent 2"/>
    <w:basedOn w:val="1"/>
    <w:link w:val="54"/>
    <w:autoRedefine/>
    <w:qFormat/>
    <w:uiPriority w:val="0"/>
    <w:pPr>
      <w:spacing w:line="500" w:lineRule="exact"/>
      <w:ind w:firstLine="510"/>
    </w:pPr>
    <w:rPr>
      <w:rFonts w:ascii="宋体"/>
      <w:snapToGrid/>
      <w:kern w:val="2"/>
      <w:sz w:val="24"/>
      <w:szCs w:val="20"/>
    </w:rPr>
  </w:style>
  <w:style w:type="paragraph" w:styleId="22">
    <w:name w:val="Balloon Text"/>
    <w:basedOn w:val="1"/>
    <w:autoRedefine/>
    <w:semiHidden/>
    <w:qFormat/>
    <w:uiPriority w:val="0"/>
    <w:rPr>
      <w:sz w:val="18"/>
      <w:szCs w:val="18"/>
    </w:rPr>
  </w:style>
  <w:style w:type="paragraph" w:styleId="23">
    <w:name w:val="footer"/>
    <w:basedOn w:val="1"/>
    <w:link w:val="55"/>
    <w:autoRedefine/>
    <w:qFormat/>
    <w:uiPriority w:val="0"/>
    <w:pPr>
      <w:tabs>
        <w:tab w:val="center" w:pos="4153"/>
        <w:tab w:val="right" w:pos="8306"/>
      </w:tabs>
      <w:snapToGrid w:val="0"/>
      <w:jc w:val="left"/>
    </w:pPr>
    <w:rPr>
      <w:rFonts w:ascii="宋体"/>
      <w:sz w:val="18"/>
      <w:szCs w:val="18"/>
    </w:rPr>
  </w:style>
  <w:style w:type="paragraph" w:styleId="24">
    <w:name w:val="header"/>
    <w:basedOn w:val="1"/>
    <w:link w:val="56"/>
    <w:autoRedefine/>
    <w:qFormat/>
    <w:uiPriority w:val="0"/>
    <w:pPr>
      <w:pBdr>
        <w:bottom w:val="single" w:color="auto" w:sz="6" w:space="1"/>
      </w:pBdr>
      <w:tabs>
        <w:tab w:val="center" w:pos="4153"/>
        <w:tab w:val="right" w:pos="8306"/>
      </w:tabs>
      <w:snapToGrid w:val="0"/>
      <w:jc w:val="center"/>
    </w:pPr>
    <w:rPr>
      <w:rFonts w:ascii="宋体"/>
      <w:sz w:val="18"/>
      <w:szCs w:val="18"/>
    </w:rPr>
  </w:style>
  <w:style w:type="paragraph" w:styleId="25">
    <w:name w:val="toc 1"/>
    <w:basedOn w:val="1"/>
    <w:next w:val="17"/>
    <w:autoRedefine/>
    <w:qFormat/>
    <w:uiPriority w:val="39"/>
    <w:pPr>
      <w:tabs>
        <w:tab w:val="left" w:pos="840"/>
        <w:tab w:val="right" w:leader="dot" w:pos="9170"/>
      </w:tabs>
      <w:spacing w:before="120" w:beforeLines="0" w:after="120" w:afterLines="0" w:line="600" w:lineRule="auto"/>
      <w:jc w:val="center"/>
    </w:pPr>
    <w:rPr>
      <w:rFonts w:ascii="Times New Roman"/>
      <w:bCs/>
      <w:caps/>
      <w:sz w:val="32"/>
      <w:szCs w:val="32"/>
    </w:rPr>
  </w:style>
  <w:style w:type="paragraph" w:styleId="26">
    <w:name w:val="toc 4"/>
    <w:basedOn w:val="1"/>
    <w:next w:val="1"/>
    <w:autoRedefine/>
    <w:semiHidden/>
    <w:qFormat/>
    <w:uiPriority w:val="0"/>
    <w:pPr>
      <w:ind w:left="630"/>
      <w:jc w:val="left"/>
    </w:pPr>
    <w:rPr>
      <w:rFonts w:ascii="Times New Roman"/>
      <w:sz w:val="18"/>
      <w:szCs w:val="18"/>
    </w:rPr>
  </w:style>
  <w:style w:type="paragraph" w:styleId="27">
    <w:name w:val="footnote text"/>
    <w:basedOn w:val="1"/>
    <w:unhideWhenUsed/>
    <w:qFormat/>
    <w:uiPriority w:val="99"/>
    <w:pPr>
      <w:snapToGrid w:val="0"/>
      <w:jc w:val="left"/>
    </w:pPr>
    <w:rPr>
      <w:sz w:val="18"/>
      <w:szCs w:val="18"/>
    </w:rPr>
  </w:style>
  <w:style w:type="paragraph" w:styleId="28">
    <w:name w:val="toc 6"/>
    <w:basedOn w:val="1"/>
    <w:next w:val="1"/>
    <w:autoRedefine/>
    <w:semiHidden/>
    <w:qFormat/>
    <w:uiPriority w:val="0"/>
    <w:pPr>
      <w:ind w:left="1050"/>
      <w:jc w:val="left"/>
    </w:pPr>
    <w:rPr>
      <w:rFonts w:ascii="Times New Roman"/>
      <w:sz w:val="18"/>
      <w:szCs w:val="18"/>
    </w:rPr>
  </w:style>
  <w:style w:type="paragraph" w:styleId="29">
    <w:name w:val="Body Text Indent 3"/>
    <w:basedOn w:val="1"/>
    <w:autoRedefine/>
    <w:qFormat/>
    <w:uiPriority w:val="0"/>
    <w:pPr>
      <w:spacing w:line="500" w:lineRule="exact"/>
      <w:ind w:firstLine="840" w:firstLineChars="300"/>
    </w:pPr>
    <w:rPr>
      <w:rFonts w:hAnsi="宋体"/>
      <w:snapToGrid/>
      <w:color w:val="0000FF"/>
      <w:kern w:val="2"/>
      <w:sz w:val="28"/>
    </w:rPr>
  </w:style>
  <w:style w:type="paragraph" w:styleId="30">
    <w:name w:val="table of figures"/>
    <w:basedOn w:val="1"/>
    <w:next w:val="1"/>
    <w:autoRedefine/>
    <w:qFormat/>
    <w:uiPriority w:val="0"/>
    <w:pPr>
      <w:ind w:left="840" w:hanging="420"/>
    </w:pPr>
    <w:rPr>
      <w:rFonts w:ascii="Times New Roman"/>
      <w:snapToGrid/>
      <w:kern w:val="2"/>
      <w:szCs w:val="20"/>
    </w:rPr>
  </w:style>
  <w:style w:type="paragraph" w:styleId="31">
    <w:name w:val="toc 9"/>
    <w:basedOn w:val="1"/>
    <w:next w:val="1"/>
    <w:autoRedefine/>
    <w:semiHidden/>
    <w:qFormat/>
    <w:uiPriority w:val="0"/>
    <w:pPr>
      <w:ind w:left="1680"/>
      <w:jc w:val="left"/>
    </w:pPr>
    <w:rPr>
      <w:rFonts w:ascii="Times New Roman"/>
      <w:sz w:val="18"/>
      <w:szCs w:val="18"/>
    </w:rPr>
  </w:style>
  <w:style w:type="paragraph" w:styleId="32">
    <w:name w:val="Body Text 2"/>
    <w:basedOn w:val="1"/>
    <w:link w:val="57"/>
    <w:autoRedefine/>
    <w:qFormat/>
    <w:uiPriority w:val="0"/>
    <w:pPr>
      <w:spacing w:after="120" w:line="480" w:lineRule="auto"/>
    </w:pPr>
    <w:rPr>
      <w:rFonts w:ascii="宋体"/>
    </w:rPr>
  </w:style>
  <w:style w:type="paragraph" w:styleId="33">
    <w:name w:val="Normal (Web)"/>
    <w:basedOn w:val="1"/>
    <w:autoRedefine/>
    <w:qFormat/>
    <w:uiPriority w:val="99"/>
    <w:pPr>
      <w:widowControl/>
      <w:spacing w:before="100" w:beforeLines="0" w:beforeAutospacing="1" w:after="100" w:afterLines="0" w:afterAutospacing="1"/>
      <w:jc w:val="left"/>
    </w:pPr>
    <w:rPr>
      <w:rFonts w:hAnsi="宋体"/>
      <w:snapToGrid/>
      <w:kern w:val="0"/>
      <w:sz w:val="24"/>
    </w:rPr>
  </w:style>
  <w:style w:type="paragraph" w:styleId="34">
    <w:name w:val="annotation subject"/>
    <w:basedOn w:val="12"/>
    <w:next w:val="12"/>
    <w:autoRedefine/>
    <w:semiHidden/>
    <w:qFormat/>
    <w:uiPriority w:val="0"/>
    <w:rPr>
      <w:rFonts w:ascii="宋体"/>
      <w:b/>
      <w:bCs/>
      <w:snapToGrid w:val="0"/>
      <w:kern w:val="21"/>
      <w:szCs w:val="24"/>
    </w:rPr>
  </w:style>
  <w:style w:type="paragraph" w:styleId="35">
    <w:name w:val="Body Text First Indent 2"/>
    <w:basedOn w:val="14"/>
    <w:autoRedefine/>
    <w:qFormat/>
    <w:uiPriority w:val="0"/>
    <w:pPr>
      <w:ind w:firstLine="420" w:firstLineChars="200"/>
    </w:pPr>
  </w:style>
  <w:style w:type="table" w:styleId="37">
    <w:name w:val="Table Grid"/>
    <w:basedOn w:val="36"/>
    <w:autoRedefin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9">
    <w:name w:val="Strong"/>
    <w:autoRedefine/>
    <w:qFormat/>
    <w:uiPriority w:val="0"/>
    <w:rPr>
      <w:b/>
      <w:bCs/>
    </w:rPr>
  </w:style>
  <w:style w:type="character" w:styleId="40">
    <w:name w:val="page number"/>
    <w:basedOn w:val="38"/>
    <w:autoRedefine/>
    <w:qFormat/>
    <w:uiPriority w:val="0"/>
  </w:style>
  <w:style w:type="character" w:styleId="41">
    <w:name w:val="FollowedHyperlink"/>
    <w:autoRedefine/>
    <w:qFormat/>
    <w:uiPriority w:val="0"/>
    <w:rPr>
      <w:color w:val="800080"/>
      <w:u w:val="single"/>
    </w:rPr>
  </w:style>
  <w:style w:type="character" w:styleId="42">
    <w:name w:val="Hyperlink"/>
    <w:autoRedefine/>
    <w:qFormat/>
    <w:uiPriority w:val="99"/>
    <w:rPr>
      <w:color w:val="0000FF"/>
      <w:u w:val="single"/>
    </w:rPr>
  </w:style>
  <w:style w:type="character" w:styleId="43">
    <w:name w:val="annotation reference"/>
    <w:autoRedefine/>
    <w:semiHidden/>
    <w:qFormat/>
    <w:uiPriority w:val="0"/>
    <w:rPr>
      <w:sz w:val="21"/>
      <w:szCs w:val="21"/>
    </w:rPr>
  </w:style>
  <w:style w:type="paragraph" w:customStyle="1" w:styleId="44">
    <w:name w:val="正常"/>
    <w:basedOn w:val="45"/>
    <w:autoRedefine/>
    <w:qFormat/>
    <w:uiPriority w:val="0"/>
    <w:rPr>
      <w:sz w:val="24"/>
    </w:rPr>
  </w:style>
  <w:style w:type="paragraph" w:customStyle="1" w:styleId="45">
    <w:name w:val="小正常"/>
    <w:basedOn w:val="1"/>
    <w:autoRedefine/>
    <w:qFormat/>
    <w:uiPriority w:val="0"/>
    <w:rPr>
      <w:rFonts w:cs="Times New Roman"/>
      <w:sz w:val="20"/>
      <w:szCs w:val="20"/>
    </w:rPr>
  </w:style>
  <w:style w:type="character" w:customStyle="1" w:styleId="46">
    <w:name w:val="标题 1 字符"/>
    <w:link w:val="3"/>
    <w:autoRedefine/>
    <w:qFormat/>
    <w:locked/>
    <w:uiPriority w:val="0"/>
    <w:rPr>
      <w:rFonts w:ascii="宋体" w:hAnsi="宋体" w:eastAsia="宋体"/>
      <w:b/>
      <w:bCs/>
      <w:kern w:val="44"/>
      <w:sz w:val="30"/>
      <w:szCs w:val="44"/>
      <w:lang w:val="en-US" w:eastAsia="zh-CN" w:bidi="ar-SA"/>
    </w:rPr>
  </w:style>
  <w:style w:type="character" w:customStyle="1" w:styleId="47">
    <w:name w:val="标题 2 字符"/>
    <w:link w:val="4"/>
    <w:autoRedefine/>
    <w:qFormat/>
    <w:uiPriority w:val="0"/>
    <w:rPr>
      <w:rFonts w:hint="eastAsia" w:ascii="黑体" w:hAnsi="黑体" w:eastAsia="宋体" w:cs="黑体"/>
      <w:b/>
      <w:bCs/>
      <w:kern w:val="2"/>
      <w:sz w:val="30"/>
      <w:szCs w:val="36"/>
    </w:rPr>
  </w:style>
  <w:style w:type="character" w:customStyle="1" w:styleId="48">
    <w:name w:val="标题 3 字符"/>
    <w:link w:val="5"/>
    <w:autoRedefine/>
    <w:qFormat/>
    <w:uiPriority w:val="0"/>
    <w:rPr>
      <w:rFonts w:hint="eastAsia" w:ascii="黑体" w:hAnsi="宋体" w:eastAsia="黑体" w:cs="黑体"/>
      <w:bCs/>
      <w:kern w:val="2"/>
      <w:sz w:val="30"/>
    </w:rPr>
  </w:style>
  <w:style w:type="character" w:customStyle="1" w:styleId="49">
    <w:name w:val="标题 4 字符"/>
    <w:link w:val="6"/>
    <w:autoRedefine/>
    <w:semiHidden/>
    <w:qFormat/>
    <w:uiPriority w:val="0"/>
    <w:rPr>
      <w:rFonts w:ascii="Cambria" w:hAnsi="Cambria" w:eastAsia="宋体" w:cs="Times New Roman"/>
      <w:b/>
      <w:bCs/>
      <w:snapToGrid w:val="0"/>
      <w:kern w:val="21"/>
      <w:sz w:val="28"/>
      <w:szCs w:val="28"/>
    </w:rPr>
  </w:style>
  <w:style w:type="character" w:customStyle="1" w:styleId="50">
    <w:name w:val="正文缩进 字符"/>
    <w:link w:val="9"/>
    <w:autoRedefine/>
    <w:qFormat/>
    <w:uiPriority w:val="0"/>
    <w:rPr>
      <w:kern w:val="2"/>
      <w:sz w:val="21"/>
    </w:rPr>
  </w:style>
  <w:style w:type="character" w:customStyle="1" w:styleId="51">
    <w:name w:val="批注文字 字符"/>
    <w:link w:val="12"/>
    <w:autoRedefine/>
    <w:semiHidden/>
    <w:qFormat/>
    <w:uiPriority w:val="0"/>
    <w:rPr>
      <w:kern w:val="2"/>
      <w:sz w:val="21"/>
    </w:rPr>
  </w:style>
  <w:style w:type="character" w:customStyle="1" w:styleId="52">
    <w:name w:val="正文文本缩进 字符"/>
    <w:link w:val="14"/>
    <w:autoRedefine/>
    <w:qFormat/>
    <w:uiPriority w:val="0"/>
    <w:rPr>
      <w:rFonts w:ascii="宋体"/>
      <w:snapToGrid w:val="0"/>
      <w:kern w:val="21"/>
      <w:sz w:val="21"/>
      <w:szCs w:val="24"/>
    </w:rPr>
  </w:style>
  <w:style w:type="character" w:customStyle="1" w:styleId="53">
    <w:name w:val="纯文本 字符"/>
    <w:link w:val="18"/>
    <w:autoRedefine/>
    <w:qFormat/>
    <w:uiPriority w:val="99"/>
    <w:rPr>
      <w:rFonts w:ascii="宋体" w:eastAsia="宋体"/>
      <w:kern w:val="2"/>
      <w:sz w:val="21"/>
      <w:lang w:val="en-US" w:eastAsia="zh-CN" w:bidi="ar-SA"/>
    </w:rPr>
  </w:style>
  <w:style w:type="character" w:customStyle="1" w:styleId="54">
    <w:name w:val="正文文本缩进 2 字符"/>
    <w:link w:val="21"/>
    <w:autoRedefine/>
    <w:qFormat/>
    <w:uiPriority w:val="0"/>
    <w:rPr>
      <w:rFonts w:ascii="宋体"/>
      <w:kern w:val="2"/>
      <w:sz w:val="24"/>
    </w:rPr>
  </w:style>
  <w:style w:type="character" w:customStyle="1" w:styleId="55">
    <w:name w:val="页脚 字符"/>
    <w:link w:val="23"/>
    <w:autoRedefine/>
    <w:qFormat/>
    <w:locked/>
    <w:uiPriority w:val="0"/>
    <w:rPr>
      <w:rFonts w:ascii="宋体" w:eastAsia="宋体"/>
      <w:snapToGrid w:val="0"/>
      <w:kern w:val="21"/>
      <w:sz w:val="18"/>
      <w:szCs w:val="18"/>
      <w:lang w:val="en-US" w:eastAsia="zh-CN" w:bidi="ar-SA"/>
    </w:rPr>
  </w:style>
  <w:style w:type="character" w:customStyle="1" w:styleId="56">
    <w:name w:val="页眉 字符"/>
    <w:link w:val="24"/>
    <w:autoRedefine/>
    <w:qFormat/>
    <w:locked/>
    <w:uiPriority w:val="0"/>
    <w:rPr>
      <w:rFonts w:ascii="宋体" w:eastAsia="宋体"/>
      <w:snapToGrid w:val="0"/>
      <w:kern w:val="21"/>
      <w:sz w:val="18"/>
      <w:szCs w:val="18"/>
      <w:lang w:val="en-US" w:eastAsia="zh-CN" w:bidi="ar-SA"/>
    </w:rPr>
  </w:style>
  <w:style w:type="character" w:customStyle="1" w:styleId="57">
    <w:name w:val="正文文本 2 字符"/>
    <w:link w:val="32"/>
    <w:autoRedefine/>
    <w:qFormat/>
    <w:uiPriority w:val="0"/>
    <w:rPr>
      <w:rFonts w:ascii="宋体"/>
      <w:snapToGrid w:val="0"/>
      <w:kern w:val="21"/>
      <w:sz w:val="21"/>
      <w:szCs w:val="24"/>
    </w:rPr>
  </w:style>
  <w:style w:type="character" w:customStyle="1" w:styleId="58">
    <w:name w:val="grame"/>
    <w:autoRedefine/>
    <w:qFormat/>
    <w:uiPriority w:val="0"/>
  </w:style>
  <w:style w:type="character" w:customStyle="1" w:styleId="59">
    <w:name w:val="列表段落 字符"/>
    <w:link w:val="60"/>
    <w:autoRedefine/>
    <w:qFormat/>
    <w:uiPriority w:val="0"/>
    <w:rPr>
      <w:kern w:val="2"/>
      <w:sz w:val="21"/>
      <w:szCs w:val="24"/>
    </w:rPr>
  </w:style>
  <w:style w:type="paragraph" w:styleId="60">
    <w:name w:val="List Paragraph"/>
    <w:basedOn w:val="1"/>
    <w:link w:val="59"/>
    <w:autoRedefine/>
    <w:qFormat/>
    <w:uiPriority w:val="0"/>
    <w:pPr>
      <w:ind w:firstLine="420" w:firstLineChars="200"/>
    </w:pPr>
    <w:rPr>
      <w:snapToGrid/>
      <w:kern w:val="2"/>
    </w:rPr>
  </w:style>
  <w:style w:type="character" w:customStyle="1" w:styleId="61">
    <w:name w:val="招标5 Char Char"/>
    <w:link w:val="62"/>
    <w:autoRedefine/>
    <w:qFormat/>
    <w:uiPriority w:val="0"/>
    <w:rPr>
      <w:rFonts w:eastAsia="宋体"/>
      <w:kern w:val="2"/>
      <w:sz w:val="18"/>
      <w:szCs w:val="18"/>
      <w:lang w:val="en-US" w:eastAsia="zh-CN" w:bidi="ar-SA"/>
    </w:rPr>
  </w:style>
  <w:style w:type="paragraph" w:customStyle="1" w:styleId="62">
    <w:name w:val="招标5"/>
    <w:basedOn w:val="1"/>
    <w:link w:val="61"/>
    <w:autoRedefine/>
    <w:qFormat/>
    <w:uiPriority w:val="0"/>
    <w:pPr>
      <w:spacing w:line="300" w:lineRule="auto"/>
    </w:pPr>
    <w:rPr>
      <w:snapToGrid/>
      <w:kern w:val="2"/>
      <w:sz w:val="18"/>
      <w:szCs w:val="18"/>
    </w:rPr>
  </w:style>
  <w:style w:type="character" w:customStyle="1" w:styleId="63">
    <w:name w:val="apple-converted-space"/>
    <w:basedOn w:val="38"/>
    <w:autoRedefine/>
    <w:qFormat/>
    <w:uiPriority w:val="0"/>
  </w:style>
  <w:style w:type="character" w:customStyle="1" w:styleId="64">
    <w:name w:val="招标2 Char Char"/>
    <w:basedOn w:val="65"/>
    <w:link w:val="67"/>
    <w:autoRedefine/>
    <w:qFormat/>
    <w:uiPriority w:val="0"/>
  </w:style>
  <w:style w:type="character" w:customStyle="1" w:styleId="65">
    <w:name w:val="招标 Char Char"/>
    <w:link w:val="66"/>
    <w:autoRedefine/>
    <w:qFormat/>
    <w:uiPriority w:val="0"/>
    <w:rPr>
      <w:rFonts w:hAnsi="宋体" w:eastAsia="宋体"/>
      <w:sz w:val="24"/>
      <w:szCs w:val="24"/>
      <w:lang w:val="en-US" w:eastAsia="zh-CN" w:bidi="ar-SA"/>
    </w:rPr>
  </w:style>
  <w:style w:type="paragraph" w:customStyle="1" w:styleId="66">
    <w:name w:val="招标"/>
    <w:basedOn w:val="18"/>
    <w:link w:val="65"/>
    <w:autoRedefine/>
    <w:qFormat/>
    <w:uiPriority w:val="0"/>
    <w:pPr>
      <w:spacing w:line="276" w:lineRule="auto"/>
    </w:pPr>
    <w:rPr>
      <w:rFonts w:ascii="Times New Roman" w:hAnsi="宋体"/>
      <w:kern w:val="0"/>
      <w:sz w:val="24"/>
      <w:szCs w:val="24"/>
    </w:rPr>
  </w:style>
  <w:style w:type="paragraph" w:customStyle="1" w:styleId="67">
    <w:name w:val="招标2"/>
    <w:basedOn w:val="66"/>
    <w:link w:val="64"/>
    <w:autoRedefine/>
    <w:qFormat/>
    <w:uiPriority w:val="0"/>
    <w:pPr>
      <w:spacing w:line="300" w:lineRule="auto"/>
      <w:ind w:left="851"/>
    </w:pPr>
  </w:style>
  <w:style w:type="character" w:customStyle="1" w:styleId="68">
    <w:name w:val="纯文本 Char1"/>
    <w:autoRedefine/>
    <w:qFormat/>
    <w:uiPriority w:val="0"/>
    <w:rPr>
      <w:rFonts w:ascii="宋体" w:eastAsia="宋体"/>
    </w:rPr>
  </w:style>
  <w:style w:type="character" w:customStyle="1" w:styleId="69">
    <w:name w:val="apple-style-span"/>
    <w:basedOn w:val="38"/>
    <w:autoRedefine/>
    <w:qFormat/>
    <w:uiPriority w:val="0"/>
  </w:style>
  <w:style w:type="character" w:customStyle="1" w:styleId="70">
    <w:name w:val="表格正文 Char"/>
    <w:link w:val="71"/>
    <w:autoRedefine/>
    <w:qFormat/>
    <w:uiPriority w:val="0"/>
    <w:rPr>
      <w:rFonts w:ascii="宋体" w:hAnsi="宋体"/>
      <w:kern w:val="2"/>
      <w:sz w:val="21"/>
      <w:szCs w:val="21"/>
      <w:lang w:val="zh-CN"/>
    </w:rPr>
  </w:style>
  <w:style w:type="paragraph" w:customStyle="1" w:styleId="71">
    <w:name w:val="表格正文"/>
    <w:basedOn w:val="9"/>
    <w:link w:val="70"/>
    <w:autoRedefine/>
    <w:qFormat/>
    <w:uiPriority w:val="0"/>
    <w:pPr>
      <w:adjustRightInd w:val="0"/>
      <w:snapToGrid w:val="0"/>
      <w:spacing w:before="156" w:beforeLines="50" w:after="156" w:afterLines="50"/>
      <w:ind w:firstLine="0"/>
    </w:pPr>
    <w:rPr>
      <w:rFonts w:ascii="宋体" w:hAnsi="宋体"/>
      <w:szCs w:val="21"/>
      <w:lang w:val="zh-CN"/>
    </w:rPr>
  </w:style>
  <w:style w:type="paragraph" w:customStyle="1" w:styleId="72">
    <w:name w:val="p3"/>
    <w:basedOn w:val="1"/>
    <w:autoRedefine/>
    <w:qFormat/>
    <w:uiPriority w:val="0"/>
    <w:pPr>
      <w:tabs>
        <w:tab w:val="left" w:pos="360"/>
      </w:tabs>
      <w:spacing w:line="400" w:lineRule="atLeast"/>
      <w:ind w:left="1080"/>
      <w:jc w:val="left"/>
    </w:pPr>
    <w:rPr>
      <w:rFonts w:ascii="Times New Roman"/>
      <w:kern w:val="0"/>
      <w:sz w:val="24"/>
      <w:szCs w:val="20"/>
      <w:lang w:val="en-GB" w:eastAsia="en-US"/>
    </w:rPr>
  </w:style>
  <w:style w:type="paragraph" w:customStyle="1" w:styleId="73">
    <w:name w:val="样式1"/>
    <w:basedOn w:val="4"/>
    <w:autoRedefine/>
    <w:qFormat/>
    <w:uiPriority w:val="0"/>
    <w:pPr>
      <w:adjustRightInd w:val="0"/>
      <w:spacing w:before="240" w:beforeLines="0" w:after="0" w:afterLines="0" w:line="416" w:lineRule="atLeast"/>
      <w:jc w:val="left"/>
      <w:textAlignment w:val="baseline"/>
    </w:pPr>
    <w:rPr>
      <w:bCs w:val="0"/>
      <w:snapToGrid/>
      <w:color w:val="000000"/>
      <w:kern w:val="0"/>
      <w:sz w:val="30"/>
      <w:szCs w:val="20"/>
    </w:rPr>
  </w:style>
  <w:style w:type="paragraph" w:customStyle="1" w:styleId="74">
    <w:name w:val="表格"/>
    <w:basedOn w:val="1"/>
    <w:autoRedefine/>
    <w:qFormat/>
    <w:uiPriority w:val="0"/>
    <w:pPr>
      <w:tabs>
        <w:tab w:val="left" w:pos="1200"/>
      </w:tabs>
      <w:spacing w:line="500" w:lineRule="exact"/>
      <w:jc w:val="center"/>
    </w:pPr>
    <w:rPr>
      <w:snapToGrid/>
      <w:kern w:val="2"/>
      <w:sz w:val="24"/>
      <w:szCs w:val="18"/>
    </w:rPr>
  </w:style>
  <w:style w:type="paragraph" w:customStyle="1" w:styleId="75">
    <w:name w:val="List Paragraph1"/>
    <w:basedOn w:val="1"/>
    <w:autoRedefine/>
    <w:qFormat/>
    <w:uiPriority w:val="0"/>
    <w:pPr>
      <w:ind w:firstLine="420" w:firstLineChars="200"/>
    </w:pPr>
    <w:rPr>
      <w:rFonts w:ascii="Calibri" w:hAnsi="Calibri"/>
      <w:snapToGrid/>
      <w:kern w:val="2"/>
      <w:szCs w:val="22"/>
    </w:rPr>
  </w:style>
  <w:style w:type="paragraph" w:customStyle="1" w:styleId="76">
    <w:name w:val="Char Char2 Char Char"/>
    <w:basedOn w:val="1"/>
    <w:autoRedefine/>
    <w:qFormat/>
    <w:uiPriority w:val="0"/>
    <w:rPr>
      <w:rFonts w:ascii="Times New Roman"/>
      <w:snapToGrid/>
      <w:kern w:val="2"/>
      <w:szCs w:val="20"/>
    </w:rPr>
  </w:style>
  <w:style w:type="paragraph" w:customStyle="1" w:styleId="77">
    <w:name w:val=" Char Char2 Char Char"/>
    <w:basedOn w:val="1"/>
    <w:autoRedefine/>
    <w:qFormat/>
    <w:uiPriority w:val="0"/>
    <w:rPr>
      <w:rFonts w:ascii="Times New Roman"/>
      <w:snapToGrid/>
      <w:kern w:val="2"/>
      <w:szCs w:val="20"/>
    </w:rPr>
  </w:style>
  <w:style w:type="paragraph" w:customStyle="1" w:styleId="78">
    <w:name w:val="正文五号"/>
    <w:basedOn w:val="1"/>
    <w:autoRedefine/>
    <w:qFormat/>
    <w:uiPriority w:val="0"/>
    <w:rPr>
      <w:rFonts w:hint="eastAsia" w:eastAsia="仿宋_GB2312"/>
      <w:snapToGrid/>
      <w:kern w:val="2"/>
      <w:szCs w:val="20"/>
    </w:rPr>
  </w:style>
  <w:style w:type="paragraph" w:customStyle="1" w:styleId="79">
    <w:name w:val=" Char Char Char Char"/>
    <w:basedOn w:val="1"/>
    <w:autoRedefine/>
    <w:qFormat/>
    <w:uiPriority w:val="0"/>
    <w:rPr>
      <w:rFonts w:ascii="Times New Roman"/>
      <w:snapToGrid/>
      <w:kern w:val="2"/>
    </w:rPr>
  </w:style>
  <w:style w:type="paragraph" w:customStyle="1" w:styleId="80">
    <w:name w:val="抬头"/>
    <w:basedOn w:val="1"/>
    <w:autoRedefine/>
    <w:qFormat/>
    <w:uiPriority w:val="0"/>
    <w:pPr>
      <w:spacing w:before="156" w:beforeLines="50" w:line="360" w:lineRule="auto"/>
    </w:pPr>
    <w:rPr>
      <w:snapToGrid/>
      <w:kern w:val="2"/>
      <w:sz w:val="24"/>
    </w:rPr>
  </w:style>
  <w:style w:type="paragraph" w:customStyle="1" w:styleId="81">
    <w:name w:val="目录"/>
    <w:basedOn w:val="1"/>
    <w:autoRedefine/>
    <w:qFormat/>
    <w:uiPriority w:val="0"/>
    <w:pPr>
      <w:widowControl/>
      <w:jc w:val="center"/>
    </w:pPr>
    <w:rPr>
      <w:b/>
      <w:snapToGrid/>
      <w:kern w:val="0"/>
      <w:sz w:val="36"/>
      <w:szCs w:val="20"/>
    </w:rPr>
  </w:style>
  <w:style w:type="paragraph" w:customStyle="1" w:styleId="82">
    <w:name w:val="Char Char Char Char"/>
    <w:basedOn w:val="11"/>
    <w:autoRedefine/>
    <w:qFormat/>
    <w:uiPriority w:val="0"/>
    <w:pPr>
      <w:adjustRightInd w:val="0"/>
      <w:snapToGrid w:val="0"/>
      <w:spacing w:line="360" w:lineRule="auto"/>
    </w:pPr>
    <w:rPr>
      <w:rFonts w:ascii="Tahoma" w:hAnsi="Tahoma"/>
      <w:snapToGrid/>
      <w:kern w:val="2"/>
      <w:sz w:val="24"/>
    </w:rPr>
  </w:style>
  <w:style w:type="paragraph" w:customStyle="1" w:styleId="83">
    <w:name w:val="p13"/>
    <w:basedOn w:val="1"/>
    <w:autoRedefine/>
    <w:qFormat/>
    <w:uiPriority w:val="0"/>
    <w:pPr>
      <w:tabs>
        <w:tab w:val="left" w:pos="860"/>
      </w:tabs>
      <w:spacing w:line="400" w:lineRule="atLeast"/>
      <w:ind w:left="576" w:hanging="144"/>
      <w:jc w:val="left"/>
    </w:pPr>
    <w:rPr>
      <w:rFonts w:ascii="Times New Roman"/>
      <w:kern w:val="0"/>
      <w:sz w:val="24"/>
      <w:szCs w:val="20"/>
      <w:lang w:val="en-GB" w:eastAsia="en-US"/>
    </w:rPr>
  </w:style>
  <w:style w:type="paragraph" w:customStyle="1" w:styleId="84">
    <w:name w:val="彩色列表 - 强调文字颜色 11"/>
    <w:basedOn w:val="1"/>
    <w:autoRedefine/>
    <w:qFormat/>
    <w:uiPriority w:val="0"/>
    <w:pPr>
      <w:ind w:firstLine="420" w:firstLineChars="200"/>
    </w:pPr>
    <w:rPr>
      <w:rFonts w:ascii="Calibri" w:hAnsi="Calibri"/>
      <w:snapToGrid/>
      <w:kern w:val="2"/>
      <w:szCs w:val="22"/>
    </w:rPr>
  </w:style>
  <w:style w:type="paragraph" w:customStyle="1" w:styleId="85">
    <w:name w:val=" Char"/>
    <w:basedOn w:val="1"/>
    <w:autoRedefine/>
    <w:semiHidden/>
    <w:qFormat/>
    <w:uiPriority w:val="0"/>
    <w:pPr>
      <w:widowControl/>
      <w:spacing w:line="400" w:lineRule="exact"/>
      <w:jc w:val="center"/>
    </w:pPr>
    <w:rPr>
      <w:rFonts w:ascii="Verdana" w:hAnsi="Verdana"/>
      <w:snapToGrid/>
      <w:kern w:val="0"/>
      <w:szCs w:val="20"/>
      <w:lang w:eastAsia="en-US"/>
    </w:rPr>
  </w:style>
  <w:style w:type="paragraph" w:customStyle="1" w:styleId="86">
    <w:name w:val="默认段落字体 Para Char Char Char Char"/>
    <w:basedOn w:val="1"/>
    <w:autoRedefine/>
    <w:qFormat/>
    <w:uiPriority w:val="0"/>
    <w:rPr>
      <w:rFonts w:ascii="Times New Roman"/>
      <w:snapToGrid/>
      <w:kern w:val="2"/>
    </w:rPr>
  </w:style>
  <w:style w:type="paragraph" w:customStyle="1" w:styleId="87">
    <w:name w:val="p39"/>
    <w:basedOn w:val="1"/>
    <w:autoRedefine/>
    <w:qFormat/>
    <w:uiPriority w:val="0"/>
    <w:pPr>
      <w:tabs>
        <w:tab w:val="left" w:pos="1100"/>
      </w:tabs>
      <w:spacing w:line="240" w:lineRule="atLeast"/>
      <w:ind w:left="288" w:hanging="1152"/>
    </w:pPr>
    <w:rPr>
      <w:rFonts w:ascii="Times New Roman"/>
      <w:kern w:val="0"/>
      <w:sz w:val="24"/>
      <w:szCs w:val="20"/>
      <w:lang w:val="en-GB" w:eastAsia="en-US"/>
    </w:rPr>
  </w:style>
  <w:style w:type="paragraph" w:customStyle="1" w:styleId="88">
    <w:name w:val="默认段落字体 Para Char"/>
    <w:basedOn w:val="1"/>
    <w:autoRedefine/>
    <w:qFormat/>
    <w:uiPriority w:val="0"/>
    <w:rPr>
      <w:rFonts w:ascii="Times New Roman"/>
      <w:snapToGrid/>
      <w:kern w:val="2"/>
      <w:szCs w:val="20"/>
    </w:rPr>
  </w:style>
  <w:style w:type="paragraph" w:customStyle="1" w:styleId="89">
    <w:name w:val="项目排列"/>
    <w:basedOn w:val="1"/>
    <w:autoRedefine/>
    <w:qFormat/>
    <w:uiPriority w:val="0"/>
    <w:pPr>
      <w:keepNext w:val="0"/>
      <w:keepLines w:val="0"/>
      <w:widowControl w:val="0"/>
      <w:numPr>
        <w:ilvl w:val="0"/>
        <w:numId w:val="2"/>
      </w:numPr>
      <w:suppressLineNumbers w:val="0"/>
      <w:spacing w:before="0" w:beforeLines="50" w:beforeAutospacing="0" w:after="0" w:afterAutospacing="0" w:line="300" w:lineRule="auto"/>
      <w:ind w:left="900" w:right="0" w:firstLine="0" w:firstLineChars="0"/>
      <w:jc w:val="both"/>
    </w:pPr>
    <w:rPr>
      <w:rFonts w:hint="default" w:ascii="Times New Roman" w:hAnsi="Times New Roman" w:eastAsia="宋体" w:cs="Times New Roman"/>
      <w:kern w:val="2"/>
      <w:sz w:val="24"/>
      <w:szCs w:val="24"/>
      <w:lang w:val="en-US" w:eastAsia="zh-CN" w:bidi="ar"/>
    </w:rPr>
  </w:style>
  <w:style w:type="paragraph" w:customStyle="1" w:styleId="90">
    <w:name w:val="Char"/>
    <w:basedOn w:val="1"/>
    <w:autoRedefine/>
    <w:qFormat/>
    <w:uiPriority w:val="0"/>
    <w:rPr>
      <w:rFonts w:ascii="Tahoma" w:hAnsi="Tahoma"/>
      <w:snapToGrid/>
      <w:kern w:val="2"/>
      <w:sz w:val="24"/>
      <w:szCs w:val="20"/>
    </w:rPr>
  </w:style>
  <w:style w:type="paragraph" w:customStyle="1" w:styleId="91">
    <w:name w:val="xl23"/>
    <w:next w:val="31"/>
    <w:autoRedefine/>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92">
    <w:name w:val="小标题"/>
    <w:basedOn w:val="1"/>
    <w:autoRedefine/>
    <w:qFormat/>
    <w:uiPriority w:val="0"/>
    <w:pPr>
      <w:keepNext w:val="0"/>
      <w:keepLines w:val="0"/>
      <w:widowControl w:val="0"/>
      <w:numPr>
        <w:ilvl w:val="0"/>
        <w:numId w:val="3"/>
      </w:numPr>
      <w:suppressLineNumbers w:val="0"/>
      <w:spacing w:before="0" w:beforeLines="25" w:beforeAutospacing="0" w:after="0" w:afterAutospacing="0" w:line="240" w:lineRule="auto"/>
      <w:ind w:left="420" w:right="0" w:firstLine="0" w:firstLineChars="0"/>
      <w:jc w:val="both"/>
    </w:pPr>
    <w:rPr>
      <w:rFonts w:hint="default" w:ascii="Arial" w:hAnsi="Arial" w:eastAsia="黑体" w:cs="Times New Roman"/>
      <w:b/>
      <w:kern w:val="2"/>
      <w:sz w:val="24"/>
      <w:szCs w:val="20"/>
      <w:lang w:val="en-US" w:eastAsia="zh-CN" w:bidi="ar"/>
    </w:rPr>
  </w:style>
  <w:style w:type="paragraph" w:customStyle="1" w:styleId="93">
    <w:name w:val="Char Char Char Char Char Char1 Char"/>
    <w:basedOn w:val="1"/>
    <w:autoRedefine/>
    <w:qFormat/>
    <w:uiPriority w:val="0"/>
    <w:pPr>
      <w:widowControl/>
      <w:spacing w:after="160" w:afterLines="0" w:line="240" w:lineRule="exact"/>
      <w:jc w:val="left"/>
    </w:pPr>
    <w:rPr>
      <w:rFonts w:ascii="Verdana" w:hAnsi="Verdana"/>
      <w:snapToGrid/>
      <w:kern w:val="0"/>
      <w:szCs w:val="20"/>
      <w:lang w:eastAsia="en-US"/>
    </w:rPr>
  </w:style>
  <w:style w:type="paragraph" w:customStyle="1" w:styleId="94">
    <w:name w:val="段"/>
    <w:autoRedefine/>
    <w:qFormat/>
    <w:uiPriority w:val="0"/>
    <w:pPr>
      <w:autoSpaceDE w:val="0"/>
      <w:autoSpaceDN w:val="0"/>
      <w:ind w:firstLine="200" w:firstLineChars="200"/>
      <w:jc w:val="both"/>
    </w:pPr>
    <w:rPr>
      <w:rFonts w:ascii="Calibri" w:hAnsi="Calibri" w:eastAsia="宋体" w:cs="Times New Roman"/>
      <w:sz w:val="21"/>
      <w:lang w:val="en-US" w:eastAsia="zh-CN" w:bidi="ar-SA"/>
    </w:rPr>
  </w:style>
  <w:style w:type="paragraph" w:customStyle="1" w:styleId="95">
    <w:name w:val="ÕýÎÄ"/>
    <w:autoRedefine/>
    <w:qFormat/>
    <w:uiPriority w:val="0"/>
    <w:pPr>
      <w:widowControl w:val="0"/>
      <w:overflowPunct w:val="0"/>
      <w:autoSpaceDE w:val="0"/>
      <w:autoSpaceDN w:val="0"/>
      <w:adjustRightInd w:val="0"/>
      <w:spacing w:line="351" w:lineRule="atLeast"/>
      <w:ind w:firstLine="419"/>
      <w:jc w:val="both"/>
      <w:textAlignment w:val="baseline"/>
    </w:pPr>
    <w:rPr>
      <w:rFonts w:ascii="Calibri" w:hAnsi="Calibri" w:eastAsia="宋体" w:cs="Times New Roman"/>
      <w:color w:val="000000"/>
      <w:sz w:val="21"/>
      <w:lang w:val="en-US" w:eastAsia="zh-CN" w:bidi="ar-SA"/>
    </w:rPr>
  </w:style>
  <w:style w:type="paragraph" w:customStyle="1" w:styleId="96">
    <w:name w:val="_Style 92"/>
    <w:autoRedefine/>
    <w:unhideWhenUsed/>
    <w:qFormat/>
    <w:uiPriority w:val="99"/>
    <w:rPr>
      <w:rFonts w:ascii="Calibri" w:hAnsi="Calibri" w:eastAsia="宋体" w:cs="Times New Roman"/>
      <w:snapToGrid w:val="0"/>
      <w:kern w:val="21"/>
      <w:sz w:val="21"/>
      <w:szCs w:val="24"/>
      <w:lang w:val="en-US" w:eastAsia="zh-CN" w:bidi="ar-SA"/>
    </w:rPr>
  </w:style>
  <w:style w:type="paragraph" w:customStyle="1" w:styleId="97">
    <w:name w:val=" Char Char1"/>
    <w:basedOn w:val="1"/>
    <w:autoRedefine/>
    <w:qFormat/>
    <w:uiPriority w:val="0"/>
    <w:pPr>
      <w:widowControl/>
      <w:spacing w:after="160" w:afterLines="0" w:line="240" w:lineRule="exact"/>
      <w:jc w:val="left"/>
    </w:pPr>
    <w:rPr>
      <w:rFonts w:ascii="Verdana" w:hAnsi="Verdana" w:eastAsia="仿宋_GB2312"/>
      <w:snapToGrid/>
      <w:kern w:val="0"/>
      <w:sz w:val="20"/>
      <w:szCs w:val="20"/>
      <w:lang w:eastAsia="en-US"/>
    </w:rPr>
  </w:style>
  <w:style w:type="character" w:customStyle="1" w:styleId="98">
    <w:name w:val="办文文件名称"/>
    <w:autoRedefine/>
    <w:qFormat/>
    <w:uiPriority w:val="0"/>
    <w:rPr>
      <w:rFonts w:ascii="宋体" w:hAnsi="宋体" w:eastAsia="仿宋_GB2312"/>
      <w:sz w:val="24"/>
    </w:rPr>
  </w:style>
  <w:style w:type="character" w:customStyle="1" w:styleId="99">
    <w:name w:val="NormalCharacter"/>
    <w:autoRedefine/>
    <w:semiHidden/>
    <w:qFormat/>
    <w:uiPriority w:val="0"/>
  </w:style>
  <w:style w:type="paragraph" w:customStyle="1" w:styleId="100">
    <w:name w:val="样式 目录 1 + 首行缩进:  2 字符"/>
    <w:basedOn w:val="25"/>
    <w:autoRedefine/>
    <w:qFormat/>
    <w:uiPriority w:val="34"/>
    <w:pPr>
      <w:tabs>
        <w:tab w:val="left" w:pos="676"/>
        <w:tab w:val="right" w:leader="dot" w:pos="9061"/>
        <w:tab w:val="clear" w:pos="840"/>
        <w:tab w:val="clear" w:pos="9170"/>
      </w:tabs>
      <w:ind w:firstLine="560"/>
    </w:pPr>
  </w:style>
  <w:style w:type="paragraph" w:customStyle="1" w:styleId="101">
    <w:name w:val="Default"/>
    <w:autoRedefine/>
    <w:qFormat/>
    <w:uiPriority w:val="99"/>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02">
    <w:name w:val="图表目录1"/>
    <w:basedOn w:val="103"/>
    <w:next w:val="103"/>
    <w:qFormat/>
    <w:uiPriority w:val="0"/>
    <w:pPr>
      <w:spacing w:line="480" w:lineRule="exact"/>
      <w:ind w:left="200" w:leftChars="200" w:hanging="200" w:hangingChars="200"/>
      <w:jc w:val="left"/>
    </w:pPr>
    <w:rPr>
      <w:color w:val="7030A0"/>
      <w:sz w:val="24"/>
    </w:rPr>
  </w:style>
  <w:style w:type="paragraph" w:customStyle="1" w:styleId="103">
    <w:name w:val="正文 New New New New New New New New New New New New New New New New New New New New New New New New New New New New New New New New New New New New New New New New New New New New New New New New New New New New New New New New New New New New New New Ne"/>
    <w:basedOn w:val="1"/>
    <w:next w:val="102"/>
    <w:qFormat/>
    <w:uiPriority w:val="0"/>
    <w:rPr>
      <w:rFonts w:cs="宋体"/>
    </w:rPr>
  </w:style>
  <w:style w:type="paragraph" w:customStyle="1" w:styleId="104">
    <w:name w:val="Table Text"/>
    <w:basedOn w:val="1"/>
    <w:semiHidden/>
    <w:qFormat/>
    <w:uiPriority w:val="0"/>
    <w:rPr>
      <w:rFonts w:ascii="宋体" w:hAnsi="宋体" w:eastAsia="宋体" w:cs="宋体"/>
      <w:sz w:val="24"/>
      <w:szCs w:val="24"/>
      <w:lang w:val="en-US" w:eastAsia="en-US" w:bidi="ar-SA"/>
    </w:rPr>
  </w:style>
  <w:style w:type="table" w:customStyle="1" w:styleId="105">
    <w:name w:val="Table Normal"/>
    <w:semiHidden/>
    <w:unhideWhenUsed/>
    <w:qFormat/>
    <w:uiPriority w:val="0"/>
    <w:tblPr>
      <w:tblCellMar>
        <w:top w:w="0" w:type="dxa"/>
        <w:left w:w="0" w:type="dxa"/>
        <w:bottom w:w="0" w:type="dxa"/>
        <w:right w:w="0" w:type="dxa"/>
      </w:tblCellMar>
    </w:tblPr>
  </w:style>
  <w:style w:type="paragraph" w:customStyle="1" w:styleId="106">
    <w:name w:val="表格文字"/>
    <w:basedOn w:val="1"/>
    <w:qFormat/>
    <w:uiPriority w:val="0"/>
    <w:pPr>
      <w:spacing w:before="25" w:after="25"/>
      <w:jc w:val="left"/>
    </w:pPr>
    <w:rPr>
      <w:bCs/>
      <w:spacing w:val="10"/>
      <w:kern w:val="0"/>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Users</Company>
  <Pages>72</Pages>
  <Words>27500</Words>
  <Characters>29174</Characters>
  <Lines>268</Lines>
  <Paragraphs>75</Paragraphs>
  <TotalTime>75</TotalTime>
  <ScaleCrop>false</ScaleCrop>
  <LinksUpToDate>false</LinksUpToDate>
  <CharactersWithSpaces>29857</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2020-07-17T02:01:00Z</dcterms:created>
  <dc:creator>KLY</dc:creator>
  <cp:lastModifiedBy>云南冠睿</cp:lastModifiedBy>
  <cp:lastPrinted>2015-06-08T02:26:00Z</cp:lastPrinted>
  <dcterms:modified xsi:type="dcterms:W3CDTF">2025-05-28T11:26:20Z</dcterms:modified>
  <dc:title>文件</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187A4E6B3CE6409AA4EA49D6A44B2464</vt:lpwstr>
  </property>
  <property fmtid="{D5CDD505-2E9C-101B-9397-08002B2CF9AE}" pid="4" name="KSOTemplateDocerSaveRecord">
    <vt:lpwstr>eyJoZGlkIjoiM2VkYmJhM2E4YTg5ZmZkMjE2NDA0OWUxY2FhYzliY2IiLCJ1c2VySWQiOiIzODk4NjE3NzIifQ==</vt:lpwstr>
  </property>
</Properties>
</file>