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福州市海洋经济产业规划编制服务项目</w:t>
      </w:r>
    </w:p>
    <w:p>
      <w:pPr>
        <w:pStyle w:val="null3"/>
        <w:jc w:val="center"/>
        <w:outlineLvl w:val="2"/>
      </w:pPr>
      <w:r>
        <w:rPr>
          <w:sz w:val="28"/>
          <w:b/>
        </w:rPr>
        <w:t>备案编号：</w:t>
      </w:r>
      <w:r>
        <w:rPr>
          <w:sz w:val="28"/>
          <w:b/>
        </w:rPr>
        <w:t>CGXM-2024-350101-04074[2024]01648</w:t>
      </w:r>
    </w:p>
    <w:p>
      <w:pPr>
        <w:pStyle w:val="null3"/>
        <w:jc w:val="center"/>
        <w:outlineLvl w:val="2"/>
      </w:pPr>
      <w:r>
        <w:rPr>
          <w:sz w:val="28"/>
          <w:b/>
        </w:rPr>
        <w:t>项目编号：</w:t>
      </w:r>
      <w:r>
        <w:rPr>
          <w:sz w:val="28"/>
          <w:b/>
        </w:rPr>
        <w:t>[350101]FJXFZB[CS]2024002</w:t>
      </w:r>
    </w:p>
    <w:p>
      <w:pPr>
        <w:pStyle w:val="null3"/>
        <w:jc w:val="center"/>
        <w:outlineLvl w:val="2"/>
      </w:pPr>
      <w:r>
        <w:rPr>
          <w:sz w:val="28"/>
          <w:b/>
        </w:rPr>
        <w:t>采购人：</w:t>
      </w:r>
      <w:r>
        <w:rPr>
          <w:sz w:val="28"/>
          <w:b/>
        </w:rPr>
        <w:t>福州市工业和信息化局</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福州市工业和信息化局</w:t>
      </w:r>
      <w:r>
        <w:rPr/>
        <w:t xml:space="preserve"> 已根据政府采购相关法律法规，经相应程序确定采用 竞争性磋商 方式组织 </w:t>
      </w:r>
      <w:r>
        <w:rPr/>
        <w:t>福州市海洋经济产业规划编制服务项目</w:t>
      </w:r>
      <w:r>
        <w:rPr/>
        <w:t xml:space="preserve"> 项目（以下简称：“本项目”）的政府采购活动， </w:t>
      </w:r>
      <w:r>
        <w:rPr/>
        <w:t>现欢迎国内合格的供应商前来参加。</w:t>
      </w:r>
      <w:r>
        <w:rPr/>
        <w:t xml:space="preserve"> 本项目由采购人委托 </w:t>
      </w:r>
      <w:r>
        <w:rPr/>
        <w:t>福建信发招标代理有限公司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福州市海洋经济产业规划编制服务项目</w:t>
      </w:r>
    </w:p>
    <w:p>
      <w:pPr>
        <w:pStyle w:val="null3"/>
        <w:ind w:firstLine="480"/>
        <w:jc w:val="left"/>
        <w:outlineLvl w:val="2"/>
      </w:pPr>
      <w:r>
        <w:rPr>
          <w:sz w:val="28"/>
          <w:b/>
        </w:rPr>
        <w:t>2.备案编号</w:t>
      </w:r>
      <w:r>
        <w:rPr>
          <w:sz w:val="28"/>
          <w:b/>
        </w:rPr>
        <w:t xml:space="preserve">： </w:t>
      </w:r>
      <w:r>
        <w:rPr>
          <w:sz w:val="28"/>
          <w:b/>
        </w:rPr>
        <w:t>CGXM-2024-350101-04074[2024]01648</w:t>
      </w:r>
    </w:p>
    <w:p>
      <w:pPr>
        <w:pStyle w:val="null3"/>
        <w:ind w:firstLine="480"/>
        <w:jc w:val="left"/>
        <w:outlineLvl w:val="2"/>
      </w:pPr>
      <w:r>
        <w:rPr>
          <w:sz w:val="28"/>
          <w:b/>
        </w:rPr>
        <w:t>3.项目编号</w:t>
      </w:r>
      <w:r>
        <w:rPr>
          <w:sz w:val="28"/>
          <w:b/>
        </w:rPr>
        <w:t xml:space="preserve">： </w:t>
      </w:r>
      <w:r>
        <w:rPr>
          <w:sz w:val="28"/>
          <w:b/>
        </w:rPr>
        <w:t>[350101]FJXFZB[CS]2024002</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700,000.00</w:t>
      </w:r>
    </w:p>
    <w:p>
      <w:pPr>
        <w:pStyle w:val="null3"/>
        <w:jc w:val="left"/>
      </w:pPr>
      <w:r>
        <w:rPr/>
        <w:t>采购包最高限价（元）: 700,000.00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福州市海洋经济产业规划编制</w:t>
            </w:r>
          </w:p>
        </w:tc>
        <w:tc>
          <w:tcPr>
            <w:tcW w:type="dxa" w:w="1187"/>
          </w:tcPr>
          <w:p>
            <w:pPr>
              <w:pStyle w:val="null3"/>
              <w:jc w:val="right"/>
            </w:pPr>
            <w:r>
              <w:rPr/>
              <w:t>1.00</w:t>
            </w:r>
          </w:p>
        </w:tc>
        <w:tc>
          <w:tcPr>
            <w:tcW w:type="dxa" w:w="1187"/>
          </w:tcPr>
          <w:p>
            <w:pPr>
              <w:pStyle w:val="null3"/>
              <w:jc w:val="right"/>
            </w:pPr>
            <w:r>
              <w:rPr/>
              <w:t>700,000.00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福州市工业和信息化局</w:t>
      </w:r>
    </w:p>
    <w:p>
      <w:pPr>
        <w:pStyle w:val="null3"/>
        <w:ind w:firstLine="960"/>
        <w:jc w:val="left"/>
      </w:pPr>
      <w:r>
        <w:rPr/>
        <w:t xml:space="preserve"> 地址： </w:t>
      </w:r>
      <w:r>
        <w:rPr/>
        <w:t>东部办公区5号楼6层</w:t>
      </w:r>
    </w:p>
    <w:p>
      <w:pPr>
        <w:pStyle w:val="null3"/>
        <w:jc w:val="left"/>
      </w:pPr>
      <w:r>
        <w:rPr/>
        <w:t xml:space="preserve"> 邮编： </w:t>
      </w:r>
      <w:r>
        <w:rPr/>
        <w:t>350026</w:t>
      </w:r>
    </w:p>
    <w:p>
      <w:pPr>
        <w:pStyle w:val="null3"/>
        <w:jc w:val="left"/>
      </w:pPr>
      <w:r>
        <w:rPr/>
        <w:t xml:space="preserve"> 联系人： </w:t>
      </w:r>
      <w:r>
        <w:rPr/>
        <w:t>林浩</w:t>
      </w:r>
    </w:p>
    <w:p>
      <w:pPr>
        <w:pStyle w:val="null3"/>
        <w:jc w:val="left"/>
      </w:pPr>
      <w:r>
        <w:rPr/>
        <w:t xml:space="preserve"> 联系电话： </w:t>
      </w:r>
      <w:r>
        <w:rPr/>
        <w:t>0591-83321894</w:t>
      </w:r>
    </w:p>
    <w:p>
      <w:pPr>
        <w:pStyle w:val="null3"/>
        <w:ind w:firstLine="480"/>
        <w:jc w:val="left"/>
        <w:outlineLvl w:val="2"/>
      </w:pPr>
      <w:r>
        <w:rPr>
          <w:sz w:val="28"/>
          <w:b/>
        </w:rPr>
        <w:t>14、代理机构</w:t>
      </w:r>
      <w:r>
        <w:rPr>
          <w:sz w:val="28"/>
          <w:b/>
        </w:rPr>
        <w:t>：</w:t>
      </w:r>
      <w:r>
        <w:rPr>
          <w:sz w:val="28"/>
          <w:b/>
        </w:rPr>
        <w:t>福建信发招标代理有限公司</w:t>
      </w:r>
    </w:p>
    <w:p>
      <w:pPr>
        <w:pStyle w:val="null3"/>
        <w:ind w:firstLine="960"/>
        <w:jc w:val="left"/>
      </w:pPr>
      <w:r>
        <w:rPr/>
        <w:t xml:space="preserve"> 地址： </w:t>
      </w:r>
      <w:r>
        <w:rPr/>
        <w:t>福州市鼓楼区铜盘路466-3号大自然文化创意园5号楼4层</w:t>
      </w:r>
    </w:p>
    <w:p>
      <w:pPr>
        <w:pStyle w:val="null3"/>
        <w:jc w:val="left"/>
      </w:pPr>
      <w:r>
        <w:rPr/>
        <w:t xml:space="preserve"> 邮编： </w:t>
      </w:r>
      <w:r>
        <w:rPr/>
        <w:t>350002</w:t>
      </w:r>
    </w:p>
    <w:p>
      <w:pPr>
        <w:pStyle w:val="null3"/>
        <w:jc w:val="left"/>
      </w:pPr>
      <w:r>
        <w:rPr/>
        <w:t xml:space="preserve"> 联系人： </w:t>
      </w:r>
      <w:r>
        <w:rPr/>
        <w:t>林娜、李爽、吴梦婷</w:t>
      </w:r>
    </w:p>
    <w:p>
      <w:pPr>
        <w:pStyle w:val="null3"/>
        <w:jc w:val="left"/>
      </w:pPr>
      <w:r>
        <w:rPr/>
        <w:t xml:space="preserve"> 联系电话： </w:t>
      </w:r>
      <w:r>
        <w:rPr/>
        <w:t>0591-88002309</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2553"/>
                  <w:gridSpan w:val="2"/>
                </w:tcPr>
                <w:p>
                  <w:pPr>
                    <w:pStyle w:val="null3"/>
                    <w:jc w:val="left"/>
                  </w:pPr>
                  <w:r>
                    <w:rPr/>
                    <w:t xml:space="preserve"> 无</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福州市财政局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代理服务费收费标准：①以成交通知书规定的成交总金额作为收费的计算基数，按差额累进法计算。 ②代理服务费的标准： 成交金额（万元）收费费率标准：金额100万元以下，收费费率标准1.5％。③代理服务费缴交账号： 开户名：福建信发招标代理有限公司 开户行：福建海峡银行福州鼓楼支行， 账 号：100026211970010002</w:t>
            </w:r>
          </w:p>
          <w:p>
            <w:pPr>
              <w:pStyle w:val="null3"/>
              <w:jc w:val="left"/>
            </w:pPr>
            <w:r>
              <w:rPr/>
              <w:t xml:space="preserve"> (2)其他：</w:t>
            </w:r>
          </w:p>
          <w:p>
            <w:pPr>
              <w:pStyle w:val="null3"/>
              <w:jc w:val="left"/>
            </w:pPr>
            <w:r>
              <w:rPr/>
              <w:t>1)供应商必须对其响应文件中提供各种资料、说明的真实性负责。在评审过程中，如有发现供应商有为谋取成交而提供虚假资料欺骗采购人和磋商小组的行为，将取消其成交资格，其磋商保证金将不予退还。若在成交后和执行合同过程中发现其提供虚假资料的将取消其成交资格，给采购人造成损失的，还必须进行赔偿并负相关责任。评审过程中无论是否有对原件进行核实，供应商都必须对其提供各种资料、说明的真实性负责。 2）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3）信用记录查询及使用：3.1、信用记录查询渠道及截止时点：磋商小组将在提交响应文件截止时间截止后，通过“信用中国”网站(www.creditchina.gov.cn)、中国政府采购网(www.ccgp.gov.cn)查询供应商的信用记录。3.2信用信息查询记录和证据留存的具体方式：磋商小组将记录、打印各供应商的信用信息查询结果，与其他采购文件一并保存。3.3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4）接收质疑函的方式、联系部门、联系电话和通讯地址：4.1接收质疑函原件的方式：现场方式；4.2接收质疑函的联系部门：办公室；4.3接收质疑函的联系电话：0591-88002309；4.4接收质疑函的通讯地址：福州市鼓楼区铜盘路466-3号大自然文化创意园5号楼4层福建信发招标代理有限公司。5）关于“成立年限满1年及以上的供应商，提供经审计的上一年度的年度财务报告”补充说明：经审计的上一年度的年度财务报告是指经审计的2023年度财务报告复印件。6）供应商针对竞争性磋商文件中资格证明文件“财务状况报告”若选择提供资信证明复印件的，无需提供其开户（基本存款账户）许可证复印件，若此项规定与竞争性磋商文件其他部分有矛盾的，以此项规定为准。7）供应商出现 《福建省财政厅关于电子化政府采购项目中视为串标情形认定与处理的指导意见》（闽财购〔2018〕30号）文中规定的视为串标情形的，其响应无效。8）供应商最后报价不能高于首次报价，若高于首次报价应以其首次报价为准。9）经磋商小组评审，在提交的响应文件全部满足竞争性磋商文件实质性要求的供应商不少于三家的前提下，按各合格供应商的综合得分由高到低顺序推荐三名成交候选人。</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自成交通知书发出之日起30个日历日内。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1）《政府采购促进中小企业发展管理办法》、《关于进一步加大政府采购支持中小企业力度的通知》、《福建省财政厅关于进一步加大政府采购支持中小企业力度的通知》价格扣除：根据《关于印发&lt;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2%）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3）根据《财政部 民政部 中国残疾人联合会关于促进残疾人就业政府采购政策的通知》（财库〔2017〕141号）规定，符合规定的残疾人福利性单位参加政府采购活动视同小型、微型企业，提供《残疾人福利性单位声明函》并对声明的真实性负责，其报价享受15%（工程项目为5%）的评审价格扣除优惠。对残疾人福利性单位与其他组织组成联合体参与政府采购活动的，残疾人福利性单位的协议合同金额占总合同金额30%以上的，给予联合体合同金额5%（工程项目为2%）的价格扣除。残疾人福利性单位属于小型、微型企业的，不重复享受政策，按残疾人福利性单位价格扣除标准执行。残疾人福利性单位参与货物项目的，须在响应文件中写明具体哪些货物是由本单位制造，或者由其他残疾人福利性单位制造（不包括使用非残疾人福利性单位注册商标的货物），并对其进行标注。 注：1、本采购包为服务类采购项目，采购标的对应的中小企业划分标准所属行业为其他未列明行业。2、依据本办法规定享受扶持政策获得政府采购合同的，小微企业不得将合同分包给大中型企业，中型企业不得将合同分包给大型企业。3、供应商提供声明函内容不实的或提供虚假证明文件的，均属于提供虚假材料谋取中标、成交，一经发现将依照《中华人民共和国政府采购法》等国家有关规定追究相应责任。</w:t>
            </w:r>
          </w:p>
        </w:tc>
      </w:tr>
    </w:tbl>
    <w:p>
      <w:pPr>
        <w:pStyle w:val="null3"/>
        <w:jc w:val="left"/>
      </w:pPr>
      <w:r>
        <w:rPr/>
        <w:t>其他：无</w:t>
      </w:r>
    </w:p>
    <w:p>
      <w:pPr>
        <w:pStyle w:val="null3"/>
        <w:jc w:val="left"/>
      </w:pPr>
      <w:r>
        <w:rPr/>
        <w:t>技术部分评分PT 满分为72.0000分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1、技术和服务要求响应情况</w:t>
            </w:r>
          </w:p>
        </w:tc>
        <w:tc>
          <w:tcPr>
            <w:tcW w:type="dxa" w:w="831"/>
          </w:tcPr>
          <w:p>
            <w:pPr>
              <w:pStyle w:val="null3"/>
              <w:jc w:val="right"/>
            </w:pPr>
            <w:r>
              <w:rPr/>
              <w:t>24.0000</w:t>
            </w:r>
          </w:p>
        </w:tc>
        <w:tc>
          <w:tcPr>
            <w:tcW w:type="dxa" w:w="4153"/>
          </w:tcPr>
          <w:p>
            <w:pPr>
              <w:pStyle w:val="null3"/>
              <w:jc w:val="left"/>
            </w:pPr>
            <w:r>
              <w:rPr/>
              <w:t>根据供应商对磋商文件第三章采购内容及要求中“二、技术和服务要求”各项技术要求的逐项应答情况并结合相关佐证材料（若有）由评委进行评议，①完全满足磋商文件技术要求的得24分；②技术要求中每负偏离一项扣3分（共8项，合计24分）；③正偏离不加分。</w:t>
            </w:r>
          </w:p>
        </w:tc>
      </w:tr>
      <w:tr>
        <w:tc>
          <w:tcPr>
            <w:tcW w:type="dxa" w:w="3322"/>
          </w:tcPr>
          <w:p>
            <w:pPr>
              <w:pStyle w:val="null3"/>
              <w:jc w:val="left"/>
            </w:pPr>
            <w:r>
              <w:rPr/>
              <w:t>2、整体理解</w:t>
            </w:r>
          </w:p>
        </w:tc>
        <w:tc>
          <w:tcPr>
            <w:tcW w:type="dxa" w:w="831"/>
          </w:tcPr>
          <w:p>
            <w:pPr>
              <w:pStyle w:val="null3"/>
              <w:jc w:val="right"/>
            </w:pPr>
            <w:r>
              <w:rPr/>
              <w:t>3.0000</w:t>
            </w:r>
          </w:p>
        </w:tc>
        <w:tc>
          <w:tcPr>
            <w:tcW w:type="dxa" w:w="4153"/>
          </w:tcPr>
          <w:p>
            <w:pPr>
              <w:pStyle w:val="null3"/>
              <w:jc w:val="left"/>
            </w:pPr>
            <w:r>
              <w:rPr/>
              <w:t>根据供应商对本项目的认识、需求理解及分析描述具体、到位情况，由磋商小组进行评分：对项目理解准确，充分了解用户需求，方案结构框架完善，方案设计重点突出、分析到位的得3分；对项目理解较准确，对用户需求有一定把握，方案结构框架具备一定合理性的得2分；对项目理解较差，观念落后，分析不符合实际，用户需求认识较浅的得1分；方案所包含的要点有缺漏、未提供或内容存在明显错误、内容明显不适用于本项目需求的均不得分。</w:t>
            </w:r>
          </w:p>
        </w:tc>
      </w:tr>
      <w:tr>
        <w:tc>
          <w:tcPr>
            <w:tcW w:type="dxa" w:w="3322"/>
          </w:tcPr>
          <w:p>
            <w:pPr>
              <w:pStyle w:val="null3"/>
              <w:jc w:val="left"/>
            </w:pPr>
            <w:r>
              <w:rPr/>
              <w:t>3、服务方案</w:t>
            </w:r>
          </w:p>
        </w:tc>
        <w:tc>
          <w:tcPr>
            <w:tcW w:type="dxa" w:w="831"/>
          </w:tcPr>
          <w:p>
            <w:pPr>
              <w:pStyle w:val="null3"/>
              <w:jc w:val="right"/>
            </w:pPr>
            <w:r>
              <w:rPr/>
              <w:t>3.0000</w:t>
            </w:r>
          </w:p>
        </w:tc>
        <w:tc>
          <w:tcPr>
            <w:tcW w:type="dxa" w:w="4153"/>
          </w:tcPr>
          <w:p>
            <w:pPr>
              <w:pStyle w:val="null3"/>
              <w:jc w:val="left"/>
            </w:pPr>
            <w:r>
              <w:rPr/>
              <w:t>根据供应商对本项目提出的服务方案和具体研究思路，由磋商小组进行评分：大纲和思路设计科学合理、条理清晰、详细完整、针对性强、容易实施的得3分；对大纲和思路设计有基本描述，个别细节需要完善，但基本可行符合采购要求的得2分；设计缺失或不可行或未提供描述的得1分，方案所包含的要点有缺漏、未提供或内容存在明显错误、内容明显不适用于本项目需求的均不得分。</w:t>
            </w:r>
          </w:p>
        </w:tc>
      </w:tr>
      <w:tr>
        <w:tc>
          <w:tcPr>
            <w:tcW w:type="dxa" w:w="3322"/>
          </w:tcPr>
          <w:p>
            <w:pPr>
              <w:pStyle w:val="null3"/>
              <w:jc w:val="left"/>
            </w:pPr>
            <w:r>
              <w:rPr/>
              <w:t>4、 外部形势分析</w:t>
            </w:r>
          </w:p>
        </w:tc>
        <w:tc>
          <w:tcPr>
            <w:tcW w:type="dxa" w:w="831"/>
          </w:tcPr>
          <w:p>
            <w:pPr>
              <w:pStyle w:val="null3"/>
              <w:jc w:val="right"/>
            </w:pPr>
            <w:r>
              <w:rPr/>
              <w:t>3.0000</w:t>
            </w:r>
          </w:p>
        </w:tc>
        <w:tc>
          <w:tcPr>
            <w:tcW w:type="dxa" w:w="4153"/>
          </w:tcPr>
          <w:p>
            <w:pPr>
              <w:pStyle w:val="null3"/>
              <w:jc w:val="left"/>
            </w:pPr>
            <w:r>
              <w:rPr/>
              <w:t>根据供应商对外部形势分析，包括全球海洋装备产业发展趋势、国外海洋装备产业竞争格局、我国海洋装备产业能力布局等趋势机遇的内容完整性、分析能力，由磋商小组进行评分：内容详细、描述明确具体得3分；内容描述较简单，但描述内容完整、明确具体得1.5分；描述内容有缺漏或者描述内容与本项目无关或者未提供描述内容的不得分。</w:t>
            </w:r>
          </w:p>
        </w:tc>
      </w:tr>
      <w:tr>
        <w:tc>
          <w:tcPr>
            <w:tcW w:type="dxa" w:w="3322"/>
          </w:tcPr>
          <w:p>
            <w:pPr>
              <w:pStyle w:val="null3"/>
              <w:jc w:val="left"/>
            </w:pPr>
            <w:r>
              <w:rPr/>
              <w:t>5、 产业基础分析</w:t>
            </w:r>
          </w:p>
        </w:tc>
        <w:tc>
          <w:tcPr>
            <w:tcW w:type="dxa" w:w="831"/>
          </w:tcPr>
          <w:p>
            <w:pPr>
              <w:pStyle w:val="null3"/>
              <w:jc w:val="right"/>
            </w:pPr>
            <w:r>
              <w:rPr/>
              <w:t>3.0000</w:t>
            </w:r>
          </w:p>
        </w:tc>
        <w:tc>
          <w:tcPr>
            <w:tcW w:type="dxa" w:w="4153"/>
          </w:tcPr>
          <w:p>
            <w:pPr>
              <w:pStyle w:val="null3"/>
              <w:jc w:val="left"/>
            </w:pPr>
            <w:r>
              <w:rPr/>
              <w:t>根据供应商对福州市产业基础分析，包括地理区位、产业基础、重点企业、技术创新等的内容完整性、分析能力，由磋商小组进行评分：方案内容完整、分析详细具体明确的得3分；方案分析简单，但内容完整的得2分；方案内容有缺漏，但不影响项目具体实施的得1分；未提供方案或方案与本项目无关的不得分。</w:t>
            </w:r>
          </w:p>
        </w:tc>
      </w:tr>
      <w:tr>
        <w:tc>
          <w:tcPr>
            <w:tcW w:type="dxa" w:w="3322"/>
          </w:tcPr>
          <w:p>
            <w:pPr>
              <w:pStyle w:val="null3"/>
              <w:jc w:val="left"/>
            </w:pPr>
            <w:r>
              <w:rPr/>
              <w:t>6、 SWOT分析</w:t>
            </w:r>
          </w:p>
        </w:tc>
        <w:tc>
          <w:tcPr>
            <w:tcW w:type="dxa" w:w="831"/>
          </w:tcPr>
          <w:p>
            <w:pPr>
              <w:pStyle w:val="null3"/>
              <w:jc w:val="right"/>
            </w:pPr>
            <w:r>
              <w:rPr/>
              <w:t>3.0000</w:t>
            </w:r>
          </w:p>
        </w:tc>
        <w:tc>
          <w:tcPr>
            <w:tcW w:type="dxa" w:w="4153"/>
          </w:tcPr>
          <w:p>
            <w:pPr>
              <w:pStyle w:val="null3"/>
              <w:jc w:val="left"/>
            </w:pPr>
            <w:r>
              <w:rPr/>
              <w:t>根据供应商SWOT分析，包括福州市发展海洋装备产业的优势、劣势、机会、威胁等的内容完整性、分析能力，由磋商小组进行评分：方案内容完整、分析详细具体明确的得3分；方案分析简单，但内容完整的得2分；方案内容有缺漏，但不影响项目具体实施的得1分；未提供方案或方案与本项目无关的不得分。</w:t>
            </w:r>
          </w:p>
        </w:tc>
      </w:tr>
      <w:tr>
        <w:tc>
          <w:tcPr>
            <w:tcW w:type="dxa" w:w="3322"/>
          </w:tcPr>
          <w:p>
            <w:pPr>
              <w:pStyle w:val="null3"/>
              <w:jc w:val="left"/>
            </w:pPr>
            <w:r>
              <w:rPr/>
              <w:t>7、 产业定位分析</w:t>
            </w:r>
          </w:p>
        </w:tc>
        <w:tc>
          <w:tcPr>
            <w:tcW w:type="dxa" w:w="831"/>
          </w:tcPr>
          <w:p>
            <w:pPr>
              <w:pStyle w:val="null3"/>
              <w:jc w:val="right"/>
            </w:pPr>
            <w:r>
              <w:rPr/>
              <w:t>3.0000</w:t>
            </w:r>
          </w:p>
        </w:tc>
        <w:tc>
          <w:tcPr>
            <w:tcW w:type="dxa" w:w="4153"/>
          </w:tcPr>
          <w:p>
            <w:pPr>
              <w:pStyle w:val="null3"/>
              <w:jc w:val="left"/>
            </w:pPr>
            <w:r>
              <w:rPr/>
              <w:t>根据供应商通过环境分析、产业影响力及产业带动力数据测算，确定研究海洋装备产业在福州市经济发展中的产业地位，由磋商小组进行评分：方案内容详细、描述明确具体得3分；方案内容描述较简单，但描述内容完整、明确具体得1.5分；方案内容有缺漏或者方案内容与本项目无关或者未提供方案的不得分。</w:t>
            </w:r>
          </w:p>
        </w:tc>
      </w:tr>
      <w:tr>
        <w:tc>
          <w:tcPr>
            <w:tcW w:type="dxa" w:w="3322"/>
          </w:tcPr>
          <w:p>
            <w:pPr>
              <w:pStyle w:val="null3"/>
              <w:jc w:val="left"/>
            </w:pPr>
            <w:r>
              <w:rPr/>
              <w:t>8、 产业发展目标思路分析</w:t>
            </w:r>
          </w:p>
        </w:tc>
        <w:tc>
          <w:tcPr>
            <w:tcW w:type="dxa" w:w="831"/>
          </w:tcPr>
          <w:p>
            <w:pPr>
              <w:pStyle w:val="null3"/>
              <w:jc w:val="right"/>
            </w:pPr>
            <w:r>
              <w:rPr/>
              <w:t>3.0000</w:t>
            </w:r>
          </w:p>
        </w:tc>
        <w:tc>
          <w:tcPr>
            <w:tcW w:type="dxa" w:w="4153"/>
          </w:tcPr>
          <w:p>
            <w:pPr>
              <w:pStyle w:val="null3"/>
              <w:jc w:val="left"/>
            </w:pPr>
            <w:r>
              <w:rPr/>
              <w:t>供应商基于基础分析内容，提出符合福州市海洋装备的发展目标和思路方向（包括产业发展的总体思路、近期和远期阶段性发展目标等），由磋商小组进行评分：方案内容详细、描述明确具体得3分；方案内容描述较简单，但描述内容完整、明确具体得1.5分；方案内容有缺漏或者方案内容与本项目无关或者未提供方案的不得分。</w:t>
            </w:r>
          </w:p>
        </w:tc>
      </w:tr>
      <w:tr>
        <w:tc>
          <w:tcPr>
            <w:tcW w:type="dxa" w:w="3322"/>
          </w:tcPr>
          <w:p>
            <w:pPr>
              <w:pStyle w:val="null3"/>
              <w:jc w:val="left"/>
            </w:pPr>
            <w:r>
              <w:rPr/>
              <w:t>9、保障措施分析</w:t>
            </w:r>
          </w:p>
        </w:tc>
        <w:tc>
          <w:tcPr>
            <w:tcW w:type="dxa" w:w="831"/>
          </w:tcPr>
          <w:p>
            <w:pPr>
              <w:pStyle w:val="null3"/>
              <w:jc w:val="right"/>
            </w:pPr>
            <w:r>
              <w:rPr/>
              <w:t>3.0000</w:t>
            </w:r>
          </w:p>
        </w:tc>
        <w:tc>
          <w:tcPr>
            <w:tcW w:type="dxa" w:w="4153"/>
          </w:tcPr>
          <w:p>
            <w:pPr>
              <w:pStyle w:val="null3"/>
              <w:jc w:val="left"/>
            </w:pPr>
            <w:r>
              <w:rPr/>
              <w:t>根据供应商为了推动规划任务目标和相关内容落实，促进相关任务举措落地，提出相关保障措施和政策建议，由磋商小组进行评分：方案内容详细、描述明确具体得3分；方案内容描述较简单，但描述内容完整、明确具体得1.5分；方案内容有缺漏或者方案内容与本项目无关或者未提供方案的不得分。</w:t>
            </w:r>
          </w:p>
        </w:tc>
      </w:tr>
      <w:tr>
        <w:tc>
          <w:tcPr>
            <w:tcW w:type="dxa" w:w="3322"/>
          </w:tcPr>
          <w:p>
            <w:pPr>
              <w:pStyle w:val="null3"/>
              <w:jc w:val="left"/>
            </w:pPr>
            <w:r>
              <w:rPr/>
              <w:t>10、重难点分析</w:t>
            </w:r>
          </w:p>
        </w:tc>
        <w:tc>
          <w:tcPr>
            <w:tcW w:type="dxa" w:w="831"/>
          </w:tcPr>
          <w:p>
            <w:pPr>
              <w:pStyle w:val="null3"/>
              <w:jc w:val="right"/>
            </w:pPr>
            <w:r>
              <w:rPr/>
              <w:t>3.0000</w:t>
            </w:r>
          </w:p>
        </w:tc>
        <w:tc>
          <w:tcPr>
            <w:tcW w:type="dxa" w:w="4153"/>
          </w:tcPr>
          <w:p>
            <w:pPr>
              <w:pStyle w:val="null3"/>
              <w:jc w:val="left"/>
            </w:pPr>
            <w:r>
              <w:rPr/>
              <w:t>根据供应商对项目重难点的问题分析由磋商小组进行评分，项目服务方案对重难点的问题捕捉精准，分析透彻，应对措施，由磋商小组进行评分：具备可操作性的得3分；项目服务方案对重难点的问题捕捉到位，但分析深度有进步空间，应对措施有待深化的得2分；项目服务方案对重难点的问题捕捉不到位，分析缺乏深度、不全面且未提出相关应对措施的得1分；方案所包含的要点有缺漏、未提供或内容存在明显错误、内容明显不适用于本项目需求的均不得分。</w:t>
            </w:r>
          </w:p>
        </w:tc>
      </w:tr>
      <w:tr>
        <w:tc>
          <w:tcPr>
            <w:tcW w:type="dxa" w:w="3322"/>
          </w:tcPr>
          <w:p>
            <w:pPr>
              <w:pStyle w:val="null3"/>
              <w:jc w:val="left"/>
            </w:pPr>
            <w:r>
              <w:rPr/>
              <w:t>11、进度安排</w:t>
            </w:r>
          </w:p>
        </w:tc>
        <w:tc>
          <w:tcPr>
            <w:tcW w:type="dxa" w:w="831"/>
          </w:tcPr>
          <w:p>
            <w:pPr>
              <w:pStyle w:val="null3"/>
              <w:jc w:val="right"/>
            </w:pPr>
            <w:r>
              <w:rPr/>
              <w:t>3.0000</w:t>
            </w:r>
          </w:p>
        </w:tc>
        <w:tc>
          <w:tcPr>
            <w:tcW w:type="dxa" w:w="4153"/>
          </w:tcPr>
          <w:p>
            <w:pPr>
              <w:pStyle w:val="null3"/>
              <w:jc w:val="left"/>
            </w:pPr>
            <w:r>
              <w:rPr/>
              <w:t>根据供应商对项目进度安排情况，由磋商小组进行评分：项目进度安排符合要求且计划安排详细、完善紧凑的得3分；项目进度安排符合要求但未详细展开论述每个工作阶段时间安排的得2分；项目进度安排符合要求但未进行每个工作阶段时间安排的得1分；方案所包含的要点有缺漏、未提供或内容存在明显错误、内容明显不适用于本项目需求的均不得分。</w:t>
            </w:r>
          </w:p>
        </w:tc>
      </w:tr>
      <w:tr>
        <w:tc>
          <w:tcPr>
            <w:tcW w:type="dxa" w:w="3322"/>
          </w:tcPr>
          <w:p>
            <w:pPr>
              <w:pStyle w:val="null3"/>
              <w:jc w:val="left"/>
            </w:pPr>
            <w:r>
              <w:rPr/>
              <w:t>12、专家评审</w:t>
            </w:r>
          </w:p>
        </w:tc>
        <w:tc>
          <w:tcPr>
            <w:tcW w:type="dxa" w:w="831"/>
          </w:tcPr>
          <w:p>
            <w:pPr>
              <w:pStyle w:val="null3"/>
              <w:jc w:val="right"/>
            </w:pPr>
            <w:r>
              <w:rPr/>
              <w:t>3.0000</w:t>
            </w:r>
          </w:p>
        </w:tc>
        <w:tc>
          <w:tcPr>
            <w:tcW w:type="dxa" w:w="4153"/>
          </w:tcPr>
          <w:p>
            <w:pPr>
              <w:pStyle w:val="null3"/>
              <w:jc w:val="left"/>
            </w:pPr>
            <w:r>
              <w:rPr/>
              <w:t>供应商承诺通过组织线上或线下座谈会方式等广泛征集相关专家对福州市海洋装备产业发展规划的意见和建议。供应商人针对上述内容提供书面承诺函及组织形式的得3分，未承诺或承诺内容不完整不得分。</w:t>
            </w:r>
          </w:p>
        </w:tc>
      </w:tr>
      <w:tr>
        <w:tc>
          <w:tcPr>
            <w:tcW w:type="dxa" w:w="3322"/>
          </w:tcPr>
          <w:p>
            <w:pPr>
              <w:pStyle w:val="null3"/>
              <w:jc w:val="left"/>
            </w:pPr>
            <w:r>
              <w:rPr/>
              <w:t>13、政策建议</w:t>
            </w:r>
          </w:p>
        </w:tc>
        <w:tc>
          <w:tcPr>
            <w:tcW w:type="dxa" w:w="831"/>
          </w:tcPr>
          <w:p>
            <w:pPr>
              <w:pStyle w:val="null3"/>
              <w:jc w:val="right"/>
            </w:pPr>
            <w:r>
              <w:rPr/>
              <w:t>3.0000</w:t>
            </w:r>
          </w:p>
        </w:tc>
        <w:tc>
          <w:tcPr>
            <w:tcW w:type="dxa" w:w="4153"/>
          </w:tcPr>
          <w:p>
            <w:pPr>
              <w:pStyle w:val="null3"/>
              <w:jc w:val="left"/>
            </w:pPr>
            <w:r>
              <w:rPr/>
              <w:t>根据供应商提供政策建议，包括政策的梳理、政策介绍内容，由磋商小组进行评分：政策内容完善，表述十分清晰，科学、有深度，可行性强，得3分；政策表述基本清楚，方案有大概框架和目标的，得2分；政策不全面，但合理性、可行性一般的，得1分；未提供政策建议或无实质性内容的不得分均不得分。</w:t>
            </w:r>
          </w:p>
        </w:tc>
      </w:tr>
      <w:tr>
        <w:tc>
          <w:tcPr>
            <w:tcW w:type="dxa" w:w="3322"/>
          </w:tcPr>
          <w:p>
            <w:pPr>
              <w:pStyle w:val="null3"/>
              <w:jc w:val="left"/>
            </w:pPr>
            <w:r>
              <w:rPr/>
              <w:t>14、质量保障</w:t>
            </w:r>
          </w:p>
        </w:tc>
        <w:tc>
          <w:tcPr>
            <w:tcW w:type="dxa" w:w="831"/>
          </w:tcPr>
          <w:p>
            <w:pPr>
              <w:pStyle w:val="null3"/>
              <w:jc w:val="right"/>
            </w:pPr>
            <w:r>
              <w:rPr/>
              <w:t>3.0000</w:t>
            </w:r>
          </w:p>
        </w:tc>
        <w:tc>
          <w:tcPr>
            <w:tcW w:type="dxa" w:w="4153"/>
          </w:tcPr>
          <w:p>
            <w:pPr>
              <w:pStyle w:val="null3"/>
              <w:jc w:val="left"/>
            </w:pPr>
            <w:r>
              <w:rPr/>
              <w:t>根据供应商对项目质量保障情况，由磋商小组进行评分：质量保证方案科学、全面、详尽、可操作性强，符合要求的得3分；质量保证方案较为全面、详尽、具备一定可操作性，基本符合文件要求的得2分；质量保证方案不够全面、可操作性较弱的得1分；方案所包含的要点有缺漏、未提供或内容存在明显错误、内容明显不适用于本项目需求的均不得分。</w:t>
            </w:r>
          </w:p>
        </w:tc>
      </w:tr>
      <w:tr>
        <w:tc>
          <w:tcPr>
            <w:tcW w:type="dxa" w:w="3322"/>
          </w:tcPr>
          <w:p>
            <w:pPr>
              <w:pStyle w:val="null3"/>
              <w:jc w:val="left"/>
            </w:pPr>
            <w:r>
              <w:rPr/>
              <w:t>15、风控措施</w:t>
            </w:r>
          </w:p>
        </w:tc>
        <w:tc>
          <w:tcPr>
            <w:tcW w:type="dxa" w:w="831"/>
          </w:tcPr>
          <w:p>
            <w:pPr>
              <w:pStyle w:val="null3"/>
              <w:jc w:val="right"/>
            </w:pPr>
            <w:r>
              <w:rPr/>
              <w:t>3.0000</w:t>
            </w:r>
          </w:p>
        </w:tc>
        <w:tc>
          <w:tcPr>
            <w:tcW w:type="dxa" w:w="4153"/>
          </w:tcPr>
          <w:p>
            <w:pPr>
              <w:pStyle w:val="null3"/>
              <w:jc w:val="left"/>
            </w:pPr>
            <w:r>
              <w:rPr/>
              <w:t>根据供应商提供的服务风险防控措施，由磋商小组进行评分：对服务过程中各节点可能出现的风险有事先预估评判，并制定相应的服务风险防控措施，有相应的人力、物力投入安排，能够避免风险或出现风险能及时有效处理的，得3分；有提出服务过程中可能出现的风险，但制定的服务风险防控措施较为简单，得1.5分；未提供措施或措施与本项目无关的不得分。</w:t>
            </w:r>
          </w:p>
        </w:tc>
      </w:tr>
      <w:tr>
        <w:tc>
          <w:tcPr>
            <w:tcW w:type="dxa" w:w="3322"/>
          </w:tcPr>
          <w:p>
            <w:pPr>
              <w:pStyle w:val="null3"/>
              <w:jc w:val="left"/>
            </w:pPr>
            <w:r>
              <w:rPr/>
              <w:t>16、响应时间</w:t>
            </w:r>
          </w:p>
        </w:tc>
        <w:tc>
          <w:tcPr>
            <w:tcW w:type="dxa" w:w="831"/>
          </w:tcPr>
          <w:p>
            <w:pPr>
              <w:pStyle w:val="null3"/>
              <w:jc w:val="right"/>
            </w:pPr>
            <w:r>
              <w:rPr/>
              <w:t>3.0000</w:t>
            </w:r>
          </w:p>
        </w:tc>
        <w:tc>
          <w:tcPr>
            <w:tcW w:type="dxa" w:w="4153"/>
          </w:tcPr>
          <w:p>
            <w:pPr>
              <w:pStyle w:val="null3"/>
              <w:jc w:val="left"/>
            </w:pPr>
            <w:r>
              <w:rPr/>
              <w:t>供应商承诺收到采购人通知（电话或书面）后24小时内响应并到达项目所在地的得3分；响应时间超出48小时的得1分。须提供项目响应时间承诺函并加盖公章，未提供不得分。</w:t>
            </w:r>
          </w:p>
        </w:tc>
      </w:tr>
      <w:tr>
        <w:tc>
          <w:tcPr>
            <w:tcW w:type="dxa" w:w="3322"/>
          </w:tcPr>
          <w:p>
            <w:pPr>
              <w:pStyle w:val="null3"/>
              <w:jc w:val="left"/>
            </w:pPr>
            <w:r>
              <w:rPr/>
              <w:t>17、资料保密方案</w:t>
            </w:r>
          </w:p>
        </w:tc>
        <w:tc>
          <w:tcPr>
            <w:tcW w:type="dxa" w:w="831"/>
          </w:tcPr>
          <w:p>
            <w:pPr>
              <w:pStyle w:val="null3"/>
              <w:jc w:val="right"/>
            </w:pPr>
            <w:r>
              <w:rPr/>
              <w:t>3.0000</w:t>
            </w:r>
          </w:p>
        </w:tc>
        <w:tc>
          <w:tcPr>
            <w:tcW w:type="dxa" w:w="4153"/>
          </w:tcPr>
          <w:p>
            <w:pPr>
              <w:pStyle w:val="null3"/>
              <w:jc w:val="left"/>
            </w:pPr>
            <w:r>
              <w:rPr/>
              <w:t>根据供应商针对本项目制定的数据和资料管理方案，由磋商小组进行评分：根据项目需求情况提出详细、具体、明确的保密流程、保密方式方法等，且能满足采购人随时调取需求的得3分；保密方案基本能符合项目需求，有提出保密流程、保密方式方法的得2分；保密方案简短、操作性较差的得1分；未提供方案或方案与本项目无关的不得分。</w:t>
            </w:r>
          </w:p>
        </w:tc>
      </w:tr>
    </w:tbl>
    <w:p>
      <w:pPr>
        <w:pStyle w:val="null3"/>
        <w:jc w:val="left"/>
      </w:pPr>
      <w:r>
        <w:rPr/>
        <w:t>商务部分评分PB 满分为18.0000分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1、荣誉情况</w:t>
            </w:r>
          </w:p>
        </w:tc>
        <w:tc>
          <w:tcPr>
            <w:tcW w:type="dxa" w:w="831"/>
          </w:tcPr>
          <w:p>
            <w:pPr>
              <w:pStyle w:val="null3"/>
              <w:jc w:val="right"/>
            </w:pPr>
            <w:r>
              <w:rPr/>
              <w:t>3.0000</w:t>
            </w:r>
          </w:p>
        </w:tc>
        <w:tc>
          <w:tcPr>
            <w:tcW w:type="dxa" w:w="4153"/>
          </w:tcPr>
          <w:p>
            <w:pPr>
              <w:pStyle w:val="null3"/>
              <w:jc w:val="left"/>
            </w:pPr>
            <w:r>
              <w:rPr/>
              <w:t>供应商获得过省级及以上政府部门或主管单位颁发的荣誉证书情况进行评分，提供1个得1分，满分3分。须提供获奖证书或证明文件复印件，未按要求提供的不得分。</w:t>
            </w:r>
          </w:p>
        </w:tc>
      </w:tr>
      <w:tr>
        <w:tc>
          <w:tcPr>
            <w:tcW w:type="dxa" w:w="3322"/>
          </w:tcPr>
          <w:p>
            <w:pPr>
              <w:pStyle w:val="null3"/>
              <w:jc w:val="left"/>
            </w:pPr>
            <w:r>
              <w:rPr/>
              <w:t>2、相关业绩1</w:t>
            </w:r>
          </w:p>
        </w:tc>
        <w:tc>
          <w:tcPr>
            <w:tcW w:type="dxa" w:w="831"/>
          </w:tcPr>
          <w:p>
            <w:pPr>
              <w:pStyle w:val="null3"/>
              <w:jc w:val="right"/>
            </w:pPr>
            <w:r>
              <w:rPr/>
              <w:t>3.0000</w:t>
            </w:r>
          </w:p>
        </w:tc>
        <w:tc>
          <w:tcPr>
            <w:tcW w:type="dxa" w:w="4153"/>
          </w:tcPr>
          <w:p>
            <w:pPr>
              <w:pStyle w:val="null3"/>
              <w:jc w:val="left"/>
            </w:pPr>
            <w:r>
              <w:rPr/>
              <w:t>根据供应商提供的自2021年1月1日起至提交响应文件截止时间（以合同签订日期为准），由供应商承担过船舶及海洋工程装备、新能源产业等相关类型课题研究，每提供一个业绩证明得1分，满分3分。须提供该业绩项目合同复印件，并加盖供应商公章，未按要求提供的不得分。（相关业绩1与相关业绩2不重复得分）</w:t>
            </w:r>
          </w:p>
        </w:tc>
      </w:tr>
      <w:tr>
        <w:tc>
          <w:tcPr>
            <w:tcW w:type="dxa" w:w="3322"/>
          </w:tcPr>
          <w:p>
            <w:pPr>
              <w:pStyle w:val="null3"/>
              <w:jc w:val="left"/>
            </w:pPr>
            <w:r>
              <w:rPr/>
              <w:t>3、相关业绩2</w:t>
            </w:r>
          </w:p>
        </w:tc>
        <w:tc>
          <w:tcPr>
            <w:tcW w:type="dxa" w:w="831"/>
          </w:tcPr>
          <w:p>
            <w:pPr>
              <w:pStyle w:val="null3"/>
              <w:jc w:val="right"/>
            </w:pPr>
            <w:r>
              <w:rPr/>
              <w:t>3.0000</w:t>
            </w:r>
          </w:p>
        </w:tc>
        <w:tc>
          <w:tcPr>
            <w:tcW w:type="dxa" w:w="4153"/>
          </w:tcPr>
          <w:p>
            <w:pPr>
              <w:pStyle w:val="null3"/>
              <w:jc w:val="left"/>
            </w:pPr>
            <w:r>
              <w:rPr/>
              <w:t>根据供应商提供的自2021年1月1日起至提交响应文件截止时间（以合同签订日期为准），由供应商承担过地方政府、产业园区、企业的战略、规划、产业发展等相关类型课题研究，每提供一个业绩证明材料得1分，满分3分。须提供该业绩项目合同复印件，并加盖供应商公章，未按要求提供的不得分。（相关业绩1与相关业绩2不重复得分）</w:t>
            </w:r>
          </w:p>
        </w:tc>
      </w:tr>
      <w:tr>
        <w:tc>
          <w:tcPr>
            <w:tcW w:type="dxa" w:w="3322"/>
          </w:tcPr>
          <w:p>
            <w:pPr>
              <w:pStyle w:val="null3"/>
              <w:jc w:val="left"/>
            </w:pPr>
            <w:r>
              <w:rPr/>
              <w:t>4、项目负责人1</w:t>
            </w:r>
          </w:p>
        </w:tc>
        <w:tc>
          <w:tcPr>
            <w:tcW w:type="dxa" w:w="831"/>
          </w:tcPr>
          <w:p>
            <w:pPr>
              <w:pStyle w:val="null3"/>
              <w:jc w:val="right"/>
            </w:pPr>
            <w:r>
              <w:rPr/>
              <w:t>3.0000</w:t>
            </w:r>
          </w:p>
        </w:tc>
        <w:tc>
          <w:tcPr>
            <w:tcW w:type="dxa" w:w="4153"/>
          </w:tcPr>
          <w:p>
            <w:pPr>
              <w:pStyle w:val="null3"/>
              <w:jc w:val="left"/>
            </w:pPr>
            <w:r>
              <w:rPr/>
              <w:t>供应商拟派本项目的项目负责人具有正高级职称、相关专业研究生学历证书、相关领域专家资格证书的，每提供一个证书得1分，满分3分。须提供项目负责人研究生学历证书、正高职称证书、相关领域专家聘用文件原件扫描件或复印件，及提交响应文件截止时间前六个月（不含提交响应文件截止时间的当月）中任一月份由供应商为其缴纳的社会保险凭据复印件，否则不得分。</w:t>
            </w:r>
          </w:p>
        </w:tc>
      </w:tr>
      <w:tr>
        <w:tc>
          <w:tcPr>
            <w:tcW w:type="dxa" w:w="3322"/>
          </w:tcPr>
          <w:p>
            <w:pPr>
              <w:pStyle w:val="null3"/>
              <w:jc w:val="left"/>
            </w:pPr>
            <w:r>
              <w:rPr/>
              <w:t>5、项目负责人业绩情况</w:t>
            </w:r>
          </w:p>
        </w:tc>
        <w:tc>
          <w:tcPr>
            <w:tcW w:type="dxa" w:w="831"/>
          </w:tcPr>
          <w:p>
            <w:pPr>
              <w:pStyle w:val="null3"/>
              <w:jc w:val="right"/>
            </w:pPr>
            <w:r>
              <w:rPr/>
              <w:t>3.0000</w:t>
            </w:r>
          </w:p>
        </w:tc>
        <w:tc>
          <w:tcPr>
            <w:tcW w:type="dxa" w:w="4153"/>
          </w:tcPr>
          <w:p>
            <w:pPr>
              <w:pStyle w:val="null3"/>
              <w:jc w:val="left"/>
            </w:pPr>
            <w:r>
              <w:rPr/>
              <w:t>根据供应商提供的项目负责人承担过与本项目相关类型课题研究情况进行评分：每提供一个业绩证明材料得1分，满分3分。须提供该业绩项目合同复印件或其他能证明该项目负责人业绩的材料，加盖供应商公章，未按要求提供的不得分。</w:t>
            </w:r>
          </w:p>
        </w:tc>
      </w:tr>
      <w:tr>
        <w:tc>
          <w:tcPr>
            <w:tcW w:type="dxa" w:w="3322"/>
          </w:tcPr>
          <w:p>
            <w:pPr>
              <w:pStyle w:val="null3"/>
              <w:jc w:val="left"/>
            </w:pPr>
            <w:r>
              <w:rPr/>
              <w:t>6、团队成员</w:t>
            </w:r>
          </w:p>
        </w:tc>
        <w:tc>
          <w:tcPr>
            <w:tcW w:type="dxa" w:w="831"/>
          </w:tcPr>
          <w:p>
            <w:pPr>
              <w:pStyle w:val="null3"/>
              <w:jc w:val="right"/>
            </w:pPr>
            <w:r>
              <w:rPr/>
              <w:t>3.0000</w:t>
            </w:r>
          </w:p>
        </w:tc>
        <w:tc>
          <w:tcPr>
            <w:tcW w:type="dxa" w:w="4153"/>
          </w:tcPr>
          <w:p>
            <w:pPr>
              <w:pStyle w:val="null3"/>
              <w:jc w:val="left"/>
            </w:pPr>
            <w:r>
              <w:rPr/>
              <w:t>供应商拟派本项目的项目团队成员（项目负责人除外）具有船舶与海洋工程、轮机工程、动力工程、产业经济等相关专业高级职称的，每提供一名得1分，满分3分。须提供团队成员职称证书复印件及提交响应文件截止时间前六个月（不含提交响应文件截止时间的当月）中任一月份由供应商为其缴纳的社会保险凭据复印件，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违反竞争性磋商文件中载明“响应无效”条款的规定的，按无效响应处理。</w:t>
            </w:r>
          </w:p>
        </w:tc>
      </w:tr>
      <w:tr>
        <w:tc>
          <w:tcPr>
            <w:tcW w:type="dxa" w:w="4153"/>
          </w:tcPr>
          <w:p>
            <w:pPr>
              <w:pStyle w:val="null3"/>
              <w:jc w:val="left"/>
            </w:pPr>
            <w:r>
              <w:rPr/>
              <w:t>其他情形</w:t>
            </w:r>
          </w:p>
        </w:tc>
        <w:tc>
          <w:tcPr>
            <w:tcW w:type="dxa" w:w="4153"/>
          </w:tcPr>
          <w:p>
            <w:pPr>
              <w:pStyle w:val="null3"/>
              <w:jc w:val="left"/>
            </w:pPr>
            <w:r>
              <w:rPr/>
              <w:t>出现属于竞争性磋商文件规定磋商小组应否决其响应情形的，按无效响应处理。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供应商未在竞争性磋商文件中完全响应竞争性磋商文件第三章采购内容及要求中第“三、商务条件”全部条款的，按无效响应处理。</w:t>
            </w:r>
          </w:p>
        </w:tc>
      </w:tr>
      <w:tr>
        <w:tc>
          <w:tcPr>
            <w:tcW w:type="dxa" w:w="4153"/>
          </w:tcPr>
          <w:p>
            <w:pPr>
              <w:pStyle w:val="null3"/>
              <w:jc w:val="left"/>
            </w:pPr>
            <w:r>
              <w:rPr/>
              <w:t>其他情形</w:t>
            </w:r>
          </w:p>
        </w:tc>
        <w:tc>
          <w:tcPr>
            <w:tcW w:type="dxa" w:w="4153"/>
          </w:tcPr>
          <w:p>
            <w:pPr>
              <w:pStyle w:val="null3"/>
              <w:jc w:val="left"/>
            </w:pPr>
            <w:r>
              <w:rPr/>
              <w:t>违反竞争性磋商文件中载明“响应无效”条款的规定的，按无效响应处理。</w:t>
            </w:r>
          </w:p>
        </w:tc>
      </w:tr>
      <w:tr>
        <w:tc>
          <w:tcPr>
            <w:tcW w:type="dxa" w:w="4153"/>
          </w:tcPr>
          <w:p>
            <w:pPr>
              <w:pStyle w:val="null3"/>
              <w:jc w:val="left"/>
            </w:pPr>
            <w:r>
              <w:rPr/>
              <w:t>其他情形</w:t>
            </w:r>
          </w:p>
        </w:tc>
        <w:tc>
          <w:tcPr>
            <w:tcW w:type="dxa" w:w="4153"/>
          </w:tcPr>
          <w:p>
            <w:pPr>
              <w:pStyle w:val="null3"/>
              <w:jc w:val="left"/>
            </w:pPr>
            <w:r>
              <w:rPr/>
              <w:t>出现属于竞争性磋商文件规定磋商小组应否决其响应情形的，按无效响应处理。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shd w:fill="FFFFFF" w:val="clear"/>
        </w:rPr>
        <w:t>1、经福州市政府研究决定将“项目名称：福州市海洋经济产业规划编制服务项目”变更为：“福州市海洋装备产业规划服务项目”。</w:t>
      </w:r>
    </w:p>
    <w:p>
      <w:pPr>
        <w:pStyle w:val="null3"/>
        <w:spacing w:before="105" w:after="105"/>
        <w:ind w:firstLine="420"/>
        <w:jc w:val="left"/>
      </w:pPr>
      <w:r>
        <w:rPr>
          <w:rFonts w:ascii="宋体" w:hAnsi="宋体" w:cs="宋体" w:eastAsia="宋体"/>
          <w:sz w:val="24"/>
          <w:shd w:fill="FFFFFF" w:val="clear"/>
        </w:rPr>
        <w:t>2、</w:t>
      </w:r>
      <w:r>
        <w:rPr>
          <w:rFonts w:ascii="宋体" w:hAnsi="宋体" w:cs="宋体" w:eastAsia="宋体"/>
          <w:sz w:val="24"/>
          <w:shd w:fill="FFFFFF" w:val="clear"/>
        </w:rPr>
        <w:t>为全面贯彻党的二十大战略部署，瞄准</w:t>
      </w:r>
      <w:r>
        <w:rPr>
          <w:rFonts w:ascii="宋体" w:hAnsi="宋体" w:cs="宋体" w:eastAsia="宋体"/>
          <w:sz w:val="24"/>
          <w:shd w:fill="FFFFFF" w:val="clear"/>
        </w:rPr>
        <w:t>“十五五”未来发展，建设好国家</w:t>
      </w:r>
      <w:r>
        <w:rPr>
          <w:rFonts w:ascii="宋体" w:hAnsi="宋体" w:cs="宋体" w:eastAsia="宋体"/>
          <w:sz w:val="24"/>
          <w:shd w:fill="FFFFFF" w:val="clear"/>
        </w:rPr>
        <w:t>海洋装备</w:t>
      </w:r>
      <w:r>
        <w:rPr>
          <w:rFonts w:ascii="宋体" w:hAnsi="宋体" w:cs="宋体" w:eastAsia="宋体"/>
          <w:sz w:val="24"/>
          <w:shd w:fill="FFFFFF" w:val="clear"/>
        </w:rPr>
        <w:t>发展示范区，研究开展福州市</w:t>
      </w:r>
      <w:r>
        <w:rPr>
          <w:rFonts w:ascii="宋体" w:hAnsi="宋体" w:cs="宋体" w:eastAsia="宋体"/>
          <w:sz w:val="24"/>
          <w:shd w:fill="FFFFFF" w:val="clear"/>
        </w:rPr>
        <w:t>海洋装备</w:t>
      </w:r>
      <w:r>
        <w:rPr>
          <w:rFonts w:ascii="宋体" w:hAnsi="宋体" w:cs="宋体" w:eastAsia="宋体"/>
          <w:sz w:val="24"/>
          <w:shd w:fill="FFFFFF" w:val="clear"/>
        </w:rPr>
        <w:t>产业发展规划编制工作。聚焦船舶修造（含电动船）、海工装备、海洋新能源装备（风电、氢能等）、深海装备及其他产业（</w:t>
      </w:r>
      <w:r>
        <w:rPr>
          <w:rFonts w:ascii="宋体" w:hAnsi="宋体" w:cs="宋体" w:eastAsia="宋体"/>
          <w:sz w:val="24"/>
          <w:shd w:fill="FFFFFF" w:val="clear"/>
        </w:rPr>
        <w:t>深海养殖装备</w:t>
      </w:r>
      <w:r>
        <w:rPr>
          <w:rFonts w:ascii="宋体" w:hAnsi="宋体" w:cs="宋体" w:eastAsia="宋体"/>
          <w:sz w:val="24"/>
          <w:shd w:fill="FFFFFF" w:val="clear"/>
        </w:rPr>
        <w:t>、游艇等）等重点板块，进行深入研究和系统规划，强化产业链、创新链、人才链、资金链、政策链、服务链</w:t>
      </w:r>
      <w:r>
        <w:rPr>
          <w:rFonts w:ascii="宋体" w:hAnsi="宋体" w:cs="宋体" w:eastAsia="宋体"/>
          <w:sz w:val="24"/>
          <w:shd w:fill="FFFFFF" w:val="clear"/>
        </w:rPr>
        <w:t>“六链统筹”，为福州市的</w:t>
      </w:r>
      <w:r>
        <w:rPr>
          <w:rFonts w:ascii="宋体" w:hAnsi="宋体" w:cs="宋体" w:eastAsia="宋体"/>
          <w:sz w:val="24"/>
          <w:shd w:fill="FFFFFF" w:val="clear"/>
        </w:rPr>
        <w:t>海洋装备</w:t>
      </w:r>
      <w:r>
        <w:rPr>
          <w:rFonts w:ascii="宋体" w:hAnsi="宋体" w:cs="宋体" w:eastAsia="宋体"/>
          <w:sz w:val="24"/>
          <w:shd w:fill="FFFFFF" w:val="clear"/>
        </w:rPr>
        <w:t>产业发展提供有力支撑。</w:t>
      </w:r>
    </w:p>
    <w:p>
      <w:pPr>
        <w:pStyle w:val="null3"/>
        <w:spacing w:before="105" w:after="105"/>
        <w:ind w:firstLine="480"/>
        <w:jc w:val="left"/>
      </w:pPr>
      <w:r>
        <w:rPr>
          <w:rFonts w:ascii="宋体" w:hAnsi="宋体" w:cs="宋体" w:eastAsia="宋体"/>
          <w:sz w:val="24"/>
          <w:shd w:fill="FFFFFF" w:val="clear"/>
        </w:rPr>
        <w:t>3、</w:t>
      </w:r>
      <w:r>
        <w:rPr>
          <w:rFonts w:ascii="宋体" w:hAnsi="宋体" w:cs="宋体" w:eastAsia="宋体"/>
          <w:sz w:val="24"/>
          <w:shd w:fill="FFFFFF" w:val="clear"/>
        </w:rPr>
        <w:t>基于福建省、福州市现有产业发展规划资料，聚焦船舶修造（含电动船）、海工装备、海洋新能源装备（风电、氢能等）、深海装备及其他产业（</w:t>
      </w:r>
      <w:r>
        <w:rPr>
          <w:rFonts w:ascii="宋体" w:hAnsi="宋体" w:cs="宋体" w:eastAsia="宋体"/>
          <w:sz w:val="24"/>
          <w:shd w:fill="FFFFFF" w:val="clear"/>
        </w:rPr>
        <w:t>深海养殖装备</w:t>
      </w:r>
      <w:r>
        <w:rPr>
          <w:rFonts w:ascii="宋体" w:hAnsi="宋体" w:cs="宋体" w:eastAsia="宋体"/>
          <w:sz w:val="24"/>
          <w:shd w:fill="FFFFFF" w:val="clear"/>
        </w:rPr>
        <w:t>、游艇等）等重点板块，研究编制福州市</w:t>
      </w:r>
      <w:r>
        <w:rPr>
          <w:rFonts w:ascii="宋体" w:hAnsi="宋体" w:cs="宋体" w:eastAsia="宋体"/>
          <w:sz w:val="24"/>
          <w:shd w:fill="FFFFFF" w:val="clear"/>
        </w:rPr>
        <w:t>海洋装备</w:t>
      </w:r>
      <w:r>
        <w:rPr>
          <w:rFonts w:ascii="宋体" w:hAnsi="宋体" w:cs="宋体" w:eastAsia="宋体"/>
          <w:sz w:val="24"/>
          <w:shd w:fill="FFFFFF" w:val="clear"/>
        </w:rPr>
        <w:t>产业发展规划，内容包括发展基础和面临形势、总体思路与发展目标、发展举措与路径、保障措施等。项目最终形成《福州市</w:t>
      </w:r>
      <w:r>
        <w:rPr>
          <w:rFonts w:ascii="宋体" w:hAnsi="宋体" w:cs="宋体" w:eastAsia="宋体"/>
          <w:sz w:val="24"/>
          <w:shd w:fill="FFFFFF" w:val="clear"/>
        </w:rPr>
        <w:t>海洋装备</w:t>
      </w:r>
      <w:r>
        <w:rPr>
          <w:rFonts w:ascii="宋体" w:hAnsi="宋体" w:cs="宋体" w:eastAsia="宋体"/>
          <w:sz w:val="24"/>
          <w:shd w:fill="FFFFFF" w:val="clear"/>
        </w:rPr>
        <w:t>产业发展规划报告》、《福州市</w:t>
      </w:r>
      <w:r>
        <w:rPr>
          <w:rFonts w:ascii="宋体" w:hAnsi="宋体" w:cs="宋体" w:eastAsia="宋体"/>
          <w:sz w:val="24"/>
          <w:shd w:fill="FFFFFF" w:val="clear"/>
        </w:rPr>
        <w:t>海洋装备</w:t>
      </w:r>
      <w:r>
        <w:rPr>
          <w:rFonts w:ascii="宋体" w:hAnsi="宋体" w:cs="宋体" w:eastAsia="宋体"/>
          <w:sz w:val="24"/>
          <w:shd w:fill="FFFFFF" w:val="clear"/>
        </w:rPr>
        <w:t>产业发展规划汇报</w:t>
      </w:r>
      <w:r>
        <w:rPr>
          <w:rFonts w:ascii="宋体" w:hAnsi="宋体" w:cs="宋体" w:eastAsia="宋体"/>
          <w:sz w:val="24"/>
          <w:shd w:fill="FFFFFF" w:val="clear"/>
        </w:rPr>
        <w:t>PPT》。</w:t>
      </w:r>
    </w:p>
    <w:p>
      <w:pPr>
        <w:pStyle w:val="null3"/>
        <w:spacing w:before="105" w:after="105"/>
        <w:ind w:firstLine="420"/>
        <w:jc w:val="left"/>
        <w:outlineLvl w:val="2"/>
      </w:pPr>
      <w:r>
        <w:rPr>
          <w:sz w:val="28"/>
          <w:b/>
        </w:rPr>
        <w:t>二、技术要求</w:t>
      </w:r>
    </w:p>
    <w:p>
      <w:pPr>
        <w:pStyle w:val="null3"/>
        <w:jc w:val="left"/>
      </w:pPr>
      <w:r>
        <w:rPr>
          <w:rFonts w:ascii="宋体" w:hAnsi="宋体" w:cs="宋体" w:eastAsia="宋体"/>
          <w:sz w:val="24"/>
          <w:shd w:fill="FFFFFF" w:val="clear"/>
        </w:rPr>
        <w:t>（一）技术要求</w:t>
      </w:r>
    </w:p>
    <w:p>
      <w:pPr>
        <w:pStyle w:val="null3"/>
        <w:ind w:firstLine="420"/>
        <w:jc w:val="left"/>
      </w:pPr>
      <w:r>
        <w:rPr>
          <w:rFonts w:ascii="宋体" w:hAnsi="宋体" w:cs="宋体" w:eastAsia="宋体"/>
          <w:sz w:val="24"/>
          <w:shd w:fill="FFFFFF" w:val="clear"/>
        </w:rPr>
        <w:t>通过发展规划促进福州市的产业升级和转型，促进区域协调发展、错位发展、有序发展，提升福州市的国际影响力和竞争力。</w:t>
      </w:r>
    </w:p>
    <w:p>
      <w:pPr>
        <w:pStyle w:val="null3"/>
        <w:ind w:firstLine="420"/>
        <w:jc w:val="left"/>
      </w:pPr>
      <w:r>
        <w:rPr>
          <w:rFonts w:ascii="宋体" w:hAnsi="宋体" w:cs="宋体" w:eastAsia="宋体"/>
          <w:sz w:val="24"/>
          <w:shd w:fill="FFFFFF" w:val="clear"/>
        </w:rPr>
        <w:t>福州市</w:t>
      </w:r>
      <w:r>
        <w:rPr>
          <w:rFonts w:ascii="宋体" w:hAnsi="宋体" w:cs="宋体" w:eastAsia="宋体"/>
          <w:sz w:val="24"/>
          <w:shd w:fill="FFFFFF" w:val="clear"/>
        </w:rPr>
        <w:t>海洋装备</w:t>
      </w:r>
      <w:r>
        <w:rPr>
          <w:rFonts w:ascii="宋体" w:hAnsi="宋体" w:cs="宋体" w:eastAsia="宋体"/>
          <w:sz w:val="24"/>
          <w:shd w:fill="FFFFFF" w:val="clear"/>
        </w:rPr>
        <w:t>产业发展规划包括：</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1）</w:t>
      </w:r>
      <w:r>
        <w:rPr>
          <w:rFonts w:ascii="宋体" w:hAnsi="宋体" w:cs="宋体" w:eastAsia="宋体"/>
          <w:sz w:val="24"/>
          <w:shd w:fill="FFFFFF" w:val="clear"/>
        </w:rPr>
        <w:t>（</w:t>
      </w:r>
      <w:r>
        <w:rPr>
          <w:rFonts w:ascii="宋体" w:hAnsi="宋体" w:cs="宋体" w:eastAsia="宋体"/>
          <w:sz w:val="24"/>
          <w:shd w:fill="FFFFFF" w:val="clear"/>
        </w:rPr>
        <w:t>1）船舶修造方面，主要考虑提升船舶修造技术水平，加强与国际先进水平的对接与合作，推动船舶修造产业向高端化、智能化、绿色化方向发展。</w:t>
      </w:r>
      <w:r>
        <w:rPr>
          <w:rFonts w:ascii="calibri" w:hAnsi="calibri" w:cs="calibri" w:eastAsia="calibri"/>
          <w:sz w:val="24"/>
        </w:rPr>
        <w:t xml:space="preserve"> </w:t>
      </w:r>
      <w:r>
        <w:rPr>
          <w:rFonts w:ascii="宋体" w:hAnsi="宋体" w:cs="宋体" w:eastAsia="宋体"/>
          <w:sz w:val="24"/>
          <w:b/>
          <w:shd w:fill="FFFFFF" w:val="clear"/>
        </w:rPr>
        <w:t xml:space="preserve">  </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2）</w:t>
      </w:r>
      <w:r>
        <w:rPr>
          <w:rFonts w:ascii="宋体" w:hAnsi="宋体" w:cs="宋体" w:eastAsia="宋体"/>
          <w:sz w:val="24"/>
          <w:shd w:fill="FFFFFF" w:val="clear"/>
        </w:rPr>
        <w:t>（</w:t>
      </w:r>
      <w:r>
        <w:rPr>
          <w:rFonts w:ascii="宋体" w:hAnsi="宋体" w:cs="宋体" w:eastAsia="宋体"/>
          <w:sz w:val="24"/>
          <w:shd w:fill="FFFFFF" w:val="clear"/>
        </w:rPr>
        <w:t>2）海工装备方面，主要考虑加强海工装备研发与制造能力，重点发展深海油气开发装备、辅助船舶、关键配套装备等，提升在全球海洋工程装备市场的竞争力。</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3）</w:t>
      </w:r>
      <w:r>
        <w:rPr>
          <w:rFonts w:ascii="宋体" w:hAnsi="宋体" w:cs="宋体" w:eastAsia="宋体"/>
          <w:sz w:val="24"/>
          <w:shd w:fill="FFFFFF" w:val="clear"/>
        </w:rPr>
        <w:t>（</w:t>
      </w:r>
      <w:r>
        <w:rPr>
          <w:rFonts w:ascii="宋体" w:hAnsi="宋体" w:cs="宋体" w:eastAsia="宋体"/>
          <w:sz w:val="24"/>
          <w:shd w:fill="FFFFFF" w:val="clear"/>
        </w:rPr>
        <w:t>3）海洋新能源装备方面，主要考虑充分利用海洋资源，积极发展海上风电装备、海洋氢能、深远海新能源开发装备等产业，推动风电装备技术创新和产业升级，打造具有国际竞争力的海上风电装备制造基地。</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4）</w:t>
      </w:r>
      <w:r>
        <w:rPr>
          <w:rFonts w:ascii="宋体" w:hAnsi="宋体" w:cs="宋体" w:eastAsia="宋体"/>
          <w:sz w:val="24"/>
          <w:shd w:fill="FFFFFF" w:val="clear"/>
        </w:rPr>
        <w:t>（</w:t>
      </w:r>
      <w:r>
        <w:rPr>
          <w:rFonts w:ascii="宋体" w:hAnsi="宋体" w:cs="宋体" w:eastAsia="宋体"/>
          <w:sz w:val="24"/>
          <w:shd w:fill="FFFFFF" w:val="clear"/>
        </w:rPr>
        <w:t>4）深海装备及其他产业方面，主要考虑加强深海科学研究，推动深海资源开发与利用，发展</w:t>
      </w:r>
      <w:r>
        <w:rPr>
          <w:rFonts w:ascii="宋体" w:hAnsi="宋体" w:cs="宋体" w:eastAsia="宋体"/>
          <w:sz w:val="24"/>
          <w:shd w:fill="FFFFFF" w:val="clear"/>
        </w:rPr>
        <w:t>深海养殖装备</w:t>
      </w:r>
      <w:r>
        <w:rPr>
          <w:rFonts w:ascii="宋体" w:hAnsi="宋体" w:cs="宋体" w:eastAsia="宋体"/>
          <w:sz w:val="24"/>
          <w:shd w:fill="FFFFFF" w:val="clear"/>
        </w:rPr>
        <w:t>、游艇等新兴产业，拓展深海经济发展空间。</w:t>
      </w:r>
    </w:p>
    <w:p>
      <w:pPr>
        <w:pStyle w:val="null3"/>
        <w:ind w:firstLine="420"/>
        <w:jc w:val="left"/>
      </w:pPr>
      <w:r>
        <w:rPr>
          <w:rFonts w:ascii="宋体" w:hAnsi="宋体" w:cs="宋体" w:eastAsia="宋体"/>
          <w:sz w:val="24"/>
          <w:shd w:fill="FFFFFF" w:val="clear"/>
        </w:rPr>
        <w:t>（二）服务要求</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5）</w:t>
      </w:r>
      <w:r>
        <w:rPr>
          <w:rFonts w:ascii="宋体" w:hAnsi="宋体" w:cs="宋体" w:eastAsia="宋体"/>
          <w:sz w:val="24"/>
          <w:shd w:fill="FFFFFF" w:val="clear"/>
        </w:rPr>
        <w:t>1、摸清家底，超前筹划。项目要充分调研、把福州市</w:t>
      </w:r>
      <w:r>
        <w:rPr>
          <w:rFonts w:ascii="宋体" w:hAnsi="宋体" w:cs="宋体" w:eastAsia="宋体"/>
          <w:sz w:val="24"/>
          <w:shd w:fill="FFFFFF" w:val="clear"/>
        </w:rPr>
        <w:t>海洋装备</w:t>
      </w:r>
      <w:r>
        <w:rPr>
          <w:rFonts w:ascii="宋体" w:hAnsi="宋体" w:cs="宋体" w:eastAsia="宋体"/>
          <w:sz w:val="24"/>
          <w:shd w:fill="FFFFFF" w:val="clear"/>
        </w:rPr>
        <w:t>产业基础现状，深刻分析新一轮科技和产业革命下，新产业、新业态发展趋势、特点和机遇，坚持</w:t>
      </w:r>
      <w:r>
        <w:rPr>
          <w:rFonts w:ascii="宋体" w:hAnsi="宋体" w:cs="宋体" w:eastAsia="宋体"/>
          <w:sz w:val="24"/>
          <w:shd w:fill="FFFFFF" w:val="clear"/>
        </w:rPr>
        <w:t>“适度超前”原则，以全球视野构建前瞻引领的产业体系。</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6）</w:t>
      </w:r>
      <w:r>
        <w:rPr>
          <w:rFonts w:ascii="宋体" w:hAnsi="宋体" w:cs="宋体" w:eastAsia="宋体"/>
          <w:sz w:val="24"/>
          <w:shd w:fill="FFFFFF" w:val="clear"/>
        </w:rPr>
        <w:t>2、统筹全局，突出重点。项目要深入总结分析福州市</w:t>
      </w:r>
      <w:r>
        <w:rPr>
          <w:rFonts w:ascii="宋体" w:hAnsi="宋体" w:cs="宋体" w:eastAsia="宋体"/>
          <w:sz w:val="24"/>
          <w:shd w:fill="FFFFFF" w:val="clear"/>
        </w:rPr>
        <w:t>海洋装备</w:t>
      </w:r>
      <w:r>
        <w:rPr>
          <w:rFonts w:ascii="宋体" w:hAnsi="宋体" w:cs="宋体" w:eastAsia="宋体"/>
          <w:sz w:val="24"/>
          <w:shd w:fill="FFFFFF" w:val="clear"/>
        </w:rPr>
        <w:t>产业发展现状，找准薄弱环节和突出问题，在发展思路、目标和策略上突出重点和特色，着力解决制约福州市高质量发展的关键性问题。</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7）</w:t>
      </w:r>
      <w:r>
        <w:rPr>
          <w:rFonts w:ascii="宋体" w:hAnsi="宋体" w:cs="宋体" w:eastAsia="宋体"/>
          <w:sz w:val="24"/>
          <w:shd w:fill="FFFFFF" w:val="clear"/>
        </w:rPr>
        <w:t>3、广泛参与，科学决策。项目要建立完善的工作机制，明确各方职能分工，集思广益、形成合力，聘请专家作为课题研究顾问，召开专家研讨会，保证研究的科学性和系统性。</w:t>
      </w:r>
    </w:p>
    <w:p>
      <w:pPr>
        <w:pStyle w:val="null3"/>
        <w:ind w:firstLine="420"/>
        <w:jc w:val="left"/>
      </w:pPr>
      <w:r>
        <w:rPr>
          <w:rFonts w:ascii="宋体" w:hAnsi="宋体" w:cs="宋体" w:eastAsia="宋体"/>
          <w:sz w:val="24"/>
          <w:b/>
          <w:shd w:fill="FFFFFF" w:val="clear"/>
        </w:rPr>
        <w:t>（评审指标项</w:t>
      </w:r>
      <w:r>
        <w:rPr>
          <w:rFonts w:ascii="宋体" w:hAnsi="宋体" w:cs="宋体" w:eastAsia="宋体"/>
          <w:sz w:val="24"/>
          <w:b/>
          <w:shd w:fill="FFFFFF" w:val="clear"/>
        </w:rPr>
        <w:t>8）</w:t>
      </w:r>
      <w:r>
        <w:rPr>
          <w:rFonts w:ascii="宋体" w:hAnsi="宋体" w:cs="宋体" w:eastAsia="宋体"/>
          <w:sz w:val="24"/>
          <w:shd w:fill="FFFFFF" w:val="clear"/>
        </w:rPr>
        <w:t>4、注重实际，有效衔接。项目研究要立足福州市实际情况，突出调查研究和第一手资料的收集和整理，强调重要问题的量化分析和具体解决方案，强调研究方案的合理性和可操作性。</w:t>
      </w:r>
    </w:p>
    <w:p>
      <w:pPr>
        <w:pStyle w:val="null3"/>
        <w:ind w:firstLine="420"/>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自合同签订之日起90日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满足采购人技术和服务要求</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1、期次1，说明：《福州市海洋装备产业发展规划报告》通过市政府同意并印发。</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1、合同签订后，达到付款条件起10日内，支付合同总金额的30.00%</w:t>
            </w:r>
          </w:p>
          <w:p>
            <w:pPr>
              <w:pStyle w:val="null3"/>
            </w:pPr>
            <w:r>
              <w:rPr/>
              <w:t>2、通过市政府同意并印发后，达到付款条件起10日内，支付合同总金额的70.00%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shd w:fill="FFFFFF" w:val="clear"/>
        </w:rPr>
        <w:t>★其他商务要求如下：</w:t>
      </w:r>
    </w:p>
    <w:p>
      <w:pPr>
        <w:pStyle w:val="null3"/>
        <w:ind w:firstLine="420"/>
        <w:jc w:val="left"/>
      </w:pPr>
      <w:r>
        <w:rPr>
          <w:rFonts w:ascii="宋体" w:hAnsi="宋体" w:cs="宋体" w:eastAsia="宋体"/>
          <w:sz w:val="24"/>
          <w:shd w:fill="FFFFFF" w:val="clear"/>
        </w:rPr>
        <w:t>8</w:t>
      </w:r>
      <w:r>
        <w:rPr>
          <w:rFonts w:ascii="宋体" w:hAnsi="宋体" w:cs="宋体" w:eastAsia="宋体"/>
          <w:sz w:val="24"/>
          <w:shd w:fill="FFFFFF" w:val="clear"/>
        </w:rPr>
        <w:t>、知识产权</w:t>
      </w:r>
    </w:p>
    <w:p>
      <w:pPr>
        <w:pStyle w:val="null3"/>
        <w:ind w:firstLine="420"/>
        <w:jc w:val="left"/>
      </w:pPr>
      <w:r>
        <w:rPr>
          <w:rFonts w:ascii="宋体" w:hAnsi="宋体" w:cs="宋体" w:eastAsia="宋体"/>
          <w:sz w:val="24"/>
          <w:shd w:fill="FFFFFF" w:val="clear"/>
        </w:rPr>
        <w:t>成交人提供的服务应符合国家知识产权法律、法规的规定；成交人还应保证采购人不受到第三方关于侵犯知识产权及专利权、商标权或工业设计权等知识产权方面的指控，任何第三方如果提出此方面指控均与采购人无关，成交人应与第三方交涉，并承担可能发生的一切法律责任、费用和后果；若采购人因此而遭致损失，则成交人应赔偿该损失。</w:t>
      </w:r>
    </w:p>
    <w:p>
      <w:pPr>
        <w:pStyle w:val="null3"/>
        <w:ind w:firstLine="420"/>
        <w:jc w:val="left"/>
      </w:pPr>
      <w:r>
        <w:rPr>
          <w:rFonts w:ascii="宋体" w:hAnsi="宋体" w:cs="宋体" w:eastAsia="宋体"/>
          <w:sz w:val="24"/>
          <w:shd w:fill="FFFFFF" w:val="clear"/>
        </w:rPr>
        <w:t>若成交人提供的服务不符合国家知识产权法律、法规的规定或被有关主管机关认定为侵权，则成交人成交资格将被取消；采购人还将按照有关法律、法规和规章的规定进行处理。</w:t>
      </w:r>
    </w:p>
    <w:p>
      <w:pPr>
        <w:pStyle w:val="null3"/>
        <w:ind w:firstLine="420"/>
        <w:jc w:val="left"/>
      </w:pPr>
      <w:r>
        <w:rPr>
          <w:rFonts w:ascii="宋体" w:hAnsi="宋体" w:cs="宋体" w:eastAsia="宋体"/>
          <w:sz w:val="24"/>
          <w:shd w:fill="FFFFFF" w:val="clear"/>
        </w:rPr>
        <w:t>9</w:t>
      </w:r>
      <w:r>
        <w:rPr>
          <w:rFonts w:ascii="宋体" w:hAnsi="宋体" w:cs="宋体" w:eastAsia="宋体"/>
          <w:sz w:val="24"/>
          <w:shd w:fill="FFFFFF" w:val="clear"/>
        </w:rPr>
        <w:t>、违约责任</w:t>
      </w:r>
    </w:p>
    <w:p>
      <w:pPr>
        <w:pStyle w:val="null3"/>
        <w:ind w:firstLine="420"/>
        <w:jc w:val="left"/>
      </w:pPr>
      <w:r>
        <w:rPr>
          <w:rFonts w:ascii="宋体" w:hAnsi="宋体" w:cs="宋体" w:eastAsia="宋体"/>
          <w:sz w:val="24"/>
          <w:shd w:fill="FFFFFF" w:val="clear"/>
        </w:rPr>
        <w:t>因成交人原因造成采购合同无法按时签订，视为成交人违约，成交人违约对采购人造成的损失的，需另行支付相应的赔偿。</w:t>
      </w:r>
    </w:p>
    <w:p>
      <w:pPr>
        <w:pStyle w:val="null3"/>
        <w:ind w:firstLine="420"/>
        <w:jc w:val="left"/>
      </w:pPr>
      <w:r>
        <w:rPr>
          <w:rFonts w:ascii="宋体" w:hAnsi="宋体" w:cs="宋体" w:eastAsia="宋体"/>
          <w:sz w:val="24"/>
          <w:shd w:fill="FFFFFF" w:val="clear"/>
        </w:rPr>
        <w:t>未经采购人书面同意，成交人随意更换项目驻场人员的，视为成交人违约，成交人违约对采购人造成的损失的，需另行支付相应的赔偿。</w:t>
      </w:r>
    </w:p>
    <w:p>
      <w:pPr>
        <w:pStyle w:val="null3"/>
        <w:ind w:firstLine="420"/>
        <w:jc w:val="left"/>
      </w:pPr>
      <w:r>
        <w:rPr>
          <w:rFonts w:ascii="宋体" w:hAnsi="宋体" w:cs="宋体" w:eastAsia="宋体"/>
          <w:sz w:val="24"/>
          <w:shd w:fill="FFFFFF" w:val="clear"/>
        </w:rPr>
        <w:t>在签定采购合同之后，成交人要求解除合同的，视为成交人违约，对采购人造成的损失的，成交人需支付相应的赔偿。</w:t>
      </w:r>
    </w:p>
    <w:p>
      <w:pPr>
        <w:pStyle w:val="null3"/>
        <w:ind w:firstLine="420"/>
        <w:jc w:val="left"/>
      </w:pPr>
      <w:r>
        <w:rPr>
          <w:rFonts w:ascii="宋体" w:hAnsi="宋体" w:cs="宋体" w:eastAsia="宋体"/>
          <w:sz w:val="24"/>
          <w:shd w:fill="FFFFFF" w:val="clear"/>
        </w:rPr>
        <w:t>因成交人原因发生重大质量事故，除没收履约保证金及承担赔偿责任外，还将按有关质量管理办法规定执行，并报相关行政主管部门处罚。</w:t>
      </w:r>
    </w:p>
    <w:p>
      <w:pPr>
        <w:pStyle w:val="null3"/>
        <w:ind w:firstLine="420"/>
        <w:jc w:val="left"/>
      </w:pPr>
      <w:r>
        <w:rPr>
          <w:rFonts w:ascii="宋体" w:hAnsi="宋体" w:cs="宋体" w:eastAsia="宋体"/>
          <w:sz w:val="24"/>
          <w:shd w:fill="FFFFFF" w:val="clear"/>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损失的，除没收履约保证金外，还应承担赔偿责任。</w:t>
      </w:r>
    </w:p>
    <w:p>
      <w:pPr>
        <w:pStyle w:val="null3"/>
        <w:ind w:firstLine="420"/>
        <w:jc w:val="left"/>
      </w:pPr>
      <w:r>
        <w:rPr>
          <w:rFonts w:ascii="宋体" w:hAnsi="宋体" w:cs="宋体" w:eastAsia="宋体"/>
          <w:sz w:val="24"/>
          <w:shd w:fill="FFFFFF" w:val="clear"/>
        </w:rPr>
        <w:t>在明确违约责任后，成交人应在接到书面通知书起七天内支付违约金、赔偿金等。</w:t>
      </w:r>
    </w:p>
    <w:p>
      <w:pPr>
        <w:pStyle w:val="null3"/>
        <w:ind w:firstLine="420"/>
        <w:jc w:val="left"/>
        <w:outlineLvl w:val="2"/>
      </w:pPr>
      <w:r>
        <w:rPr>
          <w:sz w:val="28"/>
          <w:b/>
        </w:rPr>
        <w:t>四、其他事项</w:t>
      </w:r>
    </w:p>
    <w:p>
      <w:pPr>
        <w:pStyle w:val="null3"/>
        <w:jc w:val="left"/>
      </w:pPr>
      <w:r>
        <w:rPr/>
        <w:t>1 、以上所述一切费用均包含在报价总价中。 2 、本竞争性磋商文件明确的约定事项或条款，是采购人与成交人签订合同时的合同条款。竞争性磋商文件未明确的其它约定事项或条款，待采购人与成交人签订合同时，由双方协商订立。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