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A956C5">
      <w:pPr>
        <w:pStyle w:val="2"/>
        <w:rPr>
          <w:color w:val="auto"/>
          <w:highlight w:val="none"/>
        </w:rPr>
      </w:pPr>
    </w:p>
    <w:p w14:paraId="416BA8AB">
      <w:pPr>
        <w:spacing w:line="240" w:lineRule="atLeast"/>
        <w:rPr>
          <w:rFonts w:hint="eastAsia" w:ascii="宋体" w:hAnsi="宋体"/>
          <w:color w:val="auto"/>
          <w:szCs w:val="21"/>
          <w:highlight w:val="none"/>
        </w:rPr>
      </w:pPr>
      <w:r>
        <w:rPr>
          <w:rFonts w:hint="eastAsia" w:ascii="宋体" w:hAnsi="宋体" w:cs="宋体"/>
          <w:b/>
          <w:bCs/>
          <w:color w:val="auto"/>
          <w:szCs w:val="21"/>
          <w:highlight w:val="none"/>
        </w:rPr>
        <w:t>附件一：广东省建设工程造价咨询服务收费项目和收费标准表</w:t>
      </w:r>
    </w:p>
    <w:tbl>
      <w:tblPr>
        <w:tblStyle w:val="6"/>
        <w:tblpPr w:leftFromText="180" w:rightFromText="180" w:vertAnchor="text" w:horzAnchor="margin" w:tblpXSpec="center" w:tblpY="31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68"/>
        <w:gridCol w:w="749"/>
        <w:gridCol w:w="25"/>
        <w:gridCol w:w="709"/>
        <w:gridCol w:w="1066"/>
        <w:gridCol w:w="3240"/>
        <w:gridCol w:w="2247"/>
        <w:gridCol w:w="882"/>
        <w:gridCol w:w="1011"/>
        <w:gridCol w:w="15"/>
        <w:gridCol w:w="1065"/>
        <w:gridCol w:w="70"/>
        <w:gridCol w:w="830"/>
        <w:gridCol w:w="267"/>
        <w:gridCol w:w="633"/>
        <w:gridCol w:w="720"/>
        <w:gridCol w:w="2129"/>
      </w:tblGrid>
      <w:tr w14:paraId="6187D7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5" w:hRule="atLeast"/>
        </w:trPr>
        <w:tc>
          <w:tcPr>
            <w:tcW w:w="468" w:type="dxa"/>
            <w:vMerge w:val="restart"/>
            <w:tcBorders>
              <w:top w:val="single" w:color="auto" w:sz="4" w:space="0"/>
              <w:left w:val="single" w:color="auto" w:sz="4" w:space="0"/>
              <w:bottom w:val="single" w:color="auto" w:sz="4" w:space="0"/>
              <w:right w:val="single" w:color="auto" w:sz="4" w:space="0"/>
            </w:tcBorders>
            <w:noWrap w:val="0"/>
            <w:vAlign w:val="center"/>
          </w:tcPr>
          <w:p w14:paraId="41BB2852">
            <w:pPr>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2549" w:type="dxa"/>
            <w:gridSpan w:val="4"/>
            <w:vMerge w:val="restart"/>
            <w:tcBorders>
              <w:top w:val="single" w:color="auto" w:sz="4" w:space="0"/>
              <w:left w:val="single" w:color="auto" w:sz="4" w:space="0"/>
              <w:bottom w:val="single" w:color="auto" w:sz="4" w:space="0"/>
              <w:right w:val="single" w:color="auto" w:sz="4" w:space="0"/>
            </w:tcBorders>
            <w:noWrap w:val="0"/>
            <w:vAlign w:val="center"/>
          </w:tcPr>
          <w:p w14:paraId="755B8D16">
            <w:pPr>
              <w:jc w:val="center"/>
              <w:rPr>
                <w:rFonts w:ascii="宋体" w:hAnsi="宋体" w:cs="宋体"/>
                <w:color w:val="auto"/>
                <w:szCs w:val="21"/>
                <w:highlight w:val="none"/>
              </w:rPr>
            </w:pPr>
            <w:r>
              <w:rPr>
                <w:rFonts w:hint="eastAsia" w:ascii="宋体" w:hAnsi="宋体" w:cs="宋体"/>
                <w:color w:val="auto"/>
                <w:szCs w:val="21"/>
                <w:highlight w:val="none"/>
              </w:rPr>
              <w:t>咨询项目名称</w:t>
            </w:r>
          </w:p>
        </w:tc>
        <w:tc>
          <w:tcPr>
            <w:tcW w:w="3240" w:type="dxa"/>
            <w:vMerge w:val="restart"/>
            <w:tcBorders>
              <w:top w:val="single" w:color="auto" w:sz="4" w:space="0"/>
              <w:left w:val="single" w:color="auto" w:sz="4" w:space="0"/>
              <w:bottom w:val="single" w:color="auto" w:sz="4" w:space="0"/>
              <w:right w:val="single" w:color="auto" w:sz="4" w:space="0"/>
            </w:tcBorders>
            <w:noWrap w:val="0"/>
            <w:vAlign w:val="center"/>
          </w:tcPr>
          <w:p w14:paraId="23AADC42">
            <w:pPr>
              <w:jc w:val="center"/>
              <w:rPr>
                <w:rFonts w:ascii="宋体" w:hAnsi="宋体" w:cs="宋体"/>
                <w:color w:val="auto"/>
                <w:szCs w:val="21"/>
                <w:highlight w:val="none"/>
              </w:rPr>
            </w:pPr>
            <w:r>
              <w:rPr>
                <w:rFonts w:hint="eastAsia" w:ascii="宋体" w:hAnsi="宋体" w:cs="宋体"/>
                <w:color w:val="auto"/>
                <w:szCs w:val="21"/>
                <w:highlight w:val="none"/>
              </w:rPr>
              <w:t>服务内容</w:t>
            </w:r>
          </w:p>
        </w:tc>
        <w:tc>
          <w:tcPr>
            <w:tcW w:w="2247" w:type="dxa"/>
            <w:vMerge w:val="restart"/>
            <w:tcBorders>
              <w:top w:val="single" w:color="auto" w:sz="4" w:space="0"/>
              <w:left w:val="single" w:color="auto" w:sz="4" w:space="0"/>
              <w:bottom w:val="single" w:color="auto" w:sz="4" w:space="0"/>
              <w:right w:val="single" w:color="auto" w:sz="4" w:space="0"/>
            </w:tcBorders>
            <w:noWrap w:val="0"/>
            <w:vAlign w:val="center"/>
          </w:tcPr>
          <w:p w14:paraId="2E46AB4F">
            <w:pPr>
              <w:jc w:val="center"/>
              <w:rPr>
                <w:rFonts w:ascii="宋体" w:hAnsi="宋体" w:cs="宋体"/>
                <w:color w:val="auto"/>
                <w:szCs w:val="21"/>
                <w:highlight w:val="none"/>
              </w:rPr>
            </w:pPr>
            <w:r>
              <w:rPr>
                <w:rFonts w:hint="eastAsia" w:ascii="宋体" w:hAnsi="宋体" w:cs="宋体"/>
                <w:color w:val="auto"/>
                <w:szCs w:val="21"/>
                <w:highlight w:val="none"/>
              </w:rPr>
              <w:t>收费基数</w:t>
            </w:r>
          </w:p>
        </w:tc>
        <w:tc>
          <w:tcPr>
            <w:tcW w:w="5493" w:type="dxa"/>
            <w:gridSpan w:val="9"/>
            <w:tcBorders>
              <w:top w:val="single" w:color="auto" w:sz="4" w:space="0"/>
              <w:left w:val="nil"/>
              <w:bottom w:val="single" w:color="auto" w:sz="4" w:space="0"/>
              <w:right w:val="single" w:color="auto" w:sz="4" w:space="0"/>
            </w:tcBorders>
            <w:noWrap w:val="0"/>
            <w:vAlign w:val="center"/>
          </w:tcPr>
          <w:p w14:paraId="527F6D14">
            <w:pPr>
              <w:spacing w:line="20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最高收费标准</w:t>
            </w:r>
          </w:p>
        </w:tc>
        <w:tc>
          <w:tcPr>
            <w:tcW w:w="2129" w:type="dxa"/>
            <w:vMerge w:val="restart"/>
            <w:tcBorders>
              <w:top w:val="single" w:color="auto" w:sz="4" w:space="0"/>
              <w:left w:val="single" w:color="auto" w:sz="4" w:space="0"/>
              <w:bottom w:val="single" w:color="auto" w:sz="4" w:space="0"/>
              <w:right w:val="single" w:color="auto" w:sz="4" w:space="0"/>
            </w:tcBorders>
            <w:noWrap w:val="0"/>
            <w:vAlign w:val="center"/>
          </w:tcPr>
          <w:p w14:paraId="7CB640C8">
            <w:pPr>
              <w:jc w:val="center"/>
              <w:rPr>
                <w:rFonts w:ascii="宋体" w:hAnsi="宋体" w:cs="宋体"/>
                <w:color w:val="auto"/>
                <w:szCs w:val="21"/>
                <w:highlight w:val="none"/>
              </w:rPr>
            </w:pPr>
            <w:r>
              <w:rPr>
                <w:rFonts w:hint="eastAsia" w:ascii="宋体" w:hAnsi="宋体" w:cs="宋体"/>
                <w:color w:val="auto"/>
                <w:szCs w:val="21"/>
                <w:highlight w:val="none"/>
              </w:rPr>
              <w:t>备注</w:t>
            </w:r>
          </w:p>
        </w:tc>
      </w:tr>
      <w:tr w14:paraId="60DEBE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68" w:type="dxa"/>
            <w:vMerge w:val="continue"/>
            <w:tcBorders>
              <w:top w:val="single" w:color="auto" w:sz="4" w:space="0"/>
              <w:left w:val="single" w:color="auto" w:sz="4" w:space="0"/>
              <w:bottom w:val="single" w:color="auto" w:sz="4" w:space="0"/>
              <w:right w:val="single" w:color="auto" w:sz="4" w:space="0"/>
            </w:tcBorders>
            <w:noWrap w:val="0"/>
            <w:vAlign w:val="center"/>
          </w:tcPr>
          <w:p w14:paraId="311AF5C5">
            <w:pPr>
              <w:jc w:val="center"/>
              <w:rPr>
                <w:rFonts w:ascii="宋体" w:hAnsi="宋体" w:cs="宋体"/>
                <w:color w:val="auto"/>
                <w:szCs w:val="21"/>
                <w:highlight w:val="none"/>
              </w:rPr>
            </w:pPr>
          </w:p>
        </w:tc>
        <w:tc>
          <w:tcPr>
            <w:tcW w:w="2549" w:type="dxa"/>
            <w:gridSpan w:val="4"/>
            <w:vMerge w:val="continue"/>
            <w:tcBorders>
              <w:top w:val="single" w:color="auto" w:sz="4" w:space="0"/>
              <w:left w:val="single" w:color="auto" w:sz="4" w:space="0"/>
              <w:bottom w:val="single" w:color="auto" w:sz="4" w:space="0"/>
              <w:right w:val="single" w:color="auto" w:sz="4" w:space="0"/>
            </w:tcBorders>
            <w:noWrap w:val="0"/>
            <w:vAlign w:val="center"/>
          </w:tcPr>
          <w:p w14:paraId="6E356D97">
            <w:pPr>
              <w:rPr>
                <w:rFonts w:ascii="宋体" w:hAnsi="宋体" w:cs="宋体"/>
                <w:color w:val="auto"/>
                <w:szCs w:val="21"/>
                <w:highlight w:val="none"/>
              </w:rPr>
            </w:pPr>
          </w:p>
        </w:tc>
        <w:tc>
          <w:tcPr>
            <w:tcW w:w="3240" w:type="dxa"/>
            <w:vMerge w:val="continue"/>
            <w:tcBorders>
              <w:top w:val="single" w:color="auto" w:sz="4" w:space="0"/>
              <w:left w:val="single" w:color="auto" w:sz="4" w:space="0"/>
              <w:bottom w:val="single" w:color="auto" w:sz="4" w:space="0"/>
              <w:right w:val="single" w:color="auto" w:sz="4" w:space="0"/>
            </w:tcBorders>
            <w:noWrap w:val="0"/>
            <w:vAlign w:val="center"/>
          </w:tcPr>
          <w:p w14:paraId="11D68A1C">
            <w:pPr>
              <w:rPr>
                <w:rFonts w:ascii="宋体" w:hAnsi="宋体" w:cs="宋体"/>
                <w:color w:val="auto"/>
                <w:szCs w:val="21"/>
                <w:highlight w:val="none"/>
              </w:rPr>
            </w:pPr>
          </w:p>
        </w:tc>
        <w:tc>
          <w:tcPr>
            <w:tcW w:w="2247" w:type="dxa"/>
            <w:vMerge w:val="continue"/>
            <w:tcBorders>
              <w:top w:val="single" w:color="auto" w:sz="4" w:space="0"/>
              <w:left w:val="single" w:color="auto" w:sz="4" w:space="0"/>
              <w:bottom w:val="single" w:color="auto" w:sz="4" w:space="0"/>
              <w:right w:val="single" w:color="auto" w:sz="4" w:space="0"/>
            </w:tcBorders>
            <w:noWrap w:val="0"/>
            <w:vAlign w:val="center"/>
          </w:tcPr>
          <w:p w14:paraId="31135997">
            <w:pPr>
              <w:rPr>
                <w:rFonts w:ascii="宋体" w:hAnsi="宋体" w:cs="宋体"/>
                <w:color w:val="auto"/>
                <w:szCs w:val="21"/>
                <w:highlight w:val="none"/>
              </w:rPr>
            </w:pPr>
          </w:p>
        </w:tc>
        <w:tc>
          <w:tcPr>
            <w:tcW w:w="882" w:type="dxa"/>
            <w:tcBorders>
              <w:top w:val="nil"/>
              <w:left w:val="nil"/>
              <w:bottom w:val="single" w:color="auto" w:sz="4" w:space="0"/>
              <w:right w:val="single" w:color="auto" w:sz="4" w:space="0"/>
            </w:tcBorders>
            <w:noWrap w:val="0"/>
            <w:vAlign w:val="center"/>
          </w:tcPr>
          <w:p w14:paraId="06BF1175">
            <w:pPr>
              <w:spacing w:line="20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100万元以内</w:t>
            </w:r>
          </w:p>
        </w:tc>
        <w:tc>
          <w:tcPr>
            <w:tcW w:w="1011" w:type="dxa"/>
            <w:tcBorders>
              <w:top w:val="nil"/>
              <w:left w:val="nil"/>
              <w:bottom w:val="single" w:color="auto" w:sz="4" w:space="0"/>
              <w:right w:val="single" w:color="auto" w:sz="4" w:space="0"/>
            </w:tcBorders>
            <w:noWrap w:val="0"/>
            <w:vAlign w:val="center"/>
          </w:tcPr>
          <w:p w14:paraId="11AD3490">
            <w:pPr>
              <w:spacing w:line="20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101-500万元</w:t>
            </w:r>
          </w:p>
        </w:tc>
        <w:tc>
          <w:tcPr>
            <w:tcW w:w="1080" w:type="dxa"/>
            <w:gridSpan w:val="2"/>
            <w:tcBorders>
              <w:top w:val="nil"/>
              <w:left w:val="nil"/>
              <w:bottom w:val="single" w:color="auto" w:sz="4" w:space="0"/>
              <w:right w:val="single" w:color="auto" w:sz="4" w:space="0"/>
            </w:tcBorders>
            <w:noWrap w:val="0"/>
            <w:vAlign w:val="center"/>
          </w:tcPr>
          <w:p w14:paraId="38DE0026">
            <w:pPr>
              <w:spacing w:line="20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501-1000万元</w:t>
            </w:r>
          </w:p>
        </w:tc>
        <w:tc>
          <w:tcPr>
            <w:tcW w:w="900" w:type="dxa"/>
            <w:gridSpan w:val="2"/>
            <w:tcBorders>
              <w:top w:val="nil"/>
              <w:left w:val="nil"/>
              <w:bottom w:val="single" w:color="auto" w:sz="4" w:space="0"/>
              <w:right w:val="single" w:color="auto" w:sz="4" w:space="0"/>
            </w:tcBorders>
            <w:noWrap w:val="0"/>
            <w:vAlign w:val="center"/>
          </w:tcPr>
          <w:p w14:paraId="4BB9E20A">
            <w:pPr>
              <w:spacing w:line="20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1001-5000万元</w:t>
            </w:r>
          </w:p>
        </w:tc>
        <w:tc>
          <w:tcPr>
            <w:tcW w:w="900" w:type="dxa"/>
            <w:gridSpan w:val="2"/>
            <w:tcBorders>
              <w:top w:val="nil"/>
              <w:left w:val="nil"/>
              <w:bottom w:val="single" w:color="auto" w:sz="4" w:space="0"/>
              <w:right w:val="single" w:color="auto" w:sz="4" w:space="0"/>
            </w:tcBorders>
            <w:noWrap w:val="0"/>
            <w:vAlign w:val="center"/>
          </w:tcPr>
          <w:p w14:paraId="615A8B86">
            <w:pPr>
              <w:spacing w:line="20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5001-1亿元</w:t>
            </w:r>
          </w:p>
        </w:tc>
        <w:tc>
          <w:tcPr>
            <w:tcW w:w="720" w:type="dxa"/>
            <w:tcBorders>
              <w:top w:val="nil"/>
              <w:left w:val="nil"/>
              <w:bottom w:val="single" w:color="auto" w:sz="4" w:space="0"/>
              <w:right w:val="single" w:color="auto" w:sz="4" w:space="0"/>
            </w:tcBorders>
            <w:noWrap w:val="0"/>
            <w:vAlign w:val="center"/>
          </w:tcPr>
          <w:p w14:paraId="42C704E5">
            <w:pPr>
              <w:spacing w:line="20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1亿元以上</w:t>
            </w:r>
          </w:p>
        </w:tc>
        <w:tc>
          <w:tcPr>
            <w:tcW w:w="2129" w:type="dxa"/>
            <w:vMerge w:val="continue"/>
            <w:tcBorders>
              <w:top w:val="single" w:color="auto" w:sz="4" w:space="0"/>
              <w:left w:val="single" w:color="auto" w:sz="4" w:space="0"/>
              <w:bottom w:val="single" w:color="auto" w:sz="4" w:space="0"/>
              <w:right w:val="single" w:color="auto" w:sz="4" w:space="0"/>
            </w:tcBorders>
            <w:noWrap w:val="0"/>
            <w:vAlign w:val="center"/>
          </w:tcPr>
          <w:p w14:paraId="1A4716D2">
            <w:pPr>
              <w:rPr>
                <w:rFonts w:ascii="宋体" w:hAnsi="宋体" w:cs="宋体"/>
                <w:color w:val="auto"/>
                <w:szCs w:val="21"/>
                <w:highlight w:val="none"/>
              </w:rPr>
            </w:pPr>
          </w:p>
        </w:tc>
      </w:tr>
      <w:tr w14:paraId="7A08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468" w:type="dxa"/>
            <w:tcBorders>
              <w:top w:val="nil"/>
              <w:left w:val="single" w:color="auto" w:sz="4" w:space="0"/>
              <w:bottom w:val="single" w:color="auto" w:sz="4" w:space="0"/>
              <w:right w:val="single" w:color="auto" w:sz="4" w:space="0"/>
            </w:tcBorders>
            <w:noWrap w:val="0"/>
            <w:vAlign w:val="center"/>
          </w:tcPr>
          <w:p w14:paraId="7A8494C8">
            <w:pPr>
              <w:jc w:val="center"/>
              <w:rPr>
                <w:rFonts w:ascii="宋体" w:hAnsi="宋体" w:cs="宋体"/>
                <w:color w:val="auto"/>
                <w:szCs w:val="21"/>
                <w:highlight w:val="none"/>
              </w:rPr>
            </w:pPr>
            <w:r>
              <w:rPr>
                <w:rFonts w:hint="eastAsia" w:ascii="宋体" w:hAnsi="宋体" w:cs="宋体"/>
                <w:color w:val="auto"/>
                <w:szCs w:val="21"/>
                <w:highlight w:val="none"/>
              </w:rPr>
              <w:t>1</w:t>
            </w:r>
          </w:p>
        </w:tc>
        <w:tc>
          <w:tcPr>
            <w:tcW w:w="2549" w:type="dxa"/>
            <w:gridSpan w:val="4"/>
            <w:tcBorders>
              <w:top w:val="single" w:color="auto" w:sz="4" w:space="0"/>
              <w:left w:val="nil"/>
              <w:bottom w:val="single" w:color="auto" w:sz="4" w:space="0"/>
              <w:right w:val="single" w:color="auto" w:sz="4" w:space="0"/>
            </w:tcBorders>
            <w:noWrap w:val="0"/>
            <w:vAlign w:val="center"/>
          </w:tcPr>
          <w:p w14:paraId="0AE5110F">
            <w:pPr>
              <w:jc w:val="center"/>
              <w:rPr>
                <w:rFonts w:ascii="宋体" w:hAnsi="宋体" w:cs="宋体"/>
                <w:color w:val="auto"/>
                <w:szCs w:val="21"/>
                <w:highlight w:val="none"/>
              </w:rPr>
            </w:pPr>
            <w:r>
              <w:rPr>
                <w:rFonts w:hint="eastAsia" w:ascii="宋体" w:hAnsi="宋体" w:cs="宋体"/>
                <w:color w:val="auto"/>
                <w:szCs w:val="21"/>
                <w:highlight w:val="none"/>
              </w:rPr>
              <w:t>投资估算的编制或审核</w:t>
            </w:r>
          </w:p>
        </w:tc>
        <w:tc>
          <w:tcPr>
            <w:tcW w:w="3240" w:type="dxa"/>
            <w:tcBorders>
              <w:top w:val="nil"/>
              <w:left w:val="nil"/>
              <w:bottom w:val="single" w:color="auto" w:sz="4" w:space="0"/>
              <w:right w:val="single" w:color="auto" w:sz="4" w:space="0"/>
            </w:tcBorders>
            <w:noWrap w:val="0"/>
            <w:vAlign w:val="center"/>
          </w:tcPr>
          <w:p w14:paraId="7C1FF19C">
            <w:pPr>
              <w:spacing w:line="200" w:lineRule="exact"/>
              <w:rPr>
                <w:rFonts w:ascii="宋体" w:hAnsi="宋体" w:cs="宋体"/>
                <w:color w:val="auto"/>
                <w:szCs w:val="21"/>
                <w:highlight w:val="none"/>
              </w:rPr>
            </w:pPr>
            <w:r>
              <w:rPr>
                <w:rFonts w:hint="eastAsia" w:ascii="宋体" w:hAnsi="宋体" w:cs="宋体"/>
                <w:color w:val="auto"/>
                <w:sz w:val="18"/>
                <w:szCs w:val="18"/>
                <w:highlight w:val="none"/>
              </w:rPr>
              <w:t>依据建设项目可行性研究方案编制或核对项目投资估算，出具投资估算报告或审核报告</w:t>
            </w:r>
          </w:p>
        </w:tc>
        <w:tc>
          <w:tcPr>
            <w:tcW w:w="2247" w:type="dxa"/>
            <w:tcBorders>
              <w:top w:val="nil"/>
              <w:left w:val="nil"/>
              <w:bottom w:val="single" w:color="auto" w:sz="4" w:space="0"/>
              <w:right w:val="single" w:color="auto" w:sz="4" w:space="0"/>
            </w:tcBorders>
            <w:noWrap w:val="0"/>
            <w:vAlign w:val="center"/>
          </w:tcPr>
          <w:p w14:paraId="2D8695DB">
            <w:pPr>
              <w:jc w:val="center"/>
              <w:rPr>
                <w:rFonts w:ascii="宋体" w:hAnsi="宋体" w:cs="宋体"/>
                <w:color w:val="auto"/>
                <w:szCs w:val="21"/>
                <w:highlight w:val="none"/>
              </w:rPr>
            </w:pPr>
            <w:r>
              <w:rPr>
                <w:rFonts w:hint="eastAsia" w:ascii="宋体" w:hAnsi="宋体" w:cs="宋体"/>
                <w:color w:val="auto"/>
                <w:szCs w:val="21"/>
                <w:highlight w:val="none"/>
              </w:rPr>
              <w:t>估算价</w:t>
            </w:r>
          </w:p>
        </w:tc>
        <w:tc>
          <w:tcPr>
            <w:tcW w:w="882" w:type="dxa"/>
            <w:tcBorders>
              <w:top w:val="nil"/>
              <w:left w:val="nil"/>
              <w:bottom w:val="single" w:color="auto" w:sz="4" w:space="0"/>
              <w:right w:val="single" w:color="auto" w:sz="4" w:space="0"/>
            </w:tcBorders>
            <w:noWrap w:val="0"/>
            <w:vAlign w:val="center"/>
          </w:tcPr>
          <w:p w14:paraId="389F1835">
            <w:pPr>
              <w:jc w:val="center"/>
              <w:rPr>
                <w:rFonts w:ascii="宋体" w:hAnsi="宋体" w:cs="宋体"/>
                <w:color w:val="auto"/>
                <w:szCs w:val="21"/>
                <w:highlight w:val="none"/>
              </w:rPr>
            </w:pPr>
            <w:r>
              <w:rPr>
                <w:rFonts w:hint="eastAsia" w:ascii="宋体" w:hAnsi="宋体" w:cs="宋体"/>
                <w:color w:val="auto"/>
                <w:szCs w:val="21"/>
                <w:highlight w:val="none"/>
              </w:rPr>
              <w:t>1.3‰</w:t>
            </w:r>
          </w:p>
        </w:tc>
        <w:tc>
          <w:tcPr>
            <w:tcW w:w="1011" w:type="dxa"/>
            <w:tcBorders>
              <w:top w:val="nil"/>
              <w:left w:val="nil"/>
              <w:bottom w:val="single" w:color="auto" w:sz="4" w:space="0"/>
              <w:right w:val="single" w:color="auto" w:sz="4" w:space="0"/>
            </w:tcBorders>
            <w:noWrap w:val="0"/>
            <w:vAlign w:val="center"/>
          </w:tcPr>
          <w:p w14:paraId="106F45C0">
            <w:pPr>
              <w:jc w:val="center"/>
              <w:rPr>
                <w:rFonts w:ascii="宋体" w:hAnsi="宋体" w:cs="宋体"/>
                <w:color w:val="auto"/>
                <w:szCs w:val="21"/>
                <w:highlight w:val="none"/>
              </w:rPr>
            </w:pPr>
            <w:r>
              <w:rPr>
                <w:rFonts w:hint="eastAsia" w:ascii="宋体" w:hAnsi="宋体" w:cs="宋体"/>
                <w:color w:val="auto"/>
                <w:szCs w:val="21"/>
                <w:highlight w:val="none"/>
              </w:rPr>
              <w:t>1.1‰</w:t>
            </w:r>
          </w:p>
        </w:tc>
        <w:tc>
          <w:tcPr>
            <w:tcW w:w="1080" w:type="dxa"/>
            <w:gridSpan w:val="2"/>
            <w:tcBorders>
              <w:top w:val="nil"/>
              <w:left w:val="nil"/>
              <w:bottom w:val="single" w:color="auto" w:sz="4" w:space="0"/>
              <w:right w:val="single" w:color="auto" w:sz="4" w:space="0"/>
            </w:tcBorders>
            <w:noWrap w:val="0"/>
            <w:vAlign w:val="center"/>
          </w:tcPr>
          <w:p w14:paraId="392356AA">
            <w:pPr>
              <w:jc w:val="center"/>
              <w:rPr>
                <w:rFonts w:ascii="宋体" w:hAnsi="宋体" w:cs="宋体"/>
                <w:color w:val="auto"/>
                <w:szCs w:val="21"/>
                <w:highlight w:val="none"/>
              </w:rPr>
            </w:pPr>
            <w:r>
              <w:rPr>
                <w:rFonts w:hint="eastAsia" w:ascii="宋体" w:hAnsi="宋体" w:cs="宋体"/>
                <w:color w:val="auto"/>
                <w:szCs w:val="21"/>
                <w:highlight w:val="none"/>
              </w:rPr>
              <w:t>0.9‰</w:t>
            </w:r>
          </w:p>
        </w:tc>
        <w:tc>
          <w:tcPr>
            <w:tcW w:w="900" w:type="dxa"/>
            <w:gridSpan w:val="2"/>
            <w:tcBorders>
              <w:top w:val="nil"/>
              <w:left w:val="nil"/>
              <w:bottom w:val="single" w:color="auto" w:sz="4" w:space="0"/>
              <w:right w:val="single" w:color="auto" w:sz="4" w:space="0"/>
            </w:tcBorders>
            <w:noWrap w:val="0"/>
            <w:vAlign w:val="center"/>
          </w:tcPr>
          <w:p w14:paraId="6AE98690">
            <w:pPr>
              <w:jc w:val="center"/>
              <w:rPr>
                <w:rFonts w:ascii="宋体" w:hAnsi="宋体" w:cs="宋体"/>
                <w:color w:val="auto"/>
                <w:szCs w:val="21"/>
                <w:highlight w:val="none"/>
              </w:rPr>
            </w:pPr>
            <w:r>
              <w:rPr>
                <w:rFonts w:hint="eastAsia" w:ascii="宋体" w:hAnsi="宋体" w:cs="宋体"/>
                <w:color w:val="auto"/>
                <w:szCs w:val="21"/>
                <w:highlight w:val="none"/>
              </w:rPr>
              <w:t>0.7‰</w:t>
            </w:r>
          </w:p>
        </w:tc>
        <w:tc>
          <w:tcPr>
            <w:tcW w:w="900" w:type="dxa"/>
            <w:gridSpan w:val="2"/>
            <w:tcBorders>
              <w:top w:val="nil"/>
              <w:left w:val="nil"/>
              <w:bottom w:val="single" w:color="auto" w:sz="4" w:space="0"/>
              <w:right w:val="single" w:color="auto" w:sz="4" w:space="0"/>
            </w:tcBorders>
            <w:noWrap w:val="0"/>
            <w:vAlign w:val="center"/>
          </w:tcPr>
          <w:p w14:paraId="2E7C2945">
            <w:pPr>
              <w:jc w:val="center"/>
              <w:rPr>
                <w:rFonts w:ascii="宋体" w:hAnsi="宋体" w:cs="宋体"/>
                <w:color w:val="auto"/>
                <w:szCs w:val="21"/>
                <w:highlight w:val="none"/>
              </w:rPr>
            </w:pPr>
            <w:r>
              <w:rPr>
                <w:rFonts w:hint="eastAsia" w:ascii="宋体" w:hAnsi="宋体" w:cs="宋体"/>
                <w:color w:val="auto"/>
                <w:szCs w:val="21"/>
                <w:highlight w:val="none"/>
              </w:rPr>
              <w:t>0.5‰</w:t>
            </w:r>
          </w:p>
        </w:tc>
        <w:tc>
          <w:tcPr>
            <w:tcW w:w="720" w:type="dxa"/>
            <w:tcBorders>
              <w:top w:val="nil"/>
              <w:left w:val="nil"/>
              <w:bottom w:val="single" w:color="auto" w:sz="4" w:space="0"/>
              <w:right w:val="single" w:color="auto" w:sz="4" w:space="0"/>
            </w:tcBorders>
            <w:noWrap w:val="0"/>
            <w:vAlign w:val="center"/>
          </w:tcPr>
          <w:p w14:paraId="0049AEFE">
            <w:pPr>
              <w:jc w:val="center"/>
              <w:rPr>
                <w:rFonts w:ascii="宋体" w:hAnsi="宋体" w:cs="宋体"/>
                <w:color w:val="auto"/>
                <w:szCs w:val="21"/>
                <w:highlight w:val="none"/>
              </w:rPr>
            </w:pPr>
            <w:r>
              <w:rPr>
                <w:rFonts w:hint="eastAsia" w:ascii="宋体" w:hAnsi="宋体" w:cs="宋体"/>
                <w:color w:val="auto"/>
                <w:szCs w:val="21"/>
                <w:highlight w:val="none"/>
              </w:rPr>
              <w:t>0.4‰</w:t>
            </w:r>
          </w:p>
        </w:tc>
        <w:tc>
          <w:tcPr>
            <w:tcW w:w="2129" w:type="dxa"/>
            <w:tcBorders>
              <w:top w:val="nil"/>
              <w:left w:val="nil"/>
              <w:bottom w:val="single" w:color="auto" w:sz="4" w:space="0"/>
              <w:right w:val="single" w:color="auto" w:sz="4" w:space="0"/>
            </w:tcBorders>
            <w:noWrap w:val="0"/>
            <w:vAlign w:val="center"/>
          </w:tcPr>
          <w:p w14:paraId="3B599EBA">
            <w:pPr>
              <w:spacing w:line="200" w:lineRule="exact"/>
              <w:rPr>
                <w:rFonts w:ascii="宋体" w:hAnsi="宋体" w:cs="宋体"/>
                <w:color w:val="auto"/>
                <w:sz w:val="18"/>
                <w:szCs w:val="18"/>
                <w:highlight w:val="none"/>
              </w:rPr>
            </w:pPr>
            <w:r>
              <w:rPr>
                <w:rFonts w:hint="eastAsia" w:ascii="宋体" w:hAnsi="宋体" w:cs="宋体"/>
                <w:color w:val="auto"/>
                <w:sz w:val="18"/>
                <w:szCs w:val="18"/>
                <w:highlight w:val="none"/>
              </w:rPr>
              <w:t>差额定率累进计费</w:t>
            </w:r>
          </w:p>
        </w:tc>
      </w:tr>
      <w:tr w14:paraId="13C810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68" w:type="dxa"/>
            <w:tcBorders>
              <w:top w:val="nil"/>
              <w:left w:val="single" w:color="auto" w:sz="4" w:space="0"/>
              <w:bottom w:val="single" w:color="auto" w:sz="4" w:space="0"/>
              <w:right w:val="single" w:color="auto" w:sz="4" w:space="0"/>
            </w:tcBorders>
            <w:noWrap w:val="0"/>
            <w:vAlign w:val="center"/>
          </w:tcPr>
          <w:p w14:paraId="1C6D2CE6">
            <w:pPr>
              <w:jc w:val="center"/>
              <w:rPr>
                <w:rFonts w:ascii="宋体" w:hAnsi="宋体" w:cs="宋体"/>
                <w:color w:val="auto"/>
                <w:szCs w:val="21"/>
                <w:highlight w:val="none"/>
              </w:rPr>
            </w:pPr>
            <w:r>
              <w:rPr>
                <w:rFonts w:hint="eastAsia" w:ascii="宋体" w:hAnsi="宋体" w:cs="宋体"/>
                <w:color w:val="auto"/>
                <w:szCs w:val="21"/>
                <w:highlight w:val="none"/>
              </w:rPr>
              <w:t>2</w:t>
            </w:r>
          </w:p>
        </w:tc>
        <w:tc>
          <w:tcPr>
            <w:tcW w:w="2549" w:type="dxa"/>
            <w:gridSpan w:val="4"/>
            <w:tcBorders>
              <w:top w:val="single" w:color="auto" w:sz="4" w:space="0"/>
              <w:left w:val="nil"/>
              <w:bottom w:val="single" w:color="auto" w:sz="4" w:space="0"/>
              <w:right w:val="single" w:color="auto" w:sz="4" w:space="0"/>
            </w:tcBorders>
            <w:noWrap w:val="0"/>
            <w:vAlign w:val="center"/>
          </w:tcPr>
          <w:p w14:paraId="22AD302D">
            <w:pPr>
              <w:jc w:val="center"/>
              <w:rPr>
                <w:rFonts w:ascii="宋体" w:hAnsi="宋体" w:cs="宋体"/>
                <w:color w:val="auto"/>
                <w:szCs w:val="21"/>
                <w:highlight w:val="none"/>
              </w:rPr>
            </w:pPr>
            <w:r>
              <w:rPr>
                <w:rFonts w:hint="eastAsia" w:ascii="宋体" w:hAnsi="宋体" w:cs="宋体"/>
                <w:color w:val="auto"/>
                <w:szCs w:val="21"/>
                <w:highlight w:val="none"/>
              </w:rPr>
              <w:t>工程概算的编制或审核</w:t>
            </w:r>
          </w:p>
        </w:tc>
        <w:tc>
          <w:tcPr>
            <w:tcW w:w="3240" w:type="dxa"/>
            <w:tcBorders>
              <w:top w:val="nil"/>
              <w:left w:val="nil"/>
              <w:bottom w:val="single" w:color="auto" w:sz="4" w:space="0"/>
              <w:right w:val="single" w:color="auto" w:sz="4" w:space="0"/>
            </w:tcBorders>
            <w:noWrap w:val="0"/>
            <w:vAlign w:val="center"/>
          </w:tcPr>
          <w:p w14:paraId="2FEF06C5">
            <w:pPr>
              <w:spacing w:line="200" w:lineRule="exact"/>
              <w:rPr>
                <w:rFonts w:ascii="宋体" w:hAnsi="宋体" w:cs="宋体"/>
                <w:color w:val="auto"/>
                <w:szCs w:val="21"/>
                <w:highlight w:val="none"/>
              </w:rPr>
            </w:pPr>
            <w:r>
              <w:rPr>
                <w:rFonts w:hint="eastAsia" w:ascii="宋体" w:hAnsi="宋体" w:cs="宋体"/>
                <w:color w:val="auto"/>
                <w:sz w:val="18"/>
                <w:szCs w:val="18"/>
                <w:highlight w:val="none"/>
              </w:rPr>
              <w:t>依据初步设计图纸计算或复核工程量，出具工程概算书或审核报告</w:t>
            </w:r>
          </w:p>
        </w:tc>
        <w:tc>
          <w:tcPr>
            <w:tcW w:w="2247" w:type="dxa"/>
            <w:tcBorders>
              <w:top w:val="nil"/>
              <w:left w:val="nil"/>
              <w:bottom w:val="single" w:color="auto" w:sz="4" w:space="0"/>
              <w:right w:val="single" w:color="auto" w:sz="4" w:space="0"/>
            </w:tcBorders>
            <w:noWrap w:val="0"/>
            <w:vAlign w:val="center"/>
          </w:tcPr>
          <w:p w14:paraId="4159B89E">
            <w:pPr>
              <w:jc w:val="center"/>
              <w:rPr>
                <w:rFonts w:ascii="宋体" w:hAnsi="宋体" w:cs="宋体"/>
                <w:color w:val="auto"/>
                <w:szCs w:val="21"/>
                <w:highlight w:val="none"/>
              </w:rPr>
            </w:pPr>
            <w:r>
              <w:rPr>
                <w:rFonts w:hint="eastAsia" w:ascii="宋体" w:hAnsi="宋体" w:cs="宋体"/>
                <w:color w:val="auto"/>
                <w:szCs w:val="21"/>
                <w:highlight w:val="none"/>
              </w:rPr>
              <w:t>概算价</w:t>
            </w:r>
          </w:p>
        </w:tc>
        <w:tc>
          <w:tcPr>
            <w:tcW w:w="882" w:type="dxa"/>
            <w:tcBorders>
              <w:top w:val="nil"/>
              <w:left w:val="nil"/>
              <w:bottom w:val="single" w:color="auto" w:sz="4" w:space="0"/>
              <w:right w:val="single" w:color="auto" w:sz="4" w:space="0"/>
            </w:tcBorders>
            <w:noWrap w:val="0"/>
            <w:vAlign w:val="center"/>
          </w:tcPr>
          <w:p w14:paraId="4EBEB8FE">
            <w:pPr>
              <w:jc w:val="center"/>
              <w:rPr>
                <w:rFonts w:ascii="宋体" w:hAnsi="宋体" w:cs="宋体"/>
                <w:color w:val="auto"/>
                <w:szCs w:val="21"/>
                <w:highlight w:val="none"/>
              </w:rPr>
            </w:pPr>
            <w:r>
              <w:rPr>
                <w:rFonts w:hint="eastAsia" w:ascii="宋体" w:hAnsi="宋体" w:cs="宋体"/>
                <w:color w:val="auto"/>
                <w:szCs w:val="21"/>
                <w:highlight w:val="none"/>
              </w:rPr>
              <w:t>2‰</w:t>
            </w:r>
          </w:p>
        </w:tc>
        <w:tc>
          <w:tcPr>
            <w:tcW w:w="1011" w:type="dxa"/>
            <w:tcBorders>
              <w:top w:val="nil"/>
              <w:left w:val="nil"/>
              <w:bottom w:val="single" w:color="auto" w:sz="4" w:space="0"/>
              <w:right w:val="single" w:color="auto" w:sz="4" w:space="0"/>
            </w:tcBorders>
            <w:noWrap w:val="0"/>
            <w:vAlign w:val="center"/>
          </w:tcPr>
          <w:p w14:paraId="76B8CF59">
            <w:pPr>
              <w:jc w:val="center"/>
              <w:rPr>
                <w:rFonts w:ascii="宋体" w:hAnsi="宋体" w:cs="宋体"/>
                <w:color w:val="auto"/>
                <w:szCs w:val="21"/>
                <w:highlight w:val="none"/>
              </w:rPr>
            </w:pPr>
            <w:r>
              <w:rPr>
                <w:rFonts w:hint="eastAsia" w:ascii="宋体" w:hAnsi="宋体" w:cs="宋体"/>
                <w:color w:val="auto"/>
                <w:szCs w:val="21"/>
                <w:highlight w:val="none"/>
              </w:rPr>
              <w:t>1.8‰</w:t>
            </w:r>
          </w:p>
        </w:tc>
        <w:tc>
          <w:tcPr>
            <w:tcW w:w="1080" w:type="dxa"/>
            <w:gridSpan w:val="2"/>
            <w:tcBorders>
              <w:top w:val="nil"/>
              <w:left w:val="nil"/>
              <w:bottom w:val="single" w:color="auto" w:sz="4" w:space="0"/>
              <w:right w:val="single" w:color="auto" w:sz="4" w:space="0"/>
            </w:tcBorders>
            <w:noWrap w:val="0"/>
            <w:vAlign w:val="center"/>
          </w:tcPr>
          <w:p w14:paraId="65C79970">
            <w:pPr>
              <w:jc w:val="center"/>
              <w:rPr>
                <w:rFonts w:ascii="宋体" w:hAnsi="宋体" w:cs="宋体"/>
                <w:color w:val="auto"/>
                <w:szCs w:val="21"/>
                <w:highlight w:val="none"/>
              </w:rPr>
            </w:pPr>
            <w:r>
              <w:rPr>
                <w:rFonts w:hint="eastAsia" w:ascii="宋体" w:hAnsi="宋体" w:cs="宋体"/>
                <w:color w:val="auto"/>
                <w:szCs w:val="21"/>
                <w:highlight w:val="none"/>
              </w:rPr>
              <w:t>1.6‰</w:t>
            </w:r>
          </w:p>
        </w:tc>
        <w:tc>
          <w:tcPr>
            <w:tcW w:w="900" w:type="dxa"/>
            <w:gridSpan w:val="2"/>
            <w:tcBorders>
              <w:top w:val="nil"/>
              <w:left w:val="nil"/>
              <w:bottom w:val="single" w:color="auto" w:sz="4" w:space="0"/>
              <w:right w:val="single" w:color="auto" w:sz="4" w:space="0"/>
            </w:tcBorders>
            <w:noWrap w:val="0"/>
            <w:vAlign w:val="center"/>
          </w:tcPr>
          <w:p w14:paraId="40FF30AA">
            <w:pPr>
              <w:jc w:val="center"/>
              <w:rPr>
                <w:rFonts w:ascii="宋体" w:hAnsi="宋体" w:cs="宋体"/>
                <w:color w:val="auto"/>
                <w:szCs w:val="21"/>
                <w:highlight w:val="none"/>
              </w:rPr>
            </w:pPr>
            <w:r>
              <w:rPr>
                <w:rFonts w:hint="eastAsia" w:ascii="宋体" w:hAnsi="宋体" w:cs="宋体"/>
                <w:color w:val="auto"/>
                <w:szCs w:val="21"/>
                <w:highlight w:val="none"/>
              </w:rPr>
              <w:t>1.3‰</w:t>
            </w:r>
          </w:p>
        </w:tc>
        <w:tc>
          <w:tcPr>
            <w:tcW w:w="900" w:type="dxa"/>
            <w:gridSpan w:val="2"/>
            <w:tcBorders>
              <w:top w:val="nil"/>
              <w:left w:val="nil"/>
              <w:bottom w:val="single" w:color="auto" w:sz="4" w:space="0"/>
              <w:right w:val="single" w:color="auto" w:sz="4" w:space="0"/>
            </w:tcBorders>
            <w:noWrap w:val="0"/>
            <w:vAlign w:val="center"/>
          </w:tcPr>
          <w:p w14:paraId="20F9A347">
            <w:pPr>
              <w:jc w:val="center"/>
              <w:rPr>
                <w:rFonts w:ascii="宋体" w:hAnsi="宋体" w:cs="宋体"/>
                <w:color w:val="auto"/>
                <w:szCs w:val="21"/>
                <w:highlight w:val="none"/>
              </w:rPr>
            </w:pPr>
            <w:r>
              <w:rPr>
                <w:rFonts w:hint="eastAsia" w:ascii="宋体" w:hAnsi="宋体" w:cs="宋体"/>
                <w:color w:val="auto"/>
                <w:szCs w:val="21"/>
                <w:highlight w:val="none"/>
              </w:rPr>
              <w:t>1.2‰</w:t>
            </w:r>
          </w:p>
        </w:tc>
        <w:tc>
          <w:tcPr>
            <w:tcW w:w="720" w:type="dxa"/>
            <w:tcBorders>
              <w:top w:val="nil"/>
              <w:left w:val="nil"/>
              <w:bottom w:val="single" w:color="auto" w:sz="4" w:space="0"/>
              <w:right w:val="single" w:color="auto" w:sz="4" w:space="0"/>
            </w:tcBorders>
            <w:noWrap w:val="0"/>
            <w:vAlign w:val="center"/>
          </w:tcPr>
          <w:p w14:paraId="2C9D9F7D">
            <w:pPr>
              <w:jc w:val="center"/>
              <w:rPr>
                <w:rFonts w:ascii="宋体" w:hAnsi="宋体" w:cs="宋体"/>
                <w:color w:val="auto"/>
                <w:szCs w:val="21"/>
                <w:highlight w:val="none"/>
              </w:rPr>
            </w:pPr>
            <w:r>
              <w:rPr>
                <w:rFonts w:hint="eastAsia" w:ascii="宋体" w:hAnsi="宋体" w:cs="宋体"/>
                <w:color w:val="auto"/>
                <w:szCs w:val="21"/>
                <w:highlight w:val="none"/>
              </w:rPr>
              <w:t>1.1‰</w:t>
            </w:r>
          </w:p>
        </w:tc>
        <w:tc>
          <w:tcPr>
            <w:tcW w:w="2129" w:type="dxa"/>
            <w:tcBorders>
              <w:top w:val="nil"/>
              <w:left w:val="nil"/>
              <w:bottom w:val="single" w:color="auto" w:sz="4" w:space="0"/>
              <w:right w:val="single" w:color="auto" w:sz="4" w:space="0"/>
            </w:tcBorders>
            <w:noWrap w:val="0"/>
            <w:vAlign w:val="center"/>
          </w:tcPr>
          <w:p w14:paraId="17E4DCB5">
            <w:pPr>
              <w:spacing w:line="200" w:lineRule="exact"/>
              <w:rPr>
                <w:rFonts w:ascii="宋体" w:hAnsi="宋体" w:cs="宋体"/>
                <w:color w:val="auto"/>
                <w:sz w:val="18"/>
                <w:szCs w:val="18"/>
                <w:highlight w:val="none"/>
              </w:rPr>
            </w:pPr>
            <w:r>
              <w:rPr>
                <w:rFonts w:hint="eastAsia" w:ascii="宋体" w:hAnsi="宋体" w:cs="宋体"/>
                <w:color w:val="auto"/>
                <w:sz w:val="18"/>
                <w:szCs w:val="18"/>
                <w:highlight w:val="none"/>
              </w:rPr>
              <w:t>差额定率累进计费</w:t>
            </w:r>
          </w:p>
        </w:tc>
      </w:tr>
      <w:tr w14:paraId="63EFC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468" w:type="dxa"/>
            <w:vMerge w:val="restart"/>
            <w:tcBorders>
              <w:top w:val="nil"/>
              <w:left w:val="single" w:color="auto" w:sz="4" w:space="0"/>
              <w:bottom w:val="single" w:color="000000" w:sz="4" w:space="0"/>
              <w:right w:val="single" w:color="auto" w:sz="4" w:space="0"/>
            </w:tcBorders>
            <w:noWrap w:val="0"/>
            <w:vAlign w:val="center"/>
          </w:tcPr>
          <w:p w14:paraId="0A58CB46">
            <w:pPr>
              <w:jc w:val="center"/>
              <w:rPr>
                <w:rFonts w:ascii="宋体" w:hAnsi="宋体" w:cs="宋体"/>
                <w:color w:val="auto"/>
                <w:szCs w:val="21"/>
                <w:highlight w:val="none"/>
              </w:rPr>
            </w:pPr>
            <w:r>
              <w:rPr>
                <w:rFonts w:hint="eastAsia" w:ascii="宋体" w:hAnsi="宋体" w:cs="宋体"/>
                <w:color w:val="auto"/>
                <w:szCs w:val="21"/>
                <w:highlight w:val="none"/>
              </w:rPr>
              <w:t>3</w:t>
            </w:r>
          </w:p>
        </w:tc>
        <w:tc>
          <w:tcPr>
            <w:tcW w:w="774" w:type="dxa"/>
            <w:gridSpan w:val="2"/>
            <w:vMerge w:val="restart"/>
            <w:tcBorders>
              <w:top w:val="nil"/>
              <w:left w:val="single" w:color="auto" w:sz="4" w:space="0"/>
              <w:bottom w:val="single" w:color="000000" w:sz="4" w:space="0"/>
              <w:right w:val="single" w:color="auto" w:sz="4" w:space="0"/>
            </w:tcBorders>
            <w:noWrap w:val="0"/>
            <w:vAlign w:val="center"/>
          </w:tcPr>
          <w:p w14:paraId="504FBFF0">
            <w:pPr>
              <w:jc w:val="center"/>
              <w:rPr>
                <w:rFonts w:ascii="宋体" w:hAnsi="宋体" w:cs="宋体"/>
                <w:color w:val="auto"/>
                <w:szCs w:val="21"/>
                <w:highlight w:val="none"/>
              </w:rPr>
            </w:pPr>
            <w:r>
              <w:rPr>
                <w:rFonts w:hint="eastAsia" w:ascii="宋体" w:hAnsi="宋体" w:cs="宋体"/>
                <w:color w:val="auto"/>
                <w:szCs w:val="21"/>
                <w:highlight w:val="none"/>
              </w:rPr>
              <w:t>工程预算的编制或审核</w:t>
            </w:r>
          </w:p>
        </w:tc>
        <w:tc>
          <w:tcPr>
            <w:tcW w:w="709" w:type="dxa"/>
            <w:vMerge w:val="restart"/>
            <w:tcBorders>
              <w:top w:val="nil"/>
              <w:left w:val="single" w:color="auto" w:sz="4" w:space="0"/>
              <w:bottom w:val="single" w:color="000000" w:sz="4" w:space="0"/>
              <w:right w:val="single" w:color="auto" w:sz="4" w:space="0"/>
            </w:tcBorders>
            <w:noWrap w:val="0"/>
            <w:vAlign w:val="center"/>
          </w:tcPr>
          <w:p w14:paraId="00FB8583">
            <w:pPr>
              <w:spacing w:line="200" w:lineRule="exact"/>
              <w:rPr>
                <w:rFonts w:ascii="宋体" w:hAnsi="宋体" w:cs="宋体"/>
                <w:color w:val="auto"/>
                <w:sz w:val="18"/>
                <w:szCs w:val="18"/>
                <w:highlight w:val="none"/>
              </w:rPr>
            </w:pPr>
            <w:r>
              <w:rPr>
                <w:rFonts w:hint="eastAsia" w:ascii="宋体" w:hAnsi="宋体" w:cs="宋体"/>
                <w:color w:val="auto"/>
                <w:sz w:val="18"/>
                <w:szCs w:val="18"/>
                <w:highlight w:val="none"/>
              </w:rPr>
              <w:t>清单计价法</w:t>
            </w:r>
          </w:p>
        </w:tc>
        <w:tc>
          <w:tcPr>
            <w:tcW w:w="1066" w:type="dxa"/>
            <w:tcBorders>
              <w:top w:val="nil"/>
              <w:left w:val="nil"/>
              <w:bottom w:val="single" w:color="auto" w:sz="4" w:space="0"/>
              <w:right w:val="single" w:color="auto" w:sz="4" w:space="0"/>
            </w:tcBorders>
            <w:noWrap w:val="0"/>
            <w:vAlign w:val="center"/>
          </w:tcPr>
          <w:p w14:paraId="2CCB7C65">
            <w:pPr>
              <w:spacing w:line="200" w:lineRule="exact"/>
              <w:rPr>
                <w:rFonts w:ascii="宋体" w:hAnsi="宋体" w:cs="宋体"/>
                <w:color w:val="auto"/>
                <w:sz w:val="18"/>
                <w:szCs w:val="18"/>
                <w:highlight w:val="none"/>
              </w:rPr>
            </w:pPr>
            <w:r>
              <w:rPr>
                <w:rFonts w:hint="eastAsia" w:ascii="宋体" w:hAnsi="宋体" w:cs="宋体"/>
                <w:color w:val="auto"/>
                <w:sz w:val="18"/>
                <w:szCs w:val="18"/>
                <w:highlight w:val="none"/>
              </w:rPr>
              <w:t>单独编制或审核工程量清单</w:t>
            </w:r>
          </w:p>
        </w:tc>
        <w:tc>
          <w:tcPr>
            <w:tcW w:w="3240" w:type="dxa"/>
            <w:tcBorders>
              <w:top w:val="nil"/>
              <w:left w:val="nil"/>
              <w:bottom w:val="single" w:color="auto" w:sz="4" w:space="0"/>
              <w:right w:val="single" w:color="auto" w:sz="4" w:space="0"/>
            </w:tcBorders>
            <w:noWrap w:val="0"/>
            <w:vAlign w:val="center"/>
          </w:tcPr>
          <w:p w14:paraId="60593F99">
            <w:pPr>
              <w:spacing w:line="200" w:lineRule="exact"/>
              <w:rPr>
                <w:rFonts w:ascii="宋体" w:hAnsi="宋体" w:cs="宋体"/>
                <w:color w:val="auto"/>
                <w:sz w:val="18"/>
                <w:szCs w:val="18"/>
                <w:highlight w:val="none"/>
              </w:rPr>
            </w:pPr>
            <w:r>
              <w:rPr>
                <w:rFonts w:hint="eastAsia" w:ascii="宋体" w:hAnsi="宋体" w:cs="宋体"/>
                <w:color w:val="auto"/>
                <w:sz w:val="18"/>
                <w:szCs w:val="18"/>
                <w:highlight w:val="none"/>
              </w:rPr>
              <w:t>依据施工图编制或审核工程量清单，出具工程量清单书或审核报告</w:t>
            </w:r>
          </w:p>
        </w:tc>
        <w:tc>
          <w:tcPr>
            <w:tcW w:w="2247" w:type="dxa"/>
            <w:tcBorders>
              <w:top w:val="nil"/>
              <w:left w:val="nil"/>
              <w:bottom w:val="single" w:color="auto" w:sz="4" w:space="0"/>
              <w:right w:val="single" w:color="auto" w:sz="4" w:space="0"/>
            </w:tcBorders>
            <w:noWrap w:val="0"/>
            <w:vAlign w:val="center"/>
          </w:tcPr>
          <w:p w14:paraId="059D9D77">
            <w:pPr>
              <w:spacing w:line="200" w:lineRule="exact"/>
              <w:rPr>
                <w:rFonts w:ascii="宋体" w:hAnsi="宋体" w:cs="宋体"/>
                <w:color w:val="auto"/>
                <w:sz w:val="18"/>
                <w:szCs w:val="18"/>
                <w:highlight w:val="none"/>
              </w:rPr>
            </w:pPr>
            <w:r>
              <w:rPr>
                <w:rFonts w:hint="eastAsia" w:ascii="宋体" w:hAnsi="宋体" w:cs="宋体"/>
                <w:color w:val="auto"/>
                <w:sz w:val="18"/>
                <w:szCs w:val="18"/>
                <w:highlight w:val="none"/>
              </w:rPr>
              <w:t>预算造价（预算价、招标控制价）</w:t>
            </w:r>
          </w:p>
        </w:tc>
        <w:tc>
          <w:tcPr>
            <w:tcW w:w="882" w:type="dxa"/>
            <w:tcBorders>
              <w:top w:val="nil"/>
              <w:left w:val="nil"/>
              <w:bottom w:val="single" w:color="auto" w:sz="4" w:space="0"/>
              <w:right w:val="single" w:color="auto" w:sz="4" w:space="0"/>
            </w:tcBorders>
            <w:noWrap w:val="0"/>
            <w:vAlign w:val="center"/>
          </w:tcPr>
          <w:p w14:paraId="34AE7D30">
            <w:pPr>
              <w:jc w:val="center"/>
              <w:rPr>
                <w:rFonts w:ascii="宋体" w:hAnsi="宋体" w:cs="宋体"/>
                <w:color w:val="auto"/>
                <w:szCs w:val="21"/>
                <w:highlight w:val="none"/>
              </w:rPr>
            </w:pPr>
            <w:r>
              <w:rPr>
                <w:rFonts w:hint="eastAsia" w:ascii="宋体" w:hAnsi="宋体" w:cs="宋体"/>
                <w:color w:val="auto"/>
                <w:szCs w:val="21"/>
                <w:highlight w:val="none"/>
              </w:rPr>
              <w:t>3‰</w:t>
            </w:r>
          </w:p>
        </w:tc>
        <w:tc>
          <w:tcPr>
            <w:tcW w:w="1011" w:type="dxa"/>
            <w:tcBorders>
              <w:top w:val="nil"/>
              <w:left w:val="nil"/>
              <w:bottom w:val="single" w:color="auto" w:sz="4" w:space="0"/>
              <w:right w:val="single" w:color="auto" w:sz="4" w:space="0"/>
            </w:tcBorders>
            <w:noWrap w:val="0"/>
            <w:vAlign w:val="center"/>
          </w:tcPr>
          <w:p w14:paraId="423C51B1">
            <w:pPr>
              <w:jc w:val="center"/>
              <w:rPr>
                <w:rFonts w:ascii="宋体" w:hAnsi="宋体" w:cs="宋体"/>
                <w:color w:val="auto"/>
                <w:szCs w:val="21"/>
                <w:highlight w:val="none"/>
              </w:rPr>
            </w:pPr>
            <w:r>
              <w:rPr>
                <w:rFonts w:hint="eastAsia" w:ascii="宋体" w:hAnsi="宋体" w:cs="宋体"/>
                <w:color w:val="auto"/>
                <w:szCs w:val="21"/>
                <w:highlight w:val="none"/>
              </w:rPr>
              <w:t>2.5‰</w:t>
            </w:r>
          </w:p>
        </w:tc>
        <w:tc>
          <w:tcPr>
            <w:tcW w:w="1080" w:type="dxa"/>
            <w:gridSpan w:val="2"/>
            <w:tcBorders>
              <w:top w:val="nil"/>
              <w:left w:val="nil"/>
              <w:bottom w:val="single" w:color="auto" w:sz="4" w:space="0"/>
              <w:right w:val="single" w:color="auto" w:sz="4" w:space="0"/>
            </w:tcBorders>
            <w:noWrap w:val="0"/>
            <w:vAlign w:val="center"/>
          </w:tcPr>
          <w:p w14:paraId="2A6B5A65">
            <w:pPr>
              <w:jc w:val="center"/>
              <w:rPr>
                <w:rFonts w:ascii="宋体" w:hAnsi="宋体" w:cs="宋体"/>
                <w:color w:val="auto"/>
                <w:szCs w:val="21"/>
                <w:highlight w:val="none"/>
              </w:rPr>
            </w:pPr>
            <w:r>
              <w:rPr>
                <w:rFonts w:hint="eastAsia" w:ascii="宋体" w:hAnsi="宋体" w:cs="宋体"/>
                <w:color w:val="auto"/>
                <w:szCs w:val="21"/>
                <w:highlight w:val="none"/>
              </w:rPr>
              <w:t>2.4‰</w:t>
            </w:r>
          </w:p>
        </w:tc>
        <w:tc>
          <w:tcPr>
            <w:tcW w:w="900" w:type="dxa"/>
            <w:gridSpan w:val="2"/>
            <w:tcBorders>
              <w:top w:val="nil"/>
              <w:left w:val="nil"/>
              <w:bottom w:val="single" w:color="auto" w:sz="4" w:space="0"/>
              <w:right w:val="single" w:color="auto" w:sz="4" w:space="0"/>
            </w:tcBorders>
            <w:noWrap w:val="0"/>
            <w:vAlign w:val="center"/>
          </w:tcPr>
          <w:p w14:paraId="359AA82C">
            <w:pPr>
              <w:jc w:val="center"/>
              <w:rPr>
                <w:rFonts w:ascii="宋体" w:hAnsi="宋体" w:cs="宋体"/>
                <w:color w:val="auto"/>
                <w:szCs w:val="21"/>
                <w:highlight w:val="none"/>
              </w:rPr>
            </w:pPr>
            <w:r>
              <w:rPr>
                <w:rFonts w:hint="eastAsia" w:ascii="宋体" w:hAnsi="宋体" w:cs="宋体"/>
                <w:color w:val="auto"/>
                <w:szCs w:val="21"/>
                <w:highlight w:val="none"/>
              </w:rPr>
              <w:t>2.2‰</w:t>
            </w:r>
          </w:p>
        </w:tc>
        <w:tc>
          <w:tcPr>
            <w:tcW w:w="900" w:type="dxa"/>
            <w:gridSpan w:val="2"/>
            <w:tcBorders>
              <w:top w:val="nil"/>
              <w:left w:val="nil"/>
              <w:bottom w:val="single" w:color="auto" w:sz="4" w:space="0"/>
              <w:right w:val="single" w:color="auto" w:sz="4" w:space="0"/>
            </w:tcBorders>
            <w:noWrap w:val="0"/>
            <w:vAlign w:val="center"/>
          </w:tcPr>
          <w:p w14:paraId="50C1DDF8">
            <w:pPr>
              <w:jc w:val="center"/>
              <w:rPr>
                <w:rFonts w:ascii="宋体" w:hAnsi="宋体" w:cs="宋体"/>
                <w:color w:val="auto"/>
                <w:szCs w:val="21"/>
                <w:highlight w:val="none"/>
              </w:rPr>
            </w:pPr>
            <w:r>
              <w:rPr>
                <w:rFonts w:hint="eastAsia" w:ascii="宋体" w:hAnsi="宋体" w:cs="宋体"/>
                <w:color w:val="auto"/>
                <w:szCs w:val="21"/>
                <w:highlight w:val="none"/>
              </w:rPr>
              <w:t>2‰</w:t>
            </w:r>
          </w:p>
        </w:tc>
        <w:tc>
          <w:tcPr>
            <w:tcW w:w="720" w:type="dxa"/>
            <w:tcBorders>
              <w:top w:val="nil"/>
              <w:left w:val="nil"/>
              <w:bottom w:val="single" w:color="auto" w:sz="4" w:space="0"/>
              <w:right w:val="single" w:color="auto" w:sz="4" w:space="0"/>
            </w:tcBorders>
            <w:noWrap w:val="0"/>
            <w:vAlign w:val="center"/>
          </w:tcPr>
          <w:p w14:paraId="40A21268">
            <w:pPr>
              <w:jc w:val="center"/>
              <w:rPr>
                <w:rFonts w:ascii="宋体" w:hAnsi="宋体" w:cs="宋体"/>
                <w:color w:val="auto"/>
                <w:szCs w:val="21"/>
                <w:highlight w:val="none"/>
              </w:rPr>
            </w:pPr>
            <w:r>
              <w:rPr>
                <w:rFonts w:hint="eastAsia" w:ascii="宋体" w:hAnsi="宋体" w:cs="宋体"/>
                <w:color w:val="auto"/>
                <w:szCs w:val="21"/>
                <w:highlight w:val="none"/>
              </w:rPr>
              <w:t>1.8‰</w:t>
            </w:r>
          </w:p>
        </w:tc>
        <w:tc>
          <w:tcPr>
            <w:tcW w:w="2129" w:type="dxa"/>
            <w:tcBorders>
              <w:top w:val="nil"/>
              <w:left w:val="nil"/>
              <w:bottom w:val="single" w:color="auto" w:sz="4" w:space="0"/>
              <w:right w:val="single" w:color="auto" w:sz="4" w:space="0"/>
            </w:tcBorders>
            <w:noWrap w:val="0"/>
            <w:vAlign w:val="center"/>
          </w:tcPr>
          <w:p w14:paraId="60FFAA87">
            <w:pPr>
              <w:spacing w:line="200" w:lineRule="exact"/>
              <w:rPr>
                <w:rFonts w:ascii="宋体" w:hAnsi="宋体" w:cs="宋体"/>
                <w:color w:val="auto"/>
                <w:sz w:val="18"/>
                <w:szCs w:val="18"/>
                <w:highlight w:val="none"/>
              </w:rPr>
            </w:pPr>
            <w:r>
              <w:rPr>
                <w:rFonts w:hint="eastAsia" w:ascii="宋体" w:hAnsi="宋体" w:cs="宋体"/>
                <w:color w:val="auto"/>
                <w:sz w:val="18"/>
                <w:szCs w:val="18"/>
                <w:highlight w:val="none"/>
              </w:rPr>
              <w:t>差额定率累进计费</w:t>
            </w:r>
          </w:p>
        </w:tc>
      </w:tr>
      <w:tr w14:paraId="5F19DA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468" w:type="dxa"/>
            <w:vMerge w:val="continue"/>
            <w:tcBorders>
              <w:top w:val="nil"/>
              <w:left w:val="single" w:color="auto" w:sz="4" w:space="0"/>
              <w:bottom w:val="single" w:color="000000" w:sz="4" w:space="0"/>
              <w:right w:val="single" w:color="auto" w:sz="4" w:space="0"/>
            </w:tcBorders>
            <w:noWrap w:val="0"/>
            <w:vAlign w:val="center"/>
          </w:tcPr>
          <w:p w14:paraId="27958EC6">
            <w:pPr>
              <w:jc w:val="center"/>
              <w:rPr>
                <w:rFonts w:ascii="宋体" w:hAnsi="宋体" w:cs="宋体"/>
                <w:color w:val="auto"/>
                <w:szCs w:val="21"/>
                <w:highlight w:val="none"/>
              </w:rPr>
            </w:pPr>
          </w:p>
        </w:tc>
        <w:tc>
          <w:tcPr>
            <w:tcW w:w="774" w:type="dxa"/>
            <w:gridSpan w:val="2"/>
            <w:vMerge w:val="continue"/>
            <w:tcBorders>
              <w:top w:val="nil"/>
              <w:left w:val="single" w:color="auto" w:sz="4" w:space="0"/>
              <w:bottom w:val="single" w:color="000000" w:sz="4" w:space="0"/>
              <w:right w:val="single" w:color="auto" w:sz="4" w:space="0"/>
            </w:tcBorders>
            <w:noWrap w:val="0"/>
            <w:vAlign w:val="center"/>
          </w:tcPr>
          <w:p w14:paraId="4B6C922E">
            <w:pPr>
              <w:rPr>
                <w:rFonts w:ascii="宋体" w:hAnsi="宋体" w:cs="宋体"/>
                <w:color w:val="auto"/>
                <w:szCs w:val="21"/>
                <w:highlight w:val="none"/>
              </w:rPr>
            </w:pPr>
          </w:p>
        </w:tc>
        <w:tc>
          <w:tcPr>
            <w:tcW w:w="709" w:type="dxa"/>
            <w:vMerge w:val="continue"/>
            <w:tcBorders>
              <w:top w:val="nil"/>
              <w:left w:val="single" w:color="auto" w:sz="4" w:space="0"/>
              <w:bottom w:val="single" w:color="000000" w:sz="4" w:space="0"/>
              <w:right w:val="single" w:color="auto" w:sz="4" w:space="0"/>
            </w:tcBorders>
            <w:noWrap w:val="0"/>
            <w:vAlign w:val="center"/>
          </w:tcPr>
          <w:p w14:paraId="1409B5D3">
            <w:pPr>
              <w:rPr>
                <w:rFonts w:ascii="宋体" w:hAnsi="宋体" w:cs="宋体"/>
                <w:color w:val="auto"/>
                <w:sz w:val="18"/>
                <w:szCs w:val="18"/>
                <w:highlight w:val="none"/>
              </w:rPr>
            </w:pPr>
          </w:p>
        </w:tc>
        <w:tc>
          <w:tcPr>
            <w:tcW w:w="1066" w:type="dxa"/>
            <w:tcBorders>
              <w:top w:val="nil"/>
              <w:left w:val="nil"/>
              <w:bottom w:val="single" w:color="auto" w:sz="4" w:space="0"/>
              <w:right w:val="single" w:color="auto" w:sz="4" w:space="0"/>
            </w:tcBorders>
            <w:noWrap w:val="0"/>
            <w:vAlign w:val="center"/>
          </w:tcPr>
          <w:p w14:paraId="2F4359A2">
            <w:pPr>
              <w:spacing w:line="200" w:lineRule="exact"/>
              <w:rPr>
                <w:rFonts w:ascii="宋体" w:hAnsi="宋体" w:cs="宋体"/>
                <w:color w:val="auto"/>
                <w:sz w:val="18"/>
                <w:szCs w:val="18"/>
                <w:highlight w:val="none"/>
              </w:rPr>
            </w:pPr>
            <w:r>
              <w:rPr>
                <w:rFonts w:hint="eastAsia" w:ascii="宋体" w:hAnsi="宋体" w:cs="宋体"/>
                <w:color w:val="auto"/>
                <w:sz w:val="18"/>
                <w:szCs w:val="18"/>
                <w:highlight w:val="none"/>
              </w:rPr>
              <w:t>单独编制或审核预算造价</w:t>
            </w:r>
          </w:p>
        </w:tc>
        <w:tc>
          <w:tcPr>
            <w:tcW w:w="3240" w:type="dxa"/>
            <w:tcBorders>
              <w:top w:val="nil"/>
              <w:left w:val="nil"/>
              <w:bottom w:val="single" w:color="auto" w:sz="4" w:space="0"/>
              <w:right w:val="single" w:color="auto" w:sz="4" w:space="0"/>
            </w:tcBorders>
            <w:noWrap w:val="0"/>
            <w:vAlign w:val="center"/>
          </w:tcPr>
          <w:p w14:paraId="014AB167">
            <w:pPr>
              <w:spacing w:line="200" w:lineRule="exact"/>
              <w:rPr>
                <w:rFonts w:ascii="宋体" w:hAnsi="宋体" w:cs="宋体"/>
                <w:color w:val="auto"/>
                <w:sz w:val="18"/>
                <w:szCs w:val="18"/>
                <w:highlight w:val="none"/>
              </w:rPr>
            </w:pPr>
            <w:r>
              <w:rPr>
                <w:rFonts w:hint="eastAsia" w:ascii="宋体" w:hAnsi="宋体" w:cs="宋体"/>
                <w:color w:val="auto"/>
                <w:sz w:val="18"/>
                <w:szCs w:val="18"/>
                <w:highlight w:val="none"/>
              </w:rPr>
              <w:t>依据施工图、工程量清单编制或审核工程量清单报价，出具工程报价书或审核报告</w:t>
            </w:r>
          </w:p>
        </w:tc>
        <w:tc>
          <w:tcPr>
            <w:tcW w:w="2247" w:type="dxa"/>
            <w:tcBorders>
              <w:top w:val="nil"/>
              <w:left w:val="nil"/>
              <w:bottom w:val="single" w:color="auto" w:sz="4" w:space="0"/>
              <w:right w:val="single" w:color="auto" w:sz="4" w:space="0"/>
            </w:tcBorders>
            <w:noWrap w:val="0"/>
            <w:vAlign w:val="center"/>
          </w:tcPr>
          <w:p w14:paraId="19C2DB2A">
            <w:pPr>
              <w:rPr>
                <w:rFonts w:ascii="宋体" w:hAnsi="宋体" w:cs="宋体"/>
                <w:color w:val="auto"/>
                <w:sz w:val="18"/>
                <w:szCs w:val="18"/>
                <w:highlight w:val="none"/>
              </w:rPr>
            </w:pPr>
            <w:r>
              <w:rPr>
                <w:rFonts w:hint="eastAsia" w:ascii="宋体" w:hAnsi="宋体" w:cs="宋体"/>
                <w:color w:val="auto"/>
                <w:sz w:val="18"/>
                <w:szCs w:val="18"/>
                <w:highlight w:val="none"/>
              </w:rPr>
              <w:t>预算造价（预算价、招标控制价、投标报价）</w:t>
            </w:r>
          </w:p>
        </w:tc>
        <w:tc>
          <w:tcPr>
            <w:tcW w:w="882" w:type="dxa"/>
            <w:tcBorders>
              <w:top w:val="nil"/>
              <w:left w:val="nil"/>
              <w:bottom w:val="single" w:color="auto" w:sz="4" w:space="0"/>
              <w:right w:val="single" w:color="auto" w:sz="4" w:space="0"/>
            </w:tcBorders>
            <w:noWrap w:val="0"/>
            <w:vAlign w:val="center"/>
          </w:tcPr>
          <w:p w14:paraId="4DB91DA5">
            <w:pPr>
              <w:jc w:val="center"/>
              <w:rPr>
                <w:rFonts w:ascii="宋体" w:hAnsi="宋体" w:cs="宋体"/>
                <w:color w:val="auto"/>
                <w:szCs w:val="21"/>
                <w:highlight w:val="none"/>
              </w:rPr>
            </w:pPr>
            <w:r>
              <w:rPr>
                <w:rFonts w:hint="eastAsia" w:ascii="宋体" w:hAnsi="宋体" w:cs="宋体"/>
                <w:color w:val="auto"/>
                <w:szCs w:val="21"/>
                <w:highlight w:val="none"/>
              </w:rPr>
              <w:t>1.8‰</w:t>
            </w:r>
          </w:p>
        </w:tc>
        <w:tc>
          <w:tcPr>
            <w:tcW w:w="1011" w:type="dxa"/>
            <w:tcBorders>
              <w:top w:val="nil"/>
              <w:left w:val="nil"/>
              <w:bottom w:val="single" w:color="auto" w:sz="4" w:space="0"/>
              <w:right w:val="single" w:color="auto" w:sz="4" w:space="0"/>
            </w:tcBorders>
            <w:noWrap w:val="0"/>
            <w:vAlign w:val="center"/>
          </w:tcPr>
          <w:p w14:paraId="40A103FC">
            <w:pPr>
              <w:jc w:val="center"/>
              <w:rPr>
                <w:rFonts w:ascii="宋体" w:hAnsi="宋体" w:cs="宋体"/>
                <w:color w:val="auto"/>
                <w:szCs w:val="21"/>
                <w:highlight w:val="none"/>
              </w:rPr>
            </w:pPr>
            <w:r>
              <w:rPr>
                <w:rFonts w:hint="eastAsia" w:ascii="宋体" w:hAnsi="宋体" w:cs="宋体"/>
                <w:color w:val="auto"/>
                <w:szCs w:val="21"/>
                <w:highlight w:val="none"/>
              </w:rPr>
              <w:t>1.6‰</w:t>
            </w:r>
          </w:p>
        </w:tc>
        <w:tc>
          <w:tcPr>
            <w:tcW w:w="1080" w:type="dxa"/>
            <w:gridSpan w:val="2"/>
            <w:tcBorders>
              <w:top w:val="nil"/>
              <w:left w:val="nil"/>
              <w:bottom w:val="single" w:color="auto" w:sz="4" w:space="0"/>
              <w:right w:val="single" w:color="auto" w:sz="4" w:space="0"/>
            </w:tcBorders>
            <w:noWrap w:val="0"/>
            <w:vAlign w:val="center"/>
          </w:tcPr>
          <w:p w14:paraId="75071276">
            <w:pPr>
              <w:jc w:val="center"/>
              <w:rPr>
                <w:rFonts w:ascii="宋体" w:hAnsi="宋体" w:cs="宋体"/>
                <w:color w:val="auto"/>
                <w:szCs w:val="21"/>
                <w:highlight w:val="none"/>
              </w:rPr>
            </w:pPr>
            <w:r>
              <w:rPr>
                <w:rFonts w:hint="eastAsia" w:ascii="宋体" w:hAnsi="宋体" w:cs="宋体"/>
                <w:color w:val="auto"/>
                <w:szCs w:val="21"/>
                <w:highlight w:val="none"/>
              </w:rPr>
              <w:t>1.4‰</w:t>
            </w:r>
          </w:p>
        </w:tc>
        <w:tc>
          <w:tcPr>
            <w:tcW w:w="900" w:type="dxa"/>
            <w:gridSpan w:val="2"/>
            <w:tcBorders>
              <w:top w:val="nil"/>
              <w:left w:val="nil"/>
              <w:bottom w:val="single" w:color="auto" w:sz="4" w:space="0"/>
              <w:right w:val="single" w:color="auto" w:sz="4" w:space="0"/>
            </w:tcBorders>
            <w:noWrap w:val="0"/>
            <w:vAlign w:val="center"/>
          </w:tcPr>
          <w:p w14:paraId="52F50920">
            <w:pPr>
              <w:jc w:val="center"/>
              <w:rPr>
                <w:rFonts w:ascii="宋体" w:hAnsi="宋体" w:cs="宋体"/>
                <w:color w:val="auto"/>
                <w:szCs w:val="21"/>
                <w:highlight w:val="none"/>
              </w:rPr>
            </w:pPr>
            <w:r>
              <w:rPr>
                <w:rFonts w:hint="eastAsia" w:ascii="宋体" w:hAnsi="宋体" w:cs="宋体"/>
                <w:color w:val="auto"/>
                <w:szCs w:val="21"/>
                <w:highlight w:val="none"/>
              </w:rPr>
              <w:t>1.2‰</w:t>
            </w:r>
          </w:p>
        </w:tc>
        <w:tc>
          <w:tcPr>
            <w:tcW w:w="900" w:type="dxa"/>
            <w:gridSpan w:val="2"/>
            <w:tcBorders>
              <w:top w:val="nil"/>
              <w:left w:val="nil"/>
              <w:bottom w:val="single" w:color="auto" w:sz="4" w:space="0"/>
              <w:right w:val="single" w:color="auto" w:sz="4" w:space="0"/>
            </w:tcBorders>
            <w:noWrap w:val="0"/>
            <w:vAlign w:val="center"/>
          </w:tcPr>
          <w:p w14:paraId="643281DE">
            <w:pPr>
              <w:jc w:val="center"/>
              <w:rPr>
                <w:rFonts w:ascii="宋体" w:hAnsi="宋体" w:cs="宋体"/>
                <w:color w:val="auto"/>
                <w:szCs w:val="21"/>
                <w:highlight w:val="none"/>
              </w:rPr>
            </w:pPr>
            <w:r>
              <w:rPr>
                <w:rFonts w:hint="eastAsia" w:ascii="宋体" w:hAnsi="宋体" w:cs="宋体"/>
                <w:color w:val="auto"/>
                <w:szCs w:val="21"/>
                <w:highlight w:val="none"/>
              </w:rPr>
              <w:t>0.9‰</w:t>
            </w:r>
          </w:p>
        </w:tc>
        <w:tc>
          <w:tcPr>
            <w:tcW w:w="720" w:type="dxa"/>
            <w:tcBorders>
              <w:top w:val="nil"/>
              <w:left w:val="nil"/>
              <w:bottom w:val="single" w:color="auto" w:sz="4" w:space="0"/>
              <w:right w:val="single" w:color="auto" w:sz="4" w:space="0"/>
            </w:tcBorders>
            <w:noWrap w:val="0"/>
            <w:vAlign w:val="center"/>
          </w:tcPr>
          <w:p w14:paraId="4D8952E3">
            <w:pPr>
              <w:jc w:val="center"/>
              <w:rPr>
                <w:rFonts w:ascii="宋体" w:hAnsi="宋体" w:cs="宋体"/>
                <w:color w:val="auto"/>
                <w:szCs w:val="21"/>
                <w:highlight w:val="none"/>
              </w:rPr>
            </w:pPr>
            <w:r>
              <w:rPr>
                <w:rFonts w:hint="eastAsia" w:ascii="宋体" w:hAnsi="宋体" w:cs="宋体"/>
                <w:color w:val="auto"/>
                <w:szCs w:val="21"/>
                <w:highlight w:val="none"/>
              </w:rPr>
              <w:t>0.8‰</w:t>
            </w:r>
          </w:p>
        </w:tc>
        <w:tc>
          <w:tcPr>
            <w:tcW w:w="2129" w:type="dxa"/>
            <w:tcBorders>
              <w:top w:val="nil"/>
              <w:left w:val="nil"/>
              <w:bottom w:val="single" w:color="auto" w:sz="4" w:space="0"/>
              <w:right w:val="single" w:color="auto" w:sz="4" w:space="0"/>
            </w:tcBorders>
            <w:noWrap w:val="0"/>
            <w:vAlign w:val="center"/>
          </w:tcPr>
          <w:p w14:paraId="28C9CE2D">
            <w:pPr>
              <w:spacing w:line="200" w:lineRule="exact"/>
              <w:rPr>
                <w:rFonts w:ascii="宋体" w:hAnsi="宋体" w:cs="宋体"/>
                <w:color w:val="auto"/>
                <w:sz w:val="18"/>
                <w:szCs w:val="18"/>
                <w:highlight w:val="none"/>
              </w:rPr>
            </w:pPr>
            <w:r>
              <w:rPr>
                <w:rFonts w:hint="eastAsia" w:ascii="宋体" w:hAnsi="宋体" w:cs="宋体"/>
                <w:color w:val="auto"/>
                <w:sz w:val="18"/>
                <w:szCs w:val="18"/>
                <w:highlight w:val="none"/>
              </w:rPr>
              <w:t>差额定率累进计费</w:t>
            </w:r>
          </w:p>
        </w:tc>
      </w:tr>
      <w:tr w14:paraId="0EB78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5" w:hRule="atLeast"/>
        </w:trPr>
        <w:tc>
          <w:tcPr>
            <w:tcW w:w="468" w:type="dxa"/>
            <w:vMerge w:val="continue"/>
            <w:tcBorders>
              <w:top w:val="nil"/>
              <w:left w:val="single" w:color="auto" w:sz="4" w:space="0"/>
              <w:bottom w:val="single" w:color="000000" w:sz="4" w:space="0"/>
              <w:right w:val="single" w:color="auto" w:sz="4" w:space="0"/>
            </w:tcBorders>
            <w:noWrap w:val="0"/>
            <w:vAlign w:val="center"/>
          </w:tcPr>
          <w:p w14:paraId="44A94484">
            <w:pPr>
              <w:jc w:val="center"/>
              <w:rPr>
                <w:rFonts w:ascii="宋体" w:hAnsi="宋体" w:cs="宋体"/>
                <w:color w:val="auto"/>
                <w:szCs w:val="21"/>
                <w:highlight w:val="none"/>
              </w:rPr>
            </w:pPr>
          </w:p>
        </w:tc>
        <w:tc>
          <w:tcPr>
            <w:tcW w:w="774" w:type="dxa"/>
            <w:gridSpan w:val="2"/>
            <w:vMerge w:val="continue"/>
            <w:tcBorders>
              <w:top w:val="nil"/>
              <w:left w:val="single" w:color="auto" w:sz="4" w:space="0"/>
              <w:bottom w:val="single" w:color="000000" w:sz="4" w:space="0"/>
              <w:right w:val="single" w:color="auto" w:sz="4" w:space="0"/>
            </w:tcBorders>
            <w:noWrap w:val="0"/>
            <w:vAlign w:val="center"/>
          </w:tcPr>
          <w:p w14:paraId="49027AAE">
            <w:pPr>
              <w:rPr>
                <w:rFonts w:ascii="宋体" w:hAnsi="宋体" w:cs="宋体"/>
                <w:color w:val="auto"/>
                <w:szCs w:val="21"/>
                <w:highlight w:val="none"/>
              </w:rPr>
            </w:pPr>
          </w:p>
        </w:tc>
        <w:tc>
          <w:tcPr>
            <w:tcW w:w="709" w:type="dxa"/>
            <w:tcBorders>
              <w:top w:val="nil"/>
              <w:left w:val="nil"/>
              <w:bottom w:val="single" w:color="auto" w:sz="4" w:space="0"/>
              <w:right w:val="single" w:color="auto" w:sz="4" w:space="0"/>
            </w:tcBorders>
            <w:noWrap w:val="0"/>
            <w:vAlign w:val="center"/>
          </w:tcPr>
          <w:p w14:paraId="013FA60D">
            <w:pPr>
              <w:spacing w:line="200" w:lineRule="exact"/>
              <w:rPr>
                <w:rFonts w:ascii="宋体" w:hAnsi="宋体" w:cs="宋体"/>
                <w:color w:val="auto"/>
                <w:sz w:val="18"/>
                <w:szCs w:val="18"/>
                <w:highlight w:val="none"/>
              </w:rPr>
            </w:pPr>
            <w:r>
              <w:rPr>
                <w:rFonts w:hint="eastAsia" w:ascii="宋体" w:hAnsi="宋体" w:cs="宋体"/>
                <w:color w:val="auto"/>
                <w:sz w:val="18"/>
                <w:szCs w:val="18"/>
                <w:highlight w:val="none"/>
              </w:rPr>
              <w:t>定额计价法</w:t>
            </w:r>
          </w:p>
        </w:tc>
        <w:tc>
          <w:tcPr>
            <w:tcW w:w="1066" w:type="dxa"/>
            <w:tcBorders>
              <w:top w:val="nil"/>
              <w:left w:val="nil"/>
              <w:bottom w:val="single" w:color="auto" w:sz="4" w:space="0"/>
              <w:right w:val="single" w:color="auto" w:sz="4" w:space="0"/>
            </w:tcBorders>
            <w:noWrap w:val="0"/>
            <w:vAlign w:val="center"/>
          </w:tcPr>
          <w:p w14:paraId="68A8139A">
            <w:pPr>
              <w:spacing w:line="200" w:lineRule="exact"/>
              <w:rPr>
                <w:rFonts w:ascii="宋体" w:hAnsi="宋体" w:cs="宋体"/>
                <w:color w:val="auto"/>
                <w:sz w:val="18"/>
                <w:szCs w:val="18"/>
                <w:highlight w:val="none"/>
              </w:rPr>
            </w:pPr>
            <w:r>
              <w:rPr>
                <w:rFonts w:hint="eastAsia" w:ascii="宋体" w:hAnsi="宋体" w:cs="宋体"/>
                <w:color w:val="auto"/>
                <w:sz w:val="18"/>
                <w:szCs w:val="18"/>
                <w:highlight w:val="none"/>
              </w:rPr>
              <w:t>编制或审核预算造价</w:t>
            </w:r>
          </w:p>
        </w:tc>
        <w:tc>
          <w:tcPr>
            <w:tcW w:w="3240" w:type="dxa"/>
            <w:tcBorders>
              <w:top w:val="nil"/>
              <w:left w:val="nil"/>
              <w:bottom w:val="single" w:color="auto" w:sz="4" w:space="0"/>
              <w:right w:val="single" w:color="auto" w:sz="4" w:space="0"/>
            </w:tcBorders>
            <w:noWrap w:val="0"/>
            <w:vAlign w:val="center"/>
          </w:tcPr>
          <w:p w14:paraId="55200020">
            <w:pPr>
              <w:spacing w:line="200" w:lineRule="exact"/>
              <w:rPr>
                <w:rFonts w:ascii="宋体" w:hAnsi="宋体" w:cs="宋体"/>
                <w:color w:val="auto"/>
                <w:sz w:val="18"/>
                <w:szCs w:val="18"/>
                <w:highlight w:val="none"/>
              </w:rPr>
            </w:pPr>
            <w:r>
              <w:rPr>
                <w:rFonts w:hint="eastAsia" w:ascii="宋体" w:hAnsi="宋体" w:cs="宋体"/>
                <w:color w:val="auto"/>
                <w:sz w:val="18"/>
                <w:szCs w:val="18"/>
                <w:highlight w:val="none"/>
              </w:rPr>
              <w:t>依据施工图编制或审核工程预算，出具工程预算书或审核报告</w:t>
            </w:r>
          </w:p>
        </w:tc>
        <w:tc>
          <w:tcPr>
            <w:tcW w:w="2247" w:type="dxa"/>
            <w:tcBorders>
              <w:top w:val="nil"/>
              <w:left w:val="nil"/>
              <w:bottom w:val="single" w:color="auto" w:sz="4" w:space="0"/>
              <w:right w:val="single" w:color="auto" w:sz="4" w:space="0"/>
            </w:tcBorders>
            <w:noWrap w:val="0"/>
            <w:vAlign w:val="center"/>
          </w:tcPr>
          <w:p w14:paraId="30023A4C">
            <w:pPr>
              <w:spacing w:line="200" w:lineRule="exact"/>
              <w:rPr>
                <w:rFonts w:ascii="宋体" w:hAnsi="宋体" w:cs="宋体"/>
                <w:color w:val="auto"/>
                <w:sz w:val="18"/>
                <w:szCs w:val="18"/>
                <w:highlight w:val="none"/>
              </w:rPr>
            </w:pPr>
            <w:r>
              <w:rPr>
                <w:rFonts w:hint="eastAsia" w:ascii="宋体" w:hAnsi="宋体" w:cs="宋体"/>
                <w:color w:val="auto"/>
                <w:sz w:val="18"/>
                <w:szCs w:val="18"/>
                <w:highlight w:val="none"/>
              </w:rPr>
              <w:t>预算造价（预算价、招标控制价、投标报价）　</w:t>
            </w:r>
          </w:p>
        </w:tc>
        <w:tc>
          <w:tcPr>
            <w:tcW w:w="882" w:type="dxa"/>
            <w:tcBorders>
              <w:top w:val="nil"/>
              <w:left w:val="nil"/>
              <w:bottom w:val="single" w:color="auto" w:sz="4" w:space="0"/>
              <w:right w:val="single" w:color="auto" w:sz="4" w:space="0"/>
            </w:tcBorders>
            <w:noWrap w:val="0"/>
            <w:vAlign w:val="center"/>
          </w:tcPr>
          <w:p w14:paraId="1AC78C59">
            <w:pPr>
              <w:jc w:val="center"/>
              <w:rPr>
                <w:rFonts w:ascii="宋体" w:hAnsi="宋体" w:cs="宋体"/>
                <w:color w:val="auto"/>
                <w:szCs w:val="21"/>
                <w:highlight w:val="none"/>
              </w:rPr>
            </w:pPr>
            <w:r>
              <w:rPr>
                <w:rFonts w:hint="eastAsia" w:ascii="宋体" w:hAnsi="宋体" w:cs="宋体"/>
                <w:color w:val="auto"/>
                <w:szCs w:val="21"/>
                <w:highlight w:val="none"/>
              </w:rPr>
              <w:t>3.5‰</w:t>
            </w:r>
          </w:p>
        </w:tc>
        <w:tc>
          <w:tcPr>
            <w:tcW w:w="1011" w:type="dxa"/>
            <w:tcBorders>
              <w:top w:val="nil"/>
              <w:left w:val="nil"/>
              <w:bottom w:val="single" w:color="auto" w:sz="4" w:space="0"/>
              <w:right w:val="single" w:color="auto" w:sz="4" w:space="0"/>
            </w:tcBorders>
            <w:noWrap w:val="0"/>
            <w:vAlign w:val="center"/>
          </w:tcPr>
          <w:p w14:paraId="74EADB53">
            <w:pPr>
              <w:jc w:val="center"/>
              <w:rPr>
                <w:rFonts w:ascii="宋体" w:hAnsi="宋体" w:cs="宋体"/>
                <w:color w:val="auto"/>
                <w:szCs w:val="21"/>
                <w:highlight w:val="none"/>
              </w:rPr>
            </w:pPr>
            <w:r>
              <w:rPr>
                <w:rFonts w:hint="eastAsia" w:ascii="宋体" w:hAnsi="宋体" w:cs="宋体"/>
                <w:color w:val="auto"/>
                <w:szCs w:val="21"/>
                <w:highlight w:val="none"/>
              </w:rPr>
              <w:t>3‰</w:t>
            </w:r>
          </w:p>
        </w:tc>
        <w:tc>
          <w:tcPr>
            <w:tcW w:w="1080" w:type="dxa"/>
            <w:gridSpan w:val="2"/>
            <w:tcBorders>
              <w:top w:val="nil"/>
              <w:left w:val="nil"/>
              <w:bottom w:val="single" w:color="auto" w:sz="4" w:space="0"/>
              <w:right w:val="single" w:color="auto" w:sz="4" w:space="0"/>
            </w:tcBorders>
            <w:noWrap w:val="0"/>
            <w:vAlign w:val="center"/>
          </w:tcPr>
          <w:p w14:paraId="5B08A2FD">
            <w:pPr>
              <w:jc w:val="center"/>
              <w:rPr>
                <w:rFonts w:ascii="宋体" w:hAnsi="宋体" w:cs="宋体"/>
                <w:color w:val="auto"/>
                <w:szCs w:val="21"/>
                <w:highlight w:val="none"/>
              </w:rPr>
            </w:pPr>
            <w:r>
              <w:rPr>
                <w:rFonts w:hint="eastAsia" w:ascii="宋体" w:hAnsi="宋体" w:cs="宋体"/>
                <w:color w:val="auto"/>
                <w:szCs w:val="21"/>
                <w:highlight w:val="none"/>
              </w:rPr>
              <w:t>2.8‰</w:t>
            </w:r>
          </w:p>
        </w:tc>
        <w:tc>
          <w:tcPr>
            <w:tcW w:w="900" w:type="dxa"/>
            <w:gridSpan w:val="2"/>
            <w:tcBorders>
              <w:top w:val="nil"/>
              <w:left w:val="nil"/>
              <w:bottom w:val="single" w:color="auto" w:sz="4" w:space="0"/>
              <w:right w:val="single" w:color="auto" w:sz="4" w:space="0"/>
            </w:tcBorders>
            <w:noWrap w:val="0"/>
            <w:vAlign w:val="center"/>
          </w:tcPr>
          <w:p w14:paraId="70CB624D">
            <w:pPr>
              <w:jc w:val="center"/>
              <w:rPr>
                <w:rFonts w:ascii="宋体" w:hAnsi="宋体" w:cs="宋体"/>
                <w:color w:val="auto"/>
                <w:szCs w:val="21"/>
                <w:highlight w:val="none"/>
              </w:rPr>
            </w:pPr>
            <w:r>
              <w:rPr>
                <w:rFonts w:hint="eastAsia" w:ascii="宋体" w:hAnsi="宋体" w:cs="宋体"/>
                <w:color w:val="auto"/>
                <w:szCs w:val="21"/>
                <w:highlight w:val="none"/>
              </w:rPr>
              <w:t>2.7‰</w:t>
            </w:r>
          </w:p>
        </w:tc>
        <w:tc>
          <w:tcPr>
            <w:tcW w:w="900" w:type="dxa"/>
            <w:gridSpan w:val="2"/>
            <w:tcBorders>
              <w:top w:val="nil"/>
              <w:left w:val="nil"/>
              <w:bottom w:val="single" w:color="auto" w:sz="4" w:space="0"/>
              <w:right w:val="single" w:color="auto" w:sz="4" w:space="0"/>
            </w:tcBorders>
            <w:noWrap w:val="0"/>
            <w:vAlign w:val="center"/>
          </w:tcPr>
          <w:p w14:paraId="521CCFBB">
            <w:pPr>
              <w:jc w:val="center"/>
              <w:rPr>
                <w:rFonts w:ascii="宋体" w:hAnsi="宋体" w:cs="宋体"/>
                <w:color w:val="auto"/>
                <w:szCs w:val="21"/>
                <w:highlight w:val="none"/>
              </w:rPr>
            </w:pPr>
            <w:r>
              <w:rPr>
                <w:rFonts w:hint="eastAsia" w:ascii="宋体" w:hAnsi="宋体" w:cs="宋体"/>
                <w:color w:val="auto"/>
                <w:szCs w:val="21"/>
                <w:highlight w:val="none"/>
              </w:rPr>
              <w:t>2.4‰</w:t>
            </w:r>
          </w:p>
        </w:tc>
        <w:tc>
          <w:tcPr>
            <w:tcW w:w="720" w:type="dxa"/>
            <w:tcBorders>
              <w:top w:val="nil"/>
              <w:left w:val="nil"/>
              <w:bottom w:val="single" w:color="auto" w:sz="4" w:space="0"/>
              <w:right w:val="single" w:color="auto" w:sz="4" w:space="0"/>
            </w:tcBorders>
            <w:noWrap w:val="0"/>
            <w:vAlign w:val="center"/>
          </w:tcPr>
          <w:p w14:paraId="5991D68A">
            <w:pPr>
              <w:jc w:val="center"/>
              <w:rPr>
                <w:rFonts w:ascii="宋体" w:hAnsi="宋体" w:cs="宋体"/>
                <w:color w:val="auto"/>
                <w:szCs w:val="21"/>
                <w:highlight w:val="none"/>
              </w:rPr>
            </w:pPr>
            <w:r>
              <w:rPr>
                <w:rFonts w:hint="eastAsia" w:ascii="宋体" w:hAnsi="宋体" w:cs="宋体"/>
                <w:color w:val="auto"/>
                <w:szCs w:val="21"/>
                <w:highlight w:val="none"/>
              </w:rPr>
              <w:t>2‰</w:t>
            </w:r>
          </w:p>
        </w:tc>
        <w:tc>
          <w:tcPr>
            <w:tcW w:w="2129" w:type="dxa"/>
            <w:tcBorders>
              <w:top w:val="nil"/>
              <w:left w:val="nil"/>
              <w:bottom w:val="single" w:color="auto" w:sz="4" w:space="0"/>
              <w:right w:val="single" w:color="auto" w:sz="4" w:space="0"/>
            </w:tcBorders>
            <w:noWrap w:val="0"/>
            <w:vAlign w:val="center"/>
          </w:tcPr>
          <w:p w14:paraId="05341175">
            <w:pPr>
              <w:spacing w:line="200" w:lineRule="exact"/>
              <w:rPr>
                <w:rFonts w:ascii="宋体" w:hAnsi="宋体" w:cs="宋体"/>
                <w:color w:val="auto"/>
                <w:sz w:val="18"/>
                <w:szCs w:val="18"/>
                <w:highlight w:val="none"/>
              </w:rPr>
            </w:pPr>
            <w:r>
              <w:rPr>
                <w:rFonts w:hint="eastAsia" w:ascii="宋体" w:hAnsi="宋体" w:cs="宋体"/>
                <w:color w:val="auto"/>
                <w:sz w:val="18"/>
                <w:szCs w:val="18"/>
                <w:highlight w:val="none"/>
              </w:rPr>
              <w:t>差额定率累进计费</w:t>
            </w:r>
          </w:p>
        </w:tc>
      </w:tr>
      <w:tr w14:paraId="008739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468" w:type="dxa"/>
            <w:tcBorders>
              <w:top w:val="nil"/>
              <w:left w:val="single" w:color="auto" w:sz="4" w:space="0"/>
              <w:bottom w:val="single" w:color="auto" w:sz="4" w:space="0"/>
              <w:right w:val="single" w:color="auto" w:sz="4" w:space="0"/>
            </w:tcBorders>
            <w:noWrap w:val="0"/>
            <w:vAlign w:val="center"/>
          </w:tcPr>
          <w:p w14:paraId="6BE468E8">
            <w:pPr>
              <w:jc w:val="center"/>
              <w:rPr>
                <w:rFonts w:ascii="宋体" w:hAnsi="宋体" w:cs="宋体"/>
                <w:color w:val="auto"/>
                <w:szCs w:val="21"/>
                <w:highlight w:val="none"/>
              </w:rPr>
            </w:pPr>
            <w:r>
              <w:rPr>
                <w:rFonts w:hint="eastAsia" w:ascii="宋体" w:hAnsi="宋体" w:cs="宋体"/>
                <w:color w:val="auto"/>
                <w:szCs w:val="21"/>
                <w:highlight w:val="none"/>
              </w:rPr>
              <w:t>4</w:t>
            </w:r>
          </w:p>
        </w:tc>
        <w:tc>
          <w:tcPr>
            <w:tcW w:w="2549" w:type="dxa"/>
            <w:gridSpan w:val="4"/>
            <w:tcBorders>
              <w:top w:val="single" w:color="auto" w:sz="4" w:space="0"/>
              <w:left w:val="nil"/>
              <w:bottom w:val="single" w:color="auto" w:sz="4" w:space="0"/>
              <w:right w:val="single" w:color="auto" w:sz="4" w:space="0"/>
            </w:tcBorders>
            <w:noWrap w:val="0"/>
            <w:vAlign w:val="center"/>
          </w:tcPr>
          <w:p w14:paraId="166E8ABD">
            <w:pPr>
              <w:jc w:val="center"/>
              <w:rPr>
                <w:rFonts w:ascii="宋体" w:hAnsi="宋体" w:cs="宋体"/>
                <w:color w:val="auto"/>
                <w:szCs w:val="21"/>
                <w:highlight w:val="none"/>
              </w:rPr>
            </w:pPr>
            <w:r>
              <w:rPr>
                <w:rFonts w:hint="eastAsia" w:ascii="宋体" w:hAnsi="宋体" w:cs="宋体"/>
                <w:color w:val="auto"/>
                <w:szCs w:val="21"/>
                <w:highlight w:val="none"/>
              </w:rPr>
              <w:t>　工程结算的编制</w:t>
            </w:r>
          </w:p>
        </w:tc>
        <w:tc>
          <w:tcPr>
            <w:tcW w:w="3240" w:type="dxa"/>
            <w:tcBorders>
              <w:top w:val="nil"/>
              <w:left w:val="nil"/>
              <w:bottom w:val="single" w:color="auto" w:sz="4" w:space="0"/>
              <w:right w:val="single" w:color="auto" w:sz="4" w:space="0"/>
            </w:tcBorders>
            <w:noWrap w:val="0"/>
            <w:vAlign w:val="center"/>
          </w:tcPr>
          <w:p w14:paraId="037FA8C5">
            <w:pPr>
              <w:spacing w:line="200" w:lineRule="exact"/>
              <w:rPr>
                <w:rFonts w:ascii="宋体" w:hAnsi="宋体" w:cs="宋体"/>
                <w:color w:val="auto"/>
                <w:sz w:val="18"/>
                <w:szCs w:val="18"/>
                <w:highlight w:val="none"/>
              </w:rPr>
            </w:pPr>
            <w:r>
              <w:rPr>
                <w:rFonts w:hint="eastAsia" w:ascii="宋体" w:hAnsi="宋体" w:cs="宋体"/>
                <w:color w:val="auto"/>
                <w:sz w:val="18"/>
                <w:szCs w:val="18"/>
                <w:highlight w:val="none"/>
              </w:rPr>
              <w:t>依据竣工图等竣工资料编制工程结算，出具工程结算书</w:t>
            </w:r>
          </w:p>
        </w:tc>
        <w:tc>
          <w:tcPr>
            <w:tcW w:w="2247" w:type="dxa"/>
            <w:tcBorders>
              <w:top w:val="nil"/>
              <w:left w:val="nil"/>
              <w:bottom w:val="single" w:color="auto" w:sz="4" w:space="0"/>
              <w:right w:val="single" w:color="auto" w:sz="4" w:space="0"/>
            </w:tcBorders>
            <w:noWrap w:val="0"/>
            <w:vAlign w:val="center"/>
          </w:tcPr>
          <w:p w14:paraId="4F81E6FE">
            <w:pPr>
              <w:spacing w:line="200" w:lineRule="exact"/>
              <w:jc w:val="center"/>
              <w:rPr>
                <w:rFonts w:ascii="宋体" w:hAnsi="宋体" w:cs="宋体"/>
                <w:color w:val="auto"/>
                <w:szCs w:val="21"/>
                <w:highlight w:val="none"/>
              </w:rPr>
            </w:pPr>
            <w:r>
              <w:rPr>
                <w:rFonts w:hint="eastAsia" w:ascii="宋体" w:hAnsi="宋体" w:cs="宋体"/>
                <w:color w:val="auto"/>
                <w:szCs w:val="21"/>
                <w:highlight w:val="none"/>
              </w:rPr>
              <w:t>结算价</w:t>
            </w:r>
          </w:p>
        </w:tc>
        <w:tc>
          <w:tcPr>
            <w:tcW w:w="882" w:type="dxa"/>
            <w:tcBorders>
              <w:top w:val="nil"/>
              <w:left w:val="nil"/>
              <w:bottom w:val="single" w:color="auto" w:sz="4" w:space="0"/>
              <w:right w:val="single" w:color="auto" w:sz="4" w:space="0"/>
            </w:tcBorders>
            <w:noWrap w:val="0"/>
            <w:vAlign w:val="center"/>
          </w:tcPr>
          <w:p w14:paraId="7617C41A">
            <w:pPr>
              <w:jc w:val="center"/>
              <w:rPr>
                <w:rFonts w:ascii="宋体" w:hAnsi="宋体" w:cs="宋体"/>
                <w:color w:val="auto"/>
                <w:szCs w:val="21"/>
                <w:highlight w:val="none"/>
              </w:rPr>
            </w:pPr>
            <w:r>
              <w:rPr>
                <w:rFonts w:hint="eastAsia" w:ascii="宋体" w:hAnsi="宋体" w:cs="宋体"/>
                <w:color w:val="auto"/>
                <w:szCs w:val="21"/>
                <w:highlight w:val="none"/>
              </w:rPr>
              <w:t>4.5‰</w:t>
            </w:r>
          </w:p>
        </w:tc>
        <w:tc>
          <w:tcPr>
            <w:tcW w:w="1011" w:type="dxa"/>
            <w:tcBorders>
              <w:top w:val="nil"/>
              <w:left w:val="nil"/>
              <w:bottom w:val="single" w:color="auto" w:sz="4" w:space="0"/>
              <w:right w:val="single" w:color="auto" w:sz="4" w:space="0"/>
            </w:tcBorders>
            <w:noWrap w:val="0"/>
            <w:vAlign w:val="center"/>
          </w:tcPr>
          <w:p w14:paraId="15B479AD">
            <w:pPr>
              <w:jc w:val="center"/>
              <w:rPr>
                <w:rFonts w:ascii="宋体" w:hAnsi="宋体" w:cs="宋体"/>
                <w:color w:val="auto"/>
                <w:szCs w:val="21"/>
                <w:highlight w:val="none"/>
              </w:rPr>
            </w:pPr>
            <w:r>
              <w:rPr>
                <w:rFonts w:hint="eastAsia" w:ascii="宋体" w:hAnsi="宋体" w:cs="宋体"/>
                <w:color w:val="auto"/>
                <w:szCs w:val="21"/>
                <w:highlight w:val="none"/>
              </w:rPr>
              <w:t>4‰</w:t>
            </w:r>
          </w:p>
        </w:tc>
        <w:tc>
          <w:tcPr>
            <w:tcW w:w="1080" w:type="dxa"/>
            <w:gridSpan w:val="2"/>
            <w:tcBorders>
              <w:top w:val="nil"/>
              <w:left w:val="nil"/>
              <w:bottom w:val="single" w:color="auto" w:sz="4" w:space="0"/>
              <w:right w:val="single" w:color="auto" w:sz="4" w:space="0"/>
            </w:tcBorders>
            <w:noWrap w:val="0"/>
            <w:vAlign w:val="center"/>
          </w:tcPr>
          <w:p w14:paraId="06995DC8">
            <w:pPr>
              <w:jc w:val="center"/>
              <w:rPr>
                <w:rFonts w:ascii="宋体" w:hAnsi="宋体" w:cs="宋体"/>
                <w:color w:val="auto"/>
                <w:szCs w:val="21"/>
                <w:highlight w:val="none"/>
              </w:rPr>
            </w:pPr>
            <w:r>
              <w:rPr>
                <w:rFonts w:hint="eastAsia" w:ascii="宋体" w:hAnsi="宋体" w:cs="宋体"/>
                <w:color w:val="auto"/>
                <w:szCs w:val="21"/>
                <w:highlight w:val="none"/>
              </w:rPr>
              <w:t>3.5‰</w:t>
            </w:r>
          </w:p>
        </w:tc>
        <w:tc>
          <w:tcPr>
            <w:tcW w:w="900" w:type="dxa"/>
            <w:gridSpan w:val="2"/>
            <w:tcBorders>
              <w:top w:val="nil"/>
              <w:left w:val="nil"/>
              <w:bottom w:val="single" w:color="auto" w:sz="4" w:space="0"/>
              <w:right w:val="single" w:color="auto" w:sz="4" w:space="0"/>
            </w:tcBorders>
            <w:noWrap w:val="0"/>
            <w:vAlign w:val="center"/>
          </w:tcPr>
          <w:p w14:paraId="321C4DD2">
            <w:pPr>
              <w:jc w:val="center"/>
              <w:rPr>
                <w:rFonts w:ascii="宋体" w:hAnsi="宋体" w:cs="宋体"/>
                <w:color w:val="auto"/>
                <w:szCs w:val="21"/>
                <w:highlight w:val="none"/>
              </w:rPr>
            </w:pPr>
            <w:r>
              <w:rPr>
                <w:rFonts w:hint="eastAsia" w:ascii="宋体" w:hAnsi="宋体" w:cs="宋体"/>
                <w:color w:val="auto"/>
                <w:szCs w:val="21"/>
                <w:highlight w:val="none"/>
              </w:rPr>
              <w:t>3.3‰</w:t>
            </w:r>
          </w:p>
        </w:tc>
        <w:tc>
          <w:tcPr>
            <w:tcW w:w="900" w:type="dxa"/>
            <w:gridSpan w:val="2"/>
            <w:tcBorders>
              <w:top w:val="nil"/>
              <w:left w:val="nil"/>
              <w:bottom w:val="single" w:color="auto" w:sz="4" w:space="0"/>
              <w:right w:val="single" w:color="auto" w:sz="4" w:space="0"/>
            </w:tcBorders>
            <w:noWrap w:val="0"/>
            <w:vAlign w:val="center"/>
          </w:tcPr>
          <w:p w14:paraId="3B193F8D">
            <w:pPr>
              <w:jc w:val="center"/>
              <w:rPr>
                <w:rFonts w:ascii="宋体" w:hAnsi="宋体" w:cs="宋体"/>
                <w:color w:val="auto"/>
                <w:szCs w:val="21"/>
                <w:highlight w:val="none"/>
              </w:rPr>
            </w:pPr>
            <w:r>
              <w:rPr>
                <w:rFonts w:hint="eastAsia" w:ascii="宋体" w:hAnsi="宋体" w:cs="宋体"/>
                <w:color w:val="auto"/>
                <w:szCs w:val="21"/>
                <w:highlight w:val="none"/>
              </w:rPr>
              <w:t>3‰</w:t>
            </w:r>
          </w:p>
        </w:tc>
        <w:tc>
          <w:tcPr>
            <w:tcW w:w="720" w:type="dxa"/>
            <w:tcBorders>
              <w:top w:val="nil"/>
              <w:left w:val="nil"/>
              <w:bottom w:val="single" w:color="auto" w:sz="4" w:space="0"/>
              <w:right w:val="single" w:color="auto" w:sz="4" w:space="0"/>
            </w:tcBorders>
            <w:noWrap w:val="0"/>
            <w:vAlign w:val="center"/>
          </w:tcPr>
          <w:p w14:paraId="0D7AC012">
            <w:pPr>
              <w:jc w:val="center"/>
              <w:rPr>
                <w:rFonts w:ascii="宋体" w:hAnsi="宋体" w:cs="宋体"/>
                <w:color w:val="auto"/>
                <w:szCs w:val="21"/>
                <w:highlight w:val="none"/>
              </w:rPr>
            </w:pPr>
            <w:r>
              <w:rPr>
                <w:rFonts w:hint="eastAsia" w:ascii="宋体" w:hAnsi="宋体" w:cs="宋体"/>
                <w:color w:val="auto"/>
                <w:szCs w:val="21"/>
                <w:highlight w:val="none"/>
              </w:rPr>
              <w:t>2.5‰</w:t>
            </w:r>
          </w:p>
        </w:tc>
        <w:tc>
          <w:tcPr>
            <w:tcW w:w="2129" w:type="dxa"/>
            <w:tcBorders>
              <w:top w:val="nil"/>
              <w:left w:val="nil"/>
              <w:bottom w:val="single" w:color="auto" w:sz="4" w:space="0"/>
              <w:right w:val="single" w:color="auto" w:sz="4" w:space="0"/>
            </w:tcBorders>
            <w:noWrap w:val="0"/>
            <w:vAlign w:val="center"/>
          </w:tcPr>
          <w:p w14:paraId="5F4CFF70">
            <w:pPr>
              <w:spacing w:line="200" w:lineRule="exact"/>
              <w:rPr>
                <w:rFonts w:ascii="宋体" w:hAnsi="宋体" w:cs="宋体"/>
                <w:color w:val="auto"/>
                <w:sz w:val="18"/>
                <w:szCs w:val="18"/>
                <w:highlight w:val="none"/>
              </w:rPr>
            </w:pPr>
            <w:r>
              <w:rPr>
                <w:rFonts w:hint="eastAsia" w:ascii="宋体" w:hAnsi="宋体" w:cs="宋体"/>
                <w:color w:val="auto"/>
                <w:sz w:val="18"/>
                <w:szCs w:val="18"/>
                <w:highlight w:val="none"/>
              </w:rPr>
              <w:t>差额定率累进计费</w:t>
            </w:r>
          </w:p>
        </w:tc>
      </w:tr>
      <w:tr w14:paraId="5CA3A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5" w:hRule="atLeast"/>
        </w:trPr>
        <w:tc>
          <w:tcPr>
            <w:tcW w:w="468" w:type="dxa"/>
            <w:vMerge w:val="restart"/>
            <w:tcBorders>
              <w:top w:val="nil"/>
              <w:left w:val="single" w:color="auto" w:sz="4" w:space="0"/>
              <w:right w:val="single" w:color="auto" w:sz="4" w:space="0"/>
            </w:tcBorders>
            <w:noWrap w:val="0"/>
            <w:vAlign w:val="center"/>
          </w:tcPr>
          <w:p w14:paraId="58E1718E">
            <w:pPr>
              <w:jc w:val="center"/>
              <w:rPr>
                <w:rFonts w:ascii="宋体" w:hAnsi="宋体" w:cs="宋体"/>
                <w:color w:val="auto"/>
                <w:szCs w:val="21"/>
                <w:highlight w:val="none"/>
              </w:rPr>
            </w:pPr>
            <w:r>
              <w:rPr>
                <w:rFonts w:hint="eastAsia" w:ascii="宋体" w:hAnsi="宋体" w:cs="宋体"/>
                <w:color w:val="auto"/>
                <w:szCs w:val="21"/>
                <w:highlight w:val="none"/>
              </w:rPr>
              <w:t>5</w:t>
            </w:r>
          </w:p>
        </w:tc>
        <w:tc>
          <w:tcPr>
            <w:tcW w:w="749" w:type="dxa"/>
            <w:vMerge w:val="restart"/>
            <w:tcBorders>
              <w:top w:val="single" w:color="auto" w:sz="4" w:space="0"/>
              <w:left w:val="nil"/>
              <w:right w:val="single" w:color="auto" w:sz="4" w:space="0"/>
            </w:tcBorders>
            <w:noWrap w:val="0"/>
            <w:vAlign w:val="center"/>
          </w:tcPr>
          <w:p w14:paraId="2D6AB1EA">
            <w:pPr>
              <w:spacing w:line="200" w:lineRule="exact"/>
              <w:rPr>
                <w:rFonts w:hint="eastAsia" w:ascii="宋体" w:hAnsi="宋体" w:cs="宋体"/>
                <w:color w:val="auto"/>
                <w:szCs w:val="21"/>
                <w:highlight w:val="none"/>
              </w:rPr>
            </w:pPr>
            <w:r>
              <w:rPr>
                <w:rFonts w:hint="eastAsia" w:ascii="宋体" w:hAnsi="宋体" w:cs="宋体"/>
                <w:color w:val="auto"/>
                <w:sz w:val="18"/>
                <w:szCs w:val="18"/>
                <w:highlight w:val="none"/>
              </w:rPr>
              <w:t>工程结算审核</w:t>
            </w:r>
          </w:p>
        </w:tc>
        <w:tc>
          <w:tcPr>
            <w:tcW w:w="1800" w:type="dxa"/>
            <w:gridSpan w:val="3"/>
            <w:tcBorders>
              <w:top w:val="single" w:color="auto" w:sz="4" w:space="0"/>
              <w:left w:val="nil"/>
              <w:bottom w:val="single" w:color="auto" w:sz="4" w:space="0"/>
              <w:right w:val="single" w:color="auto" w:sz="4" w:space="0"/>
            </w:tcBorders>
            <w:noWrap w:val="0"/>
            <w:vAlign w:val="center"/>
          </w:tcPr>
          <w:p w14:paraId="170215D0">
            <w:pPr>
              <w:jc w:val="center"/>
              <w:rPr>
                <w:rFonts w:ascii="宋体" w:hAnsi="宋体" w:cs="宋体"/>
                <w:color w:val="auto"/>
                <w:szCs w:val="21"/>
                <w:highlight w:val="none"/>
              </w:rPr>
            </w:pPr>
            <w:r>
              <w:rPr>
                <w:rFonts w:hint="eastAsia" w:ascii="宋体" w:hAnsi="宋体"/>
                <w:color w:val="auto"/>
                <w:szCs w:val="21"/>
                <w:highlight w:val="none"/>
              </w:rPr>
              <w:t>（1）基本收费　</w:t>
            </w:r>
          </w:p>
        </w:tc>
        <w:tc>
          <w:tcPr>
            <w:tcW w:w="3240" w:type="dxa"/>
            <w:vMerge w:val="restart"/>
            <w:tcBorders>
              <w:top w:val="nil"/>
              <w:left w:val="nil"/>
              <w:right w:val="single" w:color="auto" w:sz="4" w:space="0"/>
            </w:tcBorders>
            <w:noWrap w:val="0"/>
            <w:vAlign w:val="center"/>
          </w:tcPr>
          <w:p w14:paraId="50DA4853">
            <w:pPr>
              <w:spacing w:line="200" w:lineRule="exact"/>
              <w:rPr>
                <w:rFonts w:ascii="宋体" w:hAnsi="宋体" w:cs="宋体"/>
                <w:color w:val="auto"/>
                <w:sz w:val="18"/>
                <w:szCs w:val="18"/>
                <w:highlight w:val="none"/>
              </w:rPr>
            </w:pPr>
            <w:r>
              <w:rPr>
                <w:rFonts w:hint="eastAsia" w:ascii="宋体" w:hAnsi="宋体" w:cs="宋体"/>
                <w:color w:val="auto"/>
                <w:sz w:val="18"/>
                <w:szCs w:val="18"/>
                <w:highlight w:val="none"/>
              </w:rPr>
              <w:t>依据竣工图、签证资料、工程结算书等进行审核，出具工程结算审核报告</w:t>
            </w:r>
          </w:p>
        </w:tc>
        <w:tc>
          <w:tcPr>
            <w:tcW w:w="2247" w:type="dxa"/>
            <w:tcBorders>
              <w:top w:val="nil"/>
              <w:left w:val="nil"/>
              <w:bottom w:val="single" w:color="auto" w:sz="4" w:space="0"/>
              <w:right w:val="single" w:color="auto" w:sz="4" w:space="0"/>
            </w:tcBorders>
            <w:noWrap w:val="0"/>
            <w:vAlign w:val="center"/>
          </w:tcPr>
          <w:p w14:paraId="7895D66A">
            <w:pPr>
              <w:spacing w:line="200" w:lineRule="exact"/>
              <w:jc w:val="center"/>
              <w:rPr>
                <w:rFonts w:ascii="宋体" w:hAnsi="宋体" w:cs="宋体"/>
                <w:color w:val="auto"/>
                <w:szCs w:val="21"/>
                <w:highlight w:val="none"/>
              </w:rPr>
            </w:pPr>
            <w:r>
              <w:rPr>
                <w:rFonts w:hint="eastAsia" w:ascii="宋体" w:hAnsi="宋体" w:cs="宋体"/>
                <w:color w:val="auto"/>
                <w:szCs w:val="21"/>
                <w:highlight w:val="none"/>
              </w:rPr>
              <w:t>送审结算价</w:t>
            </w:r>
          </w:p>
        </w:tc>
        <w:tc>
          <w:tcPr>
            <w:tcW w:w="882" w:type="dxa"/>
            <w:tcBorders>
              <w:top w:val="nil"/>
              <w:left w:val="nil"/>
              <w:bottom w:val="single" w:color="auto" w:sz="4" w:space="0"/>
              <w:right w:val="single" w:color="auto" w:sz="4" w:space="0"/>
            </w:tcBorders>
            <w:noWrap w:val="0"/>
            <w:vAlign w:val="center"/>
          </w:tcPr>
          <w:p w14:paraId="660ECD3E">
            <w:pPr>
              <w:jc w:val="center"/>
              <w:rPr>
                <w:rFonts w:ascii="宋体" w:hAnsi="宋体" w:cs="宋体"/>
                <w:color w:val="auto"/>
                <w:szCs w:val="21"/>
                <w:highlight w:val="none"/>
              </w:rPr>
            </w:pPr>
            <w:r>
              <w:rPr>
                <w:rFonts w:hint="eastAsia" w:ascii="宋体" w:hAnsi="宋体" w:cs="宋体"/>
                <w:color w:val="auto"/>
                <w:szCs w:val="21"/>
                <w:highlight w:val="none"/>
              </w:rPr>
              <w:t>2.8‰</w:t>
            </w:r>
          </w:p>
        </w:tc>
        <w:tc>
          <w:tcPr>
            <w:tcW w:w="1011" w:type="dxa"/>
            <w:tcBorders>
              <w:top w:val="nil"/>
              <w:left w:val="nil"/>
              <w:bottom w:val="single" w:color="auto" w:sz="4" w:space="0"/>
              <w:right w:val="single" w:color="auto" w:sz="4" w:space="0"/>
            </w:tcBorders>
            <w:noWrap w:val="0"/>
            <w:vAlign w:val="center"/>
          </w:tcPr>
          <w:p w14:paraId="77B94E81">
            <w:pPr>
              <w:jc w:val="center"/>
              <w:rPr>
                <w:rFonts w:ascii="宋体" w:hAnsi="宋体" w:cs="宋体"/>
                <w:color w:val="auto"/>
                <w:szCs w:val="21"/>
                <w:highlight w:val="none"/>
              </w:rPr>
            </w:pPr>
            <w:r>
              <w:rPr>
                <w:rFonts w:hint="eastAsia" w:ascii="宋体" w:hAnsi="宋体" w:cs="宋体"/>
                <w:color w:val="auto"/>
                <w:szCs w:val="21"/>
                <w:highlight w:val="none"/>
              </w:rPr>
              <w:t>2.5‰</w:t>
            </w:r>
          </w:p>
        </w:tc>
        <w:tc>
          <w:tcPr>
            <w:tcW w:w="1080" w:type="dxa"/>
            <w:gridSpan w:val="2"/>
            <w:tcBorders>
              <w:top w:val="nil"/>
              <w:left w:val="nil"/>
              <w:bottom w:val="single" w:color="auto" w:sz="4" w:space="0"/>
              <w:right w:val="single" w:color="auto" w:sz="4" w:space="0"/>
            </w:tcBorders>
            <w:noWrap w:val="0"/>
            <w:vAlign w:val="center"/>
          </w:tcPr>
          <w:p w14:paraId="1788CAE0">
            <w:pPr>
              <w:jc w:val="center"/>
              <w:rPr>
                <w:rFonts w:ascii="宋体" w:hAnsi="宋体" w:cs="宋体"/>
                <w:color w:val="auto"/>
                <w:szCs w:val="21"/>
                <w:highlight w:val="none"/>
              </w:rPr>
            </w:pPr>
            <w:r>
              <w:rPr>
                <w:rFonts w:hint="eastAsia" w:ascii="宋体" w:hAnsi="宋体" w:cs="宋体"/>
                <w:color w:val="auto"/>
                <w:szCs w:val="21"/>
                <w:highlight w:val="none"/>
              </w:rPr>
              <w:t>2.2‰</w:t>
            </w:r>
          </w:p>
        </w:tc>
        <w:tc>
          <w:tcPr>
            <w:tcW w:w="900" w:type="dxa"/>
            <w:gridSpan w:val="2"/>
            <w:tcBorders>
              <w:top w:val="nil"/>
              <w:left w:val="nil"/>
              <w:bottom w:val="single" w:color="auto" w:sz="4" w:space="0"/>
              <w:right w:val="single" w:color="auto" w:sz="4" w:space="0"/>
            </w:tcBorders>
            <w:noWrap w:val="0"/>
            <w:vAlign w:val="center"/>
          </w:tcPr>
          <w:p w14:paraId="328D903A">
            <w:pPr>
              <w:jc w:val="center"/>
              <w:rPr>
                <w:rFonts w:ascii="宋体" w:hAnsi="宋体" w:cs="宋体"/>
                <w:color w:val="auto"/>
                <w:szCs w:val="21"/>
                <w:highlight w:val="none"/>
              </w:rPr>
            </w:pPr>
            <w:r>
              <w:rPr>
                <w:rFonts w:hint="eastAsia" w:ascii="宋体" w:hAnsi="宋体" w:cs="宋体"/>
                <w:color w:val="auto"/>
                <w:szCs w:val="21"/>
                <w:highlight w:val="none"/>
              </w:rPr>
              <w:t>1.6‰</w:t>
            </w:r>
          </w:p>
        </w:tc>
        <w:tc>
          <w:tcPr>
            <w:tcW w:w="900" w:type="dxa"/>
            <w:gridSpan w:val="2"/>
            <w:tcBorders>
              <w:top w:val="nil"/>
              <w:left w:val="nil"/>
              <w:bottom w:val="single" w:color="auto" w:sz="4" w:space="0"/>
              <w:right w:val="single" w:color="auto" w:sz="4" w:space="0"/>
            </w:tcBorders>
            <w:noWrap w:val="0"/>
            <w:vAlign w:val="center"/>
          </w:tcPr>
          <w:p w14:paraId="1CC353C6">
            <w:pPr>
              <w:jc w:val="center"/>
              <w:rPr>
                <w:rFonts w:ascii="宋体" w:hAnsi="宋体" w:cs="宋体"/>
                <w:color w:val="auto"/>
                <w:szCs w:val="21"/>
                <w:highlight w:val="none"/>
              </w:rPr>
            </w:pPr>
            <w:r>
              <w:rPr>
                <w:rFonts w:hint="eastAsia" w:ascii="宋体" w:hAnsi="宋体" w:cs="宋体"/>
                <w:color w:val="auto"/>
                <w:szCs w:val="21"/>
                <w:highlight w:val="none"/>
              </w:rPr>
              <w:t>1.3‰</w:t>
            </w:r>
          </w:p>
        </w:tc>
        <w:tc>
          <w:tcPr>
            <w:tcW w:w="720" w:type="dxa"/>
            <w:tcBorders>
              <w:top w:val="nil"/>
              <w:left w:val="nil"/>
              <w:bottom w:val="single" w:color="auto" w:sz="4" w:space="0"/>
              <w:right w:val="single" w:color="auto" w:sz="4" w:space="0"/>
            </w:tcBorders>
            <w:noWrap w:val="0"/>
            <w:vAlign w:val="center"/>
          </w:tcPr>
          <w:p w14:paraId="734A6A55">
            <w:pPr>
              <w:jc w:val="center"/>
              <w:rPr>
                <w:rFonts w:ascii="宋体" w:hAnsi="宋体" w:cs="宋体"/>
                <w:color w:val="auto"/>
                <w:szCs w:val="21"/>
                <w:highlight w:val="none"/>
              </w:rPr>
            </w:pPr>
            <w:r>
              <w:rPr>
                <w:rFonts w:hint="eastAsia" w:ascii="宋体" w:hAnsi="宋体" w:cs="宋体"/>
                <w:color w:val="auto"/>
                <w:szCs w:val="21"/>
                <w:highlight w:val="none"/>
              </w:rPr>
              <w:t>1‰</w:t>
            </w:r>
          </w:p>
        </w:tc>
        <w:tc>
          <w:tcPr>
            <w:tcW w:w="2129" w:type="dxa"/>
            <w:vMerge w:val="restart"/>
            <w:tcBorders>
              <w:top w:val="nil"/>
              <w:left w:val="nil"/>
              <w:right w:val="single" w:color="auto" w:sz="4" w:space="0"/>
            </w:tcBorders>
            <w:noWrap w:val="0"/>
            <w:vAlign w:val="center"/>
          </w:tcPr>
          <w:p w14:paraId="13EDE746">
            <w:pPr>
              <w:spacing w:line="200" w:lineRule="exact"/>
              <w:rPr>
                <w:rFonts w:ascii="宋体" w:hAnsi="宋体" w:cs="宋体"/>
                <w:color w:val="auto"/>
                <w:sz w:val="18"/>
                <w:szCs w:val="18"/>
                <w:highlight w:val="none"/>
              </w:rPr>
            </w:pPr>
            <w:r>
              <w:rPr>
                <w:rFonts w:hint="eastAsia" w:ascii="宋体" w:hAnsi="宋体" w:cs="宋体"/>
                <w:color w:val="auto"/>
                <w:sz w:val="18"/>
                <w:szCs w:val="18"/>
                <w:highlight w:val="none"/>
              </w:rPr>
              <w:t>基本收费为差额定率累进计费；总收费=基本收费+效益收费</w:t>
            </w:r>
          </w:p>
        </w:tc>
      </w:tr>
      <w:tr w14:paraId="3B6108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8" w:hRule="atLeast"/>
        </w:trPr>
        <w:tc>
          <w:tcPr>
            <w:tcW w:w="468" w:type="dxa"/>
            <w:vMerge w:val="continue"/>
            <w:tcBorders>
              <w:left w:val="single" w:color="auto" w:sz="4" w:space="0"/>
              <w:bottom w:val="single" w:color="auto" w:sz="4" w:space="0"/>
              <w:right w:val="single" w:color="auto" w:sz="4" w:space="0"/>
            </w:tcBorders>
            <w:noWrap w:val="0"/>
            <w:vAlign w:val="center"/>
          </w:tcPr>
          <w:p w14:paraId="5FDF0C25">
            <w:pPr>
              <w:jc w:val="center"/>
              <w:rPr>
                <w:rFonts w:hint="eastAsia" w:ascii="宋体" w:hAnsi="宋体" w:cs="宋体"/>
                <w:color w:val="auto"/>
                <w:szCs w:val="21"/>
                <w:highlight w:val="none"/>
              </w:rPr>
            </w:pPr>
          </w:p>
        </w:tc>
        <w:tc>
          <w:tcPr>
            <w:tcW w:w="749" w:type="dxa"/>
            <w:vMerge w:val="continue"/>
            <w:tcBorders>
              <w:left w:val="nil"/>
              <w:bottom w:val="single" w:color="auto" w:sz="4" w:space="0"/>
              <w:right w:val="single" w:color="auto" w:sz="4" w:space="0"/>
            </w:tcBorders>
            <w:noWrap w:val="0"/>
            <w:vAlign w:val="center"/>
          </w:tcPr>
          <w:p w14:paraId="286C4852">
            <w:pPr>
              <w:jc w:val="center"/>
              <w:rPr>
                <w:rFonts w:ascii="宋体" w:hAnsi="宋体" w:cs="宋体"/>
                <w:color w:val="auto"/>
                <w:szCs w:val="21"/>
                <w:highlight w:val="none"/>
              </w:rPr>
            </w:pPr>
          </w:p>
        </w:tc>
        <w:tc>
          <w:tcPr>
            <w:tcW w:w="1800" w:type="dxa"/>
            <w:gridSpan w:val="3"/>
            <w:tcBorders>
              <w:top w:val="single" w:color="auto" w:sz="4" w:space="0"/>
              <w:left w:val="nil"/>
              <w:bottom w:val="single" w:color="auto" w:sz="4" w:space="0"/>
              <w:right w:val="single" w:color="auto" w:sz="4" w:space="0"/>
            </w:tcBorders>
            <w:noWrap w:val="0"/>
            <w:vAlign w:val="center"/>
          </w:tcPr>
          <w:p w14:paraId="3FEB95C4">
            <w:pPr>
              <w:jc w:val="center"/>
              <w:rPr>
                <w:rFonts w:hint="eastAsia" w:ascii="宋体" w:hAnsi="宋体"/>
                <w:color w:val="auto"/>
                <w:szCs w:val="21"/>
                <w:highlight w:val="none"/>
              </w:rPr>
            </w:pPr>
            <w:r>
              <w:rPr>
                <w:rFonts w:hint="eastAsia" w:ascii="宋体" w:hAnsi="宋体"/>
                <w:color w:val="auto"/>
                <w:szCs w:val="21"/>
                <w:highlight w:val="none"/>
              </w:rPr>
              <w:t>（2）效益收费</w:t>
            </w:r>
          </w:p>
        </w:tc>
        <w:tc>
          <w:tcPr>
            <w:tcW w:w="3240" w:type="dxa"/>
            <w:vMerge w:val="continue"/>
            <w:tcBorders>
              <w:left w:val="nil"/>
              <w:bottom w:val="single" w:color="auto" w:sz="4" w:space="0"/>
              <w:right w:val="single" w:color="auto" w:sz="4" w:space="0"/>
            </w:tcBorders>
            <w:noWrap w:val="0"/>
            <w:vAlign w:val="center"/>
          </w:tcPr>
          <w:p w14:paraId="76527DDE">
            <w:pPr>
              <w:rPr>
                <w:rFonts w:hint="eastAsia" w:ascii="宋体" w:hAnsi="宋体" w:cs="宋体"/>
                <w:color w:val="auto"/>
                <w:sz w:val="18"/>
                <w:szCs w:val="18"/>
                <w:highlight w:val="none"/>
              </w:rPr>
            </w:pPr>
          </w:p>
        </w:tc>
        <w:tc>
          <w:tcPr>
            <w:tcW w:w="2247" w:type="dxa"/>
            <w:tcBorders>
              <w:top w:val="single" w:color="auto" w:sz="4" w:space="0"/>
              <w:left w:val="nil"/>
              <w:bottom w:val="single" w:color="auto" w:sz="4" w:space="0"/>
              <w:right w:val="single" w:color="auto" w:sz="4" w:space="0"/>
            </w:tcBorders>
            <w:noWrap w:val="0"/>
            <w:vAlign w:val="center"/>
          </w:tcPr>
          <w:p w14:paraId="08B2B5F0">
            <w:pPr>
              <w:spacing w:line="200" w:lineRule="exact"/>
              <w:rPr>
                <w:rFonts w:hint="eastAsia" w:ascii="宋体" w:hAnsi="宋体" w:cs="宋体"/>
                <w:color w:val="auto"/>
                <w:sz w:val="18"/>
                <w:szCs w:val="18"/>
                <w:highlight w:val="none"/>
              </w:rPr>
            </w:pPr>
            <w:r>
              <w:rPr>
                <w:rFonts w:ascii="宋体" w:hAnsi="宋体"/>
                <w:color w:val="auto"/>
                <w:sz w:val="18"/>
                <w:szCs w:val="18"/>
                <w:highlight w:val="none"/>
              </w:rPr>
              <w:t>丨</w:t>
            </w:r>
            <w:r>
              <w:rPr>
                <w:rFonts w:hint="eastAsia" w:ascii="宋体" w:hAnsi="宋体" w:cs="宋体"/>
                <w:color w:val="auto"/>
                <w:sz w:val="18"/>
                <w:szCs w:val="18"/>
                <w:highlight w:val="none"/>
              </w:rPr>
              <w:t>核减额</w:t>
            </w:r>
            <w:r>
              <w:rPr>
                <w:rFonts w:ascii="宋体" w:hAnsi="宋体"/>
                <w:color w:val="auto"/>
                <w:sz w:val="18"/>
                <w:szCs w:val="18"/>
                <w:highlight w:val="none"/>
              </w:rPr>
              <w:t>丨</w:t>
            </w:r>
            <w:r>
              <w:rPr>
                <w:rFonts w:hint="eastAsia" w:ascii="宋体" w:hAnsi="宋体" w:cs="宋体"/>
                <w:color w:val="auto"/>
                <w:sz w:val="18"/>
                <w:szCs w:val="18"/>
                <w:highlight w:val="none"/>
              </w:rPr>
              <w:t>+</w:t>
            </w:r>
            <w:r>
              <w:rPr>
                <w:rFonts w:ascii="宋体" w:hAnsi="宋体"/>
                <w:color w:val="auto"/>
                <w:sz w:val="18"/>
                <w:szCs w:val="18"/>
                <w:highlight w:val="none"/>
              </w:rPr>
              <w:t>丨</w:t>
            </w:r>
            <w:r>
              <w:rPr>
                <w:rFonts w:hint="eastAsia" w:ascii="宋体" w:hAnsi="宋体" w:cs="宋体"/>
                <w:color w:val="auto"/>
                <w:sz w:val="18"/>
                <w:szCs w:val="18"/>
                <w:highlight w:val="none"/>
              </w:rPr>
              <w:t>核增额</w:t>
            </w:r>
            <w:r>
              <w:rPr>
                <w:rFonts w:ascii="宋体" w:hAnsi="宋体"/>
                <w:color w:val="auto"/>
                <w:sz w:val="18"/>
                <w:szCs w:val="18"/>
                <w:highlight w:val="none"/>
              </w:rPr>
              <w:t>丨</w:t>
            </w:r>
          </w:p>
        </w:tc>
        <w:tc>
          <w:tcPr>
            <w:tcW w:w="5493" w:type="dxa"/>
            <w:gridSpan w:val="9"/>
            <w:tcBorders>
              <w:top w:val="single" w:color="auto" w:sz="4" w:space="0"/>
              <w:left w:val="nil"/>
              <w:bottom w:val="single" w:color="auto" w:sz="4" w:space="0"/>
              <w:right w:val="single" w:color="auto" w:sz="4" w:space="0"/>
            </w:tcBorders>
            <w:noWrap w:val="0"/>
            <w:vAlign w:val="center"/>
          </w:tcPr>
          <w:p w14:paraId="5699CDDF">
            <w:pPr>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129" w:type="dxa"/>
            <w:vMerge w:val="continue"/>
            <w:tcBorders>
              <w:left w:val="nil"/>
              <w:bottom w:val="single" w:color="auto" w:sz="4" w:space="0"/>
              <w:right w:val="single" w:color="auto" w:sz="4" w:space="0"/>
            </w:tcBorders>
            <w:noWrap w:val="0"/>
            <w:vAlign w:val="center"/>
          </w:tcPr>
          <w:p w14:paraId="6DB044F1">
            <w:pPr>
              <w:rPr>
                <w:rFonts w:hint="eastAsia" w:ascii="宋体" w:hAnsi="宋体" w:cs="宋体"/>
                <w:color w:val="auto"/>
                <w:sz w:val="18"/>
                <w:szCs w:val="18"/>
                <w:highlight w:val="none"/>
              </w:rPr>
            </w:pPr>
          </w:p>
        </w:tc>
      </w:tr>
      <w:tr w14:paraId="38ED6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468" w:type="dxa"/>
            <w:tcBorders>
              <w:top w:val="nil"/>
              <w:left w:val="single" w:color="auto" w:sz="4" w:space="0"/>
              <w:bottom w:val="single" w:color="auto" w:sz="4" w:space="0"/>
              <w:right w:val="single" w:color="auto" w:sz="4" w:space="0"/>
            </w:tcBorders>
            <w:noWrap w:val="0"/>
            <w:vAlign w:val="center"/>
          </w:tcPr>
          <w:p w14:paraId="4E69CD3F">
            <w:pPr>
              <w:jc w:val="center"/>
              <w:rPr>
                <w:rFonts w:ascii="宋体" w:hAnsi="宋体" w:cs="宋体"/>
                <w:color w:val="auto"/>
                <w:szCs w:val="21"/>
                <w:highlight w:val="none"/>
              </w:rPr>
            </w:pPr>
            <w:r>
              <w:rPr>
                <w:rFonts w:hint="eastAsia" w:ascii="宋体" w:hAnsi="宋体" w:cs="宋体"/>
                <w:color w:val="auto"/>
                <w:szCs w:val="21"/>
                <w:highlight w:val="none"/>
              </w:rPr>
              <w:t>6</w:t>
            </w:r>
          </w:p>
        </w:tc>
        <w:tc>
          <w:tcPr>
            <w:tcW w:w="2549" w:type="dxa"/>
            <w:gridSpan w:val="4"/>
            <w:tcBorders>
              <w:top w:val="single" w:color="auto" w:sz="4" w:space="0"/>
              <w:left w:val="nil"/>
              <w:bottom w:val="single" w:color="auto" w:sz="4" w:space="0"/>
              <w:right w:val="single" w:color="auto" w:sz="4" w:space="0"/>
            </w:tcBorders>
            <w:noWrap w:val="0"/>
            <w:vAlign w:val="center"/>
          </w:tcPr>
          <w:p w14:paraId="11111F57">
            <w:pPr>
              <w:jc w:val="center"/>
              <w:rPr>
                <w:rFonts w:ascii="宋体" w:hAnsi="宋体" w:cs="宋体"/>
                <w:color w:val="auto"/>
                <w:szCs w:val="21"/>
                <w:highlight w:val="none"/>
              </w:rPr>
            </w:pPr>
            <w:r>
              <w:rPr>
                <w:rFonts w:hint="eastAsia" w:ascii="宋体" w:hAnsi="宋体" w:cs="宋体"/>
                <w:color w:val="auto"/>
                <w:szCs w:val="21"/>
                <w:highlight w:val="none"/>
              </w:rPr>
              <w:t>施工阶段全过程造价控制</w:t>
            </w:r>
          </w:p>
        </w:tc>
        <w:tc>
          <w:tcPr>
            <w:tcW w:w="3240" w:type="dxa"/>
            <w:tcBorders>
              <w:top w:val="nil"/>
              <w:left w:val="nil"/>
              <w:bottom w:val="single" w:color="auto" w:sz="4" w:space="0"/>
              <w:right w:val="single" w:color="auto" w:sz="4" w:space="0"/>
            </w:tcBorders>
            <w:noWrap w:val="0"/>
            <w:vAlign w:val="center"/>
          </w:tcPr>
          <w:p w14:paraId="420DE5E2">
            <w:pPr>
              <w:spacing w:line="200" w:lineRule="exact"/>
              <w:rPr>
                <w:rFonts w:ascii="宋体" w:hAnsi="宋体" w:cs="宋体"/>
                <w:color w:val="auto"/>
                <w:sz w:val="18"/>
                <w:szCs w:val="18"/>
                <w:highlight w:val="none"/>
              </w:rPr>
            </w:pPr>
            <w:r>
              <w:rPr>
                <w:rFonts w:hint="eastAsia" w:ascii="宋体" w:hAnsi="宋体" w:cs="宋体"/>
                <w:color w:val="auto"/>
                <w:sz w:val="18"/>
                <w:szCs w:val="18"/>
                <w:highlight w:val="none"/>
              </w:rPr>
              <w:t>工程量清单编制开始到工程结算审核的造价咨询服务</w:t>
            </w:r>
          </w:p>
        </w:tc>
        <w:tc>
          <w:tcPr>
            <w:tcW w:w="2247" w:type="dxa"/>
            <w:tcBorders>
              <w:top w:val="nil"/>
              <w:left w:val="nil"/>
              <w:bottom w:val="single" w:color="auto" w:sz="4" w:space="0"/>
              <w:right w:val="single" w:color="auto" w:sz="4" w:space="0"/>
            </w:tcBorders>
            <w:noWrap w:val="0"/>
            <w:vAlign w:val="center"/>
          </w:tcPr>
          <w:p w14:paraId="4C4186D8">
            <w:pPr>
              <w:spacing w:line="200" w:lineRule="exact"/>
              <w:jc w:val="center"/>
              <w:rPr>
                <w:rFonts w:ascii="宋体" w:hAnsi="宋体" w:cs="宋体"/>
                <w:color w:val="auto"/>
                <w:szCs w:val="21"/>
                <w:highlight w:val="none"/>
              </w:rPr>
            </w:pPr>
            <w:r>
              <w:rPr>
                <w:rFonts w:hint="eastAsia" w:ascii="宋体" w:hAnsi="宋体" w:cs="宋体"/>
                <w:color w:val="auto"/>
                <w:szCs w:val="21"/>
                <w:highlight w:val="none"/>
              </w:rPr>
              <w:t>　概算价</w:t>
            </w:r>
          </w:p>
        </w:tc>
        <w:tc>
          <w:tcPr>
            <w:tcW w:w="882" w:type="dxa"/>
            <w:tcBorders>
              <w:top w:val="nil"/>
              <w:left w:val="nil"/>
              <w:bottom w:val="single" w:color="auto" w:sz="4" w:space="0"/>
              <w:right w:val="single" w:color="auto" w:sz="4" w:space="0"/>
            </w:tcBorders>
            <w:noWrap w:val="0"/>
            <w:vAlign w:val="center"/>
          </w:tcPr>
          <w:p w14:paraId="6E90B4F2">
            <w:pPr>
              <w:jc w:val="center"/>
              <w:rPr>
                <w:rFonts w:hint="eastAsia" w:ascii="宋体" w:hAnsi="宋体" w:cs="宋体"/>
                <w:color w:val="auto"/>
                <w:szCs w:val="21"/>
                <w:highlight w:val="none"/>
              </w:rPr>
            </w:pPr>
            <w:r>
              <w:rPr>
                <w:rFonts w:hint="eastAsia" w:ascii="宋体" w:hAnsi="宋体" w:cs="宋体"/>
                <w:color w:val="auto"/>
                <w:szCs w:val="21"/>
                <w:highlight w:val="none"/>
              </w:rPr>
              <w:t>12‰</w:t>
            </w:r>
          </w:p>
        </w:tc>
        <w:tc>
          <w:tcPr>
            <w:tcW w:w="1026" w:type="dxa"/>
            <w:gridSpan w:val="2"/>
            <w:tcBorders>
              <w:top w:val="nil"/>
              <w:left w:val="nil"/>
              <w:bottom w:val="single" w:color="auto" w:sz="4" w:space="0"/>
              <w:right w:val="single" w:color="auto" w:sz="4" w:space="0"/>
            </w:tcBorders>
            <w:noWrap w:val="0"/>
            <w:vAlign w:val="center"/>
          </w:tcPr>
          <w:p w14:paraId="2F5F2B54">
            <w:pPr>
              <w:jc w:val="center"/>
              <w:rPr>
                <w:rFonts w:hint="eastAsia" w:ascii="宋体" w:hAnsi="宋体" w:cs="宋体"/>
                <w:color w:val="auto"/>
                <w:szCs w:val="21"/>
                <w:highlight w:val="none"/>
              </w:rPr>
            </w:pPr>
            <w:r>
              <w:rPr>
                <w:rFonts w:hint="eastAsia" w:ascii="宋体" w:hAnsi="宋体" w:cs="宋体"/>
                <w:color w:val="auto"/>
                <w:szCs w:val="21"/>
                <w:highlight w:val="none"/>
              </w:rPr>
              <w:t>11‰</w:t>
            </w:r>
          </w:p>
        </w:tc>
        <w:tc>
          <w:tcPr>
            <w:tcW w:w="1135" w:type="dxa"/>
            <w:gridSpan w:val="2"/>
            <w:tcBorders>
              <w:top w:val="nil"/>
              <w:left w:val="nil"/>
              <w:bottom w:val="single" w:color="auto" w:sz="4" w:space="0"/>
              <w:right w:val="single" w:color="auto" w:sz="4" w:space="0"/>
            </w:tcBorders>
            <w:noWrap w:val="0"/>
            <w:vAlign w:val="center"/>
          </w:tcPr>
          <w:p w14:paraId="568FBA1C">
            <w:pPr>
              <w:jc w:val="center"/>
              <w:rPr>
                <w:rFonts w:hint="eastAsia" w:ascii="宋体" w:hAnsi="宋体" w:cs="宋体"/>
                <w:color w:val="auto"/>
                <w:szCs w:val="21"/>
                <w:highlight w:val="none"/>
              </w:rPr>
            </w:pPr>
            <w:r>
              <w:rPr>
                <w:rFonts w:hint="eastAsia" w:ascii="宋体" w:hAnsi="宋体" w:cs="宋体"/>
                <w:color w:val="auto"/>
                <w:szCs w:val="21"/>
                <w:highlight w:val="none"/>
              </w:rPr>
              <w:t>10‰</w:t>
            </w:r>
          </w:p>
        </w:tc>
        <w:tc>
          <w:tcPr>
            <w:tcW w:w="1097" w:type="dxa"/>
            <w:gridSpan w:val="2"/>
            <w:tcBorders>
              <w:top w:val="nil"/>
              <w:left w:val="nil"/>
              <w:bottom w:val="single" w:color="auto" w:sz="4" w:space="0"/>
              <w:right w:val="single" w:color="auto" w:sz="4" w:space="0"/>
            </w:tcBorders>
            <w:noWrap w:val="0"/>
            <w:vAlign w:val="center"/>
          </w:tcPr>
          <w:p w14:paraId="09756C6E">
            <w:pPr>
              <w:jc w:val="center"/>
              <w:rPr>
                <w:rFonts w:hint="eastAsia" w:ascii="宋体" w:hAnsi="宋体" w:cs="宋体"/>
                <w:color w:val="auto"/>
                <w:szCs w:val="21"/>
                <w:highlight w:val="none"/>
              </w:rPr>
            </w:pPr>
            <w:r>
              <w:rPr>
                <w:rFonts w:hint="eastAsia" w:ascii="宋体" w:hAnsi="宋体" w:cs="宋体"/>
                <w:color w:val="auto"/>
                <w:szCs w:val="21"/>
                <w:highlight w:val="none"/>
              </w:rPr>
              <w:t>9‰</w:t>
            </w:r>
          </w:p>
        </w:tc>
        <w:tc>
          <w:tcPr>
            <w:tcW w:w="633" w:type="dxa"/>
            <w:tcBorders>
              <w:top w:val="nil"/>
              <w:left w:val="nil"/>
              <w:bottom w:val="single" w:color="auto" w:sz="4" w:space="0"/>
              <w:right w:val="single" w:color="auto" w:sz="4" w:space="0"/>
            </w:tcBorders>
            <w:noWrap w:val="0"/>
            <w:vAlign w:val="center"/>
          </w:tcPr>
          <w:p w14:paraId="5E85E33A">
            <w:pPr>
              <w:jc w:val="center"/>
              <w:rPr>
                <w:rFonts w:hint="eastAsia" w:ascii="宋体" w:hAnsi="宋体" w:cs="宋体"/>
                <w:color w:val="auto"/>
                <w:szCs w:val="21"/>
                <w:highlight w:val="none"/>
              </w:rPr>
            </w:pPr>
            <w:r>
              <w:rPr>
                <w:rFonts w:hint="eastAsia" w:ascii="宋体" w:hAnsi="宋体" w:cs="宋体"/>
                <w:color w:val="auto"/>
                <w:szCs w:val="21"/>
                <w:highlight w:val="none"/>
              </w:rPr>
              <w:t>8‰</w:t>
            </w:r>
          </w:p>
        </w:tc>
        <w:tc>
          <w:tcPr>
            <w:tcW w:w="720" w:type="dxa"/>
            <w:tcBorders>
              <w:top w:val="nil"/>
              <w:left w:val="nil"/>
              <w:bottom w:val="single" w:color="auto" w:sz="4" w:space="0"/>
              <w:right w:val="single" w:color="auto" w:sz="4" w:space="0"/>
            </w:tcBorders>
            <w:noWrap w:val="0"/>
            <w:vAlign w:val="center"/>
          </w:tcPr>
          <w:p w14:paraId="2F1E3A48">
            <w:pPr>
              <w:jc w:val="center"/>
              <w:rPr>
                <w:rFonts w:hint="eastAsia" w:ascii="宋体" w:hAnsi="宋体" w:cs="宋体"/>
                <w:color w:val="auto"/>
                <w:szCs w:val="21"/>
                <w:highlight w:val="none"/>
              </w:rPr>
            </w:pPr>
            <w:r>
              <w:rPr>
                <w:rFonts w:hint="eastAsia" w:ascii="宋体" w:hAnsi="宋体" w:cs="宋体"/>
                <w:color w:val="auto"/>
                <w:szCs w:val="21"/>
                <w:highlight w:val="none"/>
              </w:rPr>
              <w:t>7‰</w:t>
            </w:r>
          </w:p>
        </w:tc>
        <w:tc>
          <w:tcPr>
            <w:tcW w:w="2129" w:type="dxa"/>
            <w:tcBorders>
              <w:top w:val="nil"/>
              <w:left w:val="nil"/>
              <w:bottom w:val="single" w:color="auto" w:sz="4" w:space="0"/>
              <w:right w:val="single" w:color="auto" w:sz="4" w:space="0"/>
            </w:tcBorders>
            <w:noWrap w:val="0"/>
            <w:vAlign w:val="center"/>
          </w:tcPr>
          <w:p w14:paraId="50085890">
            <w:pPr>
              <w:spacing w:line="200" w:lineRule="exact"/>
              <w:rPr>
                <w:rFonts w:ascii="宋体" w:hAnsi="宋体" w:cs="宋体"/>
                <w:color w:val="auto"/>
                <w:sz w:val="18"/>
                <w:szCs w:val="18"/>
                <w:highlight w:val="none"/>
              </w:rPr>
            </w:pPr>
            <w:r>
              <w:rPr>
                <w:rFonts w:hint="eastAsia" w:ascii="宋体" w:hAnsi="宋体" w:cs="宋体"/>
                <w:color w:val="auto"/>
                <w:sz w:val="18"/>
                <w:szCs w:val="18"/>
                <w:highlight w:val="none"/>
              </w:rPr>
              <w:t>差额定率累进计费；不</w:t>
            </w:r>
            <w:r>
              <w:rPr>
                <w:rFonts w:hint="eastAsia" w:ascii="宋体" w:hAnsi="宋体" w:cs="宋体"/>
                <w:color w:val="auto"/>
                <w:sz w:val="18"/>
                <w:szCs w:val="18"/>
                <w:highlight w:val="none"/>
                <w:lang w:eastAsia="zh-CN"/>
              </w:rPr>
              <w:t>包括</w:t>
            </w:r>
            <w:r>
              <w:rPr>
                <w:rFonts w:hint="eastAsia" w:ascii="宋体" w:hAnsi="宋体" w:cs="宋体"/>
                <w:color w:val="auto"/>
                <w:sz w:val="18"/>
                <w:szCs w:val="18"/>
                <w:highlight w:val="none"/>
              </w:rPr>
              <w:t>驻场人员的费用</w:t>
            </w:r>
          </w:p>
        </w:tc>
      </w:tr>
      <w:tr w14:paraId="142C1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5" w:hRule="atLeast"/>
        </w:trPr>
        <w:tc>
          <w:tcPr>
            <w:tcW w:w="468" w:type="dxa"/>
            <w:vMerge w:val="restart"/>
            <w:tcBorders>
              <w:top w:val="nil"/>
              <w:left w:val="single" w:color="auto" w:sz="4" w:space="0"/>
              <w:right w:val="single" w:color="auto" w:sz="4" w:space="0"/>
            </w:tcBorders>
            <w:noWrap w:val="0"/>
            <w:vAlign w:val="center"/>
          </w:tcPr>
          <w:p w14:paraId="1C0A5392">
            <w:pPr>
              <w:jc w:val="center"/>
              <w:rPr>
                <w:rFonts w:ascii="宋体" w:hAnsi="宋体" w:cs="宋体"/>
                <w:color w:val="auto"/>
                <w:szCs w:val="21"/>
                <w:highlight w:val="none"/>
              </w:rPr>
            </w:pPr>
            <w:r>
              <w:rPr>
                <w:rFonts w:hint="eastAsia" w:ascii="宋体" w:hAnsi="宋体" w:cs="宋体"/>
                <w:color w:val="auto"/>
                <w:szCs w:val="21"/>
                <w:highlight w:val="none"/>
              </w:rPr>
              <w:t>7</w:t>
            </w:r>
          </w:p>
        </w:tc>
        <w:tc>
          <w:tcPr>
            <w:tcW w:w="2549" w:type="dxa"/>
            <w:gridSpan w:val="4"/>
            <w:vMerge w:val="restart"/>
            <w:tcBorders>
              <w:top w:val="single" w:color="auto" w:sz="4" w:space="0"/>
              <w:left w:val="nil"/>
              <w:right w:val="single" w:color="auto" w:sz="4" w:space="0"/>
            </w:tcBorders>
            <w:noWrap w:val="0"/>
            <w:vAlign w:val="center"/>
          </w:tcPr>
          <w:p w14:paraId="013A26AC">
            <w:pPr>
              <w:jc w:val="center"/>
              <w:rPr>
                <w:rFonts w:ascii="宋体" w:hAnsi="宋体" w:cs="宋体"/>
                <w:color w:val="auto"/>
                <w:szCs w:val="21"/>
                <w:highlight w:val="none"/>
              </w:rPr>
            </w:pPr>
            <w:r>
              <w:rPr>
                <w:rFonts w:hint="eastAsia" w:ascii="宋体" w:hAnsi="宋体" w:cs="宋体"/>
                <w:color w:val="auto"/>
                <w:szCs w:val="21"/>
                <w:highlight w:val="none"/>
              </w:rPr>
              <w:t>　工程造价纠纷鉴证</w:t>
            </w:r>
          </w:p>
        </w:tc>
        <w:tc>
          <w:tcPr>
            <w:tcW w:w="3240" w:type="dxa"/>
            <w:tcBorders>
              <w:top w:val="nil"/>
              <w:left w:val="nil"/>
              <w:bottom w:val="single" w:color="auto" w:sz="4" w:space="0"/>
              <w:right w:val="single" w:color="auto" w:sz="4" w:space="0"/>
            </w:tcBorders>
            <w:noWrap w:val="0"/>
            <w:vAlign w:val="center"/>
          </w:tcPr>
          <w:p w14:paraId="647E9017">
            <w:pPr>
              <w:jc w:val="center"/>
              <w:rPr>
                <w:rFonts w:ascii="宋体" w:hAnsi="宋体" w:cs="宋体"/>
                <w:color w:val="auto"/>
                <w:szCs w:val="21"/>
                <w:highlight w:val="none"/>
              </w:rPr>
            </w:pPr>
            <w:r>
              <w:rPr>
                <w:rFonts w:hint="eastAsia" w:ascii="宋体" w:hAnsi="宋体" w:cs="宋体"/>
                <w:color w:val="auto"/>
                <w:szCs w:val="21"/>
                <w:highlight w:val="none"/>
              </w:rPr>
              <w:t>受委托进行鉴证</w:t>
            </w:r>
          </w:p>
        </w:tc>
        <w:tc>
          <w:tcPr>
            <w:tcW w:w="2247" w:type="dxa"/>
            <w:tcBorders>
              <w:top w:val="nil"/>
              <w:left w:val="nil"/>
              <w:bottom w:val="single" w:color="auto" w:sz="4" w:space="0"/>
              <w:right w:val="single" w:color="auto" w:sz="4" w:space="0"/>
            </w:tcBorders>
            <w:noWrap w:val="0"/>
            <w:vAlign w:val="center"/>
          </w:tcPr>
          <w:p w14:paraId="2BEA1A03">
            <w:pPr>
              <w:spacing w:line="200" w:lineRule="exact"/>
              <w:jc w:val="center"/>
              <w:rPr>
                <w:rFonts w:ascii="宋体" w:hAnsi="宋体" w:cs="宋体"/>
                <w:color w:val="auto"/>
                <w:szCs w:val="21"/>
                <w:highlight w:val="none"/>
              </w:rPr>
            </w:pPr>
            <w:r>
              <w:rPr>
                <w:rFonts w:hint="eastAsia" w:ascii="宋体" w:hAnsi="宋体" w:cs="宋体"/>
                <w:color w:val="auto"/>
                <w:szCs w:val="21"/>
                <w:highlight w:val="none"/>
              </w:rPr>
              <w:t>鉴证后标的额</w:t>
            </w:r>
          </w:p>
        </w:tc>
        <w:tc>
          <w:tcPr>
            <w:tcW w:w="882" w:type="dxa"/>
            <w:tcBorders>
              <w:top w:val="nil"/>
              <w:left w:val="nil"/>
              <w:bottom w:val="single" w:color="auto" w:sz="4" w:space="0"/>
              <w:right w:val="single" w:color="auto" w:sz="4" w:space="0"/>
            </w:tcBorders>
            <w:noWrap w:val="0"/>
            <w:vAlign w:val="center"/>
          </w:tcPr>
          <w:p w14:paraId="1C53D20D">
            <w:pPr>
              <w:jc w:val="center"/>
              <w:rPr>
                <w:rFonts w:hint="eastAsia" w:ascii="宋体" w:hAnsi="宋体" w:cs="宋体"/>
                <w:color w:val="auto"/>
                <w:szCs w:val="21"/>
                <w:highlight w:val="none"/>
              </w:rPr>
            </w:pPr>
            <w:r>
              <w:rPr>
                <w:rFonts w:hint="eastAsia" w:ascii="宋体" w:hAnsi="宋体" w:cs="宋体"/>
                <w:color w:val="auto"/>
                <w:szCs w:val="21"/>
                <w:highlight w:val="none"/>
              </w:rPr>
              <w:t>12‰</w:t>
            </w:r>
          </w:p>
        </w:tc>
        <w:tc>
          <w:tcPr>
            <w:tcW w:w="1026" w:type="dxa"/>
            <w:gridSpan w:val="2"/>
            <w:tcBorders>
              <w:top w:val="nil"/>
              <w:left w:val="nil"/>
              <w:bottom w:val="single" w:color="auto" w:sz="4" w:space="0"/>
              <w:right w:val="single" w:color="auto" w:sz="4" w:space="0"/>
            </w:tcBorders>
            <w:noWrap w:val="0"/>
            <w:vAlign w:val="center"/>
          </w:tcPr>
          <w:p w14:paraId="13A1FD94">
            <w:pPr>
              <w:jc w:val="center"/>
              <w:rPr>
                <w:rFonts w:hint="eastAsia" w:ascii="宋体" w:hAnsi="宋体" w:cs="宋体"/>
                <w:color w:val="auto"/>
                <w:szCs w:val="21"/>
                <w:highlight w:val="none"/>
              </w:rPr>
            </w:pPr>
            <w:r>
              <w:rPr>
                <w:rFonts w:hint="eastAsia" w:ascii="宋体" w:hAnsi="宋体" w:cs="宋体"/>
                <w:color w:val="auto"/>
                <w:szCs w:val="21"/>
                <w:highlight w:val="none"/>
              </w:rPr>
              <w:t>10‰</w:t>
            </w:r>
          </w:p>
        </w:tc>
        <w:tc>
          <w:tcPr>
            <w:tcW w:w="1135" w:type="dxa"/>
            <w:gridSpan w:val="2"/>
            <w:tcBorders>
              <w:top w:val="nil"/>
              <w:left w:val="nil"/>
              <w:bottom w:val="single" w:color="auto" w:sz="4" w:space="0"/>
              <w:right w:val="single" w:color="auto" w:sz="4" w:space="0"/>
            </w:tcBorders>
            <w:noWrap w:val="0"/>
            <w:vAlign w:val="center"/>
          </w:tcPr>
          <w:p w14:paraId="27ACBC21">
            <w:pPr>
              <w:jc w:val="center"/>
              <w:rPr>
                <w:rFonts w:hint="eastAsia" w:ascii="宋体" w:hAnsi="宋体" w:cs="宋体"/>
                <w:color w:val="auto"/>
                <w:szCs w:val="21"/>
                <w:highlight w:val="none"/>
              </w:rPr>
            </w:pPr>
            <w:r>
              <w:rPr>
                <w:rFonts w:hint="eastAsia" w:ascii="宋体" w:hAnsi="宋体" w:cs="宋体"/>
                <w:color w:val="auto"/>
                <w:szCs w:val="21"/>
                <w:highlight w:val="none"/>
              </w:rPr>
              <w:t>8‰</w:t>
            </w:r>
          </w:p>
        </w:tc>
        <w:tc>
          <w:tcPr>
            <w:tcW w:w="1097" w:type="dxa"/>
            <w:gridSpan w:val="2"/>
            <w:tcBorders>
              <w:top w:val="nil"/>
              <w:left w:val="nil"/>
              <w:bottom w:val="single" w:color="auto" w:sz="4" w:space="0"/>
              <w:right w:val="single" w:color="auto" w:sz="4" w:space="0"/>
            </w:tcBorders>
            <w:noWrap w:val="0"/>
            <w:vAlign w:val="center"/>
          </w:tcPr>
          <w:p w14:paraId="0BE579CD">
            <w:pPr>
              <w:jc w:val="center"/>
              <w:rPr>
                <w:rFonts w:hint="eastAsia" w:ascii="宋体" w:hAnsi="宋体" w:cs="宋体"/>
                <w:color w:val="auto"/>
                <w:szCs w:val="21"/>
                <w:highlight w:val="none"/>
              </w:rPr>
            </w:pPr>
            <w:r>
              <w:rPr>
                <w:rFonts w:hint="eastAsia" w:ascii="宋体" w:hAnsi="宋体" w:cs="宋体"/>
                <w:color w:val="auto"/>
                <w:szCs w:val="21"/>
                <w:highlight w:val="none"/>
              </w:rPr>
              <w:t>7‰</w:t>
            </w:r>
          </w:p>
        </w:tc>
        <w:tc>
          <w:tcPr>
            <w:tcW w:w="633" w:type="dxa"/>
            <w:tcBorders>
              <w:top w:val="nil"/>
              <w:left w:val="nil"/>
              <w:bottom w:val="single" w:color="auto" w:sz="4" w:space="0"/>
              <w:right w:val="single" w:color="auto" w:sz="4" w:space="0"/>
            </w:tcBorders>
            <w:noWrap w:val="0"/>
            <w:vAlign w:val="center"/>
          </w:tcPr>
          <w:p w14:paraId="5A910736">
            <w:pPr>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720" w:type="dxa"/>
            <w:tcBorders>
              <w:top w:val="nil"/>
              <w:left w:val="nil"/>
              <w:bottom w:val="single" w:color="auto" w:sz="4" w:space="0"/>
              <w:right w:val="single" w:color="auto" w:sz="4" w:space="0"/>
            </w:tcBorders>
            <w:noWrap w:val="0"/>
            <w:vAlign w:val="center"/>
          </w:tcPr>
          <w:p w14:paraId="622AE18D">
            <w:pPr>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129" w:type="dxa"/>
            <w:tcBorders>
              <w:top w:val="nil"/>
              <w:left w:val="nil"/>
              <w:bottom w:val="single" w:color="auto" w:sz="4" w:space="0"/>
              <w:right w:val="single" w:color="auto" w:sz="4" w:space="0"/>
            </w:tcBorders>
            <w:noWrap w:val="0"/>
            <w:vAlign w:val="center"/>
          </w:tcPr>
          <w:p w14:paraId="3F0183F5">
            <w:pPr>
              <w:spacing w:line="200" w:lineRule="exact"/>
              <w:rPr>
                <w:rFonts w:ascii="宋体" w:hAnsi="宋体" w:cs="宋体"/>
                <w:color w:val="auto"/>
                <w:sz w:val="18"/>
                <w:szCs w:val="18"/>
                <w:highlight w:val="none"/>
              </w:rPr>
            </w:pPr>
            <w:r>
              <w:rPr>
                <w:rFonts w:hint="eastAsia" w:ascii="宋体" w:hAnsi="宋体" w:cs="宋体"/>
                <w:color w:val="auto"/>
                <w:sz w:val="18"/>
                <w:szCs w:val="18"/>
                <w:highlight w:val="none"/>
              </w:rPr>
              <w:t>差额定率累进计费；原被告单方有造价或双方均无造价</w:t>
            </w:r>
          </w:p>
        </w:tc>
      </w:tr>
      <w:tr w14:paraId="09BF2E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68" w:type="dxa"/>
            <w:vMerge w:val="continue"/>
            <w:tcBorders>
              <w:left w:val="single" w:color="auto" w:sz="4" w:space="0"/>
              <w:bottom w:val="single" w:color="auto" w:sz="4" w:space="0"/>
              <w:right w:val="single" w:color="auto" w:sz="4" w:space="0"/>
            </w:tcBorders>
            <w:noWrap w:val="0"/>
            <w:vAlign w:val="center"/>
          </w:tcPr>
          <w:p w14:paraId="08D78FB8">
            <w:pPr>
              <w:jc w:val="center"/>
              <w:rPr>
                <w:rFonts w:hint="eastAsia" w:ascii="宋体" w:hAnsi="宋体" w:cs="宋体"/>
                <w:color w:val="auto"/>
                <w:szCs w:val="21"/>
                <w:highlight w:val="none"/>
              </w:rPr>
            </w:pPr>
          </w:p>
        </w:tc>
        <w:tc>
          <w:tcPr>
            <w:tcW w:w="2549" w:type="dxa"/>
            <w:gridSpan w:val="4"/>
            <w:vMerge w:val="continue"/>
            <w:tcBorders>
              <w:left w:val="nil"/>
              <w:bottom w:val="single" w:color="auto" w:sz="4" w:space="0"/>
              <w:right w:val="single" w:color="auto" w:sz="4" w:space="0"/>
            </w:tcBorders>
            <w:noWrap w:val="0"/>
            <w:vAlign w:val="center"/>
          </w:tcPr>
          <w:p w14:paraId="455DD726">
            <w:pPr>
              <w:jc w:val="center"/>
              <w:rPr>
                <w:rFonts w:hint="eastAsia" w:ascii="宋体" w:hAnsi="宋体" w:cs="宋体"/>
                <w:color w:val="auto"/>
                <w:szCs w:val="21"/>
                <w:highlight w:val="none"/>
              </w:rPr>
            </w:pPr>
          </w:p>
        </w:tc>
        <w:tc>
          <w:tcPr>
            <w:tcW w:w="3240" w:type="dxa"/>
            <w:tcBorders>
              <w:top w:val="single" w:color="auto" w:sz="4" w:space="0"/>
              <w:left w:val="nil"/>
              <w:bottom w:val="single" w:color="auto" w:sz="4" w:space="0"/>
              <w:right w:val="single" w:color="auto" w:sz="4" w:space="0"/>
            </w:tcBorders>
            <w:noWrap w:val="0"/>
            <w:vAlign w:val="center"/>
          </w:tcPr>
          <w:p w14:paraId="760E32E5">
            <w:pPr>
              <w:jc w:val="center"/>
              <w:rPr>
                <w:rFonts w:ascii="宋体" w:hAnsi="宋体" w:cs="宋体"/>
                <w:color w:val="auto"/>
                <w:szCs w:val="21"/>
                <w:highlight w:val="none"/>
              </w:rPr>
            </w:pPr>
            <w:r>
              <w:rPr>
                <w:rFonts w:hint="eastAsia" w:ascii="宋体" w:hAnsi="宋体" w:cs="宋体"/>
                <w:color w:val="auto"/>
                <w:szCs w:val="21"/>
                <w:highlight w:val="none"/>
              </w:rPr>
              <w:t>受委托进行鉴证</w:t>
            </w:r>
          </w:p>
        </w:tc>
        <w:tc>
          <w:tcPr>
            <w:tcW w:w="2247" w:type="dxa"/>
            <w:tcBorders>
              <w:top w:val="single" w:color="auto" w:sz="4" w:space="0"/>
              <w:left w:val="nil"/>
              <w:bottom w:val="single" w:color="auto" w:sz="4" w:space="0"/>
              <w:right w:val="single" w:color="auto" w:sz="4" w:space="0"/>
            </w:tcBorders>
            <w:noWrap w:val="0"/>
            <w:vAlign w:val="center"/>
          </w:tcPr>
          <w:p w14:paraId="71A0D2F1">
            <w:pPr>
              <w:spacing w:line="200" w:lineRule="exact"/>
              <w:jc w:val="center"/>
              <w:rPr>
                <w:rFonts w:hint="eastAsia" w:ascii="宋体" w:hAnsi="宋体" w:cs="宋体"/>
                <w:color w:val="auto"/>
                <w:szCs w:val="21"/>
                <w:highlight w:val="none"/>
              </w:rPr>
            </w:pPr>
            <w:r>
              <w:rPr>
                <w:rFonts w:hint="eastAsia" w:ascii="宋体" w:hAnsi="宋体" w:cs="宋体"/>
                <w:color w:val="auto"/>
                <w:szCs w:val="21"/>
                <w:highlight w:val="none"/>
              </w:rPr>
              <w:t>争议差额</w:t>
            </w:r>
          </w:p>
        </w:tc>
        <w:tc>
          <w:tcPr>
            <w:tcW w:w="5493" w:type="dxa"/>
            <w:gridSpan w:val="9"/>
            <w:tcBorders>
              <w:top w:val="single" w:color="auto" w:sz="4" w:space="0"/>
              <w:left w:val="nil"/>
              <w:bottom w:val="single" w:color="auto" w:sz="4" w:space="0"/>
              <w:right w:val="single" w:color="auto" w:sz="4" w:space="0"/>
            </w:tcBorders>
            <w:noWrap w:val="0"/>
            <w:vAlign w:val="center"/>
          </w:tcPr>
          <w:p w14:paraId="27FE859F">
            <w:pPr>
              <w:jc w:val="center"/>
              <w:rPr>
                <w:rFonts w:hint="eastAsia" w:ascii="宋体" w:hAnsi="宋体" w:cs="宋体"/>
                <w:color w:val="auto"/>
                <w:szCs w:val="21"/>
                <w:highlight w:val="none"/>
              </w:rPr>
            </w:pPr>
            <w:r>
              <w:rPr>
                <w:rFonts w:hint="eastAsia" w:ascii="宋体" w:hAnsi="宋体" w:cs="宋体"/>
                <w:color w:val="auto"/>
                <w:szCs w:val="21"/>
                <w:highlight w:val="none"/>
              </w:rPr>
              <w:t>争议差额在1000</w:t>
            </w:r>
            <w:r>
              <w:rPr>
                <w:rFonts w:hint="eastAsia" w:ascii="宋体" w:hAnsi="宋体" w:cs="宋体"/>
                <w:color w:val="auto"/>
                <w:szCs w:val="21"/>
                <w:highlight w:val="none"/>
                <w:lang w:eastAsia="zh-CN"/>
              </w:rPr>
              <w:t>万元</w:t>
            </w:r>
            <w:r>
              <w:rPr>
                <w:rFonts w:hint="eastAsia" w:ascii="宋体" w:hAnsi="宋体" w:cs="宋体"/>
                <w:color w:val="auto"/>
                <w:szCs w:val="21"/>
                <w:highlight w:val="none"/>
              </w:rPr>
              <w:t>以下（含1000</w:t>
            </w:r>
            <w:r>
              <w:rPr>
                <w:rFonts w:hint="eastAsia" w:ascii="宋体" w:hAnsi="宋体" w:cs="宋体"/>
                <w:color w:val="auto"/>
                <w:szCs w:val="21"/>
                <w:highlight w:val="none"/>
                <w:lang w:eastAsia="zh-CN"/>
              </w:rPr>
              <w:t>万元</w:t>
            </w:r>
            <w:r>
              <w:rPr>
                <w:rFonts w:hint="eastAsia" w:ascii="宋体" w:hAnsi="宋体" w:cs="宋体"/>
                <w:color w:val="auto"/>
                <w:szCs w:val="21"/>
                <w:highlight w:val="none"/>
              </w:rPr>
              <w:t>）按5%收取，1000</w:t>
            </w:r>
            <w:r>
              <w:rPr>
                <w:rFonts w:hint="eastAsia" w:ascii="宋体" w:hAnsi="宋体" w:cs="宋体"/>
                <w:color w:val="auto"/>
                <w:szCs w:val="21"/>
                <w:highlight w:val="none"/>
                <w:lang w:eastAsia="zh-CN"/>
              </w:rPr>
              <w:t>万元</w:t>
            </w:r>
            <w:r>
              <w:rPr>
                <w:rFonts w:hint="eastAsia" w:ascii="宋体" w:hAnsi="宋体" w:cs="宋体"/>
                <w:color w:val="auto"/>
                <w:szCs w:val="21"/>
                <w:highlight w:val="none"/>
              </w:rPr>
              <w:t>以上按4%收取</w:t>
            </w:r>
          </w:p>
        </w:tc>
        <w:tc>
          <w:tcPr>
            <w:tcW w:w="2129" w:type="dxa"/>
            <w:tcBorders>
              <w:top w:val="single" w:color="auto" w:sz="4" w:space="0"/>
              <w:left w:val="nil"/>
              <w:bottom w:val="single" w:color="auto" w:sz="4" w:space="0"/>
              <w:right w:val="single" w:color="auto" w:sz="4" w:space="0"/>
            </w:tcBorders>
            <w:noWrap w:val="0"/>
            <w:vAlign w:val="center"/>
          </w:tcPr>
          <w:p w14:paraId="50DFAA0B">
            <w:pPr>
              <w:spacing w:line="20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双方各有造价</w:t>
            </w:r>
          </w:p>
        </w:tc>
      </w:tr>
      <w:tr w14:paraId="7DB748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0" w:hRule="atLeast"/>
        </w:trPr>
        <w:tc>
          <w:tcPr>
            <w:tcW w:w="468" w:type="dxa"/>
            <w:tcBorders>
              <w:top w:val="single" w:color="auto" w:sz="4" w:space="0"/>
              <w:left w:val="single" w:color="auto" w:sz="4" w:space="0"/>
              <w:bottom w:val="single" w:color="auto" w:sz="4" w:space="0"/>
              <w:right w:val="single" w:color="auto" w:sz="4" w:space="0"/>
            </w:tcBorders>
            <w:noWrap w:val="0"/>
            <w:vAlign w:val="center"/>
          </w:tcPr>
          <w:p w14:paraId="497A9E19">
            <w:pPr>
              <w:jc w:val="center"/>
              <w:rPr>
                <w:rFonts w:ascii="宋体" w:hAnsi="宋体" w:cs="宋体"/>
                <w:color w:val="auto"/>
                <w:szCs w:val="21"/>
                <w:highlight w:val="none"/>
              </w:rPr>
            </w:pPr>
            <w:r>
              <w:rPr>
                <w:rFonts w:hint="eastAsia" w:ascii="宋体" w:hAnsi="宋体" w:cs="宋体"/>
                <w:color w:val="auto"/>
                <w:szCs w:val="21"/>
                <w:highlight w:val="none"/>
              </w:rPr>
              <w:t>8</w:t>
            </w:r>
          </w:p>
        </w:tc>
        <w:tc>
          <w:tcPr>
            <w:tcW w:w="2549" w:type="dxa"/>
            <w:gridSpan w:val="4"/>
            <w:tcBorders>
              <w:top w:val="single" w:color="auto" w:sz="4" w:space="0"/>
              <w:left w:val="single" w:color="auto" w:sz="4" w:space="0"/>
              <w:bottom w:val="single" w:color="auto" w:sz="4" w:space="0"/>
              <w:right w:val="single" w:color="auto" w:sz="4" w:space="0"/>
            </w:tcBorders>
            <w:noWrap w:val="0"/>
            <w:vAlign w:val="center"/>
          </w:tcPr>
          <w:p w14:paraId="153A219E">
            <w:pPr>
              <w:jc w:val="center"/>
              <w:rPr>
                <w:rFonts w:ascii="宋体" w:hAnsi="宋体" w:cs="宋体"/>
                <w:color w:val="auto"/>
                <w:szCs w:val="21"/>
                <w:highlight w:val="none"/>
              </w:rPr>
            </w:pPr>
            <w:r>
              <w:rPr>
                <w:rFonts w:hint="eastAsia" w:ascii="宋体" w:hAnsi="宋体" w:cs="宋体"/>
                <w:color w:val="auto"/>
                <w:szCs w:val="21"/>
                <w:highlight w:val="none"/>
              </w:rPr>
              <w:t>　钢筋及预埋件计算</w:t>
            </w:r>
          </w:p>
        </w:tc>
        <w:tc>
          <w:tcPr>
            <w:tcW w:w="3240" w:type="dxa"/>
            <w:tcBorders>
              <w:top w:val="single" w:color="auto" w:sz="4" w:space="0"/>
              <w:left w:val="nil"/>
              <w:bottom w:val="single" w:color="auto" w:sz="4" w:space="0"/>
              <w:right w:val="single" w:color="auto" w:sz="4" w:space="0"/>
            </w:tcBorders>
            <w:noWrap w:val="0"/>
            <w:vAlign w:val="center"/>
          </w:tcPr>
          <w:p w14:paraId="39A7F905">
            <w:pPr>
              <w:spacing w:line="200" w:lineRule="exact"/>
              <w:rPr>
                <w:rFonts w:ascii="宋体" w:hAnsi="宋体" w:cs="宋体"/>
                <w:color w:val="auto"/>
                <w:sz w:val="18"/>
                <w:szCs w:val="18"/>
                <w:highlight w:val="none"/>
              </w:rPr>
            </w:pPr>
            <w:r>
              <w:rPr>
                <w:rFonts w:hint="eastAsia" w:ascii="宋体" w:hAnsi="宋体" w:cs="宋体"/>
                <w:color w:val="auto"/>
                <w:sz w:val="18"/>
                <w:szCs w:val="18"/>
                <w:highlight w:val="none"/>
              </w:rPr>
              <w:t>依据施工图纸、设计标准和施工操作规程计算或审核钢筋（或铁件）重量，提供完整的钢筋（或铁件）重量计算明细表、汇总表或审核报告</w:t>
            </w:r>
          </w:p>
        </w:tc>
        <w:tc>
          <w:tcPr>
            <w:tcW w:w="2247" w:type="dxa"/>
            <w:tcBorders>
              <w:top w:val="single" w:color="auto" w:sz="4" w:space="0"/>
              <w:left w:val="nil"/>
              <w:bottom w:val="single" w:color="auto" w:sz="4" w:space="0"/>
              <w:right w:val="single" w:color="auto" w:sz="4" w:space="0"/>
            </w:tcBorders>
            <w:noWrap w:val="0"/>
            <w:vAlign w:val="center"/>
          </w:tcPr>
          <w:p w14:paraId="705ECAEF">
            <w:pPr>
              <w:spacing w:line="200" w:lineRule="exact"/>
              <w:rPr>
                <w:rFonts w:ascii="宋体" w:hAnsi="宋体" w:cs="宋体"/>
                <w:color w:val="auto"/>
                <w:sz w:val="18"/>
                <w:szCs w:val="18"/>
                <w:highlight w:val="none"/>
              </w:rPr>
            </w:pPr>
            <w:r>
              <w:rPr>
                <w:rFonts w:hint="eastAsia" w:ascii="宋体" w:hAnsi="宋体" w:cs="宋体"/>
                <w:color w:val="auto"/>
                <w:sz w:val="18"/>
                <w:szCs w:val="18"/>
                <w:highlight w:val="none"/>
              </w:rPr>
              <w:t>　按实际钢筋使用量</w:t>
            </w:r>
          </w:p>
        </w:tc>
        <w:tc>
          <w:tcPr>
            <w:tcW w:w="5493" w:type="dxa"/>
            <w:gridSpan w:val="9"/>
            <w:tcBorders>
              <w:top w:val="single" w:color="auto" w:sz="4" w:space="0"/>
              <w:left w:val="nil"/>
              <w:bottom w:val="single" w:color="auto" w:sz="4" w:space="0"/>
              <w:right w:val="single" w:color="000000" w:sz="4" w:space="0"/>
            </w:tcBorders>
            <w:noWrap w:val="0"/>
            <w:vAlign w:val="center"/>
          </w:tcPr>
          <w:p w14:paraId="31E3F80F">
            <w:pPr>
              <w:spacing w:line="200" w:lineRule="exact"/>
              <w:jc w:val="center"/>
              <w:rPr>
                <w:rFonts w:ascii="宋体" w:hAnsi="宋体" w:cs="宋体"/>
                <w:color w:val="auto"/>
                <w:sz w:val="18"/>
                <w:szCs w:val="18"/>
                <w:highlight w:val="none"/>
              </w:rPr>
            </w:pPr>
            <w:r>
              <w:rPr>
                <w:rFonts w:hint="eastAsia" w:ascii="宋体" w:hAnsi="宋体" w:cs="宋体"/>
                <w:color w:val="auto"/>
                <w:sz w:val="18"/>
                <w:szCs w:val="18"/>
                <w:highlight w:val="none"/>
              </w:rPr>
              <w:t>12元/吨</w:t>
            </w:r>
          </w:p>
        </w:tc>
        <w:tc>
          <w:tcPr>
            <w:tcW w:w="2129" w:type="dxa"/>
            <w:tcBorders>
              <w:top w:val="single" w:color="auto" w:sz="4" w:space="0"/>
              <w:left w:val="nil"/>
              <w:bottom w:val="single" w:color="auto" w:sz="4" w:space="0"/>
              <w:right w:val="single" w:color="auto" w:sz="4" w:space="0"/>
            </w:tcBorders>
            <w:noWrap w:val="0"/>
            <w:vAlign w:val="center"/>
          </w:tcPr>
          <w:p w14:paraId="79ABACD1">
            <w:pPr>
              <w:rPr>
                <w:rFonts w:ascii="宋体" w:hAnsi="宋体" w:cs="宋体"/>
                <w:color w:val="auto"/>
                <w:szCs w:val="21"/>
                <w:highlight w:val="none"/>
              </w:rPr>
            </w:pPr>
            <w:r>
              <w:rPr>
                <w:rFonts w:hint="eastAsia" w:ascii="宋体" w:hAnsi="宋体" w:cs="宋体"/>
                <w:color w:val="auto"/>
                <w:szCs w:val="21"/>
                <w:highlight w:val="none"/>
              </w:rPr>
              <w:t>　</w:t>
            </w:r>
          </w:p>
        </w:tc>
      </w:tr>
      <w:tr w14:paraId="1FEA2A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5" w:hRule="atLeast"/>
        </w:trPr>
        <w:tc>
          <w:tcPr>
            <w:tcW w:w="468" w:type="dxa"/>
            <w:tcBorders>
              <w:top w:val="single" w:color="auto" w:sz="4" w:space="0"/>
              <w:left w:val="single" w:color="auto" w:sz="4" w:space="0"/>
              <w:bottom w:val="single" w:color="auto" w:sz="4" w:space="0"/>
              <w:right w:val="single" w:color="auto" w:sz="4" w:space="0"/>
            </w:tcBorders>
            <w:noWrap w:val="0"/>
            <w:vAlign w:val="center"/>
          </w:tcPr>
          <w:p w14:paraId="7BF43B7B">
            <w:pPr>
              <w:jc w:val="center"/>
              <w:rPr>
                <w:rFonts w:ascii="宋体" w:hAnsi="宋体" w:cs="宋体"/>
                <w:color w:val="auto"/>
                <w:szCs w:val="21"/>
                <w:highlight w:val="none"/>
              </w:rPr>
            </w:pPr>
            <w:r>
              <w:rPr>
                <w:rFonts w:hint="eastAsia" w:ascii="宋体" w:hAnsi="宋体" w:cs="宋体"/>
                <w:color w:val="auto"/>
                <w:szCs w:val="21"/>
                <w:highlight w:val="none"/>
              </w:rPr>
              <w:t>9</w:t>
            </w:r>
          </w:p>
        </w:tc>
        <w:tc>
          <w:tcPr>
            <w:tcW w:w="2549" w:type="dxa"/>
            <w:gridSpan w:val="4"/>
            <w:tcBorders>
              <w:top w:val="single" w:color="auto" w:sz="4" w:space="0"/>
              <w:left w:val="nil"/>
              <w:bottom w:val="single" w:color="auto" w:sz="4" w:space="0"/>
              <w:right w:val="single" w:color="auto" w:sz="4" w:space="0"/>
            </w:tcBorders>
            <w:noWrap w:val="0"/>
            <w:vAlign w:val="center"/>
          </w:tcPr>
          <w:p w14:paraId="6EF59888">
            <w:pPr>
              <w:spacing w:line="200" w:lineRule="exact"/>
              <w:jc w:val="center"/>
              <w:rPr>
                <w:rFonts w:ascii="宋体" w:hAnsi="宋体" w:cs="宋体"/>
                <w:color w:val="auto"/>
                <w:sz w:val="18"/>
                <w:szCs w:val="18"/>
                <w:highlight w:val="none"/>
              </w:rPr>
            </w:pPr>
            <w:r>
              <w:rPr>
                <w:rFonts w:hint="eastAsia" w:ascii="宋体" w:hAnsi="宋体" w:cs="宋体"/>
                <w:color w:val="auto"/>
                <w:sz w:val="18"/>
                <w:szCs w:val="18"/>
                <w:highlight w:val="none"/>
              </w:rPr>
              <w:t>工程造价咨询工日收费标准</w:t>
            </w:r>
          </w:p>
        </w:tc>
        <w:tc>
          <w:tcPr>
            <w:tcW w:w="3240" w:type="dxa"/>
            <w:tcBorders>
              <w:top w:val="single" w:color="auto" w:sz="4" w:space="0"/>
              <w:left w:val="nil"/>
              <w:bottom w:val="single" w:color="auto" w:sz="4" w:space="0"/>
              <w:right w:val="single" w:color="auto" w:sz="4" w:space="0"/>
            </w:tcBorders>
            <w:noWrap w:val="0"/>
            <w:vAlign w:val="center"/>
          </w:tcPr>
          <w:p w14:paraId="51EB0125">
            <w:pPr>
              <w:spacing w:line="200" w:lineRule="exact"/>
              <w:rPr>
                <w:rFonts w:ascii="宋体" w:hAnsi="宋体" w:cs="宋体"/>
                <w:color w:val="auto"/>
                <w:sz w:val="18"/>
                <w:szCs w:val="18"/>
                <w:highlight w:val="none"/>
              </w:rPr>
            </w:pPr>
            <w:r>
              <w:rPr>
                <w:rFonts w:hint="eastAsia" w:ascii="宋体" w:hAnsi="宋体" w:cs="宋体"/>
                <w:color w:val="auto"/>
                <w:sz w:val="18"/>
                <w:szCs w:val="18"/>
                <w:highlight w:val="none"/>
              </w:rPr>
              <w:t>受委托派出专业人员从事工程造价咨询服务</w:t>
            </w:r>
          </w:p>
        </w:tc>
        <w:tc>
          <w:tcPr>
            <w:tcW w:w="2247" w:type="dxa"/>
            <w:tcBorders>
              <w:top w:val="single" w:color="auto" w:sz="4" w:space="0"/>
              <w:left w:val="nil"/>
              <w:bottom w:val="single" w:color="auto" w:sz="4" w:space="0"/>
              <w:right w:val="single" w:color="auto" w:sz="4" w:space="0"/>
            </w:tcBorders>
            <w:noWrap w:val="0"/>
            <w:vAlign w:val="center"/>
          </w:tcPr>
          <w:p w14:paraId="6251B6AB">
            <w:pPr>
              <w:spacing w:line="200" w:lineRule="exact"/>
              <w:jc w:val="center"/>
              <w:rPr>
                <w:rFonts w:ascii="宋体" w:hAnsi="宋体" w:cs="宋体"/>
                <w:color w:val="auto"/>
                <w:sz w:val="18"/>
                <w:szCs w:val="18"/>
                <w:highlight w:val="none"/>
              </w:rPr>
            </w:pPr>
            <w:r>
              <w:rPr>
                <w:rFonts w:hint="eastAsia" w:ascii="宋体" w:hAnsi="宋体" w:cs="宋体"/>
                <w:color w:val="auto"/>
                <w:sz w:val="18"/>
                <w:szCs w:val="18"/>
                <w:highlight w:val="none"/>
              </w:rPr>
              <w:t>工时</w:t>
            </w:r>
          </w:p>
        </w:tc>
        <w:tc>
          <w:tcPr>
            <w:tcW w:w="5493" w:type="dxa"/>
            <w:gridSpan w:val="9"/>
            <w:tcBorders>
              <w:top w:val="single" w:color="auto" w:sz="4" w:space="0"/>
              <w:left w:val="nil"/>
              <w:bottom w:val="single" w:color="auto" w:sz="4" w:space="0"/>
              <w:right w:val="single" w:color="auto" w:sz="4" w:space="0"/>
            </w:tcBorders>
            <w:noWrap w:val="0"/>
            <w:vAlign w:val="center"/>
          </w:tcPr>
          <w:p w14:paraId="6911CD73">
            <w:pPr>
              <w:spacing w:line="20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具有高级工程师职称的注册造价师：190元/人·工作小时；注册造价师或高级职称的咨询人员：150元/人·工作小时；工程造价中级资格专业人员：100元/人·工作小时；工程造价初级资格专业人员：60元/人·工作小时</w:t>
            </w:r>
          </w:p>
        </w:tc>
        <w:tc>
          <w:tcPr>
            <w:tcW w:w="2129" w:type="dxa"/>
            <w:tcBorders>
              <w:top w:val="single" w:color="auto" w:sz="4" w:space="0"/>
              <w:left w:val="nil"/>
              <w:bottom w:val="single" w:color="auto" w:sz="4" w:space="0"/>
              <w:right w:val="single" w:color="auto" w:sz="4" w:space="0"/>
            </w:tcBorders>
            <w:noWrap w:val="0"/>
            <w:vAlign w:val="center"/>
          </w:tcPr>
          <w:p w14:paraId="5969B669">
            <w:pPr>
              <w:rPr>
                <w:rFonts w:ascii="宋体" w:hAnsi="宋体" w:cs="宋体"/>
                <w:color w:val="auto"/>
                <w:szCs w:val="21"/>
                <w:highlight w:val="none"/>
              </w:rPr>
            </w:pPr>
            <w:r>
              <w:rPr>
                <w:rFonts w:hint="eastAsia" w:ascii="宋体" w:hAnsi="宋体" w:cs="宋体"/>
                <w:color w:val="auto"/>
                <w:szCs w:val="21"/>
                <w:highlight w:val="none"/>
              </w:rPr>
              <w:t>　</w:t>
            </w:r>
          </w:p>
        </w:tc>
      </w:tr>
    </w:tbl>
    <w:p w14:paraId="621500CC">
      <w:pPr>
        <w:tabs>
          <w:tab w:val="left" w:pos="9612"/>
        </w:tabs>
        <w:spacing w:line="360" w:lineRule="auto"/>
        <w:ind w:right="111" w:rightChars="53" w:firstLine="442" w:firstLineChars="100"/>
        <w:rPr>
          <w:rFonts w:eastAsia="黑体"/>
          <w:b/>
          <w:color w:val="auto"/>
          <w:sz w:val="44"/>
          <w:highlight w:val="none"/>
        </w:rPr>
        <w:sectPr>
          <w:footerReference r:id="rId3" w:type="default"/>
          <w:pgSz w:w="16838" w:h="11906" w:orient="landscape"/>
          <w:pgMar w:top="1308" w:right="1418" w:bottom="1246" w:left="1418" w:header="851" w:footer="992" w:gutter="0"/>
          <w:pgNumType w:fmt="numberInDash"/>
          <w:cols w:space="720" w:num="1"/>
          <w:docGrid w:linePitch="312" w:charSpace="0"/>
        </w:sectPr>
      </w:pPr>
    </w:p>
    <w:p w14:paraId="61805400">
      <w:pPr>
        <w:tabs>
          <w:tab w:val="left" w:pos="9612"/>
        </w:tabs>
        <w:spacing w:line="360" w:lineRule="auto"/>
        <w:ind w:right="111" w:rightChars="53"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p w14:paraId="4DF29259">
      <w:pPr>
        <w:pStyle w:val="3"/>
        <w:tabs>
          <w:tab w:val="left" w:pos="720"/>
        </w:tabs>
        <w:adjustRightInd w:val="0"/>
        <w:snapToGrid w:val="0"/>
        <w:spacing w:line="360" w:lineRule="auto"/>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本计费办法</w:t>
      </w:r>
      <w:r>
        <w:rPr>
          <w:rFonts w:hint="eastAsia" w:ascii="宋体" w:hAnsi="宋体" w:eastAsia="宋体" w:cs="宋体"/>
          <w:color w:val="auto"/>
          <w:sz w:val="21"/>
          <w:szCs w:val="21"/>
          <w:highlight w:val="none"/>
          <w:lang w:val="en-US" w:eastAsia="zh-CN"/>
        </w:rPr>
        <w:t>参</w:t>
      </w:r>
      <w:r>
        <w:rPr>
          <w:rFonts w:hint="eastAsia" w:ascii="宋体" w:hAnsi="宋体" w:eastAsia="宋体" w:cs="宋体"/>
          <w:color w:val="auto"/>
          <w:sz w:val="21"/>
          <w:szCs w:val="21"/>
          <w:highlight w:val="none"/>
        </w:rPr>
        <w:t>照广东省物价局颁布的《广东省建设工程造价咨询服务收费项目和收费标准表》粤价函[2011]742号文并结合英德市实际情况制定</w:t>
      </w:r>
      <w:r>
        <w:rPr>
          <w:rFonts w:hint="eastAsia" w:ascii="宋体" w:hAnsi="宋体" w:eastAsia="宋体" w:cs="宋体"/>
          <w:color w:val="auto"/>
          <w:sz w:val="21"/>
          <w:szCs w:val="21"/>
          <w:highlight w:val="none"/>
          <w:lang w:eastAsia="zh-CN"/>
        </w:rPr>
        <w:t>：</w:t>
      </w:r>
    </w:p>
    <w:p w14:paraId="3CEC7EAA">
      <w:pPr>
        <w:pStyle w:val="3"/>
        <w:tabs>
          <w:tab w:val="left" w:pos="720"/>
        </w:tabs>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一．项目咨询服务费计算办法：</w:t>
      </w:r>
    </w:p>
    <w:p w14:paraId="588DF754">
      <w:pPr>
        <w:tabs>
          <w:tab w:val="left" w:pos="9612"/>
        </w:tabs>
        <w:spacing w:line="360" w:lineRule="auto"/>
        <w:ind w:right="111" w:rightChars="53" w:firstLine="420" w:firstLineChars="20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工程估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概</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算的审核，</w:t>
      </w:r>
      <w:r>
        <w:rPr>
          <w:rFonts w:hint="eastAsia" w:ascii="宋体" w:hAnsi="宋体" w:cs="宋体"/>
          <w:color w:val="auto"/>
          <w:sz w:val="21"/>
          <w:szCs w:val="21"/>
          <w:highlight w:val="none"/>
          <w:lang w:val="en-US" w:eastAsia="zh-CN"/>
        </w:rPr>
        <w:t>无论是（</w:t>
      </w:r>
      <w:r>
        <w:rPr>
          <w:rFonts w:hint="eastAsia" w:ascii="宋体" w:hAnsi="宋体" w:cs="宋体"/>
          <w:color w:val="auto"/>
          <w:szCs w:val="21"/>
          <w:highlight w:val="none"/>
        </w:rPr>
        <w:t>投资估算的编制或审核</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或是（</w:t>
      </w:r>
      <w:r>
        <w:rPr>
          <w:rFonts w:hint="eastAsia" w:ascii="宋体" w:hAnsi="宋体" w:cs="宋体"/>
          <w:color w:val="auto"/>
          <w:sz w:val="21"/>
          <w:szCs w:val="21"/>
          <w:highlight w:val="none"/>
        </w:rPr>
        <w:t>依据初步设计图纸计算或复核工程量，出具工程概算书或审核报告</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等工作，均</w:t>
      </w:r>
      <w:r>
        <w:rPr>
          <w:rFonts w:hint="eastAsia" w:ascii="宋体" w:hAnsi="宋体" w:eastAsia="宋体" w:cs="宋体"/>
          <w:color w:val="auto"/>
          <w:sz w:val="21"/>
          <w:szCs w:val="21"/>
          <w:highlight w:val="none"/>
        </w:rPr>
        <w:t>按</w:t>
      </w:r>
      <w:r>
        <w:rPr>
          <w:rFonts w:hint="eastAsia" w:ascii="宋体" w:hAnsi="宋体" w:cs="宋体"/>
          <w:color w:val="auto"/>
          <w:szCs w:val="21"/>
          <w:highlight w:val="none"/>
        </w:rPr>
        <w:t>投资估算的编制或审核</w:t>
      </w:r>
      <w:r>
        <w:rPr>
          <w:rFonts w:hint="eastAsia" w:ascii="宋体" w:hAnsi="宋体" w:eastAsia="宋体" w:cs="宋体"/>
          <w:color w:val="auto"/>
          <w:sz w:val="21"/>
          <w:szCs w:val="21"/>
          <w:highlight w:val="none"/>
          <w:lang w:val="en-US" w:eastAsia="zh-CN"/>
        </w:rPr>
        <w:t>收费基数计</w:t>
      </w:r>
      <w:r>
        <w:rPr>
          <w:rFonts w:hint="eastAsia" w:ascii="宋体" w:hAnsi="宋体" w:cs="宋体"/>
          <w:color w:val="auto"/>
          <w:sz w:val="21"/>
          <w:szCs w:val="21"/>
          <w:highlight w:val="none"/>
          <w:lang w:val="en-US" w:eastAsia="zh-CN"/>
        </w:rPr>
        <w:t>算，</w:t>
      </w:r>
      <w:r>
        <w:rPr>
          <w:rFonts w:hint="eastAsia" w:ascii="宋体" w:hAnsi="宋体" w:eastAsia="宋体" w:cs="宋体"/>
          <w:color w:val="auto"/>
          <w:sz w:val="21"/>
          <w:szCs w:val="21"/>
          <w:highlight w:val="none"/>
          <w:lang w:val="en-US" w:eastAsia="zh-CN"/>
        </w:rPr>
        <w:t>下浮35%</w:t>
      </w:r>
      <w:r>
        <w:rPr>
          <w:rFonts w:hint="eastAsia" w:ascii="宋体" w:hAnsi="宋体" w:eastAsia="宋体" w:cs="宋体"/>
          <w:color w:val="auto"/>
          <w:sz w:val="21"/>
          <w:szCs w:val="21"/>
          <w:highlight w:val="none"/>
        </w:rPr>
        <w:t>，计算基数按</w:t>
      </w:r>
      <w:r>
        <w:rPr>
          <w:rFonts w:hint="eastAsia" w:ascii="宋体" w:hAnsi="宋体" w:cs="宋体"/>
          <w:color w:val="auto"/>
          <w:sz w:val="21"/>
          <w:szCs w:val="21"/>
          <w:highlight w:val="none"/>
          <w:lang w:val="en-US" w:eastAsia="zh-CN"/>
        </w:rPr>
        <w:t>估、概算</w:t>
      </w:r>
      <w:r>
        <w:rPr>
          <w:rFonts w:hint="eastAsia" w:ascii="宋体" w:hAnsi="宋体" w:eastAsia="宋体" w:cs="宋体"/>
          <w:color w:val="auto"/>
          <w:sz w:val="21"/>
          <w:szCs w:val="21"/>
          <w:highlight w:val="none"/>
        </w:rPr>
        <w:t>送审金额。</w:t>
      </w:r>
    </w:p>
    <w:p w14:paraId="2C3F14DD">
      <w:pPr>
        <w:tabs>
          <w:tab w:val="left" w:pos="9612"/>
        </w:tabs>
        <w:spacing w:line="360" w:lineRule="auto"/>
        <w:ind w:right="111" w:rightChars="53"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2.工程预算的审核无论是清单计价法或是定额计价法，均按清单计价法的单独编制或审核工程量清单的预算造价（预算价、招标控制价）计算（含工程量的编制或审核和套价计费等工作）</w:t>
      </w:r>
      <w:r>
        <w:rPr>
          <w:rFonts w:hint="eastAsia" w:ascii="宋体" w:hAnsi="宋体" w:eastAsia="宋体" w:cs="宋体"/>
          <w:color w:val="auto"/>
          <w:sz w:val="21"/>
          <w:szCs w:val="21"/>
          <w:highlight w:val="none"/>
          <w:lang w:val="en-US" w:eastAsia="zh-CN"/>
        </w:rPr>
        <w:t>下浮35%</w:t>
      </w:r>
      <w:r>
        <w:rPr>
          <w:rFonts w:hint="eastAsia" w:ascii="宋体" w:hAnsi="宋体" w:eastAsia="宋体" w:cs="宋体"/>
          <w:color w:val="auto"/>
          <w:sz w:val="21"/>
          <w:szCs w:val="21"/>
          <w:highlight w:val="none"/>
        </w:rPr>
        <w:t>，计算基数按预算送审金额。</w:t>
      </w:r>
    </w:p>
    <w:p w14:paraId="7234C67C">
      <w:pPr>
        <w:pStyle w:val="3"/>
        <w:tabs>
          <w:tab w:val="left" w:pos="720"/>
        </w:tabs>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工程结算按标准下浮35%计取。</w:t>
      </w:r>
      <w:r>
        <w:rPr>
          <w:rFonts w:hint="eastAsia" w:ascii="宋体" w:hAnsi="宋体" w:eastAsia="宋体" w:cs="宋体"/>
          <w:color w:val="auto"/>
          <w:sz w:val="21"/>
          <w:szCs w:val="21"/>
          <w:highlight w:val="none"/>
        </w:rPr>
        <w:t>工程结算审核</w:t>
      </w:r>
      <w:r>
        <w:rPr>
          <w:rFonts w:hint="eastAsia" w:ascii="宋体" w:hAnsi="宋体" w:eastAsia="宋体" w:cs="宋体"/>
          <w:color w:val="auto"/>
          <w:sz w:val="21"/>
          <w:szCs w:val="21"/>
          <w:highlight w:val="none"/>
          <w:lang w:val="en-US" w:eastAsia="zh-CN"/>
        </w:rPr>
        <w:t>参照</w:t>
      </w:r>
      <w:r>
        <w:rPr>
          <w:rFonts w:hint="eastAsia" w:ascii="宋体" w:hAnsi="宋体" w:eastAsia="宋体" w:cs="宋体"/>
          <w:color w:val="auto"/>
          <w:sz w:val="21"/>
          <w:szCs w:val="21"/>
          <w:highlight w:val="none"/>
        </w:rPr>
        <w:t>《广东省建设工程造价咨询服务收费项目和收费标准表》中第5项之第（2）小项效益收费以项目定案核减额为计算基数，项目定案核增的不计算效益收费。如核减率(核减率=该项目定案核减额/工程委托审核造价*100%)大于8%(不含8%)时，则该工程造价咨询费的结算审核效益的计算基数按如下方法计算(本条所指的大于不含数字本身, 小于含数字本身。)</w:t>
      </w:r>
    </w:p>
    <w:p w14:paraId="5524C448">
      <w:pPr>
        <w:pStyle w:val="3"/>
        <w:tabs>
          <w:tab w:val="left" w:pos="720"/>
        </w:tabs>
        <w:adjustRightInd w:val="0"/>
        <w:snapToGrid w:val="0"/>
        <w:spacing w:line="360" w:lineRule="auto"/>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 当8%</w:t>
      </w:r>
      <w:r>
        <w:rPr>
          <w:rFonts w:hint="eastAsia" w:ascii="宋体" w:hAnsi="宋体" w:eastAsia="宋体" w:cs="宋体"/>
          <w:color w:val="auto"/>
          <w:sz w:val="21"/>
          <w:szCs w:val="21"/>
          <w:highlight w:val="none"/>
          <w:shd w:val="clear" w:color="auto" w:fill="FFFFFF"/>
        </w:rPr>
        <w:t>＜</w:t>
      </w:r>
      <w:r>
        <w:rPr>
          <w:rFonts w:hint="eastAsia" w:ascii="宋体" w:hAnsi="宋体" w:eastAsia="宋体" w:cs="宋体"/>
          <w:color w:val="auto"/>
          <w:sz w:val="21"/>
          <w:szCs w:val="21"/>
          <w:highlight w:val="none"/>
        </w:rPr>
        <w:t>核减率</w:t>
      </w:r>
      <w:r>
        <w:rPr>
          <w:rFonts w:hint="eastAsia" w:ascii="宋体" w:hAnsi="宋体" w:eastAsia="宋体" w:cs="宋体"/>
          <w:color w:val="auto"/>
          <w:sz w:val="21"/>
          <w:szCs w:val="21"/>
          <w:highlight w:val="none"/>
          <w:shd w:val="clear" w:color="auto" w:fill="FFFFFF"/>
        </w:rPr>
        <w:t>≤1</w:t>
      </w:r>
      <w:r>
        <w:rPr>
          <w:rFonts w:hint="eastAsia" w:ascii="宋体" w:hAnsi="宋体" w:eastAsia="宋体" w:cs="宋体"/>
          <w:color w:val="auto"/>
          <w:sz w:val="21"/>
          <w:szCs w:val="21"/>
          <w:highlight w:val="none"/>
        </w:rPr>
        <w:t>0%时，效益收费计算基数=按核减率为8%对应的核减额*100%+核减率大于8%部分对应的核减额*90%</w:t>
      </w:r>
      <w:r>
        <w:rPr>
          <w:rFonts w:hint="eastAsia" w:ascii="宋体" w:hAnsi="宋体" w:eastAsia="宋体" w:cs="宋体"/>
          <w:color w:val="auto"/>
          <w:sz w:val="21"/>
          <w:szCs w:val="21"/>
          <w:highlight w:val="none"/>
          <w:lang w:eastAsia="zh-CN"/>
        </w:rPr>
        <w:t>；</w:t>
      </w:r>
    </w:p>
    <w:p w14:paraId="71FE10A1">
      <w:pPr>
        <w:pStyle w:val="3"/>
        <w:tabs>
          <w:tab w:val="left" w:pos="720"/>
        </w:tabs>
        <w:adjustRightInd w:val="0"/>
        <w:snapToGrid w:val="0"/>
        <w:spacing w:line="360" w:lineRule="auto"/>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 当10%</w:t>
      </w:r>
      <w:r>
        <w:rPr>
          <w:rFonts w:hint="eastAsia" w:ascii="宋体" w:hAnsi="宋体" w:eastAsia="宋体" w:cs="宋体"/>
          <w:color w:val="auto"/>
          <w:sz w:val="21"/>
          <w:szCs w:val="21"/>
          <w:highlight w:val="none"/>
          <w:shd w:val="clear" w:color="auto" w:fill="FFFFFF"/>
        </w:rPr>
        <w:t>＜</w:t>
      </w:r>
      <w:r>
        <w:rPr>
          <w:rFonts w:hint="eastAsia" w:ascii="宋体" w:hAnsi="宋体" w:eastAsia="宋体" w:cs="宋体"/>
          <w:color w:val="auto"/>
          <w:sz w:val="21"/>
          <w:szCs w:val="21"/>
          <w:highlight w:val="none"/>
        </w:rPr>
        <w:t>核减率</w:t>
      </w:r>
      <w:r>
        <w:rPr>
          <w:rFonts w:hint="eastAsia" w:ascii="宋体" w:hAnsi="宋体" w:eastAsia="宋体" w:cs="宋体"/>
          <w:color w:val="auto"/>
          <w:sz w:val="21"/>
          <w:szCs w:val="21"/>
          <w:highlight w:val="none"/>
          <w:shd w:val="clear" w:color="auto" w:fill="FFFFFF"/>
        </w:rPr>
        <w:t>≤15</w:t>
      </w:r>
      <w:r>
        <w:rPr>
          <w:rFonts w:hint="eastAsia" w:ascii="宋体" w:hAnsi="宋体" w:eastAsia="宋体" w:cs="宋体"/>
          <w:color w:val="auto"/>
          <w:sz w:val="21"/>
          <w:szCs w:val="21"/>
          <w:highlight w:val="none"/>
        </w:rPr>
        <w:t>%时，效益收费计算基数=按上述方法计算核减率为10%对应的核减额+核减率大于10%部分对应的核减额*70%</w:t>
      </w:r>
      <w:r>
        <w:rPr>
          <w:rFonts w:hint="eastAsia" w:ascii="宋体" w:hAnsi="宋体" w:eastAsia="宋体" w:cs="宋体"/>
          <w:color w:val="auto"/>
          <w:sz w:val="21"/>
          <w:szCs w:val="21"/>
          <w:highlight w:val="none"/>
          <w:lang w:eastAsia="zh-CN"/>
        </w:rPr>
        <w:t>；</w:t>
      </w:r>
    </w:p>
    <w:p w14:paraId="5BB29551">
      <w:pPr>
        <w:pStyle w:val="3"/>
        <w:tabs>
          <w:tab w:val="left" w:pos="720"/>
        </w:tabs>
        <w:adjustRightInd w:val="0"/>
        <w:snapToGrid w:val="0"/>
        <w:spacing w:line="360" w:lineRule="auto"/>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 当15%</w:t>
      </w:r>
      <w:r>
        <w:rPr>
          <w:rFonts w:hint="eastAsia" w:ascii="宋体" w:hAnsi="宋体" w:eastAsia="宋体" w:cs="宋体"/>
          <w:color w:val="auto"/>
          <w:sz w:val="21"/>
          <w:szCs w:val="21"/>
          <w:highlight w:val="none"/>
          <w:shd w:val="clear" w:color="auto" w:fill="FFFFFF"/>
        </w:rPr>
        <w:t>＜</w:t>
      </w:r>
      <w:r>
        <w:rPr>
          <w:rFonts w:hint="eastAsia" w:ascii="宋体" w:hAnsi="宋体" w:eastAsia="宋体" w:cs="宋体"/>
          <w:color w:val="auto"/>
          <w:sz w:val="21"/>
          <w:szCs w:val="21"/>
          <w:highlight w:val="none"/>
        </w:rPr>
        <w:t>核减率</w:t>
      </w:r>
      <w:r>
        <w:rPr>
          <w:rFonts w:hint="eastAsia" w:ascii="宋体" w:hAnsi="宋体" w:eastAsia="宋体" w:cs="宋体"/>
          <w:color w:val="auto"/>
          <w:sz w:val="21"/>
          <w:szCs w:val="21"/>
          <w:highlight w:val="none"/>
          <w:shd w:val="clear" w:color="auto" w:fill="FFFFFF"/>
        </w:rPr>
        <w:t>≤20</w:t>
      </w:r>
      <w:r>
        <w:rPr>
          <w:rFonts w:hint="eastAsia" w:ascii="宋体" w:hAnsi="宋体" w:eastAsia="宋体" w:cs="宋体"/>
          <w:color w:val="auto"/>
          <w:sz w:val="21"/>
          <w:szCs w:val="21"/>
          <w:highlight w:val="none"/>
        </w:rPr>
        <w:t>%时，效益收费计算基数=按上述方法计算核减率为15%对应的核减额+核减率大于15%部分对应的核减额*50%</w:t>
      </w:r>
      <w:r>
        <w:rPr>
          <w:rFonts w:hint="eastAsia" w:ascii="宋体" w:hAnsi="宋体" w:eastAsia="宋体" w:cs="宋体"/>
          <w:color w:val="auto"/>
          <w:sz w:val="21"/>
          <w:szCs w:val="21"/>
          <w:highlight w:val="none"/>
          <w:lang w:eastAsia="zh-CN"/>
        </w:rPr>
        <w:t>；</w:t>
      </w:r>
    </w:p>
    <w:p w14:paraId="6F236F28">
      <w:pPr>
        <w:pStyle w:val="3"/>
        <w:tabs>
          <w:tab w:val="left" w:pos="720"/>
        </w:tabs>
        <w:adjustRightInd w:val="0"/>
        <w:snapToGrid w:val="0"/>
        <w:spacing w:line="360" w:lineRule="auto"/>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(4) 当20%</w:t>
      </w:r>
      <w:r>
        <w:rPr>
          <w:rFonts w:hint="eastAsia" w:ascii="宋体" w:hAnsi="宋体" w:eastAsia="宋体" w:cs="宋体"/>
          <w:color w:val="auto"/>
          <w:sz w:val="21"/>
          <w:szCs w:val="21"/>
          <w:highlight w:val="none"/>
          <w:shd w:val="clear" w:color="auto" w:fill="FFFFFF"/>
        </w:rPr>
        <w:t>＜</w:t>
      </w:r>
      <w:r>
        <w:rPr>
          <w:rFonts w:hint="eastAsia" w:ascii="宋体" w:hAnsi="宋体" w:eastAsia="宋体" w:cs="宋体"/>
          <w:color w:val="auto"/>
          <w:sz w:val="21"/>
          <w:szCs w:val="21"/>
          <w:highlight w:val="none"/>
        </w:rPr>
        <w:t>核减率，效益收费计算基数=按上述方法计算核减率为20%对应的核减额+核减率大于20%部分对应的核减额*30%</w:t>
      </w:r>
      <w:r>
        <w:rPr>
          <w:rFonts w:hint="eastAsia" w:ascii="宋体" w:hAnsi="宋体" w:eastAsia="宋体" w:cs="宋体"/>
          <w:color w:val="auto"/>
          <w:sz w:val="21"/>
          <w:szCs w:val="21"/>
          <w:highlight w:val="none"/>
          <w:lang w:eastAsia="zh-CN"/>
        </w:rPr>
        <w:t>。</w:t>
      </w:r>
    </w:p>
    <w:p w14:paraId="22F2158F">
      <w:pPr>
        <w:pStyle w:val="3"/>
        <w:tabs>
          <w:tab w:val="left" w:pos="720"/>
        </w:tabs>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工程结算审核如项目金额超7000万元（不含7000万元），则总收费按上述方法计算后再下浮25%；如项目金额超1亿元（不含1亿元），则总收费按上述方法计算后再下浮30%；如项目金额超5亿元（不含5亿元），则总收费按上述方法计算后再下浮35%；如项目金额超10亿元（不含10亿元），则总收费按上述方法计算后再下浮40%；如项目金额超50亿元（不含50亿元），则总收费按上述方法计算后再下浮50%。</w:t>
      </w:r>
    </w:p>
    <w:p w14:paraId="0EA14476">
      <w:pPr>
        <w:pStyle w:val="3"/>
        <w:tabs>
          <w:tab w:val="left" w:pos="720"/>
        </w:tabs>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5.经计算后的单个项目咨询服务费超过8万元(不含8万元)的，该项目造价咨询费按如下方法计算:</w:t>
      </w:r>
    </w:p>
    <w:p w14:paraId="23573B81">
      <w:pPr>
        <w:pStyle w:val="3"/>
        <w:tabs>
          <w:tab w:val="left" w:pos="720"/>
        </w:tabs>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当咨询服务费超过8万元,低于13万元 (含13万元)时，该项目咨询服务费=8</w:t>
      </w:r>
      <w:r>
        <w:rPr>
          <w:rFonts w:hint="eastAsia" w:hAnsi="宋体" w:cs="宋体"/>
          <w:color w:val="auto"/>
          <w:sz w:val="21"/>
          <w:szCs w:val="21"/>
          <w:highlight w:val="none"/>
          <w:lang w:eastAsia="zh-CN"/>
        </w:rPr>
        <w:t>万元</w:t>
      </w:r>
      <w:r>
        <w:rPr>
          <w:rFonts w:hint="eastAsia" w:ascii="宋体" w:hAnsi="宋体" w:eastAsia="宋体" w:cs="宋体"/>
          <w:color w:val="auto"/>
          <w:sz w:val="21"/>
          <w:szCs w:val="21"/>
          <w:highlight w:val="none"/>
        </w:rPr>
        <w:t>+其余部分*60%;</w:t>
      </w:r>
    </w:p>
    <w:p w14:paraId="4507EEA1">
      <w:pPr>
        <w:pStyle w:val="3"/>
        <w:tabs>
          <w:tab w:val="left" w:pos="720"/>
        </w:tabs>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当咨询服务费超过13万元,低于18万元 (含18万元)时，该项目咨询服务费=8万+5万*60%+其余部分*50%;</w:t>
      </w:r>
    </w:p>
    <w:p w14:paraId="41FCCB54">
      <w:pPr>
        <w:pStyle w:val="3"/>
        <w:tabs>
          <w:tab w:val="left" w:pos="720"/>
        </w:tabs>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当咨询服务费超过18万元,低于23万元 (含23万元)时，该项目咨询服务费=8万+5万*60%+5万*50%+其余部分*40%;</w:t>
      </w:r>
    </w:p>
    <w:p w14:paraId="239DA034">
      <w:pPr>
        <w:pStyle w:val="3"/>
        <w:tabs>
          <w:tab w:val="left" w:pos="720"/>
        </w:tabs>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当咨询服务费超过23万元,时，该项目咨询服务费=8万+5万*60%+5万*50%+5万*</w:t>
      </w:r>
      <w:r>
        <w:rPr>
          <w:rFonts w:hint="eastAsia" w:hAnsi="宋体" w:cs="宋体"/>
          <w:color w:val="auto"/>
          <w:sz w:val="21"/>
          <w:szCs w:val="21"/>
          <w:highlight w:val="none"/>
          <w:lang w:val="en-US" w:eastAsia="zh-CN"/>
        </w:rPr>
        <w:t>40</w:t>
      </w:r>
      <w:r>
        <w:rPr>
          <w:rFonts w:hint="eastAsia" w:ascii="宋体" w:hAnsi="宋体" w:eastAsia="宋体" w:cs="宋体"/>
          <w:color w:val="auto"/>
          <w:sz w:val="21"/>
          <w:szCs w:val="21"/>
          <w:highlight w:val="none"/>
        </w:rPr>
        <w:t>%+其余部分*30%;</w:t>
      </w:r>
    </w:p>
    <w:p w14:paraId="3F3A197D">
      <w:pPr>
        <w:pStyle w:val="3"/>
        <w:tabs>
          <w:tab w:val="left" w:pos="720"/>
        </w:tabs>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6．对于复核（或复审）项目，咨询服务费计算方法为：</w:t>
      </w:r>
    </w:p>
    <w:p w14:paraId="6059BFA1">
      <w:pPr>
        <w:pStyle w:val="3"/>
        <w:tabs>
          <w:tab w:val="left" w:pos="720"/>
        </w:tabs>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）结算项目</w:t>
      </w:r>
      <w:r>
        <w:rPr>
          <w:rFonts w:hint="eastAsia" w:ascii="宋体" w:hAnsi="宋体" w:eastAsia="宋体" w:cs="宋体"/>
          <w:color w:val="auto"/>
          <w:sz w:val="21"/>
          <w:szCs w:val="21"/>
          <w:highlight w:val="none"/>
          <w:lang w:eastAsia="zh-CN"/>
        </w:rPr>
        <w:t>复核（或复审）</w:t>
      </w:r>
      <w:r>
        <w:rPr>
          <w:rFonts w:hint="eastAsia" w:ascii="宋体" w:hAnsi="宋体" w:eastAsia="宋体" w:cs="宋体"/>
          <w:color w:val="auto"/>
          <w:sz w:val="21"/>
          <w:szCs w:val="21"/>
          <w:highlight w:val="none"/>
        </w:rPr>
        <w:t>咨询服务费=项目审核咨询服务费的基本收费*</w:t>
      </w:r>
      <w:r>
        <w:rPr>
          <w:rFonts w:hint="eastAsia" w:hAnsi="宋体" w:cs="宋体"/>
          <w:color w:val="auto"/>
          <w:sz w:val="21"/>
          <w:szCs w:val="21"/>
          <w:highlight w:val="none"/>
          <w:lang w:val="en-US" w:eastAsia="zh-CN"/>
        </w:rPr>
        <w:t>40</w:t>
      </w:r>
      <w:r>
        <w:rPr>
          <w:rFonts w:hint="eastAsia" w:ascii="宋体" w:hAnsi="宋体" w:eastAsia="宋体" w:cs="宋体"/>
          <w:color w:val="auto"/>
          <w:sz w:val="21"/>
          <w:szCs w:val="21"/>
          <w:highlight w:val="none"/>
        </w:rPr>
        <w:t>%，项目</w:t>
      </w:r>
      <w:r>
        <w:rPr>
          <w:rFonts w:hint="eastAsia" w:ascii="宋体" w:hAnsi="宋体" w:eastAsia="宋体" w:cs="宋体"/>
          <w:color w:val="auto"/>
          <w:sz w:val="21"/>
          <w:szCs w:val="21"/>
          <w:highlight w:val="none"/>
          <w:lang w:eastAsia="zh-CN"/>
        </w:rPr>
        <w:t>复核（或复审）</w:t>
      </w:r>
      <w:r>
        <w:rPr>
          <w:rFonts w:hint="eastAsia" w:ascii="宋体" w:hAnsi="宋体" w:eastAsia="宋体" w:cs="宋体"/>
          <w:color w:val="auto"/>
          <w:sz w:val="21"/>
          <w:szCs w:val="21"/>
          <w:highlight w:val="none"/>
        </w:rPr>
        <w:t>在项目审核结果的基础上产生的净核减额，且该净核减额在项目最终定案时得以体现，该净核减额经核实后可以作为结算项目</w:t>
      </w:r>
      <w:r>
        <w:rPr>
          <w:rFonts w:hint="eastAsia" w:ascii="宋体" w:hAnsi="宋体" w:eastAsia="宋体" w:cs="宋体"/>
          <w:color w:val="auto"/>
          <w:sz w:val="21"/>
          <w:szCs w:val="21"/>
          <w:highlight w:val="none"/>
          <w:lang w:eastAsia="zh-CN"/>
        </w:rPr>
        <w:t>复核（或复审）</w:t>
      </w:r>
      <w:r>
        <w:rPr>
          <w:rFonts w:hint="eastAsia" w:ascii="宋体" w:hAnsi="宋体" w:eastAsia="宋体" w:cs="宋体"/>
          <w:color w:val="auto"/>
          <w:sz w:val="21"/>
          <w:szCs w:val="21"/>
          <w:highlight w:val="none"/>
        </w:rPr>
        <w:t>效益收费的计算基数，用于计算</w:t>
      </w:r>
      <w:r>
        <w:rPr>
          <w:rFonts w:hint="eastAsia" w:ascii="宋体" w:hAnsi="宋体" w:eastAsia="宋体" w:cs="宋体"/>
          <w:color w:val="auto"/>
          <w:sz w:val="21"/>
          <w:szCs w:val="21"/>
          <w:highlight w:val="none"/>
          <w:lang w:eastAsia="zh-CN"/>
        </w:rPr>
        <w:t>复核（或复审）</w:t>
      </w:r>
      <w:r>
        <w:rPr>
          <w:rFonts w:hint="eastAsia" w:ascii="宋体" w:hAnsi="宋体" w:eastAsia="宋体" w:cs="宋体"/>
          <w:color w:val="auto"/>
          <w:sz w:val="21"/>
          <w:szCs w:val="21"/>
          <w:highlight w:val="none"/>
        </w:rPr>
        <w:t>效益收费。该效益收费在项目审核咨询公司的咨询服务费中等额扣除相应费用。</w:t>
      </w:r>
    </w:p>
    <w:p w14:paraId="618DEF94">
      <w:pPr>
        <w:pStyle w:val="3"/>
        <w:tabs>
          <w:tab w:val="left" w:pos="720"/>
        </w:tabs>
        <w:adjustRightInd w:val="0"/>
        <w:snapToGrid w:val="0"/>
        <w:spacing w:line="360" w:lineRule="auto"/>
        <w:ind w:firstLine="420" w:firstLineChars="200"/>
        <w:jc w:val="lef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）项目复审咨询服务费与项目审核咨询服务费计算标准相同。</w:t>
      </w:r>
    </w:p>
    <w:p w14:paraId="1E9F377E">
      <w:pPr>
        <w:pStyle w:val="3"/>
        <w:tabs>
          <w:tab w:val="left" w:pos="720"/>
        </w:tabs>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二．</w:t>
      </w:r>
      <w:r>
        <w:rPr>
          <w:rFonts w:hint="eastAsia" w:ascii="宋体" w:hAnsi="宋体" w:eastAsia="宋体" w:cs="宋体"/>
          <w:color w:val="auto"/>
          <w:sz w:val="21"/>
          <w:szCs w:val="21"/>
          <w:highlight w:val="none"/>
        </w:rPr>
        <w:t>其他</w:t>
      </w:r>
      <w:r>
        <w:rPr>
          <w:rFonts w:hint="eastAsia" w:ascii="宋体" w:hAnsi="宋体" w:eastAsia="宋体" w:cs="宋体"/>
          <w:color w:val="auto"/>
          <w:sz w:val="21"/>
          <w:szCs w:val="21"/>
          <w:highlight w:val="none"/>
          <w:lang w:eastAsia="zh-CN"/>
        </w:rPr>
        <w:t>相关</w:t>
      </w:r>
      <w:r>
        <w:rPr>
          <w:rFonts w:hint="eastAsia" w:ascii="宋体" w:hAnsi="宋体" w:eastAsia="宋体" w:cs="宋体"/>
          <w:color w:val="auto"/>
          <w:sz w:val="21"/>
          <w:szCs w:val="21"/>
          <w:highlight w:val="none"/>
        </w:rPr>
        <w:t>说明：</w:t>
      </w:r>
    </w:p>
    <w:p w14:paraId="1C3C8D68">
      <w:pPr>
        <w:tabs>
          <w:tab w:val="left" w:pos="9612"/>
        </w:tabs>
        <w:spacing w:line="360" w:lineRule="auto"/>
        <w:ind w:right="111" w:rightChars="53" w:firstLine="411" w:firstLineChars="19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1．计算咨询服务费用时，以单独出具的成果文件为独立核算单位。</w:t>
      </w:r>
    </w:p>
    <w:p w14:paraId="4015EBED">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2．单个项目造价咨询费不足1000元的按1000元计取。</w:t>
      </w:r>
    </w:p>
    <w:p w14:paraId="020DBB61">
      <w:pPr>
        <w:pStyle w:val="2"/>
        <w:spacing w:line="360" w:lineRule="auto"/>
        <w:rPr>
          <w:rFonts w:hint="eastAsia" w:ascii="宋体" w:hAnsi="宋体" w:eastAsia="宋体" w:cs="宋体"/>
          <w:color w:val="auto"/>
          <w:sz w:val="21"/>
          <w:szCs w:val="21"/>
          <w:highlight w:val="none"/>
        </w:rPr>
      </w:pPr>
      <w:bookmarkStart w:id="0" w:name="OLE_LINK2"/>
      <w:r>
        <w:rPr>
          <w:rFonts w:hint="eastAsia" w:ascii="宋体" w:hAnsi="宋体" w:eastAsia="宋体" w:cs="宋体"/>
          <w:color w:val="auto"/>
          <w:sz w:val="21"/>
          <w:szCs w:val="21"/>
          <w:highlight w:val="none"/>
        </w:rPr>
        <w:t>3．非咨询服务公司原因退审的项目，根据审核进度及工作复杂程度计算咨询服务费，但最高不得超过按照正常定案项目计费标准的70%；退审项目第二次送审后委托原咨询公司审核的，该项目前后两次审核合计费用按照一次正常定案项目计费标准计算，第二次送审资料有修改变动的,视情况按照一次正常定案项目计费标准*1.1计算；因咨询服务公司原因造成审核时效逾期的不计算退审项目咨询服务费。</w:t>
      </w:r>
      <w:bookmarkEnd w:id="0"/>
    </w:p>
    <w:p w14:paraId="493580F1">
      <w:pPr>
        <w:tabs>
          <w:tab w:val="left" w:pos="9612"/>
        </w:tabs>
        <w:spacing w:line="360" w:lineRule="auto"/>
        <w:ind w:right="111" w:rightChars="53"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4．工程主材无论是否计入工程造价，均应计入取费基数。合同包干加签证项目，包干价部分应计入取费基数。送审项目中因不属于审核范围的内容在审核时被分离出来，该内容对应的造价不计入取费基数。</w:t>
      </w:r>
    </w:p>
    <w:p w14:paraId="59BA3AA2">
      <w:pPr>
        <w:pStyle w:val="3"/>
        <w:tabs>
          <w:tab w:val="left" w:pos="720"/>
        </w:tabs>
        <w:adjustRightInd w:val="0"/>
        <w:snapToGrid w:val="0"/>
        <w:spacing w:line="360" w:lineRule="auto"/>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.对于</w:t>
      </w:r>
      <w:r>
        <w:rPr>
          <w:rFonts w:hint="eastAsia" w:ascii="宋体" w:hAnsi="宋体" w:eastAsia="宋体" w:cs="宋体"/>
          <w:color w:val="auto"/>
          <w:sz w:val="21"/>
          <w:szCs w:val="21"/>
          <w:highlight w:val="none"/>
          <w:lang w:eastAsia="zh-CN"/>
        </w:rPr>
        <w:t>大型项目或其他</w:t>
      </w:r>
      <w:r>
        <w:rPr>
          <w:rFonts w:hint="eastAsia" w:ascii="宋体" w:hAnsi="宋体" w:eastAsia="宋体" w:cs="宋体"/>
          <w:color w:val="auto"/>
          <w:sz w:val="21"/>
          <w:szCs w:val="21"/>
          <w:highlight w:val="none"/>
        </w:rPr>
        <w:t>特殊</w:t>
      </w:r>
      <w:r>
        <w:rPr>
          <w:rFonts w:hint="eastAsia" w:ascii="宋体" w:hAnsi="宋体" w:eastAsia="宋体" w:cs="宋体"/>
          <w:color w:val="auto"/>
          <w:sz w:val="21"/>
          <w:szCs w:val="21"/>
          <w:highlight w:val="none"/>
          <w:lang w:eastAsia="zh-CN"/>
        </w:rPr>
        <w:t>情况</w:t>
      </w:r>
      <w:r>
        <w:rPr>
          <w:rFonts w:hint="eastAsia" w:ascii="宋体" w:hAnsi="宋体" w:eastAsia="宋体" w:cs="宋体"/>
          <w:color w:val="auto"/>
          <w:sz w:val="21"/>
          <w:szCs w:val="21"/>
          <w:highlight w:val="none"/>
        </w:rPr>
        <w:t>，采购人可以采用双方议价的方式委托审核。如双方对议价无法取得一致意见，采购人可委托其他中标人承接该项业务。</w:t>
      </w:r>
      <w:r>
        <w:rPr>
          <w:rFonts w:hint="eastAsia" w:ascii="宋体" w:hAnsi="宋体" w:eastAsia="宋体" w:cs="宋体"/>
          <w:color w:val="auto"/>
          <w:sz w:val="21"/>
          <w:szCs w:val="21"/>
          <w:highlight w:val="none"/>
          <w:lang w:eastAsia="zh-CN"/>
        </w:rPr>
        <w:t>具体收费以</w:t>
      </w:r>
      <w:r>
        <w:rPr>
          <w:rFonts w:hint="eastAsia" w:ascii="宋体" w:hAnsi="宋体" w:eastAsia="宋体" w:cs="宋体"/>
          <w:color w:val="auto"/>
          <w:sz w:val="21"/>
          <w:szCs w:val="21"/>
          <w:highlight w:val="none"/>
        </w:rPr>
        <w:t>双方</w:t>
      </w:r>
      <w:r>
        <w:rPr>
          <w:rFonts w:hint="eastAsia" w:ascii="宋体" w:hAnsi="宋体" w:eastAsia="宋体" w:cs="宋体"/>
          <w:color w:val="auto"/>
          <w:sz w:val="21"/>
          <w:szCs w:val="21"/>
          <w:highlight w:val="none"/>
          <w:lang w:eastAsia="zh-CN"/>
        </w:rPr>
        <w:t>在咨询服务委托书中约定的金额为准。</w:t>
      </w:r>
    </w:p>
    <w:p w14:paraId="4709571F">
      <w:pPr>
        <w:pStyle w:val="3"/>
        <w:tabs>
          <w:tab w:val="left" w:pos="720"/>
        </w:tabs>
        <w:adjustRightInd w:val="0"/>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．按以上内容计算咨询费后，不另行计算其他一切费用（如咨询公司因项目审核所需的现场查勘、外出考察、驻场办公、外聘专家等）。</w:t>
      </w:r>
    </w:p>
    <w:p w14:paraId="432F1879">
      <w:pPr>
        <w:pStyle w:val="3"/>
        <w:tabs>
          <w:tab w:val="left" w:pos="720"/>
        </w:tabs>
        <w:adjustRightInd w:val="0"/>
        <w:snapToGrid w:val="0"/>
        <w:spacing w:line="360" w:lineRule="auto"/>
        <w:ind w:firstLine="420" w:firstLineChars="200"/>
        <w:jc w:val="left"/>
        <w:rPr>
          <w:rFonts w:hint="eastAsia" w:ascii="宋体" w:hAnsi="宋体" w:eastAsia="宋体" w:cs="宋体"/>
          <w:color w:val="auto"/>
          <w:sz w:val="21"/>
          <w:szCs w:val="21"/>
          <w:highlight w:val="none"/>
        </w:rPr>
        <w:sectPr>
          <w:footerReference r:id="rId4" w:type="default"/>
          <w:pgSz w:w="11906" w:h="16838"/>
          <w:pgMar w:top="1418" w:right="1246" w:bottom="1418" w:left="1308" w:header="851" w:footer="992" w:gutter="0"/>
          <w:pgNumType w:fmt="numberInDash"/>
          <w:cols w:space="720" w:num="1"/>
          <w:docGrid w:linePitch="312" w:charSpace="0"/>
        </w:sectPr>
      </w:pPr>
      <w:r>
        <w:rPr>
          <w:rFonts w:hint="eastAsia" w:ascii="宋体" w:hAnsi="宋体" w:eastAsia="宋体" w:cs="宋体"/>
          <w:color w:val="auto"/>
          <w:sz w:val="21"/>
          <w:szCs w:val="21"/>
          <w:highlight w:val="none"/>
        </w:rPr>
        <w:t>7．以上咨询费为含税金额。</w:t>
      </w:r>
    </w:p>
    <w:p w14:paraId="47FA1A39">
      <w:pPr>
        <w:pStyle w:val="2"/>
        <w:keepNext w:val="0"/>
        <w:keepLines w:val="0"/>
        <w:pageBreakBefore w:val="0"/>
        <w:widowControl w:val="0"/>
        <w:kinsoku/>
        <w:wordWrap/>
        <w:overflowPunct/>
        <w:topLinePunct w:val="0"/>
        <w:autoSpaceDE/>
        <w:autoSpaceDN/>
        <w:bidi w:val="0"/>
        <w:spacing w:line="360" w:lineRule="auto"/>
        <w:ind w:left="0" w:leftChars="0" w:firstLine="0" w:firstLineChars="0"/>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附件二：</w:t>
      </w:r>
    </w:p>
    <w:p w14:paraId="6C012B57">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jc w:val="center"/>
        <w:rPr>
          <w:rFonts w:hint="eastAsia" w:ascii="方正小标宋_GBK" w:hAnsi="方正小标宋_GBK" w:eastAsia="方正小标宋_GBK" w:cs="方正小标宋_GBK"/>
          <w:b w:val="0"/>
          <w:bCs w:val="0"/>
          <w:color w:val="auto"/>
          <w:sz w:val="44"/>
          <w:szCs w:val="44"/>
          <w:highlight w:val="none"/>
        </w:rPr>
      </w:pPr>
      <w:r>
        <w:rPr>
          <w:rFonts w:hint="eastAsia" w:ascii="方正小标宋_GBK" w:hAnsi="方正小标宋_GBK" w:eastAsia="方正小标宋_GBK" w:cs="方正小标宋_GBK"/>
          <w:b w:val="0"/>
          <w:bCs w:val="0"/>
          <w:color w:val="auto"/>
          <w:sz w:val="44"/>
          <w:szCs w:val="44"/>
          <w:highlight w:val="none"/>
        </w:rPr>
        <w:t>英德市投资审核中心审核工作业务委派操作办法</w:t>
      </w:r>
    </w:p>
    <w:p w14:paraId="62AFE6D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为规范英德市投资审核中心审核工作业务委派造价咨询公司审核行为,确保委派过程公平、公正、有序进行,结合英德市政府投资项目审核工作的实际，特制定本操作办法。</w:t>
      </w:r>
    </w:p>
    <w:p w14:paraId="0453007F">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t>委派方式</w:t>
      </w:r>
    </w:p>
    <w:p w14:paraId="3620D04B">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委派承担具体项目审核工作的造价咨询公司，采用“摇号法”和“排号法”两种方式确定。送审价100万元以下的项目采取批量打包方式，采用“排号法”确定负责该批项目审核业务的造价咨询公司</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送审价100万元</w:t>
      </w:r>
      <w:r>
        <w:rPr>
          <w:rFonts w:hint="eastAsia" w:ascii="仿宋_GB2312" w:hAnsi="仿宋_GB2312" w:eastAsia="仿宋_GB2312" w:cs="仿宋_GB2312"/>
          <w:color w:val="auto"/>
          <w:sz w:val="32"/>
          <w:szCs w:val="32"/>
          <w:highlight w:val="none"/>
        </w:rPr>
        <w:t>（含100万元）</w:t>
      </w:r>
      <w:r>
        <w:rPr>
          <w:rFonts w:hint="eastAsia" w:ascii="仿宋_GB2312" w:hAnsi="仿宋_GB2312" w:eastAsia="仿宋_GB2312" w:cs="仿宋_GB2312"/>
          <w:color w:val="auto"/>
          <w:sz w:val="32"/>
          <w:szCs w:val="32"/>
          <w:highlight w:val="none"/>
        </w:rPr>
        <w:t>以上的项目采用“摇号法”确定负责项目审核业务的造价咨询公司</w:t>
      </w:r>
      <w:r>
        <w:rPr>
          <w:rFonts w:hint="eastAsia" w:ascii="仿宋_GB2312" w:hAnsi="仿宋_GB2312" w:eastAsia="仿宋_GB2312" w:cs="仿宋_GB2312"/>
          <w:color w:val="auto"/>
          <w:sz w:val="32"/>
          <w:szCs w:val="32"/>
          <w:highlight w:val="none"/>
          <w:lang w:eastAsia="zh-CN"/>
        </w:rPr>
        <w:t>，且</w:t>
      </w:r>
      <w:r>
        <w:rPr>
          <w:rFonts w:hint="eastAsia" w:ascii="仿宋_GB2312" w:hAnsi="仿宋_GB2312" w:eastAsia="仿宋_GB2312" w:cs="仿宋_GB2312"/>
          <w:color w:val="auto"/>
          <w:sz w:val="32"/>
          <w:szCs w:val="32"/>
          <w:highlight w:val="none"/>
        </w:rPr>
        <w:t>送审价1000万元以上</w:t>
      </w:r>
      <w:r>
        <w:rPr>
          <w:rFonts w:hint="eastAsia" w:ascii="仿宋_GB2312" w:hAnsi="仿宋_GB2312" w:eastAsia="仿宋_GB2312" w:cs="仿宋_GB2312"/>
          <w:color w:val="auto"/>
          <w:sz w:val="32"/>
          <w:szCs w:val="32"/>
          <w:highlight w:val="none"/>
        </w:rPr>
        <w:t>（含1000万元）</w:t>
      </w:r>
      <w:r>
        <w:rPr>
          <w:rFonts w:hint="eastAsia" w:ascii="仿宋_GB2312" w:hAnsi="仿宋_GB2312" w:eastAsia="仿宋_GB2312" w:cs="仿宋_GB2312"/>
          <w:color w:val="auto"/>
          <w:sz w:val="32"/>
          <w:szCs w:val="32"/>
          <w:highlight w:val="none"/>
        </w:rPr>
        <w:t>的结算项目、送审</w:t>
      </w:r>
      <w:r>
        <w:rPr>
          <w:rFonts w:hint="eastAsia" w:ascii="仿宋_GB2312" w:hAnsi="仿宋_GB2312" w:eastAsia="仿宋_GB2312" w:cs="仿宋_GB2312"/>
          <w:color w:val="auto"/>
          <w:sz w:val="32"/>
          <w:szCs w:val="32"/>
          <w:highlight w:val="none"/>
          <w:lang w:val="en-US" w:eastAsia="zh-CN"/>
        </w:rPr>
        <w:t>价</w:t>
      </w:r>
      <w:r>
        <w:rPr>
          <w:rFonts w:hint="eastAsia" w:ascii="仿宋_GB2312" w:hAnsi="仿宋_GB2312" w:eastAsia="仿宋_GB2312" w:cs="仿宋_GB2312"/>
          <w:color w:val="auto"/>
          <w:sz w:val="32"/>
          <w:szCs w:val="32"/>
          <w:highlight w:val="none"/>
        </w:rPr>
        <w:t>1亿元</w:t>
      </w:r>
      <w:r>
        <w:rPr>
          <w:rFonts w:hint="eastAsia" w:ascii="仿宋_GB2312" w:hAnsi="仿宋_GB2312" w:eastAsia="仿宋_GB2312" w:cs="仿宋_GB2312"/>
          <w:color w:val="auto"/>
          <w:sz w:val="32"/>
          <w:szCs w:val="32"/>
          <w:highlight w:val="none"/>
        </w:rPr>
        <w:t>（含1亿元）</w:t>
      </w:r>
      <w:r>
        <w:rPr>
          <w:rFonts w:hint="eastAsia" w:ascii="仿宋_GB2312" w:hAnsi="仿宋_GB2312" w:eastAsia="仿宋_GB2312" w:cs="仿宋_GB2312"/>
          <w:color w:val="auto"/>
          <w:sz w:val="32"/>
          <w:szCs w:val="32"/>
          <w:highlight w:val="none"/>
          <w:lang w:val="en-US" w:eastAsia="zh-CN"/>
        </w:rPr>
        <w:t>以上</w:t>
      </w:r>
      <w:r>
        <w:rPr>
          <w:rFonts w:hint="eastAsia" w:ascii="仿宋_GB2312" w:hAnsi="仿宋_GB2312" w:eastAsia="仿宋_GB2312" w:cs="仿宋_GB2312"/>
          <w:color w:val="auto"/>
          <w:sz w:val="32"/>
          <w:szCs w:val="32"/>
          <w:highlight w:val="none"/>
        </w:rPr>
        <w:t>的概预算</w:t>
      </w:r>
      <w:r>
        <w:rPr>
          <w:rFonts w:hint="eastAsia" w:ascii="仿宋_GB2312" w:hAnsi="仿宋_GB2312" w:eastAsia="仿宋_GB2312" w:cs="仿宋_GB2312"/>
          <w:color w:val="auto"/>
          <w:sz w:val="32"/>
          <w:szCs w:val="32"/>
          <w:highlight w:val="none"/>
          <w:lang w:val="en-US" w:eastAsia="zh-CN"/>
        </w:rPr>
        <w:t>项目和</w:t>
      </w:r>
      <w:r>
        <w:rPr>
          <w:rFonts w:hint="eastAsia" w:ascii="仿宋_GB2312" w:hAnsi="仿宋_GB2312" w:eastAsia="仿宋_GB2312" w:cs="仿宋_GB2312"/>
          <w:color w:val="auto"/>
          <w:sz w:val="32"/>
          <w:szCs w:val="32"/>
          <w:highlight w:val="none"/>
          <w:lang w:val="en-US" w:eastAsia="zh-CN"/>
        </w:rPr>
        <w:t>送审价3000万元（含3000万元）以上的自审预算项目</w:t>
      </w:r>
      <w:r>
        <w:rPr>
          <w:rFonts w:hint="eastAsia" w:ascii="仿宋_GB2312" w:hAnsi="仿宋_GB2312" w:eastAsia="仿宋_GB2312" w:cs="仿宋_GB2312"/>
          <w:color w:val="auto"/>
          <w:sz w:val="32"/>
          <w:szCs w:val="32"/>
          <w:highlight w:val="none"/>
        </w:rPr>
        <w:t>需委托第二家造价咨询公司复审的，采用“摇号法”确定负责该项目审核业务的造价咨询公司。</w:t>
      </w:r>
    </w:p>
    <w:p w14:paraId="7195ACF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t>二、操作方法</w:t>
      </w:r>
    </w:p>
    <w:p w14:paraId="2EE6E3A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color w:val="auto"/>
          <w:sz w:val="32"/>
          <w:szCs w:val="32"/>
          <w:highlight w:val="none"/>
        </w:rPr>
      </w:pPr>
      <w:r>
        <w:rPr>
          <w:rFonts w:hint="eastAsia" w:ascii="楷体_GB2312" w:hAnsi="楷体_GB2312" w:eastAsia="楷体_GB2312" w:cs="楷体_GB2312"/>
          <w:color w:val="auto"/>
          <w:sz w:val="32"/>
          <w:szCs w:val="32"/>
          <w:highlight w:val="none"/>
        </w:rPr>
        <w:t>（一）“摇</w:t>
      </w:r>
      <w:r>
        <w:rPr>
          <w:rFonts w:hint="eastAsia" w:ascii="楷体_GB2312" w:hAnsi="楷体_GB2312" w:eastAsia="楷体_GB2312" w:cs="楷体_GB2312"/>
          <w:color w:val="auto"/>
          <w:sz w:val="32"/>
          <w:szCs w:val="32"/>
          <w:highlight w:val="none"/>
          <w:lang w:eastAsia="zh-CN"/>
        </w:rPr>
        <w:t>号</w:t>
      </w:r>
      <w:r>
        <w:rPr>
          <w:rFonts w:hint="eastAsia" w:ascii="楷体_GB2312" w:hAnsi="楷体_GB2312" w:eastAsia="楷体_GB2312" w:cs="楷体_GB2312"/>
          <w:color w:val="auto"/>
          <w:sz w:val="32"/>
          <w:szCs w:val="32"/>
          <w:highlight w:val="none"/>
        </w:rPr>
        <w:t>法”</w:t>
      </w:r>
    </w:p>
    <w:p w14:paraId="3EAB8E2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1.中心每半年组织一次在库造价咨询公司摇号工作，按1000万元以下、1000万元</w:t>
      </w:r>
      <w:r>
        <w:rPr>
          <w:rFonts w:hint="eastAsia" w:ascii="仿宋_GB2312" w:hAnsi="仿宋_GB2312" w:eastAsia="仿宋_GB2312" w:cs="仿宋_GB2312"/>
          <w:color w:val="auto"/>
          <w:sz w:val="32"/>
          <w:szCs w:val="32"/>
          <w:highlight w:val="none"/>
        </w:rPr>
        <w:t>（含</w:t>
      </w:r>
      <w:r>
        <w:rPr>
          <w:rFonts w:hint="eastAsia" w:ascii="仿宋_GB2312" w:hAnsi="仿宋_GB2312" w:eastAsia="仿宋_GB2312" w:cs="仿宋_GB2312"/>
          <w:color w:val="auto"/>
          <w:sz w:val="32"/>
          <w:szCs w:val="32"/>
          <w:highlight w:val="none"/>
          <w:lang w:val="en-US" w:eastAsia="zh-CN"/>
        </w:rPr>
        <w:t>1000万元</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rPr>
        <w:t>以上两个金额梯次，分别摇定各梯次造价咨询公司专属号码</w:t>
      </w:r>
      <w:r>
        <w:rPr>
          <w:rFonts w:hint="eastAsia" w:ascii="仿宋_GB2312" w:hAnsi="仿宋_GB2312" w:eastAsia="仿宋_GB2312" w:cs="仿宋_GB2312"/>
          <w:color w:val="auto"/>
          <w:sz w:val="32"/>
          <w:szCs w:val="32"/>
          <w:highlight w:val="none"/>
          <w:lang w:eastAsia="zh-CN"/>
        </w:rPr>
        <w:t>。</w:t>
      </w:r>
    </w:p>
    <w:p w14:paraId="740CE6C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2.现场</w:t>
      </w:r>
      <w:r>
        <w:rPr>
          <w:rFonts w:hint="eastAsia" w:ascii="仿宋_GB2312" w:hAnsi="仿宋_GB2312" w:eastAsia="仿宋_GB2312" w:cs="仿宋_GB2312"/>
          <w:color w:val="auto"/>
          <w:sz w:val="32"/>
          <w:szCs w:val="32"/>
          <w:highlight w:val="none"/>
          <w:lang w:eastAsia="zh-CN"/>
        </w:rPr>
        <w:t>摇号</w:t>
      </w:r>
      <w:r>
        <w:rPr>
          <w:rFonts w:hint="eastAsia" w:ascii="仿宋_GB2312" w:hAnsi="仿宋_GB2312" w:eastAsia="仿宋_GB2312" w:cs="仿宋_GB2312"/>
          <w:color w:val="auto"/>
          <w:sz w:val="32"/>
          <w:szCs w:val="32"/>
          <w:highlight w:val="none"/>
        </w:rPr>
        <w:t>由信息管理部组织安排，</w:t>
      </w:r>
      <w:r>
        <w:rPr>
          <w:rFonts w:hint="eastAsia" w:ascii="仿宋_GB2312" w:hAnsi="仿宋_GB2312" w:eastAsia="仿宋_GB2312" w:cs="仿宋_GB2312"/>
          <w:color w:val="auto"/>
          <w:sz w:val="32"/>
          <w:szCs w:val="32"/>
          <w:highlight w:val="none"/>
          <w:lang w:eastAsia="zh-CN"/>
        </w:rPr>
        <w:t>摇号</w:t>
      </w:r>
      <w:r>
        <w:rPr>
          <w:rFonts w:hint="eastAsia" w:ascii="仿宋_GB2312" w:hAnsi="仿宋_GB2312" w:eastAsia="仿宋_GB2312" w:cs="仿宋_GB2312"/>
          <w:color w:val="auto"/>
          <w:sz w:val="32"/>
          <w:szCs w:val="32"/>
          <w:highlight w:val="none"/>
        </w:rPr>
        <w:t>前由信息管理部通知综合管理部纪检工作人员和审核部、复核部工作人员参加现场</w:t>
      </w:r>
      <w:r>
        <w:rPr>
          <w:rFonts w:hint="eastAsia" w:ascii="仿宋_GB2312" w:hAnsi="仿宋_GB2312" w:eastAsia="仿宋_GB2312" w:cs="仿宋_GB2312"/>
          <w:color w:val="auto"/>
          <w:sz w:val="32"/>
          <w:szCs w:val="32"/>
          <w:highlight w:val="none"/>
          <w:lang w:eastAsia="zh-CN"/>
        </w:rPr>
        <w:t>摇号</w:t>
      </w:r>
      <w:r>
        <w:rPr>
          <w:rFonts w:hint="eastAsia" w:ascii="仿宋_GB2312" w:hAnsi="仿宋_GB2312" w:eastAsia="仿宋_GB2312" w:cs="仿宋_GB2312"/>
          <w:color w:val="auto"/>
          <w:sz w:val="32"/>
          <w:szCs w:val="32"/>
          <w:highlight w:val="none"/>
        </w:rPr>
        <w:t>监督工作。现场</w:t>
      </w:r>
      <w:r>
        <w:rPr>
          <w:rFonts w:hint="eastAsia" w:ascii="仿宋_GB2312" w:hAnsi="仿宋_GB2312" w:eastAsia="仿宋_GB2312" w:cs="仿宋_GB2312"/>
          <w:color w:val="auto"/>
          <w:sz w:val="32"/>
          <w:szCs w:val="32"/>
          <w:highlight w:val="none"/>
          <w:lang w:eastAsia="zh-CN"/>
        </w:rPr>
        <w:t>摇号</w:t>
      </w:r>
      <w:r>
        <w:rPr>
          <w:rFonts w:hint="eastAsia" w:ascii="仿宋_GB2312" w:hAnsi="仿宋_GB2312" w:eastAsia="仿宋_GB2312" w:cs="仿宋_GB2312"/>
          <w:color w:val="auto"/>
          <w:sz w:val="32"/>
          <w:szCs w:val="32"/>
          <w:highlight w:val="none"/>
        </w:rPr>
        <w:t>时由信息管理部工作人员按照《送审价100万以上项目</w:t>
      </w:r>
      <w:r>
        <w:rPr>
          <w:rFonts w:hint="eastAsia" w:ascii="仿宋_GB2312" w:hAnsi="仿宋_GB2312" w:eastAsia="仿宋_GB2312" w:cs="仿宋_GB2312"/>
          <w:color w:val="auto"/>
          <w:sz w:val="32"/>
          <w:szCs w:val="32"/>
          <w:highlight w:val="none"/>
          <w:lang w:eastAsia="zh-CN"/>
        </w:rPr>
        <w:t>摇号</w:t>
      </w:r>
      <w:r>
        <w:rPr>
          <w:rFonts w:hint="eastAsia" w:ascii="仿宋_GB2312" w:hAnsi="仿宋_GB2312" w:eastAsia="仿宋_GB2312" w:cs="仿宋_GB2312"/>
          <w:color w:val="auto"/>
          <w:sz w:val="32"/>
          <w:szCs w:val="32"/>
          <w:highlight w:val="none"/>
        </w:rPr>
        <w:t>安排表》或《</w:t>
      </w:r>
      <w:r>
        <w:rPr>
          <w:rFonts w:hint="eastAsia" w:ascii="仿宋_GB2312" w:hAnsi="仿宋_GB2312" w:eastAsia="仿宋_GB2312" w:cs="仿宋_GB2312"/>
          <w:color w:val="auto"/>
          <w:sz w:val="32"/>
          <w:szCs w:val="32"/>
          <w:highlight w:val="none"/>
          <w:lang w:eastAsia="zh-CN"/>
        </w:rPr>
        <w:t>复核（或复审）</w:t>
      </w:r>
      <w:r>
        <w:rPr>
          <w:rFonts w:hint="eastAsia" w:ascii="仿宋_GB2312" w:hAnsi="仿宋_GB2312" w:eastAsia="仿宋_GB2312" w:cs="仿宋_GB2312"/>
          <w:color w:val="auto"/>
          <w:sz w:val="32"/>
          <w:szCs w:val="32"/>
          <w:highlight w:val="none"/>
        </w:rPr>
        <w:t>项目</w:t>
      </w:r>
      <w:r>
        <w:rPr>
          <w:rFonts w:hint="eastAsia" w:ascii="仿宋_GB2312" w:hAnsi="仿宋_GB2312" w:eastAsia="仿宋_GB2312" w:cs="仿宋_GB2312"/>
          <w:color w:val="auto"/>
          <w:sz w:val="32"/>
          <w:szCs w:val="32"/>
          <w:highlight w:val="none"/>
          <w:lang w:eastAsia="zh-CN"/>
        </w:rPr>
        <w:t>摇号</w:t>
      </w:r>
      <w:r>
        <w:rPr>
          <w:rFonts w:hint="eastAsia" w:ascii="仿宋_GB2312" w:hAnsi="仿宋_GB2312" w:eastAsia="仿宋_GB2312" w:cs="仿宋_GB2312"/>
          <w:color w:val="auto"/>
          <w:sz w:val="32"/>
          <w:szCs w:val="32"/>
          <w:highlight w:val="none"/>
        </w:rPr>
        <w:t>安排表》将各项目进行</w:t>
      </w:r>
      <w:r>
        <w:rPr>
          <w:rFonts w:hint="eastAsia" w:ascii="仿宋_GB2312" w:hAnsi="仿宋_GB2312" w:eastAsia="仿宋_GB2312" w:cs="仿宋_GB2312"/>
          <w:color w:val="auto"/>
          <w:sz w:val="32"/>
          <w:szCs w:val="32"/>
          <w:highlight w:val="none"/>
          <w:lang w:eastAsia="zh-CN"/>
        </w:rPr>
        <w:t>摇号</w:t>
      </w:r>
      <w:r>
        <w:rPr>
          <w:rFonts w:hint="eastAsia" w:ascii="仿宋_GB2312" w:hAnsi="仿宋_GB2312" w:eastAsia="仿宋_GB2312" w:cs="仿宋_GB2312"/>
          <w:color w:val="auto"/>
          <w:sz w:val="32"/>
          <w:szCs w:val="32"/>
          <w:highlight w:val="none"/>
        </w:rPr>
        <w:t>，确定负责该项目审核</w:t>
      </w:r>
      <w:r>
        <w:rPr>
          <w:rFonts w:hint="eastAsia" w:ascii="仿宋_GB2312" w:hAnsi="仿宋_GB2312" w:eastAsia="仿宋_GB2312" w:cs="仿宋_GB2312"/>
          <w:color w:val="auto"/>
          <w:sz w:val="32"/>
          <w:szCs w:val="32"/>
          <w:highlight w:val="none"/>
          <w:lang w:val="en-US" w:eastAsia="zh-CN"/>
        </w:rPr>
        <w:t>或复核</w:t>
      </w:r>
      <w:r>
        <w:rPr>
          <w:rFonts w:hint="eastAsia" w:ascii="仿宋_GB2312" w:hAnsi="仿宋_GB2312" w:eastAsia="仿宋_GB2312" w:cs="仿宋_GB2312"/>
          <w:color w:val="auto"/>
          <w:sz w:val="32"/>
          <w:szCs w:val="32"/>
          <w:highlight w:val="none"/>
        </w:rPr>
        <w:t>工作业务的造价咨询公司。</w:t>
      </w:r>
    </w:p>
    <w:p w14:paraId="6317EE5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3.送审价1000万元（含1000万元）以上的结算项目</w:t>
      </w:r>
      <w:r>
        <w:rPr>
          <w:rFonts w:hint="eastAsia" w:ascii="仿宋_GB2312" w:hAnsi="仿宋_GB2312" w:eastAsia="仿宋_GB2312" w:cs="仿宋_GB2312"/>
          <w:color w:val="auto"/>
          <w:sz w:val="32"/>
          <w:szCs w:val="32"/>
          <w:highlight w:val="none"/>
        </w:rPr>
        <w:t>、送审价1亿元（含1亿元）以上的概预算项目，通过摇号确定第一家造价咨询公司开展</w:t>
      </w:r>
      <w:r>
        <w:rPr>
          <w:rFonts w:hint="eastAsia" w:ascii="仿宋_GB2312" w:hAnsi="仿宋_GB2312" w:eastAsia="仿宋_GB2312" w:cs="仿宋_GB2312"/>
          <w:color w:val="auto"/>
          <w:sz w:val="32"/>
          <w:szCs w:val="32"/>
          <w:highlight w:val="none"/>
          <w:lang w:eastAsia="zh-CN"/>
        </w:rPr>
        <w:t>审核</w:t>
      </w:r>
      <w:r>
        <w:rPr>
          <w:rFonts w:hint="eastAsia" w:ascii="仿宋_GB2312" w:hAnsi="仿宋_GB2312" w:eastAsia="仿宋_GB2312" w:cs="仿宋_GB2312"/>
          <w:color w:val="auto"/>
          <w:sz w:val="32"/>
          <w:szCs w:val="32"/>
          <w:highlight w:val="none"/>
        </w:rPr>
        <w:t>后，</w:t>
      </w:r>
      <w:r>
        <w:rPr>
          <w:rFonts w:hint="eastAsia" w:ascii="仿宋_GB2312" w:hAnsi="仿宋_GB2312" w:eastAsia="仿宋_GB2312" w:cs="仿宋_GB2312"/>
          <w:color w:val="auto"/>
          <w:sz w:val="32"/>
          <w:szCs w:val="32"/>
          <w:highlight w:val="none"/>
        </w:rPr>
        <w:t>还需再次摇号选定第二家造价咨询公司实施复审。一般情况下，待第一家造价咨询公司完成</w:t>
      </w:r>
      <w:r>
        <w:rPr>
          <w:rFonts w:hint="eastAsia" w:ascii="仿宋_GB2312" w:hAnsi="仿宋_GB2312" w:eastAsia="仿宋_GB2312" w:cs="仿宋_GB2312"/>
          <w:color w:val="auto"/>
          <w:sz w:val="32"/>
          <w:szCs w:val="32"/>
          <w:highlight w:val="none"/>
          <w:lang w:eastAsia="zh-CN"/>
        </w:rPr>
        <w:t>审核</w:t>
      </w:r>
      <w:r>
        <w:rPr>
          <w:rFonts w:hint="eastAsia" w:ascii="仿宋_GB2312" w:hAnsi="仿宋_GB2312" w:eastAsia="仿宋_GB2312" w:cs="仿宋_GB2312"/>
          <w:color w:val="auto"/>
          <w:sz w:val="32"/>
          <w:szCs w:val="32"/>
          <w:highlight w:val="none"/>
        </w:rPr>
        <w:t>，且参审各方完成造价核对、对审核结果予以确认后，再摇号确定第二家造价咨询公司开展复审。</w:t>
      </w:r>
    </w:p>
    <w:p w14:paraId="3F81D57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4.</w:t>
      </w:r>
      <w:r>
        <w:rPr>
          <w:rFonts w:hint="eastAsia" w:ascii="仿宋_GB2312" w:hAnsi="仿宋_GB2312" w:eastAsia="仿宋_GB2312" w:cs="仿宋_GB2312"/>
          <w:color w:val="auto"/>
          <w:sz w:val="32"/>
          <w:szCs w:val="32"/>
          <w:highlight w:val="none"/>
          <w:lang w:eastAsia="zh-CN"/>
        </w:rPr>
        <w:t>摇号</w:t>
      </w:r>
      <w:r>
        <w:rPr>
          <w:rFonts w:hint="eastAsia" w:ascii="仿宋_GB2312" w:hAnsi="仿宋_GB2312" w:eastAsia="仿宋_GB2312" w:cs="仿宋_GB2312"/>
          <w:color w:val="auto"/>
          <w:sz w:val="32"/>
          <w:szCs w:val="32"/>
          <w:highlight w:val="none"/>
        </w:rPr>
        <w:t>操作方法：采用“逐次减号</w:t>
      </w:r>
      <w:r>
        <w:rPr>
          <w:rFonts w:hint="eastAsia" w:ascii="仿宋_GB2312" w:hAnsi="仿宋_GB2312" w:eastAsia="仿宋_GB2312" w:cs="仿宋_GB2312"/>
          <w:color w:val="auto"/>
          <w:sz w:val="32"/>
          <w:szCs w:val="32"/>
          <w:highlight w:val="none"/>
          <w:lang w:eastAsia="zh-CN"/>
        </w:rPr>
        <w:t>摇号</w:t>
      </w:r>
      <w:r>
        <w:rPr>
          <w:rFonts w:hint="eastAsia" w:ascii="仿宋_GB2312" w:hAnsi="仿宋_GB2312" w:eastAsia="仿宋_GB2312" w:cs="仿宋_GB2312"/>
          <w:color w:val="auto"/>
          <w:sz w:val="32"/>
          <w:szCs w:val="32"/>
          <w:highlight w:val="none"/>
        </w:rPr>
        <w:t>法”</w:t>
      </w:r>
    </w:p>
    <w:p w14:paraId="661F2F1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w:t>
      </w:r>
      <w:r>
        <w:rPr>
          <w:rFonts w:hint="eastAsia" w:ascii="仿宋_GB2312" w:hAnsi="仿宋_GB2312" w:eastAsia="仿宋_GB2312" w:cs="仿宋_GB2312"/>
          <w:color w:val="auto"/>
          <w:sz w:val="32"/>
          <w:szCs w:val="32"/>
          <w:highlight w:val="none"/>
          <w:lang w:eastAsia="zh-CN"/>
        </w:rPr>
        <w:t>摇号</w:t>
      </w:r>
      <w:r>
        <w:rPr>
          <w:rFonts w:hint="eastAsia" w:ascii="仿宋_GB2312" w:hAnsi="仿宋_GB2312" w:eastAsia="仿宋_GB2312" w:cs="仿宋_GB2312"/>
          <w:color w:val="auto"/>
          <w:sz w:val="32"/>
          <w:szCs w:val="32"/>
          <w:highlight w:val="none"/>
        </w:rPr>
        <w:t>时按之前抽签方式确定的各造价咨询公司的具体编号为一次循环，每家造价咨询公司在同一次循环中只能参与一次业务分配</w:t>
      </w:r>
      <w:r>
        <w:rPr>
          <w:rFonts w:hint="eastAsia" w:ascii="仿宋_GB2312" w:hAnsi="仿宋_GB2312" w:eastAsia="仿宋_GB2312" w:cs="仿宋_GB2312"/>
          <w:color w:val="auto"/>
          <w:sz w:val="32"/>
          <w:szCs w:val="32"/>
          <w:highlight w:val="none"/>
          <w:lang w:eastAsia="zh-CN"/>
        </w:rPr>
        <w:t>摇号</w:t>
      </w:r>
      <w:r>
        <w:rPr>
          <w:rFonts w:hint="eastAsia" w:ascii="仿宋_GB2312" w:hAnsi="仿宋_GB2312" w:eastAsia="仿宋_GB2312" w:cs="仿宋_GB2312"/>
          <w:color w:val="auto"/>
          <w:sz w:val="32"/>
          <w:szCs w:val="32"/>
          <w:highlight w:val="none"/>
        </w:rPr>
        <w:t>，即当次该造价公司</w:t>
      </w:r>
      <w:r>
        <w:rPr>
          <w:rFonts w:hint="eastAsia" w:ascii="仿宋_GB2312" w:hAnsi="仿宋_GB2312" w:eastAsia="仿宋_GB2312" w:cs="仿宋_GB2312"/>
          <w:color w:val="auto"/>
          <w:sz w:val="32"/>
          <w:szCs w:val="32"/>
          <w:highlight w:val="none"/>
          <w:lang w:eastAsia="zh-CN"/>
        </w:rPr>
        <w:t>摇号</w:t>
      </w:r>
      <w:r>
        <w:rPr>
          <w:rFonts w:hint="eastAsia" w:ascii="仿宋_GB2312" w:hAnsi="仿宋_GB2312" w:eastAsia="仿宋_GB2312" w:cs="仿宋_GB2312"/>
          <w:color w:val="auto"/>
          <w:sz w:val="32"/>
          <w:szCs w:val="32"/>
          <w:highlight w:val="none"/>
        </w:rPr>
        <w:t>中号后，下次</w:t>
      </w:r>
      <w:r>
        <w:rPr>
          <w:rFonts w:hint="eastAsia" w:ascii="仿宋_GB2312" w:hAnsi="仿宋_GB2312" w:eastAsia="仿宋_GB2312" w:cs="仿宋_GB2312"/>
          <w:color w:val="auto"/>
          <w:sz w:val="32"/>
          <w:szCs w:val="32"/>
          <w:highlight w:val="none"/>
          <w:lang w:eastAsia="zh-CN"/>
        </w:rPr>
        <w:t>摇号</w:t>
      </w:r>
      <w:r>
        <w:rPr>
          <w:rFonts w:hint="eastAsia" w:ascii="仿宋_GB2312" w:hAnsi="仿宋_GB2312" w:eastAsia="仿宋_GB2312" w:cs="仿宋_GB2312"/>
          <w:color w:val="auto"/>
          <w:sz w:val="32"/>
          <w:szCs w:val="32"/>
          <w:highlight w:val="none"/>
        </w:rPr>
        <w:t>时该摇中编号就不再参与</w:t>
      </w:r>
      <w:r>
        <w:rPr>
          <w:rFonts w:hint="eastAsia" w:ascii="仿宋_GB2312" w:hAnsi="仿宋_GB2312" w:eastAsia="仿宋_GB2312" w:cs="仿宋_GB2312"/>
          <w:color w:val="auto"/>
          <w:sz w:val="32"/>
          <w:szCs w:val="32"/>
          <w:highlight w:val="none"/>
          <w:lang w:eastAsia="zh-CN"/>
        </w:rPr>
        <w:t>摇号</w:t>
      </w:r>
      <w:r>
        <w:rPr>
          <w:rFonts w:hint="eastAsia" w:ascii="仿宋_GB2312" w:hAnsi="仿宋_GB2312" w:eastAsia="仿宋_GB2312" w:cs="仿宋_GB2312"/>
          <w:color w:val="auto"/>
          <w:sz w:val="32"/>
          <w:szCs w:val="32"/>
          <w:highlight w:val="none"/>
        </w:rPr>
        <w:t>，以此类推，直到完成一次循环。</w:t>
      </w:r>
    </w:p>
    <w:p w14:paraId="615646C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（2）每个送审项目只</w:t>
      </w:r>
      <w:r>
        <w:rPr>
          <w:rFonts w:hint="eastAsia" w:ascii="仿宋_GB2312" w:hAnsi="仿宋_GB2312" w:eastAsia="仿宋_GB2312" w:cs="仿宋_GB2312"/>
          <w:color w:val="auto"/>
          <w:sz w:val="32"/>
          <w:szCs w:val="32"/>
          <w:highlight w:val="none"/>
          <w:lang w:eastAsia="zh-CN"/>
        </w:rPr>
        <w:t>摇号</w:t>
      </w:r>
      <w:r>
        <w:rPr>
          <w:rFonts w:hint="eastAsia" w:ascii="仿宋_GB2312" w:hAnsi="仿宋_GB2312" w:eastAsia="仿宋_GB2312" w:cs="仿宋_GB2312"/>
          <w:color w:val="auto"/>
          <w:sz w:val="32"/>
          <w:szCs w:val="32"/>
          <w:highlight w:val="none"/>
        </w:rPr>
        <w:t>一次。</w:t>
      </w:r>
    </w:p>
    <w:p w14:paraId="0C23CE8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每次</w:t>
      </w:r>
      <w:r>
        <w:rPr>
          <w:rFonts w:hint="eastAsia" w:ascii="仿宋_GB2312" w:hAnsi="仿宋_GB2312" w:eastAsia="仿宋_GB2312" w:cs="仿宋_GB2312"/>
          <w:color w:val="auto"/>
          <w:sz w:val="32"/>
          <w:szCs w:val="32"/>
          <w:highlight w:val="none"/>
          <w:lang w:eastAsia="zh-CN"/>
        </w:rPr>
        <w:t>摇号</w:t>
      </w:r>
      <w:r>
        <w:rPr>
          <w:rFonts w:hint="eastAsia" w:ascii="仿宋_GB2312" w:hAnsi="仿宋_GB2312" w:eastAsia="仿宋_GB2312" w:cs="仿宋_GB2312"/>
          <w:color w:val="auto"/>
          <w:sz w:val="32"/>
          <w:szCs w:val="32"/>
          <w:highlight w:val="none"/>
        </w:rPr>
        <w:t>前放入</w:t>
      </w:r>
      <w:r>
        <w:rPr>
          <w:rFonts w:hint="eastAsia" w:ascii="仿宋_GB2312" w:hAnsi="仿宋_GB2312" w:eastAsia="仿宋_GB2312" w:cs="仿宋_GB2312"/>
          <w:color w:val="auto"/>
          <w:sz w:val="32"/>
          <w:szCs w:val="32"/>
          <w:highlight w:val="none"/>
          <w:lang w:val="en-US" w:eastAsia="zh-CN"/>
        </w:rPr>
        <w:t>符合参加此次摇号的球号，摇出的球号表示对应的造价咨询公司编号，并确定该公司获得该项目的委派审核业务工作。</w:t>
      </w:r>
    </w:p>
    <w:p w14:paraId="1957885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eastAsia="zh-CN"/>
        </w:rPr>
        <w:t>摇号</w:t>
      </w:r>
      <w:r>
        <w:rPr>
          <w:rFonts w:hint="eastAsia" w:ascii="仿宋_GB2312" w:hAnsi="仿宋_GB2312" w:eastAsia="仿宋_GB2312" w:cs="仿宋_GB2312"/>
          <w:color w:val="auto"/>
          <w:sz w:val="32"/>
          <w:szCs w:val="32"/>
          <w:highlight w:val="none"/>
        </w:rPr>
        <w:t>结束后信息管理部依据</w:t>
      </w:r>
      <w:r>
        <w:rPr>
          <w:rFonts w:hint="eastAsia" w:ascii="仿宋_GB2312" w:hAnsi="仿宋_GB2312" w:eastAsia="仿宋_GB2312" w:cs="仿宋_GB2312"/>
          <w:color w:val="auto"/>
          <w:sz w:val="32"/>
          <w:szCs w:val="32"/>
          <w:highlight w:val="none"/>
          <w:lang w:eastAsia="zh-CN"/>
        </w:rPr>
        <w:t>摇号</w:t>
      </w:r>
      <w:r>
        <w:rPr>
          <w:rFonts w:hint="eastAsia" w:ascii="仿宋_GB2312" w:hAnsi="仿宋_GB2312" w:eastAsia="仿宋_GB2312" w:cs="仿宋_GB2312"/>
          <w:color w:val="auto"/>
          <w:sz w:val="32"/>
          <w:szCs w:val="32"/>
          <w:highlight w:val="none"/>
        </w:rPr>
        <w:t>结果进行委派审核工作业务。</w:t>
      </w:r>
    </w:p>
    <w:p w14:paraId="6AE9E94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举例说明：第一个项目摇出的球号为3,则该项目分配给编号为3的造价咨询公司审核。同一次循环中已摇中的造价咨询公司不参加该循环的后续项目的</w:t>
      </w:r>
      <w:r>
        <w:rPr>
          <w:rFonts w:hint="eastAsia" w:ascii="仿宋_GB2312" w:hAnsi="仿宋_GB2312" w:eastAsia="仿宋_GB2312" w:cs="仿宋_GB2312"/>
          <w:color w:val="auto"/>
          <w:sz w:val="32"/>
          <w:szCs w:val="32"/>
          <w:highlight w:val="none"/>
          <w:lang w:eastAsia="zh-CN"/>
        </w:rPr>
        <w:t>摇号</w:t>
      </w:r>
      <w:r>
        <w:rPr>
          <w:rFonts w:hint="eastAsia" w:ascii="仿宋_GB2312" w:hAnsi="仿宋_GB2312" w:eastAsia="仿宋_GB2312" w:cs="仿宋_GB2312"/>
          <w:color w:val="auto"/>
          <w:sz w:val="32"/>
          <w:szCs w:val="32"/>
          <w:highlight w:val="none"/>
        </w:rPr>
        <w:t>，即在每一个循环的项目</w:t>
      </w:r>
      <w:r>
        <w:rPr>
          <w:rFonts w:hint="eastAsia" w:ascii="仿宋_GB2312" w:hAnsi="仿宋_GB2312" w:eastAsia="仿宋_GB2312" w:cs="仿宋_GB2312"/>
          <w:color w:val="auto"/>
          <w:sz w:val="32"/>
          <w:szCs w:val="32"/>
          <w:highlight w:val="none"/>
          <w:lang w:eastAsia="zh-CN"/>
        </w:rPr>
        <w:t>摇号</w:t>
      </w:r>
      <w:r>
        <w:rPr>
          <w:rFonts w:hint="eastAsia" w:ascii="仿宋_GB2312" w:hAnsi="仿宋_GB2312" w:eastAsia="仿宋_GB2312" w:cs="仿宋_GB2312"/>
          <w:color w:val="auto"/>
          <w:sz w:val="32"/>
          <w:szCs w:val="32"/>
          <w:highlight w:val="none"/>
        </w:rPr>
        <w:t>过程中，参加</w:t>
      </w:r>
      <w:r>
        <w:rPr>
          <w:rFonts w:hint="eastAsia" w:ascii="仿宋_GB2312" w:hAnsi="仿宋_GB2312" w:eastAsia="仿宋_GB2312" w:cs="仿宋_GB2312"/>
          <w:color w:val="auto"/>
          <w:sz w:val="32"/>
          <w:szCs w:val="32"/>
          <w:highlight w:val="none"/>
          <w:lang w:eastAsia="zh-CN"/>
        </w:rPr>
        <w:t>摇号</w:t>
      </w:r>
      <w:r>
        <w:rPr>
          <w:rFonts w:hint="eastAsia" w:ascii="仿宋_GB2312" w:hAnsi="仿宋_GB2312" w:eastAsia="仿宋_GB2312" w:cs="仿宋_GB2312"/>
          <w:color w:val="auto"/>
          <w:sz w:val="32"/>
          <w:szCs w:val="32"/>
          <w:highlight w:val="none"/>
        </w:rPr>
        <w:t>的造价咨询公司逐次递减，直至全部公司摇完。如果同一批次的项目个数少于一个循环的造价咨询公司家数时，则下一批次的项目继续列为本次循环的</w:t>
      </w:r>
      <w:r>
        <w:rPr>
          <w:rFonts w:hint="eastAsia" w:ascii="仿宋_GB2312" w:hAnsi="仿宋_GB2312" w:eastAsia="仿宋_GB2312" w:cs="仿宋_GB2312"/>
          <w:color w:val="auto"/>
          <w:sz w:val="32"/>
          <w:szCs w:val="32"/>
          <w:highlight w:val="none"/>
          <w:lang w:eastAsia="zh-CN"/>
        </w:rPr>
        <w:t>摇号</w:t>
      </w:r>
      <w:r>
        <w:rPr>
          <w:rFonts w:hint="eastAsia" w:ascii="仿宋_GB2312" w:hAnsi="仿宋_GB2312" w:eastAsia="仿宋_GB2312" w:cs="仿宋_GB2312"/>
          <w:color w:val="auto"/>
          <w:sz w:val="32"/>
          <w:szCs w:val="32"/>
          <w:highlight w:val="none"/>
        </w:rPr>
        <w:t>项目。</w:t>
      </w:r>
    </w:p>
    <w:p w14:paraId="388F516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b w:val="0"/>
          <w:bCs w:val="0"/>
          <w:color w:val="auto"/>
          <w:sz w:val="32"/>
          <w:szCs w:val="32"/>
          <w:highlight w:val="none"/>
        </w:rPr>
      </w:pPr>
      <w:r>
        <w:rPr>
          <w:rFonts w:hint="eastAsia" w:ascii="楷体_GB2312" w:hAnsi="楷体_GB2312" w:eastAsia="楷体_GB2312" w:cs="楷体_GB2312"/>
          <w:b w:val="0"/>
          <w:bCs w:val="0"/>
          <w:color w:val="auto"/>
          <w:sz w:val="32"/>
          <w:szCs w:val="32"/>
          <w:highlight w:val="none"/>
        </w:rPr>
        <w:t>（二）“排号法”</w:t>
      </w:r>
    </w:p>
    <w:p w14:paraId="37D1C0B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送审项目由信息管理部工作人员按照项目接收资料时间（以双方确认的签收时间为准，精确到分钟）的先后排号，按照造价咨询公司通过抽签方式确定的具体编号排队顺序，依次委托分配给对应的公司进行审核。</w:t>
      </w:r>
    </w:p>
    <w:p w14:paraId="4007F0F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2.为提高工作效率，微小型项目（</w:t>
      </w:r>
      <w:r>
        <w:rPr>
          <w:rFonts w:hint="eastAsia" w:ascii="仿宋_GB2312" w:hAnsi="仿宋_GB2312" w:eastAsia="仿宋_GB2312" w:cs="仿宋_GB2312"/>
          <w:color w:val="auto"/>
          <w:sz w:val="32"/>
          <w:szCs w:val="32"/>
          <w:highlight w:val="none"/>
          <w:lang w:val="en-US" w:eastAsia="zh-CN"/>
        </w:rPr>
        <w:t>100</w:t>
      </w:r>
      <w:r>
        <w:rPr>
          <w:rFonts w:hint="eastAsia" w:ascii="仿宋_GB2312" w:hAnsi="仿宋_GB2312" w:eastAsia="仿宋_GB2312" w:cs="仿宋_GB2312"/>
          <w:color w:val="auto"/>
          <w:sz w:val="32"/>
          <w:szCs w:val="32"/>
          <w:highlight w:val="none"/>
        </w:rPr>
        <w:t>万以下）批量委托审核，将同一批次若干个同类专业的或工程地点相近的项目合并为一个总项目，合并后的总项目送审金额原则上不应超过200万元，合并后的总项目按排号分配。</w:t>
      </w:r>
    </w:p>
    <w:p w14:paraId="2B3E371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w:t>
      </w:r>
      <w:r>
        <w:rPr>
          <w:rFonts w:hint="eastAsia" w:ascii="仿宋_GB2312" w:hAnsi="仿宋_GB2312" w:eastAsia="仿宋_GB2312" w:cs="仿宋_GB2312"/>
          <w:color w:val="auto"/>
          <w:sz w:val="32"/>
          <w:szCs w:val="32"/>
          <w:highlight w:val="none"/>
          <w:lang w:eastAsia="zh-CN"/>
        </w:rPr>
        <w:t>英德市投资审核中心信息管理部开展上述项目委托分配相关工作，由英德市投资审核中心综合管理部实施监督。</w:t>
      </w:r>
    </w:p>
    <w:p w14:paraId="2208DEB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t>三、回避原则</w:t>
      </w:r>
    </w:p>
    <w:p w14:paraId="09A4301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参加审核的</w:t>
      </w:r>
      <w:r>
        <w:rPr>
          <w:rFonts w:hint="eastAsia" w:ascii="仿宋_GB2312" w:hAnsi="仿宋_GB2312" w:eastAsia="仿宋_GB2312" w:cs="仿宋_GB2312"/>
          <w:color w:val="auto"/>
          <w:sz w:val="32"/>
          <w:szCs w:val="32"/>
          <w:highlight w:val="none"/>
          <w:lang w:eastAsia="zh-CN"/>
        </w:rPr>
        <w:t>造价咨询公司</w:t>
      </w:r>
      <w:r>
        <w:rPr>
          <w:rFonts w:hint="eastAsia" w:ascii="仿宋_GB2312" w:hAnsi="仿宋_GB2312" w:eastAsia="仿宋_GB2312" w:cs="仿宋_GB2312"/>
          <w:color w:val="auto"/>
          <w:sz w:val="32"/>
          <w:szCs w:val="32"/>
          <w:highlight w:val="none"/>
        </w:rPr>
        <w:t>与被审核的工程项目存在下列利害关系之一，应当回避：</w:t>
      </w:r>
    </w:p>
    <w:p w14:paraId="5C3F6DE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（一）参审</w:t>
      </w:r>
      <w:r>
        <w:rPr>
          <w:rFonts w:hint="eastAsia" w:ascii="仿宋_GB2312" w:hAnsi="仿宋_GB2312" w:eastAsia="仿宋_GB2312" w:cs="仿宋_GB2312"/>
          <w:color w:val="auto"/>
          <w:sz w:val="32"/>
          <w:szCs w:val="32"/>
          <w:highlight w:val="none"/>
          <w:lang w:eastAsia="zh-CN"/>
        </w:rPr>
        <w:t>造价咨询公司</w:t>
      </w:r>
      <w:r>
        <w:rPr>
          <w:rFonts w:hint="eastAsia" w:ascii="仿宋_GB2312" w:hAnsi="仿宋_GB2312" w:eastAsia="仿宋_GB2312" w:cs="仿宋_GB2312"/>
          <w:color w:val="auto"/>
          <w:sz w:val="32"/>
          <w:szCs w:val="32"/>
          <w:highlight w:val="none"/>
        </w:rPr>
        <w:t>及其关联（同一股东）企业是被审项目的施工企业、设计单位、审图单位、造价咨询单位、招标代理单位等当中其中一个项目服务企业；</w:t>
      </w:r>
    </w:p>
    <w:p w14:paraId="3848884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二）参审造价咨询的股东或者管理者或工作人员与被审项目的施工企业、设计单位、审图单位、造价咨询单位、招标代理单位等当中其中一个服务项目的管理者或者单位存在有夫妻、直系血亲、三代内旁系血亲或近姻亲关系；</w:t>
      </w:r>
    </w:p>
    <w:p w14:paraId="3695451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（三）被审项目的预、结算编制单位(或审核单位)为同一</w:t>
      </w:r>
      <w:r>
        <w:rPr>
          <w:rFonts w:hint="eastAsia" w:ascii="仿宋_GB2312" w:hAnsi="仿宋_GB2312" w:eastAsia="仿宋_GB2312" w:cs="仿宋_GB2312"/>
          <w:color w:val="auto"/>
          <w:sz w:val="32"/>
          <w:szCs w:val="32"/>
          <w:highlight w:val="none"/>
          <w:lang w:eastAsia="zh-CN"/>
        </w:rPr>
        <w:t>造价咨询公司</w:t>
      </w:r>
      <w:r>
        <w:rPr>
          <w:rFonts w:hint="eastAsia" w:ascii="仿宋_GB2312" w:hAnsi="仿宋_GB2312" w:eastAsia="仿宋_GB2312" w:cs="仿宋_GB2312"/>
          <w:color w:val="auto"/>
          <w:sz w:val="32"/>
          <w:szCs w:val="32"/>
          <w:highlight w:val="none"/>
        </w:rPr>
        <w:t>或其关联企业（同一审核人员不同公司</w:t>
      </w:r>
      <w:r>
        <w:rPr>
          <w:rFonts w:hint="eastAsia" w:ascii="仿宋_GB2312" w:hAnsi="仿宋_GB2312" w:eastAsia="仿宋_GB2312" w:cs="仿宋_GB2312"/>
          <w:color w:val="auto"/>
          <w:sz w:val="32"/>
          <w:szCs w:val="32"/>
          <w:highlight w:val="none"/>
          <w:lang w:eastAsia="zh-CN"/>
        </w:rPr>
        <w:t>）；</w:t>
      </w:r>
    </w:p>
    <w:p w14:paraId="38A8255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（四）参审造价咨询</w:t>
      </w:r>
      <w:r>
        <w:rPr>
          <w:rFonts w:hint="eastAsia" w:ascii="仿宋_GB2312" w:hAnsi="仿宋_GB2312" w:eastAsia="仿宋_GB2312" w:cs="仿宋_GB2312"/>
          <w:color w:val="auto"/>
          <w:sz w:val="32"/>
          <w:szCs w:val="32"/>
          <w:highlight w:val="none"/>
          <w:lang w:val="en-US" w:eastAsia="zh-CN"/>
        </w:rPr>
        <w:t>公司</w:t>
      </w:r>
      <w:r>
        <w:rPr>
          <w:rFonts w:hint="eastAsia" w:ascii="仿宋_GB2312" w:hAnsi="仿宋_GB2312" w:eastAsia="仿宋_GB2312" w:cs="仿宋_GB2312"/>
          <w:color w:val="auto"/>
          <w:sz w:val="32"/>
          <w:szCs w:val="32"/>
          <w:highlight w:val="none"/>
        </w:rPr>
        <w:t>有其他可能影响到该项目审核活动公平公正进行的关系。</w:t>
      </w:r>
    </w:p>
    <w:p w14:paraId="0451955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有上述情况的参审造价咨询公司，应在项目委托前主动向英德市投资审核中心说明情况并主动退出该项目评审的排号或者</w:t>
      </w:r>
      <w:r>
        <w:rPr>
          <w:rFonts w:hint="eastAsia" w:ascii="仿宋_GB2312" w:hAnsi="仿宋_GB2312" w:eastAsia="仿宋_GB2312" w:cs="仿宋_GB2312"/>
          <w:color w:val="auto"/>
          <w:sz w:val="32"/>
          <w:szCs w:val="32"/>
          <w:highlight w:val="none"/>
          <w:lang w:eastAsia="zh-CN"/>
        </w:rPr>
        <w:t>摇号</w:t>
      </w:r>
      <w:r>
        <w:rPr>
          <w:rFonts w:hint="eastAsia" w:ascii="仿宋_GB2312" w:hAnsi="仿宋_GB2312" w:eastAsia="仿宋_GB2312" w:cs="仿宋_GB2312"/>
          <w:color w:val="auto"/>
          <w:sz w:val="32"/>
          <w:szCs w:val="32"/>
          <w:highlight w:val="none"/>
        </w:rPr>
        <w:t>分配，如未主动回避，</w:t>
      </w:r>
      <w:r>
        <w:rPr>
          <w:rFonts w:hint="eastAsia" w:ascii="仿宋_GB2312" w:hAnsi="仿宋_GB2312" w:eastAsia="仿宋_GB2312" w:cs="仿宋_GB2312"/>
          <w:color w:val="auto"/>
          <w:sz w:val="32"/>
          <w:szCs w:val="32"/>
          <w:highlight w:val="none"/>
          <w:lang w:eastAsia="zh-CN"/>
        </w:rPr>
        <w:t>英德市投资审核中心</w:t>
      </w:r>
      <w:r>
        <w:rPr>
          <w:rFonts w:hint="eastAsia" w:ascii="仿宋_GB2312" w:hAnsi="仿宋_GB2312" w:eastAsia="仿宋_GB2312" w:cs="仿宋_GB2312"/>
          <w:color w:val="auto"/>
          <w:sz w:val="32"/>
          <w:szCs w:val="32"/>
          <w:highlight w:val="none"/>
        </w:rPr>
        <w:t>查处发现后，暂停该公司一轮排号及</w:t>
      </w:r>
      <w:r>
        <w:rPr>
          <w:rFonts w:hint="eastAsia" w:ascii="仿宋_GB2312" w:hAnsi="仿宋_GB2312" w:eastAsia="仿宋_GB2312" w:cs="仿宋_GB2312"/>
          <w:color w:val="auto"/>
          <w:sz w:val="32"/>
          <w:szCs w:val="32"/>
          <w:highlight w:val="none"/>
          <w:lang w:eastAsia="zh-CN"/>
        </w:rPr>
        <w:t>摇号</w:t>
      </w:r>
      <w:r>
        <w:rPr>
          <w:rFonts w:hint="eastAsia" w:ascii="仿宋_GB2312" w:hAnsi="仿宋_GB2312" w:eastAsia="仿宋_GB2312" w:cs="仿宋_GB2312"/>
          <w:color w:val="auto"/>
          <w:sz w:val="32"/>
          <w:szCs w:val="32"/>
          <w:highlight w:val="none"/>
        </w:rPr>
        <w:t>分配业务。</w:t>
      </w:r>
    </w:p>
    <w:p w14:paraId="48A6736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t>四、其他相关情况说明</w:t>
      </w:r>
    </w:p>
    <w:p w14:paraId="221A9FA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一）英德市投资审核中心保留造价咨询公司直接委派及项目优先安排的权利。属于特殊情况的项目委托分配，由英德市投资审核中心信息管理部提出申请，报请英德市投资审核中心分管副主任、主任批示同意后，方可办理委托手续。特殊情况具体包括：</w:t>
      </w:r>
    </w:p>
    <w:p w14:paraId="2D55800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1.重大紧急的市重点项目；</w:t>
      </w:r>
    </w:p>
    <w:p w14:paraId="145418E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2.涉及保密的项目；</w:t>
      </w:r>
    </w:p>
    <w:p w14:paraId="3B66F8C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3.特殊专业的项目；</w:t>
      </w:r>
    </w:p>
    <w:p w14:paraId="587CB37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4.市委、市政府交办的紧急事项。</w:t>
      </w:r>
    </w:p>
    <w:p w14:paraId="6D81154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（二）造价咨询公司应当严格执行英德市投资审核中心相关奖惩制度。英德市投资审核中心信息管理部依据对造价咨询公司的考核结果，按照相关规定对造价咨询公司的业务分配予以增加、减少或者停派处理。</w:t>
      </w:r>
    </w:p>
    <w:p w14:paraId="1ADF97C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t>五、监督管理</w:t>
      </w:r>
    </w:p>
    <w:p w14:paraId="7EE4A440">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（一）信息管理部的项目委托分配工作，接受英德市投资审核中心纪检监察部门监督。</w:t>
      </w:r>
    </w:p>
    <w:p w14:paraId="12C4D545">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（二）信息管理部外派项目分配工作实行双人经办，须严格执行既定分配规则与报批程序，妥善留存项目委托分配的原始记录，以备核查。</w:t>
      </w:r>
    </w:p>
    <w:p w14:paraId="679C6045">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（三）《项目委托分配情况登记表》及相关原始记录，按月报送英德市投资审核中心领导。</w:t>
      </w:r>
    </w:p>
    <w:p w14:paraId="6501D11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t>六、本操作办法由英德市投资审核中心负责解释。</w:t>
      </w:r>
    </w:p>
    <w:p w14:paraId="77ECE16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b/>
          <w:bCs/>
          <w:color w:val="auto"/>
          <w:kern w:val="2"/>
          <w:sz w:val="21"/>
          <w:szCs w:val="21"/>
          <w:highlight w:val="none"/>
          <w:lang w:val="en-US" w:eastAsia="zh-CN" w:bidi="ar-SA"/>
        </w:rPr>
      </w:pPr>
      <w:r>
        <w:rPr>
          <w:rFonts w:hint="eastAsia" w:ascii="仿宋_GB2312" w:hAnsi="仿宋_GB2312" w:eastAsia="仿宋_GB2312" w:cs="仿宋_GB2312"/>
          <w:b/>
          <w:color w:val="auto"/>
          <w:sz w:val="32"/>
          <w:szCs w:val="32"/>
          <w:highlight w:val="none"/>
        </w:rPr>
        <w:br w:type="page"/>
      </w:r>
      <w:r>
        <w:rPr>
          <w:rFonts w:hint="eastAsia" w:ascii="宋体" w:hAnsi="宋体" w:eastAsia="宋体" w:cs="宋体"/>
          <w:b/>
          <w:bCs/>
          <w:color w:val="auto"/>
          <w:kern w:val="2"/>
          <w:sz w:val="21"/>
          <w:szCs w:val="21"/>
          <w:highlight w:val="none"/>
          <w:lang w:val="en-US" w:eastAsia="zh-CN" w:bidi="ar-SA"/>
        </w:rPr>
        <w:t>附件</w:t>
      </w:r>
      <w:r>
        <w:rPr>
          <w:rFonts w:hint="eastAsia" w:ascii="宋体" w:hAnsi="宋体" w:cs="宋体"/>
          <w:b/>
          <w:bCs/>
          <w:color w:val="auto"/>
          <w:kern w:val="2"/>
          <w:sz w:val="21"/>
          <w:szCs w:val="21"/>
          <w:highlight w:val="none"/>
          <w:lang w:val="en-US" w:eastAsia="zh-CN" w:bidi="ar-SA"/>
        </w:rPr>
        <w:t>三</w:t>
      </w:r>
      <w:r>
        <w:rPr>
          <w:rFonts w:hint="eastAsia" w:ascii="宋体" w:hAnsi="宋体" w:eastAsia="宋体" w:cs="宋体"/>
          <w:b/>
          <w:bCs/>
          <w:color w:val="auto"/>
          <w:kern w:val="2"/>
          <w:sz w:val="21"/>
          <w:szCs w:val="21"/>
          <w:highlight w:val="none"/>
          <w:lang w:val="en-US" w:eastAsia="zh-CN" w:bidi="ar-SA"/>
        </w:rPr>
        <w:t>：</w:t>
      </w:r>
    </w:p>
    <w:p w14:paraId="77F23986">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jc w:val="center"/>
        <w:rPr>
          <w:rFonts w:hint="eastAsia" w:hAnsi="宋体" w:cs="Times New Roman"/>
          <w:b/>
          <w:bCs/>
          <w:color w:val="auto"/>
          <w:sz w:val="32"/>
          <w:szCs w:val="32"/>
          <w:highlight w:val="none"/>
        </w:rPr>
      </w:pPr>
      <w:r>
        <w:rPr>
          <w:rFonts w:hint="eastAsia" w:hAnsi="宋体" w:cs="Times New Roman"/>
          <w:b/>
          <w:bCs/>
          <w:color w:val="auto"/>
          <w:sz w:val="32"/>
          <w:szCs w:val="32"/>
          <w:highlight w:val="none"/>
        </w:rPr>
        <w:t>造价咨询公司管理考核办法</w:t>
      </w:r>
    </w:p>
    <w:p w14:paraId="51FB0659">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为加强对造价咨询公司的管理，提高项目审核质量，高质量完成政府投资项目的审核工作，结合</w:t>
      </w:r>
      <w:r>
        <w:rPr>
          <w:rFonts w:hint="eastAsia" w:hAnsi="宋体" w:cs="宋体"/>
          <w:color w:val="auto"/>
          <w:szCs w:val="21"/>
          <w:highlight w:val="none"/>
          <w:lang w:eastAsia="zh-CN"/>
        </w:rPr>
        <w:t>英德市投资审核中心</w:t>
      </w:r>
      <w:r>
        <w:rPr>
          <w:rFonts w:hint="eastAsia" w:ascii="宋体" w:hAnsi="宋体" w:eastAsia="宋体" w:cs="宋体"/>
          <w:color w:val="auto"/>
          <w:szCs w:val="21"/>
          <w:highlight w:val="none"/>
        </w:rPr>
        <w:t>工作实际，特制定本管理考核办法。</w:t>
      </w:r>
    </w:p>
    <w:p w14:paraId="6195BF02">
      <w:pPr>
        <w:pStyle w:val="3"/>
        <w:keepNext w:val="0"/>
        <w:keepLines w:val="0"/>
        <w:pageBreakBefore w:val="0"/>
        <w:widowControl w:val="0"/>
        <w:numPr>
          <w:ilvl w:val="0"/>
          <w:numId w:val="2"/>
        </w:numPr>
        <w:tabs>
          <w:tab w:val="left" w:pos="720"/>
        </w:tabs>
        <w:kinsoku/>
        <w:wordWrap/>
        <w:overflowPunct/>
        <w:topLinePunct w:val="0"/>
        <w:autoSpaceDE/>
        <w:autoSpaceDN/>
        <w:bidi w:val="0"/>
        <w:adjustRightInd w:val="0"/>
        <w:snapToGrid w:val="0"/>
        <w:spacing w:line="360" w:lineRule="auto"/>
        <w:ind w:left="525" w:leftChars="0" w:firstLine="0" w:firstLineChars="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职责及要求</w:t>
      </w:r>
      <w:r>
        <w:rPr>
          <w:rFonts w:hint="eastAsia" w:hAnsi="宋体" w:cs="宋体"/>
          <w:b/>
          <w:bCs/>
          <w:color w:val="auto"/>
          <w:szCs w:val="21"/>
          <w:highlight w:val="none"/>
          <w:lang w:val="en-US" w:eastAsia="zh-CN"/>
        </w:rPr>
        <w:t xml:space="preserve"> </w:t>
      </w:r>
    </w:p>
    <w:p w14:paraId="2C6686D4">
      <w:pPr>
        <w:pStyle w:val="3"/>
        <w:keepNext w:val="0"/>
        <w:keepLines w:val="0"/>
        <w:pageBreakBefore w:val="0"/>
        <w:widowControl w:val="0"/>
        <w:numPr>
          <w:ilvl w:val="0"/>
          <w:numId w:val="0"/>
        </w:numPr>
        <w:tabs>
          <w:tab w:val="left" w:pos="720"/>
        </w:tabs>
        <w:kinsoku/>
        <w:wordWrap/>
        <w:overflowPunct/>
        <w:topLinePunct w:val="0"/>
        <w:autoSpaceDE/>
        <w:autoSpaceDN/>
        <w:bidi w:val="0"/>
        <w:adjustRightInd w:val="0"/>
        <w:snapToGrid w:val="0"/>
        <w:spacing w:line="360" w:lineRule="auto"/>
        <w:ind w:left="525" w:leftChars="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第一条 造价咨询公司的工作职责</w:t>
      </w:r>
    </w:p>
    <w:p w14:paraId="4E246820">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（一）贯彻执行国家相关投资审核方面的法律法规和政策，以及英德市投资审核中心制定的相关规章制度。</w:t>
      </w:r>
    </w:p>
    <w:p w14:paraId="7D54F677">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（二）制订评审工作方案，对参与项目评审的拟派人员、评审原则、评审方法、评审时间、廉政从业、以及保密承诺等作出详细的方案，报</w:t>
      </w:r>
      <w:r>
        <w:rPr>
          <w:rFonts w:hint="eastAsia" w:hAnsi="宋体" w:cs="宋体"/>
          <w:color w:val="auto"/>
          <w:szCs w:val="21"/>
          <w:highlight w:val="none"/>
          <w:lang w:eastAsia="zh-CN"/>
        </w:rPr>
        <w:t>英德市投资审核中心</w:t>
      </w:r>
      <w:r>
        <w:rPr>
          <w:rFonts w:hint="eastAsia" w:ascii="宋体" w:hAnsi="宋体" w:eastAsia="宋体" w:cs="宋体"/>
          <w:color w:val="auto"/>
          <w:szCs w:val="21"/>
          <w:highlight w:val="none"/>
        </w:rPr>
        <w:t>审批。</w:t>
      </w:r>
    </w:p>
    <w:p w14:paraId="47D1189B">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（三）必须坚持客观、科学、公平公正、合理合法、廉洁高效的评审原则，按时保质完成评审工作、出具成果报告并打印成果报告。</w:t>
      </w:r>
    </w:p>
    <w:p w14:paraId="31CA51DD">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（四）造价咨询公司对其出具成果报告的真实性、准确性、合法性、合理性负责并承担相应的法律责任；由于审核人员的主观错误原因，造成财政资金损失的，造价咨询公司应承担赔偿责任。</w:t>
      </w:r>
    </w:p>
    <w:p w14:paraId="775FDB4E">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（五）在项目审核造价核对及勘查现场工作中按要求派出相关工作人员。</w:t>
      </w:r>
    </w:p>
    <w:p w14:paraId="4A7B48E3">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（六）在项目审核过程中发现重大问题或存在重大异议时，应及时向</w:t>
      </w:r>
      <w:r>
        <w:rPr>
          <w:rFonts w:hint="eastAsia" w:hAnsi="宋体" w:cs="宋体"/>
          <w:color w:val="auto"/>
          <w:szCs w:val="21"/>
          <w:highlight w:val="none"/>
          <w:lang w:eastAsia="zh-CN"/>
        </w:rPr>
        <w:t>英德市投资审核中心</w:t>
      </w:r>
      <w:r>
        <w:rPr>
          <w:rFonts w:hint="eastAsia" w:ascii="宋体" w:hAnsi="宋体" w:eastAsia="宋体" w:cs="宋体"/>
          <w:color w:val="auto"/>
          <w:szCs w:val="21"/>
          <w:highlight w:val="none"/>
        </w:rPr>
        <w:t>项目</w:t>
      </w:r>
      <w:r>
        <w:rPr>
          <w:rFonts w:hint="eastAsia" w:hAnsi="宋体" w:cs="宋体"/>
          <w:color w:val="auto"/>
          <w:szCs w:val="21"/>
          <w:highlight w:val="none"/>
          <w:lang w:val="en-US" w:eastAsia="zh-CN"/>
        </w:rPr>
        <w:t>审核</w:t>
      </w:r>
      <w:r>
        <w:rPr>
          <w:rFonts w:hint="eastAsia" w:ascii="宋体" w:hAnsi="宋体" w:eastAsia="宋体" w:cs="宋体"/>
          <w:color w:val="auto"/>
          <w:szCs w:val="21"/>
          <w:highlight w:val="none"/>
        </w:rPr>
        <w:t>经办人汇报。</w:t>
      </w:r>
    </w:p>
    <w:p w14:paraId="31101F31">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（七）在项目评审工作结束后，负责将完整的评审资料整理归档并移交</w:t>
      </w:r>
      <w:r>
        <w:rPr>
          <w:rFonts w:hint="eastAsia" w:hAnsi="宋体" w:cs="宋体"/>
          <w:color w:val="auto"/>
          <w:szCs w:val="21"/>
          <w:highlight w:val="none"/>
          <w:lang w:eastAsia="zh-CN"/>
        </w:rPr>
        <w:t>英德市投资审核中心</w:t>
      </w:r>
      <w:r>
        <w:rPr>
          <w:rFonts w:hint="eastAsia" w:ascii="宋体" w:hAnsi="宋体" w:eastAsia="宋体" w:cs="宋体"/>
          <w:color w:val="auto"/>
          <w:szCs w:val="21"/>
          <w:highlight w:val="none"/>
        </w:rPr>
        <w:t>保管。</w:t>
      </w:r>
    </w:p>
    <w:p w14:paraId="13384C7F">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2" w:firstLineChars="2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第二条 造价咨询公司的工作要求</w:t>
      </w:r>
    </w:p>
    <w:p w14:paraId="1CF4C7CC">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hAnsi="宋体" w:cs="宋体"/>
          <w:color w:val="auto"/>
          <w:szCs w:val="21"/>
          <w:highlight w:val="none"/>
          <w:lang w:eastAsia="zh-CN"/>
        </w:rPr>
        <w:t>（</w:t>
      </w:r>
      <w:r>
        <w:rPr>
          <w:rFonts w:hint="eastAsia" w:hAnsi="宋体" w:cs="宋体"/>
          <w:color w:val="auto"/>
          <w:szCs w:val="21"/>
          <w:highlight w:val="none"/>
          <w:lang w:val="en-US" w:eastAsia="zh-CN"/>
        </w:rPr>
        <w:t>一</w:t>
      </w:r>
      <w:r>
        <w:rPr>
          <w:rFonts w:hint="eastAsia" w:hAnsi="宋体" w:cs="宋体"/>
          <w:color w:val="auto"/>
          <w:szCs w:val="21"/>
          <w:highlight w:val="none"/>
          <w:lang w:eastAsia="zh-CN"/>
        </w:rPr>
        <w:t>）</w:t>
      </w:r>
      <w:r>
        <w:rPr>
          <w:rFonts w:hint="eastAsia" w:ascii="宋体" w:hAnsi="宋体" w:eastAsia="宋体" w:cs="宋体"/>
          <w:color w:val="auto"/>
          <w:szCs w:val="21"/>
          <w:highlight w:val="none"/>
        </w:rPr>
        <w:t>在项目评审过程中服从英德市投资审核中心的管理，在项目审核、造价核对及勘查现场工作中，送审价1000万以下的项目,造价咨询公司除安排该项目的具体审核人员外，还必须安排二级注册造价师以上的人员到场参加该宗项目的造价核对、现场勘查等工作(审核人员与二级注册造价师以上的人员可为同一人）；送审价1000万以上（含1000万）的项目，造价咨询公司</w:t>
      </w:r>
      <w:bookmarkStart w:id="1" w:name="OLE_LINK1"/>
      <w:r>
        <w:rPr>
          <w:rFonts w:hint="eastAsia" w:ascii="宋体" w:hAnsi="宋体" w:eastAsia="宋体" w:cs="宋体"/>
          <w:color w:val="auto"/>
          <w:szCs w:val="21"/>
          <w:highlight w:val="none"/>
        </w:rPr>
        <w:t>除需安排二级注册造价师以上的人员作为该项目审核人员外，还必须安排一级注册造价师到场参加该宗项目的造价核对、现场勘查等工作(审核人员与一级注册造价师可为同一人）。</w:t>
      </w:r>
    </w:p>
    <w:bookmarkEnd w:id="1"/>
    <w:p w14:paraId="3D80F549">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（二）在评审过程中严格做好评审业务有关的保密工作。</w:t>
      </w:r>
    </w:p>
    <w:p w14:paraId="5C5F882B">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（三）在评审过程中遵守</w:t>
      </w:r>
      <w:r>
        <w:rPr>
          <w:rFonts w:hint="eastAsia" w:hAnsi="宋体" w:cs="宋体"/>
          <w:color w:val="auto"/>
          <w:szCs w:val="21"/>
          <w:highlight w:val="none"/>
          <w:lang w:eastAsia="zh-CN"/>
        </w:rPr>
        <w:t>英德市投资审核中心</w:t>
      </w:r>
      <w:r>
        <w:rPr>
          <w:rFonts w:hint="eastAsia" w:ascii="宋体" w:hAnsi="宋体" w:eastAsia="宋体" w:cs="宋体"/>
          <w:color w:val="auto"/>
          <w:szCs w:val="21"/>
          <w:highlight w:val="none"/>
        </w:rPr>
        <w:t>的廉政建设规定，不得参与可能与评审业务有利益冲突的任何活动，</w:t>
      </w:r>
      <w:r>
        <w:rPr>
          <w:rFonts w:hint="eastAsia" w:hAnsi="宋体" w:cs="宋体"/>
          <w:color w:val="auto"/>
          <w:szCs w:val="21"/>
          <w:highlight w:val="none"/>
          <w:lang w:eastAsia="zh-CN"/>
        </w:rPr>
        <w:t>造价咨询公司</w:t>
      </w:r>
      <w:r>
        <w:rPr>
          <w:rFonts w:hint="eastAsia" w:ascii="宋体" w:hAnsi="宋体" w:eastAsia="宋体" w:cs="宋体"/>
          <w:color w:val="auto"/>
          <w:szCs w:val="21"/>
          <w:highlight w:val="none"/>
        </w:rPr>
        <w:t>负责对审核人员的监督管理，及时掌握审核人员工作质量及廉洁情况</w:t>
      </w:r>
      <w:r>
        <w:rPr>
          <w:rFonts w:hint="eastAsia" w:hAnsi="宋体" w:cs="宋体"/>
          <w:color w:val="auto"/>
          <w:szCs w:val="21"/>
          <w:highlight w:val="none"/>
          <w:lang w:eastAsia="zh-CN"/>
        </w:rPr>
        <w:t>，</w:t>
      </w:r>
      <w:r>
        <w:rPr>
          <w:rFonts w:hint="eastAsia" w:hAnsi="宋体" w:cs="宋体"/>
          <w:color w:val="auto"/>
          <w:szCs w:val="21"/>
          <w:highlight w:val="none"/>
          <w:lang w:val="en-US" w:eastAsia="zh-CN"/>
        </w:rPr>
        <w:t>并签订承诺书。（详见附件4之附件2）</w:t>
      </w:r>
    </w:p>
    <w:p w14:paraId="4E8B897B">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default" w:ascii="宋体" w:hAnsi="宋体" w:eastAsia="宋体" w:cs="宋体"/>
          <w:color w:val="auto"/>
          <w:szCs w:val="21"/>
          <w:highlight w:val="none"/>
          <w:lang w:val="en-US" w:eastAsia="zh-CN"/>
        </w:rPr>
      </w:pPr>
      <w:r>
        <w:rPr>
          <w:rFonts w:hint="eastAsia" w:hAnsi="宋体" w:cs="宋体"/>
          <w:color w:val="auto"/>
          <w:szCs w:val="21"/>
          <w:highlight w:val="none"/>
          <w:lang w:eastAsia="zh-CN"/>
        </w:rPr>
        <w:t>（</w:t>
      </w:r>
      <w:r>
        <w:rPr>
          <w:rFonts w:hint="eastAsia" w:hAnsi="宋体" w:cs="宋体"/>
          <w:color w:val="auto"/>
          <w:szCs w:val="21"/>
          <w:highlight w:val="none"/>
          <w:lang w:val="en-US" w:eastAsia="zh-CN"/>
        </w:rPr>
        <w:t>四</w:t>
      </w:r>
      <w:r>
        <w:rPr>
          <w:rFonts w:hint="eastAsia" w:hAnsi="宋体" w:cs="宋体"/>
          <w:color w:val="auto"/>
          <w:szCs w:val="21"/>
          <w:highlight w:val="none"/>
          <w:lang w:eastAsia="zh-CN"/>
        </w:rPr>
        <w:t>）</w:t>
      </w:r>
      <w:r>
        <w:rPr>
          <w:rFonts w:hint="eastAsia" w:hAnsi="宋体" w:cs="宋体"/>
          <w:color w:val="auto"/>
          <w:szCs w:val="21"/>
          <w:highlight w:val="none"/>
          <w:lang w:val="en-US" w:eastAsia="zh-CN"/>
        </w:rPr>
        <w:t>评审工作开展前，</w:t>
      </w:r>
      <w:r>
        <w:rPr>
          <w:rFonts w:hint="eastAsia" w:hAnsi="宋体" w:cs="宋体"/>
          <w:color w:val="auto"/>
          <w:szCs w:val="21"/>
          <w:highlight w:val="none"/>
          <w:lang w:val="en-US" w:eastAsia="zh-CN"/>
        </w:rPr>
        <w:t>编制</w:t>
      </w:r>
      <w:r>
        <w:rPr>
          <w:rFonts w:hint="eastAsia" w:hAnsi="宋体" w:cs="宋体"/>
          <w:color w:val="auto"/>
          <w:szCs w:val="21"/>
          <w:highlight w:val="none"/>
          <w:lang w:val="en-US" w:eastAsia="zh-CN"/>
        </w:rPr>
        <w:t>审核方案及工作计划。</w:t>
      </w:r>
    </w:p>
    <w:p w14:paraId="3BEBC9B8">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hAnsi="宋体" w:cs="宋体"/>
          <w:color w:val="auto"/>
          <w:szCs w:val="21"/>
          <w:highlight w:val="none"/>
          <w:lang w:eastAsia="zh-CN"/>
        </w:rPr>
        <w:t>（</w:t>
      </w:r>
      <w:r>
        <w:rPr>
          <w:rFonts w:hint="eastAsia" w:hAnsi="宋体" w:cs="宋体"/>
          <w:color w:val="auto"/>
          <w:szCs w:val="21"/>
          <w:highlight w:val="none"/>
          <w:lang w:val="en-US" w:eastAsia="zh-CN"/>
        </w:rPr>
        <w:t>五</w:t>
      </w:r>
      <w:r>
        <w:rPr>
          <w:rFonts w:hint="eastAsia" w:hAnsi="宋体" w:cs="宋体"/>
          <w:color w:val="auto"/>
          <w:szCs w:val="21"/>
          <w:highlight w:val="none"/>
          <w:lang w:eastAsia="zh-CN"/>
        </w:rPr>
        <w:t>）</w:t>
      </w:r>
      <w:r>
        <w:rPr>
          <w:rFonts w:hint="eastAsia" w:hAnsi="宋体" w:cs="宋体"/>
          <w:color w:val="auto"/>
          <w:szCs w:val="21"/>
          <w:highlight w:val="none"/>
          <w:lang w:val="en-US" w:eastAsia="zh-CN"/>
        </w:rPr>
        <w:t>加急项目</w:t>
      </w:r>
      <w:r>
        <w:rPr>
          <w:rFonts w:hint="eastAsia" w:hAnsi="宋体" w:cs="宋体"/>
          <w:color w:val="auto"/>
          <w:szCs w:val="21"/>
          <w:highlight w:val="none"/>
          <w:lang w:val="en-US" w:eastAsia="zh-CN"/>
        </w:rPr>
        <w:t>及重大项目</w:t>
      </w:r>
      <w:r>
        <w:rPr>
          <w:rFonts w:hint="eastAsia" w:hAnsi="宋体" w:cs="宋体"/>
          <w:color w:val="auto"/>
          <w:szCs w:val="21"/>
          <w:highlight w:val="none"/>
          <w:lang w:val="en-US" w:eastAsia="zh-CN"/>
        </w:rPr>
        <w:t>须在评审工作开展前，</w:t>
      </w:r>
      <w:r>
        <w:rPr>
          <w:rFonts w:hint="eastAsia" w:hAnsi="宋体" w:cs="宋体"/>
          <w:color w:val="auto"/>
          <w:szCs w:val="21"/>
          <w:highlight w:val="none"/>
          <w:lang w:val="en-US" w:eastAsia="zh-CN"/>
        </w:rPr>
        <w:t>除了编制审核方案及工作计划外，还须编制倒排工期计划</w:t>
      </w:r>
      <w:r>
        <w:rPr>
          <w:rFonts w:hint="eastAsia" w:hAnsi="宋体" w:cs="宋体"/>
          <w:color w:val="auto"/>
          <w:szCs w:val="21"/>
          <w:highlight w:val="none"/>
          <w:lang w:val="en-US" w:eastAsia="zh-CN"/>
        </w:rPr>
        <w:t>，明确人员调度、进度管控、质量复核、应急兜底等措施。</w:t>
      </w:r>
    </w:p>
    <w:p w14:paraId="2BEC7798">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hAnsi="宋体" w:cs="宋体"/>
          <w:color w:val="auto"/>
          <w:szCs w:val="21"/>
          <w:highlight w:val="none"/>
          <w:lang w:val="en-US" w:eastAsia="zh-CN"/>
        </w:rPr>
        <w:t>六</w:t>
      </w:r>
      <w:r>
        <w:rPr>
          <w:rFonts w:hint="eastAsia" w:ascii="宋体" w:hAnsi="宋体" w:eastAsia="宋体" w:cs="宋体"/>
          <w:color w:val="auto"/>
          <w:szCs w:val="21"/>
          <w:highlight w:val="none"/>
        </w:rPr>
        <w:t>）在评审过程中遇到需要解决或者特殊技术问题必须上报市英德市投资审核中心，由</w:t>
      </w:r>
      <w:r>
        <w:rPr>
          <w:rFonts w:hint="eastAsia" w:hAnsi="宋体" w:cs="宋体"/>
          <w:color w:val="auto"/>
          <w:szCs w:val="21"/>
          <w:highlight w:val="none"/>
          <w:lang w:eastAsia="zh-CN"/>
        </w:rPr>
        <w:t>英德市投资审核中心</w:t>
      </w:r>
      <w:r>
        <w:rPr>
          <w:rFonts w:hint="eastAsia" w:ascii="宋体" w:hAnsi="宋体" w:eastAsia="宋体" w:cs="宋体"/>
          <w:color w:val="auto"/>
          <w:szCs w:val="21"/>
          <w:highlight w:val="none"/>
        </w:rPr>
        <w:t>统一组织与各参审方进行技术交底、答疑、会审、造价核对等工作。</w:t>
      </w:r>
    </w:p>
    <w:p w14:paraId="04C0D3E4">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hAnsi="宋体" w:cs="宋体"/>
          <w:color w:val="auto"/>
          <w:szCs w:val="21"/>
          <w:highlight w:val="none"/>
          <w:lang w:val="en-US" w:eastAsia="zh-CN"/>
        </w:rPr>
      </w:pPr>
    </w:p>
    <w:p w14:paraId="3E45C8AB">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hAnsi="宋体" w:cs="宋体"/>
          <w:color w:val="auto"/>
          <w:szCs w:val="21"/>
          <w:highlight w:val="none"/>
          <w:lang w:val="en-US" w:eastAsia="zh-CN"/>
        </w:rPr>
      </w:pPr>
      <w:r>
        <w:rPr>
          <w:rFonts w:hint="eastAsia" w:hAnsi="宋体" w:cs="宋体"/>
          <w:color w:val="auto"/>
          <w:szCs w:val="21"/>
          <w:highlight w:val="none"/>
          <w:lang w:val="en-US" w:eastAsia="zh-CN"/>
        </w:rPr>
        <w:t>（七）</w:t>
      </w:r>
      <w:r>
        <w:rPr>
          <w:rFonts w:hint="eastAsia" w:hAnsi="宋体" w:cs="宋体"/>
          <w:color w:val="auto"/>
          <w:szCs w:val="21"/>
          <w:highlight w:val="none"/>
          <w:lang w:val="en-US" w:eastAsia="zh-CN"/>
        </w:rPr>
        <w:t>建立英德市造价数据库</w:t>
      </w:r>
      <w:r>
        <w:rPr>
          <w:rFonts w:hint="eastAsia" w:hAnsi="宋体" w:cs="宋体"/>
          <w:color w:val="auto"/>
          <w:szCs w:val="21"/>
          <w:highlight w:val="none"/>
          <w:lang w:val="en-US" w:eastAsia="zh-CN"/>
        </w:rPr>
        <w:t>，每季度开展一次项目造价数据分析。</w:t>
      </w:r>
    </w:p>
    <w:p w14:paraId="4E772ED0">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hAnsi="宋体" w:cs="宋体"/>
          <w:color w:val="auto"/>
          <w:szCs w:val="21"/>
          <w:highlight w:val="none"/>
          <w:lang w:val="en-US" w:eastAsia="zh-CN"/>
        </w:rPr>
        <w:t>八</w:t>
      </w:r>
      <w:r>
        <w:rPr>
          <w:rFonts w:hint="eastAsia" w:ascii="宋体" w:hAnsi="宋体" w:eastAsia="宋体" w:cs="宋体"/>
          <w:color w:val="auto"/>
          <w:szCs w:val="21"/>
          <w:highlight w:val="none"/>
        </w:rPr>
        <w:t>）在评审过程中负责编制依据的取证工作，所有的编制依据必须是有效的书面资料，并妥善保存</w:t>
      </w:r>
      <w:r>
        <w:rPr>
          <w:rFonts w:hint="eastAsia" w:hAnsi="宋体" w:cs="宋体"/>
          <w:color w:val="auto"/>
          <w:szCs w:val="21"/>
          <w:highlight w:val="none"/>
          <w:lang w:eastAsia="zh-CN"/>
        </w:rPr>
        <w:t>。</w:t>
      </w:r>
      <w:r>
        <w:rPr>
          <w:rFonts w:hint="eastAsia" w:ascii="宋体" w:hAnsi="宋体" w:eastAsia="宋体" w:cs="宋体"/>
          <w:color w:val="auto"/>
          <w:szCs w:val="21"/>
          <w:highlight w:val="none"/>
        </w:rPr>
        <w:t xml:space="preserve">     </w:t>
      </w:r>
    </w:p>
    <w:p w14:paraId="35E2BF60">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hAnsi="宋体" w:cs="宋体"/>
          <w:color w:val="auto"/>
          <w:szCs w:val="21"/>
          <w:highlight w:val="none"/>
          <w:lang w:val="en-US" w:eastAsia="zh-CN"/>
        </w:rPr>
        <w:t>九</w:t>
      </w:r>
      <w:r>
        <w:rPr>
          <w:rFonts w:hint="eastAsia" w:ascii="宋体" w:hAnsi="宋体" w:eastAsia="宋体" w:cs="宋体"/>
          <w:color w:val="auto"/>
          <w:szCs w:val="21"/>
          <w:highlight w:val="none"/>
        </w:rPr>
        <w:t>）在评审过程中，</w:t>
      </w:r>
      <w:r>
        <w:rPr>
          <w:rFonts w:hint="eastAsia" w:hAnsi="宋体" w:cs="宋体"/>
          <w:color w:val="auto"/>
          <w:szCs w:val="21"/>
          <w:highlight w:val="none"/>
          <w:lang w:eastAsia="zh-CN"/>
        </w:rPr>
        <w:t>造价咨询公司</w:t>
      </w:r>
      <w:r>
        <w:rPr>
          <w:rFonts w:hint="eastAsia" w:ascii="宋体" w:hAnsi="宋体" w:eastAsia="宋体" w:cs="宋体"/>
          <w:color w:val="auto"/>
          <w:szCs w:val="21"/>
          <w:highlight w:val="none"/>
        </w:rPr>
        <w:t>如需外聘专家协助和外出考察，其费用应由</w:t>
      </w:r>
      <w:r>
        <w:rPr>
          <w:rFonts w:hint="eastAsia" w:hAnsi="宋体" w:cs="宋体"/>
          <w:color w:val="auto"/>
          <w:szCs w:val="21"/>
          <w:highlight w:val="none"/>
          <w:lang w:eastAsia="zh-CN"/>
        </w:rPr>
        <w:t>造价咨询公司</w:t>
      </w:r>
      <w:r>
        <w:rPr>
          <w:rFonts w:hint="eastAsia" w:ascii="宋体" w:hAnsi="宋体" w:eastAsia="宋体" w:cs="宋体"/>
          <w:color w:val="auto"/>
          <w:szCs w:val="21"/>
          <w:highlight w:val="none"/>
        </w:rPr>
        <w:t>承担。</w:t>
      </w:r>
    </w:p>
    <w:p w14:paraId="4BEB41AC">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hAnsi="宋体" w:cs="宋体"/>
          <w:color w:val="auto"/>
          <w:szCs w:val="21"/>
          <w:highlight w:val="none"/>
          <w:lang w:val="en-US" w:eastAsia="zh-CN"/>
        </w:rPr>
        <w:t>十</w:t>
      </w:r>
      <w:r>
        <w:rPr>
          <w:rFonts w:hint="eastAsia" w:ascii="宋体" w:hAnsi="宋体" w:eastAsia="宋体" w:cs="宋体"/>
          <w:color w:val="auto"/>
          <w:szCs w:val="21"/>
          <w:highlight w:val="none"/>
        </w:rPr>
        <w:t>）严格执行英德市投资审核中心的回避制度。同一评审项目</w:t>
      </w:r>
      <w:r>
        <w:rPr>
          <w:rFonts w:hint="eastAsia" w:hAnsi="宋体" w:cs="宋体"/>
          <w:color w:val="auto"/>
          <w:szCs w:val="21"/>
          <w:highlight w:val="none"/>
          <w:lang w:eastAsia="zh-CN"/>
        </w:rPr>
        <w:t>造价咨询公司</w:t>
      </w:r>
      <w:r>
        <w:rPr>
          <w:rFonts w:hint="eastAsia" w:ascii="宋体" w:hAnsi="宋体" w:eastAsia="宋体" w:cs="宋体"/>
          <w:color w:val="auto"/>
          <w:szCs w:val="21"/>
          <w:highlight w:val="none"/>
        </w:rPr>
        <w:t>不得同时接受建设单位的编制业务和</w:t>
      </w:r>
      <w:r>
        <w:rPr>
          <w:rFonts w:hint="eastAsia" w:hAnsi="宋体" w:cs="宋体"/>
          <w:color w:val="auto"/>
          <w:szCs w:val="21"/>
          <w:highlight w:val="none"/>
          <w:lang w:eastAsia="zh-CN"/>
        </w:rPr>
        <w:t>英德市投资审核中心</w:t>
      </w:r>
      <w:r>
        <w:rPr>
          <w:rFonts w:hint="eastAsia" w:ascii="宋体" w:hAnsi="宋体" w:eastAsia="宋体" w:cs="宋体"/>
          <w:color w:val="auto"/>
          <w:szCs w:val="21"/>
          <w:highlight w:val="none"/>
        </w:rPr>
        <w:t>的评审业务委托。</w:t>
      </w:r>
      <w:r>
        <w:rPr>
          <w:rFonts w:hint="eastAsia" w:hAnsi="宋体" w:cs="宋体"/>
          <w:color w:val="auto"/>
          <w:szCs w:val="21"/>
          <w:highlight w:val="none"/>
          <w:lang w:eastAsia="zh-CN"/>
        </w:rPr>
        <w:t>造价咨询公司</w:t>
      </w:r>
      <w:r>
        <w:rPr>
          <w:rFonts w:hint="eastAsia" w:ascii="宋体" w:hAnsi="宋体" w:eastAsia="宋体" w:cs="宋体"/>
          <w:color w:val="auto"/>
          <w:szCs w:val="21"/>
          <w:highlight w:val="none"/>
        </w:rPr>
        <w:t>的工作人员与被评审单位有利害关系的应回避。</w:t>
      </w:r>
    </w:p>
    <w:p w14:paraId="3E5BB02C">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hAnsi="宋体" w:cs="宋体"/>
          <w:color w:val="auto"/>
          <w:szCs w:val="21"/>
          <w:highlight w:val="none"/>
          <w:lang w:val="en-US" w:eastAsia="zh-CN"/>
        </w:rPr>
        <w:t>十一</w:t>
      </w:r>
      <w:r>
        <w:rPr>
          <w:rFonts w:hint="eastAsia" w:ascii="宋体" w:hAnsi="宋体" w:eastAsia="宋体" w:cs="宋体"/>
          <w:color w:val="auto"/>
          <w:szCs w:val="21"/>
          <w:highlight w:val="none"/>
        </w:rPr>
        <w:t>）接受委托评审业务的</w:t>
      </w:r>
      <w:r>
        <w:rPr>
          <w:rFonts w:hint="eastAsia" w:hAnsi="宋体" w:cs="宋体"/>
          <w:color w:val="auto"/>
          <w:szCs w:val="21"/>
          <w:highlight w:val="none"/>
          <w:lang w:eastAsia="zh-CN"/>
        </w:rPr>
        <w:t>造价咨询公司</w:t>
      </w:r>
      <w:r>
        <w:rPr>
          <w:rFonts w:hint="eastAsia" w:ascii="宋体" w:hAnsi="宋体" w:eastAsia="宋体" w:cs="宋体"/>
          <w:color w:val="auto"/>
          <w:szCs w:val="21"/>
          <w:highlight w:val="none"/>
        </w:rPr>
        <w:t>须严格按</w:t>
      </w:r>
      <w:r>
        <w:rPr>
          <w:rFonts w:hint="eastAsia" w:hAnsi="宋体" w:cs="宋体"/>
          <w:color w:val="auto"/>
          <w:szCs w:val="21"/>
          <w:highlight w:val="none"/>
          <w:lang w:eastAsia="zh-CN"/>
        </w:rPr>
        <w:t>英德市投资审核中心</w:t>
      </w:r>
      <w:r>
        <w:rPr>
          <w:rFonts w:hint="eastAsia" w:ascii="宋体" w:hAnsi="宋体" w:eastAsia="宋体" w:cs="宋体"/>
          <w:color w:val="auto"/>
          <w:szCs w:val="21"/>
          <w:highlight w:val="none"/>
        </w:rPr>
        <w:t>审核时效独立完成审核任务，不得将英德市投资审核中心委托的评审业务转让给第三方完成。</w:t>
      </w:r>
    </w:p>
    <w:p w14:paraId="610466C5">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hAnsi="宋体" w:cs="宋体"/>
          <w:color w:val="auto"/>
          <w:szCs w:val="21"/>
          <w:highlight w:val="none"/>
          <w:lang w:val="en-US" w:eastAsia="zh-CN"/>
        </w:rPr>
        <w:t>十二</w:t>
      </w:r>
      <w:r>
        <w:rPr>
          <w:rFonts w:hint="eastAsia" w:ascii="宋体" w:hAnsi="宋体" w:eastAsia="宋体" w:cs="宋体"/>
          <w:color w:val="auto"/>
          <w:szCs w:val="21"/>
          <w:highlight w:val="none"/>
        </w:rPr>
        <w:t>）受委托造价咨询公司要确保足够的专业技术人员完成</w:t>
      </w:r>
      <w:r>
        <w:rPr>
          <w:rFonts w:hint="eastAsia" w:hAnsi="宋体" w:cs="宋体"/>
          <w:color w:val="auto"/>
          <w:szCs w:val="21"/>
          <w:highlight w:val="none"/>
          <w:lang w:eastAsia="zh-CN"/>
        </w:rPr>
        <w:t>英德市投资审核中心</w:t>
      </w:r>
      <w:r>
        <w:rPr>
          <w:rFonts w:hint="eastAsia" w:ascii="宋体" w:hAnsi="宋体" w:eastAsia="宋体" w:cs="宋体"/>
          <w:color w:val="auto"/>
          <w:szCs w:val="21"/>
          <w:highlight w:val="none"/>
        </w:rPr>
        <w:t>评审工作。当造价咨询公司审核力量不能满足进度和专业审核需要的，</w:t>
      </w:r>
      <w:r>
        <w:rPr>
          <w:rFonts w:hint="eastAsia" w:hAnsi="宋体" w:cs="宋体"/>
          <w:color w:val="auto"/>
          <w:szCs w:val="21"/>
          <w:highlight w:val="none"/>
          <w:lang w:eastAsia="zh-CN"/>
        </w:rPr>
        <w:t>造价咨询公司</w:t>
      </w:r>
      <w:r>
        <w:rPr>
          <w:rFonts w:hint="eastAsia" w:ascii="宋体" w:hAnsi="宋体" w:eastAsia="宋体" w:cs="宋体"/>
          <w:color w:val="auto"/>
          <w:szCs w:val="21"/>
          <w:highlight w:val="none"/>
        </w:rPr>
        <w:t>要按质按量及时充实审核人员的数量。</w:t>
      </w:r>
    </w:p>
    <w:p w14:paraId="3BB32654">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（十</w:t>
      </w:r>
      <w:r>
        <w:rPr>
          <w:rFonts w:hint="eastAsia" w:hAnsi="宋体" w:cs="宋体"/>
          <w:color w:val="auto"/>
          <w:szCs w:val="21"/>
          <w:highlight w:val="none"/>
          <w:lang w:val="en-US" w:eastAsia="zh-CN"/>
        </w:rPr>
        <w:t>三</w:t>
      </w:r>
      <w:r>
        <w:rPr>
          <w:rFonts w:hint="eastAsia" w:ascii="宋体" w:hAnsi="宋体" w:eastAsia="宋体" w:cs="宋体"/>
          <w:color w:val="auto"/>
          <w:szCs w:val="21"/>
          <w:highlight w:val="none"/>
        </w:rPr>
        <w:t>）在审核过程中，发现审核人员存在职业道德问题或者能力不能胜任工作要求的，</w:t>
      </w:r>
      <w:r>
        <w:rPr>
          <w:rFonts w:hint="eastAsia" w:hAnsi="宋体" w:cs="宋体"/>
          <w:color w:val="auto"/>
          <w:szCs w:val="21"/>
          <w:highlight w:val="none"/>
          <w:lang w:eastAsia="zh-CN"/>
        </w:rPr>
        <w:t>英德市投资审核中心</w:t>
      </w:r>
      <w:r>
        <w:rPr>
          <w:rFonts w:hint="eastAsia" w:ascii="宋体" w:hAnsi="宋体" w:eastAsia="宋体" w:cs="宋体"/>
          <w:color w:val="auto"/>
          <w:szCs w:val="21"/>
          <w:highlight w:val="none"/>
        </w:rPr>
        <w:t>有权要求</w:t>
      </w:r>
      <w:r>
        <w:rPr>
          <w:rFonts w:hint="eastAsia" w:hAnsi="宋体" w:cs="宋体"/>
          <w:color w:val="auto"/>
          <w:szCs w:val="21"/>
          <w:highlight w:val="none"/>
          <w:lang w:eastAsia="zh-CN"/>
        </w:rPr>
        <w:t>造价咨询公司</w:t>
      </w:r>
      <w:r>
        <w:rPr>
          <w:rFonts w:hint="eastAsia" w:ascii="宋体" w:hAnsi="宋体" w:eastAsia="宋体" w:cs="宋体"/>
          <w:color w:val="auto"/>
          <w:szCs w:val="21"/>
          <w:highlight w:val="none"/>
        </w:rPr>
        <w:t>更换有关人员，</w:t>
      </w:r>
      <w:r>
        <w:rPr>
          <w:rFonts w:hint="eastAsia" w:hAnsi="宋体" w:cs="宋体"/>
          <w:color w:val="auto"/>
          <w:szCs w:val="21"/>
          <w:highlight w:val="none"/>
          <w:lang w:eastAsia="zh-CN"/>
        </w:rPr>
        <w:t>造价咨询公司</w:t>
      </w:r>
      <w:r>
        <w:rPr>
          <w:rFonts w:hint="eastAsia" w:ascii="宋体" w:hAnsi="宋体" w:eastAsia="宋体" w:cs="宋体"/>
          <w:color w:val="auto"/>
          <w:szCs w:val="21"/>
          <w:highlight w:val="none"/>
        </w:rPr>
        <w:t>无条件服从。</w:t>
      </w:r>
    </w:p>
    <w:p w14:paraId="0B0ED59B">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default" w:ascii="宋体" w:hAnsi="宋体" w:eastAsia="宋体" w:cs="宋体"/>
          <w:color w:val="auto"/>
          <w:szCs w:val="21"/>
          <w:highlight w:val="none"/>
          <w:lang w:val="en-US" w:eastAsia="zh-CN"/>
        </w:rPr>
      </w:pPr>
      <w:r>
        <w:rPr>
          <w:rFonts w:hint="eastAsia" w:hAnsi="宋体" w:cs="宋体"/>
          <w:color w:val="auto"/>
          <w:szCs w:val="21"/>
          <w:highlight w:val="none"/>
          <w:lang w:eastAsia="zh-CN"/>
        </w:rPr>
        <w:t>（</w:t>
      </w:r>
      <w:r>
        <w:rPr>
          <w:rFonts w:hint="eastAsia" w:hAnsi="宋体" w:cs="宋体"/>
          <w:color w:val="auto"/>
          <w:szCs w:val="21"/>
          <w:highlight w:val="none"/>
          <w:lang w:val="en-US" w:eastAsia="zh-CN"/>
        </w:rPr>
        <w:t>十四</w:t>
      </w:r>
      <w:r>
        <w:rPr>
          <w:rFonts w:hint="eastAsia" w:hAnsi="宋体" w:cs="宋体"/>
          <w:color w:val="auto"/>
          <w:szCs w:val="21"/>
          <w:highlight w:val="none"/>
          <w:lang w:eastAsia="zh-CN"/>
        </w:rPr>
        <w:t>）</w:t>
      </w:r>
      <w:r>
        <w:rPr>
          <w:rFonts w:hint="eastAsia" w:hAnsi="宋体" w:cs="宋体"/>
          <w:color w:val="auto"/>
          <w:szCs w:val="21"/>
          <w:highlight w:val="none"/>
          <w:lang w:val="en-US" w:eastAsia="zh-CN"/>
        </w:rPr>
        <w:t>建立专家库及优质公司库，专家库由入库的造价咨询公司各推荐</w:t>
      </w:r>
      <w:r>
        <w:rPr>
          <w:rFonts w:hint="eastAsia" w:hAnsi="宋体" w:cs="宋体"/>
          <w:color w:val="auto"/>
          <w:szCs w:val="21"/>
          <w:highlight w:val="none"/>
          <w:lang w:val="en-US" w:eastAsia="zh-CN"/>
        </w:rPr>
        <w:t>一级注册造价师、二级注册造价师及中高级工程师</w:t>
      </w:r>
      <w:r>
        <w:rPr>
          <w:rFonts w:hint="eastAsia" w:hAnsi="宋体" w:cs="宋体"/>
          <w:color w:val="auto"/>
          <w:szCs w:val="21"/>
          <w:highlight w:val="none"/>
          <w:lang w:val="en-US" w:eastAsia="zh-CN"/>
        </w:rPr>
        <w:t>专业技术人员组成，承担技术咨询、疑难问题研判、争议事项评审等工作；优质公司库由每季度考核结果为A级的公司组成，承担加急项目、特殊项目及重点项目的审核工作。</w:t>
      </w:r>
    </w:p>
    <w:p w14:paraId="2DBADEFC">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（十</w:t>
      </w:r>
      <w:r>
        <w:rPr>
          <w:rFonts w:hint="eastAsia" w:hAnsi="宋体" w:cs="宋体"/>
          <w:color w:val="auto"/>
          <w:szCs w:val="21"/>
          <w:highlight w:val="none"/>
          <w:lang w:val="en-US" w:eastAsia="zh-CN"/>
        </w:rPr>
        <w:t>五</w:t>
      </w:r>
      <w:r>
        <w:rPr>
          <w:rFonts w:hint="eastAsia" w:ascii="宋体" w:hAnsi="宋体" w:eastAsia="宋体" w:cs="宋体"/>
          <w:color w:val="auto"/>
          <w:szCs w:val="21"/>
          <w:highlight w:val="none"/>
        </w:rPr>
        <w:t>）审核成果文件必须完整胶装，由经办审核人员</w:t>
      </w:r>
      <w:r>
        <w:rPr>
          <w:rFonts w:hint="eastAsia" w:hAnsi="宋体" w:cs="宋体"/>
          <w:color w:val="auto"/>
          <w:szCs w:val="21"/>
          <w:highlight w:val="none"/>
          <w:u w:val="none"/>
          <w:lang w:eastAsia="zh-CN"/>
        </w:rPr>
        <w:t>、</w:t>
      </w:r>
      <w:r>
        <w:rPr>
          <w:rFonts w:hint="eastAsia" w:hAnsi="宋体" w:cs="宋体"/>
          <w:color w:val="auto"/>
          <w:szCs w:val="21"/>
          <w:highlight w:val="none"/>
          <w:u w:val="none"/>
          <w:lang w:val="en-US" w:eastAsia="zh-CN"/>
        </w:rPr>
        <w:t>复核人员</w:t>
      </w:r>
      <w:r>
        <w:rPr>
          <w:rFonts w:hint="eastAsia" w:ascii="宋体" w:hAnsi="宋体" w:eastAsia="宋体" w:cs="宋体"/>
          <w:color w:val="auto"/>
          <w:szCs w:val="21"/>
          <w:highlight w:val="none"/>
        </w:rPr>
        <w:t>签名，按执业要求加盖执业造价师章、单位行政章、骑缝章。</w:t>
      </w:r>
    </w:p>
    <w:p w14:paraId="24086729">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（十</w:t>
      </w:r>
      <w:r>
        <w:rPr>
          <w:rFonts w:hint="eastAsia" w:hAnsi="宋体" w:cs="宋体"/>
          <w:color w:val="auto"/>
          <w:szCs w:val="21"/>
          <w:highlight w:val="none"/>
          <w:lang w:val="en-US" w:eastAsia="zh-CN"/>
        </w:rPr>
        <w:t>六</w:t>
      </w:r>
      <w:r>
        <w:rPr>
          <w:rFonts w:hint="eastAsia" w:ascii="宋体" w:hAnsi="宋体" w:eastAsia="宋体" w:cs="宋体"/>
          <w:color w:val="auto"/>
          <w:szCs w:val="21"/>
          <w:highlight w:val="none"/>
        </w:rPr>
        <w:t>）从事</w:t>
      </w:r>
      <w:r>
        <w:rPr>
          <w:rFonts w:hint="eastAsia" w:hAnsi="宋体" w:cs="宋体"/>
          <w:color w:val="auto"/>
          <w:szCs w:val="21"/>
          <w:highlight w:val="none"/>
          <w:lang w:eastAsia="zh-CN"/>
        </w:rPr>
        <w:t>英德市投资审核中心</w:t>
      </w:r>
      <w:r>
        <w:rPr>
          <w:rFonts w:hint="eastAsia" w:ascii="宋体" w:hAnsi="宋体" w:eastAsia="宋体" w:cs="宋体"/>
          <w:color w:val="auto"/>
          <w:szCs w:val="21"/>
          <w:highlight w:val="none"/>
        </w:rPr>
        <w:t>审核工作的所有工作人员需到英德市投资审核中心备案备查，不得随意更换审核人员，如需更换人员需提交申请按同等条件进行更换，待英德市投资审核中心审核批准后方能开展业务。在接受评审业务过程中，项目审核现场勘察、造价核对及定案出成果签名的审核人员和造价师必须分别为同一人。</w:t>
      </w:r>
    </w:p>
    <w:p w14:paraId="25D908D7">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（十</w:t>
      </w:r>
      <w:r>
        <w:rPr>
          <w:rFonts w:hint="eastAsia" w:hAnsi="宋体" w:cs="宋体"/>
          <w:color w:val="auto"/>
          <w:szCs w:val="21"/>
          <w:highlight w:val="none"/>
          <w:lang w:val="en-US" w:eastAsia="zh-CN"/>
        </w:rPr>
        <w:t>七</w:t>
      </w:r>
      <w:r>
        <w:rPr>
          <w:rFonts w:hint="eastAsia" w:ascii="宋体" w:hAnsi="宋体" w:eastAsia="宋体" w:cs="宋体"/>
          <w:color w:val="auto"/>
          <w:szCs w:val="21"/>
          <w:highlight w:val="none"/>
        </w:rPr>
        <w:t>）受托造价咨询公司需到清远市造价行业协会进行诚信备案，接受清远市造价行业协会的行业管理。</w:t>
      </w:r>
    </w:p>
    <w:p w14:paraId="3BD728CB">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（十</w:t>
      </w:r>
      <w:r>
        <w:rPr>
          <w:rFonts w:hint="eastAsia" w:hAnsi="宋体" w:cs="宋体"/>
          <w:color w:val="auto"/>
          <w:szCs w:val="21"/>
          <w:highlight w:val="none"/>
          <w:lang w:val="en-US" w:eastAsia="zh-CN"/>
        </w:rPr>
        <w:t>八</w:t>
      </w:r>
      <w:r>
        <w:rPr>
          <w:rFonts w:hint="eastAsia" w:ascii="宋体" w:hAnsi="宋体" w:eastAsia="宋体" w:cs="宋体"/>
          <w:color w:val="auto"/>
          <w:szCs w:val="21"/>
          <w:highlight w:val="none"/>
        </w:rPr>
        <w:t>）</w:t>
      </w:r>
      <w:r>
        <w:rPr>
          <w:rFonts w:hint="eastAsia" w:hAnsi="宋体" w:cs="宋体"/>
          <w:color w:val="auto"/>
          <w:szCs w:val="21"/>
          <w:highlight w:val="none"/>
          <w:lang w:eastAsia="zh-CN"/>
        </w:rPr>
        <w:t>造价咨询公司</w:t>
      </w:r>
      <w:r>
        <w:rPr>
          <w:rFonts w:hint="eastAsia" w:ascii="宋体" w:hAnsi="宋体" w:eastAsia="宋体" w:cs="宋体"/>
          <w:color w:val="auto"/>
          <w:szCs w:val="21"/>
          <w:highlight w:val="none"/>
        </w:rPr>
        <w:t>不得以任何借口拖欠项目审核人员的工资，如发现存在拖欠工资行为的，报经劳动监察部门批准后，</w:t>
      </w:r>
      <w:r>
        <w:rPr>
          <w:rFonts w:hint="eastAsia" w:hAnsi="宋体" w:cs="宋体"/>
          <w:color w:val="auto"/>
          <w:szCs w:val="21"/>
          <w:highlight w:val="none"/>
          <w:lang w:eastAsia="zh-CN"/>
        </w:rPr>
        <w:t>英德市投资审核中心</w:t>
      </w:r>
      <w:r>
        <w:rPr>
          <w:rFonts w:hint="eastAsia" w:ascii="宋体" w:hAnsi="宋体" w:eastAsia="宋体" w:cs="宋体"/>
          <w:color w:val="auto"/>
          <w:szCs w:val="21"/>
          <w:highlight w:val="none"/>
        </w:rPr>
        <w:t>可按该</w:t>
      </w:r>
      <w:r>
        <w:rPr>
          <w:rFonts w:hint="eastAsia" w:hAnsi="宋体" w:cs="宋体"/>
          <w:color w:val="auto"/>
          <w:szCs w:val="21"/>
          <w:highlight w:val="none"/>
          <w:lang w:eastAsia="zh-CN"/>
        </w:rPr>
        <w:t>造价咨询公司</w:t>
      </w:r>
      <w:r>
        <w:rPr>
          <w:rFonts w:hint="eastAsia" w:ascii="宋体" w:hAnsi="宋体" w:eastAsia="宋体" w:cs="宋体"/>
          <w:color w:val="auto"/>
          <w:szCs w:val="21"/>
          <w:highlight w:val="none"/>
        </w:rPr>
        <w:t>工资发放标准直接发给专业审核人员，该款项在支付给</w:t>
      </w:r>
      <w:r>
        <w:rPr>
          <w:rFonts w:hint="eastAsia" w:hAnsi="宋体" w:cs="宋体"/>
          <w:color w:val="auto"/>
          <w:szCs w:val="21"/>
          <w:highlight w:val="none"/>
          <w:lang w:eastAsia="zh-CN"/>
        </w:rPr>
        <w:t>造价咨询公司</w:t>
      </w:r>
      <w:r>
        <w:rPr>
          <w:rFonts w:hint="eastAsia" w:ascii="宋体" w:hAnsi="宋体" w:eastAsia="宋体" w:cs="宋体"/>
          <w:color w:val="auto"/>
          <w:szCs w:val="21"/>
          <w:highlight w:val="none"/>
        </w:rPr>
        <w:t>咨询费用结算中抵扣。</w:t>
      </w:r>
    </w:p>
    <w:p w14:paraId="36166564">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2" w:firstLineChars="2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第三条 造价咨询公司必须向</w:t>
      </w:r>
      <w:r>
        <w:rPr>
          <w:rFonts w:hint="eastAsia" w:hAnsi="宋体" w:cs="宋体"/>
          <w:b/>
          <w:bCs/>
          <w:color w:val="auto"/>
          <w:szCs w:val="21"/>
          <w:highlight w:val="none"/>
          <w:lang w:eastAsia="zh-CN"/>
        </w:rPr>
        <w:t>英德市投资审核中心</w:t>
      </w:r>
      <w:r>
        <w:rPr>
          <w:rFonts w:hint="eastAsia" w:ascii="宋体" w:hAnsi="宋体" w:eastAsia="宋体" w:cs="宋体"/>
          <w:b/>
          <w:bCs/>
          <w:color w:val="auto"/>
          <w:szCs w:val="21"/>
          <w:highlight w:val="none"/>
        </w:rPr>
        <w:t>汇报的情况</w:t>
      </w:r>
    </w:p>
    <w:p w14:paraId="38370495">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1.根据图纸、签证等资料，不能确定如何计算工程量（如图纸标示不清、签证只签定数量没有列明具体计算式和附上图纸等）；</w:t>
      </w:r>
    </w:p>
    <w:p w14:paraId="23088D7E">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2.根据图纸、签证等资料，不能确定适用定额、适用费率（如按合同有不同的理解，可套用不同专业、不同时间定额等）；</w:t>
      </w:r>
    </w:p>
    <w:p w14:paraId="2CDF2E0B">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3.根据图纸、签证等资料，不能确定如何选择套用定额子目（如按定额有不同的理解，可套用不同的定额子目等）；     </w:t>
      </w:r>
    </w:p>
    <w:p w14:paraId="1DFE41F1">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4.根据图纸、签证等资料，不能确定如何选择材料设备单价（如材料信息价的采用、材料市场询价的记录等）；</w:t>
      </w:r>
    </w:p>
    <w:p w14:paraId="59C5D4E0">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5.新工艺、新材料、新设备、特殊材料的价格等；</w:t>
      </w:r>
    </w:p>
    <w:p w14:paraId="20EE84D5">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6.招标文件、合同文件及相关资料中容易产生结算纠纷的有关规定；</w:t>
      </w:r>
    </w:p>
    <w:p w14:paraId="2812ED06">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7</w:t>
      </w:r>
      <w:r>
        <w:rPr>
          <w:rFonts w:hint="eastAsia" w:hAnsi="宋体" w:cs="宋体"/>
          <w:color w:val="auto"/>
          <w:szCs w:val="21"/>
          <w:highlight w:val="none"/>
          <w:lang w:val="en-US" w:eastAsia="zh-CN"/>
        </w:rPr>
        <w:t>.</w:t>
      </w:r>
      <w:r>
        <w:rPr>
          <w:rFonts w:hint="eastAsia" w:ascii="宋体" w:hAnsi="宋体" w:eastAsia="宋体" w:cs="宋体"/>
          <w:color w:val="auto"/>
          <w:szCs w:val="21"/>
          <w:highlight w:val="none"/>
        </w:rPr>
        <w:t>涉及专利项目</w:t>
      </w:r>
      <w:r>
        <w:rPr>
          <w:rFonts w:hint="eastAsia" w:hAnsi="宋体" w:cs="宋体"/>
          <w:color w:val="auto"/>
          <w:szCs w:val="21"/>
          <w:highlight w:val="none"/>
          <w:lang w:eastAsia="zh-CN"/>
        </w:rPr>
        <w:t>；</w:t>
      </w:r>
    </w:p>
    <w:p w14:paraId="002A4B18">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8.对工程造价影响较大的其他情况。</w:t>
      </w:r>
    </w:p>
    <w:p w14:paraId="16C3709E">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2" w:firstLineChars="2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第二部分</w:t>
      </w:r>
      <w:r>
        <w:rPr>
          <w:rFonts w:hint="eastAsia" w:hAnsi="宋体" w:cs="宋体"/>
          <w:b/>
          <w:bCs/>
          <w:color w:val="auto"/>
          <w:szCs w:val="21"/>
          <w:highlight w:val="none"/>
          <w:lang w:val="en-US" w:eastAsia="zh-CN"/>
        </w:rPr>
        <w:t xml:space="preserve"> </w:t>
      </w:r>
      <w:r>
        <w:rPr>
          <w:rFonts w:hint="eastAsia" w:ascii="宋体" w:hAnsi="宋体" w:eastAsia="宋体" w:cs="宋体"/>
          <w:b/>
          <w:bCs/>
          <w:color w:val="auto"/>
          <w:szCs w:val="21"/>
          <w:highlight w:val="none"/>
        </w:rPr>
        <w:t>质量事故的处理</w:t>
      </w:r>
    </w:p>
    <w:p w14:paraId="04C2EB7A">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第四条</w:t>
      </w:r>
      <w:r>
        <w:rPr>
          <w:rFonts w:hint="eastAsia" w:hAnsi="宋体" w:cs="宋体"/>
          <w:color w:val="auto"/>
          <w:szCs w:val="21"/>
          <w:highlight w:val="none"/>
          <w:lang w:val="en-US" w:eastAsia="zh-CN"/>
        </w:rPr>
        <w:t xml:space="preserve"> </w:t>
      </w:r>
      <w:r>
        <w:rPr>
          <w:rFonts w:hint="eastAsia" w:ascii="宋体" w:hAnsi="宋体" w:eastAsia="宋体" w:cs="宋体"/>
          <w:color w:val="auto"/>
          <w:szCs w:val="21"/>
          <w:highlight w:val="none"/>
        </w:rPr>
        <w:t>在评审过程中，如发现</w:t>
      </w:r>
      <w:r>
        <w:rPr>
          <w:rFonts w:hint="eastAsia" w:hAnsi="宋体" w:cs="宋体"/>
          <w:color w:val="auto"/>
          <w:szCs w:val="21"/>
          <w:highlight w:val="none"/>
          <w:lang w:eastAsia="zh-CN"/>
        </w:rPr>
        <w:t>造价咨询公司</w:t>
      </w:r>
      <w:r>
        <w:rPr>
          <w:rFonts w:hint="eastAsia" w:ascii="宋体" w:hAnsi="宋体" w:eastAsia="宋体" w:cs="宋体"/>
          <w:color w:val="auto"/>
          <w:szCs w:val="21"/>
          <w:highlight w:val="none"/>
        </w:rPr>
        <w:t>有以下行为之一，</w:t>
      </w:r>
      <w:r>
        <w:rPr>
          <w:rFonts w:hint="eastAsia" w:hAnsi="宋体" w:cs="宋体"/>
          <w:color w:val="auto"/>
          <w:szCs w:val="21"/>
          <w:highlight w:val="none"/>
          <w:lang w:eastAsia="zh-CN"/>
        </w:rPr>
        <w:t>英德市投资审核中心</w:t>
      </w:r>
      <w:r>
        <w:rPr>
          <w:rFonts w:hint="eastAsia" w:ascii="宋体" w:hAnsi="宋体" w:eastAsia="宋体" w:cs="宋体"/>
          <w:color w:val="auto"/>
          <w:szCs w:val="21"/>
          <w:highlight w:val="none"/>
        </w:rPr>
        <w:t>有权终止委托合同甚至取消</w:t>
      </w:r>
      <w:r>
        <w:rPr>
          <w:rFonts w:hint="eastAsia" w:hAnsi="宋体" w:cs="宋体"/>
          <w:color w:val="auto"/>
          <w:szCs w:val="21"/>
          <w:highlight w:val="none"/>
          <w:lang w:eastAsia="zh-CN"/>
        </w:rPr>
        <w:t>造价咨询公司</w:t>
      </w:r>
      <w:r>
        <w:rPr>
          <w:rFonts w:hint="eastAsia" w:ascii="宋体" w:hAnsi="宋体" w:eastAsia="宋体" w:cs="宋体"/>
          <w:color w:val="auto"/>
          <w:szCs w:val="21"/>
          <w:highlight w:val="none"/>
        </w:rPr>
        <w:t>从事英德市财政性投资项目工程造价咨询服务机构资格，并要求赔偿经济损失：</w:t>
      </w:r>
    </w:p>
    <w:p w14:paraId="355370FC">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（一）提供虚假信息，误导或欺骗</w:t>
      </w:r>
      <w:r>
        <w:rPr>
          <w:rFonts w:hint="eastAsia" w:hAnsi="宋体" w:cs="宋体"/>
          <w:color w:val="auto"/>
          <w:szCs w:val="21"/>
          <w:highlight w:val="none"/>
          <w:lang w:eastAsia="zh-CN"/>
        </w:rPr>
        <w:t>英德市投资审核中心</w:t>
      </w:r>
      <w:r>
        <w:rPr>
          <w:rFonts w:hint="eastAsia" w:ascii="宋体" w:hAnsi="宋体" w:eastAsia="宋体" w:cs="宋体"/>
          <w:color w:val="auto"/>
          <w:szCs w:val="21"/>
          <w:highlight w:val="none"/>
        </w:rPr>
        <w:t>，以谋取非法利益；</w:t>
      </w:r>
    </w:p>
    <w:p w14:paraId="3297F863">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（二）违反了诚实信用和投标承诺，没有严格执行相关质量、服务和收费标准，损害政府财政利益；</w:t>
      </w:r>
    </w:p>
    <w:p w14:paraId="1C16383B">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（三）拒绝接受</w:t>
      </w:r>
      <w:r>
        <w:rPr>
          <w:rFonts w:hint="eastAsia" w:hAnsi="宋体" w:cs="宋体"/>
          <w:color w:val="auto"/>
          <w:szCs w:val="21"/>
          <w:highlight w:val="none"/>
          <w:lang w:eastAsia="zh-CN"/>
        </w:rPr>
        <w:t>英德市投资审核中心</w:t>
      </w:r>
      <w:r>
        <w:rPr>
          <w:rFonts w:hint="eastAsia" w:ascii="宋体" w:hAnsi="宋体" w:eastAsia="宋体" w:cs="宋体"/>
          <w:color w:val="auto"/>
          <w:szCs w:val="21"/>
          <w:highlight w:val="none"/>
        </w:rPr>
        <w:t>及相关部门监督、检查；</w:t>
      </w:r>
    </w:p>
    <w:p w14:paraId="64D7532D">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（四）出现信用危机、财务危机、生产经营危机甚至破产、倒闭、无法继续履行审核业务；</w:t>
      </w:r>
    </w:p>
    <w:p w14:paraId="61AAEABE">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（五）违反了</w:t>
      </w:r>
      <w:r>
        <w:rPr>
          <w:rFonts w:hint="eastAsia" w:hAnsi="宋体" w:cs="宋体"/>
          <w:color w:val="auto"/>
          <w:szCs w:val="21"/>
          <w:highlight w:val="none"/>
          <w:lang w:eastAsia="zh-CN"/>
        </w:rPr>
        <w:t>英德市投资审核中心</w:t>
      </w:r>
      <w:r>
        <w:rPr>
          <w:rFonts w:hint="eastAsia" w:ascii="宋体" w:hAnsi="宋体" w:eastAsia="宋体" w:cs="宋体"/>
          <w:color w:val="auto"/>
          <w:szCs w:val="21"/>
          <w:highlight w:val="none"/>
        </w:rPr>
        <w:t>保密制度的；</w:t>
      </w:r>
    </w:p>
    <w:p w14:paraId="36A4DACA">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hAnsi="宋体" w:cs="宋体"/>
          <w:color w:val="auto"/>
          <w:szCs w:val="21"/>
          <w:highlight w:val="none"/>
          <w:lang w:val="en-US" w:eastAsia="zh-CN"/>
        </w:rPr>
        <w:t>六</w:t>
      </w:r>
      <w:r>
        <w:rPr>
          <w:rFonts w:hint="eastAsia" w:ascii="宋体" w:hAnsi="宋体" w:eastAsia="宋体" w:cs="宋体"/>
          <w:color w:val="auto"/>
          <w:szCs w:val="21"/>
          <w:highlight w:val="none"/>
        </w:rPr>
        <w:t>）违反了</w:t>
      </w:r>
      <w:r>
        <w:rPr>
          <w:rFonts w:hint="eastAsia" w:hAnsi="宋体" w:cs="宋体"/>
          <w:color w:val="auto"/>
          <w:szCs w:val="21"/>
          <w:highlight w:val="none"/>
          <w:lang w:eastAsia="zh-CN"/>
        </w:rPr>
        <w:t>英德市投资审核中心</w:t>
      </w:r>
      <w:r>
        <w:rPr>
          <w:rFonts w:hint="eastAsia" w:ascii="宋体" w:hAnsi="宋体" w:eastAsia="宋体" w:cs="宋体"/>
          <w:color w:val="auto"/>
          <w:szCs w:val="21"/>
          <w:highlight w:val="none"/>
        </w:rPr>
        <w:t>的廉政建设规定；</w:t>
      </w:r>
    </w:p>
    <w:p w14:paraId="71FD2F9E">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hAnsi="宋体" w:cs="宋体"/>
          <w:color w:val="auto"/>
          <w:szCs w:val="21"/>
          <w:highlight w:val="none"/>
          <w:lang w:val="en-US" w:eastAsia="zh-CN"/>
        </w:rPr>
        <w:t>七</w:t>
      </w:r>
      <w:r>
        <w:rPr>
          <w:rFonts w:hint="eastAsia" w:ascii="宋体" w:hAnsi="宋体" w:eastAsia="宋体" w:cs="宋体"/>
          <w:color w:val="auto"/>
          <w:szCs w:val="21"/>
          <w:highlight w:val="none"/>
        </w:rPr>
        <w:t>）在行业主管部门诚信登记等级在D级半年以上，或</w:t>
      </w:r>
      <w:r>
        <w:rPr>
          <w:rFonts w:hint="eastAsia" w:hAnsi="宋体" w:cs="宋体"/>
          <w:color w:val="auto"/>
          <w:szCs w:val="21"/>
          <w:highlight w:val="none"/>
          <w:lang w:eastAsia="zh-CN"/>
        </w:rPr>
        <w:t>英德市投资审核中心</w:t>
      </w:r>
      <w:r>
        <w:rPr>
          <w:rFonts w:hint="eastAsia" w:ascii="宋体" w:hAnsi="宋体" w:eastAsia="宋体" w:cs="宋体"/>
          <w:color w:val="auto"/>
          <w:szCs w:val="21"/>
          <w:highlight w:val="none"/>
        </w:rPr>
        <w:t>累计考核两次考核等级为D级的。</w:t>
      </w:r>
    </w:p>
    <w:p w14:paraId="70F4021E">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第五条 建立</w:t>
      </w:r>
      <w:r>
        <w:rPr>
          <w:rFonts w:hint="eastAsia" w:hAnsi="宋体" w:cs="宋体"/>
          <w:color w:val="auto"/>
          <w:szCs w:val="21"/>
          <w:highlight w:val="none"/>
          <w:lang w:eastAsia="zh-CN"/>
        </w:rPr>
        <w:t>英德市投资审核中心</w:t>
      </w:r>
      <w:r>
        <w:rPr>
          <w:rFonts w:hint="eastAsia" w:ascii="宋体" w:hAnsi="宋体" w:eastAsia="宋体" w:cs="宋体"/>
          <w:color w:val="auto"/>
          <w:szCs w:val="21"/>
          <w:highlight w:val="none"/>
        </w:rPr>
        <w:t>受托</w:t>
      </w:r>
      <w:r>
        <w:rPr>
          <w:rFonts w:hint="eastAsia" w:hAnsi="宋体" w:cs="宋体"/>
          <w:color w:val="auto"/>
          <w:szCs w:val="21"/>
          <w:highlight w:val="none"/>
          <w:lang w:eastAsia="zh-CN"/>
        </w:rPr>
        <w:t>造价咨询公司</w:t>
      </w:r>
      <w:r>
        <w:rPr>
          <w:rFonts w:hint="eastAsia" w:ascii="宋体" w:hAnsi="宋体" w:eastAsia="宋体" w:cs="宋体"/>
          <w:color w:val="auto"/>
          <w:szCs w:val="21"/>
          <w:highlight w:val="none"/>
        </w:rPr>
        <w:t>诚信评价体系：</w:t>
      </w:r>
    </w:p>
    <w:p w14:paraId="569019B7">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（一）根据</w:t>
      </w:r>
      <w:r>
        <w:rPr>
          <w:rFonts w:hint="eastAsia" w:hAnsi="宋体" w:cs="宋体"/>
          <w:color w:val="auto"/>
          <w:szCs w:val="21"/>
          <w:highlight w:val="none"/>
          <w:lang w:eastAsia="zh-CN"/>
        </w:rPr>
        <w:t>造价咨询公司</w:t>
      </w:r>
      <w:r>
        <w:rPr>
          <w:rFonts w:hint="eastAsia" w:ascii="宋体" w:hAnsi="宋体" w:eastAsia="宋体" w:cs="宋体"/>
          <w:color w:val="auto"/>
          <w:szCs w:val="21"/>
          <w:highlight w:val="none"/>
        </w:rPr>
        <w:t>及评审人员在评审过程中的表现和项目抽查、检查结果，从项目审核误差、审核进度、现场勘查、造价核对、纪律服从情况、廉政情况、保密情况等方面进行信用评价。</w:t>
      </w:r>
    </w:p>
    <w:p w14:paraId="39848000">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（二）信用等级分A、B、C、D级，120分</w:t>
      </w:r>
      <w:r>
        <w:rPr>
          <w:rFonts w:hint="eastAsia" w:hAnsi="宋体" w:cs="宋体"/>
          <w:color w:val="auto"/>
          <w:szCs w:val="21"/>
          <w:highlight w:val="none"/>
          <w:lang w:eastAsia="zh-CN"/>
        </w:rPr>
        <w:t>（</w:t>
      </w:r>
      <w:r>
        <w:rPr>
          <w:rFonts w:hint="eastAsia" w:hAnsi="宋体" w:cs="宋体"/>
          <w:color w:val="auto"/>
          <w:szCs w:val="21"/>
          <w:highlight w:val="none"/>
          <w:lang w:val="en-US" w:eastAsia="zh-CN"/>
        </w:rPr>
        <w:t>含120</w:t>
      </w:r>
      <w:r>
        <w:rPr>
          <w:rFonts w:hint="eastAsia" w:hAnsi="宋体" w:cs="宋体"/>
          <w:color w:val="auto"/>
          <w:szCs w:val="21"/>
          <w:highlight w:val="none"/>
          <w:lang w:eastAsia="zh-CN"/>
        </w:rPr>
        <w:t>）</w:t>
      </w:r>
      <w:r>
        <w:rPr>
          <w:rFonts w:hint="eastAsia" w:ascii="宋体" w:hAnsi="宋体" w:eastAsia="宋体" w:cs="宋体"/>
          <w:color w:val="auto"/>
          <w:szCs w:val="21"/>
          <w:highlight w:val="none"/>
        </w:rPr>
        <w:t>以上为A级，100</w:t>
      </w:r>
      <w:r>
        <w:rPr>
          <w:rFonts w:hint="eastAsia" w:hAnsi="宋体" w:cs="宋体"/>
          <w:color w:val="auto"/>
          <w:szCs w:val="21"/>
          <w:highlight w:val="none"/>
          <w:lang w:eastAsia="zh-CN"/>
        </w:rPr>
        <w:t>（</w:t>
      </w:r>
      <w:r>
        <w:rPr>
          <w:rFonts w:hint="eastAsia" w:hAnsi="宋体" w:cs="宋体"/>
          <w:color w:val="auto"/>
          <w:szCs w:val="21"/>
          <w:highlight w:val="none"/>
          <w:lang w:val="en-US" w:eastAsia="zh-CN"/>
        </w:rPr>
        <w:t>含100</w:t>
      </w:r>
      <w:r>
        <w:rPr>
          <w:rFonts w:hint="eastAsia" w:hAnsi="宋体" w:cs="宋体"/>
          <w:color w:val="auto"/>
          <w:szCs w:val="21"/>
          <w:highlight w:val="none"/>
          <w:lang w:eastAsia="zh-CN"/>
        </w:rPr>
        <w:t>）</w:t>
      </w:r>
      <w:r>
        <w:rPr>
          <w:rFonts w:hint="eastAsia" w:ascii="宋体" w:hAnsi="宋体" w:eastAsia="宋体" w:cs="宋体"/>
          <w:color w:val="auto"/>
          <w:szCs w:val="21"/>
          <w:highlight w:val="none"/>
        </w:rPr>
        <w:t>-120分为B级，80</w:t>
      </w:r>
      <w:r>
        <w:rPr>
          <w:rFonts w:hint="eastAsia" w:hAnsi="宋体" w:cs="宋体"/>
          <w:color w:val="auto"/>
          <w:szCs w:val="21"/>
          <w:highlight w:val="none"/>
          <w:lang w:eastAsia="zh-CN"/>
        </w:rPr>
        <w:t>（</w:t>
      </w:r>
      <w:r>
        <w:rPr>
          <w:rFonts w:hint="eastAsia" w:hAnsi="宋体" w:cs="宋体"/>
          <w:color w:val="auto"/>
          <w:szCs w:val="21"/>
          <w:highlight w:val="none"/>
          <w:lang w:val="en-US" w:eastAsia="zh-CN"/>
        </w:rPr>
        <w:t>含80</w:t>
      </w:r>
      <w:r>
        <w:rPr>
          <w:rFonts w:hint="eastAsia" w:hAnsi="宋体" w:cs="宋体"/>
          <w:color w:val="auto"/>
          <w:szCs w:val="21"/>
          <w:highlight w:val="none"/>
          <w:lang w:eastAsia="zh-CN"/>
        </w:rPr>
        <w:t>）</w:t>
      </w:r>
      <w:r>
        <w:rPr>
          <w:rFonts w:hint="eastAsia" w:ascii="宋体" w:hAnsi="宋体" w:eastAsia="宋体" w:cs="宋体"/>
          <w:color w:val="auto"/>
          <w:szCs w:val="21"/>
          <w:highlight w:val="none"/>
        </w:rPr>
        <w:t>-100分为C级，80分以下为D级。</w:t>
      </w:r>
    </w:p>
    <w:p w14:paraId="1B030920">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（三）年初受托</w:t>
      </w:r>
      <w:r>
        <w:rPr>
          <w:rFonts w:hint="eastAsia" w:hAnsi="宋体" w:cs="宋体"/>
          <w:color w:val="auto"/>
          <w:szCs w:val="21"/>
          <w:highlight w:val="none"/>
          <w:lang w:eastAsia="zh-CN"/>
        </w:rPr>
        <w:t>造价咨询公司</w:t>
      </w:r>
      <w:r>
        <w:rPr>
          <w:rFonts w:hint="eastAsia" w:ascii="宋体" w:hAnsi="宋体" w:eastAsia="宋体" w:cs="宋体"/>
          <w:color w:val="auto"/>
          <w:szCs w:val="21"/>
          <w:highlight w:val="none"/>
        </w:rPr>
        <w:t>信用等级均为100分B级。每个季度考核一次，年度评选优秀</w:t>
      </w:r>
      <w:r>
        <w:rPr>
          <w:rFonts w:hint="eastAsia" w:hAnsi="宋体" w:cs="宋体"/>
          <w:color w:val="auto"/>
          <w:szCs w:val="21"/>
          <w:highlight w:val="none"/>
          <w:lang w:eastAsia="zh-CN"/>
        </w:rPr>
        <w:t>造价咨询公司</w:t>
      </w:r>
      <w:r>
        <w:rPr>
          <w:rFonts w:hint="eastAsia" w:ascii="宋体" w:hAnsi="宋体" w:eastAsia="宋体" w:cs="宋体"/>
          <w:color w:val="auto"/>
          <w:szCs w:val="21"/>
          <w:highlight w:val="none"/>
        </w:rPr>
        <w:t>，优秀企业占比20%,第二年度被评优秀企业年初奖励10分。</w:t>
      </w:r>
    </w:p>
    <w:p w14:paraId="027809DC">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（四）根据优胜劣汰原则，一轮考核后，A级企业适当奖励评审项目，B级企业正常开展评审项目，C级企业减少评审项目，D级企业暂停评审项目，累计两次评定为D级企业解除合同，取消审核资格。</w:t>
      </w:r>
    </w:p>
    <w:p w14:paraId="067BDC69">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hAnsi="宋体" w:cs="宋体"/>
          <w:color w:val="auto"/>
          <w:szCs w:val="21"/>
          <w:highlight w:val="none"/>
          <w:lang w:val="en-US" w:eastAsia="zh-CN"/>
        </w:rPr>
        <w:t>五</w:t>
      </w:r>
      <w:r>
        <w:rPr>
          <w:rFonts w:hint="eastAsia" w:ascii="宋体" w:hAnsi="宋体" w:eastAsia="宋体" w:cs="宋体"/>
          <w:color w:val="auto"/>
          <w:szCs w:val="21"/>
          <w:highlight w:val="none"/>
        </w:rPr>
        <w:t>）企业信用</w:t>
      </w:r>
      <w:r>
        <w:rPr>
          <w:rFonts w:hint="eastAsia" w:hAnsi="宋体" w:cs="宋体"/>
          <w:color w:val="auto"/>
          <w:szCs w:val="21"/>
          <w:highlight w:val="none"/>
          <w:lang w:val="en-US" w:eastAsia="zh-CN"/>
        </w:rPr>
        <w:t>等级</w:t>
      </w:r>
      <w:r>
        <w:rPr>
          <w:rFonts w:hint="eastAsia" w:ascii="宋体" w:hAnsi="宋体" w:eastAsia="宋体" w:cs="宋体"/>
          <w:color w:val="auto"/>
          <w:szCs w:val="21"/>
          <w:highlight w:val="none"/>
        </w:rPr>
        <w:t>评分由日常考核评分、良好行为评分及不良行为评分组成。</w:t>
      </w:r>
    </w:p>
    <w:p w14:paraId="7F6DE9E9">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日常考核评分：由</w:t>
      </w:r>
      <w:r>
        <w:rPr>
          <w:rFonts w:hint="eastAsia" w:hAnsi="宋体" w:cs="宋体"/>
          <w:color w:val="auto"/>
          <w:szCs w:val="21"/>
          <w:highlight w:val="none"/>
          <w:lang w:eastAsia="zh-CN"/>
        </w:rPr>
        <w:t>英德市投资审核中心</w:t>
      </w:r>
      <w:r>
        <w:rPr>
          <w:rFonts w:hint="eastAsia" w:ascii="宋体" w:hAnsi="宋体" w:eastAsia="宋体" w:cs="宋体"/>
          <w:color w:val="auto"/>
          <w:szCs w:val="21"/>
          <w:highlight w:val="none"/>
        </w:rPr>
        <w:t>按相关规定对每个审核项目公司进行评定，项目评分95分</w:t>
      </w:r>
      <w:r>
        <w:rPr>
          <w:rFonts w:hint="eastAsia" w:hAnsi="宋体" w:cs="宋体"/>
          <w:color w:val="auto"/>
          <w:szCs w:val="21"/>
          <w:highlight w:val="none"/>
          <w:lang w:eastAsia="zh-CN"/>
        </w:rPr>
        <w:t>（</w:t>
      </w:r>
      <w:r>
        <w:rPr>
          <w:rFonts w:hint="eastAsia" w:hAnsi="宋体" w:cs="宋体"/>
          <w:color w:val="auto"/>
          <w:szCs w:val="21"/>
          <w:highlight w:val="none"/>
          <w:lang w:val="en-US" w:eastAsia="zh-CN"/>
        </w:rPr>
        <w:t>含95</w:t>
      </w:r>
      <w:r>
        <w:rPr>
          <w:rFonts w:hint="eastAsia" w:hAnsi="宋体" w:cs="宋体"/>
          <w:color w:val="auto"/>
          <w:szCs w:val="21"/>
          <w:highlight w:val="none"/>
          <w:lang w:eastAsia="zh-CN"/>
        </w:rPr>
        <w:t>）</w:t>
      </w:r>
      <w:r>
        <w:rPr>
          <w:rFonts w:hint="eastAsia" w:ascii="宋体" w:hAnsi="宋体" w:eastAsia="宋体" w:cs="宋体"/>
          <w:color w:val="auto"/>
          <w:szCs w:val="21"/>
          <w:highlight w:val="none"/>
        </w:rPr>
        <w:t>以上加1分，90</w:t>
      </w:r>
      <w:r>
        <w:rPr>
          <w:rFonts w:hint="eastAsia" w:hAnsi="宋体" w:cs="宋体"/>
          <w:color w:val="auto"/>
          <w:szCs w:val="21"/>
          <w:highlight w:val="none"/>
          <w:lang w:eastAsia="zh-CN"/>
        </w:rPr>
        <w:t>（</w:t>
      </w:r>
      <w:r>
        <w:rPr>
          <w:rFonts w:hint="eastAsia" w:hAnsi="宋体" w:cs="宋体"/>
          <w:color w:val="auto"/>
          <w:szCs w:val="21"/>
          <w:highlight w:val="none"/>
          <w:lang w:val="en-US" w:eastAsia="zh-CN"/>
        </w:rPr>
        <w:t>含 90</w:t>
      </w:r>
      <w:r>
        <w:rPr>
          <w:rFonts w:hint="eastAsia" w:hAnsi="宋体" w:cs="宋体"/>
          <w:color w:val="auto"/>
          <w:szCs w:val="21"/>
          <w:highlight w:val="none"/>
          <w:lang w:eastAsia="zh-CN"/>
        </w:rPr>
        <w:t>）</w:t>
      </w:r>
      <w:r>
        <w:rPr>
          <w:rFonts w:hint="eastAsia" w:hAnsi="宋体" w:cs="宋体"/>
          <w:color w:val="auto"/>
          <w:szCs w:val="21"/>
          <w:highlight w:val="none"/>
          <w:lang w:val="en-US" w:eastAsia="zh-CN"/>
        </w:rPr>
        <w:t>-</w:t>
      </w:r>
      <w:r>
        <w:rPr>
          <w:rFonts w:hint="eastAsia" w:ascii="宋体" w:hAnsi="宋体" w:eastAsia="宋体" w:cs="宋体"/>
          <w:color w:val="auto"/>
          <w:szCs w:val="21"/>
          <w:highlight w:val="none"/>
        </w:rPr>
        <w:t>95分</w:t>
      </w:r>
      <w:r>
        <w:rPr>
          <w:rFonts w:hint="eastAsia" w:hAnsi="宋体" w:cs="宋体"/>
          <w:color w:val="auto"/>
          <w:szCs w:val="21"/>
          <w:highlight w:val="none"/>
          <w:lang w:eastAsia="zh-CN"/>
        </w:rPr>
        <w:t>（</w:t>
      </w:r>
      <w:r>
        <w:rPr>
          <w:rFonts w:hint="eastAsia" w:hAnsi="宋体" w:cs="宋体"/>
          <w:color w:val="auto"/>
          <w:szCs w:val="21"/>
          <w:highlight w:val="none"/>
          <w:lang w:val="en-US" w:eastAsia="zh-CN"/>
        </w:rPr>
        <w:t>不含95</w:t>
      </w:r>
      <w:r>
        <w:rPr>
          <w:rFonts w:hint="eastAsia" w:hAnsi="宋体" w:cs="宋体"/>
          <w:color w:val="auto"/>
          <w:szCs w:val="21"/>
          <w:highlight w:val="none"/>
          <w:lang w:eastAsia="zh-CN"/>
        </w:rPr>
        <w:t>）</w:t>
      </w:r>
      <w:r>
        <w:rPr>
          <w:rFonts w:hint="eastAsia" w:ascii="宋体" w:hAnsi="宋体" w:eastAsia="宋体" w:cs="宋体"/>
          <w:color w:val="auto"/>
          <w:szCs w:val="21"/>
          <w:highlight w:val="none"/>
        </w:rPr>
        <w:t>不加分，85</w:t>
      </w:r>
      <w:r>
        <w:rPr>
          <w:rFonts w:hint="eastAsia" w:hAnsi="宋体" w:cs="宋体"/>
          <w:color w:val="auto"/>
          <w:szCs w:val="21"/>
          <w:highlight w:val="none"/>
          <w:lang w:eastAsia="zh-CN"/>
        </w:rPr>
        <w:t>（</w:t>
      </w:r>
      <w:r>
        <w:rPr>
          <w:rFonts w:hint="eastAsia" w:hAnsi="宋体" w:cs="宋体"/>
          <w:color w:val="auto"/>
          <w:szCs w:val="21"/>
          <w:highlight w:val="none"/>
          <w:lang w:val="en-US" w:eastAsia="zh-CN"/>
        </w:rPr>
        <w:t>含85</w:t>
      </w:r>
      <w:r>
        <w:rPr>
          <w:rFonts w:hint="eastAsia" w:hAnsi="宋体" w:cs="宋体"/>
          <w:color w:val="auto"/>
          <w:szCs w:val="21"/>
          <w:highlight w:val="none"/>
          <w:lang w:eastAsia="zh-CN"/>
        </w:rPr>
        <w:t>）</w:t>
      </w:r>
      <w:r>
        <w:rPr>
          <w:rFonts w:hint="eastAsia" w:hAnsi="宋体" w:cs="宋体"/>
          <w:color w:val="auto"/>
          <w:szCs w:val="21"/>
          <w:highlight w:val="none"/>
          <w:lang w:val="en-US" w:eastAsia="zh-CN"/>
        </w:rPr>
        <w:t>-</w:t>
      </w:r>
      <w:r>
        <w:rPr>
          <w:rFonts w:hint="eastAsia" w:ascii="宋体" w:hAnsi="宋体" w:eastAsia="宋体" w:cs="宋体"/>
          <w:color w:val="auto"/>
          <w:szCs w:val="21"/>
          <w:highlight w:val="none"/>
        </w:rPr>
        <w:t>90分</w:t>
      </w:r>
      <w:r>
        <w:rPr>
          <w:rFonts w:hint="eastAsia" w:hAnsi="宋体" w:cs="宋体"/>
          <w:color w:val="auto"/>
          <w:szCs w:val="21"/>
          <w:highlight w:val="none"/>
          <w:lang w:eastAsia="zh-CN"/>
        </w:rPr>
        <w:t>（</w:t>
      </w:r>
      <w:r>
        <w:rPr>
          <w:rFonts w:hint="eastAsia" w:hAnsi="宋体" w:cs="宋体"/>
          <w:color w:val="auto"/>
          <w:szCs w:val="21"/>
          <w:highlight w:val="none"/>
          <w:lang w:val="en-US" w:eastAsia="zh-CN"/>
        </w:rPr>
        <w:t>不含90</w:t>
      </w:r>
      <w:r>
        <w:rPr>
          <w:rFonts w:hint="eastAsia" w:hAnsi="宋体" w:cs="宋体"/>
          <w:color w:val="auto"/>
          <w:szCs w:val="21"/>
          <w:highlight w:val="none"/>
          <w:lang w:eastAsia="zh-CN"/>
        </w:rPr>
        <w:t>）</w:t>
      </w:r>
      <w:r>
        <w:rPr>
          <w:rFonts w:hint="eastAsia" w:ascii="宋体" w:hAnsi="宋体" w:eastAsia="宋体" w:cs="宋体"/>
          <w:color w:val="auto"/>
          <w:szCs w:val="21"/>
          <w:highlight w:val="none"/>
        </w:rPr>
        <w:t>扣0.5分，80</w:t>
      </w:r>
      <w:r>
        <w:rPr>
          <w:rFonts w:hint="eastAsia" w:hAnsi="宋体" w:cs="宋体"/>
          <w:color w:val="auto"/>
          <w:szCs w:val="21"/>
          <w:highlight w:val="none"/>
          <w:lang w:eastAsia="zh-CN"/>
        </w:rPr>
        <w:t>（</w:t>
      </w:r>
      <w:r>
        <w:rPr>
          <w:rFonts w:hint="eastAsia" w:hAnsi="宋体" w:cs="宋体"/>
          <w:color w:val="auto"/>
          <w:szCs w:val="21"/>
          <w:highlight w:val="none"/>
          <w:lang w:val="en-US" w:eastAsia="zh-CN"/>
        </w:rPr>
        <w:t>含80</w:t>
      </w:r>
      <w:r>
        <w:rPr>
          <w:rFonts w:hint="eastAsia" w:hAnsi="宋体" w:cs="宋体"/>
          <w:color w:val="auto"/>
          <w:szCs w:val="21"/>
          <w:highlight w:val="none"/>
          <w:lang w:eastAsia="zh-CN"/>
        </w:rPr>
        <w:t>）</w:t>
      </w:r>
      <w:r>
        <w:rPr>
          <w:rFonts w:hint="eastAsia" w:hAnsi="宋体" w:cs="宋体"/>
          <w:color w:val="auto"/>
          <w:szCs w:val="21"/>
          <w:highlight w:val="none"/>
          <w:lang w:val="en-US" w:eastAsia="zh-CN"/>
        </w:rPr>
        <w:t>-</w:t>
      </w:r>
      <w:r>
        <w:rPr>
          <w:rFonts w:hint="eastAsia" w:ascii="宋体" w:hAnsi="宋体" w:eastAsia="宋体" w:cs="宋体"/>
          <w:color w:val="auto"/>
          <w:szCs w:val="21"/>
          <w:highlight w:val="none"/>
        </w:rPr>
        <w:t>85分</w:t>
      </w:r>
      <w:r>
        <w:rPr>
          <w:rFonts w:hint="eastAsia" w:hAnsi="宋体" w:cs="宋体"/>
          <w:color w:val="auto"/>
          <w:szCs w:val="21"/>
          <w:highlight w:val="none"/>
          <w:lang w:eastAsia="zh-CN"/>
        </w:rPr>
        <w:t>（</w:t>
      </w:r>
      <w:r>
        <w:rPr>
          <w:rFonts w:hint="eastAsia" w:hAnsi="宋体" w:cs="宋体"/>
          <w:color w:val="auto"/>
          <w:szCs w:val="21"/>
          <w:highlight w:val="none"/>
          <w:lang w:val="en-US" w:eastAsia="zh-CN"/>
        </w:rPr>
        <w:t>不含85</w:t>
      </w:r>
      <w:r>
        <w:rPr>
          <w:rFonts w:hint="eastAsia" w:hAnsi="宋体" w:cs="宋体"/>
          <w:color w:val="auto"/>
          <w:szCs w:val="21"/>
          <w:highlight w:val="none"/>
          <w:lang w:eastAsia="zh-CN"/>
        </w:rPr>
        <w:t>）</w:t>
      </w:r>
      <w:r>
        <w:rPr>
          <w:rFonts w:hint="eastAsia" w:ascii="宋体" w:hAnsi="宋体" w:eastAsia="宋体" w:cs="宋体"/>
          <w:color w:val="auto"/>
          <w:szCs w:val="21"/>
          <w:highlight w:val="none"/>
        </w:rPr>
        <w:t>扣1分，80分</w:t>
      </w:r>
      <w:r>
        <w:rPr>
          <w:rFonts w:hint="eastAsia" w:hAnsi="宋体" w:cs="宋体"/>
          <w:color w:val="auto"/>
          <w:szCs w:val="21"/>
          <w:highlight w:val="none"/>
          <w:lang w:eastAsia="zh-CN"/>
        </w:rPr>
        <w:t>（</w:t>
      </w:r>
      <w:r>
        <w:rPr>
          <w:rFonts w:hint="eastAsia" w:hAnsi="宋体" w:cs="宋体"/>
          <w:color w:val="auto"/>
          <w:szCs w:val="21"/>
          <w:highlight w:val="none"/>
          <w:lang w:val="en-US" w:eastAsia="zh-CN"/>
        </w:rPr>
        <w:t>不含80</w:t>
      </w:r>
      <w:r>
        <w:rPr>
          <w:rFonts w:hint="eastAsia" w:hAnsi="宋体" w:cs="宋体"/>
          <w:color w:val="auto"/>
          <w:szCs w:val="21"/>
          <w:highlight w:val="none"/>
          <w:lang w:eastAsia="zh-CN"/>
        </w:rPr>
        <w:t>）</w:t>
      </w:r>
      <w:r>
        <w:rPr>
          <w:rFonts w:hint="eastAsia" w:ascii="宋体" w:hAnsi="宋体" w:eastAsia="宋体" w:cs="宋体"/>
          <w:color w:val="auto"/>
          <w:szCs w:val="21"/>
          <w:highlight w:val="none"/>
        </w:rPr>
        <w:t>以下扣2分。</w:t>
      </w:r>
    </w:p>
    <w:p w14:paraId="22FF882F">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良好行为评分：一个季度录入一次，</w:t>
      </w:r>
      <w:r>
        <w:rPr>
          <w:rFonts w:hint="eastAsia" w:hAnsi="宋体" w:cs="宋体"/>
          <w:color w:val="auto"/>
          <w:szCs w:val="21"/>
          <w:highlight w:val="none"/>
          <w:lang w:eastAsia="zh-CN"/>
        </w:rPr>
        <w:t>英德市投资审核中心</w:t>
      </w:r>
      <w:r>
        <w:rPr>
          <w:rFonts w:hint="eastAsia" w:ascii="宋体" w:hAnsi="宋体" w:eastAsia="宋体" w:cs="宋体"/>
          <w:color w:val="auto"/>
          <w:szCs w:val="21"/>
          <w:highlight w:val="none"/>
        </w:rPr>
        <w:t>委托的项目受到市级以上（含市级）由关表彰情况，由企业自行申报，附上良好行为证明文件，由英德市投资审核中心信息部审核后予以录入。</w:t>
      </w:r>
    </w:p>
    <w:p w14:paraId="0B823165">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不良行为评分：不良行为由受托项目的业主单位、</w:t>
      </w:r>
      <w:r>
        <w:rPr>
          <w:rFonts w:hint="eastAsia" w:hAnsi="宋体" w:cs="宋体"/>
          <w:color w:val="auto"/>
          <w:szCs w:val="21"/>
          <w:highlight w:val="none"/>
          <w:lang w:eastAsia="zh-CN"/>
        </w:rPr>
        <w:t>英德市投资审核中心</w:t>
      </w:r>
      <w:r>
        <w:rPr>
          <w:rFonts w:hint="eastAsia" w:ascii="宋体" w:hAnsi="宋体" w:eastAsia="宋体" w:cs="宋体"/>
          <w:color w:val="auto"/>
          <w:szCs w:val="21"/>
          <w:highlight w:val="none"/>
        </w:rPr>
        <w:t>审核部、复核部及信息部综合研究后直接扣分。详细见《英德市投资审核诚信评价加分</w:t>
      </w:r>
      <w:r>
        <w:rPr>
          <w:rFonts w:hint="eastAsia" w:hAnsi="宋体" w:cs="宋体"/>
          <w:color w:val="auto"/>
          <w:szCs w:val="21"/>
          <w:highlight w:val="none"/>
          <w:lang w:eastAsia="zh-CN"/>
        </w:rPr>
        <w:t>、</w:t>
      </w:r>
      <w:r>
        <w:rPr>
          <w:rFonts w:hint="eastAsia" w:ascii="宋体" w:hAnsi="宋体" w:eastAsia="宋体" w:cs="宋体"/>
          <w:color w:val="auto"/>
          <w:szCs w:val="21"/>
          <w:highlight w:val="none"/>
        </w:rPr>
        <w:t>扣分标准》</w:t>
      </w:r>
    </w:p>
    <w:p w14:paraId="4D543ACD">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第六条 </w:t>
      </w:r>
      <w:r>
        <w:rPr>
          <w:rFonts w:hint="eastAsia" w:hAnsi="宋体" w:cs="宋体"/>
          <w:color w:val="auto"/>
          <w:szCs w:val="21"/>
          <w:highlight w:val="none"/>
          <w:lang w:eastAsia="zh-CN"/>
        </w:rPr>
        <w:t>造价咨询公司</w:t>
      </w:r>
      <w:r>
        <w:rPr>
          <w:rFonts w:hint="eastAsia" w:ascii="宋体" w:hAnsi="宋体" w:eastAsia="宋体" w:cs="宋体"/>
          <w:color w:val="auto"/>
          <w:szCs w:val="21"/>
          <w:highlight w:val="none"/>
        </w:rPr>
        <w:t>的审核结果出现差错（如错套定额、点错小数点、重项、漏项、工程量计算错误、高估冒算、因没有到现场核实导致造价失实等），根据其差错率差错率(i)（指</w:t>
      </w:r>
      <w:r>
        <w:rPr>
          <w:rFonts w:hint="eastAsia" w:hAnsi="宋体" w:cs="宋体"/>
          <w:color w:val="auto"/>
          <w:szCs w:val="21"/>
          <w:highlight w:val="none"/>
          <w:lang w:eastAsia="zh-CN"/>
        </w:rPr>
        <w:t>造价咨询公司</w:t>
      </w:r>
      <w:r>
        <w:rPr>
          <w:rFonts w:hint="eastAsia" w:ascii="宋体" w:hAnsi="宋体" w:eastAsia="宋体" w:cs="宋体"/>
          <w:color w:val="auto"/>
          <w:szCs w:val="21"/>
          <w:highlight w:val="none"/>
        </w:rPr>
        <w:t>的审核结果与英德市投资审核中心或审计部门最终确定的造价）的大小按《</w:t>
      </w:r>
      <w:r>
        <w:rPr>
          <w:rFonts w:hint="eastAsia" w:hAnsi="宋体" w:cs="宋体"/>
          <w:color w:val="auto"/>
          <w:szCs w:val="21"/>
          <w:highlight w:val="none"/>
          <w:lang w:eastAsia="zh-CN"/>
        </w:rPr>
        <w:t>审核差错率计算表</w:t>
      </w:r>
      <w:r>
        <w:rPr>
          <w:rFonts w:hint="eastAsia" w:ascii="宋体" w:hAnsi="宋体" w:eastAsia="宋体" w:cs="宋体"/>
          <w:color w:val="auto"/>
          <w:szCs w:val="21"/>
          <w:highlight w:val="none"/>
        </w:rPr>
        <w:t>》结果作如下处理：</w:t>
      </w:r>
    </w:p>
    <w:p w14:paraId="12E341C3">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2" w:firstLineChars="200"/>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w:t>
      </w:r>
      <w:r>
        <w:rPr>
          <w:rFonts w:hint="eastAsia" w:hAnsi="宋体" w:cs="宋体"/>
          <w:b/>
          <w:bCs/>
          <w:color w:val="auto"/>
          <w:szCs w:val="21"/>
          <w:highlight w:val="none"/>
          <w:lang w:val="en-US" w:eastAsia="zh-CN"/>
        </w:rPr>
        <w:t>一）估（</w:t>
      </w:r>
      <w:r>
        <w:rPr>
          <w:rFonts w:hint="eastAsia" w:ascii="宋体" w:hAnsi="宋体" w:eastAsia="宋体" w:cs="宋体"/>
          <w:b/>
          <w:bCs/>
          <w:color w:val="auto"/>
          <w:szCs w:val="21"/>
          <w:highlight w:val="none"/>
        </w:rPr>
        <w:t>概</w:t>
      </w:r>
      <w:r>
        <w:rPr>
          <w:rFonts w:hint="eastAsia" w:hAnsi="宋体" w:cs="宋体"/>
          <w:b/>
          <w:bCs/>
          <w:color w:val="auto"/>
          <w:szCs w:val="21"/>
          <w:highlight w:val="none"/>
          <w:lang w:eastAsia="zh-CN"/>
        </w:rPr>
        <w:t>）</w:t>
      </w:r>
      <w:r>
        <w:rPr>
          <w:rFonts w:hint="eastAsia" w:ascii="宋体" w:hAnsi="宋体" w:eastAsia="宋体" w:cs="宋体"/>
          <w:b/>
          <w:bCs/>
          <w:color w:val="auto"/>
          <w:szCs w:val="21"/>
          <w:highlight w:val="none"/>
        </w:rPr>
        <w:t>算、预算（含最高限价、采购工程量清单）：</w:t>
      </w:r>
      <w:r>
        <w:rPr>
          <w:rFonts w:hint="eastAsia" w:ascii="宋体" w:hAnsi="宋体" w:eastAsia="宋体" w:cs="宋体"/>
          <w:b/>
          <w:bCs/>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p>
    <w:p w14:paraId="065D2115">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① 1%＜i≤5%，扣除协议咨询服务酬金的20%；</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p>
    <w:p w14:paraId="410EF5A4">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 5%＜i≤8%，扣除协议咨询服务酬金的50%；</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p>
    <w:p w14:paraId="6C4CFE1F">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③ i＞8%，扣除协议咨询服务酬金的100%。</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p>
    <w:p w14:paraId="73254418">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2" w:firstLineChars="200"/>
        <w:rPr>
          <w:rFonts w:hint="eastAsia" w:ascii="宋体" w:hAnsi="宋体" w:eastAsia="宋体" w:cs="宋体"/>
          <w:color w:val="auto"/>
          <w:szCs w:val="21"/>
          <w:highlight w:val="none"/>
        </w:rPr>
      </w:pPr>
      <w:r>
        <w:rPr>
          <w:rFonts w:hint="eastAsia" w:hAnsi="宋体" w:cs="宋体"/>
          <w:b/>
          <w:bCs/>
          <w:color w:val="auto"/>
          <w:szCs w:val="21"/>
          <w:highlight w:val="none"/>
          <w:lang w:eastAsia="zh-CN"/>
        </w:rPr>
        <w:t>（</w:t>
      </w:r>
      <w:r>
        <w:rPr>
          <w:rFonts w:hint="eastAsia" w:hAnsi="宋体" w:cs="宋体"/>
          <w:b/>
          <w:bCs/>
          <w:color w:val="auto"/>
          <w:szCs w:val="21"/>
          <w:highlight w:val="none"/>
          <w:lang w:val="en-US" w:eastAsia="zh-CN"/>
        </w:rPr>
        <w:t>二</w:t>
      </w:r>
      <w:r>
        <w:rPr>
          <w:rFonts w:hint="eastAsia" w:hAnsi="宋体" w:cs="宋体"/>
          <w:b/>
          <w:bCs/>
          <w:color w:val="auto"/>
          <w:szCs w:val="21"/>
          <w:highlight w:val="none"/>
          <w:lang w:eastAsia="zh-CN"/>
        </w:rPr>
        <w:t>）</w:t>
      </w:r>
      <w:r>
        <w:rPr>
          <w:rFonts w:hint="eastAsia" w:ascii="宋体" w:hAnsi="宋体" w:eastAsia="宋体" w:cs="宋体"/>
          <w:b/>
          <w:bCs/>
          <w:color w:val="auto"/>
          <w:szCs w:val="21"/>
          <w:highlight w:val="none"/>
        </w:rPr>
        <w:t>工程竣工结算：</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p>
    <w:p w14:paraId="17C1B32C">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① 差错率少于1%，扣除咨询费10%；</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p>
    <w:p w14:paraId="1D454DE7">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 1%＜i≤3%，扣除协议咨询服务酬金的20%；</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p>
    <w:p w14:paraId="3D083E8D">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③ 3%＜i≤5%，扣除协议咨询服务酬金的50%；</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p>
    <w:p w14:paraId="2BF79CAB">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④ 5%＜i≤8%，扣除协议咨询服务酬金的80%；</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p>
    <w:p w14:paraId="071F2E54">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⑤ i＞8%，扣除协议咨询服务酬金的100%。</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p>
    <w:p w14:paraId="3D44BF3C">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如</w:t>
      </w:r>
      <w:r>
        <w:rPr>
          <w:rFonts w:hint="eastAsia" w:hAnsi="宋体" w:cs="宋体"/>
          <w:color w:val="auto"/>
          <w:szCs w:val="21"/>
          <w:highlight w:val="none"/>
          <w:lang w:eastAsia="zh-CN"/>
        </w:rPr>
        <w:t>造价咨询公司</w:t>
      </w:r>
      <w:r>
        <w:rPr>
          <w:rFonts w:hint="eastAsia" w:ascii="宋体" w:hAnsi="宋体" w:eastAsia="宋体" w:cs="宋体"/>
          <w:color w:val="auto"/>
          <w:szCs w:val="21"/>
          <w:highlight w:val="none"/>
        </w:rPr>
        <w:t>对差错率的计算有争议，可向工程造价行政主管部门申请复核。</w:t>
      </w:r>
    </w:p>
    <w:p w14:paraId="0F13BD51">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2" w:firstLineChars="2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（三）工程审计：</w:t>
      </w:r>
    </w:p>
    <w:p w14:paraId="17175C86">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① 差错率少于1%，扣</w:t>
      </w:r>
      <w:r>
        <w:rPr>
          <w:rFonts w:hint="eastAsia" w:hAnsi="宋体" w:cs="宋体"/>
          <w:color w:val="auto"/>
          <w:szCs w:val="21"/>
          <w:highlight w:val="none"/>
          <w:lang w:val="en-US" w:eastAsia="zh-CN"/>
        </w:rPr>
        <w:t>信用等级</w:t>
      </w:r>
      <w:r>
        <w:rPr>
          <w:rFonts w:hint="eastAsia" w:ascii="宋体" w:hAnsi="宋体" w:eastAsia="宋体" w:cs="宋体"/>
          <w:color w:val="auto"/>
          <w:szCs w:val="21"/>
          <w:highlight w:val="none"/>
        </w:rPr>
        <w:t>分5分；</w:t>
      </w:r>
    </w:p>
    <w:p w14:paraId="027DFF79">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 1%＜i≤3%，扣</w:t>
      </w:r>
      <w:r>
        <w:rPr>
          <w:rFonts w:hint="eastAsia" w:hAnsi="宋体" w:cs="宋体"/>
          <w:color w:val="auto"/>
          <w:szCs w:val="21"/>
          <w:highlight w:val="none"/>
          <w:lang w:val="en-US" w:eastAsia="zh-CN"/>
        </w:rPr>
        <w:t>信用等级</w:t>
      </w:r>
      <w:r>
        <w:rPr>
          <w:rFonts w:hint="eastAsia" w:ascii="宋体" w:hAnsi="宋体" w:eastAsia="宋体" w:cs="宋体"/>
          <w:color w:val="auto"/>
          <w:szCs w:val="21"/>
          <w:highlight w:val="none"/>
        </w:rPr>
        <w:t>分8分；</w:t>
      </w:r>
    </w:p>
    <w:p w14:paraId="35F61434">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 </w:t>
      </w:r>
      <w:r>
        <w:rPr>
          <w:rFonts w:hint="eastAsia" w:hAnsi="宋体" w:cs="宋体"/>
          <w:color w:val="auto"/>
          <w:szCs w:val="21"/>
          <w:highlight w:val="none"/>
          <w:lang w:val="en-US" w:eastAsia="zh-CN"/>
        </w:rPr>
        <w:t>3</w:t>
      </w:r>
      <w:r>
        <w:rPr>
          <w:rFonts w:hint="eastAsia" w:ascii="宋体" w:hAnsi="宋体" w:eastAsia="宋体" w:cs="宋体"/>
          <w:color w:val="auto"/>
          <w:szCs w:val="21"/>
          <w:highlight w:val="none"/>
        </w:rPr>
        <w:t>%＜i≤5%，扣</w:t>
      </w:r>
      <w:r>
        <w:rPr>
          <w:rFonts w:hint="eastAsia" w:hAnsi="宋体" w:cs="宋体"/>
          <w:color w:val="auto"/>
          <w:szCs w:val="21"/>
          <w:highlight w:val="none"/>
          <w:lang w:val="en-US" w:eastAsia="zh-CN"/>
        </w:rPr>
        <w:t>信用等级</w:t>
      </w:r>
      <w:r>
        <w:rPr>
          <w:rFonts w:hint="eastAsia" w:ascii="宋体" w:hAnsi="宋体" w:eastAsia="宋体" w:cs="宋体"/>
          <w:color w:val="auto"/>
          <w:szCs w:val="21"/>
          <w:highlight w:val="none"/>
        </w:rPr>
        <w:t>分12分；</w:t>
      </w:r>
    </w:p>
    <w:p w14:paraId="37EBE49E">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 </w:t>
      </w:r>
      <w:r>
        <w:rPr>
          <w:rFonts w:hint="eastAsia" w:hAnsi="宋体" w:cs="宋体"/>
          <w:color w:val="auto"/>
          <w:szCs w:val="21"/>
          <w:highlight w:val="none"/>
          <w:lang w:val="en-US" w:eastAsia="zh-CN"/>
        </w:rPr>
        <w:t>5</w:t>
      </w:r>
      <w:r>
        <w:rPr>
          <w:rFonts w:hint="eastAsia" w:ascii="宋体" w:hAnsi="宋体" w:eastAsia="宋体" w:cs="宋体"/>
          <w:color w:val="auto"/>
          <w:szCs w:val="21"/>
          <w:highlight w:val="none"/>
        </w:rPr>
        <w:t>%＜i≤8%，扣</w:t>
      </w:r>
      <w:r>
        <w:rPr>
          <w:rFonts w:hint="eastAsia" w:hAnsi="宋体" w:cs="宋体"/>
          <w:color w:val="auto"/>
          <w:szCs w:val="21"/>
          <w:highlight w:val="none"/>
          <w:lang w:val="en-US" w:eastAsia="zh-CN"/>
        </w:rPr>
        <w:t>信用等级</w:t>
      </w:r>
      <w:r>
        <w:rPr>
          <w:rFonts w:hint="eastAsia" w:ascii="宋体" w:hAnsi="宋体" w:eastAsia="宋体" w:cs="宋体"/>
          <w:color w:val="auto"/>
          <w:szCs w:val="21"/>
          <w:highlight w:val="none"/>
        </w:rPr>
        <w:t>分16分；</w:t>
      </w:r>
    </w:p>
    <w:p w14:paraId="470BBE69">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⑤ i＞8%，扣</w:t>
      </w:r>
      <w:r>
        <w:rPr>
          <w:rFonts w:hint="eastAsia" w:hAnsi="宋体" w:cs="宋体"/>
          <w:color w:val="auto"/>
          <w:szCs w:val="21"/>
          <w:highlight w:val="none"/>
          <w:lang w:val="en-US" w:eastAsia="zh-CN"/>
        </w:rPr>
        <w:t>信用等级</w:t>
      </w:r>
      <w:r>
        <w:rPr>
          <w:rFonts w:hint="eastAsia" w:ascii="宋体" w:hAnsi="宋体" w:eastAsia="宋体" w:cs="宋体"/>
          <w:color w:val="auto"/>
          <w:szCs w:val="21"/>
          <w:highlight w:val="none"/>
        </w:rPr>
        <w:t>分41分。</w:t>
      </w:r>
    </w:p>
    <w:p w14:paraId="7B3E8A39">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hAnsi="宋体" w:cs="宋体"/>
          <w:color w:val="auto"/>
          <w:szCs w:val="21"/>
          <w:highlight w:val="none"/>
          <w:lang w:eastAsia="zh-CN"/>
        </w:rPr>
        <w:t>（</w:t>
      </w:r>
      <w:r>
        <w:rPr>
          <w:rFonts w:hint="eastAsia" w:hAnsi="宋体" w:cs="宋体"/>
          <w:color w:val="auto"/>
          <w:szCs w:val="21"/>
          <w:highlight w:val="none"/>
          <w:lang w:val="en-US" w:eastAsia="zh-CN"/>
        </w:rPr>
        <w:t>四）</w:t>
      </w:r>
      <w:r>
        <w:rPr>
          <w:rFonts w:hint="eastAsia" w:ascii="宋体" w:hAnsi="宋体" w:eastAsia="宋体" w:cs="宋体"/>
          <w:color w:val="auto"/>
          <w:szCs w:val="21"/>
          <w:highlight w:val="none"/>
        </w:rPr>
        <w:t>因</w:t>
      </w:r>
      <w:r>
        <w:rPr>
          <w:rFonts w:hint="eastAsia" w:hAnsi="宋体" w:cs="宋体"/>
          <w:color w:val="auto"/>
          <w:szCs w:val="21"/>
          <w:highlight w:val="none"/>
          <w:lang w:eastAsia="zh-CN"/>
        </w:rPr>
        <w:t>造价咨询公司</w:t>
      </w:r>
      <w:r>
        <w:rPr>
          <w:rFonts w:hint="eastAsia" w:ascii="宋体" w:hAnsi="宋体" w:eastAsia="宋体" w:cs="宋体"/>
          <w:color w:val="auto"/>
          <w:szCs w:val="21"/>
          <w:highlight w:val="none"/>
        </w:rPr>
        <w:t>质量差错导致财政资金损失的，</w:t>
      </w:r>
      <w:r>
        <w:rPr>
          <w:rFonts w:hint="eastAsia" w:hAnsi="宋体" w:cs="宋体"/>
          <w:color w:val="auto"/>
          <w:szCs w:val="21"/>
          <w:highlight w:val="none"/>
          <w:lang w:eastAsia="zh-CN"/>
        </w:rPr>
        <w:t>造价咨询公司</w:t>
      </w:r>
      <w:r>
        <w:rPr>
          <w:rFonts w:hint="eastAsia" w:ascii="宋体" w:hAnsi="宋体" w:eastAsia="宋体" w:cs="宋体"/>
          <w:color w:val="auto"/>
          <w:szCs w:val="21"/>
          <w:highlight w:val="none"/>
        </w:rPr>
        <w:t>应给予赔偿。</w:t>
      </w:r>
    </w:p>
    <w:p w14:paraId="5ED38CCC">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2" w:firstLineChars="2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第三部分 </w:t>
      </w:r>
      <w:r>
        <w:rPr>
          <w:rFonts w:hint="eastAsia" w:hAnsi="宋体" w:cs="宋体"/>
          <w:b/>
          <w:bCs/>
          <w:color w:val="auto"/>
          <w:szCs w:val="21"/>
          <w:highlight w:val="none"/>
          <w:lang w:eastAsia="zh-CN"/>
        </w:rPr>
        <w:t>造价咨询公司</w:t>
      </w:r>
      <w:r>
        <w:rPr>
          <w:rFonts w:hint="eastAsia" w:ascii="宋体" w:hAnsi="宋体" w:eastAsia="宋体" w:cs="宋体"/>
          <w:b/>
          <w:bCs/>
          <w:color w:val="auto"/>
          <w:szCs w:val="21"/>
          <w:highlight w:val="none"/>
        </w:rPr>
        <w:t>考核</w:t>
      </w:r>
    </w:p>
    <w:p w14:paraId="7178F357">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第七条 差错率考核 项目经造价咨询公司审核后出具审核结果，信息管理部根据造价咨询公司审核结果与项目最终定案结果的偏差情况，按核减（增）额形成的准确程度（即差错率）进行考核（按《</w:t>
      </w:r>
      <w:r>
        <w:rPr>
          <w:rFonts w:hint="eastAsia" w:hAnsi="宋体" w:cs="宋体"/>
          <w:color w:val="auto"/>
          <w:szCs w:val="21"/>
          <w:highlight w:val="none"/>
          <w:lang w:eastAsia="zh-CN"/>
        </w:rPr>
        <w:t>审核差错率计算表</w:t>
      </w:r>
      <w:r>
        <w:rPr>
          <w:rFonts w:hint="eastAsia" w:ascii="宋体" w:hAnsi="宋体" w:eastAsia="宋体" w:cs="宋体"/>
          <w:color w:val="auto"/>
          <w:szCs w:val="21"/>
          <w:highlight w:val="none"/>
        </w:rPr>
        <w:t>》执行）。</w:t>
      </w:r>
    </w:p>
    <w:p w14:paraId="386CFC11">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第八条 日常考核 单个项目审核业务完成后，</w:t>
      </w:r>
      <w:r>
        <w:rPr>
          <w:rFonts w:hint="eastAsia" w:hAnsi="宋体" w:cs="宋体"/>
          <w:color w:val="auto"/>
          <w:szCs w:val="21"/>
          <w:highlight w:val="none"/>
          <w:lang w:eastAsia="zh-CN"/>
        </w:rPr>
        <w:t>英德市投资审核中心</w:t>
      </w:r>
      <w:r>
        <w:rPr>
          <w:rFonts w:hint="eastAsia" w:ascii="宋体" w:hAnsi="宋体" w:eastAsia="宋体" w:cs="宋体"/>
          <w:color w:val="auto"/>
          <w:szCs w:val="21"/>
          <w:highlight w:val="none"/>
        </w:rPr>
        <w:t>项目经办人根据掌握的项目审核情况，对造价咨询公司进行项目考核。由</w:t>
      </w:r>
      <w:r>
        <w:rPr>
          <w:rFonts w:hint="eastAsia" w:hAnsi="宋体" w:cs="宋体"/>
          <w:color w:val="auto"/>
          <w:szCs w:val="21"/>
          <w:highlight w:val="none"/>
          <w:lang w:eastAsia="zh-CN"/>
        </w:rPr>
        <w:t>英德市投资审核中心</w:t>
      </w:r>
      <w:r>
        <w:rPr>
          <w:rFonts w:hint="eastAsia" w:ascii="宋体" w:hAnsi="宋体" w:eastAsia="宋体" w:cs="宋体"/>
          <w:color w:val="auto"/>
          <w:szCs w:val="21"/>
          <w:highlight w:val="none"/>
        </w:rPr>
        <w:t>项目经办人填写（现参照《政府投资项目评审质量日常考核表》执行）,对造价咨询公司的项目审核误差、审核进度、现场查勘、造价核对、纪律服从、廉洁从业、保密情况等几个方面进行评价，项目考核结果作为支付造价咨询公司服务费用及以后对造价咨询公司的季度考核的依据之一。</w:t>
      </w:r>
    </w:p>
    <w:p w14:paraId="13B6E600">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第九条 项目回访 项目审核业务完成后，由建设单位填写（现参照《造价咨询公司项目审核服务情况回访调查意见表》执行）对造价咨询公司的项目审核服务情况进行回访 ，回访意见作为英德市</w:t>
      </w:r>
      <w:r>
        <w:rPr>
          <w:rFonts w:hint="eastAsia" w:hAnsi="宋体" w:cs="宋体"/>
          <w:color w:val="auto"/>
          <w:szCs w:val="21"/>
          <w:highlight w:val="none"/>
          <w:lang w:eastAsia="zh-CN"/>
        </w:rPr>
        <w:t>投资审核中心</w:t>
      </w:r>
      <w:r>
        <w:rPr>
          <w:rFonts w:hint="eastAsia" w:ascii="宋体" w:hAnsi="宋体" w:eastAsia="宋体" w:cs="宋体"/>
          <w:color w:val="auto"/>
          <w:szCs w:val="21"/>
          <w:highlight w:val="none"/>
        </w:rPr>
        <w:t>对造价咨询公司的考核依据之一。</w:t>
      </w:r>
    </w:p>
    <w:p w14:paraId="7AF36242">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第十条 季度考核：</w:t>
      </w:r>
      <w:r>
        <w:rPr>
          <w:rFonts w:hint="eastAsia" w:hAnsi="宋体" w:cs="宋体"/>
          <w:color w:val="auto"/>
          <w:szCs w:val="21"/>
          <w:highlight w:val="none"/>
          <w:lang w:eastAsia="zh-CN"/>
        </w:rPr>
        <w:t>英德市投资审核中心</w:t>
      </w:r>
      <w:r>
        <w:rPr>
          <w:rFonts w:hint="eastAsia" w:ascii="宋体" w:hAnsi="宋体" w:eastAsia="宋体" w:cs="宋体"/>
          <w:color w:val="auto"/>
          <w:szCs w:val="21"/>
          <w:highlight w:val="none"/>
        </w:rPr>
        <w:t>对所有入库的正在承接审核业务的造价咨询公司每一季度进行一次全面考核，对造价咨询公司的审核质量情况、业务水平、职业道德、获奖情况、制度建设、服务质量、社会信誉、驻场办公等八个方面进行考核，并将考核结果对造价咨询公司公布并上报行政主管部门。</w:t>
      </w:r>
    </w:p>
    <w:p w14:paraId="399D309F">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2" w:firstLineChars="2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第四部分 造价咨询公司奖惩措施</w:t>
      </w:r>
    </w:p>
    <w:p w14:paraId="008F6619">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第十一条 年度考核奖惩措施</w:t>
      </w:r>
    </w:p>
    <w:p w14:paraId="205581C6">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hAnsi="宋体" w:cs="宋体"/>
          <w:color w:val="auto"/>
          <w:szCs w:val="21"/>
          <w:highlight w:val="none"/>
          <w:lang w:val="en-US" w:eastAsia="zh-CN"/>
        </w:rPr>
      </w:pPr>
      <w:r>
        <w:rPr>
          <w:rFonts w:hint="eastAsia" w:ascii="宋体" w:hAnsi="宋体" w:eastAsia="宋体" w:cs="宋体"/>
          <w:color w:val="auto"/>
          <w:szCs w:val="21"/>
          <w:highlight w:val="none"/>
        </w:rPr>
        <w:t>（一）在季度考核中，评为A级的</w:t>
      </w:r>
      <w:r>
        <w:rPr>
          <w:rFonts w:hint="eastAsia" w:hAnsi="宋体" w:cs="宋体"/>
          <w:color w:val="auto"/>
          <w:szCs w:val="21"/>
          <w:highlight w:val="none"/>
          <w:lang w:eastAsia="zh-CN"/>
        </w:rPr>
        <w:t>造价咨询公司</w:t>
      </w:r>
      <w:r>
        <w:rPr>
          <w:rFonts w:hint="eastAsia" w:hAnsi="宋体" w:cs="宋体"/>
          <w:color w:val="auto"/>
          <w:szCs w:val="21"/>
          <w:highlight w:val="none"/>
          <w:lang w:val="en-US" w:eastAsia="zh-CN"/>
        </w:rPr>
        <w:t>进入优质公司库。</w:t>
      </w:r>
    </w:p>
    <w:p w14:paraId="0F0FE89D">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default" w:hAnsi="宋体" w:cs="宋体"/>
          <w:color w:val="auto"/>
          <w:szCs w:val="21"/>
          <w:highlight w:val="none"/>
          <w:lang w:val="en-US" w:eastAsia="zh-CN"/>
        </w:rPr>
      </w:pPr>
      <w:r>
        <w:rPr>
          <w:rFonts w:hint="eastAsia" w:hAnsi="宋体" w:cs="宋体"/>
          <w:color w:val="auto"/>
          <w:szCs w:val="21"/>
          <w:highlight w:val="none"/>
          <w:lang w:val="en-US" w:eastAsia="zh-CN"/>
        </w:rPr>
        <w:t>（二）</w:t>
      </w:r>
      <w:r>
        <w:rPr>
          <w:rFonts w:hint="eastAsia" w:ascii="宋体" w:hAnsi="宋体" w:eastAsia="宋体" w:cs="宋体"/>
          <w:color w:val="auto"/>
          <w:szCs w:val="21"/>
          <w:highlight w:val="none"/>
        </w:rPr>
        <w:t>在季度考核中，评为</w:t>
      </w:r>
      <w:r>
        <w:rPr>
          <w:rFonts w:hint="eastAsia" w:hAnsi="宋体" w:cs="宋体"/>
          <w:color w:val="auto"/>
          <w:szCs w:val="21"/>
          <w:highlight w:val="none"/>
          <w:lang w:val="en-US" w:eastAsia="zh-CN"/>
        </w:rPr>
        <w:t>C</w:t>
      </w:r>
      <w:r>
        <w:rPr>
          <w:rFonts w:hint="eastAsia" w:ascii="宋体" w:hAnsi="宋体" w:eastAsia="宋体" w:cs="宋体"/>
          <w:color w:val="auto"/>
          <w:szCs w:val="21"/>
          <w:highlight w:val="none"/>
        </w:rPr>
        <w:t>级的</w:t>
      </w:r>
      <w:r>
        <w:rPr>
          <w:rFonts w:hint="eastAsia" w:hAnsi="宋体" w:cs="宋体"/>
          <w:color w:val="auto"/>
          <w:szCs w:val="21"/>
          <w:highlight w:val="none"/>
          <w:lang w:eastAsia="zh-CN"/>
        </w:rPr>
        <w:t>造价咨询公司</w:t>
      </w:r>
      <w:r>
        <w:rPr>
          <w:rFonts w:hint="eastAsia" w:hAnsi="宋体" w:cs="宋体"/>
          <w:color w:val="auto"/>
          <w:szCs w:val="21"/>
          <w:highlight w:val="none"/>
          <w:lang w:val="en-US" w:eastAsia="zh-CN"/>
        </w:rPr>
        <w:t>减少一轮业务。</w:t>
      </w:r>
      <w:r>
        <w:rPr>
          <w:rFonts w:hint="eastAsia" w:hAnsi="宋体" w:cs="宋体"/>
          <w:color w:val="auto"/>
          <w:szCs w:val="21"/>
          <w:highlight w:val="none"/>
          <w:lang w:val="en-US" w:eastAsia="zh-CN"/>
        </w:rPr>
        <w:t>（详见英德市投资审核中心审核工作业务委派操作办法）</w:t>
      </w:r>
    </w:p>
    <w:p w14:paraId="3E3F3069">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w:t>
      </w:r>
      <w:r>
        <w:rPr>
          <w:rFonts w:hint="eastAsia" w:hAnsi="宋体" w:cs="宋体"/>
          <w:color w:val="auto"/>
          <w:szCs w:val="21"/>
          <w:highlight w:val="none"/>
          <w:lang w:val="en-US" w:eastAsia="zh-CN"/>
        </w:rPr>
        <w:t>三</w:t>
      </w:r>
      <w:r>
        <w:rPr>
          <w:rFonts w:hint="eastAsia" w:ascii="宋体" w:hAnsi="宋体" w:eastAsia="宋体" w:cs="宋体"/>
          <w:color w:val="auto"/>
          <w:szCs w:val="21"/>
          <w:highlight w:val="none"/>
        </w:rPr>
        <w:t>）年度评为优秀等级的</w:t>
      </w:r>
      <w:r>
        <w:rPr>
          <w:rFonts w:hint="eastAsia" w:hAnsi="宋体" w:cs="宋体"/>
          <w:color w:val="auto"/>
          <w:szCs w:val="21"/>
          <w:highlight w:val="none"/>
          <w:lang w:eastAsia="zh-CN"/>
        </w:rPr>
        <w:t>造价咨询公司</w:t>
      </w:r>
      <w:r>
        <w:rPr>
          <w:rFonts w:hint="eastAsia" w:ascii="宋体" w:hAnsi="宋体" w:eastAsia="宋体" w:cs="宋体"/>
          <w:color w:val="auto"/>
          <w:szCs w:val="21"/>
          <w:highlight w:val="none"/>
        </w:rPr>
        <w:t>，优秀企业占比20%,第二年度被评优秀企业年初奖励诚信分10分</w:t>
      </w:r>
      <w:r>
        <w:rPr>
          <w:rFonts w:hint="eastAsia" w:hAnsi="宋体" w:cs="宋体"/>
          <w:color w:val="auto"/>
          <w:szCs w:val="21"/>
          <w:highlight w:val="none"/>
          <w:lang w:eastAsia="zh-CN"/>
        </w:rPr>
        <w:t>。</w:t>
      </w:r>
    </w:p>
    <w:p w14:paraId="437852D0">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hAnsi="宋体" w:cs="宋体"/>
          <w:color w:val="auto"/>
          <w:szCs w:val="21"/>
          <w:highlight w:val="none"/>
          <w:lang w:eastAsia="zh-CN"/>
        </w:rPr>
      </w:pPr>
      <w:r>
        <w:rPr>
          <w:rFonts w:hint="eastAsia" w:ascii="宋体" w:hAnsi="宋体" w:eastAsia="宋体" w:cs="宋体"/>
          <w:color w:val="auto"/>
          <w:szCs w:val="21"/>
          <w:highlight w:val="none"/>
        </w:rPr>
        <w:t>（四）在季度考核中，</w:t>
      </w:r>
      <w:r>
        <w:rPr>
          <w:rFonts w:hint="eastAsia" w:hAnsi="宋体" w:cs="宋体"/>
          <w:color w:val="auto"/>
          <w:szCs w:val="21"/>
          <w:highlight w:val="none"/>
          <w:lang w:eastAsia="zh-CN"/>
        </w:rPr>
        <w:t>英德市投资审核中心</w:t>
      </w:r>
      <w:r>
        <w:rPr>
          <w:rFonts w:hint="eastAsia" w:ascii="宋体" w:hAnsi="宋体" w:eastAsia="宋体" w:cs="宋体"/>
          <w:color w:val="auto"/>
          <w:szCs w:val="21"/>
          <w:highlight w:val="none"/>
        </w:rPr>
        <w:t>评定为D级</w:t>
      </w:r>
      <w:r>
        <w:rPr>
          <w:rFonts w:hint="eastAsia" w:hAnsi="宋体" w:cs="宋体"/>
          <w:color w:val="auto"/>
          <w:szCs w:val="21"/>
          <w:highlight w:val="none"/>
          <w:lang w:val="en-US" w:eastAsia="zh-CN"/>
        </w:rPr>
        <w:t>的</w:t>
      </w:r>
      <w:r>
        <w:rPr>
          <w:rFonts w:hint="eastAsia" w:ascii="宋体" w:hAnsi="宋体" w:eastAsia="宋体" w:cs="宋体"/>
          <w:color w:val="auto"/>
          <w:szCs w:val="21"/>
          <w:highlight w:val="none"/>
        </w:rPr>
        <w:t>企业，</w:t>
      </w:r>
      <w:r>
        <w:rPr>
          <w:rFonts w:hint="eastAsia" w:ascii="宋体" w:hAnsi="宋体" w:eastAsia="宋体" w:cs="宋体"/>
          <w:color w:val="auto"/>
          <w:szCs w:val="21"/>
          <w:highlight w:val="none"/>
        </w:rPr>
        <w:t>暂停</w:t>
      </w:r>
      <w:r>
        <w:rPr>
          <w:rFonts w:hint="eastAsia" w:hAnsi="宋体" w:cs="宋体"/>
          <w:color w:val="auto"/>
          <w:szCs w:val="21"/>
          <w:highlight w:val="none"/>
          <w:lang w:val="en-US" w:eastAsia="zh-CN"/>
        </w:rPr>
        <w:t>委派</w:t>
      </w:r>
      <w:r>
        <w:rPr>
          <w:rFonts w:hint="eastAsia" w:ascii="宋体" w:hAnsi="宋体" w:eastAsia="宋体" w:cs="宋体"/>
          <w:color w:val="auto"/>
          <w:szCs w:val="21"/>
          <w:highlight w:val="none"/>
        </w:rPr>
        <w:t>一个季度业务，</w:t>
      </w:r>
      <w:r>
        <w:rPr>
          <w:rFonts w:hint="eastAsia" w:hAnsi="宋体" w:cs="宋体"/>
          <w:color w:val="auto"/>
          <w:szCs w:val="21"/>
          <w:highlight w:val="none"/>
          <w:lang w:val="en-US" w:eastAsia="zh-CN"/>
        </w:rPr>
        <w:t>待等级升至C级后，方可重新委派业务，</w:t>
      </w:r>
      <w:r>
        <w:rPr>
          <w:rFonts w:hint="eastAsia" w:hAnsi="宋体" w:cs="宋体"/>
          <w:color w:val="auto"/>
          <w:szCs w:val="21"/>
          <w:highlight w:val="none"/>
          <w:lang w:val="en-US" w:eastAsia="zh-CN"/>
        </w:rPr>
        <w:t>合同期</w:t>
      </w:r>
      <w:r>
        <w:rPr>
          <w:rFonts w:hint="eastAsia" w:hAnsi="宋体" w:cs="宋体"/>
          <w:color w:val="auto"/>
          <w:szCs w:val="21"/>
          <w:highlight w:val="none"/>
          <w:lang w:val="en-US" w:eastAsia="zh-CN"/>
        </w:rPr>
        <w:t>内</w:t>
      </w:r>
      <w:r>
        <w:rPr>
          <w:rFonts w:hint="eastAsia" w:ascii="宋体" w:hAnsi="宋体" w:eastAsia="宋体" w:cs="宋体"/>
          <w:color w:val="auto"/>
          <w:szCs w:val="21"/>
          <w:highlight w:val="none"/>
        </w:rPr>
        <w:t>累计两次评定为D级</w:t>
      </w:r>
      <w:r>
        <w:rPr>
          <w:rFonts w:hint="eastAsia" w:hAnsi="宋体" w:cs="宋体"/>
          <w:color w:val="auto"/>
          <w:szCs w:val="21"/>
          <w:highlight w:val="none"/>
          <w:lang w:val="en-US" w:eastAsia="zh-CN"/>
        </w:rPr>
        <w:t>的</w:t>
      </w:r>
      <w:r>
        <w:rPr>
          <w:rFonts w:hint="eastAsia" w:ascii="宋体" w:hAnsi="宋体" w:eastAsia="宋体" w:cs="宋体"/>
          <w:color w:val="auto"/>
          <w:szCs w:val="21"/>
          <w:highlight w:val="none"/>
        </w:rPr>
        <w:t>企业</w:t>
      </w:r>
      <w:r>
        <w:rPr>
          <w:rFonts w:hint="eastAsia" w:hAnsi="宋体" w:cs="宋体"/>
          <w:color w:val="auto"/>
          <w:szCs w:val="21"/>
          <w:highlight w:val="none"/>
          <w:lang w:val="en-US" w:eastAsia="zh-CN"/>
        </w:rPr>
        <w:t>直接</w:t>
      </w:r>
      <w:r>
        <w:rPr>
          <w:rFonts w:hint="eastAsia" w:ascii="宋体" w:hAnsi="宋体" w:eastAsia="宋体" w:cs="宋体"/>
          <w:color w:val="auto"/>
          <w:szCs w:val="21"/>
          <w:highlight w:val="none"/>
        </w:rPr>
        <w:t>解除合同</w:t>
      </w:r>
      <w:r>
        <w:rPr>
          <w:rFonts w:hint="eastAsia" w:ascii="宋体" w:hAnsi="宋体" w:eastAsia="宋体" w:cs="宋体"/>
          <w:color w:val="auto"/>
          <w:szCs w:val="21"/>
          <w:highlight w:val="none"/>
        </w:rPr>
        <w:t>，取消审核资格</w:t>
      </w:r>
      <w:r>
        <w:rPr>
          <w:rFonts w:hint="eastAsia" w:hAnsi="宋体" w:cs="宋体"/>
          <w:color w:val="auto"/>
          <w:szCs w:val="21"/>
          <w:highlight w:val="none"/>
          <w:lang w:eastAsia="zh-CN"/>
        </w:rPr>
        <w:t>。</w:t>
      </w:r>
    </w:p>
    <w:p w14:paraId="74217E08">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(五）</w:t>
      </w:r>
      <w:r>
        <w:rPr>
          <w:rFonts w:hint="eastAsia" w:hAnsi="宋体" w:cs="宋体"/>
          <w:color w:val="auto"/>
          <w:szCs w:val="21"/>
          <w:highlight w:val="none"/>
          <w:lang w:eastAsia="zh-CN"/>
        </w:rPr>
        <w:t>造价咨询公司</w:t>
      </w:r>
      <w:r>
        <w:rPr>
          <w:rFonts w:hint="eastAsia" w:ascii="宋体" w:hAnsi="宋体" w:eastAsia="宋体" w:cs="宋体"/>
          <w:color w:val="auto"/>
          <w:szCs w:val="21"/>
          <w:highlight w:val="none"/>
        </w:rPr>
        <w:t>被暂停业务一个季度时，由英德市</w:t>
      </w:r>
      <w:r>
        <w:rPr>
          <w:rFonts w:hint="eastAsia" w:hAnsi="宋体" w:cs="宋体"/>
          <w:color w:val="auto"/>
          <w:szCs w:val="21"/>
          <w:highlight w:val="none"/>
          <w:lang w:eastAsia="zh-CN"/>
        </w:rPr>
        <w:t>投资审核中心替补服务企业</w:t>
      </w:r>
      <w:r>
        <w:rPr>
          <w:rFonts w:hint="eastAsia" w:ascii="宋体" w:hAnsi="宋体" w:eastAsia="宋体" w:cs="宋体"/>
          <w:color w:val="auto"/>
          <w:szCs w:val="21"/>
          <w:highlight w:val="none"/>
        </w:rPr>
        <w:t>参与业务审核，签订为期一季度合同；当</w:t>
      </w:r>
      <w:r>
        <w:rPr>
          <w:rFonts w:hint="eastAsia" w:hAnsi="宋体" w:cs="宋体"/>
          <w:color w:val="auto"/>
          <w:szCs w:val="21"/>
          <w:highlight w:val="none"/>
          <w:lang w:eastAsia="zh-CN"/>
        </w:rPr>
        <w:t>造价咨询公司</w:t>
      </w:r>
      <w:r>
        <w:rPr>
          <w:rFonts w:hint="eastAsia" w:ascii="宋体" w:hAnsi="宋体" w:eastAsia="宋体" w:cs="宋体"/>
          <w:color w:val="auto"/>
          <w:szCs w:val="21"/>
          <w:highlight w:val="none"/>
        </w:rPr>
        <w:t>被解除合同后，由</w:t>
      </w:r>
      <w:r>
        <w:rPr>
          <w:rFonts w:hint="eastAsia" w:hAnsi="宋体" w:cs="宋体"/>
          <w:color w:val="auto"/>
          <w:szCs w:val="21"/>
          <w:highlight w:val="none"/>
          <w:lang w:eastAsia="zh-CN"/>
        </w:rPr>
        <w:t>替补服务企业</w:t>
      </w:r>
      <w:r>
        <w:rPr>
          <w:rFonts w:hint="eastAsia" w:ascii="宋体" w:hAnsi="宋体" w:eastAsia="宋体" w:cs="宋体"/>
          <w:color w:val="auto"/>
          <w:szCs w:val="21"/>
          <w:highlight w:val="none"/>
        </w:rPr>
        <w:t>与</w:t>
      </w:r>
      <w:r>
        <w:rPr>
          <w:rFonts w:hint="eastAsia" w:hAnsi="宋体" w:cs="宋体"/>
          <w:color w:val="auto"/>
          <w:szCs w:val="21"/>
          <w:highlight w:val="none"/>
          <w:lang w:eastAsia="zh-CN"/>
        </w:rPr>
        <w:t>英德市投资审核中心</w:t>
      </w:r>
      <w:r>
        <w:rPr>
          <w:rFonts w:hint="eastAsia" w:ascii="宋体" w:hAnsi="宋体" w:eastAsia="宋体" w:cs="宋体"/>
          <w:color w:val="auto"/>
          <w:szCs w:val="21"/>
          <w:highlight w:val="none"/>
        </w:rPr>
        <w:t>签订正式合同，作为</w:t>
      </w:r>
      <w:r>
        <w:rPr>
          <w:rFonts w:hint="eastAsia" w:hAnsi="宋体" w:cs="宋体"/>
          <w:color w:val="auto"/>
          <w:szCs w:val="21"/>
          <w:highlight w:val="none"/>
          <w:lang w:eastAsia="zh-CN"/>
        </w:rPr>
        <w:t>英德市投资审核中心</w:t>
      </w:r>
      <w:r>
        <w:rPr>
          <w:rFonts w:hint="eastAsia" w:ascii="宋体" w:hAnsi="宋体" w:eastAsia="宋体" w:cs="宋体"/>
          <w:color w:val="auto"/>
          <w:szCs w:val="21"/>
          <w:highlight w:val="none"/>
        </w:rPr>
        <w:t>正式委派造价</w:t>
      </w:r>
      <w:r>
        <w:rPr>
          <w:rFonts w:hint="eastAsia" w:hAnsi="宋体" w:cs="宋体"/>
          <w:color w:val="auto"/>
          <w:szCs w:val="21"/>
          <w:highlight w:val="none"/>
          <w:lang w:val="en-US" w:eastAsia="zh-CN"/>
        </w:rPr>
        <w:t>咨询</w:t>
      </w:r>
      <w:r>
        <w:rPr>
          <w:rFonts w:hint="eastAsia" w:ascii="宋体" w:hAnsi="宋体" w:eastAsia="宋体" w:cs="宋体"/>
          <w:color w:val="auto"/>
          <w:szCs w:val="21"/>
          <w:highlight w:val="none"/>
        </w:rPr>
        <w:t>公司，接受</w:t>
      </w:r>
      <w:r>
        <w:rPr>
          <w:rFonts w:hint="eastAsia" w:hAnsi="宋体" w:cs="宋体"/>
          <w:color w:val="auto"/>
          <w:szCs w:val="21"/>
          <w:highlight w:val="none"/>
          <w:lang w:eastAsia="zh-CN"/>
        </w:rPr>
        <w:t>英德市投资审核中心</w:t>
      </w:r>
      <w:r>
        <w:rPr>
          <w:rFonts w:hint="eastAsia" w:ascii="宋体" w:hAnsi="宋体" w:eastAsia="宋体" w:cs="宋体"/>
          <w:color w:val="auto"/>
          <w:szCs w:val="21"/>
          <w:highlight w:val="none"/>
        </w:rPr>
        <w:t>各项规章制度。</w:t>
      </w:r>
    </w:p>
    <w:p w14:paraId="066C02D3">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第十二条 扣减咨询费用</w:t>
      </w:r>
    </w:p>
    <w:p w14:paraId="5C616514">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（一）造价咨询公司审核差错的项目，按差错率对</w:t>
      </w:r>
      <w:r>
        <w:rPr>
          <w:rFonts w:hint="eastAsia" w:hAnsi="宋体" w:cs="宋体"/>
          <w:color w:val="auto"/>
          <w:szCs w:val="21"/>
          <w:highlight w:val="none"/>
          <w:lang w:eastAsia="zh-CN"/>
        </w:rPr>
        <w:t>造价咨询公司</w:t>
      </w:r>
      <w:r>
        <w:rPr>
          <w:rFonts w:hint="eastAsia" w:ascii="宋体" w:hAnsi="宋体" w:eastAsia="宋体" w:cs="宋体"/>
          <w:color w:val="auto"/>
          <w:szCs w:val="21"/>
          <w:highlight w:val="none"/>
        </w:rPr>
        <w:t>扣除咨询费用。</w:t>
      </w:r>
    </w:p>
    <w:p w14:paraId="48383C37">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（二）造价咨询公司因自身原因自逾期不能提交成果报告的，每逾期1个工作日，扣除咨询费的2%，逾期超过10个工作日的，扣除全部咨询费。</w:t>
      </w:r>
    </w:p>
    <w:p w14:paraId="7921EA6E">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（三）造价咨询公司对其评审过程及出具结果负有保密</w:t>
      </w:r>
      <w:r>
        <w:rPr>
          <w:rFonts w:hint="eastAsia" w:hAnsi="宋体" w:cs="宋体"/>
          <w:color w:val="auto"/>
          <w:szCs w:val="21"/>
          <w:highlight w:val="none"/>
          <w:lang w:val="en-US" w:eastAsia="zh-CN"/>
        </w:rPr>
        <w:t>及廉政</w:t>
      </w:r>
      <w:r>
        <w:rPr>
          <w:rFonts w:hint="eastAsia" w:ascii="宋体" w:hAnsi="宋体" w:eastAsia="宋体" w:cs="宋体"/>
          <w:color w:val="auto"/>
          <w:szCs w:val="21"/>
          <w:highlight w:val="none"/>
        </w:rPr>
        <w:t>的责任，违反保密</w:t>
      </w:r>
      <w:r>
        <w:rPr>
          <w:rFonts w:hint="eastAsia" w:hAnsi="宋体" w:cs="宋体"/>
          <w:color w:val="auto"/>
          <w:szCs w:val="21"/>
          <w:highlight w:val="none"/>
          <w:lang w:val="en-US" w:eastAsia="zh-CN"/>
        </w:rPr>
        <w:t>及廉政</w:t>
      </w:r>
      <w:r>
        <w:rPr>
          <w:rFonts w:hint="eastAsia" w:ascii="宋体" w:hAnsi="宋体" w:eastAsia="宋体" w:cs="宋体"/>
          <w:color w:val="auto"/>
          <w:szCs w:val="21"/>
          <w:highlight w:val="none"/>
        </w:rPr>
        <w:t>规定的造价咨询公司扣除本次咨询服务费，取消其评审资格。</w:t>
      </w:r>
    </w:p>
    <w:p w14:paraId="4C071704">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第十三条 暂停或取消服务资格</w:t>
      </w:r>
    </w:p>
    <w:p w14:paraId="08D0D86C">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（一）造价咨询公司如出现较大、重大审核质量问题的，信息管理部报</w:t>
      </w:r>
      <w:r>
        <w:rPr>
          <w:rFonts w:hint="eastAsia" w:hAnsi="宋体" w:cs="宋体"/>
          <w:color w:val="auto"/>
          <w:szCs w:val="21"/>
          <w:highlight w:val="none"/>
          <w:lang w:eastAsia="zh-CN"/>
        </w:rPr>
        <w:t>英德市投资审核中心</w:t>
      </w:r>
      <w:r>
        <w:rPr>
          <w:rFonts w:hint="eastAsia" w:ascii="宋体" w:hAnsi="宋体" w:eastAsia="宋体" w:cs="宋体"/>
          <w:color w:val="auto"/>
          <w:szCs w:val="21"/>
          <w:highlight w:val="none"/>
        </w:rPr>
        <w:t>批准后可根据情况采取暂停业务分配1</w:t>
      </w:r>
      <w:r>
        <w:rPr>
          <w:rFonts w:hint="eastAsia" w:hAnsi="宋体" w:cs="宋体"/>
          <w:color w:val="auto"/>
          <w:szCs w:val="21"/>
          <w:highlight w:val="none"/>
          <w:lang w:val="en-US" w:eastAsia="zh-CN"/>
        </w:rPr>
        <w:t>-</w:t>
      </w:r>
      <w:r>
        <w:rPr>
          <w:rFonts w:hint="eastAsia" w:ascii="宋体" w:hAnsi="宋体" w:eastAsia="宋体" w:cs="宋体"/>
          <w:color w:val="auto"/>
          <w:szCs w:val="21"/>
          <w:highlight w:val="none"/>
        </w:rPr>
        <w:t>3个月处理。造价咨询公司1年内累计3次出现重大差错的（概、预算差错率大于10%，结算差错率大于5%</w:t>
      </w:r>
      <w:r>
        <w:rPr>
          <w:rFonts w:hint="eastAsia" w:hAnsi="宋体" w:cs="宋体"/>
          <w:color w:val="auto"/>
          <w:szCs w:val="21"/>
          <w:highlight w:val="none"/>
          <w:lang w:eastAsia="zh-CN"/>
        </w:rPr>
        <w:t>，</w:t>
      </w:r>
      <w:r>
        <w:rPr>
          <w:rFonts w:hint="eastAsia" w:hAnsi="宋体" w:cs="宋体"/>
          <w:color w:val="auto"/>
          <w:szCs w:val="21"/>
          <w:highlight w:val="none"/>
          <w:lang w:val="en-US" w:eastAsia="zh-CN"/>
        </w:rPr>
        <w:t>被审计项目差错率大于5%</w:t>
      </w:r>
      <w:r>
        <w:rPr>
          <w:rFonts w:hint="eastAsia" w:ascii="宋体" w:hAnsi="宋体" w:eastAsia="宋体" w:cs="宋体"/>
          <w:color w:val="auto"/>
          <w:szCs w:val="21"/>
          <w:highlight w:val="none"/>
        </w:rPr>
        <w:t>），停止其合同服务期的业务分配，</w:t>
      </w:r>
      <w:r>
        <w:rPr>
          <w:rFonts w:hint="eastAsia" w:hAnsi="宋体" w:cs="宋体"/>
          <w:color w:val="auto"/>
          <w:szCs w:val="21"/>
          <w:highlight w:val="none"/>
          <w:lang w:eastAsia="zh-CN"/>
        </w:rPr>
        <w:t>英德市投资审核中心</w:t>
      </w:r>
      <w:r>
        <w:rPr>
          <w:rFonts w:hint="eastAsia" w:ascii="宋体" w:hAnsi="宋体" w:eastAsia="宋体" w:cs="宋体"/>
          <w:color w:val="auto"/>
          <w:szCs w:val="21"/>
          <w:highlight w:val="none"/>
        </w:rPr>
        <w:t>终止与该公司的委托合同。</w:t>
      </w:r>
    </w:p>
    <w:p w14:paraId="74AEBBDC">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（二）造价咨询公司可根据自身的业务饱和度和完成情况，在分配任务之前书面提出弃权申请，但1年内无正当理由弃权或拒绝接受分配任务达3次以上（含3次）的，</w:t>
      </w:r>
      <w:r>
        <w:rPr>
          <w:rFonts w:hint="eastAsia" w:hAnsi="宋体" w:cs="宋体"/>
          <w:color w:val="auto"/>
          <w:szCs w:val="21"/>
          <w:highlight w:val="none"/>
          <w:lang w:eastAsia="zh-CN"/>
        </w:rPr>
        <w:t>英德市投资审核中心</w:t>
      </w:r>
      <w:r>
        <w:rPr>
          <w:rFonts w:hint="eastAsia" w:ascii="宋体" w:hAnsi="宋体" w:eastAsia="宋体" w:cs="宋体"/>
          <w:color w:val="auto"/>
          <w:szCs w:val="21"/>
          <w:highlight w:val="none"/>
        </w:rPr>
        <w:t>停止其半年的业务分配。</w:t>
      </w:r>
    </w:p>
    <w:p w14:paraId="43C611AB">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hAnsi="宋体" w:cs="宋体"/>
          <w:color w:val="auto"/>
          <w:szCs w:val="21"/>
          <w:highlight w:val="none"/>
          <w:lang w:val="en-US" w:eastAsia="zh-CN"/>
        </w:rPr>
        <w:t>三</w:t>
      </w:r>
      <w:r>
        <w:rPr>
          <w:rFonts w:hint="eastAsia" w:ascii="宋体" w:hAnsi="宋体" w:eastAsia="宋体" w:cs="宋体"/>
          <w:color w:val="auto"/>
          <w:szCs w:val="21"/>
          <w:highlight w:val="none"/>
        </w:rPr>
        <w:t>）在服务期内累计出现三次违反保密规定的造价咨询公司，取消该公司咨询服务合同期内的服务资格（第一次发提醒函、第二次约谈、第三次取消合同,同时抄送行业主管部门及相关网站通报）。</w:t>
      </w:r>
    </w:p>
    <w:p w14:paraId="3F1B80C7">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hAnsi="宋体" w:cs="宋体"/>
          <w:color w:val="auto"/>
          <w:szCs w:val="21"/>
          <w:highlight w:val="none"/>
          <w:lang w:val="en-US" w:eastAsia="zh-CN"/>
        </w:rPr>
        <w:t>四</w:t>
      </w:r>
      <w:r>
        <w:rPr>
          <w:rFonts w:hint="eastAsia" w:ascii="宋体" w:hAnsi="宋体" w:eastAsia="宋体" w:cs="宋体"/>
          <w:color w:val="auto"/>
          <w:szCs w:val="21"/>
          <w:highlight w:val="none"/>
        </w:rPr>
        <w:t>)在服务期间累计三次违反廉政规定的造价咨询公司，取消该公司咨询服务合同期内的服务资格（第一次发提醒函、第二次约谈、第三次取消合同,同时抄送行业主管部门及相关网站通报）。</w:t>
      </w:r>
    </w:p>
    <w:p w14:paraId="3748D136">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hAnsi="宋体" w:cs="宋体"/>
          <w:color w:val="auto"/>
          <w:szCs w:val="21"/>
          <w:highlight w:val="none"/>
          <w:lang w:eastAsia="zh-CN"/>
        </w:rPr>
        <w:t>（</w:t>
      </w:r>
      <w:r>
        <w:rPr>
          <w:rFonts w:hint="eastAsia" w:hAnsi="宋体" w:cs="宋体"/>
          <w:color w:val="auto"/>
          <w:szCs w:val="21"/>
          <w:highlight w:val="none"/>
          <w:lang w:val="en-US" w:eastAsia="zh-CN"/>
        </w:rPr>
        <w:t>五）在服务期间累计出现3次驻点工作人员与投标时提供的工作人员不相符（中途更换人员需报请投审中心批准）的造价咨询公司，</w:t>
      </w:r>
      <w:r>
        <w:rPr>
          <w:rFonts w:hint="eastAsia" w:ascii="宋体" w:hAnsi="宋体" w:eastAsia="宋体" w:cs="宋体"/>
          <w:color w:val="auto"/>
          <w:szCs w:val="21"/>
          <w:highlight w:val="none"/>
        </w:rPr>
        <w:t>取消该公司咨询服务合同期内的服务资格（第一次发提醒函、第二次约谈、第三次取消合同,同时抄送行业主管部门及相关网站通报）。</w:t>
      </w:r>
    </w:p>
    <w:p w14:paraId="31FA9635">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default" w:hAnsi="宋体" w:cs="宋体"/>
          <w:color w:val="auto"/>
          <w:szCs w:val="21"/>
          <w:highlight w:val="none"/>
          <w:lang w:val="en-US" w:eastAsia="zh-CN"/>
        </w:rPr>
      </w:pPr>
      <w:r>
        <w:rPr>
          <w:rFonts w:hint="eastAsia" w:hAnsi="宋体" w:cs="宋体"/>
          <w:color w:val="auto"/>
          <w:szCs w:val="21"/>
          <w:highlight w:val="none"/>
          <w:lang w:val="en-US" w:eastAsia="zh-CN"/>
        </w:rPr>
        <w:t>第十四条 申诉与</w:t>
      </w:r>
      <w:r>
        <w:rPr>
          <w:rFonts w:hint="eastAsia" w:hAnsi="宋体" w:cs="宋体"/>
          <w:color w:val="auto"/>
          <w:szCs w:val="21"/>
          <w:highlight w:val="none"/>
          <w:lang w:val="en-US" w:eastAsia="zh-CN"/>
        </w:rPr>
        <w:t>复议</w:t>
      </w:r>
    </w:p>
    <w:p w14:paraId="3966FB0A">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default" w:hAnsi="宋体" w:cs="宋体"/>
          <w:color w:val="auto"/>
          <w:szCs w:val="21"/>
          <w:highlight w:val="none"/>
          <w:lang w:val="en-US" w:eastAsia="zh-CN"/>
        </w:rPr>
      </w:pPr>
      <w:r>
        <w:rPr>
          <w:rFonts w:hint="eastAsia" w:hAnsi="宋体" w:cs="宋体"/>
          <w:color w:val="auto"/>
          <w:szCs w:val="21"/>
          <w:highlight w:val="none"/>
          <w:lang w:val="en-US" w:eastAsia="zh-CN"/>
        </w:rPr>
        <w:t>造价咨询公司对考核结果有异议的，可在收到通报之日起5个工作日内向英德市投资审核中心提交书面申诉，中心在收到申诉之日起5个工作日内组织</w:t>
      </w:r>
      <w:r>
        <w:rPr>
          <w:rFonts w:hint="eastAsia" w:hAnsi="宋体" w:cs="宋体"/>
          <w:color w:val="auto"/>
          <w:szCs w:val="21"/>
          <w:highlight w:val="none"/>
          <w:lang w:val="en-US" w:eastAsia="zh-CN"/>
        </w:rPr>
        <w:t>复议</w:t>
      </w:r>
      <w:r>
        <w:rPr>
          <w:rFonts w:hint="eastAsia" w:hAnsi="宋体" w:cs="宋体"/>
          <w:color w:val="auto"/>
          <w:szCs w:val="21"/>
          <w:highlight w:val="none"/>
          <w:lang w:val="en-US" w:eastAsia="zh-CN"/>
        </w:rPr>
        <w:t>，并将</w:t>
      </w:r>
      <w:r>
        <w:rPr>
          <w:rFonts w:hint="eastAsia" w:hAnsi="宋体" w:cs="宋体"/>
          <w:color w:val="auto"/>
          <w:szCs w:val="21"/>
          <w:highlight w:val="none"/>
          <w:lang w:val="en-US" w:eastAsia="zh-CN"/>
        </w:rPr>
        <w:t>复议</w:t>
      </w:r>
      <w:r>
        <w:rPr>
          <w:rFonts w:hint="eastAsia" w:hAnsi="宋体" w:cs="宋体"/>
          <w:color w:val="auto"/>
          <w:szCs w:val="21"/>
          <w:highlight w:val="none"/>
          <w:lang w:val="en-US" w:eastAsia="zh-CN"/>
        </w:rPr>
        <w:t>结果告知造价咨询公司。</w:t>
      </w:r>
    </w:p>
    <w:p w14:paraId="7042E5AB">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第十</w:t>
      </w:r>
      <w:r>
        <w:rPr>
          <w:rFonts w:hint="eastAsia" w:hAnsi="宋体" w:cs="宋体"/>
          <w:color w:val="auto"/>
          <w:szCs w:val="21"/>
          <w:highlight w:val="none"/>
          <w:lang w:val="en-US" w:eastAsia="zh-CN"/>
        </w:rPr>
        <w:t>五</w:t>
      </w:r>
      <w:r>
        <w:rPr>
          <w:rFonts w:hint="eastAsia" w:ascii="宋体" w:hAnsi="宋体" w:eastAsia="宋体" w:cs="宋体"/>
          <w:color w:val="auto"/>
          <w:szCs w:val="21"/>
          <w:highlight w:val="none"/>
        </w:rPr>
        <w:t>条 向有关部门进行通报</w:t>
      </w:r>
    </w:p>
    <w:p w14:paraId="2CF4EF17">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lang w:eastAsia="zh-CN"/>
        </w:rPr>
        <w:sectPr>
          <w:pgSz w:w="11906" w:h="16838"/>
          <w:pgMar w:top="1418" w:right="1246" w:bottom="1418" w:left="1308" w:header="851" w:footer="992" w:gutter="0"/>
          <w:pgNumType w:fmt="numberInDash"/>
          <w:cols w:space="720" w:num="1"/>
          <w:docGrid w:linePitch="312" w:charSpace="0"/>
        </w:sectPr>
      </w:pPr>
      <w:r>
        <w:rPr>
          <w:rFonts w:hint="eastAsia" w:ascii="宋体" w:hAnsi="宋体" w:eastAsia="宋体" w:cs="宋体"/>
          <w:color w:val="auto"/>
          <w:szCs w:val="21"/>
          <w:highlight w:val="none"/>
        </w:rPr>
        <w:t>对出现重大差错或严重违规操作的的造价咨询公司，信息管理部经</w:t>
      </w:r>
      <w:r>
        <w:rPr>
          <w:rFonts w:hint="eastAsia" w:hAnsi="宋体" w:cs="宋体"/>
          <w:color w:val="auto"/>
          <w:szCs w:val="21"/>
          <w:highlight w:val="none"/>
          <w:lang w:eastAsia="zh-CN"/>
        </w:rPr>
        <w:t>英德市投资审核中心</w:t>
      </w:r>
      <w:r>
        <w:rPr>
          <w:rFonts w:hint="eastAsia" w:ascii="宋体" w:hAnsi="宋体" w:eastAsia="宋体" w:cs="宋体"/>
          <w:color w:val="auto"/>
          <w:szCs w:val="21"/>
          <w:highlight w:val="none"/>
        </w:rPr>
        <w:t>批准后将情况上报相关部门及行业主管部门，并将违规公司及项目评审人员进行通报处理</w:t>
      </w:r>
      <w:r>
        <w:rPr>
          <w:rFonts w:hint="eastAsia" w:hAnsi="宋体" w:cs="宋体"/>
          <w:color w:val="auto"/>
          <w:szCs w:val="21"/>
          <w:highlight w:val="none"/>
          <w:lang w:eastAsia="zh-CN"/>
        </w:rPr>
        <w:t>。</w:t>
      </w:r>
    </w:p>
    <w:p w14:paraId="5BD81D38">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rPr>
          <w:rFonts w:hint="default" w:ascii="宋体" w:hAnsi="宋体" w:eastAsia="宋体" w:cs="宋体"/>
          <w:b/>
          <w:bCs/>
          <w:color w:val="auto"/>
          <w:szCs w:val="21"/>
          <w:highlight w:val="none"/>
          <w:lang w:val="en-US" w:eastAsia="zh-CN"/>
        </w:rPr>
      </w:pPr>
      <w:r>
        <w:rPr>
          <w:rFonts w:hint="eastAsia" w:hAnsi="宋体" w:cs="宋体"/>
          <w:b/>
          <w:bCs/>
          <w:color w:val="auto"/>
          <w:szCs w:val="21"/>
          <w:highlight w:val="none"/>
          <w:lang w:val="en-US" w:eastAsia="zh-CN"/>
        </w:rPr>
        <w:t>附件三之</w:t>
      </w:r>
      <w:r>
        <w:rPr>
          <w:rFonts w:hint="eastAsia" w:ascii="宋体" w:hAnsi="宋体" w:eastAsia="宋体" w:cs="宋体"/>
          <w:b/>
          <w:bCs/>
          <w:color w:val="auto"/>
          <w:szCs w:val="21"/>
          <w:highlight w:val="none"/>
          <w:lang w:val="en-US" w:eastAsia="zh-CN"/>
        </w:rPr>
        <w:t>附表1</w:t>
      </w:r>
    </w:p>
    <w:tbl>
      <w:tblPr>
        <w:tblStyle w:val="6"/>
        <w:tblW w:w="1036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817"/>
        <w:gridCol w:w="928"/>
        <w:gridCol w:w="914"/>
        <w:gridCol w:w="1563"/>
        <w:gridCol w:w="2446"/>
        <w:gridCol w:w="1764"/>
        <w:gridCol w:w="933"/>
      </w:tblGrid>
      <w:tr w14:paraId="326E1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0365" w:type="dxa"/>
            <w:gridSpan w:val="7"/>
            <w:tcBorders>
              <w:top w:val="nil"/>
              <w:left w:val="nil"/>
              <w:bottom w:val="nil"/>
              <w:right w:val="nil"/>
            </w:tcBorders>
            <w:shd w:val="clear" w:color="auto" w:fill="auto"/>
            <w:noWrap/>
            <w:vAlign w:val="center"/>
          </w:tcPr>
          <w:p w14:paraId="50D55FAA">
            <w:pPr>
              <w:keepNext w:val="0"/>
              <w:keepLines w:val="0"/>
              <w:widowControl/>
              <w:suppressLineNumbers w:val="0"/>
              <w:jc w:val="center"/>
              <w:textAlignment w:val="center"/>
              <w:rPr>
                <w:rFonts w:ascii="仿宋" w:hAnsi="仿宋" w:eastAsia="仿宋" w:cs="仿宋"/>
                <w:b/>
                <w:bCs/>
                <w:i w:val="0"/>
                <w:iCs w:val="0"/>
                <w:color w:val="auto"/>
                <w:sz w:val="28"/>
                <w:szCs w:val="28"/>
                <w:highlight w:val="none"/>
                <w:u w:val="none"/>
              </w:rPr>
            </w:pPr>
            <w:r>
              <w:rPr>
                <w:rFonts w:hint="eastAsia" w:ascii="仿宋" w:hAnsi="仿宋" w:eastAsia="仿宋" w:cs="仿宋"/>
                <w:b/>
                <w:bCs/>
                <w:i w:val="0"/>
                <w:iCs w:val="0"/>
                <w:color w:val="auto"/>
                <w:kern w:val="0"/>
                <w:sz w:val="28"/>
                <w:szCs w:val="28"/>
                <w:highlight w:val="none"/>
                <w:u w:val="none"/>
                <w:lang w:val="en-US" w:eastAsia="zh-CN" w:bidi="ar"/>
              </w:rPr>
              <w:t>政府投资项目评审质量日常考核表</w:t>
            </w:r>
          </w:p>
        </w:tc>
      </w:tr>
      <w:tr w14:paraId="3B41C7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nil"/>
              <w:left w:val="nil"/>
              <w:bottom w:val="nil"/>
              <w:right w:val="nil"/>
            </w:tcBorders>
            <w:shd w:val="clear" w:color="auto" w:fill="auto"/>
            <w:noWrap/>
            <w:vAlign w:val="center"/>
          </w:tcPr>
          <w:p w14:paraId="0D5AEECD">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 xml:space="preserve">被考核单位 ： </w:t>
            </w:r>
          </w:p>
        </w:tc>
        <w:tc>
          <w:tcPr>
            <w:tcW w:w="0" w:type="auto"/>
            <w:tcBorders>
              <w:top w:val="nil"/>
              <w:left w:val="nil"/>
              <w:bottom w:val="nil"/>
              <w:right w:val="nil"/>
            </w:tcBorders>
            <w:shd w:val="clear" w:color="auto" w:fill="auto"/>
            <w:noWrap/>
            <w:vAlign w:val="center"/>
          </w:tcPr>
          <w:p w14:paraId="463BFBBA">
            <w:pPr>
              <w:rPr>
                <w:rFonts w:hint="eastAsia" w:ascii="仿宋" w:hAnsi="仿宋" w:eastAsia="仿宋" w:cs="仿宋"/>
                <w:i w:val="0"/>
                <w:iCs w:val="0"/>
                <w:color w:val="auto"/>
                <w:sz w:val="20"/>
                <w:szCs w:val="20"/>
                <w:highlight w:val="none"/>
                <w:u w:val="none"/>
              </w:rPr>
            </w:pPr>
          </w:p>
        </w:tc>
        <w:tc>
          <w:tcPr>
            <w:tcW w:w="0" w:type="auto"/>
            <w:gridSpan w:val="3"/>
            <w:tcBorders>
              <w:top w:val="nil"/>
              <w:left w:val="nil"/>
              <w:bottom w:val="nil"/>
              <w:right w:val="nil"/>
            </w:tcBorders>
            <w:shd w:val="clear" w:color="auto" w:fill="auto"/>
            <w:noWrap/>
            <w:vAlign w:val="center"/>
          </w:tcPr>
          <w:p w14:paraId="7E92FB41">
            <w:pPr>
              <w:jc w:val="left"/>
              <w:rPr>
                <w:rFonts w:hint="eastAsia" w:ascii="仿宋" w:hAnsi="仿宋" w:eastAsia="仿宋" w:cs="仿宋"/>
                <w:i w:val="0"/>
                <w:iCs w:val="0"/>
                <w:color w:val="auto"/>
                <w:sz w:val="20"/>
                <w:szCs w:val="20"/>
                <w:highlight w:val="none"/>
                <w:u w:val="none"/>
              </w:rPr>
            </w:pPr>
          </w:p>
        </w:tc>
        <w:tc>
          <w:tcPr>
            <w:tcW w:w="0" w:type="auto"/>
            <w:tcBorders>
              <w:top w:val="nil"/>
              <w:left w:val="nil"/>
              <w:bottom w:val="nil"/>
              <w:right w:val="nil"/>
            </w:tcBorders>
            <w:shd w:val="clear" w:color="auto" w:fill="auto"/>
            <w:noWrap/>
            <w:vAlign w:val="center"/>
          </w:tcPr>
          <w:p w14:paraId="3C77A12B">
            <w:pPr>
              <w:keepNext w:val="0"/>
              <w:keepLines w:val="0"/>
              <w:widowControl/>
              <w:suppressLineNumbers w:val="0"/>
              <w:jc w:val="left"/>
              <w:textAlignment w:val="center"/>
              <w:rPr>
                <w:rFonts w:hint="eastAsia" w:ascii="仿宋" w:hAnsi="仿宋" w:eastAsia="仿宋" w:cs="仿宋"/>
                <w:b/>
                <w:bCs/>
                <w:i w:val="0"/>
                <w:iCs w:val="0"/>
                <w:color w:val="auto"/>
                <w:sz w:val="22"/>
                <w:szCs w:val="22"/>
                <w:highlight w:val="none"/>
                <w:u w:val="none"/>
              </w:rPr>
            </w:pPr>
            <w:r>
              <w:rPr>
                <w:rFonts w:hint="eastAsia" w:ascii="仿宋" w:hAnsi="仿宋" w:eastAsia="仿宋" w:cs="仿宋"/>
                <w:b/>
                <w:bCs/>
                <w:i w:val="0"/>
                <w:iCs w:val="0"/>
                <w:color w:val="auto"/>
                <w:kern w:val="0"/>
                <w:sz w:val="22"/>
                <w:szCs w:val="22"/>
                <w:highlight w:val="none"/>
                <w:u w:val="none"/>
                <w:lang w:val="en-US" w:eastAsia="zh-CN" w:bidi="ar"/>
              </w:rPr>
              <w:t xml:space="preserve"> 总分：100分    </w:t>
            </w:r>
          </w:p>
        </w:tc>
        <w:tc>
          <w:tcPr>
            <w:tcW w:w="0" w:type="auto"/>
            <w:tcBorders>
              <w:top w:val="nil"/>
              <w:left w:val="nil"/>
              <w:bottom w:val="nil"/>
              <w:right w:val="nil"/>
            </w:tcBorders>
            <w:shd w:val="clear" w:color="auto" w:fill="auto"/>
            <w:noWrap/>
            <w:vAlign w:val="center"/>
          </w:tcPr>
          <w:p w14:paraId="447C2A4B">
            <w:pPr>
              <w:rPr>
                <w:rFonts w:hint="eastAsia" w:ascii="仿宋" w:hAnsi="仿宋" w:eastAsia="仿宋" w:cs="仿宋"/>
                <w:i w:val="0"/>
                <w:iCs w:val="0"/>
                <w:color w:val="auto"/>
                <w:sz w:val="20"/>
                <w:szCs w:val="20"/>
                <w:highlight w:val="none"/>
                <w:u w:val="none"/>
              </w:rPr>
            </w:pPr>
          </w:p>
        </w:tc>
      </w:tr>
      <w:tr w14:paraId="464C67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30E73">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项目编号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4DAEB">
            <w:pPr>
              <w:jc w:val="center"/>
              <w:rPr>
                <w:rFonts w:hint="eastAsia" w:ascii="仿宋" w:hAnsi="仿宋" w:eastAsia="仿宋" w:cs="仿宋"/>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B466C">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项目咨询内容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393F1">
            <w:pPr>
              <w:jc w:val="center"/>
              <w:rPr>
                <w:rFonts w:hint="eastAsia" w:ascii="仿宋" w:hAnsi="仿宋" w:eastAsia="仿宋" w:cs="仿宋"/>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4C548">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评审项目专业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D4C00">
            <w:pPr>
              <w:jc w:val="center"/>
              <w:rPr>
                <w:rFonts w:hint="eastAsia" w:ascii="仿宋" w:hAnsi="仿宋" w:eastAsia="仿宋" w:cs="仿宋"/>
                <w:i w:val="0"/>
                <w:iCs w:val="0"/>
                <w:color w:val="auto"/>
                <w:sz w:val="20"/>
                <w:szCs w:val="20"/>
                <w:highlight w:val="none"/>
                <w:u w:val="none"/>
              </w:rPr>
            </w:pPr>
          </w:p>
        </w:tc>
      </w:tr>
      <w:tr w14:paraId="4153F1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1FEAE">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项目名称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FA4C8">
            <w:pPr>
              <w:jc w:val="center"/>
              <w:rPr>
                <w:rFonts w:hint="eastAsia" w:ascii="仿宋" w:hAnsi="仿宋" w:eastAsia="仿宋" w:cs="仿宋"/>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76910">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考核类型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9B900">
            <w:pPr>
              <w:jc w:val="center"/>
              <w:rPr>
                <w:rFonts w:hint="eastAsia" w:ascii="仿宋" w:hAnsi="仿宋" w:eastAsia="仿宋" w:cs="仿宋"/>
                <w:i w:val="0"/>
                <w:iCs w:val="0"/>
                <w:color w:val="auto"/>
                <w:sz w:val="20"/>
                <w:szCs w:val="20"/>
                <w:highlight w:val="none"/>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BEC17">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被考核单位审核人（签名）</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D247B">
            <w:pPr>
              <w:jc w:val="center"/>
              <w:rPr>
                <w:rFonts w:hint="eastAsia" w:ascii="仿宋" w:hAnsi="仿宋" w:eastAsia="仿宋" w:cs="仿宋"/>
                <w:i w:val="0"/>
                <w:iCs w:val="0"/>
                <w:color w:val="auto"/>
                <w:sz w:val="20"/>
                <w:szCs w:val="20"/>
                <w:highlight w:val="none"/>
                <w:u w:val="none"/>
              </w:rPr>
            </w:pPr>
          </w:p>
        </w:tc>
      </w:tr>
      <w:tr w14:paraId="7811F7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AA0CC">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送审金额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48C28">
            <w:pPr>
              <w:jc w:val="center"/>
              <w:rPr>
                <w:rFonts w:hint="eastAsia" w:ascii="仿宋" w:hAnsi="仿宋" w:eastAsia="仿宋" w:cs="仿宋"/>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CB6EB">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审核定案金额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5CB96">
            <w:pPr>
              <w:jc w:val="center"/>
              <w:rPr>
                <w:rFonts w:hint="eastAsia" w:ascii="仿宋" w:hAnsi="仿宋" w:eastAsia="仿宋" w:cs="仿宋"/>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62D71">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净核减率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A9531">
            <w:pPr>
              <w:jc w:val="center"/>
              <w:rPr>
                <w:rFonts w:hint="eastAsia" w:ascii="仿宋" w:hAnsi="仿宋" w:eastAsia="仿宋" w:cs="仿宋"/>
                <w:i w:val="0"/>
                <w:iCs w:val="0"/>
                <w:color w:val="auto"/>
                <w:sz w:val="20"/>
                <w:szCs w:val="20"/>
                <w:highlight w:val="none"/>
                <w:u w:val="none"/>
              </w:rPr>
            </w:pPr>
          </w:p>
        </w:tc>
      </w:tr>
      <w:tr w14:paraId="5BB047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7FB37">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完成初稿日期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F92A6">
            <w:pPr>
              <w:jc w:val="center"/>
              <w:rPr>
                <w:rFonts w:hint="eastAsia" w:ascii="仿宋" w:hAnsi="仿宋" w:eastAsia="仿宋" w:cs="仿宋"/>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F7219">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完成评审日期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5C62E">
            <w:pPr>
              <w:jc w:val="center"/>
              <w:rPr>
                <w:rFonts w:hint="eastAsia" w:ascii="仿宋" w:hAnsi="仿宋" w:eastAsia="仿宋" w:cs="仿宋"/>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A11AF">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中心考核日期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7EC65">
            <w:pPr>
              <w:jc w:val="center"/>
              <w:rPr>
                <w:rFonts w:hint="eastAsia" w:ascii="仿宋" w:hAnsi="仿宋" w:eastAsia="仿宋" w:cs="仿宋"/>
                <w:i w:val="0"/>
                <w:iCs w:val="0"/>
                <w:color w:val="auto"/>
                <w:sz w:val="20"/>
                <w:szCs w:val="20"/>
                <w:highlight w:val="none"/>
                <w:u w:val="none"/>
              </w:rPr>
            </w:pPr>
          </w:p>
        </w:tc>
      </w:tr>
      <w:tr w14:paraId="12C95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4028F">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被考核单位意见（盖章）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5859B">
            <w:pPr>
              <w:jc w:val="center"/>
              <w:rPr>
                <w:rFonts w:hint="eastAsia" w:ascii="仿宋" w:hAnsi="仿宋" w:eastAsia="仿宋" w:cs="仿宋"/>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EA9FF">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审核中心意见（盖章）</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1E535">
            <w:pPr>
              <w:jc w:val="center"/>
              <w:rPr>
                <w:rFonts w:hint="eastAsia" w:ascii="仿宋" w:hAnsi="仿宋" w:eastAsia="仿宋" w:cs="仿宋"/>
                <w:i w:val="0"/>
                <w:iCs w:val="0"/>
                <w:color w:val="auto"/>
                <w:sz w:val="20"/>
                <w:szCs w:val="20"/>
                <w:highlight w:val="none"/>
                <w:u w:val="none"/>
              </w:rPr>
            </w:pPr>
          </w:p>
        </w:tc>
      </w:tr>
      <w:tr w14:paraId="3A24C9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0" w:hRule="atLeast"/>
        </w:trPr>
        <w:tc>
          <w:tcPr>
            <w:tcW w:w="10365" w:type="dxa"/>
            <w:gridSpan w:val="7"/>
            <w:tcBorders>
              <w:top w:val="nil"/>
              <w:left w:val="nil"/>
              <w:bottom w:val="nil"/>
              <w:right w:val="nil"/>
            </w:tcBorders>
            <w:shd w:val="clear" w:color="auto" w:fill="auto"/>
            <w:vAlign w:val="center"/>
          </w:tcPr>
          <w:p w14:paraId="0FACBEA5">
            <w:pPr>
              <w:keepNext w:val="0"/>
              <w:keepLines w:val="0"/>
              <w:widowControl/>
              <w:suppressLineNumbers w:val="0"/>
              <w:jc w:val="left"/>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注：1、本考核表由投审中心根据掌握的项目审核情况对造价咨询公司的审核质量进行打分。2、每个项目定案后考核一次，每家造价咨询公司的考核表评分情况每季度年统计一次，统计后的评分结果进入《财政投资建设项目审核工程造价咨询公司诚信登记》。3、本考核结果作为支付造价咨询公司服务费用及以后对造价咨询公司的季度、年度考核的依据之一。4、咨询单位如对本考核结果有不同意见请在3个工作日内向审核中心申请复核.</w:t>
            </w:r>
          </w:p>
        </w:tc>
      </w:tr>
      <w:tr w14:paraId="4A63CA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769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AD601ED">
            <w:pPr>
              <w:keepNext w:val="0"/>
              <w:keepLines w:val="0"/>
              <w:widowControl/>
              <w:suppressLineNumbers w:val="0"/>
              <w:jc w:val="center"/>
              <w:textAlignment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kern w:val="0"/>
                <w:sz w:val="20"/>
                <w:szCs w:val="20"/>
                <w:highlight w:val="none"/>
                <w:u w:val="none"/>
                <w:lang w:val="en-US" w:eastAsia="zh-CN" w:bidi="ar"/>
              </w:rPr>
              <w:t>评分表</w:t>
            </w:r>
          </w:p>
        </w:tc>
        <w:tc>
          <w:tcPr>
            <w:tcW w:w="26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EDA8C0">
            <w:pPr>
              <w:keepNext w:val="0"/>
              <w:keepLines w:val="0"/>
              <w:widowControl/>
              <w:suppressLineNumbers w:val="0"/>
              <w:jc w:val="center"/>
              <w:textAlignment w:val="center"/>
              <w:rPr>
                <w:rFonts w:hint="eastAsia" w:ascii="仿宋" w:hAnsi="仿宋" w:eastAsia="仿宋" w:cs="仿宋"/>
                <w:b/>
                <w:bCs/>
                <w:i w:val="0"/>
                <w:iCs w:val="0"/>
                <w:color w:val="auto"/>
                <w:sz w:val="20"/>
                <w:szCs w:val="20"/>
                <w:highlight w:val="none"/>
                <w:u w:val="none"/>
              </w:rPr>
            </w:pPr>
            <w:r>
              <w:rPr>
                <w:rFonts w:hint="eastAsia" w:ascii="仿宋" w:hAnsi="仿宋" w:eastAsia="仿宋" w:cs="仿宋"/>
                <w:b/>
                <w:bCs/>
                <w:i w:val="0"/>
                <w:iCs w:val="0"/>
                <w:color w:val="auto"/>
                <w:kern w:val="0"/>
                <w:sz w:val="20"/>
                <w:szCs w:val="20"/>
                <w:highlight w:val="none"/>
                <w:u w:val="none"/>
                <w:lang w:val="en-US" w:eastAsia="zh-CN" w:bidi="ar"/>
              </w:rPr>
              <w:t>评分</w:t>
            </w:r>
          </w:p>
        </w:tc>
      </w:tr>
      <w:tr w14:paraId="21422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AB937">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序号</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2D4EF">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考核内容</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980DA">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权重（分）</w:t>
            </w:r>
          </w:p>
        </w:tc>
        <w:tc>
          <w:tcPr>
            <w:tcW w:w="5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2D33B7">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评分细则</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6DA18">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自评分</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49749">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评分</w:t>
            </w:r>
          </w:p>
        </w:tc>
      </w:tr>
      <w:tr w14:paraId="2819A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4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4E4EB1">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1</w:t>
            </w:r>
          </w:p>
        </w:tc>
        <w:tc>
          <w:tcPr>
            <w:tcW w:w="10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701D35">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审核误差情况（二选一）</w:t>
            </w:r>
          </w:p>
        </w:tc>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744C8A">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20</w:t>
            </w:r>
          </w:p>
        </w:tc>
        <w:tc>
          <w:tcPr>
            <w:tcW w:w="5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A3F721">
            <w:pPr>
              <w:keepNext w:val="0"/>
              <w:keepLines w:val="0"/>
              <w:widowControl/>
              <w:suppressLineNumbers w:val="0"/>
              <w:jc w:val="left"/>
              <w:textAlignment w:val="center"/>
              <w:rPr>
                <w:rFonts w:hint="eastAsia" w:ascii="仿宋" w:hAnsi="仿宋" w:eastAsia="仿宋" w:cs="仿宋"/>
                <w:i w:val="0"/>
                <w:iCs w:val="0"/>
                <w:color w:val="auto"/>
                <w:sz w:val="20"/>
                <w:szCs w:val="20"/>
                <w:highlight w:val="none"/>
                <w:u w:val="none"/>
              </w:rPr>
            </w:pPr>
            <w:r>
              <w:rPr>
                <w:rStyle w:val="12"/>
                <w:color w:val="auto"/>
                <w:highlight w:val="none"/>
                <w:lang w:val="en-US" w:eastAsia="zh-CN" w:bidi="ar"/>
              </w:rPr>
              <w:t>估（概）、预算项目未发生差错率的得20分，发生差错率：</w:t>
            </w:r>
            <w:r>
              <w:rPr>
                <w:rStyle w:val="12"/>
                <w:color w:val="auto"/>
                <w:highlight w:val="none"/>
                <w:lang w:val="en-US" w:eastAsia="zh-CN" w:bidi="ar"/>
              </w:rPr>
              <w:br w:type="textWrapping"/>
            </w:r>
            <w:r>
              <w:rPr>
                <w:rStyle w:val="13"/>
                <w:color w:val="auto"/>
                <w:highlight w:val="none"/>
                <w:lang w:val="en-US" w:eastAsia="zh-CN" w:bidi="ar"/>
              </w:rPr>
              <w:t>□</w:t>
            </w:r>
            <w:r>
              <w:rPr>
                <w:rStyle w:val="12"/>
                <w:color w:val="auto"/>
                <w:highlight w:val="none"/>
                <w:lang w:val="en-US" w:eastAsia="zh-CN" w:bidi="ar"/>
              </w:rPr>
              <w:t xml:space="preserve">1%＜i≤5%得15分    </w:t>
            </w:r>
            <w:r>
              <w:rPr>
                <w:rStyle w:val="13"/>
                <w:color w:val="auto"/>
                <w:highlight w:val="none"/>
                <w:lang w:val="en-US" w:eastAsia="zh-CN" w:bidi="ar"/>
              </w:rPr>
              <w:t>□</w:t>
            </w:r>
            <w:r>
              <w:rPr>
                <w:rStyle w:val="12"/>
                <w:color w:val="auto"/>
                <w:highlight w:val="none"/>
                <w:lang w:val="en-US" w:eastAsia="zh-CN" w:bidi="ar"/>
              </w:rPr>
              <w:t>5%＜i≤8%得10分</w:t>
            </w:r>
            <w:r>
              <w:rPr>
                <w:rStyle w:val="12"/>
                <w:color w:val="auto"/>
                <w:highlight w:val="none"/>
                <w:lang w:val="en-US" w:eastAsia="zh-CN" w:bidi="ar"/>
              </w:rPr>
              <w:br w:type="textWrapping"/>
            </w:r>
            <w:r>
              <w:rPr>
                <w:rStyle w:val="13"/>
                <w:color w:val="auto"/>
                <w:highlight w:val="none"/>
                <w:lang w:val="en-US" w:eastAsia="zh-CN" w:bidi="ar"/>
              </w:rPr>
              <w:t>□</w:t>
            </w:r>
            <w:r>
              <w:rPr>
                <w:rStyle w:val="12"/>
                <w:color w:val="auto"/>
                <w:highlight w:val="none"/>
                <w:lang w:val="en-US" w:eastAsia="zh-CN" w:bidi="ar"/>
              </w:rPr>
              <w:t>8%＜i得0分</w:t>
            </w:r>
          </w:p>
        </w:tc>
        <w:tc>
          <w:tcPr>
            <w:tcW w:w="13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73CB97">
            <w:pPr>
              <w:jc w:val="center"/>
              <w:rPr>
                <w:rFonts w:hint="eastAsia" w:ascii="仿宋" w:hAnsi="仿宋" w:eastAsia="仿宋" w:cs="仿宋"/>
                <w:i w:val="0"/>
                <w:iCs w:val="0"/>
                <w:color w:val="auto"/>
                <w:sz w:val="20"/>
                <w:szCs w:val="20"/>
                <w:highlight w:val="none"/>
                <w:u w:val="none"/>
              </w:rPr>
            </w:pP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A4DD82">
            <w:pPr>
              <w:jc w:val="center"/>
              <w:rPr>
                <w:rFonts w:hint="eastAsia" w:ascii="仿宋" w:hAnsi="仿宋" w:eastAsia="仿宋" w:cs="仿宋"/>
                <w:i w:val="0"/>
                <w:iCs w:val="0"/>
                <w:color w:val="auto"/>
                <w:sz w:val="20"/>
                <w:szCs w:val="20"/>
                <w:highlight w:val="none"/>
                <w:u w:val="none"/>
              </w:rPr>
            </w:pPr>
          </w:p>
        </w:tc>
      </w:tr>
      <w:tr w14:paraId="28BFF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4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0208A9">
            <w:pPr>
              <w:jc w:val="center"/>
              <w:rPr>
                <w:rFonts w:hint="eastAsia" w:ascii="仿宋" w:hAnsi="仿宋" w:eastAsia="仿宋" w:cs="仿宋"/>
                <w:i w:val="0"/>
                <w:iCs w:val="0"/>
                <w:color w:val="auto"/>
                <w:sz w:val="20"/>
                <w:szCs w:val="20"/>
                <w:highlight w:val="none"/>
                <w:u w:val="none"/>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ABC737">
            <w:pPr>
              <w:jc w:val="center"/>
              <w:rPr>
                <w:rFonts w:hint="eastAsia" w:ascii="仿宋" w:hAnsi="仿宋" w:eastAsia="仿宋" w:cs="仿宋"/>
                <w:i w:val="0"/>
                <w:iCs w:val="0"/>
                <w:color w:val="auto"/>
                <w:sz w:val="20"/>
                <w:szCs w:val="20"/>
                <w:highlight w:val="none"/>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402CE9">
            <w:pPr>
              <w:jc w:val="center"/>
              <w:rPr>
                <w:rFonts w:hint="eastAsia" w:ascii="仿宋" w:hAnsi="仿宋" w:eastAsia="仿宋" w:cs="仿宋"/>
                <w:i w:val="0"/>
                <w:iCs w:val="0"/>
                <w:color w:val="auto"/>
                <w:sz w:val="20"/>
                <w:szCs w:val="20"/>
                <w:highlight w:val="none"/>
                <w:u w:val="none"/>
              </w:rPr>
            </w:pPr>
          </w:p>
        </w:tc>
        <w:tc>
          <w:tcPr>
            <w:tcW w:w="5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3E937E">
            <w:pPr>
              <w:keepNext w:val="0"/>
              <w:keepLines w:val="0"/>
              <w:widowControl/>
              <w:suppressLineNumbers w:val="0"/>
              <w:jc w:val="left"/>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结算项目未发生差错率的得20分，发生差错率：</w:t>
            </w:r>
            <w:r>
              <w:rPr>
                <w:rFonts w:hint="eastAsia" w:ascii="仿宋" w:hAnsi="仿宋" w:eastAsia="仿宋" w:cs="仿宋"/>
                <w:i w:val="0"/>
                <w:iCs w:val="0"/>
                <w:color w:val="auto"/>
                <w:kern w:val="0"/>
                <w:sz w:val="20"/>
                <w:szCs w:val="20"/>
                <w:highlight w:val="none"/>
                <w:u w:val="none"/>
                <w:lang w:val="en-US" w:eastAsia="zh-CN" w:bidi="ar"/>
              </w:rPr>
              <w:br w:type="textWrapping"/>
            </w:r>
            <w:r>
              <w:rPr>
                <w:rFonts w:hint="eastAsia" w:ascii="仿宋" w:hAnsi="仿宋" w:eastAsia="仿宋" w:cs="仿宋"/>
                <w:i w:val="0"/>
                <w:iCs w:val="0"/>
                <w:color w:val="auto"/>
                <w:kern w:val="0"/>
                <w:sz w:val="20"/>
                <w:szCs w:val="20"/>
                <w:highlight w:val="none"/>
                <w:u w:val="none"/>
                <w:lang w:val="en-US" w:eastAsia="zh-CN" w:bidi="ar"/>
              </w:rPr>
              <w:t>□i≤1%得15分        □1%＜i≤3%得10分</w:t>
            </w:r>
            <w:r>
              <w:rPr>
                <w:rFonts w:hint="eastAsia" w:ascii="仿宋" w:hAnsi="仿宋" w:eastAsia="仿宋" w:cs="仿宋"/>
                <w:i w:val="0"/>
                <w:iCs w:val="0"/>
                <w:color w:val="auto"/>
                <w:kern w:val="0"/>
                <w:sz w:val="20"/>
                <w:szCs w:val="20"/>
                <w:highlight w:val="none"/>
                <w:u w:val="none"/>
                <w:lang w:val="en-US" w:eastAsia="zh-CN" w:bidi="ar"/>
              </w:rPr>
              <w:br w:type="textWrapping"/>
            </w:r>
            <w:r>
              <w:rPr>
                <w:rFonts w:hint="eastAsia" w:ascii="仿宋" w:hAnsi="仿宋" w:eastAsia="仿宋" w:cs="仿宋"/>
                <w:i w:val="0"/>
                <w:iCs w:val="0"/>
                <w:color w:val="auto"/>
                <w:kern w:val="0"/>
                <w:sz w:val="20"/>
                <w:szCs w:val="20"/>
                <w:highlight w:val="none"/>
                <w:u w:val="none"/>
                <w:lang w:val="en-US" w:eastAsia="zh-CN" w:bidi="ar"/>
              </w:rPr>
              <w:t>□3%＜i≤5%得5分     □5%＜i得0分。</w:t>
            </w:r>
          </w:p>
        </w:tc>
        <w:tc>
          <w:tcPr>
            <w:tcW w:w="13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C7011E">
            <w:pPr>
              <w:jc w:val="center"/>
              <w:rPr>
                <w:rFonts w:hint="eastAsia" w:ascii="仿宋" w:hAnsi="仿宋" w:eastAsia="仿宋" w:cs="仿宋"/>
                <w:i w:val="0"/>
                <w:iCs w:val="0"/>
                <w:color w:val="auto"/>
                <w:sz w:val="20"/>
                <w:szCs w:val="20"/>
                <w:highlight w:val="none"/>
                <w:u w:val="none"/>
              </w:rPr>
            </w:pPr>
          </w:p>
        </w:tc>
        <w:tc>
          <w:tcPr>
            <w:tcW w:w="12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3612A0">
            <w:pPr>
              <w:jc w:val="center"/>
              <w:rPr>
                <w:rFonts w:hint="eastAsia" w:ascii="仿宋" w:hAnsi="仿宋" w:eastAsia="仿宋" w:cs="仿宋"/>
                <w:i w:val="0"/>
                <w:iCs w:val="0"/>
                <w:color w:val="auto"/>
                <w:sz w:val="20"/>
                <w:szCs w:val="20"/>
                <w:highlight w:val="none"/>
                <w:u w:val="none"/>
              </w:rPr>
            </w:pPr>
          </w:p>
        </w:tc>
      </w:tr>
      <w:tr w14:paraId="4D9E84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4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E265D2">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2</w:t>
            </w:r>
          </w:p>
        </w:tc>
        <w:tc>
          <w:tcPr>
            <w:tcW w:w="10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563D27">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审核质量</w:t>
            </w:r>
          </w:p>
        </w:tc>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B69C13">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30</w:t>
            </w:r>
          </w:p>
        </w:tc>
        <w:tc>
          <w:tcPr>
            <w:tcW w:w="5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0953CF">
            <w:pPr>
              <w:keepNext w:val="0"/>
              <w:keepLines w:val="0"/>
              <w:widowControl/>
              <w:suppressLineNumbers w:val="0"/>
              <w:jc w:val="left"/>
              <w:textAlignment w:val="center"/>
              <w:rPr>
                <w:rFonts w:hint="eastAsia" w:ascii="仿宋" w:hAnsi="仿宋" w:eastAsia="仿宋" w:cs="仿宋"/>
                <w:i w:val="0"/>
                <w:iCs w:val="0"/>
                <w:color w:val="auto"/>
                <w:sz w:val="20"/>
                <w:szCs w:val="20"/>
                <w:highlight w:val="none"/>
                <w:u w:val="none"/>
              </w:rPr>
            </w:pPr>
            <w:r>
              <w:rPr>
                <w:rStyle w:val="12"/>
                <w:color w:val="auto"/>
                <w:highlight w:val="none"/>
                <w:lang w:val="en-US" w:eastAsia="zh-CN" w:bidi="ar"/>
              </w:rPr>
              <w:t>□评审依据不正确□引用资料不合法合规□内容不完整</w:t>
            </w:r>
            <w:r>
              <w:rPr>
                <w:rStyle w:val="12"/>
                <w:color w:val="auto"/>
                <w:highlight w:val="none"/>
                <w:lang w:val="en-US" w:eastAsia="zh-CN" w:bidi="ar"/>
              </w:rPr>
              <w:br w:type="textWrapping"/>
            </w:r>
            <w:r>
              <w:rPr>
                <w:rStyle w:val="12"/>
                <w:color w:val="auto"/>
                <w:highlight w:val="none"/>
                <w:lang w:val="en-US" w:eastAsia="zh-CN" w:bidi="ar"/>
              </w:rPr>
              <w:t>每项扣5分；共</w:t>
            </w:r>
            <w:r>
              <w:rPr>
                <w:rStyle w:val="14"/>
                <w:color w:val="auto"/>
                <w:highlight w:val="none"/>
                <w:lang w:val="en-US" w:eastAsia="zh-CN" w:bidi="ar"/>
              </w:rPr>
              <w:t xml:space="preserve">    </w:t>
            </w:r>
            <w:r>
              <w:rPr>
                <w:rStyle w:val="12"/>
                <w:color w:val="auto"/>
                <w:highlight w:val="none"/>
                <w:lang w:val="en-US" w:eastAsia="zh-CN" w:bidi="ar"/>
              </w:rPr>
              <w:t>项，共扣</w:t>
            </w:r>
            <w:r>
              <w:rPr>
                <w:rStyle w:val="14"/>
                <w:color w:val="auto"/>
                <w:highlight w:val="none"/>
                <w:lang w:val="en-US" w:eastAsia="zh-CN" w:bidi="ar"/>
              </w:rPr>
              <w:t xml:space="preserve">    </w:t>
            </w:r>
            <w:r>
              <w:rPr>
                <w:rStyle w:val="12"/>
                <w:color w:val="auto"/>
                <w:highlight w:val="none"/>
                <w:lang w:val="en-US" w:eastAsia="zh-CN" w:bidi="ar"/>
              </w:rPr>
              <w:t>分</w:t>
            </w:r>
          </w:p>
        </w:tc>
        <w:tc>
          <w:tcPr>
            <w:tcW w:w="13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DCDC40">
            <w:pPr>
              <w:jc w:val="center"/>
              <w:rPr>
                <w:rFonts w:hint="eastAsia" w:ascii="仿宋" w:hAnsi="仿宋" w:eastAsia="仿宋" w:cs="仿宋"/>
                <w:i w:val="0"/>
                <w:iCs w:val="0"/>
                <w:color w:val="auto"/>
                <w:sz w:val="20"/>
                <w:szCs w:val="20"/>
                <w:highlight w:val="none"/>
                <w:u w:val="none"/>
              </w:rPr>
            </w:pP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76B599">
            <w:pPr>
              <w:jc w:val="center"/>
              <w:rPr>
                <w:rFonts w:hint="eastAsia" w:ascii="仿宋" w:hAnsi="仿宋" w:eastAsia="仿宋" w:cs="仿宋"/>
                <w:i w:val="0"/>
                <w:iCs w:val="0"/>
                <w:color w:val="auto"/>
                <w:sz w:val="20"/>
                <w:szCs w:val="20"/>
                <w:highlight w:val="none"/>
                <w:u w:val="none"/>
              </w:rPr>
            </w:pPr>
          </w:p>
        </w:tc>
      </w:tr>
      <w:tr w14:paraId="10651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4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DDCA57">
            <w:pPr>
              <w:jc w:val="center"/>
              <w:rPr>
                <w:rFonts w:hint="eastAsia" w:ascii="仿宋" w:hAnsi="仿宋" w:eastAsia="仿宋" w:cs="仿宋"/>
                <w:i w:val="0"/>
                <w:iCs w:val="0"/>
                <w:color w:val="auto"/>
                <w:sz w:val="20"/>
                <w:szCs w:val="20"/>
                <w:highlight w:val="none"/>
                <w:u w:val="none"/>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CBF1BB">
            <w:pPr>
              <w:jc w:val="center"/>
              <w:rPr>
                <w:rFonts w:hint="eastAsia" w:ascii="仿宋" w:hAnsi="仿宋" w:eastAsia="仿宋" w:cs="仿宋"/>
                <w:i w:val="0"/>
                <w:iCs w:val="0"/>
                <w:color w:val="auto"/>
                <w:sz w:val="20"/>
                <w:szCs w:val="20"/>
                <w:highlight w:val="none"/>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12A50D">
            <w:pPr>
              <w:jc w:val="center"/>
              <w:rPr>
                <w:rFonts w:hint="eastAsia" w:ascii="仿宋" w:hAnsi="仿宋" w:eastAsia="仿宋" w:cs="仿宋"/>
                <w:i w:val="0"/>
                <w:iCs w:val="0"/>
                <w:color w:val="auto"/>
                <w:sz w:val="20"/>
                <w:szCs w:val="20"/>
                <w:highlight w:val="none"/>
                <w:u w:val="none"/>
              </w:rPr>
            </w:pPr>
          </w:p>
        </w:tc>
        <w:tc>
          <w:tcPr>
            <w:tcW w:w="5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C3E728">
            <w:pPr>
              <w:keepNext w:val="0"/>
              <w:keepLines w:val="0"/>
              <w:widowControl/>
              <w:suppressLineNumbers w:val="0"/>
              <w:jc w:val="left"/>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□不严格按照招标文件和合同条款约定进行评审扣10分；</w:t>
            </w:r>
          </w:p>
        </w:tc>
        <w:tc>
          <w:tcPr>
            <w:tcW w:w="13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1D8652">
            <w:pPr>
              <w:jc w:val="center"/>
              <w:rPr>
                <w:rFonts w:hint="eastAsia" w:ascii="仿宋" w:hAnsi="仿宋" w:eastAsia="仿宋" w:cs="仿宋"/>
                <w:i w:val="0"/>
                <w:iCs w:val="0"/>
                <w:color w:val="auto"/>
                <w:sz w:val="20"/>
                <w:szCs w:val="20"/>
                <w:highlight w:val="none"/>
                <w:u w:val="none"/>
              </w:rPr>
            </w:pPr>
          </w:p>
        </w:tc>
        <w:tc>
          <w:tcPr>
            <w:tcW w:w="12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4B20DA">
            <w:pPr>
              <w:jc w:val="center"/>
              <w:rPr>
                <w:rFonts w:hint="eastAsia" w:ascii="仿宋" w:hAnsi="仿宋" w:eastAsia="仿宋" w:cs="仿宋"/>
                <w:i w:val="0"/>
                <w:iCs w:val="0"/>
                <w:color w:val="auto"/>
                <w:sz w:val="20"/>
                <w:szCs w:val="20"/>
                <w:highlight w:val="none"/>
                <w:u w:val="none"/>
              </w:rPr>
            </w:pPr>
          </w:p>
        </w:tc>
      </w:tr>
      <w:tr w14:paraId="0FF7D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0" w:hRule="atLeast"/>
        </w:trPr>
        <w:tc>
          <w:tcPr>
            <w:tcW w:w="4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9E49F4">
            <w:pPr>
              <w:jc w:val="center"/>
              <w:rPr>
                <w:rFonts w:hint="eastAsia" w:ascii="仿宋" w:hAnsi="仿宋" w:eastAsia="仿宋" w:cs="仿宋"/>
                <w:i w:val="0"/>
                <w:iCs w:val="0"/>
                <w:color w:val="auto"/>
                <w:sz w:val="20"/>
                <w:szCs w:val="20"/>
                <w:highlight w:val="none"/>
                <w:u w:val="none"/>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1A5CBA">
            <w:pPr>
              <w:jc w:val="center"/>
              <w:rPr>
                <w:rFonts w:hint="eastAsia" w:ascii="仿宋" w:hAnsi="仿宋" w:eastAsia="仿宋" w:cs="仿宋"/>
                <w:i w:val="0"/>
                <w:iCs w:val="0"/>
                <w:color w:val="auto"/>
                <w:sz w:val="20"/>
                <w:szCs w:val="20"/>
                <w:highlight w:val="none"/>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64524E">
            <w:pPr>
              <w:jc w:val="center"/>
              <w:rPr>
                <w:rFonts w:hint="eastAsia" w:ascii="仿宋" w:hAnsi="仿宋" w:eastAsia="仿宋" w:cs="仿宋"/>
                <w:i w:val="0"/>
                <w:iCs w:val="0"/>
                <w:color w:val="auto"/>
                <w:sz w:val="20"/>
                <w:szCs w:val="20"/>
                <w:highlight w:val="none"/>
                <w:u w:val="none"/>
              </w:rPr>
            </w:pPr>
          </w:p>
        </w:tc>
        <w:tc>
          <w:tcPr>
            <w:tcW w:w="5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CC1DCA">
            <w:pPr>
              <w:keepNext w:val="0"/>
              <w:keepLines w:val="0"/>
              <w:widowControl/>
              <w:suppressLineNumbers w:val="0"/>
              <w:jc w:val="left"/>
              <w:textAlignment w:val="center"/>
              <w:rPr>
                <w:rFonts w:hint="eastAsia" w:ascii="仿宋" w:hAnsi="仿宋" w:eastAsia="仿宋" w:cs="仿宋"/>
                <w:i w:val="0"/>
                <w:iCs w:val="0"/>
                <w:color w:val="auto"/>
                <w:sz w:val="20"/>
                <w:szCs w:val="20"/>
                <w:highlight w:val="none"/>
                <w:u w:val="none"/>
              </w:rPr>
            </w:pPr>
            <w:r>
              <w:rPr>
                <w:rStyle w:val="12"/>
                <w:color w:val="auto"/>
                <w:highlight w:val="none"/>
                <w:lang w:val="en-US" w:eastAsia="zh-CN" w:bidi="ar"/>
              </w:rPr>
              <w:t>以下原因导致清单子项误差不超过5％的，每错一项扣1分：</w:t>
            </w:r>
            <w:r>
              <w:rPr>
                <w:rStyle w:val="12"/>
                <w:color w:val="auto"/>
                <w:highlight w:val="none"/>
                <w:lang w:val="en-US" w:eastAsia="zh-CN" w:bidi="ar"/>
              </w:rPr>
              <w:br w:type="textWrapping"/>
            </w:r>
            <w:r>
              <w:rPr>
                <w:rStyle w:val="12"/>
                <w:color w:val="auto"/>
                <w:highlight w:val="none"/>
                <w:lang w:val="en-US" w:eastAsia="zh-CN" w:bidi="ar"/>
              </w:rPr>
              <w:t>□工程量  □综合（单价） □费率  □重项  □主要材料设备价格</w:t>
            </w:r>
            <w:r>
              <w:rPr>
                <w:rStyle w:val="12"/>
                <w:color w:val="auto"/>
                <w:highlight w:val="none"/>
                <w:lang w:val="en-US" w:eastAsia="zh-CN" w:bidi="ar"/>
              </w:rPr>
              <w:br w:type="textWrapping"/>
            </w:r>
            <w:r>
              <w:rPr>
                <w:rStyle w:val="12"/>
                <w:color w:val="auto"/>
                <w:highlight w:val="none"/>
                <w:lang w:val="en-US" w:eastAsia="zh-CN" w:bidi="ar"/>
              </w:rPr>
              <w:t>共</w:t>
            </w:r>
            <w:r>
              <w:rPr>
                <w:rStyle w:val="14"/>
                <w:color w:val="auto"/>
                <w:highlight w:val="none"/>
                <w:lang w:val="en-US" w:eastAsia="zh-CN" w:bidi="ar"/>
              </w:rPr>
              <w:t xml:space="preserve">    </w:t>
            </w:r>
            <w:r>
              <w:rPr>
                <w:rStyle w:val="12"/>
                <w:color w:val="auto"/>
                <w:highlight w:val="none"/>
                <w:lang w:val="en-US" w:eastAsia="zh-CN" w:bidi="ar"/>
              </w:rPr>
              <w:t>项，共扣</w:t>
            </w:r>
            <w:r>
              <w:rPr>
                <w:rStyle w:val="14"/>
                <w:color w:val="auto"/>
                <w:highlight w:val="none"/>
                <w:lang w:val="en-US" w:eastAsia="zh-CN" w:bidi="ar"/>
              </w:rPr>
              <w:t xml:space="preserve">    </w:t>
            </w:r>
            <w:r>
              <w:rPr>
                <w:rStyle w:val="12"/>
                <w:color w:val="auto"/>
                <w:highlight w:val="none"/>
                <w:lang w:val="en-US" w:eastAsia="zh-CN" w:bidi="ar"/>
              </w:rPr>
              <w:t>分</w:t>
            </w:r>
          </w:p>
        </w:tc>
        <w:tc>
          <w:tcPr>
            <w:tcW w:w="13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D7AC00">
            <w:pPr>
              <w:jc w:val="center"/>
              <w:rPr>
                <w:rFonts w:hint="eastAsia" w:ascii="仿宋" w:hAnsi="仿宋" w:eastAsia="仿宋" w:cs="仿宋"/>
                <w:i w:val="0"/>
                <w:iCs w:val="0"/>
                <w:color w:val="auto"/>
                <w:sz w:val="20"/>
                <w:szCs w:val="20"/>
                <w:highlight w:val="none"/>
                <w:u w:val="none"/>
              </w:rPr>
            </w:pPr>
          </w:p>
        </w:tc>
        <w:tc>
          <w:tcPr>
            <w:tcW w:w="12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C2953F">
            <w:pPr>
              <w:jc w:val="center"/>
              <w:rPr>
                <w:rFonts w:hint="eastAsia" w:ascii="仿宋" w:hAnsi="仿宋" w:eastAsia="仿宋" w:cs="仿宋"/>
                <w:i w:val="0"/>
                <w:iCs w:val="0"/>
                <w:color w:val="auto"/>
                <w:sz w:val="20"/>
                <w:szCs w:val="20"/>
                <w:highlight w:val="none"/>
                <w:u w:val="none"/>
              </w:rPr>
            </w:pPr>
          </w:p>
        </w:tc>
      </w:tr>
      <w:tr w14:paraId="18E72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7B2FEF">
            <w:pPr>
              <w:jc w:val="center"/>
              <w:rPr>
                <w:rFonts w:hint="eastAsia" w:ascii="仿宋" w:hAnsi="仿宋" w:eastAsia="仿宋" w:cs="仿宋"/>
                <w:i w:val="0"/>
                <w:iCs w:val="0"/>
                <w:color w:val="auto"/>
                <w:sz w:val="20"/>
                <w:szCs w:val="20"/>
                <w:highlight w:val="none"/>
                <w:u w:val="none"/>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72050E">
            <w:pPr>
              <w:jc w:val="center"/>
              <w:rPr>
                <w:rFonts w:hint="eastAsia" w:ascii="仿宋" w:hAnsi="仿宋" w:eastAsia="仿宋" w:cs="仿宋"/>
                <w:i w:val="0"/>
                <w:iCs w:val="0"/>
                <w:color w:val="auto"/>
                <w:sz w:val="20"/>
                <w:szCs w:val="20"/>
                <w:highlight w:val="none"/>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BF896A">
            <w:pPr>
              <w:jc w:val="center"/>
              <w:rPr>
                <w:rFonts w:hint="eastAsia" w:ascii="仿宋" w:hAnsi="仿宋" w:eastAsia="仿宋" w:cs="仿宋"/>
                <w:i w:val="0"/>
                <w:iCs w:val="0"/>
                <w:color w:val="auto"/>
                <w:sz w:val="20"/>
                <w:szCs w:val="20"/>
                <w:highlight w:val="none"/>
                <w:u w:val="none"/>
              </w:rPr>
            </w:pPr>
          </w:p>
        </w:tc>
        <w:tc>
          <w:tcPr>
            <w:tcW w:w="5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7A0C52">
            <w:pPr>
              <w:keepNext w:val="0"/>
              <w:keepLines w:val="0"/>
              <w:widowControl/>
              <w:suppressLineNumbers w:val="0"/>
              <w:jc w:val="left"/>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□变更工程计算依据不充分每项扣2分；</w:t>
            </w:r>
          </w:p>
        </w:tc>
        <w:tc>
          <w:tcPr>
            <w:tcW w:w="13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907D4B">
            <w:pPr>
              <w:jc w:val="center"/>
              <w:rPr>
                <w:rFonts w:hint="eastAsia" w:ascii="仿宋" w:hAnsi="仿宋" w:eastAsia="仿宋" w:cs="仿宋"/>
                <w:i w:val="0"/>
                <w:iCs w:val="0"/>
                <w:color w:val="auto"/>
                <w:sz w:val="20"/>
                <w:szCs w:val="20"/>
                <w:highlight w:val="none"/>
                <w:u w:val="none"/>
              </w:rPr>
            </w:pPr>
          </w:p>
        </w:tc>
        <w:tc>
          <w:tcPr>
            <w:tcW w:w="12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AF3AFF">
            <w:pPr>
              <w:jc w:val="center"/>
              <w:rPr>
                <w:rFonts w:hint="eastAsia" w:ascii="仿宋" w:hAnsi="仿宋" w:eastAsia="仿宋" w:cs="仿宋"/>
                <w:i w:val="0"/>
                <w:iCs w:val="0"/>
                <w:color w:val="auto"/>
                <w:sz w:val="20"/>
                <w:szCs w:val="20"/>
                <w:highlight w:val="none"/>
                <w:u w:val="none"/>
              </w:rPr>
            </w:pPr>
          </w:p>
        </w:tc>
      </w:tr>
      <w:tr w14:paraId="14D39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0BCB32">
            <w:pPr>
              <w:jc w:val="center"/>
              <w:rPr>
                <w:rFonts w:hint="eastAsia" w:ascii="仿宋" w:hAnsi="仿宋" w:eastAsia="仿宋" w:cs="仿宋"/>
                <w:i w:val="0"/>
                <w:iCs w:val="0"/>
                <w:color w:val="auto"/>
                <w:sz w:val="20"/>
                <w:szCs w:val="20"/>
                <w:highlight w:val="none"/>
                <w:u w:val="none"/>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58C2F5">
            <w:pPr>
              <w:jc w:val="center"/>
              <w:rPr>
                <w:rFonts w:hint="eastAsia" w:ascii="仿宋" w:hAnsi="仿宋" w:eastAsia="仿宋" w:cs="仿宋"/>
                <w:i w:val="0"/>
                <w:iCs w:val="0"/>
                <w:color w:val="auto"/>
                <w:sz w:val="20"/>
                <w:szCs w:val="20"/>
                <w:highlight w:val="none"/>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39CD2E">
            <w:pPr>
              <w:jc w:val="center"/>
              <w:rPr>
                <w:rFonts w:hint="eastAsia" w:ascii="仿宋" w:hAnsi="仿宋" w:eastAsia="仿宋" w:cs="仿宋"/>
                <w:i w:val="0"/>
                <w:iCs w:val="0"/>
                <w:color w:val="auto"/>
                <w:sz w:val="20"/>
                <w:szCs w:val="20"/>
                <w:highlight w:val="none"/>
                <w:u w:val="none"/>
              </w:rPr>
            </w:pPr>
          </w:p>
        </w:tc>
        <w:tc>
          <w:tcPr>
            <w:tcW w:w="5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C43213">
            <w:pPr>
              <w:keepNext w:val="0"/>
              <w:keepLines w:val="0"/>
              <w:widowControl/>
              <w:suppressLineNumbers w:val="0"/>
              <w:jc w:val="left"/>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□重大问题无详细记录每项扣3分；</w:t>
            </w:r>
          </w:p>
        </w:tc>
        <w:tc>
          <w:tcPr>
            <w:tcW w:w="13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B36469">
            <w:pPr>
              <w:jc w:val="center"/>
              <w:rPr>
                <w:rFonts w:hint="eastAsia" w:ascii="仿宋" w:hAnsi="仿宋" w:eastAsia="仿宋" w:cs="仿宋"/>
                <w:i w:val="0"/>
                <w:iCs w:val="0"/>
                <w:color w:val="auto"/>
                <w:sz w:val="20"/>
                <w:szCs w:val="20"/>
                <w:highlight w:val="none"/>
                <w:u w:val="none"/>
              </w:rPr>
            </w:pPr>
          </w:p>
        </w:tc>
        <w:tc>
          <w:tcPr>
            <w:tcW w:w="12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FD62F9">
            <w:pPr>
              <w:jc w:val="center"/>
              <w:rPr>
                <w:rFonts w:hint="eastAsia" w:ascii="仿宋" w:hAnsi="仿宋" w:eastAsia="仿宋" w:cs="仿宋"/>
                <w:i w:val="0"/>
                <w:iCs w:val="0"/>
                <w:color w:val="auto"/>
                <w:sz w:val="20"/>
                <w:szCs w:val="20"/>
                <w:highlight w:val="none"/>
                <w:u w:val="none"/>
              </w:rPr>
            </w:pPr>
          </w:p>
        </w:tc>
      </w:tr>
      <w:tr w14:paraId="4C957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051F8A">
            <w:pPr>
              <w:jc w:val="center"/>
              <w:rPr>
                <w:rFonts w:hint="eastAsia" w:ascii="仿宋" w:hAnsi="仿宋" w:eastAsia="仿宋" w:cs="仿宋"/>
                <w:i w:val="0"/>
                <w:iCs w:val="0"/>
                <w:color w:val="auto"/>
                <w:sz w:val="20"/>
                <w:szCs w:val="20"/>
                <w:highlight w:val="none"/>
                <w:u w:val="none"/>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149376">
            <w:pPr>
              <w:jc w:val="center"/>
              <w:rPr>
                <w:rFonts w:hint="eastAsia" w:ascii="仿宋" w:hAnsi="仿宋" w:eastAsia="仿宋" w:cs="仿宋"/>
                <w:i w:val="0"/>
                <w:iCs w:val="0"/>
                <w:color w:val="auto"/>
                <w:sz w:val="20"/>
                <w:szCs w:val="20"/>
                <w:highlight w:val="none"/>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6C5F10">
            <w:pPr>
              <w:jc w:val="center"/>
              <w:rPr>
                <w:rFonts w:hint="eastAsia" w:ascii="仿宋" w:hAnsi="仿宋" w:eastAsia="仿宋" w:cs="仿宋"/>
                <w:i w:val="0"/>
                <w:iCs w:val="0"/>
                <w:color w:val="auto"/>
                <w:sz w:val="20"/>
                <w:szCs w:val="20"/>
                <w:highlight w:val="none"/>
                <w:u w:val="none"/>
              </w:rPr>
            </w:pPr>
          </w:p>
        </w:tc>
        <w:tc>
          <w:tcPr>
            <w:tcW w:w="5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A30B42">
            <w:pPr>
              <w:keepNext w:val="0"/>
              <w:keepLines w:val="0"/>
              <w:widowControl/>
              <w:suppressLineNumbers w:val="0"/>
              <w:jc w:val="left"/>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□特殊材料设备价格（无信息部分）依据不完整扣2分、无依据扣5分；</w:t>
            </w:r>
          </w:p>
        </w:tc>
        <w:tc>
          <w:tcPr>
            <w:tcW w:w="13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D2CD28">
            <w:pPr>
              <w:jc w:val="center"/>
              <w:rPr>
                <w:rFonts w:hint="eastAsia" w:ascii="仿宋" w:hAnsi="仿宋" w:eastAsia="仿宋" w:cs="仿宋"/>
                <w:i w:val="0"/>
                <w:iCs w:val="0"/>
                <w:color w:val="auto"/>
                <w:sz w:val="20"/>
                <w:szCs w:val="20"/>
                <w:highlight w:val="none"/>
                <w:u w:val="none"/>
              </w:rPr>
            </w:pPr>
          </w:p>
        </w:tc>
        <w:tc>
          <w:tcPr>
            <w:tcW w:w="12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FF6FB7">
            <w:pPr>
              <w:jc w:val="center"/>
              <w:rPr>
                <w:rFonts w:hint="eastAsia" w:ascii="仿宋" w:hAnsi="仿宋" w:eastAsia="仿宋" w:cs="仿宋"/>
                <w:i w:val="0"/>
                <w:iCs w:val="0"/>
                <w:color w:val="auto"/>
                <w:sz w:val="20"/>
                <w:szCs w:val="20"/>
                <w:highlight w:val="none"/>
                <w:u w:val="none"/>
              </w:rPr>
            </w:pPr>
          </w:p>
        </w:tc>
      </w:tr>
      <w:tr w14:paraId="578912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A25EC4">
            <w:pPr>
              <w:jc w:val="center"/>
              <w:rPr>
                <w:rFonts w:hint="eastAsia" w:ascii="仿宋" w:hAnsi="仿宋" w:eastAsia="仿宋" w:cs="仿宋"/>
                <w:i w:val="0"/>
                <w:iCs w:val="0"/>
                <w:color w:val="auto"/>
                <w:sz w:val="20"/>
                <w:szCs w:val="20"/>
                <w:highlight w:val="none"/>
                <w:u w:val="none"/>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14A234">
            <w:pPr>
              <w:jc w:val="center"/>
              <w:rPr>
                <w:rFonts w:hint="eastAsia" w:ascii="仿宋" w:hAnsi="仿宋" w:eastAsia="仿宋" w:cs="仿宋"/>
                <w:i w:val="0"/>
                <w:iCs w:val="0"/>
                <w:color w:val="auto"/>
                <w:sz w:val="20"/>
                <w:szCs w:val="20"/>
                <w:highlight w:val="none"/>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290590">
            <w:pPr>
              <w:jc w:val="center"/>
              <w:rPr>
                <w:rFonts w:hint="eastAsia" w:ascii="仿宋" w:hAnsi="仿宋" w:eastAsia="仿宋" w:cs="仿宋"/>
                <w:i w:val="0"/>
                <w:iCs w:val="0"/>
                <w:color w:val="auto"/>
                <w:sz w:val="20"/>
                <w:szCs w:val="20"/>
                <w:highlight w:val="none"/>
                <w:u w:val="none"/>
              </w:rPr>
            </w:pPr>
          </w:p>
        </w:tc>
        <w:tc>
          <w:tcPr>
            <w:tcW w:w="5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7D119A">
            <w:pPr>
              <w:keepNext w:val="0"/>
              <w:keepLines w:val="0"/>
              <w:widowControl/>
              <w:suppressLineNumbers w:val="0"/>
              <w:jc w:val="left"/>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□无工程量计算底稿或工程量计算底稿与送审稿严重雷同的，扣20分；</w:t>
            </w:r>
          </w:p>
        </w:tc>
        <w:tc>
          <w:tcPr>
            <w:tcW w:w="13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A9B0D3">
            <w:pPr>
              <w:jc w:val="center"/>
              <w:rPr>
                <w:rFonts w:hint="eastAsia" w:ascii="仿宋" w:hAnsi="仿宋" w:eastAsia="仿宋" w:cs="仿宋"/>
                <w:i w:val="0"/>
                <w:iCs w:val="0"/>
                <w:color w:val="auto"/>
                <w:sz w:val="20"/>
                <w:szCs w:val="20"/>
                <w:highlight w:val="none"/>
                <w:u w:val="none"/>
              </w:rPr>
            </w:pPr>
          </w:p>
        </w:tc>
        <w:tc>
          <w:tcPr>
            <w:tcW w:w="12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545659">
            <w:pPr>
              <w:jc w:val="center"/>
              <w:rPr>
                <w:rFonts w:hint="eastAsia" w:ascii="仿宋" w:hAnsi="仿宋" w:eastAsia="仿宋" w:cs="仿宋"/>
                <w:i w:val="0"/>
                <w:iCs w:val="0"/>
                <w:color w:val="auto"/>
                <w:sz w:val="20"/>
                <w:szCs w:val="20"/>
                <w:highlight w:val="none"/>
                <w:u w:val="none"/>
              </w:rPr>
            </w:pPr>
          </w:p>
        </w:tc>
      </w:tr>
      <w:tr w14:paraId="206C15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4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24DB27">
            <w:pPr>
              <w:jc w:val="center"/>
              <w:rPr>
                <w:rFonts w:hint="eastAsia" w:ascii="仿宋" w:hAnsi="仿宋" w:eastAsia="仿宋" w:cs="仿宋"/>
                <w:i w:val="0"/>
                <w:iCs w:val="0"/>
                <w:color w:val="auto"/>
                <w:sz w:val="20"/>
                <w:szCs w:val="20"/>
                <w:highlight w:val="none"/>
                <w:u w:val="none"/>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18661C">
            <w:pPr>
              <w:jc w:val="center"/>
              <w:rPr>
                <w:rFonts w:hint="eastAsia" w:ascii="仿宋" w:hAnsi="仿宋" w:eastAsia="仿宋" w:cs="仿宋"/>
                <w:i w:val="0"/>
                <w:iCs w:val="0"/>
                <w:color w:val="auto"/>
                <w:sz w:val="20"/>
                <w:szCs w:val="20"/>
                <w:highlight w:val="none"/>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5BFEF9">
            <w:pPr>
              <w:jc w:val="center"/>
              <w:rPr>
                <w:rFonts w:hint="eastAsia" w:ascii="仿宋" w:hAnsi="仿宋" w:eastAsia="仿宋" w:cs="仿宋"/>
                <w:i w:val="0"/>
                <w:iCs w:val="0"/>
                <w:color w:val="auto"/>
                <w:sz w:val="20"/>
                <w:szCs w:val="20"/>
                <w:highlight w:val="none"/>
                <w:u w:val="none"/>
              </w:rPr>
            </w:pPr>
          </w:p>
        </w:tc>
        <w:tc>
          <w:tcPr>
            <w:tcW w:w="5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D8210E">
            <w:pPr>
              <w:keepNext w:val="0"/>
              <w:keepLines w:val="0"/>
              <w:widowControl/>
              <w:suppressLineNumbers w:val="0"/>
              <w:jc w:val="left"/>
              <w:textAlignment w:val="center"/>
              <w:rPr>
                <w:rFonts w:hint="eastAsia" w:ascii="仿宋" w:hAnsi="仿宋" w:eastAsia="仿宋" w:cs="仿宋"/>
                <w:i w:val="0"/>
                <w:iCs w:val="0"/>
                <w:color w:val="auto"/>
                <w:sz w:val="20"/>
                <w:szCs w:val="20"/>
                <w:highlight w:val="none"/>
                <w:u w:val="none"/>
              </w:rPr>
            </w:pPr>
            <w:r>
              <w:rPr>
                <w:rStyle w:val="12"/>
                <w:color w:val="auto"/>
                <w:highlight w:val="none"/>
                <w:lang w:val="en-US" w:eastAsia="zh-CN" w:bidi="ar"/>
              </w:rPr>
              <w:t>□工作底稿（□对比表□平均信息价□对数记录□其他</w:t>
            </w:r>
            <w:r>
              <w:rPr>
                <w:rStyle w:val="12"/>
                <w:color w:val="auto"/>
                <w:highlight w:val="none"/>
                <w:lang w:val="en-US" w:eastAsia="zh-CN" w:bidi="ar"/>
              </w:rPr>
              <w:br w:type="textWrapping"/>
            </w:r>
            <w:r>
              <w:rPr>
                <w:rStyle w:val="14"/>
                <w:color w:val="auto"/>
                <w:highlight w:val="none"/>
                <w:lang w:val="en-US" w:eastAsia="zh-CN" w:bidi="ar"/>
              </w:rPr>
              <w:t xml:space="preserve">            </w:t>
            </w:r>
            <w:r>
              <w:rPr>
                <w:rStyle w:val="12"/>
                <w:color w:val="auto"/>
                <w:highlight w:val="none"/>
                <w:lang w:val="en-US" w:eastAsia="zh-CN" w:bidi="ar"/>
              </w:rPr>
              <w:t>）□审核结论资料不完整，扣3分</w:t>
            </w:r>
          </w:p>
        </w:tc>
        <w:tc>
          <w:tcPr>
            <w:tcW w:w="13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45ABC8">
            <w:pPr>
              <w:jc w:val="center"/>
              <w:rPr>
                <w:rFonts w:hint="eastAsia" w:ascii="仿宋" w:hAnsi="仿宋" w:eastAsia="仿宋" w:cs="仿宋"/>
                <w:i w:val="0"/>
                <w:iCs w:val="0"/>
                <w:color w:val="auto"/>
                <w:sz w:val="20"/>
                <w:szCs w:val="20"/>
                <w:highlight w:val="none"/>
                <w:u w:val="none"/>
              </w:rPr>
            </w:pPr>
          </w:p>
        </w:tc>
        <w:tc>
          <w:tcPr>
            <w:tcW w:w="12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C59211">
            <w:pPr>
              <w:jc w:val="center"/>
              <w:rPr>
                <w:rFonts w:hint="eastAsia" w:ascii="仿宋" w:hAnsi="仿宋" w:eastAsia="仿宋" w:cs="仿宋"/>
                <w:i w:val="0"/>
                <w:iCs w:val="0"/>
                <w:color w:val="auto"/>
                <w:sz w:val="20"/>
                <w:szCs w:val="20"/>
                <w:highlight w:val="none"/>
                <w:u w:val="none"/>
              </w:rPr>
            </w:pPr>
          </w:p>
        </w:tc>
      </w:tr>
      <w:tr w14:paraId="0BED47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4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ED97BE">
            <w:pPr>
              <w:jc w:val="center"/>
              <w:rPr>
                <w:rFonts w:hint="eastAsia" w:ascii="仿宋" w:hAnsi="仿宋" w:eastAsia="仿宋" w:cs="仿宋"/>
                <w:i w:val="0"/>
                <w:iCs w:val="0"/>
                <w:color w:val="auto"/>
                <w:sz w:val="20"/>
                <w:szCs w:val="20"/>
                <w:highlight w:val="none"/>
                <w:u w:val="none"/>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231656">
            <w:pPr>
              <w:jc w:val="center"/>
              <w:rPr>
                <w:rFonts w:hint="eastAsia" w:ascii="仿宋" w:hAnsi="仿宋" w:eastAsia="仿宋" w:cs="仿宋"/>
                <w:i w:val="0"/>
                <w:iCs w:val="0"/>
                <w:color w:val="auto"/>
                <w:sz w:val="20"/>
                <w:szCs w:val="20"/>
                <w:highlight w:val="none"/>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EF6CD0">
            <w:pPr>
              <w:jc w:val="center"/>
              <w:rPr>
                <w:rFonts w:hint="eastAsia" w:ascii="仿宋" w:hAnsi="仿宋" w:eastAsia="仿宋" w:cs="仿宋"/>
                <w:i w:val="0"/>
                <w:iCs w:val="0"/>
                <w:color w:val="auto"/>
                <w:sz w:val="20"/>
                <w:szCs w:val="20"/>
                <w:highlight w:val="none"/>
                <w:u w:val="none"/>
              </w:rPr>
            </w:pPr>
          </w:p>
        </w:tc>
        <w:tc>
          <w:tcPr>
            <w:tcW w:w="5325" w:type="dxa"/>
            <w:gridSpan w:val="2"/>
            <w:tcBorders>
              <w:top w:val="single" w:color="000000" w:sz="4" w:space="0"/>
              <w:left w:val="single" w:color="000000" w:sz="4" w:space="0"/>
              <w:bottom w:val="nil"/>
              <w:right w:val="single" w:color="000000" w:sz="4" w:space="0"/>
            </w:tcBorders>
            <w:shd w:val="clear" w:color="auto" w:fill="auto"/>
            <w:vAlign w:val="center"/>
          </w:tcPr>
          <w:p w14:paraId="4FD8838A">
            <w:pPr>
              <w:keepNext w:val="0"/>
              <w:keepLines w:val="0"/>
              <w:widowControl/>
              <w:suppressLineNumbers w:val="0"/>
              <w:jc w:val="left"/>
              <w:textAlignment w:val="center"/>
              <w:rPr>
                <w:rFonts w:hint="eastAsia" w:ascii="仿宋" w:hAnsi="仿宋" w:eastAsia="仿宋" w:cs="仿宋"/>
                <w:i w:val="0"/>
                <w:iCs w:val="0"/>
                <w:color w:val="auto"/>
                <w:sz w:val="20"/>
                <w:szCs w:val="20"/>
                <w:highlight w:val="none"/>
                <w:u w:val="none"/>
              </w:rPr>
            </w:pPr>
            <w:r>
              <w:rPr>
                <w:rStyle w:val="12"/>
                <w:color w:val="auto"/>
                <w:highlight w:val="none"/>
                <w:lang w:val="en-US" w:eastAsia="zh-CN" w:bidi="ar"/>
              </w:rPr>
              <w:t>□造价核减、核增原因分析不合理一项扣2分，共</w:t>
            </w:r>
            <w:r>
              <w:rPr>
                <w:rStyle w:val="14"/>
                <w:color w:val="auto"/>
                <w:highlight w:val="none"/>
                <w:lang w:val="en-US" w:eastAsia="zh-CN" w:bidi="ar"/>
              </w:rPr>
              <w:t xml:space="preserve">    </w:t>
            </w:r>
            <w:r>
              <w:rPr>
                <w:rStyle w:val="12"/>
                <w:color w:val="auto"/>
                <w:highlight w:val="none"/>
                <w:lang w:val="en-US" w:eastAsia="zh-CN" w:bidi="ar"/>
              </w:rPr>
              <w:t>项，共扣</w:t>
            </w:r>
            <w:r>
              <w:rPr>
                <w:rStyle w:val="14"/>
                <w:color w:val="auto"/>
                <w:highlight w:val="none"/>
                <w:lang w:val="en-US" w:eastAsia="zh-CN" w:bidi="ar"/>
              </w:rPr>
              <w:t xml:space="preserve">    </w:t>
            </w:r>
            <w:r>
              <w:rPr>
                <w:rStyle w:val="12"/>
                <w:color w:val="auto"/>
                <w:highlight w:val="none"/>
                <w:lang w:val="en-US" w:eastAsia="zh-CN" w:bidi="ar"/>
              </w:rPr>
              <w:t>分</w:t>
            </w:r>
            <w:r>
              <w:rPr>
                <w:rStyle w:val="12"/>
                <w:color w:val="auto"/>
                <w:highlight w:val="none"/>
                <w:lang w:val="en-US" w:eastAsia="zh-CN" w:bidi="ar"/>
              </w:rPr>
              <w:br w:type="textWrapping"/>
            </w:r>
            <w:r>
              <w:rPr>
                <w:rStyle w:val="12"/>
                <w:color w:val="auto"/>
                <w:highlight w:val="none"/>
                <w:lang w:val="en-US" w:eastAsia="zh-CN" w:bidi="ar"/>
              </w:rPr>
              <w:t>项目存在以下问题，每个问题扣2分：</w:t>
            </w:r>
            <w:r>
              <w:rPr>
                <w:rStyle w:val="12"/>
                <w:color w:val="auto"/>
                <w:highlight w:val="none"/>
                <w:lang w:val="en-US" w:eastAsia="zh-CN" w:bidi="ar"/>
              </w:rPr>
              <w:br w:type="textWrapping"/>
            </w:r>
            <w:r>
              <w:rPr>
                <w:rStyle w:val="12"/>
                <w:color w:val="auto"/>
                <w:highlight w:val="none"/>
                <w:lang w:val="en-US" w:eastAsia="zh-CN" w:bidi="ar"/>
              </w:rPr>
              <w:t>□问题分析不透彻□不完整□处理不正确的</w:t>
            </w:r>
            <w:r>
              <w:rPr>
                <w:rStyle w:val="12"/>
                <w:color w:val="auto"/>
                <w:highlight w:val="none"/>
                <w:lang w:val="en-US" w:eastAsia="zh-CN" w:bidi="ar"/>
              </w:rPr>
              <w:br w:type="textWrapping"/>
            </w:r>
            <w:r>
              <w:rPr>
                <w:rStyle w:val="12"/>
                <w:color w:val="auto"/>
                <w:highlight w:val="none"/>
                <w:lang w:val="en-US" w:eastAsia="zh-CN" w:bidi="ar"/>
              </w:rPr>
              <w:t>□其他</w:t>
            </w:r>
            <w:r>
              <w:rPr>
                <w:rStyle w:val="14"/>
                <w:color w:val="auto"/>
                <w:highlight w:val="none"/>
                <w:lang w:val="en-US" w:eastAsia="zh-CN" w:bidi="ar"/>
              </w:rPr>
              <w:t xml:space="preserve">         </w:t>
            </w:r>
            <w:r>
              <w:rPr>
                <w:rStyle w:val="12"/>
                <w:color w:val="auto"/>
                <w:highlight w:val="none"/>
                <w:lang w:val="en-US" w:eastAsia="zh-CN" w:bidi="ar"/>
              </w:rPr>
              <w:t>，共</w:t>
            </w:r>
            <w:r>
              <w:rPr>
                <w:rStyle w:val="14"/>
                <w:color w:val="auto"/>
                <w:highlight w:val="none"/>
                <w:lang w:val="en-US" w:eastAsia="zh-CN" w:bidi="ar"/>
              </w:rPr>
              <w:t xml:space="preserve">    </w:t>
            </w:r>
            <w:r>
              <w:rPr>
                <w:rStyle w:val="12"/>
                <w:color w:val="auto"/>
                <w:highlight w:val="none"/>
                <w:lang w:val="en-US" w:eastAsia="zh-CN" w:bidi="ar"/>
              </w:rPr>
              <w:t>项，共扣</w:t>
            </w:r>
            <w:r>
              <w:rPr>
                <w:rStyle w:val="14"/>
                <w:color w:val="auto"/>
                <w:highlight w:val="none"/>
                <w:lang w:val="en-US" w:eastAsia="zh-CN" w:bidi="ar"/>
              </w:rPr>
              <w:t xml:space="preserve">    </w:t>
            </w:r>
            <w:r>
              <w:rPr>
                <w:rStyle w:val="12"/>
                <w:color w:val="auto"/>
                <w:highlight w:val="none"/>
                <w:lang w:val="en-US" w:eastAsia="zh-CN" w:bidi="ar"/>
              </w:rPr>
              <w:t>分</w:t>
            </w:r>
          </w:p>
        </w:tc>
        <w:tc>
          <w:tcPr>
            <w:tcW w:w="13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B7B9C1">
            <w:pPr>
              <w:jc w:val="center"/>
              <w:rPr>
                <w:rFonts w:hint="eastAsia" w:ascii="仿宋" w:hAnsi="仿宋" w:eastAsia="仿宋" w:cs="仿宋"/>
                <w:i w:val="0"/>
                <w:iCs w:val="0"/>
                <w:color w:val="auto"/>
                <w:sz w:val="20"/>
                <w:szCs w:val="20"/>
                <w:highlight w:val="none"/>
                <w:u w:val="none"/>
              </w:rPr>
            </w:pPr>
          </w:p>
        </w:tc>
        <w:tc>
          <w:tcPr>
            <w:tcW w:w="12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60E457">
            <w:pPr>
              <w:jc w:val="center"/>
              <w:rPr>
                <w:rFonts w:hint="eastAsia" w:ascii="仿宋" w:hAnsi="仿宋" w:eastAsia="仿宋" w:cs="仿宋"/>
                <w:i w:val="0"/>
                <w:iCs w:val="0"/>
                <w:color w:val="auto"/>
                <w:sz w:val="20"/>
                <w:szCs w:val="20"/>
                <w:highlight w:val="none"/>
                <w:u w:val="none"/>
              </w:rPr>
            </w:pPr>
          </w:p>
        </w:tc>
      </w:tr>
      <w:tr w14:paraId="1EB9D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4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E3CE06">
            <w:pPr>
              <w:jc w:val="center"/>
              <w:rPr>
                <w:rFonts w:hint="eastAsia" w:ascii="仿宋" w:hAnsi="仿宋" w:eastAsia="仿宋" w:cs="仿宋"/>
                <w:i w:val="0"/>
                <w:iCs w:val="0"/>
                <w:color w:val="auto"/>
                <w:sz w:val="20"/>
                <w:szCs w:val="20"/>
                <w:highlight w:val="none"/>
                <w:u w:val="none"/>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55884F">
            <w:pPr>
              <w:jc w:val="center"/>
              <w:rPr>
                <w:rFonts w:hint="eastAsia" w:ascii="仿宋" w:hAnsi="仿宋" w:eastAsia="仿宋" w:cs="仿宋"/>
                <w:i w:val="0"/>
                <w:iCs w:val="0"/>
                <w:color w:val="auto"/>
                <w:sz w:val="20"/>
                <w:szCs w:val="20"/>
                <w:highlight w:val="none"/>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5E5ED1">
            <w:pPr>
              <w:jc w:val="center"/>
              <w:rPr>
                <w:rFonts w:hint="eastAsia" w:ascii="仿宋" w:hAnsi="仿宋" w:eastAsia="仿宋" w:cs="仿宋"/>
                <w:i w:val="0"/>
                <w:iCs w:val="0"/>
                <w:color w:val="auto"/>
                <w:sz w:val="20"/>
                <w:szCs w:val="20"/>
                <w:highlight w:val="none"/>
                <w:u w:val="none"/>
              </w:rPr>
            </w:pPr>
          </w:p>
        </w:tc>
        <w:tc>
          <w:tcPr>
            <w:tcW w:w="5325" w:type="dxa"/>
            <w:gridSpan w:val="2"/>
            <w:tcBorders>
              <w:top w:val="nil"/>
              <w:left w:val="single" w:color="000000" w:sz="4" w:space="0"/>
              <w:bottom w:val="single" w:color="000000" w:sz="4" w:space="0"/>
              <w:right w:val="single" w:color="000000" w:sz="4" w:space="0"/>
            </w:tcBorders>
            <w:shd w:val="clear" w:color="auto" w:fill="auto"/>
            <w:vAlign w:val="center"/>
          </w:tcPr>
          <w:p w14:paraId="729C8148">
            <w:pPr>
              <w:keepNext w:val="0"/>
              <w:keepLines w:val="0"/>
              <w:widowControl/>
              <w:suppressLineNumbers w:val="0"/>
              <w:jc w:val="left"/>
              <w:textAlignment w:val="center"/>
              <w:rPr>
                <w:rFonts w:hint="eastAsia" w:ascii="仿宋" w:hAnsi="仿宋" w:eastAsia="仿宋" w:cs="仿宋"/>
                <w:i w:val="0"/>
                <w:iCs w:val="0"/>
                <w:color w:val="auto"/>
                <w:sz w:val="20"/>
                <w:szCs w:val="20"/>
                <w:highlight w:val="none"/>
                <w:u w:val="none"/>
              </w:rPr>
            </w:pPr>
            <w:r>
              <w:rPr>
                <w:rStyle w:val="12"/>
                <w:color w:val="auto"/>
                <w:highlight w:val="none"/>
                <w:lang w:val="en-US" w:eastAsia="zh-CN" w:bidi="ar"/>
              </w:rPr>
              <w:t>□不按要求收集、整理及审核文件存档（含必要的电子文件）。每发现一处不完整或有错误扣1分</w:t>
            </w:r>
            <w:r>
              <w:rPr>
                <w:rStyle w:val="12"/>
                <w:color w:val="auto"/>
                <w:highlight w:val="none"/>
                <w:lang w:val="en-US" w:eastAsia="zh-CN" w:bidi="ar"/>
              </w:rPr>
              <w:br w:type="textWrapping"/>
            </w:r>
            <w:r>
              <w:rPr>
                <w:rStyle w:val="12"/>
                <w:color w:val="auto"/>
                <w:highlight w:val="none"/>
                <w:lang w:val="en-US" w:eastAsia="zh-CN" w:bidi="ar"/>
              </w:rPr>
              <w:t>共</w:t>
            </w:r>
            <w:r>
              <w:rPr>
                <w:rStyle w:val="14"/>
                <w:color w:val="auto"/>
                <w:highlight w:val="none"/>
                <w:lang w:val="en-US" w:eastAsia="zh-CN" w:bidi="ar"/>
              </w:rPr>
              <w:t xml:space="preserve">    </w:t>
            </w:r>
            <w:r>
              <w:rPr>
                <w:rStyle w:val="12"/>
                <w:color w:val="auto"/>
                <w:highlight w:val="none"/>
                <w:lang w:val="en-US" w:eastAsia="zh-CN" w:bidi="ar"/>
              </w:rPr>
              <w:t>项，共扣</w:t>
            </w:r>
            <w:r>
              <w:rPr>
                <w:rStyle w:val="14"/>
                <w:color w:val="auto"/>
                <w:highlight w:val="none"/>
                <w:lang w:val="en-US" w:eastAsia="zh-CN" w:bidi="ar"/>
              </w:rPr>
              <w:t xml:space="preserve">    </w:t>
            </w:r>
            <w:r>
              <w:rPr>
                <w:rStyle w:val="12"/>
                <w:color w:val="auto"/>
                <w:highlight w:val="none"/>
                <w:lang w:val="en-US" w:eastAsia="zh-CN" w:bidi="ar"/>
              </w:rPr>
              <w:t>分</w:t>
            </w:r>
            <w:r>
              <w:rPr>
                <w:rStyle w:val="12"/>
                <w:color w:val="auto"/>
                <w:highlight w:val="none"/>
                <w:lang w:val="en-US" w:eastAsia="zh-CN" w:bidi="ar"/>
              </w:rPr>
              <w:br w:type="textWrapping"/>
            </w:r>
            <w:r>
              <w:rPr>
                <w:rStyle w:val="12"/>
                <w:color w:val="auto"/>
                <w:highlight w:val="none"/>
                <w:lang w:val="en-US" w:eastAsia="zh-CN" w:bidi="ar"/>
              </w:rPr>
              <w:t>□不整洁或未按要求整理成册扣3分</w:t>
            </w:r>
            <w:r>
              <w:rPr>
                <w:rStyle w:val="12"/>
                <w:color w:val="auto"/>
                <w:highlight w:val="none"/>
                <w:lang w:val="en-US" w:eastAsia="zh-CN" w:bidi="ar"/>
              </w:rPr>
              <w:br w:type="textWrapping"/>
            </w:r>
            <w:r>
              <w:rPr>
                <w:rStyle w:val="12"/>
                <w:color w:val="auto"/>
                <w:highlight w:val="none"/>
                <w:lang w:val="en-US" w:eastAsia="zh-CN" w:bidi="ar"/>
              </w:rPr>
              <w:t>□成果文件未按要求盖章，扣3分；</w:t>
            </w:r>
          </w:p>
        </w:tc>
        <w:tc>
          <w:tcPr>
            <w:tcW w:w="13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F15FFE">
            <w:pPr>
              <w:jc w:val="center"/>
              <w:rPr>
                <w:rFonts w:hint="eastAsia" w:ascii="仿宋" w:hAnsi="仿宋" w:eastAsia="仿宋" w:cs="仿宋"/>
                <w:i w:val="0"/>
                <w:iCs w:val="0"/>
                <w:color w:val="auto"/>
                <w:sz w:val="20"/>
                <w:szCs w:val="20"/>
                <w:highlight w:val="none"/>
                <w:u w:val="none"/>
              </w:rPr>
            </w:pPr>
          </w:p>
        </w:tc>
        <w:tc>
          <w:tcPr>
            <w:tcW w:w="12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12CE80">
            <w:pPr>
              <w:jc w:val="center"/>
              <w:rPr>
                <w:rFonts w:hint="eastAsia" w:ascii="仿宋" w:hAnsi="仿宋" w:eastAsia="仿宋" w:cs="仿宋"/>
                <w:i w:val="0"/>
                <w:iCs w:val="0"/>
                <w:color w:val="auto"/>
                <w:sz w:val="20"/>
                <w:szCs w:val="20"/>
                <w:highlight w:val="none"/>
                <w:u w:val="none"/>
              </w:rPr>
            </w:pPr>
          </w:p>
        </w:tc>
      </w:tr>
      <w:tr w14:paraId="46FE0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0" w:hRule="atLeast"/>
        </w:trPr>
        <w:tc>
          <w:tcPr>
            <w:tcW w:w="4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667CAF">
            <w:pPr>
              <w:jc w:val="center"/>
              <w:rPr>
                <w:rFonts w:hint="eastAsia" w:ascii="仿宋" w:hAnsi="仿宋" w:eastAsia="仿宋" w:cs="仿宋"/>
                <w:i w:val="0"/>
                <w:iCs w:val="0"/>
                <w:color w:val="auto"/>
                <w:sz w:val="20"/>
                <w:szCs w:val="20"/>
                <w:highlight w:val="none"/>
                <w:u w:val="none"/>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F9196E">
            <w:pPr>
              <w:jc w:val="center"/>
              <w:rPr>
                <w:rFonts w:hint="eastAsia" w:ascii="仿宋" w:hAnsi="仿宋" w:eastAsia="仿宋" w:cs="仿宋"/>
                <w:i w:val="0"/>
                <w:iCs w:val="0"/>
                <w:color w:val="auto"/>
                <w:sz w:val="20"/>
                <w:szCs w:val="20"/>
                <w:highlight w:val="none"/>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253019">
            <w:pPr>
              <w:jc w:val="center"/>
              <w:rPr>
                <w:rFonts w:hint="eastAsia" w:ascii="仿宋" w:hAnsi="仿宋" w:eastAsia="仿宋" w:cs="仿宋"/>
                <w:i w:val="0"/>
                <w:iCs w:val="0"/>
                <w:color w:val="auto"/>
                <w:sz w:val="20"/>
                <w:szCs w:val="20"/>
                <w:highlight w:val="none"/>
                <w:u w:val="none"/>
              </w:rPr>
            </w:pPr>
          </w:p>
        </w:tc>
        <w:tc>
          <w:tcPr>
            <w:tcW w:w="5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D7B714">
            <w:pPr>
              <w:keepNext w:val="0"/>
              <w:keepLines w:val="0"/>
              <w:widowControl/>
              <w:suppressLineNumbers w:val="0"/>
              <w:jc w:val="left"/>
              <w:textAlignment w:val="center"/>
              <w:rPr>
                <w:rFonts w:hint="eastAsia" w:ascii="仿宋" w:hAnsi="仿宋" w:eastAsia="仿宋" w:cs="仿宋"/>
                <w:i w:val="0"/>
                <w:iCs w:val="0"/>
                <w:color w:val="auto"/>
                <w:sz w:val="20"/>
                <w:szCs w:val="20"/>
                <w:highlight w:val="none"/>
                <w:u w:val="none"/>
              </w:rPr>
            </w:pPr>
            <w:r>
              <w:rPr>
                <w:rStyle w:val="12"/>
                <w:color w:val="auto"/>
                <w:highlight w:val="none"/>
                <w:lang w:val="en-US" w:eastAsia="zh-CN" w:bidi="ar"/>
              </w:rPr>
              <w:t>每发现一处格式或内容不符合要求扣2分</w:t>
            </w:r>
            <w:r>
              <w:rPr>
                <w:rStyle w:val="12"/>
                <w:color w:val="auto"/>
                <w:highlight w:val="none"/>
                <w:lang w:val="en-US" w:eastAsia="zh-CN" w:bidi="ar"/>
              </w:rPr>
              <w:br w:type="textWrapping"/>
            </w:r>
            <w:r>
              <w:rPr>
                <w:rStyle w:val="12"/>
                <w:color w:val="auto"/>
                <w:highlight w:val="none"/>
                <w:lang w:val="en-US" w:eastAsia="zh-CN" w:bidi="ar"/>
              </w:rPr>
              <w:t>□不按审核中心规定的格式和内容编写定案书；</w:t>
            </w:r>
            <w:r>
              <w:rPr>
                <w:rStyle w:val="12"/>
                <w:color w:val="auto"/>
                <w:highlight w:val="none"/>
                <w:lang w:val="en-US" w:eastAsia="zh-CN" w:bidi="ar"/>
              </w:rPr>
              <w:br w:type="textWrapping"/>
            </w:r>
            <w:r>
              <w:rPr>
                <w:rStyle w:val="12"/>
                <w:color w:val="auto"/>
                <w:highlight w:val="none"/>
                <w:lang w:val="en-US" w:eastAsia="zh-CN" w:bidi="ar"/>
              </w:rPr>
              <w:t>□不按要求编写审核报告格式和内容；</w:t>
            </w:r>
            <w:r>
              <w:rPr>
                <w:rStyle w:val="12"/>
                <w:color w:val="auto"/>
                <w:highlight w:val="none"/>
                <w:lang w:val="en-US" w:eastAsia="zh-CN" w:bidi="ar"/>
              </w:rPr>
              <w:br w:type="textWrapping"/>
            </w:r>
            <w:r>
              <w:rPr>
                <w:rStyle w:val="12"/>
                <w:color w:val="auto"/>
                <w:highlight w:val="none"/>
                <w:lang w:val="en-US" w:eastAsia="zh-CN" w:bidi="ar"/>
              </w:rPr>
              <w:t>□相关数字、文字逻辑错误；</w:t>
            </w:r>
            <w:r>
              <w:rPr>
                <w:rStyle w:val="12"/>
                <w:color w:val="auto"/>
                <w:highlight w:val="none"/>
                <w:lang w:val="en-US" w:eastAsia="zh-CN" w:bidi="ar"/>
              </w:rPr>
              <w:br w:type="textWrapping"/>
            </w:r>
            <w:r>
              <w:rPr>
                <w:rStyle w:val="12"/>
                <w:color w:val="auto"/>
                <w:highlight w:val="none"/>
                <w:lang w:val="en-US" w:eastAsia="zh-CN" w:bidi="ar"/>
              </w:rPr>
              <w:t>□其他审核相关文件；</w:t>
            </w:r>
            <w:r>
              <w:rPr>
                <w:rStyle w:val="12"/>
                <w:color w:val="auto"/>
                <w:highlight w:val="none"/>
                <w:lang w:val="en-US" w:eastAsia="zh-CN" w:bidi="ar"/>
              </w:rPr>
              <w:br w:type="textWrapping"/>
            </w:r>
            <w:r>
              <w:rPr>
                <w:rStyle w:val="12"/>
                <w:color w:val="auto"/>
                <w:highlight w:val="none"/>
                <w:lang w:val="en-US" w:eastAsia="zh-CN" w:bidi="ar"/>
              </w:rPr>
              <w:t>共</w:t>
            </w:r>
            <w:r>
              <w:rPr>
                <w:rStyle w:val="14"/>
                <w:color w:val="auto"/>
                <w:highlight w:val="none"/>
                <w:lang w:val="en-US" w:eastAsia="zh-CN" w:bidi="ar"/>
              </w:rPr>
              <w:t xml:space="preserve">    </w:t>
            </w:r>
            <w:r>
              <w:rPr>
                <w:rStyle w:val="12"/>
                <w:color w:val="auto"/>
                <w:highlight w:val="none"/>
                <w:lang w:val="en-US" w:eastAsia="zh-CN" w:bidi="ar"/>
              </w:rPr>
              <w:t>项，共扣</w:t>
            </w:r>
            <w:r>
              <w:rPr>
                <w:rStyle w:val="14"/>
                <w:color w:val="auto"/>
                <w:highlight w:val="none"/>
                <w:lang w:val="en-US" w:eastAsia="zh-CN" w:bidi="ar"/>
              </w:rPr>
              <w:t xml:space="preserve">    </w:t>
            </w:r>
            <w:r>
              <w:rPr>
                <w:rStyle w:val="12"/>
                <w:color w:val="auto"/>
                <w:highlight w:val="none"/>
                <w:lang w:val="en-US" w:eastAsia="zh-CN" w:bidi="ar"/>
              </w:rPr>
              <w:t>分</w:t>
            </w:r>
          </w:p>
        </w:tc>
        <w:tc>
          <w:tcPr>
            <w:tcW w:w="13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25E206">
            <w:pPr>
              <w:jc w:val="center"/>
              <w:rPr>
                <w:rFonts w:hint="eastAsia" w:ascii="仿宋" w:hAnsi="仿宋" w:eastAsia="仿宋" w:cs="仿宋"/>
                <w:i w:val="0"/>
                <w:iCs w:val="0"/>
                <w:color w:val="auto"/>
                <w:sz w:val="20"/>
                <w:szCs w:val="20"/>
                <w:highlight w:val="none"/>
                <w:u w:val="none"/>
              </w:rPr>
            </w:pPr>
          </w:p>
        </w:tc>
        <w:tc>
          <w:tcPr>
            <w:tcW w:w="12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21D96A">
            <w:pPr>
              <w:jc w:val="center"/>
              <w:rPr>
                <w:rFonts w:hint="eastAsia" w:ascii="仿宋" w:hAnsi="仿宋" w:eastAsia="仿宋" w:cs="仿宋"/>
                <w:i w:val="0"/>
                <w:iCs w:val="0"/>
                <w:color w:val="auto"/>
                <w:sz w:val="20"/>
                <w:szCs w:val="20"/>
                <w:highlight w:val="none"/>
                <w:u w:val="none"/>
              </w:rPr>
            </w:pPr>
          </w:p>
        </w:tc>
      </w:tr>
      <w:tr w14:paraId="725AE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4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4B2C17">
            <w:pPr>
              <w:jc w:val="center"/>
              <w:rPr>
                <w:rFonts w:hint="eastAsia" w:ascii="仿宋" w:hAnsi="仿宋" w:eastAsia="仿宋" w:cs="仿宋"/>
                <w:i w:val="0"/>
                <w:iCs w:val="0"/>
                <w:color w:val="auto"/>
                <w:sz w:val="20"/>
                <w:szCs w:val="20"/>
                <w:highlight w:val="none"/>
                <w:u w:val="none"/>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410E18">
            <w:pPr>
              <w:jc w:val="center"/>
              <w:rPr>
                <w:rFonts w:hint="eastAsia" w:ascii="仿宋" w:hAnsi="仿宋" w:eastAsia="仿宋" w:cs="仿宋"/>
                <w:i w:val="0"/>
                <w:iCs w:val="0"/>
                <w:color w:val="auto"/>
                <w:sz w:val="20"/>
                <w:szCs w:val="20"/>
                <w:highlight w:val="none"/>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311329">
            <w:pPr>
              <w:jc w:val="center"/>
              <w:rPr>
                <w:rFonts w:hint="eastAsia" w:ascii="仿宋" w:hAnsi="仿宋" w:eastAsia="仿宋" w:cs="仿宋"/>
                <w:i w:val="0"/>
                <w:iCs w:val="0"/>
                <w:color w:val="auto"/>
                <w:sz w:val="20"/>
                <w:szCs w:val="20"/>
                <w:highlight w:val="none"/>
                <w:u w:val="none"/>
              </w:rPr>
            </w:pPr>
          </w:p>
        </w:tc>
        <w:tc>
          <w:tcPr>
            <w:tcW w:w="5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36AB1D">
            <w:pPr>
              <w:keepNext w:val="0"/>
              <w:keepLines w:val="0"/>
              <w:widowControl/>
              <w:suppressLineNumbers w:val="0"/>
              <w:jc w:val="left"/>
              <w:textAlignment w:val="center"/>
              <w:rPr>
                <w:rFonts w:hint="eastAsia" w:ascii="仿宋" w:hAnsi="仿宋" w:eastAsia="仿宋" w:cs="仿宋"/>
                <w:i w:val="0"/>
                <w:iCs w:val="0"/>
                <w:color w:val="auto"/>
                <w:sz w:val="20"/>
                <w:szCs w:val="20"/>
                <w:highlight w:val="none"/>
                <w:u w:val="none"/>
              </w:rPr>
            </w:pPr>
            <w:r>
              <w:rPr>
                <w:rStyle w:val="12"/>
                <w:color w:val="auto"/>
                <w:highlight w:val="none"/>
                <w:lang w:val="en-US" w:eastAsia="zh-CN" w:bidi="ar"/>
              </w:rPr>
              <w:t>□对项目的合法合规性审查，每发现一处不符合要求扣2分。</w:t>
            </w:r>
            <w:r>
              <w:rPr>
                <w:rStyle w:val="12"/>
                <w:color w:val="auto"/>
                <w:highlight w:val="none"/>
                <w:lang w:val="en-US" w:eastAsia="zh-CN" w:bidi="ar"/>
              </w:rPr>
              <w:br w:type="textWrapping"/>
            </w:r>
            <w:r>
              <w:rPr>
                <w:rStyle w:val="12"/>
                <w:color w:val="auto"/>
                <w:highlight w:val="none"/>
                <w:lang w:val="en-US" w:eastAsia="zh-CN" w:bidi="ar"/>
              </w:rPr>
              <w:t>共</w:t>
            </w:r>
            <w:r>
              <w:rPr>
                <w:rStyle w:val="14"/>
                <w:color w:val="auto"/>
                <w:highlight w:val="none"/>
                <w:lang w:val="en-US" w:eastAsia="zh-CN" w:bidi="ar"/>
              </w:rPr>
              <w:t xml:space="preserve">    </w:t>
            </w:r>
            <w:r>
              <w:rPr>
                <w:rStyle w:val="12"/>
                <w:color w:val="auto"/>
                <w:highlight w:val="none"/>
                <w:lang w:val="en-US" w:eastAsia="zh-CN" w:bidi="ar"/>
              </w:rPr>
              <w:t>项，共扣</w:t>
            </w:r>
            <w:r>
              <w:rPr>
                <w:rStyle w:val="14"/>
                <w:color w:val="auto"/>
                <w:highlight w:val="none"/>
                <w:lang w:val="en-US" w:eastAsia="zh-CN" w:bidi="ar"/>
              </w:rPr>
              <w:t xml:space="preserve">    </w:t>
            </w:r>
            <w:r>
              <w:rPr>
                <w:rStyle w:val="12"/>
                <w:color w:val="auto"/>
                <w:highlight w:val="none"/>
                <w:lang w:val="en-US" w:eastAsia="zh-CN" w:bidi="ar"/>
              </w:rPr>
              <w:t>分</w:t>
            </w:r>
          </w:p>
        </w:tc>
        <w:tc>
          <w:tcPr>
            <w:tcW w:w="13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333F81">
            <w:pPr>
              <w:jc w:val="center"/>
              <w:rPr>
                <w:rFonts w:hint="eastAsia" w:ascii="仿宋" w:hAnsi="仿宋" w:eastAsia="仿宋" w:cs="仿宋"/>
                <w:i w:val="0"/>
                <w:iCs w:val="0"/>
                <w:color w:val="auto"/>
                <w:sz w:val="20"/>
                <w:szCs w:val="20"/>
                <w:highlight w:val="none"/>
                <w:u w:val="none"/>
              </w:rPr>
            </w:pPr>
          </w:p>
        </w:tc>
        <w:tc>
          <w:tcPr>
            <w:tcW w:w="12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C6A224">
            <w:pPr>
              <w:jc w:val="center"/>
              <w:rPr>
                <w:rFonts w:hint="eastAsia" w:ascii="仿宋" w:hAnsi="仿宋" w:eastAsia="仿宋" w:cs="仿宋"/>
                <w:i w:val="0"/>
                <w:iCs w:val="0"/>
                <w:color w:val="auto"/>
                <w:sz w:val="20"/>
                <w:szCs w:val="20"/>
                <w:highlight w:val="none"/>
                <w:u w:val="none"/>
              </w:rPr>
            </w:pPr>
          </w:p>
        </w:tc>
      </w:tr>
      <w:tr w14:paraId="5B1430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49739">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3</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9A9B0">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审核响应速度</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D6669">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2</w:t>
            </w:r>
          </w:p>
        </w:tc>
        <w:tc>
          <w:tcPr>
            <w:tcW w:w="5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52D043">
            <w:pPr>
              <w:keepNext w:val="0"/>
              <w:keepLines w:val="0"/>
              <w:widowControl/>
              <w:suppressLineNumbers w:val="0"/>
              <w:jc w:val="left"/>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□不按中心要求高速高效响应的得分，迟到15分钟以上的扣2分。</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4B21C">
            <w:pPr>
              <w:jc w:val="center"/>
              <w:rPr>
                <w:rFonts w:hint="eastAsia" w:ascii="仿宋" w:hAnsi="仿宋" w:eastAsia="仿宋" w:cs="仿宋"/>
                <w:i w:val="0"/>
                <w:iCs w:val="0"/>
                <w:color w:val="auto"/>
                <w:sz w:val="20"/>
                <w:szCs w:val="20"/>
                <w:highlight w:val="none"/>
                <w:u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F73B5">
            <w:pPr>
              <w:jc w:val="center"/>
              <w:rPr>
                <w:rFonts w:hint="eastAsia" w:ascii="仿宋" w:hAnsi="仿宋" w:eastAsia="仿宋" w:cs="仿宋"/>
                <w:i w:val="0"/>
                <w:iCs w:val="0"/>
                <w:color w:val="auto"/>
                <w:sz w:val="20"/>
                <w:szCs w:val="20"/>
                <w:highlight w:val="none"/>
                <w:u w:val="none"/>
              </w:rPr>
            </w:pPr>
          </w:p>
        </w:tc>
      </w:tr>
      <w:tr w14:paraId="68F09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30C93">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4</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947BD">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审核进度情况</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FD4A0">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12</w:t>
            </w:r>
          </w:p>
        </w:tc>
        <w:tc>
          <w:tcPr>
            <w:tcW w:w="5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5A2F74">
            <w:pPr>
              <w:keepNext w:val="0"/>
              <w:keepLines w:val="0"/>
              <w:widowControl/>
              <w:suppressLineNumbers w:val="0"/>
              <w:jc w:val="left"/>
              <w:textAlignment w:val="center"/>
              <w:rPr>
                <w:rFonts w:hint="eastAsia" w:ascii="仿宋" w:hAnsi="仿宋" w:eastAsia="仿宋" w:cs="仿宋"/>
                <w:i w:val="0"/>
                <w:iCs w:val="0"/>
                <w:color w:val="auto"/>
                <w:sz w:val="20"/>
                <w:szCs w:val="20"/>
                <w:highlight w:val="none"/>
                <w:u w:val="none"/>
              </w:rPr>
            </w:pPr>
            <w:r>
              <w:rPr>
                <w:rStyle w:val="12"/>
                <w:color w:val="auto"/>
                <w:highlight w:val="none"/>
                <w:lang w:val="en-US" w:eastAsia="zh-CN" w:bidi="ar"/>
              </w:rPr>
              <w:t>□不按规定时间提交合格的审核结果（□</w:t>
            </w:r>
            <w:r>
              <w:rPr>
                <w:rStyle w:val="12"/>
                <w:rFonts w:hint="eastAsia"/>
                <w:color w:val="auto"/>
                <w:highlight w:val="none"/>
                <w:lang w:val="en-US" w:eastAsia="zh-CN" w:bidi="ar"/>
              </w:rPr>
              <w:t>编制</w:t>
            </w:r>
            <w:r>
              <w:rPr>
                <w:rStyle w:val="12"/>
                <w:rFonts w:hint="eastAsia"/>
                <w:color w:val="auto"/>
                <w:highlight w:val="none"/>
                <w:lang w:val="en-US" w:eastAsia="zh-CN" w:bidi="ar"/>
              </w:rPr>
              <w:t>工作计划及方案</w:t>
            </w:r>
            <w:r>
              <w:rPr>
                <w:rStyle w:val="12"/>
                <w:color w:val="auto"/>
                <w:highlight w:val="none"/>
                <w:lang w:val="en-US" w:eastAsia="zh-CN" w:bidi="ar"/>
              </w:rPr>
              <w:t>□造价核对稿；□问题处理意见；□初步审核结果；□定案书及组成材料；□其他</w:t>
            </w:r>
            <w:r>
              <w:rPr>
                <w:rStyle w:val="14"/>
                <w:color w:val="auto"/>
                <w:highlight w:val="none"/>
                <w:lang w:val="en-US" w:eastAsia="zh-CN" w:bidi="ar"/>
              </w:rPr>
              <w:t xml:space="preserve">                </w:t>
            </w:r>
            <w:r>
              <w:rPr>
                <w:rStyle w:val="12"/>
                <w:color w:val="auto"/>
                <w:highlight w:val="none"/>
                <w:lang w:val="en-US" w:eastAsia="zh-CN" w:bidi="ar"/>
              </w:rPr>
              <w:t>）。每项扣2分，共</w:t>
            </w:r>
            <w:r>
              <w:rPr>
                <w:rStyle w:val="14"/>
                <w:color w:val="auto"/>
                <w:highlight w:val="none"/>
                <w:lang w:val="en-US" w:eastAsia="zh-CN" w:bidi="ar"/>
              </w:rPr>
              <w:t xml:space="preserve">    </w:t>
            </w:r>
            <w:r>
              <w:rPr>
                <w:rStyle w:val="12"/>
                <w:color w:val="auto"/>
                <w:highlight w:val="none"/>
                <w:lang w:val="en-US" w:eastAsia="zh-CN" w:bidi="ar"/>
              </w:rPr>
              <w:t>项，共扣</w:t>
            </w:r>
            <w:r>
              <w:rPr>
                <w:rStyle w:val="14"/>
                <w:color w:val="auto"/>
                <w:highlight w:val="none"/>
                <w:lang w:val="en-US" w:eastAsia="zh-CN" w:bidi="ar"/>
              </w:rPr>
              <w:t xml:space="preserve">    </w:t>
            </w:r>
            <w:r>
              <w:rPr>
                <w:rStyle w:val="12"/>
                <w:color w:val="auto"/>
                <w:highlight w:val="none"/>
                <w:lang w:val="en-US" w:eastAsia="zh-CN" w:bidi="ar"/>
              </w:rPr>
              <w:t>分</w:t>
            </w:r>
            <w:r>
              <w:rPr>
                <w:rStyle w:val="12"/>
                <w:color w:val="auto"/>
                <w:highlight w:val="none"/>
                <w:lang w:val="en-US" w:eastAsia="zh-CN" w:bidi="ar"/>
              </w:rPr>
              <w:br w:type="textWrapping"/>
            </w:r>
            <w:r>
              <w:rPr>
                <w:rStyle w:val="12"/>
                <w:color w:val="auto"/>
                <w:highlight w:val="none"/>
                <w:lang w:val="en-US" w:eastAsia="zh-CN" w:bidi="ar"/>
              </w:rPr>
              <w:t>□因造价咨询公司自身原因延误时间，逾期提交对数稿、问题处理意见等审核过程材料的，每逾期1天扣2分</w:t>
            </w:r>
            <w:r>
              <w:rPr>
                <w:rStyle w:val="12"/>
                <w:color w:val="auto"/>
                <w:highlight w:val="none"/>
                <w:lang w:val="en-US" w:eastAsia="zh-CN" w:bidi="ar"/>
              </w:rPr>
              <w:br w:type="textWrapping"/>
            </w:r>
            <w:r>
              <w:rPr>
                <w:rStyle w:val="12"/>
                <w:color w:val="auto"/>
                <w:highlight w:val="none"/>
                <w:lang w:val="en-US" w:eastAsia="zh-CN" w:bidi="ar"/>
              </w:rPr>
              <w:t>共逾期</w:t>
            </w:r>
            <w:r>
              <w:rPr>
                <w:rStyle w:val="14"/>
                <w:color w:val="auto"/>
                <w:highlight w:val="none"/>
                <w:lang w:val="en-US" w:eastAsia="zh-CN" w:bidi="ar"/>
              </w:rPr>
              <w:t xml:space="preserve">    </w:t>
            </w:r>
            <w:r>
              <w:rPr>
                <w:rStyle w:val="12"/>
                <w:color w:val="auto"/>
                <w:highlight w:val="none"/>
                <w:lang w:val="en-US" w:eastAsia="zh-CN" w:bidi="ar"/>
              </w:rPr>
              <w:t>天，共扣</w:t>
            </w:r>
            <w:r>
              <w:rPr>
                <w:rStyle w:val="14"/>
                <w:color w:val="auto"/>
                <w:highlight w:val="none"/>
                <w:lang w:val="en-US" w:eastAsia="zh-CN" w:bidi="ar"/>
              </w:rPr>
              <w:t xml:space="preserve">    </w:t>
            </w:r>
            <w:r>
              <w:rPr>
                <w:rStyle w:val="12"/>
                <w:color w:val="auto"/>
                <w:highlight w:val="none"/>
                <w:lang w:val="en-US" w:eastAsia="zh-CN" w:bidi="ar"/>
              </w:rPr>
              <w:t>分</w:t>
            </w:r>
            <w:r>
              <w:rPr>
                <w:rStyle w:val="12"/>
                <w:color w:val="auto"/>
                <w:highlight w:val="none"/>
                <w:lang w:val="en-US" w:eastAsia="zh-CN" w:bidi="ar"/>
              </w:rPr>
              <w:br w:type="textWrapping"/>
            </w:r>
            <w:r>
              <w:rPr>
                <w:rStyle w:val="12"/>
                <w:color w:val="auto"/>
                <w:highlight w:val="none"/>
                <w:lang w:val="en-US" w:eastAsia="zh-CN" w:bidi="ar"/>
              </w:rPr>
              <w:t>□逾期提交初审结果、定案书等审核结论文件的，每逾期1天扣3分，最低得0分。共逾期</w:t>
            </w:r>
            <w:r>
              <w:rPr>
                <w:rStyle w:val="14"/>
                <w:color w:val="auto"/>
                <w:highlight w:val="none"/>
                <w:lang w:val="en-US" w:eastAsia="zh-CN" w:bidi="ar"/>
              </w:rPr>
              <w:t xml:space="preserve">    </w:t>
            </w:r>
            <w:r>
              <w:rPr>
                <w:rStyle w:val="12"/>
                <w:color w:val="auto"/>
                <w:highlight w:val="none"/>
                <w:lang w:val="en-US" w:eastAsia="zh-CN" w:bidi="ar"/>
              </w:rPr>
              <w:t>天，共扣</w:t>
            </w:r>
            <w:r>
              <w:rPr>
                <w:rStyle w:val="14"/>
                <w:color w:val="auto"/>
                <w:highlight w:val="none"/>
                <w:lang w:val="en-US" w:eastAsia="zh-CN" w:bidi="ar"/>
              </w:rPr>
              <w:t xml:space="preserve">    分</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38EAB">
            <w:pPr>
              <w:jc w:val="center"/>
              <w:rPr>
                <w:rFonts w:hint="eastAsia" w:ascii="仿宋" w:hAnsi="仿宋" w:eastAsia="仿宋" w:cs="仿宋"/>
                <w:i w:val="0"/>
                <w:iCs w:val="0"/>
                <w:color w:val="auto"/>
                <w:sz w:val="20"/>
                <w:szCs w:val="20"/>
                <w:highlight w:val="none"/>
                <w:u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4C37D">
            <w:pPr>
              <w:jc w:val="center"/>
              <w:rPr>
                <w:rFonts w:hint="eastAsia" w:ascii="仿宋" w:hAnsi="仿宋" w:eastAsia="仿宋" w:cs="仿宋"/>
                <w:i w:val="0"/>
                <w:iCs w:val="0"/>
                <w:color w:val="auto"/>
                <w:sz w:val="20"/>
                <w:szCs w:val="20"/>
                <w:highlight w:val="none"/>
                <w:u w:val="none"/>
              </w:rPr>
            </w:pPr>
          </w:p>
        </w:tc>
      </w:tr>
      <w:tr w14:paraId="064B5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4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B1E80A">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5</w:t>
            </w:r>
          </w:p>
        </w:tc>
        <w:tc>
          <w:tcPr>
            <w:tcW w:w="10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2556DC">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现场查勘及审核对数情况</w:t>
            </w:r>
          </w:p>
        </w:tc>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995CAB">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10</w:t>
            </w:r>
          </w:p>
        </w:tc>
        <w:tc>
          <w:tcPr>
            <w:tcW w:w="5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C73137">
            <w:pPr>
              <w:keepNext w:val="0"/>
              <w:keepLines w:val="0"/>
              <w:widowControl/>
              <w:suppressLineNumbers w:val="0"/>
              <w:jc w:val="left"/>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□拟投入的评审人员与实际评审人员不符扣10分；</w:t>
            </w:r>
          </w:p>
        </w:tc>
        <w:tc>
          <w:tcPr>
            <w:tcW w:w="13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5B08DD">
            <w:pPr>
              <w:jc w:val="center"/>
              <w:rPr>
                <w:rFonts w:hint="eastAsia" w:ascii="仿宋" w:hAnsi="仿宋" w:eastAsia="仿宋" w:cs="仿宋"/>
                <w:i w:val="0"/>
                <w:iCs w:val="0"/>
                <w:color w:val="auto"/>
                <w:sz w:val="20"/>
                <w:szCs w:val="20"/>
                <w:highlight w:val="none"/>
                <w:u w:val="none"/>
              </w:rPr>
            </w:pP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78DD99">
            <w:pPr>
              <w:jc w:val="center"/>
              <w:rPr>
                <w:rFonts w:hint="eastAsia" w:ascii="仿宋" w:hAnsi="仿宋" w:eastAsia="仿宋" w:cs="仿宋"/>
                <w:i w:val="0"/>
                <w:iCs w:val="0"/>
                <w:color w:val="auto"/>
                <w:sz w:val="20"/>
                <w:szCs w:val="20"/>
                <w:highlight w:val="none"/>
                <w:u w:val="none"/>
              </w:rPr>
            </w:pPr>
          </w:p>
        </w:tc>
      </w:tr>
      <w:tr w14:paraId="6BDA3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4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7789F8">
            <w:pPr>
              <w:jc w:val="center"/>
              <w:rPr>
                <w:rFonts w:hint="eastAsia" w:ascii="仿宋" w:hAnsi="仿宋" w:eastAsia="仿宋" w:cs="仿宋"/>
                <w:i w:val="0"/>
                <w:iCs w:val="0"/>
                <w:color w:val="auto"/>
                <w:sz w:val="20"/>
                <w:szCs w:val="20"/>
                <w:highlight w:val="none"/>
                <w:u w:val="none"/>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69939B">
            <w:pPr>
              <w:jc w:val="center"/>
              <w:rPr>
                <w:rFonts w:hint="eastAsia" w:ascii="仿宋" w:hAnsi="仿宋" w:eastAsia="仿宋" w:cs="仿宋"/>
                <w:i w:val="0"/>
                <w:iCs w:val="0"/>
                <w:color w:val="auto"/>
                <w:sz w:val="20"/>
                <w:szCs w:val="20"/>
                <w:highlight w:val="none"/>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98D891">
            <w:pPr>
              <w:jc w:val="center"/>
              <w:rPr>
                <w:rFonts w:hint="eastAsia" w:ascii="仿宋" w:hAnsi="仿宋" w:eastAsia="仿宋" w:cs="仿宋"/>
                <w:i w:val="0"/>
                <w:iCs w:val="0"/>
                <w:color w:val="auto"/>
                <w:sz w:val="20"/>
                <w:szCs w:val="20"/>
                <w:highlight w:val="none"/>
                <w:u w:val="none"/>
              </w:rPr>
            </w:pPr>
          </w:p>
        </w:tc>
        <w:tc>
          <w:tcPr>
            <w:tcW w:w="5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8934A5">
            <w:pPr>
              <w:keepNext w:val="0"/>
              <w:keepLines w:val="0"/>
              <w:widowControl/>
              <w:suppressLineNumbers w:val="0"/>
              <w:jc w:val="left"/>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□对工程结算现场查勘，准备及现场查勘不充分扣5分；</w:t>
            </w:r>
            <w:r>
              <w:rPr>
                <w:rFonts w:hint="eastAsia" w:ascii="仿宋" w:hAnsi="仿宋" w:eastAsia="仿宋" w:cs="仿宋"/>
                <w:i w:val="0"/>
                <w:iCs w:val="0"/>
                <w:color w:val="auto"/>
                <w:kern w:val="0"/>
                <w:sz w:val="20"/>
                <w:szCs w:val="20"/>
                <w:highlight w:val="none"/>
                <w:u w:val="none"/>
                <w:lang w:val="en-US" w:eastAsia="zh-CN" w:bidi="ar"/>
              </w:rPr>
              <w:br w:type="textWrapping"/>
            </w:r>
            <w:r>
              <w:rPr>
                <w:rFonts w:hint="eastAsia" w:ascii="仿宋" w:hAnsi="仿宋" w:eastAsia="仿宋" w:cs="仿宋"/>
                <w:i w:val="0"/>
                <w:iCs w:val="0"/>
                <w:color w:val="auto"/>
                <w:kern w:val="0"/>
                <w:sz w:val="20"/>
                <w:szCs w:val="20"/>
                <w:highlight w:val="none"/>
                <w:u w:val="none"/>
                <w:lang w:val="en-US" w:eastAsia="zh-CN" w:bidi="ar"/>
              </w:rPr>
              <w:t>□无准备或不去现场查勘的扣10分；</w:t>
            </w:r>
          </w:p>
        </w:tc>
        <w:tc>
          <w:tcPr>
            <w:tcW w:w="13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44C157">
            <w:pPr>
              <w:jc w:val="center"/>
              <w:rPr>
                <w:rFonts w:hint="eastAsia" w:ascii="仿宋" w:hAnsi="仿宋" w:eastAsia="仿宋" w:cs="仿宋"/>
                <w:i w:val="0"/>
                <w:iCs w:val="0"/>
                <w:color w:val="auto"/>
                <w:sz w:val="20"/>
                <w:szCs w:val="20"/>
                <w:highlight w:val="none"/>
                <w:u w:val="none"/>
              </w:rPr>
            </w:pPr>
          </w:p>
        </w:tc>
        <w:tc>
          <w:tcPr>
            <w:tcW w:w="12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E93DFC">
            <w:pPr>
              <w:jc w:val="center"/>
              <w:rPr>
                <w:rFonts w:hint="eastAsia" w:ascii="仿宋" w:hAnsi="仿宋" w:eastAsia="仿宋" w:cs="仿宋"/>
                <w:i w:val="0"/>
                <w:iCs w:val="0"/>
                <w:color w:val="auto"/>
                <w:sz w:val="20"/>
                <w:szCs w:val="20"/>
                <w:highlight w:val="none"/>
                <w:u w:val="none"/>
              </w:rPr>
            </w:pPr>
          </w:p>
        </w:tc>
      </w:tr>
      <w:tr w14:paraId="11961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4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2C9F51">
            <w:pPr>
              <w:jc w:val="center"/>
              <w:rPr>
                <w:rFonts w:hint="eastAsia" w:ascii="仿宋" w:hAnsi="仿宋" w:eastAsia="仿宋" w:cs="仿宋"/>
                <w:i w:val="0"/>
                <w:iCs w:val="0"/>
                <w:color w:val="auto"/>
                <w:sz w:val="20"/>
                <w:szCs w:val="20"/>
                <w:highlight w:val="none"/>
                <w:u w:val="none"/>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0D770E">
            <w:pPr>
              <w:jc w:val="center"/>
              <w:rPr>
                <w:rFonts w:hint="eastAsia" w:ascii="仿宋" w:hAnsi="仿宋" w:eastAsia="仿宋" w:cs="仿宋"/>
                <w:i w:val="0"/>
                <w:iCs w:val="0"/>
                <w:color w:val="auto"/>
                <w:sz w:val="20"/>
                <w:szCs w:val="20"/>
                <w:highlight w:val="none"/>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7E7B80">
            <w:pPr>
              <w:jc w:val="center"/>
              <w:rPr>
                <w:rFonts w:hint="eastAsia" w:ascii="仿宋" w:hAnsi="仿宋" w:eastAsia="仿宋" w:cs="仿宋"/>
                <w:i w:val="0"/>
                <w:iCs w:val="0"/>
                <w:color w:val="auto"/>
                <w:sz w:val="20"/>
                <w:szCs w:val="20"/>
                <w:highlight w:val="none"/>
                <w:u w:val="none"/>
              </w:rPr>
            </w:pPr>
          </w:p>
        </w:tc>
        <w:tc>
          <w:tcPr>
            <w:tcW w:w="5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2AD411">
            <w:pPr>
              <w:keepNext w:val="0"/>
              <w:keepLines w:val="0"/>
              <w:widowControl/>
              <w:suppressLineNumbers w:val="0"/>
              <w:jc w:val="left"/>
              <w:textAlignment w:val="center"/>
              <w:rPr>
                <w:rFonts w:hint="eastAsia" w:ascii="仿宋" w:hAnsi="仿宋" w:eastAsia="仿宋" w:cs="仿宋"/>
                <w:i w:val="0"/>
                <w:iCs w:val="0"/>
                <w:color w:val="auto"/>
                <w:sz w:val="20"/>
                <w:szCs w:val="20"/>
                <w:highlight w:val="none"/>
                <w:u w:val="none"/>
              </w:rPr>
            </w:pPr>
            <w:r>
              <w:rPr>
                <w:rStyle w:val="12"/>
                <w:color w:val="auto"/>
                <w:highlight w:val="none"/>
                <w:lang w:val="en-US" w:eastAsia="zh-CN" w:bidi="ar"/>
              </w:rPr>
              <w:t>□对审核项目1000万以下工程二级造价师不参与造价核对、不参与现场查勘，每项扣10分</w:t>
            </w:r>
            <w:r>
              <w:rPr>
                <w:rStyle w:val="12"/>
                <w:color w:val="auto"/>
                <w:highlight w:val="none"/>
                <w:lang w:val="en-US" w:eastAsia="zh-CN" w:bidi="ar"/>
              </w:rPr>
              <w:br w:type="textWrapping"/>
            </w:r>
            <w:r>
              <w:rPr>
                <w:rStyle w:val="12"/>
                <w:color w:val="auto"/>
                <w:highlight w:val="none"/>
                <w:lang w:val="en-US" w:eastAsia="zh-CN" w:bidi="ar"/>
              </w:rPr>
              <w:t>共</w:t>
            </w:r>
            <w:r>
              <w:rPr>
                <w:rStyle w:val="14"/>
                <w:color w:val="auto"/>
                <w:highlight w:val="none"/>
                <w:lang w:val="en-US" w:eastAsia="zh-CN" w:bidi="ar"/>
              </w:rPr>
              <w:t xml:space="preserve">    </w:t>
            </w:r>
            <w:r>
              <w:rPr>
                <w:rStyle w:val="12"/>
                <w:color w:val="auto"/>
                <w:highlight w:val="none"/>
                <w:lang w:val="en-US" w:eastAsia="zh-CN" w:bidi="ar"/>
              </w:rPr>
              <w:t>项，共扣</w:t>
            </w:r>
            <w:r>
              <w:rPr>
                <w:rStyle w:val="14"/>
                <w:color w:val="auto"/>
                <w:highlight w:val="none"/>
                <w:lang w:val="en-US" w:eastAsia="zh-CN" w:bidi="ar"/>
              </w:rPr>
              <w:t xml:space="preserve">    </w:t>
            </w:r>
            <w:r>
              <w:rPr>
                <w:rStyle w:val="12"/>
                <w:color w:val="auto"/>
                <w:highlight w:val="none"/>
                <w:lang w:val="en-US" w:eastAsia="zh-CN" w:bidi="ar"/>
              </w:rPr>
              <w:t>分</w:t>
            </w:r>
          </w:p>
        </w:tc>
        <w:tc>
          <w:tcPr>
            <w:tcW w:w="13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54635C">
            <w:pPr>
              <w:jc w:val="center"/>
              <w:rPr>
                <w:rFonts w:hint="eastAsia" w:ascii="仿宋" w:hAnsi="仿宋" w:eastAsia="仿宋" w:cs="仿宋"/>
                <w:i w:val="0"/>
                <w:iCs w:val="0"/>
                <w:color w:val="auto"/>
                <w:sz w:val="20"/>
                <w:szCs w:val="20"/>
                <w:highlight w:val="none"/>
                <w:u w:val="none"/>
              </w:rPr>
            </w:pPr>
          </w:p>
        </w:tc>
        <w:tc>
          <w:tcPr>
            <w:tcW w:w="12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292B17">
            <w:pPr>
              <w:jc w:val="center"/>
              <w:rPr>
                <w:rFonts w:hint="eastAsia" w:ascii="仿宋" w:hAnsi="仿宋" w:eastAsia="仿宋" w:cs="仿宋"/>
                <w:i w:val="0"/>
                <w:iCs w:val="0"/>
                <w:color w:val="auto"/>
                <w:sz w:val="20"/>
                <w:szCs w:val="20"/>
                <w:highlight w:val="none"/>
                <w:u w:val="none"/>
              </w:rPr>
            </w:pPr>
          </w:p>
        </w:tc>
      </w:tr>
      <w:tr w14:paraId="052181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4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BD38C5">
            <w:pPr>
              <w:jc w:val="center"/>
              <w:rPr>
                <w:rFonts w:hint="eastAsia" w:ascii="仿宋" w:hAnsi="仿宋" w:eastAsia="仿宋" w:cs="仿宋"/>
                <w:i w:val="0"/>
                <w:iCs w:val="0"/>
                <w:color w:val="auto"/>
                <w:sz w:val="20"/>
                <w:szCs w:val="20"/>
                <w:highlight w:val="none"/>
                <w:u w:val="none"/>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9F91AE">
            <w:pPr>
              <w:jc w:val="center"/>
              <w:rPr>
                <w:rFonts w:hint="eastAsia" w:ascii="仿宋" w:hAnsi="仿宋" w:eastAsia="仿宋" w:cs="仿宋"/>
                <w:i w:val="0"/>
                <w:iCs w:val="0"/>
                <w:color w:val="auto"/>
                <w:sz w:val="20"/>
                <w:szCs w:val="20"/>
                <w:highlight w:val="none"/>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9B98FF">
            <w:pPr>
              <w:jc w:val="center"/>
              <w:rPr>
                <w:rFonts w:hint="eastAsia" w:ascii="仿宋" w:hAnsi="仿宋" w:eastAsia="仿宋" w:cs="仿宋"/>
                <w:i w:val="0"/>
                <w:iCs w:val="0"/>
                <w:color w:val="auto"/>
                <w:sz w:val="20"/>
                <w:szCs w:val="20"/>
                <w:highlight w:val="none"/>
                <w:u w:val="none"/>
              </w:rPr>
            </w:pPr>
          </w:p>
        </w:tc>
        <w:tc>
          <w:tcPr>
            <w:tcW w:w="5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D1A1E8">
            <w:pPr>
              <w:keepNext w:val="0"/>
              <w:keepLines w:val="0"/>
              <w:widowControl/>
              <w:suppressLineNumbers w:val="0"/>
              <w:jc w:val="left"/>
              <w:textAlignment w:val="center"/>
              <w:rPr>
                <w:rFonts w:hint="eastAsia" w:ascii="仿宋" w:hAnsi="仿宋" w:eastAsia="仿宋" w:cs="仿宋"/>
                <w:i w:val="0"/>
                <w:iCs w:val="0"/>
                <w:color w:val="auto"/>
                <w:sz w:val="20"/>
                <w:szCs w:val="20"/>
                <w:highlight w:val="none"/>
                <w:u w:val="none"/>
              </w:rPr>
            </w:pPr>
            <w:r>
              <w:rPr>
                <w:rStyle w:val="12"/>
                <w:color w:val="auto"/>
                <w:highlight w:val="none"/>
                <w:lang w:val="en-US" w:eastAsia="zh-CN" w:bidi="ar"/>
              </w:rPr>
              <w:t>□对审核项目1000万以上工程一级造价师不参与造价核对、不参与现场查勘，每项扣10分；</w:t>
            </w:r>
            <w:r>
              <w:rPr>
                <w:rStyle w:val="12"/>
                <w:color w:val="auto"/>
                <w:highlight w:val="none"/>
                <w:lang w:val="en-US" w:eastAsia="zh-CN" w:bidi="ar"/>
              </w:rPr>
              <w:br w:type="textWrapping"/>
            </w:r>
            <w:r>
              <w:rPr>
                <w:rStyle w:val="12"/>
                <w:color w:val="auto"/>
                <w:highlight w:val="none"/>
                <w:lang w:val="en-US" w:eastAsia="zh-CN" w:bidi="ar"/>
              </w:rPr>
              <w:t>共</w:t>
            </w:r>
            <w:r>
              <w:rPr>
                <w:rStyle w:val="14"/>
                <w:color w:val="auto"/>
                <w:highlight w:val="none"/>
                <w:lang w:val="en-US" w:eastAsia="zh-CN" w:bidi="ar"/>
              </w:rPr>
              <w:t xml:space="preserve">    </w:t>
            </w:r>
            <w:r>
              <w:rPr>
                <w:rStyle w:val="12"/>
                <w:color w:val="auto"/>
                <w:highlight w:val="none"/>
                <w:lang w:val="en-US" w:eastAsia="zh-CN" w:bidi="ar"/>
              </w:rPr>
              <w:t>项，共扣</w:t>
            </w:r>
            <w:r>
              <w:rPr>
                <w:rStyle w:val="14"/>
                <w:color w:val="auto"/>
                <w:highlight w:val="none"/>
                <w:lang w:val="en-US" w:eastAsia="zh-CN" w:bidi="ar"/>
              </w:rPr>
              <w:t xml:space="preserve">    </w:t>
            </w:r>
            <w:r>
              <w:rPr>
                <w:rStyle w:val="12"/>
                <w:color w:val="auto"/>
                <w:highlight w:val="none"/>
                <w:lang w:val="en-US" w:eastAsia="zh-CN" w:bidi="ar"/>
              </w:rPr>
              <w:t>分</w:t>
            </w:r>
          </w:p>
        </w:tc>
        <w:tc>
          <w:tcPr>
            <w:tcW w:w="13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552BD5">
            <w:pPr>
              <w:jc w:val="center"/>
              <w:rPr>
                <w:rFonts w:hint="eastAsia" w:ascii="仿宋" w:hAnsi="仿宋" w:eastAsia="仿宋" w:cs="仿宋"/>
                <w:i w:val="0"/>
                <w:iCs w:val="0"/>
                <w:color w:val="auto"/>
                <w:sz w:val="20"/>
                <w:szCs w:val="20"/>
                <w:highlight w:val="none"/>
                <w:u w:val="none"/>
              </w:rPr>
            </w:pPr>
          </w:p>
        </w:tc>
        <w:tc>
          <w:tcPr>
            <w:tcW w:w="12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1D9C01">
            <w:pPr>
              <w:jc w:val="center"/>
              <w:rPr>
                <w:rFonts w:hint="eastAsia" w:ascii="仿宋" w:hAnsi="仿宋" w:eastAsia="仿宋" w:cs="仿宋"/>
                <w:i w:val="0"/>
                <w:iCs w:val="0"/>
                <w:color w:val="auto"/>
                <w:sz w:val="20"/>
                <w:szCs w:val="20"/>
                <w:highlight w:val="none"/>
                <w:u w:val="none"/>
              </w:rPr>
            </w:pPr>
          </w:p>
        </w:tc>
      </w:tr>
      <w:tr w14:paraId="52896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187793">
            <w:pPr>
              <w:jc w:val="center"/>
              <w:rPr>
                <w:rFonts w:hint="eastAsia" w:ascii="仿宋" w:hAnsi="仿宋" w:eastAsia="仿宋" w:cs="仿宋"/>
                <w:i w:val="0"/>
                <w:iCs w:val="0"/>
                <w:color w:val="auto"/>
                <w:sz w:val="20"/>
                <w:szCs w:val="20"/>
                <w:highlight w:val="none"/>
                <w:u w:val="none"/>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2D860C">
            <w:pPr>
              <w:jc w:val="center"/>
              <w:rPr>
                <w:rFonts w:hint="eastAsia" w:ascii="仿宋" w:hAnsi="仿宋" w:eastAsia="仿宋" w:cs="仿宋"/>
                <w:i w:val="0"/>
                <w:iCs w:val="0"/>
                <w:color w:val="auto"/>
                <w:sz w:val="20"/>
                <w:szCs w:val="20"/>
                <w:highlight w:val="none"/>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F3BA2C">
            <w:pPr>
              <w:jc w:val="center"/>
              <w:rPr>
                <w:rFonts w:hint="eastAsia" w:ascii="仿宋" w:hAnsi="仿宋" w:eastAsia="仿宋" w:cs="仿宋"/>
                <w:i w:val="0"/>
                <w:iCs w:val="0"/>
                <w:color w:val="auto"/>
                <w:sz w:val="20"/>
                <w:szCs w:val="20"/>
                <w:highlight w:val="none"/>
                <w:u w:val="none"/>
              </w:rPr>
            </w:pPr>
          </w:p>
        </w:tc>
        <w:tc>
          <w:tcPr>
            <w:tcW w:w="5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2CB45B">
            <w:pPr>
              <w:keepNext w:val="0"/>
              <w:keepLines w:val="0"/>
              <w:widowControl/>
              <w:suppressLineNumbers w:val="0"/>
              <w:jc w:val="left"/>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□对中心监管员的疑问不能作出合理解释，扣5分 。</w:t>
            </w:r>
          </w:p>
        </w:tc>
        <w:tc>
          <w:tcPr>
            <w:tcW w:w="13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36EF67">
            <w:pPr>
              <w:jc w:val="center"/>
              <w:rPr>
                <w:rFonts w:hint="eastAsia" w:ascii="仿宋" w:hAnsi="仿宋" w:eastAsia="仿宋" w:cs="仿宋"/>
                <w:i w:val="0"/>
                <w:iCs w:val="0"/>
                <w:color w:val="auto"/>
                <w:sz w:val="20"/>
                <w:szCs w:val="20"/>
                <w:highlight w:val="none"/>
                <w:u w:val="none"/>
              </w:rPr>
            </w:pPr>
          </w:p>
        </w:tc>
        <w:tc>
          <w:tcPr>
            <w:tcW w:w="12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D207F0">
            <w:pPr>
              <w:jc w:val="center"/>
              <w:rPr>
                <w:rFonts w:hint="eastAsia" w:ascii="仿宋" w:hAnsi="仿宋" w:eastAsia="仿宋" w:cs="仿宋"/>
                <w:i w:val="0"/>
                <w:iCs w:val="0"/>
                <w:color w:val="auto"/>
                <w:sz w:val="20"/>
                <w:szCs w:val="20"/>
                <w:highlight w:val="none"/>
                <w:u w:val="none"/>
              </w:rPr>
            </w:pPr>
          </w:p>
        </w:tc>
      </w:tr>
      <w:tr w14:paraId="6D1FB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EFCCFC">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6</w:t>
            </w:r>
          </w:p>
        </w:tc>
        <w:tc>
          <w:tcPr>
            <w:tcW w:w="10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EDF411">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审核问题处理情况</w:t>
            </w:r>
          </w:p>
        </w:tc>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8830DD">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10</w:t>
            </w:r>
          </w:p>
        </w:tc>
        <w:tc>
          <w:tcPr>
            <w:tcW w:w="5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23EB58">
            <w:pPr>
              <w:keepNext w:val="0"/>
              <w:keepLines w:val="0"/>
              <w:widowControl/>
              <w:suppressLineNumbers w:val="0"/>
              <w:jc w:val="left"/>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□评审过程发现中重大事项没有如实、完整、及时汇报的扣10分；</w:t>
            </w:r>
          </w:p>
        </w:tc>
        <w:tc>
          <w:tcPr>
            <w:tcW w:w="13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54F49B">
            <w:pPr>
              <w:jc w:val="center"/>
              <w:rPr>
                <w:rFonts w:hint="eastAsia" w:ascii="仿宋" w:hAnsi="仿宋" w:eastAsia="仿宋" w:cs="仿宋"/>
                <w:i w:val="0"/>
                <w:iCs w:val="0"/>
                <w:color w:val="auto"/>
                <w:sz w:val="20"/>
                <w:szCs w:val="20"/>
                <w:highlight w:val="none"/>
                <w:u w:val="none"/>
              </w:rPr>
            </w:pPr>
          </w:p>
        </w:tc>
        <w:tc>
          <w:tcPr>
            <w:tcW w:w="12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1FD3CC">
            <w:pPr>
              <w:jc w:val="center"/>
              <w:rPr>
                <w:rFonts w:hint="eastAsia" w:ascii="仿宋" w:hAnsi="仿宋" w:eastAsia="仿宋" w:cs="仿宋"/>
                <w:i w:val="0"/>
                <w:iCs w:val="0"/>
                <w:color w:val="auto"/>
                <w:sz w:val="20"/>
                <w:szCs w:val="20"/>
                <w:highlight w:val="none"/>
                <w:u w:val="none"/>
              </w:rPr>
            </w:pPr>
          </w:p>
        </w:tc>
      </w:tr>
      <w:tr w14:paraId="1AB7FA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4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D72670">
            <w:pPr>
              <w:jc w:val="center"/>
              <w:rPr>
                <w:rFonts w:hint="eastAsia" w:ascii="仿宋" w:hAnsi="仿宋" w:eastAsia="仿宋" w:cs="仿宋"/>
                <w:i w:val="0"/>
                <w:iCs w:val="0"/>
                <w:color w:val="auto"/>
                <w:sz w:val="20"/>
                <w:szCs w:val="20"/>
                <w:highlight w:val="none"/>
                <w:u w:val="none"/>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7BE627">
            <w:pPr>
              <w:jc w:val="center"/>
              <w:rPr>
                <w:rFonts w:hint="eastAsia" w:ascii="仿宋" w:hAnsi="仿宋" w:eastAsia="仿宋" w:cs="仿宋"/>
                <w:i w:val="0"/>
                <w:iCs w:val="0"/>
                <w:color w:val="auto"/>
                <w:sz w:val="20"/>
                <w:szCs w:val="20"/>
                <w:highlight w:val="none"/>
                <w:u w:val="none"/>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32E674">
            <w:pPr>
              <w:jc w:val="center"/>
              <w:rPr>
                <w:rFonts w:hint="eastAsia" w:ascii="仿宋" w:hAnsi="仿宋" w:eastAsia="仿宋" w:cs="仿宋"/>
                <w:i w:val="0"/>
                <w:iCs w:val="0"/>
                <w:color w:val="auto"/>
                <w:sz w:val="20"/>
                <w:szCs w:val="20"/>
                <w:highlight w:val="none"/>
                <w:u w:val="none"/>
              </w:rPr>
            </w:pPr>
          </w:p>
        </w:tc>
        <w:tc>
          <w:tcPr>
            <w:tcW w:w="5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953D92">
            <w:pPr>
              <w:keepNext w:val="0"/>
              <w:keepLines w:val="0"/>
              <w:widowControl/>
              <w:suppressLineNumbers w:val="0"/>
              <w:jc w:val="left"/>
              <w:textAlignment w:val="center"/>
              <w:rPr>
                <w:rFonts w:hint="eastAsia" w:ascii="仿宋" w:hAnsi="仿宋" w:eastAsia="仿宋" w:cs="仿宋"/>
                <w:i w:val="0"/>
                <w:iCs w:val="0"/>
                <w:color w:val="auto"/>
                <w:sz w:val="20"/>
                <w:szCs w:val="20"/>
                <w:highlight w:val="none"/>
                <w:u w:val="none"/>
              </w:rPr>
            </w:pPr>
            <w:r>
              <w:rPr>
                <w:rStyle w:val="12"/>
                <w:color w:val="auto"/>
                <w:highlight w:val="none"/>
                <w:lang w:val="en-US" w:eastAsia="zh-CN" w:bidi="ar"/>
              </w:rPr>
              <w:t>□对审核过程当中遇到的审核问题处理不准确、不恰当，每发现一处扣2分</w:t>
            </w:r>
            <w:r>
              <w:rPr>
                <w:rStyle w:val="15"/>
                <w:color w:val="auto"/>
                <w:highlight w:val="none"/>
                <w:lang w:val="en-US" w:eastAsia="zh-CN" w:bidi="ar"/>
              </w:rPr>
              <w:br w:type="textWrapping"/>
            </w:r>
            <w:r>
              <w:rPr>
                <w:rStyle w:val="12"/>
                <w:color w:val="auto"/>
                <w:highlight w:val="none"/>
                <w:lang w:val="en-US" w:eastAsia="zh-CN" w:bidi="ar"/>
              </w:rPr>
              <w:t>共</w:t>
            </w:r>
            <w:r>
              <w:rPr>
                <w:rStyle w:val="14"/>
                <w:color w:val="auto"/>
                <w:highlight w:val="none"/>
                <w:lang w:val="en-US" w:eastAsia="zh-CN" w:bidi="ar"/>
              </w:rPr>
              <w:t xml:space="preserve">    </w:t>
            </w:r>
            <w:r>
              <w:rPr>
                <w:rStyle w:val="12"/>
                <w:color w:val="auto"/>
                <w:highlight w:val="none"/>
                <w:lang w:val="en-US" w:eastAsia="zh-CN" w:bidi="ar"/>
              </w:rPr>
              <w:t>处，共扣</w:t>
            </w:r>
            <w:r>
              <w:rPr>
                <w:rStyle w:val="14"/>
                <w:color w:val="auto"/>
                <w:highlight w:val="none"/>
                <w:lang w:val="en-US" w:eastAsia="zh-CN" w:bidi="ar"/>
              </w:rPr>
              <w:t xml:space="preserve">    </w:t>
            </w:r>
            <w:r>
              <w:rPr>
                <w:rStyle w:val="12"/>
                <w:color w:val="auto"/>
                <w:highlight w:val="none"/>
                <w:lang w:val="en-US" w:eastAsia="zh-CN" w:bidi="ar"/>
              </w:rPr>
              <w:t>分</w:t>
            </w:r>
          </w:p>
        </w:tc>
        <w:tc>
          <w:tcPr>
            <w:tcW w:w="13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CC14B7">
            <w:pPr>
              <w:jc w:val="center"/>
              <w:rPr>
                <w:rFonts w:hint="eastAsia" w:ascii="仿宋" w:hAnsi="仿宋" w:eastAsia="仿宋" w:cs="仿宋"/>
                <w:i w:val="0"/>
                <w:iCs w:val="0"/>
                <w:color w:val="auto"/>
                <w:sz w:val="20"/>
                <w:szCs w:val="20"/>
                <w:highlight w:val="none"/>
                <w:u w:val="none"/>
              </w:rPr>
            </w:pPr>
          </w:p>
        </w:tc>
        <w:tc>
          <w:tcPr>
            <w:tcW w:w="12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7A5988">
            <w:pPr>
              <w:jc w:val="center"/>
              <w:rPr>
                <w:rFonts w:hint="eastAsia" w:ascii="仿宋" w:hAnsi="仿宋" w:eastAsia="仿宋" w:cs="仿宋"/>
                <w:i w:val="0"/>
                <w:iCs w:val="0"/>
                <w:color w:val="auto"/>
                <w:sz w:val="20"/>
                <w:szCs w:val="20"/>
                <w:highlight w:val="none"/>
                <w:u w:val="none"/>
              </w:rPr>
            </w:pPr>
          </w:p>
        </w:tc>
      </w:tr>
      <w:tr w14:paraId="73671E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0" w:hRule="atLeast"/>
        </w:trPr>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56826">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7</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36DC3">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保密情况</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A6C86">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6</w:t>
            </w:r>
          </w:p>
        </w:tc>
        <w:tc>
          <w:tcPr>
            <w:tcW w:w="5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DD98D7">
            <w:pPr>
              <w:keepNext w:val="0"/>
              <w:keepLines w:val="0"/>
              <w:widowControl/>
              <w:suppressLineNumbers w:val="0"/>
              <w:jc w:val="left"/>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对审核工作做到绝对保密，如发现下列情况本项不得分：</w:t>
            </w:r>
            <w:r>
              <w:rPr>
                <w:rFonts w:hint="eastAsia" w:ascii="仿宋" w:hAnsi="仿宋" w:eastAsia="仿宋" w:cs="仿宋"/>
                <w:i w:val="0"/>
                <w:iCs w:val="0"/>
                <w:color w:val="auto"/>
                <w:kern w:val="0"/>
                <w:sz w:val="20"/>
                <w:szCs w:val="20"/>
                <w:highlight w:val="none"/>
                <w:u w:val="none"/>
                <w:lang w:val="en-US" w:eastAsia="zh-CN" w:bidi="ar"/>
              </w:rPr>
              <w:br w:type="textWrapping"/>
            </w:r>
            <w:r>
              <w:rPr>
                <w:rFonts w:hint="eastAsia" w:ascii="仿宋" w:hAnsi="仿宋" w:eastAsia="仿宋" w:cs="仿宋"/>
                <w:i w:val="0"/>
                <w:iCs w:val="0"/>
                <w:color w:val="auto"/>
                <w:kern w:val="0"/>
                <w:sz w:val="20"/>
                <w:szCs w:val="20"/>
                <w:highlight w:val="none"/>
                <w:u w:val="none"/>
                <w:lang w:val="en-US" w:eastAsia="zh-CN" w:bidi="ar"/>
              </w:rPr>
              <w:t>□泄露审核内容及审核进度； □泄露审核工程主要信息；</w:t>
            </w:r>
            <w:r>
              <w:rPr>
                <w:rFonts w:hint="eastAsia" w:ascii="仿宋" w:hAnsi="仿宋" w:eastAsia="仿宋" w:cs="仿宋"/>
                <w:i w:val="0"/>
                <w:iCs w:val="0"/>
                <w:color w:val="auto"/>
                <w:kern w:val="0"/>
                <w:sz w:val="20"/>
                <w:szCs w:val="20"/>
                <w:highlight w:val="none"/>
                <w:u w:val="none"/>
                <w:lang w:val="en-US" w:eastAsia="zh-CN" w:bidi="ar"/>
              </w:rPr>
              <w:br w:type="textWrapping"/>
            </w:r>
            <w:r>
              <w:rPr>
                <w:rFonts w:hint="eastAsia" w:ascii="仿宋" w:hAnsi="仿宋" w:eastAsia="仿宋" w:cs="仿宋"/>
                <w:i w:val="0"/>
                <w:iCs w:val="0"/>
                <w:color w:val="auto"/>
                <w:kern w:val="0"/>
                <w:sz w:val="20"/>
                <w:szCs w:val="20"/>
                <w:highlight w:val="none"/>
                <w:u w:val="none"/>
                <w:lang w:val="en-US" w:eastAsia="zh-CN" w:bidi="ar"/>
              </w:rPr>
              <w:t>□泄露审核金额；□泄露审核人员信息；□违反中心要求的其他保密工作。</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86CFF">
            <w:pPr>
              <w:jc w:val="center"/>
              <w:rPr>
                <w:rFonts w:hint="eastAsia" w:ascii="仿宋" w:hAnsi="仿宋" w:eastAsia="仿宋" w:cs="仿宋"/>
                <w:i w:val="0"/>
                <w:iCs w:val="0"/>
                <w:color w:val="auto"/>
                <w:sz w:val="20"/>
                <w:szCs w:val="20"/>
                <w:highlight w:val="none"/>
                <w:u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D4C3F">
            <w:pPr>
              <w:jc w:val="center"/>
              <w:rPr>
                <w:rFonts w:hint="eastAsia" w:ascii="仿宋" w:hAnsi="仿宋" w:eastAsia="仿宋" w:cs="仿宋"/>
                <w:i w:val="0"/>
                <w:iCs w:val="0"/>
                <w:color w:val="auto"/>
                <w:sz w:val="20"/>
                <w:szCs w:val="20"/>
                <w:highlight w:val="none"/>
                <w:u w:val="none"/>
              </w:rPr>
            </w:pPr>
          </w:p>
        </w:tc>
      </w:tr>
      <w:tr w14:paraId="107341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EB408">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8</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AD69C">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审核廉洁情况</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A4D27">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10</w:t>
            </w:r>
          </w:p>
        </w:tc>
        <w:tc>
          <w:tcPr>
            <w:tcW w:w="53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6A0EC6">
            <w:pPr>
              <w:keepNext w:val="0"/>
              <w:keepLines w:val="0"/>
              <w:widowControl/>
              <w:suppressLineNumbers w:val="0"/>
              <w:jc w:val="left"/>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□违反中心廉洁规定其中一项，本项不得分。</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4362A">
            <w:pPr>
              <w:jc w:val="center"/>
              <w:rPr>
                <w:rFonts w:hint="eastAsia" w:ascii="仿宋" w:hAnsi="仿宋" w:eastAsia="仿宋" w:cs="仿宋"/>
                <w:i w:val="0"/>
                <w:iCs w:val="0"/>
                <w:color w:val="auto"/>
                <w:sz w:val="20"/>
                <w:szCs w:val="20"/>
                <w:highlight w:val="none"/>
                <w:u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9D1ED">
            <w:pPr>
              <w:jc w:val="center"/>
              <w:rPr>
                <w:rFonts w:hint="eastAsia" w:ascii="仿宋" w:hAnsi="仿宋" w:eastAsia="仿宋" w:cs="仿宋"/>
                <w:i w:val="0"/>
                <w:iCs w:val="0"/>
                <w:color w:val="auto"/>
                <w:sz w:val="20"/>
                <w:szCs w:val="20"/>
                <w:highlight w:val="none"/>
                <w:u w:val="none"/>
              </w:rPr>
            </w:pPr>
          </w:p>
        </w:tc>
      </w:tr>
      <w:tr w14:paraId="47EF3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69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D571051">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合计</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E01FC">
            <w:pPr>
              <w:jc w:val="center"/>
              <w:rPr>
                <w:rFonts w:hint="eastAsia" w:ascii="仿宋" w:hAnsi="仿宋" w:eastAsia="仿宋" w:cs="仿宋"/>
                <w:i w:val="0"/>
                <w:iCs w:val="0"/>
                <w:color w:val="auto"/>
                <w:sz w:val="20"/>
                <w:szCs w:val="20"/>
                <w:highlight w:val="none"/>
                <w:u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1445D">
            <w:pPr>
              <w:jc w:val="center"/>
              <w:rPr>
                <w:rFonts w:hint="eastAsia" w:ascii="仿宋" w:hAnsi="仿宋" w:eastAsia="仿宋" w:cs="仿宋"/>
                <w:i w:val="0"/>
                <w:iCs w:val="0"/>
                <w:color w:val="auto"/>
                <w:sz w:val="20"/>
                <w:szCs w:val="20"/>
                <w:highlight w:val="none"/>
                <w:u w:val="none"/>
              </w:rPr>
            </w:pPr>
          </w:p>
        </w:tc>
      </w:tr>
      <w:tr w14:paraId="609281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5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AC13B6">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建议完善措施</w:t>
            </w:r>
          </w:p>
        </w:tc>
        <w:tc>
          <w:tcPr>
            <w:tcW w:w="883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CDF155F">
            <w:pPr>
              <w:jc w:val="center"/>
              <w:rPr>
                <w:rFonts w:hint="eastAsia" w:ascii="仿宋" w:hAnsi="仿宋" w:eastAsia="仿宋" w:cs="仿宋"/>
                <w:i w:val="0"/>
                <w:iCs w:val="0"/>
                <w:color w:val="auto"/>
                <w:sz w:val="20"/>
                <w:szCs w:val="20"/>
                <w:highlight w:val="none"/>
                <w:u w:val="none"/>
              </w:rPr>
            </w:pPr>
          </w:p>
        </w:tc>
      </w:tr>
    </w:tbl>
    <w:p w14:paraId="070E5B0D">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rPr>
          <w:rFonts w:hint="eastAsia" w:hAnsi="宋体" w:cs="宋体"/>
          <w:b/>
          <w:bCs/>
          <w:color w:val="auto"/>
          <w:szCs w:val="21"/>
          <w:highlight w:val="none"/>
          <w:lang w:val="en-US" w:eastAsia="zh-CN"/>
        </w:rPr>
      </w:pPr>
    </w:p>
    <w:p w14:paraId="1DE4DF2E">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rPr>
          <w:rFonts w:hint="eastAsia" w:hAnsi="宋体" w:cs="宋体"/>
          <w:b/>
          <w:bCs/>
          <w:color w:val="auto"/>
          <w:szCs w:val="21"/>
          <w:highlight w:val="none"/>
          <w:lang w:val="en-US" w:eastAsia="zh-CN"/>
        </w:rPr>
      </w:pPr>
    </w:p>
    <w:p w14:paraId="7153ABA0">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rPr>
          <w:rFonts w:hint="eastAsia" w:hAnsi="宋体" w:cs="宋体"/>
          <w:b/>
          <w:bCs/>
          <w:color w:val="auto"/>
          <w:szCs w:val="21"/>
          <w:highlight w:val="none"/>
          <w:lang w:val="en-US" w:eastAsia="zh-CN"/>
        </w:rPr>
      </w:pPr>
    </w:p>
    <w:p w14:paraId="18009F3B">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rPr>
          <w:rFonts w:hint="eastAsia" w:hAnsi="宋体" w:cs="宋体"/>
          <w:b/>
          <w:bCs/>
          <w:color w:val="auto"/>
          <w:szCs w:val="21"/>
          <w:highlight w:val="none"/>
          <w:lang w:val="en-US" w:eastAsia="zh-CN"/>
        </w:rPr>
      </w:pPr>
    </w:p>
    <w:p w14:paraId="7B55B692">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rPr>
          <w:rFonts w:hint="eastAsia" w:hAnsi="宋体" w:cs="宋体"/>
          <w:b/>
          <w:bCs/>
          <w:color w:val="auto"/>
          <w:szCs w:val="21"/>
          <w:highlight w:val="none"/>
          <w:lang w:val="en-US" w:eastAsia="zh-CN"/>
        </w:rPr>
      </w:pPr>
    </w:p>
    <w:p w14:paraId="30A5579B">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rPr>
          <w:rFonts w:hint="eastAsia" w:hAnsi="宋体" w:cs="宋体"/>
          <w:b/>
          <w:bCs/>
          <w:color w:val="auto"/>
          <w:szCs w:val="21"/>
          <w:highlight w:val="none"/>
          <w:lang w:val="en-US" w:eastAsia="zh-CN"/>
        </w:rPr>
      </w:pPr>
    </w:p>
    <w:p w14:paraId="00D39C22">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rPr>
          <w:rFonts w:hint="eastAsia" w:hAnsi="宋体" w:cs="宋体"/>
          <w:b/>
          <w:bCs/>
          <w:color w:val="auto"/>
          <w:szCs w:val="21"/>
          <w:highlight w:val="none"/>
          <w:lang w:val="en-US" w:eastAsia="zh-CN"/>
        </w:rPr>
      </w:pPr>
    </w:p>
    <w:p w14:paraId="12965999">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rPr>
          <w:rFonts w:hint="eastAsia" w:hAnsi="宋体" w:cs="宋体"/>
          <w:b/>
          <w:bCs/>
          <w:color w:val="auto"/>
          <w:szCs w:val="21"/>
          <w:highlight w:val="none"/>
          <w:lang w:val="en-US" w:eastAsia="zh-CN"/>
        </w:rPr>
      </w:pPr>
    </w:p>
    <w:p w14:paraId="19FB59C7">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rPr>
          <w:rFonts w:hint="eastAsia" w:hAnsi="宋体" w:cs="宋体"/>
          <w:b/>
          <w:bCs/>
          <w:color w:val="auto"/>
          <w:szCs w:val="21"/>
          <w:highlight w:val="none"/>
          <w:lang w:val="en-US" w:eastAsia="zh-CN"/>
        </w:rPr>
      </w:pPr>
    </w:p>
    <w:p w14:paraId="00C87407">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rPr>
          <w:rFonts w:hint="eastAsia" w:hAnsi="宋体" w:cs="宋体"/>
          <w:b/>
          <w:bCs/>
          <w:color w:val="auto"/>
          <w:szCs w:val="21"/>
          <w:highlight w:val="none"/>
          <w:lang w:val="en-US" w:eastAsia="zh-CN"/>
        </w:rPr>
      </w:pPr>
    </w:p>
    <w:p w14:paraId="1F2AFEAA">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rPr>
          <w:rFonts w:hint="eastAsia" w:hAnsi="宋体" w:cs="宋体"/>
          <w:b/>
          <w:bCs/>
          <w:color w:val="auto"/>
          <w:szCs w:val="21"/>
          <w:highlight w:val="none"/>
          <w:lang w:val="en-US" w:eastAsia="zh-CN"/>
        </w:rPr>
      </w:pPr>
    </w:p>
    <w:p w14:paraId="186BBE4B">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rPr>
          <w:rFonts w:hint="eastAsia" w:hAnsi="宋体" w:cs="宋体"/>
          <w:b/>
          <w:bCs/>
          <w:color w:val="auto"/>
          <w:szCs w:val="21"/>
          <w:highlight w:val="none"/>
          <w:lang w:val="en-US" w:eastAsia="zh-CN"/>
        </w:rPr>
      </w:pPr>
    </w:p>
    <w:p w14:paraId="63239E0F">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rPr>
          <w:rFonts w:hint="eastAsia" w:hAnsi="宋体" w:cs="宋体"/>
          <w:b/>
          <w:bCs/>
          <w:color w:val="auto"/>
          <w:szCs w:val="21"/>
          <w:highlight w:val="none"/>
          <w:lang w:val="en-US" w:eastAsia="zh-CN"/>
        </w:rPr>
      </w:pPr>
    </w:p>
    <w:p w14:paraId="4A7B32E2">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rPr>
          <w:rFonts w:hint="eastAsia" w:hAnsi="宋体" w:cs="宋体"/>
          <w:b/>
          <w:bCs/>
          <w:color w:val="auto"/>
          <w:szCs w:val="21"/>
          <w:highlight w:val="none"/>
          <w:lang w:val="en-US" w:eastAsia="zh-CN"/>
        </w:rPr>
      </w:pPr>
    </w:p>
    <w:p w14:paraId="70B967A7">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rPr>
          <w:rFonts w:hint="eastAsia" w:hAnsi="宋体" w:cs="宋体"/>
          <w:b/>
          <w:bCs/>
          <w:color w:val="auto"/>
          <w:szCs w:val="21"/>
          <w:highlight w:val="none"/>
          <w:lang w:val="en-US" w:eastAsia="zh-CN"/>
        </w:rPr>
      </w:pPr>
    </w:p>
    <w:p w14:paraId="40848FBE">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rPr>
          <w:rFonts w:hint="eastAsia" w:hAnsi="宋体" w:cs="宋体"/>
          <w:b/>
          <w:bCs/>
          <w:color w:val="auto"/>
          <w:szCs w:val="21"/>
          <w:highlight w:val="none"/>
          <w:lang w:val="en-US" w:eastAsia="zh-CN"/>
        </w:rPr>
      </w:pPr>
    </w:p>
    <w:p w14:paraId="5CCBE806">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rPr>
          <w:rFonts w:hint="eastAsia" w:hAnsi="宋体" w:cs="宋体"/>
          <w:b/>
          <w:bCs/>
          <w:color w:val="auto"/>
          <w:szCs w:val="21"/>
          <w:highlight w:val="none"/>
          <w:lang w:val="en-US" w:eastAsia="zh-CN"/>
        </w:rPr>
      </w:pPr>
    </w:p>
    <w:p w14:paraId="6FF8EB6A">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rPr>
          <w:rFonts w:hint="eastAsia" w:hAnsi="宋体" w:cs="宋体"/>
          <w:b/>
          <w:bCs/>
          <w:color w:val="auto"/>
          <w:szCs w:val="21"/>
          <w:highlight w:val="none"/>
          <w:lang w:val="en-US" w:eastAsia="zh-CN"/>
        </w:rPr>
      </w:pPr>
    </w:p>
    <w:p w14:paraId="3A65E0F8">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rPr>
          <w:rFonts w:hint="eastAsia" w:hAnsi="宋体" w:cs="宋体"/>
          <w:b/>
          <w:bCs/>
          <w:color w:val="auto"/>
          <w:szCs w:val="21"/>
          <w:highlight w:val="none"/>
          <w:lang w:val="en-US" w:eastAsia="zh-CN"/>
        </w:rPr>
      </w:pPr>
    </w:p>
    <w:p w14:paraId="68943649">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rPr>
          <w:rFonts w:hint="eastAsia" w:ascii="宋体" w:hAnsi="宋体" w:eastAsia="宋体" w:cs="宋体"/>
          <w:b/>
          <w:bCs/>
          <w:color w:val="auto"/>
          <w:szCs w:val="21"/>
          <w:highlight w:val="none"/>
          <w:lang w:val="en-US" w:eastAsia="zh-CN"/>
        </w:rPr>
      </w:pPr>
      <w:r>
        <w:rPr>
          <w:rFonts w:hint="eastAsia" w:hAnsi="宋体" w:cs="宋体"/>
          <w:b/>
          <w:bCs/>
          <w:color w:val="auto"/>
          <w:szCs w:val="21"/>
          <w:highlight w:val="none"/>
          <w:lang w:val="en-US" w:eastAsia="zh-CN"/>
        </w:rPr>
        <w:t>附件三之附表3：</w:t>
      </w:r>
    </w:p>
    <w:tbl>
      <w:tblPr>
        <w:tblStyle w:val="6"/>
        <w:tblW w:w="94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100"/>
        <w:gridCol w:w="3449"/>
        <w:gridCol w:w="1270"/>
        <w:gridCol w:w="1317"/>
        <w:gridCol w:w="1343"/>
        <w:gridCol w:w="961"/>
      </w:tblGrid>
      <w:tr w14:paraId="063AB0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9440" w:type="dxa"/>
            <w:gridSpan w:val="6"/>
            <w:tcBorders>
              <w:top w:val="nil"/>
              <w:left w:val="nil"/>
              <w:bottom w:val="nil"/>
              <w:right w:val="nil"/>
            </w:tcBorders>
            <w:noWrap w:val="0"/>
            <w:vAlign w:val="bottom"/>
          </w:tcPr>
          <w:p w14:paraId="5EDA3D76">
            <w:pPr>
              <w:keepNext w:val="0"/>
              <w:keepLines w:val="0"/>
              <w:widowControl/>
              <w:suppressLineNumbers w:val="0"/>
              <w:jc w:val="center"/>
              <w:textAlignment w:val="bottom"/>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32"/>
                <w:szCs w:val="32"/>
                <w:highlight w:val="none"/>
                <w:u w:val="none"/>
                <w:lang w:val="en-US" w:eastAsia="zh-CN" w:bidi="ar"/>
              </w:rPr>
              <w:t xml:space="preserve"> </w:t>
            </w:r>
            <w:r>
              <w:rPr>
                <w:rStyle w:val="11"/>
                <w:rFonts w:hint="eastAsia" w:ascii="宋体" w:hAnsi="宋体" w:eastAsia="宋体" w:cs="宋体"/>
                <w:color w:val="auto"/>
                <w:sz w:val="32"/>
                <w:szCs w:val="32"/>
                <w:highlight w:val="none"/>
                <w:lang w:val="en-US" w:eastAsia="zh-CN" w:bidi="ar"/>
              </w:rPr>
              <w:t>审核差错率计算表（被审计项目）</w:t>
            </w:r>
          </w:p>
        </w:tc>
      </w:tr>
      <w:tr w14:paraId="19CE53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5" w:hRule="atLeast"/>
        </w:trPr>
        <w:tc>
          <w:tcPr>
            <w:tcW w:w="9440" w:type="dxa"/>
            <w:gridSpan w:val="6"/>
            <w:tcBorders>
              <w:top w:val="nil"/>
              <w:left w:val="nil"/>
              <w:bottom w:val="nil"/>
              <w:right w:val="nil"/>
            </w:tcBorders>
            <w:noWrap w:val="0"/>
            <w:vAlign w:val="bottom"/>
          </w:tcPr>
          <w:p w14:paraId="42FB8BBD">
            <w:pPr>
              <w:keepNext w:val="0"/>
              <w:keepLines w:val="0"/>
              <w:widowControl/>
              <w:suppressLineNumbers w:val="0"/>
              <w:jc w:val="left"/>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项目名称：</w:t>
            </w:r>
          </w:p>
        </w:tc>
      </w:tr>
      <w:tr w14:paraId="78A76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5" w:hRule="atLeast"/>
        </w:trPr>
        <w:tc>
          <w:tcPr>
            <w:tcW w:w="9440" w:type="dxa"/>
            <w:gridSpan w:val="6"/>
            <w:tcBorders>
              <w:top w:val="nil"/>
              <w:left w:val="nil"/>
              <w:bottom w:val="nil"/>
              <w:right w:val="nil"/>
            </w:tcBorders>
            <w:noWrap w:val="0"/>
            <w:vAlign w:val="bottom"/>
          </w:tcPr>
          <w:p w14:paraId="0A3BCA8B">
            <w:pPr>
              <w:keepNext w:val="0"/>
              <w:keepLines w:val="0"/>
              <w:widowControl/>
              <w:suppressLineNumbers w:val="0"/>
              <w:jc w:val="left"/>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项目送审造价：   元</w:t>
            </w:r>
          </w:p>
        </w:tc>
      </w:tr>
      <w:tr w14:paraId="364C6D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5" w:hRule="atLeast"/>
        </w:trPr>
        <w:tc>
          <w:tcPr>
            <w:tcW w:w="9440" w:type="dxa"/>
            <w:gridSpan w:val="6"/>
            <w:tcBorders>
              <w:top w:val="nil"/>
              <w:left w:val="nil"/>
              <w:bottom w:val="nil"/>
              <w:right w:val="nil"/>
            </w:tcBorders>
            <w:noWrap w:val="0"/>
            <w:vAlign w:val="bottom"/>
          </w:tcPr>
          <w:p w14:paraId="58507763">
            <w:pPr>
              <w:keepNext w:val="0"/>
              <w:keepLines w:val="0"/>
              <w:widowControl/>
              <w:suppressLineNumbers w:val="0"/>
              <w:jc w:val="left"/>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项目审核定案造价：   元</w:t>
            </w:r>
          </w:p>
        </w:tc>
      </w:tr>
      <w:tr w14:paraId="019CBB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trPr>
        <w:tc>
          <w:tcPr>
            <w:tcW w:w="9440" w:type="dxa"/>
            <w:gridSpan w:val="6"/>
            <w:tcBorders>
              <w:top w:val="nil"/>
              <w:left w:val="nil"/>
              <w:bottom w:val="nil"/>
              <w:right w:val="nil"/>
            </w:tcBorders>
            <w:noWrap w:val="0"/>
            <w:vAlign w:val="bottom"/>
          </w:tcPr>
          <w:p w14:paraId="1022A15E">
            <w:pPr>
              <w:keepNext w:val="0"/>
              <w:keepLines w:val="0"/>
              <w:widowControl/>
              <w:suppressLineNumbers w:val="0"/>
              <w:jc w:val="left"/>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项目审计部门定案造价：   元</w:t>
            </w:r>
          </w:p>
        </w:tc>
      </w:tr>
      <w:tr w14:paraId="5888C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1100" w:type="dxa"/>
            <w:vMerge w:val="restart"/>
            <w:tcBorders>
              <w:top w:val="single" w:color="000000" w:sz="4" w:space="0"/>
              <w:left w:val="single" w:color="000000" w:sz="4" w:space="0"/>
              <w:bottom w:val="single" w:color="000000" w:sz="4" w:space="0"/>
              <w:right w:val="single" w:color="000000" w:sz="4" w:space="0"/>
            </w:tcBorders>
            <w:noWrap w:val="0"/>
            <w:vAlign w:val="center"/>
          </w:tcPr>
          <w:p w14:paraId="3B03B64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3449" w:type="dxa"/>
            <w:vMerge w:val="restart"/>
            <w:tcBorders>
              <w:top w:val="single" w:color="000000" w:sz="4" w:space="0"/>
              <w:left w:val="single" w:color="000000" w:sz="4" w:space="0"/>
              <w:bottom w:val="single" w:color="000000" w:sz="4" w:space="0"/>
              <w:right w:val="single" w:color="000000" w:sz="4" w:space="0"/>
            </w:tcBorders>
            <w:noWrap w:val="0"/>
            <w:vAlign w:val="center"/>
          </w:tcPr>
          <w:p w14:paraId="4ED0007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审核内容</w:t>
            </w:r>
          </w:p>
        </w:tc>
        <w:tc>
          <w:tcPr>
            <w:tcW w:w="1270" w:type="dxa"/>
            <w:tcBorders>
              <w:top w:val="single" w:color="000000" w:sz="4" w:space="0"/>
              <w:left w:val="single" w:color="000000" w:sz="4" w:space="0"/>
              <w:bottom w:val="single" w:color="000000" w:sz="4" w:space="0"/>
              <w:right w:val="single" w:color="000000" w:sz="4" w:space="0"/>
            </w:tcBorders>
            <w:noWrap w:val="0"/>
            <w:vAlign w:val="center"/>
          </w:tcPr>
          <w:p w14:paraId="3AE1D63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中心审核定案价</w:t>
            </w:r>
          </w:p>
        </w:tc>
        <w:tc>
          <w:tcPr>
            <w:tcW w:w="1317" w:type="dxa"/>
            <w:tcBorders>
              <w:top w:val="single" w:color="000000" w:sz="4" w:space="0"/>
              <w:left w:val="single" w:color="000000" w:sz="4" w:space="0"/>
              <w:bottom w:val="single" w:color="000000" w:sz="4" w:space="0"/>
              <w:right w:val="single" w:color="000000" w:sz="4" w:space="0"/>
            </w:tcBorders>
            <w:noWrap w:val="0"/>
            <w:vAlign w:val="center"/>
          </w:tcPr>
          <w:p w14:paraId="208D521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审计部门定案价</w:t>
            </w:r>
          </w:p>
        </w:tc>
        <w:tc>
          <w:tcPr>
            <w:tcW w:w="1343" w:type="dxa"/>
            <w:vMerge w:val="restart"/>
            <w:tcBorders>
              <w:top w:val="single" w:color="000000" w:sz="4" w:space="0"/>
              <w:left w:val="single" w:color="000000" w:sz="4" w:space="0"/>
              <w:bottom w:val="single" w:color="000000" w:sz="4" w:space="0"/>
              <w:right w:val="single" w:color="000000" w:sz="4" w:space="0"/>
            </w:tcBorders>
            <w:noWrap w:val="0"/>
            <w:vAlign w:val="center"/>
          </w:tcPr>
          <w:p w14:paraId="2564F5B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增减对比（元）</w:t>
            </w:r>
          </w:p>
        </w:tc>
        <w:tc>
          <w:tcPr>
            <w:tcW w:w="961" w:type="dxa"/>
            <w:vMerge w:val="restart"/>
            <w:tcBorders>
              <w:top w:val="single" w:color="000000" w:sz="4" w:space="0"/>
              <w:left w:val="single" w:color="000000" w:sz="4" w:space="0"/>
              <w:bottom w:val="single" w:color="000000" w:sz="4" w:space="0"/>
              <w:right w:val="single" w:color="000000" w:sz="4" w:space="0"/>
            </w:tcBorders>
            <w:noWrap w:val="0"/>
            <w:vAlign w:val="center"/>
          </w:tcPr>
          <w:p w14:paraId="38DBBB7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差错率</w:t>
            </w:r>
          </w:p>
        </w:tc>
      </w:tr>
      <w:tr w14:paraId="5C3A70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5" w:hRule="atLeast"/>
        </w:trPr>
        <w:tc>
          <w:tcPr>
            <w:tcW w:w="11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A79F43">
            <w:pPr>
              <w:jc w:val="center"/>
              <w:rPr>
                <w:rFonts w:hint="eastAsia" w:ascii="宋体" w:hAnsi="宋体" w:eastAsia="宋体" w:cs="宋体"/>
                <w:i w:val="0"/>
                <w:iCs w:val="0"/>
                <w:color w:val="auto"/>
                <w:sz w:val="21"/>
                <w:szCs w:val="21"/>
                <w:highlight w:val="none"/>
                <w:u w:val="none"/>
              </w:rPr>
            </w:pPr>
          </w:p>
        </w:tc>
        <w:tc>
          <w:tcPr>
            <w:tcW w:w="344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EDE0E77">
            <w:pPr>
              <w:jc w:val="center"/>
              <w:rPr>
                <w:rFonts w:hint="eastAsia" w:ascii="宋体" w:hAnsi="宋体" w:eastAsia="宋体" w:cs="宋体"/>
                <w:i w:val="0"/>
                <w:iCs w:val="0"/>
                <w:color w:val="auto"/>
                <w:sz w:val="21"/>
                <w:szCs w:val="21"/>
                <w:highlight w:val="none"/>
                <w:u w:val="none"/>
              </w:rPr>
            </w:pPr>
          </w:p>
        </w:tc>
        <w:tc>
          <w:tcPr>
            <w:tcW w:w="1270" w:type="dxa"/>
            <w:tcBorders>
              <w:top w:val="single" w:color="000000" w:sz="4" w:space="0"/>
              <w:left w:val="single" w:color="000000" w:sz="4" w:space="0"/>
              <w:bottom w:val="single" w:color="000000" w:sz="4" w:space="0"/>
              <w:right w:val="single" w:color="000000" w:sz="4" w:space="0"/>
            </w:tcBorders>
            <w:noWrap w:val="0"/>
            <w:vAlign w:val="center"/>
          </w:tcPr>
          <w:p w14:paraId="40885C7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(元）</w:t>
            </w:r>
          </w:p>
        </w:tc>
        <w:tc>
          <w:tcPr>
            <w:tcW w:w="1317" w:type="dxa"/>
            <w:tcBorders>
              <w:top w:val="single" w:color="000000" w:sz="4" w:space="0"/>
              <w:left w:val="single" w:color="000000" w:sz="4" w:space="0"/>
              <w:bottom w:val="single" w:color="000000" w:sz="4" w:space="0"/>
              <w:right w:val="single" w:color="000000" w:sz="4" w:space="0"/>
            </w:tcBorders>
            <w:noWrap w:val="0"/>
            <w:vAlign w:val="center"/>
          </w:tcPr>
          <w:p w14:paraId="4915AC9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(元）</w:t>
            </w:r>
          </w:p>
        </w:tc>
        <w:tc>
          <w:tcPr>
            <w:tcW w:w="13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7DA157">
            <w:pPr>
              <w:jc w:val="center"/>
              <w:rPr>
                <w:rFonts w:hint="eastAsia" w:ascii="宋体" w:hAnsi="宋体" w:eastAsia="宋体" w:cs="宋体"/>
                <w:i w:val="0"/>
                <w:iCs w:val="0"/>
                <w:color w:val="auto"/>
                <w:sz w:val="21"/>
                <w:szCs w:val="21"/>
                <w:highlight w:val="none"/>
                <w:u w:val="none"/>
              </w:rPr>
            </w:pPr>
          </w:p>
        </w:tc>
        <w:tc>
          <w:tcPr>
            <w:tcW w:w="96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E8E2FA">
            <w:pPr>
              <w:jc w:val="center"/>
              <w:rPr>
                <w:rFonts w:hint="eastAsia" w:ascii="宋体" w:hAnsi="宋体" w:eastAsia="宋体" w:cs="宋体"/>
                <w:i w:val="0"/>
                <w:iCs w:val="0"/>
                <w:color w:val="auto"/>
                <w:sz w:val="21"/>
                <w:szCs w:val="21"/>
                <w:highlight w:val="none"/>
                <w:u w:val="none"/>
              </w:rPr>
            </w:pPr>
          </w:p>
        </w:tc>
      </w:tr>
      <w:tr w14:paraId="6B0611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0" w:hRule="atLeast"/>
        </w:trPr>
        <w:tc>
          <w:tcPr>
            <w:tcW w:w="1100" w:type="dxa"/>
            <w:tcBorders>
              <w:top w:val="single" w:color="000000" w:sz="4" w:space="0"/>
              <w:left w:val="single" w:color="000000" w:sz="4" w:space="0"/>
              <w:bottom w:val="single" w:color="000000" w:sz="4" w:space="0"/>
              <w:right w:val="single" w:color="000000" w:sz="4" w:space="0"/>
            </w:tcBorders>
            <w:noWrap w:val="0"/>
            <w:vAlign w:val="center"/>
          </w:tcPr>
          <w:p w14:paraId="6E895B4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3449" w:type="dxa"/>
            <w:tcBorders>
              <w:top w:val="single" w:color="000000" w:sz="4" w:space="0"/>
              <w:left w:val="single" w:color="000000" w:sz="4" w:space="0"/>
              <w:bottom w:val="single" w:color="000000" w:sz="4" w:space="0"/>
              <w:right w:val="single" w:color="000000" w:sz="4" w:space="0"/>
            </w:tcBorders>
            <w:noWrap w:val="0"/>
            <w:vAlign w:val="bottom"/>
          </w:tcPr>
          <w:p w14:paraId="6004473F">
            <w:pPr>
              <w:jc w:val="left"/>
              <w:rPr>
                <w:rFonts w:hint="eastAsia" w:ascii="宋体" w:hAnsi="宋体" w:eastAsia="宋体" w:cs="宋体"/>
                <w:i w:val="0"/>
                <w:iCs w:val="0"/>
                <w:color w:val="auto"/>
                <w:sz w:val="21"/>
                <w:szCs w:val="21"/>
                <w:highlight w:val="none"/>
                <w:u w:val="none"/>
              </w:rPr>
            </w:pPr>
          </w:p>
        </w:tc>
        <w:tc>
          <w:tcPr>
            <w:tcW w:w="1270" w:type="dxa"/>
            <w:tcBorders>
              <w:top w:val="single" w:color="000000" w:sz="4" w:space="0"/>
              <w:left w:val="single" w:color="000000" w:sz="4" w:space="0"/>
              <w:bottom w:val="single" w:color="000000" w:sz="4" w:space="0"/>
              <w:right w:val="single" w:color="000000" w:sz="4" w:space="0"/>
            </w:tcBorders>
            <w:noWrap w:val="0"/>
            <w:vAlign w:val="bottom"/>
          </w:tcPr>
          <w:p w14:paraId="5CED4C2D">
            <w:pPr>
              <w:jc w:val="right"/>
              <w:rPr>
                <w:rFonts w:hint="eastAsia" w:ascii="宋体" w:hAnsi="宋体" w:eastAsia="宋体" w:cs="宋体"/>
                <w:i w:val="0"/>
                <w:iCs w:val="0"/>
                <w:color w:val="auto"/>
                <w:sz w:val="21"/>
                <w:szCs w:val="21"/>
                <w:highlight w:val="none"/>
                <w:u w:val="none"/>
              </w:rPr>
            </w:pPr>
          </w:p>
        </w:tc>
        <w:tc>
          <w:tcPr>
            <w:tcW w:w="1317" w:type="dxa"/>
            <w:tcBorders>
              <w:top w:val="single" w:color="000000" w:sz="4" w:space="0"/>
              <w:left w:val="single" w:color="000000" w:sz="4" w:space="0"/>
              <w:bottom w:val="single" w:color="000000" w:sz="4" w:space="0"/>
              <w:right w:val="single" w:color="000000" w:sz="4" w:space="0"/>
            </w:tcBorders>
            <w:noWrap w:val="0"/>
            <w:vAlign w:val="bottom"/>
          </w:tcPr>
          <w:p w14:paraId="2D7558D6">
            <w:pPr>
              <w:jc w:val="right"/>
              <w:rPr>
                <w:rFonts w:hint="eastAsia" w:ascii="宋体" w:hAnsi="宋体" w:eastAsia="宋体" w:cs="宋体"/>
                <w:i w:val="0"/>
                <w:iCs w:val="0"/>
                <w:color w:val="auto"/>
                <w:sz w:val="21"/>
                <w:szCs w:val="21"/>
                <w:highlight w:val="none"/>
                <w:u w:val="none"/>
              </w:rPr>
            </w:pPr>
          </w:p>
        </w:tc>
        <w:tc>
          <w:tcPr>
            <w:tcW w:w="1343" w:type="dxa"/>
            <w:tcBorders>
              <w:top w:val="single" w:color="000000" w:sz="4" w:space="0"/>
              <w:left w:val="single" w:color="000000" w:sz="4" w:space="0"/>
              <w:bottom w:val="single" w:color="000000" w:sz="4" w:space="0"/>
              <w:right w:val="single" w:color="000000" w:sz="4" w:space="0"/>
            </w:tcBorders>
            <w:noWrap w:val="0"/>
            <w:vAlign w:val="bottom"/>
          </w:tcPr>
          <w:p w14:paraId="5BBE3157">
            <w:pPr>
              <w:jc w:val="right"/>
              <w:rPr>
                <w:rFonts w:hint="eastAsia" w:ascii="宋体" w:hAnsi="宋体" w:eastAsia="宋体" w:cs="宋体"/>
                <w:i w:val="0"/>
                <w:iCs w:val="0"/>
                <w:color w:val="auto"/>
                <w:sz w:val="21"/>
                <w:szCs w:val="21"/>
                <w:highlight w:val="none"/>
                <w:u w:val="none"/>
              </w:rPr>
            </w:pPr>
          </w:p>
        </w:tc>
        <w:tc>
          <w:tcPr>
            <w:tcW w:w="961" w:type="dxa"/>
            <w:tcBorders>
              <w:top w:val="single" w:color="000000" w:sz="4" w:space="0"/>
              <w:left w:val="single" w:color="000000" w:sz="4" w:space="0"/>
              <w:bottom w:val="single" w:color="000000" w:sz="4" w:space="0"/>
              <w:right w:val="single" w:color="000000" w:sz="4" w:space="0"/>
            </w:tcBorders>
            <w:noWrap w:val="0"/>
            <w:vAlign w:val="bottom"/>
          </w:tcPr>
          <w:p w14:paraId="3B1703A2">
            <w:pPr>
              <w:jc w:val="left"/>
              <w:rPr>
                <w:rFonts w:hint="eastAsia" w:ascii="宋体" w:hAnsi="宋体" w:eastAsia="宋体" w:cs="宋体"/>
                <w:i w:val="0"/>
                <w:iCs w:val="0"/>
                <w:color w:val="auto"/>
                <w:sz w:val="21"/>
                <w:szCs w:val="21"/>
                <w:highlight w:val="none"/>
                <w:u w:val="none"/>
              </w:rPr>
            </w:pPr>
          </w:p>
        </w:tc>
      </w:tr>
      <w:tr w14:paraId="4BEF0E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0" w:hRule="atLeast"/>
        </w:trPr>
        <w:tc>
          <w:tcPr>
            <w:tcW w:w="1100" w:type="dxa"/>
            <w:tcBorders>
              <w:top w:val="single" w:color="000000" w:sz="4" w:space="0"/>
              <w:left w:val="single" w:color="000000" w:sz="4" w:space="0"/>
              <w:bottom w:val="single" w:color="000000" w:sz="4" w:space="0"/>
              <w:right w:val="single" w:color="000000" w:sz="4" w:space="0"/>
            </w:tcBorders>
            <w:noWrap w:val="0"/>
            <w:vAlign w:val="center"/>
          </w:tcPr>
          <w:p w14:paraId="01E7300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3449" w:type="dxa"/>
            <w:tcBorders>
              <w:top w:val="single" w:color="000000" w:sz="4" w:space="0"/>
              <w:left w:val="single" w:color="000000" w:sz="4" w:space="0"/>
              <w:bottom w:val="single" w:color="000000" w:sz="4" w:space="0"/>
              <w:right w:val="single" w:color="000000" w:sz="4" w:space="0"/>
            </w:tcBorders>
            <w:noWrap w:val="0"/>
            <w:vAlign w:val="bottom"/>
          </w:tcPr>
          <w:p w14:paraId="72FBC36F">
            <w:pPr>
              <w:jc w:val="left"/>
              <w:rPr>
                <w:rFonts w:hint="eastAsia" w:ascii="宋体" w:hAnsi="宋体" w:eastAsia="宋体" w:cs="宋体"/>
                <w:i w:val="0"/>
                <w:iCs w:val="0"/>
                <w:color w:val="auto"/>
                <w:sz w:val="21"/>
                <w:szCs w:val="21"/>
                <w:highlight w:val="none"/>
                <w:u w:val="none"/>
              </w:rPr>
            </w:pPr>
          </w:p>
        </w:tc>
        <w:tc>
          <w:tcPr>
            <w:tcW w:w="1270" w:type="dxa"/>
            <w:tcBorders>
              <w:top w:val="single" w:color="000000" w:sz="4" w:space="0"/>
              <w:left w:val="single" w:color="000000" w:sz="4" w:space="0"/>
              <w:bottom w:val="single" w:color="000000" w:sz="4" w:space="0"/>
              <w:right w:val="single" w:color="000000" w:sz="4" w:space="0"/>
            </w:tcBorders>
            <w:noWrap w:val="0"/>
            <w:vAlign w:val="bottom"/>
          </w:tcPr>
          <w:p w14:paraId="1543D928">
            <w:pPr>
              <w:jc w:val="right"/>
              <w:rPr>
                <w:rFonts w:hint="eastAsia" w:ascii="宋体" w:hAnsi="宋体" w:eastAsia="宋体" w:cs="宋体"/>
                <w:i w:val="0"/>
                <w:iCs w:val="0"/>
                <w:color w:val="auto"/>
                <w:sz w:val="21"/>
                <w:szCs w:val="21"/>
                <w:highlight w:val="none"/>
                <w:u w:val="none"/>
              </w:rPr>
            </w:pPr>
          </w:p>
        </w:tc>
        <w:tc>
          <w:tcPr>
            <w:tcW w:w="1317" w:type="dxa"/>
            <w:tcBorders>
              <w:top w:val="single" w:color="000000" w:sz="4" w:space="0"/>
              <w:left w:val="single" w:color="000000" w:sz="4" w:space="0"/>
              <w:bottom w:val="single" w:color="000000" w:sz="4" w:space="0"/>
              <w:right w:val="single" w:color="000000" w:sz="4" w:space="0"/>
            </w:tcBorders>
            <w:noWrap w:val="0"/>
            <w:vAlign w:val="bottom"/>
          </w:tcPr>
          <w:p w14:paraId="0B5AF95B">
            <w:pPr>
              <w:jc w:val="right"/>
              <w:rPr>
                <w:rFonts w:hint="eastAsia" w:ascii="宋体" w:hAnsi="宋体" w:eastAsia="宋体" w:cs="宋体"/>
                <w:i w:val="0"/>
                <w:iCs w:val="0"/>
                <w:color w:val="auto"/>
                <w:sz w:val="21"/>
                <w:szCs w:val="21"/>
                <w:highlight w:val="none"/>
                <w:u w:val="none"/>
              </w:rPr>
            </w:pPr>
          </w:p>
        </w:tc>
        <w:tc>
          <w:tcPr>
            <w:tcW w:w="1343" w:type="dxa"/>
            <w:tcBorders>
              <w:top w:val="single" w:color="000000" w:sz="4" w:space="0"/>
              <w:left w:val="single" w:color="000000" w:sz="4" w:space="0"/>
              <w:bottom w:val="single" w:color="000000" w:sz="4" w:space="0"/>
              <w:right w:val="single" w:color="000000" w:sz="4" w:space="0"/>
            </w:tcBorders>
            <w:noWrap w:val="0"/>
            <w:vAlign w:val="bottom"/>
          </w:tcPr>
          <w:p w14:paraId="28B3C02F">
            <w:pPr>
              <w:jc w:val="right"/>
              <w:rPr>
                <w:rFonts w:hint="eastAsia" w:ascii="宋体" w:hAnsi="宋体" w:eastAsia="宋体" w:cs="宋体"/>
                <w:i w:val="0"/>
                <w:iCs w:val="0"/>
                <w:color w:val="auto"/>
                <w:sz w:val="21"/>
                <w:szCs w:val="21"/>
                <w:highlight w:val="none"/>
                <w:u w:val="none"/>
              </w:rPr>
            </w:pPr>
          </w:p>
        </w:tc>
        <w:tc>
          <w:tcPr>
            <w:tcW w:w="961" w:type="dxa"/>
            <w:tcBorders>
              <w:top w:val="single" w:color="000000" w:sz="4" w:space="0"/>
              <w:left w:val="single" w:color="000000" w:sz="4" w:space="0"/>
              <w:bottom w:val="single" w:color="000000" w:sz="4" w:space="0"/>
              <w:right w:val="single" w:color="000000" w:sz="4" w:space="0"/>
            </w:tcBorders>
            <w:noWrap w:val="0"/>
            <w:vAlign w:val="bottom"/>
          </w:tcPr>
          <w:p w14:paraId="38F07971">
            <w:pPr>
              <w:jc w:val="left"/>
              <w:rPr>
                <w:rFonts w:hint="eastAsia" w:ascii="宋体" w:hAnsi="宋体" w:eastAsia="宋体" w:cs="宋体"/>
                <w:i w:val="0"/>
                <w:iCs w:val="0"/>
                <w:color w:val="auto"/>
                <w:sz w:val="21"/>
                <w:szCs w:val="21"/>
                <w:highlight w:val="none"/>
                <w:u w:val="none"/>
              </w:rPr>
            </w:pPr>
          </w:p>
        </w:tc>
      </w:tr>
      <w:tr w14:paraId="3DC3D7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0" w:hRule="atLeast"/>
        </w:trPr>
        <w:tc>
          <w:tcPr>
            <w:tcW w:w="1100" w:type="dxa"/>
            <w:tcBorders>
              <w:top w:val="single" w:color="000000" w:sz="4" w:space="0"/>
              <w:left w:val="single" w:color="000000" w:sz="4" w:space="0"/>
              <w:bottom w:val="single" w:color="000000" w:sz="4" w:space="0"/>
              <w:right w:val="single" w:color="000000" w:sz="4" w:space="0"/>
            </w:tcBorders>
            <w:noWrap w:val="0"/>
            <w:vAlign w:val="center"/>
          </w:tcPr>
          <w:p w14:paraId="21A679A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3449" w:type="dxa"/>
            <w:tcBorders>
              <w:top w:val="single" w:color="000000" w:sz="4" w:space="0"/>
              <w:left w:val="single" w:color="000000" w:sz="4" w:space="0"/>
              <w:bottom w:val="single" w:color="000000" w:sz="4" w:space="0"/>
              <w:right w:val="single" w:color="000000" w:sz="4" w:space="0"/>
            </w:tcBorders>
            <w:noWrap w:val="0"/>
            <w:vAlign w:val="bottom"/>
          </w:tcPr>
          <w:p w14:paraId="00936273">
            <w:pPr>
              <w:jc w:val="left"/>
              <w:rPr>
                <w:rFonts w:hint="eastAsia" w:ascii="宋体" w:hAnsi="宋体" w:eastAsia="宋体" w:cs="宋体"/>
                <w:i w:val="0"/>
                <w:iCs w:val="0"/>
                <w:color w:val="auto"/>
                <w:sz w:val="21"/>
                <w:szCs w:val="21"/>
                <w:highlight w:val="none"/>
                <w:u w:val="none"/>
              </w:rPr>
            </w:pPr>
          </w:p>
        </w:tc>
        <w:tc>
          <w:tcPr>
            <w:tcW w:w="1270" w:type="dxa"/>
            <w:tcBorders>
              <w:top w:val="single" w:color="000000" w:sz="4" w:space="0"/>
              <w:left w:val="single" w:color="000000" w:sz="4" w:space="0"/>
              <w:bottom w:val="single" w:color="000000" w:sz="4" w:space="0"/>
              <w:right w:val="single" w:color="000000" w:sz="4" w:space="0"/>
            </w:tcBorders>
            <w:noWrap w:val="0"/>
            <w:vAlign w:val="bottom"/>
          </w:tcPr>
          <w:p w14:paraId="6F185CAB">
            <w:pPr>
              <w:jc w:val="right"/>
              <w:rPr>
                <w:rFonts w:hint="eastAsia" w:ascii="宋体" w:hAnsi="宋体" w:eastAsia="宋体" w:cs="宋体"/>
                <w:i w:val="0"/>
                <w:iCs w:val="0"/>
                <w:color w:val="auto"/>
                <w:sz w:val="21"/>
                <w:szCs w:val="21"/>
                <w:highlight w:val="none"/>
                <w:u w:val="none"/>
              </w:rPr>
            </w:pPr>
          </w:p>
        </w:tc>
        <w:tc>
          <w:tcPr>
            <w:tcW w:w="1317" w:type="dxa"/>
            <w:tcBorders>
              <w:top w:val="single" w:color="000000" w:sz="4" w:space="0"/>
              <w:left w:val="single" w:color="000000" w:sz="4" w:space="0"/>
              <w:bottom w:val="single" w:color="000000" w:sz="4" w:space="0"/>
              <w:right w:val="single" w:color="000000" w:sz="4" w:space="0"/>
            </w:tcBorders>
            <w:noWrap w:val="0"/>
            <w:vAlign w:val="bottom"/>
          </w:tcPr>
          <w:p w14:paraId="6F5BF244">
            <w:pPr>
              <w:jc w:val="right"/>
              <w:rPr>
                <w:rFonts w:hint="eastAsia" w:ascii="宋体" w:hAnsi="宋体" w:eastAsia="宋体" w:cs="宋体"/>
                <w:i w:val="0"/>
                <w:iCs w:val="0"/>
                <w:color w:val="auto"/>
                <w:sz w:val="21"/>
                <w:szCs w:val="21"/>
                <w:highlight w:val="none"/>
                <w:u w:val="none"/>
              </w:rPr>
            </w:pPr>
          </w:p>
        </w:tc>
        <w:tc>
          <w:tcPr>
            <w:tcW w:w="1343" w:type="dxa"/>
            <w:tcBorders>
              <w:top w:val="single" w:color="000000" w:sz="4" w:space="0"/>
              <w:left w:val="single" w:color="000000" w:sz="4" w:space="0"/>
              <w:bottom w:val="single" w:color="000000" w:sz="4" w:space="0"/>
              <w:right w:val="single" w:color="000000" w:sz="4" w:space="0"/>
            </w:tcBorders>
            <w:noWrap w:val="0"/>
            <w:vAlign w:val="bottom"/>
          </w:tcPr>
          <w:p w14:paraId="7D066A7A">
            <w:pPr>
              <w:jc w:val="right"/>
              <w:rPr>
                <w:rFonts w:hint="eastAsia" w:ascii="宋体" w:hAnsi="宋体" w:eastAsia="宋体" w:cs="宋体"/>
                <w:i w:val="0"/>
                <w:iCs w:val="0"/>
                <w:color w:val="auto"/>
                <w:sz w:val="21"/>
                <w:szCs w:val="21"/>
                <w:highlight w:val="none"/>
                <w:u w:val="none"/>
              </w:rPr>
            </w:pPr>
          </w:p>
        </w:tc>
        <w:tc>
          <w:tcPr>
            <w:tcW w:w="961" w:type="dxa"/>
            <w:tcBorders>
              <w:top w:val="single" w:color="000000" w:sz="4" w:space="0"/>
              <w:left w:val="single" w:color="000000" w:sz="4" w:space="0"/>
              <w:bottom w:val="single" w:color="000000" w:sz="4" w:space="0"/>
              <w:right w:val="single" w:color="000000" w:sz="4" w:space="0"/>
            </w:tcBorders>
            <w:noWrap w:val="0"/>
            <w:vAlign w:val="bottom"/>
          </w:tcPr>
          <w:p w14:paraId="5D9A3486">
            <w:pPr>
              <w:jc w:val="left"/>
              <w:rPr>
                <w:rFonts w:hint="eastAsia" w:ascii="宋体" w:hAnsi="宋体" w:eastAsia="宋体" w:cs="宋体"/>
                <w:i w:val="0"/>
                <w:iCs w:val="0"/>
                <w:color w:val="auto"/>
                <w:sz w:val="21"/>
                <w:szCs w:val="21"/>
                <w:highlight w:val="none"/>
                <w:u w:val="none"/>
              </w:rPr>
            </w:pPr>
          </w:p>
        </w:tc>
      </w:tr>
      <w:tr w14:paraId="6334A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0" w:hRule="atLeast"/>
        </w:trPr>
        <w:tc>
          <w:tcPr>
            <w:tcW w:w="1100" w:type="dxa"/>
            <w:tcBorders>
              <w:top w:val="single" w:color="000000" w:sz="4" w:space="0"/>
              <w:left w:val="single" w:color="000000" w:sz="4" w:space="0"/>
              <w:bottom w:val="single" w:color="000000" w:sz="4" w:space="0"/>
              <w:right w:val="single" w:color="000000" w:sz="4" w:space="0"/>
            </w:tcBorders>
            <w:noWrap w:val="0"/>
            <w:vAlign w:val="center"/>
          </w:tcPr>
          <w:p w14:paraId="5CC9766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3449" w:type="dxa"/>
            <w:tcBorders>
              <w:top w:val="single" w:color="000000" w:sz="4" w:space="0"/>
              <w:left w:val="single" w:color="000000" w:sz="4" w:space="0"/>
              <w:bottom w:val="single" w:color="000000" w:sz="4" w:space="0"/>
              <w:right w:val="single" w:color="000000" w:sz="4" w:space="0"/>
            </w:tcBorders>
            <w:noWrap w:val="0"/>
            <w:vAlign w:val="bottom"/>
          </w:tcPr>
          <w:p w14:paraId="3F28810C">
            <w:pPr>
              <w:jc w:val="left"/>
              <w:rPr>
                <w:rFonts w:hint="eastAsia" w:ascii="宋体" w:hAnsi="宋体" w:eastAsia="宋体" w:cs="宋体"/>
                <w:i w:val="0"/>
                <w:iCs w:val="0"/>
                <w:color w:val="auto"/>
                <w:sz w:val="21"/>
                <w:szCs w:val="21"/>
                <w:highlight w:val="none"/>
                <w:u w:val="none"/>
              </w:rPr>
            </w:pPr>
          </w:p>
        </w:tc>
        <w:tc>
          <w:tcPr>
            <w:tcW w:w="1270" w:type="dxa"/>
            <w:tcBorders>
              <w:top w:val="single" w:color="000000" w:sz="4" w:space="0"/>
              <w:left w:val="single" w:color="000000" w:sz="4" w:space="0"/>
              <w:bottom w:val="single" w:color="000000" w:sz="4" w:space="0"/>
              <w:right w:val="single" w:color="000000" w:sz="4" w:space="0"/>
            </w:tcBorders>
            <w:noWrap w:val="0"/>
            <w:vAlign w:val="bottom"/>
          </w:tcPr>
          <w:p w14:paraId="4B11F04F">
            <w:pPr>
              <w:jc w:val="right"/>
              <w:rPr>
                <w:rFonts w:hint="eastAsia" w:ascii="宋体" w:hAnsi="宋体" w:eastAsia="宋体" w:cs="宋体"/>
                <w:i w:val="0"/>
                <w:iCs w:val="0"/>
                <w:color w:val="auto"/>
                <w:sz w:val="21"/>
                <w:szCs w:val="21"/>
                <w:highlight w:val="none"/>
                <w:u w:val="none"/>
              </w:rPr>
            </w:pPr>
          </w:p>
        </w:tc>
        <w:tc>
          <w:tcPr>
            <w:tcW w:w="1317" w:type="dxa"/>
            <w:tcBorders>
              <w:top w:val="single" w:color="000000" w:sz="4" w:space="0"/>
              <w:left w:val="single" w:color="000000" w:sz="4" w:space="0"/>
              <w:bottom w:val="single" w:color="000000" w:sz="4" w:space="0"/>
              <w:right w:val="single" w:color="000000" w:sz="4" w:space="0"/>
            </w:tcBorders>
            <w:noWrap w:val="0"/>
            <w:vAlign w:val="bottom"/>
          </w:tcPr>
          <w:p w14:paraId="61E6FEC8">
            <w:pPr>
              <w:jc w:val="right"/>
              <w:rPr>
                <w:rFonts w:hint="eastAsia" w:ascii="宋体" w:hAnsi="宋体" w:eastAsia="宋体" w:cs="宋体"/>
                <w:i w:val="0"/>
                <w:iCs w:val="0"/>
                <w:color w:val="auto"/>
                <w:sz w:val="21"/>
                <w:szCs w:val="21"/>
                <w:highlight w:val="none"/>
                <w:u w:val="none"/>
              </w:rPr>
            </w:pPr>
          </w:p>
        </w:tc>
        <w:tc>
          <w:tcPr>
            <w:tcW w:w="1343" w:type="dxa"/>
            <w:tcBorders>
              <w:top w:val="single" w:color="000000" w:sz="4" w:space="0"/>
              <w:left w:val="single" w:color="000000" w:sz="4" w:space="0"/>
              <w:bottom w:val="single" w:color="000000" w:sz="4" w:space="0"/>
              <w:right w:val="single" w:color="000000" w:sz="4" w:space="0"/>
            </w:tcBorders>
            <w:noWrap w:val="0"/>
            <w:vAlign w:val="bottom"/>
          </w:tcPr>
          <w:p w14:paraId="2BA1F9E8">
            <w:pPr>
              <w:jc w:val="right"/>
              <w:rPr>
                <w:rFonts w:hint="eastAsia" w:ascii="宋体" w:hAnsi="宋体" w:eastAsia="宋体" w:cs="宋体"/>
                <w:i w:val="0"/>
                <w:iCs w:val="0"/>
                <w:color w:val="auto"/>
                <w:sz w:val="21"/>
                <w:szCs w:val="21"/>
                <w:highlight w:val="none"/>
                <w:u w:val="none"/>
              </w:rPr>
            </w:pPr>
          </w:p>
        </w:tc>
        <w:tc>
          <w:tcPr>
            <w:tcW w:w="961" w:type="dxa"/>
            <w:tcBorders>
              <w:top w:val="single" w:color="000000" w:sz="4" w:space="0"/>
              <w:left w:val="single" w:color="000000" w:sz="4" w:space="0"/>
              <w:bottom w:val="single" w:color="000000" w:sz="4" w:space="0"/>
              <w:right w:val="single" w:color="000000" w:sz="4" w:space="0"/>
            </w:tcBorders>
            <w:noWrap w:val="0"/>
            <w:vAlign w:val="bottom"/>
          </w:tcPr>
          <w:p w14:paraId="28702C9F">
            <w:pPr>
              <w:jc w:val="left"/>
              <w:rPr>
                <w:rFonts w:hint="eastAsia" w:ascii="宋体" w:hAnsi="宋体" w:eastAsia="宋体" w:cs="宋体"/>
                <w:i w:val="0"/>
                <w:iCs w:val="0"/>
                <w:color w:val="auto"/>
                <w:sz w:val="21"/>
                <w:szCs w:val="21"/>
                <w:highlight w:val="none"/>
                <w:u w:val="none"/>
              </w:rPr>
            </w:pPr>
          </w:p>
        </w:tc>
      </w:tr>
      <w:tr w14:paraId="7C676E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0" w:hRule="atLeast"/>
        </w:trPr>
        <w:tc>
          <w:tcPr>
            <w:tcW w:w="1100" w:type="dxa"/>
            <w:tcBorders>
              <w:top w:val="single" w:color="000000" w:sz="4" w:space="0"/>
              <w:left w:val="single" w:color="000000" w:sz="4" w:space="0"/>
              <w:bottom w:val="single" w:color="000000" w:sz="4" w:space="0"/>
              <w:right w:val="single" w:color="000000" w:sz="4" w:space="0"/>
            </w:tcBorders>
            <w:noWrap w:val="0"/>
            <w:vAlign w:val="bottom"/>
          </w:tcPr>
          <w:p w14:paraId="5BA4E4C2">
            <w:pPr>
              <w:jc w:val="center"/>
              <w:rPr>
                <w:rFonts w:hint="eastAsia" w:ascii="宋体" w:hAnsi="宋体" w:eastAsia="宋体" w:cs="宋体"/>
                <w:i w:val="0"/>
                <w:iCs w:val="0"/>
                <w:color w:val="auto"/>
                <w:sz w:val="21"/>
                <w:szCs w:val="21"/>
                <w:highlight w:val="none"/>
                <w:u w:val="none"/>
              </w:rPr>
            </w:pPr>
          </w:p>
        </w:tc>
        <w:tc>
          <w:tcPr>
            <w:tcW w:w="3449" w:type="dxa"/>
            <w:tcBorders>
              <w:top w:val="single" w:color="000000" w:sz="4" w:space="0"/>
              <w:left w:val="single" w:color="000000" w:sz="4" w:space="0"/>
              <w:bottom w:val="single" w:color="000000" w:sz="4" w:space="0"/>
              <w:right w:val="single" w:color="000000" w:sz="4" w:space="0"/>
            </w:tcBorders>
            <w:noWrap w:val="0"/>
            <w:vAlign w:val="bottom"/>
          </w:tcPr>
          <w:p w14:paraId="3F0DF297">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合计:</w:t>
            </w:r>
          </w:p>
        </w:tc>
        <w:tc>
          <w:tcPr>
            <w:tcW w:w="1270" w:type="dxa"/>
            <w:tcBorders>
              <w:top w:val="single" w:color="000000" w:sz="4" w:space="0"/>
              <w:left w:val="single" w:color="000000" w:sz="4" w:space="0"/>
              <w:bottom w:val="single" w:color="000000" w:sz="4" w:space="0"/>
              <w:right w:val="single" w:color="000000" w:sz="4" w:space="0"/>
            </w:tcBorders>
            <w:noWrap w:val="0"/>
            <w:vAlign w:val="bottom"/>
          </w:tcPr>
          <w:p w14:paraId="459C9C1C">
            <w:pPr>
              <w:jc w:val="right"/>
              <w:rPr>
                <w:rFonts w:hint="eastAsia" w:ascii="宋体" w:hAnsi="宋体" w:eastAsia="宋体" w:cs="宋体"/>
                <w:i w:val="0"/>
                <w:iCs w:val="0"/>
                <w:color w:val="auto"/>
                <w:sz w:val="21"/>
                <w:szCs w:val="21"/>
                <w:highlight w:val="none"/>
                <w:u w:val="none"/>
              </w:rPr>
            </w:pPr>
          </w:p>
        </w:tc>
        <w:tc>
          <w:tcPr>
            <w:tcW w:w="1317" w:type="dxa"/>
            <w:tcBorders>
              <w:top w:val="single" w:color="000000" w:sz="4" w:space="0"/>
              <w:left w:val="single" w:color="000000" w:sz="4" w:space="0"/>
              <w:bottom w:val="single" w:color="000000" w:sz="4" w:space="0"/>
              <w:right w:val="single" w:color="000000" w:sz="4" w:space="0"/>
            </w:tcBorders>
            <w:noWrap w:val="0"/>
            <w:vAlign w:val="bottom"/>
          </w:tcPr>
          <w:p w14:paraId="6AA7354C">
            <w:pPr>
              <w:jc w:val="right"/>
              <w:rPr>
                <w:rFonts w:hint="eastAsia" w:ascii="宋体" w:hAnsi="宋体" w:eastAsia="宋体" w:cs="宋体"/>
                <w:i w:val="0"/>
                <w:iCs w:val="0"/>
                <w:color w:val="auto"/>
                <w:sz w:val="21"/>
                <w:szCs w:val="21"/>
                <w:highlight w:val="none"/>
                <w:u w:val="none"/>
              </w:rPr>
            </w:pPr>
          </w:p>
        </w:tc>
        <w:tc>
          <w:tcPr>
            <w:tcW w:w="1343" w:type="dxa"/>
            <w:tcBorders>
              <w:top w:val="single" w:color="000000" w:sz="4" w:space="0"/>
              <w:left w:val="single" w:color="000000" w:sz="4" w:space="0"/>
              <w:bottom w:val="single" w:color="000000" w:sz="4" w:space="0"/>
              <w:right w:val="single" w:color="000000" w:sz="4" w:space="0"/>
            </w:tcBorders>
            <w:noWrap w:val="0"/>
            <w:vAlign w:val="bottom"/>
          </w:tcPr>
          <w:p w14:paraId="6B9EB728">
            <w:pPr>
              <w:jc w:val="right"/>
              <w:rPr>
                <w:rFonts w:hint="eastAsia" w:ascii="宋体" w:hAnsi="宋体" w:eastAsia="宋体" w:cs="宋体"/>
                <w:i w:val="0"/>
                <w:iCs w:val="0"/>
                <w:color w:val="auto"/>
                <w:sz w:val="21"/>
                <w:szCs w:val="21"/>
                <w:highlight w:val="none"/>
                <w:u w:val="none"/>
              </w:rPr>
            </w:pPr>
          </w:p>
        </w:tc>
        <w:tc>
          <w:tcPr>
            <w:tcW w:w="961" w:type="dxa"/>
            <w:tcBorders>
              <w:top w:val="single" w:color="000000" w:sz="4" w:space="0"/>
              <w:left w:val="single" w:color="000000" w:sz="4" w:space="0"/>
              <w:bottom w:val="single" w:color="000000" w:sz="4" w:space="0"/>
              <w:right w:val="single" w:color="000000" w:sz="4" w:space="0"/>
            </w:tcBorders>
            <w:noWrap w:val="0"/>
            <w:vAlign w:val="bottom"/>
          </w:tcPr>
          <w:p w14:paraId="0566DFFF">
            <w:pPr>
              <w:jc w:val="left"/>
              <w:rPr>
                <w:rFonts w:hint="eastAsia" w:ascii="宋体" w:hAnsi="宋体" w:eastAsia="宋体" w:cs="宋体"/>
                <w:i w:val="0"/>
                <w:iCs w:val="0"/>
                <w:color w:val="auto"/>
                <w:sz w:val="21"/>
                <w:szCs w:val="21"/>
                <w:highlight w:val="none"/>
                <w:u w:val="none"/>
              </w:rPr>
            </w:pPr>
          </w:p>
        </w:tc>
      </w:tr>
      <w:tr w14:paraId="3B93FC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2" w:hRule="atLeast"/>
        </w:trPr>
        <w:tc>
          <w:tcPr>
            <w:tcW w:w="9440" w:type="dxa"/>
            <w:gridSpan w:val="6"/>
            <w:tcBorders>
              <w:top w:val="nil"/>
              <w:left w:val="nil"/>
              <w:bottom w:val="nil"/>
              <w:right w:val="nil"/>
            </w:tcBorders>
            <w:noWrap w:val="0"/>
            <w:vAlign w:val="bottom"/>
          </w:tcPr>
          <w:p w14:paraId="39CFC549">
            <w:pPr>
              <w:keepNext w:val="0"/>
              <w:keepLines w:val="0"/>
              <w:widowControl/>
              <w:suppressLineNumbers w:val="0"/>
              <w:jc w:val="left"/>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   一、 以上结果已经我公司审核人员审核，对此结果我公司同意由</w:t>
            </w:r>
            <w:r>
              <w:rPr>
                <w:rFonts w:hint="eastAsia" w:ascii="宋体" w:hAnsi="宋体" w:eastAsia="宋体" w:cs="宋体"/>
                <w:color w:val="auto"/>
                <w:highlight w:val="none"/>
                <w:lang w:eastAsia="zh-CN"/>
              </w:rPr>
              <w:t>英德市投资审核中心</w:t>
            </w:r>
            <w:r>
              <w:rPr>
                <w:rFonts w:hint="eastAsia" w:ascii="宋体" w:hAnsi="宋体" w:eastAsia="宋体" w:cs="宋体"/>
                <w:i w:val="0"/>
                <w:iCs w:val="0"/>
                <w:color w:val="auto"/>
                <w:kern w:val="0"/>
                <w:sz w:val="21"/>
                <w:szCs w:val="21"/>
                <w:highlight w:val="none"/>
                <w:u w:val="none"/>
                <w:lang w:val="en-US" w:eastAsia="zh-CN" w:bidi="ar"/>
              </w:rPr>
              <w:t>根据实际情况计算差错率（差错是指由于咨询人的主观原因而造成的差错，如错套定额，点错小数点、重项、漏项、工程量计算错误、高估冒算、因没有到现场核实导致造价失实等。差错率是指我公司主审的政府投资项目定案价的主观差错金额与审计部门审计后金额对比计算率），并根据差错率(i)的大小作如下处理：</w:t>
            </w:r>
          </w:p>
        </w:tc>
      </w:tr>
      <w:tr w14:paraId="1448F2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9440" w:type="dxa"/>
            <w:gridSpan w:val="6"/>
            <w:tcBorders>
              <w:top w:val="nil"/>
              <w:left w:val="nil"/>
              <w:bottom w:val="nil"/>
              <w:right w:val="nil"/>
            </w:tcBorders>
            <w:noWrap w:val="0"/>
            <w:vAlign w:val="bottom"/>
          </w:tcPr>
          <w:p w14:paraId="404C2572">
            <w:pPr>
              <w:keepNext w:val="0"/>
              <w:keepLines w:val="0"/>
              <w:widowControl/>
              <w:suppressLineNumbers w:val="0"/>
              <w:jc w:val="left"/>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（1）工程审计：</w:t>
            </w:r>
          </w:p>
        </w:tc>
      </w:tr>
      <w:tr w14:paraId="7D931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9440" w:type="dxa"/>
            <w:gridSpan w:val="6"/>
            <w:tcBorders>
              <w:top w:val="nil"/>
              <w:left w:val="nil"/>
              <w:bottom w:val="nil"/>
              <w:right w:val="nil"/>
            </w:tcBorders>
            <w:noWrap w:val="0"/>
            <w:vAlign w:val="bottom"/>
          </w:tcPr>
          <w:p w14:paraId="687823B1">
            <w:pPr>
              <w:keepNext w:val="0"/>
              <w:keepLines w:val="0"/>
              <w:widowControl/>
              <w:suppressLineNumbers w:val="0"/>
              <w:jc w:val="left"/>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① 差错率少于1%，扣诚信分5分；</w:t>
            </w:r>
          </w:p>
        </w:tc>
      </w:tr>
      <w:tr w14:paraId="287DBD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9440" w:type="dxa"/>
            <w:gridSpan w:val="6"/>
            <w:tcBorders>
              <w:top w:val="nil"/>
              <w:left w:val="nil"/>
              <w:bottom w:val="nil"/>
              <w:right w:val="nil"/>
            </w:tcBorders>
            <w:noWrap w:val="0"/>
            <w:vAlign w:val="bottom"/>
          </w:tcPr>
          <w:p w14:paraId="4A4E5252">
            <w:pPr>
              <w:keepNext w:val="0"/>
              <w:keepLines w:val="0"/>
              <w:widowControl/>
              <w:suppressLineNumbers w:val="0"/>
              <w:jc w:val="left"/>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② 1%＜i≤3%，扣诚信分的8分；</w:t>
            </w:r>
          </w:p>
        </w:tc>
      </w:tr>
      <w:tr w14:paraId="653808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9440" w:type="dxa"/>
            <w:gridSpan w:val="6"/>
            <w:tcBorders>
              <w:top w:val="nil"/>
              <w:left w:val="nil"/>
              <w:bottom w:val="nil"/>
              <w:right w:val="nil"/>
            </w:tcBorders>
            <w:noWrap w:val="0"/>
            <w:vAlign w:val="bottom"/>
          </w:tcPr>
          <w:p w14:paraId="76CF872B">
            <w:pPr>
              <w:keepNext w:val="0"/>
              <w:keepLines w:val="0"/>
              <w:widowControl/>
              <w:suppressLineNumbers w:val="0"/>
              <w:jc w:val="left"/>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③ 3%＜i≤5%，扣诚信分的12分；</w:t>
            </w:r>
          </w:p>
        </w:tc>
      </w:tr>
      <w:tr w14:paraId="77CB4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9440" w:type="dxa"/>
            <w:gridSpan w:val="6"/>
            <w:tcBorders>
              <w:top w:val="nil"/>
              <w:left w:val="nil"/>
              <w:bottom w:val="nil"/>
              <w:right w:val="nil"/>
            </w:tcBorders>
            <w:noWrap w:val="0"/>
            <w:vAlign w:val="bottom"/>
          </w:tcPr>
          <w:p w14:paraId="7973E214">
            <w:pPr>
              <w:keepNext w:val="0"/>
              <w:keepLines w:val="0"/>
              <w:widowControl/>
              <w:suppressLineNumbers w:val="0"/>
              <w:jc w:val="left"/>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④ 5%＜i≤8%，扣诚信分的16分；</w:t>
            </w:r>
          </w:p>
        </w:tc>
      </w:tr>
      <w:tr w14:paraId="27BF47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9440" w:type="dxa"/>
            <w:gridSpan w:val="6"/>
            <w:tcBorders>
              <w:top w:val="nil"/>
              <w:left w:val="nil"/>
              <w:bottom w:val="nil"/>
              <w:right w:val="nil"/>
            </w:tcBorders>
            <w:noWrap w:val="0"/>
            <w:vAlign w:val="bottom"/>
          </w:tcPr>
          <w:p w14:paraId="1B0DF684">
            <w:pPr>
              <w:keepNext w:val="0"/>
              <w:keepLines w:val="0"/>
              <w:widowControl/>
              <w:suppressLineNumbers w:val="0"/>
              <w:jc w:val="left"/>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⑤ i＞8%，扣诚信分的41分。</w:t>
            </w:r>
          </w:p>
        </w:tc>
      </w:tr>
      <w:tr w14:paraId="380D0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4" w:hRule="atLeast"/>
        </w:trPr>
        <w:tc>
          <w:tcPr>
            <w:tcW w:w="9440" w:type="dxa"/>
            <w:gridSpan w:val="6"/>
            <w:tcBorders>
              <w:top w:val="nil"/>
              <w:left w:val="nil"/>
              <w:bottom w:val="nil"/>
              <w:right w:val="nil"/>
            </w:tcBorders>
            <w:noWrap w:val="0"/>
            <w:vAlign w:val="bottom"/>
          </w:tcPr>
          <w:p w14:paraId="395E50AE">
            <w:pPr>
              <w:keepNext w:val="0"/>
              <w:keepLines w:val="0"/>
              <w:widowControl/>
              <w:suppressLineNumbers w:val="0"/>
              <w:jc w:val="left"/>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  二、如出现较大、重大质量问题的，英德市投资审核中心可根据情况采取暂停业务分配1-3个月处理，多次出现较大、重大质量问题的，英德市投资审核中心有权终止合同。</w:t>
            </w:r>
          </w:p>
        </w:tc>
      </w:tr>
      <w:tr w14:paraId="5684EC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9440" w:type="dxa"/>
            <w:gridSpan w:val="6"/>
            <w:tcBorders>
              <w:top w:val="nil"/>
              <w:left w:val="nil"/>
              <w:bottom w:val="nil"/>
              <w:right w:val="nil"/>
            </w:tcBorders>
            <w:noWrap w:val="0"/>
            <w:vAlign w:val="bottom"/>
          </w:tcPr>
          <w:p w14:paraId="6612C606">
            <w:pPr>
              <w:jc w:val="left"/>
              <w:rPr>
                <w:rFonts w:hint="eastAsia" w:ascii="宋体" w:hAnsi="宋体" w:eastAsia="宋体" w:cs="宋体"/>
                <w:i w:val="0"/>
                <w:iCs w:val="0"/>
                <w:color w:val="auto"/>
                <w:sz w:val="21"/>
                <w:szCs w:val="21"/>
                <w:highlight w:val="none"/>
                <w:u w:val="none"/>
              </w:rPr>
            </w:pPr>
          </w:p>
        </w:tc>
      </w:tr>
      <w:tr w14:paraId="125418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4549" w:type="dxa"/>
            <w:gridSpan w:val="2"/>
            <w:tcBorders>
              <w:top w:val="nil"/>
              <w:left w:val="nil"/>
              <w:bottom w:val="nil"/>
              <w:right w:val="nil"/>
            </w:tcBorders>
            <w:noWrap/>
            <w:vAlign w:val="bottom"/>
          </w:tcPr>
          <w:p w14:paraId="7E7AA5F0">
            <w:pPr>
              <w:keepNext w:val="0"/>
              <w:keepLines w:val="0"/>
              <w:widowControl/>
              <w:suppressLineNumbers w:val="0"/>
              <w:jc w:val="left"/>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审核公司/复核（或复审）公司（盖章）：</w:t>
            </w:r>
          </w:p>
        </w:tc>
        <w:tc>
          <w:tcPr>
            <w:tcW w:w="4891" w:type="dxa"/>
            <w:gridSpan w:val="4"/>
            <w:tcBorders>
              <w:top w:val="nil"/>
              <w:left w:val="nil"/>
              <w:bottom w:val="nil"/>
              <w:right w:val="nil"/>
            </w:tcBorders>
            <w:noWrap w:val="0"/>
            <w:vAlign w:val="bottom"/>
          </w:tcPr>
          <w:p w14:paraId="5E60D355">
            <w:pPr>
              <w:jc w:val="left"/>
              <w:rPr>
                <w:rFonts w:hint="eastAsia" w:ascii="宋体" w:hAnsi="宋体" w:eastAsia="宋体" w:cs="宋体"/>
                <w:i w:val="0"/>
                <w:iCs w:val="0"/>
                <w:color w:val="auto"/>
                <w:sz w:val="21"/>
                <w:szCs w:val="21"/>
                <w:highlight w:val="none"/>
                <w:u w:val="none"/>
              </w:rPr>
            </w:pPr>
          </w:p>
        </w:tc>
      </w:tr>
      <w:tr w14:paraId="4B0B6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1" w:hRule="atLeast"/>
        </w:trPr>
        <w:tc>
          <w:tcPr>
            <w:tcW w:w="4549" w:type="dxa"/>
            <w:gridSpan w:val="2"/>
            <w:tcBorders>
              <w:top w:val="nil"/>
              <w:left w:val="nil"/>
              <w:bottom w:val="nil"/>
              <w:right w:val="nil"/>
            </w:tcBorders>
            <w:noWrap/>
            <w:vAlign w:val="bottom"/>
          </w:tcPr>
          <w:p w14:paraId="018FF565">
            <w:pPr>
              <w:keepNext w:val="0"/>
              <w:keepLines w:val="0"/>
              <w:widowControl/>
              <w:suppressLineNumbers w:val="0"/>
              <w:jc w:val="left"/>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评审人：</w:t>
            </w:r>
          </w:p>
        </w:tc>
        <w:tc>
          <w:tcPr>
            <w:tcW w:w="2587" w:type="dxa"/>
            <w:gridSpan w:val="2"/>
            <w:tcBorders>
              <w:top w:val="nil"/>
              <w:left w:val="nil"/>
              <w:bottom w:val="nil"/>
              <w:right w:val="nil"/>
            </w:tcBorders>
            <w:noWrap/>
            <w:vAlign w:val="bottom"/>
          </w:tcPr>
          <w:p w14:paraId="3FCF2FF3">
            <w:pPr>
              <w:rPr>
                <w:rFonts w:hint="eastAsia" w:ascii="宋体" w:hAnsi="宋体" w:eastAsia="宋体" w:cs="宋体"/>
                <w:i w:val="0"/>
                <w:iCs w:val="0"/>
                <w:color w:val="auto"/>
                <w:sz w:val="21"/>
                <w:szCs w:val="21"/>
                <w:highlight w:val="none"/>
                <w:u w:val="none"/>
              </w:rPr>
            </w:pPr>
          </w:p>
        </w:tc>
        <w:tc>
          <w:tcPr>
            <w:tcW w:w="2304" w:type="dxa"/>
            <w:gridSpan w:val="2"/>
            <w:tcBorders>
              <w:top w:val="nil"/>
              <w:left w:val="nil"/>
              <w:bottom w:val="nil"/>
              <w:right w:val="nil"/>
            </w:tcBorders>
            <w:noWrap/>
            <w:vAlign w:val="bottom"/>
          </w:tcPr>
          <w:p w14:paraId="4CF95F6C">
            <w:pPr>
              <w:rPr>
                <w:rFonts w:hint="eastAsia" w:ascii="宋体" w:hAnsi="宋体" w:eastAsia="宋体" w:cs="宋体"/>
                <w:i w:val="0"/>
                <w:iCs w:val="0"/>
                <w:color w:val="auto"/>
                <w:sz w:val="21"/>
                <w:szCs w:val="21"/>
                <w:highlight w:val="none"/>
                <w:u w:val="none"/>
              </w:rPr>
            </w:pPr>
          </w:p>
        </w:tc>
      </w:tr>
      <w:tr w14:paraId="02B3C7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1" w:hRule="atLeast"/>
        </w:trPr>
        <w:tc>
          <w:tcPr>
            <w:tcW w:w="4549" w:type="dxa"/>
            <w:gridSpan w:val="2"/>
            <w:tcBorders>
              <w:top w:val="nil"/>
              <w:left w:val="nil"/>
              <w:bottom w:val="nil"/>
              <w:right w:val="nil"/>
            </w:tcBorders>
            <w:noWrap/>
            <w:vAlign w:val="bottom"/>
          </w:tcPr>
          <w:p w14:paraId="0A9D28DA">
            <w:pPr>
              <w:keepNext w:val="0"/>
              <w:keepLines w:val="0"/>
              <w:widowControl/>
              <w:suppressLineNumbers w:val="0"/>
              <w:jc w:val="left"/>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项目负责人：</w:t>
            </w:r>
          </w:p>
        </w:tc>
        <w:tc>
          <w:tcPr>
            <w:tcW w:w="1270" w:type="dxa"/>
            <w:tcBorders>
              <w:top w:val="nil"/>
              <w:left w:val="nil"/>
              <w:bottom w:val="nil"/>
              <w:right w:val="nil"/>
            </w:tcBorders>
            <w:noWrap/>
            <w:vAlign w:val="bottom"/>
          </w:tcPr>
          <w:p w14:paraId="1D7A9984">
            <w:pPr>
              <w:rPr>
                <w:rFonts w:hint="eastAsia" w:ascii="宋体" w:hAnsi="宋体" w:eastAsia="宋体" w:cs="宋体"/>
                <w:i w:val="0"/>
                <w:iCs w:val="0"/>
                <w:color w:val="auto"/>
                <w:sz w:val="21"/>
                <w:szCs w:val="21"/>
                <w:highlight w:val="none"/>
                <w:u w:val="none"/>
              </w:rPr>
            </w:pPr>
          </w:p>
        </w:tc>
        <w:tc>
          <w:tcPr>
            <w:tcW w:w="1317" w:type="dxa"/>
            <w:tcBorders>
              <w:top w:val="nil"/>
              <w:left w:val="nil"/>
              <w:bottom w:val="nil"/>
              <w:right w:val="nil"/>
            </w:tcBorders>
            <w:noWrap/>
            <w:vAlign w:val="bottom"/>
          </w:tcPr>
          <w:p w14:paraId="7E79CE22">
            <w:pPr>
              <w:rPr>
                <w:rFonts w:hint="eastAsia" w:ascii="宋体" w:hAnsi="宋体" w:eastAsia="宋体" w:cs="宋体"/>
                <w:i w:val="0"/>
                <w:iCs w:val="0"/>
                <w:color w:val="auto"/>
                <w:sz w:val="21"/>
                <w:szCs w:val="21"/>
                <w:highlight w:val="none"/>
                <w:u w:val="none"/>
              </w:rPr>
            </w:pPr>
          </w:p>
        </w:tc>
        <w:tc>
          <w:tcPr>
            <w:tcW w:w="1343" w:type="dxa"/>
            <w:tcBorders>
              <w:top w:val="nil"/>
              <w:left w:val="nil"/>
              <w:bottom w:val="nil"/>
              <w:right w:val="nil"/>
            </w:tcBorders>
            <w:noWrap/>
            <w:vAlign w:val="bottom"/>
          </w:tcPr>
          <w:p w14:paraId="160FB29E">
            <w:pPr>
              <w:rPr>
                <w:rFonts w:hint="eastAsia" w:ascii="宋体" w:hAnsi="宋体" w:eastAsia="宋体" w:cs="宋体"/>
                <w:i w:val="0"/>
                <w:iCs w:val="0"/>
                <w:color w:val="auto"/>
                <w:sz w:val="21"/>
                <w:szCs w:val="21"/>
                <w:highlight w:val="none"/>
                <w:u w:val="none"/>
              </w:rPr>
            </w:pPr>
          </w:p>
        </w:tc>
        <w:tc>
          <w:tcPr>
            <w:tcW w:w="961" w:type="dxa"/>
            <w:tcBorders>
              <w:top w:val="nil"/>
              <w:left w:val="nil"/>
              <w:bottom w:val="nil"/>
              <w:right w:val="nil"/>
            </w:tcBorders>
            <w:noWrap/>
            <w:vAlign w:val="bottom"/>
          </w:tcPr>
          <w:p w14:paraId="37CFD917">
            <w:pPr>
              <w:rPr>
                <w:rFonts w:hint="eastAsia" w:ascii="宋体" w:hAnsi="宋体" w:eastAsia="宋体" w:cs="宋体"/>
                <w:i w:val="0"/>
                <w:iCs w:val="0"/>
                <w:color w:val="auto"/>
                <w:sz w:val="21"/>
                <w:szCs w:val="21"/>
                <w:highlight w:val="none"/>
                <w:u w:val="none"/>
              </w:rPr>
            </w:pPr>
          </w:p>
        </w:tc>
      </w:tr>
    </w:tbl>
    <w:p w14:paraId="09CEAAAC">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rPr>
          <w:rFonts w:hint="eastAsia" w:ascii="宋体" w:hAnsi="宋体" w:eastAsia="宋体" w:cs="宋体"/>
          <w:color w:val="auto"/>
          <w:szCs w:val="21"/>
          <w:highlight w:val="none"/>
          <w:lang w:val="en-US" w:eastAsia="zh-CN"/>
        </w:rPr>
        <w:sectPr>
          <w:pgSz w:w="11906" w:h="16838"/>
          <w:pgMar w:top="1418" w:right="1246" w:bottom="1418" w:left="1308" w:header="851" w:footer="992" w:gutter="0"/>
          <w:pgNumType w:fmt="numberInDash"/>
          <w:cols w:space="720" w:num="1"/>
          <w:docGrid w:linePitch="312" w:charSpace="0"/>
        </w:sectPr>
      </w:pPr>
    </w:p>
    <w:p w14:paraId="07F81782">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rPr>
          <w:rFonts w:hint="eastAsia" w:ascii="宋体" w:hAnsi="宋体" w:eastAsia="宋体" w:cs="宋体"/>
          <w:b/>
          <w:bCs/>
          <w:color w:val="auto"/>
          <w:szCs w:val="21"/>
          <w:highlight w:val="none"/>
          <w:lang w:val="en-US" w:eastAsia="zh-CN"/>
        </w:rPr>
      </w:pPr>
      <w:r>
        <w:rPr>
          <w:rFonts w:hint="eastAsia" w:hAnsi="宋体" w:cs="宋体"/>
          <w:b/>
          <w:bCs/>
          <w:color w:val="auto"/>
          <w:szCs w:val="21"/>
          <w:highlight w:val="none"/>
          <w:lang w:val="en-US" w:eastAsia="zh-CN"/>
        </w:rPr>
        <w:t>附件三之附表4：</w:t>
      </w:r>
    </w:p>
    <w:tbl>
      <w:tblPr>
        <w:tblStyle w:val="6"/>
        <w:tblW w:w="93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82"/>
        <w:gridCol w:w="3397"/>
        <w:gridCol w:w="1250"/>
        <w:gridCol w:w="1419"/>
        <w:gridCol w:w="1080"/>
        <w:gridCol w:w="1072"/>
      </w:tblGrid>
      <w:tr w14:paraId="0FDEC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trPr>
        <w:tc>
          <w:tcPr>
            <w:tcW w:w="9300" w:type="dxa"/>
            <w:gridSpan w:val="6"/>
            <w:tcBorders>
              <w:top w:val="nil"/>
              <w:left w:val="nil"/>
              <w:bottom w:val="nil"/>
              <w:right w:val="nil"/>
            </w:tcBorders>
            <w:noWrap w:val="0"/>
            <w:vAlign w:val="bottom"/>
          </w:tcPr>
          <w:p w14:paraId="4797C2E5">
            <w:pPr>
              <w:keepNext w:val="0"/>
              <w:keepLines w:val="0"/>
              <w:widowControl/>
              <w:suppressLineNumbers w:val="0"/>
              <w:jc w:val="center"/>
              <w:textAlignment w:val="bottom"/>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32"/>
                <w:szCs w:val="32"/>
                <w:highlight w:val="none"/>
                <w:u w:val="none"/>
                <w:lang w:val="en-US" w:eastAsia="zh-CN" w:bidi="ar"/>
              </w:rPr>
              <w:t xml:space="preserve"> 审核差错率计算表（审核项目）</w:t>
            </w:r>
          </w:p>
        </w:tc>
      </w:tr>
      <w:tr w14:paraId="3D61F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9300" w:type="dxa"/>
            <w:gridSpan w:val="6"/>
            <w:tcBorders>
              <w:top w:val="nil"/>
              <w:left w:val="nil"/>
              <w:bottom w:val="nil"/>
              <w:right w:val="nil"/>
            </w:tcBorders>
            <w:noWrap w:val="0"/>
            <w:vAlign w:val="bottom"/>
          </w:tcPr>
          <w:p w14:paraId="267C6BAD">
            <w:pPr>
              <w:keepNext w:val="0"/>
              <w:keepLines w:val="0"/>
              <w:widowControl/>
              <w:suppressLineNumbers w:val="0"/>
              <w:jc w:val="left"/>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项目名称：</w:t>
            </w:r>
          </w:p>
        </w:tc>
      </w:tr>
      <w:tr w14:paraId="0A30F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9300" w:type="dxa"/>
            <w:gridSpan w:val="6"/>
            <w:tcBorders>
              <w:top w:val="nil"/>
              <w:left w:val="nil"/>
              <w:bottom w:val="nil"/>
              <w:right w:val="nil"/>
            </w:tcBorders>
            <w:noWrap w:val="0"/>
            <w:vAlign w:val="bottom"/>
          </w:tcPr>
          <w:p w14:paraId="6587906A">
            <w:pPr>
              <w:keepNext w:val="0"/>
              <w:keepLines w:val="0"/>
              <w:widowControl/>
              <w:suppressLineNumbers w:val="0"/>
              <w:jc w:val="left"/>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项目送审造价：   元</w:t>
            </w:r>
          </w:p>
        </w:tc>
      </w:tr>
      <w:tr w14:paraId="27D339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9300" w:type="dxa"/>
            <w:gridSpan w:val="6"/>
            <w:tcBorders>
              <w:top w:val="nil"/>
              <w:left w:val="nil"/>
              <w:bottom w:val="nil"/>
              <w:right w:val="nil"/>
            </w:tcBorders>
            <w:noWrap w:val="0"/>
            <w:vAlign w:val="bottom"/>
          </w:tcPr>
          <w:p w14:paraId="5F011762">
            <w:pPr>
              <w:keepNext w:val="0"/>
              <w:keepLines w:val="0"/>
              <w:widowControl/>
              <w:suppressLineNumbers w:val="0"/>
              <w:jc w:val="left"/>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项目初审造价/复核（或复审）造价：   元</w:t>
            </w:r>
          </w:p>
        </w:tc>
      </w:tr>
      <w:tr w14:paraId="406F07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9300" w:type="dxa"/>
            <w:gridSpan w:val="6"/>
            <w:tcBorders>
              <w:top w:val="nil"/>
              <w:left w:val="nil"/>
              <w:bottom w:val="nil"/>
              <w:right w:val="nil"/>
            </w:tcBorders>
            <w:noWrap w:val="0"/>
            <w:vAlign w:val="bottom"/>
          </w:tcPr>
          <w:p w14:paraId="1D0DD733">
            <w:pPr>
              <w:keepNext w:val="0"/>
              <w:keepLines w:val="0"/>
              <w:widowControl/>
              <w:suppressLineNumbers w:val="0"/>
              <w:jc w:val="left"/>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审核定案造价：   元</w:t>
            </w:r>
          </w:p>
        </w:tc>
      </w:tr>
      <w:tr w14:paraId="038546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1" w:hRule="atLeast"/>
        </w:trPr>
        <w:tc>
          <w:tcPr>
            <w:tcW w:w="1082" w:type="dxa"/>
            <w:vMerge w:val="restart"/>
            <w:tcBorders>
              <w:top w:val="single" w:color="000000" w:sz="4" w:space="0"/>
              <w:left w:val="single" w:color="000000" w:sz="4" w:space="0"/>
              <w:bottom w:val="single" w:color="000000" w:sz="4" w:space="0"/>
              <w:right w:val="single" w:color="000000" w:sz="4" w:space="0"/>
            </w:tcBorders>
            <w:noWrap w:val="0"/>
            <w:vAlign w:val="center"/>
          </w:tcPr>
          <w:p w14:paraId="39E15AF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3397" w:type="dxa"/>
            <w:vMerge w:val="restart"/>
            <w:tcBorders>
              <w:top w:val="single" w:color="000000" w:sz="4" w:space="0"/>
              <w:left w:val="single" w:color="000000" w:sz="4" w:space="0"/>
              <w:bottom w:val="single" w:color="000000" w:sz="4" w:space="0"/>
              <w:right w:val="single" w:color="000000" w:sz="4" w:space="0"/>
            </w:tcBorders>
            <w:noWrap w:val="0"/>
            <w:vAlign w:val="center"/>
          </w:tcPr>
          <w:p w14:paraId="047A0A6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审核内容</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07607E7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初审价</w:t>
            </w:r>
          </w:p>
        </w:tc>
        <w:tc>
          <w:tcPr>
            <w:tcW w:w="1419" w:type="dxa"/>
            <w:tcBorders>
              <w:top w:val="single" w:color="000000" w:sz="4" w:space="0"/>
              <w:left w:val="single" w:color="000000" w:sz="4" w:space="0"/>
              <w:bottom w:val="single" w:color="000000" w:sz="4" w:space="0"/>
              <w:right w:val="single" w:color="000000" w:sz="4" w:space="0"/>
            </w:tcBorders>
            <w:noWrap w:val="0"/>
            <w:vAlign w:val="center"/>
          </w:tcPr>
          <w:p w14:paraId="0A4A68E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审核定案价</w:t>
            </w:r>
          </w:p>
        </w:tc>
        <w:tc>
          <w:tcPr>
            <w:tcW w:w="1080" w:type="dxa"/>
            <w:vMerge w:val="restart"/>
            <w:tcBorders>
              <w:top w:val="single" w:color="000000" w:sz="4" w:space="0"/>
              <w:left w:val="single" w:color="000000" w:sz="4" w:space="0"/>
              <w:bottom w:val="single" w:color="000000" w:sz="4" w:space="0"/>
              <w:right w:val="single" w:color="000000" w:sz="4" w:space="0"/>
            </w:tcBorders>
            <w:noWrap w:val="0"/>
            <w:vAlign w:val="center"/>
          </w:tcPr>
          <w:p w14:paraId="632069B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增减对比（元）</w:t>
            </w:r>
          </w:p>
        </w:tc>
        <w:tc>
          <w:tcPr>
            <w:tcW w:w="1072" w:type="dxa"/>
            <w:vMerge w:val="restart"/>
            <w:tcBorders>
              <w:top w:val="single" w:color="000000" w:sz="4" w:space="0"/>
              <w:left w:val="single" w:color="000000" w:sz="4" w:space="0"/>
              <w:bottom w:val="single" w:color="000000" w:sz="4" w:space="0"/>
              <w:right w:val="single" w:color="000000" w:sz="4" w:space="0"/>
            </w:tcBorders>
            <w:noWrap w:val="0"/>
            <w:vAlign w:val="center"/>
          </w:tcPr>
          <w:p w14:paraId="7456408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差错率</w:t>
            </w:r>
          </w:p>
        </w:tc>
      </w:tr>
      <w:tr w14:paraId="77CE7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7" w:hRule="atLeast"/>
        </w:trPr>
        <w:tc>
          <w:tcPr>
            <w:tcW w:w="1082"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9F1E9F">
            <w:pPr>
              <w:jc w:val="center"/>
              <w:rPr>
                <w:rFonts w:hint="eastAsia" w:ascii="宋体" w:hAnsi="宋体" w:eastAsia="宋体" w:cs="宋体"/>
                <w:i w:val="0"/>
                <w:iCs w:val="0"/>
                <w:color w:val="auto"/>
                <w:sz w:val="21"/>
                <w:szCs w:val="21"/>
                <w:highlight w:val="none"/>
                <w:u w:val="none"/>
              </w:rPr>
            </w:pPr>
          </w:p>
        </w:tc>
        <w:tc>
          <w:tcPr>
            <w:tcW w:w="339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7B881F">
            <w:pPr>
              <w:jc w:val="center"/>
              <w:rPr>
                <w:rFonts w:hint="eastAsia" w:ascii="宋体" w:hAnsi="宋体" w:eastAsia="宋体" w:cs="宋体"/>
                <w:i w:val="0"/>
                <w:iCs w:val="0"/>
                <w:color w:val="auto"/>
                <w:sz w:val="21"/>
                <w:szCs w:val="21"/>
                <w:highlight w:val="none"/>
                <w:u w:val="none"/>
              </w:rPr>
            </w:pP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3C91AC9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(元）</w:t>
            </w:r>
          </w:p>
        </w:tc>
        <w:tc>
          <w:tcPr>
            <w:tcW w:w="1419" w:type="dxa"/>
            <w:tcBorders>
              <w:top w:val="single" w:color="000000" w:sz="4" w:space="0"/>
              <w:left w:val="single" w:color="000000" w:sz="4" w:space="0"/>
              <w:bottom w:val="single" w:color="000000" w:sz="4" w:space="0"/>
              <w:right w:val="single" w:color="000000" w:sz="4" w:space="0"/>
            </w:tcBorders>
            <w:noWrap w:val="0"/>
            <w:vAlign w:val="center"/>
          </w:tcPr>
          <w:p w14:paraId="034A017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(元）</w:t>
            </w:r>
          </w:p>
        </w:tc>
        <w:tc>
          <w:tcPr>
            <w:tcW w:w="10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85BC23">
            <w:pPr>
              <w:jc w:val="center"/>
              <w:rPr>
                <w:rFonts w:hint="eastAsia" w:ascii="宋体" w:hAnsi="宋体" w:eastAsia="宋体" w:cs="宋体"/>
                <w:i w:val="0"/>
                <w:iCs w:val="0"/>
                <w:color w:val="auto"/>
                <w:sz w:val="21"/>
                <w:szCs w:val="21"/>
                <w:highlight w:val="none"/>
                <w:u w:val="none"/>
              </w:rPr>
            </w:pPr>
          </w:p>
        </w:tc>
        <w:tc>
          <w:tcPr>
            <w:tcW w:w="1072"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BCF3A2">
            <w:pPr>
              <w:jc w:val="center"/>
              <w:rPr>
                <w:rFonts w:hint="eastAsia" w:ascii="宋体" w:hAnsi="宋体" w:eastAsia="宋体" w:cs="宋体"/>
                <w:i w:val="0"/>
                <w:iCs w:val="0"/>
                <w:color w:val="auto"/>
                <w:sz w:val="21"/>
                <w:szCs w:val="21"/>
                <w:highlight w:val="none"/>
                <w:u w:val="none"/>
              </w:rPr>
            </w:pPr>
          </w:p>
        </w:tc>
      </w:tr>
      <w:tr w14:paraId="6263B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7" w:hRule="atLeast"/>
        </w:trPr>
        <w:tc>
          <w:tcPr>
            <w:tcW w:w="1082" w:type="dxa"/>
            <w:tcBorders>
              <w:top w:val="single" w:color="000000" w:sz="4" w:space="0"/>
              <w:left w:val="single" w:color="000000" w:sz="4" w:space="0"/>
              <w:bottom w:val="single" w:color="000000" w:sz="4" w:space="0"/>
              <w:right w:val="single" w:color="000000" w:sz="4" w:space="0"/>
            </w:tcBorders>
            <w:noWrap w:val="0"/>
            <w:vAlign w:val="center"/>
          </w:tcPr>
          <w:p w14:paraId="5638FAF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3397" w:type="dxa"/>
            <w:tcBorders>
              <w:top w:val="single" w:color="000000" w:sz="4" w:space="0"/>
              <w:left w:val="single" w:color="000000" w:sz="4" w:space="0"/>
              <w:bottom w:val="single" w:color="000000" w:sz="4" w:space="0"/>
              <w:right w:val="single" w:color="000000" w:sz="4" w:space="0"/>
            </w:tcBorders>
            <w:noWrap w:val="0"/>
            <w:vAlign w:val="bottom"/>
          </w:tcPr>
          <w:p w14:paraId="0B163034">
            <w:pPr>
              <w:jc w:val="left"/>
              <w:rPr>
                <w:rFonts w:hint="eastAsia" w:ascii="宋体" w:hAnsi="宋体" w:eastAsia="宋体" w:cs="宋体"/>
                <w:i w:val="0"/>
                <w:iCs w:val="0"/>
                <w:color w:val="auto"/>
                <w:sz w:val="21"/>
                <w:szCs w:val="21"/>
                <w:highlight w:val="none"/>
                <w:u w:val="none"/>
              </w:rPr>
            </w:pPr>
          </w:p>
        </w:tc>
        <w:tc>
          <w:tcPr>
            <w:tcW w:w="1250" w:type="dxa"/>
            <w:tcBorders>
              <w:top w:val="single" w:color="000000" w:sz="4" w:space="0"/>
              <w:left w:val="single" w:color="000000" w:sz="4" w:space="0"/>
              <w:bottom w:val="single" w:color="000000" w:sz="4" w:space="0"/>
              <w:right w:val="single" w:color="000000" w:sz="4" w:space="0"/>
            </w:tcBorders>
            <w:noWrap w:val="0"/>
            <w:vAlign w:val="bottom"/>
          </w:tcPr>
          <w:p w14:paraId="42533128">
            <w:pPr>
              <w:jc w:val="right"/>
              <w:rPr>
                <w:rFonts w:hint="eastAsia" w:ascii="宋体" w:hAnsi="宋体" w:eastAsia="宋体" w:cs="宋体"/>
                <w:i w:val="0"/>
                <w:iCs w:val="0"/>
                <w:color w:val="auto"/>
                <w:sz w:val="21"/>
                <w:szCs w:val="21"/>
                <w:highlight w:val="none"/>
                <w:u w:val="none"/>
              </w:rPr>
            </w:pPr>
          </w:p>
        </w:tc>
        <w:tc>
          <w:tcPr>
            <w:tcW w:w="1419" w:type="dxa"/>
            <w:tcBorders>
              <w:top w:val="single" w:color="000000" w:sz="4" w:space="0"/>
              <w:left w:val="single" w:color="000000" w:sz="4" w:space="0"/>
              <w:bottom w:val="single" w:color="000000" w:sz="4" w:space="0"/>
              <w:right w:val="single" w:color="000000" w:sz="4" w:space="0"/>
            </w:tcBorders>
            <w:noWrap w:val="0"/>
            <w:vAlign w:val="bottom"/>
          </w:tcPr>
          <w:p w14:paraId="31A48AC2">
            <w:pPr>
              <w:jc w:val="right"/>
              <w:rPr>
                <w:rFonts w:hint="eastAsia" w:ascii="宋体" w:hAnsi="宋体" w:eastAsia="宋体" w:cs="宋体"/>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bottom"/>
          </w:tcPr>
          <w:p w14:paraId="67E9DEE6">
            <w:pPr>
              <w:jc w:val="right"/>
              <w:rPr>
                <w:rFonts w:hint="eastAsia" w:ascii="宋体" w:hAnsi="宋体" w:eastAsia="宋体" w:cs="宋体"/>
                <w:i w:val="0"/>
                <w:iCs w:val="0"/>
                <w:color w:val="auto"/>
                <w:sz w:val="21"/>
                <w:szCs w:val="21"/>
                <w:highlight w:val="none"/>
                <w:u w:val="none"/>
              </w:rPr>
            </w:pPr>
          </w:p>
        </w:tc>
        <w:tc>
          <w:tcPr>
            <w:tcW w:w="1072" w:type="dxa"/>
            <w:tcBorders>
              <w:top w:val="single" w:color="000000" w:sz="4" w:space="0"/>
              <w:left w:val="single" w:color="000000" w:sz="4" w:space="0"/>
              <w:bottom w:val="single" w:color="000000" w:sz="4" w:space="0"/>
              <w:right w:val="single" w:color="000000" w:sz="4" w:space="0"/>
            </w:tcBorders>
            <w:noWrap w:val="0"/>
            <w:vAlign w:val="bottom"/>
          </w:tcPr>
          <w:p w14:paraId="5719580D">
            <w:pPr>
              <w:jc w:val="left"/>
              <w:rPr>
                <w:rFonts w:hint="eastAsia" w:ascii="宋体" w:hAnsi="宋体" w:eastAsia="宋体" w:cs="宋体"/>
                <w:i w:val="0"/>
                <w:iCs w:val="0"/>
                <w:color w:val="auto"/>
                <w:sz w:val="21"/>
                <w:szCs w:val="21"/>
                <w:highlight w:val="none"/>
                <w:u w:val="none"/>
              </w:rPr>
            </w:pPr>
          </w:p>
        </w:tc>
      </w:tr>
      <w:tr w14:paraId="548168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7" w:hRule="atLeast"/>
        </w:trPr>
        <w:tc>
          <w:tcPr>
            <w:tcW w:w="1082" w:type="dxa"/>
            <w:tcBorders>
              <w:top w:val="single" w:color="000000" w:sz="4" w:space="0"/>
              <w:left w:val="single" w:color="000000" w:sz="4" w:space="0"/>
              <w:bottom w:val="single" w:color="000000" w:sz="4" w:space="0"/>
              <w:right w:val="single" w:color="000000" w:sz="4" w:space="0"/>
            </w:tcBorders>
            <w:noWrap w:val="0"/>
            <w:vAlign w:val="center"/>
          </w:tcPr>
          <w:p w14:paraId="7C9409B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3397" w:type="dxa"/>
            <w:tcBorders>
              <w:top w:val="single" w:color="000000" w:sz="4" w:space="0"/>
              <w:left w:val="single" w:color="000000" w:sz="4" w:space="0"/>
              <w:bottom w:val="single" w:color="000000" w:sz="4" w:space="0"/>
              <w:right w:val="single" w:color="000000" w:sz="4" w:space="0"/>
            </w:tcBorders>
            <w:noWrap w:val="0"/>
            <w:vAlign w:val="bottom"/>
          </w:tcPr>
          <w:p w14:paraId="3893D756">
            <w:pPr>
              <w:jc w:val="left"/>
              <w:rPr>
                <w:rFonts w:hint="eastAsia" w:ascii="宋体" w:hAnsi="宋体" w:eastAsia="宋体" w:cs="宋体"/>
                <w:i w:val="0"/>
                <w:iCs w:val="0"/>
                <w:color w:val="auto"/>
                <w:sz w:val="21"/>
                <w:szCs w:val="21"/>
                <w:highlight w:val="none"/>
                <w:u w:val="none"/>
              </w:rPr>
            </w:pPr>
          </w:p>
        </w:tc>
        <w:tc>
          <w:tcPr>
            <w:tcW w:w="1250" w:type="dxa"/>
            <w:tcBorders>
              <w:top w:val="single" w:color="000000" w:sz="4" w:space="0"/>
              <w:left w:val="single" w:color="000000" w:sz="4" w:space="0"/>
              <w:bottom w:val="single" w:color="000000" w:sz="4" w:space="0"/>
              <w:right w:val="single" w:color="000000" w:sz="4" w:space="0"/>
            </w:tcBorders>
            <w:noWrap w:val="0"/>
            <w:vAlign w:val="bottom"/>
          </w:tcPr>
          <w:p w14:paraId="0523B683">
            <w:pPr>
              <w:jc w:val="right"/>
              <w:rPr>
                <w:rFonts w:hint="eastAsia" w:ascii="宋体" w:hAnsi="宋体" w:eastAsia="宋体" w:cs="宋体"/>
                <w:i w:val="0"/>
                <w:iCs w:val="0"/>
                <w:color w:val="auto"/>
                <w:sz w:val="21"/>
                <w:szCs w:val="21"/>
                <w:highlight w:val="none"/>
                <w:u w:val="none"/>
              </w:rPr>
            </w:pPr>
          </w:p>
        </w:tc>
        <w:tc>
          <w:tcPr>
            <w:tcW w:w="1419" w:type="dxa"/>
            <w:tcBorders>
              <w:top w:val="single" w:color="000000" w:sz="4" w:space="0"/>
              <w:left w:val="single" w:color="000000" w:sz="4" w:space="0"/>
              <w:bottom w:val="single" w:color="000000" w:sz="4" w:space="0"/>
              <w:right w:val="single" w:color="000000" w:sz="4" w:space="0"/>
            </w:tcBorders>
            <w:noWrap w:val="0"/>
            <w:vAlign w:val="bottom"/>
          </w:tcPr>
          <w:p w14:paraId="7FF19E38">
            <w:pPr>
              <w:jc w:val="right"/>
              <w:rPr>
                <w:rFonts w:hint="eastAsia" w:ascii="宋体" w:hAnsi="宋体" w:eastAsia="宋体" w:cs="宋体"/>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bottom"/>
          </w:tcPr>
          <w:p w14:paraId="7B7FC044">
            <w:pPr>
              <w:jc w:val="right"/>
              <w:rPr>
                <w:rFonts w:hint="eastAsia" w:ascii="宋体" w:hAnsi="宋体" w:eastAsia="宋体" w:cs="宋体"/>
                <w:i w:val="0"/>
                <w:iCs w:val="0"/>
                <w:color w:val="auto"/>
                <w:sz w:val="21"/>
                <w:szCs w:val="21"/>
                <w:highlight w:val="none"/>
                <w:u w:val="none"/>
              </w:rPr>
            </w:pPr>
          </w:p>
        </w:tc>
        <w:tc>
          <w:tcPr>
            <w:tcW w:w="1072" w:type="dxa"/>
            <w:tcBorders>
              <w:top w:val="single" w:color="000000" w:sz="4" w:space="0"/>
              <w:left w:val="single" w:color="000000" w:sz="4" w:space="0"/>
              <w:bottom w:val="single" w:color="000000" w:sz="4" w:space="0"/>
              <w:right w:val="single" w:color="000000" w:sz="4" w:space="0"/>
            </w:tcBorders>
            <w:noWrap w:val="0"/>
            <w:vAlign w:val="bottom"/>
          </w:tcPr>
          <w:p w14:paraId="18481AD9">
            <w:pPr>
              <w:jc w:val="left"/>
              <w:rPr>
                <w:rFonts w:hint="eastAsia" w:ascii="宋体" w:hAnsi="宋体" w:eastAsia="宋体" w:cs="宋体"/>
                <w:i w:val="0"/>
                <w:iCs w:val="0"/>
                <w:color w:val="auto"/>
                <w:sz w:val="21"/>
                <w:szCs w:val="21"/>
                <w:highlight w:val="none"/>
                <w:u w:val="none"/>
              </w:rPr>
            </w:pPr>
          </w:p>
        </w:tc>
      </w:tr>
      <w:tr w14:paraId="33B72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7" w:hRule="atLeast"/>
        </w:trPr>
        <w:tc>
          <w:tcPr>
            <w:tcW w:w="1082" w:type="dxa"/>
            <w:tcBorders>
              <w:top w:val="single" w:color="000000" w:sz="4" w:space="0"/>
              <w:left w:val="single" w:color="000000" w:sz="4" w:space="0"/>
              <w:bottom w:val="single" w:color="000000" w:sz="4" w:space="0"/>
              <w:right w:val="single" w:color="000000" w:sz="4" w:space="0"/>
            </w:tcBorders>
            <w:noWrap w:val="0"/>
            <w:vAlign w:val="center"/>
          </w:tcPr>
          <w:p w14:paraId="3721941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3397" w:type="dxa"/>
            <w:tcBorders>
              <w:top w:val="single" w:color="000000" w:sz="4" w:space="0"/>
              <w:left w:val="single" w:color="000000" w:sz="4" w:space="0"/>
              <w:bottom w:val="single" w:color="000000" w:sz="4" w:space="0"/>
              <w:right w:val="single" w:color="000000" w:sz="4" w:space="0"/>
            </w:tcBorders>
            <w:noWrap w:val="0"/>
            <w:vAlign w:val="bottom"/>
          </w:tcPr>
          <w:p w14:paraId="7551186C">
            <w:pPr>
              <w:jc w:val="left"/>
              <w:rPr>
                <w:rFonts w:hint="eastAsia" w:ascii="宋体" w:hAnsi="宋体" w:eastAsia="宋体" w:cs="宋体"/>
                <w:i w:val="0"/>
                <w:iCs w:val="0"/>
                <w:color w:val="auto"/>
                <w:sz w:val="21"/>
                <w:szCs w:val="21"/>
                <w:highlight w:val="none"/>
                <w:u w:val="none"/>
              </w:rPr>
            </w:pPr>
          </w:p>
        </w:tc>
        <w:tc>
          <w:tcPr>
            <w:tcW w:w="1250" w:type="dxa"/>
            <w:tcBorders>
              <w:top w:val="single" w:color="000000" w:sz="4" w:space="0"/>
              <w:left w:val="single" w:color="000000" w:sz="4" w:space="0"/>
              <w:bottom w:val="single" w:color="000000" w:sz="4" w:space="0"/>
              <w:right w:val="single" w:color="000000" w:sz="4" w:space="0"/>
            </w:tcBorders>
            <w:noWrap w:val="0"/>
            <w:vAlign w:val="bottom"/>
          </w:tcPr>
          <w:p w14:paraId="0809418A">
            <w:pPr>
              <w:jc w:val="right"/>
              <w:rPr>
                <w:rFonts w:hint="eastAsia" w:ascii="宋体" w:hAnsi="宋体" w:eastAsia="宋体" w:cs="宋体"/>
                <w:i w:val="0"/>
                <w:iCs w:val="0"/>
                <w:color w:val="auto"/>
                <w:sz w:val="21"/>
                <w:szCs w:val="21"/>
                <w:highlight w:val="none"/>
                <w:u w:val="none"/>
              </w:rPr>
            </w:pPr>
          </w:p>
        </w:tc>
        <w:tc>
          <w:tcPr>
            <w:tcW w:w="1419" w:type="dxa"/>
            <w:tcBorders>
              <w:top w:val="single" w:color="000000" w:sz="4" w:space="0"/>
              <w:left w:val="single" w:color="000000" w:sz="4" w:space="0"/>
              <w:bottom w:val="single" w:color="000000" w:sz="4" w:space="0"/>
              <w:right w:val="single" w:color="000000" w:sz="4" w:space="0"/>
            </w:tcBorders>
            <w:noWrap w:val="0"/>
            <w:vAlign w:val="bottom"/>
          </w:tcPr>
          <w:p w14:paraId="7AD37090">
            <w:pPr>
              <w:jc w:val="right"/>
              <w:rPr>
                <w:rFonts w:hint="eastAsia" w:ascii="宋体" w:hAnsi="宋体" w:eastAsia="宋体" w:cs="宋体"/>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bottom"/>
          </w:tcPr>
          <w:p w14:paraId="75DD92D7">
            <w:pPr>
              <w:jc w:val="right"/>
              <w:rPr>
                <w:rFonts w:hint="eastAsia" w:ascii="宋体" w:hAnsi="宋体" w:eastAsia="宋体" w:cs="宋体"/>
                <w:i w:val="0"/>
                <w:iCs w:val="0"/>
                <w:color w:val="auto"/>
                <w:sz w:val="21"/>
                <w:szCs w:val="21"/>
                <w:highlight w:val="none"/>
                <w:u w:val="none"/>
              </w:rPr>
            </w:pPr>
          </w:p>
        </w:tc>
        <w:tc>
          <w:tcPr>
            <w:tcW w:w="1072" w:type="dxa"/>
            <w:tcBorders>
              <w:top w:val="single" w:color="000000" w:sz="4" w:space="0"/>
              <w:left w:val="single" w:color="000000" w:sz="4" w:space="0"/>
              <w:bottom w:val="single" w:color="000000" w:sz="4" w:space="0"/>
              <w:right w:val="single" w:color="000000" w:sz="4" w:space="0"/>
            </w:tcBorders>
            <w:noWrap w:val="0"/>
            <w:vAlign w:val="bottom"/>
          </w:tcPr>
          <w:p w14:paraId="3C9026F9">
            <w:pPr>
              <w:jc w:val="left"/>
              <w:rPr>
                <w:rFonts w:hint="eastAsia" w:ascii="宋体" w:hAnsi="宋体" w:eastAsia="宋体" w:cs="宋体"/>
                <w:i w:val="0"/>
                <w:iCs w:val="0"/>
                <w:color w:val="auto"/>
                <w:sz w:val="21"/>
                <w:szCs w:val="21"/>
                <w:highlight w:val="none"/>
                <w:u w:val="none"/>
              </w:rPr>
            </w:pPr>
          </w:p>
        </w:tc>
      </w:tr>
      <w:tr w14:paraId="209A0A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7" w:hRule="atLeast"/>
        </w:trPr>
        <w:tc>
          <w:tcPr>
            <w:tcW w:w="1082" w:type="dxa"/>
            <w:tcBorders>
              <w:top w:val="single" w:color="000000" w:sz="4" w:space="0"/>
              <w:left w:val="single" w:color="000000" w:sz="4" w:space="0"/>
              <w:bottom w:val="single" w:color="000000" w:sz="4" w:space="0"/>
              <w:right w:val="single" w:color="000000" w:sz="4" w:space="0"/>
            </w:tcBorders>
            <w:noWrap w:val="0"/>
            <w:vAlign w:val="center"/>
          </w:tcPr>
          <w:p w14:paraId="56AB559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3397" w:type="dxa"/>
            <w:tcBorders>
              <w:top w:val="single" w:color="000000" w:sz="4" w:space="0"/>
              <w:left w:val="single" w:color="000000" w:sz="4" w:space="0"/>
              <w:bottom w:val="single" w:color="000000" w:sz="4" w:space="0"/>
              <w:right w:val="single" w:color="000000" w:sz="4" w:space="0"/>
            </w:tcBorders>
            <w:noWrap w:val="0"/>
            <w:vAlign w:val="bottom"/>
          </w:tcPr>
          <w:p w14:paraId="4098AA89">
            <w:pPr>
              <w:jc w:val="left"/>
              <w:rPr>
                <w:rFonts w:hint="eastAsia" w:ascii="宋体" w:hAnsi="宋体" w:eastAsia="宋体" w:cs="宋体"/>
                <w:i w:val="0"/>
                <w:iCs w:val="0"/>
                <w:color w:val="auto"/>
                <w:sz w:val="21"/>
                <w:szCs w:val="21"/>
                <w:highlight w:val="none"/>
                <w:u w:val="none"/>
              </w:rPr>
            </w:pPr>
          </w:p>
        </w:tc>
        <w:tc>
          <w:tcPr>
            <w:tcW w:w="1250" w:type="dxa"/>
            <w:tcBorders>
              <w:top w:val="single" w:color="000000" w:sz="4" w:space="0"/>
              <w:left w:val="single" w:color="000000" w:sz="4" w:space="0"/>
              <w:bottom w:val="single" w:color="000000" w:sz="4" w:space="0"/>
              <w:right w:val="single" w:color="000000" w:sz="4" w:space="0"/>
            </w:tcBorders>
            <w:noWrap w:val="0"/>
            <w:vAlign w:val="bottom"/>
          </w:tcPr>
          <w:p w14:paraId="1BEDE177">
            <w:pPr>
              <w:jc w:val="right"/>
              <w:rPr>
                <w:rFonts w:hint="eastAsia" w:ascii="宋体" w:hAnsi="宋体" w:eastAsia="宋体" w:cs="宋体"/>
                <w:i w:val="0"/>
                <w:iCs w:val="0"/>
                <w:color w:val="auto"/>
                <w:sz w:val="21"/>
                <w:szCs w:val="21"/>
                <w:highlight w:val="none"/>
                <w:u w:val="none"/>
              </w:rPr>
            </w:pPr>
          </w:p>
        </w:tc>
        <w:tc>
          <w:tcPr>
            <w:tcW w:w="1419" w:type="dxa"/>
            <w:tcBorders>
              <w:top w:val="single" w:color="000000" w:sz="4" w:space="0"/>
              <w:left w:val="single" w:color="000000" w:sz="4" w:space="0"/>
              <w:bottom w:val="single" w:color="000000" w:sz="4" w:space="0"/>
              <w:right w:val="single" w:color="000000" w:sz="4" w:space="0"/>
            </w:tcBorders>
            <w:noWrap w:val="0"/>
            <w:vAlign w:val="bottom"/>
          </w:tcPr>
          <w:p w14:paraId="34D84D96">
            <w:pPr>
              <w:jc w:val="right"/>
              <w:rPr>
                <w:rFonts w:hint="eastAsia" w:ascii="宋体" w:hAnsi="宋体" w:eastAsia="宋体" w:cs="宋体"/>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bottom"/>
          </w:tcPr>
          <w:p w14:paraId="02C8276D">
            <w:pPr>
              <w:jc w:val="right"/>
              <w:rPr>
                <w:rFonts w:hint="eastAsia" w:ascii="宋体" w:hAnsi="宋体" w:eastAsia="宋体" w:cs="宋体"/>
                <w:i w:val="0"/>
                <w:iCs w:val="0"/>
                <w:color w:val="auto"/>
                <w:sz w:val="21"/>
                <w:szCs w:val="21"/>
                <w:highlight w:val="none"/>
                <w:u w:val="none"/>
              </w:rPr>
            </w:pPr>
          </w:p>
        </w:tc>
        <w:tc>
          <w:tcPr>
            <w:tcW w:w="1072" w:type="dxa"/>
            <w:tcBorders>
              <w:top w:val="single" w:color="000000" w:sz="4" w:space="0"/>
              <w:left w:val="single" w:color="000000" w:sz="4" w:space="0"/>
              <w:bottom w:val="single" w:color="000000" w:sz="4" w:space="0"/>
              <w:right w:val="single" w:color="000000" w:sz="4" w:space="0"/>
            </w:tcBorders>
            <w:noWrap w:val="0"/>
            <w:vAlign w:val="bottom"/>
          </w:tcPr>
          <w:p w14:paraId="2A4FB425">
            <w:pPr>
              <w:jc w:val="left"/>
              <w:rPr>
                <w:rFonts w:hint="eastAsia" w:ascii="宋体" w:hAnsi="宋体" w:eastAsia="宋体" w:cs="宋体"/>
                <w:i w:val="0"/>
                <w:iCs w:val="0"/>
                <w:color w:val="auto"/>
                <w:sz w:val="21"/>
                <w:szCs w:val="21"/>
                <w:highlight w:val="none"/>
                <w:u w:val="none"/>
              </w:rPr>
            </w:pPr>
          </w:p>
        </w:tc>
      </w:tr>
      <w:tr w14:paraId="7B2657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7" w:hRule="atLeast"/>
        </w:trPr>
        <w:tc>
          <w:tcPr>
            <w:tcW w:w="1082" w:type="dxa"/>
            <w:tcBorders>
              <w:top w:val="single" w:color="000000" w:sz="4" w:space="0"/>
              <w:left w:val="single" w:color="000000" w:sz="4" w:space="0"/>
              <w:bottom w:val="single" w:color="000000" w:sz="4" w:space="0"/>
              <w:right w:val="single" w:color="000000" w:sz="4" w:space="0"/>
            </w:tcBorders>
            <w:noWrap w:val="0"/>
            <w:vAlign w:val="bottom"/>
          </w:tcPr>
          <w:p w14:paraId="2F89B092">
            <w:pPr>
              <w:jc w:val="center"/>
              <w:rPr>
                <w:rFonts w:hint="eastAsia" w:ascii="宋体" w:hAnsi="宋体" w:eastAsia="宋体" w:cs="宋体"/>
                <w:i w:val="0"/>
                <w:iCs w:val="0"/>
                <w:color w:val="auto"/>
                <w:sz w:val="21"/>
                <w:szCs w:val="21"/>
                <w:highlight w:val="none"/>
                <w:u w:val="none"/>
              </w:rPr>
            </w:pPr>
          </w:p>
        </w:tc>
        <w:tc>
          <w:tcPr>
            <w:tcW w:w="3397" w:type="dxa"/>
            <w:tcBorders>
              <w:top w:val="single" w:color="000000" w:sz="4" w:space="0"/>
              <w:left w:val="single" w:color="000000" w:sz="4" w:space="0"/>
              <w:bottom w:val="single" w:color="000000" w:sz="4" w:space="0"/>
              <w:right w:val="single" w:color="000000" w:sz="4" w:space="0"/>
            </w:tcBorders>
            <w:noWrap w:val="0"/>
            <w:vAlign w:val="bottom"/>
          </w:tcPr>
          <w:p w14:paraId="12495D49">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合计:</w:t>
            </w:r>
          </w:p>
        </w:tc>
        <w:tc>
          <w:tcPr>
            <w:tcW w:w="1250" w:type="dxa"/>
            <w:tcBorders>
              <w:top w:val="single" w:color="000000" w:sz="4" w:space="0"/>
              <w:left w:val="single" w:color="000000" w:sz="4" w:space="0"/>
              <w:bottom w:val="single" w:color="000000" w:sz="4" w:space="0"/>
              <w:right w:val="single" w:color="000000" w:sz="4" w:space="0"/>
            </w:tcBorders>
            <w:noWrap w:val="0"/>
            <w:vAlign w:val="bottom"/>
          </w:tcPr>
          <w:p w14:paraId="355FEAA6">
            <w:pPr>
              <w:jc w:val="right"/>
              <w:rPr>
                <w:rFonts w:hint="eastAsia" w:ascii="宋体" w:hAnsi="宋体" w:eastAsia="宋体" w:cs="宋体"/>
                <w:i w:val="0"/>
                <w:iCs w:val="0"/>
                <w:color w:val="auto"/>
                <w:sz w:val="21"/>
                <w:szCs w:val="21"/>
                <w:highlight w:val="none"/>
                <w:u w:val="none"/>
              </w:rPr>
            </w:pPr>
          </w:p>
        </w:tc>
        <w:tc>
          <w:tcPr>
            <w:tcW w:w="1419" w:type="dxa"/>
            <w:tcBorders>
              <w:top w:val="single" w:color="000000" w:sz="4" w:space="0"/>
              <w:left w:val="single" w:color="000000" w:sz="4" w:space="0"/>
              <w:bottom w:val="single" w:color="000000" w:sz="4" w:space="0"/>
              <w:right w:val="single" w:color="000000" w:sz="4" w:space="0"/>
            </w:tcBorders>
            <w:noWrap w:val="0"/>
            <w:vAlign w:val="bottom"/>
          </w:tcPr>
          <w:p w14:paraId="0D6553D9">
            <w:pPr>
              <w:jc w:val="right"/>
              <w:rPr>
                <w:rFonts w:hint="eastAsia" w:ascii="宋体" w:hAnsi="宋体" w:eastAsia="宋体" w:cs="宋体"/>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bottom"/>
          </w:tcPr>
          <w:p w14:paraId="3C82D0AC">
            <w:pPr>
              <w:jc w:val="right"/>
              <w:rPr>
                <w:rFonts w:hint="eastAsia" w:ascii="宋体" w:hAnsi="宋体" w:eastAsia="宋体" w:cs="宋体"/>
                <w:i w:val="0"/>
                <w:iCs w:val="0"/>
                <w:color w:val="auto"/>
                <w:sz w:val="21"/>
                <w:szCs w:val="21"/>
                <w:highlight w:val="none"/>
                <w:u w:val="none"/>
              </w:rPr>
            </w:pPr>
          </w:p>
        </w:tc>
        <w:tc>
          <w:tcPr>
            <w:tcW w:w="1072" w:type="dxa"/>
            <w:tcBorders>
              <w:top w:val="single" w:color="000000" w:sz="4" w:space="0"/>
              <w:left w:val="single" w:color="000000" w:sz="4" w:space="0"/>
              <w:bottom w:val="single" w:color="000000" w:sz="4" w:space="0"/>
              <w:right w:val="single" w:color="000000" w:sz="4" w:space="0"/>
            </w:tcBorders>
            <w:noWrap w:val="0"/>
            <w:vAlign w:val="bottom"/>
          </w:tcPr>
          <w:p w14:paraId="2BE3215F">
            <w:pPr>
              <w:jc w:val="left"/>
              <w:rPr>
                <w:rFonts w:hint="eastAsia" w:ascii="宋体" w:hAnsi="宋体" w:eastAsia="宋体" w:cs="宋体"/>
                <w:i w:val="0"/>
                <w:iCs w:val="0"/>
                <w:color w:val="auto"/>
                <w:sz w:val="21"/>
                <w:szCs w:val="21"/>
                <w:highlight w:val="none"/>
                <w:u w:val="none"/>
              </w:rPr>
            </w:pPr>
          </w:p>
        </w:tc>
      </w:tr>
      <w:tr w14:paraId="2219D1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2" w:hRule="atLeast"/>
        </w:trPr>
        <w:tc>
          <w:tcPr>
            <w:tcW w:w="9300" w:type="dxa"/>
            <w:gridSpan w:val="6"/>
            <w:tcBorders>
              <w:top w:val="nil"/>
              <w:left w:val="nil"/>
              <w:bottom w:val="nil"/>
              <w:right w:val="nil"/>
            </w:tcBorders>
            <w:noWrap w:val="0"/>
            <w:vAlign w:val="bottom"/>
          </w:tcPr>
          <w:p w14:paraId="5681A6D5">
            <w:pPr>
              <w:keepNext w:val="0"/>
              <w:keepLines w:val="0"/>
              <w:widowControl/>
              <w:suppressLineNumbers w:val="0"/>
              <w:ind w:firstLine="420" w:firstLineChars="200"/>
              <w:jc w:val="left"/>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 以上结果已经我公司审核人员审核，对此结果我公司同意由</w:t>
            </w:r>
            <w:r>
              <w:rPr>
                <w:rFonts w:hint="eastAsia" w:ascii="宋体" w:hAnsi="宋体" w:eastAsia="宋体" w:cs="宋体"/>
                <w:color w:val="auto"/>
                <w:highlight w:val="none"/>
                <w:lang w:eastAsia="zh-CN"/>
              </w:rPr>
              <w:t>英德市投资审核中心</w:t>
            </w:r>
            <w:r>
              <w:rPr>
                <w:rFonts w:hint="eastAsia" w:ascii="宋体" w:hAnsi="宋体" w:eastAsia="宋体" w:cs="宋体"/>
                <w:i w:val="0"/>
                <w:iCs w:val="0"/>
                <w:color w:val="auto"/>
                <w:kern w:val="0"/>
                <w:sz w:val="21"/>
                <w:szCs w:val="21"/>
                <w:highlight w:val="none"/>
                <w:u w:val="none"/>
                <w:lang w:val="en-US" w:eastAsia="zh-CN" w:bidi="ar"/>
              </w:rPr>
              <w:t>根据实际情况计算差错率（差错是指由于咨询人的主观原因而造成的差错，如错套定额，点错小数点、重项、漏项、工程量计算错误、高估冒算、因没有到现场核实导致造价失实等。差错率是指我公司的主观差错金额与投资审核中心的最后定案金额对比计算率），并根据差错率(i)的大小作如下处理：</w:t>
            </w:r>
          </w:p>
        </w:tc>
      </w:tr>
      <w:tr w14:paraId="60DF9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9300" w:type="dxa"/>
            <w:gridSpan w:val="6"/>
            <w:tcBorders>
              <w:top w:val="nil"/>
              <w:left w:val="nil"/>
              <w:bottom w:val="nil"/>
              <w:right w:val="nil"/>
            </w:tcBorders>
            <w:noWrap w:val="0"/>
            <w:vAlign w:val="bottom"/>
          </w:tcPr>
          <w:p w14:paraId="06D9B3D2">
            <w:pPr>
              <w:keepNext w:val="0"/>
              <w:keepLines w:val="0"/>
              <w:widowControl/>
              <w:suppressLineNumbers w:val="0"/>
              <w:jc w:val="left"/>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（1）估（概）、预算（含最高限价、采购工程量清单）：</w:t>
            </w:r>
          </w:p>
        </w:tc>
      </w:tr>
      <w:tr w14:paraId="54485B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9300" w:type="dxa"/>
            <w:gridSpan w:val="6"/>
            <w:tcBorders>
              <w:top w:val="nil"/>
              <w:left w:val="nil"/>
              <w:bottom w:val="nil"/>
              <w:right w:val="nil"/>
            </w:tcBorders>
            <w:noWrap w:val="0"/>
            <w:vAlign w:val="bottom"/>
          </w:tcPr>
          <w:p w14:paraId="1DA45FE4">
            <w:pPr>
              <w:keepNext w:val="0"/>
              <w:keepLines w:val="0"/>
              <w:widowControl/>
              <w:suppressLineNumbers w:val="0"/>
              <w:jc w:val="left"/>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① 1%＜i≤5%，扣除协议咨询服务酬金的20%；</w:t>
            </w:r>
          </w:p>
        </w:tc>
      </w:tr>
      <w:tr w14:paraId="592375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9300" w:type="dxa"/>
            <w:gridSpan w:val="6"/>
            <w:tcBorders>
              <w:top w:val="nil"/>
              <w:left w:val="nil"/>
              <w:bottom w:val="nil"/>
              <w:right w:val="nil"/>
            </w:tcBorders>
            <w:noWrap w:val="0"/>
            <w:vAlign w:val="bottom"/>
          </w:tcPr>
          <w:p w14:paraId="27583A9D">
            <w:pPr>
              <w:keepNext w:val="0"/>
              <w:keepLines w:val="0"/>
              <w:widowControl/>
              <w:suppressLineNumbers w:val="0"/>
              <w:jc w:val="left"/>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② 5%＜i≤8%，扣除协议咨询服务酬金的50%；</w:t>
            </w:r>
          </w:p>
        </w:tc>
      </w:tr>
      <w:tr w14:paraId="4A98D6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9300" w:type="dxa"/>
            <w:gridSpan w:val="6"/>
            <w:tcBorders>
              <w:top w:val="nil"/>
              <w:left w:val="nil"/>
              <w:bottom w:val="nil"/>
              <w:right w:val="nil"/>
            </w:tcBorders>
            <w:noWrap w:val="0"/>
            <w:vAlign w:val="bottom"/>
          </w:tcPr>
          <w:p w14:paraId="084315D8">
            <w:pPr>
              <w:keepNext w:val="0"/>
              <w:keepLines w:val="0"/>
              <w:widowControl/>
              <w:suppressLineNumbers w:val="0"/>
              <w:jc w:val="left"/>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③ i＞8%，扣除协议咨询服务酬金的100%。</w:t>
            </w:r>
          </w:p>
        </w:tc>
      </w:tr>
      <w:tr w14:paraId="1366A0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9300" w:type="dxa"/>
            <w:gridSpan w:val="6"/>
            <w:tcBorders>
              <w:top w:val="nil"/>
              <w:left w:val="nil"/>
              <w:bottom w:val="nil"/>
              <w:right w:val="nil"/>
            </w:tcBorders>
            <w:noWrap w:val="0"/>
            <w:vAlign w:val="bottom"/>
          </w:tcPr>
          <w:p w14:paraId="06668A0A">
            <w:pPr>
              <w:keepNext w:val="0"/>
              <w:keepLines w:val="0"/>
              <w:widowControl/>
              <w:suppressLineNumbers w:val="0"/>
              <w:jc w:val="left"/>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（2）工程竣工结算：</w:t>
            </w:r>
          </w:p>
        </w:tc>
      </w:tr>
      <w:tr w14:paraId="643E49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9300" w:type="dxa"/>
            <w:gridSpan w:val="6"/>
            <w:tcBorders>
              <w:top w:val="nil"/>
              <w:left w:val="nil"/>
              <w:bottom w:val="nil"/>
              <w:right w:val="nil"/>
            </w:tcBorders>
            <w:noWrap w:val="0"/>
            <w:vAlign w:val="bottom"/>
          </w:tcPr>
          <w:p w14:paraId="31BEB9A4">
            <w:pPr>
              <w:keepNext w:val="0"/>
              <w:keepLines w:val="0"/>
              <w:widowControl/>
              <w:suppressLineNumbers w:val="0"/>
              <w:jc w:val="left"/>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① 差错率少于1%，扣除咨询费10%；</w:t>
            </w:r>
          </w:p>
        </w:tc>
      </w:tr>
      <w:tr w14:paraId="2A5271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9300" w:type="dxa"/>
            <w:gridSpan w:val="6"/>
            <w:tcBorders>
              <w:top w:val="nil"/>
              <w:left w:val="nil"/>
              <w:bottom w:val="nil"/>
              <w:right w:val="nil"/>
            </w:tcBorders>
            <w:noWrap w:val="0"/>
            <w:vAlign w:val="bottom"/>
          </w:tcPr>
          <w:p w14:paraId="64773192">
            <w:pPr>
              <w:keepNext w:val="0"/>
              <w:keepLines w:val="0"/>
              <w:widowControl/>
              <w:suppressLineNumbers w:val="0"/>
              <w:jc w:val="left"/>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② 1%＜i≤3%，扣除协议咨询服务酬金的20%；</w:t>
            </w:r>
          </w:p>
        </w:tc>
      </w:tr>
      <w:tr w14:paraId="7816B3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9300" w:type="dxa"/>
            <w:gridSpan w:val="6"/>
            <w:tcBorders>
              <w:top w:val="nil"/>
              <w:left w:val="nil"/>
              <w:bottom w:val="nil"/>
              <w:right w:val="nil"/>
            </w:tcBorders>
            <w:noWrap w:val="0"/>
            <w:vAlign w:val="bottom"/>
          </w:tcPr>
          <w:p w14:paraId="75E3CAE4">
            <w:pPr>
              <w:keepNext w:val="0"/>
              <w:keepLines w:val="0"/>
              <w:widowControl/>
              <w:suppressLineNumbers w:val="0"/>
              <w:jc w:val="left"/>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③ 3%＜i≤5%，扣除协议咨询服务酬金的50%；</w:t>
            </w:r>
          </w:p>
        </w:tc>
      </w:tr>
      <w:tr w14:paraId="561F07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9300" w:type="dxa"/>
            <w:gridSpan w:val="6"/>
            <w:tcBorders>
              <w:top w:val="nil"/>
              <w:left w:val="nil"/>
              <w:bottom w:val="nil"/>
              <w:right w:val="nil"/>
            </w:tcBorders>
            <w:noWrap w:val="0"/>
            <w:vAlign w:val="bottom"/>
          </w:tcPr>
          <w:p w14:paraId="5E759369">
            <w:pPr>
              <w:keepNext w:val="0"/>
              <w:keepLines w:val="0"/>
              <w:widowControl/>
              <w:suppressLineNumbers w:val="0"/>
              <w:jc w:val="left"/>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④ 5%＜i≤8%，扣除协议咨询服务酬金的80%；</w:t>
            </w:r>
          </w:p>
        </w:tc>
      </w:tr>
      <w:tr w14:paraId="24979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9300" w:type="dxa"/>
            <w:gridSpan w:val="6"/>
            <w:tcBorders>
              <w:top w:val="nil"/>
              <w:left w:val="nil"/>
              <w:bottom w:val="nil"/>
              <w:right w:val="nil"/>
            </w:tcBorders>
            <w:noWrap w:val="0"/>
            <w:vAlign w:val="bottom"/>
          </w:tcPr>
          <w:p w14:paraId="6AFBE2CB">
            <w:pPr>
              <w:keepNext w:val="0"/>
              <w:keepLines w:val="0"/>
              <w:widowControl/>
              <w:suppressLineNumbers w:val="0"/>
              <w:jc w:val="left"/>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⑤ i＞8%，扣除协议咨询服务酬金的100%。</w:t>
            </w:r>
          </w:p>
        </w:tc>
      </w:tr>
      <w:tr w14:paraId="56624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9300" w:type="dxa"/>
            <w:gridSpan w:val="6"/>
            <w:tcBorders>
              <w:top w:val="nil"/>
              <w:left w:val="nil"/>
              <w:bottom w:val="nil"/>
              <w:right w:val="nil"/>
            </w:tcBorders>
            <w:noWrap w:val="0"/>
            <w:vAlign w:val="bottom"/>
          </w:tcPr>
          <w:p w14:paraId="545921CE">
            <w:pPr>
              <w:keepNext w:val="0"/>
              <w:keepLines w:val="0"/>
              <w:widowControl/>
              <w:suppressLineNumbers w:val="0"/>
              <w:jc w:val="left"/>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如咨询人对差错率的计算有争议，可向委托人所在地的工程造价行政主管部门申请复核。</w:t>
            </w:r>
          </w:p>
        </w:tc>
      </w:tr>
      <w:tr w14:paraId="0FC66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9" w:hRule="atLeast"/>
        </w:trPr>
        <w:tc>
          <w:tcPr>
            <w:tcW w:w="9300" w:type="dxa"/>
            <w:gridSpan w:val="6"/>
            <w:tcBorders>
              <w:top w:val="nil"/>
              <w:left w:val="nil"/>
              <w:bottom w:val="nil"/>
              <w:right w:val="nil"/>
            </w:tcBorders>
            <w:noWrap w:val="0"/>
            <w:vAlign w:val="bottom"/>
          </w:tcPr>
          <w:p w14:paraId="47E92C0A">
            <w:pPr>
              <w:keepNext w:val="0"/>
              <w:keepLines w:val="0"/>
              <w:widowControl/>
              <w:suppressLineNumbers w:val="0"/>
              <w:jc w:val="left"/>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  二、如出现较大、重大质量问题的，投资审核中心可根据情况采取暂停业务分配1-3个月处理，多次出现较大、重大质量问题的，投资审核中心有权终止合同。</w:t>
            </w:r>
          </w:p>
        </w:tc>
      </w:tr>
      <w:tr w14:paraId="41B75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9300" w:type="dxa"/>
            <w:gridSpan w:val="6"/>
            <w:tcBorders>
              <w:top w:val="nil"/>
              <w:left w:val="nil"/>
              <w:bottom w:val="nil"/>
              <w:right w:val="nil"/>
            </w:tcBorders>
            <w:noWrap w:val="0"/>
            <w:vAlign w:val="bottom"/>
          </w:tcPr>
          <w:p w14:paraId="5A78BA90">
            <w:pPr>
              <w:jc w:val="left"/>
              <w:rPr>
                <w:rFonts w:hint="eastAsia" w:ascii="宋体" w:hAnsi="宋体" w:eastAsia="宋体" w:cs="宋体"/>
                <w:i w:val="0"/>
                <w:iCs w:val="0"/>
                <w:color w:val="auto"/>
                <w:sz w:val="21"/>
                <w:szCs w:val="21"/>
                <w:highlight w:val="none"/>
                <w:u w:val="none"/>
              </w:rPr>
            </w:pPr>
          </w:p>
        </w:tc>
      </w:tr>
      <w:tr w14:paraId="0548D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0" w:type="auto"/>
            <w:gridSpan w:val="2"/>
            <w:tcBorders>
              <w:top w:val="nil"/>
              <w:left w:val="nil"/>
              <w:bottom w:val="nil"/>
              <w:right w:val="nil"/>
            </w:tcBorders>
            <w:noWrap/>
            <w:vAlign w:val="bottom"/>
          </w:tcPr>
          <w:p w14:paraId="182FBA5F">
            <w:pPr>
              <w:keepNext w:val="0"/>
              <w:keepLines w:val="0"/>
              <w:widowControl/>
              <w:suppressLineNumbers w:val="0"/>
              <w:jc w:val="left"/>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审核公司/复核（或复审）公司（盖章）：</w:t>
            </w:r>
          </w:p>
        </w:tc>
        <w:tc>
          <w:tcPr>
            <w:tcW w:w="4821" w:type="dxa"/>
            <w:gridSpan w:val="4"/>
            <w:tcBorders>
              <w:top w:val="nil"/>
              <w:left w:val="nil"/>
              <w:bottom w:val="nil"/>
              <w:right w:val="nil"/>
            </w:tcBorders>
            <w:noWrap w:val="0"/>
            <w:vAlign w:val="bottom"/>
          </w:tcPr>
          <w:p w14:paraId="28898295">
            <w:pPr>
              <w:jc w:val="left"/>
              <w:rPr>
                <w:rFonts w:hint="eastAsia" w:ascii="宋体" w:hAnsi="宋体" w:eastAsia="宋体" w:cs="宋体"/>
                <w:i w:val="0"/>
                <w:iCs w:val="0"/>
                <w:color w:val="auto"/>
                <w:sz w:val="21"/>
                <w:szCs w:val="21"/>
                <w:highlight w:val="none"/>
                <w:u w:val="none"/>
              </w:rPr>
            </w:pPr>
          </w:p>
        </w:tc>
      </w:tr>
      <w:tr w14:paraId="28136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0" w:type="auto"/>
            <w:gridSpan w:val="2"/>
            <w:tcBorders>
              <w:top w:val="nil"/>
              <w:left w:val="nil"/>
              <w:bottom w:val="nil"/>
              <w:right w:val="nil"/>
            </w:tcBorders>
            <w:noWrap/>
            <w:vAlign w:val="bottom"/>
          </w:tcPr>
          <w:p w14:paraId="4A96F8A7">
            <w:pPr>
              <w:keepNext w:val="0"/>
              <w:keepLines w:val="0"/>
              <w:widowControl/>
              <w:suppressLineNumbers w:val="0"/>
              <w:jc w:val="left"/>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评审人：</w:t>
            </w:r>
          </w:p>
        </w:tc>
        <w:tc>
          <w:tcPr>
            <w:tcW w:w="2669" w:type="dxa"/>
            <w:gridSpan w:val="2"/>
            <w:tcBorders>
              <w:top w:val="nil"/>
              <w:left w:val="nil"/>
              <w:bottom w:val="nil"/>
              <w:right w:val="nil"/>
            </w:tcBorders>
            <w:noWrap/>
            <w:vAlign w:val="bottom"/>
          </w:tcPr>
          <w:p w14:paraId="68697A5D">
            <w:pPr>
              <w:rPr>
                <w:rFonts w:hint="eastAsia" w:ascii="宋体" w:hAnsi="宋体" w:eastAsia="宋体" w:cs="宋体"/>
                <w:i w:val="0"/>
                <w:iCs w:val="0"/>
                <w:color w:val="auto"/>
                <w:sz w:val="21"/>
                <w:szCs w:val="21"/>
                <w:highlight w:val="none"/>
                <w:u w:val="none"/>
              </w:rPr>
            </w:pPr>
          </w:p>
        </w:tc>
        <w:tc>
          <w:tcPr>
            <w:tcW w:w="2152" w:type="dxa"/>
            <w:gridSpan w:val="2"/>
            <w:tcBorders>
              <w:top w:val="nil"/>
              <w:left w:val="nil"/>
              <w:bottom w:val="nil"/>
              <w:right w:val="nil"/>
            </w:tcBorders>
            <w:noWrap/>
            <w:vAlign w:val="bottom"/>
          </w:tcPr>
          <w:p w14:paraId="42BFFFFF">
            <w:pPr>
              <w:rPr>
                <w:rFonts w:hint="eastAsia" w:ascii="宋体" w:hAnsi="宋体" w:eastAsia="宋体" w:cs="宋体"/>
                <w:i w:val="0"/>
                <w:iCs w:val="0"/>
                <w:color w:val="auto"/>
                <w:sz w:val="21"/>
                <w:szCs w:val="21"/>
                <w:highlight w:val="none"/>
                <w:u w:val="none"/>
              </w:rPr>
            </w:pPr>
          </w:p>
        </w:tc>
      </w:tr>
      <w:tr w14:paraId="2B280D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0" w:type="auto"/>
            <w:gridSpan w:val="2"/>
            <w:tcBorders>
              <w:top w:val="nil"/>
              <w:left w:val="nil"/>
              <w:bottom w:val="nil"/>
              <w:right w:val="nil"/>
            </w:tcBorders>
            <w:noWrap/>
            <w:vAlign w:val="bottom"/>
          </w:tcPr>
          <w:p w14:paraId="0020044B">
            <w:pPr>
              <w:keepNext w:val="0"/>
              <w:keepLines w:val="0"/>
              <w:widowControl/>
              <w:suppressLineNumbers w:val="0"/>
              <w:jc w:val="left"/>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项目负责人：</w:t>
            </w:r>
          </w:p>
        </w:tc>
        <w:tc>
          <w:tcPr>
            <w:tcW w:w="0" w:type="auto"/>
            <w:tcBorders>
              <w:top w:val="nil"/>
              <w:left w:val="nil"/>
              <w:bottom w:val="nil"/>
              <w:right w:val="nil"/>
            </w:tcBorders>
            <w:noWrap/>
            <w:vAlign w:val="bottom"/>
          </w:tcPr>
          <w:p w14:paraId="6E5A0E0A">
            <w:pPr>
              <w:rPr>
                <w:rFonts w:hint="eastAsia" w:ascii="宋体" w:hAnsi="宋体" w:eastAsia="宋体" w:cs="宋体"/>
                <w:i w:val="0"/>
                <w:iCs w:val="0"/>
                <w:color w:val="auto"/>
                <w:sz w:val="21"/>
                <w:szCs w:val="21"/>
                <w:highlight w:val="none"/>
                <w:u w:val="none"/>
              </w:rPr>
            </w:pPr>
          </w:p>
        </w:tc>
        <w:tc>
          <w:tcPr>
            <w:tcW w:w="1419" w:type="dxa"/>
            <w:tcBorders>
              <w:top w:val="nil"/>
              <w:left w:val="nil"/>
              <w:bottom w:val="nil"/>
              <w:right w:val="nil"/>
            </w:tcBorders>
            <w:noWrap/>
            <w:vAlign w:val="bottom"/>
          </w:tcPr>
          <w:p w14:paraId="002E92C2">
            <w:pPr>
              <w:rPr>
                <w:rFonts w:hint="eastAsia" w:ascii="宋体" w:hAnsi="宋体" w:eastAsia="宋体" w:cs="宋体"/>
                <w:i w:val="0"/>
                <w:iCs w:val="0"/>
                <w:color w:val="auto"/>
                <w:sz w:val="21"/>
                <w:szCs w:val="21"/>
                <w:highlight w:val="none"/>
                <w:u w:val="none"/>
              </w:rPr>
            </w:pPr>
          </w:p>
        </w:tc>
        <w:tc>
          <w:tcPr>
            <w:tcW w:w="1080" w:type="dxa"/>
            <w:tcBorders>
              <w:top w:val="nil"/>
              <w:left w:val="nil"/>
              <w:bottom w:val="nil"/>
              <w:right w:val="nil"/>
            </w:tcBorders>
            <w:noWrap/>
            <w:vAlign w:val="bottom"/>
          </w:tcPr>
          <w:p w14:paraId="0ADEA500">
            <w:pPr>
              <w:rPr>
                <w:rFonts w:hint="eastAsia" w:ascii="宋体" w:hAnsi="宋体" w:eastAsia="宋体" w:cs="宋体"/>
                <w:i w:val="0"/>
                <w:iCs w:val="0"/>
                <w:color w:val="auto"/>
                <w:sz w:val="21"/>
                <w:szCs w:val="21"/>
                <w:highlight w:val="none"/>
                <w:u w:val="none"/>
              </w:rPr>
            </w:pPr>
          </w:p>
        </w:tc>
        <w:tc>
          <w:tcPr>
            <w:tcW w:w="0" w:type="auto"/>
            <w:tcBorders>
              <w:top w:val="nil"/>
              <w:left w:val="nil"/>
              <w:bottom w:val="nil"/>
              <w:right w:val="nil"/>
            </w:tcBorders>
            <w:noWrap/>
            <w:vAlign w:val="bottom"/>
          </w:tcPr>
          <w:p w14:paraId="039DA4B4">
            <w:pPr>
              <w:rPr>
                <w:rFonts w:hint="eastAsia" w:ascii="宋体" w:hAnsi="宋体" w:eastAsia="宋体" w:cs="宋体"/>
                <w:i w:val="0"/>
                <w:iCs w:val="0"/>
                <w:color w:val="auto"/>
                <w:sz w:val="21"/>
                <w:szCs w:val="21"/>
                <w:highlight w:val="none"/>
                <w:u w:val="none"/>
              </w:rPr>
            </w:pPr>
          </w:p>
        </w:tc>
      </w:tr>
      <w:tr w14:paraId="0B389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0" w:type="auto"/>
            <w:gridSpan w:val="2"/>
            <w:tcBorders>
              <w:top w:val="nil"/>
              <w:left w:val="nil"/>
              <w:bottom w:val="nil"/>
              <w:right w:val="nil"/>
            </w:tcBorders>
            <w:noWrap/>
            <w:vAlign w:val="bottom"/>
          </w:tcPr>
          <w:p w14:paraId="33F83C07">
            <w:pPr>
              <w:keepNext w:val="0"/>
              <w:keepLines w:val="0"/>
              <w:widowControl/>
              <w:suppressLineNumbers w:val="0"/>
              <w:jc w:val="left"/>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日  期：</w:t>
            </w:r>
          </w:p>
        </w:tc>
        <w:tc>
          <w:tcPr>
            <w:tcW w:w="1250" w:type="dxa"/>
            <w:tcBorders>
              <w:top w:val="nil"/>
              <w:left w:val="nil"/>
              <w:bottom w:val="nil"/>
              <w:right w:val="nil"/>
            </w:tcBorders>
            <w:noWrap w:val="0"/>
            <w:vAlign w:val="bottom"/>
          </w:tcPr>
          <w:p w14:paraId="06A62029">
            <w:pPr>
              <w:jc w:val="left"/>
              <w:rPr>
                <w:rFonts w:hint="eastAsia" w:ascii="宋体" w:hAnsi="宋体" w:eastAsia="宋体" w:cs="宋体"/>
                <w:i w:val="0"/>
                <w:iCs w:val="0"/>
                <w:color w:val="auto"/>
                <w:sz w:val="21"/>
                <w:szCs w:val="21"/>
                <w:highlight w:val="none"/>
                <w:u w:val="none"/>
              </w:rPr>
            </w:pPr>
          </w:p>
        </w:tc>
        <w:tc>
          <w:tcPr>
            <w:tcW w:w="1419" w:type="dxa"/>
            <w:tcBorders>
              <w:top w:val="nil"/>
              <w:left w:val="nil"/>
              <w:bottom w:val="nil"/>
              <w:right w:val="nil"/>
            </w:tcBorders>
            <w:noWrap w:val="0"/>
            <w:vAlign w:val="bottom"/>
          </w:tcPr>
          <w:p w14:paraId="33C29AB3">
            <w:pPr>
              <w:jc w:val="left"/>
              <w:rPr>
                <w:rFonts w:hint="eastAsia" w:ascii="宋体" w:hAnsi="宋体" w:eastAsia="宋体" w:cs="宋体"/>
                <w:i w:val="0"/>
                <w:iCs w:val="0"/>
                <w:color w:val="auto"/>
                <w:sz w:val="21"/>
                <w:szCs w:val="21"/>
                <w:highlight w:val="none"/>
                <w:u w:val="none"/>
              </w:rPr>
            </w:pPr>
          </w:p>
        </w:tc>
        <w:tc>
          <w:tcPr>
            <w:tcW w:w="1080" w:type="dxa"/>
            <w:tcBorders>
              <w:top w:val="nil"/>
              <w:left w:val="nil"/>
              <w:bottom w:val="nil"/>
              <w:right w:val="nil"/>
            </w:tcBorders>
            <w:noWrap w:val="0"/>
            <w:vAlign w:val="bottom"/>
          </w:tcPr>
          <w:p w14:paraId="54D1403A">
            <w:pPr>
              <w:jc w:val="left"/>
              <w:rPr>
                <w:rFonts w:hint="eastAsia" w:ascii="宋体" w:hAnsi="宋体" w:eastAsia="宋体" w:cs="宋体"/>
                <w:i w:val="0"/>
                <w:iCs w:val="0"/>
                <w:color w:val="auto"/>
                <w:sz w:val="21"/>
                <w:szCs w:val="21"/>
                <w:highlight w:val="none"/>
                <w:u w:val="none"/>
              </w:rPr>
            </w:pPr>
          </w:p>
        </w:tc>
        <w:tc>
          <w:tcPr>
            <w:tcW w:w="1072" w:type="dxa"/>
            <w:tcBorders>
              <w:top w:val="nil"/>
              <w:left w:val="nil"/>
              <w:bottom w:val="nil"/>
              <w:right w:val="nil"/>
            </w:tcBorders>
            <w:noWrap w:val="0"/>
            <w:vAlign w:val="bottom"/>
          </w:tcPr>
          <w:p w14:paraId="4CC01119">
            <w:pPr>
              <w:jc w:val="left"/>
              <w:rPr>
                <w:rFonts w:hint="eastAsia" w:ascii="宋体" w:hAnsi="宋体" w:eastAsia="宋体" w:cs="宋体"/>
                <w:i w:val="0"/>
                <w:iCs w:val="0"/>
                <w:color w:val="auto"/>
                <w:sz w:val="21"/>
                <w:szCs w:val="21"/>
                <w:highlight w:val="none"/>
                <w:u w:val="none"/>
              </w:rPr>
            </w:pPr>
          </w:p>
        </w:tc>
      </w:tr>
    </w:tbl>
    <w:p w14:paraId="4CAA6D56">
      <w:pPr>
        <w:pStyle w:val="3"/>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Cs w:val="21"/>
          <w:highlight w:val="none"/>
        </w:rPr>
        <w:sectPr>
          <w:pgSz w:w="11906" w:h="16838"/>
          <w:pgMar w:top="1418" w:right="1246" w:bottom="1418" w:left="1308" w:header="851" w:footer="992" w:gutter="0"/>
          <w:pgNumType w:fmt="numberInDash"/>
          <w:cols w:space="720" w:num="1"/>
          <w:docGrid w:linePitch="312" w:charSpace="0"/>
        </w:sectPr>
      </w:pPr>
    </w:p>
    <w:p w14:paraId="7047161A">
      <w:pPr>
        <w:keepNext w:val="0"/>
        <w:keepLines w:val="0"/>
        <w:pageBreakBefore w:val="0"/>
        <w:widowControl w:val="0"/>
        <w:kinsoku/>
        <w:wordWrap/>
        <w:overflowPunct/>
        <w:topLinePunct w:val="0"/>
        <w:autoSpaceDE/>
        <w:autoSpaceDN/>
        <w:bidi w:val="0"/>
        <w:spacing w:line="360" w:lineRule="auto"/>
        <w:rPr>
          <w:rFonts w:hint="default"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附件</w:t>
      </w:r>
      <w:r>
        <w:rPr>
          <w:rFonts w:hint="eastAsia" w:ascii="宋体" w:hAnsi="宋体" w:cs="宋体"/>
          <w:b/>
          <w:bCs/>
          <w:color w:val="auto"/>
          <w:kern w:val="2"/>
          <w:sz w:val="21"/>
          <w:szCs w:val="21"/>
          <w:highlight w:val="none"/>
          <w:lang w:val="en-US" w:eastAsia="zh-CN" w:bidi="ar-SA"/>
        </w:rPr>
        <w:t>四</w:t>
      </w:r>
    </w:p>
    <w:p w14:paraId="1EACBB99">
      <w:pPr>
        <w:keepNext w:val="0"/>
        <w:keepLines w:val="0"/>
        <w:pageBreakBefore w:val="0"/>
        <w:widowControl w:val="0"/>
        <w:kinsoku/>
        <w:wordWrap/>
        <w:overflowPunct/>
        <w:topLinePunct w:val="0"/>
        <w:autoSpaceDE/>
        <w:autoSpaceDN/>
        <w:bidi w:val="0"/>
        <w:spacing w:line="360" w:lineRule="auto"/>
        <w:ind w:firstLine="643" w:firstLineChars="200"/>
        <w:jc w:val="center"/>
        <w:textAlignment w:val="center"/>
        <w:rPr>
          <w:rFonts w:hint="eastAsia" w:ascii="宋体" w:hAnsi="Courier New"/>
          <w:color w:val="auto"/>
          <w:highlight w:val="none"/>
        </w:rPr>
      </w:pPr>
      <w:r>
        <w:rPr>
          <w:rFonts w:hint="eastAsia" w:ascii="宋体" w:hAnsi="宋体" w:eastAsia="宋体" w:cs="Times New Roman"/>
          <w:b/>
          <w:bCs/>
          <w:color w:val="auto"/>
          <w:kern w:val="2"/>
          <w:sz w:val="32"/>
          <w:szCs w:val="32"/>
          <w:highlight w:val="none"/>
          <w:lang w:val="en-US" w:eastAsia="zh-CN" w:bidi="ar-SA"/>
        </w:rPr>
        <w:t>英德市投资审核中心廉政建设管理制度</w:t>
      </w:r>
    </w:p>
    <w:p w14:paraId="7EB49B30">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r>
        <w:rPr>
          <w:rFonts w:hint="eastAsia" w:ascii="宋体" w:hAnsi="Courier New"/>
          <w:color w:val="auto"/>
          <w:highlight w:val="none"/>
        </w:rPr>
        <w:t>为了加强</w:t>
      </w:r>
      <w:r>
        <w:rPr>
          <w:rFonts w:hint="eastAsia" w:ascii="宋体" w:hAnsi="Courier New"/>
          <w:color w:val="auto"/>
          <w:highlight w:val="none"/>
          <w:lang w:eastAsia="zh-CN"/>
        </w:rPr>
        <w:t>英德市投资审核中心</w:t>
      </w:r>
      <w:r>
        <w:rPr>
          <w:rFonts w:hint="eastAsia" w:ascii="宋体" w:hAnsi="Courier New"/>
          <w:color w:val="auto"/>
          <w:highlight w:val="none"/>
        </w:rPr>
        <w:t>党风廉政建设工作，进一步做好政府投资项目的审核工作，为政府节约资金，根据《关于实施党风廉政建设责任制度的管理规定》《中国共产党党员领导干部廉洁从政若干准则》以及国家、省、市纪检监察机关关于廉政建设的有关规定，结合</w:t>
      </w:r>
      <w:r>
        <w:rPr>
          <w:rFonts w:hint="eastAsia" w:ascii="宋体" w:hAnsi="Courier New"/>
          <w:color w:val="auto"/>
          <w:highlight w:val="none"/>
          <w:lang w:eastAsia="zh-CN"/>
        </w:rPr>
        <w:t>英德市投资审核中心</w:t>
      </w:r>
      <w:r>
        <w:rPr>
          <w:rFonts w:hint="eastAsia" w:ascii="宋体" w:hAnsi="Courier New"/>
          <w:color w:val="auto"/>
          <w:highlight w:val="none"/>
        </w:rPr>
        <w:t>实际，制定英德市投资审核中心廉政建设管理制度。</w:t>
      </w:r>
    </w:p>
    <w:p w14:paraId="6118D570">
      <w:pPr>
        <w:keepNext w:val="0"/>
        <w:keepLines w:val="0"/>
        <w:pageBreakBefore w:val="0"/>
        <w:widowControl w:val="0"/>
        <w:kinsoku/>
        <w:wordWrap/>
        <w:overflowPunct/>
        <w:topLinePunct w:val="0"/>
        <w:autoSpaceDE/>
        <w:autoSpaceDN/>
        <w:bidi w:val="0"/>
        <w:spacing w:line="360" w:lineRule="auto"/>
        <w:ind w:firstLine="422" w:firstLineChars="200"/>
        <w:jc w:val="left"/>
        <w:textAlignment w:val="center"/>
        <w:rPr>
          <w:rFonts w:hint="eastAsia" w:ascii="宋体" w:hAnsi="Courier New"/>
          <w:b/>
          <w:bCs/>
          <w:color w:val="auto"/>
          <w:highlight w:val="none"/>
        </w:rPr>
      </w:pPr>
      <w:r>
        <w:rPr>
          <w:rFonts w:hint="eastAsia" w:ascii="宋体" w:hAnsi="Courier New"/>
          <w:b/>
          <w:bCs/>
          <w:color w:val="auto"/>
          <w:highlight w:val="none"/>
        </w:rPr>
        <w:t>一、领导小组</w:t>
      </w:r>
    </w:p>
    <w:p w14:paraId="5D5A3666">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r>
        <w:rPr>
          <w:rFonts w:hint="eastAsia" w:ascii="宋体" w:hAnsi="Courier New"/>
          <w:color w:val="auto"/>
          <w:highlight w:val="none"/>
        </w:rPr>
        <w:t>组  长：李惠娟  党组书记、主任</w:t>
      </w:r>
    </w:p>
    <w:p w14:paraId="732E977E">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r>
        <w:rPr>
          <w:rFonts w:hint="eastAsia" w:ascii="宋体" w:hAnsi="Courier New"/>
          <w:color w:val="auto"/>
          <w:highlight w:val="none"/>
        </w:rPr>
        <w:t>副组长：龚家锋  党组成员、副主任</w:t>
      </w:r>
    </w:p>
    <w:p w14:paraId="6522EA62">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default" w:eastAsia="宋体"/>
          <w:color w:val="auto"/>
          <w:highlight w:val="none"/>
          <w:lang w:val="en-US" w:eastAsia="zh-CN"/>
        </w:rPr>
      </w:pPr>
      <w:r>
        <w:rPr>
          <w:rFonts w:hint="eastAsia" w:ascii="宋体" w:hAnsi="Courier New"/>
          <w:color w:val="auto"/>
          <w:highlight w:val="none"/>
        </w:rPr>
        <w:t xml:space="preserve">        </w:t>
      </w:r>
      <w:r>
        <w:rPr>
          <w:rFonts w:hint="eastAsia" w:ascii="宋体" w:hAnsi="Courier New"/>
          <w:color w:val="auto"/>
          <w:highlight w:val="none"/>
          <w:lang w:val="en-US" w:eastAsia="zh-CN"/>
        </w:rPr>
        <w:t>彭  潜</w:t>
      </w:r>
      <w:r>
        <w:rPr>
          <w:rFonts w:hint="eastAsia" w:ascii="宋体" w:hAnsi="Courier New"/>
          <w:color w:val="auto"/>
          <w:highlight w:val="none"/>
        </w:rPr>
        <w:t xml:space="preserve"> </w:t>
      </w:r>
      <w:r>
        <w:rPr>
          <w:rFonts w:hint="eastAsia" w:ascii="宋体" w:hAnsi="Courier New"/>
          <w:color w:val="auto"/>
          <w:highlight w:val="none"/>
          <w:lang w:val="en-US" w:eastAsia="zh-CN"/>
        </w:rPr>
        <w:t xml:space="preserve"> </w:t>
      </w:r>
      <w:r>
        <w:rPr>
          <w:rFonts w:hint="eastAsia" w:ascii="宋体" w:hAnsi="Courier New"/>
          <w:color w:val="auto"/>
          <w:highlight w:val="none"/>
        </w:rPr>
        <w:t>党组成员、副主任</w:t>
      </w:r>
    </w:p>
    <w:p w14:paraId="4F20779A">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eastAsia="宋体"/>
          <w:color w:val="auto"/>
          <w:highlight w:val="none"/>
          <w:lang w:val="en-US" w:eastAsia="zh-CN"/>
        </w:rPr>
      </w:pPr>
      <w:r>
        <w:rPr>
          <w:rFonts w:hint="eastAsia" w:ascii="宋体" w:hAnsi="Courier New"/>
          <w:color w:val="auto"/>
          <w:highlight w:val="none"/>
        </w:rPr>
        <w:t>成  员：</w:t>
      </w:r>
      <w:r>
        <w:rPr>
          <w:rFonts w:hint="eastAsia" w:ascii="宋体" w:hAnsi="Courier New"/>
          <w:color w:val="auto"/>
          <w:highlight w:val="none"/>
          <w:lang w:val="en-US" w:eastAsia="zh-CN"/>
        </w:rPr>
        <w:t>张  铭  工会主席、</w:t>
      </w:r>
      <w:r>
        <w:rPr>
          <w:rFonts w:hint="eastAsia" w:ascii="宋体" w:hAnsi="Courier New"/>
          <w:color w:val="auto"/>
          <w:highlight w:val="none"/>
        </w:rPr>
        <w:t>审核管理部</w:t>
      </w:r>
      <w:r>
        <w:rPr>
          <w:rFonts w:hint="eastAsia" w:ascii="宋体" w:hAnsi="Courier New"/>
          <w:color w:val="auto"/>
          <w:highlight w:val="none"/>
          <w:lang w:eastAsia="zh-CN"/>
        </w:rPr>
        <w:t>负责人</w:t>
      </w:r>
    </w:p>
    <w:p w14:paraId="71774A72">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r>
        <w:rPr>
          <w:rFonts w:hint="eastAsia" w:ascii="宋体" w:hAnsi="Courier New"/>
          <w:color w:val="auto"/>
          <w:highlight w:val="none"/>
        </w:rPr>
        <w:t xml:space="preserve">        钟伟胜  信息管理部</w:t>
      </w:r>
      <w:r>
        <w:rPr>
          <w:rFonts w:hint="eastAsia" w:ascii="宋体" w:hAnsi="Courier New"/>
          <w:color w:val="auto"/>
          <w:highlight w:val="none"/>
          <w:lang w:eastAsia="zh-CN"/>
        </w:rPr>
        <w:t>负责人</w:t>
      </w:r>
    </w:p>
    <w:p w14:paraId="73610D89">
      <w:pPr>
        <w:pStyle w:val="2"/>
        <w:rPr>
          <w:rFonts w:hint="eastAsia" w:ascii="宋体" w:hAnsi="Courier New"/>
          <w:color w:val="auto"/>
          <w:highlight w:val="none"/>
          <w:lang w:val="en-US" w:eastAsia="zh-CN"/>
        </w:rPr>
      </w:pPr>
      <w:r>
        <w:rPr>
          <w:rFonts w:hint="eastAsia" w:ascii="宋体" w:hAnsi="Courier New"/>
          <w:color w:val="auto"/>
          <w:highlight w:val="none"/>
          <w:lang w:val="en-US" w:eastAsia="zh-CN"/>
        </w:rPr>
        <w:t xml:space="preserve">        赖碧霞  复核管理部</w:t>
      </w:r>
      <w:r>
        <w:rPr>
          <w:rFonts w:hint="eastAsia" w:ascii="宋体" w:hAnsi="Courier New"/>
          <w:color w:val="auto"/>
          <w:highlight w:val="none"/>
          <w:lang w:eastAsia="zh-CN"/>
        </w:rPr>
        <w:t>负责人</w:t>
      </w:r>
    </w:p>
    <w:p w14:paraId="2A43C2B6">
      <w:pPr>
        <w:ind w:firstLine="1260" w:firstLineChars="600"/>
        <w:rPr>
          <w:rFonts w:hint="default"/>
          <w:color w:val="auto"/>
          <w:highlight w:val="none"/>
          <w:lang w:val="en-US" w:eastAsia="zh-CN"/>
        </w:rPr>
      </w:pPr>
      <w:r>
        <w:rPr>
          <w:rFonts w:hint="eastAsia" w:ascii="宋体" w:hAnsi="Courier New"/>
          <w:color w:val="auto"/>
          <w:highlight w:val="none"/>
          <w:lang w:val="en-US" w:eastAsia="zh-CN"/>
        </w:rPr>
        <w:t>刘  杨  信息管理部中介管理员</w:t>
      </w:r>
    </w:p>
    <w:p w14:paraId="483A536F">
      <w:pPr>
        <w:keepNext w:val="0"/>
        <w:keepLines w:val="0"/>
        <w:pageBreakBefore w:val="0"/>
        <w:widowControl w:val="0"/>
        <w:kinsoku/>
        <w:wordWrap/>
        <w:overflowPunct/>
        <w:topLinePunct w:val="0"/>
        <w:autoSpaceDE/>
        <w:autoSpaceDN/>
        <w:bidi w:val="0"/>
        <w:spacing w:line="360" w:lineRule="auto"/>
        <w:ind w:firstLine="422" w:firstLineChars="200"/>
        <w:jc w:val="left"/>
        <w:textAlignment w:val="center"/>
        <w:rPr>
          <w:rFonts w:hint="eastAsia" w:ascii="宋体" w:hAnsi="Courier New"/>
          <w:b/>
          <w:bCs/>
          <w:color w:val="auto"/>
          <w:highlight w:val="none"/>
        </w:rPr>
      </w:pPr>
      <w:r>
        <w:rPr>
          <w:rFonts w:hint="eastAsia" w:ascii="宋体" w:hAnsi="Courier New"/>
          <w:b/>
          <w:bCs/>
          <w:color w:val="auto"/>
          <w:highlight w:val="none"/>
        </w:rPr>
        <w:t>二、适用范围</w:t>
      </w:r>
    </w:p>
    <w:p w14:paraId="4B2DE9AA">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r>
        <w:rPr>
          <w:rFonts w:hint="eastAsia" w:ascii="宋体" w:hAnsi="Courier New"/>
          <w:color w:val="auto"/>
          <w:highlight w:val="none"/>
        </w:rPr>
        <w:t>中心全体干部职工（含临聘人员）、受托造价咨询公司</w:t>
      </w:r>
      <w:r>
        <w:rPr>
          <w:rFonts w:hint="eastAsia" w:ascii="宋体" w:hAnsi="Courier New"/>
          <w:color w:val="auto"/>
          <w:highlight w:val="none"/>
          <w:lang w:val="en-US" w:eastAsia="zh-CN"/>
        </w:rPr>
        <w:t>及其</w:t>
      </w:r>
      <w:r>
        <w:rPr>
          <w:rFonts w:hint="eastAsia" w:ascii="宋体" w:hAnsi="Courier New"/>
          <w:color w:val="auto"/>
          <w:highlight w:val="none"/>
        </w:rPr>
        <w:t>审核工作人员</w:t>
      </w:r>
    </w:p>
    <w:p w14:paraId="50E7769C">
      <w:pPr>
        <w:keepNext w:val="0"/>
        <w:keepLines w:val="0"/>
        <w:pageBreakBefore w:val="0"/>
        <w:widowControl w:val="0"/>
        <w:kinsoku/>
        <w:wordWrap/>
        <w:overflowPunct/>
        <w:topLinePunct w:val="0"/>
        <w:autoSpaceDE/>
        <w:autoSpaceDN/>
        <w:bidi w:val="0"/>
        <w:spacing w:line="360" w:lineRule="auto"/>
        <w:ind w:firstLine="422" w:firstLineChars="200"/>
        <w:jc w:val="left"/>
        <w:textAlignment w:val="center"/>
        <w:rPr>
          <w:rFonts w:hint="eastAsia" w:ascii="宋体" w:hAnsi="Courier New"/>
          <w:b/>
          <w:bCs/>
          <w:color w:val="auto"/>
          <w:highlight w:val="none"/>
        </w:rPr>
      </w:pPr>
      <w:r>
        <w:rPr>
          <w:rFonts w:hint="eastAsia" w:ascii="宋体" w:hAnsi="Courier New"/>
          <w:b/>
          <w:bCs/>
          <w:color w:val="auto"/>
          <w:highlight w:val="none"/>
        </w:rPr>
        <w:t>三、健全廉政制度，建立约束机制</w:t>
      </w:r>
    </w:p>
    <w:p w14:paraId="49EA1752">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r>
        <w:rPr>
          <w:rFonts w:hint="eastAsia" w:ascii="宋体" w:hAnsi="Courier New"/>
          <w:color w:val="auto"/>
          <w:highlight w:val="none"/>
        </w:rPr>
        <w:t>中心内部中心主任与副主任，中心副主任与分管部门负责人，部门负责人与干部职工（含临聘人员）签订《</w:t>
      </w:r>
      <w:r>
        <w:rPr>
          <w:rFonts w:hint="eastAsia" w:ascii="宋体" w:hAnsi="Courier New"/>
          <w:color w:val="auto"/>
          <w:highlight w:val="none"/>
          <w:lang w:val="en-US" w:eastAsia="zh-CN"/>
        </w:rPr>
        <w:t>廉政责任书</w:t>
      </w:r>
      <w:r>
        <w:rPr>
          <w:rFonts w:hint="eastAsia" w:ascii="宋体" w:hAnsi="Courier New"/>
          <w:color w:val="auto"/>
          <w:highlight w:val="none"/>
        </w:rPr>
        <w:t>》；受委托</w:t>
      </w:r>
      <w:r>
        <w:rPr>
          <w:rFonts w:hint="eastAsia" w:ascii="宋体" w:hAnsi="Courier New"/>
          <w:color w:val="auto"/>
          <w:highlight w:val="none"/>
          <w:lang w:eastAsia="zh-CN"/>
        </w:rPr>
        <w:t>造价咨询公司</w:t>
      </w:r>
      <w:r>
        <w:rPr>
          <w:rFonts w:hint="eastAsia" w:ascii="宋体" w:hAnsi="Courier New"/>
          <w:color w:val="auto"/>
          <w:highlight w:val="none"/>
        </w:rPr>
        <w:t>进场前，与</w:t>
      </w:r>
      <w:r>
        <w:rPr>
          <w:rFonts w:hint="eastAsia" w:ascii="宋体" w:hAnsi="宋体" w:eastAsia="宋体" w:cs="宋体"/>
          <w:color w:val="auto"/>
          <w:highlight w:val="none"/>
          <w:lang w:eastAsia="zh-CN"/>
        </w:rPr>
        <w:t>英德市投资审核中心</w:t>
      </w:r>
      <w:r>
        <w:rPr>
          <w:rFonts w:hint="eastAsia" w:ascii="宋体" w:hAnsi="Courier New"/>
          <w:color w:val="auto"/>
          <w:highlight w:val="none"/>
        </w:rPr>
        <w:t>签订《</w:t>
      </w:r>
      <w:r>
        <w:rPr>
          <w:rFonts w:hint="eastAsia" w:ascii="宋体" w:hAnsi="Courier New"/>
          <w:color w:val="auto"/>
          <w:highlight w:val="none"/>
          <w:lang w:val="en-US" w:eastAsia="zh-CN"/>
        </w:rPr>
        <w:t>廉政责任书</w:t>
      </w:r>
      <w:r>
        <w:rPr>
          <w:rFonts w:hint="eastAsia" w:ascii="宋体" w:hAnsi="Courier New"/>
          <w:color w:val="auto"/>
          <w:highlight w:val="none"/>
        </w:rPr>
        <w:t>》；</w:t>
      </w:r>
      <w:r>
        <w:rPr>
          <w:rFonts w:hint="eastAsia" w:ascii="宋体" w:hAnsi="Courier New"/>
          <w:color w:val="auto"/>
          <w:highlight w:val="none"/>
          <w:lang w:eastAsia="zh-CN"/>
        </w:rPr>
        <w:t>造价咨询公司</w:t>
      </w:r>
      <w:r>
        <w:rPr>
          <w:rFonts w:hint="eastAsia" w:ascii="宋体" w:hAnsi="Courier New"/>
          <w:color w:val="auto"/>
          <w:highlight w:val="none"/>
        </w:rPr>
        <w:t>拟派进场前，与审核人员签订《</w:t>
      </w:r>
      <w:r>
        <w:rPr>
          <w:rFonts w:hint="eastAsia" w:ascii="宋体" w:hAnsi="Courier New"/>
          <w:color w:val="auto"/>
          <w:highlight w:val="none"/>
          <w:lang w:val="en-US" w:eastAsia="zh-CN"/>
        </w:rPr>
        <w:t>廉政责任书</w:t>
      </w:r>
      <w:r>
        <w:rPr>
          <w:rFonts w:hint="eastAsia" w:ascii="宋体" w:hAnsi="Courier New"/>
          <w:color w:val="auto"/>
          <w:highlight w:val="none"/>
        </w:rPr>
        <w:t>》。通过签订承诺书，层层落实廉政措施，从严管理，不断落实岗位职责。</w:t>
      </w:r>
    </w:p>
    <w:p w14:paraId="78EE9FE1">
      <w:pPr>
        <w:keepNext w:val="0"/>
        <w:keepLines w:val="0"/>
        <w:pageBreakBefore w:val="0"/>
        <w:widowControl w:val="0"/>
        <w:kinsoku/>
        <w:wordWrap/>
        <w:overflowPunct/>
        <w:topLinePunct w:val="0"/>
        <w:autoSpaceDE/>
        <w:autoSpaceDN/>
        <w:bidi w:val="0"/>
        <w:spacing w:line="360" w:lineRule="auto"/>
        <w:ind w:firstLine="422" w:firstLineChars="200"/>
        <w:jc w:val="left"/>
        <w:textAlignment w:val="center"/>
        <w:rPr>
          <w:rFonts w:hint="eastAsia" w:ascii="宋体" w:hAnsi="Courier New"/>
          <w:b/>
          <w:bCs/>
          <w:color w:val="auto"/>
          <w:highlight w:val="none"/>
        </w:rPr>
      </w:pPr>
      <w:r>
        <w:rPr>
          <w:rFonts w:hint="eastAsia" w:ascii="宋体" w:hAnsi="Courier New"/>
          <w:b/>
          <w:bCs/>
          <w:color w:val="auto"/>
          <w:highlight w:val="none"/>
        </w:rPr>
        <w:t>四、加强学习警示教育</w:t>
      </w:r>
    </w:p>
    <w:p w14:paraId="5E011925">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r>
        <w:rPr>
          <w:rFonts w:hint="eastAsia" w:ascii="宋体" w:hAnsi="Courier New"/>
          <w:color w:val="auto"/>
          <w:highlight w:val="none"/>
        </w:rPr>
        <w:t>（一）组织</w:t>
      </w:r>
      <w:r>
        <w:rPr>
          <w:rFonts w:hint="eastAsia" w:ascii="宋体" w:hAnsi="Courier New"/>
          <w:color w:val="auto"/>
          <w:highlight w:val="none"/>
          <w:lang w:eastAsia="zh-CN"/>
        </w:rPr>
        <w:t>英德市投资审核中心</w:t>
      </w:r>
      <w:r>
        <w:rPr>
          <w:rFonts w:hint="eastAsia" w:ascii="宋体" w:hAnsi="Courier New"/>
          <w:color w:val="auto"/>
          <w:highlight w:val="none"/>
        </w:rPr>
        <w:t>全体干部职工（含临聘人员）、受托造价咨询公司审核工作人员学习《中国共产党纪律处分条例》、《中国共产党党内监督条例》、《中国共产党党员权利保障条例》和《建立健全教育、制度、监督并重的惩治和预防腐败体系实施纲要》、《关于实施党风廉政建设责任制度的规定》、《中国共产党党员领导干部廉洁从政若干准则》以及党风廉政建设方面的有关规定。</w:t>
      </w:r>
    </w:p>
    <w:p w14:paraId="71887A50">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r>
        <w:rPr>
          <w:rFonts w:hint="eastAsia" w:ascii="宋体" w:hAnsi="Courier New"/>
          <w:color w:val="auto"/>
          <w:highlight w:val="none"/>
        </w:rPr>
        <w:t>（二）定期组织收看反腐倡廉警示片。利用反面教材，对全体干部职工（含临聘人员）、受托造价咨询公司审核工作人员进行反腐倡廉的警示教育，在思想上筑起一道反腐倡廉的牢固防线。</w:t>
      </w:r>
    </w:p>
    <w:p w14:paraId="44247590">
      <w:pPr>
        <w:keepNext w:val="0"/>
        <w:keepLines w:val="0"/>
        <w:pageBreakBefore w:val="0"/>
        <w:widowControl w:val="0"/>
        <w:kinsoku/>
        <w:wordWrap/>
        <w:overflowPunct/>
        <w:topLinePunct w:val="0"/>
        <w:autoSpaceDE/>
        <w:autoSpaceDN/>
        <w:bidi w:val="0"/>
        <w:spacing w:line="360" w:lineRule="auto"/>
        <w:ind w:firstLine="422" w:firstLineChars="200"/>
        <w:jc w:val="left"/>
        <w:textAlignment w:val="center"/>
        <w:rPr>
          <w:rFonts w:hint="eastAsia" w:ascii="宋体" w:hAnsi="Courier New"/>
          <w:b/>
          <w:bCs/>
          <w:color w:val="auto"/>
          <w:highlight w:val="none"/>
        </w:rPr>
      </w:pPr>
      <w:r>
        <w:rPr>
          <w:rFonts w:hint="eastAsia" w:ascii="宋体" w:hAnsi="Courier New"/>
          <w:b/>
          <w:bCs/>
          <w:color w:val="auto"/>
          <w:highlight w:val="none"/>
        </w:rPr>
        <w:t>五、加强纪律教育</w:t>
      </w:r>
    </w:p>
    <w:p w14:paraId="2956CB34">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r>
        <w:rPr>
          <w:rFonts w:hint="eastAsia" w:ascii="宋体" w:hAnsi="Courier New"/>
          <w:color w:val="auto"/>
          <w:highlight w:val="none"/>
        </w:rPr>
        <w:t>（一）加强教育严格规范党员干部廉洁从政行为，按照中央八项规定，加强全体干部职工（含临聘人员）、受托造价咨询公司审核工作人员的监督，重点加强“八小时”以外生活圈、社交圈的监督，防止全体干部职工（含临聘人员）、受托造价咨询公司审核工作人员利用手中的权利谋取私利，树立为民务实清廉新形象，进一步提高为人民服务的能力和水平。</w:t>
      </w:r>
    </w:p>
    <w:p w14:paraId="04FDE4DE">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r>
        <w:rPr>
          <w:rFonts w:hint="eastAsia" w:ascii="宋体" w:hAnsi="Courier New"/>
          <w:color w:val="auto"/>
          <w:highlight w:val="none"/>
        </w:rPr>
        <w:t>（二）全体干部职工（含临聘人员）在办理评审业务工作中，必须按照有关规定程序办事，严格遵守评审程序规定和保密制度。不得擅自向建设单位或施工单位泄漏评审结果和评审过程的相关情况；不得借故推、拖、卡、压、故意刁难服务对象；不得谋取私利擅自与建设单位或施工单位人员就工程项目评审问题等进行私下商谈或达成默契不得索取或收受回扣等好处费；不得接收礼金、各种有价证券及贵重物品；不得接受可能影响公正评审的宴请和娱乐活动；不得向建设单位或施工单位介绍家属或者亲友从事与项目工程有关的材料设备供应、工程分包等经济活动。</w:t>
      </w:r>
    </w:p>
    <w:p w14:paraId="09DD31F3">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r>
        <w:rPr>
          <w:rFonts w:hint="eastAsia" w:ascii="宋体" w:hAnsi="Courier New"/>
          <w:color w:val="auto"/>
          <w:highlight w:val="none"/>
        </w:rPr>
        <w:t>（三）受托</w:t>
      </w:r>
      <w:r>
        <w:rPr>
          <w:rFonts w:hint="eastAsia" w:ascii="宋体" w:hAnsi="Courier New"/>
          <w:color w:val="auto"/>
          <w:highlight w:val="none"/>
          <w:lang w:eastAsia="zh-CN"/>
        </w:rPr>
        <w:t>造价咨询公司</w:t>
      </w:r>
      <w:r>
        <w:rPr>
          <w:rFonts w:hint="eastAsia" w:ascii="宋体" w:hAnsi="Courier New"/>
          <w:color w:val="auto"/>
          <w:highlight w:val="none"/>
        </w:rPr>
        <w:t>必须严格按照规矩规则和程序办事，自觉遵守政治纪律、组织纪律、行业纪律。不得擅自与业主、各参建方私下接触；不得泄露项目基本情况、审核情况；不得无故刁难业主及参建方；不得故意拖延审核工作进展；不得将</w:t>
      </w:r>
      <w:r>
        <w:rPr>
          <w:rFonts w:hint="eastAsia" w:ascii="宋体" w:hAnsi="Courier New"/>
          <w:color w:val="auto"/>
          <w:highlight w:val="none"/>
          <w:lang w:eastAsia="zh-CN"/>
        </w:rPr>
        <w:t>英德市投资审核中心</w:t>
      </w:r>
      <w:r>
        <w:rPr>
          <w:rFonts w:hint="eastAsia" w:ascii="宋体" w:hAnsi="Courier New"/>
          <w:color w:val="auto"/>
          <w:highlight w:val="none"/>
        </w:rPr>
        <w:t>审核任务转派非</w:t>
      </w:r>
      <w:r>
        <w:rPr>
          <w:rFonts w:hint="eastAsia" w:ascii="宋体" w:hAnsi="Courier New"/>
          <w:color w:val="auto"/>
          <w:highlight w:val="none"/>
          <w:lang w:eastAsia="zh-CN"/>
        </w:rPr>
        <w:t>英德市投资审核中心</w:t>
      </w:r>
      <w:r>
        <w:rPr>
          <w:rFonts w:hint="eastAsia" w:ascii="宋体" w:hAnsi="Courier New"/>
          <w:color w:val="auto"/>
          <w:highlight w:val="none"/>
        </w:rPr>
        <w:t>签订的第三方；不得无故不接受</w:t>
      </w:r>
      <w:r>
        <w:rPr>
          <w:rFonts w:hint="eastAsia" w:ascii="宋体" w:hAnsi="Courier New"/>
          <w:color w:val="auto"/>
          <w:highlight w:val="none"/>
          <w:lang w:eastAsia="zh-CN"/>
        </w:rPr>
        <w:t>英德市投资审核中心</w:t>
      </w:r>
      <w:r>
        <w:rPr>
          <w:rFonts w:hint="eastAsia" w:ascii="宋体" w:hAnsi="Courier New"/>
          <w:color w:val="auto"/>
          <w:highlight w:val="none"/>
        </w:rPr>
        <w:t>委派的审核任务；不得打着英德市投资审核中心旗号，对外收受不正当利益；不得虚假签名、虚假审核、不得随意更换审核人员。</w:t>
      </w:r>
    </w:p>
    <w:p w14:paraId="31EB27C7">
      <w:pPr>
        <w:keepNext w:val="0"/>
        <w:keepLines w:val="0"/>
        <w:pageBreakBefore w:val="0"/>
        <w:widowControl w:val="0"/>
        <w:kinsoku/>
        <w:wordWrap/>
        <w:overflowPunct/>
        <w:topLinePunct w:val="0"/>
        <w:autoSpaceDE/>
        <w:autoSpaceDN/>
        <w:bidi w:val="0"/>
        <w:spacing w:line="360" w:lineRule="auto"/>
        <w:ind w:firstLine="422" w:firstLineChars="200"/>
        <w:jc w:val="left"/>
        <w:textAlignment w:val="center"/>
        <w:rPr>
          <w:rFonts w:hint="eastAsia" w:ascii="宋体" w:hAnsi="Courier New"/>
          <w:b/>
          <w:bCs/>
          <w:color w:val="auto"/>
          <w:highlight w:val="none"/>
        </w:rPr>
      </w:pPr>
      <w:r>
        <w:rPr>
          <w:rFonts w:hint="eastAsia" w:ascii="宋体" w:hAnsi="Courier New"/>
          <w:b/>
          <w:bCs/>
          <w:color w:val="auto"/>
          <w:highlight w:val="none"/>
        </w:rPr>
        <w:t>六、加大监督力度</w:t>
      </w:r>
    </w:p>
    <w:p w14:paraId="7357E96A">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r>
        <w:rPr>
          <w:rFonts w:hint="eastAsia" w:ascii="宋体" w:hAnsi="Courier New"/>
          <w:color w:val="auto"/>
          <w:highlight w:val="none"/>
        </w:rPr>
        <w:t>做好日常廉政谈话全覆盖，采取集体谈话和个别谈话相结合的形式，进一步夯实“两个责任”,有效地层层传导压力，实现“红红脸、出出汗”常态化。经常性地对照检查执行廉政建设制度的情况，对违反本制度规定的，或由于工作不负责任而不履行职责造成后果的，</w:t>
      </w:r>
      <w:r>
        <w:rPr>
          <w:rFonts w:hint="eastAsia" w:ascii="宋体" w:hAnsi="Courier New"/>
          <w:color w:val="auto"/>
          <w:highlight w:val="none"/>
          <w:lang w:val="en-US" w:eastAsia="zh-CN"/>
        </w:rPr>
        <w:t>将有关情况抄送行业主管部门或行业协会，</w:t>
      </w:r>
      <w:r>
        <w:rPr>
          <w:rFonts w:hint="eastAsia" w:ascii="宋体" w:hAnsi="Courier New"/>
          <w:color w:val="auto"/>
          <w:highlight w:val="none"/>
        </w:rPr>
        <w:t>依照有关规定给予批评教育、组织处理或纪律处分。</w:t>
      </w:r>
    </w:p>
    <w:p w14:paraId="16AAF89D">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p>
    <w:p w14:paraId="565E5CFB">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p>
    <w:p w14:paraId="79C7CA38">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p>
    <w:p w14:paraId="55A9C2E6">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p>
    <w:p w14:paraId="70A843CE">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p>
    <w:p w14:paraId="297C66A1">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p>
    <w:p w14:paraId="2C8AA030">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p>
    <w:p w14:paraId="47F26DE1">
      <w:pPr>
        <w:keepNext w:val="0"/>
        <w:keepLines w:val="0"/>
        <w:pageBreakBefore w:val="0"/>
        <w:widowControl w:val="0"/>
        <w:kinsoku/>
        <w:wordWrap/>
        <w:overflowPunct/>
        <w:topLinePunct w:val="0"/>
        <w:autoSpaceDE/>
        <w:autoSpaceDN/>
        <w:bidi w:val="0"/>
        <w:spacing w:line="360" w:lineRule="auto"/>
        <w:jc w:val="left"/>
        <w:textAlignment w:val="center"/>
        <w:rPr>
          <w:rFonts w:hint="default" w:ascii="宋体" w:hAnsi="Courier New" w:eastAsia="宋体"/>
          <w:b/>
          <w:bCs/>
          <w:color w:val="auto"/>
          <w:highlight w:val="none"/>
          <w:lang w:val="en-US" w:eastAsia="zh-CN"/>
        </w:rPr>
      </w:pPr>
      <w:r>
        <w:rPr>
          <w:rFonts w:hint="eastAsia" w:ascii="宋体" w:hAnsi="Courier New"/>
          <w:b/>
          <w:bCs/>
          <w:color w:val="auto"/>
          <w:highlight w:val="none"/>
          <w:lang w:val="en-US" w:eastAsia="zh-CN"/>
        </w:rPr>
        <w:t>附件四之附件1：</w:t>
      </w:r>
    </w:p>
    <w:p w14:paraId="5E630064">
      <w:pPr>
        <w:keepNext w:val="0"/>
        <w:keepLines w:val="0"/>
        <w:pageBreakBefore w:val="0"/>
        <w:widowControl w:val="0"/>
        <w:kinsoku/>
        <w:wordWrap/>
        <w:overflowPunct/>
        <w:topLinePunct w:val="0"/>
        <w:autoSpaceDE/>
        <w:autoSpaceDN/>
        <w:bidi w:val="0"/>
        <w:spacing w:line="360" w:lineRule="auto"/>
        <w:ind w:firstLine="643" w:firstLineChars="200"/>
        <w:jc w:val="center"/>
        <w:textAlignment w:val="center"/>
        <w:rPr>
          <w:rFonts w:hint="eastAsia" w:ascii="宋体" w:hAnsi="Courier New"/>
          <w:color w:val="auto"/>
          <w:highlight w:val="none"/>
        </w:rPr>
      </w:pPr>
      <w:r>
        <w:rPr>
          <w:rFonts w:hint="eastAsia" w:ascii="宋体" w:hAnsi="宋体" w:eastAsia="宋体" w:cs="Times New Roman"/>
          <w:b/>
          <w:bCs/>
          <w:color w:val="auto"/>
          <w:kern w:val="2"/>
          <w:sz w:val="32"/>
          <w:szCs w:val="32"/>
          <w:highlight w:val="none"/>
          <w:lang w:val="en-US" w:eastAsia="zh-CN" w:bidi="ar-SA"/>
        </w:rPr>
        <w:t>审核人员行为守则</w:t>
      </w:r>
    </w:p>
    <w:p w14:paraId="4A9911ED">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p>
    <w:p w14:paraId="7CE899E6">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r>
        <w:rPr>
          <w:rFonts w:hint="eastAsia" w:ascii="宋体" w:hAnsi="Courier New"/>
          <w:color w:val="auto"/>
          <w:highlight w:val="none"/>
        </w:rPr>
        <w:t>1、要遵纪守法、遵守国家法律法规、遵守</w:t>
      </w:r>
      <w:r>
        <w:rPr>
          <w:rFonts w:hint="eastAsia" w:ascii="宋体" w:hAnsi="Courier New"/>
          <w:color w:val="auto"/>
          <w:highlight w:val="none"/>
          <w:lang w:eastAsia="zh-CN"/>
        </w:rPr>
        <w:t>英德市投资审核中心</w:t>
      </w:r>
      <w:r>
        <w:rPr>
          <w:rFonts w:hint="eastAsia" w:ascii="宋体" w:hAnsi="Courier New"/>
          <w:color w:val="auto"/>
          <w:highlight w:val="none"/>
        </w:rPr>
        <w:t>的各项规章制度；</w:t>
      </w:r>
    </w:p>
    <w:p w14:paraId="62E91D64">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r>
        <w:rPr>
          <w:rFonts w:hint="eastAsia" w:ascii="宋体" w:hAnsi="Courier New"/>
          <w:color w:val="auto"/>
          <w:highlight w:val="none"/>
        </w:rPr>
        <w:t>2、要团结和睦、诚信友善、相互支持、不推拉扯皮，正确处理同事关系、及时沟通协调</w:t>
      </w:r>
    </w:p>
    <w:p w14:paraId="6A2C4656">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r>
        <w:rPr>
          <w:rFonts w:hint="eastAsia" w:ascii="宋体" w:hAnsi="Courier New"/>
          <w:color w:val="auto"/>
          <w:highlight w:val="none"/>
        </w:rPr>
        <w:t>3、要爱岗敬业、乐于奉献、科学创新、积极进取，不断提高专业素质</w:t>
      </w:r>
    </w:p>
    <w:p w14:paraId="39708F42">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r>
        <w:rPr>
          <w:rFonts w:hint="eastAsia" w:ascii="宋体" w:hAnsi="Courier New"/>
          <w:color w:val="auto"/>
          <w:highlight w:val="none"/>
        </w:rPr>
        <w:t>4、要勇于负责、承担重任、对工作结果负责</w:t>
      </w:r>
    </w:p>
    <w:p w14:paraId="757C30F1">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r>
        <w:rPr>
          <w:rFonts w:hint="eastAsia" w:ascii="宋体" w:hAnsi="Courier New"/>
          <w:color w:val="auto"/>
          <w:highlight w:val="none"/>
        </w:rPr>
        <w:t>5、要公平、公正、合理、合法出具工作结论，不偏不倚，高速高效完成工作任务</w:t>
      </w:r>
    </w:p>
    <w:p w14:paraId="16CFF1E0">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r>
        <w:rPr>
          <w:rFonts w:hint="eastAsia" w:ascii="宋体" w:hAnsi="Courier New"/>
          <w:color w:val="auto"/>
          <w:highlight w:val="none"/>
        </w:rPr>
        <w:t>6、要廉洁自律、不收受与</w:t>
      </w:r>
      <w:r>
        <w:rPr>
          <w:rFonts w:hint="eastAsia" w:ascii="宋体" w:hAnsi="Courier New"/>
          <w:color w:val="auto"/>
          <w:highlight w:val="none"/>
          <w:lang w:eastAsia="zh-CN"/>
        </w:rPr>
        <w:t>英德市投资审核中心</w:t>
      </w:r>
      <w:r>
        <w:rPr>
          <w:rFonts w:hint="eastAsia" w:ascii="宋体" w:hAnsi="Courier New"/>
          <w:color w:val="auto"/>
          <w:highlight w:val="none"/>
        </w:rPr>
        <w:t>业务有关的馈赠、贿赂或钱物，不吃、喝、卡、拿、要，以权谋私。</w:t>
      </w:r>
    </w:p>
    <w:p w14:paraId="4E1CFBBE">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r>
        <w:rPr>
          <w:rFonts w:hint="eastAsia" w:ascii="宋体" w:hAnsi="Courier New"/>
          <w:color w:val="auto"/>
          <w:highlight w:val="none"/>
        </w:rPr>
        <w:t>7、要遵守保密制度，不透露工作机密</w:t>
      </w:r>
    </w:p>
    <w:p w14:paraId="409FB41D">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r>
        <w:rPr>
          <w:rFonts w:hint="eastAsia" w:ascii="宋体" w:hAnsi="Courier New"/>
          <w:color w:val="auto"/>
          <w:highlight w:val="none"/>
        </w:rPr>
        <w:t>8、要尽忠职守、不私自接受与业务有关的概预（结）算编制、审核或兼任</w:t>
      </w:r>
      <w:r>
        <w:rPr>
          <w:rFonts w:hint="eastAsia" w:ascii="宋体" w:hAnsi="Courier New"/>
          <w:color w:val="auto"/>
          <w:highlight w:val="none"/>
          <w:lang w:eastAsia="zh-CN"/>
        </w:rPr>
        <w:t>英德市投资审核中心</w:t>
      </w:r>
      <w:r>
        <w:rPr>
          <w:rFonts w:hint="eastAsia" w:ascii="宋体" w:hAnsi="Courier New"/>
          <w:color w:val="auto"/>
          <w:highlight w:val="none"/>
        </w:rPr>
        <w:t>以外的职业，与被审单位存在利害关系，应当声明并实行回避。</w:t>
      </w:r>
    </w:p>
    <w:p w14:paraId="29ED5E4D">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r>
        <w:rPr>
          <w:rFonts w:hint="eastAsia" w:ascii="宋体" w:hAnsi="Courier New"/>
          <w:color w:val="auto"/>
          <w:highlight w:val="none"/>
        </w:rPr>
        <w:t>9、要积极配合</w:t>
      </w:r>
      <w:r>
        <w:rPr>
          <w:rFonts w:hint="eastAsia" w:ascii="宋体" w:hAnsi="Courier New"/>
          <w:color w:val="auto"/>
          <w:highlight w:val="none"/>
          <w:lang w:eastAsia="zh-CN"/>
        </w:rPr>
        <w:t>英德市投资审核中心</w:t>
      </w:r>
      <w:r>
        <w:rPr>
          <w:rFonts w:hint="eastAsia" w:ascii="宋体" w:hAnsi="Courier New"/>
          <w:color w:val="auto"/>
          <w:highlight w:val="none"/>
        </w:rPr>
        <w:t>各部门完成市委市政府交办的各项工作任务</w:t>
      </w:r>
    </w:p>
    <w:p w14:paraId="6B387B0C">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r>
        <w:rPr>
          <w:rFonts w:hint="eastAsia" w:ascii="宋体" w:hAnsi="Courier New"/>
          <w:color w:val="auto"/>
          <w:highlight w:val="none"/>
        </w:rPr>
        <w:t>10、要有主人翁意识、服从管理、顾全大局，服从上级安排。</w:t>
      </w:r>
    </w:p>
    <w:p w14:paraId="4F94DD21">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p>
    <w:p w14:paraId="19F62F30">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p>
    <w:p w14:paraId="313CC436">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p>
    <w:p w14:paraId="6195BD2A">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p>
    <w:p w14:paraId="724BFF87">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p>
    <w:p w14:paraId="092436F0">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p>
    <w:p w14:paraId="73629BDB">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p>
    <w:p w14:paraId="3C74F54A">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p>
    <w:p w14:paraId="61589C46">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p>
    <w:p w14:paraId="5DBC7409">
      <w:pPr>
        <w:pStyle w:val="2"/>
        <w:rPr>
          <w:rFonts w:hint="eastAsia" w:ascii="宋体" w:hAnsi="Courier New"/>
          <w:color w:val="auto"/>
          <w:highlight w:val="none"/>
        </w:rPr>
      </w:pPr>
    </w:p>
    <w:p w14:paraId="3061A763">
      <w:pPr>
        <w:rPr>
          <w:rFonts w:hint="eastAsia" w:ascii="宋体" w:hAnsi="Courier New"/>
          <w:color w:val="auto"/>
          <w:highlight w:val="none"/>
        </w:rPr>
      </w:pPr>
    </w:p>
    <w:p w14:paraId="617A3FDA">
      <w:pPr>
        <w:pStyle w:val="2"/>
        <w:rPr>
          <w:rFonts w:hint="eastAsia" w:ascii="宋体" w:hAnsi="Courier New"/>
          <w:color w:val="auto"/>
          <w:highlight w:val="none"/>
        </w:rPr>
      </w:pPr>
    </w:p>
    <w:p w14:paraId="45C7DBFA">
      <w:pPr>
        <w:rPr>
          <w:rFonts w:hint="eastAsia" w:ascii="宋体" w:hAnsi="Courier New"/>
          <w:color w:val="auto"/>
          <w:highlight w:val="none"/>
        </w:rPr>
      </w:pPr>
    </w:p>
    <w:p w14:paraId="67B88BC0">
      <w:pPr>
        <w:pStyle w:val="2"/>
        <w:rPr>
          <w:rFonts w:hint="eastAsia" w:ascii="宋体" w:hAnsi="Courier New"/>
          <w:color w:val="auto"/>
          <w:highlight w:val="none"/>
        </w:rPr>
      </w:pPr>
    </w:p>
    <w:p w14:paraId="3EC9D00B">
      <w:pPr>
        <w:rPr>
          <w:rFonts w:hint="eastAsia" w:ascii="宋体" w:hAnsi="Courier New"/>
          <w:color w:val="auto"/>
          <w:highlight w:val="none"/>
        </w:rPr>
      </w:pPr>
    </w:p>
    <w:p w14:paraId="4C9F6D68">
      <w:pPr>
        <w:keepNext w:val="0"/>
        <w:keepLines w:val="0"/>
        <w:pageBreakBefore w:val="0"/>
        <w:widowControl w:val="0"/>
        <w:kinsoku/>
        <w:wordWrap/>
        <w:overflowPunct/>
        <w:topLinePunct w:val="0"/>
        <w:autoSpaceDE/>
        <w:autoSpaceDN/>
        <w:bidi w:val="0"/>
        <w:spacing w:line="360" w:lineRule="auto"/>
        <w:jc w:val="left"/>
        <w:textAlignment w:val="center"/>
        <w:rPr>
          <w:rFonts w:hint="default" w:ascii="宋体" w:hAnsi="Courier New" w:eastAsia="宋体"/>
          <w:b/>
          <w:bCs/>
          <w:color w:val="auto"/>
          <w:highlight w:val="none"/>
          <w:lang w:val="en-US" w:eastAsia="zh-CN"/>
        </w:rPr>
      </w:pPr>
      <w:r>
        <w:rPr>
          <w:rFonts w:hint="eastAsia" w:ascii="宋体" w:hAnsi="Courier New"/>
          <w:b/>
          <w:bCs/>
          <w:color w:val="auto"/>
          <w:highlight w:val="none"/>
          <w:lang w:val="en-US" w:eastAsia="zh-CN"/>
        </w:rPr>
        <w:t>附件四之附件2：</w:t>
      </w:r>
    </w:p>
    <w:p w14:paraId="41948EF9">
      <w:pPr>
        <w:keepNext w:val="0"/>
        <w:keepLines w:val="0"/>
        <w:pageBreakBefore w:val="0"/>
        <w:widowControl w:val="0"/>
        <w:kinsoku/>
        <w:wordWrap/>
        <w:overflowPunct/>
        <w:topLinePunct w:val="0"/>
        <w:autoSpaceDE/>
        <w:autoSpaceDN/>
        <w:bidi w:val="0"/>
        <w:spacing w:line="360" w:lineRule="auto"/>
        <w:ind w:firstLine="643" w:firstLineChars="200"/>
        <w:jc w:val="center"/>
        <w:textAlignment w:val="center"/>
        <w:rPr>
          <w:rFonts w:hint="eastAsia" w:ascii="宋体" w:hAnsi="宋体" w:eastAsia="宋体" w:cs="Times New Roman"/>
          <w:b/>
          <w:bCs/>
          <w:color w:val="auto"/>
          <w:kern w:val="2"/>
          <w:sz w:val="32"/>
          <w:szCs w:val="32"/>
          <w:highlight w:val="none"/>
          <w:lang w:val="en-US" w:eastAsia="zh-CN" w:bidi="ar-SA"/>
        </w:rPr>
      </w:pPr>
      <w:r>
        <w:rPr>
          <w:rFonts w:hint="eastAsia" w:ascii="宋体" w:hAnsi="宋体" w:eastAsia="宋体" w:cs="Times New Roman"/>
          <w:b/>
          <w:bCs/>
          <w:color w:val="auto"/>
          <w:kern w:val="2"/>
          <w:sz w:val="32"/>
          <w:szCs w:val="32"/>
          <w:highlight w:val="none"/>
          <w:lang w:val="en-US" w:eastAsia="zh-CN" w:bidi="ar-SA"/>
        </w:rPr>
        <w:t>承 诺 书</w:t>
      </w:r>
    </w:p>
    <w:p w14:paraId="249AEC11">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r>
        <w:rPr>
          <w:rFonts w:hint="eastAsia" w:ascii="宋体" w:hAnsi="Courier New"/>
          <w:color w:val="auto"/>
          <w:highlight w:val="none"/>
        </w:rPr>
        <w:t xml:space="preserve">                                         </w:t>
      </w:r>
    </w:p>
    <w:p w14:paraId="66F98C17">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r>
        <w:rPr>
          <w:rFonts w:hint="eastAsia" w:ascii="宋体" w:hAnsi="Courier New"/>
          <w:color w:val="auto"/>
          <w:highlight w:val="none"/>
        </w:rPr>
        <w:t>根据</w:t>
      </w:r>
      <w:r>
        <w:rPr>
          <w:rFonts w:hint="eastAsia" w:ascii="宋体" w:hAnsi="Courier New"/>
          <w:color w:val="auto"/>
          <w:highlight w:val="none"/>
          <w:lang w:eastAsia="zh-CN"/>
        </w:rPr>
        <w:t>英德市投资审核中心</w:t>
      </w:r>
      <w:r>
        <w:rPr>
          <w:rFonts w:hint="eastAsia" w:ascii="宋体" w:hAnsi="Courier New"/>
          <w:color w:val="auto"/>
          <w:highlight w:val="none"/>
        </w:rPr>
        <w:t>的工作安排，为保证评审结果的客观、科学、公平、公正，现本人对如下事项进行保证和承诺：</w:t>
      </w:r>
    </w:p>
    <w:p w14:paraId="5CD63B5B">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r>
        <w:rPr>
          <w:rFonts w:hint="eastAsia" w:ascii="宋体" w:hAnsi="Courier New"/>
          <w:color w:val="auto"/>
          <w:highlight w:val="none"/>
        </w:rPr>
        <w:t>1．严格遵守国家、省、市的有关法律、法规和业务规范以及从业人员的职业道德规定，独立、客观、公正地依法进行评审。</w:t>
      </w:r>
    </w:p>
    <w:p w14:paraId="5D353F48">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r>
        <w:rPr>
          <w:rFonts w:hint="eastAsia" w:ascii="宋体" w:hAnsi="Courier New"/>
          <w:color w:val="auto"/>
          <w:highlight w:val="none"/>
        </w:rPr>
        <w:t>2．根据评审实施方案的要求，开展评审工作，选用正确的基础数据、计算方法、计算公式、计算程序，做好取证工作，认真完整地记录工作底稿，编制真实、客观、公正、合法、合规的评审结果文件，对本项目的评审质量、进度和结果文件负责。</w:t>
      </w:r>
    </w:p>
    <w:p w14:paraId="4E4C9180">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r>
        <w:rPr>
          <w:rFonts w:hint="eastAsia" w:ascii="宋体" w:hAnsi="Courier New"/>
          <w:color w:val="auto"/>
          <w:highlight w:val="none"/>
        </w:rPr>
        <w:t>3．对评审过程中知悉的评审内容</w:t>
      </w:r>
      <w:r>
        <w:rPr>
          <w:rFonts w:hint="eastAsia" w:ascii="宋体" w:hAnsi="Courier New"/>
          <w:color w:val="auto"/>
          <w:highlight w:val="none"/>
          <w:lang w:val="en-US" w:eastAsia="zh-CN"/>
        </w:rPr>
        <w:t>和其他需要保密的资料或信息承担</w:t>
      </w:r>
      <w:r>
        <w:rPr>
          <w:rFonts w:hint="eastAsia" w:ascii="宋体" w:hAnsi="Courier New"/>
          <w:color w:val="auto"/>
          <w:highlight w:val="none"/>
        </w:rPr>
        <w:t>保密</w:t>
      </w:r>
      <w:r>
        <w:rPr>
          <w:rFonts w:hint="eastAsia" w:ascii="宋体" w:hAnsi="Courier New"/>
          <w:color w:val="auto"/>
          <w:highlight w:val="none"/>
          <w:lang w:val="en-US" w:eastAsia="zh-CN"/>
        </w:rPr>
        <w:t>责任</w:t>
      </w:r>
      <w:r>
        <w:rPr>
          <w:rFonts w:hint="eastAsia" w:ascii="宋体" w:hAnsi="Courier New"/>
          <w:color w:val="auto"/>
          <w:highlight w:val="none"/>
        </w:rPr>
        <w:t>。</w:t>
      </w:r>
    </w:p>
    <w:p w14:paraId="0B5FC3D4">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r>
        <w:rPr>
          <w:rFonts w:hint="eastAsia" w:ascii="宋体" w:hAnsi="Courier New"/>
          <w:color w:val="auto"/>
          <w:highlight w:val="none"/>
          <w:lang w:val="en-US" w:eastAsia="zh-CN"/>
        </w:rPr>
        <w:t>4</w:t>
      </w:r>
      <w:r>
        <w:rPr>
          <w:rFonts w:hint="eastAsia" w:ascii="宋体" w:hAnsi="Courier New"/>
          <w:color w:val="auto"/>
          <w:highlight w:val="none"/>
        </w:rPr>
        <w:t>．严格遵守《英德市投资审核中心廉政建设管理制度》和《审核人员行为守则》。</w:t>
      </w:r>
    </w:p>
    <w:p w14:paraId="07387B26">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r>
        <w:rPr>
          <w:rFonts w:hint="eastAsia" w:ascii="宋体" w:hAnsi="Courier New"/>
          <w:color w:val="auto"/>
          <w:highlight w:val="none"/>
        </w:rPr>
        <w:t>本人如违背上述承诺，愿意承担由此引起的一切责任。</w:t>
      </w:r>
    </w:p>
    <w:p w14:paraId="06657FF8">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p>
    <w:p w14:paraId="4C1153B7">
      <w:pPr>
        <w:keepNext w:val="0"/>
        <w:keepLines w:val="0"/>
        <w:pageBreakBefore w:val="0"/>
        <w:widowControl w:val="0"/>
        <w:kinsoku/>
        <w:wordWrap/>
        <w:overflowPunct/>
        <w:topLinePunct w:val="0"/>
        <w:autoSpaceDE/>
        <w:autoSpaceDN/>
        <w:bidi w:val="0"/>
        <w:spacing w:line="360" w:lineRule="auto"/>
        <w:ind w:firstLine="420" w:firstLineChars="200"/>
        <w:jc w:val="left"/>
        <w:textAlignment w:val="center"/>
        <w:rPr>
          <w:rFonts w:hint="eastAsia" w:ascii="宋体" w:hAnsi="Courier New"/>
          <w:color w:val="auto"/>
          <w:highlight w:val="none"/>
        </w:rPr>
      </w:pPr>
      <w:r>
        <w:rPr>
          <w:rFonts w:hint="eastAsia" w:ascii="宋体" w:hAnsi="Courier New"/>
          <w:color w:val="auto"/>
          <w:highlight w:val="none"/>
        </w:rPr>
        <w:t xml:space="preserve"> </w:t>
      </w:r>
      <w:r>
        <w:rPr>
          <w:rFonts w:hint="eastAsia" w:ascii="宋体" w:hAnsi="Courier New"/>
          <w:color w:val="auto"/>
          <w:highlight w:val="none"/>
          <w:lang w:eastAsia="zh-CN"/>
        </w:rPr>
        <w:t>（</w:t>
      </w:r>
      <w:r>
        <w:rPr>
          <w:rFonts w:hint="eastAsia" w:ascii="宋体" w:hAnsi="Courier New"/>
          <w:color w:val="auto"/>
          <w:highlight w:val="none"/>
          <w:lang w:val="en-US" w:eastAsia="zh-CN"/>
        </w:rPr>
        <w:t>注意：造价咨询公司和评审人各拟一份模版</w:t>
      </w:r>
      <w:r>
        <w:rPr>
          <w:rFonts w:hint="eastAsia" w:ascii="宋体" w:hAnsi="Courier New"/>
          <w:color w:val="auto"/>
          <w:highlight w:val="none"/>
          <w:lang w:eastAsia="zh-CN"/>
        </w:rPr>
        <w:t>）</w:t>
      </w:r>
      <w:r>
        <w:rPr>
          <w:rFonts w:hint="eastAsia" w:ascii="宋体" w:hAnsi="Courier New"/>
          <w:color w:val="auto"/>
          <w:highlight w:val="none"/>
        </w:rPr>
        <w:t xml:space="preserve">                        </w:t>
      </w:r>
    </w:p>
    <w:p w14:paraId="18866C89">
      <w:pPr>
        <w:keepNext w:val="0"/>
        <w:keepLines w:val="0"/>
        <w:pageBreakBefore w:val="0"/>
        <w:widowControl w:val="0"/>
        <w:kinsoku/>
        <w:wordWrap/>
        <w:overflowPunct/>
        <w:topLinePunct w:val="0"/>
        <w:autoSpaceDE/>
        <w:autoSpaceDN/>
        <w:bidi w:val="0"/>
        <w:spacing w:line="360" w:lineRule="auto"/>
        <w:ind w:firstLine="2940" w:firstLineChars="1400"/>
        <w:jc w:val="center"/>
        <w:textAlignment w:val="center"/>
        <w:rPr>
          <w:rFonts w:hint="eastAsia" w:ascii="宋体" w:hAnsi="Courier New"/>
          <w:color w:val="auto"/>
          <w:highlight w:val="none"/>
        </w:rPr>
      </w:pPr>
      <w:r>
        <w:rPr>
          <w:rFonts w:hint="eastAsia" w:ascii="宋体" w:hAnsi="Courier New"/>
          <w:color w:val="auto"/>
          <w:highlight w:val="none"/>
          <w:lang w:val="en-US" w:eastAsia="zh-CN"/>
        </w:rPr>
        <w:t>承 诺 人</w:t>
      </w:r>
      <w:r>
        <w:rPr>
          <w:rFonts w:hint="eastAsia" w:ascii="宋体" w:hAnsi="Courier New"/>
          <w:color w:val="auto"/>
          <w:highlight w:val="none"/>
        </w:rPr>
        <w:t>：</w:t>
      </w:r>
    </w:p>
    <w:p w14:paraId="4538092C">
      <w:pPr>
        <w:pStyle w:val="2"/>
        <w:keepNext w:val="0"/>
        <w:keepLines w:val="0"/>
        <w:pageBreakBefore w:val="0"/>
        <w:widowControl w:val="0"/>
        <w:kinsoku/>
        <w:wordWrap/>
        <w:overflowPunct/>
        <w:topLinePunct w:val="0"/>
        <w:autoSpaceDE/>
        <w:autoSpaceDN/>
        <w:bidi w:val="0"/>
        <w:spacing w:line="360" w:lineRule="auto"/>
        <w:ind w:firstLine="5040" w:firstLineChars="2400"/>
        <w:rPr>
          <w:rFonts w:hint="eastAsia" w:ascii="宋体" w:hAnsi="Courier New"/>
          <w:color w:val="auto"/>
          <w:highlight w:val="none"/>
        </w:rPr>
      </w:pPr>
      <w:r>
        <w:rPr>
          <w:rFonts w:hint="eastAsia" w:ascii="宋体" w:hAnsi="Courier New"/>
          <w:color w:val="auto"/>
          <w:highlight w:val="none"/>
          <w:lang w:val="en-US" w:eastAsia="zh-CN"/>
        </w:rPr>
        <w:t>日      期：</w:t>
      </w:r>
      <w:r>
        <w:rPr>
          <w:rFonts w:hint="eastAsia" w:ascii="宋体" w:hAnsi="Courier New"/>
          <w:color w:val="auto"/>
          <w:highlight w:val="none"/>
        </w:rPr>
        <w:t xml:space="preserve">              </w:t>
      </w:r>
    </w:p>
    <w:p w14:paraId="500C7BA4">
      <w:pPr>
        <w:pStyle w:val="2"/>
        <w:keepNext w:val="0"/>
        <w:keepLines w:val="0"/>
        <w:pageBreakBefore w:val="0"/>
        <w:widowControl w:val="0"/>
        <w:kinsoku/>
        <w:wordWrap/>
        <w:overflowPunct/>
        <w:topLinePunct w:val="0"/>
        <w:autoSpaceDE/>
        <w:autoSpaceDN/>
        <w:bidi w:val="0"/>
        <w:spacing w:line="360" w:lineRule="auto"/>
        <w:rPr>
          <w:rFonts w:hint="eastAsia"/>
          <w:color w:val="auto"/>
          <w:highlight w:val="none"/>
        </w:rPr>
      </w:pPr>
    </w:p>
    <w:p w14:paraId="302B209B">
      <w:pPr>
        <w:pStyle w:val="2"/>
        <w:keepNext w:val="0"/>
        <w:keepLines w:val="0"/>
        <w:pageBreakBefore w:val="0"/>
        <w:widowControl w:val="0"/>
        <w:kinsoku/>
        <w:wordWrap/>
        <w:overflowPunct/>
        <w:topLinePunct w:val="0"/>
        <w:autoSpaceDE/>
        <w:autoSpaceDN/>
        <w:bidi w:val="0"/>
        <w:spacing w:line="360" w:lineRule="auto"/>
        <w:rPr>
          <w:rFonts w:hint="eastAsia"/>
          <w:color w:val="auto"/>
          <w:highlight w:val="none"/>
        </w:rPr>
      </w:pPr>
    </w:p>
    <w:p w14:paraId="759A66E9">
      <w:pPr>
        <w:pStyle w:val="2"/>
        <w:keepNext w:val="0"/>
        <w:keepLines w:val="0"/>
        <w:pageBreakBefore w:val="0"/>
        <w:widowControl w:val="0"/>
        <w:kinsoku/>
        <w:wordWrap/>
        <w:overflowPunct/>
        <w:topLinePunct w:val="0"/>
        <w:autoSpaceDE/>
        <w:autoSpaceDN/>
        <w:bidi w:val="0"/>
        <w:spacing w:line="360" w:lineRule="auto"/>
        <w:rPr>
          <w:rFonts w:hint="eastAsia"/>
          <w:color w:val="auto"/>
          <w:highlight w:val="none"/>
        </w:rPr>
      </w:pPr>
    </w:p>
    <w:p w14:paraId="68E4E838">
      <w:pPr>
        <w:pStyle w:val="2"/>
        <w:keepNext w:val="0"/>
        <w:keepLines w:val="0"/>
        <w:pageBreakBefore w:val="0"/>
        <w:widowControl w:val="0"/>
        <w:kinsoku/>
        <w:wordWrap/>
        <w:overflowPunct/>
        <w:topLinePunct w:val="0"/>
        <w:autoSpaceDE/>
        <w:autoSpaceDN/>
        <w:bidi w:val="0"/>
        <w:spacing w:line="360" w:lineRule="auto"/>
        <w:rPr>
          <w:rFonts w:hint="eastAsia"/>
          <w:color w:val="auto"/>
          <w:highlight w:val="none"/>
        </w:rPr>
      </w:pPr>
    </w:p>
    <w:p w14:paraId="0E3C53FD">
      <w:pPr>
        <w:pStyle w:val="2"/>
        <w:keepNext w:val="0"/>
        <w:keepLines w:val="0"/>
        <w:pageBreakBefore w:val="0"/>
        <w:widowControl w:val="0"/>
        <w:kinsoku/>
        <w:wordWrap/>
        <w:overflowPunct/>
        <w:topLinePunct w:val="0"/>
        <w:autoSpaceDE/>
        <w:autoSpaceDN/>
        <w:bidi w:val="0"/>
        <w:spacing w:line="360" w:lineRule="auto"/>
        <w:rPr>
          <w:rFonts w:hint="eastAsia"/>
          <w:color w:val="auto"/>
          <w:highlight w:val="none"/>
        </w:rPr>
      </w:pPr>
    </w:p>
    <w:p w14:paraId="5DC86864">
      <w:pPr>
        <w:pStyle w:val="2"/>
        <w:keepNext w:val="0"/>
        <w:keepLines w:val="0"/>
        <w:pageBreakBefore w:val="0"/>
        <w:widowControl w:val="0"/>
        <w:kinsoku/>
        <w:wordWrap/>
        <w:overflowPunct/>
        <w:topLinePunct w:val="0"/>
        <w:autoSpaceDE/>
        <w:autoSpaceDN/>
        <w:bidi w:val="0"/>
        <w:spacing w:line="360" w:lineRule="auto"/>
        <w:rPr>
          <w:rFonts w:hint="eastAsia"/>
          <w:color w:val="auto"/>
          <w:highlight w:val="none"/>
        </w:rPr>
      </w:pPr>
    </w:p>
    <w:p w14:paraId="027BEF5A">
      <w:pPr>
        <w:pStyle w:val="2"/>
        <w:keepNext w:val="0"/>
        <w:keepLines w:val="0"/>
        <w:pageBreakBefore w:val="0"/>
        <w:widowControl w:val="0"/>
        <w:kinsoku/>
        <w:wordWrap/>
        <w:overflowPunct/>
        <w:topLinePunct w:val="0"/>
        <w:autoSpaceDE/>
        <w:autoSpaceDN/>
        <w:bidi w:val="0"/>
        <w:spacing w:line="360" w:lineRule="auto"/>
        <w:rPr>
          <w:rFonts w:hint="eastAsia"/>
          <w:color w:val="auto"/>
          <w:highlight w:val="none"/>
        </w:rPr>
      </w:pPr>
    </w:p>
    <w:p w14:paraId="401DDB9A">
      <w:pPr>
        <w:keepNext w:val="0"/>
        <w:keepLines w:val="0"/>
        <w:pageBreakBefore w:val="0"/>
        <w:widowControl w:val="0"/>
        <w:kinsoku/>
        <w:wordWrap/>
        <w:overflowPunct/>
        <w:topLinePunct w:val="0"/>
        <w:autoSpaceDE/>
        <w:autoSpaceDN/>
        <w:bidi w:val="0"/>
        <w:spacing w:line="360" w:lineRule="auto"/>
        <w:rPr>
          <w:rFonts w:hint="eastAsia" w:ascii="宋体" w:hAnsi="宋体" w:eastAsia="宋体" w:cs="宋体"/>
          <w:b/>
          <w:bCs/>
          <w:color w:val="auto"/>
          <w:kern w:val="2"/>
          <w:sz w:val="21"/>
          <w:szCs w:val="21"/>
          <w:highlight w:val="none"/>
          <w:lang w:val="en-US" w:eastAsia="zh-CN" w:bidi="ar-SA"/>
        </w:rPr>
        <w:sectPr>
          <w:pgSz w:w="11906" w:h="16838"/>
          <w:pgMar w:top="1440" w:right="1800" w:bottom="1440" w:left="1800" w:header="851" w:footer="992" w:gutter="0"/>
          <w:pgNumType w:fmt="numberInDash"/>
          <w:cols w:space="720" w:num="1"/>
          <w:docGrid w:type="lines" w:linePitch="312" w:charSpace="0"/>
        </w:sectPr>
      </w:pPr>
    </w:p>
    <w:p w14:paraId="1305E4D0">
      <w:pPr>
        <w:keepNext w:val="0"/>
        <w:keepLines w:val="0"/>
        <w:pageBreakBefore w:val="0"/>
        <w:widowControl w:val="0"/>
        <w:kinsoku/>
        <w:wordWrap/>
        <w:overflowPunct/>
        <w:topLinePunct w:val="0"/>
        <w:autoSpaceDE/>
        <w:autoSpaceDN/>
        <w:bidi w:val="0"/>
        <w:spacing w:line="360" w:lineRule="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附件</w:t>
      </w:r>
      <w:r>
        <w:rPr>
          <w:rFonts w:hint="eastAsia" w:ascii="宋体" w:hAnsi="宋体" w:cs="宋体"/>
          <w:b/>
          <w:bCs/>
          <w:color w:val="auto"/>
          <w:kern w:val="2"/>
          <w:sz w:val="21"/>
          <w:szCs w:val="21"/>
          <w:highlight w:val="none"/>
          <w:lang w:val="en-US" w:eastAsia="zh-CN" w:bidi="ar-SA"/>
        </w:rPr>
        <w:t>五</w:t>
      </w:r>
    </w:p>
    <w:p w14:paraId="3DBEA1DC">
      <w:pPr>
        <w:keepNext w:val="0"/>
        <w:keepLines w:val="0"/>
        <w:pageBreakBefore w:val="0"/>
        <w:widowControl w:val="0"/>
        <w:tabs>
          <w:tab w:val="left" w:pos="9612"/>
        </w:tabs>
        <w:kinsoku/>
        <w:wordWrap/>
        <w:overflowPunct/>
        <w:topLinePunct w:val="0"/>
        <w:autoSpaceDE/>
        <w:autoSpaceDN/>
        <w:bidi w:val="0"/>
        <w:spacing w:line="360" w:lineRule="auto"/>
        <w:ind w:left="482" w:hanging="482" w:hangingChars="150"/>
        <w:jc w:val="center"/>
        <w:textAlignment w:val="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英德市投资审核中心工程造价咨询项目审核时限要求</w:t>
      </w:r>
    </w:p>
    <w:p w14:paraId="2BC853D1">
      <w:pPr>
        <w:keepNext w:val="0"/>
        <w:keepLines w:val="0"/>
        <w:pageBreakBefore w:val="0"/>
        <w:widowControl w:val="0"/>
        <w:tabs>
          <w:tab w:val="left" w:pos="9612"/>
        </w:tabs>
        <w:kinsoku/>
        <w:wordWrap/>
        <w:overflowPunct/>
        <w:topLinePunct w:val="0"/>
        <w:autoSpaceDE/>
        <w:autoSpaceDN/>
        <w:bidi w:val="0"/>
        <w:spacing w:line="360" w:lineRule="auto"/>
        <w:ind w:firstLine="420" w:firstLineChars="20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根据财政部、建设部共同颁发的《建设工程价款结算暂行规定》（财建〔2004〕369号）及广东省财政厅《广东省财政性资金基本建设投资评审暂行办法》（粤财基〔2000〕18号）的规定，结合我市的实际情况，造价咨询公司的项目审核时限一般参照以下的标准执行。</w:t>
      </w:r>
    </w:p>
    <w:p w14:paraId="5F752571">
      <w:pPr>
        <w:keepNext w:val="0"/>
        <w:keepLines w:val="0"/>
        <w:pageBreakBefore w:val="0"/>
        <w:widowControl w:val="0"/>
        <w:tabs>
          <w:tab w:val="left" w:pos="9612"/>
        </w:tabs>
        <w:kinsoku/>
        <w:wordWrap/>
        <w:overflowPunct/>
        <w:topLinePunct w:val="0"/>
        <w:autoSpaceDE/>
        <w:autoSpaceDN/>
        <w:bidi w:val="0"/>
        <w:spacing w:line="360" w:lineRule="auto"/>
        <w:ind w:left="315" w:hanging="315" w:hangingChars="150"/>
        <w:jc w:val="right"/>
        <w:textAlignment w:val="auto"/>
        <w:rPr>
          <w:rFonts w:ascii="仿宋" w:hAnsi="仿宋" w:eastAsia="仿宋" w:cs="仿宋"/>
          <w:color w:val="auto"/>
          <w:kern w:val="0"/>
          <w:sz w:val="24"/>
          <w:highlight w:val="none"/>
        </w:rPr>
      </w:pPr>
      <w:r>
        <w:rPr>
          <w:rFonts w:hint="eastAsia" w:ascii="宋体" w:hAnsi="宋体" w:cs="宋体"/>
          <w:color w:val="auto"/>
          <w:szCs w:val="21"/>
          <w:highlight w:val="none"/>
        </w:rPr>
        <w:t>单位：工作</w:t>
      </w:r>
      <w:r>
        <w:rPr>
          <w:rFonts w:hint="eastAsia" w:ascii="仿宋" w:hAnsi="仿宋" w:eastAsia="仿宋" w:cs="仿宋"/>
          <w:color w:val="auto"/>
          <w:kern w:val="0"/>
          <w:sz w:val="24"/>
          <w:highlight w:val="none"/>
        </w:rPr>
        <w:t>日</w:t>
      </w:r>
    </w:p>
    <w:tbl>
      <w:tblPr>
        <w:tblStyle w:val="6"/>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31"/>
        <w:gridCol w:w="2068"/>
        <w:gridCol w:w="973"/>
        <w:gridCol w:w="960"/>
        <w:gridCol w:w="957"/>
        <w:gridCol w:w="959"/>
        <w:gridCol w:w="960"/>
        <w:gridCol w:w="670"/>
        <w:gridCol w:w="637"/>
      </w:tblGrid>
      <w:tr w14:paraId="132A2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6"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15CE1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序号</w:t>
            </w:r>
          </w:p>
        </w:tc>
        <w:tc>
          <w:tcPr>
            <w:tcW w:w="11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525D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项目投资额</w:t>
            </w:r>
          </w:p>
        </w:tc>
        <w:tc>
          <w:tcPr>
            <w:tcW w:w="112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5D61B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审核（初稿）</w:t>
            </w:r>
          </w:p>
        </w:tc>
        <w:tc>
          <w:tcPr>
            <w:tcW w:w="111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61812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全面复核（初稿）</w:t>
            </w:r>
          </w:p>
        </w:tc>
        <w:tc>
          <w:tcPr>
            <w:tcW w:w="94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E485D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抽查</w:t>
            </w:r>
          </w:p>
        </w:tc>
        <w:tc>
          <w:tcPr>
            <w:tcW w:w="31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4F388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备注</w:t>
            </w:r>
          </w:p>
        </w:tc>
      </w:tr>
      <w:tr w14:paraId="2F1DC3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8"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621C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一</w:t>
            </w:r>
          </w:p>
        </w:tc>
        <w:tc>
          <w:tcPr>
            <w:tcW w:w="11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43C5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估（概）、预算（含招标工程量清单、最高限价）</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7B06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正常</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69E1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加急</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EA1A5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正常</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9043C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加急</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CA3F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正常</w:t>
            </w:r>
          </w:p>
        </w:tc>
        <w:tc>
          <w:tcPr>
            <w:tcW w:w="3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62C2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加急</w:t>
            </w:r>
          </w:p>
        </w:tc>
        <w:tc>
          <w:tcPr>
            <w:tcW w:w="3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9D19DE">
            <w:pPr>
              <w:jc w:val="center"/>
              <w:rPr>
                <w:rFonts w:hint="eastAsia" w:asciiTheme="minorEastAsia" w:hAnsiTheme="minorEastAsia" w:eastAsiaTheme="minorEastAsia" w:cstheme="minorEastAsia"/>
                <w:i w:val="0"/>
                <w:iCs w:val="0"/>
                <w:color w:val="auto"/>
                <w:sz w:val="21"/>
                <w:szCs w:val="21"/>
                <w:highlight w:val="none"/>
                <w:u w:val="none"/>
              </w:rPr>
            </w:pPr>
          </w:p>
        </w:tc>
      </w:tr>
      <w:tr w14:paraId="0277E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2"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C17E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11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9F23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投资1000万元以内</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66E8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6</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32C5B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92B38">
            <w:pPr>
              <w:jc w:val="center"/>
              <w:rPr>
                <w:rFonts w:hint="eastAsia" w:asciiTheme="minorEastAsia" w:hAnsiTheme="minorEastAsia" w:eastAsiaTheme="minorEastAsia" w:cstheme="minorEastAsia"/>
                <w:i w:val="0"/>
                <w:iCs w:val="0"/>
                <w:color w:val="auto"/>
                <w:sz w:val="21"/>
                <w:szCs w:val="21"/>
                <w:highlight w:val="none"/>
                <w:u w:val="none"/>
              </w:rPr>
            </w:pP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BA900">
            <w:pPr>
              <w:jc w:val="center"/>
              <w:rPr>
                <w:rFonts w:hint="eastAsia" w:asciiTheme="minorEastAsia" w:hAnsiTheme="minorEastAsia" w:eastAsiaTheme="minorEastAsia" w:cstheme="minorEastAsia"/>
                <w:i w:val="0"/>
                <w:iCs w:val="0"/>
                <w:color w:val="auto"/>
                <w:sz w:val="21"/>
                <w:szCs w:val="21"/>
                <w:highlight w:val="none"/>
                <w:u w:val="none"/>
              </w:rPr>
            </w:pP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9402D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3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7C4F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0.5</w:t>
            </w:r>
          </w:p>
        </w:tc>
        <w:tc>
          <w:tcPr>
            <w:tcW w:w="31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6FAF8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补充资料、造价核对、现场查勘、打印定案书、呈批等不计算在审核时限内</w:t>
            </w:r>
          </w:p>
        </w:tc>
      </w:tr>
      <w:tr w14:paraId="7F6CCF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2"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6AAD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w:t>
            </w:r>
          </w:p>
        </w:tc>
        <w:tc>
          <w:tcPr>
            <w:tcW w:w="11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92644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投资1000-2500万元</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E80C1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7</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EF98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C2E5B7">
            <w:pPr>
              <w:jc w:val="center"/>
              <w:rPr>
                <w:rFonts w:hint="eastAsia" w:asciiTheme="minorEastAsia" w:hAnsiTheme="minorEastAsia" w:eastAsiaTheme="minorEastAsia" w:cstheme="minorEastAsia"/>
                <w:i w:val="0"/>
                <w:iCs w:val="0"/>
                <w:color w:val="auto"/>
                <w:sz w:val="21"/>
                <w:szCs w:val="21"/>
                <w:highlight w:val="none"/>
                <w:u w:val="none"/>
              </w:rPr>
            </w:pP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06944">
            <w:pPr>
              <w:jc w:val="center"/>
              <w:rPr>
                <w:rFonts w:hint="eastAsia" w:asciiTheme="minorEastAsia" w:hAnsiTheme="minorEastAsia" w:eastAsiaTheme="minorEastAsia" w:cstheme="minorEastAsia"/>
                <w:i w:val="0"/>
                <w:iCs w:val="0"/>
                <w:color w:val="auto"/>
                <w:sz w:val="21"/>
                <w:szCs w:val="21"/>
                <w:highlight w:val="none"/>
                <w:u w:val="none"/>
              </w:rPr>
            </w:pP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39E7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w:t>
            </w:r>
          </w:p>
        </w:tc>
        <w:tc>
          <w:tcPr>
            <w:tcW w:w="3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23ED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0.5</w:t>
            </w:r>
          </w:p>
        </w:tc>
        <w:tc>
          <w:tcPr>
            <w:tcW w:w="3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C03F1E">
            <w:pPr>
              <w:jc w:val="center"/>
              <w:rPr>
                <w:rFonts w:hint="eastAsia" w:asciiTheme="minorEastAsia" w:hAnsiTheme="minorEastAsia" w:eastAsiaTheme="minorEastAsia" w:cstheme="minorEastAsia"/>
                <w:i w:val="0"/>
                <w:iCs w:val="0"/>
                <w:color w:val="auto"/>
                <w:sz w:val="21"/>
                <w:szCs w:val="21"/>
                <w:highlight w:val="none"/>
                <w:u w:val="none"/>
              </w:rPr>
            </w:pPr>
          </w:p>
        </w:tc>
      </w:tr>
      <w:tr w14:paraId="54FB8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2"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AD07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w:t>
            </w:r>
          </w:p>
        </w:tc>
        <w:tc>
          <w:tcPr>
            <w:tcW w:w="11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0DB0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投资2500-5000万元</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A225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9</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BF69A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7</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D43351">
            <w:pPr>
              <w:jc w:val="center"/>
              <w:rPr>
                <w:rFonts w:hint="eastAsia" w:asciiTheme="minorEastAsia" w:hAnsiTheme="minorEastAsia" w:eastAsiaTheme="minorEastAsia" w:cstheme="minorEastAsia"/>
                <w:i w:val="0"/>
                <w:iCs w:val="0"/>
                <w:color w:val="auto"/>
                <w:sz w:val="21"/>
                <w:szCs w:val="21"/>
                <w:highlight w:val="none"/>
                <w:u w:val="none"/>
              </w:rPr>
            </w:pP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D3C47">
            <w:pPr>
              <w:jc w:val="center"/>
              <w:rPr>
                <w:rFonts w:hint="eastAsia" w:asciiTheme="minorEastAsia" w:hAnsiTheme="minorEastAsia" w:eastAsiaTheme="minorEastAsia" w:cstheme="minorEastAsia"/>
                <w:i w:val="0"/>
                <w:iCs w:val="0"/>
                <w:color w:val="auto"/>
                <w:sz w:val="21"/>
                <w:szCs w:val="21"/>
                <w:highlight w:val="none"/>
                <w:u w:val="none"/>
              </w:rPr>
            </w:pP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8A57A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w:t>
            </w:r>
          </w:p>
        </w:tc>
        <w:tc>
          <w:tcPr>
            <w:tcW w:w="3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624D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0.5</w:t>
            </w:r>
          </w:p>
        </w:tc>
        <w:tc>
          <w:tcPr>
            <w:tcW w:w="3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663A87">
            <w:pPr>
              <w:jc w:val="center"/>
              <w:rPr>
                <w:rFonts w:hint="eastAsia" w:asciiTheme="minorEastAsia" w:hAnsiTheme="minorEastAsia" w:eastAsiaTheme="minorEastAsia" w:cstheme="minorEastAsia"/>
                <w:i w:val="0"/>
                <w:iCs w:val="0"/>
                <w:color w:val="auto"/>
                <w:sz w:val="21"/>
                <w:szCs w:val="21"/>
                <w:highlight w:val="none"/>
                <w:u w:val="none"/>
              </w:rPr>
            </w:pPr>
          </w:p>
        </w:tc>
      </w:tr>
      <w:tr w14:paraId="44487C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2"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CC62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w:t>
            </w:r>
          </w:p>
        </w:tc>
        <w:tc>
          <w:tcPr>
            <w:tcW w:w="11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5DFD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投资5000-7500万元</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5D3D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12</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20B8E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10</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7C305">
            <w:pPr>
              <w:jc w:val="center"/>
              <w:rPr>
                <w:rFonts w:hint="eastAsia" w:asciiTheme="minorEastAsia" w:hAnsiTheme="minorEastAsia" w:eastAsiaTheme="minorEastAsia" w:cstheme="minorEastAsia"/>
                <w:i w:val="0"/>
                <w:iCs w:val="0"/>
                <w:color w:val="auto"/>
                <w:sz w:val="21"/>
                <w:szCs w:val="21"/>
                <w:highlight w:val="none"/>
                <w:u w:val="none"/>
              </w:rPr>
            </w:pP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77867">
            <w:pPr>
              <w:jc w:val="center"/>
              <w:rPr>
                <w:rFonts w:hint="eastAsia" w:asciiTheme="minorEastAsia" w:hAnsiTheme="minorEastAsia" w:eastAsiaTheme="minorEastAsia" w:cstheme="minorEastAsia"/>
                <w:i w:val="0"/>
                <w:iCs w:val="0"/>
                <w:color w:val="auto"/>
                <w:sz w:val="21"/>
                <w:szCs w:val="21"/>
                <w:highlight w:val="none"/>
                <w:u w:val="none"/>
              </w:rPr>
            </w:pP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CDDC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w:t>
            </w:r>
          </w:p>
        </w:tc>
        <w:tc>
          <w:tcPr>
            <w:tcW w:w="3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781A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3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87AB71">
            <w:pPr>
              <w:jc w:val="center"/>
              <w:rPr>
                <w:rFonts w:hint="eastAsia" w:asciiTheme="minorEastAsia" w:hAnsiTheme="minorEastAsia" w:eastAsiaTheme="minorEastAsia" w:cstheme="minorEastAsia"/>
                <w:i w:val="0"/>
                <w:iCs w:val="0"/>
                <w:color w:val="auto"/>
                <w:sz w:val="21"/>
                <w:szCs w:val="21"/>
                <w:highlight w:val="none"/>
                <w:u w:val="none"/>
              </w:rPr>
            </w:pPr>
          </w:p>
        </w:tc>
      </w:tr>
      <w:tr w14:paraId="4BF055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2"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E7506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w:t>
            </w:r>
          </w:p>
        </w:tc>
        <w:tc>
          <w:tcPr>
            <w:tcW w:w="11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E6ED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投资7500-10000万元</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0A78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15</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790DF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12</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28EE8">
            <w:pPr>
              <w:jc w:val="center"/>
              <w:rPr>
                <w:rFonts w:hint="eastAsia" w:asciiTheme="minorEastAsia" w:hAnsiTheme="minorEastAsia" w:eastAsiaTheme="minorEastAsia" w:cstheme="minorEastAsia"/>
                <w:i w:val="0"/>
                <w:iCs w:val="0"/>
                <w:color w:val="auto"/>
                <w:sz w:val="21"/>
                <w:szCs w:val="21"/>
                <w:highlight w:val="none"/>
                <w:u w:val="none"/>
              </w:rPr>
            </w:pP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38CD7">
            <w:pPr>
              <w:jc w:val="center"/>
              <w:rPr>
                <w:rFonts w:hint="eastAsia" w:asciiTheme="minorEastAsia" w:hAnsiTheme="minorEastAsia" w:eastAsiaTheme="minorEastAsia" w:cstheme="minorEastAsia"/>
                <w:i w:val="0"/>
                <w:iCs w:val="0"/>
                <w:color w:val="auto"/>
                <w:sz w:val="21"/>
                <w:szCs w:val="21"/>
                <w:highlight w:val="none"/>
                <w:u w:val="none"/>
              </w:rPr>
            </w:pP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051B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w:t>
            </w:r>
          </w:p>
        </w:tc>
        <w:tc>
          <w:tcPr>
            <w:tcW w:w="3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E5DCC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3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8600FD">
            <w:pPr>
              <w:jc w:val="center"/>
              <w:rPr>
                <w:rFonts w:hint="eastAsia" w:asciiTheme="minorEastAsia" w:hAnsiTheme="minorEastAsia" w:eastAsiaTheme="minorEastAsia" w:cstheme="minorEastAsia"/>
                <w:i w:val="0"/>
                <w:iCs w:val="0"/>
                <w:color w:val="auto"/>
                <w:sz w:val="21"/>
                <w:szCs w:val="21"/>
                <w:highlight w:val="none"/>
                <w:u w:val="none"/>
              </w:rPr>
            </w:pPr>
          </w:p>
        </w:tc>
      </w:tr>
      <w:tr w14:paraId="48D4E8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2"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98DFA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6</w:t>
            </w:r>
          </w:p>
        </w:tc>
        <w:tc>
          <w:tcPr>
            <w:tcW w:w="11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3581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投资10000万元以上</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B48CD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20</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084C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15</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63DC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7</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4A2B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266B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w:t>
            </w:r>
          </w:p>
        </w:tc>
        <w:tc>
          <w:tcPr>
            <w:tcW w:w="3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B187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3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F71D2F">
            <w:pPr>
              <w:jc w:val="center"/>
              <w:rPr>
                <w:rFonts w:hint="eastAsia" w:asciiTheme="minorEastAsia" w:hAnsiTheme="minorEastAsia" w:eastAsiaTheme="minorEastAsia" w:cstheme="minorEastAsia"/>
                <w:i w:val="0"/>
                <w:iCs w:val="0"/>
                <w:color w:val="auto"/>
                <w:sz w:val="21"/>
                <w:szCs w:val="21"/>
                <w:highlight w:val="none"/>
                <w:u w:val="none"/>
              </w:rPr>
            </w:pPr>
          </w:p>
        </w:tc>
      </w:tr>
      <w:tr w14:paraId="446A70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2"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83A5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二</w:t>
            </w:r>
          </w:p>
        </w:tc>
        <w:tc>
          <w:tcPr>
            <w:tcW w:w="11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2F97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结算</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A6E3B">
            <w:pPr>
              <w:jc w:val="center"/>
              <w:rPr>
                <w:rFonts w:hint="eastAsia" w:asciiTheme="minorEastAsia" w:hAnsiTheme="minorEastAsia" w:eastAsiaTheme="minorEastAsia" w:cstheme="minorEastAsia"/>
                <w:i w:val="0"/>
                <w:iCs w:val="0"/>
                <w:color w:val="auto"/>
                <w:sz w:val="21"/>
                <w:szCs w:val="21"/>
                <w:highlight w:val="none"/>
                <w:u w:val="none"/>
              </w:rPr>
            </w:pP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383D2">
            <w:pPr>
              <w:jc w:val="center"/>
              <w:rPr>
                <w:rFonts w:hint="eastAsia" w:asciiTheme="minorEastAsia" w:hAnsiTheme="minorEastAsia" w:eastAsiaTheme="minorEastAsia" w:cstheme="minorEastAsia"/>
                <w:i w:val="0"/>
                <w:iCs w:val="0"/>
                <w:color w:val="auto"/>
                <w:sz w:val="21"/>
                <w:szCs w:val="21"/>
                <w:highlight w:val="none"/>
                <w:u w:val="none"/>
              </w:rPr>
            </w:pP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E5E4E">
            <w:pPr>
              <w:jc w:val="center"/>
              <w:rPr>
                <w:rFonts w:hint="eastAsia" w:asciiTheme="minorEastAsia" w:hAnsiTheme="minorEastAsia" w:eastAsiaTheme="minorEastAsia" w:cstheme="minorEastAsia"/>
                <w:i w:val="0"/>
                <w:iCs w:val="0"/>
                <w:color w:val="auto"/>
                <w:sz w:val="21"/>
                <w:szCs w:val="21"/>
                <w:highlight w:val="none"/>
                <w:u w:val="none"/>
              </w:rPr>
            </w:pP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16AD0">
            <w:pPr>
              <w:jc w:val="center"/>
              <w:rPr>
                <w:rFonts w:hint="eastAsia" w:asciiTheme="minorEastAsia" w:hAnsiTheme="minorEastAsia" w:eastAsiaTheme="minorEastAsia" w:cstheme="minorEastAsia"/>
                <w:i w:val="0"/>
                <w:iCs w:val="0"/>
                <w:color w:val="auto"/>
                <w:sz w:val="21"/>
                <w:szCs w:val="21"/>
                <w:highlight w:val="none"/>
                <w:u w:val="none"/>
              </w:rPr>
            </w:pP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4EB02">
            <w:pPr>
              <w:jc w:val="center"/>
              <w:rPr>
                <w:rFonts w:hint="eastAsia" w:asciiTheme="minorEastAsia" w:hAnsiTheme="minorEastAsia" w:eastAsiaTheme="minorEastAsia" w:cstheme="minorEastAsia"/>
                <w:i w:val="0"/>
                <w:iCs w:val="0"/>
                <w:color w:val="auto"/>
                <w:sz w:val="21"/>
                <w:szCs w:val="21"/>
                <w:highlight w:val="none"/>
                <w:u w:val="none"/>
              </w:rPr>
            </w:pPr>
          </w:p>
        </w:tc>
        <w:tc>
          <w:tcPr>
            <w:tcW w:w="3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C6F042">
            <w:pPr>
              <w:jc w:val="center"/>
              <w:rPr>
                <w:rFonts w:hint="eastAsia" w:asciiTheme="minorEastAsia" w:hAnsiTheme="minorEastAsia" w:eastAsiaTheme="minorEastAsia" w:cstheme="minorEastAsia"/>
                <w:i w:val="0"/>
                <w:iCs w:val="0"/>
                <w:color w:val="auto"/>
                <w:sz w:val="21"/>
                <w:szCs w:val="21"/>
                <w:highlight w:val="none"/>
                <w:u w:val="none"/>
              </w:rPr>
            </w:pPr>
          </w:p>
        </w:tc>
        <w:tc>
          <w:tcPr>
            <w:tcW w:w="3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46E405">
            <w:pPr>
              <w:jc w:val="center"/>
              <w:rPr>
                <w:rFonts w:hint="eastAsia" w:asciiTheme="minorEastAsia" w:hAnsiTheme="minorEastAsia" w:eastAsiaTheme="minorEastAsia" w:cstheme="minorEastAsia"/>
                <w:i w:val="0"/>
                <w:iCs w:val="0"/>
                <w:color w:val="auto"/>
                <w:sz w:val="21"/>
                <w:szCs w:val="21"/>
                <w:highlight w:val="none"/>
                <w:u w:val="none"/>
              </w:rPr>
            </w:pPr>
          </w:p>
        </w:tc>
      </w:tr>
      <w:tr w14:paraId="5E75A5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2"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FEACB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11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8B153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投资200万元以内</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ABD70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8</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014C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035EA">
            <w:pPr>
              <w:jc w:val="center"/>
              <w:rPr>
                <w:rFonts w:hint="eastAsia" w:asciiTheme="minorEastAsia" w:hAnsiTheme="minorEastAsia" w:eastAsiaTheme="minorEastAsia" w:cstheme="minorEastAsia"/>
                <w:i w:val="0"/>
                <w:iCs w:val="0"/>
                <w:color w:val="auto"/>
                <w:sz w:val="21"/>
                <w:szCs w:val="21"/>
                <w:highlight w:val="none"/>
                <w:u w:val="none"/>
              </w:rPr>
            </w:pP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14BB6">
            <w:pPr>
              <w:jc w:val="center"/>
              <w:rPr>
                <w:rFonts w:hint="eastAsia" w:asciiTheme="minorEastAsia" w:hAnsiTheme="minorEastAsia" w:eastAsiaTheme="minorEastAsia" w:cstheme="minorEastAsia"/>
                <w:i w:val="0"/>
                <w:iCs w:val="0"/>
                <w:color w:val="auto"/>
                <w:sz w:val="21"/>
                <w:szCs w:val="21"/>
                <w:highlight w:val="none"/>
                <w:u w:val="none"/>
              </w:rPr>
            </w:pP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29FB4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3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DDFB9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0.5</w:t>
            </w:r>
          </w:p>
        </w:tc>
        <w:tc>
          <w:tcPr>
            <w:tcW w:w="3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2EF613">
            <w:pPr>
              <w:jc w:val="center"/>
              <w:rPr>
                <w:rFonts w:hint="eastAsia" w:asciiTheme="minorEastAsia" w:hAnsiTheme="minorEastAsia" w:eastAsiaTheme="minorEastAsia" w:cstheme="minorEastAsia"/>
                <w:i w:val="0"/>
                <w:iCs w:val="0"/>
                <w:color w:val="auto"/>
                <w:sz w:val="21"/>
                <w:szCs w:val="21"/>
                <w:highlight w:val="none"/>
                <w:u w:val="none"/>
              </w:rPr>
            </w:pPr>
          </w:p>
        </w:tc>
      </w:tr>
      <w:tr w14:paraId="643AB6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2"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6AE4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w:t>
            </w:r>
          </w:p>
        </w:tc>
        <w:tc>
          <w:tcPr>
            <w:tcW w:w="11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58DA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投资200-1000万元</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CBF9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12</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D79B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8</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9FB8A">
            <w:pPr>
              <w:jc w:val="center"/>
              <w:rPr>
                <w:rFonts w:hint="eastAsia" w:asciiTheme="minorEastAsia" w:hAnsiTheme="minorEastAsia" w:eastAsiaTheme="minorEastAsia" w:cstheme="minorEastAsia"/>
                <w:i w:val="0"/>
                <w:iCs w:val="0"/>
                <w:color w:val="auto"/>
                <w:sz w:val="21"/>
                <w:szCs w:val="21"/>
                <w:highlight w:val="none"/>
                <w:u w:val="none"/>
              </w:rPr>
            </w:pP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7B98F">
            <w:pPr>
              <w:jc w:val="center"/>
              <w:rPr>
                <w:rFonts w:hint="eastAsia" w:asciiTheme="minorEastAsia" w:hAnsiTheme="minorEastAsia" w:eastAsiaTheme="minorEastAsia" w:cstheme="minorEastAsia"/>
                <w:i w:val="0"/>
                <w:iCs w:val="0"/>
                <w:color w:val="auto"/>
                <w:sz w:val="21"/>
                <w:szCs w:val="21"/>
                <w:highlight w:val="none"/>
                <w:u w:val="none"/>
              </w:rPr>
            </w:pP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496EB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3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EF18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0.5</w:t>
            </w:r>
          </w:p>
        </w:tc>
        <w:tc>
          <w:tcPr>
            <w:tcW w:w="3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A368B2">
            <w:pPr>
              <w:jc w:val="center"/>
              <w:rPr>
                <w:rFonts w:hint="eastAsia" w:asciiTheme="minorEastAsia" w:hAnsiTheme="minorEastAsia" w:eastAsiaTheme="minorEastAsia" w:cstheme="minorEastAsia"/>
                <w:i w:val="0"/>
                <w:iCs w:val="0"/>
                <w:color w:val="auto"/>
                <w:sz w:val="21"/>
                <w:szCs w:val="21"/>
                <w:highlight w:val="none"/>
                <w:u w:val="none"/>
              </w:rPr>
            </w:pPr>
          </w:p>
        </w:tc>
      </w:tr>
      <w:tr w14:paraId="74E66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2"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8BE1F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w:t>
            </w:r>
          </w:p>
        </w:tc>
        <w:tc>
          <w:tcPr>
            <w:tcW w:w="11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47C5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投资1000-2500万元</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B7CD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15</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4653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10</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BFF0D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7</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8555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D44F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w:t>
            </w:r>
          </w:p>
        </w:tc>
        <w:tc>
          <w:tcPr>
            <w:tcW w:w="3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0BE39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0.5</w:t>
            </w:r>
          </w:p>
        </w:tc>
        <w:tc>
          <w:tcPr>
            <w:tcW w:w="3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B60FF0">
            <w:pPr>
              <w:jc w:val="center"/>
              <w:rPr>
                <w:rFonts w:hint="eastAsia" w:asciiTheme="minorEastAsia" w:hAnsiTheme="minorEastAsia" w:eastAsiaTheme="minorEastAsia" w:cstheme="minorEastAsia"/>
                <w:i w:val="0"/>
                <w:iCs w:val="0"/>
                <w:color w:val="auto"/>
                <w:sz w:val="21"/>
                <w:szCs w:val="21"/>
                <w:highlight w:val="none"/>
                <w:u w:val="none"/>
              </w:rPr>
            </w:pPr>
          </w:p>
        </w:tc>
      </w:tr>
      <w:tr w14:paraId="3304F9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2"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59AD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w:t>
            </w:r>
          </w:p>
        </w:tc>
        <w:tc>
          <w:tcPr>
            <w:tcW w:w="11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15F1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投资2500-5000万元</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39F65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18</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3D1F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12</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9379E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9</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0623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6</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ABB1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w:t>
            </w:r>
          </w:p>
        </w:tc>
        <w:tc>
          <w:tcPr>
            <w:tcW w:w="3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19169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0.5</w:t>
            </w:r>
          </w:p>
        </w:tc>
        <w:tc>
          <w:tcPr>
            <w:tcW w:w="3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3F4568">
            <w:pPr>
              <w:jc w:val="center"/>
              <w:rPr>
                <w:rFonts w:hint="eastAsia" w:asciiTheme="minorEastAsia" w:hAnsiTheme="minorEastAsia" w:eastAsiaTheme="minorEastAsia" w:cstheme="minorEastAsia"/>
                <w:i w:val="0"/>
                <w:iCs w:val="0"/>
                <w:color w:val="auto"/>
                <w:sz w:val="21"/>
                <w:szCs w:val="21"/>
                <w:highlight w:val="none"/>
                <w:u w:val="none"/>
              </w:rPr>
            </w:pPr>
          </w:p>
        </w:tc>
      </w:tr>
      <w:tr w14:paraId="6C5335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2"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F2F7A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w:t>
            </w:r>
          </w:p>
        </w:tc>
        <w:tc>
          <w:tcPr>
            <w:tcW w:w="11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B4B73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投资5000-7500万元</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C16C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20</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4A958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15</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6E8DC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12</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A96B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8</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BBA56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w:t>
            </w:r>
          </w:p>
        </w:tc>
        <w:tc>
          <w:tcPr>
            <w:tcW w:w="3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806D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3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88DE37">
            <w:pPr>
              <w:jc w:val="center"/>
              <w:rPr>
                <w:rFonts w:hint="eastAsia" w:asciiTheme="minorEastAsia" w:hAnsiTheme="minorEastAsia" w:eastAsiaTheme="minorEastAsia" w:cstheme="minorEastAsia"/>
                <w:i w:val="0"/>
                <w:iCs w:val="0"/>
                <w:color w:val="auto"/>
                <w:sz w:val="21"/>
                <w:szCs w:val="21"/>
                <w:highlight w:val="none"/>
                <w:u w:val="none"/>
              </w:rPr>
            </w:pPr>
          </w:p>
        </w:tc>
      </w:tr>
      <w:tr w14:paraId="4F4F69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2"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6CFA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6</w:t>
            </w:r>
          </w:p>
        </w:tc>
        <w:tc>
          <w:tcPr>
            <w:tcW w:w="11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D6D9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投资7500-10000万元</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AFA8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24</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30C5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15</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0DCB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13</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C9A57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8</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A65B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w:t>
            </w:r>
          </w:p>
        </w:tc>
        <w:tc>
          <w:tcPr>
            <w:tcW w:w="3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FB60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3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5ECECD">
            <w:pPr>
              <w:jc w:val="center"/>
              <w:rPr>
                <w:rFonts w:hint="eastAsia" w:asciiTheme="minorEastAsia" w:hAnsiTheme="minorEastAsia" w:eastAsiaTheme="minorEastAsia" w:cstheme="minorEastAsia"/>
                <w:i w:val="0"/>
                <w:iCs w:val="0"/>
                <w:color w:val="auto"/>
                <w:sz w:val="21"/>
                <w:szCs w:val="21"/>
                <w:highlight w:val="none"/>
                <w:u w:val="none"/>
              </w:rPr>
            </w:pPr>
          </w:p>
        </w:tc>
      </w:tr>
      <w:tr w14:paraId="5F98F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444F3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7</w:t>
            </w:r>
          </w:p>
        </w:tc>
        <w:tc>
          <w:tcPr>
            <w:tcW w:w="11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1824B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投资10000万元以上</w:t>
            </w:r>
          </w:p>
        </w:tc>
        <w:tc>
          <w:tcPr>
            <w:tcW w:w="5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7D1C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27</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987FC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18</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73376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15</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7A99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10</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0C12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w:t>
            </w:r>
          </w:p>
        </w:tc>
        <w:tc>
          <w:tcPr>
            <w:tcW w:w="3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6ED9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3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D939D1">
            <w:pPr>
              <w:jc w:val="center"/>
              <w:rPr>
                <w:rFonts w:hint="eastAsia" w:asciiTheme="minorEastAsia" w:hAnsiTheme="minorEastAsia" w:eastAsiaTheme="minorEastAsia" w:cstheme="minorEastAsia"/>
                <w:i w:val="0"/>
                <w:iCs w:val="0"/>
                <w:color w:val="auto"/>
                <w:sz w:val="21"/>
                <w:szCs w:val="21"/>
                <w:highlight w:val="none"/>
                <w:u w:val="none"/>
              </w:rPr>
            </w:pPr>
          </w:p>
        </w:tc>
      </w:tr>
    </w:tbl>
    <w:p w14:paraId="0F614D50">
      <w:pPr>
        <w:pStyle w:val="2"/>
        <w:ind w:left="0" w:leftChars="0" w:firstLine="0" w:firstLineChars="0"/>
        <w:rPr>
          <w:color w:val="auto"/>
          <w:highlight w:val="none"/>
        </w:rPr>
      </w:pPr>
      <w:bookmarkStart w:id="2" w:name="_GoBack"/>
      <w:bookmarkEnd w:id="2"/>
    </w:p>
    <w:sectPr>
      <w:pgSz w:w="11906" w:h="16838"/>
      <w:pgMar w:top="1417" w:right="1701" w:bottom="1417" w:left="1701"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7A"/>
    <w:family w:val="roma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auto"/>
    <w:pitch w:val="default"/>
    <w:sig w:usb0="00000000" w:usb1="00000000" w:usb2="00000000" w:usb3="00000000" w:csb0="00040000" w:csb1="00000000"/>
  </w:font>
  <w:font w:name="方正小标宋_GBK">
    <w:altName w:val="Arial Unicode MS"/>
    <w:panose1 w:val="03000509000000000000"/>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55ABF7">
    <w:pPr>
      <w:pStyle w:val="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01E022">
                          <w:pPr>
                            <w:pStyle w:val="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601E022">
                    <w:pPr>
                      <w:pStyle w:val="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50E3F8">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5F65C42">
                          <w:pPr>
                            <w:pStyle w:val="4"/>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55F65C42">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96AD38"/>
    <w:multiLevelType w:val="singleLevel"/>
    <w:tmpl w:val="D196AD38"/>
    <w:lvl w:ilvl="0" w:tentative="0">
      <w:start w:val="1"/>
      <w:numFmt w:val="chineseCounting"/>
      <w:suff w:val="space"/>
      <w:lvlText w:val="第%1部分"/>
      <w:lvlJc w:val="left"/>
      <w:pPr>
        <w:ind w:left="525" w:firstLine="0"/>
      </w:pPr>
      <w:rPr>
        <w:rFonts w:hint="eastAsia"/>
      </w:rPr>
    </w:lvl>
  </w:abstractNum>
  <w:abstractNum w:abstractNumId="1">
    <w:nsid w:val="42D6131A"/>
    <w:multiLevelType w:val="singleLevel"/>
    <w:tmpl w:val="42D6131A"/>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RhNmZkNGQ4MjQ2NTg1ZDAxYjZhNGRkZTFhMDZlM2MifQ=="/>
  </w:docVars>
  <w:rsids>
    <w:rsidRoot w:val="1838780B"/>
    <w:rsid w:val="00070218"/>
    <w:rsid w:val="00111B00"/>
    <w:rsid w:val="0011250E"/>
    <w:rsid w:val="001248AE"/>
    <w:rsid w:val="00142265"/>
    <w:rsid w:val="00180CFF"/>
    <w:rsid w:val="001E3579"/>
    <w:rsid w:val="0025614D"/>
    <w:rsid w:val="00280EF4"/>
    <w:rsid w:val="002C6491"/>
    <w:rsid w:val="00344A60"/>
    <w:rsid w:val="0035725B"/>
    <w:rsid w:val="0036568B"/>
    <w:rsid w:val="00366DFE"/>
    <w:rsid w:val="003B11F6"/>
    <w:rsid w:val="003B4D90"/>
    <w:rsid w:val="003C1C32"/>
    <w:rsid w:val="003C2ADA"/>
    <w:rsid w:val="003D700C"/>
    <w:rsid w:val="003E206D"/>
    <w:rsid w:val="00471F3B"/>
    <w:rsid w:val="004B34D3"/>
    <w:rsid w:val="004D00D6"/>
    <w:rsid w:val="004F1244"/>
    <w:rsid w:val="005109EF"/>
    <w:rsid w:val="00537263"/>
    <w:rsid w:val="0055686D"/>
    <w:rsid w:val="00567441"/>
    <w:rsid w:val="00572F23"/>
    <w:rsid w:val="0057465F"/>
    <w:rsid w:val="005A7AA6"/>
    <w:rsid w:val="005C49BC"/>
    <w:rsid w:val="005C54CB"/>
    <w:rsid w:val="005C5985"/>
    <w:rsid w:val="005D64E7"/>
    <w:rsid w:val="00650AE5"/>
    <w:rsid w:val="00667285"/>
    <w:rsid w:val="006870A5"/>
    <w:rsid w:val="006D7145"/>
    <w:rsid w:val="00711BE9"/>
    <w:rsid w:val="00727CC6"/>
    <w:rsid w:val="00733601"/>
    <w:rsid w:val="007437FD"/>
    <w:rsid w:val="00785CA3"/>
    <w:rsid w:val="00793A5E"/>
    <w:rsid w:val="007B3A4B"/>
    <w:rsid w:val="007D2F9E"/>
    <w:rsid w:val="007F5BCC"/>
    <w:rsid w:val="00802775"/>
    <w:rsid w:val="00804A54"/>
    <w:rsid w:val="0082437E"/>
    <w:rsid w:val="008A4B66"/>
    <w:rsid w:val="008A75A3"/>
    <w:rsid w:val="00917B2C"/>
    <w:rsid w:val="0094161E"/>
    <w:rsid w:val="009853CB"/>
    <w:rsid w:val="00993039"/>
    <w:rsid w:val="009A3AB6"/>
    <w:rsid w:val="009B2A2A"/>
    <w:rsid w:val="009D11EA"/>
    <w:rsid w:val="009F34CE"/>
    <w:rsid w:val="00A30077"/>
    <w:rsid w:val="00A55910"/>
    <w:rsid w:val="00AC4938"/>
    <w:rsid w:val="00AD4A56"/>
    <w:rsid w:val="00AE3C9A"/>
    <w:rsid w:val="00B153DA"/>
    <w:rsid w:val="00B47305"/>
    <w:rsid w:val="00B57474"/>
    <w:rsid w:val="00B57749"/>
    <w:rsid w:val="00B945DC"/>
    <w:rsid w:val="00BC74D2"/>
    <w:rsid w:val="00BE34D0"/>
    <w:rsid w:val="00BF0F44"/>
    <w:rsid w:val="00BF2D67"/>
    <w:rsid w:val="00BF7DB3"/>
    <w:rsid w:val="00C02A09"/>
    <w:rsid w:val="00C152FA"/>
    <w:rsid w:val="00C43756"/>
    <w:rsid w:val="00C7440A"/>
    <w:rsid w:val="00C868FE"/>
    <w:rsid w:val="00C92997"/>
    <w:rsid w:val="00CE3239"/>
    <w:rsid w:val="00CF4D33"/>
    <w:rsid w:val="00D83833"/>
    <w:rsid w:val="00D869E7"/>
    <w:rsid w:val="00DA6B4D"/>
    <w:rsid w:val="00DE12D9"/>
    <w:rsid w:val="00E155ED"/>
    <w:rsid w:val="00E210CD"/>
    <w:rsid w:val="00E448B4"/>
    <w:rsid w:val="00E531EF"/>
    <w:rsid w:val="00E64065"/>
    <w:rsid w:val="00EC46A2"/>
    <w:rsid w:val="00EF2B57"/>
    <w:rsid w:val="00F00108"/>
    <w:rsid w:val="00F02488"/>
    <w:rsid w:val="00F03A5D"/>
    <w:rsid w:val="00F0629B"/>
    <w:rsid w:val="00F1775D"/>
    <w:rsid w:val="00F30389"/>
    <w:rsid w:val="00F941C0"/>
    <w:rsid w:val="00FB1643"/>
    <w:rsid w:val="00FB4A50"/>
    <w:rsid w:val="00FC48AF"/>
    <w:rsid w:val="01727A38"/>
    <w:rsid w:val="01EA46B0"/>
    <w:rsid w:val="03694689"/>
    <w:rsid w:val="04E55CB4"/>
    <w:rsid w:val="04FB7A55"/>
    <w:rsid w:val="058938A1"/>
    <w:rsid w:val="05DF5422"/>
    <w:rsid w:val="05E03446"/>
    <w:rsid w:val="05F0454A"/>
    <w:rsid w:val="06C75DCB"/>
    <w:rsid w:val="076A3DB7"/>
    <w:rsid w:val="07FA4E5D"/>
    <w:rsid w:val="09367BAA"/>
    <w:rsid w:val="09C21F8A"/>
    <w:rsid w:val="0A184184"/>
    <w:rsid w:val="0A2A37A7"/>
    <w:rsid w:val="0A64315D"/>
    <w:rsid w:val="0ACF0042"/>
    <w:rsid w:val="0BA16B7E"/>
    <w:rsid w:val="0BBC3449"/>
    <w:rsid w:val="0C763E37"/>
    <w:rsid w:val="0D7A285A"/>
    <w:rsid w:val="0ED34B5C"/>
    <w:rsid w:val="0F087587"/>
    <w:rsid w:val="0F0E2EB6"/>
    <w:rsid w:val="10B12F22"/>
    <w:rsid w:val="11E91FCE"/>
    <w:rsid w:val="135903C6"/>
    <w:rsid w:val="138B5351"/>
    <w:rsid w:val="14944438"/>
    <w:rsid w:val="14F40215"/>
    <w:rsid w:val="164367A5"/>
    <w:rsid w:val="16AB29FA"/>
    <w:rsid w:val="16FF4CA3"/>
    <w:rsid w:val="1838780B"/>
    <w:rsid w:val="1A1255BC"/>
    <w:rsid w:val="1A6C5BF9"/>
    <w:rsid w:val="1A824C7F"/>
    <w:rsid w:val="1DE74BCC"/>
    <w:rsid w:val="1EA858F8"/>
    <w:rsid w:val="1FD07C43"/>
    <w:rsid w:val="20982EE7"/>
    <w:rsid w:val="215E76D6"/>
    <w:rsid w:val="221516E8"/>
    <w:rsid w:val="23A71E8C"/>
    <w:rsid w:val="254A6E9C"/>
    <w:rsid w:val="25A87AAC"/>
    <w:rsid w:val="268D0EEE"/>
    <w:rsid w:val="29C9741A"/>
    <w:rsid w:val="2B2D515D"/>
    <w:rsid w:val="2B4E2C5C"/>
    <w:rsid w:val="2BD429A1"/>
    <w:rsid w:val="2CE21075"/>
    <w:rsid w:val="2E3B5152"/>
    <w:rsid w:val="2E704C40"/>
    <w:rsid w:val="2F4A6B22"/>
    <w:rsid w:val="2FFB033A"/>
    <w:rsid w:val="300715A7"/>
    <w:rsid w:val="3029612C"/>
    <w:rsid w:val="3115045E"/>
    <w:rsid w:val="318C7288"/>
    <w:rsid w:val="31F60327"/>
    <w:rsid w:val="324B0C9C"/>
    <w:rsid w:val="33DF0745"/>
    <w:rsid w:val="34270CD4"/>
    <w:rsid w:val="35004888"/>
    <w:rsid w:val="35106512"/>
    <w:rsid w:val="35345090"/>
    <w:rsid w:val="3540787D"/>
    <w:rsid w:val="35850D2D"/>
    <w:rsid w:val="35B23F4A"/>
    <w:rsid w:val="36DB5575"/>
    <w:rsid w:val="37B02F5A"/>
    <w:rsid w:val="38C93665"/>
    <w:rsid w:val="38D62BC9"/>
    <w:rsid w:val="38E452E6"/>
    <w:rsid w:val="39CE564E"/>
    <w:rsid w:val="3A2D5EFD"/>
    <w:rsid w:val="3AC61A8F"/>
    <w:rsid w:val="3AD01494"/>
    <w:rsid w:val="3C1E4D42"/>
    <w:rsid w:val="3C407220"/>
    <w:rsid w:val="3C6015C4"/>
    <w:rsid w:val="3E43342C"/>
    <w:rsid w:val="3EA71327"/>
    <w:rsid w:val="3FF1246B"/>
    <w:rsid w:val="420632EB"/>
    <w:rsid w:val="42400018"/>
    <w:rsid w:val="42811D55"/>
    <w:rsid w:val="42BE771E"/>
    <w:rsid w:val="42F44854"/>
    <w:rsid w:val="43BA7AD7"/>
    <w:rsid w:val="43E94449"/>
    <w:rsid w:val="43F65ECD"/>
    <w:rsid w:val="45B409B0"/>
    <w:rsid w:val="45BD7EF6"/>
    <w:rsid w:val="46214B2B"/>
    <w:rsid w:val="464B69A4"/>
    <w:rsid w:val="46A979DA"/>
    <w:rsid w:val="473A367A"/>
    <w:rsid w:val="48541AFE"/>
    <w:rsid w:val="4A2F72AA"/>
    <w:rsid w:val="4BB42BCC"/>
    <w:rsid w:val="4C1031D9"/>
    <w:rsid w:val="4D0E15A4"/>
    <w:rsid w:val="4D1A48E6"/>
    <w:rsid w:val="529A5CCC"/>
    <w:rsid w:val="53762D33"/>
    <w:rsid w:val="548F4B2E"/>
    <w:rsid w:val="558A393D"/>
    <w:rsid w:val="56F41A98"/>
    <w:rsid w:val="582C425F"/>
    <w:rsid w:val="59003E14"/>
    <w:rsid w:val="595520EE"/>
    <w:rsid w:val="597247E0"/>
    <w:rsid w:val="59CB107D"/>
    <w:rsid w:val="5AF55909"/>
    <w:rsid w:val="5B7D1826"/>
    <w:rsid w:val="5BF4276A"/>
    <w:rsid w:val="5C19424A"/>
    <w:rsid w:val="5C48190D"/>
    <w:rsid w:val="5C5B792B"/>
    <w:rsid w:val="5C764DDE"/>
    <w:rsid w:val="5CDC258D"/>
    <w:rsid w:val="5D7B386B"/>
    <w:rsid w:val="5D9F27A5"/>
    <w:rsid w:val="5E66256E"/>
    <w:rsid w:val="5ED84354"/>
    <w:rsid w:val="5EDA10A2"/>
    <w:rsid w:val="5EDB5797"/>
    <w:rsid w:val="60235D47"/>
    <w:rsid w:val="60311004"/>
    <w:rsid w:val="60A835B8"/>
    <w:rsid w:val="61BB4A60"/>
    <w:rsid w:val="61DD059C"/>
    <w:rsid w:val="61EA4C49"/>
    <w:rsid w:val="624D3A11"/>
    <w:rsid w:val="63783A65"/>
    <w:rsid w:val="63D239C8"/>
    <w:rsid w:val="63DE27AE"/>
    <w:rsid w:val="64267D4F"/>
    <w:rsid w:val="65E9231B"/>
    <w:rsid w:val="66CA4C9A"/>
    <w:rsid w:val="685655D7"/>
    <w:rsid w:val="686D205F"/>
    <w:rsid w:val="6A465168"/>
    <w:rsid w:val="6B81166C"/>
    <w:rsid w:val="6D442A35"/>
    <w:rsid w:val="6E693010"/>
    <w:rsid w:val="6E7C6FFB"/>
    <w:rsid w:val="6F372A02"/>
    <w:rsid w:val="6F426814"/>
    <w:rsid w:val="703B08C1"/>
    <w:rsid w:val="7065065C"/>
    <w:rsid w:val="71966632"/>
    <w:rsid w:val="728F720D"/>
    <w:rsid w:val="73310678"/>
    <w:rsid w:val="76D971CF"/>
    <w:rsid w:val="77100FCB"/>
    <w:rsid w:val="772A6DDD"/>
    <w:rsid w:val="77B77AB9"/>
    <w:rsid w:val="77DE7F67"/>
    <w:rsid w:val="78D9784B"/>
    <w:rsid w:val="78DA16C4"/>
    <w:rsid w:val="7A4D4FF5"/>
    <w:rsid w:val="7B340319"/>
    <w:rsid w:val="7B56306A"/>
    <w:rsid w:val="7BCF183B"/>
    <w:rsid w:val="7C4E2200"/>
    <w:rsid w:val="7CA552F2"/>
    <w:rsid w:val="7D0C03BB"/>
    <w:rsid w:val="7E992631"/>
    <w:rsid w:val="7FD41D1D"/>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ocked="1"/>
    <w:lsdException w:qFormat="1" w:uiPriority="9" w:name="heading 2" w:locked="1"/>
    <w:lsdException w:qFormat="1" w:uiPriority="9" w:name="heading 3" w:locked="1"/>
    <w:lsdException w:qFormat="1" w:uiPriority="9" w:name="heading 4" w:locked="1"/>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iPriority="39" w:name="toc 1" w:locked="1"/>
    <w:lsdException w:uiPriority="39" w:name="toc 2" w:locked="1"/>
    <w:lsdException w:uiPriority="39"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uiPriority="99" w:name="annotation text" w:locked="1"/>
    <w:lsdException w:qFormat="1" w:uiPriority="99" w:name="header" w:locked="1"/>
    <w:lsdException w:qFormat="1" w:unhideWhenUsed="0" w:uiPriority="0" w:semiHidden="0" w:name="footer" w:locked="1"/>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uiPriority="99" w:name="page number" w:locked="1"/>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ocked="1"/>
    <w:lsdException w:uiPriority="99" w:name="Closing" w:locked="1"/>
    <w:lsdException w:uiPriority="99" w:name="Signature" w:locked="1"/>
    <w:lsdException w:qFormat="1" w:unhideWhenUsed="0" w:uiPriority="99" w:name="Default Paragraph Font"/>
    <w:lsdException w:uiPriority="99" w:name="Body Text" w:locked="1"/>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uiPriority="99" w:name="Date" w:locked="1"/>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uiPriority="99" w:name="Hyperlink" w:locked="1"/>
    <w:lsdException w:uiPriority="99" w:name="FollowedHyperlink" w:locked="1"/>
    <w:lsdException w:qFormat="1" w:unhideWhenUsed="0" w:uiPriority="22" w:semiHidden="0" w:name="Strong" w:locked="1"/>
    <w:lsdException w:qFormat="1" w:unhideWhenUsed="0" w:uiPriority="20" w:semiHidden="0" w:name="Emphasis" w:locked="1"/>
    <w:lsdException w:uiPriority="99" w:name="Document Map" w:locked="1"/>
    <w:lsdException w:qFormat="1" w:unhideWhenUsed="0" w:uiPriority="99" w:semiHidden="0" w:name="Plain Text"/>
    <w:lsdException w:uiPriority="99" w:name="E-mail Signature" w:locked="1"/>
    <w:lsdException w:uiPriority="99" w:name="Normal (Web)" w:locked="1"/>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uiPriority="99" w:name="Balloon Text" w:locked="1"/>
    <w:lsdException w:unhideWhenUsed="0" w:uiPriority="59" w:semiHidden="0" w:name="Table Grid" w:locked="1"/>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99"/>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1"/>
    <w:autoRedefine/>
    <w:qFormat/>
    <w:uiPriority w:val="99"/>
    <w:pPr>
      <w:ind w:firstLine="420"/>
    </w:pPr>
  </w:style>
  <w:style w:type="paragraph" w:styleId="3">
    <w:name w:val="Plain Text"/>
    <w:basedOn w:val="1"/>
    <w:link w:val="8"/>
    <w:autoRedefine/>
    <w:qFormat/>
    <w:uiPriority w:val="99"/>
    <w:rPr>
      <w:rFonts w:ascii="宋体" w:hAnsi="Courier New"/>
    </w:rPr>
  </w:style>
  <w:style w:type="paragraph" w:styleId="4">
    <w:name w:val="footer"/>
    <w:basedOn w:val="1"/>
    <w:qFormat/>
    <w:locked/>
    <w:uiPriority w:val="0"/>
    <w:pPr>
      <w:tabs>
        <w:tab w:val="center" w:pos="4153"/>
        <w:tab w:val="right" w:pos="8306"/>
      </w:tabs>
      <w:snapToGrid w:val="0"/>
      <w:jc w:val="left"/>
    </w:pPr>
    <w:rPr>
      <w:sz w:val="18"/>
    </w:rPr>
  </w:style>
  <w:style w:type="paragraph" w:styleId="5">
    <w:name w:val="header"/>
    <w:basedOn w:val="1"/>
    <w:semiHidden/>
    <w:unhideWhenUsed/>
    <w:qFormat/>
    <w:lock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customStyle="1" w:styleId="8">
    <w:name w:val="Plain Text Char"/>
    <w:basedOn w:val="7"/>
    <w:link w:val="3"/>
    <w:autoRedefine/>
    <w:semiHidden/>
    <w:qFormat/>
    <w:locked/>
    <w:uiPriority w:val="99"/>
    <w:rPr>
      <w:rFonts w:ascii="宋体" w:hAnsi="Courier New" w:cs="Times New Roman"/>
      <w:sz w:val="21"/>
      <w:szCs w:val="21"/>
    </w:rPr>
  </w:style>
  <w:style w:type="paragraph" w:customStyle="1" w:styleId="9">
    <w:name w:val="Normal Indent1"/>
    <w:basedOn w:val="10"/>
    <w:autoRedefine/>
    <w:qFormat/>
    <w:uiPriority w:val="99"/>
    <w:pPr>
      <w:ind w:firstLine="420"/>
    </w:pPr>
  </w:style>
  <w:style w:type="paragraph" w:customStyle="1" w:styleId="10">
    <w:name w:val="正文 New"/>
    <w:next w:val="9"/>
    <w:autoRedefine/>
    <w:qFormat/>
    <w:uiPriority w:val="99"/>
    <w:pPr>
      <w:widowControl w:val="0"/>
      <w:jc w:val="both"/>
    </w:pPr>
    <w:rPr>
      <w:rFonts w:ascii="Times New Roman" w:hAnsi="Times New Roman" w:eastAsia="宋体" w:cs="Times New Roman"/>
      <w:kern w:val="2"/>
      <w:sz w:val="21"/>
      <w:szCs w:val="24"/>
      <w:lang w:val="en-US" w:eastAsia="zh-CN" w:bidi="ar-SA"/>
    </w:rPr>
  </w:style>
  <w:style w:type="character" w:customStyle="1" w:styleId="11">
    <w:name w:val="font91"/>
    <w:basedOn w:val="7"/>
    <w:autoRedefine/>
    <w:qFormat/>
    <w:uiPriority w:val="0"/>
    <w:rPr>
      <w:rFonts w:hint="eastAsia" w:ascii="宋体" w:hAnsi="宋体" w:eastAsia="宋体" w:cs="宋体"/>
      <w:b/>
      <w:bCs/>
      <w:color w:val="000000"/>
      <w:sz w:val="44"/>
      <w:szCs w:val="44"/>
      <w:u w:val="none"/>
    </w:rPr>
  </w:style>
  <w:style w:type="character" w:customStyle="1" w:styleId="12">
    <w:name w:val="font31"/>
    <w:basedOn w:val="7"/>
    <w:qFormat/>
    <w:uiPriority w:val="0"/>
    <w:rPr>
      <w:rFonts w:hint="eastAsia" w:ascii="仿宋" w:hAnsi="仿宋" w:eastAsia="仿宋" w:cs="仿宋"/>
      <w:color w:val="000000"/>
      <w:sz w:val="20"/>
      <w:szCs w:val="20"/>
      <w:u w:val="none"/>
    </w:rPr>
  </w:style>
  <w:style w:type="character" w:customStyle="1" w:styleId="13">
    <w:name w:val="font61"/>
    <w:basedOn w:val="7"/>
    <w:qFormat/>
    <w:uiPriority w:val="0"/>
    <w:rPr>
      <w:rFonts w:ascii="华文中宋" w:hAnsi="华文中宋" w:eastAsia="华文中宋" w:cs="华文中宋"/>
      <w:color w:val="000000"/>
      <w:sz w:val="20"/>
      <w:szCs w:val="20"/>
      <w:u w:val="none"/>
    </w:rPr>
  </w:style>
  <w:style w:type="character" w:customStyle="1" w:styleId="14">
    <w:name w:val="font71"/>
    <w:basedOn w:val="7"/>
    <w:qFormat/>
    <w:uiPriority w:val="0"/>
    <w:rPr>
      <w:rFonts w:hint="eastAsia" w:ascii="仿宋" w:hAnsi="仿宋" w:eastAsia="仿宋" w:cs="仿宋"/>
      <w:color w:val="000000"/>
      <w:sz w:val="20"/>
      <w:szCs w:val="20"/>
      <w:u w:val="single"/>
    </w:rPr>
  </w:style>
  <w:style w:type="character" w:customStyle="1" w:styleId="15">
    <w:name w:val="font51"/>
    <w:basedOn w:val="7"/>
    <w:qFormat/>
    <w:uiPriority w:val="0"/>
    <w:rPr>
      <w:rFonts w:hint="eastAsia" w:ascii="仿宋" w:hAnsi="仿宋" w:eastAsia="仿宋" w:cs="仿宋"/>
      <w:b/>
      <w:bCs/>
      <w:color w:val="000000"/>
      <w:sz w:val="20"/>
      <w:szCs w:val="20"/>
      <w:u w:val="none"/>
    </w:rPr>
  </w:style>
  <w:style w:type="character" w:customStyle="1" w:styleId="16">
    <w:name w:val="font41"/>
    <w:basedOn w:val="7"/>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Pages>24</Pages>
  <Words>5357</Words>
  <Characters>5710</Characters>
  <Lines>0</Lines>
  <Paragraphs>0</Paragraphs>
  <TotalTime>48</TotalTime>
  <ScaleCrop>false</ScaleCrop>
  <LinksUpToDate>false</LinksUpToDate>
  <CharactersWithSpaces>5733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2019-09-08T11:12:00Z</dcterms:created>
  <dc:creator>Administrator</dc:creator>
  <cp:lastModifiedBy>饭团</cp:lastModifiedBy>
  <cp:lastPrinted>2026-08-04T07:04:00Z</cp:lastPrinted>
  <dcterms:modified xsi:type="dcterms:W3CDTF">2026-08-21T08:30:57Z</dcterms:modified>
  <cp:revision>88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C54E3A4C7D7D4773A08578DDC6902AC0_13</vt:lpwstr>
  </property>
  <property fmtid="{D5CDD505-2E9C-101B-9397-08002B2CF9AE}" pid="4" name="KSOTemplateDocerSaveRecord">
    <vt:lpwstr>eyJoZGlkIjoiNGNmYTUzMjYzNTZkOTU5YzgyMGNiOGM5NWUzYjkwY2IiLCJ1c2VySWQiOiI0NjI0MTEyNDcifQ==</vt:lpwstr>
  </property>
</Properties>
</file>