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9D990E">
      <w:pPr>
        <w:pStyle w:val="9"/>
        <w:jc w:val="center"/>
        <w:outlineLvl w:val="1"/>
        <w:rPr>
          <w:rFonts w:hint="default"/>
          <w:color w:val="auto"/>
          <w:highlight w:val="none"/>
        </w:rPr>
      </w:pPr>
      <w:r>
        <w:rPr>
          <w:b/>
          <w:color w:val="auto"/>
          <w:sz w:val="36"/>
          <w:highlight w:val="none"/>
        </w:rPr>
        <w:t>第二章 采购需求</w:t>
      </w:r>
    </w:p>
    <w:p w14:paraId="4C3291B9">
      <w:pPr>
        <w:pStyle w:val="9"/>
        <w:outlineLvl w:val="2"/>
        <w:rPr>
          <w:rFonts w:hint="default"/>
          <w:color w:val="auto"/>
          <w:highlight w:val="none"/>
        </w:rPr>
      </w:pPr>
      <w:r>
        <w:rPr>
          <w:b/>
          <w:color w:val="auto"/>
          <w:sz w:val="28"/>
          <w:highlight w:val="none"/>
        </w:rPr>
        <w:t>一、项目概况：</w:t>
      </w:r>
    </w:p>
    <w:p w14:paraId="67919011">
      <w:pPr>
        <w:pStyle w:val="2"/>
        <w:keepLines w:val="0"/>
        <w:numPr>
          <w:ilvl w:val="255"/>
          <w:numId w:val="0"/>
        </w:numPr>
        <w:adjustRightInd w:val="0"/>
        <w:snapToGrid w:val="0"/>
        <w:spacing w:before="0" w:after="0"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1.项目属性：服务类</w:t>
      </w:r>
    </w:p>
    <w:p w14:paraId="3ABBFCC8">
      <w:pPr>
        <w:pStyle w:val="10"/>
        <w:ind w:firstLine="480"/>
        <w:rPr>
          <w:rFonts w:ascii="仿宋_GB2312" w:eastAsia="仿宋_GB2312"/>
          <w:color w:val="auto"/>
          <w:szCs w:val="24"/>
          <w:highlight w:val="none"/>
        </w:rPr>
      </w:pPr>
      <w:r>
        <w:rPr>
          <w:rFonts w:hint="eastAsia" w:ascii="仿宋_GB2312" w:eastAsia="仿宋_GB2312"/>
          <w:color w:val="auto"/>
          <w:szCs w:val="24"/>
          <w:highlight w:val="none"/>
        </w:rPr>
        <w:t>★本次采购产品为非进口产品（进口产品指通过中国海关报关验放进入中国境内且产自关境外的产品）。</w:t>
      </w:r>
    </w:p>
    <w:p w14:paraId="67E283A3">
      <w:pPr>
        <w:pStyle w:val="10"/>
        <w:ind w:firstLine="480"/>
        <w:rPr>
          <w:rFonts w:ascii="仿宋_GB2312" w:eastAsia="仿宋_GB2312"/>
          <w:color w:val="auto"/>
          <w:szCs w:val="24"/>
          <w:highlight w:val="none"/>
        </w:rPr>
      </w:pPr>
      <w:r>
        <w:rPr>
          <w:rFonts w:hint="eastAsia" w:ascii="仿宋_GB2312" w:eastAsia="仿宋_GB2312"/>
          <w:color w:val="auto"/>
          <w:szCs w:val="24"/>
          <w:highlight w:val="none"/>
        </w:rPr>
        <w:t>★凡属于《中华人民共和国实施强制性产品认证的产品目录》的产品，请参选供应商在投标文件中承诺在交货时提供该产品的“中国强制性产品认证”（CCC认证）证书。</w:t>
      </w:r>
    </w:p>
    <w:p w14:paraId="0B7B7278">
      <w:pPr>
        <w:pStyle w:val="10"/>
        <w:ind w:firstLine="480"/>
        <w:rPr>
          <w:rFonts w:ascii="仿宋_GB2312" w:eastAsia="仿宋_GB2312"/>
          <w:color w:val="auto"/>
          <w:szCs w:val="24"/>
          <w:highlight w:val="none"/>
        </w:rPr>
      </w:pPr>
      <w:r>
        <w:rPr>
          <w:rFonts w:hint="eastAsia" w:ascii="仿宋_GB2312" w:eastAsia="仿宋_GB2312"/>
          <w:color w:val="auto"/>
          <w:szCs w:val="24"/>
          <w:highlight w:val="none"/>
        </w:rPr>
        <w:t>★投标人承诺中标后应按照《中华人民共和国劳动法》的相关规定发放工资，服务人员工资不得低于广州市企业职工最低工资标准（工资不含按国家规定供应商必须支付的社会保险及其他应付费用）（提供承诺函，格式自拟）。</w:t>
      </w:r>
    </w:p>
    <w:p w14:paraId="0C5AF288">
      <w:pPr>
        <w:pStyle w:val="10"/>
        <w:ind w:firstLine="480"/>
        <w:rPr>
          <w:rFonts w:ascii="仿宋_GB2312" w:eastAsia="仿宋_GB2312"/>
          <w:color w:val="auto"/>
          <w:szCs w:val="24"/>
          <w:highlight w:val="none"/>
        </w:rPr>
      </w:pPr>
      <w:r>
        <w:rPr>
          <w:rFonts w:hint="eastAsia" w:ascii="仿宋_GB2312" w:eastAsia="仿宋_GB2312"/>
          <w:color w:val="auto"/>
          <w:szCs w:val="24"/>
          <w:highlight w:val="none"/>
        </w:rPr>
        <w:t>★投标人承诺中标后应按照《中华人民共和国社会保险法》和《住房公积金管理条例》的相关规定，支付国家规定必须购买的社会保险费用和缴存住房公积金（提供承诺函，格式自拟）</w:t>
      </w:r>
    </w:p>
    <w:p w14:paraId="3B299303">
      <w:pPr>
        <w:pStyle w:val="2"/>
        <w:keepLines w:val="0"/>
        <w:numPr>
          <w:ilvl w:val="255"/>
          <w:numId w:val="0"/>
        </w:numPr>
        <w:adjustRightInd w:val="0"/>
        <w:snapToGrid w:val="0"/>
        <w:spacing w:before="0" w:after="0"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2.采购预算</w:t>
      </w:r>
    </w:p>
    <w:p w14:paraId="0792524E">
      <w:pPr>
        <w:pStyle w:val="10"/>
        <w:ind w:firstLine="480"/>
        <w:rPr>
          <w:rFonts w:ascii="仿宋_GB2312" w:eastAsia="仿宋_GB2312"/>
          <w:color w:val="auto"/>
          <w:szCs w:val="24"/>
          <w:highlight w:val="none"/>
        </w:rPr>
      </w:pPr>
      <w:r>
        <w:rPr>
          <w:rFonts w:hint="eastAsia" w:ascii="仿宋_GB2312" w:eastAsia="仿宋_GB2312"/>
          <w:color w:val="auto"/>
          <w:szCs w:val="24"/>
          <w:highlight w:val="none"/>
        </w:rPr>
        <w:t>本项目</w:t>
      </w:r>
      <w:r>
        <w:rPr>
          <w:rFonts w:ascii="仿宋_GB2312" w:eastAsia="仿宋_GB2312"/>
          <w:color w:val="auto"/>
          <w:szCs w:val="24"/>
          <w:highlight w:val="none"/>
        </w:rPr>
        <w:t>为软件开发服务项目</w:t>
      </w:r>
      <w:r>
        <w:rPr>
          <w:rFonts w:hint="eastAsia" w:ascii="仿宋_GB2312" w:eastAsia="仿宋_GB2312"/>
          <w:color w:val="auto"/>
          <w:szCs w:val="24"/>
          <w:highlight w:val="none"/>
        </w:rPr>
        <w:t>，</w:t>
      </w:r>
      <w:r>
        <w:rPr>
          <w:rFonts w:ascii="仿宋_GB2312" w:eastAsia="仿宋_GB2312"/>
          <w:color w:val="auto"/>
          <w:szCs w:val="24"/>
          <w:highlight w:val="none"/>
        </w:rPr>
        <w:t>预算总额</w:t>
      </w:r>
      <w:r>
        <w:rPr>
          <w:rFonts w:hint="eastAsia" w:ascii="仿宋_GB2312" w:eastAsia="仿宋_GB2312"/>
          <w:color w:val="auto"/>
          <w:szCs w:val="24"/>
          <w:highlight w:val="none"/>
        </w:rPr>
        <w:t>为人民币1322.2327万元，其中202</w:t>
      </w:r>
      <w:r>
        <w:rPr>
          <w:rFonts w:ascii="仿宋_GB2312" w:eastAsia="仿宋_GB2312"/>
          <w:color w:val="auto"/>
          <w:szCs w:val="24"/>
          <w:highlight w:val="none"/>
        </w:rPr>
        <w:t>5</w:t>
      </w:r>
      <w:r>
        <w:rPr>
          <w:rFonts w:hint="eastAsia" w:ascii="仿宋_GB2312" w:eastAsia="仿宋_GB2312"/>
          <w:color w:val="auto"/>
          <w:szCs w:val="24"/>
          <w:highlight w:val="none"/>
        </w:rPr>
        <w:t>年469.6368万元，202</w:t>
      </w:r>
      <w:r>
        <w:rPr>
          <w:rFonts w:ascii="仿宋_GB2312" w:eastAsia="仿宋_GB2312"/>
          <w:color w:val="auto"/>
          <w:szCs w:val="24"/>
          <w:highlight w:val="none"/>
        </w:rPr>
        <w:t>6</w:t>
      </w:r>
      <w:r>
        <w:rPr>
          <w:rFonts w:hint="eastAsia" w:ascii="仿宋_GB2312" w:eastAsia="仿宋_GB2312"/>
          <w:color w:val="auto"/>
          <w:szCs w:val="24"/>
          <w:highlight w:val="none"/>
        </w:rPr>
        <w:t>年852.5959万元。</w:t>
      </w:r>
    </w:p>
    <w:p w14:paraId="4AFD18CB">
      <w:pPr>
        <w:pStyle w:val="10"/>
        <w:ind w:firstLine="480"/>
        <w:rPr>
          <w:rFonts w:ascii="仿宋_GB2312" w:eastAsia="仿宋_GB2312"/>
          <w:color w:val="auto"/>
          <w:szCs w:val="24"/>
          <w:highlight w:val="none"/>
        </w:rPr>
      </w:pPr>
    </w:p>
    <w:p w14:paraId="7D270DB2">
      <w:pPr>
        <w:pStyle w:val="10"/>
        <w:ind w:firstLine="480"/>
        <w:rPr>
          <w:rFonts w:ascii="仿宋_GB2312" w:eastAsia="仿宋_GB2312"/>
          <w:color w:val="auto"/>
          <w:szCs w:val="24"/>
          <w:highlight w:val="none"/>
        </w:rPr>
      </w:pPr>
    </w:p>
    <w:p w14:paraId="4B84FC3C">
      <w:pPr>
        <w:pStyle w:val="2"/>
        <w:keepLines w:val="0"/>
        <w:numPr>
          <w:ilvl w:val="255"/>
          <w:numId w:val="0"/>
        </w:numPr>
        <w:adjustRightInd w:val="0"/>
        <w:snapToGrid w:val="0"/>
        <w:spacing w:before="0" w:after="0"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3.采购清单</w:t>
      </w:r>
    </w:p>
    <w:p w14:paraId="7178183F">
      <w:pPr>
        <w:pStyle w:val="10"/>
        <w:ind w:firstLine="0" w:firstLineChars="0"/>
        <w:jc w:val="center"/>
        <w:rPr>
          <w:rFonts w:ascii="仿宋_GB2312" w:eastAsia="仿宋_GB2312"/>
          <w:color w:val="auto"/>
          <w:szCs w:val="28"/>
          <w:highlight w:val="none"/>
        </w:rPr>
      </w:pPr>
      <w:r>
        <w:rPr>
          <w:rFonts w:hint="eastAsia" w:ascii="仿宋_GB2312" w:eastAsia="仿宋_GB2312"/>
          <w:color w:val="auto"/>
          <w:szCs w:val="28"/>
          <w:highlight w:val="none"/>
        </w:rPr>
        <w:t>采购清单一览表</w:t>
      </w:r>
    </w:p>
    <w:tbl>
      <w:tblPr>
        <w:tblStyle w:val="7"/>
        <w:tblW w:w="8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268"/>
        <w:gridCol w:w="5398"/>
      </w:tblGrid>
      <w:tr w14:paraId="60458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704" w:type="dxa"/>
            <w:shd w:val="clear" w:color="auto" w:fill="F1F1F1" w:themeFill="background1" w:themeFillShade="F2"/>
          </w:tcPr>
          <w:p w14:paraId="1A9461A6">
            <w:pPr>
              <w:rPr>
                <w:rFonts w:ascii="仿宋_GB2312"/>
                <w:b/>
                <w:color w:val="auto"/>
                <w:highlight w:val="none"/>
              </w:rPr>
            </w:pPr>
            <w:r>
              <w:rPr>
                <w:rFonts w:hint="eastAsia" w:ascii="仿宋_GB2312"/>
                <w:b/>
                <w:color w:val="auto"/>
                <w:highlight w:val="none"/>
              </w:rPr>
              <w:t>序号</w:t>
            </w:r>
          </w:p>
        </w:tc>
        <w:tc>
          <w:tcPr>
            <w:tcW w:w="2268" w:type="dxa"/>
            <w:shd w:val="clear" w:color="auto" w:fill="F1F1F1" w:themeFill="background1" w:themeFillShade="F2"/>
            <w:noWrap/>
          </w:tcPr>
          <w:p w14:paraId="69FC386A">
            <w:pPr>
              <w:jc w:val="center"/>
              <w:rPr>
                <w:rFonts w:ascii="仿宋_GB2312"/>
                <w:b/>
                <w:color w:val="auto"/>
                <w:highlight w:val="none"/>
              </w:rPr>
            </w:pPr>
            <w:r>
              <w:rPr>
                <w:rFonts w:hint="eastAsia" w:ascii="仿宋_GB2312"/>
                <w:b/>
                <w:color w:val="auto"/>
                <w:highlight w:val="none"/>
              </w:rPr>
              <w:t>功能模块</w:t>
            </w:r>
          </w:p>
        </w:tc>
        <w:tc>
          <w:tcPr>
            <w:tcW w:w="5398" w:type="dxa"/>
            <w:shd w:val="clear" w:color="auto" w:fill="F1F1F1" w:themeFill="background1" w:themeFillShade="F2"/>
          </w:tcPr>
          <w:p w14:paraId="01607453">
            <w:pPr>
              <w:jc w:val="center"/>
              <w:rPr>
                <w:rFonts w:ascii="仿宋_GB2312"/>
                <w:b/>
                <w:color w:val="auto"/>
                <w:highlight w:val="none"/>
              </w:rPr>
            </w:pPr>
            <w:r>
              <w:rPr>
                <w:rFonts w:hint="eastAsia" w:ascii="仿宋_GB2312"/>
                <w:b/>
                <w:color w:val="auto"/>
                <w:highlight w:val="none"/>
              </w:rPr>
              <w:t>功能说明</w:t>
            </w:r>
          </w:p>
        </w:tc>
      </w:tr>
      <w:tr w14:paraId="73056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14:paraId="0920C4A2">
            <w:pPr>
              <w:rPr>
                <w:rFonts w:ascii="仿宋_GB2312"/>
                <w:color w:val="auto"/>
                <w:highlight w:val="none"/>
              </w:rPr>
            </w:pPr>
            <w:r>
              <w:rPr>
                <w:rFonts w:hint="eastAsia" w:ascii="仿宋_GB2312"/>
                <w:color w:val="auto"/>
                <w:highlight w:val="none"/>
              </w:rPr>
              <w:t>1</w:t>
            </w:r>
          </w:p>
        </w:tc>
        <w:tc>
          <w:tcPr>
            <w:tcW w:w="2268" w:type="dxa"/>
            <w:noWrap/>
            <w:vAlign w:val="center"/>
          </w:tcPr>
          <w:p w14:paraId="1A15EFD7">
            <w:pPr>
              <w:rPr>
                <w:rFonts w:ascii="仿宋_GB2312"/>
                <w:color w:val="auto"/>
                <w:highlight w:val="none"/>
              </w:rPr>
            </w:pPr>
            <w:bookmarkStart w:id="0" w:name="OLE_LINK3"/>
            <w:r>
              <w:rPr>
                <w:rFonts w:hint="eastAsia" w:ascii="仿宋_GB2312"/>
                <w:color w:val="auto"/>
                <w:highlight w:val="none"/>
              </w:rPr>
              <w:t>农村集体资产大数据资源中心</w:t>
            </w:r>
            <w:bookmarkEnd w:id="0"/>
          </w:p>
        </w:tc>
        <w:tc>
          <w:tcPr>
            <w:tcW w:w="5398" w:type="dxa"/>
          </w:tcPr>
          <w:p w14:paraId="0B9AF131">
            <w:pPr>
              <w:rPr>
                <w:rFonts w:ascii="仿宋_GB2312"/>
                <w:color w:val="auto"/>
                <w:highlight w:val="none"/>
              </w:rPr>
            </w:pPr>
            <w:r>
              <w:rPr>
                <w:rFonts w:hint="eastAsia" w:ascii="仿宋_GB2312"/>
                <w:color w:val="auto"/>
                <w:highlight w:val="none"/>
              </w:rPr>
              <w:t>系统围绕农村集体资产管理问题实施精细化、信息化、动态化服务管理，以时空数据底座为基础，构建天河区农村集体资产大数据中心，支撑农村集体经济组织成员及股权管理、资产管理；汇聚农村集体资产、交易、合同、财务、股权、经济组织成员等数据，按照标准化、规范化原则构建数据资源中心，实现天河区农村范围内各类专题数据空间落图，为农村集体经济分析、利用提供数据支持。</w:t>
            </w:r>
          </w:p>
        </w:tc>
      </w:tr>
      <w:tr w14:paraId="5F150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14:paraId="5128DB3E">
            <w:pPr>
              <w:rPr>
                <w:rFonts w:ascii="仿宋_GB2312"/>
                <w:color w:val="auto"/>
                <w:highlight w:val="none"/>
              </w:rPr>
            </w:pPr>
            <w:r>
              <w:rPr>
                <w:rFonts w:hint="eastAsia" w:ascii="仿宋_GB2312"/>
                <w:color w:val="auto"/>
                <w:highlight w:val="none"/>
              </w:rPr>
              <w:t>2</w:t>
            </w:r>
          </w:p>
        </w:tc>
        <w:tc>
          <w:tcPr>
            <w:tcW w:w="2268" w:type="dxa"/>
            <w:noWrap/>
            <w:vAlign w:val="center"/>
          </w:tcPr>
          <w:p w14:paraId="1C5B1930">
            <w:pPr>
              <w:rPr>
                <w:rFonts w:ascii="仿宋_GB2312"/>
                <w:color w:val="auto"/>
                <w:highlight w:val="none"/>
              </w:rPr>
            </w:pPr>
            <w:r>
              <w:rPr>
                <w:rFonts w:hint="eastAsia" w:ascii="仿宋_GB2312"/>
                <w:color w:val="auto"/>
                <w:highlight w:val="none"/>
              </w:rPr>
              <w:t>农村集体资产交易管理</w:t>
            </w:r>
          </w:p>
        </w:tc>
        <w:tc>
          <w:tcPr>
            <w:tcW w:w="5398" w:type="dxa"/>
          </w:tcPr>
          <w:p w14:paraId="2BAF607A">
            <w:pPr>
              <w:rPr>
                <w:color w:val="auto"/>
                <w:highlight w:val="none"/>
              </w:rPr>
            </w:pPr>
            <w:r>
              <w:rPr>
                <w:rFonts w:hint="eastAsia"/>
                <w:color w:val="auto"/>
                <w:highlight w:val="none"/>
              </w:rPr>
              <w:t>基于区农业农村局、属地街道、农村集体经济组织与经济社的资产交易业务情况，搭建集交易意向登记-民主表决-发布公告-交易过程管理-结果公示-合同签订-归档于一体，网页端与手机端操作联动，实现农村集体资产交易公开、智能、多模式、全覆盖。</w:t>
            </w:r>
          </w:p>
        </w:tc>
      </w:tr>
      <w:tr w14:paraId="4E6D2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14:paraId="77F764B7">
            <w:pPr>
              <w:rPr>
                <w:rFonts w:ascii="仿宋_GB2312"/>
                <w:color w:val="auto"/>
                <w:highlight w:val="none"/>
              </w:rPr>
            </w:pPr>
            <w:r>
              <w:rPr>
                <w:rFonts w:hint="eastAsia" w:ascii="仿宋_GB2312"/>
                <w:color w:val="auto"/>
                <w:highlight w:val="none"/>
              </w:rPr>
              <w:t>3</w:t>
            </w:r>
          </w:p>
        </w:tc>
        <w:tc>
          <w:tcPr>
            <w:tcW w:w="2268" w:type="dxa"/>
            <w:noWrap/>
            <w:vAlign w:val="center"/>
          </w:tcPr>
          <w:p w14:paraId="67716936">
            <w:pPr>
              <w:rPr>
                <w:rFonts w:ascii="仿宋_GB2312"/>
                <w:color w:val="auto"/>
                <w:highlight w:val="none"/>
              </w:rPr>
            </w:pPr>
            <w:r>
              <w:rPr>
                <w:rFonts w:hint="eastAsia" w:ascii="仿宋_GB2312"/>
                <w:color w:val="auto"/>
                <w:highlight w:val="none"/>
              </w:rPr>
              <w:t>农村实时财务管理</w:t>
            </w:r>
          </w:p>
        </w:tc>
        <w:tc>
          <w:tcPr>
            <w:tcW w:w="5398" w:type="dxa"/>
          </w:tcPr>
          <w:p w14:paraId="5200B765">
            <w:pPr>
              <w:rPr>
                <w:color w:val="auto"/>
                <w:highlight w:val="none"/>
              </w:rPr>
            </w:pPr>
            <w:r>
              <w:rPr>
                <w:rFonts w:hint="eastAsia"/>
                <w:color w:val="auto"/>
                <w:highlight w:val="none"/>
              </w:rPr>
              <w:t>全面支撑天河区所有集体经济组织及其下属公司的农村财务核算、资产管理、银行资金监管、财务公开、层级统计、监管预警等领域，集业务管理、核算、监管、公开、统计、分析。</w:t>
            </w:r>
          </w:p>
        </w:tc>
      </w:tr>
      <w:tr w14:paraId="3BF56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14:paraId="72A3C7B8">
            <w:pPr>
              <w:rPr>
                <w:rFonts w:ascii="仿宋_GB2312"/>
                <w:color w:val="auto"/>
                <w:highlight w:val="none"/>
              </w:rPr>
            </w:pPr>
            <w:r>
              <w:rPr>
                <w:rFonts w:hint="eastAsia" w:ascii="仿宋_GB2312"/>
                <w:color w:val="auto"/>
                <w:highlight w:val="none"/>
              </w:rPr>
              <w:t>4</w:t>
            </w:r>
          </w:p>
        </w:tc>
        <w:tc>
          <w:tcPr>
            <w:tcW w:w="2268" w:type="dxa"/>
            <w:noWrap/>
            <w:vAlign w:val="center"/>
          </w:tcPr>
          <w:p w14:paraId="23472F71">
            <w:pPr>
              <w:rPr>
                <w:rFonts w:ascii="仿宋_GB2312"/>
                <w:color w:val="auto"/>
                <w:highlight w:val="none"/>
              </w:rPr>
            </w:pPr>
            <w:r>
              <w:rPr>
                <w:rFonts w:hint="eastAsia" w:ascii="仿宋_GB2312"/>
                <w:color w:val="auto"/>
                <w:highlight w:val="none"/>
              </w:rPr>
              <w:t>农村集体资产一张图</w:t>
            </w:r>
          </w:p>
        </w:tc>
        <w:tc>
          <w:tcPr>
            <w:tcW w:w="5398" w:type="dxa"/>
          </w:tcPr>
          <w:p w14:paraId="0933EAF0">
            <w:pPr>
              <w:rPr>
                <w:rFonts w:ascii="仿宋_GB2312"/>
                <w:color w:val="auto"/>
                <w:highlight w:val="none"/>
              </w:rPr>
            </w:pPr>
            <w:r>
              <w:rPr>
                <w:rFonts w:hint="eastAsia"/>
                <w:color w:val="auto"/>
                <w:highlight w:val="none"/>
              </w:rPr>
              <w:t>提供数图联动一张图能力，形成物业性、资源型资产空间位置一张图，全区资产在分布、总量、资产类型、资产一棵树（交易、合同、财务收支）等信息图上可见、可点、可查。</w:t>
            </w:r>
          </w:p>
        </w:tc>
      </w:tr>
      <w:tr w14:paraId="7C684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14:paraId="00FDFEA0">
            <w:pPr>
              <w:rPr>
                <w:rFonts w:ascii="仿宋_GB2312"/>
                <w:color w:val="auto"/>
                <w:highlight w:val="none"/>
              </w:rPr>
            </w:pPr>
            <w:r>
              <w:rPr>
                <w:rFonts w:hint="eastAsia" w:ascii="仿宋_GB2312"/>
                <w:color w:val="auto"/>
                <w:highlight w:val="none"/>
              </w:rPr>
              <w:t>5</w:t>
            </w:r>
          </w:p>
        </w:tc>
        <w:tc>
          <w:tcPr>
            <w:tcW w:w="2268" w:type="dxa"/>
            <w:noWrap/>
            <w:vAlign w:val="center"/>
          </w:tcPr>
          <w:p w14:paraId="63DD8FA5">
            <w:pPr>
              <w:rPr>
                <w:rFonts w:ascii="仿宋_GB2312"/>
                <w:color w:val="auto"/>
                <w:highlight w:val="none"/>
              </w:rPr>
            </w:pPr>
            <w:r>
              <w:rPr>
                <w:rFonts w:hint="eastAsia" w:ascii="仿宋_GB2312"/>
                <w:color w:val="auto"/>
                <w:highlight w:val="none"/>
              </w:rPr>
              <w:t>农村集体资产监测预警</w:t>
            </w:r>
          </w:p>
        </w:tc>
        <w:tc>
          <w:tcPr>
            <w:tcW w:w="5398" w:type="dxa"/>
          </w:tcPr>
          <w:p w14:paraId="17C29D66">
            <w:pPr>
              <w:rPr>
                <w:rFonts w:ascii="仿宋_GB2312"/>
                <w:color w:val="auto"/>
                <w:highlight w:val="none"/>
              </w:rPr>
            </w:pPr>
            <w:r>
              <w:rPr>
                <w:rFonts w:hint="eastAsia"/>
                <w:color w:val="auto"/>
                <w:highlight w:val="none"/>
              </w:rPr>
              <w:t>构建农村集体资产监管体系，以天河区农村集体资产“一张图”为基础，围绕集体资产全业务链条，对“地-楼-房-企-账”运行跟踪监测，基于资产时空“大数据”，构建智慧分析模型，动态分析异常数据和重大数据，提供智能预警，实现监管“一张图”呈现。</w:t>
            </w:r>
          </w:p>
        </w:tc>
      </w:tr>
      <w:tr w14:paraId="627E6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14:paraId="1AEB9DC1">
            <w:pPr>
              <w:rPr>
                <w:rFonts w:ascii="仿宋_GB2312"/>
                <w:color w:val="auto"/>
                <w:highlight w:val="none"/>
              </w:rPr>
            </w:pPr>
            <w:r>
              <w:rPr>
                <w:rFonts w:hint="eastAsia" w:ascii="仿宋_GB2312"/>
                <w:color w:val="auto"/>
                <w:highlight w:val="none"/>
              </w:rPr>
              <w:t>6</w:t>
            </w:r>
          </w:p>
        </w:tc>
        <w:tc>
          <w:tcPr>
            <w:tcW w:w="2268" w:type="dxa"/>
            <w:noWrap/>
            <w:vAlign w:val="center"/>
          </w:tcPr>
          <w:p w14:paraId="4F70493A">
            <w:pPr>
              <w:rPr>
                <w:rFonts w:ascii="仿宋_GB2312"/>
                <w:color w:val="auto"/>
                <w:highlight w:val="none"/>
              </w:rPr>
            </w:pPr>
            <w:r>
              <w:rPr>
                <w:rFonts w:hint="eastAsia" w:ascii="仿宋_GB2312"/>
                <w:color w:val="auto"/>
                <w:highlight w:val="none"/>
              </w:rPr>
              <w:t>农村集体资产综合服务</w:t>
            </w:r>
          </w:p>
        </w:tc>
        <w:tc>
          <w:tcPr>
            <w:tcW w:w="5398" w:type="dxa"/>
          </w:tcPr>
          <w:p w14:paraId="7D78C2E2">
            <w:pPr>
              <w:rPr>
                <w:rFonts w:ascii="仿宋_GB2312"/>
                <w:color w:val="auto"/>
                <w:highlight w:val="none"/>
              </w:rPr>
            </w:pPr>
            <w:r>
              <w:rPr>
                <w:rFonts w:hint="eastAsia"/>
                <w:color w:val="auto"/>
                <w:highlight w:val="none"/>
              </w:rPr>
              <w:t>立足管理、规划、决策等关键环节，以资产资源空间数据、规划数据、产业数据为基础，通过数据集成、算法分析以及场景应用，引入大模型（例如DeepSeek等）技术，为集体资产综合分析与趋势研判、辅助审查、知识管理、知识图谱构建、资产评估、资产资源整治提升、资产资源规划利用、项目规划、资产推介等提供辅助决策数据支持，促进农村集体“三资”保值增值。</w:t>
            </w:r>
          </w:p>
        </w:tc>
      </w:tr>
      <w:tr w14:paraId="4AE55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Align w:val="center"/>
          </w:tcPr>
          <w:p w14:paraId="7E5782E1">
            <w:pPr>
              <w:rPr>
                <w:rFonts w:ascii="仿宋_GB2312"/>
                <w:color w:val="auto"/>
                <w:highlight w:val="none"/>
              </w:rPr>
            </w:pPr>
            <w:r>
              <w:rPr>
                <w:rFonts w:hint="eastAsia" w:ascii="仿宋_GB2312"/>
                <w:color w:val="auto"/>
                <w:highlight w:val="none"/>
              </w:rPr>
              <w:t>7</w:t>
            </w:r>
          </w:p>
        </w:tc>
        <w:tc>
          <w:tcPr>
            <w:tcW w:w="2268" w:type="dxa"/>
            <w:noWrap/>
            <w:vAlign w:val="center"/>
          </w:tcPr>
          <w:p w14:paraId="3A8E73FC">
            <w:pPr>
              <w:rPr>
                <w:rFonts w:ascii="仿宋_GB2312"/>
                <w:color w:val="auto"/>
                <w:highlight w:val="none"/>
              </w:rPr>
            </w:pPr>
            <w:r>
              <w:rPr>
                <w:rFonts w:hint="eastAsia" w:ascii="仿宋_GB2312"/>
                <w:color w:val="auto"/>
                <w:highlight w:val="none"/>
              </w:rPr>
              <w:t>已建或在建信息系统对接</w:t>
            </w:r>
          </w:p>
        </w:tc>
        <w:tc>
          <w:tcPr>
            <w:tcW w:w="5398" w:type="dxa"/>
          </w:tcPr>
          <w:p w14:paraId="7CEA6092">
            <w:pPr>
              <w:rPr>
                <w:rFonts w:ascii="仿宋_GB2312"/>
                <w:color w:val="auto"/>
                <w:highlight w:val="none"/>
              </w:rPr>
            </w:pPr>
            <w:r>
              <w:rPr>
                <w:rFonts w:hint="eastAsia"/>
                <w:color w:val="auto"/>
                <w:highlight w:val="none"/>
              </w:rPr>
              <w:t>实现系统与省、市、区其他平台的对接，同时实现与银行系统的数据对接，系统提供通用的数据对接处理程序，接收第三方系统推送的业务数据。</w:t>
            </w:r>
          </w:p>
        </w:tc>
      </w:tr>
      <w:tr w14:paraId="1D860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704" w:type="dxa"/>
            <w:vAlign w:val="center"/>
          </w:tcPr>
          <w:p w14:paraId="3B5E0DFC">
            <w:pPr>
              <w:rPr>
                <w:rFonts w:ascii="仿宋_GB2312"/>
                <w:color w:val="auto"/>
                <w:highlight w:val="none"/>
              </w:rPr>
            </w:pPr>
            <w:r>
              <w:rPr>
                <w:rFonts w:hint="eastAsia" w:ascii="仿宋_GB2312"/>
                <w:color w:val="auto"/>
                <w:highlight w:val="none"/>
              </w:rPr>
              <w:t>8</w:t>
            </w:r>
          </w:p>
        </w:tc>
        <w:tc>
          <w:tcPr>
            <w:tcW w:w="2268" w:type="dxa"/>
            <w:noWrap/>
            <w:vAlign w:val="center"/>
          </w:tcPr>
          <w:p w14:paraId="528DCFD3">
            <w:pPr>
              <w:rPr>
                <w:rFonts w:ascii="仿宋_GB2312"/>
                <w:color w:val="auto"/>
                <w:highlight w:val="none"/>
              </w:rPr>
            </w:pPr>
            <w:r>
              <w:rPr>
                <w:rFonts w:hint="eastAsia" w:ascii="仿宋_GB2312"/>
                <w:color w:val="auto"/>
                <w:highlight w:val="none"/>
              </w:rPr>
              <w:t>基础软件采购</w:t>
            </w:r>
          </w:p>
        </w:tc>
        <w:tc>
          <w:tcPr>
            <w:tcW w:w="5398" w:type="dxa"/>
          </w:tcPr>
          <w:p w14:paraId="210F46F5">
            <w:pPr>
              <w:rPr>
                <w:rFonts w:ascii="仿宋_GB2312"/>
                <w:color w:val="auto"/>
                <w:highlight w:val="none"/>
              </w:rPr>
            </w:pPr>
            <w:r>
              <w:rPr>
                <w:rFonts w:hint="eastAsia" w:ascii="仿宋_GB2312"/>
                <w:color w:val="auto"/>
                <w:highlight w:val="none"/>
              </w:rPr>
              <w:t>政务云资源目录中的</w:t>
            </w:r>
            <w:r>
              <w:rPr>
                <w:rFonts w:hint="eastAsia" w:ascii="仿宋_GB2312"/>
                <w:color w:val="auto"/>
                <w:highlight w:val="none"/>
                <w:lang w:eastAsia="zh-CN"/>
              </w:rPr>
              <w:t>本国</w:t>
            </w:r>
            <w:r>
              <w:rPr>
                <w:rFonts w:hint="eastAsia" w:ascii="仿宋_GB2312"/>
                <w:color w:val="auto"/>
                <w:highlight w:val="none"/>
              </w:rPr>
              <w:t>数据库1套、</w:t>
            </w:r>
            <w:r>
              <w:rPr>
                <w:rFonts w:hint="eastAsia" w:ascii="仿宋_GB2312"/>
                <w:color w:val="auto"/>
                <w:highlight w:val="none"/>
                <w:lang w:eastAsia="zh-CN"/>
              </w:rPr>
              <w:t>本国</w:t>
            </w:r>
            <w:r>
              <w:rPr>
                <w:rFonts w:hint="eastAsia" w:ascii="仿宋_GB2312"/>
                <w:color w:val="auto"/>
                <w:highlight w:val="none"/>
              </w:rPr>
              <w:t>操作系统</w:t>
            </w:r>
            <w:r>
              <w:rPr>
                <w:rFonts w:ascii="仿宋_GB2312"/>
                <w:color w:val="auto"/>
                <w:highlight w:val="none"/>
              </w:rPr>
              <w:t>7</w:t>
            </w:r>
            <w:r>
              <w:rPr>
                <w:rFonts w:hint="eastAsia" w:ascii="仿宋_GB2312"/>
                <w:color w:val="auto"/>
                <w:highlight w:val="none"/>
              </w:rPr>
              <w:t>套、应用</w:t>
            </w:r>
            <w:r>
              <w:rPr>
                <w:rFonts w:hint="eastAsia" w:ascii="仿宋_GB2312"/>
                <w:color w:val="auto"/>
                <w:highlight w:val="none"/>
                <w:lang w:eastAsia="zh-CN"/>
              </w:rPr>
              <w:t>本国</w:t>
            </w:r>
            <w:r>
              <w:rPr>
                <w:rFonts w:hint="eastAsia" w:ascii="仿宋_GB2312"/>
                <w:color w:val="auto"/>
                <w:highlight w:val="none"/>
              </w:rPr>
              <w:t>中间件</w:t>
            </w:r>
            <w:r>
              <w:rPr>
                <w:rFonts w:ascii="仿宋_GB2312"/>
                <w:color w:val="auto"/>
                <w:highlight w:val="none"/>
              </w:rPr>
              <w:t>1</w:t>
            </w:r>
            <w:r>
              <w:rPr>
                <w:rFonts w:hint="eastAsia" w:ascii="仿宋_GB2312"/>
                <w:color w:val="auto"/>
                <w:highlight w:val="none"/>
              </w:rPr>
              <w:t>套。</w:t>
            </w:r>
          </w:p>
        </w:tc>
      </w:tr>
      <w:tr w14:paraId="1D471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jc w:val="center"/>
        </w:trPr>
        <w:tc>
          <w:tcPr>
            <w:tcW w:w="704" w:type="dxa"/>
            <w:vAlign w:val="center"/>
          </w:tcPr>
          <w:p w14:paraId="16E981B4">
            <w:pPr>
              <w:rPr>
                <w:rFonts w:ascii="仿宋_GB2312"/>
                <w:color w:val="auto"/>
                <w:highlight w:val="none"/>
              </w:rPr>
            </w:pPr>
            <w:r>
              <w:rPr>
                <w:rFonts w:ascii="仿宋_GB2312"/>
                <w:color w:val="auto"/>
                <w:highlight w:val="none"/>
              </w:rPr>
              <w:t>9</w:t>
            </w:r>
          </w:p>
        </w:tc>
        <w:tc>
          <w:tcPr>
            <w:tcW w:w="2268" w:type="dxa"/>
            <w:noWrap/>
            <w:vAlign w:val="center"/>
          </w:tcPr>
          <w:p w14:paraId="7DDC3508">
            <w:pPr>
              <w:rPr>
                <w:rFonts w:ascii="仿宋_GB2312"/>
                <w:color w:val="auto"/>
                <w:highlight w:val="none"/>
              </w:rPr>
            </w:pPr>
            <w:r>
              <w:rPr>
                <w:rFonts w:hint="eastAsia" w:ascii="仿宋_GB2312"/>
                <w:color w:val="auto"/>
                <w:highlight w:val="none"/>
              </w:rPr>
              <w:t>政务云资源租赁</w:t>
            </w:r>
          </w:p>
        </w:tc>
        <w:tc>
          <w:tcPr>
            <w:tcW w:w="5398" w:type="dxa"/>
          </w:tcPr>
          <w:p w14:paraId="725FDB13">
            <w:pPr>
              <w:rPr>
                <w:rFonts w:ascii="仿宋_GB2312"/>
                <w:color w:val="auto"/>
                <w:highlight w:val="none"/>
              </w:rPr>
            </w:pPr>
            <w:r>
              <w:rPr>
                <w:rFonts w:hint="eastAsia" w:ascii="仿宋_GB2312"/>
                <w:color w:val="auto"/>
                <w:highlight w:val="none"/>
              </w:rPr>
              <w:t>租赁政务云资源，要求采用</w:t>
            </w:r>
            <w:r>
              <w:rPr>
                <w:rFonts w:hint="eastAsia" w:ascii="仿宋_GB2312"/>
                <w:color w:val="auto"/>
                <w:highlight w:val="none"/>
                <w:lang w:eastAsia="zh-CN"/>
              </w:rPr>
              <w:t>本国</w:t>
            </w:r>
            <w:r>
              <w:rPr>
                <w:rFonts w:hint="eastAsia" w:ascii="仿宋_GB2312"/>
                <w:color w:val="auto"/>
                <w:highlight w:val="none"/>
              </w:rPr>
              <w:t>设备，用于部署系统平台，租赁期限为21个月。</w:t>
            </w:r>
          </w:p>
          <w:p w14:paraId="165349ED">
            <w:pPr>
              <w:rPr>
                <w:rFonts w:ascii="仿宋_GB2312"/>
                <w:color w:val="auto"/>
                <w:highlight w:val="none"/>
              </w:rPr>
            </w:pPr>
            <w:r>
              <w:rPr>
                <w:rFonts w:hint="eastAsia" w:ascii="仿宋_GB2312"/>
                <w:color w:val="auto"/>
                <w:highlight w:val="none"/>
              </w:rPr>
              <w:t>包括</w:t>
            </w:r>
            <w:r>
              <w:rPr>
                <w:rFonts w:ascii="仿宋_GB2312"/>
                <w:color w:val="auto"/>
                <w:highlight w:val="none"/>
              </w:rPr>
              <w:t>6</w:t>
            </w:r>
            <w:r>
              <w:rPr>
                <w:rFonts w:hint="eastAsia" w:ascii="仿宋_GB2312"/>
                <w:color w:val="auto"/>
                <w:highlight w:val="none"/>
              </w:rPr>
              <w:t>台虚拟主机服务（大型虚拟机）、</w:t>
            </w:r>
            <w:r>
              <w:rPr>
                <w:rFonts w:ascii="仿宋_GB2312"/>
                <w:color w:val="auto"/>
                <w:highlight w:val="none"/>
              </w:rPr>
              <w:t>1</w:t>
            </w:r>
            <w:r>
              <w:rPr>
                <w:rFonts w:hint="eastAsia" w:ascii="仿宋_GB2312"/>
                <w:color w:val="auto"/>
                <w:highlight w:val="none"/>
              </w:rPr>
              <w:t>台虚拟主机服务（中型虚拟机）、</w:t>
            </w:r>
            <w:r>
              <w:rPr>
                <w:rFonts w:ascii="仿宋_GB2312"/>
                <w:color w:val="auto"/>
                <w:highlight w:val="none"/>
              </w:rPr>
              <w:t>1</w:t>
            </w:r>
            <w:r>
              <w:rPr>
                <w:rFonts w:hint="eastAsia" w:ascii="仿宋_GB2312"/>
                <w:color w:val="auto"/>
                <w:highlight w:val="none"/>
              </w:rPr>
              <w:t>台裸金属服务、</w:t>
            </w:r>
            <w:r>
              <w:rPr>
                <w:rFonts w:ascii="仿宋_GB2312"/>
                <w:color w:val="auto"/>
                <w:highlight w:val="none"/>
              </w:rPr>
              <w:t>1</w:t>
            </w:r>
            <w:r>
              <w:rPr>
                <w:rFonts w:hint="eastAsia" w:ascii="仿宋_GB2312"/>
                <w:color w:val="auto"/>
                <w:highlight w:val="none"/>
              </w:rPr>
              <w:t>项</w:t>
            </w:r>
            <w:r>
              <w:rPr>
                <w:rFonts w:ascii="仿宋_GB2312"/>
                <w:color w:val="auto"/>
                <w:highlight w:val="none"/>
              </w:rPr>
              <w:t>AI</w:t>
            </w:r>
            <w:r>
              <w:rPr>
                <w:rFonts w:hint="eastAsia" w:ascii="仿宋_GB2312"/>
                <w:color w:val="auto"/>
                <w:highlight w:val="none"/>
              </w:rPr>
              <w:t>推理服务（GPU服务，</w:t>
            </w:r>
            <w:r>
              <w:rPr>
                <w:rFonts w:hint="eastAsia" w:ascii="仿宋_GB2312"/>
                <w:color w:val="auto"/>
                <w:highlight w:val="none"/>
                <w:lang w:eastAsia="zh-CN"/>
              </w:rPr>
              <w:t>本国</w:t>
            </w:r>
            <w:r>
              <w:rPr>
                <w:rFonts w:hint="eastAsia" w:ascii="仿宋_GB2312"/>
                <w:color w:val="auto"/>
                <w:highlight w:val="none"/>
              </w:rPr>
              <w:t>化）、48G定制化虚拟机服务、5800GB块存储（FC-SAN）、300GB高性能存储（SSD）、7项主机防病毒服务、2套应用层防火墙、1项Web防篡改服务和3TB本地备份等云资源。</w:t>
            </w:r>
          </w:p>
        </w:tc>
      </w:tr>
      <w:tr w14:paraId="7A4BC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704" w:type="dxa"/>
            <w:vAlign w:val="center"/>
          </w:tcPr>
          <w:p w14:paraId="451FFD03">
            <w:pPr>
              <w:rPr>
                <w:rFonts w:ascii="仿宋_GB2312"/>
                <w:color w:val="auto"/>
                <w:highlight w:val="none"/>
              </w:rPr>
            </w:pPr>
            <w:r>
              <w:rPr>
                <w:rFonts w:ascii="仿宋_GB2312"/>
                <w:color w:val="auto"/>
                <w:highlight w:val="none"/>
              </w:rPr>
              <w:t>10</w:t>
            </w:r>
          </w:p>
        </w:tc>
        <w:tc>
          <w:tcPr>
            <w:tcW w:w="2268" w:type="dxa"/>
            <w:noWrap/>
            <w:vAlign w:val="center"/>
          </w:tcPr>
          <w:p w14:paraId="5350FABB">
            <w:pPr>
              <w:rPr>
                <w:rFonts w:ascii="仿宋_GB2312"/>
                <w:color w:val="auto"/>
                <w:highlight w:val="none"/>
              </w:rPr>
            </w:pPr>
            <w:r>
              <w:rPr>
                <w:rFonts w:hint="eastAsia" w:ascii="仿宋_GB2312"/>
                <w:color w:val="auto"/>
                <w:highlight w:val="none"/>
              </w:rPr>
              <w:t>集体资产和资源空间基础模型</w:t>
            </w:r>
          </w:p>
        </w:tc>
        <w:tc>
          <w:tcPr>
            <w:tcW w:w="5398" w:type="dxa"/>
          </w:tcPr>
          <w:p w14:paraId="66ABBEA7">
            <w:pPr>
              <w:rPr>
                <w:rFonts w:ascii="仿宋_GB2312"/>
                <w:color w:val="auto"/>
                <w:highlight w:val="none"/>
              </w:rPr>
            </w:pPr>
            <w:r>
              <w:rPr>
                <w:rFonts w:hint="eastAsia" w:ascii="仿宋_GB2312"/>
                <w:color w:val="auto"/>
                <w:highlight w:val="none"/>
              </w:rPr>
              <w:t>构建天河区农村范围内轻量化通用模型构建、集体资产实景三维模型单体化和重大集体物业资产精细建模。</w:t>
            </w:r>
          </w:p>
        </w:tc>
      </w:tr>
      <w:tr w14:paraId="6DFC6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Merge w:val="restart"/>
            <w:vAlign w:val="center"/>
          </w:tcPr>
          <w:p w14:paraId="48C6E5B8">
            <w:pPr>
              <w:rPr>
                <w:rFonts w:ascii="仿宋_GB2312"/>
                <w:color w:val="auto"/>
                <w:highlight w:val="none"/>
              </w:rPr>
            </w:pPr>
            <w:r>
              <w:rPr>
                <w:rFonts w:hint="eastAsia" w:ascii="仿宋_GB2312"/>
                <w:color w:val="auto"/>
                <w:highlight w:val="none"/>
              </w:rPr>
              <w:t>11</w:t>
            </w:r>
          </w:p>
        </w:tc>
        <w:tc>
          <w:tcPr>
            <w:tcW w:w="2268" w:type="dxa"/>
            <w:vMerge w:val="restart"/>
            <w:noWrap/>
            <w:vAlign w:val="center"/>
          </w:tcPr>
          <w:p w14:paraId="7A38A5AB">
            <w:pPr>
              <w:rPr>
                <w:rFonts w:ascii="仿宋_GB2312"/>
                <w:color w:val="auto"/>
                <w:highlight w:val="none"/>
              </w:rPr>
            </w:pPr>
            <w:r>
              <w:rPr>
                <w:rFonts w:hint="eastAsia" w:ascii="仿宋_GB2312"/>
                <w:color w:val="auto"/>
                <w:highlight w:val="none"/>
              </w:rPr>
              <w:t>专题库建设</w:t>
            </w:r>
          </w:p>
        </w:tc>
        <w:tc>
          <w:tcPr>
            <w:tcW w:w="5398" w:type="dxa"/>
            <w:vAlign w:val="center"/>
          </w:tcPr>
          <w:p w14:paraId="4B94318A">
            <w:pPr>
              <w:rPr>
                <w:rFonts w:ascii="仿宋_GB2312"/>
                <w:color w:val="auto"/>
                <w:highlight w:val="none"/>
              </w:rPr>
            </w:pPr>
            <w:r>
              <w:rPr>
                <w:rFonts w:hint="eastAsia" w:ascii="仿宋_GB2312"/>
                <w:color w:val="auto"/>
                <w:highlight w:val="none"/>
              </w:rPr>
              <w:t>集体资产时空数据标准：</w:t>
            </w:r>
            <w:r>
              <w:rPr>
                <w:rFonts w:hint="eastAsia" w:ascii="仿宋_GB2312"/>
                <w:color w:val="auto"/>
                <w:kern w:val="0"/>
                <w:highlight w:val="none"/>
              </w:rPr>
              <w:t>《天河区集体资产一张图数据标准》</w:t>
            </w:r>
          </w:p>
        </w:tc>
      </w:tr>
      <w:tr w14:paraId="3E395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Merge w:val="continue"/>
            <w:vAlign w:val="center"/>
          </w:tcPr>
          <w:p w14:paraId="1663A382">
            <w:pPr>
              <w:rPr>
                <w:rFonts w:ascii="仿宋_GB2312"/>
                <w:color w:val="auto"/>
                <w:highlight w:val="none"/>
              </w:rPr>
            </w:pPr>
          </w:p>
        </w:tc>
        <w:tc>
          <w:tcPr>
            <w:tcW w:w="2268" w:type="dxa"/>
            <w:vMerge w:val="continue"/>
            <w:noWrap/>
            <w:vAlign w:val="center"/>
          </w:tcPr>
          <w:p w14:paraId="0C38F5B6">
            <w:pPr>
              <w:rPr>
                <w:rFonts w:ascii="仿宋_GB2312"/>
                <w:color w:val="auto"/>
                <w:highlight w:val="none"/>
              </w:rPr>
            </w:pPr>
          </w:p>
        </w:tc>
        <w:tc>
          <w:tcPr>
            <w:tcW w:w="5398" w:type="dxa"/>
            <w:vAlign w:val="center"/>
          </w:tcPr>
          <w:p w14:paraId="59A3D050">
            <w:pPr>
              <w:rPr>
                <w:rFonts w:ascii="仿宋_GB2312"/>
                <w:color w:val="auto"/>
                <w:highlight w:val="none"/>
              </w:rPr>
            </w:pPr>
            <w:r>
              <w:rPr>
                <w:rFonts w:hint="eastAsia" w:ascii="仿宋_GB2312"/>
                <w:color w:val="auto"/>
                <w:highlight w:val="none"/>
              </w:rPr>
              <w:t>集体资产监管指标体系</w:t>
            </w:r>
          </w:p>
        </w:tc>
      </w:tr>
      <w:tr w14:paraId="066BC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Merge w:val="continue"/>
            <w:vAlign w:val="center"/>
          </w:tcPr>
          <w:p w14:paraId="148C9C54">
            <w:pPr>
              <w:rPr>
                <w:rFonts w:ascii="仿宋_GB2312"/>
                <w:color w:val="auto"/>
                <w:highlight w:val="none"/>
              </w:rPr>
            </w:pPr>
          </w:p>
        </w:tc>
        <w:tc>
          <w:tcPr>
            <w:tcW w:w="2268" w:type="dxa"/>
            <w:vMerge w:val="continue"/>
            <w:noWrap/>
            <w:vAlign w:val="center"/>
          </w:tcPr>
          <w:p w14:paraId="2B84DA9C">
            <w:pPr>
              <w:rPr>
                <w:rFonts w:ascii="仿宋_GB2312"/>
                <w:color w:val="auto"/>
                <w:highlight w:val="none"/>
              </w:rPr>
            </w:pPr>
          </w:p>
        </w:tc>
        <w:tc>
          <w:tcPr>
            <w:tcW w:w="5398" w:type="dxa"/>
            <w:vAlign w:val="center"/>
          </w:tcPr>
          <w:p w14:paraId="4450677C">
            <w:pPr>
              <w:rPr>
                <w:rFonts w:ascii="仿宋_GB2312"/>
                <w:color w:val="auto"/>
                <w:highlight w:val="none"/>
              </w:rPr>
            </w:pPr>
            <w:r>
              <w:rPr>
                <w:rFonts w:hint="eastAsia" w:ascii="仿宋_GB2312"/>
                <w:color w:val="auto"/>
                <w:highlight w:val="none"/>
              </w:rPr>
              <w:t>集体经济组织基础管理专题库（村域管理范围、城市基础公服数据、地名地址、房屋建筑）</w:t>
            </w:r>
          </w:p>
        </w:tc>
      </w:tr>
      <w:tr w14:paraId="0F244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Merge w:val="continue"/>
            <w:vAlign w:val="center"/>
          </w:tcPr>
          <w:p w14:paraId="64A5330A">
            <w:pPr>
              <w:rPr>
                <w:rFonts w:ascii="仿宋_GB2312"/>
                <w:color w:val="auto"/>
                <w:highlight w:val="none"/>
              </w:rPr>
            </w:pPr>
          </w:p>
        </w:tc>
        <w:tc>
          <w:tcPr>
            <w:tcW w:w="2268" w:type="dxa"/>
            <w:vMerge w:val="continue"/>
            <w:noWrap/>
            <w:vAlign w:val="center"/>
          </w:tcPr>
          <w:p w14:paraId="6CCA08DE">
            <w:pPr>
              <w:rPr>
                <w:rFonts w:ascii="仿宋_GB2312"/>
                <w:color w:val="auto"/>
                <w:highlight w:val="none"/>
              </w:rPr>
            </w:pPr>
          </w:p>
        </w:tc>
        <w:tc>
          <w:tcPr>
            <w:tcW w:w="5398" w:type="dxa"/>
            <w:vAlign w:val="center"/>
          </w:tcPr>
          <w:p w14:paraId="2617D086">
            <w:pPr>
              <w:rPr>
                <w:rFonts w:ascii="仿宋_GB2312"/>
                <w:color w:val="auto"/>
                <w:highlight w:val="none"/>
              </w:rPr>
            </w:pPr>
            <w:r>
              <w:rPr>
                <w:rFonts w:hint="eastAsia"/>
                <w:color w:val="auto"/>
                <w:highlight w:val="none"/>
              </w:rPr>
              <w:t>集体经济组织规划利用专题库（</w:t>
            </w:r>
            <w:r>
              <w:rPr>
                <w:rFonts w:hint="eastAsia" w:ascii="仿宋_GB2312"/>
                <w:color w:val="auto"/>
                <w:highlight w:val="none"/>
              </w:rPr>
              <w:t>土地利用现状、土地权属数据</w:t>
            </w:r>
            <w:r>
              <w:rPr>
                <w:rFonts w:hint="eastAsia"/>
                <w:color w:val="auto"/>
                <w:highlight w:val="none"/>
              </w:rPr>
              <w:t>）</w:t>
            </w:r>
          </w:p>
        </w:tc>
      </w:tr>
      <w:tr w14:paraId="79A0C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Merge w:val="continue"/>
            <w:vAlign w:val="center"/>
          </w:tcPr>
          <w:p w14:paraId="246ADDAE">
            <w:pPr>
              <w:rPr>
                <w:rFonts w:ascii="仿宋_GB2312"/>
                <w:color w:val="auto"/>
                <w:highlight w:val="none"/>
              </w:rPr>
            </w:pPr>
          </w:p>
        </w:tc>
        <w:tc>
          <w:tcPr>
            <w:tcW w:w="2268" w:type="dxa"/>
            <w:vMerge w:val="continue"/>
            <w:noWrap/>
            <w:vAlign w:val="center"/>
          </w:tcPr>
          <w:p w14:paraId="4E5C15AC">
            <w:pPr>
              <w:rPr>
                <w:rFonts w:ascii="仿宋_GB2312"/>
                <w:color w:val="auto"/>
                <w:highlight w:val="none"/>
              </w:rPr>
            </w:pPr>
          </w:p>
        </w:tc>
        <w:tc>
          <w:tcPr>
            <w:tcW w:w="5398" w:type="dxa"/>
            <w:vAlign w:val="center"/>
          </w:tcPr>
          <w:p w14:paraId="2116D924">
            <w:pPr>
              <w:rPr>
                <w:rFonts w:ascii="仿宋_GB2312"/>
                <w:color w:val="auto"/>
                <w:highlight w:val="none"/>
              </w:rPr>
            </w:pPr>
            <w:r>
              <w:rPr>
                <w:rFonts w:hint="eastAsia"/>
                <w:color w:val="auto"/>
                <w:highlight w:val="none"/>
              </w:rPr>
              <w:t>集体经济组织资产运营专题库（</w:t>
            </w:r>
            <w:r>
              <w:rPr>
                <w:rFonts w:hint="eastAsia" w:ascii="仿宋_GB2312"/>
                <w:color w:val="auto"/>
                <w:highlight w:val="none"/>
              </w:rPr>
              <w:t>农村集体上企业数据、全区租房租赁备案数据、留用地数据</w:t>
            </w:r>
            <w:r>
              <w:rPr>
                <w:rFonts w:hint="eastAsia"/>
                <w:color w:val="auto"/>
                <w:highlight w:val="none"/>
              </w:rPr>
              <w:t>）</w:t>
            </w:r>
          </w:p>
        </w:tc>
      </w:tr>
      <w:tr w14:paraId="6F40A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Merge w:val="continue"/>
            <w:vAlign w:val="center"/>
          </w:tcPr>
          <w:p w14:paraId="5613B8F0">
            <w:pPr>
              <w:rPr>
                <w:rFonts w:ascii="仿宋_GB2312"/>
                <w:color w:val="auto"/>
                <w:highlight w:val="none"/>
              </w:rPr>
            </w:pPr>
          </w:p>
        </w:tc>
        <w:tc>
          <w:tcPr>
            <w:tcW w:w="2268" w:type="dxa"/>
            <w:vMerge w:val="continue"/>
            <w:noWrap/>
            <w:vAlign w:val="center"/>
          </w:tcPr>
          <w:p w14:paraId="31DF4BBE">
            <w:pPr>
              <w:rPr>
                <w:rFonts w:ascii="仿宋_GB2312"/>
                <w:color w:val="auto"/>
                <w:highlight w:val="none"/>
              </w:rPr>
            </w:pPr>
          </w:p>
        </w:tc>
        <w:tc>
          <w:tcPr>
            <w:tcW w:w="5398" w:type="dxa"/>
          </w:tcPr>
          <w:p w14:paraId="33F6797B">
            <w:pPr>
              <w:rPr>
                <w:rFonts w:ascii="仿宋_GB2312"/>
                <w:color w:val="auto"/>
                <w:highlight w:val="none"/>
              </w:rPr>
            </w:pPr>
            <w:r>
              <w:rPr>
                <w:rFonts w:hint="eastAsia"/>
                <w:color w:val="auto"/>
                <w:highlight w:val="none"/>
              </w:rPr>
              <w:t>集体资产二维空间基础库（资源型资产空间数据、物业型资产空间数据）</w:t>
            </w:r>
          </w:p>
        </w:tc>
      </w:tr>
      <w:tr w14:paraId="3AA3B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4" w:type="dxa"/>
            <w:vMerge w:val="continue"/>
            <w:vAlign w:val="center"/>
          </w:tcPr>
          <w:p w14:paraId="0995CFCB">
            <w:pPr>
              <w:rPr>
                <w:rFonts w:ascii="仿宋_GB2312"/>
                <w:color w:val="auto"/>
                <w:highlight w:val="none"/>
              </w:rPr>
            </w:pPr>
          </w:p>
        </w:tc>
        <w:tc>
          <w:tcPr>
            <w:tcW w:w="2268" w:type="dxa"/>
            <w:vMerge w:val="continue"/>
            <w:noWrap/>
            <w:vAlign w:val="center"/>
          </w:tcPr>
          <w:p w14:paraId="5EF32A43">
            <w:pPr>
              <w:rPr>
                <w:color w:val="auto"/>
                <w:highlight w:val="none"/>
              </w:rPr>
            </w:pPr>
          </w:p>
        </w:tc>
        <w:tc>
          <w:tcPr>
            <w:tcW w:w="5398" w:type="dxa"/>
            <w:vAlign w:val="center"/>
          </w:tcPr>
          <w:p w14:paraId="03E1D877">
            <w:pPr>
              <w:rPr>
                <w:color w:val="auto"/>
                <w:highlight w:val="none"/>
              </w:rPr>
            </w:pPr>
            <w:r>
              <w:rPr>
                <w:rFonts w:hint="eastAsia"/>
                <w:color w:val="auto"/>
                <w:highlight w:val="none"/>
              </w:rPr>
              <w:t>集体资产变化</w:t>
            </w:r>
            <w:r>
              <w:rPr>
                <w:rFonts w:hint="eastAsia" w:ascii="仿宋_GB2312"/>
                <w:color w:val="auto"/>
                <w:highlight w:val="none"/>
              </w:rPr>
              <w:t>更新</w:t>
            </w:r>
            <w:r>
              <w:rPr>
                <w:rFonts w:hint="eastAsia"/>
                <w:color w:val="auto"/>
                <w:highlight w:val="none"/>
              </w:rPr>
              <w:t>专题库（</w:t>
            </w:r>
            <w:r>
              <w:rPr>
                <w:rFonts w:hint="eastAsia" w:ascii="仿宋_GB2312"/>
                <w:color w:val="auto"/>
                <w:highlight w:val="none"/>
              </w:rPr>
              <w:t>集体资产变化监测数据（示范村/经济联社）</w:t>
            </w:r>
            <w:r>
              <w:rPr>
                <w:rFonts w:hint="eastAsia"/>
                <w:color w:val="auto"/>
                <w:highlight w:val="none"/>
              </w:rPr>
              <w:t>）</w:t>
            </w:r>
          </w:p>
        </w:tc>
      </w:tr>
    </w:tbl>
    <w:p w14:paraId="1412EECD">
      <w:pPr>
        <w:pStyle w:val="10"/>
        <w:ind w:firstLine="0" w:firstLineChars="0"/>
        <w:rPr>
          <w:rFonts w:ascii="仿宋_GB2312" w:eastAsia="仿宋_GB2312"/>
          <w:color w:val="auto"/>
          <w:szCs w:val="28"/>
          <w:highlight w:val="none"/>
        </w:rPr>
      </w:pPr>
    </w:p>
    <w:p w14:paraId="7E0ABCC7">
      <w:pPr>
        <w:pStyle w:val="2"/>
        <w:numPr>
          <w:ilvl w:val="255"/>
          <w:numId w:val="0"/>
        </w:numPr>
        <w:spacing w:before="0" w:after="0"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4.服务地点</w:t>
      </w:r>
    </w:p>
    <w:p w14:paraId="4A77E00A">
      <w:pPr>
        <w:pStyle w:val="10"/>
        <w:ind w:firstLine="480"/>
        <w:rPr>
          <w:rFonts w:ascii="仿宋_GB2312" w:eastAsia="仿宋_GB2312"/>
          <w:color w:val="auto"/>
          <w:szCs w:val="28"/>
          <w:highlight w:val="none"/>
        </w:rPr>
      </w:pPr>
      <w:r>
        <w:rPr>
          <w:rFonts w:hint="eastAsia" w:ascii="仿宋_GB2312" w:eastAsia="仿宋_GB2312"/>
          <w:color w:val="auto"/>
          <w:szCs w:val="28"/>
          <w:highlight w:val="none"/>
        </w:rPr>
        <w:t>广州市天河区。</w:t>
      </w:r>
    </w:p>
    <w:p w14:paraId="4DEE5D1E">
      <w:pPr>
        <w:pStyle w:val="2"/>
        <w:numPr>
          <w:ilvl w:val="255"/>
          <w:numId w:val="0"/>
        </w:numPr>
        <w:spacing w:before="0" w:after="0"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5.项目背景</w:t>
      </w:r>
      <w:r>
        <w:rPr>
          <w:rFonts w:hint="eastAsia" w:ascii="宋体" w:hAnsi="宋体" w:eastAsia="宋体" w:cs="宋体"/>
          <w:color w:val="auto"/>
          <w:sz w:val="24"/>
          <w:highlight w:val="none"/>
        </w:rPr>
        <w:t>与现状</w:t>
      </w:r>
    </w:p>
    <w:p w14:paraId="27020069">
      <w:pPr>
        <w:pStyle w:val="3"/>
        <w:adjustRightInd w:val="0"/>
        <w:spacing w:before="0" w:after="0" w:line="360" w:lineRule="auto"/>
        <w:rPr>
          <w:rFonts w:hint="eastAsia" w:ascii="仿宋_GB2312" w:hAnsi="宋体" w:eastAsia="黑体" w:cs="黑体"/>
          <w:bCs/>
          <w:color w:val="auto"/>
          <w:kern w:val="0"/>
          <w:sz w:val="22"/>
          <w:szCs w:val="22"/>
          <w:highlight w:val="none"/>
          <w:lang w:val="zh-CN" w:bidi="zh-CN"/>
        </w:rPr>
      </w:pPr>
      <w:r>
        <w:rPr>
          <w:rFonts w:ascii="仿宋_GB2312" w:hAnsi="宋体" w:eastAsia="黑体" w:cs="黑体"/>
          <w:bCs/>
          <w:color w:val="auto"/>
          <w:kern w:val="0"/>
          <w:sz w:val="22"/>
          <w:szCs w:val="22"/>
          <w:highlight w:val="none"/>
          <w:lang w:val="zh-CN" w:bidi="zh-CN"/>
        </w:rPr>
        <w:t xml:space="preserve">5.1 </w:t>
      </w:r>
      <w:r>
        <w:rPr>
          <w:rFonts w:hint="eastAsia" w:ascii="仿宋_GB2312" w:hAnsi="宋体" w:eastAsia="黑体" w:cs="黑体"/>
          <w:bCs/>
          <w:color w:val="auto"/>
          <w:kern w:val="0"/>
          <w:sz w:val="22"/>
          <w:szCs w:val="22"/>
          <w:highlight w:val="none"/>
          <w:lang w:val="zh-CN" w:bidi="zh-CN"/>
        </w:rPr>
        <w:t>项目背景</w:t>
      </w:r>
    </w:p>
    <w:p w14:paraId="7BD2B443">
      <w:pPr>
        <w:pStyle w:val="11"/>
        <w:ind w:firstLine="480"/>
        <w:rPr>
          <w:rFonts w:ascii="仿宋_GB2312"/>
          <w:color w:val="auto"/>
          <w:highlight w:val="none"/>
        </w:rPr>
      </w:pPr>
      <w:r>
        <w:rPr>
          <w:rFonts w:hint="eastAsia" w:ascii="仿宋_GB2312"/>
          <w:color w:val="auto"/>
          <w:highlight w:val="none"/>
        </w:rPr>
        <w:t>党的二十大报告指出，“全面建设社会主义现代化国家，最艰巨最繁重的任务仍然在农村。坚持农业农村优先发展，坚持城乡融合发展，畅通城乡要素流动”，党的二十届三中全会提出，“巩固和完善农村基本经营制度，有序推进第二轮土地承包到期后再延长三十年试点，深化承包地所有权、承包权、经营权分置改革，发展农业适度规模经营。发展新型农村集体经济，构建产权明晰、分配合理的运行机制，赋予农民更加充分的财产权益。”</w:t>
      </w:r>
    </w:p>
    <w:p w14:paraId="5AD38F9B">
      <w:pPr>
        <w:pStyle w:val="11"/>
        <w:ind w:firstLine="480"/>
        <w:rPr>
          <w:rFonts w:ascii="仿宋_GB2312"/>
          <w:color w:val="auto"/>
          <w:highlight w:val="none"/>
        </w:rPr>
      </w:pPr>
      <w:r>
        <w:rPr>
          <w:rFonts w:hint="eastAsia" w:ascii="仿宋_GB2312"/>
          <w:color w:val="auto"/>
          <w:highlight w:val="none"/>
        </w:rPr>
        <w:t>《广东省农村集体资产管理条例》第三十一条规定，“县级以上人民政府有关部门、乡镇人民政府、街道办事处应当掌握农村集体资产管理状况和集体经济组织基本情况，了解农村集体经济发展动态，做好指导监督工作。”</w:t>
      </w:r>
    </w:p>
    <w:p w14:paraId="0B4431F2">
      <w:pPr>
        <w:pStyle w:val="11"/>
        <w:ind w:firstLine="480"/>
        <w:rPr>
          <w:rFonts w:ascii="仿宋_GB2312"/>
          <w:color w:val="auto"/>
          <w:highlight w:val="none"/>
        </w:rPr>
      </w:pPr>
      <w:r>
        <w:rPr>
          <w:rFonts w:hint="eastAsia" w:ascii="仿宋_GB2312"/>
          <w:color w:val="auto"/>
          <w:highlight w:val="none"/>
        </w:rPr>
        <w:t>广东省农业农村厅关于印发《广东省农村产权流转交易管理服务平台接口规范（试行）》的通知（粤农农办〔2022〕108 号）文件中要求，推进农村产权流转交易全流程电子化管理。农村集体经营权性资产等线上流转交易，实现农村产权流转交易全流程电子化管理，推动建立更加高效的资产交易监管体系。</w:t>
      </w:r>
    </w:p>
    <w:p w14:paraId="003B6048">
      <w:pPr>
        <w:pStyle w:val="11"/>
        <w:ind w:firstLine="480"/>
        <w:rPr>
          <w:rFonts w:ascii="仿宋_GB2312"/>
          <w:color w:val="auto"/>
          <w:highlight w:val="none"/>
        </w:rPr>
      </w:pPr>
      <w:r>
        <w:rPr>
          <w:rFonts w:hint="eastAsia" w:ascii="仿宋_GB2312"/>
          <w:color w:val="auto"/>
          <w:highlight w:val="none"/>
        </w:rPr>
        <w:t>为了提升广州市天河区农村集体“三资”管理的科学化、精细化、智能化治理水平，在现有的系统和数据资源的基础上，利用时空数据分析、智能模型等新型信息技术，开展天河区农村集体“三资”的智慧化管理和服务，并对集体资产交易、利用、流转中可能存在的风险进行数据挖掘和预警分析，及时发现和阻断集体资产流失、集体资产长期闲置等情况，为集体资产开发利用提供辅助决策，实现集体资产保值增值，提升资产价值。</w:t>
      </w:r>
    </w:p>
    <w:p w14:paraId="676FF40C">
      <w:pPr>
        <w:pStyle w:val="11"/>
        <w:ind w:firstLine="482"/>
        <w:rPr>
          <w:rFonts w:ascii="仿宋_GB2312"/>
          <w:b/>
          <w:bCs/>
          <w:color w:val="auto"/>
          <w:highlight w:val="none"/>
        </w:rPr>
      </w:pPr>
      <w:r>
        <w:rPr>
          <w:rFonts w:hint="eastAsia" w:ascii="仿宋_GB2312"/>
          <w:b/>
          <w:bCs/>
          <w:color w:val="auto"/>
          <w:highlight w:val="none"/>
        </w:rPr>
        <w:t>（一）国家政策要求</w:t>
      </w:r>
    </w:p>
    <w:p w14:paraId="786B4ED2">
      <w:pPr>
        <w:pStyle w:val="11"/>
        <w:ind w:firstLine="480"/>
        <w:rPr>
          <w:rFonts w:ascii="仿宋_GB2312"/>
          <w:color w:val="auto"/>
          <w:highlight w:val="none"/>
        </w:rPr>
      </w:pPr>
      <w:r>
        <w:rPr>
          <w:rFonts w:hint="eastAsia" w:ascii="仿宋_GB2312"/>
          <w:color w:val="auto"/>
          <w:highlight w:val="none"/>
        </w:rPr>
        <w:t>1.《中共中央关于进一步全面深化改革推进中国式现代化的决定》</w:t>
      </w:r>
    </w:p>
    <w:p w14:paraId="1BC21702">
      <w:pPr>
        <w:pStyle w:val="11"/>
        <w:ind w:firstLine="480"/>
        <w:rPr>
          <w:rFonts w:ascii="仿宋_GB2312"/>
          <w:color w:val="auto"/>
          <w:highlight w:val="none"/>
        </w:rPr>
      </w:pPr>
      <w:r>
        <w:rPr>
          <w:rFonts w:hint="eastAsia" w:ascii="仿宋_GB2312"/>
          <w:color w:val="auto"/>
          <w:highlight w:val="none"/>
        </w:rPr>
        <w:t>2.《中共中央 国务院关于进一步深化农村改革 扎实推进乡村全面振兴的意见》</w:t>
      </w:r>
    </w:p>
    <w:p w14:paraId="010837E4">
      <w:pPr>
        <w:pStyle w:val="11"/>
        <w:ind w:firstLine="480"/>
        <w:rPr>
          <w:rFonts w:ascii="仿宋_GB2312"/>
          <w:color w:val="auto"/>
          <w:highlight w:val="none"/>
        </w:rPr>
      </w:pPr>
      <w:r>
        <w:rPr>
          <w:rFonts w:hint="eastAsia" w:ascii="仿宋_GB2312"/>
          <w:color w:val="auto"/>
          <w:highlight w:val="none"/>
        </w:rPr>
        <w:t>3</w:t>
      </w:r>
      <w:r>
        <w:rPr>
          <w:rFonts w:ascii="仿宋_GB2312"/>
          <w:color w:val="auto"/>
          <w:highlight w:val="none"/>
        </w:rPr>
        <w:t>.</w:t>
      </w:r>
      <w:r>
        <w:rPr>
          <w:rFonts w:hint="eastAsia" w:ascii="仿宋_GB2312"/>
          <w:color w:val="auto"/>
          <w:highlight w:val="none"/>
        </w:rPr>
        <w:t>《乡村全面振兴规划（2024—2027年）》</w:t>
      </w:r>
    </w:p>
    <w:p w14:paraId="764E5783">
      <w:pPr>
        <w:pStyle w:val="11"/>
        <w:ind w:firstLine="480"/>
        <w:rPr>
          <w:rFonts w:ascii="仿宋_GB2312"/>
          <w:color w:val="auto"/>
          <w:highlight w:val="none"/>
        </w:rPr>
      </w:pPr>
      <w:r>
        <w:rPr>
          <w:rFonts w:ascii="仿宋_GB2312"/>
          <w:color w:val="auto"/>
          <w:highlight w:val="none"/>
        </w:rPr>
        <w:t>4</w:t>
      </w:r>
      <w:r>
        <w:rPr>
          <w:rFonts w:hint="eastAsia" w:ascii="仿宋_GB2312"/>
          <w:color w:val="auto"/>
          <w:highlight w:val="none"/>
        </w:rPr>
        <w:t>.《数字农业农村发展规划（2019—2025年）》</w:t>
      </w:r>
    </w:p>
    <w:p w14:paraId="442E736C">
      <w:pPr>
        <w:pStyle w:val="11"/>
        <w:ind w:firstLine="480"/>
        <w:rPr>
          <w:rFonts w:ascii="仿宋_GB2312"/>
          <w:color w:val="auto"/>
          <w:highlight w:val="none"/>
        </w:rPr>
      </w:pPr>
      <w:r>
        <w:rPr>
          <w:rFonts w:ascii="仿宋_GB2312"/>
          <w:color w:val="auto"/>
          <w:highlight w:val="none"/>
        </w:rPr>
        <w:t>5.</w:t>
      </w:r>
      <w:r>
        <w:rPr>
          <w:rFonts w:hint="eastAsia" w:ascii="仿宋_GB2312"/>
          <w:color w:val="auto"/>
          <w:highlight w:val="none"/>
        </w:rPr>
        <w:t>《中华人民共和国农村集体经济组织法》</w:t>
      </w:r>
    </w:p>
    <w:p w14:paraId="7B1D417B">
      <w:pPr>
        <w:pStyle w:val="11"/>
        <w:ind w:firstLine="482"/>
        <w:rPr>
          <w:rFonts w:ascii="仿宋_GB2312"/>
          <w:b/>
          <w:bCs/>
          <w:color w:val="auto"/>
          <w:highlight w:val="none"/>
        </w:rPr>
      </w:pPr>
      <w:r>
        <w:rPr>
          <w:rFonts w:hint="eastAsia" w:ascii="仿宋_GB2312"/>
          <w:b/>
          <w:bCs/>
          <w:color w:val="auto"/>
          <w:highlight w:val="none"/>
        </w:rPr>
        <w:t>（二）广州市政策要求</w:t>
      </w:r>
    </w:p>
    <w:p w14:paraId="3CE13D6D">
      <w:pPr>
        <w:pStyle w:val="11"/>
        <w:ind w:firstLine="480"/>
        <w:rPr>
          <w:rFonts w:ascii="仿宋_GB2312"/>
          <w:color w:val="auto"/>
          <w:highlight w:val="none"/>
        </w:rPr>
      </w:pPr>
      <w:r>
        <w:rPr>
          <w:rFonts w:hint="eastAsia" w:ascii="仿宋_GB2312"/>
          <w:color w:val="auto"/>
          <w:highlight w:val="none"/>
        </w:rPr>
        <w:t>1</w:t>
      </w:r>
      <w:r>
        <w:rPr>
          <w:rFonts w:ascii="仿宋_GB2312"/>
          <w:color w:val="auto"/>
          <w:highlight w:val="none"/>
        </w:rPr>
        <w:t>.</w:t>
      </w:r>
      <w:r>
        <w:rPr>
          <w:rFonts w:hint="eastAsia" w:ascii="仿宋_GB2312"/>
          <w:color w:val="auto"/>
          <w:highlight w:val="none"/>
        </w:rPr>
        <w:t>《广东省农村集体资产管理条例》</w:t>
      </w:r>
    </w:p>
    <w:p w14:paraId="4B808161">
      <w:pPr>
        <w:pStyle w:val="11"/>
        <w:ind w:firstLine="480"/>
        <w:rPr>
          <w:rFonts w:ascii="仿宋_GB2312"/>
          <w:color w:val="auto"/>
          <w:highlight w:val="none"/>
        </w:rPr>
      </w:pPr>
      <w:r>
        <w:rPr>
          <w:rFonts w:hint="eastAsia" w:ascii="仿宋_GB2312"/>
          <w:color w:val="auto"/>
          <w:highlight w:val="none"/>
        </w:rPr>
        <w:t>2</w:t>
      </w:r>
      <w:r>
        <w:rPr>
          <w:rFonts w:ascii="仿宋_GB2312"/>
          <w:color w:val="auto"/>
          <w:highlight w:val="none"/>
        </w:rPr>
        <w:t>.</w:t>
      </w:r>
      <w:r>
        <w:rPr>
          <w:rFonts w:hint="eastAsia" w:ascii="仿宋_GB2312"/>
          <w:color w:val="auto"/>
          <w:highlight w:val="none"/>
        </w:rPr>
        <w:t>《广东省农村产权流转交易管理服务平台接口规范（试行）》的通知（粤农农办〔2022〕108 号）</w:t>
      </w:r>
    </w:p>
    <w:p w14:paraId="695508BE">
      <w:pPr>
        <w:pStyle w:val="11"/>
        <w:ind w:firstLine="480"/>
        <w:rPr>
          <w:rFonts w:ascii="仿宋_GB2312"/>
          <w:color w:val="auto"/>
          <w:highlight w:val="none"/>
        </w:rPr>
      </w:pPr>
      <w:r>
        <w:rPr>
          <w:rFonts w:ascii="仿宋_GB2312"/>
          <w:color w:val="auto"/>
          <w:highlight w:val="none"/>
        </w:rPr>
        <w:t>3</w:t>
      </w:r>
      <w:r>
        <w:rPr>
          <w:rFonts w:hint="eastAsia" w:ascii="仿宋_GB2312"/>
          <w:color w:val="auto"/>
          <w:highlight w:val="none"/>
        </w:rPr>
        <w:t>.《广州市人民政府关于加强农村集体经济组织管理的指导意见》（穗府〔2</w:t>
      </w:r>
      <w:r>
        <w:rPr>
          <w:rFonts w:ascii="仿宋_GB2312"/>
          <w:color w:val="auto"/>
          <w:highlight w:val="none"/>
        </w:rPr>
        <w:t>019</w:t>
      </w:r>
      <w:r>
        <w:rPr>
          <w:rFonts w:hint="eastAsia" w:ascii="仿宋_GB2312"/>
          <w:color w:val="auto"/>
          <w:highlight w:val="none"/>
        </w:rPr>
        <w:t>〕</w:t>
      </w:r>
      <w:r>
        <w:rPr>
          <w:rFonts w:ascii="仿宋_GB2312"/>
          <w:color w:val="auto"/>
          <w:highlight w:val="none"/>
        </w:rPr>
        <w:t>11</w:t>
      </w:r>
      <w:r>
        <w:rPr>
          <w:rFonts w:hint="eastAsia" w:ascii="仿宋_GB2312"/>
          <w:color w:val="auto"/>
          <w:highlight w:val="none"/>
        </w:rPr>
        <w:t>号）</w:t>
      </w:r>
    </w:p>
    <w:p w14:paraId="45D3FA39">
      <w:pPr>
        <w:pStyle w:val="11"/>
        <w:ind w:firstLine="480"/>
        <w:rPr>
          <w:rFonts w:ascii="仿宋_GB2312"/>
          <w:color w:val="auto"/>
          <w:highlight w:val="none"/>
        </w:rPr>
      </w:pPr>
      <w:r>
        <w:rPr>
          <w:rFonts w:hint="eastAsia" w:ascii="仿宋_GB2312"/>
          <w:color w:val="auto"/>
          <w:highlight w:val="none"/>
        </w:rPr>
        <w:t>4.《关于加快推进全市农村集体资产监管“一张图”建设的实施方案的通知》（穗农权办〔2024〕3号）</w:t>
      </w:r>
    </w:p>
    <w:p w14:paraId="75EB7D19">
      <w:pPr>
        <w:pStyle w:val="3"/>
        <w:adjustRightInd w:val="0"/>
        <w:spacing w:before="0" w:after="0" w:line="360" w:lineRule="auto"/>
        <w:rPr>
          <w:rFonts w:hint="eastAsia" w:ascii="仿宋_GB2312" w:hAnsi="宋体" w:eastAsia="黑体" w:cs="黑体"/>
          <w:bCs/>
          <w:color w:val="auto"/>
          <w:kern w:val="0"/>
          <w:sz w:val="22"/>
          <w:szCs w:val="22"/>
          <w:highlight w:val="none"/>
          <w:lang w:val="zh-CN" w:bidi="zh-CN"/>
        </w:rPr>
      </w:pPr>
      <w:r>
        <w:rPr>
          <w:rFonts w:ascii="仿宋_GB2312" w:hAnsi="宋体" w:eastAsia="黑体" w:cs="黑体"/>
          <w:bCs/>
          <w:color w:val="auto"/>
          <w:kern w:val="0"/>
          <w:sz w:val="22"/>
          <w:szCs w:val="22"/>
          <w:highlight w:val="none"/>
          <w:lang w:val="zh-CN" w:bidi="zh-CN"/>
        </w:rPr>
        <w:t xml:space="preserve">5.2 </w:t>
      </w:r>
      <w:r>
        <w:rPr>
          <w:rFonts w:hint="eastAsia" w:ascii="仿宋_GB2312" w:hAnsi="宋体" w:eastAsia="黑体" w:cs="黑体"/>
          <w:bCs/>
          <w:color w:val="auto"/>
          <w:kern w:val="0"/>
          <w:sz w:val="22"/>
          <w:szCs w:val="22"/>
          <w:highlight w:val="none"/>
          <w:lang w:val="zh-CN" w:bidi="zh-CN"/>
        </w:rPr>
        <w:t>业务现状</w:t>
      </w:r>
    </w:p>
    <w:p w14:paraId="46892DFA">
      <w:pPr>
        <w:pStyle w:val="11"/>
        <w:ind w:firstLine="480"/>
        <w:rPr>
          <w:rFonts w:ascii="仿宋_GB2312"/>
          <w:color w:val="auto"/>
          <w:highlight w:val="none"/>
        </w:rPr>
      </w:pPr>
      <w:r>
        <w:rPr>
          <w:rFonts w:hint="eastAsia" w:ascii="仿宋_GB2312"/>
          <w:color w:val="auto"/>
          <w:highlight w:val="none"/>
        </w:rPr>
        <w:t>天河区农业农村局及下属事业单位过去已开展信息化系统建设，已建成运行3个系统，3个系统业务办理和数据管理相对独立。</w:t>
      </w:r>
    </w:p>
    <w:p w14:paraId="36559050">
      <w:pPr>
        <w:pStyle w:val="11"/>
        <w:ind w:firstLine="480"/>
        <w:rPr>
          <w:rFonts w:ascii="仿宋_GB2312"/>
          <w:color w:val="auto"/>
          <w:highlight w:val="none"/>
        </w:rPr>
      </w:pPr>
      <w:r>
        <w:rPr>
          <w:rFonts w:hint="eastAsia" w:ascii="仿宋_GB2312"/>
          <w:color w:val="auto"/>
          <w:highlight w:val="none"/>
        </w:rPr>
        <w:t>经济联社、街道、交易中心和区农业农村局通过天河区农村集体资产管理平台办理集体资产台账登记、交易前审核、公开交易、合同签订管理；通过天河区农村实时财务管理平台办理经济联社财务管理，包括集体资产经营收款、村各项财务收支；通过天河区农村集体经济组织成员与股权管理信息系统管理股东成员、股权管理。</w:t>
      </w:r>
    </w:p>
    <w:p w14:paraId="42C26215">
      <w:pPr>
        <w:pStyle w:val="2"/>
        <w:numPr>
          <w:ilvl w:val="255"/>
          <w:numId w:val="0"/>
        </w:numPr>
        <w:spacing w:before="0" w:after="0"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6.项目目标</w:t>
      </w:r>
    </w:p>
    <w:p w14:paraId="2265EEC9">
      <w:pPr>
        <w:ind w:firstLine="480"/>
        <w:rPr>
          <w:color w:val="auto"/>
          <w:highlight w:val="none"/>
        </w:rPr>
      </w:pPr>
      <w:r>
        <w:rPr>
          <w:rFonts w:hint="eastAsia"/>
          <w:color w:val="auto"/>
          <w:highlight w:val="none"/>
        </w:rPr>
        <w:t>围绕集体资产全业务链条和全流程，实现天河区农村集体资产一张图空间化管理；构建多层次监管指标模型，实现事前事中事后全过程监管；构建集体资产三维楼宇模型，形成全景实景浏览，以分层分户抽屉式实现集体资产（楼宇）精细化管理，支撑区重大集体资产项目管理和招商引资。</w:t>
      </w:r>
    </w:p>
    <w:p w14:paraId="4CF2D290">
      <w:pPr>
        <w:ind w:firstLine="480"/>
        <w:rPr>
          <w:color w:val="auto"/>
          <w:highlight w:val="none"/>
        </w:rPr>
      </w:pPr>
      <w:r>
        <w:rPr>
          <w:rFonts w:hint="eastAsia"/>
          <w:color w:val="auto"/>
          <w:highlight w:val="none"/>
        </w:rPr>
        <w:t>（一）构建“地</w:t>
      </w:r>
      <w:r>
        <w:rPr>
          <w:color w:val="auto"/>
          <w:highlight w:val="none"/>
        </w:rPr>
        <w:t>-</w:t>
      </w:r>
      <w:r>
        <w:rPr>
          <w:rFonts w:hint="eastAsia"/>
          <w:color w:val="auto"/>
          <w:highlight w:val="none"/>
        </w:rPr>
        <w:t>楼</w:t>
      </w:r>
      <w:r>
        <w:rPr>
          <w:color w:val="auto"/>
          <w:highlight w:val="none"/>
        </w:rPr>
        <w:t>-</w:t>
      </w:r>
      <w:r>
        <w:rPr>
          <w:rFonts w:hint="eastAsia"/>
          <w:color w:val="auto"/>
          <w:highlight w:val="none"/>
        </w:rPr>
        <w:t>房</w:t>
      </w:r>
      <w:r>
        <w:rPr>
          <w:color w:val="auto"/>
          <w:highlight w:val="none"/>
        </w:rPr>
        <w:t>-</w:t>
      </w:r>
      <w:r>
        <w:rPr>
          <w:rFonts w:hint="eastAsia"/>
          <w:color w:val="auto"/>
          <w:highlight w:val="none"/>
        </w:rPr>
        <w:t>企</w:t>
      </w:r>
      <w:r>
        <w:rPr>
          <w:color w:val="auto"/>
          <w:highlight w:val="none"/>
        </w:rPr>
        <w:t>-</w:t>
      </w:r>
      <w:r>
        <w:rPr>
          <w:rFonts w:hint="eastAsia"/>
          <w:color w:val="auto"/>
          <w:highlight w:val="none"/>
        </w:rPr>
        <w:t>账”业务关联的天河区农村集体资产时空数据体系。加强顶层设计，结合部、省、市集体资产大数据中心建设要求，构建天河区农村集体资产地</w:t>
      </w:r>
      <w:r>
        <w:rPr>
          <w:color w:val="auto"/>
          <w:highlight w:val="none"/>
        </w:rPr>
        <w:t>-</w:t>
      </w:r>
      <w:r>
        <w:rPr>
          <w:rFonts w:hint="eastAsia"/>
          <w:color w:val="auto"/>
          <w:highlight w:val="none"/>
        </w:rPr>
        <w:t>楼</w:t>
      </w:r>
      <w:r>
        <w:rPr>
          <w:color w:val="auto"/>
          <w:highlight w:val="none"/>
        </w:rPr>
        <w:t>-</w:t>
      </w:r>
      <w:r>
        <w:rPr>
          <w:rFonts w:hint="eastAsia"/>
          <w:color w:val="auto"/>
          <w:highlight w:val="none"/>
        </w:rPr>
        <w:t>房</w:t>
      </w:r>
      <w:r>
        <w:rPr>
          <w:color w:val="auto"/>
          <w:highlight w:val="none"/>
        </w:rPr>
        <w:t>-</w:t>
      </w:r>
      <w:r>
        <w:rPr>
          <w:rFonts w:hint="eastAsia"/>
          <w:color w:val="auto"/>
          <w:highlight w:val="none"/>
        </w:rPr>
        <w:t>企</w:t>
      </w:r>
      <w:r>
        <w:rPr>
          <w:color w:val="auto"/>
          <w:highlight w:val="none"/>
        </w:rPr>
        <w:t>-</w:t>
      </w:r>
      <w:r>
        <w:rPr>
          <w:rFonts w:hint="eastAsia"/>
          <w:color w:val="auto"/>
          <w:highlight w:val="none"/>
        </w:rPr>
        <w:t>账业务关联的集体资产时空数据体系，为持续优化提升集体资产管理方式和水平提供框架支撑。</w:t>
      </w:r>
    </w:p>
    <w:p w14:paraId="08065A90">
      <w:pPr>
        <w:ind w:firstLine="480"/>
        <w:rPr>
          <w:bCs/>
          <w:color w:val="auto"/>
          <w:highlight w:val="none"/>
        </w:rPr>
      </w:pPr>
      <w:r>
        <w:rPr>
          <w:rFonts w:hint="eastAsia"/>
          <w:bCs/>
          <w:color w:val="auto"/>
          <w:highlight w:val="none"/>
        </w:rPr>
        <w:t>（二）围绕集体经济组织及其成员和股权、资产交易、农村财务管理，提升管理的规范性和高效性，增强系统的稳定性、安全性和易用性。在现有的业务系统的基础上，按照国家、部委、省、市关于“三资”监管的最新法律法规和要求，针对业务管理过程中新的需求，以及信创要求，信息安全要求，按照全新统一的技术架构和业务逻辑，完成对现有系统的升级改造，实现天河区农业局所有信息系统整合和数据融合。</w:t>
      </w:r>
    </w:p>
    <w:p w14:paraId="23DE2278">
      <w:pPr>
        <w:ind w:firstLine="480"/>
        <w:rPr>
          <w:color w:val="auto"/>
          <w:highlight w:val="none"/>
        </w:rPr>
      </w:pPr>
      <w:r>
        <w:rPr>
          <w:rFonts w:hint="eastAsia"/>
          <w:bCs/>
          <w:color w:val="auto"/>
          <w:highlight w:val="none"/>
        </w:rPr>
        <w:t>（三）建立底图底数清晰的集体资产空间一张图专题库。</w:t>
      </w:r>
      <w:r>
        <w:rPr>
          <w:rFonts w:hint="eastAsia"/>
          <w:color w:val="auto"/>
          <w:highlight w:val="none"/>
        </w:rPr>
        <w:t>形成集体资产监督管理的对象和基础准绳，是集体资产登记、交易、利用、营收、监管的底板和实体对象，是关联集体资产交易利用和监督监管的桥梁，是支撑集体资产管理、监督分离的关键，是科学规划集体资产高效利用的核心，可以为规范、科学的集体资产交易、监管和服务提供数据支撑。</w:t>
      </w:r>
    </w:p>
    <w:p w14:paraId="3570F035">
      <w:pPr>
        <w:ind w:firstLine="480"/>
        <w:rPr>
          <w:color w:val="auto"/>
          <w:highlight w:val="none"/>
        </w:rPr>
      </w:pPr>
      <w:r>
        <w:rPr>
          <w:rFonts w:hint="eastAsia"/>
          <w:color w:val="auto"/>
          <w:highlight w:val="none"/>
        </w:rPr>
        <w:t>（四）围绕重点业务开展各环节业务关联的智慧化应用和监督管理。以天河区农村集体资产一张图为基础，围绕集体资产登记、交易、合同、财务、服务全业务链条开展各环节业务关联的智慧化应用和监督管理，通过技防</w:t>
      </w:r>
      <w:r>
        <w:rPr>
          <w:color w:val="auto"/>
          <w:highlight w:val="none"/>
        </w:rPr>
        <w:t>+</w:t>
      </w:r>
      <w:r>
        <w:rPr>
          <w:rFonts w:hint="eastAsia"/>
          <w:color w:val="auto"/>
          <w:highlight w:val="none"/>
        </w:rPr>
        <w:t>人防、线上+线下相结合的服务方式，全方位加强集体资产服务手段和服务水平。</w:t>
      </w:r>
      <w:r>
        <w:rPr>
          <w:rFonts w:hint="eastAsia" w:hAnsi="宋体"/>
          <w:color w:val="auto"/>
          <w:kern w:val="0"/>
          <w:highlight w:val="none"/>
        </w:rPr>
        <w:t>以大数据的</w:t>
      </w:r>
      <w:r>
        <w:rPr>
          <w:rFonts w:hAnsi="宋体"/>
          <w:color w:val="auto"/>
          <w:kern w:val="0"/>
          <w:highlight w:val="none"/>
        </w:rPr>
        <w:t>"</w:t>
      </w:r>
      <w:r>
        <w:rPr>
          <w:rFonts w:hint="eastAsia" w:hAnsi="宋体"/>
          <w:color w:val="auto"/>
          <w:kern w:val="0"/>
          <w:highlight w:val="none"/>
        </w:rPr>
        <w:t>智能穿透、动态闭环、生态协同</w:t>
      </w:r>
      <w:r>
        <w:rPr>
          <w:rFonts w:hAnsi="宋体"/>
          <w:color w:val="auto"/>
          <w:kern w:val="0"/>
          <w:highlight w:val="none"/>
        </w:rPr>
        <w:t>"</w:t>
      </w:r>
      <w:r>
        <w:rPr>
          <w:rFonts w:hint="eastAsia" w:hAnsi="宋体"/>
          <w:color w:val="auto"/>
          <w:kern w:val="0"/>
          <w:highlight w:val="none"/>
        </w:rPr>
        <w:t>为方向突破，打造智慧服务体系，推动集体经济管理从"单点管控"升级为"生态治理"，从“粗放经验型”向“数字智能型”转型，发挥数据要素价值。</w:t>
      </w:r>
    </w:p>
    <w:p w14:paraId="12F4A47B">
      <w:pPr>
        <w:ind w:firstLine="480"/>
        <w:rPr>
          <w:color w:val="auto"/>
          <w:highlight w:val="none"/>
        </w:rPr>
      </w:pPr>
      <w:r>
        <w:rPr>
          <w:rFonts w:hint="eastAsia"/>
          <w:color w:val="auto"/>
          <w:highlight w:val="none"/>
        </w:rPr>
        <w:t>（五）信息化平台支撑集体资产监管业务，</w:t>
      </w:r>
      <w:r>
        <w:rPr>
          <w:rFonts w:hint="eastAsia" w:hAnsi="宋体"/>
          <w:color w:val="auto"/>
          <w:kern w:val="0"/>
          <w:highlight w:val="none"/>
        </w:rPr>
        <w:t>从传统“事后追责”转向现代</w:t>
      </w:r>
      <w:r>
        <w:rPr>
          <w:rFonts w:hint="eastAsia" w:hAnsi="宋体"/>
          <w:bCs/>
          <w:color w:val="auto"/>
          <w:kern w:val="0"/>
          <w:highlight w:val="none"/>
        </w:rPr>
        <w:t>“事前预防”</w:t>
      </w:r>
      <w:r>
        <w:rPr>
          <w:rFonts w:hint="eastAsia"/>
          <w:bCs/>
          <w:color w:val="auto"/>
          <w:highlight w:val="none"/>
        </w:rPr>
        <w:t>。</w:t>
      </w:r>
      <w:r>
        <w:rPr>
          <w:rFonts w:hint="eastAsia"/>
          <w:color w:val="auto"/>
          <w:highlight w:val="none"/>
        </w:rPr>
        <w:t>综合利用科学技术，加强集体资产常态化监督管理，将监督监管贯穿事前、事中、事后，多措并举主动监管和预警，实现所有监管预警信息在地图上可查、可见，推动集体资产监管</w:t>
      </w:r>
      <w:r>
        <w:rPr>
          <w:rFonts w:hint="eastAsia" w:hAnsi="宋体"/>
          <w:color w:val="auto"/>
          <w:kern w:val="0"/>
          <w:highlight w:val="none"/>
        </w:rPr>
        <w:t>从"事后追责"转向"事前预防"，实现“数据盯人”的转变</w:t>
      </w:r>
      <w:r>
        <w:rPr>
          <w:rFonts w:hint="eastAsia"/>
          <w:color w:val="auto"/>
          <w:highlight w:val="none"/>
        </w:rPr>
        <w:t>。以"以监促改、以改促优"为核心目标，为集体资产基层管理赋能，同时，服务招商稳商提质增效。</w:t>
      </w:r>
    </w:p>
    <w:p w14:paraId="29202B73">
      <w:pPr>
        <w:ind w:firstLine="480"/>
        <w:rPr>
          <w:color w:val="auto"/>
          <w:highlight w:val="none"/>
        </w:rPr>
      </w:pPr>
      <w:r>
        <w:rPr>
          <w:rFonts w:hint="eastAsia"/>
          <w:color w:val="auto"/>
          <w:highlight w:val="none"/>
        </w:rPr>
        <w:t>（六）建设集体资产综合服务模块，为集体资产管理者和投资者提供综合性服务，包括集体资产经营报告、集体资产盘活利用、</w:t>
      </w:r>
      <w:r>
        <w:rPr>
          <w:rFonts w:hint="eastAsia"/>
          <w:bCs/>
          <w:color w:val="auto"/>
          <w:highlight w:val="none"/>
        </w:rPr>
        <w:t>构建楼宇管家与集体资产招商引资模块，以盘活利用闲置资产，助力提升集体资产利用率，为基层减重赋能，发展壮大农村集体经济，实现精细化管理和高品质提升。</w:t>
      </w:r>
    </w:p>
    <w:p w14:paraId="0B7FA314">
      <w:pPr>
        <w:pStyle w:val="9"/>
        <w:outlineLvl w:val="2"/>
        <w:rPr>
          <w:rFonts w:hint="default"/>
          <w:b/>
          <w:color w:val="auto"/>
          <w:sz w:val="28"/>
          <w:highlight w:val="none"/>
        </w:rPr>
      </w:pPr>
      <w:r>
        <w:rPr>
          <w:b/>
          <w:color w:val="auto"/>
          <w:sz w:val="28"/>
          <w:highlight w:val="none"/>
          <w:lang w:eastAsia="zh-CN"/>
        </w:rPr>
        <w:t>二、</w:t>
      </w:r>
      <w:r>
        <w:rPr>
          <w:b/>
          <w:color w:val="auto"/>
          <w:sz w:val="28"/>
          <w:highlight w:val="none"/>
        </w:rPr>
        <w:t>总体建设要求</w:t>
      </w:r>
    </w:p>
    <w:p w14:paraId="625A55F4">
      <w:pPr>
        <w:pStyle w:val="2"/>
        <w:numPr>
          <w:ilvl w:val="255"/>
          <w:numId w:val="0"/>
        </w:numPr>
        <w:spacing w:before="0" w:after="0"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1.建设要求</w:t>
      </w:r>
    </w:p>
    <w:p w14:paraId="17C15901">
      <w:pPr>
        <w:pStyle w:val="6"/>
        <w:ind w:firstLine="424" w:firstLineChars="177"/>
        <w:jc w:val="left"/>
        <w:rPr>
          <w:rFonts w:hint="eastAsia" w:ascii="仿宋_GB2312" w:hAnsi="宋体"/>
          <w:color w:val="auto"/>
          <w:highlight w:val="none"/>
        </w:rPr>
      </w:pPr>
      <w:r>
        <w:rPr>
          <w:rFonts w:hint="eastAsia" w:ascii="仿宋_GB2312" w:hAnsi="宋体"/>
          <w:color w:val="auto"/>
          <w:highlight w:val="none"/>
        </w:rPr>
        <w:t>本次项目内容包括系统开发、专题库建设、信息化基础设施建设，以及历史数据迁移，其中，系统开发部分包括</w:t>
      </w:r>
      <w:r>
        <w:rPr>
          <w:rFonts w:ascii="仿宋_GB2312" w:hAnsi="宋体"/>
          <w:color w:val="auto"/>
          <w:highlight w:val="none"/>
        </w:rPr>
        <w:t>6</w:t>
      </w:r>
      <w:r>
        <w:rPr>
          <w:rFonts w:hint="eastAsia" w:ascii="仿宋_GB2312" w:hAnsi="宋体"/>
          <w:color w:val="auto"/>
          <w:highlight w:val="none"/>
        </w:rPr>
        <w:t>个子模块：农村集体资产大数据资源中心、农村集体资产交易管理、</w:t>
      </w:r>
      <w:r>
        <w:rPr>
          <w:rFonts w:hint="eastAsia" w:ascii="仿宋_GB2312"/>
          <w:color w:val="auto"/>
          <w:szCs w:val="24"/>
          <w:highlight w:val="none"/>
        </w:rPr>
        <w:t>农村实时财务管理、</w:t>
      </w:r>
      <w:r>
        <w:rPr>
          <w:rFonts w:hint="eastAsia" w:ascii="仿宋_GB2312" w:hAnsi="宋体"/>
          <w:color w:val="auto"/>
          <w:highlight w:val="none"/>
        </w:rPr>
        <w:t>农村集体资产一张图、农村集体资产监测预警、农村集体资产综合服务；专题库建设内容包括集体资产时空数据标准建设、集体资产监管指标体系构建、集体经济组织空间专题库。专题库建设成果采用2000国家大地坐标系，集体资产历史红线及其他矢量数据为西安80坐标系、地方坐标系的均应进行坐标转换，统一坐标系；信息化基础设施建设，包括基础软件采购、政务云资源租赁、集体资产和资源空间基础模型（三维）。</w:t>
      </w:r>
    </w:p>
    <w:p w14:paraId="6E7B30BF">
      <w:pPr>
        <w:pStyle w:val="6"/>
        <w:spacing w:line="360" w:lineRule="auto"/>
        <w:ind w:firstLine="424" w:firstLineChars="177"/>
        <w:jc w:val="both"/>
        <w:rPr>
          <w:rFonts w:hint="eastAsia" w:ascii="仿宋_GB2312" w:hAnsi="宋体"/>
          <w:color w:val="auto"/>
          <w:highlight w:val="none"/>
        </w:rPr>
      </w:pPr>
      <w:r>
        <w:rPr>
          <w:rFonts w:hint="eastAsia" w:ascii="仿宋_GB2312" w:hAnsi="宋体"/>
          <w:color w:val="auto"/>
          <w:highlight w:val="none"/>
        </w:rPr>
        <w:t>中标后由采购人负责协调现有系统开发</w:t>
      </w:r>
      <w:r>
        <w:rPr>
          <w:rFonts w:ascii="仿宋_GB2312" w:hAnsi="宋体"/>
          <w:color w:val="auto"/>
          <w:highlight w:val="none"/>
        </w:rPr>
        <w:t>与</w:t>
      </w:r>
      <w:r>
        <w:rPr>
          <w:rFonts w:hint="eastAsia" w:ascii="仿宋_GB2312" w:hAnsi="宋体"/>
          <w:color w:val="auto"/>
          <w:highlight w:val="none"/>
        </w:rPr>
        <w:t>已</w:t>
      </w:r>
      <w:r>
        <w:rPr>
          <w:rFonts w:ascii="仿宋_GB2312" w:hAnsi="宋体"/>
          <w:color w:val="auto"/>
          <w:highlight w:val="none"/>
        </w:rPr>
        <w:t>建系统对接</w:t>
      </w:r>
      <w:r>
        <w:rPr>
          <w:rFonts w:hint="eastAsia" w:ascii="仿宋_GB2312" w:hAnsi="宋体"/>
          <w:color w:val="auto"/>
          <w:highlight w:val="none"/>
        </w:rPr>
        <w:t>所需技术资料（相关技术说明文档或对接规范、调用</w:t>
      </w:r>
      <w:r>
        <w:rPr>
          <w:rFonts w:ascii="仿宋_GB2312" w:hAnsi="宋体"/>
          <w:color w:val="auto"/>
          <w:highlight w:val="none"/>
        </w:rPr>
        <w:t>接口</w:t>
      </w:r>
      <w:r>
        <w:rPr>
          <w:rFonts w:hint="eastAsia" w:ascii="仿宋_GB2312" w:hAnsi="宋体"/>
          <w:color w:val="auto"/>
          <w:highlight w:val="none"/>
        </w:rPr>
        <w:t>或</w:t>
      </w:r>
      <w:r>
        <w:rPr>
          <w:rFonts w:ascii="仿宋_GB2312" w:hAnsi="宋体"/>
          <w:color w:val="auto"/>
          <w:highlight w:val="none"/>
        </w:rPr>
        <w:t>服务、数据字典</w:t>
      </w:r>
      <w:r>
        <w:rPr>
          <w:rFonts w:hint="eastAsia" w:ascii="仿宋_GB2312" w:hAnsi="宋体"/>
          <w:color w:val="auto"/>
          <w:highlight w:val="none"/>
        </w:rPr>
        <w:t>和</w:t>
      </w:r>
      <w:r>
        <w:rPr>
          <w:rFonts w:ascii="仿宋_GB2312" w:hAnsi="宋体"/>
          <w:color w:val="auto"/>
          <w:highlight w:val="none"/>
        </w:rPr>
        <w:t>说明书</w:t>
      </w:r>
      <w:r>
        <w:rPr>
          <w:rFonts w:hint="eastAsia" w:ascii="仿宋_GB2312" w:hAnsi="宋体"/>
          <w:color w:val="auto"/>
          <w:highlight w:val="none"/>
        </w:rPr>
        <w:t>等），以便本项目与相关</w:t>
      </w:r>
      <w:r>
        <w:rPr>
          <w:rFonts w:ascii="仿宋_GB2312" w:hAnsi="宋体"/>
          <w:color w:val="auto"/>
          <w:highlight w:val="none"/>
        </w:rPr>
        <w:t>系统顺利交互</w:t>
      </w:r>
      <w:r>
        <w:rPr>
          <w:rFonts w:hint="eastAsia" w:ascii="仿宋_GB2312" w:hAnsi="宋体"/>
          <w:color w:val="auto"/>
          <w:highlight w:val="none"/>
        </w:rPr>
        <w:t>，中标人应提供充足的技术能力开发本项目建设内容。</w:t>
      </w:r>
    </w:p>
    <w:p w14:paraId="581A0F96">
      <w:pPr>
        <w:pStyle w:val="6"/>
        <w:spacing w:line="360" w:lineRule="auto"/>
        <w:ind w:firstLine="424" w:firstLineChars="177"/>
        <w:jc w:val="both"/>
        <w:rPr>
          <w:rFonts w:hint="eastAsia" w:ascii="仿宋_GB2312" w:hAnsi="宋体"/>
          <w:color w:val="auto"/>
          <w:highlight w:val="none"/>
        </w:rPr>
      </w:pPr>
      <w:r>
        <w:rPr>
          <w:rFonts w:hint="eastAsia" w:ascii="仿宋_GB2312" w:hAnsi="宋体"/>
          <w:color w:val="auto"/>
          <w:highlight w:val="none"/>
        </w:rPr>
        <w:t>此外，系统部分功能中需要的相关数据由采购人负责协调并提供，专题库建设成果需要符合国家、省、市相关行业标准规范，中标人应具备充足的基础数据资源以支撑本项目的建设内容。</w:t>
      </w:r>
    </w:p>
    <w:p w14:paraId="4E3E5BBF">
      <w:pPr>
        <w:pStyle w:val="2"/>
        <w:numPr>
          <w:ilvl w:val="255"/>
          <w:numId w:val="0"/>
        </w:numPr>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ascii="宋体" w:hAnsi="宋体" w:eastAsia="宋体" w:cs="宋体"/>
          <w:color w:val="auto"/>
          <w:sz w:val="24"/>
          <w:highlight w:val="none"/>
        </w:rPr>
        <w:t>.建设原则</w:t>
      </w:r>
    </w:p>
    <w:p w14:paraId="7A167642">
      <w:pPr>
        <w:pStyle w:val="6"/>
        <w:spacing w:line="360" w:lineRule="auto"/>
        <w:ind w:firstLine="424" w:firstLineChars="177"/>
        <w:jc w:val="left"/>
        <w:rPr>
          <w:rFonts w:hint="eastAsia" w:ascii="仿宋_GB2312" w:hAnsi="宋体"/>
          <w:color w:val="auto"/>
          <w:highlight w:val="none"/>
        </w:rPr>
      </w:pPr>
      <w:r>
        <w:rPr>
          <w:rFonts w:hint="eastAsia" w:ascii="仿宋_GB2312" w:hAnsi="宋体"/>
          <w:color w:val="auto"/>
          <w:highlight w:val="none"/>
        </w:rPr>
        <w:t>本次项目建设需要遵循建设原则包括：统筹和整合原则、统一和分步原则、先进和实用原则、共享和兼容原则、开放和规范原则、扩展与维护原则、安全和保密原则。</w:t>
      </w:r>
    </w:p>
    <w:p w14:paraId="24625E63">
      <w:pPr>
        <w:pStyle w:val="9"/>
        <w:outlineLvl w:val="2"/>
        <w:rPr>
          <w:rFonts w:hint="default"/>
          <w:b/>
          <w:color w:val="auto"/>
          <w:sz w:val="28"/>
          <w:highlight w:val="none"/>
        </w:rPr>
      </w:pPr>
      <w:r>
        <w:rPr>
          <w:b/>
          <w:color w:val="auto"/>
          <w:sz w:val="28"/>
          <w:highlight w:val="none"/>
          <w:lang w:eastAsia="zh-CN"/>
        </w:rPr>
        <w:t>三、</w:t>
      </w:r>
      <w:r>
        <w:rPr>
          <w:b/>
          <w:color w:val="auto"/>
          <w:sz w:val="28"/>
          <w:highlight w:val="none"/>
        </w:rPr>
        <w:t>系统功能要求</w:t>
      </w:r>
    </w:p>
    <w:p w14:paraId="5EF761B2">
      <w:pPr>
        <w:pStyle w:val="2"/>
        <w:numPr>
          <w:ilvl w:val="255"/>
          <w:numId w:val="0"/>
        </w:numPr>
        <w:adjustRightInd w:val="0"/>
        <w:snapToGrid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1.农村集体资产大数据资源中心</w:t>
      </w:r>
    </w:p>
    <w:p w14:paraId="5A88E2E9">
      <w:pPr>
        <w:ind w:firstLine="480"/>
        <w:rPr>
          <w:color w:val="auto"/>
          <w:highlight w:val="none"/>
        </w:rPr>
      </w:pPr>
      <w:r>
        <w:rPr>
          <w:rFonts w:hint="eastAsia"/>
          <w:color w:val="auto"/>
          <w:highlight w:val="none"/>
        </w:rPr>
        <w:t>围绕农村集体资产管理问题实施精细化、信息化、动态化服务管理，构建天河区农村集体资产大数据中心。汇聚农村集体资产（二三维）、交易、合同、财务、股权、经济组织成员等业务数据；整合住建、规自、政数等部门的共享数据；接入工商登记企业数据，专题数据形成包括企业基本信息（注册资本、行业、经营范围）、股权结构、处罚情况等；按照标准化、规范化原则构建数据资源中心，实现多源异构数据的高效存储和管理，并提供数据分析工具和共享接口，为农村集体经济分析、利用提供数据支持。数据整合与共享，实现跨渠道数据的统一管理与部门间高效共享。</w:t>
      </w:r>
    </w:p>
    <w:p w14:paraId="37E68781">
      <w:pPr>
        <w:pStyle w:val="3"/>
        <w:adjustRightInd w:val="0"/>
        <w:spacing w:before="0" w:after="0" w:line="360" w:lineRule="auto"/>
        <w:rPr>
          <w:rFonts w:ascii="仿宋_GB2312"/>
          <w:color w:val="auto"/>
          <w:sz w:val="22"/>
          <w:szCs w:val="22"/>
          <w:highlight w:val="none"/>
        </w:rPr>
      </w:pPr>
      <w:r>
        <w:rPr>
          <w:rFonts w:hint="eastAsia" w:ascii="仿宋_GB2312" w:hAnsi="宋体" w:eastAsia="黑体" w:cs="黑体"/>
          <w:bCs/>
          <w:color w:val="auto"/>
          <w:kern w:val="0"/>
          <w:sz w:val="22"/>
          <w:szCs w:val="22"/>
          <w:highlight w:val="none"/>
          <w:lang w:val="zh-CN" w:bidi="zh-CN"/>
        </w:rPr>
        <w:t>1.1</w:t>
      </w:r>
      <w:r>
        <w:rPr>
          <w:rFonts w:hint="eastAsia" w:ascii="仿宋_GB2312"/>
          <w:color w:val="auto"/>
          <w:sz w:val="22"/>
          <w:szCs w:val="22"/>
          <w:highlight w:val="none"/>
        </w:rPr>
        <w:t>农村集体资产管理</w:t>
      </w:r>
    </w:p>
    <w:p w14:paraId="662D731E">
      <w:pPr>
        <w:ind w:firstLine="480"/>
        <w:rPr>
          <w:color w:val="auto"/>
          <w:highlight w:val="none"/>
        </w:rPr>
      </w:pPr>
      <w:r>
        <w:rPr>
          <w:rFonts w:hint="eastAsia"/>
          <w:color w:val="auto"/>
          <w:highlight w:val="none"/>
        </w:rPr>
        <w:t>提供天河区农村集体资产全生命周期管理能力，服务于资产的新增、变更、修改、删除，提供多种类型的资产台账管理功能，包括资源型、物业型、实物资产，支持高效录入与更新资产、资源等核心数据，从而保障数据的完整性与准确性。</w:t>
      </w:r>
    </w:p>
    <w:p w14:paraId="2848865E">
      <w:pPr>
        <w:ind w:firstLine="480"/>
        <w:rPr>
          <w:color w:val="auto"/>
          <w:highlight w:val="none"/>
        </w:rPr>
      </w:pPr>
      <w:r>
        <w:rPr>
          <w:rFonts w:hint="eastAsia"/>
          <w:color w:val="auto"/>
          <w:highlight w:val="none"/>
        </w:rPr>
        <w:t>集体资产处于动态更新和维护中，存在资产新增、资产拆除、资产改建、资产图片更新、资产实测等资产实体信息变更的情况，面向经济联社与经济社，提供资产填报上图和更新维护的能力，提供集体资产空间范围与信息的新增、修改功能。</w:t>
      </w:r>
    </w:p>
    <w:p w14:paraId="36C35F03">
      <w:pPr>
        <w:ind w:firstLine="480"/>
        <w:rPr>
          <w:color w:val="auto"/>
          <w:highlight w:val="none"/>
        </w:rPr>
      </w:pPr>
      <w:r>
        <w:rPr>
          <w:rFonts w:hint="eastAsia"/>
          <w:color w:val="auto"/>
          <w:highlight w:val="none"/>
        </w:rPr>
        <w:t>提供资产台账管理，支持查看资产清单，包括资产编号、资产地址、资产登记面积等关键信息；资产创建与管理；资产填报管理，支持对资产关键信息进行编辑修改、在地图上新增绘制资产空间范围，并和原资产信息进行对照，以物业型资产为例，支持资产单元对应楼层、房号、面积等信息新增录入，展示村下属经济社资产录入进度；资产全景图像管理、资产巡查管理、资产档案管理、资产二维码生成等功能模块。</w:t>
      </w:r>
    </w:p>
    <w:p w14:paraId="3CE026C1">
      <w:pPr>
        <w:pStyle w:val="3"/>
        <w:adjustRightInd w:val="0"/>
        <w:snapToGrid w:val="0"/>
        <w:spacing w:before="0" w:after="0"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val="zh-CN" w:bidi="zh-CN"/>
        </w:rPr>
        <w:t>1.2农村集体经济组织成员与股权管理</w:t>
      </w:r>
    </w:p>
    <w:p w14:paraId="5521385A">
      <w:pPr>
        <w:ind w:firstLine="480"/>
        <w:rPr>
          <w:color w:val="auto"/>
          <w:highlight w:val="none"/>
        </w:rPr>
      </w:pPr>
      <w:r>
        <w:rPr>
          <w:rFonts w:hint="eastAsia"/>
          <w:color w:val="auto"/>
          <w:highlight w:val="none"/>
        </w:rPr>
        <w:t>对农村集体经济组织及其成员（社区股东和社会股东）及其股权信息的基本资料、变动资料进行登记，实现各类信息变更审核与管理，支撑分红自动计算，实现成员全生命周期管理。提供基础信息管理（成员资料管理、成员信息综合查询与修改、户资料与代领人信息管理）、股份分配、信息审核、统计分析等功能模块。</w:t>
      </w:r>
    </w:p>
    <w:p w14:paraId="54039867">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val="zh-CN" w:bidi="zh-CN"/>
        </w:rPr>
        <w:t>1.3数据资源管理与共享</w:t>
      </w:r>
    </w:p>
    <w:p w14:paraId="32DC62FD">
      <w:pPr>
        <w:ind w:firstLine="480"/>
        <w:rPr>
          <w:color w:val="auto"/>
          <w:highlight w:val="none"/>
        </w:rPr>
      </w:pPr>
      <w:r>
        <w:rPr>
          <w:rFonts w:hint="eastAsia"/>
          <w:color w:val="auto"/>
          <w:highlight w:val="none"/>
        </w:rPr>
        <w:t>数据汇聚管理。提供多源异构数据存储功能，支持结构化、非结构化数据的存储和管理，包括数据库体的创建和删除，表的删除和重命名操作。支撑集体资产空间数据、非空间数据、三维模型数据、多媒体数据的存储和管理。针对本项目形成的专题库建设成果、第三方数据源等，实现统一汇聚和管理，提供数据处理工具，支撑后续数据更新和维护。</w:t>
      </w:r>
    </w:p>
    <w:p w14:paraId="4A1A5340">
      <w:pPr>
        <w:ind w:firstLine="480"/>
        <w:rPr>
          <w:color w:val="auto"/>
          <w:highlight w:val="none"/>
        </w:rPr>
      </w:pPr>
      <w:r>
        <w:rPr>
          <w:rFonts w:hint="eastAsia"/>
          <w:color w:val="auto"/>
          <w:highlight w:val="none"/>
        </w:rPr>
        <w:t>数据共享管理。面向政务侧，提供农村集体地图服务管理功能，</w:t>
      </w:r>
      <w:r>
        <w:rPr>
          <w:rFonts w:hint="eastAsia" w:ascii="仿宋_GB2312"/>
          <w:color w:val="auto"/>
          <w:highlight w:val="none"/>
        </w:rPr>
        <w:t>并提供地图接口和数据接口，</w:t>
      </w:r>
      <w:r>
        <w:rPr>
          <w:rFonts w:hint="eastAsia"/>
          <w:color w:val="auto"/>
          <w:highlight w:val="none"/>
        </w:rPr>
        <w:t>实现空间数据共享。</w:t>
      </w:r>
    </w:p>
    <w:p w14:paraId="7810F0EC">
      <w:pPr>
        <w:ind w:firstLine="480"/>
        <w:rPr>
          <w:rFonts w:ascii="仿宋_GB2312"/>
          <w:color w:val="auto"/>
          <w:highlight w:val="none"/>
        </w:rPr>
      </w:pPr>
      <w:r>
        <w:rPr>
          <w:rFonts w:hint="eastAsia"/>
          <w:color w:val="auto"/>
          <w:highlight w:val="none"/>
        </w:rPr>
        <w:t>数据安全管理</w:t>
      </w:r>
      <w:r>
        <w:rPr>
          <w:rFonts w:hint="eastAsia" w:ascii="仿宋_GB2312"/>
          <w:color w:val="auto"/>
          <w:highlight w:val="none"/>
        </w:rPr>
        <w:t>。针对本项目产生的数据，采取多种技术措施，确保数据安全。</w:t>
      </w:r>
    </w:p>
    <w:p w14:paraId="44CF8C95">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val="zh-CN" w:bidi="zh-CN"/>
        </w:rPr>
        <w:t>1.4数据挖掘分析</w:t>
      </w:r>
    </w:p>
    <w:p w14:paraId="297BF4F6">
      <w:pPr>
        <w:ind w:firstLine="480"/>
        <w:rPr>
          <w:rFonts w:ascii="仿宋_GB2312"/>
          <w:color w:val="auto"/>
          <w:highlight w:val="none"/>
        </w:rPr>
      </w:pPr>
      <w:r>
        <w:rPr>
          <w:rFonts w:hint="eastAsia" w:ascii="仿宋_GB2312"/>
          <w:color w:val="auto"/>
          <w:highlight w:val="none"/>
        </w:rPr>
        <w:t>针对数据统计分析的需要，提供数据挖掘分析能力，以可视化图表的形式快速输出分析结果，满足日常各类数据分析的需求。包括数据浏览、数据过滤、数据聚合、自定义查询、数据可视化等功能。</w:t>
      </w:r>
    </w:p>
    <w:p w14:paraId="1D35916E">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val="zh-CN" w:bidi="zh-CN"/>
        </w:rPr>
        <w:t>1.5模型配置管理</w:t>
      </w:r>
    </w:p>
    <w:p w14:paraId="1D32E169">
      <w:pPr>
        <w:ind w:firstLine="480"/>
        <w:rPr>
          <w:rFonts w:ascii="仿宋_GB2312"/>
          <w:color w:val="auto"/>
          <w:highlight w:val="none"/>
        </w:rPr>
      </w:pPr>
      <w:r>
        <w:rPr>
          <w:rFonts w:hint="eastAsia" w:ascii="仿宋_GB2312"/>
          <w:color w:val="auto"/>
          <w:highlight w:val="none"/>
        </w:rPr>
        <w:t>针对三资数据分析模型管理的需求，提供模型算子定义、数据源管理、运行情况查看等信息，支持对模型进行分类，灵活添加新的分析模型。包括模型注册，数据模型配置与定义，支持不同开发语言模型定义；模型工作流管理，展示所有模型（预置本项目相关的模型不少于</w:t>
      </w:r>
      <w:r>
        <w:rPr>
          <w:rFonts w:ascii="仿宋_GB2312"/>
          <w:color w:val="auto"/>
          <w:highlight w:val="none"/>
        </w:rPr>
        <w:t>5</w:t>
      </w:r>
      <w:r>
        <w:rPr>
          <w:rFonts w:hint="eastAsia" w:ascii="仿宋_GB2312"/>
          <w:color w:val="auto"/>
          <w:highlight w:val="none"/>
        </w:rPr>
        <w:t>个），支持查看各模型算子，支持对模型进行编辑；模型执行状态监控，记录分析模型执行状态（运行、失败、成功）、提交时间、完成时间及处理时长；支持分析结果自动叠加至地图进行可视化展示等功能。</w:t>
      </w:r>
    </w:p>
    <w:p w14:paraId="34F843E4">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val="zh-CN" w:bidi="zh-CN"/>
        </w:rPr>
        <w:t>1.6运维监控管理</w:t>
      </w:r>
    </w:p>
    <w:p w14:paraId="6CC081B4">
      <w:pPr>
        <w:adjustRightInd w:val="0"/>
        <w:snapToGrid w:val="0"/>
        <w:spacing w:line="360" w:lineRule="auto"/>
        <w:ind w:firstLine="480"/>
        <w:rPr>
          <w:rFonts w:hint="eastAsia" w:ascii="仿宋_GB2312" w:hAnsi="宋体" w:eastAsia="黑体" w:cs="黑体"/>
          <w:bCs/>
          <w:color w:val="auto"/>
          <w:kern w:val="0"/>
          <w:sz w:val="22"/>
          <w:szCs w:val="22"/>
          <w:highlight w:val="none"/>
          <w:lang w:val="zh-CN" w:bidi="zh-CN"/>
        </w:rPr>
      </w:pPr>
      <w:r>
        <w:rPr>
          <w:rFonts w:hint="eastAsia" w:ascii="仿宋_GB2312"/>
          <w:color w:val="auto"/>
          <w:highlight w:val="none"/>
        </w:rPr>
        <w:t>面向系统的管理、使用及运维人员，提供系统的运行维护、日常巡检、权限管理等功能，提供流程、表单管理、数据资源目录管理等功能，为系统运营和维护工作提供支撑。实现组织用户体系、权限管理，对用户、角色、部门信息、权限信息等进行管理，对系统运行情况进行监控、运行日志进行记录等。</w:t>
      </w:r>
    </w:p>
    <w:p w14:paraId="0E4EC732">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val="zh-CN" w:bidi="zh-CN"/>
        </w:rPr>
        <w:t>1.7本模块演示内容</w:t>
      </w:r>
    </w:p>
    <w:p w14:paraId="723EF755">
      <w:pPr>
        <w:ind w:firstLine="480"/>
        <w:rPr>
          <w:rFonts w:ascii="仿宋_GB2312"/>
          <w:color w:val="auto"/>
          <w:highlight w:val="none"/>
        </w:rPr>
      </w:pPr>
      <w:r>
        <w:rPr>
          <w:rFonts w:hint="eastAsia" w:ascii="仿宋_GB2312"/>
          <w:color w:val="auto"/>
          <w:highlight w:val="none"/>
        </w:rPr>
        <w:t>农村集体资产管理：①提供资产台账管理功能，支持查看资产清单，包括资产编号、资产地址、资产登记面积等关键信息；②提供集体资产填报管理功能，支持对资产关键信息进行编辑修改、在地图上新增绘制资产空间范围，并和原资产信息进行对照，以物业型资产为例，支持资产单元对应楼层、房号、面积等信息新增录入；③展示村下属经济社资产录入进度。</w:t>
      </w:r>
    </w:p>
    <w:p w14:paraId="7B48ABB1">
      <w:pPr>
        <w:pStyle w:val="2"/>
        <w:numPr>
          <w:ilvl w:val="255"/>
          <w:numId w:val="0"/>
        </w:numPr>
        <w:adjustRightInd w:val="0"/>
        <w:snapToGrid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2.农村集体资产交易子模块</w:t>
      </w:r>
    </w:p>
    <w:p w14:paraId="25B5C627">
      <w:pPr>
        <w:ind w:firstLine="480"/>
        <w:rPr>
          <w:color w:val="auto"/>
          <w:highlight w:val="none"/>
        </w:rPr>
      </w:pPr>
      <w:r>
        <w:rPr>
          <w:rFonts w:hint="eastAsia"/>
          <w:color w:val="auto"/>
          <w:highlight w:val="none"/>
        </w:rPr>
        <w:t>基于区农业农村局、属地街道、农村集体经济组织的资产交易业务情况，搭建集交易意向登记-民主表决-发布公告-交易过程管理-结果公示-合同签订-归档于一体，网页端与手机端操作联动，实现农村集体资产交易公开、智能、多模式、全覆盖。</w:t>
      </w:r>
    </w:p>
    <w:p w14:paraId="31F381FA">
      <w:pPr>
        <w:ind w:firstLine="480"/>
        <w:rPr>
          <w:color w:val="auto"/>
          <w:highlight w:val="none"/>
        </w:rPr>
      </w:pPr>
      <w:r>
        <w:rPr>
          <w:rFonts w:hint="eastAsia"/>
          <w:color w:val="auto"/>
          <w:highlight w:val="none"/>
        </w:rPr>
        <w:t>根据最新的政策调整、业务变更等需求，对现有的交易系统进行升级改造以支撑当前业务办理需求，提供资产交易门户、信息公开、资产交易工作台、公开竞投、协商谈判、协议续租、民主表决、保证金管理、警示名单、交易分析、短信管理、数据服务等模块，以确保广州市天河区农村集体资产交易管理的公开化、信息化、便民化程度，提高监管部门的工作效率及监管效能，满足村集体经济发展和加强监督与管理的要求。</w:t>
      </w:r>
    </w:p>
    <w:p w14:paraId="433D511C">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2</w:t>
      </w:r>
      <w:r>
        <w:rPr>
          <w:rFonts w:hint="eastAsia" w:ascii="仿宋_GB2312" w:hAnsi="宋体" w:eastAsia="黑体" w:cs="黑体"/>
          <w:bCs/>
          <w:color w:val="auto"/>
          <w:kern w:val="0"/>
          <w:sz w:val="22"/>
          <w:szCs w:val="22"/>
          <w:highlight w:val="none"/>
          <w:lang w:val="zh-CN" w:bidi="zh-CN"/>
        </w:rPr>
        <w:t>.1.资产交易门户</w:t>
      </w:r>
    </w:p>
    <w:p w14:paraId="52AD5B8B">
      <w:pPr>
        <w:ind w:firstLine="480"/>
        <w:rPr>
          <w:rFonts w:ascii="仿宋_GB2312"/>
          <w:color w:val="auto"/>
          <w:highlight w:val="none"/>
        </w:rPr>
      </w:pPr>
      <w:r>
        <w:rPr>
          <w:rFonts w:hint="eastAsia" w:ascii="仿宋_GB2312"/>
          <w:color w:val="auto"/>
          <w:highlight w:val="none"/>
        </w:rPr>
        <w:t>资产交易门户为农村集体资产交易提供媒介，包括WEB端、移动端两端应用。门户首页面向广大社会公众用户参与农村资产交易的服务主要载体，支持所有用户访问查看各类最新公布的交易公告、竞得公示等内容及菜单栏。提供交易服务、服务资讯、服务通知、运营管理等功能模块。</w:t>
      </w:r>
    </w:p>
    <w:p w14:paraId="5687875F">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2</w:t>
      </w:r>
      <w:r>
        <w:rPr>
          <w:rFonts w:hint="eastAsia" w:ascii="仿宋_GB2312" w:hAnsi="宋体" w:eastAsia="黑体" w:cs="黑体"/>
          <w:bCs/>
          <w:color w:val="auto"/>
          <w:kern w:val="0"/>
          <w:sz w:val="22"/>
          <w:szCs w:val="22"/>
          <w:highlight w:val="none"/>
          <w:lang w:val="zh-CN" w:bidi="zh-CN"/>
        </w:rPr>
        <w:t>.2.信息公开</w:t>
      </w:r>
    </w:p>
    <w:p w14:paraId="39352B8A">
      <w:pPr>
        <w:ind w:firstLine="480"/>
        <w:rPr>
          <w:rFonts w:ascii="仿宋_GB2312"/>
          <w:color w:val="auto"/>
          <w:highlight w:val="none"/>
        </w:rPr>
      </w:pPr>
      <w:r>
        <w:rPr>
          <w:rFonts w:hint="eastAsia" w:ascii="仿宋_GB2312"/>
          <w:color w:val="auto"/>
          <w:highlight w:val="none"/>
        </w:rPr>
        <w:t>农业农村信息公开是基层治理现代化的重要举措，包括党务、事务、财务、资产、合同公开，通过构建全方位、多维度的信息公开体系，同时基于现有的25个农村集体经济组织触控屏硬件基础适配公开展示页面，包括党务、事务、财务、资产等内容。</w:t>
      </w:r>
      <w:r>
        <w:rPr>
          <w:rFonts w:hint="eastAsia" w:ascii="仿宋_GB2312"/>
          <w:color w:val="auto"/>
          <w:highlight w:val="none"/>
        </w:rPr>
        <w:tab/>
      </w:r>
    </w:p>
    <w:p w14:paraId="161E9B3D">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2</w:t>
      </w:r>
      <w:r>
        <w:rPr>
          <w:rFonts w:hint="eastAsia" w:ascii="仿宋_GB2312" w:hAnsi="宋体" w:eastAsia="黑体" w:cs="黑体"/>
          <w:bCs/>
          <w:color w:val="auto"/>
          <w:kern w:val="0"/>
          <w:sz w:val="22"/>
          <w:szCs w:val="22"/>
          <w:highlight w:val="none"/>
          <w:lang w:val="zh-CN" w:bidi="zh-CN"/>
        </w:rPr>
        <w:t>.3.资产交易工作台</w:t>
      </w:r>
    </w:p>
    <w:p w14:paraId="40B75AA4">
      <w:pPr>
        <w:ind w:firstLine="480"/>
        <w:rPr>
          <w:rFonts w:ascii="仿宋_GB2312"/>
          <w:color w:val="auto"/>
          <w:highlight w:val="none"/>
        </w:rPr>
      </w:pPr>
      <w:r>
        <w:rPr>
          <w:rFonts w:hint="eastAsia" w:ascii="仿宋_GB2312"/>
          <w:color w:val="auto"/>
          <w:highlight w:val="none"/>
        </w:rPr>
        <w:t>资产交易工作台是农村集体资产交易全流程管理的核心操作界面，为经济社/联社、街道办、区中心等不同层级的用户提供资产交易办理事项一站式服务，实现交易流程电子化、透明化和规范化管理。</w:t>
      </w:r>
    </w:p>
    <w:p w14:paraId="41653CFD">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2</w:t>
      </w:r>
      <w:r>
        <w:rPr>
          <w:rFonts w:hint="eastAsia" w:ascii="仿宋_GB2312" w:hAnsi="宋体" w:eastAsia="黑体" w:cs="黑体"/>
          <w:bCs/>
          <w:color w:val="auto"/>
          <w:kern w:val="0"/>
          <w:sz w:val="22"/>
          <w:szCs w:val="22"/>
          <w:highlight w:val="none"/>
          <w:lang w:val="zh-CN" w:bidi="zh-CN"/>
        </w:rPr>
        <w:t>.4公开竞投</w:t>
      </w:r>
    </w:p>
    <w:p w14:paraId="020E4C9E">
      <w:pPr>
        <w:ind w:firstLine="480"/>
        <w:rPr>
          <w:rFonts w:ascii="仿宋_GB2312"/>
          <w:color w:val="auto"/>
          <w:highlight w:val="none"/>
        </w:rPr>
      </w:pPr>
      <w:r>
        <w:rPr>
          <w:rFonts w:hint="eastAsia" w:ascii="仿宋_GB2312"/>
          <w:color w:val="auto"/>
          <w:highlight w:val="none"/>
        </w:rPr>
        <w:t>公开竞投包括网上竞投和现场竞投两种方式。其中，现场竞投可采取举牌竞投或书面报价方式进行竞投。提供填报预登记材料、公开竟投审核、交易公告填写、交易公告审核、竟投报名审核、竞投过程管理、竞价方式、交易结果公示、异常交易管理、合同签订、交易成交公告、公开竞投交易项目归档、广州市农村产权交易所交易项目台账、交易设置等功能模块。</w:t>
      </w:r>
    </w:p>
    <w:p w14:paraId="5FED6D00">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2</w:t>
      </w:r>
      <w:r>
        <w:rPr>
          <w:rFonts w:hint="eastAsia" w:ascii="仿宋_GB2312" w:hAnsi="宋体" w:eastAsia="黑体" w:cs="黑体"/>
          <w:bCs/>
          <w:color w:val="auto"/>
          <w:kern w:val="0"/>
          <w:sz w:val="22"/>
          <w:szCs w:val="22"/>
          <w:highlight w:val="none"/>
          <w:lang w:val="zh-CN" w:bidi="zh-CN"/>
        </w:rPr>
        <w:t>.5协商谈判</w:t>
      </w:r>
    </w:p>
    <w:p w14:paraId="3003209C">
      <w:pPr>
        <w:ind w:firstLine="480"/>
        <w:rPr>
          <w:rFonts w:ascii="仿宋_GB2312"/>
          <w:color w:val="auto"/>
          <w:highlight w:val="none"/>
        </w:rPr>
      </w:pPr>
      <w:r>
        <w:rPr>
          <w:rFonts w:hint="eastAsia" w:ascii="仿宋_GB2312"/>
          <w:color w:val="auto"/>
          <w:highlight w:val="none"/>
        </w:rPr>
        <w:t>依据2021年广州市天河区人民政府发布的文件《天河区农村集体资产交易管理实施细则》，符合条件的项目，可以采取协商谈判的方式交易。提供填报预登记材料、协商谈判审核、交易公告审核、谈判结果录入、协商谈判结果公示等功能模块。</w:t>
      </w:r>
    </w:p>
    <w:p w14:paraId="081AD07C">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2</w:t>
      </w:r>
      <w:r>
        <w:rPr>
          <w:rFonts w:hint="eastAsia" w:ascii="仿宋_GB2312" w:hAnsi="宋体" w:eastAsia="黑体" w:cs="黑体"/>
          <w:bCs/>
          <w:color w:val="auto"/>
          <w:kern w:val="0"/>
          <w:sz w:val="22"/>
          <w:szCs w:val="22"/>
          <w:highlight w:val="none"/>
          <w:lang w:val="zh-CN" w:bidi="zh-CN"/>
        </w:rPr>
        <w:t>.6.协议续租</w:t>
      </w:r>
    </w:p>
    <w:p w14:paraId="7FC8F617">
      <w:pPr>
        <w:ind w:firstLine="480"/>
        <w:rPr>
          <w:rFonts w:ascii="仿宋_GB2312"/>
          <w:color w:val="auto"/>
          <w:highlight w:val="none"/>
        </w:rPr>
      </w:pPr>
      <w:r>
        <w:rPr>
          <w:rFonts w:hint="eastAsia" w:ascii="仿宋_GB2312"/>
          <w:color w:val="auto"/>
          <w:highlight w:val="none"/>
        </w:rPr>
        <w:t>依据2021年广州市天河区人民政府发布的文件《天河区农村集体资产交易管理实施细则》，符合条件的项目，可以采取协议续租的方式交易。提供承租人申请、填报协议续租交易文件、协议续租审核、续租合同签订、资产续租结果公示等功能。</w:t>
      </w:r>
    </w:p>
    <w:p w14:paraId="2E7B6C01">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2</w:t>
      </w:r>
      <w:r>
        <w:rPr>
          <w:rFonts w:hint="eastAsia" w:ascii="仿宋_GB2312" w:hAnsi="宋体" w:eastAsia="黑体" w:cs="黑体"/>
          <w:bCs/>
          <w:color w:val="auto"/>
          <w:kern w:val="0"/>
          <w:sz w:val="22"/>
          <w:szCs w:val="22"/>
          <w:highlight w:val="none"/>
          <w:lang w:val="zh-CN" w:bidi="zh-CN"/>
        </w:rPr>
        <w:t>.7.供销社资产交易</w:t>
      </w:r>
    </w:p>
    <w:p w14:paraId="5CA89DD9">
      <w:pPr>
        <w:ind w:firstLine="480"/>
        <w:rPr>
          <w:rFonts w:ascii="仿宋_GB2312"/>
          <w:color w:val="auto"/>
          <w:highlight w:val="none"/>
        </w:rPr>
      </w:pPr>
      <w:r>
        <w:rPr>
          <w:rFonts w:hint="eastAsia" w:ascii="仿宋_GB2312"/>
          <w:color w:val="auto"/>
          <w:highlight w:val="none"/>
        </w:rPr>
        <w:t>供销社资产交易模块是专为供销合作社设计的数字化资产交易管理功能，用于规范社有资产交易行为，确保交易公开、公平、合规。提供供销社交易公告填写、供销社交易公告审核、供销社竞投报名审核、供销社交易过程管理、供销社交易竞价方式、供销社交易结果公示等功能。</w:t>
      </w:r>
    </w:p>
    <w:p w14:paraId="28C4064C">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2</w:t>
      </w:r>
      <w:r>
        <w:rPr>
          <w:rFonts w:hint="eastAsia" w:ascii="仿宋_GB2312" w:hAnsi="宋体" w:eastAsia="黑体" w:cs="黑体"/>
          <w:bCs/>
          <w:color w:val="auto"/>
          <w:kern w:val="0"/>
          <w:sz w:val="22"/>
          <w:szCs w:val="22"/>
          <w:highlight w:val="none"/>
          <w:lang w:val="zh-CN" w:bidi="zh-CN"/>
        </w:rPr>
        <w:t>.8.民主表决</w:t>
      </w:r>
    </w:p>
    <w:p w14:paraId="2A1402AE">
      <w:pPr>
        <w:ind w:firstLine="480"/>
        <w:rPr>
          <w:rFonts w:ascii="仿宋_GB2312"/>
          <w:color w:val="auto"/>
          <w:highlight w:val="none"/>
        </w:rPr>
      </w:pPr>
      <w:r>
        <w:rPr>
          <w:rFonts w:hint="eastAsia" w:ascii="仿宋_GB2312"/>
          <w:color w:val="auto"/>
          <w:highlight w:val="none"/>
        </w:rPr>
        <w:t>公开竞投、协商谈判、协议续租民主表决通过民主表决实现。提供成员管理、发起表决、电子表决管理、书面表决和提交表决等功能模块。</w:t>
      </w:r>
    </w:p>
    <w:p w14:paraId="5DC2125A">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2</w:t>
      </w:r>
      <w:r>
        <w:rPr>
          <w:rFonts w:hint="eastAsia" w:ascii="仿宋_GB2312" w:hAnsi="宋体" w:eastAsia="黑体" w:cs="黑体"/>
          <w:bCs/>
          <w:color w:val="auto"/>
          <w:kern w:val="0"/>
          <w:sz w:val="22"/>
          <w:szCs w:val="22"/>
          <w:highlight w:val="none"/>
          <w:lang w:val="zh-CN" w:bidi="zh-CN"/>
        </w:rPr>
        <w:t>.9.保证金管理</w:t>
      </w:r>
    </w:p>
    <w:p w14:paraId="53A46117">
      <w:pPr>
        <w:ind w:firstLine="480"/>
        <w:rPr>
          <w:rFonts w:ascii="仿宋_GB2312"/>
          <w:color w:val="auto"/>
          <w:highlight w:val="none"/>
        </w:rPr>
      </w:pPr>
      <w:r>
        <w:rPr>
          <w:rFonts w:hint="eastAsia" w:ascii="仿宋_GB2312"/>
          <w:color w:val="auto"/>
          <w:highlight w:val="none"/>
        </w:rPr>
        <w:t>农村集体资产交易项目报名需缴纳保证金，保证金管理包括监管账户保证金流水、保证金转出管理、项目保证金子账号列表、保函缴纳模式四个模块。</w:t>
      </w:r>
    </w:p>
    <w:p w14:paraId="5D7EB107">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2</w:t>
      </w:r>
      <w:r>
        <w:rPr>
          <w:rFonts w:hint="eastAsia" w:ascii="仿宋_GB2312" w:hAnsi="宋体" w:eastAsia="黑体" w:cs="黑体"/>
          <w:bCs/>
          <w:color w:val="auto"/>
          <w:kern w:val="0"/>
          <w:sz w:val="22"/>
          <w:szCs w:val="22"/>
          <w:highlight w:val="none"/>
          <w:lang w:val="zh-CN" w:bidi="zh-CN"/>
        </w:rPr>
        <w:t>.10.交易信用名单</w:t>
      </w:r>
    </w:p>
    <w:p w14:paraId="084B85A8">
      <w:pPr>
        <w:ind w:firstLine="480"/>
        <w:rPr>
          <w:rFonts w:ascii="仿宋_GB2312"/>
          <w:color w:val="auto"/>
          <w:highlight w:val="none"/>
        </w:rPr>
      </w:pPr>
      <w:r>
        <w:rPr>
          <w:rFonts w:hint="eastAsia" w:ascii="仿宋_GB2312"/>
          <w:color w:val="auto"/>
          <w:highlight w:val="none"/>
        </w:rPr>
        <w:t>针对天河区农村集体资产交易平台现有信用评价业务，建设竞价用户警示名单机制业务功能，针对竞投用户群体进行标签管理，筛出重点关注用户纳入黑名单监管。包括认定规则公开、申诉入口、名单查询、认定条件管理、名单申诉处理等功能。</w:t>
      </w:r>
    </w:p>
    <w:p w14:paraId="4C6F74BD">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2</w:t>
      </w:r>
      <w:r>
        <w:rPr>
          <w:rFonts w:hint="eastAsia" w:ascii="仿宋_GB2312" w:hAnsi="宋体" w:eastAsia="黑体" w:cs="黑体"/>
          <w:bCs/>
          <w:color w:val="auto"/>
          <w:kern w:val="0"/>
          <w:sz w:val="22"/>
          <w:szCs w:val="22"/>
          <w:highlight w:val="none"/>
          <w:lang w:val="zh-CN" w:bidi="zh-CN"/>
        </w:rPr>
        <w:t>.11.交易统计</w:t>
      </w:r>
    </w:p>
    <w:p w14:paraId="6510D083">
      <w:pPr>
        <w:ind w:firstLine="480"/>
        <w:rPr>
          <w:rFonts w:ascii="仿宋_GB2312"/>
          <w:color w:val="auto"/>
          <w:highlight w:val="none"/>
        </w:rPr>
      </w:pPr>
      <w:r>
        <w:rPr>
          <w:rFonts w:hint="eastAsia" w:ascii="仿宋_GB2312"/>
          <w:color w:val="auto"/>
          <w:highlight w:val="none"/>
        </w:rPr>
        <w:t>提供项目交易统计的详情报表，包括项目数据报表和交易智能统计报告。其中交易智能统计报告分为数据统计总表、多维度分析、报告模版中心、报告水印和报告输出。项目数据报表，对信息公开、预登记、表决、竞投人、成交情况等各类业务信息进行统计，形成明细表。</w:t>
      </w:r>
    </w:p>
    <w:p w14:paraId="007B46FB">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2</w:t>
      </w:r>
      <w:r>
        <w:rPr>
          <w:rFonts w:hint="eastAsia" w:ascii="仿宋_GB2312" w:hAnsi="宋体" w:eastAsia="黑体" w:cs="黑体"/>
          <w:bCs/>
          <w:color w:val="auto"/>
          <w:kern w:val="0"/>
          <w:sz w:val="22"/>
          <w:szCs w:val="22"/>
          <w:highlight w:val="none"/>
          <w:lang w:val="zh-CN" w:bidi="zh-CN"/>
        </w:rPr>
        <w:t>.12.短信管理</w:t>
      </w:r>
    </w:p>
    <w:p w14:paraId="65F13D5B">
      <w:pPr>
        <w:ind w:firstLine="480"/>
        <w:rPr>
          <w:rFonts w:ascii="仿宋_GB2312"/>
          <w:color w:val="auto"/>
          <w:highlight w:val="none"/>
        </w:rPr>
      </w:pPr>
      <w:r>
        <w:rPr>
          <w:rFonts w:hint="eastAsia" w:ascii="仿宋_GB2312"/>
          <w:color w:val="auto"/>
          <w:highlight w:val="none"/>
        </w:rPr>
        <w:t>对交易过程中的短信信息进行管理。包括短信用户管理、短信模板管理、短信发送管理。</w:t>
      </w:r>
    </w:p>
    <w:p w14:paraId="2FC5EE11">
      <w:pPr>
        <w:pStyle w:val="2"/>
        <w:numPr>
          <w:ilvl w:val="255"/>
          <w:numId w:val="0"/>
        </w:numPr>
        <w:adjustRightInd w:val="0"/>
        <w:snapToGrid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3.农村实时财务管理子模块</w:t>
      </w:r>
    </w:p>
    <w:p w14:paraId="2E045147">
      <w:pPr>
        <w:ind w:firstLine="480"/>
        <w:rPr>
          <w:color w:val="auto"/>
          <w:highlight w:val="none"/>
        </w:rPr>
      </w:pPr>
      <w:r>
        <w:rPr>
          <w:rFonts w:hint="eastAsia"/>
          <w:color w:val="auto"/>
          <w:highlight w:val="none"/>
        </w:rPr>
        <w:t>面向天河区、街道、村三级农村财务管理人员，全面支撑天河区所有集体经济组织及其下属公司的农村财务核算、资产管理、银行资金监管、财务公开、层级统计、监管预警等领域，集业务管理、核算、监管、公开、统计、分析。</w:t>
      </w:r>
    </w:p>
    <w:p w14:paraId="6F017DA4">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3</w:t>
      </w:r>
      <w:r>
        <w:rPr>
          <w:rFonts w:hint="eastAsia" w:ascii="仿宋_GB2312" w:hAnsi="宋体" w:eastAsia="黑体" w:cs="黑体"/>
          <w:bCs/>
          <w:color w:val="auto"/>
          <w:kern w:val="0"/>
          <w:sz w:val="22"/>
          <w:szCs w:val="22"/>
          <w:highlight w:val="none"/>
          <w:lang w:val="zh-CN" w:bidi="zh-CN"/>
        </w:rPr>
        <w:t>.1财务核算</w:t>
      </w:r>
    </w:p>
    <w:p w14:paraId="6F0C18F7">
      <w:pPr>
        <w:ind w:firstLine="480"/>
        <w:rPr>
          <w:rFonts w:ascii="仿宋_GB2312"/>
          <w:color w:val="auto"/>
          <w:highlight w:val="none"/>
        </w:rPr>
      </w:pPr>
      <w:r>
        <w:rPr>
          <w:rFonts w:hint="eastAsia" w:ascii="仿宋_GB2312"/>
          <w:color w:val="auto"/>
          <w:highlight w:val="none"/>
        </w:rPr>
        <w:t>农村实时财务管理模块提供财务核算能力，支撑对各农村集体资产的大额支出监管，包括账套管理、票据管理、出纳管理、账务管理和固定资产。</w:t>
      </w:r>
    </w:p>
    <w:p w14:paraId="3629F6B8">
      <w:pPr>
        <w:ind w:firstLine="480"/>
        <w:rPr>
          <w:rFonts w:ascii="仿宋_GB2312"/>
          <w:color w:val="auto"/>
          <w:highlight w:val="none"/>
        </w:rPr>
      </w:pPr>
      <w:r>
        <w:rPr>
          <w:rFonts w:hint="eastAsia" w:ascii="仿宋_GB2312"/>
          <w:color w:val="auto"/>
          <w:highlight w:val="none"/>
        </w:rPr>
        <w:t>账套管理包括账套开设、账套上传和采集和导入外部账套。</w:t>
      </w:r>
    </w:p>
    <w:p w14:paraId="29C3ED49">
      <w:pPr>
        <w:ind w:firstLine="480"/>
        <w:rPr>
          <w:rFonts w:ascii="仿宋_GB2312"/>
          <w:color w:val="auto"/>
          <w:highlight w:val="none"/>
        </w:rPr>
      </w:pPr>
      <w:r>
        <w:rPr>
          <w:rFonts w:hint="eastAsia" w:ascii="仿宋_GB2312"/>
          <w:color w:val="auto"/>
          <w:highlight w:val="none"/>
        </w:rPr>
        <w:t>票据管理包括票据领发核销、收支分类维护、收入单据管理、支出单据管理、银行票据管理、票据管理报表和会计执单。</w:t>
      </w:r>
    </w:p>
    <w:p w14:paraId="74F8780A">
      <w:pPr>
        <w:ind w:firstLine="480"/>
        <w:rPr>
          <w:rFonts w:ascii="仿宋_GB2312"/>
          <w:color w:val="auto"/>
          <w:highlight w:val="none"/>
        </w:rPr>
      </w:pPr>
      <w:r>
        <w:rPr>
          <w:rFonts w:hint="eastAsia" w:ascii="仿宋_GB2312"/>
          <w:color w:val="auto"/>
          <w:highlight w:val="none"/>
        </w:rPr>
        <w:t>出纳管理包括银行对账单、出纳账录入、出纳交接单、支票登记簿、银行现金出纳账、出纳科目汇总表、现金流量表和出纳月结。</w:t>
      </w:r>
    </w:p>
    <w:p w14:paraId="6DA82024">
      <w:pPr>
        <w:ind w:firstLine="480"/>
        <w:rPr>
          <w:rFonts w:ascii="仿宋_GB2312"/>
          <w:color w:val="auto"/>
          <w:highlight w:val="none"/>
        </w:rPr>
      </w:pPr>
      <w:r>
        <w:rPr>
          <w:rFonts w:hint="eastAsia" w:ascii="仿宋_GB2312"/>
          <w:color w:val="auto"/>
          <w:highlight w:val="none"/>
        </w:rPr>
        <w:t>账务管理包括账套参数设置、科目代号维护、科目预算数值的输入、余额初始化、凭证处理、凭证汇总、凭证查询、报表定义、自定义报表生成、财务数据汇总、动态财务报表查询等功能模块。</w:t>
      </w:r>
    </w:p>
    <w:p w14:paraId="75F76D87">
      <w:pPr>
        <w:ind w:firstLine="480"/>
        <w:rPr>
          <w:rFonts w:ascii="仿宋_GB2312"/>
          <w:color w:val="auto"/>
          <w:highlight w:val="none"/>
        </w:rPr>
      </w:pPr>
      <w:r>
        <w:rPr>
          <w:rFonts w:hint="eastAsia" w:ascii="仿宋_GB2312"/>
          <w:color w:val="auto"/>
          <w:highlight w:val="none"/>
        </w:rPr>
        <w:t>固定资产包括固定资产卡片、固定资产折旧、固定资产变动和固定资产报表。</w:t>
      </w:r>
    </w:p>
    <w:p w14:paraId="4F22A405">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3</w:t>
      </w:r>
      <w:r>
        <w:rPr>
          <w:rFonts w:hint="eastAsia" w:ascii="仿宋_GB2312" w:hAnsi="宋体" w:eastAsia="黑体" w:cs="黑体"/>
          <w:bCs/>
          <w:color w:val="auto"/>
          <w:kern w:val="0"/>
          <w:sz w:val="22"/>
          <w:szCs w:val="22"/>
          <w:highlight w:val="none"/>
          <w:lang w:val="zh-CN" w:bidi="zh-CN"/>
        </w:rPr>
        <w:t>.2农村财务监控</w:t>
      </w:r>
    </w:p>
    <w:p w14:paraId="00BAC2CA">
      <w:pPr>
        <w:ind w:firstLine="480"/>
        <w:rPr>
          <w:rFonts w:ascii="仿宋_GB2312"/>
          <w:color w:val="auto"/>
          <w:highlight w:val="none"/>
        </w:rPr>
      </w:pPr>
      <w:r>
        <w:rPr>
          <w:rFonts w:hint="eastAsia" w:ascii="仿宋_GB2312"/>
          <w:color w:val="auto"/>
          <w:highlight w:val="none"/>
        </w:rPr>
        <w:t>在基础财务数据集中到平台之后，监控系统提供各类监控功能，监控方式为按设定的监控方案，提供特定地区下达到四级报警的帐套数量的汇总，通过数据钻取，列出报警的帐套及报警的科目数，二次钻取下，列出报警的科目明细，三级钻取下，列出对应的凭证，监控的方案可以根据需要进行定义。</w:t>
      </w:r>
    </w:p>
    <w:p w14:paraId="009BB7A2">
      <w:pPr>
        <w:ind w:firstLine="480"/>
        <w:rPr>
          <w:rFonts w:ascii="仿宋_GB2312"/>
          <w:color w:val="auto"/>
          <w:highlight w:val="none"/>
        </w:rPr>
      </w:pPr>
      <w:r>
        <w:rPr>
          <w:rFonts w:hint="eastAsia" w:ascii="仿宋_GB2312"/>
          <w:color w:val="auto"/>
          <w:highlight w:val="none"/>
        </w:rPr>
        <w:t>财务监控系统提供统一的监控引擎，支持展示监控方案树，以目录树的形式展示一级监控内容和二级监控内容。提供查询类监控、财务预警中心和数据异常检测中心等功能模块。</w:t>
      </w:r>
    </w:p>
    <w:p w14:paraId="007F05BD">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3</w:t>
      </w:r>
      <w:r>
        <w:rPr>
          <w:rFonts w:hint="eastAsia" w:ascii="仿宋_GB2312" w:hAnsi="宋体" w:eastAsia="黑体" w:cs="黑体"/>
          <w:bCs/>
          <w:color w:val="auto"/>
          <w:kern w:val="0"/>
          <w:sz w:val="22"/>
          <w:szCs w:val="22"/>
          <w:highlight w:val="none"/>
          <w:lang w:val="zh-CN" w:bidi="zh-CN"/>
        </w:rPr>
        <w:t>.3村社银行存款实时资金监管</w:t>
      </w:r>
    </w:p>
    <w:p w14:paraId="5256219C">
      <w:pPr>
        <w:ind w:firstLine="480"/>
        <w:rPr>
          <w:rFonts w:ascii="仿宋_GB2312"/>
          <w:color w:val="auto"/>
          <w:highlight w:val="none"/>
        </w:rPr>
      </w:pPr>
      <w:r>
        <w:rPr>
          <w:rFonts w:hint="eastAsia" w:ascii="仿宋_GB2312"/>
          <w:color w:val="auto"/>
          <w:highlight w:val="none"/>
        </w:rPr>
        <w:t>基于财监平台与银行数据对接的基础上提供的村社银行存款实时资金监管，可对全区所有农村集体在银行账户（包括所有实现数据对接的银行）的资金情况进行实时监管。包括电子对账、资金情况汇总、银行对接情况汇总、实时账户余额查询、实时账户发生额汇总查询和银行账户基本信息查询等功能。</w:t>
      </w:r>
    </w:p>
    <w:p w14:paraId="11F89088">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3</w:t>
      </w:r>
      <w:r>
        <w:rPr>
          <w:rFonts w:hint="eastAsia" w:ascii="仿宋_GB2312" w:hAnsi="宋体" w:eastAsia="黑体" w:cs="黑体"/>
          <w:bCs/>
          <w:color w:val="auto"/>
          <w:kern w:val="0"/>
          <w:sz w:val="22"/>
          <w:szCs w:val="22"/>
          <w:highlight w:val="none"/>
          <w:lang w:val="zh-CN" w:bidi="zh-CN"/>
        </w:rPr>
        <w:t>.4财务数据公开</w:t>
      </w:r>
    </w:p>
    <w:p w14:paraId="7312F8AF">
      <w:pPr>
        <w:ind w:firstLine="480"/>
        <w:rPr>
          <w:rFonts w:hint="eastAsia" w:ascii="仿宋_GB2312"/>
          <w:color w:val="auto"/>
          <w:highlight w:val="none"/>
        </w:rPr>
      </w:pPr>
      <w:r>
        <w:rPr>
          <w:rFonts w:hint="eastAsia" w:ascii="仿宋_GB2312"/>
          <w:color w:val="auto"/>
          <w:highlight w:val="none"/>
        </w:rPr>
        <w:t>提供财务门户，内容包括政策法规文件的发布、通知及管理动态的发布、管理表格的下载、村级财务公开（简易格式）等栏目，可以实现村民和街道管理部门之间进行交互。</w:t>
      </w:r>
    </w:p>
    <w:p w14:paraId="334D1F24">
      <w:pPr>
        <w:ind w:firstLine="480"/>
        <w:rPr>
          <w:rFonts w:hint="eastAsia" w:ascii="仿宋_GB2312"/>
          <w:color w:val="auto"/>
          <w:highlight w:val="none"/>
        </w:rPr>
      </w:pPr>
    </w:p>
    <w:p w14:paraId="1F57FE91">
      <w:pPr>
        <w:pStyle w:val="2"/>
        <w:numPr>
          <w:ilvl w:val="255"/>
          <w:numId w:val="0"/>
        </w:numPr>
        <w:adjustRightInd w:val="0"/>
        <w:snapToGrid w:val="0"/>
        <w:spacing w:before="0" w:after="0" w:line="360" w:lineRule="auto"/>
        <w:rPr>
          <w:rFonts w:hint="eastAsia" w:ascii="宋体" w:hAnsi="宋体" w:eastAsia="宋体" w:cs="宋体"/>
          <w:b w:val="0"/>
          <w:bCs/>
          <w:color w:val="auto"/>
          <w:sz w:val="24"/>
          <w:highlight w:val="none"/>
          <w:lang w:eastAsia="zh-CN"/>
        </w:rPr>
      </w:pPr>
      <w:r>
        <w:rPr>
          <w:rFonts w:hint="eastAsia" w:ascii="宋体" w:hAnsi="宋体" w:eastAsia="宋体" w:cs="宋体"/>
          <w:color w:val="auto"/>
          <w:sz w:val="24"/>
          <w:highlight w:val="none"/>
        </w:rPr>
        <w:t>4.农村集体资产一张图子模块</w:t>
      </w:r>
      <w:r>
        <w:rPr>
          <w:rFonts w:hint="eastAsia" w:ascii="宋体" w:hAnsi="宋体" w:eastAsia="宋体" w:cs="宋体"/>
          <w:b/>
          <w:bCs w:val="0"/>
          <w:color w:val="auto"/>
          <w:sz w:val="24"/>
          <w:highlight w:val="none"/>
          <w:lang w:eastAsia="zh-CN"/>
        </w:rPr>
        <w:t>（须具有乙级或以上测绘资质（专业范围包含地理信息系统工程）的单位承接）</w:t>
      </w:r>
    </w:p>
    <w:p w14:paraId="7FD46F86">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4</w:t>
      </w:r>
      <w:r>
        <w:rPr>
          <w:rFonts w:hint="eastAsia" w:ascii="仿宋_GB2312" w:hAnsi="宋体" w:eastAsia="黑体" w:cs="黑体"/>
          <w:bCs/>
          <w:color w:val="auto"/>
          <w:kern w:val="0"/>
          <w:sz w:val="22"/>
          <w:szCs w:val="22"/>
          <w:highlight w:val="none"/>
          <w:lang w:val="zh-CN" w:bidi="zh-CN"/>
        </w:rPr>
        <w:t>.1.数据加载与展示</w:t>
      </w:r>
    </w:p>
    <w:p w14:paraId="7BA122BD">
      <w:pPr>
        <w:ind w:firstLine="480"/>
        <w:rPr>
          <w:rFonts w:ascii="仿宋_GB2312"/>
          <w:color w:val="auto"/>
          <w:highlight w:val="none"/>
        </w:rPr>
      </w:pPr>
      <w:r>
        <w:rPr>
          <w:rFonts w:hint="eastAsia" w:ascii="仿宋_GB2312"/>
          <w:color w:val="auto"/>
          <w:highlight w:val="none"/>
        </w:rPr>
        <w:t>提供地图数据资源目录展示功能，支持全区农村范围内现状影像、电子地图、</w:t>
      </w:r>
      <w:r>
        <w:rPr>
          <w:rFonts w:hint="eastAsia" w:ascii="仿宋_GB2312"/>
          <w:color w:val="auto"/>
          <w:szCs w:val="28"/>
          <w:highlight w:val="none"/>
        </w:rPr>
        <w:t>行政区划、集体资产、租金类、留用地、土地利用现状、企业数据</w:t>
      </w:r>
      <w:r>
        <w:rPr>
          <w:rFonts w:hint="eastAsia" w:ascii="仿宋_GB2312"/>
          <w:color w:val="auto"/>
          <w:highlight w:val="none"/>
        </w:rPr>
        <w:t>等数据浏览和查询。数据接入以在线地图服务为主。支持接入多种格式的地图，包括OGC标准的地图服务；支持多种GIS平台的地图服务的加载，支持2</w:t>
      </w:r>
      <w:r>
        <w:rPr>
          <w:rFonts w:ascii="仿宋_GB2312"/>
          <w:color w:val="auto"/>
          <w:highlight w:val="none"/>
        </w:rPr>
        <w:t>000</w:t>
      </w:r>
      <w:r>
        <w:rPr>
          <w:rFonts w:hint="eastAsia" w:ascii="仿宋_GB2312"/>
          <w:color w:val="auto"/>
          <w:highlight w:val="none"/>
        </w:rPr>
        <w:t>国家大地坐标系和地方坐标系的数据加载和展示。</w:t>
      </w:r>
    </w:p>
    <w:p w14:paraId="761A2D3D">
      <w:pPr>
        <w:ind w:firstLine="480"/>
        <w:rPr>
          <w:rFonts w:ascii="仿宋_GB2312"/>
          <w:color w:val="auto"/>
          <w:highlight w:val="none"/>
        </w:rPr>
      </w:pPr>
      <w:r>
        <w:rPr>
          <w:rFonts w:hint="eastAsia" w:ascii="仿宋_GB2312"/>
          <w:color w:val="auto"/>
          <w:highlight w:val="none"/>
        </w:rPr>
        <w:t>提供基础地图数据加载、专题数据加载、地图基础工具、图层标注、图层符号配置和收藏管理等功能。</w:t>
      </w:r>
    </w:p>
    <w:p w14:paraId="2FB70975">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4</w:t>
      </w:r>
      <w:r>
        <w:rPr>
          <w:rFonts w:hint="eastAsia" w:ascii="仿宋_GB2312" w:hAnsi="宋体" w:eastAsia="黑体" w:cs="黑体"/>
          <w:bCs/>
          <w:color w:val="auto"/>
          <w:kern w:val="0"/>
          <w:sz w:val="22"/>
          <w:szCs w:val="22"/>
          <w:highlight w:val="none"/>
          <w:lang w:val="zh-CN" w:bidi="zh-CN"/>
        </w:rPr>
        <w:t>.2.空间查询与分析</w:t>
      </w:r>
    </w:p>
    <w:p w14:paraId="24A7914C">
      <w:pPr>
        <w:ind w:firstLine="480"/>
        <w:rPr>
          <w:rFonts w:ascii="仿宋_GB2312"/>
          <w:color w:val="auto"/>
          <w:highlight w:val="none"/>
        </w:rPr>
      </w:pPr>
      <w:r>
        <w:rPr>
          <w:rFonts w:hint="eastAsia" w:ascii="仿宋_GB2312"/>
          <w:color w:val="auto"/>
          <w:highlight w:val="none"/>
        </w:rPr>
        <w:t>对管理的农村集体资产数据提供空间查询与分析能力，包括综合属性查询，支持按照资产关键属性（资产名称、地址、资产编号），支持按照合同编号等进行模糊查询，查询结果以列表的形式进行展示，内容包括资产信息、合同详情、财务信息；提供空间查询、空间统计、空间分析和空间套图等功能。</w:t>
      </w:r>
    </w:p>
    <w:p w14:paraId="72335FC1">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4</w:t>
      </w:r>
      <w:r>
        <w:rPr>
          <w:rFonts w:hint="eastAsia" w:ascii="仿宋_GB2312" w:hAnsi="宋体" w:eastAsia="黑体" w:cs="黑体"/>
          <w:bCs/>
          <w:color w:val="auto"/>
          <w:kern w:val="0"/>
          <w:sz w:val="22"/>
          <w:szCs w:val="22"/>
          <w:highlight w:val="none"/>
          <w:lang w:val="zh-CN" w:bidi="zh-CN"/>
        </w:rPr>
        <w:t>.3.资产时空云图</w:t>
      </w:r>
    </w:p>
    <w:p w14:paraId="552CF15D">
      <w:pPr>
        <w:ind w:firstLine="480"/>
        <w:rPr>
          <w:rFonts w:ascii="仿宋_GB2312"/>
          <w:color w:val="auto"/>
          <w:highlight w:val="none"/>
        </w:rPr>
      </w:pPr>
      <w:r>
        <w:rPr>
          <w:rFonts w:hint="eastAsia" w:ascii="仿宋_GB2312"/>
          <w:color w:val="auto"/>
          <w:highlight w:val="none"/>
        </w:rPr>
        <w:t>支持全区、各街道、各农村集体经济组织集体资产多方式智能查询、多维度统计；支持展示天河区农村集体资产的数量和面积，以图表展示各村的资产宗数和面积、资产详情；以不同符号展示天河区范围内的资产和资源，可查询资产和资源的详细信息。</w:t>
      </w:r>
    </w:p>
    <w:p w14:paraId="24D18C14">
      <w:pPr>
        <w:ind w:firstLine="480"/>
        <w:rPr>
          <w:rFonts w:ascii="仿宋_GB2312"/>
          <w:color w:val="auto"/>
          <w:highlight w:val="none"/>
        </w:rPr>
      </w:pPr>
      <w:r>
        <w:rPr>
          <w:rFonts w:hint="eastAsia" w:ascii="仿宋_GB2312"/>
          <w:color w:val="auto"/>
          <w:highlight w:val="none"/>
        </w:rPr>
        <w:t>提供集体资产一张图、集体资产一棵树、资产现状专题图、资产楼盘表查询与展示，集体资产重大项目分布专题图与统计数据可视化等功能。</w:t>
      </w:r>
    </w:p>
    <w:p w14:paraId="77855E6A">
      <w:pPr>
        <w:ind w:firstLine="480"/>
        <w:rPr>
          <w:rFonts w:ascii="仿宋_GB2312"/>
          <w:color w:val="auto"/>
          <w:highlight w:val="none"/>
        </w:rPr>
      </w:pPr>
      <w:r>
        <w:rPr>
          <w:rFonts w:hint="eastAsia" w:ascii="仿宋_GB2312"/>
          <w:color w:val="auto"/>
          <w:highlight w:val="none"/>
        </w:rPr>
        <w:t>支持集体资产项目一棵树监督管理，支持数据下钻，查询和展示资产、交易、合同、财务（收款）信息，资产所在建筑物和资产单元信息（二维楼盘表，资产单元的状态），现势合同详情，历史合同详情，合同收款情况。</w:t>
      </w:r>
    </w:p>
    <w:p w14:paraId="597BC303">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4</w:t>
      </w:r>
      <w:r>
        <w:rPr>
          <w:rFonts w:hint="eastAsia" w:ascii="仿宋_GB2312" w:hAnsi="宋体" w:eastAsia="黑体" w:cs="黑体"/>
          <w:bCs/>
          <w:color w:val="auto"/>
          <w:kern w:val="0"/>
          <w:sz w:val="22"/>
          <w:szCs w:val="22"/>
          <w:highlight w:val="none"/>
          <w:lang w:val="zh-CN" w:bidi="zh-CN"/>
        </w:rPr>
        <w:t>.4.数字楼宇管理</w:t>
      </w:r>
    </w:p>
    <w:p w14:paraId="38381D91">
      <w:pPr>
        <w:ind w:firstLine="480"/>
        <w:rPr>
          <w:rFonts w:ascii="仿宋_GB2312"/>
          <w:color w:val="auto"/>
          <w:highlight w:val="none"/>
        </w:rPr>
      </w:pPr>
      <w:r>
        <w:rPr>
          <w:rFonts w:hint="eastAsia" w:ascii="仿宋_GB2312"/>
          <w:color w:val="auto"/>
          <w:highlight w:val="none"/>
        </w:rPr>
        <w:t>对集体资产中的楼宇进行数字化管理，建设可视化的三维场景，支撑资产资源三维展示。提供三维地图工具、资产三维展示、资产结构展示、建筑白膜展示等功能模块。</w:t>
      </w:r>
    </w:p>
    <w:p w14:paraId="7B8FA430">
      <w:pPr>
        <w:pStyle w:val="3"/>
        <w:adjustRightInd w:val="0"/>
        <w:snapToGrid w:val="0"/>
        <w:spacing w:line="360" w:lineRule="auto"/>
        <w:rPr>
          <w:rFonts w:hint="eastAsia" w:ascii="仿宋_GB2312" w:hAnsi="宋体" w:eastAsia="黑体" w:cs="黑体"/>
          <w:bCs/>
          <w:color w:val="auto"/>
          <w:kern w:val="0"/>
          <w:sz w:val="22"/>
          <w:szCs w:val="22"/>
          <w:highlight w:val="none"/>
          <w:lang w:bidi="zh-CN"/>
        </w:rPr>
      </w:pPr>
      <w:r>
        <w:rPr>
          <w:rFonts w:hint="eastAsia" w:ascii="仿宋_GB2312" w:hAnsi="宋体" w:eastAsia="黑体" w:cs="黑体"/>
          <w:bCs/>
          <w:color w:val="auto"/>
          <w:kern w:val="0"/>
          <w:sz w:val="22"/>
          <w:szCs w:val="22"/>
          <w:highlight w:val="none"/>
          <w:lang w:bidi="zh-CN"/>
        </w:rPr>
        <w:t>4.5本模块演示内容</w:t>
      </w:r>
    </w:p>
    <w:p w14:paraId="20575ABA">
      <w:pPr>
        <w:ind w:firstLine="480"/>
        <w:rPr>
          <w:rFonts w:ascii="仿宋_GB2312"/>
          <w:color w:val="auto"/>
          <w:highlight w:val="none"/>
        </w:rPr>
      </w:pPr>
      <w:r>
        <w:rPr>
          <w:rFonts w:hint="eastAsia" w:ascii="仿宋_GB2312"/>
          <w:color w:val="auto"/>
          <w:highlight w:val="none"/>
        </w:rPr>
        <w:t>集体资产一张图：①展示天河区农村集体资产的总体情况，以图表展示各村的资产宗数和面积、资产详情；②以不同符号展示天河区资产和资源，可图上查询资产和资源的详细信息；③展示地图数据资源目录，包括影像、行政区划、集体资产、租金类、留用地、土地利用现状、企业数据等，分别各类地图数据可视化展示；④展示集体资产重大项目分布专题图与统计数据可视化。</w:t>
      </w:r>
    </w:p>
    <w:p w14:paraId="3BEAAC85">
      <w:pPr>
        <w:ind w:firstLine="480"/>
        <w:rPr>
          <w:rFonts w:ascii="仿宋_GB2312"/>
          <w:color w:val="auto"/>
          <w:highlight w:val="none"/>
        </w:rPr>
      </w:pPr>
      <w:r>
        <w:rPr>
          <w:rFonts w:hint="eastAsia" w:ascii="仿宋_GB2312"/>
          <w:color w:val="auto"/>
          <w:highlight w:val="none"/>
        </w:rPr>
        <w:t>资产一棵树：①根据资产名称搜索资产，以列表形式展示查询结果，选择某一物业型资产，展示登记信息，资产所在建筑物和资产单元信息（二维楼盘表，资产单元的状态），现势合同详情，历史合同详情，合同收款情况；②支持按照合同编号搜索合同，展示搜索结果、合同详情及对应的资产信息。</w:t>
      </w:r>
    </w:p>
    <w:p w14:paraId="7305695E">
      <w:pPr>
        <w:pStyle w:val="2"/>
        <w:numPr>
          <w:ilvl w:val="255"/>
          <w:numId w:val="0"/>
        </w:numPr>
        <w:adjustRightInd w:val="0"/>
        <w:snapToGrid w:val="0"/>
        <w:spacing w:before="0" w:after="0" w:line="360" w:lineRule="auto"/>
        <w:rPr>
          <w:rFonts w:hint="eastAsia" w:ascii="宋体" w:hAnsi="宋体" w:eastAsia="宋体" w:cs="宋体"/>
          <w:color w:val="auto"/>
          <w:sz w:val="24"/>
          <w:highlight w:val="none"/>
        </w:rPr>
      </w:pPr>
    </w:p>
    <w:p w14:paraId="3E845E7C">
      <w:pPr>
        <w:pStyle w:val="2"/>
        <w:numPr>
          <w:ilvl w:val="255"/>
          <w:numId w:val="0"/>
        </w:numPr>
        <w:adjustRightInd w:val="0"/>
        <w:snapToGrid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5.农村集体资产监测预警子模块</w:t>
      </w:r>
    </w:p>
    <w:p w14:paraId="1F4C8349">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5</w:t>
      </w:r>
      <w:r>
        <w:rPr>
          <w:rFonts w:hint="eastAsia" w:ascii="仿宋_GB2312" w:hAnsi="宋体" w:eastAsia="黑体" w:cs="黑体"/>
          <w:bCs/>
          <w:color w:val="auto"/>
          <w:kern w:val="0"/>
          <w:sz w:val="22"/>
          <w:szCs w:val="22"/>
          <w:highlight w:val="none"/>
          <w:lang w:val="zh-CN" w:bidi="zh-CN"/>
        </w:rPr>
        <w:t>.1.资产监测</w:t>
      </w:r>
    </w:p>
    <w:p w14:paraId="3D9EE044">
      <w:pPr>
        <w:ind w:firstLine="480"/>
        <w:rPr>
          <w:rFonts w:ascii="仿宋_GB2312"/>
          <w:color w:val="auto"/>
          <w:highlight w:val="none"/>
        </w:rPr>
      </w:pPr>
      <w:r>
        <w:rPr>
          <w:rFonts w:hint="eastAsia" w:ascii="仿宋_GB2312"/>
          <w:color w:val="auto"/>
          <w:highlight w:val="none"/>
        </w:rPr>
        <w:t>兼顾集体资产历史数据问题，按照集体资产完整信息的标准对历史集体资产进行信息监管，对信息不完整的集体资产进行提醒，督促各村进行资产信息核实、实测、完善和更正，以不断提升资产信息的准确性和完整性。提供资源型资产用途监测、资产信息完整性管理、地名地址匹配、未登记资产分析、资产落图监测、资产变化监测管理和资产巡查监测等功能。</w:t>
      </w:r>
    </w:p>
    <w:p w14:paraId="4E2F513A">
      <w:pPr>
        <w:ind w:firstLine="480"/>
        <w:rPr>
          <w:rFonts w:ascii="仿宋_GB2312"/>
          <w:color w:val="auto"/>
          <w:highlight w:val="none"/>
        </w:rPr>
      </w:pPr>
      <w:r>
        <w:rPr>
          <w:rFonts w:hint="eastAsia" w:ascii="仿宋_GB2312"/>
          <w:color w:val="auto"/>
          <w:highlight w:val="none"/>
        </w:rPr>
        <w:t>支持实时统计集体资产是否已落图、是否已实测，展示统计结果；展示资产信息存疑（面积、地址、用途）的情况，提供统计数据查看监测，支持在地图上定位对应资产；提供资产用途监测，支持集体资产与土地利用现状地类用途进行用途比对，展示用途不一致的资产；对于用途存疑的资产，可自动生成监管函，并可在线编辑和导出监管函到本地电脑。。</w:t>
      </w:r>
    </w:p>
    <w:p w14:paraId="1C64276F">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5</w:t>
      </w:r>
      <w:r>
        <w:rPr>
          <w:rFonts w:hint="eastAsia" w:ascii="仿宋_GB2312" w:hAnsi="宋体" w:eastAsia="黑体" w:cs="黑体"/>
          <w:bCs/>
          <w:color w:val="auto"/>
          <w:kern w:val="0"/>
          <w:sz w:val="22"/>
          <w:szCs w:val="22"/>
          <w:highlight w:val="none"/>
          <w:lang w:val="zh-CN" w:bidi="zh-CN"/>
        </w:rPr>
        <w:t>.2.资产闲置监测</w:t>
      </w:r>
    </w:p>
    <w:p w14:paraId="2AD09079">
      <w:pPr>
        <w:ind w:firstLine="480"/>
        <w:rPr>
          <w:rFonts w:ascii="仿宋_GB2312"/>
          <w:color w:val="auto"/>
          <w:highlight w:val="none"/>
        </w:rPr>
      </w:pPr>
      <w:r>
        <w:rPr>
          <w:rFonts w:hint="eastAsia" w:ascii="仿宋_GB2312"/>
          <w:color w:val="auto"/>
          <w:highlight w:val="none"/>
        </w:rPr>
        <w:t>管理集体资产的经营利用情况，进行资产闲置分析，资产已闲置时间、闲置资产类型、闲置资产位置等进行地图展示，支持向对应村发送提醒，及时盘活资产利用。</w:t>
      </w:r>
    </w:p>
    <w:p w14:paraId="30B152EF">
      <w:pPr>
        <w:ind w:firstLine="480"/>
        <w:rPr>
          <w:rFonts w:ascii="仿宋_GB2312"/>
          <w:color w:val="auto"/>
          <w:highlight w:val="none"/>
        </w:rPr>
      </w:pPr>
      <w:r>
        <w:rPr>
          <w:rFonts w:hint="eastAsia" w:ascii="仿宋_GB2312"/>
          <w:color w:val="auto"/>
          <w:highlight w:val="none"/>
        </w:rPr>
        <w:t>支持在地图上展示区级集体资产闲置情况，分为资源型、物业型分别统计，统计闲置超过半年、3个月的资产的数量；②对村级集体资产进行统计，包括闲置宗数、面积，不同用途资产闲置数量和面积，位置分布，闲置资产详细信息展示。</w:t>
      </w:r>
    </w:p>
    <w:p w14:paraId="2100396C">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5</w:t>
      </w:r>
      <w:r>
        <w:rPr>
          <w:rFonts w:hint="eastAsia" w:ascii="仿宋_GB2312" w:hAnsi="宋体" w:eastAsia="黑体" w:cs="黑体"/>
          <w:bCs/>
          <w:color w:val="auto"/>
          <w:kern w:val="0"/>
          <w:sz w:val="22"/>
          <w:szCs w:val="22"/>
          <w:highlight w:val="none"/>
          <w:lang w:val="zh-CN" w:bidi="zh-CN"/>
        </w:rPr>
        <w:t>.3.资产交易监测</w:t>
      </w:r>
    </w:p>
    <w:p w14:paraId="5233BDF2">
      <w:pPr>
        <w:ind w:firstLine="480"/>
        <w:rPr>
          <w:rFonts w:ascii="仿宋_GB2312"/>
          <w:color w:val="auto"/>
          <w:highlight w:val="none"/>
        </w:rPr>
      </w:pPr>
      <w:r>
        <w:rPr>
          <w:rFonts w:hint="eastAsia" w:ascii="仿宋_GB2312"/>
          <w:color w:val="auto"/>
          <w:highlight w:val="none"/>
        </w:rPr>
        <w:t xml:space="preserve">对竞价成交价格异常高、异常低、差异异常大的情况进行预警，及时提醒监管部门重点关注。分析交易中存在的潜在风险，及时对集体资产归属部门和监管部门发出提醒和预警。可以分析现势资产交易热度情况，历史资产交易情况，对交易失败、失败多次以上的交易等进行统计和监测；统计资产交易失败情况，分析交易失败原因，对高频交易失败资产或地区进行过程复盘和原因分析，为村公司再次上架交易提供综合信息服务；同时，进行资产交易价格分析和监测，评估资产定价合理性。    </w:t>
      </w:r>
    </w:p>
    <w:p w14:paraId="3309DACC">
      <w:pPr>
        <w:ind w:firstLine="480"/>
        <w:rPr>
          <w:rFonts w:ascii="仿宋_GB2312"/>
          <w:color w:val="auto"/>
          <w:highlight w:val="none"/>
        </w:rPr>
      </w:pPr>
      <w:r>
        <w:rPr>
          <w:rFonts w:hint="eastAsia" w:ascii="仿宋_GB2312"/>
          <w:color w:val="auto"/>
          <w:highlight w:val="none"/>
        </w:rPr>
        <w:t>支持展示资产交易情况，按村统计成功和失败的次数、宗数；提供交易失败分析模块，统计任意时间段内资产交易失败情况（次数、宗数、总交易金额），分析失败原因，展示交易失败的资产清单；对交易失败三次以上的资产、历史交易失败情况进行统计分析；在地图上定位交易失败的资产，展示对应的底价、失败原因和资产基本情况，支持对交易失败的资产进行价格评估，结合周边资产价格、住建局租金参考等数据，测算并显示评估价格结果，并生成对应的交易方案。</w:t>
      </w:r>
    </w:p>
    <w:p w14:paraId="28476A42">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5</w:t>
      </w:r>
      <w:r>
        <w:rPr>
          <w:rFonts w:hint="eastAsia" w:ascii="仿宋_GB2312" w:hAnsi="宋体" w:eastAsia="黑体" w:cs="黑体"/>
          <w:bCs/>
          <w:color w:val="auto"/>
          <w:kern w:val="0"/>
          <w:sz w:val="22"/>
          <w:szCs w:val="22"/>
          <w:highlight w:val="none"/>
          <w:lang w:val="zh-CN" w:bidi="zh-CN"/>
        </w:rPr>
        <w:t>.4.重大项目监管</w:t>
      </w:r>
    </w:p>
    <w:p w14:paraId="7DA9E832">
      <w:pPr>
        <w:ind w:firstLine="480"/>
        <w:rPr>
          <w:rFonts w:ascii="仿宋_GB2312"/>
          <w:color w:val="auto"/>
          <w:highlight w:val="none"/>
        </w:rPr>
      </w:pPr>
      <w:r>
        <w:rPr>
          <w:rFonts w:hint="eastAsia" w:ascii="仿宋_GB2312"/>
          <w:color w:val="auto"/>
          <w:highlight w:val="none"/>
        </w:rPr>
        <w:t>针对天河区重大农村集体资产和资源，进行专区重点监测和关注。提供重大项目流程监管、项目热度监测、重大项目风险提醒和重大项目交易失败分析。</w:t>
      </w:r>
    </w:p>
    <w:p w14:paraId="27D8DDA9">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5</w:t>
      </w:r>
      <w:r>
        <w:rPr>
          <w:rFonts w:hint="eastAsia" w:ascii="仿宋_GB2312" w:hAnsi="宋体" w:eastAsia="黑体" w:cs="黑体"/>
          <w:bCs/>
          <w:color w:val="auto"/>
          <w:kern w:val="0"/>
          <w:sz w:val="22"/>
          <w:szCs w:val="22"/>
          <w:highlight w:val="none"/>
          <w:lang w:val="zh-CN" w:bidi="zh-CN"/>
        </w:rPr>
        <w:t>.5.竞标人管理</w:t>
      </w:r>
    </w:p>
    <w:p w14:paraId="6DADE985">
      <w:pPr>
        <w:ind w:firstLine="480"/>
        <w:rPr>
          <w:rFonts w:ascii="仿宋_GB2312"/>
          <w:color w:val="auto"/>
          <w:highlight w:val="none"/>
        </w:rPr>
      </w:pPr>
      <w:r>
        <w:rPr>
          <w:rFonts w:hint="eastAsia" w:ascii="仿宋_GB2312"/>
          <w:color w:val="auto"/>
          <w:highlight w:val="none"/>
        </w:rPr>
        <w:t>整合交易系统的信用名单及对应的负面行为等数据，进行数据融合和全面深度分析，针对集体资产交易过程中的竞投人进行监测和服务。提供竞投人查询、竞投人承租专题图、竞投人监测分析等功能模块。</w:t>
      </w:r>
    </w:p>
    <w:p w14:paraId="0459CF20">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5</w:t>
      </w:r>
      <w:r>
        <w:rPr>
          <w:rFonts w:hint="eastAsia" w:ascii="仿宋_GB2312" w:hAnsi="宋体" w:eastAsia="黑体" w:cs="黑体"/>
          <w:bCs/>
          <w:color w:val="auto"/>
          <w:kern w:val="0"/>
          <w:sz w:val="22"/>
          <w:szCs w:val="22"/>
          <w:highlight w:val="none"/>
          <w:lang w:val="zh-CN" w:bidi="zh-CN"/>
        </w:rPr>
        <w:t>.6.资产合同监管</w:t>
      </w:r>
    </w:p>
    <w:p w14:paraId="26C1B7E4">
      <w:pPr>
        <w:ind w:firstLine="480"/>
        <w:rPr>
          <w:rFonts w:ascii="仿宋_GB2312"/>
          <w:color w:val="auto"/>
          <w:highlight w:val="none"/>
        </w:rPr>
      </w:pPr>
      <w:r>
        <w:rPr>
          <w:rFonts w:hint="eastAsia" w:ascii="仿宋_GB2312"/>
          <w:color w:val="auto"/>
          <w:highlight w:val="none"/>
        </w:rPr>
        <w:t>按规则定期（每周）开展集体资产合同监管，对合同签订和执行异常情况进行监督监管，重点关注合同签订不规范（关键信息不全）；合同变更监管，分析合同变更原因，有效监测合同履约情况，对异常合同进行分析，并对相关风险或问题进行及时提醒。</w:t>
      </w:r>
    </w:p>
    <w:p w14:paraId="4C5B8DEB">
      <w:pPr>
        <w:ind w:firstLine="480"/>
        <w:rPr>
          <w:rFonts w:ascii="仿宋_GB2312"/>
          <w:color w:val="auto"/>
          <w:highlight w:val="none"/>
        </w:rPr>
      </w:pPr>
      <w:r>
        <w:rPr>
          <w:rFonts w:hint="eastAsia" w:ascii="仿宋_GB2312"/>
          <w:color w:val="auto"/>
          <w:highlight w:val="none"/>
        </w:rPr>
        <w:t>支持展示合同签订不规范（关键信息不全）的合同清单，突出标识关键信息不全的内容；分析合同到期情况，展示各村即将到期合同总量，包括1个月、3个月、6个月内即将到期合同数量、金额和面积，并突出标识；对超长期合同进行监管，展示超长期合同列表及详情；对任意时间段内合同变更总量进行监测，进行合同变更原因分析，并支持查看各地区合同变更数量及变更详情。</w:t>
      </w:r>
    </w:p>
    <w:p w14:paraId="56551278">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5</w:t>
      </w:r>
      <w:r>
        <w:rPr>
          <w:rFonts w:hint="eastAsia" w:ascii="仿宋_GB2312" w:hAnsi="宋体" w:eastAsia="黑体" w:cs="黑体"/>
          <w:bCs/>
          <w:color w:val="auto"/>
          <w:kern w:val="0"/>
          <w:sz w:val="22"/>
          <w:szCs w:val="22"/>
          <w:highlight w:val="none"/>
          <w:lang w:val="zh-CN" w:bidi="zh-CN"/>
        </w:rPr>
        <w:t>.7.财务资金监测</w:t>
      </w:r>
    </w:p>
    <w:p w14:paraId="370A8967">
      <w:pPr>
        <w:ind w:firstLine="480"/>
        <w:rPr>
          <w:rFonts w:ascii="仿宋_GB2312"/>
          <w:color w:val="auto"/>
          <w:highlight w:val="none"/>
        </w:rPr>
      </w:pPr>
      <w:r>
        <w:rPr>
          <w:rFonts w:hint="eastAsia" w:ascii="仿宋_GB2312"/>
          <w:color w:val="auto"/>
          <w:highlight w:val="none"/>
        </w:rPr>
        <w:t>主要对农村集体资金进行跟踪，对债权债务、资金收支进行监测，着眼资金使用和支出、资产经营和管理等关键指标，对集体资产财务应收未收、欠租或延迟交租、重大财务支出等进行风险管控；对整个天河区集体资产财务关键指标进行分析，从多维度保障资金安全，守好农村集体的经济账。</w:t>
      </w:r>
    </w:p>
    <w:p w14:paraId="51597BAC">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5</w:t>
      </w:r>
      <w:r>
        <w:rPr>
          <w:rFonts w:hint="eastAsia" w:ascii="仿宋_GB2312" w:hAnsi="宋体" w:eastAsia="黑体" w:cs="黑体"/>
          <w:bCs/>
          <w:color w:val="auto"/>
          <w:kern w:val="0"/>
          <w:sz w:val="22"/>
          <w:szCs w:val="22"/>
          <w:highlight w:val="none"/>
          <w:lang w:val="zh-CN" w:bidi="zh-CN"/>
        </w:rPr>
        <w:t>.8.综合监测预警与处置</w:t>
      </w:r>
    </w:p>
    <w:p w14:paraId="2B49B9F4">
      <w:pPr>
        <w:ind w:firstLine="480"/>
        <w:rPr>
          <w:rFonts w:ascii="仿宋_GB2312"/>
          <w:color w:val="auto"/>
          <w:highlight w:val="none"/>
        </w:rPr>
      </w:pPr>
      <w:r>
        <w:rPr>
          <w:rFonts w:hint="eastAsia" w:ascii="仿宋_GB2312"/>
          <w:color w:val="auto"/>
          <w:highlight w:val="none"/>
        </w:rPr>
        <w:t>集体资产的业务链条包括集体资产登记、交易、合同签订、财务收支，形成业务闭环。集体资产智慧化监督监管围绕以上业务环节自动监测和识别集体资产交易和利用中存在的风险，以及流程不规范的交易，及时发出预警，同时，针对预警信息要进行研判、处置和反馈等流程形成闭环处理。提供预警中心、风险综合分析、风险预警与闭环处置、风险指标体系管理、业务分析模型构建、预警规则管理与配置、纪委关注问题监管、问题反馈与处置等功能模块。</w:t>
      </w:r>
    </w:p>
    <w:p w14:paraId="7BA0505E">
      <w:pPr>
        <w:ind w:firstLine="480"/>
        <w:rPr>
          <w:rFonts w:ascii="仿宋_GB2312"/>
          <w:color w:val="auto"/>
          <w:highlight w:val="none"/>
        </w:rPr>
      </w:pPr>
    </w:p>
    <w:p w14:paraId="624D63E1">
      <w:pPr>
        <w:pStyle w:val="3"/>
        <w:adjustRightInd w:val="0"/>
        <w:snapToGrid w:val="0"/>
        <w:spacing w:line="360" w:lineRule="auto"/>
        <w:rPr>
          <w:rFonts w:hint="eastAsia" w:ascii="仿宋_GB2312" w:hAnsi="宋体" w:eastAsia="黑体" w:cs="黑体"/>
          <w:bCs/>
          <w:color w:val="auto"/>
          <w:kern w:val="0"/>
          <w:sz w:val="22"/>
          <w:szCs w:val="22"/>
          <w:highlight w:val="none"/>
          <w:lang w:bidi="zh-CN"/>
        </w:rPr>
      </w:pPr>
      <w:r>
        <w:rPr>
          <w:rFonts w:hint="eastAsia" w:ascii="仿宋_GB2312" w:hAnsi="宋体" w:eastAsia="黑体" w:cs="黑体"/>
          <w:bCs/>
          <w:color w:val="auto"/>
          <w:kern w:val="0"/>
          <w:sz w:val="22"/>
          <w:szCs w:val="22"/>
          <w:highlight w:val="none"/>
          <w:lang w:bidi="zh-CN"/>
        </w:rPr>
        <w:t>5.9本模块演示内容</w:t>
      </w:r>
    </w:p>
    <w:p w14:paraId="63F16239">
      <w:pPr>
        <w:ind w:firstLine="480"/>
        <w:rPr>
          <w:rFonts w:ascii="仿宋_GB2312"/>
          <w:color w:val="auto"/>
          <w:highlight w:val="none"/>
        </w:rPr>
      </w:pPr>
      <w:r>
        <w:rPr>
          <w:rFonts w:hint="eastAsia" w:ascii="仿宋_GB2312"/>
          <w:color w:val="auto"/>
          <w:highlight w:val="none"/>
        </w:rPr>
        <w:t>资产监测：①实时统计集体资产是否已落图、是否已实测，展示统计结果；②展示资产信息存疑（面积、地址、用途）的情况，提供统计数据查看监测，支持在地图上定位对应资产；③提供资产用途监测，支持集体资产与土地利用现状地类用途进行用途比对，展示用途不一致的资产；④对于用途存疑的资产，可自动生成监管函，并可在线编辑和导出监管函到本地电脑。</w:t>
      </w:r>
    </w:p>
    <w:p w14:paraId="502C37CD">
      <w:pPr>
        <w:ind w:firstLine="480"/>
        <w:rPr>
          <w:rFonts w:ascii="仿宋_GB2312"/>
          <w:color w:val="auto"/>
          <w:highlight w:val="none"/>
        </w:rPr>
      </w:pPr>
      <w:r>
        <w:rPr>
          <w:rFonts w:hint="eastAsia" w:ascii="仿宋_GB2312"/>
          <w:color w:val="auto"/>
          <w:highlight w:val="none"/>
        </w:rPr>
        <w:t>资产闲置监测：①支持在地图上展示区级集体资产闲置情况，分为资源型、物业型分别统计，统计闲置超过半年、3个月的资产的数量；②对村级集体资产进行统计，包括闲置宗数、面积，不同用途资产闲置数量和面积，位置分布，闲置资产详细信息展示。</w:t>
      </w:r>
    </w:p>
    <w:p w14:paraId="08B7AC2C">
      <w:pPr>
        <w:ind w:firstLine="480"/>
        <w:rPr>
          <w:rFonts w:ascii="仿宋_GB2312"/>
          <w:color w:val="auto"/>
          <w:highlight w:val="none"/>
        </w:rPr>
      </w:pPr>
      <w:r>
        <w:rPr>
          <w:rFonts w:hint="eastAsia" w:ascii="仿宋_GB2312"/>
          <w:color w:val="auto"/>
          <w:highlight w:val="none"/>
        </w:rPr>
        <w:t>资产交易监测：①展示资产交易情况，按村统计成功和失败的次数、宗数；②提供交易失败分析模块，统计任意时间段内资产交易失败情况（次数、宗数、总交易金额），分析失败原因，展示交易失败的资产清单；③对交易失败三次以上的资产、历史交易失败情况进行统计分析；④在地图上定位交易失败的资产，展示对应的底价、失败原因和资产基本情况，支持对交易失败的资产进行价格评估，结合周边资产价格、住建局租金参考等数据，测算并显示评估价格结果，并生成对应的交易方案。</w:t>
      </w:r>
    </w:p>
    <w:p w14:paraId="2647E891">
      <w:pPr>
        <w:ind w:firstLine="480"/>
        <w:rPr>
          <w:rFonts w:hint="eastAsia" w:ascii="仿宋_GB2312"/>
          <w:color w:val="auto"/>
          <w:highlight w:val="none"/>
        </w:rPr>
      </w:pPr>
      <w:r>
        <w:rPr>
          <w:rFonts w:hint="eastAsia" w:ascii="仿宋_GB2312"/>
          <w:color w:val="auto"/>
          <w:highlight w:val="none"/>
        </w:rPr>
        <w:t>资产合同监管：①展示合同签订不规范（关键信息不全）的合同清单，突出标识关键信息不全的内容；②分析合同到期情况，展示各村即将到期合同总量，包括1个月、3个月、6个月内即将到期合同数量、金额和面积，并突出标识；③对超长期合同进行监管，展示超长期合同列表及详情；④对任意时间段内合同变更总量进行监测，进行合同变更原因分析，并支持查看各地区合同变更数量及变更详情。</w:t>
      </w:r>
    </w:p>
    <w:p w14:paraId="37F42547">
      <w:pPr>
        <w:ind w:firstLine="480"/>
        <w:rPr>
          <w:rFonts w:hint="eastAsia" w:ascii="仿宋_GB2312"/>
          <w:color w:val="auto"/>
          <w:highlight w:val="none"/>
        </w:rPr>
      </w:pPr>
    </w:p>
    <w:p w14:paraId="3FC9C48D">
      <w:pPr>
        <w:pStyle w:val="2"/>
        <w:numPr>
          <w:ilvl w:val="255"/>
          <w:numId w:val="0"/>
        </w:numPr>
        <w:adjustRightInd w:val="0"/>
        <w:snapToGrid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6.农村集体资产综合服务子模块</w:t>
      </w:r>
    </w:p>
    <w:p w14:paraId="405CC8FB">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6</w:t>
      </w:r>
      <w:r>
        <w:rPr>
          <w:rFonts w:hint="eastAsia" w:ascii="仿宋_GB2312" w:hAnsi="宋体" w:eastAsia="黑体" w:cs="黑体"/>
          <w:bCs/>
          <w:color w:val="auto"/>
          <w:kern w:val="0"/>
          <w:sz w:val="22"/>
          <w:szCs w:val="22"/>
          <w:highlight w:val="none"/>
          <w:lang w:val="zh-CN" w:bidi="zh-CN"/>
        </w:rPr>
        <w:t>.1.集体资产租金分析</w:t>
      </w:r>
    </w:p>
    <w:p w14:paraId="6D9B8DE0">
      <w:pPr>
        <w:ind w:firstLine="480"/>
        <w:rPr>
          <w:rFonts w:ascii="仿宋_GB2312"/>
          <w:color w:val="auto"/>
          <w:highlight w:val="none"/>
        </w:rPr>
      </w:pPr>
      <w:r>
        <w:rPr>
          <w:rFonts w:hint="eastAsia" w:ascii="仿宋_GB2312"/>
          <w:color w:val="auto"/>
          <w:highlight w:val="none"/>
        </w:rPr>
        <w:t>将集体资产租金空间数据通过专题图可视化展示，融合集体资产和资产租金价格，构建租金热力图。</w:t>
      </w:r>
    </w:p>
    <w:p w14:paraId="598944AF">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6</w:t>
      </w:r>
      <w:r>
        <w:rPr>
          <w:rFonts w:hint="eastAsia" w:ascii="仿宋_GB2312" w:hAnsi="宋体" w:eastAsia="黑体" w:cs="黑体"/>
          <w:bCs/>
          <w:color w:val="auto"/>
          <w:kern w:val="0"/>
          <w:sz w:val="22"/>
          <w:szCs w:val="22"/>
          <w:highlight w:val="none"/>
          <w:lang w:val="zh-CN" w:bidi="zh-CN"/>
        </w:rPr>
        <w:t>.2.承租人分析</w:t>
      </w:r>
    </w:p>
    <w:p w14:paraId="4F464AB5">
      <w:pPr>
        <w:ind w:firstLine="480"/>
        <w:rPr>
          <w:rFonts w:ascii="仿宋_GB2312"/>
          <w:color w:val="auto"/>
          <w:highlight w:val="none"/>
        </w:rPr>
      </w:pPr>
      <w:r>
        <w:rPr>
          <w:rFonts w:hint="eastAsia" w:ascii="仿宋_GB2312"/>
          <w:color w:val="auto"/>
          <w:highlight w:val="none"/>
        </w:rPr>
        <w:t>围绕资产交易全过程中的“人”，针对承租人、股权等情况进行全面分析，进行承租人画像分析，为资产交易和合同履约风险分析提供支撑。</w:t>
      </w:r>
    </w:p>
    <w:p w14:paraId="37010CCA">
      <w:pPr>
        <w:ind w:firstLine="480"/>
        <w:rPr>
          <w:rFonts w:ascii="仿宋_GB2312"/>
          <w:color w:val="auto"/>
          <w:highlight w:val="none"/>
        </w:rPr>
      </w:pPr>
      <w:r>
        <w:rPr>
          <w:rFonts w:hint="eastAsia" w:ascii="仿宋_GB2312"/>
          <w:color w:val="auto"/>
          <w:highlight w:val="none"/>
        </w:rPr>
        <w:t>对全区的资产承租人（企业、自然人）总体情况进行统计分析，包括承租总金额、面积等信息；承租企业分析，包括股权情况，展现承租人所有承租合同、合同类型、承租资产所属村等；展示历史拖欠合同租金的承租人及其在租现势合同情况。。</w:t>
      </w:r>
    </w:p>
    <w:p w14:paraId="5B2EE3CA">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bookmarkStart w:id="1" w:name="_Hlk207736057"/>
      <w:r>
        <w:rPr>
          <w:rFonts w:hint="eastAsia" w:ascii="仿宋_GB2312" w:hAnsi="宋体" w:eastAsia="黑体" w:cs="黑体"/>
          <w:bCs/>
          <w:color w:val="auto"/>
          <w:kern w:val="0"/>
          <w:sz w:val="22"/>
          <w:szCs w:val="22"/>
          <w:highlight w:val="none"/>
          <w:lang w:bidi="zh-CN"/>
        </w:rPr>
        <w:t>6</w:t>
      </w:r>
      <w:r>
        <w:rPr>
          <w:rFonts w:hint="eastAsia" w:ascii="仿宋_GB2312" w:hAnsi="宋体" w:eastAsia="黑体" w:cs="黑体"/>
          <w:bCs/>
          <w:color w:val="auto"/>
          <w:kern w:val="0"/>
          <w:sz w:val="22"/>
          <w:szCs w:val="22"/>
          <w:highlight w:val="none"/>
          <w:lang w:val="zh-CN" w:bidi="zh-CN"/>
        </w:rPr>
        <w:t>.3.集体资产数据驾驶舱</w:t>
      </w:r>
    </w:p>
    <w:bookmarkEnd w:id="1"/>
    <w:p w14:paraId="25E45330">
      <w:pPr>
        <w:ind w:firstLine="480"/>
        <w:rPr>
          <w:rFonts w:ascii="仿宋_GB2312"/>
          <w:color w:val="auto"/>
          <w:highlight w:val="none"/>
        </w:rPr>
      </w:pPr>
      <w:bookmarkStart w:id="2" w:name="_Hlk207736078"/>
      <w:r>
        <w:rPr>
          <w:rFonts w:hint="eastAsia" w:ascii="仿宋_GB2312"/>
          <w:color w:val="auto"/>
          <w:highlight w:val="none"/>
        </w:rPr>
        <w:t>面向区政府、区农业农村局、属地街道、集体经济组织，提供天河区“三资”大数据驾驶舱大屏展示，可随时显示关键业务的数据指标以及执行情况。</w:t>
      </w:r>
      <w:bookmarkEnd w:id="2"/>
      <w:bookmarkStart w:id="3" w:name="_Hlk207736101"/>
      <w:r>
        <w:rPr>
          <w:rFonts w:hint="eastAsia" w:ascii="仿宋_GB2312"/>
          <w:color w:val="auto"/>
          <w:highlight w:val="none"/>
        </w:rPr>
        <w:t>汇总天河区农村集体经济相关统计数据，以图表和地图的形式，展示资产总体情况（总量、闲置、重大资产等）、年度/月度资产交易情况（交易宗数、总金额、成功与失败的数量、不同交易方式占比等）、财务情况（年度收支、变化趋势、月度收支等）、合同情况</w:t>
      </w:r>
      <w:bookmarkEnd w:id="3"/>
      <w:r>
        <w:rPr>
          <w:rFonts w:hint="eastAsia" w:ascii="仿宋_GB2312"/>
          <w:color w:val="auto"/>
          <w:highlight w:val="none"/>
        </w:rPr>
        <w:t>（合同数量、金额、超长期合同、月度合同等）、不同类型风险发现与监管情况，便于农业局、村联社整体掌握农村集体经济运行关键指标和数据。</w:t>
      </w:r>
    </w:p>
    <w:p w14:paraId="6AAB34BA">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6</w:t>
      </w:r>
      <w:r>
        <w:rPr>
          <w:rFonts w:hint="eastAsia" w:ascii="仿宋_GB2312" w:hAnsi="宋体" w:eastAsia="黑体" w:cs="黑体"/>
          <w:bCs/>
          <w:color w:val="auto"/>
          <w:kern w:val="0"/>
          <w:sz w:val="22"/>
          <w:szCs w:val="22"/>
          <w:highlight w:val="none"/>
          <w:lang w:val="zh-CN" w:bidi="zh-CN"/>
        </w:rPr>
        <w:t>.4.辅助管理</w:t>
      </w:r>
    </w:p>
    <w:p w14:paraId="5292D9C0">
      <w:pPr>
        <w:ind w:firstLine="480"/>
        <w:rPr>
          <w:rFonts w:ascii="仿宋_GB2312"/>
          <w:color w:val="auto"/>
          <w:highlight w:val="none"/>
        </w:rPr>
      </w:pPr>
      <w:r>
        <w:rPr>
          <w:rFonts w:hint="eastAsia" w:ascii="仿宋_GB2312"/>
          <w:color w:val="auto"/>
          <w:highlight w:val="none"/>
        </w:rPr>
        <w:t>运用人工智能相关技术，实现对农村集体资产的辅助管理，包括知识管理、智能问答、资产智能检索等功能模块。</w:t>
      </w:r>
    </w:p>
    <w:p w14:paraId="10ED08D9">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6</w:t>
      </w:r>
      <w:r>
        <w:rPr>
          <w:rFonts w:hint="eastAsia" w:ascii="仿宋_GB2312" w:hAnsi="宋体" w:eastAsia="黑体" w:cs="黑体"/>
          <w:bCs/>
          <w:color w:val="auto"/>
          <w:kern w:val="0"/>
          <w:sz w:val="22"/>
          <w:szCs w:val="22"/>
          <w:highlight w:val="none"/>
          <w:lang w:val="zh-CN" w:bidi="zh-CN"/>
        </w:rPr>
        <w:t>.5.资产利用规划</w:t>
      </w:r>
    </w:p>
    <w:p w14:paraId="449B7E25">
      <w:pPr>
        <w:ind w:firstLine="480"/>
        <w:rPr>
          <w:rFonts w:ascii="仿宋_GB2312"/>
          <w:color w:val="auto"/>
          <w:highlight w:val="none"/>
        </w:rPr>
      </w:pPr>
      <w:r>
        <w:rPr>
          <w:rFonts w:hint="eastAsia" w:ascii="仿宋_GB2312"/>
          <w:color w:val="auto"/>
          <w:highlight w:val="none"/>
        </w:rPr>
        <w:t>基于管理的集体资产，支持查询广州市、天河区相关的产业规划，查看产业园区、厂房和楼宇信息，提供企业招商所需的选址和评估分析能力，进行企业管理和产业政策开放，实现资产的利用规划。</w:t>
      </w:r>
    </w:p>
    <w:p w14:paraId="640B34BB">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6</w:t>
      </w:r>
      <w:r>
        <w:rPr>
          <w:rFonts w:hint="eastAsia" w:ascii="仿宋_GB2312" w:hAnsi="宋体" w:eastAsia="黑体" w:cs="黑体"/>
          <w:bCs/>
          <w:color w:val="auto"/>
          <w:kern w:val="0"/>
          <w:sz w:val="22"/>
          <w:szCs w:val="22"/>
          <w:highlight w:val="none"/>
          <w:lang w:val="zh-CN" w:bidi="zh-CN"/>
        </w:rPr>
        <w:t>.6.资产推介利用</w:t>
      </w:r>
    </w:p>
    <w:p w14:paraId="66D0BB26">
      <w:pPr>
        <w:ind w:firstLine="480"/>
        <w:rPr>
          <w:rFonts w:ascii="仿宋_GB2312"/>
          <w:color w:val="auto"/>
          <w:highlight w:val="none"/>
        </w:rPr>
      </w:pPr>
      <w:r>
        <w:rPr>
          <w:rFonts w:hint="eastAsia" w:ascii="仿宋_GB2312"/>
          <w:color w:val="auto"/>
          <w:highlight w:val="none"/>
        </w:rPr>
        <w:t>针对目前天河区农村集体闲置资产，为提升资产利用效率，促进农村集体经济高质量发展，使用三维和数字孪生技术，搭建集体资产全产业、可视化、智慧化的资产推介利用模块。利用三维GIS、数字孪生技术，对天河区区域交通、规划、产业生态、科创资源进行综合分析，为资产资源整治提升、连片开发利用、项目招商落地、产业规划导入、投资规划等提供辅助决策数据支持，提供线上会商选楼和地块三维实景推介，挖掘集体经济价值，实现集体资产资源与项目需求、企业需求精准匹配，快速帮助市场主体和村集体解决资产资源供需匹配，辅助精准推介，为村集体转型升级高质量发展蓄势赋能。提供云端场景推流，三维模型管理，三维场景交互，三维场景特效；区域概况展示，以三维形式展示城市宏观区域概况，包括区域定位、城市名片，以时间轴的形式展示广州历史商业发展情况，展示城镇空间格局和总体规划格局；资产会商选址与资产推介，提供资产查询和筛选功能，交通设施分析与招商宣传等功能模块；以三维条带图和不同符号展示地块周边交通情况、规划指标、商住服务设施数量及位置。</w:t>
      </w:r>
    </w:p>
    <w:p w14:paraId="05716B7A">
      <w:pPr>
        <w:ind w:firstLine="480"/>
        <w:rPr>
          <w:rFonts w:ascii="仿宋_GB2312"/>
          <w:color w:val="auto"/>
          <w:highlight w:val="none"/>
        </w:rPr>
      </w:pPr>
      <w:r>
        <w:rPr>
          <w:rFonts w:hint="eastAsia" w:ascii="仿宋_GB2312"/>
          <w:color w:val="auto"/>
          <w:highlight w:val="none"/>
        </w:rPr>
        <w:t>支持根据面积、区位、用途等查找集体资产，系统筛选出符合条件的资产，并展示资产状态、预估租金等；支持选择资产，查看资产现状情况、地块周边交通情况、规划指标、商住服务设施数量及位置，支持查看片区三维模型及资产单体三维模型，直观展示资产综合情况；支持展示城中村片区内企业分布、行业、类型及企业信息清单。</w:t>
      </w:r>
    </w:p>
    <w:p w14:paraId="648E2AC2">
      <w:pPr>
        <w:pStyle w:val="3"/>
        <w:adjustRightInd w:val="0"/>
        <w:snapToGrid w:val="0"/>
        <w:spacing w:line="360" w:lineRule="auto"/>
        <w:rPr>
          <w:rFonts w:hint="eastAsia" w:ascii="仿宋_GB2312" w:hAnsi="宋体" w:eastAsia="黑体" w:cs="黑体"/>
          <w:bCs/>
          <w:color w:val="auto"/>
          <w:kern w:val="0"/>
          <w:sz w:val="22"/>
          <w:szCs w:val="22"/>
          <w:highlight w:val="none"/>
          <w:lang w:val="zh-CN" w:bidi="zh-CN"/>
        </w:rPr>
      </w:pPr>
      <w:r>
        <w:rPr>
          <w:rFonts w:hint="eastAsia" w:ascii="仿宋_GB2312" w:hAnsi="宋体" w:eastAsia="黑体" w:cs="黑体"/>
          <w:bCs/>
          <w:color w:val="auto"/>
          <w:kern w:val="0"/>
          <w:sz w:val="22"/>
          <w:szCs w:val="22"/>
          <w:highlight w:val="none"/>
          <w:lang w:bidi="zh-CN"/>
        </w:rPr>
        <w:t>6</w:t>
      </w:r>
      <w:r>
        <w:rPr>
          <w:rFonts w:hint="eastAsia" w:ascii="仿宋_GB2312" w:hAnsi="宋体" w:eastAsia="黑体" w:cs="黑体"/>
          <w:bCs/>
          <w:color w:val="auto"/>
          <w:kern w:val="0"/>
          <w:sz w:val="22"/>
          <w:szCs w:val="22"/>
          <w:highlight w:val="none"/>
          <w:lang w:val="zh-CN" w:bidi="zh-CN"/>
        </w:rPr>
        <w:t>.7.移动应用</w:t>
      </w:r>
    </w:p>
    <w:p w14:paraId="0448FBE4">
      <w:pPr>
        <w:ind w:firstLine="480"/>
        <w:rPr>
          <w:color w:val="auto"/>
          <w:highlight w:val="none"/>
        </w:rPr>
      </w:pPr>
      <w:r>
        <w:rPr>
          <w:rFonts w:hint="eastAsia"/>
          <w:color w:val="auto"/>
          <w:highlight w:val="none"/>
        </w:rPr>
        <w:t>适配移动端（手机）浏览器，针对农村集体资产情况提供数据总览功能，包括资产、闲置、交易、合同、财务等关键汇总指标，形成统计图表，支持查看月度、季度、年度“账单”；提供资产现场巡查和信息上报功能；针对推介资产，提供查询和定位功能；针对监测预警信息，提供查询和处置功能。</w:t>
      </w:r>
    </w:p>
    <w:p w14:paraId="1F8BD629">
      <w:pPr>
        <w:pStyle w:val="3"/>
        <w:adjustRightInd w:val="0"/>
        <w:snapToGrid w:val="0"/>
        <w:spacing w:line="360" w:lineRule="auto"/>
        <w:rPr>
          <w:rFonts w:hint="eastAsia" w:ascii="仿宋_GB2312" w:hAnsi="宋体" w:eastAsia="黑体" w:cs="黑体"/>
          <w:bCs/>
          <w:color w:val="auto"/>
          <w:kern w:val="0"/>
          <w:sz w:val="22"/>
          <w:szCs w:val="22"/>
          <w:highlight w:val="none"/>
          <w:lang w:bidi="zh-CN"/>
        </w:rPr>
      </w:pPr>
      <w:bookmarkStart w:id="4" w:name="_Toc178245527"/>
      <w:bookmarkStart w:id="5" w:name="_Toc181350141"/>
      <w:bookmarkStart w:id="6" w:name="_Hlk181284396"/>
      <w:r>
        <w:rPr>
          <w:rFonts w:hint="eastAsia" w:ascii="仿宋_GB2312" w:hAnsi="宋体" w:eastAsia="黑体" w:cs="黑体"/>
          <w:bCs/>
          <w:color w:val="auto"/>
          <w:kern w:val="0"/>
          <w:sz w:val="22"/>
          <w:szCs w:val="22"/>
          <w:highlight w:val="none"/>
          <w:lang w:bidi="zh-CN"/>
        </w:rPr>
        <w:t>6.8本模块演示内容</w:t>
      </w:r>
    </w:p>
    <w:p w14:paraId="08993416">
      <w:pPr>
        <w:ind w:firstLine="480"/>
        <w:rPr>
          <w:color w:val="auto"/>
          <w:highlight w:val="none"/>
        </w:rPr>
      </w:pPr>
      <w:r>
        <w:rPr>
          <w:rFonts w:hint="eastAsia"/>
          <w:color w:val="auto"/>
          <w:highlight w:val="none"/>
        </w:rPr>
        <w:t>承租人分析：①对全区的资产承租人（企业、自然人）总体情况进行统计分析，包括承租总金额、面积等信息；②承租企业分析，包括股权分析，展现承租人所有承租合同、合同类型、承租资产所属村等；③展示历史拖欠合同租金的承租人及其在租现势合同情况。</w:t>
      </w:r>
    </w:p>
    <w:p w14:paraId="2B0F8CC4">
      <w:pPr>
        <w:ind w:firstLine="480"/>
        <w:rPr>
          <w:color w:val="auto"/>
          <w:highlight w:val="none"/>
        </w:rPr>
      </w:pPr>
      <w:r>
        <w:rPr>
          <w:rFonts w:hint="eastAsia"/>
          <w:color w:val="auto"/>
          <w:highlight w:val="none"/>
        </w:rPr>
        <w:t>集体资产数据驾驶舱：①分析和汇总天河区农村集体资产相关核心统计数据，展示资产总体情况（总量、闲置等）、年度/月度资产交易情况（交易宗数、总金额、成功与失败的数量、不同交易方式占比等）、合同情况（数量、金额等）、财务情况（收入、支出等）。</w:t>
      </w:r>
    </w:p>
    <w:p w14:paraId="6F9C1449">
      <w:pPr>
        <w:ind w:firstLine="480"/>
        <w:rPr>
          <w:color w:val="auto"/>
          <w:highlight w:val="none"/>
        </w:rPr>
      </w:pPr>
      <w:r>
        <w:rPr>
          <w:rFonts w:hint="eastAsia"/>
          <w:color w:val="auto"/>
          <w:highlight w:val="none"/>
        </w:rPr>
        <w:t>资产推介利用：①支持根据面积、区位、用途等查找集体资产，系统筛选出符合条件的资产，并展示资产状态、预估租金等；②支持选择资产，查看资产现状情况、地块周边交通情况、规划指标、商住服务设施数量及位置，支持查看片区三维模型及资产单体三维模型，直观展示资产综合情况；③支持展示城中村片区内企业分布、行业、类型及企业信息清单。</w:t>
      </w:r>
    </w:p>
    <w:p w14:paraId="6B544FBF">
      <w:pPr>
        <w:pStyle w:val="2"/>
        <w:numPr>
          <w:ilvl w:val="255"/>
          <w:numId w:val="0"/>
        </w:num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7.已建或在建信息系统对接</w:t>
      </w:r>
      <w:bookmarkEnd w:id="4"/>
      <w:bookmarkEnd w:id="5"/>
    </w:p>
    <w:p w14:paraId="4FC81575">
      <w:pPr>
        <w:ind w:firstLine="480"/>
        <w:rPr>
          <w:rFonts w:hint="eastAsia"/>
          <w:color w:val="auto"/>
          <w:highlight w:val="none"/>
        </w:rPr>
      </w:pPr>
      <w:r>
        <w:rPr>
          <w:rFonts w:hint="eastAsia"/>
          <w:color w:val="auto"/>
          <w:highlight w:val="none"/>
        </w:rPr>
        <w:t>下列系统都预留有第三方系统对接所需的接口，并提供数据对接说明和技术规范等相关技术文档，具体项目实施时，由采购人负责协调和</w:t>
      </w:r>
      <w:r>
        <w:rPr>
          <w:rFonts w:hint="eastAsia"/>
          <w:color w:val="auto"/>
          <w:highlight w:val="none"/>
          <w:lang w:eastAsia="zh-CN"/>
        </w:rPr>
        <w:t>提供</w:t>
      </w:r>
      <w:r>
        <w:rPr>
          <w:rFonts w:hint="eastAsia"/>
          <w:color w:val="auto"/>
          <w:highlight w:val="none"/>
        </w:rPr>
        <w:t>下列系统对接所需的技术资料。</w:t>
      </w:r>
    </w:p>
    <w:p w14:paraId="641A2269">
      <w:pPr>
        <w:ind w:firstLine="480"/>
        <w:rPr>
          <w:rFonts w:hint="eastAsia"/>
          <w:color w:val="auto"/>
          <w:highlight w:val="none"/>
        </w:rPr>
      </w:pPr>
      <w:r>
        <w:rPr>
          <w:rFonts w:hint="eastAsia"/>
          <w:color w:val="auto"/>
          <w:highlight w:val="none"/>
        </w:rPr>
        <w:t>1.对接智慧广州时空信息云平台/天河区智慧城市时空数据底座</w:t>
      </w:r>
    </w:p>
    <w:p w14:paraId="4D7C00C7">
      <w:pPr>
        <w:ind w:firstLine="480"/>
        <w:rPr>
          <w:rFonts w:hint="eastAsia"/>
          <w:color w:val="auto"/>
          <w:highlight w:val="none"/>
        </w:rPr>
      </w:pPr>
      <w:r>
        <w:rPr>
          <w:rFonts w:hint="eastAsia"/>
          <w:color w:val="auto"/>
          <w:highlight w:val="none"/>
        </w:rPr>
        <w:t>对接广州市时空信息云平台/天河区智慧城市时空数据底座，主要对接基础地理信息数据，包括影像图、电子地图、地名路网等在线地图服务。</w:t>
      </w:r>
    </w:p>
    <w:p w14:paraId="14B13072">
      <w:pPr>
        <w:ind w:firstLine="480"/>
        <w:rPr>
          <w:rFonts w:hint="eastAsia"/>
          <w:color w:val="auto"/>
          <w:highlight w:val="none"/>
        </w:rPr>
      </w:pPr>
      <w:r>
        <w:rPr>
          <w:rFonts w:hint="eastAsia"/>
          <w:color w:val="auto"/>
          <w:highlight w:val="none"/>
        </w:rPr>
        <w:t>2.对接广东省统一身份认证平台</w:t>
      </w:r>
    </w:p>
    <w:p w14:paraId="4F8BC248">
      <w:pPr>
        <w:ind w:firstLine="480"/>
        <w:rPr>
          <w:rFonts w:hint="eastAsia"/>
          <w:color w:val="auto"/>
          <w:highlight w:val="none"/>
        </w:rPr>
      </w:pPr>
      <w:r>
        <w:rPr>
          <w:rFonts w:hint="eastAsia"/>
          <w:color w:val="auto"/>
          <w:highlight w:val="none"/>
        </w:rPr>
        <w:t>对按广东省统一身份认证平台进行政务侧用户认证登录，实现用户使用广东省统一身份认证平台扫码登录功能。</w:t>
      </w:r>
    </w:p>
    <w:p w14:paraId="627EC340">
      <w:pPr>
        <w:ind w:firstLine="480"/>
        <w:rPr>
          <w:rFonts w:hint="eastAsia"/>
          <w:color w:val="auto"/>
          <w:highlight w:val="none"/>
        </w:rPr>
      </w:pPr>
      <w:r>
        <w:rPr>
          <w:rFonts w:hint="eastAsia"/>
          <w:color w:val="auto"/>
          <w:highlight w:val="none"/>
        </w:rPr>
        <w:t>3.对接天河区政务大数据平台</w:t>
      </w:r>
    </w:p>
    <w:p w14:paraId="5AA5B82D">
      <w:pPr>
        <w:ind w:firstLine="480"/>
        <w:rPr>
          <w:rFonts w:hint="eastAsia"/>
          <w:color w:val="auto"/>
          <w:highlight w:val="none"/>
        </w:rPr>
      </w:pPr>
      <w:r>
        <w:rPr>
          <w:rFonts w:hint="eastAsia"/>
          <w:color w:val="auto"/>
          <w:highlight w:val="none"/>
        </w:rPr>
        <w:t>对接天河区政务大数据平台，获取需开展专题库建设工作的基础数据。将采用标准地图服务接口的方式进行相关图层接入。</w:t>
      </w:r>
    </w:p>
    <w:p w14:paraId="597A19A7">
      <w:pPr>
        <w:ind w:firstLine="480"/>
        <w:rPr>
          <w:rFonts w:hint="eastAsia"/>
          <w:color w:val="auto"/>
          <w:highlight w:val="none"/>
        </w:rPr>
      </w:pPr>
      <w:r>
        <w:rPr>
          <w:rFonts w:hint="eastAsia"/>
          <w:color w:val="auto"/>
          <w:highlight w:val="none"/>
        </w:rPr>
        <w:t>4.对接粤政易平台</w:t>
      </w:r>
    </w:p>
    <w:p w14:paraId="6D0A2D2B">
      <w:pPr>
        <w:ind w:firstLine="480"/>
        <w:rPr>
          <w:rFonts w:hint="eastAsia"/>
          <w:color w:val="auto"/>
          <w:highlight w:val="none"/>
        </w:rPr>
      </w:pPr>
      <w:r>
        <w:rPr>
          <w:rFonts w:hint="eastAsia"/>
          <w:color w:val="auto"/>
          <w:highlight w:val="none"/>
        </w:rPr>
        <w:t>按照粤政易对接相关指引和技术规范，实现本平台与粤政易对接，以实现预警消息推送至相关责任人。</w:t>
      </w:r>
    </w:p>
    <w:p w14:paraId="77AAC6F3">
      <w:pPr>
        <w:ind w:firstLine="480"/>
        <w:rPr>
          <w:rFonts w:hint="eastAsia"/>
          <w:color w:val="auto"/>
          <w:highlight w:val="none"/>
        </w:rPr>
      </w:pPr>
      <w:r>
        <w:rPr>
          <w:rFonts w:hint="eastAsia"/>
          <w:color w:val="auto"/>
          <w:highlight w:val="none"/>
        </w:rPr>
        <w:t>5.对接广东省农村集体资产监督管理平台</w:t>
      </w:r>
    </w:p>
    <w:p w14:paraId="554DF1E6">
      <w:pPr>
        <w:ind w:firstLine="480"/>
        <w:rPr>
          <w:rFonts w:hint="eastAsia"/>
          <w:color w:val="auto"/>
          <w:highlight w:val="none"/>
        </w:rPr>
      </w:pPr>
      <w:r>
        <w:rPr>
          <w:rFonts w:hint="eastAsia"/>
          <w:color w:val="auto"/>
          <w:highlight w:val="none"/>
        </w:rPr>
        <w:t>按照省数据对接规范，进行数据结构处理，实现天河区农村集体资产相关数据推送至省平台，服务数据汇交。</w:t>
      </w:r>
    </w:p>
    <w:p w14:paraId="3F93460B">
      <w:pPr>
        <w:ind w:firstLine="480"/>
        <w:rPr>
          <w:rFonts w:hint="eastAsia"/>
          <w:color w:val="auto"/>
          <w:highlight w:val="none"/>
        </w:rPr>
      </w:pPr>
      <w:r>
        <w:rPr>
          <w:rFonts w:hint="eastAsia"/>
          <w:color w:val="auto"/>
          <w:highlight w:val="none"/>
        </w:rPr>
        <w:t>6.天河区商用密码资源接入与集成</w:t>
      </w:r>
    </w:p>
    <w:p w14:paraId="7A0D1F41">
      <w:pPr>
        <w:ind w:firstLine="480"/>
        <w:rPr>
          <w:rFonts w:hint="eastAsia"/>
          <w:color w:val="auto"/>
          <w:highlight w:val="none"/>
        </w:rPr>
      </w:pPr>
      <w:r>
        <w:rPr>
          <w:rFonts w:hint="eastAsia"/>
          <w:color w:val="auto"/>
          <w:highlight w:val="none"/>
        </w:rPr>
        <w:t>基于政务云中天河区级商用密码资源池，按照商用密码建设要求对系统进行对接和集成，对相关功能模块进行适配。</w:t>
      </w:r>
    </w:p>
    <w:p w14:paraId="572B3BED">
      <w:pPr>
        <w:ind w:firstLine="480"/>
        <w:rPr>
          <w:rFonts w:hint="eastAsia"/>
          <w:color w:val="auto"/>
          <w:highlight w:val="none"/>
        </w:rPr>
      </w:pPr>
      <w:r>
        <w:rPr>
          <w:rFonts w:hint="eastAsia"/>
          <w:color w:val="auto"/>
          <w:highlight w:val="none"/>
        </w:rPr>
        <w:t>7.对接天河区政府统一短信平台</w:t>
      </w:r>
    </w:p>
    <w:p w14:paraId="7DC8992F">
      <w:pPr>
        <w:ind w:firstLine="480"/>
        <w:rPr>
          <w:rFonts w:hint="eastAsia"/>
          <w:color w:val="auto"/>
          <w:highlight w:val="none"/>
        </w:rPr>
      </w:pPr>
      <w:r>
        <w:rPr>
          <w:rFonts w:hint="eastAsia"/>
          <w:color w:val="auto"/>
          <w:highlight w:val="none"/>
        </w:rPr>
        <w:t>对接天河区政府统一短信平台，依据相关技术规范，实现预警信息推送至相关责任人；将交易过程中的相关信息推送至竞投人。</w:t>
      </w:r>
    </w:p>
    <w:p w14:paraId="709AE04E">
      <w:pPr>
        <w:ind w:firstLine="480"/>
        <w:rPr>
          <w:rFonts w:hint="eastAsia"/>
          <w:color w:val="auto"/>
          <w:highlight w:val="none"/>
        </w:rPr>
      </w:pPr>
      <w:r>
        <w:rPr>
          <w:rFonts w:hint="eastAsia"/>
          <w:color w:val="auto"/>
          <w:highlight w:val="none"/>
        </w:rPr>
        <w:t>8.广东省农村产权流转交易管理服务平台对接</w:t>
      </w:r>
    </w:p>
    <w:p w14:paraId="1E04E7A5">
      <w:pPr>
        <w:ind w:firstLine="480"/>
        <w:rPr>
          <w:rFonts w:hint="eastAsia"/>
          <w:color w:val="auto"/>
          <w:highlight w:val="none"/>
        </w:rPr>
      </w:pPr>
      <w:r>
        <w:rPr>
          <w:rFonts w:hint="eastAsia"/>
          <w:color w:val="auto"/>
          <w:highlight w:val="none"/>
        </w:rPr>
        <w:t>系统将按照《广东省农村产权流转交易管理服务平台数据规范》、《广东省农村产权流转交易管理服务平台接口规范》要求，通过API接口实现与广东省农村产权流转交易管理服务平台的数据对接，通过数据接口完成农村集体三资交易相关数据上报。</w:t>
      </w:r>
    </w:p>
    <w:p w14:paraId="6FE57A97">
      <w:pPr>
        <w:ind w:firstLine="480"/>
        <w:rPr>
          <w:rFonts w:hint="eastAsia"/>
          <w:color w:val="auto"/>
          <w:highlight w:val="none"/>
        </w:rPr>
      </w:pPr>
      <w:r>
        <w:rPr>
          <w:rFonts w:hint="eastAsia"/>
          <w:color w:val="auto"/>
          <w:highlight w:val="none"/>
        </w:rPr>
        <w:t>9.广州市农村产权流转交易管理服务平台对接</w:t>
      </w:r>
    </w:p>
    <w:p w14:paraId="4B93E6D7">
      <w:pPr>
        <w:ind w:firstLine="480"/>
        <w:rPr>
          <w:rFonts w:hint="eastAsia"/>
          <w:color w:val="auto"/>
          <w:highlight w:val="none"/>
        </w:rPr>
      </w:pPr>
      <w:r>
        <w:rPr>
          <w:rFonts w:hint="eastAsia"/>
          <w:color w:val="auto"/>
          <w:highlight w:val="none"/>
        </w:rPr>
        <w:t>系统将按照《广州市农村产权流转管理服务平台资产数据规范》要求，通过API接口实现与广州市农村产权流转交易管理服务平台的数据对接，通过数据接口完成农村集体三资交易相关数据上报。</w:t>
      </w:r>
    </w:p>
    <w:p w14:paraId="6454126D">
      <w:pPr>
        <w:ind w:firstLine="480"/>
        <w:rPr>
          <w:rFonts w:hint="eastAsia"/>
          <w:color w:val="auto"/>
          <w:highlight w:val="none"/>
        </w:rPr>
      </w:pPr>
      <w:r>
        <w:rPr>
          <w:rFonts w:hint="eastAsia"/>
          <w:color w:val="auto"/>
          <w:highlight w:val="none"/>
        </w:rPr>
        <w:t>10.粤农交平台对接</w:t>
      </w:r>
    </w:p>
    <w:p w14:paraId="7481D2CE">
      <w:pPr>
        <w:ind w:firstLine="480"/>
        <w:rPr>
          <w:rFonts w:hint="eastAsia"/>
          <w:color w:val="auto"/>
          <w:highlight w:val="none"/>
        </w:rPr>
      </w:pPr>
      <w:r>
        <w:rPr>
          <w:rFonts w:hint="eastAsia"/>
          <w:color w:val="auto"/>
          <w:highlight w:val="none"/>
        </w:rPr>
        <w:t>与粤农交平台对接，通过数据接口完成农村集体三资交易相关数据共享。</w:t>
      </w:r>
    </w:p>
    <w:p w14:paraId="7B975EFD">
      <w:pPr>
        <w:ind w:firstLine="480"/>
        <w:rPr>
          <w:rFonts w:hint="eastAsia"/>
          <w:color w:val="auto"/>
          <w:highlight w:val="none"/>
        </w:rPr>
      </w:pPr>
      <w:r>
        <w:rPr>
          <w:rFonts w:hint="eastAsia"/>
          <w:color w:val="auto"/>
          <w:highlight w:val="none"/>
        </w:rPr>
        <w:t>11.银行系统联动对接</w:t>
      </w:r>
    </w:p>
    <w:p w14:paraId="651B9382">
      <w:pPr>
        <w:ind w:firstLine="480"/>
        <w:rPr>
          <w:rFonts w:hint="eastAsia"/>
          <w:color w:val="auto"/>
          <w:highlight w:val="none"/>
        </w:rPr>
      </w:pPr>
      <w:r>
        <w:rPr>
          <w:rFonts w:hint="eastAsia"/>
          <w:color w:val="auto"/>
          <w:highlight w:val="none"/>
        </w:rPr>
        <w:t>农村集体三资交易过程涉及竞投的企业或者个人需要缴纳投标保证金，通过API接口与保证金账户银行系统对接，实现投标保证金直接通过平台进行线上缴纳与退还。电子对账单的对接。各开户行按双方约定的数据格式，每月将列入农村财务监管的账户发生的明细记录通过数据库交换的方式，及时推送给农村实时财务管理平台。</w:t>
      </w:r>
    </w:p>
    <w:p w14:paraId="1107116B">
      <w:pPr>
        <w:ind w:firstLine="480"/>
        <w:rPr>
          <w:rFonts w:hint="eastAsia"/>
          <w:color w:val="auto"/>
          <w:highlight w:val="none"/>
        </w:rPr>
      </w:pPr>
      <w:r>
        <w:rPr>
          <w:rFonts w:hint="eastAsia"/>
          <w:color w:val="auto"/>
          <w:highlight w:val="none"/>
        </w:rPr>
        <w:t>农村集体经济组织资金变动和资金审批时银行推送相关信息。</w:t>
      </w:r>
    </w:p>
    <w:p w14:paraId="0A969BC4">
      <w:pPr>
        <w:ind w:firstLine="480"/>
        <w:rPr>
          <w:rFonts w:hint="eastAsia"/>
          <w:color w:val="auto"/>
          <w:highlight w:val="none"/>
        </w:rPr>
      </w:pPr>
      <w:r>
        <w:rPr>
          <w:rFonts w:hint="eastAsia"/>
          <w:color w:val="auto"/>
          <w:highlight w:val="none"/>
        </w:rPr>
        <w:t>12.广州市农村产权交易所对接</w:t>
      </w:r>
    </w:p>
    <w:p w14:paraId="13643C86">
      <w:pPr>
        <w:ind w:firstLine="480"/>
        <w:rPr>
          <w:rFonts w:hint="eastAsia"/>
          <w:color w:val="auto"/>
          <w:highlight w:val="none"/>
        </w:rPr>
      </w:pPr>
      <w:r>
        <w:rPr>
          <w:rFonts w:hint="eastAsia"/>
          <w:color w:val="auto"/>
          <w:highlight w:val="none"/>
        </w:rPr>
        <w:t>与广州市农村产权交易所系统，实时获取广州市农村产权交易所交易的天河区集体资产交易项目数据，包括项目交易审核数据、公示公告数据、报名数据、交易结果数据、合同签订数据等实时数据。</w:t>
      </w:r>
    </w:p>
    <w:p w14:paraId="4489C22C">
      <w:pPr>
        <w:ind w:firstLine="480"/>
        <w:rPr>
          <w:rFonts w:hint="eastAsia"/>
          <w:color w:val="auto"/>
          <w:highlight w:val="none"/>
        </w:rPr>
      </w:pPr>
    </w:p>
    <w:p w14:paraId="17A4FA59">
      <w:pPr>
        <w:pStyle w:val="9"/>
        <w:outlineLvl w:val="2"/>
        <w:rPr>
          <w:rFonts w:hint="default"/>
          <w:b/>
          <w:color w:val="auto"/>
          <w:sz w:val="28"/>
          <w:highlight w:val="none"/>
        </w:rPr>
      </w:pPr>
      <w:r>
        <w:rPr>
          <w:b/>
          <w:color w:val="auto"/>
          <w:sz w:val="28"/>
          <w:highlight w:val="none"/>
          <w:lang w:eastAsia="zh-CN"/>
        </w:rPr>
        <w:t>四、</w:t>
      </w:r>
      <w:r>
        <w:rPr>
          <w:b/>
          <w:color w:val="auto"/>
          <w:sz w:val="28"/>
          <w:highlight w:val="none"/>
        </w:rPr>
        <w:t>专题库建设要求</w:t>
      </w:r>
    </w:p>
    <w:p w14:paraId="1AB9F2A9">
      <w:pPr>
        <w:pStyle w:val="2"/>
        <w:spacing w:before="0" w:after="0"/>
        <w:rPr>
          <w:rFonts w:hint="eastAsia" w:ascii="宋体" w:hAnsi="宋体" w:eastAsia="宋体" w:cs="宋体"/>
          <w:color w:val="auto"/>
          <w:sz w:val="24"/>
          <w:highlight w:val="none"/>
        </w:rPr>
      </w:pPr>
      <w:r>
        <w:rPr>
          <w:rFonts w:hint="eastAsia" w:ascii="宋体" w:hAnsi="宋体" w:eastAsia="宋体" w:cs="宋体"/>
          <w:color w:val="auto"/>
          <w:sz w:val="24"/>
          <w:highlight w:val="none"/>
        </w:rPr>
        <w:t>1.集体资产时空数据标准建设</w:t>
      </w:r>
      <w:r>
        <w:rPr>
          <w:rFonts w:hint="eastAsia" w:ascii="宋体" w:hAnsi="宋体" w:eastAsia="宋体" w:cs="宋体"/>
          <w:b/>
          <w:bCs w:val="0"/>
          <w:color w:val="auto"/>
          <w:sz w:val="24"/>
          <w:highlight w:val="none"/>
          <w:lang w:eastAsia="zh-CN"/>
        </w:rPr>
        <w:t>（须具有乙级或以上测绘资质（专业范围包含地理信息系统工程）的单位承接）</w:t>
      </w:r>
    </w:p>
    <w:p w14:paraId="6A2CDCEF">
      <w:pPr>
        <w:ind w:firstLine="480"/>
        <w:rPr>
          <w:color w:val="auto"/>
          <w:highlight w:val="none"/>
        </w:rPr>
      </w:pPr>
      <w:r>
        <w:rPr>
          <w:rFonts w:hint="eastAsia"/>
          <w:color w:val="auto"/>
          <w:highlight w:val="none"/>
        </w:rPr>
        <w:t>广东省农业厅、广州市农业农村局相继发布集体资产“一张图”的数据要求，由于不同层级对资产的关注重点不同，数据标准存在较大差异。分析农业农村部、省农业农村厅、市农业农村局对集体资产管理“一张图”数据要求和集体资产业务管理要求，结合天河区实际情况和自然资源部门关于土地的用途分类、住房建设部门关于房屋的用途分类，制定兼容部、省、市要求，适应天河区农村集体经济组织运行管理的农村集体经济组织运行时空数据标准，定义集体资产相关的关键基础数据标准、集体资产“一张图”数据标准、集体资产登记、合同、财务、招商等业务所需的数据标准，形成全区数据规范，兼容上级数据要求，适应天河区实际管理需求，指导天河区集体资产专题库建设和平台建设。</w:t>
      </w:r>
    </w:p>
    <w:p w14:paraId="34B3B07D">
      <w:pPr>
        <w:pStyle w:val="2"/>
        <w:spacing w:before="0" w:after="0"/>
        <w:rPr>
          <w:rFonts w:hint="eastAsia" w:ascii="宋体" w:hAnsi="宋体" w:eastAsia="宋体" w:cs="宋体"/>
          <w:color w:val="auto"/>
          <w:sz w:val="24"/>
          <w:highlight w:val="none"/>
        </w:rPr>
      </w:pPr>
      <w:bookmarkStart w:id="7" w:name="_Hlk207187856"/>
      <w:r>
        <w:rPr>
          <w:rFonts w:hint="eastAsia" w:ascii="宋体" w:hAnsi="宋体" w:eastAsia="宋体" w:cs="宋体"/>
          <w:color w:val="auto"/>
          <w:sz w:val="24"/>
          <w:highlight w:val="none"/>
        </w:rPr>
        <w:t>2.集体资产监管指标体系构建</w:t>
      </w:r>
    </w:p>
    <w:bookmarkEnd w:id="7"/>
    <w:p w14:paraId="7FACCFF7">
      <w:pPr>
        <w:ind w:firstLine="480"/>
        <w:rPr>
          <w:color w:val="auto"/>
          <w:highlight w:val="none"/>
        </w:rPr>
      </w:pPr>
      <w:r>
        <w:rPr>
          <w:rFonts w:hint="eastAsia"/>
          <w:color w:val="auto"/>
          <w:highlight w:val="none"/>
        </w:rPr>
        <w:t>集体资产监管是集体资产管理中重要工作，将全面维护和保障集体资产健康运行和开发利用，维护天河集体形象。建立集体资产监管指标体系是从“粗放管理”转向“精细治理”的必然选择，既能响应国家政策导向，又能破解资产管理中的现实痛点，最终实现“资产变资源、资源变资本、资本促发展”的良性循环。</w:t>
      </w:r>
    </w:p>
    <w:p w14:paraId="7D5AEDE7">
      <w:pPr>
        <w:ind w:firstLine="480"/>
        <w:rPr>
          <w:color w:val="auto"/>
          <w:highlight w:val="none"/>
        </w:rPr>
      </w:pPr>
      <w:r>
        <w:rPr>
          <w:rFonts w:hint="eastAsia"/>
          <w:color w:val="auto"/>
          <w:highlight w:val="none"/>
        </w:rPr>
        <w:t>集体资产监管指标体系的建立应覆盖全生命周期的指标体系，包括资产登记、交易、合同、财务、招商等全业务链条，形成分类分级的量化指标体系，指标应分类分级，指标规则化，指标可量化，不少于50条核心指标，包括但不限于资产变化指标、资产闲置指标、资产价格指标等。</w:t>
      </w:r>
    </w:p>
    <w:p w14:paraId="5F7E1F35">
      <w:pPr>
        <w:pStyle w:val="2"/>
        <w:spacing w:before="0" w:after="0"/>
        <w:rPr>
          <w:rFonts w:hint="eastAsia" w:ascii="宋体" w:hAnsi="宋体" w:eastAsia="宋体" w:cs="宋体"/>
          <w:color w:val="auto"/>
          <w:sz w:val="24"/>
          <w:highlight w:val="none"/>
        </w:rPr>
      </w:pPr>
      <w:bookmarkStart w:id="8" w:name="_Hlk207187891"/>
      <w:r>
        <w:rPr>
          <w:rFonts w:hint="eastAsia" w:ascii="宋体" w:hAnsi="宋体" w:eastAsia="宋体" w:cs="宋体"/>
          <w:color w:val="auto"/>
          <w:sz w:val="24"/>
          <w:highlight w:val="none"/>
        </w:rPr>
        <w:t>3.集体经济组织空间专题库</w:t>
      </w:r>
      <w:bookmarkEnd w:id="8"/>
      <w:r>
        <w:rPr>
          <w:rFonts w:hint="eastAsia" w:ascii="宋体" w:hAnsi="宋体" w:eastAsia="宋体" w:cs="宋体"/>
          <w:color w:val="auto"/>
          <w:sz w:val="24"/>
          <w:highlight w:val="none"/>
        </w:rPr>
        <w:t>内容</w:t>
      </w:r>
      <w:r>
        <w:rPr>
          <w:rFonts w:hint="eastAsia" w:ascii="宋体" w:hAnsi="宋体" w:eastAsia="宋体" w:cs="宋体"/>
          <w:b/>
          <w:bCs w:val="0"/>
          <w:color w:val="auto"/>
          <w:sz w:val="24"/>
          <w:highlight w:val="none"/>
          <w:lang w:eastAsia="zh-CN"/>
        </w:rPr>
        <w:t>（须具有乙级或以上测绘资质（专业范围包含地理信息系统工程）的单位承接）</w:t>
      </w:r>
    </w:p>
    <w:p w14:paraId="0866D977">
      <w:pPr>
        <w:ind w:firstLine="480"/>
        <w:rPr>
          <w:color w:val="auto"/>
          <w:highlight w:val="none"/>
        </w:rPr>
      </w:pPr>
      <w:r>
        <w:rPr>
          <w:rFonts w:hint="eastAsia"/>
          <w:color w:val="auto"/>
          <w:highlight w:val="none"/>
        </w:rPr>
        <w:t>以天河区政务大数据平台上的数据为基础，汇聚融合规自部门、住建部门、街道、经济联社等部门数据资源，对现有的天河区农村集体资产（房产物业等）、农村集体资源（自然资源）进行空间图形描边和属性信息补充，并建立不同业务环节的数据关联关系，摸清农村集体资产资源底数底图，通过专题库建设形成“归属清晰、权能完整”的、能够支撑天河区农村集体资产/资源管理、规划和利用的数据底板，以此为基础，开展上层应用建设并持续更新和完善集体资产时空数据库，为集体资产一张图和数智化管理服务提供数据支撑。</w:t>
      </w:r>
    </w:p>
    <w:p w14:paraId="299B70C5">
      <w:pPr>
        <w:ind w:firstLine="480"/>
        <w:rPr>
          <w:color w:val="auto"/>
          <w:highlight w:val="none"/>
        </w:rPr>
      </w:pPr>
      <w:r>
        <w:rPr>
          <w:rFonts w:hint="eastAsia"/>
          <w:color w:val="auto"/>
          <w:highlight w:val="none"/>
        </w:rPr>
        <w:t>数据处理的范围为集体范围内集体资产运行管理所需的公共服务数据。充分利用智慧广州时空信息云平台/天河区智慧城市时空数据底座、天河区政务大数据平台等相关政府部门政务数据，研发地名地址匹配、在线标绘等多种方式，并按照行业数据建库标准规范，支撑建设天河区农村集体资产空间数据资源库，并与现有的登记资产信息进行关联和挂接，实现准确、精细、权威的农村集体资产空间数据底座，为后续智能化应用提供数据基础。</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2071"/>
        <w:gridCol w:w="5889"/>
      </w:tblGrid>
      <w:tr w14:paraId="5FCA2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blHeader/>
        </w:trPr>
        <w:tc>
          <w:tcPr>
            <w:tcW w:w="330" w:type="pct"/>
            <w:noWrap/>
            <w:vAlign w:val="center"/>
          </w:tcPr>
          <w:p w14:paraId="2D51622D">
            <w:pPr>
              <w:widowControl/>
              <w:jc w:val="center"/>
              <w:rPr>
                <w:rFonts w:hint="eastAsia" w:ascii="仿宋_GB2312" w:hAnsi="等线" w:cs="宋体"/>
                <w:bCs/>
                <w:color w:val="auto"/>
                <w:kern w:val="0"/>
                <w:sz w:val="22"/>
                <w:highlight w:val="none"/>
              </w:rPr>
            </w:pPr>
            <w:r>
              <w:rPr>
                <w:rFonts w:hint="eastAsia" w:ascii="仿宋_GB2312" w:hAnsi="等线" w:cs="宋体"/>
                <w:b/>
                <w:color w:val="auto"/>
                <w:kern w:val="0"/>
                <w:sz w:val="22"/>
                <w:highlight w:val="none"/>
              </w:rPr>
              <w:t>序号</w:t>
            </w:r>
          </w:p>
        </w:tc>
        <w:tc>
          <w:tcPr>
            <w:tcW w:w="1215" w:type="pct"/>
            <w:noWrap/>
            <w:vAlign w:val="center"/>
          </w:tcPr>
          <w:p w14:paraId="22C9D3F9">
            <w:pPr>
              <w:widowControl/>
              <w:jc w:val="center"/>
              <w:rPr>
                <w:rFonts w:hint="eastAsia" w:ascii="仿宋_GB2312" w:hAnsi="等线" w:cs="宋体"/>
                <w:bCs/>
                <w:color w:val="auto"/>
                <w:kern w:val="0"/>
                <w:sz w:val="22"/>
                <w:highlight w:val="none"/>
              </w:rPr>
            </w:pPr>
            <w:r>
              <w:rPr>
                <w:rFonts w:hint="eastAsia" w:ascii="仿宋_GB2312" w:hAnsi="等线" w:cs="宋体"/>
                <w:b/>
                <w:color w:val="auto"/>
                <w:kern w:val="0"/>
                <w:sz w:val="22"/>
                <w:highlight w:val="none"/>
              </w:rPr>
              <w:t>专题库建设服务内容</w:t>
            </w:r>
          </w:p>
        </w:tc>
        <w:tc>
          <w:tcPr>
            <w:tcW w:w="3454" w:type="pct"/>
            <w:noWrap/>
            <w:vAlign w:val="center"/>
          </w:tcPr>
          <w:p w14:paraId="506A7019">
            <w:pPr>
              <w:widowControl/>
              <w:jc w:val="center"/>
              <w:rPr>
                <w:rFonts w:hint="eastAsia" w:ascii="仿宋_GB2312" w:hAnsi="等线" w:cs="宋体"/>
                <w:bCs/>
                <w:color w:val="auto"/>
                <w:kern w:val="0"/>
                <w:sz w:val="22"/>
                <w:highlight w:val="none"/>
              </w:rPr>
            </w:pPr>
            <w:r>
              <w:rPr>
                <w:rFonts w:hint="eastAsia" w:ascii="仿宋_GB2312" w:hAnsi="等线" w:cs="宋体"/>
                <w:b/>
                <w:color w:val="auto"/>
                <w:kern w:val="0"/>
                <w:sz w:val="22"/>
                <w:highlight w:val="none"/>
              </w:rPr>
              <w:t>数据规模</w:t>
            </w:r>
          </w:p>
        </w:tc>
      </w:tr>
      <w:tr w14:paraId="3280F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0" w:type="pct"/>
            <w:noWrap/>
            <w:vAlign w:val="center"/>
          </w:tcPr>
          <w:p w14:paraId="350A6DE1">
            <w:pPr>
              <w:pStyle w:val="12"/>
              <w:widowControl/>
              <w:spacing w:after="0" w:line="240" w:lineRule="auto"/>
              <w:ind w:left="420" w:hanging="420" w:firstLineChars="0"/>
              <w:jc w:val="center"/>
              <w:rPr>
                <w:rFonts w:hint="eastAsia" w:ascii="仿宋_GB2312" w:hAnsi="等线" w:cs="宋体"/>
                <w:bCs/>
                <w:color w:val="auto"/>
                <w:kern w:val="0"/>
                <w:sz w:val="22"/>
                <w:highlight w:val="none"/>
              </w:rPr>
            </w:pPr>
            <w:bookmarkStart w:id="9" w:name="_Hlk203394677"/>
            <w:r>
              <w:rPr>
                <w:rFonts w:hint="eastAsia" w:ascii="仿宋_GB2312" w:hAnsi="等线" w:cs="宋体"/>
                <w:bCs/>
                <w:color w:val="auto"/>
                <w:kern w:val="0"/>
                <w:sz w:val="22"/>
                <w:highlight w:val="none"/>
              </w:rPr>
              <w:t>1</w:t>
            </w:r>
          </w:p>
        </w:tc>
        <w:tc>
          <w:tcPr>
            <w:tcW w:w="1215" w:type="pct"/>
            <w:vAlign w:val="center"/>
          </w:tcPr>
          <w:p w14:paraId="78BA572F">
            <w:pPr>
              <w:widowControl/>
              <w:jc w:val="center"/>
              <w:rPr>
                <w:rFonts w:hint="eastAsia" w:ascii="仿宋_GB2312" w:hAnsi="等线" w:cs="宋体"/>
                <w:bCs/>
                <w:color w:val="auto"/>
                <w:kern w:val="0"/>
                <w:sz w:val="22"/>
                <w:highlight w:val="none"/>
              </w:rPr>
            </w:pPr>
            <w:r>
              <w:rPr>
                <w:rFonts w:hint="eastAsia" w:ascii="仿宋_GB2312" w:hAnsi="等线" w:cs="宋体"/>
                <w:bCs/>
                <w:color w:val="auto"/>
                <w:kern w:val="0"/>
                <w:sz w:val="22"/>
                <w:highlight w:val="none"/>
              </w:rPr>
              <w:t>集体资产数据标准与指标体系建设</w:t>
            </w:r>
          </w:p>
        </w:tc>
        <w:tc>
          <w:tcPr>
            <w:tcW w:w="3454" w:type="pct"/>
            <w:noWrap/>
            <w:vAlign w:val="center"/>
          </w:tcPr>
          <w:p w14:paraId="3CE667CE">
            <w:pPr>
              <w:widowControl/>
              <w:rPr>
                <w:rFonts w:hint="eastAsia" w:ascii="仿宋_GB2312" w:hAnsi="等线" w:cs="宋体"/>
                <w:bCs/>
                <w:color w:val="auto"/>
                <w:kern w:val="0"/>
                <w:sz w:val="22"/>
                <w:highlight w:val="none"/>
              </w:rPr>
            </w:pPr>
            <w:r>
              <w:rPr>
                <w:rFonts w:hint="eastAsia" w:ascii="仿宋_GB2312" w:hAnsi="等线" w:cs="宋体"/>
                <w:bCs/>
                <w:color w:val="auto"/>
                <w:kern w:val="0"/>
                <w:sz w:val="22"/>
                <w:highlight w:val="none"/>
              </w:rPr>
              <w:t>1套集体资产时空数据标准</w:t>
            </w:r>
          </w:p>
          <w:p w14:paraId="2D71D652">
            <w:pPr>
              <w:widowControl/>
              <w:rPr>
                <w:rFonts w:hint="eastAsia" w:ascii="仿宋_GB2312" w:hAnsi="等线" w:cs="宋体"/>
                <w:bCs/>
                <w:color w:val="auto"/>
                <w:kern w:val="0"/>
                <w:sz w:val="22"/>
                <w:highlight w:val="none"/>
              </w:rPr>
            </w:pPr>
            <w:r>
              <w:rPr>
                <w:rFonts w:hint="eastAsia" w:ascii="仿宋_GB2312" w:hAnsi="等线" w:cs="宋体"/>
                <w:bCs/>
                <w:color w:val="auto"/>
                <w:kern w:val="0"/>
                <w:sz w:val="22"/>
                <w:highlight w:val="none"/>
              </w:rPr>
              <w:t>1套集体资产监管指标体系</w:t>
            </w:r>
          </w:p>
        </w:tc>
      </w:tr>
      <w:tr w14:paraId="0A9B6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0" w:type="pct"/>
            <w:noWrap/>
            <w:vAlign w:val="center"/>
          </w:tcPr>
          <w:p w14:paraId="5EBEAAD9">
            <w:pPr>
              <w:pStyle w:val="12"/>
              <w:widowControl/>
              <w:spacing w:after="0" w:line="240" w:lineRule="auto"/>
              <w:ind w:left="420" w:hanging="420" w:firstLineChars="0"/>
              <w:jc w:val="center"/>
              <w:rPr>
                <w:rFonts w:hint="eastAsia" w:ascii="仿宋_GB2312" w:hAnsi="等线" w:cs="宋体"/>
                <w:bCs/>
                <w:color w:val="auto"/>
                <w:kern w:val="0"/>
                <w:sz w:val="22"/>
                <w:highlight w:val="none"/>
              </w:rPr>
            </w:pPr>
            <w:r>
              <w:rPr>
                <w:rFonts w:hint="eastAsia" w:ascii="仿宋_GB2312" w:hAnsi="等线" w:cs="宋体"/>
                <w:bCs/>
                <w:color w:val="auto"/>
                <w:kern w:val="0"/>
                <w:sz w:val="22"/>
                <w:highlight w:val="none"/>
              </w:rPr>
              <w:t>2</w:t>
            </w:r>
          </w:p>
        </w:tc>
        <w:tc>
          <w:tcPr>
            <w:tcW w:w="1215" w:type="pct"/>
            <w:vAlign w:val="center"/>
          </w:tcPr>
          <w:p w14:paraId="55A4ECBC">
            <w:pPr>
              <w:widowControl/>
              <w:jc w:val="center"/>
              <w:rPr>
                <w:rFonts w:hint="eastAsia" w:ascii="仿宋_GB2312" w:hAnsi="等线" w:cs="宋体"/>
                <w:bCs/>
                <w:color w:val="auto"/>
                <w:kern w:val="0"/>
                <w:sz w:val="22"/>
                <w:highlight w:val="none"/>
              </w:rPr>
            </w:pPr>
            <w:r>
              <w:rPr>
                <w:rFonts w:hint="eastAsia" w:ascii="仿宋_GB2312" w:hAnsi="等线" w:cs="宋体"/>
                <w:bCs/>
                <w:color w:val="auto"/>
                <w:kern w:val="0"/>
                <w:sz w:val="22"/>
                <w:highlight w:val="none"/>
              </w:rPr>
              <w:t>集体经济组织基础管理专题库</w:t>
            </w:r>
          </w:p>
        </w:tc>
        <w:tc>
          <w:tcPr>
            <w:tcW w:w="3454" w:type="pct"/>
            <w:noWrap/>
            <w:vAlign w:val="center"/>
          </w:tcPr>
          <w:p w14:paraId="5845283B">
            <w:pPr>
              <w:widowControl/>
              <w:rPr>
                <w:rFonts w:hint="eastAsia" w:ascii="仿宋_GB2312" w:hAnsi="等线" w:cs="宋体"/>
                <w:color w:val="auto"/>
                <w:kern w:val="0"/>
                <w:sz w:val="22"/>
                <w:highlight w:val="none"/>
              </w:rPr>
            </w:pPr>
            <w:r>
              <w:rPr>
                <w:rFonts w:hint="eastAsia" w:ascii="仿宋_GB2312" w:hAnsi="等线" w:cs="宋体"/>
                <w:bCs/>
                <w:color w:val="auto"/>
                <w:kern w:val="0"/>
                <w:sz w:val="22"/>
                <w:highlight w:val="none"/>
              </w:rPr>
              <w:t>村域管理范围（25条，每条5个数据项）</w:t>
            </w:r>
          </w:p>
          <w:p w14:paraId="3A8A38DB">
            <w:pPr>
              <w:widowControl/>
              <w:rPr>
                <w:rFonts w:hint="eastAsia" w:ascii="仿宋_GB2312" w:hAnsi="等线" w:cs="宋体"/>
                <w:bCs/>
                <w:color w:val="auto"/>
                <w:kern w:val="0"/>
                <w:sz w:val="22"/>
                <w:highlight w:val="none"/>
              </w:rPr>
            </w:pPr>
            <w:r>
              <w:rPr>
                <w:rFonts w:hint="eastAsia" w:ascii="仿宋_GB2312" w:hAnsi="等线" w:cs="宋体"/>
                <w:bCs/>
                <w:color w:val="auto"/>
                <w:kern w:val="0"/>
                <w:sz w:val="22"/>
                <w:highlight w:val="none"/>
              </w:rPr>
              <w:t>城市道路数据（若干条，每条3个数据项）</w:t>
            </w:r>
          </w:p>
          <w:p w14:paraId="6BB95364">
            <w:pPr>
              <w:widowControl/>
              <w:rPr>
                <w:rFonts w:hint="eastAsia" w:ascii="仿宋_GB2312" w:hAnsi="等线" w:cs="宋体"/>
                <w:bCs/>
                <w:color w:val="auto"/>
                <w:kern w:val="0"/>
                <w:sz w:val="22"/>
                <w:highlight w:val="none"/>
              </w:rPr>
            </w:pPr>
            <w:r>
              <w:rPr>
                <w:rFonts w:hint="eastAsia" w:ascii="仿宋_GB2312" w:hAnsi="等线" w:cs="宋体"/>
                <w:bCs/>
                <w:color w:val="auto"/>
                <w:kern w:val="0"/>
                <w:sz w:val="22"/>
                <w:highlight w:val="none"/>
              </w:rPr>
              <w:t>公服配套设施数据（若干条，每条3个数据项）</w:t>
            </w:r>
          </w:p>
          <w:p w14:paraId="410705E0">
            <w:pPr>
              <w:widowControl/>
              <w:rPr>
                <w:rFonts w:hint="eastAsia" w:ascii="仿宋_GB2312" w:hAnsi="等线" w:cs="宋体"/>
                <w:bCs/>
                <w:color w:val="auto"/>
                <w:kern w:val="0"/>
                <w:sz w:val="22"/>
                <w:highlight w:val="none"/>
              </w:rPr>
            </w:pPr>
            <w:r>
              <w:rPr>
                <w:rFonts w:hint="eastAsia" w:ascii="仿宋_GB2312" w:hAnsi="等线" w:cs="宋体"/>
                <w:bCs/>
                <w:color w:val="auto"/>
                <w:kern w:val="0"/>
                <w:sz w:val="22"/>
                <w:highlight w:val="none"/>
              </w:rPr>
              <w:t>地名地址数据（约65000个，每条8个数据项）</w:t>
            </w:r>
          </w:p>
          <w:p w14:paraId="6BC62724">
            <w:pPr>
              <w:widowControl/>
              <w:rPr>
                <w:rFonts w:hint="eastAsia" w:ascii="仿宋_GB2312" w:hAnsi="等线" w:cs="宋体"/>
                <w:bCs/>
                <w:color w:val="auto"/>
                <w:kern w:val="0"/>
                <w:sz w:val="22"/>
                <w:highlight w:val="none"/>
              </w:rPr>
            </w:pPr>
            <w:r>
              <w:rPr>
                <w:rFonts w:hint="eastAsia" w:ascii="仿宋_GB2312" w:hAnsi="等线" w:cs="宋体"/>
                <w:bCs/>
                <w:color w:val="auto"/>
                <w:kern w:val="0"/>
                <w:sz w:val="22"/>
                <w:highlight w:val="none"/>
              </w:rPr>
              <w:t>房屋建筑数据（约70000条，每条9个数据项）</w:t>
            </w:r>
          </w:p>
        </w:tc>
      </w:tr>
      <w:tr w14:paraId="22E2D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0" w:type="pct"/>
            <w:noWrap/>
            <w:vAlign w:val="center"/>
          </w:tcPr>
          <w:p w14:paraId="3B5BB9DF">
            <w:pPr>
              <w:pStyle w:val="12"/>
              <w:widowControl/>
              <w:spacing w:after="0" w:line="240" w:lineRule="auto"/>
              <w:ind w:left="420" w:hanging="420" w:firstLineChars="0"/>
              <w:jc w:val="center"/>
              <w:rPr>
                <w:rFonts w:hint="eastAsia" w:ascii="仿宋_GB2312" w:hAnsi="等线" w:cs="宋体"/>
                <w:bCs/>
                <w:color w:val="auto"/>
                <w:kern w:val="0"/>
                <w:sz w:val="22"/>
                <w:highlight w:val="none"/>
              </w:rPr>
            </w:pPr>
            <w:r>
              <w:rPr>
                <w:rFonts w:hint="eastAsia" w:ascii="仿宋_GB2312" w:hAnsi="等线" w:cs="宋体"/>
                <w:bCs/>
                <w:color w:val="auto"/>
                <w:kern w:val="0"/>
                <w:sz w:val="22"/>
                <w:highlight w:val="none"/>
              </w:rPr>
              <w:t>3</w:t>
            </w:r>
          </w:p>
        </w:tc>
        <w:tc>
          <w:tcPr>
            <w:tcW w:w="1215" w:type="pct"/>
            <w:vAlign w:val="center"/>
          </w:tcPr>
          <w:p w14:paraId="0EC1C4F2">
            <w:pPr>
              <w:widowControl/>
              <w:jc w:val="center"/>
              <w:rPr>
                <w:rFonts w:hint="eastAsia" w:ascii="仿宋_GB2312" w:hAnsi="等线" w:cs="宋体"/>
                <w:bCs/>
                <w:color w:val="auto"/>
                <w:kern w:val="0"/>
                <w:sz w:val="22"/>
                <w:highlight w:val="none"/>
              </w:rPr>
            </w:pPr>
            <w:r>
              <w:rPr>
                <w:rFonts w:hint="eastAsia" w:ascii="仿宋_GB2312" w:hAnsi="等线" w:cs="宋体"/>
                <w:bCs/>
                <w:color w:val="auto"/>
                <w:kern w:val="0"/>
                <w:sz w:val="22"/>
                <w:highlight w:val="none"/>
              </w:rPr>
              <w:t>集体经济组织规划利用专题库</w:t>
            </w:r>
          </w:p>
        </w:tc>
        <w:tc>
          <w:tcPr>
            <w:tcW w:w="3454" w:type="pct"/>
            <w:vAlign w:val="center"/>
          </w:tcPr>
          <w:p w14:paraId="443CB740">
            <w:pPr>
              <w:widowControl/>
              <w:rPr>
                <w:rFonts w:hint="eastAsia" w:ascii="仿宋_GB2312" w:hAnsi="等线" w:cs="宋体"/>
                <w:color w:val="auto"/>
                <w:kern w:val="0"/>
                <w:sz w:val="22"/>
                <w:highlight w:val="none"/>
              </w:rPr>
            </w:pPr>
            <w:r>
              <w:rPr>
                <w:rFonts w:hint="eastAsia" w:ascii="仿宋_GB2312" w:hAnsi="等线" w:cs="宋体"/>
                <w:bCs/>
                <w:color w:val="auto"/>
                <w:kern w:val="0"/>
                <w:sz w:val="22"/>
                <w:highlight w:val="none"/>
              </w:rPr>
              <w:t>土地利用现状数据（面积约29.8平方公里）</w:t>
            </w:r>
          </w:p>
          <w:p w14:paraId="36E57EC2">
            <w:pPr>
              <w:widowControl/>
              <w:rPr>
                <w:rFonts w:hint="eastAsia" w:ascii="仿宋_GB2312" w:hAnsi="等线" w:cs="宋体"/>
                <w:bCs/>
                <w:color w:val="auto"/>
                <w:kern w:val="0"/>
                <w:sz w:val="22"/>
                <w:highlight w:val="none"/>
              </w:rPr>
            </w:pPr>
            <w:r>
              <w:rPr>
                <w:rFonts w:hint="eastAsia" w:ascii="仿宋_GB2312" w:hAnsi="等线" w:cs="宋体"/>
                <w:bCs/>
                <w:color w:val="auto"/>
                <w:kern w:val="0"/>
                <w:sz w:val="22"/>
                <w:highlight w:val="none"/>
              </w:rPr>
              <w:t>国土空间规划数据（面积约29.8平方公里）</w:t>
            </w:r>
          </w:p>
          <w:p w14:paraId="2DA887A3">
            <w:pPr>
              <w:widowControl/>
              <w:rPr>
                <w:rFonts w:hint="eastAsia" w:ascii="仿宋_GB2312" w:hAnsi="等线" w:cs="宋体"/>
                <w:bCs/>
                <w:color w:val="auto"/>
                <w:kern w:val="0"/>
                <w:sz w:val="22"/>
                <w:highlight w:val="none"/>
              </w:rPr>
            </w:pPr>
            <w:r>
              <w:rPr>
                <w:rFonts w:hint="eastAsia" w:ascii="仿宋_GB2312" w:hAnsi="等线" w:cs="宋体"/>
                <w:bCs/>
                <w:color w:val="auto"/>
                <w:kern w:val="0"/>
                <w:sz w:val="22"/>
                <w:highlight w:val="none"/>
              </w:rPr>
              <w:t>土地权属数据（约13000条，每条8个数据项）</w:t>
            </w:r>
          </w:p>
        </w:tc>
      </w:tr>
      <w:tr w14:paraId="48F0D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0" w:type="pct"/>
            <w:noWrap/>
            <w:vAlign w:val="center"/>
          </w:tcPr>
          <w:p w14:paraId="3C40EF01">
            <w:pPr>
              <w:pStyle w:val="12"/>
              <w:widowControl/>
              <w:spacing w:after="0" w:line="240" w:lineRule="auto"/>
              <w:ind w:left="420" w:hanging="420" w:firstLineChars="0"/>
              <w:jc w:val="center"/>
              <w:rPr>
                <w:rFonts w:hint="eastAsia" w:ascii="仿宋_GB2312" w:hAnsi="等线" w:cs="宋体"/>
                <w:bCs/>
                <w:color w:val="auto"/>
                <w:kern w:val="0"/>
                <w:sz w:val="22"/>
                <w:highlight w:val="none"/>
              </w:rPr>
            </w:pPr>
            <w:r>
              <w:rPr>
                <w:rFonts w:hint="eastAsia" w:ascii="仿宋_GB2312" w:hAnsi="等线" w:cs="宋体"/>
                <w:bCs/>
                <w:color w:val="auto"/>
                <w:kern w:val="0"/>
                <w:sz w:val="22"/>
                <w:highlight w:val="none"/>
              </w:rPr>
              <w:t>4</w:t>
            </w:r>
          </w:p>
        </w:tc>
        <w:tc>
          <w:tcPr>
            <w:tcW w:w="1215" w:type="pct"/>
            <w:vAlign w:val="center"/>
          </w:tcPr>
          <w:p w14:paraId="18F93255">
            <w:pPr>
              <w:widowControl/>
              <w:jc w:val="center"/>
              <w:rPr>
                <w:rFonts w:hint="eastAsia" w:ascii="仿宋_GB2312" w:hAnsi="等线" w:cs="宋体"/>
                <w:bCs/>
                <w:color w:val="auto"/>
                <w:kern w:val="0"/>
                <w:sz w:val="22"/>
                <w:highlight w:val="none"/>
              </w:rPr>
            </w:pPr>
            <w:r>
              <w:rPr>
                <w:rFonts w:hint="eastAsia" w:ascii="仿宋_GB2312" w:hAnsi="等线" w:cs="宋体"/>
                <w:bCs/>
                <w:color w:val="auto"/>
                <w:kern w:val="0"/>
                <w:sz w:val="22"/>
                <w:highlight w:val="none"/>
              </w:rPr>
              <w:t>集体经济组织资产运营专题库</w:t>
            </w:r>
          </w:p>
        </w:tc>
        <w:tc>
          <w:tcPr>
            <w:tcW w:w="3454" w:type="pct"/>
            <w:vAlign w:val="center"/>
          </w:tcPr>
          <w:p w14:paraId="6A93AF45">
            <w:pPr>
              <w:widowControl/>
              <w:rPr>
                <w:rFonts w:hint="eastAsia" w:ascii="仿宋_GB2312" w:hAnsi="等线" w:cs="宋体"/>
                <w:color w:val="auto"/>
                <w:kern w:val="0"/>
                <w:sz w:val="22"/>
                <w:highlight w:val="none"/>
              </w:rPr>
            </w:pPr>
            <w:r>
              <w:rPr>
                <w:rFonts w:hint="eastAsia" w:ascii="仿宋_GB2312" w:hAnsi="等线" w:cs="宋体"/>
                <w:bCs/>
                <w:color w:val="auto"/>
                <w:kern w:val="0"/>
                <w:sz w:val="22"/>
                <w:highlight w:val="none"/>
              </w:rPr>
              <w:t>农村集体上企业数据（约170000条，每条9个数据项）</w:t>
            </w:r>
          </w:p>
          <w:p w14:paraId="3FC24167">
            <w:pPr>
              <w:widowControl/>
              <w:rPr>
                <w:rFonts w:hint="eastAsia" w:ascii="仿宋_GB2312" w:hAnsi="等线" w:cs="宋体"/>
                <w:bCs/>
                <w:color w:val="auto"/>
                <w:kern w:val="0"/>
                <w:sz w:val="22"/>
                <w:highlight w:val="none"/>
              </w:rPr>
            </w:pPr>
            <w:r>
              <w:rPr>
                <w:rFonts w:hint="eastAsia" w:ascii="仿宋_GB2312" w:hAnsi="等线" w:cs="宋体"/>
                <w:bCs/>
                <w:color w:val="auto"/>
                <w:kern w:val="0"/>
                <w:sz w:val="22"/>
                <w:highlight w:val="none"/>
              </w:rPr>
              <w:t>租房租赁备案数据（若干，每条4个数据项）</w:t>
            </w:r>
          </w:p>
          <w:p w14:paraId="3D6A8B35">
            <w:pPr>
              <w:widowControl/>
              <w:rPr>
                <w:rFonts w:hint="eastAsia" w:ascii="仿宋_GB2312" w:hAnsi="等线" w:cs="宋体"/>
                <w:bCs/>
                <w:color w:val="auto"/>
                <w:kern w:val="0"/>
                <w:sz w:val="22"/>
                <w:highlight w:val="none"/>
              </w:rPr>
            </w:pPr>
            <w:r>
              <w:rPr>
                <w:rFonts w:hint="eastAsia" w:ascii="仿宋_GB2312" w:hAnsi="等线" w:cs="宋体"/>
                <w:bCs/>
                <w:color w:val="auto"/>
                <w:kern w:val="0"/>
                <w:sz w:val="22"/>
                <w:highlight w:val="none"/>
              </w:rPr>
              <w:t>留用地数据（约90条，每条约12个数据项）</w:t>
            </w:r>
          </w:p>
        </w:tc>
      </w:tr>
      <w:tr w14:paraId="29F69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0" w:type="pct"/>
            <w:noWrap/>
            <w:vAlign w:val="center"/>
          </w:tcPr>
          <w:p w14:paraId="4CB53D8A">
            <w:pPr>
              <w:pStyle w:val="12"/>
              <w:widowControl/>
              <w:spacing w:after="0" w:line="240" w:lineRule="auto"/>
              <w:ind w:left="420" w:hanging="420" w:firstLineChars="0"/>
              <w:jc w:val="center"/>
              <w:rPr>
                <w:rFonts w:hint="eastAsia" w:ascii="仿宋_GB2312" w:hAnsi="等线" w:cs="宋体"/>
                <w:bCs/>
                <w:color w:val="auto"/>
                <w:kern w:val="0"/>
                <w:sz w:val="22"/>
                <w:highlight w:val="none"/>
              </w:rPr>
            </w:pPr>
            <w:r>
              <w:rPr>
                <w:rFonts w:hint="eastAsia" w:ascii="仿宋_GB2312" w:hAnsi="等线" w:cs="宋体"/>
                <w:bCs/>
                <w:color w:val="auto"/>
                <w:kern w:val="0"/>
                <w:sz w:val="22"/>
                <w:highlight w:val="none"/>
              </w:rPr>
              <w:t>5</w:t>
            </w:r>
          </w:p>
        </w:tc>
        <w:tc>
          <w:tcPr>
            <w:tcW w:w="1215" w:type="pct"/>
            <w:vAlign w:val="center"/>
          </w:tcPr>
          <w:p w14:paraId="04BE13BF">
            <w:pPr>
              <w:widowControl/>
              <w:jc w:val="center"/>
              <w:rPr>
                <w:rFonts w:hint="eastAsia" w:ascii="仿宋_GB2312" w:hAnsi="等线" w:cs="宋体"/>
                <w:bCs/>
                <w:color w:val="auto"/>
                <w:kern w:val="0"/>
                <w:sz w:val="22"/>
                <w:highlight w:val="none"/>
              </w:rPr>
            </w:pPr>
            <w:r>
              <w:rPr>
                <w:rFonts w:hint="eastAsia" w:ascii="仿宋_GB2312" w:hAnsi="等线" w:cs="宋体"/>
                <w:bCs/>
                <w:color w:val="auto"/>
                <w:kern w:val="0"/>
                <w:sz w:val="22"/>
                <w:highlight w:val="none"/>
              </w:rPr>
              <w:t>集体资产二维空间基础库</w:t>
            </w:r>
          </w:p>
        </w:tc>
        <w:tc>
          <w:tcPr>
            <w:tcW w:w="3454" w:type="pct"/>
            <w:vAlign w:val="center"/>
          </w:tcPr>
          <w:p w14:paraId="119DD21F">
            <w:pPr>
              <w:widowControl/>
              <w:rPr>
                <w:rFonts w:hint="eastAsia" w:ascii="仿宋_GB2312" w:hAnsi="等线" w:cs="宋体"/>
                <w:color w:val="auto"/>
                <w:kern w:val="0"/>
                <w:sz w:val="22"/>
                <w:highlight w:val="none"/>
              </w:rPr>
            </w:pPr>
            <w:r>
              <w:rPr>
                <w:rFonts w:hint="eastAsia" w:ascii="仿宋_GB2312" w:hAnsi="等线" w:cs="宋体"/>
                <w:bCs/>
                <w:color w:val="auto"/>
                <w:kern w:val="0"/>
                <w:sz w:val="22"/>
                <w:highlight w:val="none"/>
              </w:rPr>
              <w:t>资源型资产、资源型资产单元数据（约3600余条，每条25个数据项）</w:t>
            </w:r>
          </w:p>
          <w:p w14:paraId="55ED90C2">
            <w:pPr>
              <w:widowControl/>
              <w:rPr>
                <w:rFonts w:hint="eastAsia" w:ascii="仿宋_GB2312" w:hAnsi="等线" w:cs="宋体"/>
                <w:bCs/>
                <w:color w:val="auto"/>
                <w:kern w:val="0"/>
                <w:sz w:val="22"/>
                <w:highlight w:val="none"/>
              </w:rPr>
            </w:pPr>
            <w:r>
              <w:rPr>
                <w:rFonts w:hint="eastAsia" w:ascii="仿宋_GB2312" w:hAnsi="等线" w:cs="宋体"/>
                <w:bCs/>
                <w:color w:val="auto"/>
                <w:kern w:val="0"/>
                <w:sz w:val="22"/>
                <w:highlight w:val="none"/>
              </w:rPr>
              <w:t>物业型资产、物业型资产单元数据（约9000余条，每条28个数据项）</w:t>
            </w:r>
          </w:p>
        </w:tc>
      </w:tr>
      <w:tr w14:paraId="5E8D5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30" w:type="pct"/>
            <w:noWrap/>
            <w:vAlign w:val="center"/>
          </w:tcPr>
          <w:p w14:paraId="2E99D272">
            <w:pPr>
              <w:pStyle w:val="12"/>
              <w:widowControl/>
              <w:numPr>
                <w:ilvl w:val="255"/>
                <w:numId w:val="0"/>
              </w:numPr>
              <w:spacing w:after="0" w:line="240" w:lineRule="auto"/>
              <w:jc w:val="left"/>
              <w:rPr>
                <w:rFonts w:hint="eastAsia" w:ascii="仿宋_GB2312" w:hAnsi="等线" w:cs="宋体"/>
                <w:bCs/>
                <w:color w:val="auto"/>
                <w:kern w:val="0"/>
                <w:sz w:val="22"/>
                <w:highlight w:val="none"/>
              </w:rPr>
            </w:pPr>
          </w:p>
        </w:tc>
        <w:tc>
          <w:tcPr>
            <w:tcW w:w="1215" w:type="pct"/>
            <w:vAlign w:val="center"/>
          </w:tcPr>
          <w:p w14:paraId="19DD1E6E">
            <w:pPr>
              <w:widowControl/>
              <w:jc w:val="center"/>
              <w:rPr>
                <w:rFonts w:hint="eastAsia" w:ascii="仿宋_GB2312" w:hAnsi="等线" w:cs="宋体"/>
                <w:bCs/>
                <w:color w:val="auto"/>
                <w:kern w:val="0"/>
                <w:sz w:val="22"/>
                <w:highlight w:val="none"/>
              </w:rPr>
            </w:pPr>
            <w:r>
              <w:rPr>
                <w:rFonts w:hint="eastAsia" w:ascii="仿宋_GB2312" w:hAnsi="等线" w:cs="宋体"/>
                <w:bCs/>
                <w:color w:val="auto"/>
                <w:kern w:val="0"/>
                <w:sz w:val="22"/>
                <w:highlight w:val="none"/>
              </w:rPr>
              <w:t>集体资产变化更新专题库</w:t>
            </w:r>
          </w:p>
        </w:tc>
        <w:tc>
          <w:tcPr>
            <w:tcW w:w="3454" w:type="pct"/>
            <w:noWrap/>
            <w:vAlign w:val="center"/>
          </w:tcPr>
          <w:p w14:paraId="02960C6C">
            <w:pPr>
              <w:widowControl/>
              <w:rPr>
                <w:rFonts w:hint="eastAsia" w:ascii="仿宋_GB2312" w:hAnsi="等线" w:cs="宋体"/>
                <w:bCs/>
                <w:color w:val="auto"/>
                <w:kern w:val="0"/>
                <w:sz w:val="22"/>
                <w:highlight w:val="none"/>
              </w:rPr>
            </w:pPr>
            <w:r>
              <w:rPr>
                <w:rFonts w:hint="eastAsia" w:ascii="仿宋_GB2312" w:hAnsi="等线" w:cs="宋体"/>
                <w:bCs/>
                <w:color w:val="auto"/>
                <w:kern w:val="0"/>
                <w:sz w:val="22"/>
                <w:highlight w:val="none"/>
              </w:rPr>
              <w:t>选取一个示范村/经济联社，开展示范村集体资产变化监测分析和数据生产更新</w:t>
            </w:r>
          </w:p>
        </w:tc>
      </w:tr>
      <w:bookmarkEnd w:id="9"/>
    </w:tbl>
    <w:p w14:paraId="615A9516">
      <w:pPr>
        <w:pStyle w:val="9"/>
        <w:outlineLvl w:val="2"/>
        <w:rPr>
          <w:rFonts w:hint="default"/>
          <w:b/>
          <w:color w:val="auto"/>
          <w:sz w:val="28"/>
          <w:highlight w:val="none"/>
        </w:rPr>
      </w:pPr>
      <w:r>
        <w:rPr>
          <w:b/>
          <w:color w:val="auto"/>
          <w:sz w:val="28"/>
          <w:highlight w:val="none"/>
          <w:lang w:eastAsia="zh-CN"/>
        </w:rPr>
        <w:t>五、</w:t>
      </w:r>
      <w:r>
        <w:rPr>
          <w:b/>
          <w:color w:val="auto"/>
          <w:sz w:val="28"/>
          <w:highlight w:val="none"/>
        </w:rPr>
        <w:t>信息化基础设施建设要求</w:t>
      </w:r>
    </w:p>
    <w:p w14:paraId="35AAA1E6">
      <w:pPr>
        <w:pStyle w:val="2"/>
        <w:spacing w:before="0" w:after="0"/>
        <w:rPr>
          <w:rFonts w:hint="eastAsia" w:ascii="宋体" w:hAnsi="宋体" w:eastAsia="宋体" w:cs="宋体"/>
          <w:color w:val="auto"/>
          <w:sz w:val="24"/>
          <w:highlight w:val="none"/>
        </w:rPr>
      </w:pPr>
      <w:r>
        <w:rPr>
          <w:rFonts w:hint="eastAsia" w:ascii="宋体" w:hAnsi="宋体" w:eastAsia="宋体" w:cs="宋体"/>
          <w:color w:val="auto"/>
          <w:sz w:val="24"/>
          <w:highlight w:val="none"/>
        </w:rPr>
        <w:t>1.集体资产和资源空间基础模型构建</w:t>
      </w:r>
    </w:p>
    <w:p w14:paraId="72F1BAD0">
      <w:pPr>
        <w:ind w:firstLine="480"/>
        <w:rPr>
          <w:color w:val="auto"/>
          <w:highlight w:val="none"/>
        </w:rPr>
      </w:pPr>
      <w:r>
        <w:rPr>
          <w:rFonts w:hint="eastAsia"/>
          <w:color w:val="auto"/>
          <w:highlight w:val="none"/>
        </w:rPr>
        <w:t>1</w:t>
      </w:r>
      <w:r>
        <w:rPr>
          <w:color w:val="auto"/>
          <w:highlight w:val="none"/>
        </w:rPr>
        <w:t>.</w:t>
      </w:r>
      <w:r>
        <w:rPr>
          <w:rFonts w:hint="eastAsia"/>
          <w:color w:val="auto"/>
          <w:highlight w:val="none"/>
        </w:rPr>
        <w:t>开展天河区农村范围内地形地貌DEM模型构建，约29.8平方公里，支撑天河区农村三维空间构建；</w:t>
      </w:r>
    </w:p>
    <w:p w14:paraId="14167D6F">
      <w:pPr>
        <w:ind w:firstLine="480"/>
        <w:rPr>
          <w:color w:val="auto"/>
          <w:highlight w:val="none"/>
        </w:rPr>
      </w:pPr>
      <w:r>
        <w:rPr>
          <w:rFonts w:hint="eastAsia"/>
          <w:color w:val="auto"/>
          <w:highlight w:val="none"/>
        </w:rPr>
        <w:t>2</w:t>
      </w:r>
      <w:r>
        <w:rPr>
          <w:color w:val="auto"/>
          <w:highlight w:val="none"/>
        </w:rPr>
        <w:t>.</w:t>
      </w:r>
      <w:r>
        <w:rPr>
          <w:rFonts w:hint="eastAsia"/>
          <w:color w:val="auto"/>
          <w:highlight w:val="none"/>
        </w:rPr>
        <w:t>汇聚天河区农村集体范围内建筑、河流、道路等基础数据，进行构面处理和数据清洗，并构建轻量化通用模型，根据建筑边界文件自动拉起白模，对建筑模型进行批量的外立面随机贴图；</w:t>
      </w:r>
    </w:p>
    <w:p w14:paraId="376938D2">
      <w:pPr>
        <w:ind w:firstLine="480"/>
        <w:rPr>
          <w:color w:val="auto"/>
          <w:highlight w:val="none"/>
        </w:rPr>
      </w:pPr>
      <w:r>
        <w:rPr>
          <w:color w:val="auto"/>
          <w:highlight w:val="none"/>
        </w:rPr>
        <w:t>3.</w:t>
      </w:r>
      <w:r>
        <w:rPr>
          <w:rFonts w:hint="eastAsia"/>
          <w:color w:val="auto"/>
          <w:highlight w:val="none"/>
        </w:rPr>
        <w:t>以物业型资产平面空间基础模型数据集为基础，构建天河区农村范围内物业型资产倾斜摄影模型单体化模型，约3</w:t>
      </w:r>
      <w:r>
        <w:rPr>
          <w:color w:val="auto"/>
          <w:highlight w:val="none"/>
        </w:rPr>
        <w:t>500</w:t>
      </w:r>
      <w:r>
        <w:rPr>
          <w:rFonts w:hint="eastAsia"/>
          <w:color w:val="auto"/>
          <w:highlight w:val="none"/>
        </w:rPr>
        <w:t>栋实体物业（建筑物）；</w:t>
      </w:r>
    </w:p>
    <w:p w14:paraId="2902E4BB">
      <w:pPr>
        <w:ind w:firstLine="480"/>
        <w:rPr>
          <w:color w:val="auto"/>
          <w:highlight w:val="none"/>
        </w:rPr>
      </w:pPr>
      <w:r>
        <w:rPr>
          <w:color w:val="auto"/>
          <w:highlight w:val="none"/>
        </w:rPr>
        <w:t>4.</w:t>
      </w:r>
      <w:r>
        <w:rPr>
          <w:rFonts w:hint="eastAsia"/>
          <w:color w:val="auto"/>
          <w:highlight w:val="none"/>
        </w:rPr>
        <w:t>开展重大集体物业资产三维模型构建，选取50个重大物业，形成重大物业资产精细化三维物理单体化模型；</w:t>
      </w:r>
    </w:p>
    <w:p w14:paraId="313307CD">
      <w:pPr>
        <w:ind w:firstLine="480"/>
        <w:rPr>
          <w:color w:val="auto"/>
          <w:highlight w:val="none"/>
        </w:rPr>
      </w:pPr>
      <w:r>
        <w:rPr>
          <w:color w:val="auto"/>
          <w:highlight w:val="none"/>
        </w:rPr>
        <w:t>5.</w:t>
      </w:r>
      <w:r>
        <w:rPr>
          <w:rFonts w:hint="eastAsia"/>
          <w:color w:val="auto"/>
          <w:highlight w:val="none"/>
        </w:rPr>
        <w:t>在重大物业中，进一步选取10个重大物业根据设计图或户型图进行分层分户结构化建模，并与集体资产二维空间模型形成融合挂接关联关系。</w:t>
      </w:r>
    </w:p>
    <w:p w14:paraId="5E0BC409">
      <w:pPr>
        <w:ind w:firstLine="480"/>
        <w:rPr>
          <w:color w:val="auto"/>
          <w:highlight w:val="none"/>
        </w:rPr>
      </w:pPr>
      <w:r>
        <w:rPr>
          <w:rFonts w:hint="eastAsia"/>
          <w:color w:val="auto"/>
          <w:highlight w:val="none"/>
        </w:rPr>
        <w:t>本项工作以天河区公安局等部门飞行共享的天河区高清影像、DEM和倾斜模型等原始数据为基础，分类分级开展天河区农村范围三维模型数据融合处理。对农村范围内建设整体倾斜模型，精度不低于3cm。</w:t>
      </w:r>
    </w:p>
    <w:p w14:paraId="39B3C887">
      <w:pPr>
        <w:ind w:firstLine="480"/>
        <w:rPr>
          <w:color w:val="auto"/>
          <w:highlight w:val="none"/>
        </w:rPr>
      </w:pPr>
      <w:r>
        <w:rPr>
          <w:rFonts w:hint="eastAsia"/>
          <w:color w:val="auto"/>
          <w:highlight w:val="none"/>
        </w:rPr>
        <w:t>重大物业型资产单体化建筑要素模型参照《三维地理信息模型数据产品规范》，精细度不低于II级精度建模。</w:t>
      </w:r>
    </w:p>
    <w:p w14:paraId="3749CD33">
      <w:pPr>
        <w:pStyle w:val="2"/>
        <w:spacing w:before="0" w:after="0"/>
        <w:rPr>
          <w:rFonts w:hint="eastAsia" w:ascii="宋体" w:hAnsi="宋体" w:eastAsia="宋体" w:cs="宋体"/>
          <w:color w:val="auto"/>
          <w:sz w:val="24"/>
          <w:highlight w:val="none"/>
        </w:rPr>
      </w:pPr>
      <w:r>
        <w:rPr>
          <w:rFonts w:hint="eastAsia" w:ascii="宋体" w:hAnsi="宋体" w:eastAsia="宋体" w:cs="宋体"/>
          <w:color w:val="auto"/>
          <w:sz w:val="24"/>
          <w:highlight w:val="none"/>
        </w:rPr>
        <w:t>2.政务云资源租赁</w:t>
      </w:r>
    </w:p>
    <w:p w14:paraId="620C7BA9">
      <w:pPr>
        <w:ind w:firstLine="480"/>
        <w:rPr>
          <w:color w:val="auto"/>
          <w:highlight w:val="none"/>
        </w:rPr>
      </w:pPr>
      <w:r>
        <w:rPr>
          <w:rFonts w:hint="eastAsia"/>
          <w:color w:val="auto"/>
          <w:highlight w:val="none"/>
        </w:rPr>
        <w:t>提供配套的政务云资源租赁服务，租赁期限为2</w:t>
      </w:r>
      <w:r>
        <w:rPr>
          <w:color w:val="auto"/>
          <w:highlight w:val="none"/>
        </w:rPr>
        <w:t>1</w:t>
      </w:r>
      <w:r>
        <w:rPr>
          <w:rFonts w:hint="eastAsia"/>
          <w:color w:val="auto"/>
          <w:highlight w:val="none"/>
        </w:rPr>
        <w:t>个月，包括计算存储资源、安全资源。</w:t>
      </w:r>
    </w:p>
    <w:tbl>
      <w:tblPr>
        <w:tblStyle w:val="7"/>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71"/>
        <w:gridCol w:w="1834"/>
        <w:gridCol w:w="4394"/>
        <w:gridCol w:w="709"/>
        <w:gridCol w:w="1134"/>
        <w:gridCol w:w="1134"/>
      </w:tblGrid>
      <w:tr w14:paraId="47D47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tblHeader/>
          <w:jc w:val="center"/>
        </w:trPr>
        <w:tc>
          <w:tcPr>
            <w:tcW w:w="571" w:type="dxa"/>
            <w:tcMar>
              <w:top w:w="15" w:type="dxa"/>
              <w:left w:w="15" w:type="dxa"/>
              <w:bottom w:w="0" w:type="dxa"/>
              <w:right w:w="15" w:type="dxa"/>
            </w:tcMar>
            <w:vAlign w:val="center"/>
          </w:tcPr>
          <w:p w14:paraId="5BC85489">
            <w:pPr>
              <w:widowControl/>
              <w:jc w:val="center"/>
              <w:rPr>
                <w:b/>
                <w:bCs/>
                <w:color w:val="auto"/>
                <w:kern w:val="0"/>
                <w:szCs w:val="21"/>
                <w:highlight w:val="none"/>
              </w:rPr>
            </w:pPr>
            <w:r>
              <w:rPr>
                <w:rFonts w:hint="eastAsia"/>
                <w:b/>
                <w:color w:val="auto"/>
                <w:szCs w:val="21"/>
                <w:highlight w:val="none"/>
              </w:rPr>
              <w:t>序号</w:t>
            </w:r>
          </w:p>
        </w:tc>
        <w:tc>
          <w:tcPr>
            <w:tcW w:w="1834" w:type="dxa"/>
            <w:tcMar>
              <w:top w:w="15" w:type="dxa"/>
              <w:left w:w="15" w:type="dxa"/>
              <w:bottom w:w="0" w:type="dxa"/>
              <w:right w:w="15" w:type="dxa"/>
            </w:tcMar>
            <w:vAlign w:val="center"/>
          </w:tcPr>
          <w:p w14:paraId="6362FAA0">
            <w:pPr>
              <w:jc w:val="center"/>
              <w:rPr>
                <w:b/>
                <w:bCs/>
                <w:color w:val="auto"/>
                <w:szCs w:val="21"/>
                <w:highlight w:val="none"/>
              </w:rPr>
            </w:pPr>
            <w:r>
              <w:rPr>
                <w:rFonts w:hint="eastAsia"/>
                <w:b/>
                <w:color w:val="auto"/>
                <w:szCs w:val="21"/>
                <w:highlight w:val="none"/>
              </w:rPr>
              <w:t>服务名称</w:t>
            </w:r>
          </w:p>
        </w:tc>
        <w:tc>
          <w:tcPr>
            <w:tcW w:w="4394" w:type="dxa"/>
            <w:tcMar>
              <w:top w:w="15" w:type="dxa"/>
              <w:left w:w="15" w:type="dxa"/>
              <w:bottom w:w="0" w:type="dxa"/>
              <w:right w:w="15" w:type="dxa"/>
            </w:tcMar>
            <w:vAlign w:val="center"/>
          </w:tcPr>
          <w:p w14:paraId="32ECA871">
            <w:pPr>
              <w:ind w:firstLine="422"/>
              <w:jc w:val="center"/>
              <w:rPr>
                <w:b/>
                <w:bCs/>
                <w:color w:val="auto"/>
                <w:szCs w:val="21"/>
                <w:highlight w:val="none"/>
              </w:rPr>
            </w:pPr>
            <w:r>
              <w:rPr>
                <w:rFonts w:hint="eastAsia"/>
                <w:b/>
                <w:color w:val="auto"/>
                <w:szCs w:val="21"/>
                <w:highlight w:val="none"/>
              </w:rPr>
              <w:t>服务规格</w:t>
            </w:r>
          </w:p>
        </w:tc>
        <w:tc>
          <w:tcPr>
            <w:tcW w:w="709" w:type="dxa"/>
            <w:tcMar>
              <w:top w:w="15" w:type="dxa"/>
              <w:left w:w="15" w:type="dxa"/>
              <w:bottom w:w="0" w:type="dxa"/>
              <w:right w:w="15" w:type="dxa"/>
            </w:tcMar>
            <w:vAlign w:val="center"/>
          </w:tcPr>
          <w:p w14:paraId="17E441F0">
            <w:pPr>
              <w:jc w:val="center"/>
              <w:rPr>
                <w:b/>
                <w:bCs/>
                <w:color w:val="auto"/>
                <w:szCs w:val="21"/>
                <w:highlight w:val="none"/>
              </w:rPr>
            </w:pPr>
            <w:r>
              <w:rPr>
                <w:rFonts w:hint="eastAsia"/>
                <w:b/>
                <w:color w:val="auto"/>
                <w:szCs w:val="21"/>
                <w:highlight w:val="none"/>
              </w:rPr>
              <w:t>数量</w:t>
            </w:r>
          </w:p>
        </w:tc>
        <w:tc>
          <w:tcPr>
            <w:tcW w:w="1134" w:type="dxa"/>
            <w:tcMar>
              <w:top w:w="15" w:type="dxa"/>
              <w:left w:w="15" w:type="dxa"/>
              <w:bottom w:w="0" w:type="dxa"/>
              <w:right w:w="15" w:type="dxa"/>
            </w:tcMar>
            <w:vAlign w:val="center"/>
          </w:tcPr>
          <w:p w14:paraId="680324D6">
            <w:pPr>
              <w:jc w:val="center"/>
              <w:rPr>
                <w:rFonts w:hint="eastAsia" w:ascii="Calibri" w:hAnsi="Calibri" w:eastAsia="仿宋_GB2312" w:cs="Times New Roman"/>
                <w:b/>
                <w:color w:val="auto"/>
                <w:kern w:val="2"/>
                <w:sz w:val="21"/>
                <w:szCs w:val="21"/>
                <w:highlight w:val="none"/>
                <w:lang w:val="en-US" w:eastAsia="zh-CN" w:bidi="ar-SA"/>
              </w:rPr>
            </w:pPr>
            <w:r>
              <w:rPr>
                <w:rFonts w:hint="eastAsia" w:ascii="Calibri" w:hAnsi="Calibri" w:eastAsia="仿宋_GB2312" w:cs="Times New Roman"/>
                <w:b/>
                <w:color w:val="auto"/>
                <w:szCs w:val="21"/>
                <w:highlight w:val="none"/>
              </w:rPr>
              <w:t>单位</w:t>
            </w:r>
          </w:p>
        </w:tc>
        <w:tc>
          <w:tcPr>
            <w:tcW w:w="1134" w:type="dxa"/>
            <w:tcMar>
              <w:top w:w="15" w:type="dxa"/>
              <w:left w:w="15" w:type="dxa"/>
              <w:bottom w:w="0" w:type="dxa"/>
              <w:right w:w="15" w:type="dxa"/>
            </w:tcMar>
            <w:vAlign w:val="center"/>
          </w:tcPr>
          <w:p w14:paraId="26246448">
            <w:pPr>
              <w:jc w:val="center"/>
              <w:rPr>
                <w:b/>
                <w:bCs/>
                <w:color w:val="auto"/>
                <w:szCs w:val="21"/>
                <w:highlight w:val="none"/>
              </w:rPr>
            </w:pPr>
            <w:r>
              <w:rPr>
                <w:rFonts w:hint="eastAsia"/>
                <w:b/>
                <w:color w:val="auto"/>
                <w:szCs w:val="21"/>
                <w:highlight w:val="none"/>
              </w:rPr>
              <w:t>租赁期限（月）</w:t>
            </w:r>
          </w:p>
        </w:tc>
      </w:tr>
      <w:tr w14:paraId="31310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4" w:hRule="atLeast"/>
          <w:jc w:val="center"/>
        </w:trPr>
        <w:tc>
          <w:tcPr>
            <w:tcW w:w="571" w:type="dxa"/>
            <w:tcMar>
              <w:top w:w="15" w:type="dxa"/>
              <w:left w:w="15" w:type="dxa"/>
              <w:bottom w:w="0" w:type="dxa"/>
              <w:right w:w="15" w:type="dxa"/>
            </w:tcMar>
            <w:vAlign w:val="center"/>
          </w:tcPr>
          <w:p w14:paraId="4D931CAB">
            <w:pPr>
              <w:jc w:val="center"/>
              <w:rPr>
                <w:bCs/>
                <w:color w:val="auto"/>
                <w:szCs w:val="21"/>
                <w:highlight w:val="none"/>
              </w:rPr>
            </w:pPr>
            <w:r>
              <w:rPr>
                <w:rFonts w:hint="eastAsia"/>
                <w:color w:val="auto"/>
                <w:szCs w:val="21"/>
                <w:highlight w:val="none"/>
              </w:rPr>
              <w:t>1</w:t>
            </w:r>
          </w:p>
        </w:tc>
        <w:tc>
          <w:tcPr>
            <w:tcW w:w="1834" w:type="dxa"/>
            <w:tcMar>
              <w:top w:w="15" w:type="dxa"/>
              <w:left w:w="15" w:type="dxa"/>
              <w:bottom w:w="0" w:type="dxa"/>
              <w:right w:w="15" w:type="dxa"/>
            </w:tcMar>
            <w:vAlign w:val="center"/>
          </w:tcPr>
          <w:p w14:paraId="0B676720">
            <w:pPr>
              <w:spacing w:line="320" w:lineRule="exact"/>
              <w:jc w:val="center"/>
              <w:rPr>
                <w:color w:val="auto"/>
                <w:szCs w:val="21"/>
                <w:highlight w:val="none"/>
              </w:rPr>
            </w:pPr>
            <w:r>
              <w:rPr>
                <w:rFonts w:hint="eastAsia"/>
                <w:color w:val="auto"/>
                <w:szCs w:val="21"/>
                <w:highlight w:val="none"/>
              </w:rPr>
              <w:t>虚拟主机服务</w:t>
            </w:r>
          </w:p>
        </w:tc>
        <w:tc>
          <w:tcPr>
            <w:tcW w:w="4394" w:type="dxa"/>
            <w:tcMar>
              <w:top w:w="15" w:type="dxa"/>
              <w:left w:w="15" w:type="dxa"/>
              <w:bottom w:w="0" w:type="dxa"/>
              <w:right w:w="15" w:type="dxa"/>
            </w:tcMar>
            <w:vAlign w:val="center"/>
          </w:tcPr>
          <w:p w14:paraId="07A44024">
            <w:pPr>
              <w:rPr>
                <w:color w:val="auto"/>
                <w:szCs w:val="21"/>
                <w:highlight w:val="none"/>
              </w:rPr>
            </w:pPr>
            <w:r>
              <w:rPr>
                <w:rFonts w:hint="eastAsia"/>
                <w:color w:val="auto"/>
                <w:szCs w:val="21"/>
                <w:highlight w:val="none"/>
              </w:rPr>
              <w:t>大型虚拟机：8核、</w:t>
            </w:r>
            <w:r>
              <w:rPr>
                <w:rFonts w:hint="eastAsia" w:ascii="仿宋_GB2312"/>
                <w:color w:val="auto"/>
                <w:szCs w:val="21"/>
                <w:highlight w:val="none"/>
              </w:rPr>
              <w:t>16G</w:t>
            </w:r>
            <w:r>
              <w:rPr>
                <w:rFonts w:hint="eastAsia"/>
                <w:color w:val="auto"/>
                <w:szCs w:val="21"/>
                <w:highlight w:val="none"/>
              </w:rPr>
              <w:t>内存、</w:t>
            </w:r>
            <w:r>
              <w:rPr>
                <w:rFonts w:hint="eastAsia" w:ascii="仿宋_GB2312"/>
                <w:color w:val="auto"/>
                <w:szCs w:val="21"/>
                <w:highlight w:val="none"/>
              </w:rPr>
              <w:t>100G</w:t>
            </w:r>
            <w:r>
              <w:rPr>
                <w:rFonts w:hint="eastAsia"/>
                <w:color w:val="auto"/>
                <w:szCs w:val="21"/>
                <w:highlight w:val="none"/>
              </w:rPr>
              <w:t>硬盘</w:t>
            </w:r>
          </w:p>
        </w:tc>
        <w:tc>
          <w:tcPr>
            <w:tcW w:w="709" w:type="dxa"/>
            <w:tcMar>
              <w:top w:w="15" w:type="dxa"/>
              <w:left w:w="15" w:type="dxa"/>
              <w:bottom w:w="0" w:type="dxa"/>
              <w:right w:w="15" w:type="dxa"/>
            </w:tcMar>
            <w:vAlign w:val="center"/>
          </w:tcPr>
          <w:p w14:paraId="44907953">
            <w:pPr>
              <w:ind w:firstLine="210" w:firstLineChars="100"/>
              <w:jc w:val="center"/>
              <w:rPr>
                <w:rFonts w:hint="eastAsia" w:eastAsia="宋体"/>
                <w:color w:val="auto"/>
                <w:szCs w:val="21"/>
                <w:highlight w:val="none"/>
                <w:lang w:eastAsia="zh-CN"/>
              </w:rPr>
            </w:pPr>
            <w:r>
              <w:rPr>
                <w:color w:val="auto"/>
                <w:szCs w:val="21"/>
                <w:highlight w:val="none"/>
              </w:rPr>
              <w:t>6</w:t>
            </w:r>
          </w:p>
        </w:tc>
        <w:tc>
          <w:tcPr>
            <w:tcW w:w="1134" w:type="dxa"/>
            <w:tcMar>
              <w:top w:w="15" w:type="dxa"/>
              <w:left w:w="15" w:type="dxa"/>
              <w:bottom w:w="0" w:type="dxa"/>
              <w:right w:w="15" w:type="dxa"/>
            </w:tcMar>
            <w:vAlign w:val="center"/>
          </w:tcPr>
          <w:p w14:paraId="324EAE20">
            <w:pPr>
              <w:ind w:firstLine="420" w:firstLineChars="200"/>
              <w:rPr>
                <w:rFonts w:hint="eastAsia" w:ascii="Calibri" w:hAnsi="Calibri" w:eastAsia="仿宋_GB2312" w:cs="Times New Roman"/>
                <w:color w:val="auto"/>
                <w:kern w:val="2"/>
                <w:sz w:val="21"/>
                <w:szCs w:val="21"/>
                <w:highlight w:val="none"/>
                <w:lang w:val="en-US" w:eastAsia="zh-CN" w:bidi="ar-SA"/>
              </w:rPr>
            </w:pPr>
            <w:r>
              <w:rPr>
                <w:rFonts w:hint="eastAsia" w:ascii="Calibri" w:hAnsi="Calibri" w:eastAsia="仿宋_GB2312" w:cs="Times New Roman"/>
                <w:color w:val="auto"/>
                <w:szCs w:val="21"/>
                <w:highlight w:val="none"/>
              </w:rPr>
              <w:t>台</w:t>
            </w:r>
          </w:p>
        </w:tc>
        <w:tc>
          <w:tcPr>
            <w:tcW w:w="1134" w:type="dxa"/>
            <w:tcMar>
              <w:top w:w="15" w:type="dxa"/>
              <w:left w:w="15" w:type="dxa"/>
              <w:bottom w:w="0" w:type="dxa"/>
              <w:right w:w="15" w:type="dxa"/>
            </w:tcMar>
            <w:vAlign w:val="center"/>
          </w:tcPr>
          <w:p w14:paraId="00BE5BC0">
            <w:pPr>
              <w:ind w:firstLine="420"/>
              <w:jc w:val="center"/>
              <w:rPr>
                <w:color w:val="auto"/>
                <w:szCs w:val="21"/>
                <w:highlight w:val="none"/>
              </w:rPr>
            </w:pPr>
            <w:r>
              <w:rPr>
                <w:rFonts w:hint="eastAsia"/>
                <w:color w:val="auto"/>
                <w:szCs w:val="21"/>
                <w:highlight w:val="none"/>
              </w:rPr>
              <w:t>21</w:t>
            </w:r>
          </w:p>
        </w:tc>
      </w:tr>
      <w:tr w14:paraId="1CDB4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4" w:hRule="atLeast"/>
          <w:jc w:val="center"/>
        </w:trPr>
        <w:tc>
          <w:tcPr>
            <w:tcW w:w="57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23FC893">
            <w:pPr>
              <w:jc w:val="center"/>
              <w:rPr>
                <w:color w:val="auto"/>
                <w:szCs w:val="21"/>
                <w:highlight w:val="none"/>
              </w:rPr>
            </w:pPr>
            <w:r>
              <w:rPr>
                <w:rFonts w:hint="eastAsia"/>
                <w:color w:val="auto"/>
                <w:szCs w:val="21"/>
                <w:highlight w:val="none"/>
              </w:rPr>
              <w:t>2</w:t>
            </w:r>
          </w:p>
        </w:tc>
        <w:tc>
          <w:tcPr>
            <w:tcW w:w="183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3C0F04">
            <w:pPr>
              <w:spacing w:line="320" w:lineRule="exact"/>
              <w:jc w:val="center"/>
              <w:rPr>
                <w:color w:val="auto"/>
                <w:szCs w:val="21"/>
                <w:highlight w:val="none"/>
              </w:rPr>
            </w:pPr>
            <w:r>
              <w:rPr>
                <w:rFonts w:hint="eastAsia"/>
                <w:color w:val="auto"/>
                <w:szCs w:val="21"/>
                <w:highlight w:val="none"/>
              </w:rPr>
              <w:t>虚拟主机服务</w:t>
            </w:r>
          </w:p>
        </w:tc>
        <w:tc>
          <w:tcPr>
            <w:tcW w:w="439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6B840F1">
            <w:pPr>
              <w:rPr>
                <w:color w:val="auto"/>
                <w:szCs w:val="21"/>
                <w:highlight w:val="none"/>
              </w:rPr>
            </w:pPr>
            <w:r>
              <w:rPr>
                <w:rFonts w:hint="eastAsia"/>
                <w:color w:val="auto"/>
                <w:szCs w:val="21"/>
                <w:highlight w:val="none"/>
              </w:rPr>
              <w:t>中型虚拟机：4核、8G内存、100G存储空间</w:t>
            </w:r>
          </w:p>
        </w:tc>
        <w:tc>
          <w:tcPr>
            <w:tcW w:w="70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800C0F">
            <w:pPr>
              <w:ind w:firstLine="210" w:firstLineChars="100"/>
              <w:jc w:val="center"/>
              <w:rPr>
                <w:rFonts w:hint="eastAsia" w:eastAsia="宋体"/>
                <w:color w:val="auto"/>
                <w:szCs w:val="21"/>
                <w:highlight w:val="none"/>
                <w:lang w:eastAsia="zh-CN"/>
              </w:rPr>
            </w:pPr>
            <w:r>
              <w:rPr>
                <w:rFonts w:hint="eastAsia"/>
                <w:color w:val="auto"/>
                <w:szCs w:val="21"/>
                <w:highlight w:val="none"/>
              </w:rPr>
              <w:t>1</w:t>
            </w:r>
          </w:p>
        </w:tc>
        <w:tc>
          <w:tcPr>
            <w:tcW w:w="1134" w:type="dxa"/>
            <w:tcMar>
              <w:top w:w="15" w:type="dxa"/>
              <w:left w:w="15" w:type="dxa"/>
              <w:bottom w:w="0" w:type="dxa"/>
              <w:right w:w="15" w:type="dxa"/>
            </w:tcMar>
            <w:vAlign w:val="center"/>
          </w:tcPr>
          <w:p w14:paraId="3B1778E6">
            <w:pPr>
              <w:ind w:firstLine="420" w:firstLineChars="200"/>
              <w:rPr>
                <w:rFonts w:hint="eastAsia" w:ascii="Calibri" w:hAnsi="Calibri" w:eastAsia="仿宋_GB2312" w:cs="Times New Roman"/>
                <w:color w:val="auto"/>
                <w:kern w:val="2"/>
                <w:sz w:val="21"/>
                <w:szCs w:val="21"/>
                <w:highlight w:val="none"/>
                <w:lang w:val="en-US" w:eastAsia="zh-CN" w:bidi="ar-SA"/>
              </w:rPr>
            </w:pPr>
            <w:r>
              <w:rPr>
                <w:rFonts w:hint="eastAsia" w:ascii="Calibri" w:hAnsi="Calibri" w:eastAsia="仿宋_GB2312" w:cs="Times New Roman"/>
                <w:color w:val="auto"/>
                <w:szCs w:val="21"/>
                <w:highlight w:val="none"/>
              </w:rPr>
              <w:t>台</w:t>
            </w:r>
          </w:p>
        </w:tc>
        <w:tc>
          <w:tcPr>
            <w:tcW w:w="1134" w:type="dxa"/>
            <w:tcMar>
              <w:top w:w="15" w:type="dxa"/>
              <w:left w:w="15" w:type="dxa"/>
              <w:bottom w:w="0" w:type="dxa"/>
              <w:right w:w="15" w:type="dxa"/>
            </w:tcMar>
            <w:vAlign w:val="center"/>
          </w:tcPr>
          <w:p w14:paraId="4503EAC6">
            <w:pPr>
              <w:ind w:firstLine="420"/>
              <w:jc w:val="center"/>
              <w:rPr>
                <w:color w:val="auto"/>
                <w:szCs w:val="21"/>
                <w:highlight w:val="none"/>
              </w:rPr>
            </w:pPr>
            <w:r>
              <w:rPr>
                <w:rFonts w:hint="eastAsia"/>
                <w:color w:val="auto"/>
                <w:szCs w:val="21"/>
                <w:highlight w:val="none"/>
              </w:rPr>
              <w:t>2</w:t>
            </w:r>
            <w:r>
              <w:rPr>
                <w:color w:val="auto"/>
                <w:szCs w:val="21"/>
                <w:highlight w:val="none"/>
              </w:rPr>
              <w:t>1</w:t>
            </w:r>
          </w:p>
        </w:tc>
      </w:tr>
      <w:tr w14:paraId="5E8EA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0" w:hRule="atLeast"/>
          <w:jc w:val="center"/>
        </w:trPr>
        <w:tc>
          <w:tcPr>
            <w:tcW w:w="571" w:type="dxa"/>
            <w:tcMar>
              <w:top w:w="15" w:type="dxa"/>
              <w:left w:w="15" w:type="dxa"/>
              <w:bottom w:w="0" w:type="dxa"/>
              <w:right w:w="15" w:type="dxa"/>
            </w:tcMar>
            <w:vAlign w:val="center"/>
          </w:tcPr>
          <w:p w14:paraId="0735AC5E">
            <w:pPr>
              <w:jc w:val="center"/>
              <w:rPr>
                <w:color w:val="auto"/>
                <w:szCs w:val="21"/>
                <w:highlight w:val="none"/>
              </w:rPr>
            </w:pPr>
            <w:r>
              <w:rPr>
                <w:rFonts w:hint="eastAsia"/>
                <w:color w:val="auto"/>
                <w:szCs w:val="21"/>
                <w:highlight w:val="none"/>
              </w:rPr>
              <w:t>3</w:t>
            </w:r>
          </w:p>
        </w:tc>
        <w:tc>
          <w:tcPr>
            <w:tcW w:w="1834" w:type="dxa"/>
            <w:tcMar>
              <w:top w:w="15" w:type="dxa"/>
              <w:left w:w="15" w:type="dxa"/>
              <w:bottom w:w="0" w:type="dxa"/>
              <w:right w:w="15" w:type="dxa"/>
            </w:tcMar>
            <w:vAlign w:val="center"/>
          </w:tcPr>
          <w:p w14:paraId="76DA4FE3">
            <w:pPr>
              <w:jc w:val="center"/>
              <w:rPr>
                <w:color w:val="auto"/>
                <w:szCs w:val="21"/>
                <w:highlight w:val="none"/>
              </w:rPr>
            </w:pPr>
            <w:r>
              <w:rPr>
                <w:rFonts w:hint="eastAsia"/>
                <w:color w:val="auto"/>
                <w:szCs w:val="21"/>
                <w:highlight w:val="none"/>
              </w:rPr>
              <w:t>定制化虚拟机服务</w:t>
            </w:r>
          </w:p>
        </w:tc>
        <w:tc>
          <w:tcPr>
            <w:tcW w:w="4394" w:type="dxa"/>
            <w:tcMar>
              <w:top w:w="15" w:type="dxa"/>
              <w:left w:w="15" w:type="dxa"/>
              <w:bottom w:w="0" w:type="dxa"/>
              <w:right w:w="15" w:type="dxa"/>
            </w:tcMar>
            <w:vAlign w:val="center"/>
          </w:tcPr>
          <w:p w14:paraId="106FBDE0">
            <w:pPr>
              <w:ind w:firstLine="420"/>
              <w:jc w:val="center"/>
              <w:rPr>
                <w:color w:val="auto"/>
                <w:szCs w:val="21"/>
                <w:highlight w:val="none"/>
              </w:rPr>
            </w:pPr>
            <w:r>
              <w:rPr>
                <w:rFonts w:hint="eastAsia"/>
                <w:color w:val="auto"/>
                <w:szCs w:val="21"/>
                <w:highlight w:val="none"/>
              </w:rPr>
              <w:t>1G内存</w:t>
            </w:r>
            <w:r>
              <w:rPr>
                <w:rFonts w:hint="eastAsia" w:ascii="仿宋_GB2312"/>
                <w:color w:val="auto"/>
                <w:szCs w:val="21"/>
                <w:highlight w:val="none"/>
              </w:rPr>
              <w:t>/</w:t>
            </w:r>
            <w:r>
              <w:rPr>
                <w:rFonts w:hint="eastAsia"/>
                <w:color w:val="auto"/>
                <w:szCs w:val="21"/>
                <w:highlight w:val="none"/>
              </w:rPr>
              <w:t>单位</w:t>
            </w:r>
          </w:p>
        </w:tc>
        <w:tc>
          <w:tcPr>
            <w:tcW w:w="709" w:type="dxa"/>
            <w:tcMar>
              <w:top w:w="15" w:type="dxa"/>
              <w:left w:w="15" w:type="dxa"/>
              <w:bottom w:w="0" w:type="dxa"/>
              <w:right w:w="15" w:type="dxa"/>
            </w:tcMar>
            <w:vAlign w:val="center"/>
          </w:tcPr>
          <w:p w14:paraId="421C20DC">
            <w:pPr>
              <w:ind w:firstLine="210" w:firstLineChars="100"/>
              <w:jc w:val="center"/>
              <w:rPr>
                <w:rFonts w:hint="default" w:eastAsia="宋体"/>
                <w:color w:val="auto"/>
                <w:szCs w:val="21"/>
                <w:highlight w:val="none"/>
                <w:lang w:val="en-US" w:eastAsia="zh-CN"/>
              </w:rPr>
            </w:pPr>
            <w:r>
              <w:rPr>
                <w:rFonts w:hint="eastAsia"/>
                <w:color w:val="auto"/>
                <w:szCs w:val="21"/>
                <w:highlight w:val="none"/>
              </w:rPr>
              <w:t>32</w:t>
            </w:r>
          </w:p>
        </w:tc>
        <w:tc>
          <w:tcPr>
            <w:tcW w:w="1134" w:type="dxa"/>
            <w:tcMar>
              <w:top w:w="15" w:type="dxa"/>
              <w:left w:w="15" w:type="dxa"/>
              <w:bottom w:w="0" w:type="dxa"/>
              <w:right w:w="15" w:type="dxa"/>
            </w:tcMar>
            <w:vAlign w:val="center"/>
          </w:tcPr>
          <w:p w14:paraId="40F464CA">
            <w:pPr>
              <w:ind w:firstLine="420" w:firstLineChars="200"/>
              <w:rPr>
                <w:rFonts w:hint="eastAsia" w:ascii="Calibri" w:hAnsi="Calibri" w:eastAsia="仿宋_GB2312" w:cs="Times New Roman"/>
                <w:color w:val="auto"/>
                <w:kern w:val="2"/>
                <w:sz w:val="21"/>
                <w:szCs w:val="21"/>
                <w:highlight w:val="none"/>
                <w:lang w:val="en-US" w:eastAsia="zh-CN" w:bidi="ar-SA"/>
              </w:rPr>
            </w:pPr>
            <w:r>
              <w:rPr>
                <w:rFonts w:hint="eastAsia" w:ascii="Calibri" w:hAnsi="Calibri" w:eastAsia="仿宋_GB2312" w:cs="Times New Roman"/>
                <w:color w:val="auto"/>
                <w:szCs w:val="21"/>
                <w:highlight w:val="none"/>
              </w:rPr>
              <w:t>1GB</w:t>
            </w:r>
          </w:p>
        </w:tc>
        <w:tc>
          <w:tcPr>
            <w:tcW w:w="1134" w:type="dxa"/>
            <w:tcMar>
              <w:top w:w="15" w:type="dxa"/>
              <w:left w:w="15" w:type="dxa"/>
              <w:bottom w:w="0" w:type="dxa"/>
              <w:right w:w="15" w:type="dxa"/>
            </w:tcMar>
            <w:vAlign w:val="center"/>
          </w:tcPr>
          <w:p w14:paraId="3D7D7643">
            <w:pPr>
              <w:ind w:firstLine="420"/>
              <w:jc w:val="center"/>
              <w:rPr>
                <w:color w:val="auto"/>
                <w:szCs w:val="21"/>
                <w:highlight w:val="none"/>
              </w:rPr>
            </w:pPr>
            <w:r>
              <w:rPr>
                <w:rFonts w:hint="eastAsia"/>
                <w:color w:val="auto"/>
                <w:szCs w:val="21"/>
                <w:highlight w:val="none"/>
              </w:rPr>
              <w:t>21</w:t>
            </w:r>
          </w:p>
        </w:tc>
      </w:tr>
      <w:tr w14:paraId="7C028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2" w:hRule="atLeast"/>
          <w:jc w:val="center"/>
        </w:trPr>
        <w:tc>
          <w:tcPr>
            <w:tcW w:w="571" w:type="dxa"/>
            <w:tcMar>
              <w:top w:w="15" w:type="dxa"/>
              <w:left w:w="15" w:type="dxa"/>
              <w:bottom w:w="0" w:type="dxa"/>
              <w:right w:w="15" w:type="dxa"/>
            </w:tcMar>
            <w:vAlign w:val="center"/>
          </w:tcPr>
          <w:p w14:paraId="76CEA448">
            <w:pPr>
              <w:jc w:val="center"/>
              <w:rPr>
                <w:color w:val="auto"/>
                <w:szCs w:val="21"/>
                <w:highlight w:val="none"/>
              </w:rPr>
            </w:pPr>
            <w:r>
              <w:rPr>
                <w:rFonts w:hint="eastAsia"/>
                <w:color w:val="auto"/>
                <w:szCs w:val="21"/>
                <w:highlight w:val="none"/>
              </w:rPr>
              <w:t>4</w:t>
            </w:r>
          </w:p>
        </w:tc>
        <w:tc>
          <w:tcPr>
            <w:tcW w:w="1834" w:type="dxa"/>
            <w:tcMar>
              <w:top w:w="15" w:type="dxa"/>
              <w:left w:w="15" w:type="dxa"/>
              <w:bottom w:w="0" w:type="dxa"/>
              <w:right w:w="15" w:type="dxa"/>
            </w:tcMar>
            <w:vAlign w:val="center"/>
          </w:tcPr>
          <w:p w14:paraId="7FBA3817">
            <w:pPr>
              <w:spacing w:line="320" w:lineRule="exact"/>
              <w:jc w:val="center"/>
              <w:rPr>
                <w:color w:val="auto"/>
                <w:szCs w:val="21"/>
                <w:highlight w:val="none"/>
              </w:rPr>
            </w:pPr>
            <w:r>
              <w:rPr>
                <w:rFonts w:hint="eastAsia"/>
                <w:color w:val="auto"/>
                <w:szCs w:val="21"/>
                <w:highlight w:val="none"/>
              </w:rPr>
              <w:t>存储</w:t>
            </w:r>
            <w:r>
              <w:rPr>
                <w:rFonts w:hint="eastAsia"/>
                <w:color w:val="auto"/>
                <w:szCs w:val="21"/>
                <w:highlight w:val="none"/>
                <w:lang w:eastAsia="zh-CN"/>
              </w:rPr>
              <w:t>及</w:t>
            </w:r>
            <w:r>
              <w:rPr>
                <w:rFonts w:hint="eastAsia"/>
                <w:color w:val="auto"/>
                <w:szCs w:val="21"/>
                <w:highlight w:val="none"/>
              </w:rPr>
              <w:t>服务</w:t>
            </w:r>
          </w:p>
          <w:p w14:paraId="0B2D2FE8">
            <w:pPr>
              <w:spacing w:line="320" w:lineRule="exact"/>
              <w:jc w:val="center"/>
              <w:rPr>
                <w:color w:val="auto"/>
                <w:szCs w:val="21"/>
                <w:highlight w:val="none"/>
              </w:rPr>
            </w:pPr>
            <w:r>
              <w:rPr>
                <w:rFonts w:hint="eastAsia"/>
                <w:color w:val="auto"/>
                <w:szCs w:val="21"/>
                <w:highlight w:val="none"/>
              </w:rPr>
              <w:t>（通用）</w:t>
            </w:r>
          </w:p>
        </w:tc>
        <w:tc>
          <w:tcPr>
            <w:tcW w:w="4394" w:type="dxa"/>
            <w:tcMar>
              <w:top w:w="15" w:type="dxa"/>
              <w:left w:w="15" w:type="dxa"/>
              <w:bottom w:w="0" w:type="dxa"/>
              <w:right w:w="15" w:type="dxa"/>
            </w:tcMar>
            <w:vAlign w:val="center"/>
          </w:tcPr>
          <w:p w14:paraId="6D666113">
            <w:pPr>
              <w:rPr>
                <w:color w:val="auto"/>
                <w:szCs w:val="21"/>
                <w:highlight w:val="none"/>
              </w:rPr>
            </w:pPr>
            <w:r>
              <w:rPr>
                <w:rFonts w:hint="eastAsia" w:ascii="仿宋_GB2312" w:hAnsi="宋体" w:cs="宋体"/>
                <w:color w:val="auto"/>
                <w:kern w:val="0"/>
                <w:szCs w:val="21"/>
                <w:highlight w:val="none"/>
              </w:rPr>
              <w:t>块存储（</w:t>
            </w:r>
            <w:r>
              <w:rPr>
                <w:rFonts w:ascii="仿宋_GB2312" w:hAnsi="宋体" w:cs="宋体"/>
                <w:color w:val="auto"/>
                <w:kern w:val="0"/>
                <w:szCs w:val="21"/>
                <w:highlight w:val="none"/>
              </w:rPr>
              <w:t>FC-SAN</w:t>
            </w:r>
            <w:r>
              <w:rPr>
                <w:rFonts w:hint="eastAsia" w:ascii="仿宋_GB2312" w:hAnsi="宋体" w:cs="宋体"/>
                <w:color w:val="auto"/>
                <w:kern w:val="0"/>
                <w:szCs w:val="21"/>
                <w:highlight w:val="none"/>
              </w:rPr>
              <w:t>）：1</w:t>
            </w:r>
            <w:r>
              <w:rPr>
                <w:rFonts w:ascii="仿宋_GB2312" w:hAnsi="宋体" w:cs="宋体"/>
                <w:color w:val="auto"/>
                <w:kern w:val="0"/>
                <w:szCs w:val="21"/>
                <w:highlight w:val="none"/>
              </w:rPr>
              <w:t>00GB</w:t>
            </w:r>
            <w:r>
              <w:rPr>
                <w:rFonts w:hint="eastAsia" w:ascii="仿宋_GB2312" w:hAnsi="宋体" w:cs="宋体"/>
                <w:color w:val="auto"/>
                <w:kern w:val="0"/>
                <w:szCs w:val="21"/>
                <w:highlight w:val="none"/>
              </w:rPr>
              <w:t>、</w:t>
            </w:r>
            <w:r>
              <w:rPr>
                <w:rFonts w:ascii="仿宋_GB2312" w:hAnsi="宋体" w:cs="宋体"/>
                <w:color w:val="auto"/>
                <w:kern w:val="0"/>
                <w:szCs w:val="21"/>
                <w:highlight w:val="none"/>
              </w:rPr>
              <w:t>FC-SAN</w:t>
            </w:r>
            <w:r>
              <w:rPr>
                <w:rFonts w:hint="eastAsia" w:ascii="仿宋_GB2312" w:hAnsi="宋体" w:cs="宋体"/>
                <w:color w:val="auto"/>
                <w:kern w:val="0"/>
                <w:szCs w:val="21"/>
                <w:highlight w:val="none"/>
              </w:rPr>
              <w:t>可用容量</w:t>
            </w:r>
          </w:p>
        </w:tc>
        <w:tc>
          <w:tcPr>
            <w:tcW w:w="709" w:type="dxa"/>
            <w:tcMar>
              <w:top w:w="15" w:type="dxa"/>
              <w:left w:w="15" w:type="dxa"/>
              <w:bottom w:w="0" w:type="dxa"/>
              <w:right w:w="15" w:type="dxa"/>
            </w:tcMar>
            <w:vAlign w:val="center"/>
          </w:tcPr>
          <w:p w14:paraId="1404BEAF">
            <w:pPr>
              <w:ind w:firstLine="210" w:firstLineChars="100"/>
              <w:jc w:val="center"/>
              <w:rPr>
                <w:rFonts w:hint="eastAsia" w:eastAsia="宋体"/>
                <w:color w:val="auto"/>
                <w:szCs w:val="21"/>
                <w:highlight w:val="none"/>
                <w:lang w:eastAsia="zh-CN"/>
              </w:rPr>
            </w:pPr>
            <w:r>
              <w:rPr>
                <w:color w:val="auto"/>
                <w:szCs w:val="21"/>
                <w:highlight w:val="none"/>
              </w:rPr>
              <w:t>51</w:t>
            </w:r>
          </w:p>
        </w:tc>
        <w:tc>
          <w:tcPr>
            <w:tcW w:w="1134" w:type="dxa"/>
            <w:tcMar>
              <w:top w:w="15" w:type="dxa"/>
              <w:left w:w="15" w:type="dxa"/>
              <w:bottom w:w="0" w:type="dxa"/>
              <w:right w:w="15" w:type="dxa"/>
            </w:tcMar>
            <w:vAlign w:val="center"/>
          </w:tcPr>
          <w:p w14:paraId="30369876">
            <w:pPr>
              <w:ind w:firstLine="420" w:firstLineChars="200"/>
              <w:rPr>
                <w:rFonts w:hint="eastAsia" w:ascii="Calibri" w:hAnsi="Calibri" w:eastAsia="仿宋_GB2312" w:cs="Times New Roman"/>
                <w:color w:val="auto"/>
                <w:kern w:val="2"/>
                <w:sz w:val="21"/>
                <w:szCs w:val="21"/>
                <w:highlight w:val="none"/>
                <w:lang w:val="en-US" w:eastAsia="zh-CN" w:bidi="ar-SA"/>
              </w:rPr>
            </w:pPr>
            <w:r>
              <w:rPr>
                <w:rFonts w:hint="eastAsia" w:ascii="Calibri" w:hAnsi="Calibri" w:eastAsia="仿宋_GB2312" w:cs="Times New Roman"/>
                <w:color w:val="auto"/>
                <w:szCs w:val="21"/>
                <w:highlight w:val="none"/>
              </w:rPr>
              <w:t>块</w:t>
            </w:r>
          </w:p>
        </w:tc>
        <w:tc>
          <w:tcPr>
            <w:tcW w:w="1134" w:type="dxa"/>
            <w:tcMar>
              <w:top w:w="15" w:type="dxa"/>
              <w:left w:w="15" w:type="dxa"/>
              <w:bottom w:w="0" w:type="dxa"/>
              <w:right w:w="15" w:type="dxa"/>
            </w:tcMar>
            <w:vAlign w:val="center"/>
          </w:tcPr>
          <w:p w14:paraId="09FF509E">
            <w:pPr>
              <w:ind w:firstLine="420"/>
              <w:jc w:val="center"/>
              <w:rPr>
                <w:color w:val="auto"/>
                <w:szCs w:val="21"/>
                <w:highlight w:val="none"/>
              </w:rPr>
            </w:pPr>
            <w:r>
              <w:rPr>
                <w:rFonts w:hint="eastAsia"/>
                <w:color w:val="auto"/>
                <w:szCs w:val="21"/>
                <w:highlight w:val="none"/>
              </w:rPr>
              <w:t>21</w:t>
            </w:r>
          </w:p>
        </w:tc>
      </w:tr>
      <w:tr w14:paraId="13457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2" w:hRule="atLeast"/>
          <w:jc w:val="center"/>
        </w:trPr>
        <w:tc>
          <w:tcPr>
            <w:tcW w:w="571" w:type="dxa"/>
            <w:tcMar>
              <w:top w:w="15" w:type="dxa"/>
              <w:left w:w="15" w:type="dxa"/>
              <w:bottom w:w="0" w:type="dxa"/>
              <w:right w:w="15" w:type="dxa"/>
            </w:tcMar>
            <w:vAlign w:val="center"/>
          </w:tcPr>
          <w:p w14:paraId="2C402BD6">
            <w:pPr>
              <w:jc w:val="center"/>
              <w:rPr>
                <w:color w:val="auto"/>
                <w:szCs w:val="21"/>
                <w:highlight w:val="none"/>
              </w:rPr>
            </w:pPr>
            <w:r>
              <w:rPr>
                <w:rFonts w:hint="eastAsia"/>
                <w:color w:val="auto"/>
                <w:szCs w:val="21"/>
                <w:highlight w:val="none"/>
              </w:rPr>
              <w:t>5</w:t>
            </w:r>
          </w:p>
        </w:tc>
        <w:tc>
          <w:tcPr>
            <w:tcW w:w="1834" w:type="dxa"/>
            <w:tcMar>
              <w:top w:w="15" w:type="dxa"/>
              <w:left w:w="15" w:type="dxa"/>
              <w:bottom w:w="0" w:type="dxa"/>
              <w:right w:w="15" w:type="dxa"/>
            </w:tcMar>
            <w:vAlign w:val="center"/>
          </w:tcPr>
          <w:p w14:paraId="1E8D16B3">
            <w:pPr>
              <w:spacing w:line="320" w:lineRule="exact"/>
              <w:jc w:val="center"/>
              <w:rPr>
                <w:color w:val="auto"/>
                <w:szCs w:val="21"/>
                <w:highlight w:val="none"/>
              </w:rPr>
            </w:pPr>
            <w:r>
              <w:rPr>
                <w:rFonts w:hint="eastAsia"/>
                <w:color w:val="auto"/>
                <w:szCs w:val="21"/>
                <w:highlight w:val="none"/>
              </w:rPr>
              <w:t>存储</w:t>
            </w:r>
            <w:r>
              <w:rPr>
                <w:rFonts w:hint="eastAsia"/>
                <w:color w:val="auto"/>
                <w:szCs w:val="21"/>
                <w:highlight w:val="none"/>
                <w:lang w:eastAsia="zh-CN"/>
              </w:rPr>
              <w:t>及</w:t>
            </w:r>
            <w:r>
              <w:rPr>
                <w:rFonts w:hint="eastAsia"/>
                <w:color w:val="auto"/>
                <w:szCs w:val="21"/>
                <w:highlight w:val="none"/>
              </w:rPr>
              <w:t>服务</w:t>
            </w:r>
          </w:p>
          <w:p w14:paraId="520E9FC2">
            <w:pPr>
              <w:spacing w:line="320" w:lineRule="exact"/>
              <w:jc w:val="center"/>
              <w:rPr>
                <w:color w:val="auto"/>
                <w:szCs w:val="21"/>
                <w:highlight w:val="none"/>
              </w:rPr>
            </w:pPr>
            <w:r>
              <w:rPr>
                <w:rFonts w:hint="eastAsia"/>
                <w:color w:val="auto"/>
                <w:szCs w:val="21"/>
                <w:highlight w:val="none"/>
              </w:rPr>
              <w:t>（通用）</w:t>
            </w:r>
          </w:p>
        </w:tc>
        <w:tc>
          <w:tcPr>
            <w:tcW w:w="4394" w:type="dxa"/>
            <w:tcMar>
              <w:top w:w="15" w:type="dxa"/>
              <w:left w:w="15" w:type="dxa"/>
              <w:bottom w:w="0" w:type="dxa"/>
              <w:right w:w="15" w:type="dxa"/>
            </w:tcMar>
            <w:vAlign w:val="center"/>
          </w:tcPr>
          <w:p w14:paraId="69540A87">
            <w:pPr>
              <w:rPr>
                <w:color w:val="auto"/>
                <w:szCs w:val="21"/>
                <w:highlight w:val="none"/>
              </w:rPr>
            </w:pPr>
            <w:bookmarkStart w:id="10" w:name="OLE_LINK33"/>
            <w:r>
              <w:rPr>
                <w:rFonts w:hint="eastAsia" w:ascii="仿宋_GB2312" w:hAnsi="宋体" w:cs="宋体"/>
                <w:color w:val="auto"/>
                <w:kern w:val="0"/>
                <w:szCs w:val="21"/>
                <w:highlight w:val="none"/>
              </w:rPr>
              <w:t>高性能存储（</w:t>
            </w:r>
            <w:r>
              <w:rPr>
                <w:rFonts w:ascii="仿宋_GB2312" w:hAnsi="宋体" w:cs="宋体"/>
                <w:color w:val="auto"/>
                <w:kern w:val="0"/>
                <w:szCs w:val="21"/>
                <w:highlight w:val="none"/>
              </w:rPr>
              <w:t>SSD</w:t>
            </w:r>
            <w:r>
              <w:rPr>
                <w:rFonts w:hint="eastAsia" w:ascii="仿宋_GB2312" w:hAnsi="宋体" w:cs="宋体"/>
                <w:color w:val="auto"/>
                <w:kern w:val="0"/>
                <w:szCs w:val="21"/>
                <w:highlight w:val="none"/>
              </w:rPr>
              <w:t>）：1</w:t>
            </w:r>
            <w:r>
              <w:rPr>
                <w:rFonts w:ascii="仿宋_GB2312" w:hAnsi="宋体" w:cs="宋体"/>
                <w:color w:val="auto"/>
                <w:kern w:val="0"/>
                <w:szCs w:val="21"/>
                <w:highlight w:val="none"/>
              </w:rPr>
              <w:t>00GB</w:t>
            </w:r>
            <w:r>
              <w:rPr>
                <w:rFonts w:hint="eastAsia" w:ascii="仿宋_GB2312" w:hAnsi="宋体" w:cs="宋体"/>
                <w:color w:val="auto"/>
                <w:kern w:val="0"/>
                <w:szCs w:val="21"/>
                <w:highlight w:val="none"/>
              </w:rPr>
              <w:t>、超高I</w:t>
            </w:r>
            <w:r>
              <w:rPr>
                <w:rFonts w:ascii="仿宋_GB2312" w:hAnsi="宋体" w:cs="宋体"/>
                <w:color w:val="auto"/>
                <w:kern w:val="0"/>
                <w:szCs w:val="21"/>
                <w:highlight w:val="none"/>
              </w:rPr>
              <w:t>O</w:t>
            </w:r>
            <w:r>
              <w:rPr>
                <w:rFonts w:hint="eastAsia" w:ascii="仿宋_GB2312" w:hAnsi="宋体" w:cs="宋体"/>
                <w:color w:val="auto"/>
                <w:kern w:val="0"/>
                <w:szCs w:val="21"/>
                <w:highlight w:val="none"/>
              </w:rPr>
              <w:t>，适用于读写密集型应用场景</w:t>
            </w:r>
            <w:bookmarkEnd w:id="10"/>
          </w:p>
        </w:tc>
        <w:tc>
          <w:tcPr>
            <w:tcW w:w="709" w:type="dxa"/>
            <w:tcMar>
              <w:top w:w="15" w:type="dxa"/>
              <w:left w:w="15" w:type="dxa"/>
              <w:bottom w:w="0" w:type="dxa"/>
              <w:right w:w="15" w:type="dxa"/>
            </w:tcMar>
            <w:vAlign w:val="center"/>
          </w:tcPr>
          <w:p w14:paraId="189576BF">
            <w:pPr>
              <w:ind w:firstLine="210" w:firstLineChars="100"/>
              <w:jc w:val="center"/>
              <w:rPr>
                <w:rFonts w:hint="eastAsia" w:eastAsia="宋体"/>
                <w:color w:val="auto"/>
                <w:szCs w:val="21"/>
                <w:highlight w:val="none"/>
                <w:lang w:eastAsia="zh-CN"/>
              </w:rPr>
            </w:pPr>
            <w:r>
              <w:rPr>
                <w:rFonts w:hint="eastAsia"/>
                <w:color w:val="auto"/>
                <w:szCs w:val="21"/>
                <w:highlight w:val="none"/>
              </w:rPr>
              <w:t>3</w:t>
            </w:r>
          </w:p>
        </w:tc>
        <w:tc>
          <w:tcPr>
            <w:tcW w:w="1134" w:type="dxa"/>
            <w:tcMar>
              <w:top w:w="15" w:type="dxa"/>
              <w:left w:w="15" w:type="dxa"/>
              <w:bottom w:w="0" w:type="dxa"/>
              <w:right w:w="15" w:type="dxa"/>
            </w:tcMar>
            <w:vAlign w:val="center"/>
          </w:tcPr>
          <w:p w14:paraId="312039E2">
            <w:pPr>
              <w:ind w:firstLine="420" w:firstLineChars="200"/>
              <w:rPr>
                <w:rFonts w:hint="eastAsia" w:ascii="Calibri" w:hAnsi="Calibri" w:eastAsia="仿宋_GB2312" w:cs="Times New Roman"/>
                <w:color w:val="auto"/>
                <w:kern w:val="2"/>
                <w:sz w:val="21"/>
                <w:szCs w:val="21"/>
                <w:highlight w:val="none"/>
                <w:lang w:val="en-US" w:eastAsia="zh-CN" w:bidi="ar-SA"/>
              </w:rPr>
            </w:pPr>
            <w:r>
              <w:rPr>
                <w:rFonts w:hint="eastAsia" w:ascii="Calibri" w:hAnsi="Calibri" w:eastAsia="仿宋_GB2312" w:cs="Times New Roman"/>
                <w:color w:val="auto"/>
                <w:szCs w:val="21"/>
                <w:highlight w:val="none"/>
              </w:rPr>
              <w:t>块</w:t>
            </w:r>
          </w:p>
        </w:tc>
        <w:tc>
          <w:tcPr>
            <w:tcW w:w="1134" w:type="dxa"/>
            <w:tcMar>
              <w:top w:w="15" w:type="dxa"/>
              <w:left w:w="15" w:type="dxa"/>
              <w:bottom w:w="0" w:type="dxa"/>
              <w:right w:w="15" w:type="dxa"/>
            </w:tcMar>
            <w:vAlign w:val="center"/>
          </w:tcPr>
          <w:p w14:paraId="083AAFA2">
            <w:pPr>
              <w:ind w:firstLine="420"/>
              <w:jc w:val="center"/>
              <w:rPr>
                <w:color w:val="auto"/>
                <w:szCs w:val="21"/>
                <w:highlight w:val="none"/>
              </w:rPr>
            </w:pPr>
            <w:r>
              <w:rPr>
                <w:rFonts w:hint="eastAsia"/>
                <w:color w:val="auto"/>
                <w:szCs w:val="21"/>
                <w:highlight w:val="none"/>
              </w:rPr>
              <w:t>2</w:t>
            </w:r>
            <w:r>
              <w:rPr>
                <w:color w:val="auto"/>
                <w:szCs w:val="21"/>
                <w:highlight w:val="none"/>
              </w:rPr>
              <w:t>1</w:t>
            </w:r>
          </w:p>
        </w:tc>
      </w:tr>
      <w:tr w14:paraId="303BD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jc w:val="center"/>
        </w:trPr>
        <w:tc>
          <w:tcPr>
            <w:tcW w:w="571" w:type="dxa"/>
            <w:tcMar>
              <w:top w:w="15" w:type="dxa"/>
              <w:left w:w="15" w:type="dxa"/>
              <w:bottom w:w="0" w:type="dxa"/>
              <w:right w:w="15" w:type="dxa"/>
            </w:tcMar>
            <w:vAlign w:val="center"/>
          </w:tcPr>
          <w:p w14:paraId="1E9AE475">
            <w:pPr>
              <w:jc w:val="center"/>
              <w:rPr>
                <w:color w:val="auto"/>
                <w:szCs w:val="21"/>
                <w:highlight w:val="none"/>
              </w:rPr>
            </w:pPr>
            <w:r>
              <w:rPr>
                <w:color w:val="auto"/>
                <w:szCs w:val="21"/>
                <w:highlight w:val="none"/>
              </w:rPr>
              <w:t>6</w:t>
            </w:r>
          </w:p>
        </w:tc>
        <w:tc>
          <w:tcPr>
            <w:tcW w:w="1834" w:type="dxa"/>
            <w:tcMar>
              <w:top w:w="15" w:type="dxa"/>
              <w:left w:w="15" w:type="dxa"/>
              <w:bottom w:w="0" w:type="dxa"/>
              <w:right w:w="15" w:type="dxa"/>
            </w:tcMar>
            <w:vAlign w:val="center"/>
          </w:tcPr>
          <w:p w14:paraId="72D81F1A">
            <w:pPr>
              <w:jc w:val="center"/>
              <w:rPr>
                <w:color w:val="auto"/>
                <w:szCs w:val="21"/>
                <w:highlight w:val="none"/>
              </w:rPr>
            </w:pPr>
            <w:r>
              <w:rPr>
                <w:rFonts w:hint="eastAsia"/>
                <w:color w:val="auto"/>
                <w:szCs w:val="21"/>
                <w:highlight w:val="none"/>
              </w:rPr>
              <w:t>主机防病毒服务</w:t>
            </w:r>
          </w:p>
        </w:tc>
        <w:tc>
          <w:tcPr>
            <w:tcW w:w="4394" w:type="dxa"/>
            <w:tcMar>
              <w:top w:w="15" w:type="dxa"/>
              <w:left w:w="15" w:type="dxa"/>
              <w:bottom w:w="0" w:type="dxa"/>
              <w:right w:w="15" w:type="dxa"/>
            </w:tcMar>
            <w:vAlign w:val="center"/>
          </w:tcPr>
          <w:p w14:paraId="11F7F94E">
            <w:pPr>
              <w:rPr>
                <w:color w:val="auto"/>
                <w:szCs w:val="21"/>
                <w:highlight w:val="none"/>
              </w:rPr>
            </w:pPr>
            <w:r>
              <w:rPr>
                <w:rFonts w:hint="eastAsia"/>
                <w:color w:val="auto"/>
                <w:szCs w:val="21"/>
                <w:highlight w:val="none"/>
              </w:rPr>
              <w:t>支持智能识别蠕虫或者木马软件。采用智能型扫描机制，能够以文件真正格式作扫描。支持提供病毒隔离系统，将染毒文件安全隔离并备份。支持压缩文件查毒、清毒，压缩层次不少于50层，支持的压缩格式不少于15种。支持的加壳种类不少于80种。防（杀）病毒软件能够自动隔离感染而暂时无法修复的文件。邮件病毒检测及清除能力：采用宏指纹识别技术更有效的查杀OFFICE宏病毒。支持共享文件的病毒查杀。具有未知病毒检测、清除能力。</w:t>
            </w:r>
          </w:p>
        </w:tc>
        <w:tc>
          <w:tcPr>
            <w:tcW w:w="709" w:type="dxa"/>
            <w:tcMar>
              <w:top w:w="15" w:type="dxa"/>
              <w:left w:w="15" w:type="dxa"/>
              <w:bottom w:w="0" w:type="dxa"/>
              <w:right w:w="15" w:type="dxa"/>
            </w:tcMar>
            <w:vAlign w:val="center"/>
          </w:tcPr>
          <w:p w14:paraId="721FD495">
            <w:pPr>
              <w:ind w:firstLine="210" w:firstLineChars="100"/>
              <w:jc w:val="center"/>
              <w:rPr>
                <w:rFonts w:hint="eastAsia" w:eastAsia="宋体"/>
                <w:color w:val="auto"/>
                <w:szCs w:val="21"/>
                <w:highlight w:val="none"/>
                <w:lang w:eastAsia="zh-CN"/>
              </w:rPr>
            </w:pPr>
            <w:r>
              <w:rPr>
                <w:color w:val="auto"/>
                <w:szCs w:val="21"/>
                <w:highlight w:val="none"/>
              </w:rPr>
              <w:t>7</w:t>
            </w:r>
          </w:p>
        </w:tc>
        <w:tc>
          <w:tcPr>
            <w:tcW w:w="1134" w:type="dxa"/>
            <w:tcMar>
              <w:top w:w="15" w:type="dxa"/>
              <w:left w:w="15" w:type="dxa"/>
              <w:bottom w:w="0" w:type="dxa"/>
              <w:right w:w="15" w:type="dxa"/>
            </w:tcMar>
            <w:vAlign w:val="center"/>
          </w:tcPr>
          <w:p w14:paraId="7B889A40">
            <w:pPr>
              <w:ind w:firstLine="420" w:firstLineChars="200"/>
              <w:rPr>
                <w:rFonts w:hint="eastAsia" w:ascii="Calibri" w:hAnsi="Calibri" w:eastAsia="仿宋_GB2312" w:cs="Times New Roman"/>
                <w:color w:val="auto"/>
                <w:kern w:val="2"/>
                <w:sz w:val="21"/>
                <w:szCs w:val="21"/>
                <w:highlight w:val="none"/>
                <w:lang w:val="en-US" w:eastAsia="zh-CN" w:bidi="ar-SA"/>
              </w:rPr>
            </w:pPr>
            <w:r>
              <w:rPr>
                <w:rFonts w:hint="eastAsia" w:ascii="Calibri" w:hAnsi="Calibri" w:eastAsia="仿宋_GB2312" w:cs="Times New Roman"/>
                <w:color w:val="auto"/>
                <w:szCs w:val="21"/>
                <w:highlight w:val="none"/>
              </w:rPr>
              <w:t>客户端</w:t>
            </w:r>
          </w:p>
        </w:tc>
        <w:tc>
          <w:tcPr>
            <w:tcW w:w="1134" w:type="dxa"/>
            <w:tcMar>
              <w:top w:w="15" w:type="dxa"/>
              <w:left w:w="15" w:type="dxa"/>
              <w:bottom w:w="0" w:type="dxa"/>
              <w:right w:w="15" w:type="dxa"/>
            </w:tcMar>
            <w:vAlign w:val="center"/>
          </w:tcPr>
          <w:p w14:paraId="31891EA6">
            <w:pPr>
              <w:ind w:firstLine="420"/>
              <w:jc w:val="center"/>
              <w:rPr>
                <w:color w:val="auto"/>
                <w:szCs w:val="21"/>
                <w:highlight w:val="none"/>
              </w:rPr>
            </w:pPr>
            <w:r>
              <w:rPr>
                <w:rFonts w:hint="eastAsia"/>
                <w:color w:val="auto"/>
                <w:szCs w:val="21"/>
                <w:highlight w:val="none"/>
              </w:rPr>
              <w:t>21</w:t>
            </w:r>
          </w:p>
        </w:tc>
      </w:tr>
      <w:tr w14:paraId="5010D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19" w:hRule="atLeast"/>
          <w:jc w:val="center"/>
        </w:trPr>
        <w:tc>
          <w:tcPr>
            <w:tcW w:w="571" w:type="dxa"/>
            <w:tcMar>
              <w:top w:w="15" w:type="dxa"/>
              <w:left w:w="15" w:type="dxa"/>
              <w:bottom w:w="0" w:type="dxa"/>
              <w:right w:w="15" w:type="dxa"/>
            </w:tcMar>
            <w:vAlign w:val="center"/>
          </w:tcPr>
          <w:p w14:paraId="0D108D7D">
            <w:pPr>
              <w:jc w:val="center"/>
              <w:rPr>
                <w:color w:val="auto"/>
                <w:szCs w:val="21"/>
                <w:highlight w:val="none"/>
              </w:rPr>
            </w:pPr>
            <w:r>
              <w:rPr>
                <w:color w:val="auto"/>
                <w:szCs w:val="21"/>
                <w:highlight w:val="none"/>
              </w:rPr>
              <w:t>7</w:t>
            </w:r>
          </w:p>
        </w:tc>
        <w:tc>
          <w:tcPr>
            <w:tcW w:w="1834" w:type="dxa"/>
            <w:tcMar>
              <w:top w:w="15" w:type="dxa"/>
              <w:left w:w="15" w:type="dxa"/>
              <w:bottom w:w="0" w:type="dxa"/>
              <w:right w:w="15" w:type="dxa"/>
            </w:tcMar>
            <w:vAlign w:val="center"/>
          </w:tcPr>
          <w:p w14:paraId="23CC4161">
            <w:pPr>
              <w:jc w:val="center"/>
              <w:rPr>
                <w:color w:val="auto"/>
                <w:szCs w:val="21"/>
                <w:highlight w:val="none"/>
              </w:rPr>
            </w:pPr>
            <w:r>
              <w:rPr>
                <w:rFonts w:hint="eastAsia"/>
                <w:color w:val="auto"/>
                <w:szCs w:val="21"/>
                <w:highlight w:val="none"/>
              </w:rPr>
              <w:t>应用层防火墙</w:t>
            </w:r>
          </w:p>
        </w:tc>
        <w:tc>
          <w:tcPr>
            <w:tcW w:w="4394" w:type="dxa"/>
            <w:tcMar>
              <w:top w:w="15" w:type="dxa"/>
              <w:left w:w="15" w:type="dxa"/>
              <w:bottom w:w="0" w:type="dxa"/>
              <w:right w:w="15" w:type="dxa"/>
            </w:tcMar>
            <w:vAlign w:val="center"/>
          </w:tcPr>
          <w:p w14:paraId="6D7E22F8">
            <w:pPr>
              <w:rPr>
                <w:color w:val="auto"/>
                <w:szCs w:val="21"/>
                <w:highlight w:val="none"/>
              </w:rPr>
            </w:pPr>
            <w:r>
              <w:rPr>
                <w:rFonts w:hint="eastAsia"/>
                <w:color w:val="auto"/>
                <w:szCs w:val="21"/>
                <w:highlight w:val="none"/>
              </w:rPr>
              <w:t>支持识别恶意请求含：跨站脚本(XSS)、注入式攻击（包括SQL注入、命令注入 、Cookie 注入等）、跨站请求伪造等应用攻击行为；支持识别服务端响应内容导致的缺陷：敏感信息泄露、已有的网页后门、错误配置、目录浏览等缺陷；支持基于访问行为特征进行分析，能识别盗链、爬虫攻击的能力；支持识别网站中的网页木马程序，通过策略可防止木马网页被用户访问；支持Cookie防篡改、防劫持。</w:t>
            </w:r>
          </w:p>
        </w:tc>
        <w:tc>
          <w:tcPr>
            <w:tcW w:w="709" w:type="dxa"/>
            <w:tcMar>
              <w:top w:w="15" w:type="dxa"/>
              <w:left w:w="15" w:type="dxa"/>
              <w:bottom w:w="0" w:type="dxa"/>
              <w:right w:w="15" w:type="dxa"/>
            </w:tcMar>
            <w:vAlign w:val="center"/>
          </w:tcPr>
          <w:p w14:paraId="61801D38">
            <w:pPr>
              <w:ind w:firstLine="0" w:firstLineChars="0"/>
              <w:jc w:val="center"/>
              <w:rPr>
                <w:rFonts w:hint="eastAsia" w:eastAsia="宋体"/>
                <w:color w:val="auto"/>
                <w:szCs w:val="21"/>
                <w:highlight w:val="none"/>
                <w:lang w:eastAsia="zh-CN"/>
              </w:rPr>
            </w:pPr>
            <w:r>
              <w:rPr>
                <w:rFonts w:hint="eastAsia"/>
                <w:color w:val="auto"/>
                <w:szCs w:val="21"/>
                <w:highlight w:val="none"/>
                <w:lang w:val="en-US" w:eastAsia="zh-CN"/>
              </w:rPr>
              <w:t>2</w:t>
            </w:r>
          </w:p>
        </w:tc>
        <w:tc>
          <w:tcPr>
            <w:tcW w:w="1134" w:type="dxa"/>
            <w:tcMar>
              <w:top w:w="15" w:type="dxa"/>
              <w:left w:w="15" w:type="dxa"/>
              <w:bottom w:w="0" w:type="dxa"/>
              <w:right w:w="15" w:type="dxa"/>
            </w:tcMar>
            <w:vAlign w:val="center"/>
          </w:tcPr>
          <w:p w14:paraId="3088CF7F">
            <w:pPr>
              <w:jc w:val="center"/>
              <w:rPr>
                <w:rFonts w:hint="eastAsia" w:ascii="Calibri" w:hAnsi="Calibri" w:eastAsia="仿宋_GB2312" w:cs="Times New Roman"/>
                <w:color w:val="auto"/>
                <w:kern w:val="2"/>
                <w:sz w:val="21"/>
                <w:szCs w:val="21"/>
                <w:highlight w:val="none"/>
                <w:lang w:val="en-US" w:eastAsia="zh-CN" w:bidi="ar-SA"/>
              </w:rPr>
            </w:pPr>
            <w:r>
              <w:rPr>
                <w:rFonts w:hint="eastAsia" w:ascii="Calibri" w:hAnsi="Calibri" w:eastAsia="仿宋_GB2312" w:cs="Times New Roman"/>
                <w:color w:val="auto"/>
                <w:szCs w:val="21"/>
                <w:highlight w:val="none"/>
              </w:rPr>
              <w:t>域名 或 web主机</w:t>
            </w:r>
          </w:p>
        </w:tc>
        <w:tc>
          <w:tcPr>
            <w:tcW w:w="1134" w:type="dxa"/>
            <w:tcMar>
              <w:top w:w="15" w:type="dxa"/>
              <w:left w:w="15" w:type="dxa"/>
              <w:bottom w:w="0" w:type="dxa"/>
              <w:right w:w="15" w:type="dxa"/>
            </w:tcMar>
            <w:vAlign w:val="center"/>
          </w:tcPr>
          <w:p w14:paraId="4E7E102A">
            <w:pPr>
              <w:ind w:firstLine="420"/>
              <w:jc w:val="center"/>
              <w:rPr>
                <w:color w:val="auto"/>
                <w:szCs w:val="21"/>
                <w:highlight w:val="none"/>
              </w:rPr>
            </w:pPr>
            <w:r>
              <w:rPr>
                <w:rFonts w:hint="eastAsia"/>
                <w:color w:val="auto"/>
                <w:szCs w:val="21"/>
                <w:highlight w:val="none"/>
              </w:rPr>
              <w:t>21</w:t>
            </w:r>
          </w:p>
        </w:tc>
      </w:tr>
      <w:tr w14:paraId="047B4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19" w:hRule="atLeast"/>
          <w:jc w:val="center"/>
        </w:trPr>
        <w:tc>
          <w:tcPr>
            <w:tcW w:w="571" w:type="dxa"/>
            <w:tcMar>
              <w:top w:w="15" w:type="dxa"/>
              <w:left w:w="15" w:type="dxa"/>
              <w:bottom w:w="0" w:type="dxa"/>
              <w:right w:w="15" w:type="dxa"/>
            </w:tcMar>
            <w:vAlign w:val="center"/>
          </w:tcPr>
          <w:p w14:paraId="4010676C">
            <w:pPr>
              <w:jc w:val="center"/>
              <w:rPr>
                <w:color w:val="auto"/>
                <w:szCs w:val="21"/>
                <w:highlight w:val="none"/>
              </w:rPr>
            </w:pPr>
            <w:r>
              <w:rPr>
                <w:color w:val="auto"/>
                <w:szCs w:val="21"/>
                <w:highlight w:val="none"/>
              </w:rPr>
              <w:t>8</w:t>
            </w:r>
          </w:p>
        </w:tc>
        <w:tc>
          <w:tcPr>
            <w:tcW w:w="1834" w:type="dxa"/>
            <w:tcMar>
              <w:top w:w="15" w:type="dxa"/>
              <w:left w:w="15" w:type="dxa"/>
              <w:bottom w:w="0" w:type="dxa"/>
              <w:right w:w="15" w:type="dxa"/>
            </w:tcMar>
            <w:vAlign w:val="center"/>
          </w:tcPr>
          <w:p w14:paraId="232AE975">
            <w:pPr>
              <w:jc w:val="center"/>
              <w:rPr>
                <w:color w:val="auto"/>
                <w:szCs w:val="21"/>
                <w:highlight w:val="none"/>
              </w:rPr>
            </w:pPr>
            <w:r>
              <w:rPr>
                <w:rFonts w:hint="eastAsia"/>
                <w:color w:val="auto"/>
                <w:szCs w:val="21"/>
                <w:highlight w:val="none"/>
              </w:rPr>
              <w:t>web防篡改服务</w:t>
            </w:r>
          </w:p>
        </w:tc>
        <w:tc>
          <w:tcPr>
            <w:tcW w:w="4394" w:type="dxa"/>
            <w:tcMar>
              <w:top w:w="15" w:type="dxa"/>
              <w:left w:w="15" w:type="dxa"/>
              <w:bottom w:w="0" w:type="dxa"/>
              <w:right w:w="15" w:type="dxa"/>
            </w:tcMar>
            <w:vAlign w:val="center"/>
          </w:tcPr>
          <w:p w14:paraId="4BB7DF27">
            <w:pPr>
              <w:rPr>
                <w:color w:val="auto"/>
                <w:szCs w:val="21"/>
                <w:highlight w:val="none"/>
              </w:rPr>
            </w:pPr>
            <w:r>
              <w:rPr>
                <w:rFonts w:hint="eastAsia"/>
                <w:color w:val="auto"/>
                <w:szCs w:val="21"/>
                <w:highlight w:val="none"/>
              </w:rPr>
              <w:t>篡改检测功能：通过在网页被访问时进行完整性检查杜绝网站向外发送被篡改的页面内容、支持外挂轮询、核心内嵌及文件驱动过滤三种篡改检测技术支持对指定网页文件的恢复；支持断线续传和失败重传，并支持从失败任务的日志文件导入任务、支持自动恢复机制；篡改检测时间：访问时实时检测。</w:t>
            </w:r>
          </w:p>
        </w:tc>
        <w:tc>
          <w:tcPr>
            <w:tcW w:w="709" w:type="dxa"/>
            <w:tcMar>
              <w:top w:w="15" w:type="dxa"/>
              <w:left w:w="15" w:type="dxa"/>
              <w:bottom w:w="0" w:type="dxa"/>
              <w:right w:w="15" w:type="dxa"/>
            </w:tcMar>
            <w:vAlign w:val="center"/>
          </w:tcPr>
          <w:p w14:paraId="2B02193E">
            <w:pPr>
              <w:ind w:firstLine="210" w:firstLineChars="100"/>
              <w:jc w:val="center"/>
              <w:rPr>
                <w:color w:val="auto"/>
                <w:szCs w:val="21"/>
                <w:highlight w:val="none"/>
              </w:rPr>
            </w:pPr>
            <w:r>
              <w:rPr>
                <w:rFonts w:hint="eastAsia"/>
                <w:color w:val="auto"/>
                <w:szCs w:val="21"/>
                <w:highlight w:val="none"/>
              </w:rPr>
              <w:t>1</w:t>
            </w:r>
          </w:p>
        </w:tc>
        <w:tc>
          <w:tcPr>
            <w:tcW w:w="1134" w:type="dxa"/>
            <w:tcMar>
              <w:top w:w="15" w:type="dxa"/>
              <w:left w:w="15" w:type="dxa"/>
              <w:bottom w:w="0" w:type="dxa"/>
              <w:right w:w="15" w:type="dxa"/>
            </w:tcMar>
            <w:vAlign w:val="center"/>
          </w:tcPr>
          <w:p w14:paraId="0D851D06">
            <w:pPr>
              <w:ind w:firstLine="210" w:firstLineChars="100"/>
              <w:rPr>
                <w:rFonts w:hint="eastAsia" w:ascii="Calibri" w:hAnsi="Calibri" w:eastAsia="仿宋_GB2312" w:cs="Times New Roman"/>
                <w:color w:val="auto"/>
                <w:kern w:val="2"/>
                <w:sz w:val="21"/>
                <w:szCs w:val="21"/>
                <w:highlight w:val="none"/>
                <w:lang w:val="en-US" w:eastAsia="zh-CN" w:bidi="ar-SA"/>
              </w:rPr>
            </w:pPr>
            <w:r>
              <w:rPr>
                <w:rFonts w:hint="eastAsia" w:ascii="Calibri" w:hAnsi="Calibri" w:eastAsia="仿宋_GB2312" w:cs="Times New Roman"/>
                <w:color w:val="auto"/>
                <w:szCs w:val="21"/>
                <w:highlight w:val="none"/>
              </w:rPr>
              <w:t>web主机</w:t>
            </w:r>
          </w:p>
        </w:tc>
        <w:tc>
          <w:tcPr>
            <w:tcW w:w="1134" w:type="dxa"/>
            <w:tcMar>
              <w:top w:w="15" w:type="dxa"/>
              <w:left w:w="15" w:type="dxa"/>
              <w:bottom w:w="0" w:type="dxa"/>
              <w:right w:w="15" w:type="dxa"/>
            </w:tcMar>
            <w:vAlign w:val="center"/>
          </w:tcPr>
          <w:p w14:paraId="12A6EEAB">
            <w:pPr>
              <w:ind w:firstLine="420"/>
              <w:jc w:val="center"/>
              <w:rPr>
                <w:color w:val="auto"/>
                <w:szCs w:val="21"/>
                <w:highlight w:val="none"/>
              </w:rPr>
            </w:pPr>
            <w:r>
              <w:rPr>
                <w:rFonts w:hint="eastAsia"/>
                <w:color w:val="auto"/>
                <w:szCs w:val="21"/>
                <w:highlight w:val="none"/>
              </w:rPr>
              <w:t>21</w:t>
            </w:r>
          </w:p>
        </w:tc>
      </w:tr>
      <w:tr w14:paraId="3ADBA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1" w:type="dxa"/>
            <w:tcMar>
              <w:top w:w="15" w:type="dxa"/>
              <w:left w:w="15" w:type="dxa"/>
              <w:bottom w:w="0" w:type="dxa"/>
              <w:right w:w="15" w:type="dxa"/>
            </w:tcMar>
            <w:vAlign w:val="center"/>
          </w:tcPr>
          <w:p w14:paraId="5A0F0311">
            <w:pPr>
              <w:jc w:val="center"/>
              <w:rPr>
                <w:color w:val="auto"/>
                <w:szCs w:val="21"/>
                <w:highlight w:val="none"/>
              </w:rPr>
            </w:pPr>
            <w:r>
              <w:rPr>
                <w:color w:val="auto"/>
                <w:szCs w:val="21"/>
                <w:highlight w:val="none"/>
              </w:rPr>
              <w:t>9</w:t>
            </w:r>
          </w:p>
        </w:tc>
        <w:tc>
          <w:tcPr>
            <w:tcW w:w="1834" w:type="dxa"/>
            <w:tcMar>
              <w:top w:w="15" w:type="dxa"/>
              <w:left w:w="15" w:type="dxa"/>
              <w:bottom w:w="0" w:type="dxa"/>
              <w:right w:w="15" w:type="dxa"/>
            </w:tcMar>
            <w:vAlign w:val="center"/>
          </w:tcPr>
          <w:p w14:paraId="5588997E">
            <w:pPr>
              <w:jc w:val="center"/>
              <w:rPr>
                <w:color w:val="auto"/>
                <w:szCs w:val="21"/>
                <w:highlight w:val="none"/>
              </w:rPr>
            </w:pPr>
            <w:r>
              <w:rPr>
                <w:rFonts w:hint="eastAsia"/>
                <w:color w:val="auto"/>
                <w:szCs w:val="21"/>
                <w:highlight w:val="none"/>
              </w:rPr>
              <w:t>本地备份</w:t>
            </w:r>
          </w:p>
        </w:tc>
        <w:tc>
          <w:tcPr>
            <w:tcW w:w="4394" w:type="dxa"/>
            <w:tcMar>
              <w:top w:w="15" w:type="dxa"/>
              <w:left w:w="15" w:type="dxa"/>
              <w:bottom w:w="0" w:type="dxa"/>
              <w:right w:w="15" w:type="dxa"/>
            </w:tcMar>
            <w:vAlign w:val="center"/>
          </w:tcPr>
          <w:p w14:paraId="24163D8F">
            <w:pPr>
              <w:ind w:firstLine="420"/>
              <w:jc w:val="center"/>
              <w:rPr>
                <w:color w:val="auto"/>
                <w:szCs w:val="21"/>
                <w:highlight w:val="none"/>
              </w:rPr>
            </w:pPr>
            <w:r>
              <w:rPr>
                <w:rFonts w:hint="eastAsia"/>
                <w:color w:val="auto"/>
                <w:szCs w:val="21"/>
                <w:highlight w:val="none"/>
              </w:rPr>
              <w:t>备份一体机（1</w:t>
            </w:r>
            <w:r>
              <w:rPr>
                <w:color w:val="auto"/>
                <w:szCs w:val="21"/>
                <w:highlight w:val="none"/>
              </w:rPr>
              <w:t>TB</w:t>
            </w:r>
            <w:r>
              <w:rPr>
                <w:rFonts w:hint="eastAsia"/>
                <w:color w:val="auto"/>
                <w:szCs w:val="21"/>
                <w:highlight w:val="none"/>
              </w:rPr>
              <w:t>可用容量）</w:t>
            </w:r>
          </w:p>
        </w:tc>
        <w:tc>
          <w:tcPr>
            <w:tcW w:w="709" w:type="dxa"/>
            <w:tcMar>
              <w:top w:w="15" w:type="dxa"/>
              <w:left w:w="15" w:type="dxa"/>
              <w:bottom w:w="0" w:type="dxa"/>
              <w:right w:w="15" w:type="dxa"/>
            </w:tcMar>
            <w:vAlign w:val="center"/>
          </w:tcPr>
          <w:p w14:paraId="07F14643">
            <w:pPr>
              <w:ind w:firstLine="210" w:firstLineChars="100"/>
              <w:jc w:val="center"/>
              <w:rPr>
                <w:color w:val="auto"/>
                <w:szCs w:val="21"/>
                <w:highlight w:val="none"/>
              </w:rPr>
            </w:pPr>
            <w:r>
              <w:rPr>
                <w:rFonts w:hint="eastAsia"/>
                <w:color w:val="auto"/>
                <w:szCs w:val="21"/>
                <w:highlight w:val="none"/>
              </w:rPr>
              <w:t>3</w:t>
            </w:r>
          </w:p>
        </w:tc>
        <w:tc>
          <w:tcPr>
            <w:tcW w:w="1134" w:type="dxa"/>
            <w:tcMar>
              <w:top w:w="15" w:type="dxa"/>
              <w:left w:w="15" w:type="dxa"/>
              <w:bottom w:w="0" w:type="dxa"/>
              <w:right w:w="15" w:type="dxa"/>
            </w:tcMar>
            <w:vAlign w:val="center"/>
          </w:tcPr>
          <w:p w14:paraId="10B8FF85">
            <w:pPr>
              <w:ind w:firstLine="420" w:firstLineChars="200"/>
              <w:rPr>
                <w:rFonts w:hint="eastAsia" w:ascii="Calibri" w:hAnsi="Calibri" w:eastAsia="仿宋_GB2312" w:cs="Times New Roman"/>
                <w:color w:val="auto"/>
                <w:kern w:val="2"/>
                <w:sz w:val="21"/>
                <w:szCs w:val="21"/>
                <w:highlight w:val="none"/>
                <w:lang w:val="en-US" w:eastAsia="zh-CN" w:bidi="ar-SA"/>
              </w:rPr>
            </w:pPr>
            <w:r>
              <w:rPr>
                <w:rFonts w:hint="eastAsia" w:ascii="Calibri" w:hAnsi="Calibri" w:eastAsia="仿宋_GB2312" w:cs="Times New Roman"/>
                <w:color w:val="auto"/>
                <w:szCs w:val="21"/>
                <w:highlight w:val="none"/>
              </w:rPr>
              <w:t>台</w:t>
            </w:r>
          </w:p>
        </w:tc>
        <w:tc>
          <w:tcPr>
            <w:tcW w:w="1134" w:type="dxa"/>
            <w:tcMar>
              <w:top w:w="15" w:type="dxa"/>
              <w:left w:w="15" w:type="dxa"/>
              <w:bottom w:w="0" w:type="dxa"/>
              <w:right w:w="15" w:type="dxa"/>
            </w:tcMar>
            <w:vAlign w:val="center"/>
          </w:tcPr>
          <w:p w14:paraId="115E1761">
            <w:pPr>
              <w:ind w:firstLine="420"/>
              <w:jc w:val="center"/>
              <w:rPr>
                <w:color w:val="auto"/>
                <w:szCs w:val="21"/>
                <w:highlight w:val="none"/>
              </w:rPr>
            </w:pPr>
            <w:r>
              <w:rPr>
                <w:rFonts w:hint="eastAsia"/>
                <w:color w:val="auto"/>
                <w:szCs w:val="21"/>
                <w:highlight w:val="none"/>
              </w:rPr>
              <w:t>21</w:t>
            </w:r>
          </w:p>
        </w:tc>
      </w:tr>
      <w:tr w14:paraId="75363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1" w:type="dxa"/>
            <w:tcMar>
              <w:top w:w="15" w:type="dxa"/>
              <w:left w:w="15" w:type="dxa"/>
              <w:bottom w:w="0" w:type="dxa"/>
              <w:right w:w="15" w:type="dxa"/>
            </w:tcMar>
            <w:vAlign w:val="center"/>
          </w:tcPr>
          <w:p w14:paraId="4627B170">
            <w:pPr>
              <w:jc w:val="center"/>
              <w:rPr>
                <w:color w:val="auto"/>
                <w:szCs w:val="21"/>
                <w:highlight w:val="none"/>
              </w:rPr>
            </w:pPr>
            <w:r>
              <w:rPr>
                <w:rFonts w:hint="eastAsia"/>
                <w:color w:val="auto"/>
                <w:szCs w:val="21"/>
                <w:highlight w:val="none"/>
              </w:rPr>
              <w:t>1</w:t>
            </w:r>
            <w:r>
              <w:rPr>
                <w:color w:val="auto"/>
                <w:szCs w:val="21"/>
                <w:highlight w:val="none"/>
              </w:rPr>
              <w:t>0</w:t>
            </w:r>
          </w:p>
        </w:tc>
        <w:tc>
          <w:tcPr>
            <w:tcW w:w="1834" w:type="dxa"/>
            <w:tcMar>
              <w:top w:w="15" w:type="dxa"/>
              <w:left w:w="15" w:type="dxa"/>
              <w:bottom w:w="0" w:type="dxa"/>
              <w:right w:w="15" w:type="dxa"/>
            </w:tcMar>
            <w:vAlign w:val="center"/>
          </w:tcPr>
          <w:p w14:paraId="5ED3C037">
            <w:pPr>
              <w:jc w:val="center"/>
              <w:rPr>
                <w:color w:val="auto"/>
                <w:szCs w:val="21"/>
                <w:highlight w:val="none"/>
              </w:rPr>
            </w:pPr>
            <w:r>
              <w:rPr>
                <w:color w:val="auto"/>
                <w:szCs w:val="21"/>
                <w:highlight w:val="none"/>
              </w:rPr>
              <w:t>AI</w:t>
            </w:r>
            <w:r>
              <w:rPr>
                <w:rFonts w:hint="eastAsia"/>
                <w:color w:val="auto"/>
                <w:szCs w:val="21"/>
                <w:highlight w:val="none"/>
              </w:rPr>
              <w:t>推理服务</w:t>
            </w:r>
          </w:p>
        </w:tc>
        <w:tc>
          <w:tcPr>
            <w:tcW w:w="4394" w:type="dxa"/>
            <w:tcMar>
              <w:top w:w="15" w:type="dxa"/>
              <w:left w:w="15" w:type="dxa"/>
              <w:bottom w:w="0" w:type="dxa"/>
              <w:right w:w="15" w:type="dxa"/>
            </w:tcMar>
            <w:vAlign w:val="center"/>
          </w:tcPr>
          <w:p w14:paraId="63971947">
            <w:pPr>
              <w:ind w:firstLine="420"/>
              <w:jc w:val="center"/>
              <w:rPr>
                <w:color w:val="auto"/>
                <w:szCs w:val="21"/>
                <w:highlight w:val="none"/>
              </w:rPr>
            </w:pPr>
            <w:r>
              <w:rPr>
                <w:color w:val="auto"/>
                <w:szCs w:val="21"/>
                <w:highlight w:val="none"/>
              </w:rPr>
              <w:t>GPU</w:t>
            </w:r>
            <w:r>
              <w:rPr>
                <w:rFonts w:hint="eastAsia"/>
                <w:color w:val="auto"/>
                <w:szCs w:val="21"/>
                <w:highlight w:val="none"/>
              </w:rPr>
              <w:t>服务（</w:t>
            </w:r>
            <w:r>
              <w:rPr>
                <w:rFonts w:hint="eastAsia"/>
                <w:color w:val="auto"/>
                <w:szCs w:val="21"/>
                <w:highlight w:val="none"/>
                <w:lang w:eastAsia="zh-CN"/>
              </w:rPr>
              <w:t>本国</w:t>
            </w:r>
            <w:r>
              <w:rPr>
                <w:rFonts w:hint="eastAsia"/>
                <w:color w:val="auto"/>
                <w:szCs w:val="21"/>
                <w:highlight w:val="none"/>
              </w:rPr>
              <w:t>化）：半精度性能≥</w:t>
            </w:r>
            <w:r>
              <w:rPr>
                <w:color w:val="auto"/>
                <w:szCs w:val="21"/>
                <w:highlight w:val="none"/>
              </w:rPr>
              <w:t>64 TFLOPS</w:t>
            </w:r>
            <w:r>
              <w:rPr>
                <w:rFonts w:hint="eastAsia"/>
                <w:color w:val="auto"/>
                <w:szCs w:val="21"/>
                <w:highlight w:val="none"/>
              </w:rPr>
              <w:t>；整数运算性能（</w:t>
            </w:r>
            <w:r>
              <w:rPr>
                <w:color w:val="auto"/>
                <w:szCs w:val="21"/>
                <w:highlight w:val="none"/>
              </w:rPr>
              <w:t>INT8</w:t>
            </w:r>
            <w:r>
              <w:rPr>
                <w:rFonts w:hint="eastAsia"/>
                <w:color w:val="auto"/>
                <w:szCs w:val="21"/>
                <w:highlight w:val="none"/>
              </w:rPr>
              <w:t>）≥</w:t>
            </w:r>
            <w:r>
              <w:rPr>
                <w:color w:val="auto"/>
                <w:szCs w:val="21"/>
                <w:highlight w:val="none"/>
              </w:rPr>
              <w:t>140TOPS</w:t>
            </w:r>
            <w:r>
              <w:rPr>
                <w:rFonts w:hint="eastAsia"/>
                <w:color w:val="auto"/>
                <w:szCs w:val="21"/>
                <w:highlight w:val="none"/>
              </w:rPr>
              <w:t>；显存≥</w:t>
            </w:r>
            <w:r>
              <w:rPr>
                <w:color w:val="auto"/>
                <w:szCs w:val="21"/>
                <w:highlight w:val="none"/>
              </w:rPr>
              <w:t>24GB</w:t>
            </w:r>
            <w:r>
              <w:rPr>
                <w:rFonts w:hint="eastAsia"/>
                <w:color w:val="auto"/>
                <w:szCs w:val="21"/>
                <w:highlight w:val="none"/>
              </w:rPr>
              <w:t>）</w:t>
            </w:r>
          </w:p>
        </w:tc>
        <w:tc>
          <w:tcPr>
            <w:tcW w:w="709" w:type="dxa"/>
            <w:tcMar>
              <w:top w:w="15" w:type="dxa"/>
              <w:left w:w="15" w:type="dxa"/>
              <w:bottom w:w="0" w:type="dxa"/>
              <w:right w:w="15" w:type="dxa"/>
            </w:tcMar>
            <w:vAlign w:val="center"/>
          </w:tcPr>
          <w:p w14:paraId="0BF09BF4">
            <w:pPr>
              <w:ind w:firstLine="210" w:firstLineChars="100"/>
              <w:jc w:val="center"/>
              <w:rPr>
                <w:color w:val="auto"/>
                <w:szCs w:val="21"/>
                <w:highlight w:val="none"/>
              </w:rPr>
            </w:pPr>
            <w:r>
              <w:rPr>
                <w:rFonts w:hint="eastAsia"/>
                <w:color w:val="auto"/>
                <w:szCs w:val="21"/>
                <w:highlight w:val="none"/>
              </w:rPr>
              <w:t>1</w:t>
            </w:r>
          </w:p>
        </w:tc>
        <w:tc>
          <w:tcPr>
            <w:tcW w:w="1134" w:type="dxa"/>
            <w:tcMar>
              <w:top w:w="15" w:type="dxa"/>
              <w:left w:w="15" w:type="dxa"/>
              <w:bottom w:w="0" w:type="dxa"/>
              <w:right w:w="15" w:type="dxa"/>
            </w:tcMar>
            <w:vAlign w:val="center"/>
          </w:tcPr>
          <w:p w14:paraId="035D95D7">
            <w:pPr>
              <w:ind w:firstLine="420" w:firstLineChars="200"/>
              <w:rPr>
                <w:rFonts w:hint="eastAsia" w:ascii="Calibri" w:hAnsi="Calibri" w:eastAsia="仿宋_GB2312" w:cs="Times New Roman"/>
                <w:color w:val="auto"/>
                <w:kern w:val="2"/>
                <w:sz w:val="21"/>
                <w:szCs w:val="21"/>
                <w:highlight w:val="none"/>
                <w:lang w:val="en-US" w:eastAsia="zh-CN" w:bidi="ar-SA"/>
              </w:rPr>
            </w:pPr>
            <w:r>
              <w:rPr>
                <w:rFonts w:hint="eastAsia" w:ascii="Calibri" w:hAnsi="Calibri" w:eastAsia="仿宋_GB2312" w:cs="Times New Roman"/>
                <w:color w:val="auto"/>
                <w:szCs w:val="21"/>
                <w:highlight w:val="none"/>
              </w:rPr>
              <w:t>块</w:t>
            </w:r>
          </w:p>
        </w:tc>
        <w:tc>
          <w:tcPr>
            <w:tcW w:w="1134" w:type="dxa"/>
            <w:tcMar>
              <w:top w:w="15" w:type="dxa"/>
              <w:left w:w="15" w:type="dxa"/>
              <w:bottom w:w="0" w:type="dxa"/>
              <w:right w:w="15" w:type="dxa"/>
            </w:tcMar>
            <w:vAlign w:val="center"/>
          </w:tcPr>
          <w:p w14:paraId="3B07027A">
            <w:pPr>
              <w:ind w:firstLine="420"/>
              <w:jc w:val="center"/>
              <w:rPr>
                <w:color w:val="auto"/>
                <w:szCs w:val="21"/>
                <w:highlight w:val="none"/>
              </w:rPr>
            </w:pPr>
            <w:r>
              <w:rPr>
                <w:rFonts w:hint="eastAsia"/>
                <w:color w:val="auto"/>
                <w:szCs w:val="21"/>
                <w:highlight w:val="none"/>
              </w:rPr>
              <w:t>2</w:t>
            </w:r>
            <w:r>
              <w:rPr>
                <w:color w:val="auto"/>
                <w:szCs w:val="21"/>
                <w:highlight w:val="none"/>
              </w:rPr>
              <w:t>1</w:t>
            </w:r>
          </w:p>
        </w:tc>
      </w:tr>
      <w:tr w14:paraId="60560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1" w:type="dxa"/>
            <w:tcMar>
              <w:top w:w="15" w:type="dxa"/>
              <w:left w:w="15" w:type="dxa"/>
              <w:bottom w:w="0" w:type="dxa"/>
              <w:right w:w="15" w:type="dxa"/>
            </w:tcMar>
            <w:vAlign w:val="center"/>
          </w:tcPr>
          <w:p w14:paraId="39D8574B">
            <w:pPr>
              <w:jc w:val="center"/>
              <w:rPr>
                <w:color w:val="auto"/>
                <w:szCs w:val="21"/>
                <w:highlight w:val="none"/>
              </w:rPr>
            </w:pPr>
            <w:r>
              <w:rPr>
                <w:rFonts w:hint="eastAsia"/>
                <w:color w:val="auto"/>
                <w:szCs w:val="21"/>
                <w:highlight w:val="none"/>
              </w:rPr>
              <w:t>1</w:t>
            </w:r>
            <w:r>
              <w:rPr>
                <w:color w:val="auto"/>
                <w:szCs w:val="21"/>
                <w:highlight w:val="none"/>
              </w:rPr>
              <w:t>1</w:t>
            </w:r>
          </w:p>
        </w:tc>
        <w:tc>
          <w:tcPr>
            <w:tcW w:w="1834" w:type="dxa"/>
            <w:tcMar>
              <w:top w:w="15" w:type="dxa"/>
              <w:left w:w="15" w:type="dxa"/>
              <w:bottom w:w="0" w:type="dxa"/>
              <w:right w:w="15" w:type="dxa"/>
            </w:tcMar>
            <w:vAlign w:val="center"/>
          </w:tcPr>
          <w:p w14:paraId="0163747B">
            <w:pPr>
              <w:jc w:val="center"/>
              <w:rPr>
                <w:color w:val="auto"/>
                <w:szCs w:val="21"/>
                <w:highlight w:val="none"/>
              </w:rPr>
            </w:pPr>
            <w:r>
              <w:rPr>
                <w:rFonts w:hint="eastAsia"/>
                <w:color w:val="auto"/>
                <w:szCs w:val="21"/>
                <w:highlight w:val="none"/>
              </w:rPr>
              <w:t>裸金属服务</w:t>
            </w:r>
          </w:p>
        </w:tc>
        <w:tc>
          <w:tcPr>
            <w:tcW w:w="4394" w:type="dxa"/>
            <w:tcMar>
              <w:top w:w="15" w:type="dxa"/>
              <w:left w:w="15" w:type="dxa"/>
              <w:bottom w:w="0" w:type="dxa"/>
              <w:right w:w="15" w:type="dxa"/>
            </w:tcMar>
            <w:vAlign w:val="center"/>
          </w:tcPr>
          <w:p w14:paraId="742D57C6">
            <w:pPr>
              <w:ind w:firstLine="420"/>
              <w:jc w:val="center"/>
              <w:rPr>
                <w:color w:val="auto"/>
                <w:szCs w:val="21"/>
                <w:highlight w:val="none"/>
              </w:rPr>
            </w:pPr>
            <w:r>
              <w:rPr>
                <w:rFonts w:hint="eastAsia"/>
                <w:color w:val="auto"/>
                <w:szCs w:val="21"/>
                <w:highlight w:val="none"/>
                <w:lang w:eastAsia="zh-CN"/>
              </w:rPr>
              <w:t>本国</w:t>
            </w:r>
            <w:r>
              <w:rPr>
                <w:rFonts w:hint="eastAsia"/>
                <w:color w:val="auto"/>
                <w:szCs w:val="21"/>
                <w:highlight w:val="none"/>
              </w:rPr>
              <w:t>服务器：</w:t>
            </w:r>
            <w:r>
              <w:rPr>
                <w:color w:val="auto"/>
                <w:szCs w:val="21"/>
                <w:highlight w:val="none"/>
              </w:rPr>
              <w:t>1</w:t>
            </w:r>
            <w:r>
              <w:rPr>
                <w:rFonts w:hint="eastAsia"/>
                <w:color w:val="auto"/>
                <w:szCs w:val="21"/>
                <w:highlight w:val="none"/>
              </w:rPr>
              <w:t>路</w:t>
            </w:r>
            <w:r>
              <w:rPr>
                <w:color w:val="auto"/>
                <w:szCs w:val="21"/>
                <w:highlight w:val="none"/>
              </w:rPr>
              <w:t xml:space="preserve"> 64 </w:t>
            </w:r>
            <w:r>
              <w:rPr>
                <w:rFonts w:hint="eastAsia"/>
                <w:color w:val="auto"/>
                <w:szCs w:val="21"/>
                <w:highlight w:val="none"/>
              </w:rPr>
              <w:t>核，</w:t>
            </w:r>
            <w:r>
              <w:rPr>
                <w:color w:val="auto"/>
                <w:szCs w:val="21"/>
                <w:highlight w:val="none"/>
              </w:rPr>
              <w:t xml:space="preserve">CPU </w:t>
            </w:r>
            <w:r>
              <w:rPr>
                <w:rFonts w:hint="eastAsia"/>
                <w:color w:val="auto"/>
                <w:szCs w:val="21"/>
                <w:highlight w:val="none"/>
              </w:rPr>
              <w:t>主频≥</w:t>
            </w:r>
            <w:r>
              <w:rPr>
                <w:color w:val="auto"/>
                <w:szCs w:val="21"/>
                <w:highlight w:val="none"/>
              </w:rPr>
              <w:t>2.2GHz</w:t>
            </w:r>
            <w:r>
              <w:rPr>
                <w:rFonts w:hint="eastAsia"/>
                <w:color w:val="auto"/>
                <w:szCs w:val="21"/>
                <w:highlight w:val="none"/>
              </w:rPr>
              <w:t>，内存≥</w:t>
            </w:r>
            <w:r>
              <w:rPr>
                <w:color w:val="auto"/>
                <w:szCs w:val="21"/>
                <w:highlight w:val="none"/>
              </w:rPr>
              <w:t>128G</w:t>
            </w:r>
            <w:r>
              <w:rPr>
                <w:rFonts w:hint="eastAsia"/>
                <w:color w:val="auto"/>
                <w:szCs w:val="21"/>
                <w:highlight w:val="none"/>
              </w:rPr>
              <w:t>，硬盘≥</w:t>
            </w:r>
            <w:r>
              <w:rPr>
                <w:color w:val="auto"/>
                <w:szCs w:val="21"/>
                <w:highlight w:val="none"/>
              </w:rPr>
              <w:t>2*480G SATA SSD</w:t>
            </w:r>
            <w:r>
              <w:rPr>
                <w:rFonts w:hint="eastAsia"/>
                <w:color w:val="auto"/>
                <w:szCs w:val="21"/>
                <w:highlight w:val="none"/>
              </w:rPr>
              <w:t>，≥</w:t>
            </w:r>
            <w:r>
              <w:rPr>
                <w:color w:val="auto"/>
                <w:szCs w:val="21"/>
                <w:highlight w:val="none"/>
              </w:rPr>
              <w:t xml:space="preserve">2*10G </w:t>
            </w:r>
            <w:r>
              <w:rPr>
                <w:rFonts w:hint="eastAsia"/>
                <w:color w:val="auto"/>
                <w:szCs w:val="21"/>
                <w:highlight w:val="none"/>
              </w:rPr>
              <w:t>万兆网口（含模块），</w:t>
            </w:r>
            <w:r>
              <w:rPr>
                <w:color w:val="auto"/>
                <w:szCs w:val="21"/>
                <w:highlight w:val="none"/>
              </w:rPr>
              <w:t>RAID</w:t>
            </w:r>
            <w:r>
              <w:rPr>
                <w:rFonts w:hint="eastAsia"/>
                <w:color w:val="auto"/>
                <w:szCs w:val="21"/>
                <w:highlight w:val="none"/>
              </w:rPr>
              <w:t>卡，同时含租赁</w:t>
            </w:r>
            <w:r>
              <w:rPr>
                <w:color w:val="auto"/>
                <w:szCs w:val="21"/>
                <w:highlight w:val="none"/>
              </w:rPr>
              <w:t>2U</w:t>
            </w:r>
            <w:r>
              <w:rPr>
                <w:rFonts w:hint="eastAsia"/>
                <w:color w:val="auto"/>
                <w:szCs w:val="21"/>
                <w:highlight w:val="none"/>
              </w:rPr>
              <w:t>机架</w:t>
            </w:r>
            <w:r>
              <w:rPr>
                <w:color w:val="auto"/>
                <w:szCs w:val="21"/>
                <w:highlight w:val="none"/>
              </w:rPr>
              <w:t xml:space="preserve">1 </w:t>
            </w:r>
            <w:r>
              <w:rPr>
                <w:rFonts w:hint="eastAsia"/>
                <w:color w:val="auto"/>
                <w:szCs w:val="21"/>
                <w:highlight w:val="none"/>
              </w:rPr>
              <w:t>个。</w:t>
            </w:r>
          </w:p>
        </w:tc>
        <w:tc>
          <w:tcPr>
            <w:tcW w:w="709" w:type="dxa"/>
            <w:tcMar>
              <w:top w:w="15" w:type="dxa"/>
              <w:left w:w="15" w:type="dxa"/>
              <w:bottom w:w="0" w:type="dxa"/>
              <w:right w:w="15" w:type="dxa"/>
            </w:tcMar>
            <w:vAlign w:val="center"/>
          </w:tcPr>
          <w:p w14:paraId="4FF95711">
            <w:pPr>
              <w:ind w:firstLine="210" w:firstLineChars="100"/>
              <w:jc w:val="center"/>
              <w:rPr>
                <w:color w:val="auto"/>
                <w:szCs w:val="21"/>
                <w:highlight w:val="none"/>
              </w:rPr>
            </w:pPr>
            <w:r>
              <w:rPr>
                <w:rFonts w:hint="eastAsia"/>
                <w:color w:val="auto"/>
                <w:szCs w:val="21"/>
                <w:highlight w:val="none"/>
              </w:rPr>
              <w:t>1</w:t>
            </w:r>
          </w:p>
        </w:tc>
        <w:tc>
          <w:tcPr>
            <w:tcW w:w="1134" w:type="dxa"/>
            <w:tcMar>
              <w:top w:w="15" w:type="dxa"/>
              <w:left w:w="15" w:type="dxa"/>
              <w:bottom w:w="0" w:type="dxa"/>
              <w:right w:w="15" w:type="dxa"/>
            </w:tcMar>
            <w:vAlign w:val="center"/>
          </w:tcPr>
          <w:p w14:paraId="6A66EE0C">
            <w:pPr>
              <w:ind w:firstLine="420" w:firstLineChars="200"/>
              <w:rPr>
                <w:rFonts w:hint="eastAsia" w:ascii="Calibri" w:hAnsi="Calibri" w:eastAsia="仿宋_GB2312" w:cs="Times New Roman"/>
                <w:color w:val="auto"/>
                <w:kern w:val="2"/>
                <w:sz w:val="21"/>
                <w:szCs w:val="21"/>
                <w:highlight w:val="none"/>
                <w:lang w:val="en-US" w:eastAsia="zh-CN" w:bidi="ar-SA"/>
              </w:rPr>
            </w:pPr>
            <w:r>
              <w:rPr>
                <w:rFonts w:hint="eastAsia" w:ascii="Calibri" w:hAnsi="Calibri" w:eastAsia="仿宋_GB2312" w:cs="Times New Roman"/>
                <w:color w:val="auto"/>
                <w:szCs w:val="21"/>
                <w:highlight w:val="none"/>
              </w:rPr>
              <w:t>台</w:t>
            </w:r>
          </w:p>
        </w:tc>
        <w:tc>
          <w:tcPr>
            <w:tcW w:w="1134" w:type="dxa"/>
            <w:tcMar>
              <w:top w:w="15" w:type="dxa"/>
              <w:left w:w="15" w:type="dxa"/>
              <w:bottom w:w="0" w:type="dxa"/>
              <w:right w:w="15" w:type="dxa"/>
            </w:tcMar>
            <w:vAlign w:val="center"/>
          </w:tcPr>
          <w:p w14:paraId="2A695641">
            <w:pPr>
              <w:ind w:firstLine="420"/>
              <w:jc w:val="center"/>
              <w:rPr>
                <w:color w:val="auto"/>
                <w:szCs w:val="21"/>
                <w:highlight w:val="none"/>
              </w:rPr>
            </w:pPr>
            <w:r>
              <w:rPr>
                <w:rFonts w:hint="eastAsia"/>
                <w:color w:val="auto"/>
                <w:szCs w:val="21"/>
                <w:highlight w:val="none"/>
              </w:rPr>
              <w:t>2</w:t>
            </w:r>
            <w:r>
              <w:rPr>
                <w:color w:val="auto"/>
                <w:szCs w:val="21"/>
                <w:highlight w:val="none"/>
              </w:rPr>
              <w:t>1</w:t>
            </w:r>
          </w:p>
        </w:tc>
      </w:tr>
    </w:tbl>
    <w:p w14:paraId="7DAE1385">
      <w:pPr>
        <w:ind w:firstLine="480"/>
        <w:rPr>
          <w:color w:val="auto"/>
          <w:highlight w:val="none"/>
        </w:rPr>
      </w:pPr>
      <w:r>
        <w:rPr>
          <w:rFonts w:hint="eastAsia"/>
          <w:color w:val="auto"/>
          <w:highlight w:val="none"/>
        </w:rPr>
        <w:t>采购基础软件，包括操作系统、数据库和中间件。</w:t>
      </w:r>
    </w:p>
    <w:tbl>
      <w:tblPr>
        <w:tblStyle w:val="7"/>
        <w:tblW w:w="85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552"/>
        <w:gridCol w:w="3402"/>
        <w:gridCol w:w="1931"/>
      </w:tblGrid>
      <w:tr w14:paraId="11165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04" w:type="dxa"/>
            <w:vAlign w:val="center"/>
          </w:tcPr>
          <w:p w14:paraId="191A2778">
            <w:pPr>
              <w:widowControl/>
              <w:jc w:val="center"/>
              <w:rPr>
                <w:rFonts w:hint="eastAsia" w:ascii="宋体" w:hAnsi="宋体" w:cs="宋体"/>
                <w:b/>
                <w:color w:val="auto"/>
                <w:kern w:val="0"/>
                <w:sz w:val="22"/>
                <w:highlight w:val="none"/>
              </w:rPr>
            </w:pPr>
            <w:r>
              <w:rPr>
                <w:rFonts w:hint="eastAsia" w:ascii="宋体" w:hAnsi="宋体" w:cs="宋体"/>
                <w:b/>
                <w:color w:val="auto"/>
                <w:kern w:val="0"/>
                <w:sz w:val="22"/>
                <w:highlight w:val="none"/>
              </w:rPr>
              <w:t>序号</w:t>
            </w:r>
          </w:p>
        </w:tc>
        <w:tc>
          <w:tcPr>
            <w:tcW w:w="2552" w:type="dxa"/>
            <w:vAlign w:val="center"/>
          </w:tcPr>
          <w:p w14:paraId="467FA382">
            <w:pPr>
              <w:widowControl/>
              <w:jc w:val="center"/>
              <w:rPr>
                <w:rFonts w:hint="eastAsia" w:ascii="宋体" w:hAnsi="宋体" w:cs="宋体"/>
                <w:b/>
                <w:color w:val="auto"/>
                <w:kern w:val="0"/>
                <w:sz w:val="22"/>
                <w:highlight w:val="none"/>
              </w:rPr>
            </w:pPr>
            <w:r>
              <w:rPr>
                <w:rFonts w:hint="eastAsia" w:ascii="宋体" w:hAnsi="宋体" w:cs="宋体"/>
                <w:b/>
                <w:color w:val="auto"/>
                <w:kern w:val="0"/>
                <w:sz w:val="22"/>
                <w:highlight w:val="none"/>
              </w:rPr>
              <w:t>资源名称</w:t>
            </w:r>
          </w:p>
        </w:tc>
        <w:tc>
          <w:tcPr>
            <w:tcW w:w="3402" w:type="dxa"/>
            <w:vAlign w:val="center"/>
          </w:tcPr>
          <w:p w14:paraId="3FA1DC96">
            <w:pPr>
              <w:widowControl/>
              <w:jc w:val="center"/>
              <w:rPr>
                <w:rFonts w:hint="eastAsia" w:ascii="宋体" w:hAnsi="宋体" w:cs="宋体"/>
                <w:b/>
                <w:color w:val="auto"/>
                <w:kern w:val="0"/>
                <w:sz w:val="22"/>
                <w:highlight w:val="none"/>
              </w:rPr>
            </w:pPr>
            <w:r>
              <w:rPr>
                <w:rFonts w:hint="eastAsia" w:ascii="宋体" w:hAnsi="宋体" w:cs="宋体"/>
                <w:b/>
                <w:color w:val="auto"/>
                <w:kern w:val="0"/>
                <w:sz w:val="22"/>
                <w:highlight w:val="none"/>
              </w:rPr>
              <w:t>规格参数</w:t>
            </w:r>
          </w:p>
        </w:tc>
        <w:tc>
          <w:tcPr>
            <w:tcW w:w="1931" w:type="dxa"/>
            <w:vAlign w:val="center"/>
          </w:tcPr>
          <w:p w14:paraId="1831AAC1">
            <w:pPr>
              <w:widowControl/>
              <w:jc w:val="center"/>
              <w:rPr>
                <w:rFonts w:hint="eastAsia" w:ascii="宋体" w:hAnsi="宋体" w:cs="宋体"/>
                <w:b/>
                <w:color w:val="auto"/>
                <w:kern w:val="0"/>
                <w:sz w:val="22"/>
                <w:highlight w:val="none"/>
              </w:rPr>
            </w:pPr>
            <w:r>
              <w:rPr>
                <w:rFonts w:hint="eastAsia" w:ascii="宋体" w:hAnsi="宋体" w:cs="宋体"/>
                <w:b/>
                <w:color w:val="auto"/>
                <w:kern w:val="0"/>
                <w:sz w:val="22"/>
                <w:highlight w:val="none"/>
              </w:rPr>
              <w:t>数量</w:t>
            </w:r>
          </w:p>
        </w:tc>
      </w:tr>
      <w:tr w14:paraId="336D1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04" w:type="dxa"/>
            <w:vAlign w:val="center"/>
          </w:tcPr>
          <w:p w14:paraId="5FC72CD1">
            <w:pPr>
              <w:widowControl/>
              <w:jc w:val="center"/>
              <w:rPr>
                <w:rFonts w:hint="eastAsia" w:ascii="宋体" w:hAnsi="宋体" w:cs="宋体"/>
                <w:b/>
                <w:color w:val="auto"/>
                <w:kern w:val="0"/>
                <w:sz w:val="22"/>
                <w:highlight w:val="none"/>
              </w:rPr>
            </w:pPr>
            <w:r>
              <w:rPr>
                <w:rFonts w:ascii="宋体" w:hAnsi="宋体" w:cs="宋体"/>
                <w:b/>
                <w:color w:val="auto"/>
                <w:kern w:val="0"/>
                <w:sz w:val="22"/>
                <w:highlight w:val="none"/>
              </w:rPr>
              <w:t>1</w:t>
            </w:r>
          </w:p>
        </w:tc>
        <w:tc>
          <w:tcPr>
            <w:tcW w:w="2552" w:type="dxa"/>
            <w:vAlign w:val="center"/>
          </w:tcPr>
          <w:p w14:paraId="5B11B8F2">
            <w:pPr>
              <w:widowControl/>
              <w:jc w:val="center"/>
              <w:rPr>
                <w:rFonts w:hint="eastAsia" w:ascii="仿宋_GB2312" w:hAnsi="宋体" w:cs="宋体"/>
                <w:bCs/>
                <w:color w:val="auto"/>
                <w:kern w:val="0"/>
                <w:sz w:val="22"/>
                <w:highlight w:val="none"/>
              </w:rPr>
            </w:pPr>
            <w:r>
              <w:rPr>
                <w:rFonts w:hint="eastAsia" w:ascii="仿宋_GB2312" w:hAnsi="宋体" w:cs="宋体"/>
                <w:color w:val="auto"/>
                <w:kern w:val="0"/>
                <w:sz w:val="22"/>
                <w:highlight w:val="none"/>
              </w:rPr>
              <w:t>商业版关系型数据库</w:t>
            </w:r>
          </w:p>
        </w:tc>
        <w:tc>
          <w:tcPr>
            <w:tcW w:w="3402" w:type="dxa"/>
            <w:vAlign w:val="center"/>
          </w:tcPr>
          <w:p w14:paraId="7C3541F9">
            <w:pPr>
              <w:widowControl/>
              <w:jc w:val="center"/>
              <w:rPr>
                <w:rFonts w:hint="eastAsia" w:ascii="仿宋_GB2312" w:hAnsi="宋体" w:cs="宋体"/>
                <w:bCs/>
                <w:color w:val="auto"/>
                <w:kern w:val="0"/>
                <w:sz w:val="22"/>
                <w:highlight w:val="none"/>
              </w:rPr>
            </w:pPr>
            <w:r>
              <w:rPr>
                <w:rFonts w:hint="eastAsia" w:ascii="仿宋_GB2312" w:hAnsi="宋体" w:cs="宋体"/>
                <w:color w:val="auto"/>
                <w:kern w:val="0"/>
                <w:sz w:val="22"/>
                <w:highlight w:val="none"/>
              </w:rPr>
              <w:t>关系型数据库许可</w:t>
            </w:r>
          </w:p>
        </w:tc>
        <w:tc>
          <w:tcPr>
            <w:tcW w:w="1931" w:type="dxa"/>
            <w:vAlign w:val="center"/>
          </w:tcPr>
          <w:p w14:paraId="6B2AB43D">
            <w:pPr>
              <w:widowControl/>
              <w:jc w:val="center"/>
              <w:rPr>
                <w:rFonts w:hint="eastAsia" w:ascii="仿宋_GB2312" w:hAnsi="宋体" w:eastAsia="宋体" w:cs="宋体"/>
                <w:bCs/>
                <w:color w:val="auto"/>
                <w:kern w:val="0"/>
                <w:sz w:val="22"/>
                <w:highlight w:val="none"/>
                <w:lang w:eastAsia="zh-CN"/>
              </w:rPr>
            </w:pPr>
            <w:r>
              <w:rPr>
                <w:rFonts w:hint="eastAsia" w:ascii="仿宋_GB2312" w:hAnsi="宋体" w:cs="宋体"/>
                <w:color w:val="auto"/>
                <w:kern w:val="0"/>
                <w:sz w:val="22"/>
                <w:highlight w:val="none"/>
              </w:rPr>
              <w:t>1</w:t>
            </w:r>
            <w:r>
              <w:rPr>
                <w:rFonts w:hint="eastAsia" w:ascii="仿宋_GB2312" w:hAnsi="宋体" w:cs="宋体"/>
                <w:color w:val="auto"/>
                <w:kern w:val="0"/>
                <w:sz w:val="22"/>
                <w:highlight w:val="none"/>
                <w:lang w:eastAsia="zh-CN"/>
              </w:rPr>
              <w:t>个</w:t>
            </w:r>
          </w:p>
        </w:tc>
      </w:tr>
      <w:tr w14:paraId="4A1A5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04" w:type="dxa"/>
            <w:vAlign w:val="center"/>
          </w:tcPr>
          <w:p w14:paraId="2109A0D1">
            <w:pPr>
              <w:widowControl/>
              <w:jc w:val="center"/>
              <w:rPr>
                <w:rFonts w:hint="eastAsia" w:ascii="宋体" w:hAnsi="宋体" w:cs="宋体"/>
                <w:b/>
                <w:color w:val="auto"/>
                <w:kern w:val="0"/>
                <w:sz w:val="22"/>
                <w:highlight w:val="none"/>
              </w:rPr>
            </w:pPr>
            <w:r>
              <w:rPr>
                <w:rFonts w:hint="eastAsia" w:ascii="宋体" w:hAnsi="宋体" w:cs="宋体"/>
                <w:b/>
                <w:color w:val="auto"/>
                <w:kern w:val="0"/>
                <w:sz w:val="22"/>
                <w:highlight w:val="none"/>
              </w:rPr>
              <w:t>2</w:t>
            </w:r>
          </w:p>
        </w:tc>
        <w:tc>
          <w:tcPr>
            <w:tcW w:w="2552" w:type="dxa"/>
            <w:vAlign w:val="center"/>
          </w:tcPr>
          <w:p w14:paraId="13F1357D">
            <w:pPr>
              <w:widowControl/>
              <w:jc w:val="center"/>
              <w:rPr>
                <w:rFonts w:hint="eastAsia" w:ascii="仿宋_GB2312" w:hAnsi="宋体" w:cs="宋体"/>
                <w:bCs/>
                <w:color w:val="auto"/>
                <w:kern w:val="0"/>
                <w:sz w:val="22"/>
                <w:highlight w:val="none"/>
              </w:rPr>
            </w:pPr>
            <w:r>
              <w:rPr>
                <w:rFonts w:hint="eastAsia" w:ascii="仿宋_GB2312" w:hAnsi="宋体" w:cs="宋体"/>
                <w:color w:val="auto"/>
                <w:kern w:val="0"/>
                <w:sz w:val="22"/>
                <w:highlight w:val="none"/>
              </w:rPr>
              <w:t>商业版中间件（应用中间件或消息中间件）</w:t>
            </w:r>
          </w:p>
        </w:tc>
        <w:tc>
          <w:tcPr>
            <w:tcW w:w="3402" w:type="dxa"/>
            <w:vAlign w:val="center"/>
          </w:tcPr>
          <w:p w14:paraId="4C7933DE">
            <w:pPr>
              <w:widowControl/>
              <w:jc w:val="center"/>
              <w:rPr>
                <w:rFonts w:hint="eastAsia" w:ascii="仿宋_GB2312" w:hAnsi="宋体" w:cs="宋体"/>
                <w:bCs/>
                <w:color w:val="auto"/>
                <w:kern w:val="0"/>
                <w:sz w:val="22"/>
                <w:highlight w:val="none"/>
              </w:rPr>
            </w:pPr>
            <w:r>
              <w:rPr>
                <w:rFonts w:hint="eastAsia" w:ascii="仿宋_GB2312" w:hAnsi="宋体" w:cs="宋体"/>
                <w:color w:val="auto"/>
                <w:kern w:val="0"/>
                <w:sz w:val="22"/>
                <w:highlight w:val="none"/>
              </w:rPr>
              <w:t>中间件许可</w:t>
            </w:r>
          </w:p>
        </w:tc>
        <w:tc>
          <w:tcPr>
            <w:tcW w:w="1931" w:type="dxa"/>
            <w:vAlign w:val="center"/>
          </w:tcPr>
          <w:p w14:paraId="012AD6BA">
            <w:pPr>
              <w:widowControl/>
              <w:jc w:val="center"/>
              <w:rPr>
                <w:rFonts w:hint="eastAsia" w:ascii="仿宋_GB2312" w:hAnsi="宋体" w:eastAsia="宋体" w:cs="宋体"/>
                <w:bCs/>
                <w:color w:val="auto"/>
                <w:kern w:val="0"/>
                <w:sz w:val="22"/>
                <w:highlight w:val="none"/>
                <w:lang w:eastAsia="zh-CN"/>
              </w:rPr>
            </w:pPr>
            <w:r>
              <w:rPr>
                <w:rFonts w:hint="eastAsia" w:ascii="仿宋_GB2312" w:hAnsi="宋体" w:cs="宋体"/>
                <w:color w:val="auto"/>
                <w:kern w:val="0"/>
                <w:sz w:val="22"/>
                <w:highlight w:val="none"/>
              </w:rPr>
              <w:t>1</w:t>
            </w:r>
            <w:r>
              <w:rPr>
                <w:rFonts w:hint="eastAsia" w:ascii="仿宋_GB2312" w:hAnsi="宋体" w:cs="宋体"/>
                <w:color w:val="auto"/>
                <w:kern w:val="0"/>
                <w:sz w:val="22"/>
                <w:highlight w:val="none"/>
                <w:lang w:eastAsia="zh-CN"/>
              </w:rPr>
              <w:t>个</w:t>
            </w:r>
          </w:p>
        </w:tc>
      </w:tr>
      <w:tr w14:paraId="6040B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04" w:type="dxa"/>
            <w:vAlign w:val="center"/>
          </w:tcPr>
          <w:p w14:paraId="6CEF1682">
            <w:pPr>
              <w:widowControl/>
              <w:jc w:val="center"/>
              <w:rPr>
                <w:rFonts w:hint="eastAsia" w:ascii="宋体" w:hAnsi="宋体" w:cs="宋体"/>
                <w:b/>
                <w:color w:val="auto"/>
                <w:kern w:val="0"/>
                <w:sz w:val="22"/>
                <w:highlight w:val="none"/>
              </w:rPr>
            </w:pPr>
            <w:r>
              <w:rPr>
                <w:rFonts w:hint="eastAsia" w:ascii="宋体" w:hAnsi="宋体" w:cs="宋体"/>
                <w:b/>
                <w:color w:val="auto"/>
                <w:kern w:val="0"/>
                <w:sz w:val="22"/>
                <w:highlight w:val="none"/>
              </w:rPr>
              <w:t>3</w:t>
            </w:r>
          </w:p>
        </w:tc>
        <w:tc>
          <w:tcPr>
            <w:tcW w:w="2552" w:type="dxa"/>
            <w:vAlign w:val="center"/>
          </w:tcPr>
          <w:p w14:paraId="08674132">
            <w:pPr>
              <w:widowControl/>
              <w:jc w:val="center"/>
              <w:rPr>
                <w:rFonts w:hint="eastAsia" w:ascii="仿宋_GB2312" w:hAnsi="宋体" w:cs="宋体"/>
                <w:bCs/>
                <w:color w:val="auto"/>
                <w:kern w:val="0"/>
                <w:sz w:val="22"/>
                <w:highlight w:val="none"/>
              </w:rPr>
            </w:pPr>
            <w:r>
              <w:rPr>
                <w:rFonts w:hint="eastAsia" w:ascii="仿宋_GB2312" w:hAnsi="宋体" w:cs="宋体"/>
                <w:color w:val="auto"/>
                <w:kern w:val="0"/>
                <w:sz w:val="22"/>
                <w:highlight w:val="none"/>
              </w:rPr>
              <w:t>操作系统</w:t>
            </w:r>
          </w:p>
        </w:tc>
        <w:tc>
          <w:tcPr>
            <w:tcW w:w="3402" w:type="dxa"/>
            <w:vAlign w:val="center"/>
          </w:tcPr>
          <w:p w14:paraId="77C9BCA5">
            <w:pPr>
              <w:widowControl/>
              <w:jc w:val="center"/>
              <w:rPr>
                <w:rFonts w:hint="eastAsia" w:ascii="仿宋_GB2312" w:hAnsi="宋体" w:cs="宋体"/>
                <w:bCs/>
                <w:color w:val="auto"/>
                <w:kern w:val="0"/>
                <w:sz w:val="22"/>
                <w:highlight w:val="none"/>
              </w:rPr>
            </w:pPr>
            <w:r>
              <w:rPr>
                <w:rFonts w:hint="eastAsia" w:ascii="仿宋_GB2312" w:hAnsi="宋体" w:cs="宋体"/>
                <w:color w:val="auto"/>
                <w:kern w:val="0"/>
                <w:sz w:val="22"/>
                <w:highlight w:val="none"/>
              </w:rPr>
              <w:t>操作系统许可</w:t>
            </w:r>
          </w:p>
        </w:tc>
        <w:tc>
          <w:tcPr>
            <w:tcW w:w="1931" w:type="dxa"/>
            <w:vAlign w:val="center"/>
          </w:tcPr>
          <w:p w14:paraId="2DDB7914">
            <w:pPr>
              <w:widowControl/>
              <w:jc w:val="center"/>
              <w:rPr>
                <w:rFonts w:hint="eastAsia" w:ascii="仿宋_GB2312" w:hAnsi="宋体" w:eastAsia="宋体" w:cs="宋体"/>
                <w:bCs/>
                <w:color w:val="auto"/>
                <w:kern w:val="0"/>
                <w:sz w:val="22"/>
                <w:highlight w:val="none"/>
                <w:lang w:eastAsia="zh-CN"/>
              </w:rPr>
            </w:pPr>
            <w:r>
              <w:rPr>
                <w:rFonts w:ascii="仿宋_GB2312" w:hAnsi="宋体" w:cs="宋体"/>
                <w:color w:val="auto"/>
                <w:kern w:val="0"/>
                <w:sz w:val="22"/>
                <w:highlight w:val="none"/>
              </w:rPr>
              <w:t>7</w:t>
            </w:r>
            <w:r>
              <w:rPr>
                <w:rFonts w:hint="eastAsia" w:ascii="仿宋_GB2312" w:hAnsi="宋体" w:cs="宋体"/>
                <w:color w:val="auto"/>
                <w:kern w:val="0"/>
                <w:sz w:val="22"/>
                <w:highlight w:val="none"/>
                <w:lang w:eastAsia="zh-CN"/>
              </w:rPr>
              <w:t>套</w:t>
            </w:r>
          </w:p>
        </w:tc>
      </w:tr>
      <w:tr w14:paraId="755AB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04" w:type="dxa"/>
            <w:vAlign w:val="center"/>
          </w:tcPr>
          <w:p w14:paraId="708CDA5C">
            <w:pPr>
              <w:widowControl/>
              <w:jc w:val="center"/>
              <w:rPr>
                <w:rFonts w:hint="eastAsia" w:ascii="宋体" w:hAnsi="宋体" w:cs="宋体"/>
                <w:b/>
                <w:color w:val="auto"/>
                <w:kern w:val="0"/>
                <w:sz w:val="22"/>
                <w:highlight w:val="none"/>
              </w:rPr>
            </w:pPr>
            <w:r>
              <w:rPr>
                <w:rFonts w:hint="eastAsia" w:ascii="宋体" w:hAnsi="宋体" w:cs="宋体"/>
                <w:b/>
                <w:color w:val="auto"/>
                <w:kern w:val="0"/>
                <w:sz w:val="22"/>
                <w:highlight w:val="none"/>
              </w:rPr>
              <w:t>4</w:t>
            </w:r>
          </w:p>
        </w:tc>
        <w:tc>
          <w:tcPr>
            <w:tcW w:w="2552" w:type="dxa"/>
            <w:vAlign w:val="center"/>
          </w:tcPr>
          <w:p w14:paraId="4A31877D">
            <w:pPr>
              <w:widowControl/>
              <w:jc w:val="center"/>
              <w:rPr>
                <w:rFonts w:hint="eastAsia" w:ascii="仿宋_GB2312" w:hAnsi="宋体" w:cs="宋体"/>
                <w:bCs/>
                <w:color w:val="auto"/>
                <w:kern w:val="0"/>
                <w:sz w:val="22"/>
                <w:highlight w:val="none"/>
              </w:rPr>
            </w:pPr>
            <w:r>
              <w:rPr>
                <w:rFonts w:hint="eastAsia" w:ascii="仿宋_GB2312" w:hAnsi="宋体" w:cs="宋体"/>
                <w:color w:val="auto"/>
                <w:kern w:val="0"/>
                <w:sz w:val="22"/>
                <w:highlight w:val="none"/>
              </w:rPr>
              <w:t>操作系统技术支持</w:t>
            </w:r>
          </w:p>
        </w:tc>
        <w:tc>
          <w:tcPr>
            <w:tcW w:w="3402" w:type="dxa"/>
            <w:vAlign w:val="center"/>
          </w:tcPr>
          <w:p w14:paraId="642F2D5D">
            <w:pPr>
              <w:widowControl/>
              <w:jc w:val="center"/>
              <w:rPr>
                <w:rFonts w:hint="eastAsia" w:ascii="仿宋_GB2312" w:hAnsi="宋体" w:cs="宋体"/>
                <w:bCs/>
                <w:color w:val="auto"/>
                <w:kern w:val="0"/>
                <w:sz w:val="22"/>
                <w:highlight w:val="none"/>
              </w:rPr>
            </w:pPr>
            <w:r>
              <w:rPr>
                <w:rFonts w:hint="eastAsia" w:ascii="仿宋_GB2312" w:hAnsi="宋体" w:cs="宋体"/>
                <w:color w:val="auto"/>
                <w:kern w:val="0"/>
                <w:sz w:val="22"/>
                <w:highlight w:val="none"/>
              </w:rPr>
              <w:t>技术支持服务（包括软件安装、版本升级、打补丁）</w:t>
            </w:r>
          </w:p>
        </w:tc>
        <w:tc>
          <w:tcPr>
            <w:tcW w:w="1931" w:type="dxa"/>
            <w:vAlign w:val="center"/>
          </w:tcPr>
          <w:p w14:paraId="78B64CC2">
            <w:pPr>
              <w:widowControl/>
              <w:jc w:val="center"/>
              <w:rPr>
                <w:rFonts w:hint="eastAsia" w:ascii="仿宋_GB2312" w:hAnsi="宋体" w:eastAsia="宋体" w:cs="宋体"/>
                <w:bCs/>
                <w:color w:val="auto"/>
                <w:kern w:val="0"/>
                <w:sz w:val="22"/>
                <w:highlight w:val="none"/>
                <w:lang w:eastAsia="zh-CN"/>
              </w:rPr>
            </w:pPr>
            <w:r>
              <w:rPr>
                <w:rFonts w:ascii="仿宋_GB2312" w:hAnsi="宋体" w:cs="宋体"/>
                <w:color w:val="auto"/>
                <w:kern w:val="0"/>
                <w:sz w:val="22"/>
                <w:highlight w:val="none"/>
              </w:rPr>
              <w:t>7</w:t>
            </w:r>
            <w:r>
              <w:rPr>
                <w:rFonts w:hint="eastAsia" w:ascii="仿宋_GB2312" w:hAnsi="宋体" w:cs="宋体"/>
                <w:color w:val="auto"/>
                <w:kern w:val="0"/>
                <w:sz w:val="22"/>
                <w:highlight w:val="none"/>
                <w:lang w:eastAsia="zh-CN"/>
              </w:rPr>
              <w:t>套</w:t>
            </w:r>
          </w:p>
        </w:tc>
      </w:tr>
    </w:tbl>
    <w:p w14:paraId="70B32064">
      <w:pPr>
        <w:rPr>
          <w:color w:val="auto"/>
          <w:highlight w:val="none"/>
        </w:rPr>
      </w:pPr>
    </w:p>
    <w:p w14:paraId="18E1B497">
      <w:pPr>
        <w:pStyle w:val="9"/>
        <w:outlineLvl w:val="2"/>
        <w:rPr>
          <w:rFonts w:hint="default"/>
          <w:b/>
          <w:color w:val="auto"/>
          <w:sz w:val="28"/>
          <w:highlight w:val="none"/>
        </w:rPr>
      </w:pPr>
      <w:r>
        <w:rPr>
          <w:b/>
          <w:color w:val="auto"/>
          <w:sz w:val="28"/>
          <w:highlight w:val="none"/>
          <w:lang w:eastAsia="zh-CN"/>
        </w:rPr>
        <w:t>六.</w:t>
      </w:r>
      <w:r>
        <w:rPr>
          <w:rFonts w:hint="default"/>
          <w:b/>
          <w:color w:val="auto"/>
          <w:sz w:val="28"/>
          <w:highlight w:val="none"/>
        </w:rPr>
        <w:t>数据迁移要求</w:t>
      </w:r>
    </w:p>
    <w:p w14:paraId="108B5E01">
      <w:pPr>
        <w:ind w:firstLine="480"/>
        <w:rPr>
          <w:color w:val="auto"/>
          <w:highlight w:val="none"/>
        </w:rPr>
      </w:pPr>
      <w:r>
        <w:rPr>
          <w:rFonts w:hint="eastAsia"/>
          <w:color w:val="auto"/>
          <w:highlight w:val="none"/>
        </w:rPr>
        <w:t>系统建设完成后,针对所有数据库的数据进行迁移，将广州市天河区农村集体经济组织及成员、股权、资产交易、财务数据要迁移到新平台上，并保证用户能够正常查询原系统的历史交易数据，包括农村集体资产交易项目立项数据、交易公示数据、交易过程数据、交易结果数据等，迁移数据涉及近十年约30000宗交易数据，及正生效、已失效、待处理的合同数据约50000份，数据存储量共计约1500GB。在数据迁移过程中，需要进行数据质量检查与修复。天河区农村集体经济成员及股权信息，约10万条，每条数据项约20个；天河区实施财务数据；天河区农村财务表数据量约14GB，数据记录约3700万条，记账凭证等附件约200GB。迁移后需保证财务数据准确。</w:t>
      </w:r>
    </w:p>
    <w:bookmarkEnd w:id="6"/>
    <w:p w14:paraId="3B1D3706">
      <w:pPr>
        <w:pStyle w:val="9"/>
        <w:outlineLvl w:val="2"/>
        <w:rPr>
          <w:rFonts w:hint="default"/>
          <w:b/>
          <w:color w:val="auto"/>
          <w:sz w:val="28"/>
          <w:highlight w:val="none"/>
        </w:rPr>
      </w:pPr>
      <w:r>
        <w:rPr>
          <w:b/>
          <w:color w:val="auto"/>
          <w:sz w:val="28"/>
          <w:highlight w:val="none"/>
          <w:lang w:eastAsia="zh-CN"/>
        </w:rPr>
        <w:t>七.</w:t>
      </w:r>
      <w:r>
        <w:rPr>
          <w:rFonts w:hint="default"/>
          <w:b/>
          <w:color w:val="auto"/>
          <w:sz w:val="28"/>
          <w:highlight w:val="none"/>
        </w:rPr>
        <w:t>系统安全要求</w:t>
      </w:r>
    </w:p>
    <w:p w14:paraId="05ACEAA9">
      <w:pPr>
        <w:ind w:firstLine="480"/>
        <w:rPr>
          <w:rFonts w:ascii="仿宋_GB2312"/>
          <w:color w:val="auto"/>
          <w:highlight w:val="none"/>
        </w:rPr>
      </w:pPr>
      <w:r>
        <w:rPr>
          <w:rFonts w:hint="eastAsia" w:ascii="仿宋_GB2312"/>
          <w:color w:val="auto"/>
          <w:highlight w:val="none"/>
        </w:rPr>
        <w:t>本系统部署在政务外网区，鉴于本系统涉及农村集体经济组织财务、竞投人（个人/法人）等重要敏感数据的存储，一旦遭到非法入侵、修改、增加、删除等不明侵害（形式可以包括丢失、破坏、损坏等），会对局内管理部门及涉及的相关主体造成影响和损害。程度表现为严重损害，即工作职能受到严重影响，业务能力显著下降。因此，依据《中华人民共和国网络安全法》和《网络安全等级保护2.0》要求，对本项目“广州市天河区农业农村局2025年天河区农村集体经济组织数字智理服务平台”的安全定级为安全等级保护三级；商用密码三级要求进行建设和测评，确保关键环节数据和信息安全。</w:t>
      </w:r>
    </w:p>
    <w:p w14:paraId="00E2040B">
      <w:pPr>
        <w:ind w:firstLine="480"/>
        <w:rPr>
          <w:rFonts w:ascii="仿宋_GB2312"/>
          <w:color w:val="auto"/>
          <w:highlight w:val="none"/>
        </w:rPr>
      </w:pPr>
      <w:r>
        <w:rPr>
          <w:rFonts w:hint="eastAsia" w:ascii="仿宋_GB2312"/>
          <w:color w:val="auto"/>
          <w:highlight w:val="none"/>
        </w:rPr>
        <w:t>中标人在项目建设前应制定详细系统应用安全、数据安全设计、数据安全管理、商用密码应用安全方案，在项目实施过程中遵循方案设计进行开发，确保系统建设符合等级保护和商密要求。</w:t>
      </w:r>
    </w:p>
    <w:p w14:paraId="6712AC9B">
      <w:pPr>
        <w:pStyle w:val="2"/>
        <w:numPr>
          <w:ilvl w:val="255"/>
          <w:numId w:val="0"/>
        </w:num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（一）系统应用安全</w:t>
      </w:r>
    </w:p>
    <w:p w14:paraId="216DB5D6">
      <w:pPr>
        <w:ind w:firstLine="480"/>
        <w:rPr>
          <w:rFonts w:ascii="仿宋_GB2312"/>
          <w:color w:val="auto"/>
          <w:highlight w:val="none"/>
        </w:rPr>
      </w:pPr>
      <w:r>
        <w:rPr>
          <w:rFonts w:hint="eastAsia" w:ascii="仿宋_GB2312"/>
          <w:color w:val="auto"/>
          <w:highlight w:val="none"/>
        </w:rPr>
        <w:t>系统应用安全涉及到保护信息系统和网络免受攻击和损害的措施。通过技术、管理等手段，保障系统应用在运行过程中免受威胁，这包括确保信息的完整性、可用性、保密性和可控性。</w:t>
      </w:r>
    </w:p>
    <w:p w14:paraId="4160E1C3">
      <w:pPr>
        <w:pStyle w:val="2"/>
        <w:numPr>
          <w:ilvl w:val="255"/>
          <w:numId w:val="0"/>
        </w:num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（二）数据安全设计</w:t>
      </w:r>
    </w:p>
    <w:p w14:paraId="33A2D677">
      <w:pPr>
        <w:ind w:firstLine="480"/>
        <w:rPr>
          <w:rFonts w:ascii="仿宋_GB2312"/>
          <w:color w:val="auto"/>
          <w:highlight w:val="none"/>
        </w:rPr>
      </w:pPr>
      <w:r>
        <w:rPr>
          <w:rFonts w:hint="eastAsia" w:ascii="仿宋_GB2312"/>
          <w:color w:val="auto"/>
          <w:highlight w:val="none"/>
        </w:rPr>
        <w:t>数据安全设计是指在数据的生命周期中，从创建、存储、处理到销毁的每一个环节都采取安全措施。这包括数据的分级分类、数据角色授权、数据安全过程场景化管理。提供数据安全管理框，包括数据保护、数据合规和敏感数据管理。</w:t>
      </w:r>
    </w:p>
    <w:p w14:paraId="224E645A">
      <w:pPr>
        <w:pStyle w:val="2"/>
        <w:numPr>
          <w:ilvl w:val="255"/>
          <w:numId w:val="0"/>
        </w:num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（三）数据安全管理</w:t>
      </w:r>
    </w:p>
    <w:p w14:paraId="1AB935FA">
      <w:pPr>
        <w:ind w:firstLine="420" w:firstLineChars="200"/>
        <w:rPr>
          <w:rFonts w:ascii="仿宋_GB2312"/>
          <w:color w:val="auto"/>
          <w:highlight w:val="none"/>
        </w:rPr>
      </w:pPr>
      <w:r>
        <w:rPr>
          <w:rFonts w:hint="eastAsia" w:ascii="仿宋_GB2312"/>
          <w:color w:val="auto"/>
          <w:highlight w:val="none"/>
        </w:rPr>
        <w:t>数据安全管理是确保数据在整个生命周期中的安全和合规性的过程。这涉及到制定全面科学有效的数据管理制度，包括组织管理、部门职责、协调机制、安全管控、系统保障、监督检查和数据质量控制等方面。</w:t>
      </w:r>
    </w:p>
    <w:p w14:paraId="1BFAFFE6">
      <w:pPr>
        <w:pStyle w:val="2"/>
        <w:numPr>
          <w:ilvl w:val="255"/>
          <w:numId w:val="0"/>
        </w:num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（四）商用密码应用安全方案</w:t>
      </w:r>
    </w:p>
    <w:p w14:paraId="75E195B3">
      <w:pPr>
        <w:ind w:firstLine="480"/>
        <w:rPr>
          <w:rFonts w:ascii="仿宋_GB2312"/>
          <w:color w:val="auto"/>
          <w:highlight w:val="none"/>
        </w:rPr>
      </w:pPr>
      <w:r>
        <w:rPr>
          <w:rFonts w:hint="eastAsia" w:ascii="仿宋_GB2312"/>
          <w:color w:val="auto"/>
          <w:highlight w:val="none"/>
        </w:rPr>
        <w:t>商用密码应用安全方案是指在商业领域中使用密码技术来保护信息安全的方法，具体应</w:t>
      </w:r>
      <w:r>
        <w:rPr>
          <w:rFonts w:ascii="仿宋_GB2312"/>
          <w:color w:val="auto"/>
          <w:highlight w:val="none"/>
        </w:rPr>
        <w:t>包含</w:t>
      </w:r>
      <w:r>
        <w:rPr>
          <w:rFonts w:hint="eastAsia" w:ascii="仿宋_GB2312"/>
          <w:color w:val="auto"/>
          <w:highlight w:val="none"/>
        </w:rPr>
        <w:t>但</w:t>
      </w:r>
      <w:r>
        <w:rPr>
          <w:rFonts w:ascii="仿宋_GB2312"/>
          <w:color w:val="auto"/>
          <w:highlight w:val="none"/>
        </w:rPr>
        <w:t>不限于</w:t>
      </w:r>
      <w:r>
        <w:rPr>
          <w:rFonts w:hint="eastAsia" w:ascii="仿宋_GB2312"/>
          <w:color w:val="auto"/>
          <w:highlight w:val="none"/>
        </w:rPr>
        <w:t>商</w:t>
      </w:r>
      <w:r>
        <w:rPr>
          <w:rFonts w:ascii="仿宋_GB2312"/>
          <w:color w:val="auto"/>
          <w:highlight w:val="none"/>
        </w:rPr>
        <w:t>密应用安全方案</w:t>
      </w:r>
      <w:r>
        <w:rPr>
          <w:rFonts w:hint="eastAsia" w:ascii="仿宋_GB2312"/>
          <w:color w:val="auto"/>
          <w:highlight w:val="none"/>
        </w:rPr>
        <w:t>的设计</w:t>
      </w:r>
      <w:r>
        <w:rPr>
          <w:rFonts w:ascii="仿宋_GB2312"/>
          <w:color w:val="auto"/>
          <w:highlight w:val="none"/>
        </w:rPr>
        <w:t>、实施和保障措施等</w:t>
      </w:r>
      <w:r>
        <w:rPr>
          <w:rFonts w:hint="eastAsia" w:ascii="仿宋_GB2312"/>
          <w:color w:val="auto"/>
          <w:highlight w:val="none"/>
        </w:rPr>
        <w:t>内容。</w:t>
      </w:r>
    </w:p>
    <w:p w14:paraId="4C14C1B7">
      <w:pPr>
        <w:ind w:firstLine="480"/>
        <w:rPr>
          <w:rFonts w:ascii="仿宋_GB2312"/>
          <w:color w:val="auto"/>
          <w:highlight w:val="none"/>
        </w:rPr>
      </w:pPr>
      <w:r>
        <w:rPr>
          <w:rFonts w:hint="eastAsia" w:ascii="仿宋_GB2312"/>
          <w:color w:val="auto"/>
          <w:highlight w:val="none"/>
        </w:rPr>
        <w:t>综上所述，系统应用安全、数据安全设计、数据安全管理和商用密码应用安全方案是确保信息和数据安全的关键组成部分。它们涉及到从技术、管理到法律等多个层面的措施，以保护数据免受未授权访问、破坏和泄露的风险。</w:t>
      </w:r>
    </w:p>
    <w:p w14:paraId="70ED1D15">
      <w:pPr>
        <w:pStyle w:val="9"/>
        <w:outlineLvl w:val="2"/>
        <w:rPr>
          <w:rFonts w:hint="default"/>
          <w:b/>
          <w:color w:val="auto"/>
          <w:sz w:val="28"/>
          <w:highlight w:val="none"/>
        </w:rPr>
      </w:pPr>
      <w:r>
        <w:rPr>
          <w:b/>
          <w:color w:val="auto"/>
          <w:sz w:val="28"/>
          <w:highlight w:val="none"/>
          <w:lang w:eastAsia="zh-CN"/>
        </w:rPr>
        <w:t>八、</w:t>
      </w:r>
      <w:r>
        <w:rPr>
          <w:rFonts w:hint="default"/>
          <w:b/>
          <w:color w:val="auto"/>
          <w:sz w:val="28"/>
          <w:highlight w:val="none"/>
        </w:rPr>
        <w:t>系统性能要求</w:t>
      </w:r>
    </w:p>
    <w:p w14:paraId="0572B1AC">
      <w:pPr>
        <w:ind w:firstLine="480"/>
        <w:rPr>
          <w:rFonts w:ascii="仿宋_GB2312"/>
          <w:color w:val="auto"/>
          <w:szCs w:val="28"/>
          <w:highlight w:val="none"/>
        </w:rPr>
      </w:pPr>
      <w:r>
        <w:rPr>
          <w:rFonts w:hint="eastAsia" w:ascii="仿宋_GB2312"/>
          <w:color w:val="auto"/>
          <w:szCs w:val="28"/>
          <w:highlight w:val="none"/>
        </w:rPr>
        <w:t>本期项目建设在性能指标上应达到如下要求：</w:t>
      </w:r>
    </w:p>
    <w:p w14:paraId="37A6B627">
      <w:pPr>
        <w:ind w:firstLine="480"/>
        <w:rPr>
          <w:rFonts w:ascii="仿宋_GB2312"/>
          <w:color w:val="auto"/>
          <w:szCs w:val="28"/>
          <w:highlight w:val="none"/>
        </w:rPr>
      </w:pPr>
      <w:r>
        <w:rPr>
          <w:rFonts w:hint="eastAsia" w:ascii="仿宋_GB2312"/>
          <w:color w:val="auto"/>
          <w:szCs w:val="28"/>
          <w:highlight w:val="none"/>
        </w:rPr>
        <w:t>1.系统运行需求</w:t>
      </w:r>
    </w:p>
    <w:p w14:paraId="7F66AE9D">
      <w:pPr>
        <w:ind w:firstLine="480"/>
        <w:rPr>
          <w:rFonts w:ascii="仿宋_GB2312"/>
          <w:color w:val="auto"/>
          <w:szCs w:val="28"/>
          <w:highlight w:val="none"/>
        </w:rPr>
      </w:pPr>
      <w:r>
        <w:rPr>
          <w:rFonts w:hint="eastAsia" w:ascii="仿宋_GB2312"/>
          <w:color w:val="auto"/>
          <w:szCs w:val="28"/>
          <w:highlight w:val="none"/>
        </w:rPr>
        <w:t>（1）系统应保证7×24小时的运行；提供高稳定性，保证在数据量或应用连接数高峰运行时的系统运行正常，保障持久化的系统运行；</w:t>
      </w:r>
    </w:p>
    <w:p w14:paraId="5DFD1F0C">
      <w:pPr>
        <w:ind w:firstLine="480"/>
        <w:rPr>
          <w:rFonts w:ascii="仿宋_GB2312"/>
          <w:color w:val="auto"/>
          <w:szCs w:val="28"/>
          <w:highlight w:val="none"/>
        </w:rPr>
      </w:pPr>
      <w:r>
        <w:rPr>
          <w:rFonts w:hint="eastAsia" w:ascii="仿宋_GB2312"/>
          <w:color w:val="auto"/>
          <w:szCs w:val="28"/>
          <w:highlight w:val="none"/>
        </w:rPr>
        <w:t>（2）为确保我局用户能顺畅运行系统，系统具备500人的使用规模，在基础硬件满足的条件下，保证系统稳定、流畅运行。</w:t>
      </w:r>
    </w:p>
    <w:p w14:paraId="5820F74E">
      <w:pPr>
        <w:ind w:firstLine="480"/>
        <w:rPr>
          <w:rFonts w:ascii="仿宋_GB2312"/>
          <w:color w:val="auto"/>
          <w:szCs w:val="28"/>
          <w:highlight w:val="none"/>
        </w:rPr>
      </w:pPr>
      <w:r>
        <w:rPr>
          <w:rFonts w:hint="eastAsia" w:ascii="仿宋_GB2312"/>
          <w:color w:val="auto"/>
          <w:szCs w:val="28"/>
          <w:highlight w:val="none"/>
        </w:rPr>
        <w:t>2.并发数</w:t>
      </w:r>
    </w:p>
    <w:p w14:paraId="2CCBA264">
      <w:pPr>
        <w:ind w:firstLine="480"/>
        <w:rPr>
          <w:rFonts w:ascii="仿宋_GB2312"/>
          <w:color w:val="auto"/>
          <w:szCs w:val="28"/>
          <w:highlight w:val="none"/>
        </w:rPr>
      </w:pPr>
      <w:r>
        <w:rPr>
          <w:rFonts w:hint="eastAsia" w:ascii="仿宋_GB2312"/>
          <w:color w:val="auto"/>
          <w:szCs w:val="28"/>
          <w:highlight w:val="none"/>
        </w:rPr>
        <w:t>在系统使用过程中，将出现多个用户同时在线的情况，根据天河区农村集体经济组织及竞投人使用情况，应保障并发量数不少于150人同时访问使用系统不出现系统故障。</w:t>
      </w:r>
    </w:p>
    <w:p w14:paraId="177FE2AB">
      <w:pPr>
        <w:ind w:firstLine="480"/>
        <w:rPr>
          <w:rFonts w:ascii="仿宋_GB2312"/>
          <w:color w:val="auto"/>
          <w:szCs w:val="28"/>
          <w:highlight w:val="none"/>
        </w:rPr>
      </w:pPr>
      <w:r>
        <w:rPr>
          <w:rFonts w:hint="eastAsia" w:ascii="仿宋_GB2312"/>
          <w:color w:val="auto"/>
          <w:szCs w:val="28"/>
          <w:highlight w:val="none"/>
        </w:rPr>
        <w:t>3.响应时间</w:t>
      </w:r>
    </w:p>
    <w:p w14:paraId="3FA444E3">
      <w:pPr>
        <w:ind w:firstLine="480"/>
        <w:rPr>
          <w:rFonts w:ascii="仿宋_GB2312"/>
          <w:color w:val="auto"/>
          <w:szCs w:val="28"/>
          <w:highlight w:val="none"/>
        </w:rPr>
      </w:pPr>
      <w:r>
        <w:rPr>
          <w:rFonts w:hint="eastAsia" w:ascii="仿宋_GB2312"/>
          <w:color w:val="auto"/>
          <w:szCs w:val="28"/>
          <w:highlight w:val="none"/>
        </w:rPr>
        <w:t>系统平均响应时间：主要指在一定的并发压力下，各种频繁度的业务操作平均响应时间。一般将依据系统支持业务功能的复杂度和频繁度，对容易引起性能瓶颈的插入、修改、查询、报表生成等重要操作计算系统的最大平均响应时间，平均响应时间：5秒，简单业务响应时间：3秒；复杂业务响应时间：</w:t>
      </w:r>
      <w:r>
        <w:rPr>
          <w:rFonts w:ascii="仿宋_GB2312"/>
          <w:color w:val="auto"/>
          <w:szCs w:val="28"/>
          <w:highlight w:val="none"/>
        </w:rPr>
        <w:t>8</w:t>
      </w:r>
      <w:r>
        <w:rPr>
          <w:rFonts w:hint="eastAsia" w:ascii="仿宋_GB2312"/>
          <w:color w:val="auto"/>
          <w:szCs w:val="28"/>
          <w:highlight w:val="none"/>
        </w:rPr>
        <w:t>秒以内。</w:t>
      </w:r>
    </w:p>
    <w:p w14:paraId="1576ABE1">
      <w:pPr>
        <w:ind w:firstLine="480"/>
        <w:rPr>
          <w:rFonts w:ascii="仿宋_GB2312"/>
          <w:color w:val="auto"/>
          <w:szCs w:val="28"/>
          <w:highlight w:val="none"/>
        </w:rPr>
      </w:pPr>
      <w:r>
        <w:rPr>
          <w:rFonts w:hint="eastAsia" w:ascii="仿宋_GB2312"/>
          <w:color w:val="auto"/>
          <w:szCs w:val="28"/>
          <w:highlight w:val="none"/>
        </w:rPr>
        <w:t>4.其他。无需第三方浏览器插件安装即可查看常用的附件格式等。</w:t>
      </w:r>
    </w:p>
    <w:p w14:paraId="493AC159">
      <w:pPr>
        <w:pStyle w:val="9"/>
        <w:outlineLvl w:val="2"/>
        <w:rPr>
          <w:rFonts w:hint="default"/>
          <w:b/>
          <w:color w:val="auto"/>
          <w:sz w:val="28"/>
          <w:highlight w:val="none"/>
        </w:rPr>
      </w:pPr>
      <w:r>
        <w:rPr>
          <w:b/>
          <w:color w:val="auto"/>
          <w:sz w:val="28"/>
          <w:highlight w:val="none"/>
          <w:lang w:eastAsia="zh-CN"/>
        </w:rPr>
        <w:t>九.</w:t>
      </w:r>
      <w:r>
        <w:rPr>
          <w:b/>
          <w:color w:val="auto"/>
          <w:sz w:val="28"/>
          <w:highlight w:val="none"/>
        </w:rPr>
        <w:t>项目实施、验收及服务要求</w:t>
      </w:r>
    </w:p>
    <w:p w14:paraId="007634DD">
      <w:pPr>
        <w:pStyle w:val="2"/>
        <w:numPr>
          <w:ilvl w:val="255"/>
          <w:numId w:val="0"/>
        </w:num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（一）项目工期要求</w:t>
      </w:r>
    </w:p>
    <w:p w14:paraId="75237139">
      <w:pPr>
        <w:pStyle w:val="9"/>
        <w:ind w:firstLine="400" w:firstLineChars="200"/>
        <w:rPr>
          <w:rFonts w:hint="default" w:ascii="仿宋_GB2312"/>
          <w:bCs/>
          <w:color w:val="auto"/>
          <w:szCs w:val="28"/>
          <w:highlight w:val="none"/>
        </w:rPr>
      </w:pPr>
      <w:r>
        <w:rPr>
          <w:rFonts w:ascii="仿宋_GB2312"/>
          <w:color w:val="auto"/>
          <w:szCs w:val="28"/>
          <w:highlight w:val="none"/>
        </w:rPr>
        <w:t xml:space="preserve">项目工期要求： </w:t>
      </w:r>
      <w:r>
        <w:rPr>
          <w:color w:val="auto"/>
          <w:highlight w:val="none"/>
        </w:rPr>
        <w:t>项目实施周期为27个月（含15个月免费维护服务期），</w:t>
      </w:r>
      <w:r>
        <w:rPr>
          <w:bCs/>
          <w:color w:val="auto"/>
          <w:highlight w:val="none"/>
        </w:rPr>
        <w:t>合同签订生效之日起6个月内完成系统开发、专题库建设、部署实施等工作，进入试运行期，系统连续稳定试运行6个月进行合同验收，具体验收工作按天河区信息化项目管理相关规定执行，12个月内完成验收。租赁21个月（第7个月至27个月）。在通过项目合同验收之次日起提供15个月免费质保期。</w:t>
      </w:r>
    </w:p>
    <w:p w14:paraId="3E935D46">
      <w:pPr>
        <w:ind w:firstLine="480"/>
        <w:rPr>
          <w:rFonts w:ascii="仿宋_GB2312"/>
          <w:color w:val="auto"/>
          <w:szCs w:val="28"/>
          <w:highlight w:val="none"/>
        </w:rPr>
      </w:pPr>
      <w:r>
        <w:rPr>
          <w:rFonts w:ascii="仿宋_GB2312"/>
          <w:color w:val="auto"/>
          <w:szCs w:val="28"/>
          <w:highlight w:val="none"/>
        </w:rPr>
        <w:t>1.</w:t>
      </w:r>
      <w:r>
        <w:rPr>
          <w:rFonts w:hint="eastAsia" w:ascii="仿宋_GB2312"/>
          <w:color w:val="auto"/>
          <w:szCs w:val="28"/>
          <w:highlight w:val="none"/>
        </w:rPr>
        <w:t>中标人需说明对应用系统开发及系统对接、专题库建设、信息化基础设施建设、安全设计及安全评估等进度的具体安排。</w:t>
      </w:r>
    </w:p>
    <w:p w14:paraId="43D77006">
      <w:pPr>
        <w:ind w:firstLine="480"/>
        <w:rPr>
          <w:rFonts w:ascii="仿宋_GB2312"/>
          <w:color w:val="auto"/>
          <w:szCs w:val="28"/>
          <w:highlight w:val="none"/>
        </w:rPr>
      </w:pPr>
      <w:r>
        <w:rPr>
          <w:rFonts w:ascii="仿宋_GB2312"/>
          <w:color w:val="auto"/>
          <w:szCs w:val="28"/>
          <w:highlight w:val="none"/>
        </w:rPr>
        <w:t>2.</w:t>
      </w:r>
      <w:r>
        <w:rPr>
          <w:rFonts w:hint="eastAsia" w:ascii="仿宋_GB2312"/>
          <w:color w:val="auto"/>
          <w:szCs w:val="28"/>
          <w:highlight w:val="none"/>
        </w:rPr>
        <w:t>系统的设计、开发、测试、部署，专题库建设应有相应的规范文件，应进行现场的详细记录，由开发商技术人员签字后交给用户。</w:t>
      </w:r>
    </w:p>
    <w:p w14:paraId="2C05403A">
      <w:pPr>
        <w:ind w:firstLine="480"/>
        <w:rPr>
          <w:rFonts w:ascii="仿宋_GB2312"/>
          <w:color w:val="auto"/>
          <w:szCs w:val="28"/>
          <w:highlight w:val="none"/>
        </w:rPr>
      </w:pPr>
      <w:r>
        <w:rPr>
          <w:rFonts w:ascii="仿宋_GB2312"/>
          <w:color w:val="auto"/>
          <w:szCs w:val="28"/>
          <w:highlight w:val="none"/>
        </w:rPr>
        <w:t>3.</w:t>
      </w:r>
      <w:r>
        <w:rPr>
          <w:rFonts w:hint="eastAsia" w:ascii="仿宋_GB2312"/>
          <w:color w:val="auto"/>
          <w:szCs w:val="28"/>
          <w:highlight w:val="none"/>
        </w:rPr>
        <w:t>在项目初验通过后，采购人将本项目系统进行试运行，在试运行期间，中标人应对系统运行发生的故障进行详细分析，包括出现故障的次数、故障原因和采取的措施等。</w:t>
      </w:r>
    </w:p>
    <w:p w14:paraId="47C1D062">
      <w:pPr>
        <w:ind w:firstLine="480"/>
        <w:rPr>
          <w:rFonts w:ascii="仿宋_GB2312"/>
          <w:color w:val="auto"/>
          <w:szCs w:val="28"/>
          <w:highlight w:val="none"/>
        </w:rPr>
      </w:pPr>
      <w:r>
        <w:rPr>
          <w:rFonts w:ascii="仿宋_GB2312"/>
          <w:color w:val="auto"/>
          <w:szCs w:val="28"/>
          <w:highlight w:val="none"/>
        </w:rPr>
        <w:t>4.</w:t>
      </w:r>
      <w:r>
        <w:rPr>
          <w:rFonts w:hint="eastAsia" w:ascii="仿宋_GB2312"/>
          <w:color w:val="auto"/>
          <w:szCs w:val="28"/>
          <w:highlight w:val="none"/>
        </w:rPr>
        <w:t>最终验收时，中标人应提供相关的技术资料和项目成果，包括：需求说明书、系统设计说明书</w:t>
      </w:r>
      <w:r>
        <w:rPr>
          <w:rFonts w:ascii="仿宋_GB2312"/>
          <w:color w:val="auto"/>
          <w:szCs w:val="28"/>
          <w:highlight w:val="none"/>
        </w:rPr>
        <w:t>（含</w:t>
      </w:r>
      <w:r>
        <w:rPr>
          <w:rFonts w:hint="eastAsia" w:ascii="仿宋_GB2312"/>
          <w:color w:val="auto"/>
          <w:szCs w:val="28"/>
          <w:highlight w:val="none"/>
        </w:rPr>
        <w:t>概要设计、</w:t>
      </w:r>
      <w:r>
        <w:rPr>
          <w:rFonts w:ascii="仿宋_GB2312"/>
          <w:color w:val="auto"/>
          <w:szCs w:val="28"/>
          <w:highlight w:val="none"/>
        </w:rPr>
        <w:t>详细设计、</w:t>
      </w:r>
      <w:r>
        <w:rPr>
          <w:rFonts w:hint="eastAsia" w:ascii="仿宋_GB2312"/>
          <w:color w:val="auto"/>
          <w:szCs w:val="28"/>
          <w:highlight w:val="none"/>
        </w:rPr>
        <w:t>数据库设计</w:t>
      </w:r>
      <w:r>
        <w:rPr>
          <w:rFonts w:ascii="仿宋_GB2312"/>
          <w:color w:val="auto"/>
          <w:szCs w:val="28"/>
          <w:highlight w:val="none"/>
        </w:rPr>
        <w:t>等）</w:t>
      </w:r>
      <w:r>
        <w:rPr>
          <w:rFonts w:hint="eastAsia" w:ascii="仿宋_GB2312"/>
          <w:color w:val="auto"/>
          <w:szCs w:val="28"/>
          <w:highlight w:val="none"/>
        </w:rPr>
        <w:t>、天河区集体资产一张图数据标准、集体资产监管指标体系、系统安装部署说明、系统维护手册、用户手册、测试报告、试运行计划、试运行报告、项目总结报告以及采购人认为必要的其他文档等。此外，中标人还需提供定制软件开发的源代码、专题库（数据库）等项目成果。</w:t>
      </w:r>
    </w:p>
    <w:p w14:paraId="2A400FAE">
      <w:pPr>
        <w:pStyle w:val="2"/>
        <w:numPr>
          <w:ilvl w:val="255"/>
          <w:numId w:val="0"/>
        </w:num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（二）安全及保密要求</w:t>
      </w:r>
    </w:p>
    <w:p w14:paraId="027764A2">
      <w:pPr>
        <w:ind w:firstLine="480"/>
        <w:rPr>
          <w:rFonts w:ascii="仿宋_GB2312"/>
          <w:color w:val="auto"/>
          <w:szCs w:val="28"/>
          <w:highlight w:val="none"/>
        </w:rPr>
      </w:pPr>
      <w:r>
        <w:rPr>
          <w:rFonts w:hint="eastAsia" w:ascii="仿宋_GB2312"/>
          <w:color w:val="auto"/>
          <w:szCs w:val="28"/>
          <w:highlight w:val="none"/>
        </w:rPr>
        <w:t>1</w:t>
      </w:r>
      <w:r>
        <w:rPr>
          <w:rFonts w:ascii="仿宋_GB2312"/>
          <w:color w:val="auto"/>
          <w:szCs w:val="28"/>
          <w:highlight w:val="none"/>
        </w:rPr>
        <w:t>.</w:t>
      </w:r>
      <w:r>
        <w:rPr>
          <w:rFonts w:hint="eastAsia" w:ascii="仿宋_GB2312"/>
          <w:color w:val="auto"/>
          <w:szCs w:val="28"/>
          <w:highlight w:val="none"/>
        </w:rPr>
        <w:t>本项目涉及集体经济组织关键敏感数据存储，需要进行严格的数据安全管理，例如进行加密传输和加密存储。在项目实施过程中必须确保系统安全和质量，依据《信息安全技术网络安全等级保护基本要求》（GB</w:t>
      </w:r>
      <w:r>
        <w:rPr>
          <w:rFonts w:ascii="仿宋_GB2312"/>
          <w:color w:val="auto"/>
          <w:szCs w:val="28"/>
          <w:highlight w:val="none"/>
        </w:rPr>
        <w:t>/</w:t>
      </w:r>
      <w:r>
        <w:rPr>
          <w:rFonts w:hint="eastAsia" w:ascii="仿宋_GB2312"/>
          <w:color w:val="auto"/>
          <w:szCs w:val="28"/>
          <w:highlight w:val="none"/>
        </w:rPr>
        <w:t>T 22239-2019），必须严格按照信息安全等级保护第三级的要求进行建设，同时，依据《信息安全技术信息系统密码应用基本要求》（GB/T 39786-2021）中的第三级应用系统商用密码应用要求开展系统密码应用建设，并提供相应方案，包括系统应用安全、数据安全设计、数据安全管理、商用密码应用安全方案等，以确保本项目安全。</w:t>
      </w:r>
    </w:p>
    <w:p w14:paraId="4FC65530">
      <w:pPr>
        <w:ind w:firstLine="480"/>
        <w:rPr>
          <w:rFonts w:ascii="仿宋_GB2312"/>
          <w:color w:val="auto"/>
          <w:szCs w:val="28"/>
          <w:highlight w:val="none"/>
        </w:rPr>
      </w:pPr>
      <w:r>
        <w:rPr>
          <w:rFonts w:hint="eastAsia" w:ascii="仿宋_GB2312"/>
          <w:color w:val="auto"/>
          <w:szCs w:val="28"/>
          <w:highlight w:val="none"/>
        </w:rPr>
        <w:t>2.中标人项目组成员保证遵守有关的政策、法律、法规和制度；</w:t>
      </w:r>
    </w:p>
    <w:p w14:paraId="728C176C">
      <w:pPr>
        <w:ind w:firstLine="480"/>
        <w:rPr>
          <w:rFonts w:ascii="仿宋_GB2312"/>
          <w:color w:val="auto"/>
          <w:szCs w:val="28"/>
          <w:highlight w:val="none"/>
        </w:rPr>
      </w:pPr>
      <w:r>
        <w:rPr>
          <w:rFonts w:hint="eastAsia" w:ascii="仿宋_GB2312"/>
          <w:color w:val="auto"/>
          <w:szCs w:val="28"/>
          <w:highlight w:val="none"/>
        </w:rPr>
        <w:t>3.中标人项目组成员保证按照工作规范实施项目，凡接收到的重大服务请求在未经采购人同意的情况下不做任何处理；</w:t>
      </w:r>
    </w:p>
    <w:p w14:paraId="346223CD">
      <w:pPr>
        <w:ind w:firstLine="480"/>
        <w:rPr>
          <w:rFonts w:ascii="仿宋_GB2312"/>
          <w:color w:val="auto"/>
          <w:szCs w:val="28"/>
          <w:highlight w:val="none"/>
        </w:rPr>
      </w:pPr>
      <w:r>
        <w:rPr>
          <w:rFonts w:hint="eastAsia" w:ascii="仿宋_GB2312"/>
          <w:color w:val="auto"/>
          <w:szCs w:val="28"/>
          <w:highlight w:val="none"/>
        </w:rPr>
        <w:t>4.中标人项目组成员保证不得向外（指采购人规定范围以外）泄漏任何业务和技术相关数据；</w:t>
      </w:r>
    </w:p>
    <w:p w14:paraId="5F41BEE8">
      <w:pPr>
        <w:ind w:firstLine="480"/>
        <w:rPr>
          <w:rFonts w:ascii="仿宋_GB2312"/>
          <w:color w:val="auto"/>
          <w:szCs w:val="28"/>
          <w:highlight w:val="none"/>
        </w:rPr>
      </w:pPr>
      <w:r>
        <w:rPr>
          <w:rFonts w:hint="eastAsia" w:ascii="仿宋_GB2312"/>
          <w:color w:val="auto"/>
          <w:szCs w:val="28"/>
          <w:highlight w:val="none"/>
        </w:rPr>
        <w:t>5.中标人项目组成员保证不得向外（指采购人规定范围以外）泄漏任何保密的技术资料；</w:t>
      </w:r>
    </w:p>
    <w:p w14:paraId="622B7C2D">
      <w:pPr>
        <w:ind w:firstLine="480"/>
        <w:rPr>
          <w:rFonts w:ascii="仿宋_GB2312"/>
          <w:color w:val="auto"/>
          <w:szCs w:val="28"/>
          <w:highlight w:val="none"/>
        </w:rPr>
      </w:pPr>
      <w:r>
        <w:rPr>
          <w:rFonts w:hint="eastAsia" w:ascii="仿宋_GB2312"/>
          <w:color w:val="auto"/>
          <w:szCs w:val="28"/>
          <w:highlight w:val="none"/>
        </w:rPr>
        <w:t>6.在项目实施过程中，中标人所获得的业务资料，不得向外（指采购人规定范围以外）泄漏。</w:t>
      </w:r>
    </w:p>
    <w:p w14:paraId="23A9B300">
      <w:pPr>
        <w:pStyle w:val="2"/>
        <w:numPr>
          <w:ilvl w:val="255"/>
          <w:numId w:val="0"/>
        </w:num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（三）项目团队及人员要求</w:t>
      </w:r>
    </w:p>
    <w:p w14:paraId="692B3A0F">
      <w:pPr>
        <w:ind w:firstLine="480"/>
        <w:rPr>
          <w:color w:val="auto"/>
          <w:highlight w:val="none"/>
        </w:rPr>
      </w:pPr>
      <w:r>
        <w:rPr>
          <w:rFonts w:hint="eastAsia"/>
          <w:color w:val="auto"/>
          <w:highlight w:val="none"/>
        </w:rPr>
        <w:t>项目组织及人员要求。为使工程按质、按量、按时及有序实施，中标人对本项目必须建立一个完善和稳定的管理组织机构。项目实施团队构成至少包括下列组别：</w:t>
      </w:r>
    </w:p>
    <w:p w14:paraId="0CF936B3">
      <w:pPr>
        <w:rPr>
          <w:color w:val="auto"/>
          <w:highlight w:val="none"/>
        </w:rPr>
      </w:pPr>
      <w:r>
        <w:rPr>
          <w:color w:val="auto"/>
          <w:highlight w:val="none"/>
        </w:rPr>
        <w:drawing>
          <wp:inline distT="0" distB="0" distL="0" distR="0">
            <wp:extent cx="5274310" cy="3088640"/>
            <wp:effectExtent l="0" t="0" r="2540" b="16510"/>
            <wp:docPr id="989227761" name="图片 989227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227761" name="图片 989227761"/>
                    <pic:cNvPicPr>
                      <a:picLocks noChangeAspect="1"/>
                    </pic:cNvPicPr>
                  </pic:nvPicPr>
                  <pic:blipFill>
                    <a:blip r:embed="rId4"/>
                    <a:stretch>
                      <a:fillRect/>
                    </a:stretch>
                  </pic:blipFill>
                  <pic:spPr>
                    <a:xfrm>
                      <a:off x="0" y="0"/>
                      <a:ext cx="5274310" cy="3088640"/>
                    </a:xfrm>
                    <a:prstGeom prst="rect">
                      <a:avLst/>
                    </a:prstGeom>
                  </pic:spPr>
                </pic:pic>
              </a:graphicData>
            </a:graphic>
          </wp:inline>
        </w:drawing>
      </w:r>
    </w:p>
    <w:p w14:paraId="65E4B4E4">
      <w:pPr>
        <w:ind w:firstLine="480"/>
        <w:rPr>
          <w:color w:val="auto"/>
          <w:highlight w:val="none"/>
        </w:rPr>
      </w:pPr>
      <w:r>
        <w:rPr>
          <w:color w:val="auto"/>
          <w:highlight w:val="none"/>
        </w:rPr>
        <w:t xml:space="preserve">1. </w:t>
      </w:r>
      <w:r>
        <w:rPr>
          <w:rFonts w:hint="eastAsia"/>
          <w:color w:val="auto"/>
          <w:highlight w:val="none"/>
        </w:rPr>
        <w:t>根据本项目建设内容，项目</w:t>
      </w:r>
      <w:r>
        <w:rPr>
          <w:rFonts w:hint="eastAsia"/>
          <w:color w:val="auto"/>
          <w:highlight w:val="none"/>
          <w:lang w:eastAsia="zh-CN"/>
        </w:rPr>
        <w:t>总</w:t>
      </w:r>
      <w:r>
        <w:rPr>
          <w:rFonts w:hint="eastAsia"/>
          <w:color w:val="auto"/>
          <w:highlight w:val="none"/>
        </w:rPr>
        <w:t>负责人（须为中标人自有员工，以社保证明为准）应熟悉空间专题库建设类、时空“一张图”、“三资”平台类等相关业务，对本行业有较高的业务理解和认知水平，宜具备计算机或测绘相关专业相关的专业知识，具有计算机或测绘相关专业硕士研究生学历或以上学历，测绘相关专业高级或以上职称，</w:t>
      </w:r>
      <w:r>
        <w:rPr>
          <w:rFonts w:ascii="宋体" w:hAnsi="宋体" w:eastAsia="宋体"/>
          <w:color w:val="auto"/>
          <w:kern w:val="2"/>
          <w:sz w:val="21"/>
          <w:szCs w:val="21"/>
          <w:highlight w:val="none"/>
          <w:lang w:eastAsia="zh-CN"/>
        </w:rPr>
        <w:t>具有计算机技术与软件专业技术资格（水平）信息系统项目管理师证书</w:t>
      </w:r>
      <w:r>
        <w:rPr>
          <w:rFonts w:hint="eastAsia"/>
          <w:color w:val="auto"/>
          <w:highlight w:val="none"/>
        </w:rPr>
        <w:t>，能较好地统筹把控项目实施和项目管理。</w:t>
      </w:r>
    </w:p>
    <w:p w14:paraId="2D10BF20">
      <w:pPr>
        <w:ind w:firstLine="480"/>
        <w:rPr>
          <w:color w:val="auto"/>
          <w:highlight w:val="none"/>
        </w:rPr>
      </w:pPr>
      <w:r>
        <w:rPr>
          <w:color w:val="auto"/>
          <w:highlight w:val="none"/>
        </w:rPr>
        <w:t xml:space="preserve">2. </w:t>
      </w:r>
      <w:r>
        <w:rPr>
          <w:rFonts w:hint="eastAsia"/>
          <w:color w:val="auto"/>
          <w:highlight w:val="none"/>
        </w:rPr>
        <w:t>根据本项目建设内容，平台开发</w:t>
      </w:r>
      <w:r>
        <w:rPr>
          <w:rFonts w:hint="eastAsia"/>
          <w:color w:val="auto"/>
          <w:highlight w:val="none"/>
          <w:lang w:eastAsia="zh-CN"/>
        </w:rPr>
        <w:t>技术</w:t>
      </w:r>
      <w:r>
        <w:rPr>
          <w:rFonts w:hint="eastAsia"/>
          <w:color w:val="auto"/>
          <w:highlight w:val="none"/>
        </w:rPr>
        <w:t>负责人（须为中标人自有员工，以社保证明为准）应熟悉“三资”平台类等相关业务，对本行业有较高的业务理解和认知水平，宜具有计算机或测绘相关专业本科或以上学历，具有计算机技术与软件专业技术资格（水平）系统分析师证书、系统架构设计师证书，能较好地统筹把控项目技术设计和技术管理。</w:t>
      </w:r>
    </w:p>
    <w:p w14:paraId="1B8FAA52">
      <w:pPr>
        <w:ind w:firstLine="480"/>
        <w:rPr>
          <w:color w:val="auto"/>
          <w:highlight w:val="none"/>
        </w:rPr>
      </w:pPr>
      <w:r>
        <w:rPr>
          <w:color w:val="auto"/>
          <w:highlight w:val="none"/>
        </w:rPr>
        <w:t xml:space="preserve">3. </w:t>
      </w:r>
      <w:r>
        <w:rPr>
          <w:rFonts w:hint="eastAsia"/>
          <w:color w:val="auto"/>
          <w:highlight w:val="none"/>
        </w:rPr>
        <w:t>根据本项目建设内容，专题库建设</w:t>
      </w:r>
      <w:r>
        <w:rPr>
          <w:rFonts w:hint="eastAsia"/>
          <w:color w:val="auto"/>
          <w:highlight w:val="none"/>
          <w:lang w:eastAsia="zh-CN"/>
        </w:rPr>
        <w:t>技术</w:t>
      </w:r>
      <w:r>
        <w:rPr>
          <w:rFonts w:hint="eastAsia"/>
          <w:color w:val="auto"/>
          <w:highlight w:val="none"/>
        </w:rPr>
        <w:t>负责人（须为中标人自有员工，以社保证明为准）应熟悉空间专题库建设类、时空“一张图”等相关业务，对本行业有较高的业务理解和认知水平，宜具有计算机或测绘相关专业本科或以上学历，具有测绘相关专业副高级或以上职称，能较好地统筹把控项目技术设计和技术管理。</w:t>
      </w:r>
    </w:p>
    <w:p w14:paraId="1F4A109C">
      <w:pPr>
        <w:ind w:firstLine="480"/>
        <w:rPr>
          <w:color w:val="auto"/>
          <w:highlight w:val="none"/>
        </w:rPr>
      </w:pPr>
      <w:r>
        <w:rPr>
          <w:color w:val="auto"/>
          <w:highlight w:val="none"/>
        </w:rPr>
        <w:t xml:space="preserve">4. </w:t>
      </w:r>
      <w:r>
        <w:rPr>
          <w:rFonts w:hint="eastAsia"/>
          <w:color w:val="auto"/>
          <w:highlight w:val="none"/>
        </w:rPr>
        <w:t>根据本项目建设内容，质量管理负责人（须为中标人自有员工，以社保证明为准）应熟悉专题库建设类、时空“一张图”、“三资”平台类等相关业务，对本行业有较高的业务理解和认知水平，宜具有计算机或测绘相关专业本科或以上学历，具有测绘相关专业副高级或以上职称，能较好地统筹把控项目质量管理。</w:t>
      </w:r>
    </w:p>
    <w:p w14:paraId="56EB0023">
      <w:pPr>
        <w:ind w:firstLine="480"/>
        <w:rPr>
          <w:color w:val="auto"/>
          <w:highlight w:val="none"/>
        </w:rPr>
      </w:pPr>
      <w:r>
        <w:rPr>
          <w:color w:val="auto"/>
          <w:highlight w:val="none"/>
        </w:rPr>
        <w:t xml:space="preserve">5. </w:t>
      </w:r>
      <w:r>
        <w:rPr>
          <w:rFonts w:hint="eastAsia"/>
          <w:color w:val="auto"/>
          <w:highlight w:val="none"/>
        </w:rPr>
        <w:t>中标人宜在项目中安排不少于25名项目人员（须为中标人自有员工，以社保证明为准）参与项目实施，宜具备计算机或测绘等相关专业本科及以上学历，同时中标人应具备相关项目经验（</w:t>
      </w:r>
      <w:r>
        <w:rPr>
          <w:rFonts w:ascii="宋体" w:hAnsi="宋体"/>
          <w:color w:val="auto"/>
          <w:szCs w:val="21"/>
          <w:highlight w:val="none"/>
        </w:rPr>
        <w:t>包括但不限于资产</w:t>
      </w:r>
      <w:r>
        <w:rPr>
          <w:rFonts w:hint="eastAsia" w:ascii="宋体" w:hAnsi="宋体"/>
          <w:color w:val="auto"/>
          <w:szCs w:val="21"/>
          <w:highlight w:val="none"/>
          <w:lang w:eastAsia="zh-CN"/>
        </w:rPr>
        <w:t>管理</w:t>
      </w:r>
      <w:r>
        <w:rPr>
          <w:rFonts w:ascii="宋体" w:hAnsi="宋体"/>
          <w:color w:val="auto"/>
          <w:szCs w:val="21"/>
          <w:highlight w:val="none"/>
        </w:rPr>
        <w:t>类</w:t>
      </w:r>
      <w:r>
        <w:rPr>
          <w:rFonts w:hint="eastAsia" w:ascii="宋体" w:hAnsi="宋体"/>
          <w:color w:val="auto"/>
          <w:szCs w:val="21"/>
          <w:highlight w:val="none"/>
        </w:rPr>
        <w:t>或</w:t>
      </w:r>
      <w:r>
        <w:rPr>
          <w:rFonts w:ascii="宋体" w:hAnsi="宋体"/>
          <w:color w:val="auto"/>
          <w:szCs w:val="21"/>
          <w:highlight w:val="none"/>
        </w:rPr>
        <w:t>交易系统建设类</w:t>
      </w:r>
      <w:r>
        <w:rPr>
          <w:rFonts w:hint="eastAsia" w:ascii="宋体" w:hAnsi="宋体"/>
          <w:color w:val="auto"/>
          <w:szCs w:val="21"/>
          <w:highlight w:val="none"/>
        </w:rPr>
        <w:t>或</w:t>
      </w:r>
      <w:r>
        <w:rPr>
          <w:rFonts w:ascii="宋体" w:hAnsi="宋体"/>
          <w:color w:val="auto"/>
          <w:szCs w:val="21"/>
          <w:highlight w:val="none"/>
        </w:rPr>
        <w:t>专题库建设类</w:t>
      </w:r>
      <w:r>
        <w:rPr>
          <w:rFonts w:hint="eastAsia" w:ascii="宋体" w:hAnsi="宋体"/>
          <w:color w:val="auto"/>
          <w:szCs w:val="21"/>
          <w:highlight w:val="none"/>
        </w:rPr>
        <w:t>或</w:t>
      </w:r>
      <w:r>
        <w:rPr>
          <w:rFonts w:ascii="宋体" w:hAnsi="宋体"/>
          <w:color w:val="auto"/>
          <w:szCs w:val="21"/>
          <w:highlight w:val="none"/>
        </w:rPr>
        <w:t>大数据资源中心建设类</w:t>
      </w:r>
      <w:r>
        <w:rPr>
          <w:rFonts w:hint="eastAsia" w:ascii="宋体" w:hAnsi="宋体"/>
          <w:color w:val="auto"/>
          <w:szCs w:val="21"/>
          <w:highlight w:val="none"/>
        </w:rPr>
        <w:t>或</w:t>
      </w:r>
      <w:r>
        <w:rPr>
          <w:rFonts w:ascii="宋体" w:hAnsi="宋体"/>
          <w:color w:val="auto"/>
          <w:szCs w:val="21"/>
          <w:highlight w:val="none"/>
        </w:rPr>
        <w:t>一张图系统建设类</w:t>
      </w:r>
      <w:r>
        <w:rPr>
          <w:rFonts w:hint="eastAsia" w:ascii="宋体" w:hAnsi="宋体"/>
          <w:color w:val="auto"/>
          <w:szCs w:val="21"/>
          <w:highlight w:val="none"/>
        </w:rPr>
        <w:t>或</w:t>
      </w:r>
      <w:r>
        <w:rPr>
          <w:rFonts w:ascii="宋体" w:hAnsi="宋体"/>
          <w:color w:val="auto"/>
          <w:szCs w:val="21"/>
          <w:highlight w:val="none"/>
        </w:rPr>
        <w:t>时空大数据平台开发类等相关项目</w:t>
      </w:r>
      <w:r>
        <w:rPr>
          <w:rFonts w:hint="eastAsia"/>
          <w:color w:val="auto"/>
          <w:highlight w:val="none"/>
        </w:rPr>
        <w:t>）。投标人在投标阶段可选择以下任一方式提供证明材料：（1）提供项目人员名单、学历证明、履历证明及人员社保证明（如投标截止日之前六个月以内任意月份参加社会保险的《投保单》或《社会保险参保人员证明》等）。（2）提供承诺函（格式自拟），如获中标，须在合同签订后5个工作日内，以书面函件（加盖公章）的形式提供项目人员名单、学历证明、履历证明及人员社保证明（如合同签订之日前六个月以内任意月份参加社会保险的《投保单》或《社会保险参保人员证明》等）。</w:t>
      </w:r>
    </w:p>
    <w:p w14:paraId="14F4095F">
      <w:pPr>
        <w:ind w:firstLine="480"/>
        <w:rPr>
          <w:color w:val="auto"/>
          <w:highlight w:val="none"/>
        </w:rPr>
      </w:pPr>
      <w:r>
        <w:rPr>
          <w:rFonts w:hint="eastAsia"/>
          <w:color w:val="auto"/>
          <w:highlight w:val="none"/>
        </w:rPr>
        <w:t>此外，中标人必须安排项目</w:t>
      </w:r>
      <w:r>
        <w:rPr>
          <w:rFonts w:hint="eastAsia"/>
          <w:color w:val="auto"/>
          <w:highlight w:val="none"/>
          <w:lang w:eastAsia="zh-CN"/>
        </w:rPr>
        <w:t>总</w:t>
      </w:r>
      <w:r>
        <w:rPr>
          <w:rFonts w:hint="eastAsia"/>
          <w:color w:val="auto"/>
          <w:highlight w:val="none"/>
        </w:rPr>
        <w:t>负责人、平台开发</w:t>
      </w:r>
      <w:r>
        <w:rPr>
          <w:rFonts w:hint="eastAsia"/>
          <w:color w:val="auto"/>
          <w:highlight w:val="none"/>
          <w:lang w:eastAsia="zh-CN"/>
        </w:rPr>
        <w:t>技术</w:t>
      </w:r>
      <w:r>
        <w:rPr>
          <w:rFonts w:hint="eastAsia"/>
          <w:color w:val="auto"/>
          <w:highlight w:val="none"/>
        </w:rPr>
        <w:t>负责人、数据专题库建设</w:t>
      </w:r>
      <w:r>
        <w:rPr>
          <w:rFonts w:hint="eastAsia"/>
          <w:color w:val="auto"/>
          <w:highlight w:val="none"/>
          <w:lang w:eastAsia="zh-CN"/>
        </w:rPr>
        <w:t>技术</w:t>
      </w:r>
      <w:r>
        <w:rPr>
          <w:rFonts w:hint="eastAsia"/>
          <w:color w:val="auto"/>
          <w:highlight w:val="none"/>
        </w:rPr>
        <w:t>负责人、质量管理负责人，以上四人不能重复；项目团队成员宜包含计算机或测绘相关专业</w:t>
      </w:r>
      <w:r>
        <w:rPr>
          <w:rFonts w:hint="eastAsia"/>
          <w:color w:val="auto"/>
          <w:highlight w:val="none"/>
          <w:lang w:eastAsia="zh-CN"/>
        </w:rPr>
        <w:t>高</w:t>
      </w:r>
      <w:r>
        <w:rPr>
          <w:rFonts w:hint="eastAsia"/>
          <w:color w:val="auto"/>
          <w:highlight w:val="none"/>
        </w:rPr>
        <w:t>级或以上工程师、计算机技术与软件专业技术资格（水平）系统分析师、计算机技术与软件专业技术资格（水平）系统架构设计师、计算机技术与软件专业技术资格（水平）信息系统项目管理师等人员，以保障本项目实施进度和成果质量。</w:t>
      </w:r>
    </w:p>
    <w:p w14:paraId="6F668601">
      <w:pPr>
        <w:ind w:firstLine="480"/>
        <w:rPr>
          <w:color w:val="auto"/>
          <w:highlight w:val="none"/>
        </w:rPr>
      </w:pPr>
      <w:r>
        <w:rPr>
          <w:color w:val="auto"/>
          <w:highlight w:val="none"/>
        </w:rPr>
        <w:t>6</w:t>
      </w:r>
      <w:r>
        <w:rPr>
          <w:rFonts w:hint="eastAsia"/>
          <w:color w:val="auto"/>
          <w:highlight w:val="none"/>
        </w:rPr>
        <w:t>. 项目实施主要人员应保持稳定投入在本项目中，如中途更换应征得采购方同意。</w:t>
      </w:r>
    </w:p>
    <w:p w14:paraId="04142ABC">
      <w:pPr>
        <w:ind w:firstLine="480"/>
        <w:rPr>
          <w:color w:val="auto"/>
          <w:highlight w:val="none"/>
        </w:rPr>
      </w:pPr>
      <w:r>
        <w:rPr>
          <w:color w:val="auto"/>
          <w:highlight w:val="none"/>
        </w:rPr>
        <w:t>7</w:t>
      </w:r>
      <w:r>
        <w:rPr>
          <w:rFonts w:hint="eastAsia"/>
          <w:color w:val="auto"/>
          <w:highlight w:val="none"/>
        </w:rPr>
        <w:t>. 中标人在项目实施过程中出现资源、进度、质量协调控制不力的情况，采购人有权要求更换相关项目人员，中标人必须予以配合，并确保不影响项目实施的进度和质量。</w:t>
      </w:r>
    </w:p>
    <w:p w14:paraId="259BE3EB">
      <w:pPr>
        <w:pStyle w:val="2"/>
        <w:numPr>
          <w:ilvl w:val="255"/>
          <w:numId w:val="0"/>
        </w:num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（四）项目组织管理要求</w:t>
      </w:r>
    </w:p>
    <w:p w14:paraId="3E1187DD">
      <w:pPr>
        <w:ind w:firstLine="480"/>
        <w:rPr>
          <w:rFonts w:ascii="仿宋_GB2312"/>
          <w:color w:val="auto"/>
          <w:szCs w:val="28"/>
          <w:highlight w:val="none"/>
        </w:rPr>
      </w:pPr>
      <w:r>
        <w:rPr>
          <w:rFonts w:hint="eastAsia" w:ascii="仿宋_GB2312"/>
          <w:color w:val="auto"/>
          <w:szCs w:val="28"/>
          <w:highlight w:val="none"/>
        </w:rPr>
        <w:t>本项目实施需满足质量、服务、安全、时限等要求，按照相关安全管理要求，按时按质开展工作。</w:t>
      </w:r>
    </w:p>
    <w:p w14:paraId="4D9C83EE">
      <w:pPr>
        <w:ind w:firstLine="480"/>
        <w:rPr>
          <w:color w:val="auto"/>
          <w:highlight w:val="none"/>
        </w:rPr>
      </w:pPr>
      <w:r>
        <w:rPr>
          <w:rFonts w:hint="eastAsia"/>
          <w:color w:val="auto"/>
          <w:highlight w:val="none"/>
        </w:rPr>
        <w:t>中标人在项目建设前应制定项目整体</w:t>
      </w:r>
      <w:r>
        <w:rPr>
          <w:color w:val="auto"/>
          <w:highlight w:val="none"/>
        </w:rPr>
        <w:t>实施</w:t>
      </w:r>
      <w:r>
        <w:rPr>
          <w:rFonts w:hint="eastAsia"/>
          <w:color w:val="auto"/>
          <w:highlight w:val="none"/>
        </w:rPr>
        <w:t>方案，包括应用系统开发、专题库建设及</w:t>
      </w:r>
      <w:r>
        <w:rPr>
          <w:rFonts w:hint="eastAsia" w:ascii="仿宋_GB2312" w:hAnsi="宋体"/>
          <w:color w:val="auto"/>
          <w:highlight w:val="none"/>
        </w:rPr>
        <w:t>信息化基础设施建设等详细</w:t>
      </w:r>
      <w:r>
        <w:rPr>
          <w:rFonts w:hint="eastAsia"/>
          <w:color w:val="auto"/>
          <w:highlight w:val="none"/>
        </w:rPr>
        <w:t>实施方案，需要明确项目实施的全过程和关键环节，并对各个实施过程进行详细规划，对项目实施过程中的关键技术难点进行分析并提供对应的解决措施，在项目实施过程中遵循设计方案进行开发，确保系统建设符合工期要求顺利完成。</w:t>
      </w:r>
    </w:p>
    <w:p w14:paraId="12EF1B3E">
      <w:pPr>
        <w:rPr>
          <w:rFonts w:ascii="仿宋_GB2312"/>
          <w:color w:val="auto"/>
          <w:szCs w:val="28"/>
          <w:highlight w:val="none"/>
        </w:rPr>
      </w:pPr>
      <w:r>
        <w:rPr>
          <w:rFonts w:hint="eastAsia" w:ascii="仿宋_GB2312"/>
          <w:color w:val="auto"/>
          <w:szCs w:val="28"/>
          <w:highlight w:val="none"/>
        </w:rPr>
        <w:t xml:space="preserve">    中标单位必须严格按照工期和质量要求开展项目实施工作，包括项目管理、需求调研、系统架构设计、平台开发、专题数据建库、技术攻关、技术文档编写、运维等工作。在项目建设期内，投标人承诺的项目负责人和开发实施的主要人员未经采购人同意不得调整；投标人如中途更换项目负责人和主要开发技术人员，必须征得采购人同意。</w:t>
      </w:r>
    </w:p>
    <w:p w14:paraId="3C03E9C8">
      <w:pPr>
        <w:ind w:firstLine="480"/>
        <w:rPr>
          <w:rFonts w:ascii="仿宋_GB2312"/>
          <w:color w:val="auto"/>
          <w:szCs w:val="28"/>
          <w:highlight w:val="none"/>
        </w:rPr>
      </w:pPr>
      <w:r>
        <w:rPr>
          <w:rFonts w:hint="eastAsia" w:ascii="仿宋_GB2312"/>
          <w:color w:val="auto"/>
          <w:szCs w:val="28"/>
          <w:highlight w:val="none"/>
        </w:rPr>
        <w:t>风险控制要求。中标单位需对本项目实施过程中的各类风险进行风险识别、风险分析，并提出相应的风险控制措施。</w:t>
      </w:r>
    </w:p>
    <w:p w14:paraId="324F97D4">
      <w:pPr>
        <w:ind w:firstLine="480"/>
        <w:rPr>
          <w:rFonts w:ascii="仿宋_GB2312"/>
          <w:color w:val="auto"/>
          <w:szCs w:val="28"/>
          <w:highlight w:val="none"/>
        </w:rPr>
      </w:pPr>
      <w:r>
        <w:rPr>
          <w:rFonts w:hint="eastAsia" w:ascii="仿宋_GB2312"/>
          <w:color w:val="auto"/>
          <w:szCs w:val="28"/>
          <w:highlight w:val="none"/>
        </w:rPr>
        <w:t>在项目实施和运维期内，重大事件提供全天24小时服务，7*24小时接受服务请求。</w:t>
      </w:r>
    </w:p>
    <w:p w14:paraId="025691BC">
      <w:pPr>
        <w:ind w:firstLine="480"/>
        <w:rPr>
          <w:rFonts w:ascii="仿宋_GB2312"/>
          <w:color w:val="auto"/>
          <w:szCs w:val="28"/>
          <w:highlight w:val="none"/>
        </w:rPr>
      </w:pPr>
      <w:r>
        <w:rPr>
          <w:rFonts w:hint="eastAsia" w:ascii="仿宋_GB2312"/>
          <w:color w:val="auto"/>
          <w:szCs w:val="28"/>
          <w:highlight w:val="none"/>
        </w:rPr>
        <w:t>1.远程服务</w:t>
      </w:r>
    </w:p>
    <w:p w14:paraId="5112C54E">
      <w:pPr>
        <w:ind w:firstLine="480"/>
        <w:rPr>
          <w:rFonts w:ascii="仿宋_GB2312"/>
          <w:color w:val="auto"/>
          <w:szCs w:val="28"/>
          <w:highlight w:val="none"/>
        </w:rPr>
      </w:pPr>
      <w:r>
        <w:rPr>
          <w:rFonts w:hint="eastAsia" w:ascii="仿宋_GB2312"/>
          <w:color w:val="auto"/>
          <w:szCs w:val="28"/>
          <w:highlight w:val="none"/>
        </w:rPr>
        <w:t>（1）当中标人无法立即抵达现场提供服务时，需通过电话、远程协助、VPN等方式，提供日常巡检、疑难解答、故障定位、故障排除、功能调整等服务。</w:t>
      </w:r>
    </w:p>
    <w:p w14:paraId="082FDED6">
      <w:pPr>
        <w:ind w:firstLine="480"/>
        <w:rPr>
          <w:rFonts w:ascii="仿宋_GB2312"/>
          <w:color w:val="auto"/>
          <w:szCs w:val="28"/>
          <w:highlight w:val="none"/>
        </w:rPr>
      </w:pPr>
      <w:r>
        <w:rPr>
          <w:rFonts w:hint="eastAsia" w:ascii="仿宋_GB2312"/>
          <w:color w:val="auto"/>
          <w:szCs w:val="28"/>
          <w:highlight w:val="none"/>
        </w:rPr>
        <w:t>（2）为完成采购人布置的任务，中标人应视情况安排项目成员远程加班。</w:t>
      </w:r>
    </w:p>
    <w:p w14:paraId="66F595FC">
      <w:pPr>
        <w:ind w:firstLine="480"/>
        <w:rPr>
          <w:rFonts w:ascii="仿宋_GB2312"/>
          <w:color w:val="auto"/>
          <w:szCs w:val="28"/>
          <w:highlight w:val="none"/>
        </w:rPr>
      </w:pPr>
      <w:r>
        <w:rPr>
          <w:rFonts w:hint="eastAsia" w:ascii="仿宋_GB2312"/>
          <w:color w:val="auto"/>
          <w:szCs w:val="28"/>
          <w:highlight w:val="none"/>
        </w:rPr>
        <w:t>（3）远程服务不限时间段，中标人应根据采购人要求随时响应。</w:t>
      </w:r>
    </w:p>
    <w:p w14:paraId="692AFA40">
      <w:pPr>
        <w:ind w:firstLine="480"/>
        <w:rPr>
          <w:rFonts w:ascii="仿宋_GB2312"/>
          <w:color w:val="auto"/>
          <w:szCs w:val="28"/>
          <w:highlight w:val="none"/>
        </w:rPr>
      </w:pPr>
      <w:r>
        <w:rPr>
          <w:rFonts w:hint="eastAsia" w:ascii="仿宋_GB2312"/>
          <w:color w:val="auto"/>
          <w:szCs w:val="28"/>
          <w:highlight w:val="none"/>
        </w:rPr>
        <w:t>2.紧急现场服务</w:t>
      </w:r>
    </w:p>
    <w:p w14:paraId="5F4C822C">
      <w:pPr>
        <w:ind w:firstLine="480"/>
        <w:rPr>
          <w:rFonts w:ascii="仿宋_GB2312"/>
          <w:color w:val="auto"/>
          <w:szCs w:val="28"/>
          <w:highlight w:val="none"/>
        </w:rPr>
      </w:pPr>
      <w:r>
        <w:rPr>
          <w:rFonts w:hint="eastAsia" w:ascii="仿宋_GB2312"/>
          <w:color w:val="auto"/>
          <w:szCs w:val="28"/>
          <w:highlight w:val="none"/>
        </w:rPr>
        <w:t>在服务期内，如系统出现了重大故障、网络安全问题，或其他需现场解决的重大事件，应按需提供技术工程师紧急现场支持。紧急现场服务不限时间段，中标人应根据采购人要求随时响应。</w:t>
      </w:r>
    </w:p>
    <w:p w14:paraId="761F6773">
      <w:pPr>
        <w:pStyle w:val="2"/>
        <w:numPr>
          <w:ilvl w:val="255"/>
          <w:numId w:val="0"/>
        </w:num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（五）系统测试要求</w:t>
      </w:r>
    </w:p>
    <w:p w14:paraId="2578B06A">
      <w:pPr>
        <w:ind w:firstLine="480"/>
        <w:rPr>
          <w:rFonts w:ascii="仿宋_GB2312"/>
          <w:color w:val="auto"/>
          <w:szCs w:val="28"/>
          <w:highlight w:val="none"/>
        </w:rPr>
      </w:pPr>
      <w:r>
        <w:rPr>
          <w:rFonts w:hint="eastAsia" w:ascii="仿宋_GB2312"/>
          <w:color w:val="auto"/>
          <w:szCs w:val="28"/>
          <w:highlight w:val="none"/>
        </w:rPr>
        <w:t>测试工作是整个系统完成的最后技术阶段，也是技术性强、环节复杂、易出现各种问题的阶段。要求中标人编写测试方案、拟写测试报告，包括以下内容：</w:t>
      </w:r>
    </w:p>
    <w:p w14:paraId="4101AB0F">
      <w:pPr>
        <w:ind w:firstLine="480"/>
        <w:rPr>
          <w:rFonts w:ascii="仿宋_GB2312"/>
          <w:color w:val="auto"/>
          <w:szCs w:val="28"/>
          <w:highlight w:val="none"/>
        </w:rPr>
      </w:pPr>
      <w:r>
        <w:rPr>
          <w:rFonts w:hint="eastAsia" w:ascii="仿宋_GB2312"/>
          <w:color w:val="auto"/>
          <w:szCs w:val="28"/>
          <w:highlight w:val="none"/>
        </w:rPr>
        <w:t>1</w:t>
      </w:r>
      <w:r>
        <w:rPr>
          <w:rFonts w:ascii="仿宋_GB2312"/>
          <w:color w:val="auto"/>
          <w:szCs w:val="28"/>
          <w:highlight w:val="none"/>
        </w:rPr>
        <w:t>.</w:t>
      </w:r>
      <w:r>
        <w:rPr>
          <w:rFonts w:hint="eastAsia" w:ascii="仿宋_GB2312"/>
          <w:color w:val="auto"/>
          <w:szCs w:val="28"/>
          <w:highlight w:val="none"/>
        </w:rPr>
        <w:t>编写测试方案，对软件功能模块进行测试，确保单项功能质量过关；</w:t>
      </w:r>
    </w:p>
    <w:p w14:paraId="2642D16E">
      <w:pPr>
        <w:ind w:firstLine="480"/>
        <w:rPr>
          <w:rFonts w:ascii="仿宋_GB2312"/>
          <w:color w:val="auto"/>
          <w:szCs w:val="28"/>
          <w:highlight w:val="none"/>
        </w:rPr>
      </w:pPr>
      <w:r>
        <w:rPr>
          <w:rFonts w:hint="eastAsia" w:ascii="仿宋_GB2312"/>
          <w:color w:val="auto"/>
          <w:szCs w:val="28"/>
          <w:highlight w:val="none"/>
        </w:rPr>
        <w:t>2</w:t>
      </w:r>
      <w:r>
        <w:rPr>
          <w:rFonts w:ascii="仿宋_GB2312"/>
          <w:color w:val="auto"/>
          <w:szCs w:val="28"/>
          <w:highlight w:val="none"/>
        </w:rPr>
        <w:t>.</w:t>
      </w:r>
      <w:r>
        <w:rPr>
          <w:rFonts w:hint="eastAsia" w:ascii="仿宋_GB2312"/>
          <w:color w:val="auto"/>
          <w:szCs w:val="28"/>
          <w:highlight w:val="none"/>
        </w:rPr>
        <w:t>整个系统联调，确保工程顺利完工，在测试中出现问题及时查找问题之所在，迅速及时地解决，拟写测试报告。</w:t>
      </w:r>
    </w:p>
    <w:p w14:paraId="5638ABC3">
      <w:pPr>
        <w:pStyle w:val="2"/>
        <w:numPr>
          <w:ilvl w:val="255"/>
          <w:numId w:val="0"/>
        </w:numPr>
        <w:adjustRightInd w:val="0"/>
        <w:snapToGrid w:val="0"/>
        <w:spacing w:line="360" w:lineRule="auto"/>
        <w:rPr>
          <w:rFonts w:hint="eastAsia" w:ascii="宋体" w:hAnsi="宋体" w:cs="宋体"/>
          <w:color w:val="auto"/>
          <w:sz w:val="24"/>
          <w:szCs w:val="28"/>
          <w:highlight w:val="none"/>
        </w:rPr>
      </w:pPr>
      <w:r>
        <w:rPr>
          <w:rFonts w:hint="eastAsia" w:ascii="宋体" w:hAnsi="宋体" w:eastAsia="宋体" w:cs="宋体"/>
          <w:color w:val="auto"/>
          <w:sz w:val="24"/>
          <w:highlight w:val="none"/>
        </w:rPr>
        <w:t>（六）</w:t>
      </w:r>
      <w:r>
        <w:rPr>
          <w:rFonts w:hint="eastAsia" w:ascii="宋体" w:hAnsi="宋体" w:eastAsia="宋体" w:cs="宋体"/>
          <w:color w:val="auto"/>
          <w:sz w:val="24"/>
          <w:szCs w:val="28"/>
          <w:highlight w:val="none"/>
        </w:rPr>
        <w:t>数据质量要求</w:t>
      </w:r>
    </w:p>
    <w:p w14:paraId="38145504">
      <w:pPr>
        <w:ind w:firstLine="480"/>
        <w:rPr>
          <w:rFonts w:ascii="仿宋_GB2312"/>
          <w:color w:val="auto"/>
          <w:szCs w:val="28"/>
          <w:highlight w:val="none"/>
        </w:rPr>
      </w:pPr>
      <w:r>
        <w:rPr>
          <w:rFonts w:hint="eastAsia" w:ascii="仿宋_GB2312"/>
          <w:color w:val="auto"/>
          <w:szCs w:val="28"/>
          <w:highlight w:val="none"/>
        </w:rPr>
        <w:t>数据现状和数据质量整体需求如下：</w:t>
      </w:r>
    </w:p>
    <w:p w14:paraId="18D23DEB">
      <w:pPr>
        <w:ind w:firstLine="480"/>
        <w:rPr>
          <w:rFonts w:ascii="仿宋_GB2312"/>
          <w:color w:val="auto"/>
          <w:szCs w:val="28"/>
          <w:highlight w:val="none"/>
        </w:rPr>
      </w:pPr>
      <w:r>
        <w:rPr>
          <w:rFonts w:hint="eastAsia" w:ascii="仿宋_GB2312"/>
          <w:color w:val="auto"/>
          <w:szCs w:val="28"/>
          <w:highlight w:val="none"/>
        </w:rPr>
        <w:t>系统功能应有对应的数据支撑和响应。</w:t>
      </w:r>
    </w:p>
    <w:p w14:paraId="0BDD7AD2">
      <w:pPr>
        <w:ind w:firstLine="480"/>
        <w:rPr>
          <w:rFonts w:ascii="仿宋_GB2312"/>
          <w:color w:val="auto"/>
          <w:szCs w:val="28"/>
          <w:highlight w:val="none"/>
        </w:rPr>
      </w:pPr>
      <w:r>
        <w:rPr>
          <w:rFonts w:hint="eastAsia" w:ascii="仿宋_GB2312"/>
          <w:color w:val="auto"/>
          <w:szCs w:val="28"/>
          <w:highlight w:val="none"/>
        </w:rPr>
        <w:t>敏感信息应加密存储和传输，如账号、密码，人员身份证等。</w:t>
      </w:r>
    </w:p>
    <w:p w14:paraId="389D93EB">
      <w:pPr>
        <w:ind w:firstLine="480"/>
        <w:rPr>
          <w:rFonts w:ascii="仿宋_GB2312"/>
          <w:color w:val="auto"/>
          <w:szCs w:val="28"/>
          <w:highlight w:val="none"/>
        </w:rPr>
      </w:pPr>
      <w:r>
        <w:rPr>
          <w:rFonts w:hint="eastAsia" w:ascii="仿宋_GB2312"/>
          <w:color w:val="auto"/>
          <w:szCs w:val="28"/>
          <w:highlight w:val="none"/>
        </w:rPr>
        <w:t>数据质量应包含准确性、完整性、一致性、时效性、可访问性等。集体资产编码应遵守统一的编码规则。</w:t>
      </w:r>
    </w:p>
    <w:p w14:paraId="0CFCD769">
      <w:pPr>
        <w:ind w:firstLine="480"/>
        <w:rPr>
          <w:rFonts w:ascii="仿宋_GB2312"/>
          <w:color w:val="auto"/>
          <w:szCs w:val="28"/>
          <w:highlight w:val="none"/>
        </w:rPr>
      </w:pPr>
      <w:r>
        <w:rPr>
          <w:rFonts w:hint="eastAsia" w:ascii="仿宋_GB2312"/>
          <w:color w:val="auto"/>
          <w:szCs w:val="28"/>
          <w:highlight w:val="none"/>
        </w:rPr>
        <w:t>在具体业务工作中，涉及的业务数据主要存储于天河区农村集体资产管理平台。在历史业务办理过程中存在以下问题，需通过本次平台建设工作优化数据质量，一方面为集体资产监督、管理、招商、经营提供高质量的数据和大数据分析支撑，一方面通过数据质量优化提升现行业务办理和管理的工作效能。</w:t>
      </w:r>
    </w:p>
    <w:p w14:paraId="2441EE6D">
      <w:pPr>
        <w:ind w:firstLine="480"/>
        <w:rPr>
          <w:rFonts w:ascii="仿宋_GB2312"/>
          <w:color w:val="auto"/>
          <w:szCs w:val="28"/>
          <w:highlight w:val="none"/>
        </w:rPr>
      </w:pPr>
      <w:r>
        <w:rPr>
          <w:rFonts w:hint="eastAsia" w:ascii="仿宋_GB2312"/>
          <w:color w:val="auto"/>
          <w:szCs w:val="28"/>
          <w:highlight w:val="none"/>
        </w:rPr>
        <w:t>按照上级主管部门要求，需要采用集体资产数字化描边等方式进行集体资产空间上图，使集体资产图上“见底”，底数底图清晰。因此，一方面需要根据现有集体资产台账叠加高分辨率影像图等方式开展集体资产空间上图，一方面需要根据天河区农村集体范围，图上摸排非农村住宅类建筑，按图索骥、自上而下与各村/经济联社确认是否为台账外新增集体资产，完善集体资产底图底数，防范集体资产流失。</w:t>
      </w:r>
    </w:p>
    <w:p w14:paraId="048B6CE6">
      <w:pPr>
        <w:ind w:firstLine="480"/>
        <w:rPr>
          <w:rFonts w:ascii="仿宋_GB2312"/>
          <w:color w:val="auto"/>
          <w:szCs w:val="28"/>
          <w:highlight w:val="none"/>
        </w:rPr>
      </w:pPr>
      <w:r>
        <w:rPr>
          <w:rFonts w:hint="eastAsia" w:ascii="仿宋_GB2312"/>
          <w:color w:val="auto"/>
          <w:szCs w:val="28"/>
          <w:highlight w:val="none"/>
        </w:rPr>
        <w:t>严格按照农业农村部关于资产和资产单元的概念进行集体物业和资源的重新界定，并进行数字化描边上图，上图结果需经各经济联社核实确认。</w:t>
      </w:r>
    </w:p>
    <w:p w14:paraId="3CE5898C">
      <w:pPr>
        <w:ind w:firstLine="480"/>
        <w:rPr>
          <w:rFonts w:ascii="仿宋_GB2312"/>
          <w:color w:val="auto"/>
          <w:szCs w:val="28"/>
          <w:highlight w:val="none"/>
        </w:rPr>
      </w:pPr>
      <w:r>
        <w:rPr>
          <w:rFonts w:hint="eastAsia" w:ascii="仿宋_GB2312"/>
          <w:color w:val="auto"/>
          <w:szCs w:val="28"/>
          <w:highlight w:val="none"/>
        </w:rPr>
        <w:t>针对本项目建成之后的各类数据专题库，中标单位应出具专门的质量检查报告，确保数据质量。</w:t>
      </w:r>
    </w:p>
    <w:p w14:paraId="2A44F287">
      <w:pPr>
        <w:pStyle w:val="2"/>
        <w:numPr>
          <w:ilvl w:val="255"/>
          <w:numId w:val="0"/>
        </w:num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（七）培训要求</w:t>
      </w:r>
    </w:p>
    <w:p w14:paraId="16D6E594">
      <w:pPr>
        <w:ind w:firstLine="480"/>
        <w:rPr>
          <w:rFonts w:ascii="仿宋_GB2312"/>
          <w:color w:val="auto"/>
          <w:szCs w:val="28"/>
          <w:highlight w:val="none"/>
        </w:rPr>
      </w:pPr>
      <w:r>
        <w:rPr>
          <w:rFonts w:hint="eastAsia" w:ascii="仿宋_GB2312"/>
          <w:color w:val="auto"/>
          <w:szCs w:val="28"/>
          <w:highlight w:val="none"/>
        </w:rPr>
        <w:t>中标人必须提供相应的平台应用系统、数据使用操作等方面的培训。有关应用软件的操作培训课程，培训应该在项目验收完成前进行。中标人须在中标后提出全面、详细的培训课程以及时间表交给采购人，并在合同签订后征得采购人同意后实施。</w:t>
      </w:r>
    </w:p>
    <w:p w14:paraId="53EC7432">
      <w:pPr>
        <w:ind w:firstLine="480"/>
        <w:rPr>
          <w:rFonts w:ascii="仿宋_GB2312"/>
          <w:color w:val="auto"/>
          <w:szCs w:val="28"/>
          <w:highlight w:val="none"/>
        </w:rPr>
      </w:pPr>
      <w:r>
        <w:rPr>
          <w:rFonts w:hint="eastAsia" w:ascii="仿宋_GB2312"/>
          <w:color w:val="auto"/>
          <w:szCs w:val="28"/>
          <w:highlight w:val="none"/>
        </w:rPr>
        <w:t>中标人应提供面向系统管理员的应用软件系统结构和设计等方面的培训。中标人将详细的培训课程以及时间表交给采购人，最后以采购人认可为准。</w:t>
      </w:r>
    </w:p>
    <w:p w14:paraId="495D2BF5">
      <w:pPr>
        <w:ind w:firstLine="480"/>
        <w:rPr>
          <w:rFonts w:ascii="仿宋_GB2312"/>
          <w:color w:val="auto"/>
          <w:szCs w:val="28"/>
          <w:highlight w:val="none"/>
        </w:rPr>
      </w:pPr>
      <w:r>
        <w:rPr>
          <w:rFonts w:hint="eastAsia" w:ascii="仿宋_GB2312"/>
          <w:color w:val="auto"/>
          <w:szCs w:val="28"/>
          <w:highlight w:val="none"/>
        </w:rPr>
        <w:t>对于所有培训，中标人必须派出具有相应专业资格和实际工作经验的辅导人员进行培训，培训所使用的语言必须是中文，否则中标人必须提供相应的翻译。</w:t>
      </w:r>
    </w:p>
    <w:p w14:paraId="699F1BD7">
      <w:pPr>
        <w:ind w:firstLine="480"/>
        <w:rPr>
          <w:rFonts w:ascii="仿宋_GB2312"/>
          <w:color w:val="auto"/>
          <w:szCs w:val="28"/>
          <w:highlight w:val="none"/>
        </w:rPr>
      </w:pPr>
      <w:r>
        <w:rPr>
          <w:rFonts w:hint="eastAsia" w:ascii="仿宋_GB2312"/>
          <w:color w:val="auto"/>
          <w:szCs w:val="28"/>
          <w:highlight w:val="none"/>
        </w:rPr>
        <w:t>需针对用户按照不同的角色按照不同的培训课程，如系统管理员、普通用户、领导等角色，安排不同的培训课程。</w:t>
      </w:r>
    </w:p>
    <w:p w14:paraId="2E5E29C2">
      <w:pPr>
        <w:ind w:firstLine="480"/>
        <w:rPr>
          <w:rFonts w:ascii="仿宋_GB2312"/>
          <w:color w:val="auto"/>
          <w:szCs w:val="28"/>
          <w:highlight w:val="none"/>
        </w:rPr>
      </w:pPr>
      <w:r>
        <w:rPr>
          <w:rFonts w:hint="eastAsia" w:ascii="仿宋_GB2312"/>
          <w:color w:val="auto"/>
          <w:szCs w:val="28"/>
          <w:highlight w:val="none"/>
        </w:rPr>
        <w:t>中标人需要提供详细的培训计划。</w:t>
      </w:r>
    </w:p>
    <w:p w14:paraId="21F49D8D">
      <w:pPr>
        <w:ind w:firstLine="480"/>
        <w:rPr>
          <w:rFonts w:ascii="仿宋_GB2312"/>
          <w:color w:val="auto"/>
          <w:szCs w:val="28"/>
          <w:highlight w:val="none"/>
        </w:rPr>
      </w:pPr>
      <w:r>
        <w:rPr>
          <w:rFonts w:hint="eastAsia" w:ascii="仿宋_GB2312"/>
          <w:color w:val="auto"/>
          <w:szCs w:val="28"/>
          <w:highlight w:val="none"/>
        </w:rPr>
        <w:t>培训费用计入项目总报价。中标人应提前拟定培训方案，保障培训质量，使参训人员掌握系统的操作和日常管理工作。培训方式可采用线上或线下培训，总体要求如下：</w:t>
      </w:r>
    </w:p>
    <w:p w14:paraId="58520DEA">
      <w:pPr>
        <w:ind w:firstLine="480"/>
        <w:rPr>
          <w:rFonts w:ascii="仿宋_GB2312"/>
          <w:color w:val="auto"/>
          <w:szCs w:val="28"/>
          <w:highlight w:val="none"/>
        </w:rPr>
      </w:pPr>
      <w:r>
        <w:rPr>
          <w:rFonts w:hint="eastAsia" w:ascii="仿宋_GB2312"/>
          <w:color w:val="auto"/>
          <w:szCs w:val="28"/>
          <w:highlight w:val="none"/>
        </w:rPr>
        <w:t>（1）培训内容：由中标人编制和实施。</w:t>
      </w:r>
    </w:p>
    <w:p w14:paraId="593D8778">
      <w:pPr>
        <w:ind w:firstLine="480"/>
        <w:rPr>
          <w:rFonts w:ascii="仿宋_GB2312"/>
          <w:color w:val="auto"/>
          <w:szCs w:val="28"/>
          <w:highlight w:val="none"/>
        </w:rPr>
      </w:pPr>
      <w:r>
        <w:rPr>
          <w:rFonts w:hint="eastAsia" w:ascii="仿宋_GB2312"/>
          <w:color w:val="auto"/>
          <w:szCs w:val="28"/>
          <w:highlight w:val="none"/>
        </w:rPr>
        <w:t>（2）培训地点：由采购人与中标人共同商议确定。</w:t>
      </w:r>
    </w:p>
    <w:p w14:paraId="2B8940F7">
      <w:pPr>
        <w:ind w:firstLine="480"/>
        <w:rPr>
          <w:rFonts w:ascii="仿宋_GB2312"/>
          <w:color w:val="auto"/>
          <w:szCs w:val="28"/>
          <w:highlight w:val="none"/>
        </w:rPr>
      </w:pPr>
      <w:r>
        <w:rPr>
          <w:rFonts w:hint="eastAsia" w:ascii="仿宋_GB2312"/>
          <w:color w:val="auto"/>
          <w:szCs w:val="28"/>
          <w:highlight w:val="none"/>
        </w:rPr>
        <w:t>（3）培训教材：由中标人负责编制与印刷。</w:t>
      </w:r>
    </w:p>
    <w:p w14:paraId="0A397BA3">
      <w:pPr>
        <w:pStyle w:val="2"/>
        <w:numPr>
          <w:ilvl w:val="255"/>
          <w:numId w:val="0"/>
        </w:num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（八）技术及部署要求</w:t>
      </w:r>
    </w:p>
    <w:p w14:paraId="28B0F571">
      <w:pPr>
        <w:ind w:firstLine="480"/>
        <w:rPr>
          <w:color w:val="auto"/>
          <w:highlight w:val="none"/>
        </w:rPr>
      </w:pPr>
      <w:r>
        <w:rPr>
          <w:rFonts w:hint="eastAsia"/>
          <w:color w:val="auto"/>
          <w:highlight w:val="none"/>
        </w:rPr>
        <w:t>本项目中所有建设的应用系统均应基于广州市天河区政务外网和广州市政务云的</w:t>
      </w:r>
      <w:r>
        <w:rPr>
          <w:rFonts w:hint="eastAsia"/>
          <w:color w:val="auto"/>
          <w:highlight w:val="none"/>
          <w:lang w:eastAsia="zh-CN"/>
        </w:rPr>
        <w:t>本国</w:t>
      </w:r>
      <w:r>
        <w:rPr>
          <w:rFonts w:hint="eastAsia"/>
          <w:color w:val="auto"/>
          <w:highlight w:val="none"/>
        </w:rPr>
        <w:t>化环境部署。</w:t>
      </w:r>
    </w:p>
    <w:p w14:paraId="3CD4AEF7">
      <w:pPr>
        <w:pStyle w:val="2"/>
        <w:numPr>
          <w:ilvl w:val="255"/>
          <w:numId w:val="0"/>
        </w:num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（九）验收要求</w:t>
      </w:r>
    </w:p>
    <w:p w14:paraId="20320BD8">
      <w:pPr>
        <w:ind w:firstLine="480"/>
        <w:rPr>
          <w:rFonts w:ascii="仿宋_GB2312"/>
          <w:color w:val="auto"/>
          <w:szCs w:val="28"/>
          <w:highlight w:val="none"/>
        </w:rPr>
      </w:pPr>
      <w:r>
        <w:rPr>
          <w:rFonts w:hint="eastAsia" w:ascii="仿宋_GB2312"/>
          <w:color w:val="auto"/>
          <w:szCs w:val="28"/>
          <w:highlight w:val="none"/>
        </w:rPr>
        <w:t>验收方案由采购人确定，验收工作由采购人负责，中标人配合。</w:t>
      </w:r>
    </w:p>
    <w:p w14:paraId="0FC7F60C">
      <w:pPr>
        <w:ind w:firstLine="480"/>
        <w:rPr>
          <w:rFonts w:ascii="仿宋_GB2312"/>
          <w:color w:val="auto"/>
          <w:szCs w:val="28"/>
          <w:highlight w:val="none"/>
        </w:rPr>
      </w:pPr>
      <w:r>
        <w:rPr>
          <w:rFonts w:hint="eastAsia" w:ascii="仿宋_GB2312"/>
          <w:color w:val="auto"/>
          <w:szCs w:val="28"/>
          <w:highlight w:val="none"/>
        </w:rPr>
        <w:t>应用系统完成合同规定的内容后，文档齐全，成果自检合格，通过第三方测评机构验收测评、采购人组织的专家评审后，出具合同验收意见。数据成果验收严格按照项目内容、质量要求，包括数据建设内容的完整性、数据采集的科学性、数据成果的正确性等要求开展。</w:t>
      </w:r>
    </w:p>
    <w:p w14:paraId="7C4A04A3">
      <w:pPr>
        <w:ind w:firstLine="480"/>
        <w:rPr>
          <w:rFonts w:ascii="仿宋_GB2312"/>
          <w:color w:val="auto"/>
          <w:szCs w:val="28"/>
          <w:highlight w:val="none"/>
        </w:rPr>
      </w:pPr>
      <w:r>
        <w:rPr>
          <w:rFonts w:hint="eastAsia" w:ascii="仿宋_GB2312"/>
          <w:color w:val="auto"/>
          <w:szCs w:val="28"/>
          <w:highlight w:val="none"/>
        </w:rPr>
        <w:t>中标人应负责在项目验收前将系统软件开发的可编译、可维护源程序及配套文件（含备注说明文档），可执行程序、安装程序和验收文档提交采购人。具体要求如下：</w:t>
      </w:r>
    </w:p>
    <w:p w14:paraId="0FFA710C">
      <w:pPr>
        <w:ind w:firstLine="480"/>
        <w:rPr>
          <w:rFonts w:ascii="仿宋_GB2312"/>
          <w:color w:val="auto"/>
          <w:szCs w:val="28"/>
          <w:highlight w:val="none"/>
        </w:rPr>
      </w:pPr>
      <w:r>
        <w:rPr>
          <w:rFonts w:hint="eastAsia" w:ascii="仿宋_GB2312"/>
          <w:color w:val="auto"/>
          <w:szCs w:val="28"/>
          <w:highlight w:val="none"/>
        </w:rPr>
        <w:t>（一）验收文档</w:t>
      </w:r>
    </w:p>
    <w:p w14:paraId="3DC6EDC9">
      <w:pPr>
        <w:pStyle w:val="5"/>
        <w:ind w:left="840" w:hanging="420"/>
        <w:rPr>
          <w:rFonts w:ascii="仿宋_GB2312"/>
          <w:color w:val="auto"/>
          <w:szCs w:val="28"/>
          <w:highlight w:val="none"/>
        </w:rPr>
      </w:pPr>
      <w:r>
        <w:rPr>
          <w:rFonts w:hint="eastAsia" w:ascii="仿宋_GB2312"/>
          <w:color w:val="auto"/>
          <w:szCs w:val="28"/>
          <w:highlight w:val="none"/>
        </w:rPr>
        <w:t>需提交包括但不限于下列文档：</w:t>
      </w:r>
    </w:p>
    <w:p w14:paraId="656CC06B">
      <w:pPr>
        <w:ind w:firstLine="480"/>
        <w:rPr>
          <w:rFonts w:ascii="仿宋_GB2312"/>
          <w:color w:val="auto"/>
          <w:szCs w:val="28"/>
          <w:highlight w:val="none"/>
        </w:rPr>
      </w:pPr>
      <w:r>
        <w:rPr>
          <w:rFonts w:hint="eastAsia" w:ascii="仿宋_GB2312"/>
          <w:color w:val="auto"/>
          <w:szCs w:val="28"/>
          <w:highlight w:val="none"/>
        </w:rPr>
        <w:t>1.项目实施方案；</w:t>
      </w:r>
    </w:p>
    <w:p w14:paraId="795FC08A">
      <w:pPr>
        <w:ind w:firstLine="480"/>
        <w:rPr>
          <w:rFonts w:ascii="仿宋_GB2312"/>
          <w:color w:val="auto"/>
          <w:szCs w:val="28"/>
          <w:highlight w:val="none"/>
        </w:rPr>
      </w:pPr>
      <w:r>
        <w:rPr>
          <w:rFonts w:hint="eastAsia" w:ascii="仿宋_GB2312"/>
          <w:color w:val="auto"/>
          <w:szCs w:val="28"/>
          <w:highlight w:val="none"/>
        </w:rPr>
        <w:t>2.需求说明书；</w:t>
      </w:r>
    </w:p>
    <w:p w14:paraId="1CF54BAE">
      <w:pPr>
        <w:ind w:firstLine="480"/>
        <w:rPr>
          <w:rFonts w:ascii="仿宋_GB2312"/>
          <w:color w:val="auto"/>
          <w:szCs w:val="28"/>
          <w:highlight w:val="none"/>
        </w:rPr>
      </w:pPr>
      <w:r>
        <w:rPr>
          <w:rFonts w:hint="eastAsia" w:ascii="仿宋_GB2312"/>
          <w:color w:val="auto"/>
          <w:szCs w:val="28"/>
          <w:highlight w:val="none"/>
        </w:rPr>
        <w:t>3.概要设计说明书；</w:t>
      </w:r>
    </w:p>
    <w:p w14:paraId="74C00084">
      <w:pPr>
        <w:ind w:firstLine="480"/>
        <w:rPr>
          <w:rFonts w:ascii="仿宋_GB2312"/>
          <w:color w:val="auto"/>
          <w:szCs w:val="28"/>
          <w:highlight w:val="none"/>
        </w:rPr>
      </w:pPr>
      <w:r>
        <w:rPr>
          <w:rFonts w:hint="eastAsia" w:ascii="仿宋_GB2312"/>
          <w:color w:val="auto"/>
          <w:szCs w:val="28"/>
          <w:highlight w:val="none"/>
        </w:rPr>
        <w:t>4.详细设计说明书；</w:t>
      </w:r>
    </w:p>
    <w:p w14:paraId="05AFE3C3">
      <w:pPr>
        <w:ind w:firstLine="480"/>
        <w:rPr>
          <w:rFonts w:ascii="仿宋_GB2312"/>
          <w:color w:val="auto"/>
          <w:szCs w:val="28"/>
          <w:highlight w:val="none"/>
        </w:rPr>
      </w:pPr>
      <w:r>
        <w:rPr>
          <w:rFonts w:hint="eastAsia" w:ascii="仿宋_GB2312"/>
          <w:color w:val="auto"/>
          <w:szCs w:val="28"/>
          <w:highlight w:val="none"/>
        </w:rPr>
        <w:t>5.数据库设计说明书；</w:t>
      </w:r>
    </w:p>
    <w:p w14:paraId="6F918342">
      <w:pPr>
        <w:ind w:firstLine="480"/>
        <w:rPr>
          <w:rFonts w:ascii="仿宋_GB2312"/>
          <w:color w:val="auto"/>
          <w:szCs w:val="28"/>
          <w:highlight w:val="none"/>
        </w:rPr>
      </w:pPr>
      <w:r>
        <w:rPr>
          <w:rFonts w:hint="eastAsia" w:ascii="仿宋_GB2312"/>
          <w:color w:val="auto"/>
          <w:szCs w:val="28"/>
          <w:highlight w:val="none"/>
        </w:rPr>
        <w:t>6.测试报告；</w:t>
      </w:r>
    </w:p>
    <w:p w14:paraId="5B3B9BCC">
      <w:pPr>
        <w:ind w:firstLine="480"/>
        <w:rPr>
          <w:rFonts w:ascii="仿宋_GB2312"/>
          <w:color w:val="auto"/>
          <w:szCs w:val="28"/>
          <w:highlight w:val="none"/>
        </w:rPr>
      </w:pPr>
      <w:r>
        <w:rPr>
          <w:rFonts w:hint="eastAsia" w:ascii="仿宋_GB2312"/>
          <w:color w:val="auto"/>
          <w:szCs w:val="28"/>
          <w:highlight w:val="none"/>
        </w:rPr>
        <w:t>7.试运行报告；</w:t>
      </w:r>
    </w:p>
    <w:p w14:paraId="7204A682">
      <w:pPr>
        <w:ind w:firstLine="480"/>
        <w:rPr>
          <w:rFonts w:ascii="仿宋_GB2312"/>
          <w:color w:val="auto"/>
          <w:szCs w:val="28"/>
          <w:highlight w:val="none"/>
        </w:rPr>
      </w:pPr>
      <w:r>
        <w:rPr>
          <w:rFonts w:hint="eastAsia" w:ascii="仿宋_GB2312"/>
          <w:color w:val="auto"/>
          <w:szCs w:val="28"/>
          <w:highlight w:val="none"/>
        </w:rPr>
        <w:t>8.项目总结报告；</w:t>
      </w:r>
    </w:p>
    <w:p w14:paraId="791B6EC1">
      <w:pPr>
        <w:ind w:firstLine="480"/>
        <w:rPr>
          <w:rFonts w:ascii="仿宋_GB2312"/>
          <w:color w:val="auto"/>
          <w:szCs w:val="28"/>
          <w:highlight w:val="none"/>
        </w:rPr>
      </w:pPr>
      <w:r>
        <w:rPr>
          <w:rFonts w:hint="eastAsia" w:ascii="仿宋_GB2312"/>
          <w:color w:val="auto"/>
          <w:szCs w:val="28"/>
          <w:highlight w:val="none"/>
        </w:rPr>
        <w:t>9.系统部署手册；</w:t>
      </w:r>
    </w:p>
    <w:p w14:paraId="7F540C66">
      <w:pPr>
        <w:ind w:firstLine="480"/>
        <w:rPr>
          <w:rFonts w:ascii="仿宋_GB2312"/>
          <w:color w:val="auto"/>
          <w:szCs w:val="28"/>
          <w:highlight w:val="none"/>
        </w:rPr>
      </w:pPr>
      <w:r>
        <w:rPr>
          <w:rFonts w:hint="eastAsia" w:ascii="仿宋_GB2312"/>
          <w:color w:val="auto"/>
          <w:szCs w:val="28"/>
          <w:highlight w:val="none"/>
        </w:rPr>
        <w:t>10.用户手册；</w:t>
      </w:r>
    </w:p>
    <w:p w14:paraId="41127777">
      <w:pPr>
        <w:ind w:firstLine="480"/>
        <w:rPr>
          <w:rFonts w:ascii="仿宋_GB2312"/>
          <w:color w:val="auto"/>
          <w:szCs w:val="28"/>
          <w:highlight w:val="none"/>
        </w:rPr>
      </w:pPr>
      <w:r>
        <w:rPr>
          <w:rFonts w:hint="eastAsia" w:ascii="仿宋_GB2312"/>
          <w:color w:val="auto"/>
          <w:szCs w:val="28"/>
          <w:highlight w:val="none"/>
        </w:rPr>
        <w:t>（二）软件及平台成果</w:t>
      </w:r>
    </w:p>
    <w:p w14:paraId="1144688A">
      <w:pPr>
        <w:ind w:firstLine="480"/>
        <w:rPr>
          <w:rFonts w:ascii="仿宋_GB2312"/>
          <w:color w:val="auto"/>
          <w:szCs w:val="28"/>
          <w:highlight w:val="none"/>
        </w:rPr>
      </w:pPr>
      <w:r>
        <w:rPr>
          <w:rFonts w:hint="eastAsia" w:ascii="仿宋_GB2312"/>
          <w:color w:val="auto"/>
          <w:szCs w:val="28"/>
          <w:highlight w:val="none"/>
        </w:rPr>
        <w:t>提交一套软件系统。</w:t>
      </w:r>
    </w:p>
    <w:p w14:paraId="5C37EF6D">
      <w:pPr>
        <w:ind w:firstLine="480"/>
        <w:rPr>
          <w:rFonts w:ascii="仿宋_GB2312"/>
          <w:color w:val="auto"/>
          <w:szCs w:val="28"/>
          <w:highlight w:val="none"/>
        </w:rPr>
      </w:pPr>
      <w:r>
        <w:rPr>
          <w:rFonts w:hint="eastAsia" w:ascii="仿宋_GB2312"/>
          <w:color w:val="auto"/>
          <w:szCs w:val="28"/>
          <w:highlight w:val="none"/>
        </w:rPr>
        <w:t>提交1套专题库（数据库）。</w:t>
      </w:r>
    </w:p>
    <w:p w14:paraId="0901948C">
      <w:pPr>
        <w:ind w:firstLine="480"/>
        <w:rPr>
          <w:rFonts w:ascii="仿宋_GB2312"/>
          <w:color w:val="auto"/>
          <w:szCs w:val="28"/>
          <w:highlight w:val="none"/>
        </w:rPr>
      </w:pPr>
      <w:r>
        <w:rPr>
          <w:rFonts w:hint="eastAsia" w:ascii="仿宋_GB2312"/>
          <w:color w:val="auto"/>
          <w:szCs w:val="28"/>
          <w:highlight w:val="none"/>
        </w:rPr>
        <w:t>（三）成果形式</w:t>
      </w:r>
    </w:p>
    <w:p w14:paraId="68767253">
      <w:pPr>
        <w:ind w:firstLine="480"/>
        <w:rPr>
          <w:rFonts w:ascii="仿宋_GB2312"/>
          <w:color w:val="auto"/>
          <w:szCs w:val="28"/>
          <w:highlight w:val="none"/>
        </w:rPr>
      </w:pPr>
      <w:r>
        <w:rPr>
          <w:rFonts w:hint="eastAsia" w:ascii="仿宋_GB2312"/>
          <w:color w:val="auto"/>
          <w:szCs w:val="28"/>
          <w:highlight w:val="none"/>
        </w:rPr>
        <w:t>以电子格式和纸质介质两种形式提供成果。</w:t>
      </w:r>
    </w:p>
    <w:p w14:paraId="6E55793A">
      <w:pPr>
        <w:ind w:firstLine="480"/>
        <w:rPr>
          <w:rFonts w:ascii="仿宋_GB2312"/>
          <w:color w:val="auto"/>
          <w:szCs w:val="28"/>
          <w:highlight w:val="none"/>
        </w:rPr>
      </w:pPr>
      <w:r>
        <w:rPr>
          <w:rFonts w:hint="eastAsia" w:ascii="仿宋_GB2312"/>
          <w:color w:val="auto"/>
          <w:szCs w:val="28"/>
          <w:highlight w:val="none"/>
        </w:rPr>
        <w:t>系统全部功能上线稳定运行、数据安全有效后，中标人即与采购人对项目进行验收，并提交完整的项目文档、测试报告、验收意见报告等。当满足以下条件时，采购人联合专家成立验收小组，组织验收并出具项目验收报告。</w:t>
      </w:r>
    </w:p>
    <w:p w14:paraId="20A9D9C4">
      <w:pPr>
        <w:ind w:firstLine="480"/>
        <w:rPr>
          <w:rFonts w:ascii="仿宋_GB2312"/>
          <w:color w:val="auto"/>
          <w:szCs w:val="28"/>
          <w:highlight w:val="none"/>
        </w:rPr>
      </w:pPr>
      <w:r>
        <w:rPr>
          <w:rFonts w:hint="eastAsia" w:ascii="仿宋_GB2312"/>
          <w:color w:val="auto"/>
          <w:szCs w:val="28"/>
          <w:highlight w:val="none"/>
        </w:rPr>
        <w:t>1</w:t>
      </w:r>
      <w:r>
        <w:rPr>
          <w:rFonts w:ascii="仿宋_GB2312"/>
          <w:color w:val="auto"/>
          <w:szCs w:val="28"/>
          <w:highlight w:val="none"/>
        </w:rPr>
        <w:t>.</w:t>
      </w:r>
      <w:r>
        <w:rPr>
          <w:rFonts w:hint="eastAsia" w:ascii="仿宋_GB2312"/>
          <w:color w:val="auto"/>
          <w:szCs w:val="28"/>
          <w:highlight w:val="none"/>
        </w:rPr>
        <w:t>中标人需提供完整的技术文档，包括需求说明书、系统设计说明书、系统测试报告、用户使用手册和系统管理及维护手册。</w:t>
      </w:r>
    </w:p>
    <w:p w14:paraId="58789A77">
      <w:pPr>
        <w:ind w:firstLine="480"/>
        <w:rPr>
          <w:rFonts w:ascii="仿宋_GB2312"/>
          <w:color w:val="auto"/>
          <w:szCs w:val="28"/>
          <w:highlight w:val="none"/>
        </w:rPr>
      </w:pPr>
      <w:r>
        <w:rPr>
          <w:rFonts w:hint="eastAsia" w:ascii="仿宋_GB2312"/>
          <w:color w:val="auto"/>
          <w:szCs w:val="28"/>
          <w:highlight w:val="none"/>
        </w:rPr>
        <w:t>2</w:t>
      </w:r>
      <w:r>
        <w:rPr>
          <w:rFonts w:ascii="仿宋_GB2312"/>
          <w:color w:val="auto"/>
          <w:szCs w:val="28"/>
          <w:highlight w:val="none"/>
        </w:rPr>
        <w:t>.中标人所提供的软件系统</w:t>
      </w:r>
      <w:r>
        <w:rPr>
          <w:rFonts w:hint="eastAsia" w:ascii="仿宋_GB2312"/>
          <w:color w:val="auto"/>
          <w:szCs w:val="28"/>
          <w:highlight w:val="none"/>
        </w:rPr>
        <w:t>必须满足国家信息系统安全等级保护第三级的要求，并提供等保测试、商用密码应用安全性评估通过证明材料。在对该软件系统进行安全等级保护评测时，中标人必须免费提供相应技术支持，免费提供评测中与软件系统相关的支撑材料，并负责免费修补评测中发现的问题。</w:t>
      </w:r>
    </w:p>
    <w:p w14:paraId="0EABA692">
      <w:pPr>
        <w:ind w:firstLine="480"/>
        <w:rPr>
          <w:rFonts w:ascii="仿宋_GB2312"/>
          <w:color w:val="auto"/>
          <w:szCs w:val="28"/>
          <w:highlight w:val="none"/>
        </w:rPr>
      </w:pPr>
      <w:r>
        <w:rPr>
          <w:rFonts w:hint="eastAsia" w:ascii="仿宋_GB2312"/>
          <w:color w:val="auto"/>
          <w:szCs w:val="28"/>
          <w:highlight w:val="none"/>
        </w:rPr>
        <w:t>3</w:t>
      </w:r>
      <w:r>
        <w:rPr>
          <w:rFonts w:ascii="仿宋_GB2312"/>
          <w:color w:val="auto"/>
          <w:szCs w:val="28"/>
          <w:highlight w:val="none"/>
        </w:rPr>
        <w:t>.中标人所提供的软件系统</w:t>
      </w:r>
      <w:r>
        <w:rPr>
          <w:rFonts w:hint="eastAsia" w:ascii="仿宋_GB2312"/>
          <w:color w:val="auto"/>
          <w:szCs w:val="28"/>
          <w:highlight w:val="none"/>
        </w:rPr>
        <w:t>必须具有独立的知识产权，由产品软件版权产生的任何纠纷以及造成的各项损失，由中标人负责赔偿。</w:t>
      </w:r>
    </w:p>
    <w:p w14:paraId="2E630B6D">
      <w:pPr>
        <w:ind w:firstLine="480"/>
        <w:rPr>
          <w:rFonts w:ascii="仿宋_GB2312"/>
          <w:color w:val="auto"/>
          <w:szCs w:val="28"/>
          <w:highlight w:val="none"/>
        </w:rPr>
      </w:pPr>
      <w:r>
        <w:rPr>
          <w:rFonts w:hint="eastAsia" w:ascii="仿宋_GB2312"/>
          <w:color w:val="auto"/>
          <w:szCs w:val="28"/>
          <w:highlight w:val="none"/>
        </w:rPr>
        <w:t>4</w:t>
      </w:r>
      <w:r>
        <w:rPr>
          <w:rFonts w:ascii="仿宋_GB2312"/>
          <w:color w:val="auto"/>
          <w:szCs w:val="28"/>
          <w:highlight w:val="none"/>
        </w:rPr>
        <w:t>.</w:t>
      </w:r>
      <w:r>
        <w:rPr>
          <w:rFonts w:hint="eastAsia" w:ascii="仿宋_GB2312"/>
          <w:color w:val="auto"/>
          <w:szCs w:val="28"/>
          <w:highlight w:val="none"/>
        </w:rPr>
        <w:t>中标人所提供的软件系统功能上满足用户需求，性能稳定，数据安全，用户操作友好。</w:t>
      </w:r>
    </w:p>
    <w:p w14:paraId="19AC81C6">
      <w:pPr>
        <w:ind w:firstLine="480"/>
        <w:rPr>
          <w:rFonts w:ascii="仿宋_GB2312"/>
          <w:color w:val="auto"/>
          <w:szCs w:val="28"/>
          <w:highlight w:val="none"/>
        </w:rPr>
      </w:pPr>
      <w:r>
        <w:rPr>
          <w:rFonts w:hint="eastAsia" w:ascii="仿宋_GB2312"/>
          <w:color w:val="auto"/>
          <w:szCs w:val="28"/>
          <w:highlight w:val="none"/>
        </w:rPr>
        <w:t>5</w:t>
      </w:r>
      <w:r>
        <w:rPr>
          <w:rFonts w:ascii="仿宋_GB2312"/>
          <w:color w:val="auto"/>
          <w:szCs w:val="28"/>
          <w:highlight w:val="none"/>
        </w:rPr>
        <w:t>.</w:t>
      </w:r>
      <w:r>
        <w:rPr>
          <w:rFonts w:hint="eastAsia" w:ascii="仿宋_GB2312"/>
          <w:color w:val="auto"/>
          <w:szCs w:val="28"/>
          <w:highlight w:val="none"/>
        </w:rPr>
        <w:t>中标人所提供的软件系统需要通过用户测评和第三方验收测评。</w:t>
      </w:r>
    </w:p>
    <w:p w14:paraId="1A15E0AA">
      <w:pPr>
        <w:pStyle w:val="2"/>
        <w:numPr>
          <w:ilvl w:val="255"/>
          <w:numId w:val="0"/>
        </w:num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（十）售后服务要求</w:t>
      </w:r>
    </w:p>
    <w:p w14:paraId="03A91ADC">
      <w:pPr>
        <w:ind w:firstLine="480"/>
        <w:rPr>
          <w:rFonts w:ascii="仿宋_GB2312"/>
          <w:color w:val="auto"/>
          <w:szCs w:val="28"/>
          <w:highlight w:val="none"/>
        </w:rPr>
      </w:pPr>
      <w:r>
        <w:rPr>
          <w:rFonts w:hint="eastAsia" w:ascii="仿宋_GB2312"/>
          <w:color w:val="auto"/>
          <w:szCs w:val="28"/>
          <w:highlight w:val="none"/>
        </w:rPr>
        <w:t>1</w:t>
      </w:r>
      <w:r>
        <w:rPr>
          <w:rFonts w:ascii="仿宋_GB2312"/>
          <w:color w:val="auto"/>
          <w:szCs w:val="28"/>
          <w:highlight w:val="none"/>
        </w:rPr>
        <w:t>.</w:t>
      </w:r>
      <w:r>
        <w:rPr>
          <w:rFonts w:hint="eastAsia" w:ascii="仿宋_GB2312"/>
          <w:color w:val="auto"/>
          <w:szCs w:val="28"/>
          <w:highlight w:val="none"/>
        </w:rPr>
        <w:t>中标人为采购人提供合同验收后</w:t>
      </w:r>
      <w:r>
        <w:rPr>
          <w:rFonts w:ascii="仿宋_GB2312"/>
          <w:b/>
          <w:bCs/>
          <w:color w:val="auto"/>
          <w:szCs w:val="28"/>
          <w:highlight w:val="none"/>
        </w:rPr>
        <w:t>15</w:t>
      </w:r>
      <w:r>
        <w:rPr>
          <w:rFonts w:hint="eastAsia" w:ascii="仿宋_GB2312"/>
          <w:b/>
          <w:bCs/>
          <w:color w:val="auto"/>
          <w:szCs w:val="28"/>
          <w:highlight w:val="none"/>
        </w:rPr>
        <w:t>个月的免费维护服务</w:t>
      </w:r>
      <w:r>
        <w:rPr>
          <w:rFonts w:hint="eastAsia" w:ascii="仿宋_GB2312"/>
          <w:color w:val="auto"/>
          <w:szCs w:val="28"/>
          <w:highlight w:val="none"/>
        </w:rPr>
        <w:t>，为采购人提供技术支持，保证采购人顺利运行系统。</w:t>
      </w:r>
    </w:p>
    <w:p w14:paraId="06A883A2">
      <w:pPr>
        <w:ind w:firstLine="480"/>
        <w:rPr>
          <w:rFonts w:ascii="仿宋_GB2312"/>
          <w:color w:val="auto"/>
          <w:szCs w:val="28"/>
          <w:highlight w:val="none"/>
        </w:rPr>
      </w:pPr>
      <w:r>
        <w:rPr>
          <w:rFonts w:hint="eastAsia" w:ascii="仿宋_GB2312"/>
          <w:color w:val="auto"/>
          <w:szCs w:val="28"/>
          <w:highlight w:val="none"/>
        </w:rPr>
        <w:t>2</w:t>
      </w:r>
      <w:r>
        <w:rPr>
          <w:rFonts w:ascii="仿宋_GB2312"/>
          <w:color w:val="auto"/>
          <w:szCs w:val="28"/>
          <w:highlight w:val="none"/>
        </w:rPr>
        <w:t>.</w:t>
      </w:r>
      <w:r>
        <w:rPr>
          <w:rFonts w:hint="eastAsia" w:ascii="仿宋_GB2312"/>
          <w:color w:val="auto"/>
          <w:szCs w:val="28"/>
          <w:highlight w:val="none"/>
        </w:rPr>
        <w:t>系统出现故障时，中标人需提供7×24小时的电话或网络远程技术支持，对于以上述方式无法解决的问题，中标人应在接到报障</w:t>
      </w:r>
      <w:r>
        <w:rPr>
          <w:rFonts w:ascii="仿宋_GB2312"/>
          <w:color w:val="auto"/>
          <w:szCs w:val="28"/>
          <w:highlight w:val="none"/>
        </w:rPr>
        <w:t>2</w:t>
      </w:r>
      <w:r>
        <w:rPr>
          <w:rFonts w:hint="eastAsia" w:ascii="仿宋_GB2312"/>
          <w:color w:val="auto"/>
          <w:szCs w:val="28"/>
          <w:highlight w:val="none"/>
        </w:rPr>
        <w:t>小时之内（工作时间）或</w:t>
      </w:r>
      <w:r>
        <w:rPr>
          <w:rFonts w:ascii="仿宋_GB2312"/>
          <w:color w:val="auto"/>
          <w:szCs w:val="28"/>
          <w:highlight w:val="none"/>
        </w:rPr>
        <w:t>4</w:t>
      </w:r>
      <w:r>
        <w:rPr>
          <w:rFonts w:hint="eastAsia" w:ascii="仿宋_GB2312"/>
          <w:color w:val="auto"/>
          <w:szCs w:val="28"/>
          <w:highlight w:val="none"/>
        </w:rPr>
        <w:t>小时内（非工作时间）派人到采购人现场处理应用系统故障，并做出故障原因报告。</w:t>
      </w:r>
    </w:p>
    <w:p w14:paraId="67787559">
      <w:pPr>
        <w:ind w:firstLine="480"/>
        <w:rPr>
          <w:rFonts w:ascii="仿宋_GB2312"/>
          <w:color w:val="auto"/>
          <w:szCs w:val="28"/>
          <w:highlight w:val="none"/>
        </w:rPr>
      </w:pPr>
      <w:r>
        <w:rPr>
          <w:rFonts w:hint="eastAsia" w:ascii="仿宋_GB2312"/>
          <w:color w:val="auto"/>
          <w:szCs w:val="28"/>
          <w:highlight w:val="none"/>
        </w:rPr>
        <w:t>3.中标供应商必须提出维护期内的维护内容和范围（平台、技术、模块、数据）。包括对软件的相应调整（操作平台的改变、数据库改变等），功能模块修改、增加、删除（注明功能模块免费调整、修改、增加的期限，属于程序BUG的问题要求终生免费保修），软件的定期升级等的服务方式。</w:t>
      </w:r>
    </w:p>
    <w:p w14:paraId="611BDA8B">
      <w:pPr>
        <w:ind w:firstLine="480"/>
        <w:rPr>
          <w:rFonts w:ascii="仿宋_GB2312"/>
          <w:color w:val="auto"/>
          <w:szCs w:val="28"/>
          <w:highlight w:val="none"/>
        </w:rPr>
      </w:pPr>
      <w:r>
        <w:rPr>
          <w:rFonts w:hint="eastAsia" w:ascii="仿宋_GB2312"/>
          <w:color w:val="auto"/>
          <w:szCs w:val="28"/>
          <w:highlight w:val="none"/>
        </w:rPr>
        <w:t>4.在本项目运维期内，中标供应商必须提供不少于</w:t>
      </w:r>
      <w:r>
        <w:rPr>
          <w:rFonts w:ascii="仿宋_GB2312"/>
          <w:color w:val="auto"/>
          <w:szCs w:val="28"/>
          <w:highlight w:val="none"/>
        </w:rPr>
        <w:t>5</w:t>
      </w:r>
      <w:r>
        <w:rPr>
          <w:rFonts w:hint="eastAsia" w:ascii="仿宋_GB2312"/>
          <w:color w:val="auto"/>
          <w:szCs w:val="28"/>
          <w:highlight w:val="none"/>
        </w:rPr>
        <w:t>人的运维团队，其中1名为运维团队负责人，要求具有计算机或测绘相关专业工程师职称，投标人如中途更换运维团队负责人，必须征得采购人同意。</w:t>
      </w:r>
    </w:p>
    <w:p w14:paraId="0F99C04F">
      <w:pPr>
        <w:pStyle w:val="9"/>
        <w:outlineLvl w:val="2"/>
        <w:rPr>
          <w:rFonts w:hint="default"/>
          <w:b/>
          <w:color w:val="auto"/>
          <w:sz w:val="28"/>
          <w:highlight w:val="none"/>
        </w:rPr>
      </w:pPr>
      <w:r>
        <w:rPr>
          <w:b/>
          <w:color w:val="auto"/>
          <w:sz w:val="28"/>
          <w:highlight w:val="none"/>
          <w:lang w:eastAsia="zh-CN"/>
        </w:rPr>
        <w:t>十、</w:t>
      </w:r>
      <w:r>
        <w:rPr>
          <w:b/>
          <w:color w:val="auto"/>
          <w:sz w:val="28"/>
          <w:highlight w:val="none"/>
        </w:rPr>
        <w:t>付款方式</w:t>
      </w:r>
    </w:p>
    <w:p w14:paraId="70E95FA2">
      <w:pPr>
        <w:pStyle w:val="5"/>
        <w:ind w:left="42" w:leftChars="20" w:firstLine="420" w:firstLineChars="200"/>
        <w:rPr>
          <w:rFonts w:ascii="仿宋_GB2312"/>
          <w:color w:val="auto"/>
          <w:szCs w:val="28"/>
          <w:highlight w:val="none"/>
        </w:rPr>
      </w:pPr>
      <w:r>
        <w:rPr>
          <w:rFonts w:ascii="仿宋_GB2312"/>
          <w:color w:val="auto"/>
          <w:szCs w:val="28"/>
          <w:highlight w:val="none"/>
        </w:rPr>
        <w:t>1.</w:t>
      </w:r>
      <w:r>
        <w:rPr>
          <w:rFonts w:hint="eastAsia" w:ascii="仿宋_GB2312"/>
          <w:color w:val="auto"/>
          <w:szCs w:val="28"/>
          <w:highlight w:val="none"/>
        </w:rPr>
        <w:t>合同签订后，中标人开具符合国家财务规定的</w:t>
      </w:r>
      <w:r>
        <w:rPr>
          <w:rFonts w:hint="eastAsia" w:ascii="仿宋_GB2312" w:hAnsi="仿宋_GB2312" w:cs="仿宋_GB2312"/>
          <w:color w:val="auto"/>
          <w:kern w:val="0"/>
          <w:highlight w:val="none"/>
        </w:rPr>
        <w:t>合同总费用</w:t>
      </w:r>
      <w:r>
        <w:rPr>
          <w:rFonts w:ascii="仿宋_GB2312" w:hAnsi="仿宋_GB2312" w:cs="仿宋_GB2312"/>
          <w:color w:val="auto"/>
          <w:kern w:val="0"/>
          <w:highlight w:val="none"/>
        </w:rPr>
        <w:t>30%</w:t>
      </w:r>
      <w:r>
        <w:rPr>
          <w:rFonts w:hint="eastAsia" w:ascii="仿宋_GB2312"/>
          <w:color w:val="auto"/>
          <w:szCs w:val="28"/>
          <w:highlight w:val="none"/>
        </w:rPr>
        <w:t>款项对应的发票，采购人在收到发票后5个工作日内按照国库集中支付有关规定办理支付手续。</w:t>
      </w:r>
    </w:p>
    <w:p w14:paraId="09C3BBEC">
      <w:pPr>
        <w:pStyle w:val="5"/>
        <w:ind w:left="42" w:leftChars="20" w:firstLine="420" w:firstLineChars="200"/>
        <w:rPr>
          <w:rFonts w:ascii="仿宋_GB2312"/>
          <w:color w:val="auto"/>
          <w:szCs w:val="28"/>
          <w:highlight w:val="none"/>
        </w:rPr>
      </w:pPr>
      <w:r>
        <w:rPr>
          <w:rFonts w:ascii="仿宋_GB2312"/>
          <w:color w:val="auto"/>
          <w:szCs w:val="28"/>
          <w:highlight w:val="none"/>
        </w:rPr>
        <w:t>2.</w:t>
      </w:r>
      <w:r>
        <w:rPr>
          <w:rFonts w:hint="eastAsia" w:ascii="仿宋_GB2312"/>
          <w:color w:val="auto"/>
          <w:szCs w:val="28"/>
          <w:highlight w:val="none"/>
        </w:rPr>
        <w:t>项目初验后，中标人开具符合国家财务规定的</w:t>
      </w:r>
      <w:r>
        <w:rPr>
          <w:rFonts w:hint="eastAsia" w:ascii="仿宋_GB2312" w:hAnsi="仿宋_GB2312" w:cs="仿宋_GB2312"/>
          <w:color w:val="auto"/>
          <w:kern w:val="0"/>
          <w:highlight w:val="none"/>
        </w:rPr>
        <w:t>合同总费用</w:t>
      </w:r>
      <w:r>
        <w:rPr>
          <w:rFonts w:ascii="仿宋_GB2312" w:hAnsi="仿宋_GB2312" w:cs="仿宋_GB2312"/>
          <w:color w:val="auto"/>
          <w:kern w:val="0"/>
          <w:highlight w:val="none"/>
        </w:rPr>
        <w:t>50%</w:t>
      </w:r>
      <w:r>
        <w:rPr>
          <w:rFonts w:hint="eastAsia" w:ascii="仿宋_GB2312"/>
          <w:color w:val="auto"/>
          <w:szCs w:val="28"/>
          <w:highlight w:val="none"/>
        </w:rPr>
        <w:t>款项对应的发票，采购人在收到发票后5个工作日内按照国库集中支付有关规定办理支付手续。</w:t>
      </w:r>
    </w:p>
    <w:p w14:paraId="37568EF9">
      <w:pPr>
        <w:pStyle w:val="5"/>
        <w:ind w:left="42" w:leftChars="20" w:firstLine="420" w:firstLineChars="200"/>
        <w:rPr>
          <w:rFonts w:ascii="仿宋_GB2312"/>
          <w:color w:val="auto"/>
          <w:szCs w:val="28"/>
          <w:highlight w:val="none"/>
        </w:rPr>
      </w:pPr>
      <w:r>
        <w:rPr>
          <w:rFonts w:hint="eastAsia" w:ascii="仿宋_GB2312"/>
          <w:color w:val="auto"/>
          <w:szCs w:val="28"/>
          <w:highlight w:val="none"/>
        </w:rPr>
        <w:t>3.中标人通过采购人组织的项目合同验收后，中标人开具符合国家财务规定的合同总费用2</w:t>
      </w:r>
      <w:r>
        <w:rPr>
          <w:rFonts w:ascii="仿宋_GB2312"/>
          <w:color w:val="auto"/>
          <w:szCs w:val="28"/>
          <w:highlight w:val="none"/>
        </w:rPr>
        <w:t>0%</w:t>
      </w:r>
      <w:r>
        <w:rPr>
          <w:rFonts w:hint="eastAsia" w:ascii="仿宋_GB2312"/>
          <w:color w:val="auto"/>
          <w:szCs w:val="28"/>
          <w:highlight w:val="none"/>
        </w:rPr>
        <w:t>款项对应的发票，采购人在收到发票后5个工作日内按照国库集中支付有关规定办理支付手续。</w:t>
      </w:r>
    </w:p>
    <w:p w14:paraId="409E9CF4">
      <w:pPr>
        <w:pStyle w:val="5"/>
        <w:ind w:left="42" w:leftChars="20" w:firstLine="420" w:firstLineChars="200"/>
        <w:rPr>
          <w:rFonts w:ascii="仿宋_GB2312"/>
          <w:color w:val="auto"/>
          <w:szCs w:val="28"/>
          <w:highlight w:val="none"/>
        </w:rPr>
      </w:pPr>
      <w:r>
        <w:rPr>
          <w:rFonts w:hint="eastAsia" w:ascii="仿宋_GB2312"/>
          <w:color w:val="auto"/>
          <w:szCs w:val="28"/>
          <w:highlight w:val="none"/>
        </w:rPr>
        <w:t>鉴于采购人使用的是财政资金，采购人按期办理财政支付手续的，视为采购人已按约支付。由于财政拨款等原因，采购人有权根据财政资金批复情况，调整付款时间和金额，因此导致中标人收款延误的，采购人不承担责任，并且此情况不能成为中标人中止或拒绝履行合同约定义务的理由。</w:t>
      </w:r>
    </w:p>
    <w:p w14:paraId="05F368D7">
      <w:pPr>
        <w:pStyle w:val="9"/>
        <w:outlineLvl w:val="2"/>
        <w:rPr>
          <w:rFonts w:hint="default"/>
          <w:b/>
          <w:color w:val="auto"/>
          <w:sz w:val="28"/>
          <w:highlight w:val="none"/>
        </w:rPr>
      </w:pPr>
      <w:r>
        <w:rPr>
          <w:b/>
          <w:color w:val="auto"/>
          <w:sz w:val="28"/>
          <w:highlight w:val="none"/>
          <w:lang w:eastAsia="zh-CN"/>
        </w:rPr>
        <w:t>十一、</w:t>
      </w:r>
      <w:r>
        <w:rPr>
          <w:rFonts w:hint="default"/>
          <w:b/>
          <w:color w:val="auto"/>
          <w:sz w:val="28"/>
          <w:highlight w:val="none"/>
        </w:rPr>
        <w:t>原型演示要求</w:t>
      </w:r>
    </w:p>
    <w:p w14:paraId="71BF4E88">
      <w:pPr>
        <w:pStyle w:val="5"/>
        <w:ind w:left="42" w:leftChars="20" w:firstLine="420" w:firstLineChars="200"/>
        <w:rPr>
          <w:rFonts w:ascii="仿宋_GB2312"/>
          <w:color w:val="auto"/>
          <w:szCs w:val="28"/>
          <w:highlight w:val="none"/>
        </w:rPr>
      </w:pPr>
      <w:r>
        <w:rPr>
          <w:rFonts w:hint="eastAsia" w:ascii="仿宋_GB2312"/>
          <w:color w:val="auto"/>
          <w:szCs w:val="28"/>
          <w:highlight w:val="none"/>
        </w:rPr>
        <w:t>本项目要求在评审过程中进行演示，建议供应商在投标文件解密时间截止后1小时内到达等候地点</w:t>
      </w:r>
      <w:r>
        <w:rPr>
          <w:rFonts w:hint="eastAsia" w:ascii="仿宋_GB2312"/>
          <w:b/>
          <w:bCs/>
          <w:color w:val="auto"/>
          <w:szCs w:val="28"/>
          <w:highlight w:val="none"/>
        </w:rPr>
        <w:t>（广州市天河区天润路445号广州市政府采购中心（太阳广场）四楼供应商等候区）</w:t>
      </w:r>
      <w:r>
        <w:rPr>
          <w:rFonts w:hint="eastAsia" w:ascii="仿宋_GB2312"/>
          <w:color w:val="auto"/>
          <w:szCs w:val="28"/>
          <w:highlight w:val="none"/>
        </w:rPr>
        <w:t>等候。演示开始时间由评审委员会确定，如供应商未在评审委员会规定的时间内到达演示地点进行原型</w:t>
      </w:r>
      <w:r>
        <w:rPr>
          <w:rFonts w:ascii="仿宋_GB2312"/>
          <w:color w:val="auto"/>
          <w:szCs w:val="28"/>
          <w:highlight w:val="none"/>
        </w:rPr>
        <w:t>系统</w:t>
      </w:r>
      <w:r>
        <w:rPr>
          <w:rFonts w:hint="eastAsia" w:ascii="仿宋_GB2312"/>
          <w:color w:val="auto"/>
          <w:szCs w:val="28"/>
          <w:highlight w:val="none"/>
        </w:rPr>
        <w:t>演示，评审委员会有权视其放弃演示。</w:t>
      </w:r>
    </w:p>
    <w:p w14:paraId="238159A5">
      <w:pPr>
        <w:pStyle w:val="5"/>
        <w:ind w:left="0" w:leftChars="0" w:firstLine="0" w:firstLineChars="0"/>
        <w:rPr>
          <w:rFonts w:ascii="仿宋_GB2312"/>
          <w:color w:val="auto"/>
          <w:szCs w:val="28"/>
          <w:highlight w:val="none"/>
        </w:rPr>
      </w:pPr>
      <w:r>
        <w:rPr>
          <w:rFonts w:hint="eastAsia" w:ascii="仿宋_GB2312"/>
          <w:color w:val="auto"/>
          <w:szCs w:val="28"/>
          <w:highlight w:val="none"/>
        </w:rPr>
        <w:t>（一）本项目由有效投标人于评标过程中进行演示，请投标人自行准备相关文件。</w:t>
      </w:r>
    </w:p>
    <w:p w14:paraId="52718D59">
      <w:pPr>
        <w:pStyle w:val="5"/>
        <w:ind w:left="0" w:leftChars="0" w:firstLine="0" w:firstLineChars="0"/>
        <w:rPr>
          <w:rFonts w:ascii="仿宋_GB2312"/>
          <w:color w:val="auto"/>
          <w:szCs w:val="28"/>
          <w:highlight w:val="none"/>
        </w:rPr>
      </w:pPr>
      <w:r>
        <w:rPr>
          <w:rFonts w:hint="eastAsia" w:ascii="仿宋_GB2312"/>
          <w:color w:val="auto"/>
          <w:szCs w:val="28"/>
          <w:highlight w:val="none"/>
        </w:rPr>
        <w:t>（二）授权委托代理人须凭身份证原件参加演示，参加人数不超过2人（含授权委托代理人在内）。</w:t>
      </w:r>
    </w:p>
    <w:p w14:paraId="234B89A2">
      <w:pPr>
        <w:pStyle w:val="5"/>
        <w:ind w:left="0" w:leftChars="0" w:firstLine="0" w:firstLineChars="0"/>
        <w:rPr>
          <w:rFonts w:ascii="仿宋_GB2312"/>
          <w:color w:val="auto"/>
          <w:szCs w:val="28"/>
          <w:highlight w:val="none"/>
        </w:rPr>
      </w:pPr>
      <w:r>
        <w:rPr>
          <w:rFonts w:hint="eastAsia" w:ascii="仿宋_GB2312"/>
          <w:color w:val="auto"/>
          <w:szCs w:val="28"/>
          <w:highlight w:val="none"/>
        </w:rPr>
        <w:t>（三）如演示过程中需要用到电脑等设备（设备不能共用），请投标人自带，评标现场仅提供电源和投影设备。</w:t>
      </w:r>
    </w:p>
    <w:p w14:paraId="28B6E61C">
      <w:pPr>
        <w:pStyle w:val="5"/>
        <w:ind w:left="0" w:leftChars="0" w:firstLine="0" w:firstLineChars="0"/>
        <w:rPr>
          <w:rFonts w:ascii="仿宋_GB2312"/>
          <w:color w:val="auto"/>
          <w:szCs w:val="28"/>
          <w:highlight w:val="none"/>
        </w:rPr>
      </w:pPr>
      <w:r>
        <w:rPr>
          <w:rFonts w:hint="eastAsia" w:ascii="仿宋_GB2312"/>
          <w:color w:val="auto"/>
          <w:szCs w:val="28"/>
          <w:highlight w:val="none"/>
        </w:rPr>
        <w:t>（四）演示时间不超过</w:t>
      </w:r>
      <w:r>
        <w:rPr>
          <w:rFonts w:ascii="仿宋_GB2312"/>
          <w:color w:val="auto"/>
          <w:szCs w:val="28"/>
          <w:highlight w:val="none"/>
        </w:rPr>
        <w:t>20</w:t>
      </w:r>
      <w:r>
        <w:rPr>
          <w:rFonts w:hint="eastAsia" w:ascii="仿宋_GB2312"/>
          <w:color w:val="auto"/>
          <w:szCs w:val="28"/>
          <w:highlight w:val="none"/>
        </w:rPr>
        <w:t>分钟。</w:t>
      </w:r>
    </w:p>
    <w:p w14:paraId="60B6E5E3">
      <w:pPr>
        <w:pStyle w:val="5"/>
        <w:ind w:left="0" w:leftChars="0" w:firstLine="0" w:firstLineChars="0"/>
        <w:rPr>
          <w:rFonts w:ascii="仿宋_GB2312"/>
          <w:color w:val="auto"/>
          <w:szCs w:val="28"/>
          <w:highlight w:val="none"/>
        </w:rPr>
      </w:pPr>
      <w:r>
        <w:rPr>
          <w:rFonts w:hint="eastAsia" w:ascii="仿宋_GB2312"/>
          <w:color w:val="auto"/>
          <w:szCs w:val="28"/>
          <w:highlight w:val="none"/>
        </w:rPr>
        <w:t>（五）投标人演示顺序按《开标一览表》的顺序进行。</w:t>
      </w:r>
    </w:p>
    <w:p w14:paraId="24D30383">
      <w:pPr>
        <w:pStyle w:val="5"/>
        <w:ind w:left="0" w:leftChars="0" w:firstLine="0" w:firstLineChars="0"/>
        <w:rPr>
          <w:rFonts w:ascii="仿宋_GB2312"/>
          <w:color w:val="auto"/>
          <w:szCs w:val="28"/>
          <w:highlight w:val="none"/>
        </w:rPr>
      </w:pPr>
      <w:r>
        <w:rPr>
          <w:rFonts w:hint="eastAsia" w:ascii="仿宋_GB2312"/>
          <w:color w:val="auto"/>
          <w:szCs w:val="28"/>
          <w:highlight w:val="none"/>
        </w:rPr>
        <w:t>（六）演示内容：</w:t>
      </w:r>
    </w:p>
    <w:p w14:paraId="5459ABA0">
      <w:pPr>
        <w:pStyle w:val="5"/>
        <w:ind w:left="840" w:hanging="420"/>
        <w:rPr>
          <w:rFonts w:ascii="仿宋_GB2312"/>
          <w:color w:val="auto"/>
          <w:szCs w:val="28"/>
          <w:highlight w:val="none"/>
        </w:rPr>
      </w:pPr>
      <w:r>
        <w:rPr>
          <w:rFonts w:hint="eastAsia" w:ascii="仿宋_GB2312"/>
          <w:color w:val="auto"/>
          <w:szCs w:val="28"/>
          <w:highlight w:val="none"/>
        </w:rPr>
        <w:t>1.农村集体资产管理：①提供资产台账管理功能，支持查看资产清单，包括资产编号、</w:t>
      </w:r>
    </w:p>
    <w:p w14:paraId="231B1BDC">
      <w:pPr>
        <w:pStyle w:val="5"/>
        <w:ind w:left="210" w:leftChars="100" w:firstLine="0" w:firstLineChars="0"/>
        <w:rPr>
          <w:rFonts w:ascii="仿宋_GB2312"/>
          <w:color w:val="auto"/>
          <w:szCs w:val="28"/>
          <w:highlight w:val="none"/>
        </w:rPr>
      </w:pPr>
      <w:r>
        <w:rPr>
          <w:rFonts w:hint="eastAsia" w:ascii="仿宋_GB2312"/>
          <w:color w:val="auto"/>
          <w:szCs w:val="28"/>
          <w:highlight w:val="none"/>
        </w:rPr>
        <w:t>资产地址、资产登记面积等关键信息；②提供集体资产填报管理功能，支持对资产关键信息进行编辑修改、在地图上新增绘制资产空间范围，并和原资产信息进行对照，以物业型资产为例，支持资产单元对应楼层、房号、面积等信息新增录入；③展示村下属经济社资产录入进度。</w:t>
      </w:r>
    </w:p>
    <w:p w14:paraId="32FDCD6B">
      <w:pPr>
        <w:pStyle w:val="5"/>
        <w:ind w:left="840" w:hanging="420"/>
        <w:rPr>
          <w:rFonts w:ascii="仿宋_GB2312"/>
          <w:color w:val="auto"/>
          <w:szCs w:val="28"/>
          <w:highlight w:val="none"/>
        </w:rPr>
      </w:pPr>
      <w:r>
        <w:rPr>
          <w:rFonts w:hint="eastAsia" w:ascii="仿宋_GB2312"/>
          <w:color w:val="auto"/>
          <w:szCs w:val="28"/>
          <w:highlight w:val="none"/>
        </w:rPr>
        <w:t>2.集体资产一张图：①展示天河区农村集体资产的总体情况，以图表展示各村的资产宗</w:t>
      </w:r>
    </w:p>
    <w:p w14:paraId="3D698584">
      <w:pPr>
        <w:pStyle w:val="5"/>
        <w:ind w:left="210" w:leftChars="100" w:firstLine="0" w:firstLineChars="0"/>
        <w:rPr>
          <w:rFonts w:ascii="仿宋_GB2312"/>
          <w:color w:val="auto"/>
          <w:szCs w:val="28"/>
          <w:highlight w:val="none"/>
        </w:rPr>
      </w:pPr>
      <w:r>
        <w:rPr>
          <w:rFonts w:hint="eastAsia" w:ascii="仿宋_GB2312"/>
          <w:color w:val="auto"/>
          <w:szCs w:val="28"/>
          <w:highlight w:val="none"/>
        </w:rPr>
        <w:t>数和面积、资产详情；②以不同符号展示天河区资产和资源，可图上查询资产和资源的详细信息；③展示地图数据资源目录，包括影像、行政区划、集体资产、租金类、留用地、土地利用现状、企业数据等，分别各类地图数据可视化展示；④展示集体资产重大项目分布专题图与统计数据可视化。</w:t>
      </w:r>
    </w:p>
    <w:p w14:paraId="501D9C7E">
      <w:pPr>
        <w:pStyle w:val="5"/>
        <w:ind w:left="840" w:hanging="420"/>
        <w:rPr>
          <w:rFonts w:ascii="仿宋_GB2312"/>
          <w:color w:val="auto"/>
          <w:szCs w:val="28"/>
          <w:highlight w:val="none"/>
        </w:rPr>
      </w:pPr>
      <w:r>
        <w:rPr>
          <w:rFonts w:hint="eastAsia" w:ascii="仿宋_GB2312"/>
          <w:color w:val="auto"/>
          <w:szCs w:val="28"/>
          <w:highlight w:val="none"/>
        </w:rPr>
        <w:t>3.资产一棵树：①根据资产名称搜索资产，以列表形式展示查询结果，选择某一物业型</w:t>
      </w:r>
    </w:p>
    <w:p w14:paraId="29A3BBAF">
      <w:pPr>
        <w:pStyle w:val="5"/>
        <w:ind w:left="210" w:leftChars="100" w:firstLine="0" w:firstLineChars="0"/>
        <w:rPr>
          <w:rFonts w:ascii="仿宋_GB2312"/>
          <w:color w:val="auto"/>
          <w:szCs w:val="28"/>
          <w:highlight w:val="none"/>
        </w:rPr>
      </w:pPr>
      <w:r>
        <w:rPr>
          <w:rFonts w:hint="eastAsia" w:ascii="仿宋_GB2312"/>
          <w:color w:val="auto"/>
          <w:szCs w:val="28"/>
          <w:highlight w:val="none"/>
        </w:rPr>
        <w:t>资产，展示登记信息，资产所在建筑物和资产单元信息（二维楼盘表，资产单元的状态），现势合同详情，历史合同详情，合同收款情况；②支持按照合同编号搜索合同，展示搜索结果、合同详情及对应的资产信息。</w:t>
      </w:r>
    </w:p>
    <w:p w14:paraId="7593099E">
      <w:pPr>
        <w:pStyle w:val="5"/>
        <w:ind w:left="840" w:hanging="420"/>
        <w:rPr>
          <w:rFonts w:ascii="仿宋_GB2312"/>
          <w:color w:val="auto"/>
          <w:szCs w:val="28"/>
          <w:highlight w:val="none"/>
        </w:rPr>
      </w:pPr>
      <w:r>
        <w:rPr>
          <w:rFonts w:hint="eastAsia" w:ascii="仿宋_GB2312"/>
          <w:color w:val="auto"/>
          <w:szCs w:val="28"/>
          <w:highlight w:val="none"/>
        </w:rPr>
        <w:t>4.资产监测：①实时统计集体资产是否已落图、是否已实测，展示统计结果；②展示资</w:t>
      </w:r>
    </w:p>
    <w:p w14:paraId="4A9B0658">
      <w:pPr>
        <w:pStyle w:val="5"/>
        <w:ind w:left="210" w:leftChars="100" w:firstLine="0" w:firstLineChars="0"/>
        <w:rPr>
          <w:rFonts w:ascii="仿宋_GB2312"/>
          <w:color w:val="auto"/>
          <w:szCs w:val="28"/>
          <w:highlight w:val="none"/>
        </w:rPr>
      </w:pPr>
      <w:r>
        <w:rPr>
          <w:rFonts w:hint="eastAsia" w:ascii="仿宋_GB2312"/>
          <w:color w:val="auto"/>
          <w:szCs w:val="28"/>
          <w:highlight w:val="none"/>
        </w:rPr>
        <w:t>产信息存疑（面积、地址、用途）的情况，提供统计数据查看监测，支持在地图上定位对应资产；③提供资产用途监测，支持集体资产与土地利用现状地类用途进行用途比对，展示用途不一致的资产；④对于用途存疑的资产，可自动生成监管函，并可在线编辑和导出监管函到本地电脑。</w:t>
      </w:r>
    </w:p>
    <w:p w14:paraId="678F1DE8">
      <w:pPr>
        <w:pStyle w:val="5"/>
        <w:ind w:left="840" w:hanging="420"/>
        <w:rPr>
          <w:rFonts w:ascii="仿宋_GB2312"/>
          <w:color w:val="auto"/>
          <w:szCs w:val="28"/>
          <w:highlight w:val="none"/>
        </w:rPr>
      </w:pPr>
      <w:r>
        <w:rPr>
          <w:rFonts w:hint="eastAsia" w:ascii="仿宋_GB2312"/>
          <w:color w:val="auto"/>
          <w:szCs w:val="28"/>
          <w:highlight w:val="none"/>
        </w:rPr>
        <w:t>5.资产闲置监测：①支持在地图上展示区级集体资产闲置情况，分为资源型、物业型分</w:t>
      </w:r>
    </w:p>
    <w:p w14:paraId="6BF482F9">
      <w:pPr>
        <w:pStyle w:val="5"/>
        <w:ind w:left="210" w:leftChars="100" w:firstLine="0" w:firstLineChars="0"/>
        <w:rPr>
          <w:rFonts w:ascii="仿宋_GB2312"/>
          <w:color w:val="auto"/>
          <w:szCs w:val="28"/>
          <w:highlight w:val="none"/>
        </w:rPr>
      </w:pPr>
      <w:r>
        <w:rPr>
          <w:rFonts w:hint="eastAsia" w:ascii="仿宋_GB2312"/>
          <w:color w:val="auto"/>
          <w:szCs w:val="28"/>
          <w:highlight w:val="none"/>
        </w:rPr>
        <w:t>别统计，统计闲置超过半年、3个月的资产的数量；②对村级集体资产进行统计，包括闲置宗数、面积，不同用途资产闲置数量和面积，位置分布，闲置资产详细信息展示。</w:t>
      </w:r>
    </w:p>
    <w:p w14:paraId="3A737A42">
      <w:pPr>
        <w:pStyle w:val="5"/>
        <w:ind w:left="840" w:hanging="420"/>
        <w:rPr>
          <w:rFonts w:ascii="仿宋_GB2312"/>
          <w:color w:val="auto"/>
          <w:szCs w:val="28"/>
          <w:highlight w:val="none"/>
        </w:rPr>
      </w:pPr>
      <w:r>
        <w:rPr>
          <w:rFonts w:hint="eastAsia" w:ascii="仿宋_GB2312"/>
          <w:color w:val="auto"/>
          <w:szCs w:val="28"/>
          <w:highlight w:val="none"/>
        </w:rPr>
        <w:t>6.资产交易监测：①展示资产交易情况，按村统计成功和失败的次数、宗数；②提供交</w:t>
      </w:r>
    </w:p>
    <w:p w14:paraId="23491869">
      <w:pPr>
        <w:pStyle w:val="5"/>
        <w:ind w:left="210" w:leftChars="100" w:firstLine="0" w:firstLineChars="0"/>
        <w:rPr>
          <w:rFonts w:ascii="仿宋_GB2312"/>
          <w:color w:val="auto"/>
          <w:szCs w:val="28"/>
          <w:highlight w:val="none"/>
        </w:rPr>
      </w:pPr>
      <w:r>
        <w:rPr>
          <w:rFonts w:hint="eastAsia" w:ascii="仿宋_GB2312"/>
          <w:color w:val="auto"/>
          <w:szCs w:val="28"/>
          <w:highlight w:val="none"/>
        </w:rPr>
        <w:t>易失败分析模块，统计任意时间段内资产交易失败情况（次数、宗数、总交易金额），分析失败原因，展示交易失败的资产清单；③对交易失败三次以上的资产、历史交易失败情况进行统计分析；④在地图上定位交易失败的资产，展示对应的底价、失败原因和资产基本情况，支持对交易失败的资产进行价格评估，结合周边资产价格、住建局租金参考等数据，测算并显示评估价格结果，并生成对应的交易方案。</w:t>
      </w:r>
    </w:p>
    <w:p w14:paraId="633E3B92">
      <w:pPr>
        <w:pStyle w:val="5"/>
        <w:ind w:left="840" w:hanging="420"/>
        <w:rPr>
          <w:rFonts w:ascii="仿宋_GB2312"/>
          <w:color w:val="auto"/>
          <w:szCs w:val="28"/>
          <w:highlight w:val="none"/>
        </w:rPr>
      </w:pPr>
      <w:r>
        <w:rPr>
          <w:rFonts w:hint="eastAsia" w:ascii="仿宋_GB2312"/>
          <w:color w:val="auto"/>
          <w:szCs w:val="28"/>
          <w:highlight w:val="none"/>
        </w:rPr>
        <w:t>7.资产合同监管：①展示合同签订不规范（关键信息不全）的合同清单，突出标识关键</w:t>
      </w:r>
    </w:p>
    <w:p w14:paraId="7EF48260">
      <w:pPr>
        <w:pStyle w:val="5"/>
        <w:ind w:left="210" w:leftChars="100" w:firstLine="0" w:firstLineChars="0"/>
        <w:rPr>
          <w:rFonts w:ascii="仿宋_GB2312"/>
          <w:color w:val="auto"/>
          <w:szCs w:val="28"/>
          <w:highlight w:val="none"/>
        </w:rPr>
      </w:pPr>
      <w:r>
        <w:rPr>
          <w:rFonts w:hint="eastAsia" w:ascii="仿宋_GB2312"/>
          <w:color w:val="auto"/>
          <w:szCs w:val="28"/>
          <w:highlight w:val="none"/>
        </w:rPr>
        <w:t>信息不全的内容；②分析合同到期情况，展示各村即将到期合同总量，包括1个月、3个月、6个月内即将到期合同数量、金额和面积，并突出标识；③对超长期合同进行监管，展示超长期合同列表及详情；④对任意时间段内合同变更总量进行监测，进行合同变更原因分析，并支持查看各地区合同变更数量及变更详情。</w:t>
      </w:r>
    </w:p>
    <w:p w14:paraId="66495630">
      <w:pPr>
        <w:pStyle w:val="5"/>
        <w:ind w:left="840" w:hanging="420"/>
        <w:rPr>
          <w:rFonts w:ascii="仿宋_GB2312"/>
          <w:color w:val="auto"/>
          <w:szCs w:val="28"/>
          <w:highlight w:val="none"/>
        </w:rPr>
      </w:pPr>
      <w:r>
        <w:rPr>
          <w:rFonts w:hint="eastAsia" w:ascii="仿宋_GB2312"/>
          <w:color w:val="auto"/>
          <w:szCs w:val="28"/>
          <w:highlight w:val="none"/>
        </w:rPr>
        <w:t>8.承租人分析：①对全区的资产承租人（企业、自然人）总体情况进行统计分析，包括</w:t>
      </w:r>
    </w:p>
    <w:p w14:paraId="2E3740E8">
      <w:pPr>
        <w:pStyle w:val="5"/>
        <w:ind w:left="210" w:leftChars="100" w:firstLine="0" w:firstLineChars="0"/>
        <w:rPr>
          <w:rFonts w:ascii="仿宋_GB2312"/>
          <w:color w:val="auto"/>
          <w:szCs w:val="28"/>
          <w:highlight w:val="none"/>
        </w:rPr>
      </w:pPr>
      <w:r>
        <w:rPr>
          <w:rFonts w:hint="eastAsia" w:ascii="仿宋_GB2312"/>
          <w:color w:val="auto"/>
          <w:szCs w:val="28"/>
          <w:highlight w:val="none"/>
        </w:rPr>
        <w:t>承租总金额、面积等信息；②承租企业分析，包括股权分析，展现承租人所有承租合同、合同类型、承租资产所属村等；③展示历史拖欠合同租金的承租人及其在租现势合同情况。</w:t>
      </w:r>
    </w:p>
    <w:p w14:paraId="63B4DCCB">
      <w:pPr>
        <w:pStyle w:val="5"/>
        <w:ind w:left="840" w:hanging="420"/>
        <w:rPr>
          <w:rFonts w:ascii="仿宋_GB2312"/>
          <w:color w:val="auto"/>
          <w:szCs w:val="28"/>
          <w:highlight w:val="none"/>
        </w:rPr>
      </w:pPr>
      <w:r>
        <w:rPr>
          <w:rFonts w:hint="eastAsia" w:ascii="仿宋_GB2312"/>
          <w:color w:val="auto"/>
          <w:szCs w:val="28"/>
          <w:highlight w:val="none"/>
        </w:rPr>
        <w:t>9.集体资产数据驾驶舱：①分析和汇总天河区农村集体资产相关核心统计数据，展示资</w:t>
      </w:r>
    </w:p>
    <w:p w14:paraId="08303667">
      <w:pPr>
        <w:pStyle w:val="5"/>
        <w:ind w:left="210" w:leftChars="100" w:firstLine="0" w:firstLineChars="0"/>
        <w:rPr>
          <w:rFonts w:ascii="仿宋_GB2312"/>
          <w:color w:val="auto"/>
          <w:szCs w:val="28"/>
          <w:highlight w:val="none"/>
        </w:rPr>
      </w:pPr>
      <w:r>
        <w:rPr>
          <w:rFonts w:hint="eastAsia" w:ascii="仿宋_GB2312"/>
          <w:color w:val="auto"/>
          <w:szCs w:val="28"/>
          <w:highlight w:val="none"/>
        </w:rPr>
        <w:t>产总体情况（总量、闲置等）、年度/月度资产交易情况（交易宗数、总金额、成功与失败的数量、不同交易方式占比等）、合同情况（数量、金额等）、财务情况（收入、支出等）。</w:t>
      </w:r>
    </w:p>
    <w:p w14:paraId="5F71F73E">
      <w:pPr>
        <w:pStyle w:val="5"/>
        <w:ind w:left="840" w:hanging="420"/>
        <w:rPr>
          <w:rFonts w:ascii="仿宋_GB2312"/>
          <w:color w:val="auto"/>
          <w:szCs w:val="28"/>
          <w:highlight w:val="none"/>
        </w:rPr>
      </w:pPr>
      <w:r>
        <w:rPr>
          <w:rFonts w:hint="eastAsia" w:ascii="仿宋_GB2312"/>
          <w:color w:val="auto"/>
          <w:szCs w:val="28"/>
          <w:highlight w:val="none"/>
        </w:rPr>
        <w:t>10.资产推介利用：①支持根据面积、区位、用途等查找集体资产，系统筛选出符合条</w:t>
      </w:r>
    </w:p>
    <w:p w14:paraId="60238A80">
      <w:pPr>
        <w:pStyle w:val="5"/>
        <w:ind w:left="210" w:leftChars="100" w:firstLine="0" w:firstLineChars="0"/>
        <w:rPr>
          <w:rFonts w:hint="eastAsia" w:ascii="仿宋_GB2312"/>
          <w:color w:val="auto"/>
          <w:szCs w:val="28"/>
          <w:highlight w:val="none"/>
        </w:rPr>
      </w:pPr>
      <w:r>
        <w:rPr>
          <w:rFonts w:hint="eastAsia" w:ascii="仿宋_GB2312"/>
          <w:color w:val="auto"/>
          <w:szCs w:val="28"/>
          <w:highlight w:val="none"/>
        </w:rPr>
        <w:t>件的资产，并展示资产状态、预估租金等；②支持选择资产，查看资产现状情况、地块周边交通情况、规划指标、商住服务设施数量及位置，支持查看片区三维模型及资产单体三维模型，直观展示资产综合情况；③支持展示城中村片区内企业分布、行业、类型及企业信息清单。</w:t>
      </w:r>
    </w:p>
    <w:p w14:paraId="37574EBD">
      <w:pPr>
        <w:pStyle w:val="9"/>
        <w:outlineLvl w:val="2"/>
        <w:rPr>
          <w:rFonts w:hint="eastAsia"/>
          <w:b/>
          <w:sz w:val="28"/>
          <w:highlight w:val="none"/>
          <w:lang w:val="en-US" w:eastAsia="zh-CN"/>
        </w:rPr>
      </w:pPr>
      <w:r>
        <w:rPr>
          <w:rFonts w:hint="eastAsia"/>
          <w:b/>
          <w:sz w:val="28"/>
          <w:highlight w:val="none"/>
          <w:lang w:val="en-US" w:eastAsia="zh-CN"/>
        </w:rPr>
        <w:t>十二、关于联合体投标的认定</w:t>
      </w:r>
    </w:p>
    <w:p w14:paraId="042D546A">
      <w:pPr>
        <w:pStyle w:val="5"/>
        <w:ind w:left="210" w:leftChars="100" w:firstLine="0" w:firstLineChars="0"/>
        <w:rPr>
          <w:rFonts w:hint="eastAsia" w:ascii="仿宋_GB2312"/>
          <w:szCs w:val="28"/>
          <w:highlight w:val="none"/>
        </w:rPr>
      </w:pPr>
      <w:r>
        <w:rPr>
          <w:rFonts w:hint="default" w:ascii="Times New Roman" w:hAnsi="Times New Roman" w:eastAsia="仿宋_GB2312" w:cs="Times New Roman"/>
          <w:color w:val="auto"/>
          <w:sz w:val="20"/>
          <w:szCs w:val="20"/>
          <w:highlight w:val="none"/>
          <w:lang w:val="en-US" w:eastAsia="zh-CN"/>
        </w:rPr>
        <w:t>商务评分中</w:t>
      </w:r>
      <w:r>
        <w:rPr>
          <w:rFonts w:hint="eastAsia" w:ascii="Times New Roman" w:hAnsi="Times New Roman" w:eastAsia="仿宋_GB2312" w:cs="Times New Roman"/>
          <w:color w:val="auto"/>
          <w:sz w:val="20"/>
          <w:szCs w:val="20"/>
          <w:highlight w:val="none"/>
          <w:lang w:val="en-US" w:eastAsia="zh-CN"/>
        </w:rPr>
        <w:t>，若为联合体投标，联合体各方的</w:t>
      </w:r>
      <w:r>
        <w:rPr>
          <w:rFonts w:hint="default" w:ascii="Times New Roman" w:hAnsi="Times New Roman" w:eastAsia="仿宋_GB2312" w:cs="Times New Roman"/>
          <w:color w:val="auto"/>
          <w:sz w:val="20"/>
          <w:szCs w:val="20"/>
          <w:highlight w:val="none"/>
          <w:lang w:val="en-US" w:eastAsia="zh-CN"/>
        </w:rPr>
        <w:t>业绩</w:t>
      </w:r>
      <w:r>
        <w:rPr>
          <w:rFonts w:hint="eastAsia" w:ascii="Times New Roman" w:hAnsi="Times New Roman" w:eastAsia="仿宋_GB2312" w:cs="Times New Roman"/>
          <w:color w:val="auto"/>
          <w:sz w:val="20"/>
          <w:szCs w:val="20"/>
          <w:highlight w:val="none"/>
          <w:lang w:val="en-US" w:eastAsia="zh-CN"/>
        </w:rPr>
        <w:t>可</w:t>
      </w:r>
      <w:r>
        <w:rPr>
          <w:rFonts w:hint="default" w:ascii="Times New Roman" w:hAnsi="Times New Roman" w:eastAsia="仿宋_GB2312" w:cs="Times New Roman"/>
          <w:color w:val="auto"/>
          <w:sz w:val="20"/>
          <w:szCs w:val="20"/>
          <w:highlight w:val="none"/>
          <w:lang w:val="en-US" w:eastAsia="zh-CN"/>
        </w:rPr>
        <w:t>累加打分</w:t>
      </w:r>
      <w:r>
        <w:rPr>
          <w:rFonts w:hint="eastAsia" w:ascii="Times New Roman" w:hAnsi="Times New Roman" w:eastAsia="仿宋_GB2312" w:cs="Times New Roman"/>
          <w:color w:val="auto"/>
          <w:sz w:val="20"/>
          <w:szCs w:val="20"/>
          <w:highlight w:val="none"/>
          <w:lang w:val="en-US" w:eastAsia="zh-CN"/>
        </w:rPr>
        <w:t>；</w:t>
      </w:r>
      <w:r>
        <w:rPr>
          <w:rFonts w:hint="default" w:ascii="Times New Roman" w:hAnsi="Times New Roman" w:eastAsia="仿宋_GB2312" w:cs="Times New Roman"/>
          <w:color w:val="auto"/>
          <w:sz w:val="20"/>
          <w:szCs w:val="20"/>
          <w:highlight w:val="none"/>
          <w:lang w:val="en-US" w:eastAsia="zh-CN"/>
        </w:rPr>
        <w:t>对“综合信用评价得分”按牵头方情况打分</w:t>
      </w:r>
      <w:r>
        <w:rPr>
          <w:rFonts w:hint="eastAsia" w:ascii="Times New Roman" w:hAnsi="Times New Roman" w:eastAsia="仿宋_GB2312" w:cs="Times New Roman"/>
          <w:color w:val="auto"/>
          <w:sz w:val="20"/>
          <w:szCs w:val="20"/>
          <w:highlight w:val="none"/>
          <w:lang w:val="en-US" w:eastAsia="zh-CN"/>
        </w:rPr>
        <w:t>；</w:t>
      </w:r>
      <w:r>
        <w:rPr>
          <w:rFonts w:hint="default" w:ascii="Times New Roman" w:hAnsi="Times New Roman" w:eastAsia="仿宋_GB2312" w:cs="Times New Roman"/>
          <w:color w:val="auto"/>
          <w:sz w:val="20"/>
          <w:szCs w:val="20"/>
          <w:highlight w:val="none"/>
          <w:lang w:val="en-US" w:eastAsia="zh-CN"/>
        </w:rPr>
        <w:t>评审标准不明确或难以明确以哪</w:t>
      </w:r>
      <w:r>
        <w:rPr>
          <w:rFonts w:hint="eastAsia" w:ascii="Times New Roman" w:hAnsi="Times New Roman" w:eastAsia="仿宋_GB2312" w:cs="Times New Roman"/>
          <w:color w:val="auto"/>
          <w:sz w:val="20"/>
          <w:szCs w:val="20"/>
          <w:highlight w:val="none"/>
          <w:lang w:val="en-US" w:eastAsia="zh-CN"/>
        </w:rPr>
        <w:t>一</w:t>
      </w:r>
      <w:r>
        <w:rPr>
          <w:rFonts w:hint="default" w:ascii="Times New Roman" w:hAnsi="Times New Roman" w:eastAsia="仿宋_GB2312" w:cs="Times New Roman"/>
          <w:color w:val="auto"/>
          <w:sz w:val="20"/>
          <w:szCs w:val="20"/>
          <w:highlight w:val="none"/>
          <w:lang w:val="en-US" w:eastAsia="zh-CN"/>
        </w:rPr>
        <w:t>方计算评分情况时，则按牵头方情况评分。</w:t>
      </w:r>
    </w:p>
    <w:p w14:paraId="3E2AC18A">
      <w:pPr>
        <w:rPr>
          <w:color w:val="auto"/>
          <w:highlight w:val="none"/>
        </w:rPr>
      </w:pPr>
      <w:bookmarkStart w:id="11" w:name="_GoBack"/>
      <w:bookmarkEnd w:id="1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154D2B"/>
    <w:rsid w:val="17154D2B"/>
    <w:rsid w:val="419E2977"/>
    <w:rsid w:val="7B1227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4"/>
    <w:basedOn w:val="1"/>
    <w:next w:val="1"/>
    <w:semiHidden/>
    <w:unhideWhenUsed/>
    <w:qFormat/>
    <w:uiPriority w:val="0"/>
    <w:pPr>
      <w:keepNext/>
      <w:keepLines/>
      <w:spacing w:before="280" w:after="290" w:line="372" w:lineRule="auto"/>
      <w:outlineLvl w:val="3"/>
    </w:pPr>
    <w:rPr>
      <w:rFonts w:ascii="Arial" w:hAnsi="Arial" w:eastAsia="黑体"/>
      <w:b/>
      <w:sz w:val="28"/>
    </w:rPr>
  </w:style>
  <w:style w:type="paragraph" w:styleId="3">
    <w:name w:val="heading 5"/>
    <w:basedOn w:val="1"/>
    <w:next w:val="1"/>
    <w:unhideWhenUsed/>
    <w:qFormat/>
    <w:uiPriority w:val="0"/>
    <w:pPr>
      <w:keepNext/>
      <w:keepLines/>
      <w:spacing w:before="280" w:after="290" w:line="372" w:lineRule="auto"/>
      <w:outlineLvl w:val="4"/>
    </w:pPr>
    <w:rPr>
      <w:b/>
      <w:sz w:val="28"/>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List 2"/>
    <w:basedOn w:val="1"/>
    <w:unhideWhenUsed/>
    <w:qFormat/>
    <w:uiPriority w:val="0"/>
    <w:pPr>
      <w:ind w:left="100" w:leftChars="200" w:hanging="200" w:hangingChars="200"/>
    </w:pPr>
  </w:style>
  <w:style w:type="paragraph" w:styleId="6">
    <w:name w:val="annotation subject"/>
    <w:basedOn w:val="4"/>
    <w:next w:val="4"/>
    <w:unhideWhenUsed/>
    <w:qFormat/>
    <w:uiPriority w:val="99"/>
    <w:pPr>
      <w:spacing w:line="400" w:lineRule="exact"/>
      <w:jc w:val="center"/>
    </w:pPr>
    <w:rPr>
      <w:bCs/>
      <w:sz w:val="24"/>
      <w:szCs w:val="21"/>
    </w:rPr>
  </w:style>
  <w:style w:type="paragraph" w:customStyle="1" w:styleId="9">
    <w:name w:val="null3"/>
    <w:hidden/>
    <w:qFormat/>
    <w:uiPriority w:val="0"/>
    <w:rPr>
      <w:rFonts w:hint="eastAsia" w:asciiTheme="minorHAnsi" w:hAnsiTheme="minorHAnsi" w:eastAsiaTheme="minorEastAsia" w:cstheme="minorBidi"/>
      <w:lang w:val="en-US" w:eastAsia="zh-Hans" w:bidi="ar-SA"/>
    </w:rPr>
  </w:style>
  <w:style w:type="paragraph" w:customStyle="1" w:styleId="10">
    <w:name w:val="正文_0"/>
    <w:qFormat/>
    <w:uiPriority w:val="0"/>
    <w:pPr>
      <w:widowControl w:val="0"/>
      <w:spacing w:line="360" w:lineRule="auto"/>
      <w:ind w:firstLine="883" w:firstLineChars="200"/>
      <w:jc w:val="both"/>
    </w:pPr>
    <w:rPr>
      <w:rFonts w:ascii="Calibri" w:hAnsi="Calibri" w:eastAsia="宋体" w:cs="Times New Roman"/>
      <w:kern w:val="2"/>
      <w:sz w:val="24"/>
      <w:szCs w:val="21"/>
      <w:lang w:val="en-US" w:eastAsia="zh-CN" w:bidi="ar-SA"/>
    </w:rPr>
  </w:style>
  <w:style w:type="paragraph" w:customStyle="1" w:styleId="11">
    <w:name w:val="正文1"/>
    <w:basedOn w:val="1"/>
    <w:qFormat/>
    <w:uiPriority w:val="0"/>
    <w:pPr>
      <w:spacing w:line="400" w:lineRule="exact"/>
    </w:pPr>
    <w:rPr>
      <w:rFonts w:ascii="Times New Roman" w:hAnsi="Times New Roman"/>
    </w:rPr>
  </w:style>
  <w:style w:type="paragraph" w:styleId="12">
    <w:name w:val="No Spacing"/>
    <w:qFormat/>
    <w:uiPriority w:val="0"/>
    <w:pPr>
      <w:widowControl w:val="0"/>
      <w:spacing w:after="160" w:line="360" w:lineRule="auto"/>
      <w:ind w:firstLine="200" w:firstLineChars="200"/>
      <w:jc w:val="both"/>
    </w:pPr>
    <w:rPr>
      <w:rFonts w:eastAsia="宋体" w:asciiTheme="minorHAnsi" w:hAnsiTheme="minorHAnsi" w:cstheme="minorBidi"/>
      <w:kern w:val="2"/>
      <w:sz w:val="28"/>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28</Pages>
  <Words>27293</Words>
  <Characters>27915</Characters>
  <Lines>0</Lines>
  <Paragraphs>0</Paragraphs>
  <TotalTime>0</TotalTime>
  <ScaleCrop>false</ScaleCrop>
  <LinksUpToDate>false</LinksUpToDate>
  <CharactersWithSpaces>27953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2025-09-30T12:18:00Z</dcterms:created>
  <dc:creator>邹小红</dc:creator>
  <cp:lastModifiedBy>邹小红</cp:lastModifiedBy>
  <dcterms:modified xsi:type="dcterms:W3CDTF">2025-09-30T12:25:39Z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AD80B5DB77C044CA99AFE286DB7FEA5F_11</vt:lpwstr>
  </property>
  <property fmtid="{D5CDD505-2E9C-101B-9397-08002B2CF9AE}" pid="4" name="KSOTemplateDocerSaveRecord">
    <vt:lpwstr>eyJoZGlkIjoiZDFmNTQwM2JiYjFlMWVjNjVhMWRlZWQ0NDZhMDk4MjgiLCJ1c2VySWQiOiI0MjA0NTIwODcifQ==</vt:lpwstr>
  </property>
</Properties>
</file>