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海南热带海洋学院学科支撑科研设备更新置换项目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HNT2026005H</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海南热带海洋学院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海南省教学仪器设备招标中心有限公司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海南热带海洋学院</w:t>
      </w:r>
      <w:r>
        <w:rPr>
          <w:rFonts w:ascii="仿宋_GB2312" w:hAnsi="仿宋_GB2312" w:cs="仿宋_GB2312" w:eastAsia="仿宋_GB2312"/>
        </w:rPr>
        <w:t xml:space="preserve"> 委托， </w:t>
      </w:r>
      <w:r>
        <w:rPr>
          <w:rFonts w:ascii="仿宋_GB2312" w:hAnsi="仿宋_GB2312" w:cs="仿宋_GB2312" w:eastAsia="仿宋_GB2312"/>
        </w:rPr>
        <w:t>海南省教学仪器设备招标中心有限公司</w:t>
      </w:r>
      <w:r>
        <w:rPr>
          <w:rFonts w:ascii="仿宋_GB2312" w:hAnsi="仿宋_GB2312" w:cs="仿宋_GB2312" w:eastAsia="仿宋_GB2312"/>
        </w:rPr>
        <w:t xml:space="preserve"> 对 </w:t>
      </w:r>
      <w:r>
        <w:rPr>
          <w:rFonts w:ascii="仿宋_GB2312" w:hAnsi="仿宋_GB2312" w:cs="仿宋_GB2312" w:eastAsia="仿宋_GB2312"/>
        </w:rPr>
        <w:t>海南热带海洋学院学科支撑科研设备更新置换项目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HNT2026005H</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海南热带海洋学院学科支撑科研设备更新置换项目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39,845,000.00元</w:t>
      </w:r>
      <w:r>
        <w:rPr>
          <w:rFonts w:ascii="仿宋_GB2312" w:hAnsi="仿宋_GB2312" w:cs="仿宋_GB2312" w:eastAsia="仿宋_GB2312"/>
        </w:rPr>
        <w:t>叁仟玖佰捌拾肆万伍仟元整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合同签订后120天内交货且安装调试完毕交付使用。</w:t>
      </w:r>
    </w:p>
    <w:p>
      <w:pPr>
        <w:pStyle w:val="null3"/>
        <w:jc w:val="left"/>
      </w:pPr>
      <w:r>
        <w:rPr>
          <w:rFonts w:ascii="仿宋_GB2312" w:hAnsi="仿宋_GB2312" w:cs="仿宋_GB2312" w:eastAsia="仿宋_GB2312"/>
        </w:rPr>
        <w:t>采购包18：</w:t>
      </w:r>
    </w:p>
    <w:p>
      <w:pPr>
        <w:pStyle w:val="null3"/>
        <w:jc w:val="left"/>
      </w:pPr>
      <w:r>
        <w:rPr>
          <w:rFonts w:ascii="仿宋_GB2312" w:hAnsi="仿宋_GB2312" w:cs="仿宋_GB2312" w:eastAsia="仿宋_GB2312"/>
        </w:rPr>
        <w:t>合同签订后90天内交货且安装调试完毕交付使用。</w:t>
      </w:r>
    </w:p>
    <w:p>
      <w:pPr>
        <w:pStyle w:val="null3"/>
        <w:jc w:val="left"/>
      </w:pPr>
      <w:r>
        <w:rPr>
          <w:rFonts w:ascii="仿宋_GB2312" w:hAnsi="仿宋_GB2312" w:cs="仿宋_GB2312" w:eastAsia="仿宋_GB2312"/>
        </w:rPr>
        <w:t>采购包19：</w:t>
      </w:r>
    </w:p>
    <w:p>
      <w:pPr>
        <w:pStyle w:val="null3"/>
        <w:jc w:val="left"/>
      </w:pPr>
      <w:r>
        <w:rPr>
          <w:rFonts w:ascii="仿宋_GB2312" w:hAnsi="仿宋_GB2312" w:cs="仿宋_GB2312" w:eastAsia="仿宋_GB2312"/>
        </w:rPr>
        <w:t>合同签订后120天内交货且安装调试完毕交付使用。</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海洋综合观测平台</w:t>
            </w:r>
          </w:p>
        </w:tc>
        <w:tc>
          <w:tcPr>
            <w:tcW w:type="dxa" w:w="3115"/>
          </w:tcPr>
          <w:p>
            <w:pPr>
              <w:pStyle w:val="null3"/>
              <w:jc w:val="left"/>
            </w:pPr>
            <w:r>
              <w:rPr>
                <w:rFonts w:ascii="仿宋_GB2312" w:hAnsi="仿宋_GB2312" w:cs="仿宋_GB2312" w:eastAsia="仿宋_GB2312"/>
              </w:rPr>
              <w:t>热带岛礁环境地质测试分析平台</w:t>
            </w:r>
          </w:p>
        </w:tc>
        <w:tc>
          <w:tcPr>
            <w:tcW w:type="dxa" w:w="2076"/>
          </w:tcPr>
          <w:p>
            <w:pPr>
              <w:pStyle w:val="null3"/>
              <w:jc w:val="left"/>
            </w:pPr>
            <w:r>
              <w:rPr>
                <w:rFonts w:ascii="仿宋_GB2312" w:hAnsi="仿宋_GB2312" w:cs="仿宋_GB2312" w:eastAsia="仿宋_GB2312"/>
              </w:rPr>
              <w:t>热带岛礁环境地质测试分析平台</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色谱仪</w:t>
            </w:r>
          </w:p>
        </w:tc>
        <w:tc>
          <w:tcPr>
            <w:tcW w:type="dxa" w:w="3115"/>
          </w:tcPr>
          <w:p>
            <w:pPr>
              <w:pStyle w:val="null3"/>
              <w:jc w:val="left"/>
            </w:pPr>
            <w:r>
              <w:rPr>
                <w:rFonts w:ascii="仿宋_GB2312" w:hAnsi="仿宋_GB2312" w:cs="仿宋_GB2312" w:eastAsia="仿宋_GB2312"/>
              </w:rPr>
              <w:t>蛋白质高效提取分离层析检测系统</w:t>
            </w:r>
          </w:p>
        </w:tc>
        <w:tc>
          <w:tcPr>
            <w:tcW w:type="dxa" w:w="2076"/>
          </w:tcPr>
          <w:p>
            <w:pPr>
              <w:pStyle w:val="null3"/>
              <w:jc w:val="left"/>
            </w:pPr>
            <w:r>
              <w:rPr>
                <w:rFonts w:ascii="仿宋_GB2312" w:hAnsi="仿宋_GB2312" w:cs="仿宋_GB2312" w:eastAsia="仿宋_GB2312"/>
              </w:rPr>
              <w:t>蛋白质高效提取分离层析检测系统</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生物、医学样品制备设备</w:t>
            </w:r>
          </w:p>
        </w:tc>
        <w:tc>
          <w:tcPr>
            <w:tcW w:type="dxa" w:w="3115"/>
          </w:tcPr>
          <w:p>
            <w:pPr>
              <w:pStyle w:val="null3"/>
              <w:jc w:val="left"/>
            </w:pPr>
            <w:r>
              <w:rPr>
                <w:rFonts w:ascii="仿宋_GB2312" w:hAnsi="仿宋_GB2312" w:cs="仿宋_GB2312" w:eastAsia="仿宋_GB2312"/>
              </w:rPr>
              <w:t>活细胞工作站</w:t>
            </w:r>
          </w:p>
        </w:tc>
        <w:tc>
          <w:tcPr>
            <w:tcW w:type="dxa" w:w="2076"/>
          </w:tcPr>
          <w:p>
            <w:pPr>
              <w:pStyle w:val="null3"/>
              <w:jc w:val="left"/>
            </w:pPr>
            <w:r>
              <w:rPr>
                <w:rFonts w:ascii="仿宋_GB2312" w:hAnsi="仿宋_GB2312" w:cs="仿宋_GB2312" w:eastAsia="仿宋_GB2312"/>
              </w:rPr>
              <w:t>活细胞工作站</w:t>
            </w:r>
          </w:p>
        </w:tc>
      </w:tr>
      <w:tr>
        <w:tc>
          <w:tcPr>
            <w:tcW w:type="dxa" w:w="1038"/>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萃取机</w:t>
            </w:r>
          </w:p>
        </w:tc>
        <w:tc>
          <w:tcPr>
            <w:tcW w:type="dxa" w:w="3115"/>
          </w:tcPr>
          <w:p>
            <w:pPr>
              <w:pStyle w:val="null3"/>
              <w:jc w:val="left"/>
            </w:pPr>
            <w:r>
              <w:rPr>
                <w:rFonts w:ascii="仿宋_GB2312" w:hAnsi="仿宋_GB2312" w:cs="仿宋_GB2312" w:eastAsia="仿宋_GB2312"/>
              </w:rPr>
              <w:t>超临界二氧化碳萃取仪</w:t>
            </w:r>
          </w:p>
        </w:tc>
        <w:tc>
          <w:tcPr>
            <w:tcW w:type="dxa" w:w="2076"/>
          </w:tcPr>
          <w:p>
            <w:pPr>
              <w:pStyle w:val="null3"/>
              <w:jc w:val="left"/>
            </w:pPr>
            <w:r>
              <w:rPr>
                <w:rFonts w:ascii="仿宋_GB2312" w:hAnsi="仿宋_GB2312" w:cs="仿宋_GB2312" w:eastAsia="仿宋_GB2312"/>
              </w:rPr>
              <w:t>超临界二氧化碳萃取仪</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海洋声光仪器设备</w:t>
            </w:r>
          </w:p>
        </w:tc>
        <w:tc>
          <w:tcPr>
            <w:tcW w:type="dxa" w:w="3115"/>
          </w:tcPr>
          <w:p>
            <w:pPr>
              <w:pStyle w:val="null3"/>
              <w:jc w:val="left"/>
            </w:pPr>
            <w:r>
              <w:rPr>
                <w:rFonts w:ascii="仿宋_GB2312" w:hAnsi="仿宋_GB2312" w:cs="仿宋_GB2312" w:eastAsia="仿宋_GB2312"/>
              </w:rPr>
              <w:t>三维图像动态识别声呐</w:t>
            </w:r>
          </w:p>
        </w:tc>
        <w:tc>
          <w:tcPr>
            <w:tcW w:type="dxa" w:w="2076"/>
          </w:tcPr>
          <w:p>
            <w:pPr>
              <w:pStyle w:val="null3"/>
              <w:jc w:val="left"/>
            </w:pPr>
            <w:r>
              <w:rPr>
                <w:rFonts w:ascii="仿宋_GB2312" w:hAnsi="仿宋_GB2312" w:cs="仿宋_GB2312" w:eastAsia="仿宋_GB2312"/>
              </w:rPr>
              <w:t>三维图像动态识别声呐</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海洋综合观测平台</w:t>
            </w:r>
          </w:p>
        </w:tc>
        <w:tc>
          <w:tcPr>
            <w:tcW w:type="dxa" w:w="3115"/>
          </w:tcPr>
          <w:p>
            <w:pPr>
              <w:pStyle w:val="null3"/>
              <w:jc w:val="left"/>
            </w:pPr>
            <w:r>
              <w:rPr>
                <w:rFonts w:ascii="仿宋_GB2312" w:hAnsi="仿宋_GB2312" w:cs="仿宋_GB2312" w:eastAsia="仿宋_GB2312"/>
              </w:rPr>
              <w:t>海气通量观测系统</w:t>
            </w:r>
          </w:p>
        </w:tc>
        <w:tc>
          <w:tcPr>
            <w:tcW w:type="dxa" w:w="2076"/>
          </w:tcPr>
          <w:p>
            <w:pPr>
              <w:pStyle w:val="null3"/>
              <w:jc w:val="left"/>
            </w:pPr>
            <w:r>
              <w:rPr>
                <w:rFonts w:ascii="仿宋_GB2312" w:hAnsi="仿宋_GB2312" w:cs="仿宋_GB2312" w:eastAsia="仿宋_GB2312"/>
              </w:rPr>
              <w:t>海气通量观测系统</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海洋水文气象仪器设备</w:t>
            </w:r>
          </w:p>
        </w:tc>
        <w:tc>
          <w:tcPr>
            <w:tcW w:type="dxa" w:w="3115"/>
          </w:tcPr>
          <w:p>
            <w:pPr>
              <w:pStyle w:val="null3"/>
              <w:jc w:val="left"/>
            </w:pPr>
            <w:r>
              <w:rPr>
                <w:rFonts w:ascii="仿宋_GB2312" w:hAnsi="仿宋_GB2312" w:cs="仿宋_GB2312" w:eastAsia="仿宋_GB2312"/>
              </w:rPr>
              <w:t>大进样量元素分析仪</w:t>
            </w:r>
          </w:p>
        </w:tc>
        <w:tc>
          <w:tcPr>
            <w:tcW w:type="dxa" w:w="2076"/>
          </w:tcPr>
          <w:p>
            <w:pPr>
              <w:pStyle w:val="null3"/>
              <w:jc w:val="left"/>
            </w:pPr>
            <w:r>
              <w:rPr>
                <w:rFonts w:ascii="仿宋_GB2312" w:hAnsi="仿宋_GB2312" w:cs="仿宋_GB2312" w:eastAsia="仿宋_GB2312"/>
              </w:rPr>
              <w:t>大进样量元素分析仪</w:t>
            </w:r>
          </w:p>
        </w:tc>
      </w:tr>
      <w:tr>
        <w:tc>
          <w:tcPr>
            <w:tcW w:type="dxa" w:w="1038"/>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生物、医学样品制备设备</w:t>
            </w:r>
          </w:p>
        </w:tc>
        <w:tc>
          <w:tcPr>
            <w:tcW w:type="dxa" w:w="3115"/>
          </w:tcPr>
          <w:p>
            <w:pPr>
              <w:pStyle w:val="null3"/>
              <w:jc w:val="left"/>
            </w:pPr>
            <w:r>
              <w:rPr>
                <w:rFonts w:ascii="仿宋_GB2312" w:hAnsi="仿宋_GB2312" w:cs="仿宋_GB2312" w:eastAsia="仿宋_GB2312"/>
              </w:rPr>
              <w:t>全自动数字PCR系统</w:t>
            </w:r>
          </w:p>
        </w:tc>
        <w:tc>
          <w:tcPr>
            <w:tcW w:type="dxa" w:w="2076"/>
          </w:tcPr>
          <w:p>
            <w:pPr>
              <w:pStyle w:val="null3"/>
              <w:jc w:val="left"/>
            </w:pPr>
            <w:r>
              <w:rPr>
                <w:rFonts w:ascii="仿宋_GB2312" w:hAnsi="仿宋_GB2312" w:cs="仿宋_GB2312" w:eastAsia="仿宋_GB2312"/>
              </w:rPr>
              <w:t>全自动数字PCR系统</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光谱遥感仪器</w:t>
            </w:r>
          </w:p>
        </w:tc>
        <w:tc>
          <w:tcPr>
            <w:tcW w:type="dxa" w:w="3115"/>
          </w:tcPr>
          <w:p>
            <w:pPr>
              <w:pStyle w:val="null3"/>
              <w:jc w:val="left"/>
            </w:pPr>
            <w:r>
              <w:rPr>
                <w:rFonts w:ascii="仿宋_GB2312" w:hAnsi="仿宋_GB2312" w:cs="仿宋_GB2312" w:eastAsia="仿宋_GB2312"/>
              </w:rPr>
              <w:t>快照式水下高光谱成像系统</w:t>
            </w:r>
          </w:p>
        </w:tc>
        <w:tc>
          <w:tcPr>
            <w:tcW w:type="dxa" w:w="2076"/>
          </w:tcPr>
          <w:p>
            <w:pPr>
              <w:pStyle w:val="null3"/>
              <w:jc w:val="left"/>
            </w:pPr>
            <w:r>
              <w:rPr>
                <w:rFonts w:ascii="仿宋_GB2312" w:hAnsi="仿宋_GB2312" w:cs="仿宋_GB2312" w:eastAsia="仿宋_GB2312"/>
              </w:rPr>
              <w:t>快照式水下高光谱成像系统</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磁式分析仪</w:t>
            </w:r>
          </w:p>
        </w:tc>
        <w:tc>
          <w:tcPr>
            <w:tcW w:type="dxa" w:w="3115"/>
          </w:tcPr>
          <w:p>
            <w:pPr>
              <w:pStyle w:val="null3"/>
              <w:jc w:val="left"/>
            </w:pPr>
            <w:r>
              <w:rPr>
                <w:rFonts w:ascii="仿宋_GB2312" w:hAnsi="仿宋_GB2312" w:cs="仿宋_GB2312" w:eastAsia="仿宋_GB2312"/>
              </w:rPr>
              <w:t>开放式叶绿素荧光成像系统</w:t>
            </w:r>
          </w:p>
        </w:tc>
        <w:tc>
          <w:tcPr>
            <w:tcW w:type="dxa" w:w="2076"/>
          </w:tcPr>
          <w:p>
            <w:pPr>
              <w:pStyle w:val="null3"/>
              <w:jc w:val="left"/>
            </w:pPr>
            <w:r>
              <w:rPr>
                <w:rFonts w:ascii="仿宋_GB2312" w:hAnsi="仿宋_GB2312" w:cs="仿宋_GB2312" w:eastAsia="仿宋_GB2312"/>
              </w:rPr>
              <w:t>开放式叶绿素荧光成像系统</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环境监测仪器及综合分析装置</w:t>
            </w:r>
          </w:p>
        </w:tc>
        <w:tc>
          <w:tcPr>
            <w:tcW w:type="dxa" w:w="3115"/>
          </w:tcPr>
          <w:p>
            <w:pPr>
              <w:pStyle w:val="null3"/>
              <w:jc w:val="left"/>
            </w:pPr>
            <w:r>
              <w:rPr>
                <w:rFonts w:ascii="仿宋_GB2312" w:hAnsi="仿宋_GB2312" w:cs="仿宋_GB2312" w:eastAsia="仿宋_GB2312"/>
              </w:rPr>
              <w:t>高通量全自动间断化学分析仪</w:t>
            </w:r>
          </w:p>
        </w:tc>
        <w:tc>
          <w:tcPr>
            <w:tcW w:type="dxa" w:w="2076"/>
          </w:tcPr>
          <w:p>
            <w:pPr>
              <w:pStyle w:val="null3"/>
              <w:jc w:val="left"/>
            </w:pPr>
            <w:r>
              <w:rPr>
                <w:rFonts w:ascii="仿宋_GB2312" w:hAnsi="仿宋_GB2312" w:cs="仿宋_GB2312" w:eastAsia="仿宋_GB2312"/>
              </w:rPr>
              <w:t>高通量全自动间断化学分析仪</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射线式分析仪器</w:t>
            </w:r>
          </w:p>
        </w:tc>
        <w:tc>
          <w:tcPr>
            <w:tcW w:type="dxa" w:w="3115"/>
          </w:tcPr>
          <w:p>
            <w:pPr>
              <w:pStyle w:val="null3"/>
              <w:jc w:val="left"/>
            </w:pPr>
            <w:r>
              <w:rPr>
                <w:rFonts w:ascii="仿宋_GB2312" w:hAnsi="仿宋_GB2312" w:cs="仿宋_GB2312" w:eastAsia="仿宋_GB2312"/>
              </w:rPr>
              <w:t>台式X射线衍射仪</w:t>
            </w:r>
          </w:p>
        </w:tc>
        <w:tc>
          <w:tcPr>
            <w:tcW w:type="dxa" w:w="2076"/>
          </w:tcPr>
          <w:p>
            <w:pPr>
              <w:pStyle w:val="null3"/>
              <w:jc w:val="left"/>
            </w:pPr>
            <w:r>
              <w:rPr>
                <w:rFonts w:ascii="仿宋_GB2312" w:hAnsi="仿宋_GB2312" w:cs="仿宋_GB2312" w:eastAsia="仿宋_GB2312"/>
              </w:rPr>
              <w:t>台式X射线衍射仪</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jc w:val="left"/>
      </w:pPr>
      <w:r>
        <w:rPr>
          <w:rFonts w:ascii="仿宋_GB2312" w:hAnsi="仿宋_GB2312" w:cs="仿宋_GB2312" w:eastAsia="仿宋_GB2312"/>
        </w:rPr>
        <w:t>采购包12：不属于专门面向中小企业采购。</w:t>
      </w:r>
    </w:p>
    <w:p>
      <w:pPr>
        <w:pStyle w:val="null3"/>
        <w:jc w:val="left"/>
      </w:pPr>
      <w:r>
        <w:rPr>
          <w:rFonts w:ascii="仿宋_GB2312" w:hAnsi="仿宋_GB2312" w:cs="仿宋_GB2312" w:eastAsia="仿宋_GB2312"/>
        </w:rPr>
        <w:t>采购包13：不属于专门面向中小企业采购。</w:t>
      </w:r>
    </w:p>
    <w:p>
      <w:pPr>
        <w:pStyle w:val="null3"/>
        <w:jc w:val="left"/>
      </w:pPr>
      <w:r>
        <w:rPr>
          <w:rFonts w:ascii="仿宋_GB2312" w:hAnsi="仿宋_GB2312" w:cs="仿宋_GB2312" w:eastAsia="仿宋_GB2312"/>
        </w:rPr>
        <w:t>采购包14：不属于专门面向中小企业采购。</w:t>
      </w:r>
    </w:p>
    <w:p>
      <w:pPr>
        <w:pStyle w:val="null3"/>
        <w:jc w:val="left"/>
      </w:pPr>
      <w:r>
        <w:rPr>
          <w:rFonts w:ascii="仿宋_GB2312" w:hAnsi="仿宋_GB2312" w:cs="仿宋_GB2312" w:eastAsia="仿宋_GB2312"/>
        </w:rPr>
        <w:t>采购包15：不属于专门面向中小企业采购。</w:t>
      </w:r>
    </w:p>
    <w:p>
      <w:pPr>
        <w:pStyle w:val="null3"/>
        <w:jc w:val="left"/>
      </w:pPr>
      <w:r>
        <w:rPr>
          <w:rFonts w:ascii="仿宋_GB2312" w:hAnsi="仿宋_GB2312" w:cs="仿宋_GB2312" w:eastAsia="仿宋_GB2312"/>
        </w:rPr>
        <w:t>采购包16：不属于专门面向中小企业采购。</w:t>
      </w:r>
    </w:p>
    <w:p>
      <w:pPr>
        <w:pStyle w:val="null3"/>
        <w:jc w:val="left"/>
      </w:pPr>
      <w:r>
        <w:rPr>
          <w:rFonts w:ascii="仿宋_GB2312" w:hAnsi="仿宋_GB2312" w:cs="仿宋_GB2312" w:eastAsia="仿宋_GB2312"/>
        </w:rPr>
        <w:t>采购包17：不属于专门面向中小企业采购。</w:t>
      </w:r>
    </w:p>
    <w:p>
      <w:pPr>
        <w:pStyle w:val="null3"/>
        <w:jc w:val="left"/>
      </w:pPr>
      <w:r>
        <w:rPr>
          <w:rFonts w:ascii="仿宋_GB2312" w:hAnsi="仿宋_GB2312" w:cs="仿宋_GB2312" w:eastAsia="仿宋_GB2312"/>
        </w:rPr>
        <w:t>采购包18：不属于专门面向中小企业采购。</w:t>
      </w:r>
    </w:p>
    <w:p>
      <w:pPr>
        <w:pStyle w:val="null3"/>
        <w:jc w:val="left"/>
      </w:pPr>
      <w:r>
        <w:rPr>
          <w:rFonts w:ascii="仿宋_GB2312" w:hAnsi="仿宋_GB2312" w:cs="仿宋_GB2312" w:eastAsia="仿宋_GB2312"/>
        </w:rPr>
        <w:t>采购包19：不属于专门面向中小企业采购。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采购包18：</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采购包19：</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 智慧云平台）（网址https://ccgp-hainan.gov.cn/）。关于本项目采购文件的补遗、澄清及变更信息以上述网站公告为准， 代理机构不再另行通知，采购文件与更正公告的内容相互矛盾时，以最后发出的更正公告内容为准。 2、本项目为远程不见面 开标，供应商无须到达开标现场，但开标前必须进入电子开标大厅在线签到（未签到视为无效投标），远程按时参加在线开标 解密即可。 3、注意事项：本次采购活动采用全流程电子化的方式，签到、开标，解密等全流程均通过线上进行，供应商须提前 准备海南蓝色ca数字证书，蓝色ca数字证书必须在有效期内。（如蓝色ca数字证书过期带来的后果由供应商负责）具体操作 流程，请在海南省政府采购智慧云平台-办事指南查看相应的系统操作指南，严格按照操作指南要求进行系统操作。4、如需云平台相关咨询，请拨打以下热线电话：4001691288；数字证书认证咨询电话：0898-66668096=-66667198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海南热带海洋学院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海南省三亚市育才路1号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18876808373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海南省教学仪器设备招标中心有限公司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海南省海口市兰区蓝天路西2-8号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郭经理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0898-66757906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采购包1：5,000,000.00元</w:t>
            </w:r>
          </w:p>
          <w:p>
            <w:pPr>
              <w:pStyle w:val="null3"/>
              <w:jc w:val="left"/>
            </w:pPr>
            <w:r>
              <w:rPr>
                <w:rFonts w:ascii="仿宋_GB2312" w:hAnsi="仿宋_GB2312" w:cs="仿宋_GB2312" w:eastAsia="仿宋_GB2312"/>
              </w:rPr>
              <w:t>采购包2：3,340,000.00元</w:t>
            </w:r>
          </w:p>
          <w:p>
            <w:pPr>
              <w:pStyle w:val="null3"/>
              <w:jc w:val="left"/>
            </w:pPr>
            <w:r>
              <w:rPr>
                <w:rFonts w:ascii="仿宋_GB2312" w:hAnsi="仿宋_GB2312" w:cs="仿宋_GB2312" w:eastAsia="仿宋_GB2312"/>
              </w:rPr>
              <w:t>采购包3：1,680,000.00元</w:t>
            </w:r>
          </w:p>
          <w:p>
            <w:pPr>
              <w:pStyle w:val="null3"/>
              <w:jc w:val="left"/>
            </w:pPr>
            <w:r>
              <w:rPr>
                <w:rFonts w:ascii="仿宋_GB2312" w:hAnsi="仿宋_GB2312" w:cs="仿宋_GB2312" w:eastAsia="仿宋_GB2312"/>
              </w:rPr>
              <w:t>采购包4：1,100,000.00元</w:t>
            </w:r>
          </w:p>
          <w:p>
            <w:pPr>
              <w:pStyle w:val="null3"/>
              <w:jc w:val="left"/>
            </w:pPr>
            <w:r>
              <w:rPr>
                <w:rFonts w:ascii="仿宋_GB2312" w:hAnsi="仿宋_GB2312" w:cs="仿宋_GB2312" w:eastAsia="仿宋_GB2312"/>
              </w:rPr>
              <w:t>采购包5：2,945,000.00元</w:t>
            </w:r>
          </w:p>
          <w:p>
            <w:pPr>
              <w:pStyle w:val="null3"/>
              <w:jc w:val="left"/>
            </w:pPr>
            <w:r>
              <w:rPr>
                <w:rFonts w:ascii="仿宋_GB2312" w:hAnsi="仿宋_GB2312" w:cs="仿宋_GB2312" w:eastAsia="仿宋_GB2312"/>
              </w:rPr>
              <w:t>采购包6：3,690,000.00元</w:t>
            </w:r>
          </w:p>
          <w:p>
            <w:pPr>
              <w:pStyle w:val="null3"/>
              <w:jc w:val="left"/>
            </w:pPr>
            <w:r>
              <w:rPr>
                <w:rFonts w:ascii="仿宋_GB2312" w:hAnsi="仿宋_GB2312" w:cs="仿宋_GB2312" w:eastAsia="仿宋_GB2312"/>
              </w:rPr>
              <w:t>采购包7：3,640,000.00元</w:t>
            </w:r>
          </w:p>
          <w:p>
            <w:pPr>
              <w:pStyle w:val="null3"/>
              <w:jc w:val="left"/>
            </w:pPr>
            <w:r>
              <w:rPr>
                <w:rFonts w:ascii="仿宋_GB2312" w:hAnsi="仿宋_GB2312" w:cs="仿宋_GB2312" w:eastAsia="仿宋_GB2312"/>
              </w:rPr>
              <w:t>采购包8：650,000.00元</w:t>
            </w:r>
          </w:p>
          <w:p>
            <w:pPr>
              <w:pStyle w:val="null3"/>
              <w:jc w:val="left"/>
            </w:pPr>
            <w:r>
              <w:rPr>
                <w:rFonts w:ascii="仿宋_GB2312" w:hAnsi="仿宋_GB2312" w:cs="仿宋_GB2312" w:eastAsia="仿宋_GB2312"/>
              </w:rPr>
              <w:t>采购包9：1,380,000.00元</w:t>
            </w:r>
          </w:p>
          <w:p>
            <w:pPr>
              <w:pStyle w:val="null3"/>
              <w:jc w:val="left"/>
            </w:pPr>
            <w:r>
              <w:rPr>
                <w:rFonts w:ascii="仿宋_GB2312" w:hAnsi="仿宋_GB2312" w:cs="仿宋_GB2312" w:eastAsia="仿宋_GB2312"/>
              </w:rPr>
              <w:t>采购包10：1,330,000.00元</w:t>
            </w:r>
          </w:p>
          <w:p>
            <w:pPr>
              <w:pStyle w:val="null3"/>
              <w:jc w:val="left"/>
            </w:pPr>
            <w:r>
              <w:rPr>
                <w:rFonts w:ascii="仿宋_GB2312" w:hAnsi="仿宋_GB2312" w:cs="仿宋_GB2312" w:eastAsia="仿宋_GB2312"/>
              </w:rPr>
              <w:t>采购包11：4,025,000.00元</w:t>
            </w:r>
          </w:p>
          <w:p>
            <w:pPr>
              <w:pStyle w:val="null3"/>
              <w:jc w:val="left"/>
            </w:pPr>
            <w:r>
              <w:rPr>
                <w:rFonts w:ascii="仿宋_GB2312" w:hAnsi="仿宋_GB2312" w:cs="仿宋_GB2312" w:eastAsia="仿宋_GB2312"/>
              </w:rPr>
              <w:t>采购包12：1,450,000.00元</w:t>
            </w:r>
          </w:p>
          <w:p>
            <w:pPr>
              <w:pStyle w:val="null3"/>
              <w:jc w:val="left"/>
            </w:pPr>
            <w:r>
              <w:rPr>
                <w:rFonts w:ascii="仿宋_GB2312" w:hAnsi="仿宋_GB2312" w:cs="仿宋_GB2312" w:eastAsia="仿宋_GB2312"/>
              </w:rPr>
              <w:t>采购包13：1,935,000.00元</w:t>
            </w:r>
          </w:p>
          <w:p>
            <w:pPr>
              <w:pStyle w:val="null3"/>
              <w:jc w:val="left"/>
            </w:pPr>
            <w:r>
              <w:rPr>
                <w:rFonts w:ascii="仿宋_GB2312" w:hAnsi="仿宋_GB2312" w:cs="仿宋_GB2312" w:eastAsia="仿宋_GB2312"/>
              </w:rPr>
              <w:t>采购包14：2,250,000.00元</w:t>
            </w:r>
          </w:p>
          <w:p>
            <w:pPr>
              <w:pStyle w:val="null3"/>
              <w:jc w:val="left"/>
            </w:pPr>
            <w:r>
              <w:rPr>
                <w:rFonts w:ascii="仿宋_GB2312" w:hAnsi="仿宋_GB2312" w:cs="仿宋_GB2312" w:eastAsia="仿宋_GB2312"/>
              </w:rPr>
              <w:t>采购包15：900,000.00元</w:t>
            </w:r>
          </w:p>
          <w:p>
            <w:pPr>
              <w:pStyle w:val="null3"/>
              <w:jc w:val="left"/>
            </w:pPr>
            <w:r>
              <w:rPr>
                <w:rFonts w:ascii="仿宋_GB2312" w:hAnsi="仿宋_GB2312" w:cs="仿宋_GB2312" w:eastAsia="仿宋_GB2312"/>
              </w:rPr>
              <w:t>采购包16：1,000,000.00元</w:t>
            </w:r>
          </w:p>
          <w:p>
            <w:pPr>
              <w:pStyle w:val="null3"/>
              <w:jc w:val="left"/>
            </w:pPr>
            <w:r>
              <w:rPr>
                <w:rFonts w:ascii="仿宋_GB2312" w:hAnsi="仿宋_GB2312" w:cs="仿宋_GB2312" w:eastAsia="仿宋_GB2312"/>
              </w:rPr>
              <w:t>采购包17：1,700,000.00元</w:t>
            </w:r>
          </w:p>
          <w:p>
            <w:pPr>
              <w:pStyle w:val="null3"/>
              <w:jc w:val="left"/>
            </w:pPr>
            <w:r>
              <w:rPr>
                <w:rFonts w:ascii="仿宋_GB2312" w:hAnsi="仿宋_GB2312" w:cs="仿宋_GB2312" w:eastAsia="仿宋_GB2312"/>
              </w:rPr>
              <w:t>采购包18：1,080,000.00元</w:t>
            </w:r>
          </w:p>
          <w:p>
            <w:pPr>
              <w:pStyle w:val="null3"/>
              <w:jc w:val="left"/>
            </w:pPr>
            <w:r>
              <w:rPr>
                <w:rFonts w:ascii="仿宋_GB2312" w:hAnsi="仿宋_GB2312" w:cs="仿宋_GB2312" w:eastAsia="仿宋_GB2312"/>
              </w:rPr>
              <w:t>采购包19：750,000.00元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p>
          <w:p>
            <w:pPr>
              <w:pStyle w:val="null3"/>
              <w:jc w:val="left"/>
            </w:pPr>
            <w:r>
              <w:rPr>
                <w:rFonts w:ascii="仿宋_GB2312" w:hAnsi="仿宋_GB2312" w:cs="仿宋_GB2312" w:eastAsia="仿宋_GB2312"/>
              </w:rPr>
              <w:t>采购包12：综合评分法</w:t>
            </w:r>
          </w:p>
          <w:p>
            <w:pPr>
              <w:pStyle w:val="null3"/>
              <w:jc w:val="left"/>
            </w:pPr>
            <w:r>
              <w:rPr>
                <w:rFonts w:ascii="仿宋_GB2312" w:hAnsi="仿宋_GB2312" w:cs="仿宋_GB2312" w:eastAsia="仿宋_GB2312"/>
              </w:rPr>
              <w:t>采购包13：综合评分法</w:t>
            </w:r>
          </w:p>
          <w:p>
            <w:pPr>
              <w:pStyle w:val="null3"/>
              <w:jc w:val="left"/>
            </w:pPr>
            <w:r>
              <w:rPr>
                <w:rFonts w:ascii="仿宋_GB2312" w:hAnsi="仿宋_GB2312" w:cs="仿宋_GB2312" w:eastAsia="仿宋_GB2312"/>
              </w:rPr>
              <w:t>采购包14：综合评分法</w:t>
            </w:r>
          </w:p>
          <w:p>
            <w:pPr>
              <w:pStyle w:val="null3"/>
              <w:jc w:val="left"/>
            </w:pPr>
            <w:r>
              <w:rPr>
                <w:rFonts w:ascii="仿宋_GB2312" w:hAnsi="仿宋_GB2312" w:cs="仿宋_GB2312" w:eastAsia="仿宋_GB2312"/>
              </w:rPr>
              <w:t>采购包15：综合评分法</w:t>
            </w:r>
          </w:p>
          <w:p>
            <w:pPr>
              <w:pStyle w:val="null3"/>
              <w:jc w:val="left"/>
            </w:pPr>
            <w:r>
              <w:rPr>
                <w:rFonts w:ascii="仿宋_GB2312" w:hAnsi="仿宋_GB2312" w:cs="仿宋_GB2312" w:eastAsia="仿宋_GB2312"/>
              </w:rPr>
              <w:t>采购包16：综合评分法</w:t>
            </w:r>
          </w:p>
          <w:p>
            <w:pPr>
              <w:pStyle w:val="null3"/>
              <w:jc w:val="left"/>
            </w:pPr>
            <w:r>
              <w:rPr>
                <w:rFonts w:ascii="仿宋_GB2312" w:hAnsi="仿宋_GB2312" w:cs="仿宋_GB2312" w:eastAsia="仿宋_GB2312"/>
              </w:rPr>
              <w:t>采购包17：综合评分法</w:t>
            </w:r>
          </w:p>
          <w:p>
            <w:pPr>
              <w:pStyle w:val="null3"/>
              <w:jc w:val="left"/>
            </w:pPr>
            <w:r>
              <w:rPr>
                <w:rFonts w:ascii="仿宋_GB2312" w:hAnsi="仿宋_GB2312" w:cs="仿宋_GB2312" w:eastAsia="仿宋_GB2312"/>
              </w:rPr>
              <w:t>采购包18：综合评分法</w:t>
            </w:r>
          </w:p>
          <w:p>
            <w:pPr>
              <w:pStyle w:val="null3"/>
              <w:jc w:val="left"/>
            </w:pPr>
            <w:r>
              <w:rPr>
                <w:rFonts w:ascii="仿宋_GB2312" w:hAnsi="仿宋_GB2312" w:cs="仿宋_GB2312" w:eastAsia="仿宋_GB2312"/>
              </w:rPr>
              <w:t>采购包19：综合评分法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采购包12：不接受</w:t>
            </w:r>
          </w:p>
          <w:p>
            <w:pPr>
              <w:pStyle w:val="null3"/>
              <w:jc w:val="left"/>
            </w:pPr>
            <w:r>
              <w:rPr>
                <w:rFonts w:ascii="仿宋_GB2312" w:hAnsi="仿宋_GB2312" w:cs="仿宋_GB2312" w:eastAsia="仿宋_GB2312"/>
              </w:rPr>
              <w:t>采购包13：不接受</w:t>
            </w:r>
          </w:p>
          <w:p>
            <w:pPr>
              <w:pStyle w:val="null3"/>
              <w:jc w:val="left"/>
            </w:pPr>
            <w:r>
              <w:rPr>
                <w:rFonts w:ascii="仿宋_GB2312" w:hAnsi="仿宋_GB2312" w:cs="仿宋_GB2312" w:eastAsia="仿宋_GB2312"/>
              </w:rPr>
              <w:t>采购包14：不接受</w:t>
            </w:r>
          </w:p>
          <w:p>
            <w:pPr>
              <w:pStyle w:val="null3"/>
              <w:jc w:val="left"/>
            </w:pPr>
            <w:r>
              <w:rPr>
                <w:rFonts w:ascii="仿宋_GB2312" w:hAnsi="仿宋_GB2312" w:cs="仿宋_GB2312" w:eastAsia="仿宋_GB2312"/>
              </w:rPr>
              <w:t>采购包15：不接受</w:t>
            </w:r>
          </w:p>
          <w:p>
            <w:pPr>
              <w:pStyle w:val="null3"/>
              <w:jc w:val="left"/>
            </w:pPr>
            <w:r>
              <w:rPr>
                <w:rFonts w:ascii="仿宋_GB2312" w:hAnsi="仿宋_GB2312" w:cs="仿宋_GB2312" w:eastAsia="仿宋_GB2312"/>
              </w:rPr>
              <w:t>采购包16：不接受</w:t>
            </w:r>
          </w:p>
          <w:p>
            <w:pPr>
              <w:pStyle w:val="null3"/>
              <w:jc w:val="left"/>
            </w:pPr>
            <w:r>
              <w:rPr>
                <w:rFonts w:ascii="仿宋_GB2312" w:hAnsi="仿宋_GB2312" w:cs="仿宋_GB2312" w:eastAsia="仿宋_GB2312"/>
              </w:rPr>
              <w:t>采购包17：不接受</w:t>
            </w:r>
          </w:p>
          <w:p>
            <w:pPr>
              <w:pStyle w:val="null3"/>
              <w:jc w:val="left"/>
            </w:pPr>
            <w:r>
              <w:rPr>
                <w:rFonts w:ascii="仿宋_GB2312" w:hAnsi="仿宋_GB2312" w:cs="仿宋_GB2312" w:eastAsia="仿宋_GB2312"/>
              </w:rPr>
              <w:t>采购包18：不接受</w:t>
            </w:r>
          </w:p>
          <w:p>
            <w:pPr>
              <w:pStyle w:val="null3"/>
              <w:jc w:val="left"/>
            </w:pPr>
            <w:r>
              <w:rPr>
                <w:rFonts w:ascii="仿宋_GB2312" w:hAnsi="仿宋_GB2312" w:cs="仿宋_GB2312" w:eastAsia="仿宋_GB2312"/>
              </w:rPr>
              <w:t>采购包19：不接受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采购包4：缴纳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采购包5：缴纳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采购包6：缴纳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采购包7：缴纳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采购包8：缴纳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采购包9：缴纳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采购包10：缴纳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说明：说明:本采购包履约保证金为合同金额的5%</w:t>
            </w:r>
          </w:p>
          <w:p>
            <w:pPr>
              <w:pStyle w:val="null3"/>
              <w:jc w:val="left"/>
            </w:pPr>
            <w:r>
              <w:rPr>
                <w:rFonts w:ascii="仿宋_GB2312" w:hAnsi="仿宋_GB2312" w:cs="仿宋_GB2312" w:eastAsia="仿宋_GB2312"/>
              </w:rPr>
              <w:t>采购包11：缴纳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采购包14：缴纳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采购包15：缴纳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采购包16：缴纳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采购包17：缴纳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采购包18：缴纳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p>
            <w:pPr>
              <w:pStyle w:val="null3"/>
              <w:jc w:val="left"/>
            </w:pPr>
            <w:r>
              <w:rPr>
                <w:rFonts w:ascii="仿宋_GB2312" w:hAnsi="仿宋_GB2312" w:cs="仿宋_GB2312" w:eastAsia="仿宋_GB2312"/>
              </w:rPr>
              <w:t>采购包19：缴纳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代理服务费收费标准：参照发改价格[2011]534号文《国家发展改革委关于降低部分建设项目收费标准规范收费行为等有关问题的通知》的70%记取代理服务费，由中标人支付。 交纳代理服务费账号 单位名称：海南省教学仪器设备招标中心有限公司 开户银行：中国建设银行股份有限公司海口国兴大道支行 银行帐号：46001002537052500288 财务联系电话：0898-66737260</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p>
            <w:pPr>
              <w:pStyle w:val="null3"/>
              <w:jc w:val="left"/>
            </w:pPr>
            <w:r>
              <w:rPr>
                <w:rFonts w:ascii="仿宋_GB2312" w:hAnsi="仿宋_GB2312" w:cs="仿宋_GB2312" w:eastAsia="仿宋_GB2312"/>
              </w:rPr>
              <w:t>采购包12：不允许分包；</w:t>
            </w:r>
          </w:p>
          <w:p>
            <w:pPr>
              <w:pStyle w:val="null3"/>
              <w:jc w:val="left"/>
            </w:pPr>
            <w:r>
              <w:rPr>
                <w:rFonts w:ascii="仿宋_GB2312" w:hAnsi="仿宋_GB2312" w:cs="仿宋_GB2312" w:eastAsia="仿宋_GB2312"/>
              </w:rPr>
              <w:t>采购包13：不允许分包；</w:t>
            </w:r>
          </w:p>
          <w:p>
            <w:pPr>
              <w:pStyle w:val="null3"/>
              <w:jc w:val="left"/>
            </w:pPr>
            <w:r>
              <w:rPr>
                <w:rFonts w:ascii="仿宋_GB2312" w:hAnsi="仿宋_GB2312" w:cs="仿宋_GB2312" w:eastAsia="仿宋_GB2312"/>
              </w:rPr>
              <w:t>采购包14：不允许分包；</w:t>
            </w:r>
          </w:p>
          <w:p>
            <w:pPr>
              <w:pStyle w:val="null3"/>
              <w:jc w:val="left"/>
            </w:pPr>
            <w:r>
              <w:rPr>
                <w:rFonts w:ascii="仿宋_GB2312" w:hAnsi="仿宋_GB2312" w:cs="仿宋_GB2312" w:eastAsia="仿宋_GB2312"/>
              </w:rPr>
              <w:t>采购包15：不允许分包；</w:t>
            </w:r>
          </w:p>
          <w:p>
            <w:pPr>
              <w:pStyle w:val="null3"/>
              <w:jc w:val="left"/>
            </w:pPr>
            <w:r>
              <w:rPr>
                <w:rFonts w:ascii="仿宋_GB2312" w:hAnsi="仿宋_GB2312" w:cs="仿宋_GB2312" w:eastAsia="仿宋_GB2312"/>
              </w:rPr>
              <w:t>采购包16：不允许分包；</w:t>
            </w:r>
          </w:p>
          <w:p>
            <w:pPr>
              <w:pStyle w:val="null3"/>
              <w:jc w:val="left"/>
            </w:pPr>
            <w:r>
              <w:rPr>
                <w:rFonts w:ascii="仿宋_GB2312" w:hAnsi="仿宋_GB2312" w:cs="仿宋_GB2312" w:eastAsia="仿宋_GB2312"/>
              </w:rPr>
              <w:t>采购包17：不允许分包；</w:t>
            </w:r>
          </w:p>
          <w:p>
            <w:pPr>
              <w:pStyle w:val="null3"/>
              <w:jc w:val="left"/>
            </w:pPr>
            <w:r>
              <w:rPr>
                <w:rFonts w:ascii="仿宋_GB2312" w:hAnsi="仿宋_GB2312" w:cs="仿宋_GB2312" w:eastAsia="仿宋_GB2312"/>
              </w:rPr>
              <w:t>采购包18：不允许分包；</w:t>
            </w:r>
          </w:p>
          <w:p>
            <w:pPr>
              <w:pStyle w:val="null3"/>
              <w:jc w:val="left"/>
            </w:pPr>
            <w:r>
              <w:rPr>
                <w:rFonts w:ascii="仿宋_GB2312" w:hAnsi="仿宋_GB2312" w:cs="仿宋_GB2312" w:eastAsia="仿宋_GB2312"/>
              </w:rPr>
              <w:t>采购包19：不允许分包；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p>
            <w:pPr>
              <w:pStyle w:val="null3"/>
              <w:jc w:val="left"/>
            </w:pPr>
            <w:r>
              <w:rPr>
                <w:rFonts w:ascii="仿宋_GB2312" w:hAnsi="仿宋_GB2312" w:cs="仿宋_GB2312" w:eastAsia="仿宋_GB2312"/>
              </w:rPr>
              <w:t>采购包12：3名</w:t>
            </w:r>
          </w:p>
          <w:p>
            <w:pPr>
              <w:pStyle w:val="null3"/>
              <w:jc w:val="left"/>
            </w:pPr>
            <w:r>
              <w:rPr>
                <w:rFonts w:ascii="仿宋_GB2312" w:hAnsi="仿宋_GB2312" w:cs="仿宋_GB2312" w:eastAsia="仿宋_GB2312"/>
              </w:rPr>
              <w:t>采购包13：3名</w:t>
            </w:r>
          </w:p>
          <w:p>
            <w:pPr>
              <w:pStyle w:val="null3"/>
              <w:jc w:val="left"/>
            </w:pPr>
            <w:r>
              <w:rPr>
                <w:rFonts w:ascii="仿宋_GB2312" w:hAnsi="仿宋_GB2312" w:cs="仿宋_GB2312" w:eastAsia="仿宋_GB2312"/>
              </w:rPr>
              <w:t>采购包14：3名</w:t>
            </w:r>
          </w:p>
          <w:p>
            <w:pPr>
              <w:pStyle w:val="null3"/>
              <w:jc w:val="left"/>
            </w:pPr>
            <w:r>
              <w:rPr>
                <w:rFonts w:ascii="仿宋_GB2312" w:hAnsi="仿宋_GB2312" w:cs="仿宋_GB2312" w:eastAsia="仿宋_GB2312"/>
              </w:rPr>
              <w:t>采购包15：3名</w:t>
            </w:r>
          </w:p>
          <w:p>
            <w:pPr>
              <w:pStyle w:val="null3"/>
              <w:jc w:val="left"/>
            </w:pPr>
            <w:r>
              <w:rPr>
                <w:rFonts w:ascii="仿宋_GB2312" w:hAnsi="仿宋_GB2312" w:cs="仿宋_GB2312" w:eastAsia="仿宋_GB2312"/>
              </w:rPr>
              <w:t>采购包16：3名</w:t>
            </w:r>
          </w:p>
          <w:p>
            <w:pPr>
              <w:pStyle w:val="null3"/>
              <w:jc w:val="left"/>
            </w:pPr>
            <w:r>
              <w:rPr>
                <w:rFonts w:ascii="仿宋_GB2312" w:hAnsi="仿宋_GB2312" w:cs="仿宋_GB2312" w:eastAsia="仿宋_GB2312"/>
              </w:rPr>
              <w:t>采购包17：3名</w:t>
            </w:r>
          </w:p>
          <w:p>
            <w:pPr>
              <w:pStyle w:val="null3"/>
              <w:jc w:val="left"/>
            </w:pPr>
            <w:r>
              <w:rPr>
                <w:rFonts w:ascii="仿宋_GB2312" w:hAnsi="仿宋_GB2312" w:cs="仿宋_GB2312" w:eastAsia="仿宋_GB2312"/>
              </w:rPr>
              <w:t>采购包18：3名</w:t>
            </w:r>
          </w:p>
          <w:p>
            <w:pPr>
              <w:pStyle w:val="null3"/>
              <w:jc w:val="left"/>
            </w:pPr>
            <w:r>
              <w:rPr>
                <w:rFonts w:ascii="仿宋_GB2312" w:hAnsi="仿宋_GB2312" w:cs="仿宋_GB2312" w:eastAsia="仿宋_GB2312"/>
              </w:rPr>
              <w:t>采购包19：3名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p>
            <w:pPr>
              <w:pStyle w:val="null3"/>
              <w:jc w:val="left"/>
            </w:pPr>
            <w:r>
              <w:rPr>
                <w:rFonts w:ascii="仿宋_GB2312" w:hAnsi="仿宋_GB2312" w:cs="仿宋_GB2312" w:eastAsia="仿宋_GB2312"/>
              </w:rPr>
              <w:t>采购包12：1名</w:t>
            </w:r>
          </w:p>
          <w:p>
            <w:pPr>
              <w:pStyle w:val="null3"/>
              <w:jc w:val="left"/>
            </w:pPr>
            <w:r>
              <w:rPr>
                <w:rFonts w:ascii="仿宋_GB2312" w:hAnsi="仿宋_GB2312" w:cs="仿宋_GB2312" w:eastAsia="仿宋_GB2312"/>
              </w:rPr>
              <w:t>采购包13：1名</w:t>
            </w:r>
          </w:p>
          <w:p>
            <w:pPr>
              <w:pStyle w:val="null3"/>
              <w:jc w:val="left"/>
            </w:pPr>
            <w:r>
              <w:rPr>
                <w:rFonts w:ascii="仿宋_GB2312" w:hAnsi="仿宋_GB2312" w:cs="仿宋_GB2312" w:eastAsia="仿宋_GB2312"/>
              </w:rPr>
              <w:t>采购包14：1名</w:t>
            </w:r>
          </w:p>
          <w:p>
            <w:pPr>
              <w:pStyle w:val="null3"/>
              <w:jc w:val="left"/>
            </w:pPr>
            <w:r>
              <w:rPr>
                <w:rFonts w:ascii="仿宋_GB2312" w:hAnsi="仿宋_GB2312" w:cs="仿宋_GB2312" w:eastAsia="仿宋_GB2312"/>
              </w:rPr>
              <w:t>采购包15：1名</w:t>
            </w:r>
          </w:p>
          <w:p>
            <w:pPr>
              <w:pStyle w:val="null3"/>
              <w:jc w:val="left"/>
            </w:pPr>
            <w:r>
              <w:rPr>
                <w:rFonts w:ascii="仿宋_GB2312" w:hAnsi="仿宋_GB2312" w:cs="仿宋_GB2312" w:eastAsia="仿宋_GB2312"/>
              </w:rPr>
              <w:t>采购包16：1名</w:t>
            </w:r>
          </w:p>
          <w:p>
            <w:pPr>
              <w:pStyle w:val="null3"/>
              <w:jc w:val="left"/>
            </w:pPr>
            <w:r>
              <w:rPr>
                <w:rFonts w:ascii="仿宋_GB2312" w:hAnsi="仿宋_GB2312" w:cs="仿宋_GB2312" w:eastAsia="仿宋_GB2312"/>
              </w:rPr>
              <w:t>采购包17：1名</w:t>
            </w:r>
          </w:p>
          <w:p>
            <w:pPr>
              <w:pStyle w:val="null3"/>
              <w:jc w:val="left"/>
            </w:pPr>
            <w:r>
              <w:rPr>
                <w:rFonts w:ascii="仿宋_GB2312" w:hAnsi="仿宋_GB2312" w:cs="仿宋_GB2312" w:eastAsia="仿宋_GB2312"/>
              </w:rPr>
              <w:t>采购包18：1名</w:t>
            </w:r>
          </w:p>
          <w:p>
            <w:pPr>
              <w:pStyle w:val="null3"/>
              <w:jc w:val="left"/>
            </w:pPr>
            <w:r>
              <w:rPr>
                <w:rFonts w:ascii="仿宋_GB2312" w:hAnsi="仿宋_GB2312" w:cs="仿宋_GB2312" w:eastAsia="仿宋_GB2312"/>
              </w:rPr>
              <w:t>采购包19：1名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本项目可兼投19包，本项目可兼中19包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（1）本项目采购标的对应的中小企业划分标准：工业。 （2）根据《关于推动解决政府采购异常低价问题的通知》财库〔2026〕2号 （一）采购人应当在采购文件中明确，政府采购评审中出现下列情形之一的，评审委员会应当启动异常低价投标（响应）审查程序：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（3）本项目各包投标人可兼投兼中。 （4）规格尺寸类参数允许不超过±3%的偏差（上述技术参数已有要求的除外）。招标文件中所有的技术参数及其性能（配置）仅起参考作用，目的是满足采购人工作的基本要求，投标产品满足（实质相当于）或优于招标文件的采购需求均可。 （5）投标人需对响应的“技术参数、规格、功能及其他要求”内容真实性负责，如虚假响应谋取中标资格，经核实发现，取消中标资格。 （6）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项目评审价=投标价格*（1-20%）。 （7）采购合同签定时，由采购人提供合同范本。 （8）进口代理费由乙方支付。 （9）产品质保期有特殊约定的以采购需求中的时间为准。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联系人：郭经理</w:t>
      </w:r>
    </w:p>
    <w:p>
      <w:pPr>
        <w:pStyle w:val="null3"/>
        <w:jc w:val="left"/>
      </w:pPr>
      <w:r>
        <w:rPr>
          <w:rFonts w:ascii="仿宋_GB2312" w:hAnsi="仿宋_GB2312" w:cs="仿宋_GB2312" w:eastAsia="仿宋_GB2312"/>
        </w:rPr>
        <w:t>联系电话：0898-66757906</w:t>
      </w:r>
    </w:p>
    <w:p>
      <w:pPr>
        <w:pStyle w:val="null3"/>
        <w:jc w:val="left"/>
      </w:pPr>
      <w:r>
        <w:rPr>
          <w:rFonts w:ascii="仿宋_GB2312" w:hAnsi="仿宋_GB2312" w:cs="仿宋_GB2312" w:eastAsia="仿宋_GB2312"/>
        </w:rPr>
        <w:t>地址：海南省海口市美兰区蓝天路西2-8号</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本项目计划投入</w:t>
      </w:r>
      <w:r>
        <w:rPr>
          <w:rFonts w:ascii="仿宋_GB2312" w:hAnsi="仿宋_GB2312" w:cs="仿宋_GB2312" w:eastAsia="仿宋_GB2312"/>
        </w:rPr>
        <w:t>3984.5万元，用于更新置换海南热带海洋学院科研设备，拟淘汰设备 58 台，购置 45 台套件仪器装备，覆盖海洋科学、生态环境、电子信息工程等学科专业领域。通过更新设备，显著提升海洋科学、生态环境、电子信息工程等学科的竞争力，巩固现有硕士点建设，助力学科迈向更高水平。构建综合性科研平台，支持跨学科交叉融合研究，加速科研成果的产出与转化，推动地方产业升级转型。强化海洋环境监测与保护能力，助力海南自贸港的生态文明建设，推动地方经济高质量可持续发展。</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5,000,000.00</w:t>
      </w:r>
    </w:p>
    <w:p>
      <w:pPr>
        <w:pStyle w:val="null3"/>
        <w:jc w:val="left"/>
      </w:pPr>
      <w:r>
        <w:rPr>
          <w:rFonts w:ascii="仿宋_GB2312" w:hAnsi="仿宋_GB2312" w:cs="仿宋_GB2312" w:eastAsia="仿宋_GB2312"/>
        </w:rPr>
        <w:t>采购包最高限价（元）: 5,000,000.00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海洋牧场观测系统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水下高光谱成像仪及辐射定标系统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深远海水下光学成像通讯一体机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无人机海气观测设备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3,340,000.00</w:t>
      </w:r>
    </w:p>
    <w:p>
      <w:pPr>
        <w:pStyle w:val="null3"/>
        <w:jc w:val="left"/>
      </w:pPr>
      <w:r>
        <w:rPr>
          <w:rFonts w:ascii="仿宋_GB2312" w:hAnsi="仿宋_GB2312" w:cs="仿宋_GB2312" w:eastAsia="仿宋_GB2312"/>
        </w:rPr>
        <w:t>采购包最高限价（元）: 3,340,000.00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多功能声学多普勒剖面流速仪 （测量剖面300-400米）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波浪谱浮标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多功能声学多普勒剖面流速仪 （测量剖面1000米）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海洋动力浮标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1,680,000.00</w:t>
      </w:r>
    </w:p>
    <w:p>
      <w:pPr>
        <w:pStyle w:val="null3"/>
        <w:jc w:val="left"/>
      </w:pPr>
      <w:r>
        <w:rPr>
          <w:rFonts w:ascii="仿宋_GB2312" w:hAnsi="仿宋_GB2312" w:cs="仿宋_GB2312" w:eastAsia="仿宋_GB2312"/>
        </w:rPr>
        <w:t>采购包最高限价（元）: 1,680,000.00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电催化测试系统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光热海水淡化测试系统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热带岛礁环境地质测试分析平台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2,945,000.00</w:t>
      </w:r>
    </w:p>
    <w:p>
      <w:pPr>
        <w:pStyle w:val="null3"/>
        <w:jc w:val="left"/>
      </w:pPr>
      <w:r>
        <w:rPr>
          <w:rFonts w:ascii="仿宋_GB2312" w:hAnsi="仿宋_GB2312" w:cs="仿宋_GB2312" w:eastAsia="仿宋_GB2312"/>
        </w:rPr>
        <w:t>采购包最高限价（元）: 2,945,000.00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全功能微孔板检测分析仪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油水分离器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高速冷冻离心机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数字型智能倒置荧光显微镜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5</w:t>
            </w:r>
          </w:p>
        </w:tc>
        <w:tc>
          <w:tcPr>
            <w:tcW w:type="dxa" w:w="755"/>
          </w:tcPr>
          <w:p>
            <w:pPr>
              <w:pStyle w:val="null3"/>
              <w:jc w:val="left"/>
            </w:pPr>
            <w:r>
              <w:rPr>
                <w:rFonts w:ascii="仿宋_GB2312" w:hAnsi="仿宋_GB2312" w:cs="仿宋_GB2312" w:eastAsia="仿宋_GB2312"/>
              </w:rPr>
              <w:t>低温等离子体杀菌机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3,690,000.00</w:t>
      </w:r>
    </w:p>
    <w:p>
      <w:pPr>
        <w:pStyle w:val="null3"/>
        <w:jc w:val="left"/>
      </w:pPr>
      <w:r>
        <w:rPr>
          <w:rFonts w:ascii="仿宋_GB2312" w:hAnsi="仿宋_GB2312" w:cs="仿宋_GB2312" w:eastAsia="仿宋_GB2312"/>
        </w:rPr>
        <w:t>采购包最高限价（元）: 3,690,000.00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蛋白质高效提取分离层析检测系统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活细胞工作站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超临界二氧化碳萃取仪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3,640,000.00</w:t>
      </w:r>
    </w:p>
    <w:p>
      <w:pPr>
        <w:pStyle w:val="null3"/>
        <w:jc w:val="left"/>
      </w:pPr>
      <w:r>
        <w:rPr>
          <w:rFonts w:ascii="仿宋_GB2312" w:hAnsi="仿宋_GB2312" w:cs="仿宋_GB2312" w:eastAsia="仿宋_GB2312"/>
        </w:rPr>
        <w:t>采购包最高限价（元）: 3,640,000.00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蛋白质层析纯化系统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高分辨全自动体视荧光显微镜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实时荧光定量PCR仪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氨基酸分析仪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5</w:t>
            </w:r>
          </w:p>
        </w:tc>
        <w:tc>
          <w:tcPr>
            <w:tcW w:type="dxa" w:w="755"/>
          </w:tcPr>
          <w:p>
            <w:pPr>
              <w:pStyle w:val="null3"/>
              <w:jc w:val="left"/>
            </w:pPr>
            <w:r>
              <w:rPr>
                <w:rFonts w:ascii="仿宋_GB2312" w:hAnsi="仿宋_GB2312" w:cs="仿宋_GB2312" w:eastAsia="仿宋_GB2312"/>
              </w:rPr>
              <w:t>斑马鱼行为跟踪系统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海龟驯养循环水系统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1,380,000.00</w:t>
      </w:r>
    </w:p>
    <w:p>
      <w:pPr>
        <w:pStyle w:val="null3"/>
        <w:jc w:val="left"/>
      </w:pPr>
      <w:r>
        <w:rPr>
          <w:rFonts w:ascii="仿宋_GB2312" w:hAnsi="仿宋_GB2312" w:cs="仿宋_GB2312" w:eastAsia="仿宋_GB2312"/>
        </w:rPr>
        <w:t>采购包最高限价（元）: 1,380,000.00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三维图像动态识别声呐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1,330,000.00</w:t>
      </w:r>
    </w:p>
    <w:p>
      <w:pPr>
        <w:pStyle w:val="null3"/>
        <w:jc w:val="left"/>
      </w:pPr>
      <w:r>
        <w:rPr>
          <w:rFonts w:ascii="仿宋_GB2312" w:hAnsi="仿宋_GB2312" w:cs="仿宋_GB2312" w:eastAsia="仿宋_GB2312"/>
        </w:rPr>
        <w:t>采购包最高限价（元）: 1,330,000.00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环境DNA全自动样品提取建库工作站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全自动固相萃取系统（国产）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4,025,000.00</w:t>
      </w:r>
    </w:p>
    <w:p>
      <w:pPr>
        <w:pStyle w:val="null3"/>
        <w:jc w:val="left"/>
      </w:pPr>
      <w:r>
        <w:rPr>
          <w:rFonts w:ascii="仿宋_GB2312" w:hAnsi="仿宋_GB2312" w:cs="仿宋_GB2312" w:eastAsia="仿宋_GB2312"/>
        </w:rPr>
        <w:t>采购包最高限价（元）: 4,025,000.00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海气通量观测系统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大进样量元素分析仪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1,065,000.00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全自动数字PCR系统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采购包预算金额（元）: 1,450,000.00</w:t>
      </w:r>
    </w:p>
    <w:p>
      <w:pPr>
        <w:pStyle w:val="null3"/>
        <w:jc w:val="left"/>
      </w:pPr>
      <w:r>
        <w:rPr>
          <w:rFonts w:ascii="仿宋_GB2312" w:hAnsi="仿宋_GB2312" w:cs="仿宋_GB2312" w:eastAsia="仿宋_GB2312"/>
        </w:rPr>
        <w:t>采购包最高限价（元）: 1,450,000.00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气体燃料冲装模拟器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液货船操作辅助设备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采购包预算金额（元）: 1,935,000.00</w:t>
      </w:r>
    </w:p>
    <w:p>
      <w:pPr>
        <w:pStyle w:val="null3"/>
        <w:jc w:val="left"/>
      </w:pPr>
      <w:r>
        <w:rPr>
          <w:rFonts w:ascii="仿宋_GB2312" w:hAnsi="仿宋_GB2312" w:cs="仿宋_GB2312" w:eastAsia="仿宋_GB2312"/>
        </w:rPr>
        <w:t>采购包最高限价（元）: 1,935,000.00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润滑油检测辅助设备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油料光谱仪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475,000.00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船舶电子实验平台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采购包预算金额（元）: 2,250,000.00</w:t>
      </w:r>
    </w:p>
    <w:p>
      <w:pPr>
        <w:pStyle w:val="null3"/>
        <w:jc w:val="left"/>
      </w:pPr>
      <w:r>
        <w:rPr>
          <w:rFonts w:ascii="仿宋_GB2312" w:hAnsi="仿宋_GB2312" w:cs="仿宋_GB2312" w:eastAsia="仿宋_GB2312"/>
        </w:rPr>
        <w:t>采购包最高限价（元）: 2,250,000.00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标准天线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频谱分析仪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快照式水下高光谱成像系统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组织全景全自动玻片扫描分析系统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采购包预算金额（元）: 1,700,000.00</w:t>
      </w:r>
    </w:p>
    <w:p>
      <w:pPr>
        <w:pStyle w:val="null3"/>
        <w:jc w:val="left"/>
      </w:pPr>
      <w:r>
        <w:rPr>
          <w:rFonts w:ascii="仿宋_GB2312" w:hAnsi="仿宋_GB2312" w:cs="仿宋_GB2312" w:eastAsia="仿宋_GB2312"/>
        </w:rPr>
        <w:t>采购包最高限价（元）: 1,700,000.00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开放式叶绿素荧光成像系统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高通量全自动间断化学分析仪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采购包18：</w:t>
      </w:r>
    </w:p>
    <w:p>
      <w:pPr>
        <w:pStyle w:val="null3"/>
        <w:jc w:val="left"/>
      </w:pPr>
      <w:r>
        <w:rPr>
          <w:rFonts w:ascii="仿宋_GB2312" w:hAnsi="仿宋_GB2312" w:cs="仿宋_GB2312" w:eastAsia="仿宋_GB2312"/>
        </w:rPr>
        <w:t>采购包预算金额（元）: 1,080,000.00</w:t>
      </w:r>
    </w:p>
    <w:p>
      <w:pPr>
        <w:pStyle w:val="null3"/>
        <w:jc w:val="left"/>
      </w:pPr>
      <w:r>
        <w:rPr>
          <w:rFonts w:ascii="仿宋_GB2312" w:hAnsi="仿宋_GB2312" w:cs="仿宋_GB2312" w:eastAsia="仿宋_GB2312"/>
        </w:rPr>
        <w:t>采购包最高限价（元）: 1,080,000.00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万能材料电子试验机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钠离子电池制备小试生产线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采购包19：</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台式X射线衍射仪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jc w:val="left"/>
            </w:pPr>
            <w:r>
              <w:rPr>
                <w:rFonts w:ascii="仿宋_GB2312" w:hAnsi="仿宋_GB2312" w:cs="仿宋_GB2312" w:eastAsia="仿宋_GB2312"/>
              </w:rPr>
              <w:t>台套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海洋牧场观测系统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水下高光谱成像仪及辐射定标系统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深远海水下光学成像通讯一体机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无人机海气观测设备</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多功能声学多普勒剖面流速仪 （测量剖面300-400米）</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波浪谱浮标</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多功能声学多普勒剖面流速仪 （测量剖面1000米）</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海洋动力浮标</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电催化测试系统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光热海水淡化测试系统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热带岛礁环境地质测试分析平台</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全功能微孔板检测分析仪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油水分离器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高速冷冻离心机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数字型智能倒置荧光显微镜</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低温等离子体杀菌机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蛋白质高效提取分离层析检测系统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活细胞工作站</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超临界二氧化碳萃取仪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蛋白质层析纯化系统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高分辨全自动体视荧光显微镜</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实时荧光定量PCR仪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氨基酸分析仪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斑马鱼行为跟踪系统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海龟驯养循环水系统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三维图像动态识别声呐</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环境DNA全自动样品提取建库工作站</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全自动固相萃取系统（国产）</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海气通量观测系统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大进样量元素分析仪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1,065,000.00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全自动数字PCR系统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气体燃料冲装模拟器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液货船操作辅助设备</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润滑油检测辅助设备</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油料光谱仪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船舶电子实验平台</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标准天线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频谱分析仪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快照式水下高光谱成像系统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组织全景全自动玻片扫描分析系统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开放式叶绿素荧光成像系统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高通量全自动间断化学分析仪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万能材料电子试验机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钠离子电池制备小试生产线</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台式X射线衍射仪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标的名称：海洋牧场观测系统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海洋牧场观测系统 一、整体海洋牧场观测系统组成与作用</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本系统由海上浮标观测系统、水下机器人、芯片级多参数水质仪、侧扫声呐四个部分组成，用于海洋牧场气象、海况、水上水下影像、水质参数、海底地形等实时观测、数据采集、传输与存储，支撑教学科研与实训。</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二、各分系统详细参数</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（一）海上浮标观测系统</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▲1、浮标直径≥3米，3点锚系，采用超高分子量聚乙烯材料，环保合规，符合GB/T 26572-2011标准（投标时需提供CMA或CNAS第三方检测报告电子版）；</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浮标系统搭载水上摄像机，气象仪，海上定位器。水上摄像机：数字彩色CMOS，最低照度彩色≤0.005Lux，变焦镜头（数字≥15倍，光学≥22倍），红外夜视，云台（水平360°，垂直-15°~90°），外壳耐腐蚀材质。气象仪：风速范围0~75m/s，分辨率≤0.1m/s，精度±0.2m/s；风向范围0~360°，分辨率≤1°，精度±2°；空气温度范围-40~85℃，分辨率≤0.1℃，精度±0.2℃；空气相对湿度范围0—100%（0~80℃），分辨率≤1%，精度±2%RH；气压范围200-1200hPa，分辨率≤0.1hPa，精度±0.5hPa；雨强范围0-24mm/min，分辨率≤0.1mm/min，精度≤0.5mm/min；降雨量范围0-2048mm，精度≤0.5mm，累计≤2048mm。海上定位器：定位更新≥1HZ，定位精度速度≥0.1m/s，外壳耐腐蚀材质；</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▲3、浮标系统具备实时在线，可查看实时数据、外设状态、历史数据、下载和回放视频，提供近两年同类浮标系统案例1个，连续不少于5天无故障运行，投标时需提供检测机构出具的第三方检测报告电子版；</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▲4、海床基搭载水下摄像机系统，该系统耐压≥80米，包含摄像机、LED灯、旋转式清洁刷、水平360°/俯仰±45°云台，投标时需提供CMA或CNAS第三方检测报告电子版；</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（二）水下机器人</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▲1、水下机器人潜深≥350米，摄像机CMOS 1/2.8，照片像素≥800万，视频分辨率1080p，带云台俯仰≥ 90°，照明灯≥2个，投标时需提供CMA或CNAS第三方检测报告电子版；</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2、水下机器人具备不少于8个推进器，单个推力≥8kgf ，不少于4水平4垂直，航速≥3节，实时监测航向及姿态；</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3、潜器具备深度、水温、舱内温湿度、漏水检测、航姿、加速度计、磁力计等传感器，自动定深、定航、定稳等；</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4、潜器具备RS232，RS485和网口，可支持接入机械手，成像声呐，水下定位等，工作温度-20℃-50℃，储藏温度-40℃-60℃；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5、控制箱含手柄、≥14.0英寸高亮显示屏，显示多类数据，可远程联网，配北斗、磁力计、加速度计、陀螺仪、姿态仪；</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▲6、潜器搭载浑浊水摄像系统，在10-60NTU浊度条件下，不小于1.5m 距离可视，投标时需提供CMA或CNAS第三方检测报告电子版；</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（三）芯片级多参数水质仪</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1、溶解氧采用荧光法，量程0~20mg/L，0~200%饱和度，精度±0.1 mg/L；</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2、温度量程-5~50℃，分辨率≤0.1℃，精度≤1%，RS485输出，支持MODBUS；</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3、盐度量程0~70PSU、精度±1%、输出4—20mA、最大压力50PSI；</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4、pH量程0~14，分辨率≤0.01，精度≤0.1，自动温度补偿、两点校正、隔离式4~20mA电流输出；</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5、浊度量程0~1000NTU，分辨率≤400 NTU为0.1，400~1000 NTU为1.0，精度±1%；</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6、信号传输为RS-485，主机为海水适用，电源24VDC，具备长期免维护；</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（四）侧扫声呐</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1、工作频率为900kHz，最大斜距75m，水平波束宽度≤0.2°，垂直波束宽度≥50°，信号形式为CW/Chirp，换能器耐压深度≥1000m；</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2、沿航迹像分辨率≤0.07米@20米，≤0.17米@50米，垂直航迹向分辨率≤1cm。</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三、分系统的协作方式</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各分系统通过 RS485、以太网等标准接口组网，数据统一上传至平台终端，实现气象、海况、水质、水上水下影像、海底地形等数据采集、实时传输、集中显示与存储。</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配置设备：1.海上浮标观测系统一套；2.水下机器人一套；3.芯片级多参数水质仪一套；4.侧扫声呐一套。</w:t>
            </w:r>
          </w:p>
        </w:tc>
      </w:tr>
    </w:tbl>
    <w:p>
      <w:pPr>
        <w:pStyle w:val="null3"/>
        <w:jc w:val="left"/>
      </w:pPr>
      <w:r>
        <w:rPr>
          <w:rFonts w:ascii="仿宋_GB2312" w:hAnsi="仿宋_GB2312" w:cs="仿宋_GB2312" w:eastAsia="仿宋_GB2312"/>
        </w:rPr>
        <w:t>标的名称：水下高光谱成像仪及辐射定标系统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水下高光谱成像仪及辐射定标系统技术参数指标：</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▲1、波段范围：优于400-1000nm，光谱分辨率：优于1.5nm。投标时需提供第三方检测报告电子版。</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▲2、水下专用物镜：焦距25mm。</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▲3、光谱采样间：优于0.3nm。</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▲4、空间分辨率高：大于2000pixels。</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5、像元尺寸：5.5μm×5.5μm。</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6、像元数：2048×2048。</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7、调焦：调焦精度优于0.01mm。</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▲8、专门用于水下高光谱成像仪的定标系统一套；</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配置清单：1.水下高光谱成像仪一台；2.图像自动拼接软件一套；3.水下高光谱成像仪辐射定标系统一套。</w:t>
            </w:r>
          </w:p>
        </w:tc>
      </w:tr>
    </w:tbl>
    <w:p>
      <w:pPr>
        <w:pStyle w:val="null3"/>
        <w:jc w:val="left"/>
      </w:pPr>
      <w:r>
        <w:rPr>
          <w:rFonts w:ascii="仿宋_GB2312" w:hAnsi="仿宋_GB2312" w:cs="仿宋_GB2312" w:eastAsia="仿宋_GB2312"/>
        </w:rPr>
        <w:t>标的名称：深远海水下光学成像通讯一体机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深远海水下光学成像通讯一体机技术参数指标</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1）水下光学相机技术参数指标：</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▲1、成像方式RGB三原色，微光性能：0.01LUX@F4.0，4K超高清，12倍光学变焦；</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▲2、耐压深度11000米，过渡材料陶瓷，通光孔径大于100mm，水平视场角≥69°，成像距离水下大于15米；</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3、固定结构尺寸≤100mm，舱体尺寸≤Φ130×200mm，舱体：钛合金；</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4、输出4K@30帧，2×256G自容式存储，功耗5W，供电方式12VDC，操作界面可任意定制；</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2）水下光学通信机技术参数指标：</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▲5、水下无线光通讯，传输速率30Mbps以上；</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▲6、通信接口为百兆以太网通信，可支持链路损耗15dB以上，单端功耗低于35W</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▲7、通光口径80mm以上，耐压深度11000米；舱体：钛合金；</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配置清单：1.深远海水下光学成像通讯一体机一台；2.图像处理及通讯软件一套；</w:t>
            </w:r>
          </w:p>
        </w:tc>
      </w:tr>
    </w:tbl>
    <w:p>
      <w:pPr>
        <w:pStyle w:val="null3"/>
        <w:jc w:val="left"/>
      </w:pPr>
      <w:r>
        <w:rPr>
          <w:rFonts w:ascii="仿宋_GB2312" w:hAnsi="仿宋_GB2312" w:cs="仿宋_GB2312" w:eastAsia="仿宋_GB2312"/>
        </w:rPr>
        <w:t>标的名称：无人机海气观测设备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无人机海气观测设备 一 无人机</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搭载测绘及气象负载时，最大飞行时间≥50 分钟。锂电池（≥2块），单块容量≥20000mAh，可快速充电及状态监测。电池充电箱一个，220 V下极速模式充满电时间≤ 60 分钟。</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2.最大载重≥7kg，满足多传感器挂载作业需求。支持自动返航、定点环绕及断点续飞。配置一站式无人机任务管理云平台。</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 定位精度：自带RTK差分定位，固定解水平精度≤1cm+1ppm，垂直≤1.5cm+1ppm。悬停时间（10 kg负载）：≥45 分钟；</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 最大控制与图传距离≥20 km，支持4G网络，冗余备份增强链路，含多传感器融合避障系统。支持全向感知及夜间作业。</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5.红外传感器须配备锗镜头，满足三防。搭载可见光相机，传感器尺寸≤1英寸，有效像素≥2000万。</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 最大工作海拔高度：不低于5000 m，抗风能力：≥11 m/s。在海上悬停高度≤ 5 m。遥控器控制距离： ≥ 10 km。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二 气象传感器、海表温度传感器、数据采集传输模块</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风速不低于0-50m/s，精度±0.2m/s。风向0-360°，精度±15°（倾斜），分辨率≤1.0°，精度≤±1.0°</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 大气压测量范围：不低于 50-1150 hPa，分辨率≤ 0.1 hPa，精度： ≤1.0 hPa。</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 气温： 温度范围：不低于-20℃~50℃，分辨率：≤0.01℃，精度：≤±2.0℃；相对湿度：0-100 % ，分辨率：≤ 0.10 %，精度：≤±3 %</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 红外海温传感器：测量距离≥7 m，量程：不低于-20℃至50℃，精度≤±0.2℃。</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5.环境适应：工作环境温度范围不低于-20℃至50℃ ，满足防霉菌、防潮湿、防盐雾标准，投标时需提供第三方检测报告电子版。</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6. 数据采集器，具备板载编程与数据处理能力，采样频率最高≥20Hz，内存≥100 MB。</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 气象传感器具备飞行姿态自适应校正功能，可实时修正观测风速与风向数据。</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 飞行过程可实时查看系统电池电量，飞行高度，位置，采集的风速，风向，气温，气压，相对湿度和海温数据。</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9.带数据收集和数据处理软件2套，所有数据支持本地存储和无线传输存储。所有传感器支持锂电池供电和电源直供两种方式，锂电池供电下最低可连续工作3小时。</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10.无人机专用固定支架2套，每套支架可稳定搭载气象传感器1个与红外海温传感器1个。气象站+红外海温传感器+支架+数据采集器的总重量≤5 kg。</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11.投标单位需提供近三年同类飞行观测案例现场照片及观测数据，提供至少连续5小时、每30分钟1次的无人机搭载气象及海温传感器的观测数据≥3组。传感器均需提供第三方相关精度校准证书。</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 机架式数据处理服务器</w:t>
            </w:r>
          </w:p>
        </w:tc>
      </w:tr>
      <w:tr>
        <w:tc>
          <w:tcPr>
            <w:tcW w:type="dxa" w:w="2769"/>
          </w:tcPr>
          <w:p>
            <w:pPr>
              <w:pStyle w:val="null3"/>
              <w:jc w:val="left"/>
            </w:pPr>
            <w:r>
              <w:rPr>
                <w:rFonts w:ascii="仿宋_GB2312" w:hAnsi="仿宋_GB2312" w:cs="仿宋_GB2312" w:eastAsia="仿宋_GB2312"/>
              </w:rPr>
              <w:t>21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2U机架式X86服务器；2颗Intel Xeon CPU，核心数≥60，主频≥2.0G；散热片*2；配置≥2块960GB SSD硬盘、≥7块16TB SATA HDD硬盘；</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 前置≥12个3.5寸或24/25个2.5寸热插拔硬盘，支持SAS/SATA/NVMe SSD混插；后置≥4个2.5寸硬盘，所有槽位兼容SAS/SATA/NVMe 硬盘，无需更换背；</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3.支持主板板载2个M.2接口，支持2个M.2组RAID 1且支持热插拔； 23.8英寸显示器1个，UPS断电保护1小时（≥3kVA）。</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4.硬盘控制器：≥4G缓存硬盘控制器，支持Raid 0/1/10/5/50。配置1块双口万兆网卡（含多模模块）、1块双口千兆网卡；</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5.显卡：≥24GB GDDR6/GDDR6X显卡1块，支持≥4 个 DisplayPort。端口支持NVIDIA 虚拟PC和虚拟应用程序。2块≥2000W电源模块；</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6.1TB服务器内存（物理内存≥196 GB DDR5 5600MHz +虚拟内存≥832 GB），支持≥32个插槽，最大支持4TB内存，支持内存镜像和热备；</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 ▲ 负责组装服务器，安装READ6,redhat或centos系统，C编译器，PBS作业管理调度系统。</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配置清单：无人机1套；气象传感器2套；海表温度传感器2个；机架式数据处理器1套。</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标的名称：多功能声学多普勒剖面流速仪 （测量剖面300-400米）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多功能声学多普勒剖面流速仪（测量剖面300—400米） ▲1.换能器：四波束探头，四个与轴线成20度角，频率：100K。</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▲2.速度准确度：所测流速的1%±0.5cm/s ；速度分辨率： 1mm/s；速度范围：±5m/s；层厚： 3-15m；剖面范围：300-400m。</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▲3.标配传感器：压力传感器、温度传感器、倾斜传感器、磁罗盘等。</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4.压力传感器：最大深度：1500m，准确度：满量程的0.1%，分辨率：满量程的0.002%。</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5.温度传感器：范围：-4°~40°C，准确度：0.1°C，分辨率：0.01°。</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6.倾斜传感器：范围：30°，精度：0.2°，分辨率：0.01°。</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7.磁罗盘（内置式现场标定功能）：双向罗盘，上下自动识别，精度：2°，分辨率：0.1°。</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▲8.多模式同步测量功能，包括：标准测流、SUV潜标测波功能、冰层测量，任意两个可以组合。</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9.内存：厂家专用内存条标准16G；电池仓：电池包540wh；重量：空气中37.5Kg。</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配置清单：1.多功能声学多普勒剖面流速仪一套；2.处理软件一套。</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提供资料证明：本产品每项参数均需提供第三方检测报告及电子版产品规格书，如有任意一项参数未提供上述材料则扣除该项参数对应分值。</w:t>
            </w:r>
          </w:p>
        </w:tc>
      </w:tr>
    </w:tbl>
    <w:p>
      <w:pPr>
        <w:pStyle w:val="null3"/>
        <w:jc w:val="left"/>
      </w:pPr>
      <w:r>
        <w:rPr>
          <w:rFonts w:ascii="仿宋_GB2312" w:hAnsi="仿宋_GB2312" w:cs="仿宋_GB2312" w:eastAsia="仿宋_GB2312"/>
        </w:rPr>
        <w:t>标的名称：波浪谱浮标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波浪谱浮标 ▲1.波浪高度：测量范围（0.2～20）m，精度±(0.1+5%×H)m；波浪周期：测量范围（2～20）s，精度±0.5s；</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▲2.波浪方向：测量范围（0～360）°，精度±5°；波浪能量谱：测量范围（0.05～0.5）Hz；</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3.风/涌浪高度：测量范围：（0.2～20）m，精度±(0.2+5%×H)m；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4.风/涌浪周期：测量范围：（2～20）s，精度±1s；风/涌浪方向：测量范围：（0～360）°，精度±10°。</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▲5.性能指标：球形，直径不大于82cm，北斗通信方式，测量周期远程可调；锂电池供电，工作时间≥12个月。</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▲6.水文条件：工作最大流速：3m/s；工作海况：8级正常工作，9级可生存。</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7.存储及使用温度：工作温度：-5℃～50℃；存储温度：-10℃～60℃。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配置清单：</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1.波浪谱浮标一套；2.岸基综合接收系统一套；3.数据综合处理系统一套。</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提供资料证明：本产品每项参数均需提供第三方检测报告和电子版产品规格书，如有任意一项参数未提供上述材料则扣除该项参数对应分值。</w:t>
            </w:r>
          </w:p>
        </w:tc>
      </w:tr>
    </w:tbl>
    <w:p>
      <w:pPr>
        <w:pStyle w:val="null3"/>
        <w:jc w:val="left"/>
      </w:pPr>
      <w:r>
        <w:rPr>
          <w:rFonts w:ascii="仿宋_GB2312" w:hAnsi="仿宋_GB2312" w:cs="仿宋_GB2312" w:eastAsia="仿宋_GB2312"/>
        </w:rPr>
        <w:t>标的名称：多功能声学多普勒剖面流速仪 （测量剖面1000米）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多功能声学多普勒剖面流速仪（测量剖面1000米）▲1.频率：55KHz，换能器：3波束探头，3个声束与轴线成20度角。</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▲2.测量剖面技术要求： 双频模式（55kHz、75kHz），可以宽带和窄带模式同时工作。</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▲3.速度准确度：所测流速的1%±0.5cm/s；速度分辨率： 1mm/s；速度范围：±5m/s（延声束）；层厚范围： 5-20m；剖面范围：1000m。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4.标配传感器：压力传感器 、温度传感器、倾斜传感器、磁罗盘等。</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5.压力传感器 ：最大深度： 1500m，准确度：满量程的0. 5%，分辨率：满量程的0.005%。</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6.温度传感器 ：范围： -4°~ 40°C ，准确度： 0.1°C ，分辨率： 0.01°。</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7.倾斜传感器：范围： 30° ，精度：0.2° ，分辨率：0.1°。</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8.磁罗盘（ 内置式现场标定功能）： 双向罗盘，上下自动识别，精度： 2°，分辨率： 0. 1°。</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▲9.内存条标准16G，可扩充至64G；电池仓：电池包 540wh，重量：空气中45Kg水中19Kg。</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配置清单：1.多功能声学多普勒剖面流速仪一套；2.处理软件一套。</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提供资料证明：本产品每项参数均需提供第三方检测报告和电子版产品规格书，如有任意一项参数未提供上述材料则扣除该项参数对应分值。</w:t>
            </w:r>
          </w:p>
        </w:tc>
      </w:tr>
    </w:tbl>
    <w:p>
      <w:pPr>
        <w:pStyle w:val="null3"/>
        <w:jc w:val="left"/>
      </w:pPr>
      <w:r>
        <w:rPr>
          <w:rFonts w:ascii="仿宋_GB2312" w:hAnsi="仿宋_GB2312" w:cs="仿宋_GB2312" w:eastAsia="仿宋_GB2312"/>
        </w:rPr>
        <w:t>标的名称：海洋动力浮标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海洋动力浮标 ▲1.技术要求：必须具备同时连续监测气温、气压、湿度、风速、风向、雨量、剖面流速流向、波浪等参数的功能。</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2.在线监测，数据采集、存储、传输，具有参数状态诊断功能，能远程了解系统电池电量及充放电状态。</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▲3.数采系统独立工作，可储存10,000,000个以上测量数据，满足2年以上平台原始数据的储存。</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▲4.配置有北斗卫星定位系统，具有北斗卫星及GPRS双通讯模式，具有太阳能供电装置，具备系统自动报警功能。</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▲5.锚系系统的抗腐蚀能力和受力强度及锚锭的负重应能确保浮标在10级以下台风的恶劣海洋环境下，2年以上长期正常工作。</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6.浮标体采用高强度聚合材料，直径不小于2.5m，整体最大浮力≥40KN，蓄电能力≥400AH。总体高度不高于4.5m。</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▲7.卖方负责系统的安装调试与海上布放，包括传感器测试、浮标组装、整体调试、海上布放、数据中心调试等。</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8.在线数据管理平台包含数据管理、系统管理、运行监控、地图展示等多个功能模块。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9.气象监测仪可实现气温、气压、相对湿度、风速、风向、雨量六参数的在线测量。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10．海流监测仪：频率：600KHz ，流速准确度：0.3 cm/s 或 ±1.5% 读数，内置固态三轴倾斜补偿罗盘。</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11.波浪传感器：铝合金材质，波高范围：0-25米，误差小于测量值±5%，波周期误差小于±1秒。</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配置清单：1.海洋动力浮标一套；2.数据传输系统一套。</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提供资料证明：本产品每项参数均需提供第三方检测报告和电子版产品规格书，如有任意一项参数未提供上述材料则扣除该项参数对应分值。</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标的名称：电催化测试系统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电催化测试系统一、电化学工作站：</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1.接线：两电极、三电极、四电极模式；具备浮地功能；控制：模块化设计，分体控制，可拆式结构，具备独立的控制器与电机。</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▲2.恒电位电位控制范围：±10V；恒电流控制范围：±2.0A；电流量程：2A～2nA，共10档；槽压：±30V；最大输出电流：2.0A；频率响应：10Hz~1MHz；</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3.最小电压分辨率：78μV；最小电流分辨率：3.13pA</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转换速率：最快10 V/μs；纹波噪声：＜10mVRMS</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模拟数字转换器：16bit</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▲4.独立双通道，可同时测量。两个通道均可测试恒电位，恒电流，CV，LSV，电池充放电测试，恒电流充放电，GITT，PITT，电化学噪声，交流阻抗，腐蚀电位测试等功能方法。</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5.电力防护安全系统：当电力异常时，仪器可以自动启动防护关机功能，防止仪器受到损害，保护使用者安全。电力正常后重新启动即可恢复转速。</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6.每台电化学工作站配置1台一体台式电脑，满足电化学工作站测试、运行和数据分析。显示器≥27寸，处理器i5，集成显卡，硬盘容量：512GB，SSD+1TB HDD（含鼠标和键盘）</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7.服务信息：提供上述产品的原厂认可的安装、培训服务。</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二、旋转圆盘圆环电极装置：</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▲1.盘电极：外螺纹设计，接触更好，信号传输稳定。盘电极直径：5.0mm，电极外径：15mm ，工作温度：室温；转速：50-10000rpm，电机功率0.02马力，采用银碳刷接触连接。</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▲2.盘环电极：外螺纹设计，电极外套特氟龙材料，适应不同应用。盘环间隙≤320μm。盘环尺寸精度：0.01mm。盘直径：5.61mm，环内径：6.25mm，环外径：7.92mm；工作温度：室温。</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3.碳刷：卓越的掺银工艺（银含量＞80%），抗干扰性能优异，接触电阻极小，可有效降低电流采集误差，使用寿命长。</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▲4.控制：分体控制，可拆式结构，方便置入手套箱。具有信号输入/输出接口，可通过输入外部信号（来自电化学工作站）控制转速；</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5.防爆：最新防爆设计，保证人身与设备安全。</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6.旋转杆：长度170mm，外径：15mm，适用于各种电解池，方便与其他仪器联用，还有不同型号旋转杆供不同研究使用，内螺纹。</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7.电力防护安全系统：当电力异常时，仪器可以自动启动防护关机功能，防止仪器受到损害，保护使用者安全。电力正常后重新启动即可恢复转速。</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8.含有250 mL五口电解池*6个；Pt对电极*2个；饱和甘汞电极*2个；RDE（玻碳材质）2个；RRDE（铂环-玻碳盘电极）*2个，可满足ORR/OER/HER等催化反应测试。</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9.服务信息：提供上述产品的原厂认可的安装、培训服务。</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三、配置清单电化学工作站*3台；DSR数字型旋转圆盘圆环电极装置*3台。</w:t>
            </w:r>
          </w:p>
        </w:tc>
      </w:tr>
    </w:tbl>
    <w:p>
      <w:pPr>
        <w:pStyle w:val="null3"/>
        <w:jc w:val="left"/>
      </w:pPr>
      <w:r>
        <w:rPr>
          <w:rFonts w:ascii="仿宋_GB2312" w:hAnsi="仿宋_GB2312" w:cs="仿宋_GB2312" w:eastAsia="仿宋_GB2312"/>
        </w:rPr>
        <w:t>标的名称：光热海水淡化测试系统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光热海水淡化测试系统一、氙灯光源</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1.均匀光氙灯光源，采用复眼透镜系统均匀光照，0.1~5Sun光强可调，模拟日光接近3A级的氙灯光源；</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▲2.六边形光斑输出；输出光功率0.1~5Sun（10~500mw/cm2），连续可调，光斑直径30~80mm（根据照射距离）可选配方形；</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▲3.滤光片可以适应M62、M52，圆形滤光片；滤光片螺纹可实现无限叠加使用；</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▲4.为保障产品质量需提供原厂或区域授权代理商针对该项目的售后服务承诺。</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二、电子天平</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1.最大秤量：≥220g；可读性：0.0001g；重复性（5%载荷下）：0.00008g；线性误差：0.00006g；</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2.灵敏度便偏移（标称加载下）：0.0005g；最小称量值（USP，允差=10% ）：0.016g；稳定时间：≤2S；秤盘直径：≥Ø 90mm；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3.电磁力补偿（EMFC）称重传感器；</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4金属底座与PBT顶部外壳的材质，坚固耐用；</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5.LCD混合触摸屏；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6.最多可自定义5种外部环境条件，使天平测量可以适应不同环境；</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7.密码保护功能实现权限管理；</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8.样品ID设置，可以为样品分配ID号；</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9.通信接口：USB-A接口和RS232接口，且可选配蓝牙组件，方便连接打印机和电脑等设备；</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▲10.支持EasyDirect Balance数据管理软件， 可同时连接最多10台天平实现数据传输管理；</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11.PC-Direct功能可将称量结果直接传输至Excel等开放式应用程序，传输过程自动开始，无需其他辅助软件；</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▲12.制造商须具备提供校准服务的能力，投标时提供中国合格评定国家认可委员会颁发的CNAS实验室认可证书电子版；</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▲13.为保障产品质量需提供原厂或区域授权代理商针对该项目的售后服务承诺。</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三、纯水机</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1.进水条件：以市政自来水作为进水水源，进水电导率最高可允许到2000us/cm。</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2.实验应用：二级纯水：清洗、实验室用溶液的配置、微生物实验，以及常规理化实验。</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3.二级纯水产水水质：（投标时提供第三方检测机构提供的满足GB/T6682-2008国标报告证明）</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电阻率 ＞5 MΩ•cm@25℃ （典型值10-15 MΩ•cm@25℃）</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总有机碳含量(TOC) ＜30ppb；</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产水速度：≥10L/H</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取水流速：≥2L/min可调，可连续调节，不受档位限制。</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4.独立的预处理系统，根据制水状态自适应调整冲洗次数。</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5.纯化柱采用≥2支独立纯化柱设计，纯化柱具备识别芯片，系统自动识别和记录耗材，提供彩页资料或官网证明。</w:t>
            </w:r>
          </w:p>
        </w:tc>
      </w:tr>
      <w:tr>
        <w:tc>
          <w:tcPr>
            <w:tcW w:type="dxa" w:w="2769"/>
          </w:tcPr>
          <w:p>
            <w:pPr>
              <w:pStyle w:val="null3"/>
              <w:jc w:val="left"/>
            </w:pPr>
            <w:r>
              <w:rPr>
                <w:rFonts w:ascii="仿宋_GB2312" w:hAnsi="仿宋_GB2312" w:cs="仿宋_GB2312" w:eastAsia="仿宋_GB2312"/>
              </w:rPr>
              <w:t>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▲6.双级反渗透设计，截留率实时监控，反渗透膜无损状态下截留率≥99.5%；第二级反渗透全部废水回流，节约用水。</w:t>
            </w:r>
          </w:p>
        </w:tc>
      </w:tr>
      <w:tr>
        <w:tc>
          <w:tcPr>
            <w:tcW w:type="dxa" w:w="2769"/>
          </w:tcPr>
          <w:p>
            <w:pPr>
              <w:pStyle w:val="null3"/>
              <w:jc w:val="left"/>
            </w:pPr>
            <w:r>
              <w:rPr>
                <w:rFonts w:ascii="仿宋_GB2312" w:hAnsi="仿宋_GB2312" w:cs="仿宋_GB2312" w:eastAsia="仿宋_GB2312"/>
              </w:rPr>
              <w:t>31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▲7.采用≥3压力泵设计，保证全系统供水压力稳定；具备智能反馈调节功能，自动调节增压泵工作状态，保证制水量稳定。</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8.内置防结垢设计连续电去离子（EDI）模块，无需化学再生或加软化柱，无需定期更换离子树脂柱。</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9.内置≥4个高精度电导率仪，电阻池灵敏常数： ≤ 0.01cm-1，温度灵敏度≤ 0.1℃。投标时提供电导率仪厂家检验证书扫描件。</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10.液晶触摸屏幕，屏幕≤5英寸，屏幕可显示：原水、一级RO水、二级RO水和纯水电阻率及温度等数据。</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11.取水手臂辅助磁吸设计；手臂取水流速0-2L/min，无级变速，5%—100%可调，不受档位限制；</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12.三种取水功能选择：手柄按键取水；单击按键取水；定量取水：0.01-100L，可中断操作；标配脚踏取水开关。</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13.纯水水箱储量≥60L，水箱采用PE材质一体成型，标配空气滤器和紫外灯，紫外灯无汞设计。</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14.水箱液位通过压力式液位传感器监测，液位显示精确；储水容量可在线调节，调节范围为10%—100%。</w:t>
            </w:r>
          </w:p>
        </w:tc>
      </w:tr>
      <w:tr>
        <w:tc>
          <w:tcPr>
            <w:tcW w:type="dxa" w:w="2769"/>
          </w:tcPr>
          <w:p>
            <w:pPr>
              <w:pStyle w:val="null3"/>
              <w:jc w:val="left"/>
            </w:pPr>
            <w:r>
              <w:rPr>
                <w:rFonts w:ascii="仿宋_GB2312" w:hAnsi="仿宋_GB2312" w:cs="仿宋_GB2312" w:eastAsia="仿宋_GB2312"/>
              </w:rPr>
              <w:t>39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▲15.具备RO/EDI唤醒模式，24小时纯水部分没有制水，系统自动唤醒，产水60min自动排掉。</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16.用户可通过手机或电脑实时查看水机状况；用户可接收报警信息；远程诊断水机故障。</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17.主机与云端双备份数据存储，用户可通过云端下载数据报表，U盘实时导出，信息存储≥60万条。</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18.可选择安装≥5种同品牌专用终端滤器，保证水质满足多种实验室应用要求。</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19.为保障产品质量需提供原厂针对该项目的售后服务承诺。</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四、管式炉</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1、额定功率≥5.5KW；额定电压：AC220V 50/60HZ；</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2、额定使用温度≥1600℃； 最高使用温度：1700℃（≤0.5h）</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3、加热元件：硅钼棒； 热电偶：B 型（易损件）；</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4、标配一根刚玉管（易损件），尺寸：大于等于Φ60*1000mm，加热区域：大于等于Φ60*300mm；</w:t>
            </w:r>
          </w:p>
        </w:tc>
      </w:tr>
      <w:tr>
        <w:tc>
          <w:tcPr>
            <w:tcW w:type="dxa" w:w="2769"/>
          </w:tcPr>
          <w:p>
            <w:pPr>
              <w:pStyle w:val="null3"/>
              <w:jc w:val="left"/>
            </w:pPr>
            <w:r>
              <w:rPr>
                <w:rFonts w:ascii="仿宋_GB2312" w:hAnsi="仿宋_GB2312" w:cs="仿宋_GB2312" w:eastAsia="仿宋_GB2312"/>
              </w:rPr>
              <w:t>49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▲5、真空系统：配不锈钢真空法兰，进气口配 1/4″的不锈钢卡套接头，出气口宝塔嘴接头，预留KF25接口；</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6、真空泵通过挡板阀、波纹管与法兰连接；抽速：≥8m³/h ；真空度：≤5*10^-2Pa ；</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7、排气口配备油污过滤装置，可以有效过滤真空泵的油污。</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8、采用双层壳体结构，双层炉壳间配有风冷循环系统；</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9、内炉膛表面涂有高温氧化铝涂层；炉膛采用高纯多晶氧化铝纤维；</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10、采用 PID 方式调节温度，可设置 30 段升降温程序 ，带有超温和断偶保护；</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11、设备尺寸：≥1400mm（L）*500mm（W）*780mm（H）（含炉管法兰）；炉腔尺寸：≥290mm * 220mm * 160mm</w:t>
            </w:r>
          </w:p>
        </w:tc>
      </w:tr>
      <w:tr>
        <w:tc>
          <w:tcPr>
            <w:tcW w:type="dxa" w:w="2769"/>
          </w:tcPr>
          <w:p>
            <w:pPr>
              <w:pStyle w:val="null3"/>
              <w:jc w:val="left"/>
            </w:pPr>
            <w:r>
              <w:rPr>
                <w:rFonts w:ascii="仿宋_GB2312" w:hAnsi="仿宋_GB2312" w:cs="仿宋_GB2312" w:eastAsia="仿宋_GB2312"/>
              </w:rPr>
              <w:t>56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▲12、尾气收集、过滤装置：可防倒吸，可监控炉系统有无堵塞的情况。</w:t>
            </w:r>
          </w:p>
        </w:tc>
      </w:tr>
      <w:tr>
        <w:tc>
          <w:tcPr>
            <w:tcW w:type="dxa" w:w="2769"/>
          </w:tcPr>
          <w:p>
            <w:pPr>
              <w:pStyle w:val="null3"/>
              <w:jc w:val="left"/>
            </w:pPr>
            <w:r>
              <w:rPr>
                <w:rFonts w:ascii="仿宋_GB2312" w:hAnsi="仿宋_GB2312" w:cs="仿宋_GB2312" w:eastAsia="仿宋_GB2312"/>
              </w:rPr>
              <w:t>57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▲13、为保障产品质量需提供原厂针对该项目的售后服务承诺。</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五、高温箱式炉</w:t>
            </w:r>
          </w:p>
        </w:tc>
      </w:tr>
      <w:tr>
        <w:tc>
          <w:tcPr>
            <w:tcW w:type="dxa" w:w="2769"/>
          </w:tcPr>
          <w:p>
            <w:pPr>
              <w:pStyle w:val="null3"/>
              <w:jc w:val="left"/>
            </w:pPr>
            <w:r>
              <w:rPr>
                <w:rFonts w:ascii="仿宋_GB2312" w:hAnsi="仿宋_GB2312" w:cs="仿宋_GB2312" w:eastAsia="仿宋_GB2312"/>
              </w:rPr>
              <w:t>59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▲1、最高温度： 1400℃（≤30min）；</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2、长期工作温度≥ 1300℃；</w:t>
            </w:r>
          </w:p>
        </w:tc>
      </w:tr>
      <w:tr>
        <w:tc>
          <w:tcPr>
            <w:tcW w:type="dxa" w:w="2769"/>
          </w:tcPr>
          <w:p>
            <w:pPr>
              <w:pStyle w:val="null3"/>
              <w:jc w:val="left"/>
            </w:pPr>
            <w:r>
              <w:rPr>
                <w:rFonts w:ascii="仿宋_GB2312" w:hAnsi="仿宋_GB2312" w:cs="仿宋_GB2312" w:eastAsia="仿宋_GB2312"/>
              </w:rPr>
              <w:t>61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▲3、炉膛尺寸：≥300 mm L*400 mm W*300mm H；</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4、热电偶：S 型单铂铑热电偶（易损件）；</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5、加热元件：硅碳棒（易损件）；</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6、电压：220V, 最大功率≥4KW</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7、采用双层壳体结构，双层炉壳间配有风冷循环系统；</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8、采用 PID 方式调节温度，可设置 30 段升降温程序 ，带有超温和断偶保护；</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9、炉体尺寸：≥720mm L *780mm W*1600mm H；</w:t>
            </w:r>
          </w:p>
        </w:tc>
      </w:tr>
      <w:tr>
        <w:tc>
          <w:tcPr>
            <w:tcW w:type="dxa" w:w="2769"/>
          </w:tcPr>
          <w:p>
            <w:pPr>
              <w:pStyle w:val="null3"/>
              <w:jc w:val="left"/>
            </w:pPr>
            <w:r>
              <w:rPr>
                <w:rFonts w:ascii="仿宋_GB2312" w:hAnsi="仿宋_GB2312" w:cs="仿宋_GB2312" w:eastAsia="仿宋_GB2312"/>
              </w:rPr>
              <w:t>68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▲10、为保障产品质量需提供原厂针对该项目的售后服务承诺。</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六、接触角测量仪</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1、接触角测量范围：0～180°，精度：0.1°，分辨率：0.01°；表面张力：悬滴法、测试范围：0-1000mN/m，精度：0.01 mN/m。</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2、样品台尺寸：≥185 x 140 mm (W x D）。</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3、Z轴电动控制，行程≥40mm，最大承重≥10kg。X轴手动控制，行程≥65mm，Y轴手动控制，行程≥50mm，位移精度：0.1mm/步。</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4、变倍变焦镜头：0.7-4.5X光学镜头，远心光路设计，变倍比6.5:1，≥12mm焦距微调，可螺旋测微尺精确调节俯仰角。</w:t>
            </w:r>
          </w:p>
        </w:tc>
      </w:tr>
      <w:tr>
        <w:tc>
          <w:tcPr>
            <w:tcW w:type="dxa" w:w="2769"/>
          </w:tcPr>
          <w:p>
            <w:pPr>
              <w:pStyle w:val="null3"/>
              <w:jc w:val="left"/>
            </w:pPr>
            <w:r>
              <w:rPr>
                <w:rFonts w:ascii="仿宋_GB2312" w:hAnsi="仿宋_GB2312" w:cs="仿宋_GB2312" w:eastAsia="仿宋_GB2312"/>
              </w:rPr>
              <w:t>74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▲5、高速高清科学相机：USB3.0，1/2.9 CMOS，最高速度≥ 200帧/秒，可通过ROI方式将帧率提高至≥900帧/秒。</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6.相机：≥160万像素，能提供精确的CCD观测角度。</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7、光源：高性能单色 LED 照明灯≥ Ø70 mm，均匀化处理，光强256级连续可调。可采用软件调节和手动设置两种模式。</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8、自动单滴定模块：提供全自动滴液器，软件控制滴液速度和体积，0.1～999µL /min可调，滴定精度：0.01 µL；</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9、手动单滴定模块：提供一套手动进样系统，滴定精度：0.1 µL。</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10、分析软件：用于液滴形状分析的软件，模块化磁贴形式组织排列，投标时提供软件界面截图证明。</w:t>
            </w:r>
          </w:p>
        </w:tc>
      </w:tr>
      <w:tr>
        <w:tc>
          <w:tcPr>
            <w:tcW w:type="dxa" w:w="2769"/>
          </w:tcPr>
          <w:p>
            <w:pPr>
              <w:pStyle w:val="null3"/>
              <w:jc w:val="left"/>
            </w:pPr>
            <w:r>
              <w:rPr>
                <w:rFonts w:ascii="仿宋_GB2312" w:hAnsi="仿宋_GB2312" w:cs="仿宋_GB2312" w:eastAsia="仿宋_GB2312"/>
              </w:rPr>
              <w:t>80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▲11、无须设置就可以自动保存整个测量过程为视频文件，实时图像可以自动暂停，防止有价值的信息丢失。</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12、多种评估方法：用于座滴法接触角、前进角后退角测量，如圆法、高宽法和Young-Laplace法等，对超疏水角度拟合可到150°。</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13、软件具备进一步固体表面自由能计算功能，有WORK等4种方程可选，也可进一步计算黏附功。</w:t>
            </w:r>
          </w:p>
        </w:tc>
      </w:tr>
      <w:tr>
        <w:tc>
          <w:tcPr>
            <w:tcW w:type="dxa" w:w="2769"/>
          </w:tcPr>
          <w:p>
            <w:pPr>
              <w:pStyle w:val="null3"/>
              <w:jc w:val="left"/>
            </w:pPr>
            <w:r>
              <w:rPr>
                <w:rFonts w:ascii="仿宋_GB2312" w:hAnsi="仿宋_GB2312" w:cs="仿宋_GB2312" w:eastAsia="仿宋_GB2312"/>
              </w:rPr>
              <w:t>83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▲14、具备悬滴法，用全轮廓拟合Young-Laplace法测量液体的表面张力，投标时提供测量截图和测量结果证明。</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15、为保障产品质量需提供原厂针对该项目的售后服务承诺。</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七、手持测温热像仪</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1.支持手动调焦，支持点、线、框、圆测温</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2. 3.5英寸触摸阳光屏</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3.测温范围：-20 °C～150 °C，0 °C～650 °C；精度：±2℃或±2%，取最大值</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4.待机时间≥4h，可现场更换，可充电</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5.图片存储全屏测温信息，支持离线测温分析（配合客户端使用）</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6.支持台账，ISR超分，PCB智能识别，远程相册图传及混合模式</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7.传感器类型：非制冷型探测器</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8.响应波段 7.5～14μm</w:t>
            </w:r>
          </w:p>
        </w:tc>
      </w:tr>
      <w:tr>
        <w:tc>
          <w:tcPr>
            <w:tcW w:type="dxa" w:w="2769"/>
          </w:tcPr>
          <w:p>
            <w:pPr>
              <w:pStyle w:val="null3"/>
              <w:jc w:val="left"/>
            </w:pPr>
            <w:r>
              <w:rPr>
                <w:rFonts w:ascii="仿宋_GB2312" w:hAnsi="仿宋_GB2312" w:cs="仿宋_GB2312" w:eastAsia="仿宋_GB2312"/>
              </w:rPr>
              <w:t>94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▲9.NETD（噪声等效温差）：＜30mk（@25℃，F#=1.0）即热灵敏度：25℃时&lt;0.03℃</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10.空间分辨率（IFOV）：1.2mrad±0.1mrad</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11.热成像红外探测器分辨率：≥384×288；</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12.ISR超分后分辨率：≥768×576</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13.可见光分辨率：≥800W</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14.存储：Micro-SD卡，1 TB三张</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15.支持声音报警、图像报警、蓝牙、激光指示、拍照、录像、照明、文本注释、界面语言、Wi-Fi</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16.尺寸：≤244.26mm×99.8mm×104.38mm</w:t>
            </w:r>
          </w:p>
        </w:tc>
      </w:tr>
      <w:tr>
        <w:tc>
          <w:tcPr>
            <w:tcW w:type="dxa" w:w="2769"/>
          </w:tcPr>
          <w:p>
            <w:pPr>
              <w:pStyle w:val="null3"/>
              <w:jc w:val="left"/>
            </w:pPr>
            <w:r>
              <w:rPr>
                <w:rFonts w:ascii="仿宋_GB2312" w:hAnsi="仿宋_GB2312" w:cs="仿宋_GB2312" w:eastAsia="仿宋_GB2312"/>
              </w:rPr>
              <w:t>102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▲17.为保障产品质量需提供原厂针对该项目的售后服务承诺。</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八、导热系数测试仪 1套</w:t>
            </w:r>
          </w:p>
        </w:tc>
      </w:tr>
      <w:tr>
        <w:tc>
          <w:tcPr>
            <w:tcW w:type="dxa" w:w="2769"/>
          </w:tcPr>
          <w:p>
            <w:pPr>
              <w:pStyle w:val="null3"/>
              <w:jc w:val="left"/>
            </w:pPr>
            <w:r>
              <w:rPr>
                <w:rFonts w:ascii="仿宋_GB2312" w:hAnsi="仿宋_GB2312" w:cs="仿宋_GB2312" w:eastAsia="仿宋_GB2312"/>
              </w:rPr>
              <w:t>104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测量范围： 0.0010～50.0 W/(m·K) ，显示四位小数；</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2. 耐压范围：常规检测为常压 ；温度范围：常规检测为室温；</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3.测试精度：±3.0 %，重复性：±3.0 %，</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4.样品用量：长度不小于10cm，直径不小于3cm；</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5.测量时间： ≤5分钟；</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6.仪器参考标准：ASTM D5334-2014 用热针探测法测定土壤和软岩热导率的试验方法。</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7.电源：电压220V；频率50Hz；功率&lt;500W。</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8.通讯接口：USB接口。</w:t>
            </w:r>
          </w:p>
        </w:tc>
      </w:tr>
      <w:tr>
        <w:tc>
          <w:tcPr>
            <w:tcW w:type="dxa" w:w="2769"/>
          </w:tcPr>
          <w:p>
            <w:pPr>
              <w:pStyle w:val="null3"/>
              <w:jc w:val="left"/>
            </w:pPr>
            <w:r>
              <w:rPr>
                <w:rFonts w:ascii="仿宋_GB2312" w:hAnsi="仿宋_GB2312" w:cs="仿宋_GB2312" w:eastAsia="仿宋_GB2312"/>
              </w:rPr>
              <w:t>112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▲9.可检测样品性状：液体、胶体以及粉体、松散固体等疏松物质。</w:t>
            </w:r>
          </w:p>
        </w:tc>
      </w:tr>
      <w:tr>
        <w:tc>
          <w:tcPr>
            <w:tcW w:type="dxa" w:w="2769"/>
          </w:tcPr>
          <w:p>
            <w:pPr>
              <w:pStyle w:val="null3"/>
              <w:jc w:val="left"/>
            </w:pPr>
            <w:r>
              <w:rPr>
                <w:rFonts w:ascii="仿宋_GB2312" w:hAnsi="仿宋_GB2312" w:cs="仿宋_GB2312" w:eastAsia="仿宋_GB2312"/>
              </w:rPr>
              <w:t>113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▲10.为保障产品质量需提供原厂针对该项目的售后服务承诺。</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配置清单：氙灯光源*4套；电子天平*2台；纯水机*2台；管式炉*3台；高温箱式炉*2套；接触⻆测量仪*1台；手持测温热像仪* 2台；导热系数测试仪*1台</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标的名称：热带岛礁环境地质测试分析平台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热带岛礁环境地质测试分析平台一、手持式X射线矿石元素分析仪</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地球化学模式和土壤模式下测试元素总和不少于39种，至少包含Mg镁，Al铝,Si硅,Ca钙,S硫,P磷,Ti钛,V钒,Cr铬,Mn锰,Fe铁,Co钴,Ni镍，Cu铜,W钨,Zn锌,Hg汞,As砷,Pb铅,Bi铋,Th钍,U铀,Rb铷,Sr锶,Y铱,Zr锆,Nb铌,Mo钼,Ag银,Cd镉,Sn锡,Sb锑,Se硒,Au金,Te碲,Pt铂,Pd钯,Rh铑等合金与轻元素。</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2、激发源为大功率X射线管，管电压≥50KV。配有内置气压计、液晶显示屏。</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▲3、不少于8个过滤片，可根据测试元素自动切换。</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4、软件有自动推荐最佳条件、自动选择分析线、自动消除元素间干扰、自动漂移校正、经验系数校正功能。</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5、操作系统需稳定，支持Linux云，具有用户多设备管理功能，操作简便、安全。</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6、电池容量需满足3000 mAh以上，坚固耐用，适应野外等恶劣环境。</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7、能够适配多场景，支持粉末、碎屑、岩芯和岩石样品测试。</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二、水泥水化热测量系统（直接法）</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▲1、试样通道：不少于6个。</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2、软件自动采集温度值，可以绘制温度曲线、放热曲线、水化热曲线并可查询最大放热速率。</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▲3、水浴控温范围：0℃-70℃；水浴控温精度：20±0.05℃。</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4、具备耐低温循环水泵系统，保证水温均匀稳定。</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5、具备长期稳定性优异的传感器。</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三、可视化水底样品采集综合器</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▲1、移动平台作业面积不少于9平方米，固定锚在3个以上，配有作业保护护栏，配备推进器。</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▲2、水下跟踪器4K高清视频、满足100米下潜深度。</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3、震动机头频率不低于6000次/分，电缆长度不少于35米。</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4、取样钻头：外径≤8.0厘米，内径≤7.5厘米，长≤14厘米，投标时需提供证明材料电子版，如产品彩页、产品规格书或产品第三方检测报告，否则视为不响应。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5、样品管连接器:外径≥88mm,内径≥80mm。</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6、配有铝制快插三脚架高度不小于3米，含快速插头。</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7、执行场景的水深深度能满足35米以上。</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8、仪器自身配置电源，续航时间不少于6小时，执行作业过程中，不需要额外直流电电源供电。</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配置清单：手持式X射线矿石元素分析仪1台；水泥水化热测量系统（直接法）1台；可视化水底样品采集综合器1台。</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标的名称：全功能微孔板检测分析仪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全功能微孔板检测分析仪 配置设备：包括光栅式酶标仪一台和显微系统一套。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荧光光栅式酶标仪：</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支持光栅式光吸收、光栅式荧光（FRET）、时间分辨荧光（TRF, TR-FRET, hTRF）、化学发光、NanoBRET。微孔板可控制温度和振荡方式。</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 孔板类型：兼容6,12,24,48,96和384孔标准微孔板，可选配Take3微量检测板进行48个低至2ul微量样品检测以及标准比色杯检测。</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3. 温度控制：环境以上4到70℃，37℃时温度均一性≤±0.2℃。具有四区梯度控温功能，防凝集功能。</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4. 震荡方式：线性、轨道、双轨道振荡三种振荡模式可选。</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5. 完全独立的双光路系统，滤光片光路系统和四光栅系统，激发和发射带宽可设置为9 nm到50 nm之间的任意数值，步进1 nm。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6. 吸收光：230-999 nm紫外－可见连续波长检测，分辨率≤0.0001 OD。时间分辨荧光采用独立滤光片系统，同一模块支持同时Eu 和 Tb 标记检测。</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7. 荧光检测采用具有带宽选择功能的四光栅光路，光栅光路最小激发带宽≤9 nm，荧光检测波长范围250-700 nm。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8. 化学发光检测灵敏度≤10 amol ATP，同时支持辉光和闪光两种发光反应类型。</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9. 配置最新的分子间相互作用检测功能NanoBRET。</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10. 配套科研版高级分析软件1套，配备电脑1台，32G以上DDR5内存，1TB 以上固态硬盘，4K显示器。</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 所配置设备均需提供厂家的售后服务承诺书和技术参数确认函。以保证产品的售后服务及产品质量。</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显微系统：</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显微系统：支持活细胞培养、显微操控及焦点扫描，可控温湿度和CO₂浓度，正置、倒置均支持明场、相衬、荧光。</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 智能编码5孔物镜转换器，软件自动实时识别镜头倍数，系统自动切换比例尺，便于追溯任意倍率拍摄图片参数。</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 倒像荧光物镜4X/N.A.≥0.10W.D.≥12.6mm,PH0，10X/N.A.≥0.30，W.D.≥11.2mm,PH1； 20X，数值孔径N.A≥0.45,W.D.≥5.0mm，PH1;40X，N.A≥0.65,W.D.≥1.3mm，PH1;</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 正像无限远平场半复消色差荧光物镜，4X，N.A.≥0.13,W.D.≥17.3mm;10X，N.A.≥0.3,W.D.≥11.7mm;20X，N.A.≥0.5,W.D.≥2.2mm;40X，N.A.≥0.75,W.D.≥0.7mm;100X，N.A.≥1.3,W.D.≥0.1mm。</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5. 倒像三目头，目镜≥10X/ 25mm，正像三目头，目镜≥10X/ 23mm，倾斜角 ≥30°可360°旋转，瞳距50-70mm，正倒像光路 3档选择。</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6. 前置显示屏可设置并显示光源、物镜等多种参数，角度0～30°可调，支持自定义休眠和参数设置保存。</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7. 长寿命LED荧光光源，光谱350-700nm，超低光毒性，支持PAD无线控制3路LED及多项功能调节，支持联动和非联动2种模式。</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8. 倒像8位编码滤色块转盘，正像6档编码荧光转塔，标配3组滤色块：AT-DAPI /AlexaFluor 350， AT- FITC /AlexaFluor 488, AT-TRITC /AlexaFluor 546, 2个空滤色块。</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9. 倒像载物台≥420 mm×260 mm，行程≥130 mm (X) x90 mm （Y），正像载物台≥220 mm×170 mm，行程≥80 mm×55 mm。</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 同品牌相机（预留至少4个相机接口）及专业软件，多通道成像、测量、视野拼接，黑白和彩色模式，可≥6个通道的设定。</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11. 支持摄像头参数自定义调节，可智能控光，实现多视野拼接与焦面叠加。</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12. 配备电脑1 台，32G 以上DDR5内存，1TB 以上固态硬盘，4K显示器。</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13. 所配置设备均需提供厂家的售后服务承诺书和技术参数确认函。以保证产品的售后服务及产品质量。</w:t>
            </w:r>
          </w:p>
        </w:tc>
      </w:tr>
    </w:tbl>
    <w:p>
      <w:pPr>
        <w:pStyle w:val="null3"/>
        <w:jc w:val="left"/>
      </w:pPr>
      <w:r>
        <w:rPr>
          <w:rFonts w:ascii="仿宋_GB2312" w:hAnsi="仿宋_GB2312" w:cs="仿宋_GB2312" w:eastAsia="仿宋_GB2312"/>
        </w:rPr>
        <w:t>标的名称：油水分离器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油水分离器 ▲1、一级处理装置，压力旋流气浮配套精密过滤，尺寸≥325×1200mm，壳体材质316L不锈钢；处理量≥3吨/h</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2、进水油含量≤2000ppm时，一级处理后出口油含量≤100ppm；</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▲3、进口悬浮物≤300ppm时，出口悬浮物含量≤10ppm，粒径中值≤2μm；</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▲4、二级处理装置，破乳处理，尺寸≥325×1200mm，壳体材质316L不锈钢，要求进水油含量≤ 150ppm时，处理后出口油含量≤25ppm；</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▲5、三级处理装置，尺寸≥325×1200 壳体材质316L不锈钢，深度吸附油污，要求进水含油量≤30ppm时，出水含油量≤5ppm，配套纳米射流溶气装置；</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6、提升泵采用螺杆泵最大流量≥5吨/h；</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7、集成式底座，所有阀门采用电磁阀，分离后油液自动排出；</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8、在线油液检测仪，实现不合格重新回流处理；</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▲9、电控系统PLC集成控制，防爆等级不低于BT4；所有滤芯，耗材更换时间大于半年；</w:t>
            </w:r>
          </w:p>
        </w:tc>
      </w:tr>
    </w:tbl>
    <w:p>
      <w:pPr>
        <w:pStyle w:val="null3"/>
        <w:jc w:val="left"/>
      </w:pPr>
      <w:r>
        <w:rPr>
          <w:rFonts w:ascii="仿宋_GB2312" w:hAnsi="仿宋_GB2312" w:cs="仿宋_GB2312" w:eastAsia="仿宋_GB2312"/>
        </w:rPr>
        <w:t>标的名称：高速冷冻离心机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高速冷冻离心机 配置设备：一台落地式大容量高速冷冻离心机、一台超高速冷冻离心机。</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1、所配置设备均需提供厂家的售后服务承诺书和技术参数确认函。以保证产品的售后服务及产品质量。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落地式大容量高速冷冻离心机：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2、最大容量：角转子4×1000 ml，水平转子4×750 ml。</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3、最高转速：角转子25000 r/min，水平转子5000 r/min。最大离心力：角转子≥64800 g，水平转子≥5470 g。</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▲4、配水平转子： 4×500ml与适配器，配4个方杯，配4×6×50ml（尖/圆），4×12×15ml（尖/圆）适配器，配4个微孔板适配器。</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▲5、配角转子4x1000 ml，转速≥8000 r/min；配角转子24×1.5ml，转速≥25000 r/min，离心力不小于64800 g。</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▲6、配8x50ml角转子，转速≥21000r/min，离心力不小于52356g。</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7、所有铝合金转子采用7075-T6系列合金铝锻造，强度高、寿命长、安全性高，表面采用硬质氧化，氧化层厚，耐腐性强。</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8、温度设置范围不小于-20℃～+40℃，步进不大于1℃。每台配20个配套1000ml离心瓶。</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超高速冷冻离心机：</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9、最高转速≥30000 r/min，最大离心力≥110000 g，多种规格转子可选，轻松帮您实现样品快速分离。</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10、兼顾了高转速及大容量，既能30000 r/min，8x50ml离心，也能4x1000ml大容量离心。</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11、温度设置范围不小于-20℃~40℃，步进不大于1℃</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12、控温精度：0~15℃控温精度不大于±2℃，高于15℃控温精度不大于±3℃</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▲13、配48X1.5 ml角转子，最高转速≥23000r/min，最大离心力≥57134 g。</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▲14、配8X50ml角转子，最高转速≥30000r/min，最大离心力≥110000 g，加配1.5ml与10ml适配器。</w:t>
            </w:r>
          </w:p>
        </w:tc>
      </w:tr>
    </w:tbl>
    <w:p>
      <w:pPr>
        <w:pStyle w:val="null3"/>
        <w:jc w:val="left"/>
      </w:pPr>
      <w:r>
        <w:rPr>
          <w:rFonts w:ascii="仿宋_GB2312" w:hAnsi="仿宋_GB2312" w:cs="仿宋_GB2312" w:eastAsia="仿宋_GB2312"/>
        </w:rPr>
        <w:t>标的名称：数字型智能倒置荧光显微镜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数字型智能倒置荧光显微镜 一、技术参数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1、光学系统：采用45mm焦距无限远校正光学系统，保证了光通过目镜到物镜整个光路中的绝对平行。</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▲2、一体机，具有明场、电动相差、电动荧光功能。</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3、六位物镜转换器，物镜智能编码，光强随物镜变换自动调整并记忆。</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4、放大倍数：标配40-400×，可选63×物镜。</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5、透射光照明：白色LED光源，自动光强管理，电动视场和孔径光阑调节，带有3200K色温恒定保持系统。</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6、标配聚光镜S40/0.45，NA≥0.45同时工作距离≥50mm。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7、自动相差转化，节省时间，可增强未染色、透明、半透明或低对比度样本的可见性。</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8、荧光电动化：转换物镜后，无需手动调节，光强、视场光阑和孔径光阑自动匹配整个光路的最佳照明匹配。</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9、物镜，配置5×、10×、20×、40×专用物镜，带相差。5倍物镜，NA≥0.10；10倍物镜，NA≥0.25；</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 20倍长工作距离荧光校准物镜，NA≥0.40；40倍长工作距离荧光校准物镜，NA≥0.60.</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11、长寿命LED荧光光源，波长UV:385/12nm；B:472/28nm；G:552/45nm；R:635/20nm。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12、配置DAPI（395/25，425，460/50）、GFP（470/40，495，525/50）、Y3（545/25， 565，605/70）三色荧光滤块。</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13、电动五孔荧光滤块转换：只需按一个键即实现不同颜色的荧光激发。</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14、电动荧光光闸：防止荧光淬灭。</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▲15.配置不少于2个采集相机：单色相机一个，真实物理像素≥600万；彩色相机一个，真实物理像素≥600万。</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16、用户界面，工作流程导向用户界面，多次采集后做自动图像叠加。</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▲17、标配基于AI算法的细胞计数、汇合度分析和转染效率分析功能。</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▲18、嵌入式一体式高清触控屏：尺寸≥15.6英寸，像素≥1920×1080，角度可调，存储空间≥500GB。</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19、显微镜机身带有4个USB接口，至少有一个USB3.0快速传输口。</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20、显微镜可用于生物安全等级为BSL1和BSL2的实验室，与紫外线、乙醇和过氧化氢净化方法兼容。</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二、主要配置1、倒置荧光显微镜主机×1台（内置15.6英寸一体式彩色触控屏）2、彩色和荧光相机各×1个3、物镜×1套4、荧光滤块×1套5、LED荧光光源×1套6、操作分析软件×1套</w:t>
            </w:r>
          </w:p>
        </w:tc>
      </w:tr>
    </w:tbl>
    <w:p>
      <w:pPr>
        <w:pStyle w:val="null3"/>
        <w:jc w:val="left"/>
      </w:pPr>
      <w:r>
        <w:rPr>
          <w:rFonts w:ascii="仿宋_GB2312" w:hAnsi="仿宋_GB2312" w:cs="仿宋_GB2312" w:eastAsia="仿宋_GB2312"/>
        </w:rPr>
        <w:t>标的名称：低温等离子体杀菌机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低温等离子体杀菌机 可调式全固态高压脉冲等离子体电源名称及相关参数：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▲1.脉冲驱动方式：Marx全固态；输出电压：0-20kV；输出电流：0-50A；频率：0-10kHz；脉宽：0.5us-1ms；上升时间/下降时间&lt;10ns；</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▲2.以上所有参数无极可调，设备符合实验可能用到空气、氮气、氩气、氧气、甲烷等多种载气的实验需求；</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▲3.设备不能有变压器，冷却方式为水冷，满足单次连续稳定工作超过500小时，电源峰值功率：1MW；波形：方波；</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▲4.为确保售后服务及货物质量，投标方必须提供生产厂家针对本项目的授权书、技术参数确认函及售后服务承诺书电子版，否则视为不响应；</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▲5.为确保售后服务及货物质量，投标方必须提供生产厂家针对本项目产品由第三方机构出具的等离子体电子密度检测报告电子版，否则视为不响应；</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6.可调式全固态高压脉冲等离子体电源：基础尺寸：500×460×250mm，设备互联；</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7.多气源气压调节舱：基础尺寸：400×400×400mm，壁厚50－亚克力，120L/min,-0.099MP，与高精度反应器以及自动进料系统匹配定制；</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8.高压棒：负载：200MΩ/3pF，带宽：75MHz，衰减：1000×，输入电压：40kV，补偿范围（pF）：7-49，上升时间（典型值）：4.0ns；</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9.示波器：带宽选项：3类，模拟通道数：2或4通道，采样率：1GS/s，记录长度：1M点，波形捕获速率：最高5000wfm/s；</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10.光谱仪：探测器分辨率：3648像素CMOS/CCD，光学平台：对称Czerny-Turner，波长范围：200-1100nm，杂散光水平：&lt;0.2%，扫描速度：4.6ms/scan；</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11.高精度定位反应器：反应器基础尺寸：200×100×190mm（长宽高），与多气源气压调节舱以及自动进料系统匹配定制；</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12.自动进料系统：配置电机驱动器，可编程，实现无人抓取进出料或实验过程中的重复进出料，与多气源气压调节舱以及高精度定位反应器匹配定制；</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13.数据采集及分析系统：包含信号调理、模数转换、数字信号处理及结果输出流程，支持RS232/485等接口仪器数据自动采集；</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14.控制及HMI系统：定制（包括传感器、屏幕、控制模块、机箱等）总控，数据监控，可视化界面操作；</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15.框架结构：包含铝型材框架1套，基础尺寸：1270×1800×994mm，欧标4040。</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配置清单：20KV全固态脉冲电源1个、多气源气压调节舱1个、高压棒1个、示波器1个、光谱仪1个、高精度定位反应器1个、自动进料系统1套、数据采集及分析系统1套、控制及HMI系统1套。</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标的名称：蛋白质高效提取分离层析检测系统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蛋白质高效提取分离层析检测系统 1、为确保售后服务及货物质量，投标方必须提供生产厂家针对本项目的技术参数确认函及售后服务承诺书。</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本套系统由以下设备组成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色谱系统：</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1、流速范围：0.001-9.999mL/min，增量0.001mL/min;最大输液压力：40MPa；系统延迟体积：800μL；</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2、自动进样器，样品数：200个（标准1.5mL样品瓶）；进样重复性：＜0.3%RSD；样品交叉污染：＜0.003% ；进样准确度：±0.8%；</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3、柱温箱，控温方式：帕尔帖加热/冷却模块＋空气循环，有预热功能；</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▲4、温度设置范围：1-85℃（1℃步进）；温度准确度：±0.5℃；温度控制精度：≤0.05℃</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5、检测器包括二极管阵列检测器和示差折光检测器；</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6、二极管阵列检测器二极管数：1024位；光源：D2灯，W灯，Hg灯（用于波长校验）；</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7、二极管阵列检测器波长范围：190～900nm；波长准确度：＜±1nm；噪音：＜0.5×10-5AU；</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▲8、示差折光检测器，测量范围：0.25,0.5,1,2,4,8,16,32,64,128,256,512×10-6RIU/10mv，12档可选；</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▲9、折光率范围：1.0～1.75 RIU；噪音：＜2.5 × 10-9RIU；漂移：＜0.2 × 10-6RIU/hr。</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蛋白纯化仪：</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1、包括输液泵、紫外检测器和电导检测器组成；</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2、输液泵单泵流速0.001-100ml/min，双泵叠加流速0.001-200ml/min，流速准确度±1.2%，流速精度：RSD&lt;0.5%；耐压10MPa；</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▲3、紫外检测器，200-400nm之间任选2个波长同时检测，波长精度±1nm，波长重复性±0.5 nm；检测范围-6~6AU；</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4、电导检测器检测范围：0.001mS/cm－999.9mS/cm，精确度±2%；检测池体积：16ul，耐压：0～5Mpa；</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UV-Vis分析系统：</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1、UV-Vis分析系统，光学系统采用对称的Czerny-Turner的双光束光路系统；波长范围：190~1100nm；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2、UV-Vis分析系统波长准确性：±0.03nm；波长设定重复性：±0.1nm；</w:t>
            </w:r>
          </w:p>
        </w:tc>
      </w:tr>
      <w:tr>
        <w:tc>
          <w:tcPr>
            <w:tcW w:type="dxa" w:w="2769"/>
          </w:tcPr>
          <w:p>
            <w:pPr>
              <w:pStyle w:val="null3"/>
              <w:jc w:val="left"/>
            </w:pPr>
            <w:r>
              <w:rPr>
                <w:rFonts w:ascii="仿宋_GB2312" w:hAnsi="仿宋_GB2312" w:cs="仿宋_GB2312" w:eastAsia="仿宋_GB2312"/>
              </w:rPr>
              <w:t>21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▲3、UV-Vis分析系统光源：质保7年的长寿命脉冲氙灯（投标时需提供厂家7年质保服务承诺函）；</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万分之一天平：</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1、最大称量值≥220g，精度0.1mg，重复性≤0.08mg，线性偏差≤0.06mg；稳定时间≤1.5S，秤盘外形尺寸Ø90mm。</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双开门冰箱：</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1、不小于600L，一级变频，制冷方式风冷；</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超纯水机：</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1、产水不少于40L/小时，同时产出一级水和二级水，取水速度不少于1.5L/分钟。</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台式冷冻干燥机：</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1、冷阱温度≤-80℃；冻干面积≥0.12㎡；盘装物料≥1.5L；捕水能力≥3Kg/批；真空度≤5pa；</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2、物料盘间距：70mm；物料盘规格：Φ200mm共4层 ；冻干瓶数量：8个；功耗：1350w。</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高速分散机：</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1、转速范围：3000 - 25000 rpm，转速偏差2%，无极调速，LED显示；无碳刷直流马达，处理范围1mL-2L，最大处理粘度：5000 mPas。</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多联加热磁力搅拌器：</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1、搅拌点数：15；单个搅拌点最大处理量：0.4L;转速范围0-1000rpm;控温范围RT-120℃；具有正反转功能；无磨损磁力线圈。</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旋转蒸发仪：</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1、转速范围（rpm）5～300，最低转速不高于5rpm；冷凝面积不低于1500cm2；加热锅控温范围RT-180℃，容积不少于4L；</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配套泵。</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湿法超细精磨：</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1、转速：0-20000rpm可调；进料尺寸：≤10mm、最终出料粒度：≤ 40 µm；样品处理量：标准收集盘800ml。</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千分之一分析天平：</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1、最大称量值≥220g，精度1mg；重复性≤0.5mg；线性误差≤0.6mg；稳定时间≤1S。</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制冰机：</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1、冰型为不规则的细小颗粒状的雪花碎冰，制冰量不少于70kg/24h，储冰量不少于25kg，无氟压缩机。</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超低温冰箱：</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1、有效容积≥600L，-40℃～-86℃内任意设定；宽气候带设计，适合10~30℃环境使用；样本容量：2ml样本存放量40000支。</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pH计：</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1、测量范围（pH）：-2.00到16.00;精度：0.01 pH; mV：-2000-2000，温度：-5-105 ℃；5点校正；自动终点锁定，自动识别缓冲液。</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设备清单：四元梯度泵单元1个、自动进样器1个、组织器1个、柱温箱1个、示差折光检测器1个、二极管阵列检测器1个、四氢呋喃附件包（用于泵）1个、四氢呋喃附件包（用于自动进样器）1个、C18色谱柱1根、GPC凝胶色谱柱1根、控制电脑1台、色谱软件1套）蛋白纯化仪1台、馏分收集系统1套、UV检测器模块1个、UV-Vis分析系统1套、万分之一分析天平1台、双开门冰箱2台、超纯水机1台、台式冷冻干燥机1台、高速分散机1台、多联加热磁力搅拌器1台、旋转蒸发仪1台、湿法超细精磨1台、千分之一分析天平1台、制冰机1台、超低温冰箱1台、pH计1台。</w:t>
            </w:r>
          </w:p>
        </w:tc>
      </w:tr>
    </w:tbl>
    <w:p>
      <w:pPr>
        <w:pStyle w:val="null3"/>
        <w:jc w:val="left"/>
      </w:pPr>
      <w:r>
        <w:rPr>
          <w:rFonts w:ascii="仿宋_GB2312" w:hAnsi="仿宋_GB2312" w:cs="仿宋_GB2312" w:eastAsia="仿宋_GB2312"/>
        </w:rPr>
        <w:t>标的名称：活细胞工作站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活细胞工作站 ▲1、一台仪器同时含吸收光、荧光、化学发光微孔板检测以及倒置荧光、明场成像、长时间活细胞培养。</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2、0-20% CO₂及 1-19% O₂气体控制，室温+4℃至65℃温度控制。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3、基于荧光、发光终点法检测信号强度阈值挑选目标孔进行成像，减少数据分析量及节省数据存储空间。</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4、成像方法：单色成像、多色成像、蒙太奇、时间延迟、Z轴叠加。</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5、科学级灰度16 bit COMS，≥500万像素，量子效率≥70%，大视野相机大幅提高蒙太奇成像、稀少目标物成像、全孔成像的速度。</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▲6、聚焦方式：图像聚焦及激光自动聚焦两种模式。</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7、物镜：最多机载6位。</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8、明场成像可在非染色标记情况下对样品进行成像分析，并可以和其他荧光场图像叠加，同时也可对H&amp;E染色样品成像。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9、可实现无标记技术成像，对未进行标记的细胞样品进行直接成像及计数，兼容4-384孔板和35/60/100mm细胞培养皿。</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10、全自动成像方式，可进行不同荧光成像通道，相差、彩色明场、普通明场及无标记明场快速切换成像。</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11、具有反卷积和背景均化功能。</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12、可完成细胞计数，亚群分析，多参数组合分析，细胞参数测量分析，自动融合度计算，视频录制与合成。</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13、支持统计学分析导出直方图及多种曲线拟合分析等。</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▲14、温度控制：室温+4℃至65℃；可进行线性、轨道、双轨道振荡，振荡时间1000秒内任意可调。</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▲15、四光栅系统，激发和发射带宽在9nm-50nm范围内可1nm递进连续可调。</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16、荧光检测灵敏度： 0.25 pM (0.025 fmol/孔， 384孔板） ；动态范围：≥7个数量级。</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17、发光检测：波长范围：300-700nm；灵敏度：≤10amol ATP；检测模式：闪光、辉光、发光扫描BRET等。</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▲18、吸收光检测：氙闪灯光源；波长范围：230-999nm（步进1nm）；最小带宽4nm ；测量范围：0-4.0 OD；OD分辨率：≤0.0001 OD。</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19、配置：活细胞工作站主机1台（含吸收光、荧光、化学发光微孔板检测以及倒置荧光成像、明场成像、长时间活细胞培养）、控制分析笔记本电脑1台（CPU：锐龙9 8940HX/16GB内存/1T硬盘/RTX5060 2.5K 250Hz/15英寸）。</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20、为确保售后服务及货物质量，投标方必须提供生产厂家针对本项目的授权书、技术参数确认函及售后服务承诺书。</w:t>
            </w:r>
          </w:p>
        </w:tc>
      </w:tr>
    </w:tbl>
    <w:p>
      <w:pPr>
        <w:pStyle w:val="null3"/>
        <w:jc w:val="left"/>
      </w:pPr>
      <w:r>
        <w:rPr>
          <w:rFonts w:ascii="仿宋_GB2312" w:hAnsi="仿宋_GB2312" w:cs="仿宋_GB2312" w:eastAsia="仿宋_GB2312"/>
        </w:rPr>
        <w:t>标的名称：超临界二氧化碳萃取仪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超临界二氧化碳萃取仪 一、超临界CO₂萃取装置</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▲1、萃取釜：容积1L设计压力105MPa，最高工作压力100MPa，设计温度85℃，工作温度：室温-80℃，筒体材质S30408不锈钢；</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▲2、分离釜1：容积1L，设计压力25MPa，最高工作压力20MPa；分离釜2、3：容积0.5L，设计压力25MPa，最高工作压力20MPa；</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3、过滤器：容积1L，设计压力16MPa；储罐：容积5L，设计压力16MPa，设计温度5~55℃；</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4、混合器：容积0.5L，设计压力105MPa，工作压力100MPa，筒体材质304不锈钢；物料筒2个，可重复使用不溶胀；</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5、高压阀门规格20000PSI，阀体材质304不锈钢，背压阀规格15000PSI、4000PSI，阀体材质316；</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▲6、CO₂高压泵：流量50L/h，出口压力105MPa,进口压力4MPa，陶瓷柱塞，油泵自循环冷却，带冷却系统，材质304不锈钢；</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7、夹带剂泵：流量4L/h，出口压力15MPa，进口压力0MPa，陶瓷柱塞，材质304不锈钢，变频控制；</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8、冷机：制冷量6000大卡；萃取加热器:设计压力105MPa，温度85℃；分离1、2、3加热器:设计压力25MPa，工作温度85℃；</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9、含控制系统、低压电器、变频器、流量计、压力变送器、温度变送器、耐震压力表、控制电缆及管路管件；</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二、分子蒸馏系统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▲10、有效蒸发面积:0.06㎡；进料速度：0.05-2L/h；设计温度300℃；最高空载真空度：≤0.05mbar；</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11、含316L搅拌系统1套、带0.5L夹套进料罐的进料系统1套、带主蒸发器收集瓶的出料系统1套、外置冷凝器1套；</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三、超临界CO₂逆流萃取柱</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▲12、工作压力≤40MPa,设计温度90℃。高4米、分5节控温；</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13、分离釜：容积2L、1L，数量：2个、工作压力：25MPa，温度90℃；混合器：容积0.5L,设计压力40MPa；</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14、过滤系统：容积2L含冷阱、最高工作压力14MPa；CO₂储罐：容积4L,最高工作压力16MPa；</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15、阀门: 10000PSI1只，调节阀门1只；高压截止阀，压力5~50MPa；球阀，压力16MPa；安全阀：压力10~40MPa；止回阀：压力50MPa；</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16、泵类:CO₂泵，最高流量50L/h,陶瓷柱塞、出口压力40MPa，流量变频调节,带冷却系统，材质304不锈钢；夹带剂泵：流量4L/h；</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17、制冷系统:冷机风冷，制冷量6000Kcal/h，冷凝器设计压力16MPa；加热系统:设计压力50MPa，分离换热盘管设计压力30MPa；</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18、含控制系统、断路器、接触器、变频器等仪器仪表；含配套高压、低压管路管件；含气瓶支架及釜体管道保温；</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19、流量计：10MPa、60L/h；压力变送器：0-40MPa，精度±0.25%FS；温度变送器：0-100℃，精度±0.5；温度控制系统：室温-95℃；</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20、为确保售后服务及货物质量，投标方须提供产家针对本项目的授权书、技术参数确认函及售后服务承诺书。</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设备清单：超临界CO₂萃取装置1套、分子蒸馏系统1套、超临界CO₂逆流萃取柱装置1套、高温循环器2台、高低温一体机1台、旋片式真空油泵1台、扩散泵1台。</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标的名称：蛋白质层析纯化系统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蛋白质层析纯化系统 ▲1、PEEK高压双柱塞泵、单泵流速：0.001–10 ml/min、流速准确度：±1.5%、流速精度：&lt;±0.5%，流速重复性、流速准确度、流速精度较好。（投标时需提供证明材料，如产品彩页、产品规格书或产品检测报告，否则视为不响应”）</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▲2、压力范围：0.0~25Mpa 、压力精度：±0.5%。（投标时需提供证明材料，如产品彩页、产品规格书或产品检测报告，否则视为不响应”）</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▲3、光源: 氘灯，可增配钨灯，氘钨灯自动切换，有参比降低环境变化影响，波长范围：190~740nm，可选择单波长、双波长、四波长同时检测。</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4、光程：10mm，光程可通过更换流通池及相应的系统参数进行调整。</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▲5、波长精度：±1nm、基线噪声：2×10-5 AU（240nm ,室温）、基线漂移：1.5×10-4AU（240nm,室温）、分辨率精度：0.001AU。（投标时需提供证明材料，如产品彩页、产品规格书或产品检测报告，否则视为不响应”）</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▲6、最小检出浓度：5×10-9g/mL（254nm，室温，标样-萘，甲醇流动相）。</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7、电导率检测器检测范围：0.001mS/cm~999.999mS/cm、 电导精确度：±0.02mS/cm。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8、pH检测器：检测范围：0~14pH（有效使用范围2~12pH）、检测精度：±0.1</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9、手动进样阀：1个，支持Load、Inject、Waste模式。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10、反压阀：使系统增加一定压力，避免柱后气泡的产生，排气阀后的反压阀可防止虹吸和排气时流路中液体回流。</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11、静态混合器：2.5mL可在线修改流速及比例，支持线性和梯度洗脱。</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12、低温自动进样器注射器尺寸：5mL（60mm长度）；样品容量：50 mL /20 mL /2 mL× 25个样品瓶，样品盘固定，X、Y、Z轴移动的形式灵活可靠的高速度、 高精度进样；</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13、重复进样：每个样品瓶可重复1-99次，典型峰面积的相对标准偏差&lt;0.5%；</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14、清洗方式：取样针通过洗针液内外同时清洗；材质：触液材质采用优质的316L不锈钢和PEEK，抗酸碱性较好。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15、低温馏分收集器三通道收集阀，自动切换收集/排废液；收集瓶： 50mL×25个/20mL×100个/2mL×100个；样品盘固定，X-Y-Z运动方式，X-Y自动运行。</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16、收集模式：峰收集、阈值收集、时间收集、体积收集、手动收集；收集管可设限，防止样品防溢出；自动计算管路延时体积。</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17、Z字形流通池（10mL）：使仪器的噪声及漂移得到较大的改善。</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LabChrom层析控制软件：中文界面，可进行仪器自检、使用者管理、数据管理；使用便利、合乎使用习惯。管理、控制、方法、结果实时可切换；支持手动运行/自动方法运行；对数据实现积分、比较、平移、导入、导出等多种操作，可将结果以文本文档的方式导出保存处理；运行方法文件过程中可实时显示指令进度。</w:t>
            </w:r>
          </w:p>
        </w:tc>
      </w:tr>
    </w:tbl>
    <w:p>
      <w:pPr>
        <w:pStyle w:val="null3"/>
        <w:jc w:val="left"/>
      </w:pPr>
      <w:r>
        <w:rPr>
          <w:rFonts w:ascii="仿宋_GB2312" w:hAnsi="仿宋_GB2312" w:cs="仿宋_GB2312" w:eastAsia="仿宋_GB2312"/>
        </w:rPr>
        <w:t>标的名称：高分辨全自动体视荧光显微镜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高分辨全自动体视荧光显微镜技术参数：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1.观察方法：荧光.透射.双分支斜射，目镜10X视野≥23mm,物镜：1X复消色差物镜；变倍镜体：变倍比≥18:1，镜体变倍范围0.75-13.5X；放大倍数：一倍物镜下7.5-135X</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2.观察头：人机学三目机头，倾角20°，支持纯观察.纯成像.观察+成像同步模式；显微镜底座：面积≥450mmX600mm；载物台行程80mmX70mm，360度旋转。</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3.行程：电动Z轴600mm承重≥7公斤，调焦步进：≤5μm；照明：底座集成双分支冷光源.透射光源与荧光同轴观察方式。</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4.控制方式：配备4.3寸彩色液晶触摸屏控制器，控制Z轴.速度（高速.低速）.显示位置（单位：μm.mm），光源切换.亮度调节；</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5.B激发：BP460-490，分色DM505，截止BA510-550；G激发：BP528-553，分色DM565，截止BA578-633；U激发：BP360-390，分色DM415，截止BA435-485；</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6.芯片大小（13.056×8.755 mm）彩色成像与分辨率：有效像素≥2000万，最大分辨率5440×3648</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7.软件具备图像拍照.录像.测量与统计：具备完备几何测量功能（长度.宽度.面积.角度.周长等）；支持自动计数与统计，测量数据精准可溯源；</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8.对常规透明流场进行单相.两相流高频测量功能；测量视野30 mm×20 mm~300 mm×300mm；测试速度范围0~1.5 m/s；</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▲9.绿光片光源能量≥10W；输出功率连续可调；波长选择520-532nm范围；支持外部脉冲调制，调制频率范围1~10000 Hz；具备双脉冲输出功能，最小调制脉冲时间宽度≤50 μs，最小双脉冲时间间隔≤50μs；片光源最大展宽≥300mm×300mm，可用工作距离范围≥0.3~3 m（投标时需提供证明材料电子版，如产品彩页或产品规格书或第三方检测报告，否则视为不响应）；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10.蓝光片光源能量≥10W；输出功率连续可调；波长选择465-475nm范围；支持外部脉冲调制，调制频率范围1~10000 Hz；具备双脉冲输出功能，最小调制脉冲时间宽度≤50 μs，最小双脉冲时间间隔≤50μs；片光源最大展宽≥300mm×300mm，可用工作距离范围≥0.3~3 m；</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▲11.采集器采样率≥2000 fps@ 2560 x1920pixel，最高采样率≥35万fps；像素尺寸≥7μm，内存≥64G；最小快门≤1μs（投标时需提供证明材料电子版，如产品彩页或产品规格书或第三方检测报告，否则视为不响应）；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12.二维模块：支持4重迭代.窗口变形功能；具备多目录大批量数据自动处理功能，一次性可处理≥16个目录数据；</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13.GPU加速模块：支持读入外部40-2900万像素图像数据，且在分辨率≥2900万像素.判读区尺寸32像素.步长16像素下，整幅图像计算时间≤1.3秒；</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14.颗粒分析模块：包括颗粒的等效圆直径大小，空间位置坐标，颗粒追踪/PTV.颗粒截面面积等参数；</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15.两相流分析模块：具备PIV与PTV在时间上同步测量的功能，具备根据不同颗粒粒径进行分相PIV计算功能；</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▲16.具备人工智能PIV功能：通过机器深度学习及卷积神经网络算法，对单像素、小尺度未确定流动进行预测；在不使用放大倍率镜头条件下，单个速度向量空间分辨率、速度向量网格间隔均可≤5.6 μm。（投标时需提供证明材料电子版，如产品彩页或产品规格书或第三方检测报告，否则视为不响应）。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增强现实/AR辅助实验模块：可实时无线AR显示拍摄的粒子图像及相关PIV实验结果，辅助手动镜头对焦和现场工况调节，无需依赖计算机显示器进行对焦及结果显示，头显模块分辨率不低于1920×1080（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PIV云计算平台：通过结合云计算技术，实现跨平台的PIV计算技术，可根据PIV数据处理业务需求动态调整计算资源。具备网络公有云：通过web端或手机APP上传PIV粒子图至云平台；提供≥100小时的免费公有云PIV云计算资源（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19.同步器通道数≥4个；50mm/F1.4镜头.100mm/F2.8微距镜头.荧光高通滤光镜.蓝光窄带滤光镜各一个；</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20.数据采集分析机配置不低于：W3系列CPU，32G内存，2T机械硬盘，2T固态硬盘，8G独立显卡，27英寸显示器</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21.显微镜配套电脑配置不低于：14代i5处理器，16GB DDR5内存.2T机械硬盘，2T固态硬盘，27英寸显示器，Windows 11正版系统；</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22.精密齿轮三轴调节机构：负载能力≥5kg，前后俯仰范围≥+90°/-30°，左右俯仰范围≥+30°/-90°，并自带快装板；</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配置清单： 1.体视荧光显微镜*1台； 1.1显微镜配套电脑*1套 2.颗粒影像分析系统（PIV）*1套； 2.1绿光片光源*1 2.2蓝光片光源*1 2.3采集器*1 2.4同步器*1 2.5分析及显示模块 2.5-1 二维模块*1 2.5-2 GPU加速模块*1 2.5-3 颗粒分析模块*1 2.5-4 两相流分析模块*1 2.5-6 人工智能PIV*1 2.5-7 增强现实/AR辅助实验模块*1 2.5-8 PIV云计算平台*1 2.6镜头：50mm/F1.4镜头*1；100mm/F2.8微距镜头*1 2.7 滤光镜：荧光高通滤光镜*1；蓝光窄带滤光镜*1 2.8 数据采集分析机*1套 2.9 PIV专用示踪粒子1 kg：空心玻璃微珠平均粒径1~100μm.荧光颗粒平均粒径2~13μm 2.10 精密齿轮三轴调节机构1套。</w:t>
            </w:r>
          </w:p>
        </w:tc>
      </w:tr>
    </w:tbl>
    <w:p>
      <w:pPr>
        <w:pStyle w:val="null3"/>
        <w:jc w:val="left"/>
      </w:pPr>
      <w:r>
        <w:rPr>
          <w:rFonts w:ascii="仿宋_GB2312" w:hAnsi="仿宋_GB2312" w:cs="仿宋_GB2312" w:eastAsia="仿宋_GB2312"/>
        </w:rPr>
        <w:t>标的名称：实时荧光定量PCR仪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实时荧光定量PCR仪一、技术参数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1、可用于基因表达水平分析及功能研究；遗传变异检测及分子分型；病原体检测研究；甲基化定性定量分析</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2、可用于RNA编辑分析；基因芯片数据验证；药物研究和筛选；对转基因动植物和微生物品质评价和目的基因定量分析</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3、样品容量：96x0.2ml，可使用0.2ml单管、八联管、96孔板等，推荐最适反应体系：5-100ul</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▲4、加热模块：采用纯银镀金反应模块，控温准确性高</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▲5、标配为高速反应模块，最高变温速率：≥8℃/s （投标时需提供相关产品演示佐证材料，按系统支持的文件类型上传所需资料即可，可附图片、文字等相关说明材料。不提供视为不响应。）；反应模块控温准确性：≤±0.1℃；反应模块控温均一性：≤±0.15℃</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带有温度梯度功能；可同时优化不少于12个温度点，最大温度梯度跨度≥40℃，最小温度梯度跨度≤0.1℃（投标时需提供相关产品演示佐证材料，按系统支持的文件类型上传所需资料即可，可附图片、文字等相关说明材料。不提供视为不响应。）</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具有不少于两种温度梯度设计模式：线性温度梯度和随机温度梯度模式；（投标时需提供相关产品演示佐证材料，按系统支持的文件类型上传所需资料即可，可附图片、文字等相关说明材料。不提供视为不响应。）</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8、热盖：最高温度可达110℃，自动调节接触压力，最大可达30kg/板</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▲9、标配光源：不少于7个高强度固态LED光源</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10、检测器：高灵敏度的光电倍增管（PMT），可提高弱荧光信号的检测灵敏度</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11、光路传导：光纤传导，光程长度固定，无需校正通道</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12、检测灵敏度：能检测到单拷贝DNA模板</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13、检测线性范围：≥10个数量级</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14、激发光谱范围：覆盖从近紫外到近红外范围</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15、具有光学补偿功能，最大限度的避免的荧光交叉干扰问题</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16、数据分析模式： 标准曲线定量、融解曲线、ΔCT 或ΔΔCT 基因表达分析、等位基因分析、基于扩增效率的数据分析模式等数据分析功能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17、多机联用：一台电脑软件可同时控制不少于4台定量设备</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18、控制分析软件标配带有中文操作界面，且至少可实现中英文自动切换</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19、为确保货物质量，投标方须提供生产厂家针对本项目的技术参数确认函。</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二、配置 1.实时荧光定量PCR仪主机1台 2.控制分析软件1套，可实现中英文自动切换 3.数据线1根，一端USB 3.0接口，另一端USB Type-B接口，连接实时荧光定量PCR仪主机和分析控制电脑 4.分析控制电脑1台，配置不低于：CPU 12代6核心12线程，2.5GHz，16GB内存，1T固态硬盘，24英寸显示器,含键盘鼠标，品牌原装（非组装）</w:t>
            </w:r>
          </w:p>
        </w:tc>
      </w:tr>
    </w:tbl>
    <w:p>
      <w:pPr>
        <w:pStyle w:val="null3"/>
        <w:jc w:val="left"/>
      </w:pPr>
      <w:r>
        <w:rPr>
          <w:rFonts w:ascii="仿宋_GB2312" w:hAnsi="仿宋_GB2312" w:cs="仿宋_GB2312" w:eastAsia="仿宋_GB2312"/>
        </w:rPr>
        <w:t>标的名称：氨基酸分析仪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氨基酸分析仪 ▲1、18种蛋白水解氨基酸标准分析，分析时间：≤20-30 min，以提高分析效率，节省试剂消耗。(投标时需提供证明材料电子版，如产品彩页、产品规格书或产品第三方检测报告，否则视为不响应”）。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▲2、进样量2nmol时保留时间重现性：≤CV0.3% (精氨酸) Arg，同时标准偏差≤0.09(投标时需提供证明材料电子版，如产品彩页、产品规格书或产品第三方检测报告，否则视为不响应”）。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▲3、进样量2nmol时峰面积重现性：≤CV1.0%（甘氨酸，组氨酸）Gly-His(投标时需提供证明材料电子版，如产品彩页、产品规格书或产品第三方检测报告，否则视为不响应”）。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4、检出限≤2.5 pmol（信噪比=2，天冬氨酸）Asp；净分析时间30mim内18种蛋白水解氨基酸分离度≥1.2（Thr-Ser, Gly-Ala, Ile-Leu）及全部。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5、分离柱采用不大于3 μm填料的高理论塔板数分离柱，以提高分析效率，节省试剂消耗。</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6、茚三酮和其缓冲液采用独立试剂瓶常温放置，不预先混合，延长试剂保存时间到1年。</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7、分离柱（蛋白水解）：不大于3μm高理论塔板数分离柱。</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8、输液泵：采用SUS专用合金内衬或钛合金内衬。</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9、泵1（输送缓冲液）：双柱塞串联往复半微量泵；最大耐压能力不小于30 Mpa。</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▲10、最大输液速度不大于1.000 mL/min，以进一步提高输送0.40 mL/min缓冲液时输液精确度和准确度，同时满足自行装填分离柱的要求。（投标时须需提供证明材料电子版，如产品彩页、产品规格书或产品第三方检测报告，否则视为不响应”）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11、泵2（输送衍生试剂）：双柱塞串联往复半微量泵；最大耐压能力不小于30 Mpa。</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▲12、最大输液速度不大于1.000 mL/min，以进一步提高输送0.35 mL/min衍生试剂时输液精确度和准确度。（投标时须需提供证明材料电子版，如产品彩页、产品规格书或产品第三方检测报告，否则视为不响应”）；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13、自动进样器：进样方式：高压（全体积）可变量直接进样，可实现0~100 μl任意体积直接进样，无需更换任何部件，样品盘位数不小于100。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14、柱温箱：采用半导体制冷加热，非油浴或水浴控温。</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15、衍生单元：衍生单元采用第3.5代TDE3衍生技术，内置填料以消除边缘效应。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16、检测器：采用消象差凹面衍射光栅分光；固定双波长570nm和440nm；检测器通道1噪声：≤ 0.025mV；检测器通道2噪声：≤ 0.1 mV。</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17、软件具有开机程序，可一键打开两台泵、两个柱温箱和检测器电源，并自动设置两台泵的流速和柱温箱温度。</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18、软件具有分离柱再装填功能，满足用户自行装填分离柱的需求。</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配置清单：全自动氨基酸分析仪主机1台、蛋白水解系统分离柱1根、通用型除氨柱1根、第3.5代内置高效热传导膜衍生单元-TDE3 1根、蛋白水解标样1瓶、蛋白水解缓冲液（不少于7L）1套、衍生试剂（不少于2L）1套、控制软件1套（中文版通用控制软件，软件具有分离柱再装填功能，满足用户自行装填分离柱的需求）、控制电脑1台（配置不低于CPU 12代6核心12线程，2.5GHz，16GB内存，1T固态硬盘，24英寸显示器,含键盘鼠标，品牌原装）</w:t>
            </w:r>
          </w:p>
        </w:tc>
      </w:tr>
    </w:tbl>
    <w:p>
      <w:pPr>
        <w:pStyle w:val="null3"/>
        <w:jc w:val="left"/>
      </w:pPr>
      <w:r>
        <w:rPr>
          <w:rFonts w:ascii="仿宋_GB2312" w:hAnsi="仿宋_GB2312" w:cs="仿宋_GB2312" w:eastAsia="仿宋_GB2312"/>
        </w:rPr>
        <w:t>标的名称：斑马鱼行为跟踪系统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斑马鱼行为跟踪系统 ▲1、系统通过视频跟踪技术实现行为轨迹跟踪及活动量监测，可以对数据单位进行自定义选择；</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2、系统可以同时对多个观察和校准；</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3、配有温度控制装置；</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4、系统可进行自动跟踪，提供数据采集与视频录制；</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▲5、系统可以导出轨迹原始数据和统计分析数据；</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▲6、系统可以实时显示记录数据；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7、可以对视频文件进行处理分析；</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▲8、系统可以输出轨迹图；</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9、系统操作界面友好；</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10、系统可以提供活动技术参数：</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11、系统配有防震底座，消除实验室震动器等对试验的干扰；</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12、支持查看不同时间段的位置数据。</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13、红外背光面积≥256cm²；红外波长：850nm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14、图像采集像素≥5mp；工业相机接口：C型接口</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15、帧率：不低于75FPS</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16、显像范围不低于130×100mm</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▲17、软件可计算指标：活跃时间；速度；加速度；移动方向；行进距离；方向；旋转角速度；生物在限定区域中的时间；在限定区域中的访问次数；在兴趣点的接触次数；个体间距（最多三个目标）</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18、为保证产品质量，投标时需提供生产厂家针对本项目的技术参数确认函。</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配置设备：观测塔主机，工业相机（清晰拍摄斑马鱼轮廓），行为分析软件，温度控制模块（显示温度和调控温度）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标的名称：海龟驯养循环水系统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海龟驯养循环水系统 一、循环水系统:</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▲1.循环水设备：PP养殖池（圆形）4个，材质：PP，尺寸：Ф4m*H:1m；PP养殖池（长方形池）4个，材质：PP，尺寸：L:4m*W:1m*H：0.8m。</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▲2.组合式生物过滤箱7个；外尺寸：长2400*宽1000*高1800mm；蛋白分离器4台，处理水量20M³/h。</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▲3.水泵4个，额定电压：220v；流量：30-40立方米/h；制冷机4台，10匹功率；电器控制箱4套。</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二、台式可见光分光光度计：</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1.工作条件：电源：100-240V，50/60Hz；温度：10~40℃；湿度：最大相对湿度80%（非冷凝）。</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2.读数模式：浓度(mg/L等)、吸光度（Abs）、透过率（%）。</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3.已存储校准曲线：大于240条，可直接用于分析COD、氨氮、总磷、总氮等水质参数。</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▲4.波长范围：320~1100nm；波长准确度：±1.5nm（340~900nm时）；波长分辨率：1nm；光谱带宽：5nm；</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▲5.吸光度测量范围：±3.0Abs（波长340~900nm范围内）；吸光度测量准确度：5mAbs（0.0~0.5Abs）；1%（0.50~2.0Abs）；吸光度测量线性：偏差&lt;0.5%（≤2Abs时）；偏差≤1%（＞2Abs时）。</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6.标准配置：仪器主机、电源线、比色皿适配器、用户手册、帮助向导软件、比色皿。</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三、分子涡轮泵（质谱仪）：</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▲1.泵抽力：N2 225L/s转速：1200Hz真空度：(mbar)：&lt;8×10-8–&lt;5×10-10。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四、高温干热灭菌二氧化碳培养箱：</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▲1.内部容积≥153L；温度控制范围：室温+5℃~55℃；温度均匀性≤±0.5℃，温度波动度±0.2℃（在37℃）；</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▲2.CO₂浓度控制范围：0~20%，控制精度±0.2%，（在37℃、5%CO₂时）；六面直热系统，160℃-180℃干热灭菌。</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3.内部尺寸：W480*D500*H640mm，外部尺寸：W630*D680*H1000mm。</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配置：主机1台，标配隔板3件、测试孔用硅胶塞1个、CO₂气瓶减压阀1个、增湿盘一个，电源线1根、说明书1本。</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五、便携式溶氧仪：</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1.测量范围：0.00～99.9mg/L(ppm)；分辨率：0.01；精度：±0.2mg/L(0～15mg/L)，±10%(15～60mg/L)；饱和度范围：0.0-600%；压力：500～1100mbar；温度：0.0˚C～60.0˚C。</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六、笔式盐度计：</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1.电导率：测量范围：0.000uS/cm～400.0mS/cm，分辨率：0.001uS/cm～0.1mS/cm，精度：±0.5%F.S；盐度测量范围：0.0～260.0g/L，盐度分辨率：0.1g/L，精度：±0.5%F.S。</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七、便携PH计：</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1.测量范围（pH）：0.00～14.00；mV：-2000mV～2000mV；分辨率：0.01pH/1mV；精度：±0.01Ph/±1mV；预定义缓冲液4组。</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2.校准：3点；温度范围：0-100℃；温度分辨率：0.1℃；数据储存：200组；电源：4*AAA电池；防护等级：IP67。</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八、动物行为监测系统：</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▲1.400万电动变焦摄像头52台；500万高速球摄像头10台；移动伸缩支架17个；摄像头组合立杆6支；摄像头球机支架10个；摄像头伸缩架35个；</w:t>
            </w:r>
          </w:p>
        </w:tc>
      </w:tr>
      <w:tr>
        <w:tc>
          <w:tcPr>
            <w:tcW w:type="dxa" w:w="2769"/>
          </w:tcPr>
          <w:p>
            <w:pPr>
              <w:pStyle w:val="null3"/>
              <w:jc w:val="left"/>
            </w:pPr>
            <w:r>
              <w:rPr>
                <w:rFonts w:ascii="仿宋_GB2312" w:hAnsi="仿宋_GB2312" w:cs="仿宋_GB2312" w:eastAsia="仿宋_GB2312"/>
              </w:rPr>
              <w:t>28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▲2.128路网络硬盘录像机1台；32路网络硬盘录像机2台；网络硬盘录像机（含6T硬盘10块）1台；6T监控硬盘20台；</w:t>
            </w:r>
          </w:p>
        </w:tc>
      </w:tr>
      <w:tr>
        <w:tc>
          <w:tcPr>
            <w:tcW w:type="dxa" w:w="2769"/>
          </w:tcPr>
          <w:p>
            <w:pPr>
              <w:pStyle w:val="null3"/>
              <w:jc w:val="left"/>
            </w:pPr>
            <w:r>
              <w:rPr>
                <w:rFonts w:ascii="仿宋_GB2312" w:hAnsi="仿宋_GB2312" w:cs="仿宋_GB2312" w:eastAsia="仿宋_GB2312"/>
              </w:rPr>
              <w:t>29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▲3.8口POE交换机9台；16口POE交换机2台；核心交换机1台；监控机柜1台；抱杆机柜（300*400*160mm）10个；24V3A集中电源10个；32寸监视器1台。</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九、差分GPS定位系统：</w:t>
            </w:r>
          </w:p>
        </w:tc>
      </w:tr>
      <w:tr>
        <w:tc>
          <w:tcPr>
            <w:tcW w:type="dxa" w:w="2769"/>
          </w:tcPr>
          <w:p>
            <w:pPr>
              <w:pStyle w:val="null3"/>
              <w:jc w:val="left"/>
            </w:pPr>
            <w:r>
              <w:rPr>
                <w:rFonts w:ascii="仿宋_GB2312" w:hAnsi="仿宋_GB2312" w:cs="仿宋_GB2312" w:eastAsia="仿宋_GB2312"/>
              </w:rPr>
              <w:t>31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▲1.主机：卫星跟踪，北斗：B1.B2.B3，GPS：L1C/A、L1C、L2C、L2E，GLONASS：L1C/A、L1P、L2C/A、L2P，Galileo：E1.E5a、E5b，SBAS：WAAS、EGNOS、GAGAN、MSAS；</w:t>
            </w:r>
          </w:p>
        </w:tc>
      </w:tr>
      <w:tr>
        <w:tc>
          <w:tcPr>
            <w:tcW w:type="dxa" w:w="2769"/>
          </w:tcPr>
          <w:p>
            <w:pPr>
              <w:pStyle w:val="null3"/>
              <w:jc w:val="left"/>
            </w:pPr>
            <w:r>
              <w:rPr>
                <w:rFonts w:ascii="仿宋_GB2312" w:hAnsi="仿宋_GB2312" w:cs="仿宋_GB2312" w:eastAsia="仿宋_GB2312"/>
              </w:rPr>
              <w:t>32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▲2.精度：支持L波段的星站差分，在标准环境下精度达：平面5-12CM，高程10-15CM；DGPS：平面±0.25m+1ppm(RMS)，高程±0.5m+1ppm(RMS)；RTK平面±8mm+1ppm，高程±15mm+1ppm。</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3.通讯：内置1W/2W收发一体电台，电台工作频段：410MHz-470MHz，网络：WCDMA网络通讯，支持HSDPA+、GPRS、GSM，蓝牙：Bluetooth2.1+EDR/Bluetooth4.0BLE双模蓝牙，WIFI：802.11b/g/n，支持接入点和客户端模式。</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4.存储内部存储：4G（支持最大32G扩展），存储扩展：MicroSD卡存储扩展，最大支持32G。</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5.测量控制手簿：操作系统：正版WindowsMobile6.5；CPU：主频不低于1GHZ；内存：RAM：512M，板载4G。</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十、热成像仪：</w:t>
            </w:r>
          </w:p>
        </w:tc>
      </w:tr>
      <w:tr>
        <w:tc>
          <w:tcPr>
            <w:tcW w:type="dxa" w:w="2769"/>
          </w:tcPr>
          <w:p>
            <w:pPr>
              <w:pStyle w:val="null3"/>
              <w:jc w:val="left"/>
            </w:pPr>
            <w:r>
              <w:rPr>
                <w:rFonts w:ascii="仿宋_GB2312" w:hAnsi="仿宋_GB2312" w:cs="仿宋_GB2312" w:eastAsia="仿宋_GB2312"/>
              </w:rPr>
              <w:t>37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▲1.红外热成像通道：氧化钒探测器，8um～14um，12um，384×288，30Hz；微光成像通道：0.4um～1.2um，2048×2048，&lt;0.0001Lux，30Hz。</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2.图像模式：热像波段/红外伪彩/微光波段/融合热像；智能算法：融合热点目标自动追踪；</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3.图像存储：内置32GSD卡，可存储不小于10000幅静态图片//不小于4小时视频。</w:t>
            </w:r>
          </w:p>
        </w:tc>
      </w:tr>
      <w:tr>
        <w:tc>
          <w:tcPr>
            <w:tcW w:type="dxa" w:w="2769"/>
          </w:tcPr>
          <w:p>
            <w:pPr>
              <w:pStyle w:val="null3"/>
              <w:jc w:val="left"/>
            </w:pPr>
            <w:r>
              <w:rPr>
                <w:rFonts w:ascii="仿宋_GB2312" w:hAnsi="仿宋_GB2312" w:cs="仿宋_GB2312" w:eastAsia="仿宋_GB2312"/>
              </w:rPr>
              <w:t>40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▲4.融合成像作用距离：融合成像：1.8×0.5m人；探测≥4000m，识别≥1500m。</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5.工作温度：-20℃～+60℃；存储温度：-40℃～+60℃</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配置清单：热成像、便携软包、手提箱、数据线、视频线、充电器、说明书、保修卡、擦镜布。</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配置清单：循环水设备*1套；台式可见光分光光度计*1台；分子涡轮泵（质谱仪）*1台；高温干热灭菌二氧化碳培养箱*1台；便携式溶氧仪*1台；笔式盐度计*3台；便携PH计*3台；动物行为监测系统*1套；差分GPS定位系统*1台；热成像仪*1台。</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标的名称：三维图像动态识别声呐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三维图像动态识别声呐技术参数指标：</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1.▲设备应为适用于 ROV/AUV 搭载的高分辨率动态识别成像声呐，支持浑浊水体、弱光及无光环境下实时成像（投标时需提供证明材料电子版，如产品彩页或产品规格书或第三方检测报告，否则视为不响应）。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2.▲设备应支持双频工作模式，高频不低于 3.0 MHz，低频不低于 1.8 MHz（投标时需提供证明材料电子版，如产品彩页或产品规格书或第三方检测报告，否则视为不响应）。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3.双频模式应在同一设备平台上实现，并可通过软件快速切换。</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4.最大工作深度不小于 300 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5.设备应具备方位感知能力，内置电子罗盘或同等功能模块；应支持外部定位/导航信息接入。</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6.设备应支持安装于 ROV、AUV、三脚架、杆载或其他水下作业平台，并具备相应接口兼容能力。</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7.▲设备应采用声学透镜成像技术或同等成像原理，具备动态聚焦或远程调焦能力（投标时需提供证明材料电子版，如产品彩页或产品规格书或第三方检测报告，否则视为不响应）。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8.▲高频模式下近距离精细识别能力强，距离分辨率不大于 3 mm（投标时需提供证明材料电子版，如产品彩页或产品规格书或第三方检测报告，否则视为不响应）。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9.低频模式下有效探测范围不低于 15 m；高频模式下有效识别范围不低于 5 m。</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10.波束数不少于 128 个。</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11.高频模式单波束角不大于 0.2°，低频模式单波束角不大于 0.3°。</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12.水平视场不小于 30°。</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13.最大帧频不低于 15 帧/秒。</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14.设备应支持软件调焦，焦点可在工作量程范围内连续调节。</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15.软件应支持实时显示、录像、回放、截图、文本标注。</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16.软件应具备背景抠除、杂波抑制或等效图像增强功能。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17.软件应支持目标尺寸测量，至少支持长度、宽度等二维尺寸测量。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18.软件应至少支持Windows操作系统运行，并兼容 Windows 10/11 64位版本。</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19.应提供开放式 SDK 或二次开发接口，支持设备控制、数据读取、图像获取及系统集成开发。</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20.设备在空气中重量不超过 6 kg。</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21.应支持视频数据导出或格式转换，输出格式应包含常用视频格式（如 AVI）或兼容的通用视频格式。</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22.可用于搭载ROV的水下旋转平台：应与所搭载声呐兼容，关节最大峰值转速≥30rpm，300m水深下旋转及俯仰有效输出扭矩≥15Nm，水平旋转角度±180°，俯仰角度±90°，使用水深≥300m。</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23.▲供应商应提供与采购方拟配套平台的接口说明、安装方案及联调支持，出具高清动态识别声呐ROV集成授权书（投标时需提供证明材料电子版，如产品彩页或产品规格书或第三方检测报告，否则视为不响应）。</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配置清单：1、三维图像动态识别声呐1套；2、可用于搭载ROV的旋转平台1套。</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标的名称：环境DNA全自动样品提取建库工作站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环境DNA全自动样品提取建库工作站</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 环境DNA样本检测前处理步骤全自动化，且应内置高效率过滤网与紫外灭菌系统。</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 ▲样本管适配性广，应兼容常见市售6mL、10mL、15mL等样本管。</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 机械臂≥2，应支持螺旋开、关盖，且可自动检测开盖状态是否正常。</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 ▲样本扫描头≥4，可360°旋转自动扫描条码录入，且支持多重扫码，至少支持Code39、 Code128、Codabar bar Code （库德巴条码）（投标时需提供证明材料电子版，如产品彩页、产品规格书或产品第三方检测报告，否则视为不响应）。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 样本分杯模块加样通道≥4，工作中可非等间距分开，样本加注容量为10~1000µL，且支持电容、压力双重感应。</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 分杯模块应具有液面检测功能，需兼容200uL、1000uL带滤芯的导电吸头与一次性吸头。</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 ▲分杯模块分杯液量重复性的变异系数（CV）应小于5%，分杯液量准确度偏差应在±10%范围内（投标时需提供证明材料电子版，如产品彩页、产品规格书或产品第三方检测报告，否则视为不响应）。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 当废弃箱箱门被打开时或达到满载时应发出提示信息。</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 ▲样本位可一次性装载≥96支采样管，且扫描头录入条码前采样管上标签无需朝固定方向摆放（投标时需提供证明材料电子版，如产品彩页、产品规格书或产品第三方检测报告，否则视为不响应）。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 应支持使用磁珠法进行核酸提取，同时应支持5板、4板、3板等多种磁珠核酸提取纯化体系。</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 ▲核酸提取需≥96通道，且针对磁珠法需配备1个防滴漏托盘（投标时需提供证明材料电子版，如产品彩页、产品规格书或产品第三方检测报告，否则视为不响应）。</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 应支持220V电源，功率在600W以下。</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 设备组成：包含主机一台（≥4通道移管与开闭盖机械臂×1，≥4通道移液臂×1，样本扫描头≥4，废弃储存盒≥2，96通道磁珠转移系统≥1，防滴漏托盘≥1，5提取板位支架≥1，紫外灭菌系统≥1）、备用样本管架≥2。</w:t>
            </w:r>
          </w:p>
        </w:tc>
      </w:tr>
    </w:tbl>
    <w:p>
      <w:pPr>
        <w:pStyle w:val="null3"/>
        <w:jc w:val="left"/>
      </w:pPr>
      <w:r>
        <w:rPr>
          <w:rFonts w:ascii="仿宋_GB2312" w:hAnsi="仿宋_GB2312" w:cs="仿宋_GB2312" w:eastAsia="仿宋_GB2312"/>
        </w:rPr>
        <w:t>标的名称：全自动固相萃取系统（国产）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全自动固相萃取系统（国产）技术参数指标：</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▲1.并行通道数量≥8通道，自动化功能需求：柱活化、上样、淋洗、吹干、洗脱、收集、浓缩定容。</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2.连续处理样品数：≥48位（50mL离心管），或≥80位（15mL离心管），批量浓缩样品数：≥48个（50mL离心管）。</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3.固相萃取柱种类：可全自动连续处理1mL/3mL/6mL/12mL/20mL萃取小柱。</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4.流速控制：正压上样、洗脱的模式，采用高精度注射泵精确控制每个通道流速，流速范围：0.1-100mL/min。</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▲5.溶剂数量：≥9种，主机旋转多通阀数量：≥10个（投标时提供主机旋转多通阀数量：≥10个的实拍图片和软件提示溶剂数量可选≥9种的截图并说明）。</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6.双针结构：采用单独的移液上样针与柱密封套件，双针特殊防腐处理，可最大程度解决交叉污染的问题。</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▲7.大体积样品完全上样：可连续自动处理≥40个1L大体积水样及40个样品瓶的润洗。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8.多功能柱密封结构，无需更换密封器，自动密封3mL、6mL、12mL三种常用规格固相萃取柱。下压密封高度范围：0.0-9.0cm。</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自动识别功能：自动识别位置≥3位置，（样品架、收集架、SPE柱架），每个位置的传感器数量≥3个（投标时提供主机样品架、收集架、SPE柱架识别模块≥3个识别传感器的实拍图片和软件提示样品架不匹配的截图并说明）。</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10.样品泵规格：≥8套10mL高精度注射泵，上样流速：≥100mL/min。</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▲11.柱干燥压力控制： ≥0-50psi，软件控制压力（投标时提供压力设置的软件界面截图）。</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▲12.氮吹针高度调节范围：≥0-200mm（投标时需要提供氮吹针下降到50mm，100mm，160mm位置及主控屏的实拍图片并说明）。</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▲13.氮吹针可整排快速拔除拆卸，无需拆卸任何螺母等固定结构，方便清洗和更换。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14.浓缩氮气流量控制：≥0.0-3.0L/min，软件控制氮气流量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15.本机软件控制，≥10寸超大触屏工作站，可触屏控制，无需外接电脑。</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16.主屏幕可按设定进行全自动固相萃取全自动浓缩参数设定，并可实时监测数据，保证实验流程数据的溯源。</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17.整机 密封，并具备废气集中排放装置</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18.具有批处理功能，可进行批表编辑、插入、删除、保存、暂停等功能。</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19.具备溯源功能，可根据日期查看工作日志。</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配置清单：①全自动固相萃取仪主机（适配PFC应用）1台；②3.5 多功能密封套件（兼容3mL、6mL、12mLSPE柱） 1套；③旋转多通阀 10个；④取样针（不锈钢材质镀铬）8个；⑤3通道长寿命主动排废模块1个；⑥80位15mL样品架、收集架与48位50 mL上样架、收集架（自动识别） 1套；⑦40位大体积样品上样模块（自动识别，自动过滤，自动喷淋）1套；⑧不锈钢沉瓶器40个；⑨大体积水样收纳车1台；⑩全氟化合物耗材包1套。⑪设备嵌入式一体化触控平板电脑（配置：主流四核处理器水平或同等及以上性能，8G 内存及以上，64G 硬盘及以上）1 台。</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标的名称：海气通量观测系统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海气通量观测系统技术参数指标： ▲1.数据采集传输部分 电源需求：不低于 9.6 至32 Vdc 实时时钟精度： ≤±3 min/ 年 工作环境： 无凝结环境；不低于-40 至+70℃ 存储：不低于2GB DDR3 SDRAM和64 GB固态硬盘（SSD） 通讯端口： EPI、以太网、USB Micro B、CS I/O、SDI-12、RS-485、CPI/RS-232等 可使用ShortCut、Edlog、CRBasic等多编程工具创建和编辑数据采集器的工作程序（投标时需提供相关截图证明电子版） 数据通讯：4G全网通传输到指定平台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▲2.CO₂/H₂O气体分析仪 正常运行功率：≤12 W 样品腔室热敏电阻精度：≤± 0.15℃ 样品腔室压力精度：≤± 1.5 kPa (＞ 0℃) CO₂性能： 精度：≤1% 精密度RMS（最大）：≤0.15 mol/mol 校准量程：0 到1000μmol/mol H₂O性能： 精度：≤2% 精密度RMS（最大）：≤0.006mmol/mol 校准量程：0 到72 mmol/mol（38℃露点） 为确保闭路涡度数据的准确性，投标时需提供涡动在线全修正软件，并附软件著作证书电子版。</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▲3.三维超声风速仪 测量路径：垂直：10.0cm ；水平：5.8cm 量程：Ux：±30 m/s；Uy：±60 m/s；Uz：±8 m/s；温度：-30℃~50℃ 测量精密度 （RMS）：Ux, Uy：≤1 mm/s；Uz：≤0.5mm/s；超声虚温：≤0.025℃</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▲4.高频甲烷分析仪 测量范围：不低于0~10ppm 测量噪声：≤7 ppb 光腔长度：≥1m 腔室体积：≤10ml 耗电量：≤50W</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5.空气温湿度传感器 温度测量范围：不低于-40°C 至 +70°C 准确性：≤±0.2°C（在 -40 至 +70°C 范围内） 分辨率：≤0.01℃ 相对湿度范围：0 至 100% RH 准确性：≤±1.5%（在 25°C，在 0 到 80% RH 范围内） 分辨率：≤0.01%RH</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6.光合有效辐射传感器 响应时间：≤1s 测量范围：不低于0~4000μmol/m2/s 光谱范围：不低于410~655nm 重复性：＜0.5%</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7.四分量净辐射传感器 输出信号：SDI-12 精度：≤1% 测量范围：净长波辐射不低于-200~200W/m2；净短波辐射不低于0~2000W/m2 响应时间：≤500ms</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8.雨量传感器 降雨分辨率：≤0.2mm ； 测量范围：不低于0～240mm/h； 计量误差：Eb ≤2％</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9.土壤温湿盐传感器 介电常数测量范围：0~100 分辨率：≤0.1 精度：±2 体积含水量测量范围 ：0~100% VWC 分辨率 ：≤0.1% VWC 精度：≤±2% 温度测量范围：不低于-40~60°C 分辨率：≤0.1°C 精度：±0.25°C（+5-+35°C） 体积电导率测量范围：不低于0~6000μS/cm 分辨率：≤1μS/cm 精度：≤±25μS/cm(0~1000 uS/cm)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10.土壤热通量传感器 量程：不低于-2000~2000W/m2 灵敏度：≤50μV/W/m2 工作温度：不低于-30℃~70℃</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11.表面温度传感器 精度：≤±0.2℃ 一致性：≤±0.1℃ 重复性：≤±0.05℃ 响应时间：&lt;1秒</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12.多光谱植被观测相机 光谱波段：≥6波段 植被指数：支持NDVI\GNDVI\NDRE\OSAVI\LCI植被数值输出 布防区域：≥30个布防区域，每个区域均可计算植被指数并展示 支云台功能：支持360°水平旋转，垂直方向-20°-90°（自动翻转）</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▲13.碳足迹显示平台软件 实时动态显示每个通量周期的源区（footprint）分布； 支持行政规划地图和卫星地图两种可视化方式； 支持累积源区分布（climatology footprint）的展示功能； 需提供案例或合同佐证</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14.系统配件 包括但不限于红树林通量观测塔，分析仪及传感器安装支架，供电系统，野外防护机箱，线缆，支架，操作软件等。根据实际安装环境改造，确保设备正常安装运行。</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配置清单： CO₂/H₂O气体分析仪（含闭路式分析仪、抽气泵、安装配件）1套，含运输箱 高频CH₄气体分析仪 1套 数据采集器1个，含通讯模块 三维超声风速仪1个，含运输箱 空气温湿度传感器1个，含防辐射罩 光合有效辐射传感器1个 四分量净辐射传感器 1个 表面温度传感器 1个 雨量传感器 1个 土壤温湿盐传感器 3个 土壤热通量板 2个 多光谱观测相机 1台 碳足迹平台显示软件 1套 涡流式过滤器的过滤膜6个 进气口过滤膜6个 供电系统1套 标气1套 气管接头2个 过滤干燥剂4瓶 碳通量观测塔 1套 系统安装支架 1套</w:t>
            </w:r>
          </w:p>
        </w:tc>
      </w:tr>
    </w:tbl>
    <w:p>
      <w:pPr>
        <w:pStyle w:val="null3"/>
        <w:jc w:val="left"/>
      </w:pPr>
      <w:r>
        <w:rPr>
          <w:rFonts w:ascii="仿宋_GB2312" w:hAnsi="仿宋_GB2312" w:cs="仿宋_GB2312" w:eastAsia="仿宋_GB2312"/>
        </w:rPr>
        <w:t>标的名称：大进样量元素分析仪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大进样量元素分析仪1. 有机元素分析模块（C/H/N/S/O）</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1.1分析原理：C/H/N/S：高温燃烧法 → 氧化?还原?色谱分离 → TCD 检测；O：无氧裂解 → 色谱分离 → TCD 检测</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1.2分离方式：采用色谱分离柱分离组份方式，待测组份通过CHNS色谱分离柱（柱长≥2m）进行N₂、CO₂、H₂O及SO₂组份分离；通过氧色谱分离柱（柱长≥2m）进行N₂、CH₄及CO组份分离；（提供色谱柱图片）</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▲1.3高温炉系统 1.3.1炉温＞1200℃（软件可调），注氧瞬时达 1800℃ 1.3.2石英反应管：Φ28/Φ22/Φ18 mm 三规格可适配选用 1.3.3高温炉整体导轨滑出，免工具快速插拔管路（投标时提供应标仪器高温炉通过导轨整体滑出实操现场图片电子版证明）</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1.4柱温箱控温范围须覆盖室温～300℃，要求CHNS/O 柱共箱，一键切换分析模式。</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1.5气体控制：所有气路控制均须采用MFC 质量流量控制，全仪器自动检漏。（投标时提供应标仪器载气和助燃气均采用MFC进行控制的图片电子版证明）</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1.6延时风冷技术：仪器测试完毕后即可直接关闭主机电源、电脑电源及氦气、氧气阀门，无需人员等待，炉体温度自动降至200℃以下；</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自动进样器位数≥80位；推杆式进样方式，确保腔体密闭，样品在进样过程中无翻转；自动进样器净化功能，参比气回流到进样盘中吹除空气，不仅做到资源重复性利用，还能确保样品测试不受外界气体的污染，利于低O、N含量的检测；（投标时提供进样盘图片电子版证明）</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1.8性能指标 1.8.1检测限≤50 ppm 1.8.2分析范围：ppm~100% 1.8.3精密度：磺胺标准品 SD≤±0.2% 1.8.4分析时间：CN≤4 min；CHNS≤8 min；O≤3 min</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1.9 PioneerLM软件控制系统： 1.9.1随机提供基于Windows11操作系统的仪器控制和数据处理软件。工作参数显示，自动运行设置，自动分析不同样品工作参数的各种样品，校正曲线，数据处理，图形显示，报告编辑，自动样品重量输入，漏气测试等； 1.9.2软件系统可同时显示CHNSO结果外，还具有组份面积、校正系数、图形等显示内容；</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 无机元素分析模块；实现各类环境样本消融后上级一次性测试得到主量及微量元素的精准测试结果，测试方法符合HJ、EPA、GB、ISO等标准方法规范。</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▲2.1射频发生器 2.1.1全固态晶控型，频率≤27.12 MHz，稳定性≤±0.0001% 2.1.2功率范围须覆盖：500~1600 W，1 W 连续可调，稳定性≤0.1% 2.1.3垂直炬管，低记忆效应；具备光纤炬焰传感器（投标时提供软件窗口炬焰状态监控截图电子版） 2.1.4感应线圈：主动水冷式3匝耦合线圈，线圈由特氟龙防腐包材覆盖（投标时提供线圈实物照片电子版）</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▲2.2分光系统 2.2.1 光谱范围：180~830 nm 2.2.2 整个光谱范围内光学分辨率≤11 pm；波长误差≤±0.02 nm；重复性≤0.005 nm（提供Na588.995nm分析线下光谱分辨率≤12 pm的软件截图） 2.2.3 独立供电全铝合金恒温光室：30±0.1℃，具备过热保护功能，惰性气体吹扫光室。</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2.3进样系统，蠕动泵：≥12 辊轮，≥4 通道，软件调速 / 调压；</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2.4气体控制：快插式气路接头，免密封圈。</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▲2.5检测系统：无需低温制冷，24位采集，单次速率可达30KHZ，冷开机稳定时间≤5min可达正常样品测试工作状态。</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2.6一体化软件与控制系统 2.6.1统一操作界面，向导式流程，全中文 2.6.2支持定性 / 半定量 / 定量，干扰校正（IEC）、自动背景校正 2.6.3 自动生成环境生态样品专用报告，支持溯源与回溯分析</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配置清单 1、全元素分析系统主机，包含电感耦合等离子体发射光谱仪主机及配套 和有机元素分析仪主机 2、进样系统 全基体无机元素分析进样系统及有机元素分析80 位推杆式自动进样器各1套 3、分离与检测组件，CHNS/O 色谱柱、高温滑轨炉、TCD 检测器、PMT 检测器各 1套 4、系统软件与计算机数据处理系统 1套 5、耗材与备件 CHNS/CN/O分析组件及耗材包各1包（各 1000 次/包）、炬管、雾化器、反应管、进样系统耗材及备品各一套。 6、安装与服务包 标准安装启动包、整机保修、免费软件升级、不少于24个月免费质保服务。</w:t>
            </w:r>
          </w:p>
        </w:tc>
      </w:tr>
    </w:tbl>
    <w:p>
      <w:pPr>
        <w:pStyle w:val="null3"/>
        <w:jc w:val="left"/>
      </w:pPr>
      <w:r>
        <w:rPr>
          <w:rFonts w:ascii="仿宋_GB2312" w:hAnsi="仿宋_GB2312" w:cs="仿宋_GB2312" w:eastAsia="仿宋_GB2312"/>
        </w:rPr>
        <w:t>标的名称：全自动数字PCR系统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▲1.采用压力动力产生油包水微液滴，全自动一体机系统设计，微滴生成、扩增、检测全自动完成检测分析；</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▲2.防污染控制：反应体系在耗材芯片中封闭反应和检测，不流经设备内部，防止气溶胶污染；</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▲3.实验体系：芯片单孔最大上样量≥40uL；</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4.芯片单孔最大核酸模板上样量≥30uL；</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5.单次实验最大一次性上样本量≥96；</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6.检测模块：高灵敏度PMT检测器，无需掺入额外本底荧光即可识别阴性液滴；</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▲7.微单元生成数量：单孔最大生成量≥60000，并非通过合并孔降低通量而满足需要的丰度，微单元有效率≥90%；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8.耗材：最小规格≤8样本，每个耗材带有二维码信息；</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9.PCR升降温：扩增模块最大升降温度速率≥10 ℃/秒；</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10.检测方式：采用流式计数逐一分析，增加阴阳微液滴的强度差异，避免液滴间相互信号干扰；</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11.PCR扩增在互相独立的温控模块上进行，仪器可同时运行不同的扩增程序≥4种；</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12.检测荧光通道≥ 5 个，包含 FAM、VIC/HEX、 ROX、 CY5、 CY5.5/Q705等常用检测通道；</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▲13.支持微滴样品回收功能，可分离获得纯净的PCR产物，用于下游基因分析；</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14.单孔检测灵敏度可达到0.001%的突变比例分析；</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15.最低检测限0.1 copies/μL，可检测到单拷贝基因；</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16.检测器支持监测液滴形态与质控可真实统计生成液滴数；</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17.设备系统具备检测样本与分析同时处理功能；</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18.设备系统可实现样品随到随检，可设置加急位，随时插入检测队列中，优先完成全流程检测；</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19.具有专业的多重分析软件，支持结果数据进行合并分析；</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20.分析软件可预设检测项目及其判读标准，软件自动判读检测结果，报告格式可定制。</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标的名称：气体燃料冲装模拟器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 清洁燃料充装模拟器学员端系统1套：技术要求：</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1.1. 不少于10套学员端系统，每套需配置嵌入学员端系统专用硬件设备；含LNG装填系统和LNG双燃料动力船舶轮机系统模型。</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 ▲LNG装填系统和LNG双燃料动力船舶轮机系统模型须获得国际船级社认证，认证模型符合IMO示范课程7.13 受IGF规则约束船舶的船长、高级船员、普通船员及其他人员基本培训的课程要求。</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 ▲LNG装填系统和LNG 双燃料动力船舶轮机系统模型须获得国际船级社认证，认证模型符合IMO示范课程7.14受IGF规则约束船舶的船长、高级船员、普通船员及其他人员高级培训的课程要求。</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 ▲学员端需包含甲醇动力船装填系统模型，含以下系统：两个燃料补给站与甲醇储存罐和服务罐相互连接、带泵和过滤的低压给料系统、燃油气门机构采用遥控双挡放装置、高压系统，带泵和润滑系统。甲醇加注模型须获得国际船级社认证，认证甲醇加注模型满足MSC.1/通函1621使用甲基/乙基酒精作为燃料船舶安全临时指南。</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1.5. 学员端系统需包含电池混合动力船模拟仿真系统模型，主柴油发动机采用中速四冲程柴油机，不少于600kW，2级减速齿轮、包含PTI/PTO轴发电机和现代能源管理系统、集成了用于混合动力驱动的电池电源组、发电机不少于1600kW，转速为900rpm、轴发电机组合PTI/PTO、混合动力驱动电池系统。</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1.6. 模拟系统支持以下模拟操作，气体模式下启动发电机、主机燃油模式转换为气体模式、气缸控制模组（CCM20）排错、应急消防、货舱通风、加注开始和停止、LNG储罐紧急排气、双燃料主机喷油提前的校正。</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1.7. 模拟系统至少支持模拟两种船用主流工作方式的LNG 燃气供气系统，船用主流的LNG 供气系统主要包括低压燃气供气系统（自增压式）、低压燃气供气系统（LNG 泵增压式）和高压燃气供气系统。</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1.8. 模拟系统至少包含以下模型的3D 建模并实现交互操作，LNG 储罐剖面、加注站、集管处所、双燃料主机就地操作位、机舱集控室、双燃料主机和发电机等。</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1.9. 模拟系统至少支持模拟以下三维场景：软管连接、管路结霜、气体泄漏、液体泄漏、火灾、消防过程、气闸门动作、液化天然气罐内的动态过程。</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1.10. 模拟系统至少包含以下就地操作面板的模拟：加热媒介泵、气动柜、氮气发生器和压缩机、通风风扇启动器、双燃料主机GVU、锅炉GVU、双燃料发电机GVU、紧急停车、露点仪、气体分析仪。</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1.11. 模拟系统的LNG 双燃料动力船舶轮机系统模型须模拟市场上主流的双燃料柴油机，包括且不限于WINGD X-DF系列柴油机或MAN ME-GI系列柴油机、瓦锡兰20DF系列柴油机。</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1.12. ▲模拟系统的LNG双燃料柴油机模型须获得原型LNG双燃料柴油机生产制造商的模拟精准度测试和原型LNG双燃料柴油机生产制造商出具的质量合格证书，否则视为不响应。</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1.13. ▲模拟系统的LNG装填系统模型须获得原型LNG装填系统生产制造商的模拟精准度测试和原型LNG装填系统生产制造商出具的质量合格证书，否则视为不响应。</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1.14. ▲ 模拟系统的甲醇动力船装填系统模型模拟的加注系统模型须获得原型甲醇装填系统生产制造商的模拟精准度测试和原型甲醇装填系统生产制造商出具的质量合格证书，否则视为不响应。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 燃料气罐系统1套，技术要求：</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2.1. 液货舱模型采用材质铁质金属焊接，采用薄膜型液货舱结构，长宽高的规格均不小于1000 mm、1000 mm和500mm。结构包括主屏蔽、主绝热层、次屏蔽、次绝热层、Cofferdam、水乙二醇换热系统管系、N2系统。低温液货舱监视模拟系统主界面温度监视通道不少于10通道、压力监视通道不少于5通道、具有报警设定窗口、具有ESD控制窗口、电流监视通道不少于4通道。低温液货舱监视模拟系统主界面有液位和流量监视通道、有FGSS、BUNKER STA、管系单元显示，有货舱剖面显示，货舱剖面监视通道不少于35通道。</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 ▲货舱顶部设有Dome气室结构，结构中应包含液相管接口、气相管接口、安全阀结构（实物双联装安全阀）。</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 ▲液货储罐模型：卧式结构，罐体直径不低于500mm，重量满足楼体安全结构需求。</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2.4. 液货储罐模型采用金属材质，具备剖视结构，内部结构包含储罐本体单元、动态管系单元、泵及阀门模拟单元等；温度、压力、液位指示。模拟管理软件设有气态开关、喷淋开关、液态开关；有电动阀、手动阀，电动阀有显示当前开度的百分比指示，范围为0%-100%；阀门有打开/关闭状态指示，打开时亮绿灯，关闭时亮红灯；阀件有固定对应的编号。3D软件应满足演示N2制备、检测、储存、输出过程，具备可操作性，具备与整体系统（ECU）通讯的能力，满足培训过程中多人联合操作的需求。软件界面包括氮气管系、阀门开关状态指示、供气压力模块、排气压力模块、至少5个货舱展示。</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 电子控制单元1套，技术要求：</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3.1. 电子控制单操控台尺寸：长宽高均不低于700 mm 、700 mm 、1300mm，冷轧钢板材质，厚度不低于1.5mm；立式琴台结构。</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3.2. ▲管理软件至少设有三个演示模式分别为气相模式、喷淋模式、加注模式。</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3.3. ▲模拟管理软件阀要求包括电动阀、手动阀，电动阀有百分比指示，范围为0%-100%；有打开/关闭两种状态指示，打开时亮绿灯，关闭时亮红灯。</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3.4. 满足模拟数据采集及模拟远程监测功能，包括干燥、惰化、驱气、预冷、装货、卸货、扫舱、管线除液、通风、燃料切换等。具备模拟常规场景下的团队协调及配合工作，满足干燥、惰化、预冷、装货、卸货、燃料模式切换等；具备操作日志记录输出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设备配置清单：清洁燃料充装模拟器学员端系统*1套；燃料气罐系统*1套；电子控制单元*1套。</w:t>
            </w:r>
          </w:p>
        </w:tc>
      </w:tr>
    </w:tbl>
    <w:p>
      <w:pPr>
        <w:pStyle w:val="null3"/>
        <w:jc w:val="left"/>
      </w:pPr>
      <w:r>
        <w:rPr>
          <w:rFonts w:ascii="仿宋_GB2312" w:hAnsi="仿宋_GB2312" w:cs="仿宋_GB2312" w:eastAsia="仿宋_GB2312"/>
        </w:rPr>
        <w:t>标的名称：液货船操作辅助设备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1.燃料充装软管和接头系统1套，技术要求：</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1.1.能够展示内容含螺纹接头、手动法兰连接头及管系、螺栓法兰接头及管系、干式快速接头及管系。</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1.2.实物燃料充装软管和接头1套，包含实物液相管一根，气相管一根，接头两端分别为法兰连接和快接连接。</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1.3.低温充装软管和接头保证岸上管线的法兰和船舶管汇接头同等标准。</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1.4.拉断阀：材质：304钢，公称压力≥PN2.5MPa，强度试验压力≥3.75MPa，密封试验压力≥PN2.5MPa，断开力连接力≥800N-140N，温度±50℃。</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2.阀门和泵系统1台，技术要求：</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2.1.含低温长袖阀门（实物）、快速切断阀（实物）、快速切断阀（实物）；实物低温长袖阀门（包含长/短款、焊接款、法兰款等）；主体结构材质采用合金金属焊接或组装螺栓连接。</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2.2.紧急切断阀等实体阀件至少2套。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2.3.安装于台架上，台架的长、宽和高分别不小于1000 mm、600 mm和1000 mm，台架便于拆解实训操作。</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3.气体阀件单元（GVU）系统1套，技术要求：</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3.1.气体阀件单元（GVU）控制系统软件运行模式含正常运行、停机模式、待机模式、发动机维护模式、应急模式。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3.2.具备相应的报警、状态指示、控制逻辑功能；阀门具备激活状态及开度指示的功能。</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3.3.具备泄漏自检、紧急切断、气体排空和惰性气体吹扫等模拟演示功能。</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3.4.动态管路的流程原理，具备颜色、流向、流速等变化功能，动态管路系统满足各分区控制和整体联动功能。</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3.5.硬件采用LED亮化灯带和透明亚力克管组合，灯带采用封闭式均光防眩目设计，颜色展示采用RGB控制形式。</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4.燃料监控系统1套，技术要求：</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4.1.系统具备预览、模块控制、全流程实时控制、可远程实现阀门遥控、紧急停止等操作。</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4.2.系统具备动态流程变化展示能力，依据教学场景配合动态管系单元动态展示泵浦、阀门及相应管系变化。</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4.3.运行载体应当具备延伸功能，满足高清线与延伸显示设备连接的展示需求。通过网络与嵌入式设备进行实时通信，通信协议需保证数据传输的稳定性和系统的可靠性。</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4.4.LNG单元模拟罐内安装或泵池安装的低温泵将燃料抽出加压，进入汽化加热器进行气化加热，加热后的气体进入气体缓冲罐，经燃气主阀和GVU供向发动机。</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4.5.含燃料供应系统，具备高/低压两种供气流程的展示功能，应当包含高压蒸发/加热模拟器、高压泵模拟单元、相关连接管系及阀门。</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5.清洁燃料充装模拟器主站系统1套，技术要求：</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5.1.▲有船舶模型LNG装填系统（T11-T12）二维三维操作软件。</w:t>
            </w:r>
          </w:p>
        </w:tc>
      </w:tr>
      <w:tr>
        <w:tc>
          <w:tcPr>
            <w:tcW w:type="dxa" w:w="2769"/>
          </w:tcPr>
          <w:p>
            <w:pPr>
              <w:pStyle w:val="null3"/>
              <w:jc w:val="left"/>
            </w:pPr>
            <w:r>
              <w:rPr>
                <w:rFonts w:ascii="仿宋_GB2312" w:hAnsi="仿宋_GB2312" w:cs="仿宋_GB2312" w:eastAsia="仿宋_GB2312"/>
              </w:rPr>
              <w:t>24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5.2.▲有船舶模型LNG双燃料动力船舶轮机系统二维三维操作软件（含主流低速双燃料柴油机和中高速双燃料发电机组）。</w:t>
            </w:r>
          </w:p>
        </w:tc>
      </w:tr>
      <w:tr>
        <w:tc>
          <w:tcPr>
            <w:tcW w:type="dxa" w:w="2769"/>
          </w:tcPr>
          <w:p>
            <w:pPr>
              <w:pStyle w:val="null3"/>
              <w:jc w:val="left"/>
            </w:pPr>
            <w:r>
              <w:rPr>
                <w:rFonts w:ascii="仿宋_GB2312" w:hAnsi="仿宋_GB2312" w:cs="仿宋_GB2312" w:eastAsia="仿宋_GB2312"/>
              </w:rPr>
              <w:t>25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5.3.▲有船舶模型甲醇动力船装填系统（T11-T12）二维三维操作软件。</w:t>
            </w:r>
          </w:p>
        </w:tc>
      </w:tr>
      <w:tr>
        <w:tc>
          <w:tcPr>
            <w:tcW w:type="dxa" w:w="2769"/>
          </w:tcPr>
          <w:p>
            <w:pPr>
              <w:pStyle w:val="null3"/>
              <w:jc w:val="left"/>
            </w:pPr>
            <w:r>
              <w:rPr>
                <w:rFonts w:ascii="仿宋_GB2312" w:hAnsi="仿宋_GB2312" w:cs="仿宋_GB2312" w:eastAsia="仿宋_GB2312"/>
              </w:rPr>
              <w:t>26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5.4.▲有船舶模型电池混合动力船二维三维操作软件。</w:t>
            </w:r>
          </w:p>
        </w:tc>
      </w:tr>
      <w:tr>
        <w:tc>
          <w:tcPr>
            <w:tcW w:type="dxa" w:w="2769"/>
          </w:tcPr>
          <w:p>
            <w:pPr>
              <w:pStyle w:val="null3"/>
              <w:jc w:val="left"/>
            </w:pPr>
            <w:r>
              <w:rPr>
                <w:rFonts w:ascii="仿宋_GB2312" w:hAnsi="仿宋_GB2312" w:cs="仿宋_GB2312" w:eastAsia="仿宋_GB2312"/>
              </w:rPr>
              <w:t>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5.5.▲有船舶模型薄膜型LNG运输船二维三维操作软件。</w:t>
            </w:r>
          </w:p>
        </w:tc>
      </w:tr>
      <w:tr>
        <w:tc>
          <w:tcPr>
            <w:tcW w:type="dxa" w:w="2769"/>
          </w:tcPr>
          <w:p>
            <w:pPr>
              <w:pStyle w:val="null3"/>
              <w:jc w:val="left"/>
            </w:pPr>
            <w:r>
              <w:rPr>
                <w:rFonts w:ascii="仿宋_GB2312" w:hAnsi="仿宋_GB2312" w:cs="仿宋_GB2312" w:eastAsia="仿宋_GB2312"/>
              </w:rPr>
              <w:t>28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5.6.▲有船舶模型球罐型LNG运输船二维三维操作模拟软件。</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5.7.LNG 装填系统（T11-T12）模型需包含配套学员自习文件并包含评估题卡，支持用户自定义更改评估步骤的分数比重。</w:t>
            </w:r>
          </w:p>
        </w:tc>
      </w:tr>
      <w:tr>
        <w:tc>
          <w:tcPr>
            <w:tcW w:type="dxa" w:w="2769"/>
          </w:tcPr>
          <w:p>
            <w:pPr>
              <w:pStyle w:val="null3"/>
              <w:jc w:val="left"/>
            </w:pPr>
            <w:r>
              <w:rPr>
                <w:rFonts w:ascii="仿宋_GB2312" w:hAnsi="仿宋_GB2312" w:cs="仿宋_GB2312" w:eastAsia="仿宋_GB2312"/>
              </w:rPr>
              <w:t>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5.8.▲支持与LNG动力船的液化气装填模拟系统进行数据交互和联动，实现LNG装填时的交互操作培训。模拟器符合IGF国际使用低闪点气体燃料动力船模拟器的国际船级社符合性认证证书，且认证证书中需注明模拟器系统符合IGF使用低闪点气体动力船相关的国际海事组织模板课程标准。</w:t>
            </w:r>
          </w:p>
        </w:tc>
      </w:tr>
      <w:tr>
        <w:tc>
          <w:tcPr>
            <w:tcW w:type="dxa" w:w="2769"/>
          </w:tcPr>
          <w:p>
            <w:pPr>
              <w:pStyle w:val="null3"/>
              <w:jc w:val="left"/>
            </w:pPr>
            <w:r>
              <w:rPr>
                <w:rFonts w:ascii="仿宋_GB2312" w:hAnsi="仿宋_GB2312" w:cs="仿宋_GB2312" w:eastAsia="仿宋_GB2312"/>
              </w:rPr>
              <w:t>31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5.9.▲支持甲醇燃料动力船甲醇燃料供给系统模型的扩展，甲醇燃料加注系统需至少包含甲醇加注系统界面、通风系统模拟界面、自动化控制界面、加注流程操作界面、氮气系统操作系统界面、紧急制动因果矩阵界面。需提供拟交付系统的上述操作界面的软件截图作为证明文件。</w:t>
            </w:r>
          </w:p>
        </w:tc>
      </w:tr>
      <w:tr>
        <w:tc>
          <w:tcPr>
            <w:tcW w:type="dxa" w:w="2769"/>
          </w:tcPr>
          <w:p>
            <w:pPr>
              <w:pStyle w:val="null3"/>
              <w:jc w:val="left"/>
            </w:pPr>
            <w:r>
              <w:rPr>
                <w:rFonts w:ascii="仿宋_GB2312" w:hAnsi="仿宋_GB2312" w:cs="仿宋_GB2312" w:eastAsia="仿宋_GB2312"/>
              </w:rPr>
              <w:t>32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5.10.▲甲醇燃料加注模拟器的国际船级社符合性认证证书，且认证证书中需注明模拟器系统符合 MSC.1/Circular.1621 使用甲基/乙基醇作为燃料的船舶安全性暂行指南。</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5.11 评估题卡包括：</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5.11.1.启动LNG加注系统准备自习文件和评估文件，</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5.11.2.停止LNG加注系统自习文件和评估文件，</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5.11.3.LNG加注系统封存准备自习文件和评估文件，</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5.11.4.加注启动自习文件和评估文件，加注停止自习文件和评估文件，</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5.11.5.岸基氮气冷却LNG储罐自习文件和评估文件，</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5.11.6.LNG储罐排空自习文件和评估文件，</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5.11.7.LNG储罐氮气增压自习文件和评估文件，LNG储罐天然气增压自习文件和评估文件，</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5.11.8.供气启动自习文件和评估文件，供气停止自习文件和评估文件，</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5.11.9.停机后供气恢复自习文件和评估文件，蒸发器管道惰化自习文件和评估文件，</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5.11.10.LNG储罐惰化自习文件和评估文件，LNG储罐及管道干燥自习文件和评估文件。</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5.12.LNG 双燃料动力船舶轮机系统模型需包含配套学员自习文件并包含评估题卡，支持用户自定义更改评估步骤的分数比重。必须包含且不限于以下评估题卡：</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5.12.1.燃料气体供应系统（FGSS）操作准备程序。</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5.12.2.FGSS 为主机（ME）、柴油发电机（DG）和辅助锅炉供应燃气的自习文件、演示文件和评估文件。</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5.12.3.自动化燃料气体供应系统（FGSS）将1号发电机运行由柴油模式切换至燃气模式的准备工作的自习文件、演示文件和评估文件。</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5.12.4.主柴油机从燃油模式转换为LNG燃气模式的自习文件、演示文件和评估文件。</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5.12.5. WinGD X-DF双燃料主机在奥托循环燃气模式下，通过控制燃气喷射正时（提前角）来优化燃烧的准备工作的自习文件、演示文件和评估文件。</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5.12.6.无蒸气返回岸上的卸货过程-LNG燃料舱故障时执行的卸货操作的自习文件、演示文件和评估文件。</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5.12.7.检测气缸控制模块（CCM20）故障及更换流程的自习文件、演示文件和评估文件。</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5.12.8.LNG储罐空气通风置换的自习文件、演示文件和评估文件。无蒸气回输LNG加注启动及船岸连接操作的自习文件、演示文件和评估文件。</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5.12.9.加注停止及上下游管线惰化操作练习的自习文件、演示文件和评估文件。</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5.12.10.双燃料船舶的使用压载水处理系统压载及停止操作的自习文件、演示文件和评估文件。</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5.13.薄膜型LNG运输船模型需包含配套学员自习文件并包含评估题卡，支持用户自定义更改评估步骤的分数比重。必须包含且不限于以下评估题卡：</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5.13.1.冷维护，无蒸气返回岸上的卸货，岸上气体回输及DFGE燃烧下的卸货，岸上气体回输下的卸货，</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5.13.2.无岸上气体回输及DFGE燃烧下的卸货，排放并惰化歧管及装卸臂，排放并惰化歧管管道及装卸臂，</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5.13.3.使用液氮干燥并惰化货舱，干坞后底部填充干燥货舱，</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5.13.4.干坞后顶部填充干燥货舱，ESD与IAS准备，</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5.13.5.消防操作－通风桅杆着火，消防操作－歧管处LNG火灾，</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5.13.6.向DFGE和GCU供应燃气，干坞后IGG教程，干坞后初始冷却，绝缘空间惰化，管线冷却，卸货前液体管线冷却，</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5.13.7.卸货前液体管线及装卸臂冷却，有蒸气返回岸上的装货，正常BOG燃烧，装货准备，扫线及管线排放，通过后货舱扫线，蒸气泄漏－主绝缘空间蒸气吹扫。</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6.急救药品1套，技术要求：</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6.1.用于教学认知与展示，不适用于救治；包含生理盐水、葡萄糖、医用酒精各1瓶不低于250 mL。</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6.2.包含烫伤膏、抗生素、阿莫西林三水合物、止痛药、退烧药、破伤风抗毒素各1盒。</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6.3.包含口对口呼吸膜、橡胶止血带、绷带、三角巾、止血垫、止血海绵、一次性速冷袋、无菌伤口敷贴、烧伤敷料、指骨固定板、骨折夹板、压缩干粮各1件套；配急救包1个，分层设置功能区、防水；包内配置清单，分类明确；配紧急联系卡、急救手册。</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7.医疗器械1套，技术要求：</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7.1.呼吸复苏器不少于1个，含呼吸气囊、面罩、组合颈、储气袋、连接管、开口器、口咽通道。</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7.2.氧气瓶不少于1个，便携式、瓶盖即为呼吸面罩，流量能够自行控制。</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7.3.急救毯不少于1个，长和宽分别不少于130 cm×210 cm，纱布长和宽分别不少于7cm×6cm，1包，医用绷带长和宽分别不少于5m×450 cm，1卷，包含急救剪刀1把，体温计36℃-37℃1个、医用镊子长度不少于12.5 cm，1把。</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8.测氧仪1套，技术要求：</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8.1.响应时间：＜30s；电压：DC3.7V(≥ 2800mAh）。</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8.2.显示：≥2.4寸彩色，支持中英文切换，分辨率：≥320*240；待机时间：≥10h，防护等级：≥IP65；采样方式：泵吸式，支持 1～4 种气体检测。</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8.3.传感器寿命：不低于2年。</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9.测爆仪1套，技术要求：</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9.1.响应时间：＜30s，工作电压：DC3.7V(≥ 2800mAh）。</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9.2.显示：≥2.4寸彩色，支持中英文切换，分辨率≥320*240。采样方式：泵吸式，支持 1～4 种气体检测。</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9.3.待机时间：≥10h，防护等级：≥IP65。</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9.4.传感器寿命：不低于2年。</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10.测毒仪1个，技术要求：</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10.1.检测方式：自然扩散方式；误差：±5%FS（可燃）、±10%（一氧化碳）、±5μmol/mol（硫化氢）；工作电压：DC3.7V(≥2000mAh）；待机时间：≥10h。</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10.2.防爆标志：≥ExibIIBT3Gb；传感器寿命：不少于2年。</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11.气体探测器1个，技术要求：</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11.1.精度：±3%FS；测量范围：H2,0～100/1000/50ppm/30%VOL；响应时间：≤60秒，恢复时间：≤60秒；报警：默认25%FS和50%FS均可调。</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11.2.检测原理：电化学式；工作环境：-20℃～+50℃;20%～95%RH；连续工作时间：≥100小时。</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12.测静电仪1套，技术要求：</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12.1.精度：+/- 90%；电压：9VDC；测试距离：25+/-1mm；离子平衡度：+/-(0～200V）。</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12.2.显示更新时间：5次/S；温度：0～60℃，湿度：＜60%RH；静电电压值：+/-(0.00kV-20kV）；离子平衡度：+/-(0-200V）。</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13.压力检测仪1套，技术要求：</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13.1.分 辨 率：P-Min0.0001MPa,A-Min1uA。</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13.2.准确度：P0.05%F.S；量程：0～1MPa；电流测量范围：0～22mA，电流：0.05%±1d；温补：（0-50），压力、电流双显示；相对湿度：≤80%RH；过载能力：量程上限 1.2～1.5倍。</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14.温度检测仪1套，技术要求：</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14.1.测量范围：-30℃～70℃；湿度：5%～95%RH；震动：1～8级；精度：±0.5°C(-20°Cto+40°C)±1°C，±3%(20%～80%RH），+5%其他范围；分辨率：0.1°C/1%RH；</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14.2.防护等级：IP65；光线传感器范围：0～52,000Lux；位置类型：基站定位；记录间隔：1/2/5/10分钟可设定，上报间隔：10分钟，10/20/30/60/120分钟可设置；</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15.气体燃料发动机系统1套，技术要求：</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15.1.含船用低速双燃料发动机模型展板，长和宽分别不低于400 mm和50mm；能体现双燃料发动机结构组成与传统柴油发动机的区别。</w:t>
            </w:r>
          </w:p>
        </w:tc>
      </w:tr>
      <w:tr>
        <w:tc>
          <w:tcPr>
            <w:tcW w:type="dxa" w:w="2769"/>
          </w:tcPr>
          <w:p>
            <w:pPr>
              <w:pStyle w:val="null3"/>
              <w:jc w:val="left"/>
            </w:pPr>
            <w:r>
              <w:rPr>
                <w:rFonts w:ascii="仿宋_GB2312" w:hAnsi="仿宋_GB2312" w:cs="仿宋_GB2312" w:eastAsia="仿宋_GB2312"/>
              </w:rPr>
              <w:t>97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15.2.▲软件为双燃料型船用二冲程柴油主机控制软件，至少应包括4个主界面，每个主界面包含不少于3个子界面，每个界面应具备参数变化的监视功能。</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16.人体防护用品1套，技术要求：</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16.1.防护器：即过滤式防毒防烟面具。</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16.2.呼吸器（EEBD）：额定使用时间不低于15分钟。</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16.3.防毒面具，气体以低压恒流状态输入保护罩内，使用人员呼吸时不依赖环境气体。</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16.4.防护服（铝箔防护服）800°C，具备船级社证书（投标时提供电子版）。</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17.消防设备1套，技术要求：</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17.1.固定灭火装置为泡沫灭火装置，含安全阀、止回阀、压力表、单向阀。</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17.2.泡沫灭火装置最小工作压力 0.8Mpa，有喷头；干粉移动灭火装置，不低于20kg；二氧化碳灭火器1个，不低于24kg。</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18.图书资料1套</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18.1.MARPOL公约1本。</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18.2.IGF Code使用气体或其他低闪点燃料规则1本</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18.3.化学品安全技术说明书（MSDS）1本。</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设备配置清单：燃料充装软管和接头系统*1套；阀门和泵系统*1台；气体阀件单元（GVU）系统*1套；燃料监控系统*1套；清洁燃料充装模拟器主站系统*1套；急救药品*1套；医疗器械*1套；测氧仪*1套；测爆仪*1套；测毒仪*1个；气体探测器*1个；测静电仪*1套；压力检测仪*1套；温度检测仪*1套；气体燃料发动机系统*1套；人体防护用品*1套；消防设备*1套；图书资料1套。</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标的名称：润滑油检测辅助设备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润滑油检测辅助设备1.智能磨粒分析仪1台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1.1符合ASTM D7690、ASTM D7684和 SH/T0573标准；</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1.2制谱通道：双通道同步制谱；</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1.3显示屏：配备10.1寸LCD液晶触摸控制屏；（投标时提供满足该参数的实物图或显示屏第三方检测报告电子版）</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1.4油样输送：流量范围10 mL/h -30mL/h；</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1.5测量范围：≥0μm～800μm；</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1.6测量分辨率：≤1μm；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1.7单次分析样品量：≥1mL；</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1.8输油导管尺寸：外径≥2.5毫米，内径≥1.5毫米；</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1.9输送方式：气压式；</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1.10铁谱基片尺寸： 长、宽和高分别不小于60 mm、24 mm和0.17 mm；</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1.11可以通过软件实现谱片倾角调整为：1度～5度；</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1.12▲内置废液收集装置，真空泵将废液抽取至废液瓶，避免挥发有害的有机蒸汽，保护操作人员健康；（投标时提供满足该参数的实物图或废液收集装置第三方检测报告电子版）</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1.13配置高分辨率双光路光学显微镜，不低于1600万像素拍摄成像系统，台式电脑；</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2.智能磨粒分析软件1套</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2.1磨损颗粒图像采集及智能分析系统，包含磨损颗粒图像采集、磨损颗粒识别和磨损分析三大功能。基于SH/T 0573《在用润滑油磨损颗粒试验法（分析式铁谱法）》检测标准设计。</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2.2高速显微镜摄像头，摄像头采用不低于1英寸的CMOS传感器，单次采集能覆盖更广阔的视野区域。（投标时提供满足该参数的实物图或高速显微镜摄像头第三方检测报告电子版）</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2.3最高支持 60fps（@1824x1216 像素）、2000 万像素（5440x3648 像素 @15fps）实时采集</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2.4采集接口采用标准C型接口。数据接口采用USB3.0标准。</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2.5图像采集算法采用双层降噪技术，支持自动曝光、增益调节、一键单击白平衡、饱和度调整、伽马校正、亮度调节、对比度调整等设置。</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2.6图像采集系统，支持颜色匹配率计算，稳定拍照背景亮度。支持多物镜管理，比例尺可自动适应。</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2.7磨损颗粒智能识别系统，包含润滑油磨损颗粒图像的智能分析功能，实现图像中磨损颗粒的智能识别和统计分析。</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2.8支持磨损的定性和定量分析：支持异常磨损颗粒识别，进行定性分析；支持全局磨损量计算，进行定量分析。</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2.9支持疲劳磨损、切屑磨损、黏着磨损、滑动磨损5种磨损类型的识别。</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2.10支持钢、铜合金、粉尘、油泥、纤维5种润滑油中常见颗粒的材质识别。</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2.11支持SH/T 0573铁谱分析中大颗粒覆盖面积百分数AL、小颗粒覆盖面积百分数AS、总磨损值T、磨损严重度S、磨损烈度指数IS的计算和输出。</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2.12报告功能，支持磨损分析报告的输出。拥有机组管理模块，支持机组的监测分析和报告。</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2.13便捷数据交互，可设置条件进行数据、磨损颗粒图像的筛选和导出。</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2.14支持高度个性化设计，可根据客户需求进行个性化设计，与客户现有的实验室信息生态深度融合。可根据客户需求进行软件交互设计。</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2.15采集图像和分析数据均可自定义导出，或根据客户需求进行传输通讯。报告模板可按照客户需求进行个性化设计。</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3.颗粒计数器1台</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3.1光源：半导体激光器</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3.2检测范围：0.8μm～500μm</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3.3粒径范围：1μm～100μm（ISO4402）或4～70μm（c）（GB/T18854，ISO11171）</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3.4灵敏度：1μm（ISO4402）或4μm（c）（GB/T18854，ISO11171）</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3.5检测通道：32个，可间隔0.01μm任意设定粒径尺寸</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3.6取样体积：0.3mL～100mL，间隔0.1mL</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3.7取样体积相对误差：优于±0.5％</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3.8检测速度：5mL/min～60mL/min（默认15mL/min）</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3.9清洗速度：5 mL/min～60mL/min（默认15mL/min）</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3.10分辨力：优于10%</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3.11重合误差极限：12000粒/mL～40000粒/mL</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3.12颗粒计数重复性：RSD&lt;2%</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3.13检测精度：±4%，1/2等级（ISO 4406标准）</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3.14 颗粒计数相对误差：±5%</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3.15样品舱 最大正压：0.8MPa，最大真空：</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-0.08MPa</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3.16样品黏度范围：&lt;650 cSt</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3.17 检测样品温度：0℃～80℃；工作温度：</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-20℃～60℃ 储存温度：-30℃～80℃</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3.18电源：220V±10％，50Hz；180W</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4. 燃油稀释度监测仪（核心产品，本采购包核心产品以此为准。）1台</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55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4.1▲符合标准：ASTM D8004。（投标时提供设备与标准原理相符合图片或证明材料电子版）</w:t>
            </w:r>
          </w:p>
        </w:tc>
      </w:tr>
      <w:tr>
        <w:tc>
          <w:tcPr>
            <w:tcW w:type="dxa" w:w="2769"/>
          </w:tcPr>
          <w:p>
            <w:pPr>
              <w:pStyle w:val="null3"/>
              <w:jc w:val="left"/>
            </w:pPr>
            <w:r>
              <w:rPr>
                <w:rFonts w:ascii="仿宋_GB2312" w:hAnsi="仿宋_GB2312" w:cs="仿宋_GB2312" w:eastAsia="仿宋_GB2312"/>
              </w:rPr>
              <w:t>56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4.2▲测试范围：≥0.2%—15%</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4.3油样量：≥0.5mL</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4.4测试对象：柴油、汽油和其他轻质碳氢化合物</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4.5测试时间：不到1分钟</w:t>
            </w:r>
          </w:p>
        </w:tc>
      </w:tr>
      <w:tr>
        <w:tc>
          <w:tcPr>
            <w:tcW w:type="dxa" w:w="2769"/>
          </w:tcPr>
          <w:p>
            <w:pPr>
              <w:pStyle w:val="null3"/>
              <w:jc w:val="left"/>
            </w:pPr>
            <w:r>
              <w:rPr>
                <w:rFonts w:ascii="仿宋_GB2312" w:hAnsi="仿宋_GB2312" w:cs="仿宋_GB2312" w:eastAsia="仿宋_GB2312"/>
              </w:rPr>
              <w:t>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4.6▲准确度：燃油稀释0.2%—2%范围内，≤±0.2%；燃油稀释2%—15%范围内，≤±10%（投标时提供满足该参数的证明或燃油稀释范围第三方检测报告电子版）</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4.7重复性：≤±0.5%检测结果RSD±0.2%</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4.8校准：单点校准，用户可使用自制标油或经过认证的标油</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4.9外接电源：110/220V50/60Hz</w:t>
            </w:r>
          </w:p>
        </w:tc>
      </w:tr>
      <w:tr>
        <w:tc>
          <w:tcPr>
            <w:tcW w:type="dxa" w:w="2769"/>
          </w:tcPr>
          <w:p>
            <w:pPr>
              <w:pStyle w:val="null3"/>
              <w:jc w:val="left"/>
            </w:pPr>
            <w:r>
              <w:rPr>
                <w:rFonts w:ascii="仿宋_GB2312" w:hAnsi="仿宋_GB2312" w:cs="仿宋_GB2312" w:eastAsia="仿宋_GB2312"/>
              </w:rPr>
              <w:t>64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4.10▲传感器：SAW声表面波传感器（投标时提供满足该参数的实物图或传感器第三方检测报告电子版）</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4.11显示：4.3""彩色触屏显示</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4.12数据记录存储器：≥4GB</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4.13数据输入：触摸屏</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4.14内置充电锂离子电池，充电时长约4小时；控制电压：AC220v/9W；频率：50HZ；工作时间3～4小时。</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4.15数据传输：USB传输。</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5.粘度测定仪2台</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5.1大尺寸彩色触摸屏，分辨率≥1024*600。</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5.2采用32位微处理器作为控制核心，自主开发的图形化操作人机界面。</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5.3仪器主要零件和电子元件均采用进口器件，稳定性好。</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5.4仪器具有自动计时功能，自动计算，自动打印，自动清洗，自动吹干等功能。</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5.5双层缸体，控温快速稳定，升温速率≥5℃/min。</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5.6配有LED柔光灯，补光均匀，便于观察。</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5.7具有粘度计参数存储功能。</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5.8采用方法：GB/T265ASTMD445</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5.9控温范围：≥室温+5℃～100℃、0℃</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5.10控温精度：≤±0.1℃</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5.11测量范围：≥0.6 mm2/s-30000 mm2/s（选择不同的黏度管）</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5.12计时范围：≥0.0s～9999.9s</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5.13试样数量：≥2组毛细管粘度计</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5.14温度传感器：Pt100铂电阻</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5.15储存方式：实验结果可储存199组历史数据，方便查询</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5.16结果输出：同时可配备U盘输出功能，输出到PC端进行长期保存；输出格式：结果U盘输出格式为CSV或者excel</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5.17粘度计夹具：采用全304不锈钢材质，耐高低温石墨滑动轴承装置</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5.18标配打印：标配微型打印机自动测量，自动热敏打印</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5.19远程升级：具备TCP网络传输功能，可后期进行软件远程升级；数据管理：可连接limis系统</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6.水分检测仪2台</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6.1显示方式：彩色触摸屏显示</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6.2滴定方式：微计算机控制电量滴定</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6.3输出方式：自动计算，可输出ug、PPM和%</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6.4测量范围：按百分数是0.00001%到100%，按PPM说可以从0.1ppm到一百万ppm（1ppm=0、0001%）</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6.5分辨率：≤0.1ug</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6.6电解控制：自动电解电流跟踪控制（最大400mA）</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6.7滴定速度：≥2.5mg/min(最大)</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6.8灵敏度：≥0.1ug-100ug，不大于2%，1mg以上转化为0.3％（不含进样误差）</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6.9打印机：16个字符热敏打印纸宽44毫米</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6.10电源：交流220V±10％50Hz±10％；功率：60VA</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6.11使用环境温度：5℃-40℃</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7.全自动闪点（闭口）测定仪2台</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7.1采用彩色液晶大屏幕显示，全中文人机对话界面，无标识键盘，自动检测大气压强并修正大气压强对试验的影响并计算修正值。</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7.2开盖、点火、检测、打印数据自动完成，试验臂自动升起和落下。</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7.3电子引火，强制风冷，无需气源，自动点火。</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7.4打印机：配备微型打印机</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7.5气压检测装置：自带气压检测装置，自动修正大气压强。</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7.6可不需气源自动点火，提高了试验的安全性。</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7.7温度测量：室温～370℃</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7.8准确度：≥104℃±2℃≤104℃±1℃；</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7.9分辨性：≤0.1℃；精度：≤0.5%；</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7.10基数参数：升温速度：符合GB/T261-2021标准；</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7.11点火方式：具备自动电子点火，自动终点停止功能</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7.12具有A、B、C步骤转换功能。</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模式A：升温速率：≥5℃-6℃/min；搅拌速率：≥90r-120r/min；搅动方向向下。</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模式B：升温速率：≥1.0℃-1.5℃/min；搅拌速率：≥250±10r/min；搅动方向向下。</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模式C：升温速率：≥2.5℃-3.5℃/min；搅拌速率：≥90r-120r/min；搅动方向向下。</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7.13额定功率：≥500W</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8.TAN与TBN测定仪各2台</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8.1通用微机及操作系统，Windows10操作系统，操作采用人机对话方式，步骤清晰，简便、易操作；专用软件中文视窗界面，鼠标、键盘操作，人机对话通俗易懂。</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8.2实时显示电位曲线（E-V）、一阶导数曲线（dE/dV）及电极电位（E）、滴定体积（V）、滴定结果</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8.3全过程滴定数据浏览，强大的数据处理功能，便于结果的重新处理；滴定结果、数据、曲线海量存储，滴定过程数据可存为Excel文档，方便日后查询</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8.4自动打印曲线、结果及滴定数据</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8.5动态等当点滴定（DET），等量等当点滴定（MET），预设终点电位滴定（SET）</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8.6全自动“终点”判别，有效滤除假“终点”</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8.7自动清洗，自动补液，自动定值加液</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8.8测量范围：≥0.001mgKOH/g</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8.9电位测量范围：≥-2000.0～+2000.0mV</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8.10电子单元基本误差：0.1%FS±0.1 mV</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8.11输入阻抗：≥1×1012Ω</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8.12滴定管体积：≥10mL</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8.13最小滴定体积：≤0.001mL</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8.14滴定管精度：≥±0.2%F·S</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8.15精密度：符合或优于相关标准</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9.高精度电子天平2台</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9.1.最大秤量：120g</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9.2可读性：≥0.1mg</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9.3重复性（5%载荷下）：0.08mg</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9.4线性误差：≤0.06mg</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9.5灵敏度便偏移（标称加载下）：≤0.3mg</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9.6最小称量值（USP，允差=0.10% ）：160mg</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left"/>
            </w:pPr>
            <w:r>
              <w:rPr>
                <w:rFonts w:ascii="仿宋_GB2312" w:hAnsi="仿宋_GB2312" w:cs="仿宋_GB2312" w:eastAsia="仿宋_GB2312"/>
              </w:rPr>
              <w:t>9.7稳定时间：≥2S</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9.8秤盘直径：≥Ø 90mm</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9.9电磁力补偿（EMFC）称重传感器</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9.10自动内部校正</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9.11金属底座与PBT顶部外壳的材质，坚固耐用</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9.12LCD混合触摸屏，操作简便</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9.13最多可自定义5种外部环境条件，使天平测量可以适应不同环境</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left"/>
            </w:pPr>
            <w:r>
              <w:rPr>
                <w:rFonts w:ascii="仿宋_GB2312" w:hAnsi="仿宋_GB2312" w:cs="仿宋_GB2312" w:eastAsia="仿宋_GB2312"/>
              </w:rPr>
              <w:t>9.14机身标配In use cover 保护罩，可有效避免散落样品的腐蚀和对天平表面的损伤。</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left"/>
            </w:pPr>
            <w:r>
              <w:rPr>
                <w:rFonts w:ascii="仿宋_GB2312" w:hAnsi="仿宋_GB2312" w:cs="仿宋_GB2312" w:eastAsia="仿宋_GB2312"/>
              </w:rPr>
              <w:t>9.15密码保护功能实现权限管理，可防止意外更改天平设置。</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left"/>
            </w:pPr>
            <w:r>
              <w:rPr>
                <w:rFonts w:ascii="仿宋_GB2312" w:hAnsi="仿宋_GB2312" w:cs="仿宋_GB2312" w:eastAsia="仿宋_GB2312"/>
              </w:rPr>
              <w:t>9.16样品ID设置，可以为样品分配ID号，便于管理。</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left"/>
            </w:pPr>
            <w:r>
              <w:rPr>
                <w:rFonts w:ascii="仿宋_GB2312" w:hAnsi="仿宋_GB2312" w:cs="仿宋_GB2312" w:eastAsia="仿宋_GB2312"/>
              </w:rPr>
              <w:t>9.17通信接口： USB-A接口和RS232接口，且可选配蓝牙组件，方便连接打印机和电脑等设备</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9.18支持EasyDirect Balance数据管理软件， 可同时连接最多10台天平实现数据传输管理。</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left"/>
            </w:pPr>
            <w:r>
              <w:rPr>
                <w:rFonts w:ascii="仿宋_GB2312" w:hAnsi="仿宋_GB2312" w:cs="仿宋_GB2312" w:eastAsia="仿宋_GB2312"/>
              </w:rPr>
              <w:t>9.19PC-Direct功能可将称量结果直接传输至Excel等开放式应用程序，传输过程自动开始，无需其他辅助软件</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left"/>
            </w:pPr>
            <w:r>
              <w:rPr>
                <w:rFonts w:ascii="仿宋_GB2312" w:hAnsi="仿宋_GB2312" w:cs="仿宋_GB2312" w:eastAsia="仿宋_GB2312"/>
              </w:rPr>
              <w:t>9.20制造商须具备提供校准服务的能力，投标时提供中国合格评定国家认可委员会颁发的CNAS实验室认可证书电子版</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10.通风柜1套</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10.1外观尺寸：宽≥1800 mm 、深≥850 mm、高≥2350mm</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10.2主体左右旁板、前钢板、背板、顶板、下柜体可采用≥1.0mm厚钢板，一体折弯成型，表面经环氧树脂粉末静电流水线自动化喷涂及高温固化。</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10.3内衬板、导流板采用≥5mm厚实芯抗倍特板，具有良好的防腐蚀、化学抗性。导流板固定件使用PP优质材质制作一体成型。</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10.4移动视窗玻璃两侧PP夹条包裹，拉手PP一体成型，嵌入≥5mm钢化玻璃，门开启高度为≥760mm，自由升降，移门上下滑动装置采用滑轮钢丝绳结构，无级任意停留，移门导向装置由抗腐蚀的聚氯乙烯材质构成。固定视窗框架为钢板制作环氧树脂喷涂，框内嵌入≥5mm厚钢化玻璃。</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10.5台面采用实芯理化板（≥12.7mm厚）耐酸碱，耐冲击，耐腐蚀，甲醛达到E1级别标准。</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10.6连接部分所有的内部连接装置都需隐藏布置和抗腐蚀，没有外露的螺钉，外部连接装置都是抗化学腐蚀的不锈钢部件与非金属材料。</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10.7排气出口采用与顶板一体成型集气罩，出风口直径≥250mm圆孔，套管连接，减少气体扰流。</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10.8水路配有进口一次性成型PP小杯槽，耐酸碱、耐腐蚀。单口水龙头由黄铜构成并安装在通风柜内台面上（水为选配项，默认为桌面单口水龙头，可根据需求改其他水）。</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10.9电路控制面板采用液晶显示屏面板（可设置快慢自由调节，可适应市场上大部分类似产品，支持电动风阀6秒快开）8个按键电源、设置、确定、照明、备用、风机、风阀+\-键。</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10.10照明LED白光灯快速启动类型，安装置通风柜顶部，使用寿命长。插座配有四个10A 220V五孔多功能插座。线路使用2.5平方铜芯电线。</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10.11下柜门铰链采用110度直弯铰链，使用寿命高，拆装方便。其他下柜内背板预留检修窗，方便故障检修，左右旁板各预留4个孔方便加装考克等设施。</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left"/>
            </w:pPr>
            <w:r>
              <w:rPr>
                <w:rFonts w:ascii="仿宋_GB2312" w:hAnsi="仿宋_GB2312" w:cs="仿宋_GB2312" w:eastAsia="仿宋_GB2312"/>
              </w:rPr>
              <w:t>11.超声震荡仪2台</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11.1容量：≥30L</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11.2内槽尺寸：长、宽和高分别不小于500 mm、300 mm和200mm</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11.3无残留内胆：一体成型SUS304不锈钢内胆</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left"/>
            </w:pPr>
            <w:r>
              <w:rPr>
                <w:rFonts w:ascii="仿宋_GB2312" w:hAnsi="仿宋_GB2312" w:cs="仿宋_GB2312" w:eastAsia="仿宋_GB2312"/>
              </w:rPr>
              <w:t>11.4超声波频率：40KHz±1KHz</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left"/>
            </w:pPr>
            <w:r>
              <w:rPr>
                <w:rFonts w:ascii="仿宋_GB2312" w:hAnsi="仿宋_GB2312" w:cs="仿宋_GB2312" w:eastAsia="仿宋_GB2312"/>
              </w:rPr>
              <w:t>11.5超声波功率：0-780W，20档位连续可调（范围0-100%）</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11.6温度控制：常温-80°C</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11.7加热功率：1000W</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left"/>
            </w:pPr>
            <w:r>
              <w:rPr>
                <w:rFonts w:ascii="仿宋_GB2312" w:hAnsi="仿宋_GB2312" w:cs="仿宋_GB2312" w:eastAsia="仿宋_GB2312"/>
              </w:rPr>
              <w:t>11.8时间控制：0-99h</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11.9控制面板：采用3.1英寸液晶触摸屏+AUTO触控按钮</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11.10可视清洗：采用透明PMMA盖板，实时观察清洗全过程</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11.11工作模式：脱气模式+扫频模式</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11.12排水方式：排水口4分（手动）</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11.13工作噪声：55dB-63dB（投标时提供噪声第三方检测报告电子版）</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11.14开盖方式：透明手提盖</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11.15状态呼吸灯：漫反射灯光系统，液位高度状态直观显示</w:t>
            </w:r>
          </w:p>
        </w:tc>
      </w:tr>
      <w:tr>
        <w:tc>
          <w:tcPr>
            <w:tcW w:type="dxa" w:w="2769"/>
          </w:tcPr>
          <w:p>
            <w:pPr>
              <w:pStyle w:val="null3"/>
              <w:jc w:val="left"/>
            </w:pPr>
            <w:r>
              <w:rPr>
                <w:rFonts w:ascii="仿宋_GB2312" w:hAnsi="仿宋_GB2312" w:cs="仿宋_GB2312" w:eastAsia="仿宋_GB2312"/>
              </w:rPr>
              <w:t>191</w:t>
            </w:r>
          </w:p>
        </w:tc>
        <w:tc>
          <w:tcPr>
            <w:tcW w:type="dxa" w:w="2769"/>
          </w:tcPr>
          <w:p/>
        </w:tc>
        <w:tc>
          <w:tcPr>
            <w:tcW w:type="dxa" w:w="2769"/>
          </w:tcPr>
          <w:p>
            <w:pPr>
              <w:pStyle w:val="null3"/>
              <w:jc w:val="left"/>
            </w:pPr>
            <w:r>
              <w:rPr>
                <w:rFonts w:ascii="仿宋_GB2312" w:hAnsi="仿宋_GB2312" w:cs="仿宋_GB2312" w:eastAsia="仿宋_GB2312"/>
              </w:rPr>
              <w:t>11.16电源参数：单相220V，50Hz</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11.17防水设计：整机IPX5级防水，安全可靠</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11.18液位保护：先进超声液位保护算法，低液位、无液保护（防干烧、裸超）</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11.19外观精致：流线型一体机身，SPCC钢板和纳米涂覆，美观耐磨易清洁</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left"/>
            </w:pPr>
            <w:r>
              <w:rPr>
                <w:rFonts w:ascii="仿宋_GB2312" w:hAnsi="仿宋_GB2312" w:cs="仿宋_GB2312" w:eastAsia="仿宋_GB2312"/>
              </w:rPr>
              <w:t>12.烘箱2台</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技术参数：</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left"/>
            </w:pPr>
            <w:r>
              <w:rPr>
                <w:rFonts w:ascii="仿宋_GB2312" w:hAnsi="仿宋_GB2312" w:cs="仿宋_GB2312" w:eastAsia="仿宋_GB2312"/>
              </w:rPr>
              <w:t>12.1容积：≥90L</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12.2载物架：≥2个</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12.3控温范围：≥RT+10-300℃</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12.4分辨率：≤0.1℃</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12.5波动度：≤±0.5℃</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12.6限温器动作精度：≤3.0℃</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12.7温度均匀度：≤±2.5%（测试点为100℃）</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12.8外壳：冷轧钢板，表面静电喷涂。壳体厚度≥0.7mm</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left"/>
            </w:pPr>
            <w:r>
              <w:rPr>
                <w:rFonts w:ascii="仿宋_GB2312" w:hAnsi="仿宋_GB2312" w:cs="仿宋_GB2312" w:eastAsia="仿宋_GB2312"/>
              </w:rPr>
              <w:t>12.9内胆：镜面304耐腐蚀不锈钢</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12.10保温层：超细玻璃棉</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left"/>
            </w:pPr>
            <w:r>
              <w:rPr>
                <w:rFonts w:ascii="仿宋_GB2312" w:hAnsi="仿宋_GB2312" w:cs="仿宋_GB2312" w:eastAsia="仿宋_GB2312"/>
              </w:rPr>
              <w:t>12.11加热器：不锈钢电热管</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12.12显示：实时温度液晶屏上部显示，设置温度液晶屏下部显示</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12.13定时器：0-9999分钟（带定时等待功能）</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12.14运行功能：定值运行，定时运行，自动停止</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12.15传感器：PT100</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12.16隔板承重：≥15kg/每层</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12.17电源电压：220V/50HZ</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设备配置清单：智能磨粒分析仪*1台；智能磨粒分析软件*1套；颗粒计数器*1台；燃油稀释度监测仪（核心产品）*1台；粘度测定仪*2台；水分检测仪*2台；全自动闪点（闭口）测定仪*2台；TAN与TBN测定仪*各2台；高精度电子天平*2台；通风柜*1套；超声震荡仪*2台；烘箱*2台。</w:t>
            </w:r>
          </w:p>
        </w:tc>
      </w:tr>
    </w:tbl>
    <w:p>
      <w:pPr>
        <w:pStyle w:val="null3"/>
        <w:jc w:val="left"/>
      </w:pPr>
      <w:r>
        <w:rPr>
          <w:rFonts w:ascii="仿宋_GB2312" w:hAnsi="仿宋_GB2312" w:cs="仿宋_GB2312" w:eastAsia="仿宋_GB2312"/>
        </w:rPr>
        <w:t>标的名称：油料光谱仪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油料光谱仪技术参数：</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1.满足ASTM D6595、ASTM D6728、NB/SH/T0865-2013、HB20094.1-2012、JJF175、GJB9024等检测标准；</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2.可同步分析24种元素（Al、Ba、B、Ca、Cd、Cr、Cu、Pb、Mg、Mn、Mo、Ni、P、Si、Ag、Na、Sn、Ti、V、Zn、Fe、K、Li、Sb）；</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3.检测范围：Al、B、Cd、Cr、Cu、Pb、Mn、Mo、Ni、Si、Ag、Na、Sn、Ti、V、Fe、K、Li、Sb等19个元素分析范围：0~1000ppm；Ba、Ca、Mg、P、Zn等5个元素分析范围：0-6000ppm；</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4.光纤导入光信号，罗兰圆光学系统，光学焦距≥500mm；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5.谱线范围：190 nm -810nm；</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6.▲采用高性能CMOS光学系统，可探测更多有效的光谱强度；（投标时提供满足该参数的实物图或光谱强度第三方检测报告电子版）</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7.光学系统恒温控制：40℃±0.1℃，有效保证精度和稳定性；</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8.▲采用“带辅助电极的电弧光源”控制；（投标时提供满足该参数的实物图或光源第三方检测报告电子版）</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9.取样量：约2mL，样品测试速度快，单次测试时间≤30秒；</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10.▲内嵌颗粒污染度模块，便于进行简易污染度分析，内置ISO4406等常用标准；</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11.▲提供通信接口可以与实验室PQ铁磁磨损分析仪、颗粒计数器、分析式铁谱仪等设备连接，实现数据汇总和分析功能；（投标时提供满足该参数的实物图或通信接口第三方检测报告电子版）</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12.激发室：具有检错功能；门具有安全联锁装置；具有强制排风装置；棒电极架具有设定电极间距功能。</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13.▲一体化设计，内部嵌入工控机、石墨电极磨削器，便于实现分析结果输出和数据记录接口要求；与外界连接仅需一根电源线，方便携带；</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内置自主研发光谱分析系统（可自主添加PQ、粘度、水分、酸值、颗粒计数器这些实验室仪器的结果共同分析），具有数据管理、趋势分析和预测功能，可用于分析判断设备/装备的当前工作状况，并对未来工作状况作出预测，从而为装备的正确使用和维护保养提供有效的依据；（投标时提供满足该参数的证明或光谱分析系统第三方检测报告电子版）</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操作软件：中文操作界面；可显示强度、强度比，浓度ppm值；能够按照浓度查阅光谱曲线；能够自动进行曲线拟合，并可人工进行干预；能生成、存储数据报告，打印分析结果，并可统计分析结果和趋势分析（统计数据包含但不局限于标准偏差，相对标准偏差，平均值，最大/最小值等）；</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16.接口要求：标准数据串口、USB接口；电源：220V±10%、50HZ；</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17.包装要求：设备配备专用运输箱，便于室外移动现场使用；</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18.该设备具有第三方检验检测机构（具备CNAS或CMA资质）实施案例。</w:t>
            </w:r>
          </w:p>
        </w:tc>
      </w:tr>
    </w:tbl>
    <w:p>
      <w:pPr>
        <w:pStyle w:val="null3"/>
        <w:jc w:val="left"/>
      </w:pPr>
      <w:r>
        <w:rPr>
          <w:rFonts w:ascii="仿宋_GB2312" w:hAnsi="仿宋_GB2312" w:cs="仿宋_GB2312" w:eastAsia="仿宋_GB2312"/>
        </w:rPr>
        <w:t>标的名称：船舶电子实验平台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船舶电子实验平台1. 8位单片机开发板*200套，具体参数：1.1核心DIP40紧锁座支持三核心STC89C516+STM8S105C4T6+STM32F103C8T6；</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1.2五线四相步进电机驱动模块；</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1.3 16*16LED点阵模块；</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1.4动态数码管模块；</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1.5 74HC138译码器模块；</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1.6 74HC595模块；</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1.7 LCD1602液晶接口；</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1.8静态数码管模块；</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1.9 LCD12864/TFT彩屏接口；</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1.10 DS1302时钟模块；</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1.11 DS18B20&amp;DHT11接口；</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1.12 蜂鸣器模块；</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1.13 LED&amp;交通灯模块；</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1.14 单片机复位选择切换端子；</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1.15 EEPROM模块；</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1.16 继电器模块；</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1.17 红外接收模块；</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1.18 STC89C516单片机/ARM核心板/AVR核心板接口座；</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1.19 ADC/DAC（PWM）模块；</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1.20矩阵键盘及独立按键模块。</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 32位单片机开发板*100套，具体参数：2.1 核心芯片兼容STM32F103ZET6；</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2.2 4.3寸屏；</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2.3 STM32下载器；</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2.4 OV7725摄像头；</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2.5 TF卡；</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2.6 板载兼容STM32F103ZE主控芯片（144PIN）；</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2.7 板载16Mbyte SPIFLASH；</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2.8 板载一键下载电路，串口，下载，通信，串口调试多合一；</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2.9 板载CAN/485通信接口；</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2.10板载光敏传感器；</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2.11 板载EEPROM；</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2.12 板载可调电位器。</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3. 100M采样率16通道逻辑分析仪*50套，具体参数：3.1 最高采样率100MHZ@3通道；</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3.2适配50MHZ@6通道；</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3.3适配32MHZ@9通道；</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3.4适配25MHZ@12通道；</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3.5适配16MHZ@16通道；</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3.6支持上位机软件；</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3.7支持40种以上协议解析</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4. ESP32物联网学习开发板*100套，具体参数：4.1 ESP32系列主控板；</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4.2 红外寻迹模块；</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4.3 烟雾传感器；</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4.4 光敏电阻传感器；</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4.5 倾斜传感器；</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4.6 PS2摇杆；</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4.7 气压传感器；</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4.8 气体传感器；</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4.9 旋转编码器；</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4.10 MPU6050传感器；</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4.11 LCD液晶屏；</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4.12 OLED显示屏；</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4.13 步进电机；</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4.14 直流电机+扇片；</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4.15 超声波模块；</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4.16 人体传感器；</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4.17 SG9G舵机；</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4.18 火焰传感器模块；</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4.19 RC552射频模块；</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4.20 温湿度传感器。</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5. 人工智能K210开发板*40套，具体参数：5.1 K210系列主控板；</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5.2 pyboard接口；</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5.3 按键；</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5.4 电位器；</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5.5 无源蜂鸣器；</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5.6 纽扣电池座；</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5.7 Servo接口；</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5.8 OLED模块；</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5.9 1.77寸LCD模块；</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5.10 2.4寸LCD模块；</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5.11 温湿度传感器；</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5.12 Sensor接口；</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5.13 通讯接口；</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5.14 锂电池充电电路；</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5.15 摄像头模块。</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6. 人工智能K230开发板*40套，具体参数：6.1 K230系列主控板；</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6.2 1080P高清摄像头；</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6.3 6T等效算力；</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6.4 2GB内存；</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6.5 LCD模块；</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6.6 相关接口电路。</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7. 可编程直流电子负载仪*2台，具体参数：</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7.1 150V/240A/1200W直流电子负载。</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8. 基础型PLC实训套件*50套，具体参数：</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8.1 兼容西门子S7-200型PLC核心（ST30-CPU，AM04）；</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8.2 触摸屏；</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8.3 三套步进丝杆；</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8.4 模拟量PID；</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8.5 485通讯；</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8.6 变频；</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8.7 伺服；</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8.8 称重；</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8.9 气缸；</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8.10 ≥7寸串口网口屏；</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8.11 电气隔离下载线；</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8.12 低压开关元件。</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9. 提高型PLC实训套件*30套，具体参数：</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9.1 兼容西门子S7-1200型PLC核心（1214-CPU，CM1241,2AI/2AQ）；</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9.2 触摸屏；</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9.3 编码；</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9.4 丝杆三套；</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9.5 模拟量模块；</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9.6 交换机；</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9.7 485通讯；</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9.8 变频伺服；</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9.9 称重；</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9.10 ≥7寸串口网口屏；9.11 电气隔离下载线；9.12 低压开关元件。</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设备配置清单：8位单片机开发板*200套；32位单片机开发板*100套；100M采样率16通道逻辑分析仪*50套；ESP32物联网学习开发板*100套；人工智能K210开发板*40套；人工智能K230开发板*40套；可编程直流电子负载仪*2台；基础型PLC实训套件*50套；提高型PLC实训套件*30套。</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标的名称：标准天线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CDATA[标准天线 ▲1、覆盖频率10GHz-260GHz工作频率（ 频率10-15GHz，接头SMA-K，增益15dB，驻波<1.5，材料铝/本色导电 氧化/外喷漆，分体带夹具频率15-22GHz，接头SMA-K，增益15dB，驻波<1.5，材料铝/本色导电氧化/外喷漆，分体带夹具； 频率22-33GHz，接头2.92-K，增益15dB，驻波<1.5，材料铝/本色导电氧化/外喷漆，分体带夹具频率33-50GHz，接头2.4-K，增益15dB，驻波<1.5，材料铜/镀金，分体带夹具材料铜，内镀金，外喷漆频率50-75GHz，接头1.0-K，增益15dB，驻波<1.5，材料铜/镀金，分体带夹具； 频率75-110GHz，增益15dB，驻波<1.5，材料铜/镀金； 频率110-170GHz，增益15dB，驻波<1.5，材料铜/镀金； 频率170-260GHz，增益15dB，驻波<1.5，材料铜/镀金）标准增益喇叭天线各1对。]]></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▲2、工作频率：覆盖10GHz-260GHz（ 频率10-15GHz 频率15-22GHz 频率22-33GHz 频率33-50GHz 频率50-75GHz 频率75-110GHz 频率110-170GHz 频率170-260GHz）卡塞格伦（口径330mm，75GHz以下法兰及同轴接口，75GHz以上标准法兰接口）天线各1件。</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▲3、标准法兰接口及同轴接口。</w:t>
            </w:r>
          </w:p>
        </w:tc>
      </w:tr>
    </w:tbl>
    <w:p>
      <w:pPr>
        <w:pStyle w:val="null3"/>
        <w:jc w:val="left"/>
      </w:pPr>
      <w:r>
        <w:rPr>
          <w:rFonts w:ascii="仿宋_GB2312" w:hAnsi="仿宋_GB2312" w:cs="仿宋_GB2312" w:eastAsia="仿宋_GB2312"/>
        </w:rPr>
        <w:t>标的名称：频谱分析仪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频谱分析仪1、信号/频谱分析仪主机：2Hz～50GHz，支持太赫兹频率扩展，配备射频测试线缆及转接器；</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2、分辨率带宽：范围包含0.1Hz～20MHz （1、2、3、5步进）；</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3、分析带宽：≥10MHz；</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4、触发方式：包括但不限于：自由、电源、视频、外部触发1/2、定时器；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5、1dB增益压缩：≥+7dBm @8GHz；≥+7dBm @50GHz；</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6、扫描点数范围：101～120001</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▲7、相位噪声（@1GHz）：≤-135dBc/Hz（@100kHz频偏）；</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8、显示平均噪声电平：≤-162dBm（@1GHz）、≤-148dBm（@50GHz）；</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9、频率响应：≤±0.40dB（@3GHz）、≤±0.80dB（@8GHz）；</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10、三阶截获点（TOI）：≥+21dBm @8GHz；≥+18dBm @50GHz；</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▲11、提供单边带相位噪声曲线和单点相位噪声测试能力，具备AM噪声抑制功能，支持漂移信号的稳定测试功能；</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12、具有调制信号的解调分析功能，脉冲信号分析功能，可对脉冲的波形、脉内及脉间等方面的参数进行自动测量；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13、具备矢量信号分析功能，支持QAM等多种单载波数字调制信号的解调，最高支持4096QAM的解调分析；</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14、具备瞬态分析功能，对时间、频率快速变化的信号进行测试。具有瀑布图、时间概览图、幅度/时间图等图谱；</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▲15、支持1MHz~100MHz 参考信号输入，支持10MHz/100MHz/1GHz 参考信号输出；</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▲16、具备自动识别功能：50～260GHz扩频模块与主机互联后，可自动识别，自动配置频段和变频损耗等信息；</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17、变频因子：6(@50～75GHz）；9（@75～110GHz）；12（@110～170GHz）；18（@170～260GHz）；</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18、变频损耗：≤16dB(@50～260GHz）；</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▲19、显示平均噪声电平：≤-150dBm/Hz(@50～260GHz）；</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20、输入1dB压缩点：≥3dBm（@50～170GHz）。</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标的名称：快照式水下高光谱成像系统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快照式水下高光谱成像系统 ▲1、光谱范围400~1000 nm；</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▲2、采样间隔不大于5nm；</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▲3、成像方式：基于光场成像技术的快照式高速成像，所有通道高速同步成像（不需要扫描）；</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▲4、可潜水深不小于10米；</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▲5、成像速度：≥3Cubes/s；</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配备数据采集与预处理软件：高光谱支持手动、等时等多种拍照模式，支持距离校准，可实现接近视频级实时图像和DN、Radiance、Reflectance光谱查看，以及CIR、CAI、NDVI、RedEdge2等植被指数图像的实时查看。可批量导出全部波段或任意波段的高光谱DN、Radiance、Reflectance数据；</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7、微透镜阵列 ≥66个阵列，瞬时FOV ≥35°H×35°V；</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▲8、数据立方体：≥160通道/Cube；</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9、光谱传感器：高性能 CMOS/CCD全局快门；</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10、数字分辨率超过或等于12 Bit；</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11、测控单元：含高性能处理器，内存24GB，硬盘1TB；</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12、水下光源：卤素光源，功率不小于100W；</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13、防护等级：超过或等于IP68；</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14、自动积分时间，最快支持 0.1ms/Cube，全局快门面阵成像， 可移动观测或对移动目标快速高光谱成像且无图像畸变；</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15、配备漫反射校准白板：聚四氟乙烯材质，反射率＞90%，面积≥40*40cm，配备标定文件及标定数据；</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16、配备便携式包装箱。</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标的名称：组织全景全自动玻片扫描分析系统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一、荧光扫描显微镜主体</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1、系统具有完整的无限远校正光学系统成像光路，同时具有明场、荧光扫描成像功能，可自由切换。</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2、高精度Z轴设计：Z轴行程≥55mm，电动调焦行程≥25mm，手动调焦行程≥20mm。投标时须提供对应的产品原版彩页或厂家技术白皮书或第三方机构出具的检测报告等技术证明文件电子版。</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3、电动编码5孔以上转换器，软件自动识别镜头倍数，自动切换比例尺参数，追溯查看任意倍率下的扫描图片。</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4、HPSAPO 4X≥0.13, W.D≥17.3mm；10X≥0.3, W.D≥11.7mm；20X≥0.5,W.D≥2.2mm；40X≥0.75, W.D≥0.7mm；100X≥1.30 oil,W.D≥0.1mm。4X物镜下自定义扫描导航图。</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5、主动光强系统，编码记忆物镜和滤块位置并记忆光强度。恒一的IL亮度按钮，10档亮度记忆，环保ECO节能设计。</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6、透射光照明：柯拉照明系统，内置滤色片，12V100W卤素灯,内置ND6，ND25，LBD滤色片，LAMP接口。</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▲7、配备前置观察器：底部是100%的整块硼硅酸盐玻璃，同时紫外波段透过率30% 。（投标时须提供厂家的印刷版彩页电子版，否则视为不响应。）</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8、电动六位编码转盘至少配以下四个滤色块组：AT-DAPI/Hoechst/AlexaFluor 350； AT-EGFP/FITC/Cy2/AlexaFluor 488；AT-TRITC/Cy3/TagRFP/AlexaFluor 546；DAPI/Green/Orange Multi-Band FISH。</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▲9、电动载物台，行程≥100 x 100 mm (4" x 4")，+/- 3 μm精度，可重复精度&lt; 1 μm，支持物理限位。投标时须提供对应的产品原版彩页或厂家技术白皮书或第三方机构出具的检测报告等技术证明文件电子版。</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10、为保证供货渠道的合法性及可靠性，须提供生产商出具针对本项目的服务承诺函原件扫描件。</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二、数码摄像系统</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▲1、扫描头部，双照相机设计，内置120万像素sCMOS 1/3寸辅助对焦和500万sCMOS 2/3寸sCMOS相机，宽视野目 UC-WF 10X/ 22mm。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三、成像分析软件</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▲1、整机需扫描验证阵列式多圈同心圆，无错位，每个圆中心距离≦ 10 μm。投标时需提供相关产品演示佐证材料，按系统支持的文件类型上传所需资料即可，可附图片、文字等相关说明材料。不提供视为不响应。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2、数字扫描软件及助理系统，支持一键查看，可以独立使用，生产商出具不低于3年的质保承诺函。</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3、≥4种扫描模式：标准、高精度、景深扩展及Z层叠扫描等。</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4、投标时需提供相关产品演示佐证材料，按系统支持的文件类型上传所需资料即可，可附图片、文字等相关说明材料。不提供视为不响应。：自动精准扫描组织区域，自动跳过空白区；手动自定义扫描区域；加密扫描。</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5、DSE系统，可在局域网、校园网、或Internet环境下，建立数字切片网络浏览平台，可通过浏览器观察。</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6、管理员可从局域网或互联网进行访问和操作，浏览数字切片；浏览模式具有标注功能，并能进行权限控制。</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7、DSE同模块无缝整合交互，扫描自动上传；远程管理、分类建库、多倍率浏览、标注导航、评论交流及权限管控。</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8、数切浏览两种模式：固定倍率（4/10/20/40/100 倍）显微镜观察及 1-100 倍连续变倍放大镜观察，界面含倍率选择。</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远程同步浏览讨论功能，系统生成同步浏览地址，数字切片同步浏览同步移动。投标时需提供相关产品演示佐证材料，按系统支持的文件类型上传所需资料即可，可附图片、文字等相关说明材料。不提供视为不响应。</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配置清单： 1.PA53FS6 SCAN主机架 1个 2.10X/22目镜 2个 3.电动五孔物镜转换器 1个 4.半复消色差扫描物镜：4X/10X/20X/40X/100X 1套 5.扫描相机（120万和500万像素相机各1个）2个 6.6孔编码滤色块转换器 1个 7.荧光滤色块（DAPI、FITC、TRITC、FISH） 4个 8.LUMOS荧光光源 1个 9.12V100W 卤素灯 1个 10.数字切片扫描软件 1套 11.数字切片助理系统 1套 12.DSE网络安全软件系统 1套</w:t>
            </w:r>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标的名称：开放式叶绿素荧光成像系统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一、可调节光源板</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 荧光光源：不少于44个650 nm红色LED，测量光强度0.5 μmol m-2 s-1PAR， 1-20级可调。</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 光化光光源：1-20级可调，最大光化光强度1900 μmol m-2 s-1PAR。</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 饱和脉冲光源：1-10级可调，持续时间240-840ms可调，最大强度3700 μmol m-2 s-1PAR。</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 吸光系数测量光源：16个红光（660 nm）和16个近红外（780 nm）LED，测量样品PAR吸光系数。</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二、CCD成像镜头</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1. 成像面积：工作距离18.5cm时9cm×12 cm；工作距离22.5cm时11cm×15 cm；光强异质性：测量区域光强异质性小于±7％。</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 图像显示模式：B/W，Color，Expanded Color，Fm Sacled Color。</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3.吸光系数测量：快速测量叶片的吸光系数，吸光系数可直接用于ETR计算。</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三、成像分析软件</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▲1.成像功能：对Ft、Fo、Fm、Fv/Fm、F、Fm’、Y(II)、Y(NO)、Y(NPQ)、NPQ/4、qN、qP、qL、ETR（PS/50）、Abs.、NIR、Red.、Inh.成像分析。（投标时提供电子版软件截图且加盖国内总代理商或生产商公章，否则视为不响应。）</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 AOI：圆形，矩形，多边形，增加，删除，编辑，显示/隐藏，填充，重置。测量前/后任意选择感兴趣区域。（提供软件截图电子版且加盖国内总代理商或生产商公章，否则视为不响应。）</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3.光曲线测量：光梯度个数不少于20个，可随意设置光曲线步数，可测量滞后光曲线。</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4.时钟重复：间隔可以在5秒和3600秒内设置，重复指令：SAT.Pulse、AL、AL+Y和Ft。</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▲5.脚本定制：模块化脚本语言，可以完成一些非标准化的自定义实验流程，如光周期震荡实验。（提供软件截图电子版，且加盖国内总代理商或生产商公章，否则视为不响应。）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6.异质性分析：对任意参数任意时间的成像任意选取两点，软件自动进行横向异质性分析，并导出EXCEL文件。</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7.成像数据范围分析功能：对任意参数任意时间的成像中任意两个荧光数值之间像素数量及面积（cm2）。</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配置清单： 1.主机1台（1.1设计：铝合金外壳，内置14.8 V/5.2 Ah锂电池，带连接大探头，小探头，GFP探头等不同版本的探头和配件的接口。1.2 尺寸：≤25 cm x 10.5 cm x 11 cm (L x W x H)。 1.3 重量：≤2.1kg。） 2.稳压单元1个（2.1输入：90 to 264 V AC, 50/60 Hz。 2.2 输出：43 to 57 V, 5.2 A。 2.3 尺寸：≤226 mm x 110 mm x 58 mm (L x W x H)。 2.4重量：≤1.75kg） 3.测量室（带可调节光源板）1个 （3.1光源：测量光光源44个650 nm红色LED，测量光强度0.5 μmol m-2 s-1PAR；光化光光源1-20级可调，最大光化光强度1900 μmol m-2 s-1PAR；饱和脉冲光源1-10级可调，持续时间240-840ms可调，最大强度3700 μmol m-2 s-1PAR；吸光系数测量光源16个红光（660 nm）和16个近红外（780 nm）LED，测量样品PAR吸光系数。 3.2尺寸：≤ 23.5 cm x 24.5 cm x 22.5 cm (L x W x H) 3.3重量：≤3.1kg） 4.CCD成像单元1个（4.1传感器：CMOS相机。 4.2尺寸： 2/3英寸。 4.3最大像素：1932x1040像素。） 5.成像分析软件1套（5.1适用：windows7、windows10、windows11等版本； 5.2 软件功能：具备参数设置、仪器校准、数据及图像实时查看、数据及图像到处功能。 5.3更新：永久免费更新。） 6.叶片托盘1个6.1尺寸：≤ 18.8 cm x 17.8 cm x 20.4 cm (L x W x H)。 6.2重量：≤455g。 6.3材质：正面泡沫板，背面铝板。 7.荧光校准1个（1.荧光校准：恢复出厂设置后，荧光校准值为0.01。） 8.运输箱1个（8.1材质：带泡沫内衬的铝质箱体。 8.2尺寸：≤ 60 cm x 40 cm x 35 cm (L x W x H)。 8.3重量：≤5kg。 8.4防护等级：IP54）</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▲四、为保证供货渠道的合法性及可靠性，须提供生产商或国内总代理出具针对本项目盖章的服务承诺函。</w:t>
            </w:r>
          </w:p>
        </w:tc>
      </w:tr>
    </w:tbl>
    <w:p>
      <w:pPr>
        <w:pStyle w:val="null3"/>
        <w:jc w:val="left"/>
      </w:pPr>
      <w:r>
        <w:rPr>
          <w:rFonts w:ascii="仿宋_GB2312" w:hAnsi="仿宋_GB2312" w:cs="仿宋_GB2312" w:eastAsia="仿宋_GB2312"/>
        </w:rPr>
        <w:t>标的名称：高通量全自动间断化学分析仪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一、仪器用途</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1.用于海水、地表水、饮用水及土壤中的氨氮、硝酸盐、亚硝酸盐、磷酸盐等参数的全自动分析检测；</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2.检测多个参数只需软件设定，方法间自动转换，无需更换模块，分析速度≥100样/小时。</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二、高精度微量移液器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1.样品量：1.0 -900 μl；试剂量：1.0 -450 μl；</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2.实现自动制作标准曲线，在比色皿中实现标准点的自动配制；</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三、样品盘及试剂盘</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▲1.样品位数量：≥110个；试剂位数量：≥48个；试剂瓶规格：50 ml及20 ml。(投标时必须提供加盖生产商公章的技术白皮书或彩页证明电子版，证明文件需有样品盘和试剂盘照片，否则视为不响应。)</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2.实现真实的试剂空白，试剂空白模式为：空白水溶液+试剂；</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四、比色皿盘</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1.第二代直读式技术，无流通池，可容纳≥64个比色皿，比色皿为1cm光程，材质必须为石英材质。</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2.比色皿可多次重复使用，比色盘需配有不少于6个比色皿防震垫。</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3.反应温度：室温-49.6℃，恒温精确至+/- 0.1ºC。</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五.高智清洗站</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采用串联双泵废液抽取系统，每个比色皿需执行至少七次清洗，清洗针数量不少于11根。(投标时必须提供加盖生产商公章的技术白皮书或彩页证明电子版，证明文件需有清洗工作站照片并标注各清洗步骤及清洗针，否则视为不响应。）</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2.配备有液位过滤系统，滤空孔径不大于4微米，防止清洗液等液体的颗粒对分析的影响。</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▲3.废液满后自动报警，含5L和20L清洗传感装置、25升废液传感及收集装置。（投标时必须提供加盖生产商公章的技术白皮书或彩页证明电子版，证明文件需有废液满后软件报警截图，否则视为不响应）</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六.检测器</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1.24位高精度数字检测器；线性范围：0-3.5Abs，充分扩充仪器线性范围；</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2.滤光轮：标配9个测量滤光片（420nm、480nm、510nm、520nm、550nm、630nm、660nm、700nm、880nm），1个参比滤光片；</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3.主机与电脑实现USB直连，为保证数据传输的稳定性，不可使用额外转接头，需提供主机及电脑的端口照片；</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七.稀释器</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1.稀释器最大稀释倍数为100倍，稀释脉冲精确至0.1μl，稀释器体积为1ml；</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2.稀释模式：前稀释、超出正常范围的后稀释、超出线性范围的后稀释、超出方法限值的后稀释。</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配置清单： 1.高精移液器1套：体积不小于1ml，取样精度不低于0.1μl； 2.样品盘和试剂盘1套：样品位≥110个，试剂位≥48个； 3.比色皿盘1套：比色皿数量≥64个； 4.高智清洗站1套：清洗步骤≥7步骤； 5.检测器1套：≥24位高精度数字检测器； 6.稀释器1套：稀释倍数≥100倍； 7.分析软件1套：具备用英文双语操作系统； 8.镉柱分析模块1套：自动清洗、自动再生。</w:t>
            </w:r>
          </w:p>
        </w:tc>
      </w:tr>
      <w:tr>
        <w:tc>
          <w:tcPr>
            <w:tcW w:type="dxa" w:w="2769"/>
          </w:tcPr>
          <w:p>
            <w:pPr>
              <w:pStyle w:val="null3"/>
              <w:jc w:val="left"/>
            </w:pPr>
            <w:r>
              <w:rPr>
                <w:rFonts w:ascii="仿宋_GB2312" w:hAnsi="仿宋_GB2312" w:cs="仿宋_GB2312" w:eastAsia="仿宋_GB2312"/>
              </w:rPr>
              <w:t>26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▲八、为保证供货渠道的合法性及可靠性，须提供生产商或国内总代理出具针对本项目盖章的服务承诺函。</w:t>
            </w:r>
          </w:p>
        </w:tc>
      </w:tr>
    </w:tbl>
    <w:p>
      <w:pPr>
        <w:pStyle w:val="null3"/>
        <w:jc w:val="left"/>
      </w:pPr>
      <w:r>
        <w:rPr>
          <w:rFonts w:ascii="仿宋_GB2312" w:hAnsi="仿宋_GB2312" w:cs="仿宋_GB2312" w:eastAsia="仿宋_GB2312"/>
        </w:rPr>
        <w:t>采购包18：</w:t>
      </w:r>
    </w:p>
    <w:p>
      <w:pPr>
        <w:pStyle w:val="null3"/>
        <w:jc w:val="left"/>
      </w:pPr>
      <w:r>
        <w:rPr>
          <w:rFonts w:ascii="仿宋_GB2312" w:hAnsi="仿宋_GB2312" w:cs="仿宋_GB2312" w:eastAsia="仿宋_GB2312"/>
        </w:rPr>
        <w:t>标的名称：万能材料电子试验机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 双立柱台式机架，最大载荷≥5kN；试验力精度≤±0.25%，测量范围 0.2%～100%FS（投标时需提供产品彩页或产品规格书电子版）。</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 测试速度 0.001～1000mm/min，精度≤±0.5%；位移分解度≤0.05 μm。（投标时需提供产品彩页或产品规格书电子版）。</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 兼容 ASTM、GB/T、ISO 等标准，支持自定义组合≥500 种测试方法如：拉伸、压缩、弯曲、持压等，可扩展弹性、滞后损失等功能（投标时需提供软件界面截图电子版）。</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 具备硬件限位+软件限位双重保护功能，防止夹具与传感器碰撞；可设置碰撞敏感度，实现二次防护；具备高速碰撞保护功能，横梁速度≤600mm/min 时发生碰撞，系统可自动制动，经 40 次以上刚性碰撞验证（投标时需提供厂家出具的参数确认函电子版）。</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 配置虚拟仿真培训软件，通过三维建模模拟试验环境，支持交互式操作培训与危险预警（投标时需提供相关产品演示佐证材料，按系统支持的文件类型上传所需资料即可，可附图片、文字等相关说明材料。不提供视为不响应，内容包括：仪器模型演示、仪器实验操作演示、仪器模拟培训演示、仪器原理介绍演示）。</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 荷重分解度 1/200000～1/300000，变形测量范围：0.2%～100%FS，</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变形示值误差≤±0.5%，保障微小变化精准捕捉。</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 支持主流品牌传感器自动识别与标定，兼容性强，提升设备适配性与操作便捷性。</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 系统核心处理器采样速率≥10kHz，控制软件数据采集频率≥1000Hz，确保数据实时性。</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 可自定义断裂敏感度阈值，侦测任意非特征点数据，满足个性化分析与特殊材料测试需求。</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 支持管理员与多用户权限划分，实现操作隔离与设备管理，保障数据安全与规范操作。</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 支持通过 ACCESS 数据库和 MES 系统数据库对接， 以 ACCESS 数据库文件作为中间表，MES 软件进行数据的识别和读取；</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 软件自动读取标准测试数据，支持原始数据导出与测试过程回放，</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便于复现与深入分析。</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13. 软件开放，支持自定义测试方法与报告模板，提供基础功能免费升级服务，降低维护成本。</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14. 测试界面实时显示原始数据，无需第三方软件，支持时长无限制设置与图形自动变换展示。</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15. 测试曲线支持局部无限放大，刻度会随着放大倍数同时变化，可调取任意点数据，便于精确分析与对比多条曲线。</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16. 支持中、英等多语一键切换，具备数理统计分析功能，满足多语言环境与数据分析需求。</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17. 支持网络或本地安装包升级； 内置超负荷自动侦测功能，操作时负荷范围自动转换，测试完成自动定位显示。</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18. 设备具备多级数据校正功能，支持最多 35 点力量校正，确保全量程数据准确性，提升测试结果的可靠性。</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19. 配置：万能材料电子试验机主机 1 台，软件/虚拟仿真软件、力量传感器（5kn）、全自动大变形引伸计各 1 套。</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20. 配件：弹性体拉伸，90 度、180 度剥离，塑料拉伸，三点抗弯，压缩，薄膜拉伸，薄膜穿刺等夹具各 1 套；专用底座 1 套。</w:t>
            </w:r>
          </w:p>
        </w:tc>
      </w:tr>
    </w:tbl>
    <w:p>
      <w:pPr>
        <w:pStyle w:val="null3"/>
        <w:jc w:val="left"/>
      </w:pPr>
      <w:r>
        <w:rPr>
          <w:rFonts w:ascii="仿宋_GB2312" w:hAnsi="仿宋_GB2312" w:cs="仿宋_GB2312" w:eastAsia="仿宋_GB2312"/>
        </w:rPr>
        <w:t>标的名称：钠离子电池制备小试生产线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▲1.多工位惰性气氛保护系统 包含 2 种泄漏率检测以及自动监控功能（提供彩页或设备操作界面佐证电子版）；玻璃视窗采用实芯 O 型密封圈（真空密封方式）法兰视窗结构，达到无泄漏，实芯 O 型圈直径不超过8mm。</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▲2.多工位惰性气氛保护系统，集成烘箱，预留对接集成整套钠电制备</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小试线相应设备（投标时提供设计图纸电子版）。</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3.半自动称量系统 全自动内校；最大称量：220g；精度：0.1mg；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4.除静电装置：采用离子发烧纯铜针架，可快速中和物品表面静电</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5.手动冲片系统 冲切尺寸：选配Ф5mm~ Ф24mm；可冲材料：0.005-0.5mm 厚电池材料片； 冲切压力： ≥100Kg；冲切行程： ≥25mm</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▲6.电动压合组装系统 采用进口模具材质，具有防止电池封口短路功能；结构件材质：高强度的铬钢，表面经过环保电镀和喷涂处理永不生锈；电池适用范围：20、24系列纽扣电池；设备速度：60 颗/小时；（投标时提供官方彩页电子版）</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 电动压合组装系统组装方式：反装； 上料方式：人工装盘，机器自动取料； 自动取料，注液，封口； 注液泵：高精度注射泵精度±1%，注液量可设定；</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8.钠片辊压系统 辊子直径： Φ96mm；辊子圆柱度≤±2um；辊子硬度：HRC62；辊子光洁 度：0.4 以上；轧制厚度：0～3mm 间隙可调节；压片厚度数字表显示， 数字显示速度和调节，精确直观；操作方式： 电动；</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9.扣电缺陷检测及恒温控制系统 箱体标配 5 层电池测试架，每层 32 个通道测试点，可放置 160 颗电池； 测试容积（内） 266L；控温参数：温度范围 0℃~+60℃ ;</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▲10.扣电缺陷检测及恒温控制系统使用工业RS485， 以太网接口通信。 多单元通道：通道之间完全独立（独立编程）；电压精度：-0.05%FS（控 制及检测） 电流精度： -0.05%FS（控制及检测）；编程步数： ≥1100 步（投标时提供官方彩页电子版）</w:t>
            </w:r>
          </w:p>
        </w:tc>
      </w:tr>
    </w:tbl>
    <w:p>
      <w:pPr>
        <w:pStyle w:val="null3"/>
        <w:jc w:val="left"/>
      </w:pPr>
      <w:r>
        <w:rPr>
          <w:rFonts w:ascii="仿宋_GB2312" w:hAnsi="仿宋_GB2312" w:cs="仿宋_GB2312" w:eastAsia="仿宋_GB2312"/>
        </w:rPr>
        <w:t>采购包19：</w:t>
      </w:r>
    </w:p>
    <w:p>
      <w:pPr>
        <w:pStyle w:val="null3"/>
        <w:jc w:val="left"/>
      </w:pPr>
      <w:r>
        <w:rPr>
          <w:rFonts w:ascii="仿宋_GB2312" w:hAnsi="仿宋_GB2312" w:cs="仿宋_GB2312" w:eastAsia="仿宋_GB2312"/>
        </w:rPr>
        <w:t>标的名称：台式X射线衍射仪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一、基本配置 1.X 射线衍射仪主机：1 台 2.X 射线光管：1 根 3.高压发生器：1 台 4.狭缝系统：1 套 5.测角仪：1 套 6.二维半导体像素探测器：1 个 7.控制软件：1 套 8.数据分析软件：1 套 9.样品台：1 个 10．设备控制系统：1 套 11.冷却循环水系统：1 套</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二、技术参数</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 X 射线发生器：</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▲（1）最大输出功率： ≥600W；（投标时提供官方彩页电子版）</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（2）长寿命 X 光管，靶材为 Cu；焦斑尺寸：≥0.4 x 8 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（3）管电压 10～40 kV/1kV， 电压可变（稳定度±0.05%，外电压±10%时）；管电流 2～15 mA/1mA， 电流可变（稳定度±0.05%，外电压±10%时）；</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（4）旋转快门，双重连锁保护；</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2.测角仪：</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▲（1）测角仪类型： θ- θ联动、垂直测角仪，样品水平放置；（投标时提供官方彩页电子版）</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（2）角度重现性： ≤±0.0001 ° ；最大扫描速度： ≥500 °/min；</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（3）测角仪半径： ≥160mm；</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（4）步进马达驱动，双光学编码器独立定位两个运动臂；扫描范围：不低于-5 度～160 度；</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3.光学狭缝系统：入射狭缝（DS）、防止散射狭缝（SS）、接收狭缝（RS）、索拉狭缝各一套； 自动可调防散射阻光片一套</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4.样品台部分：</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（1）标准样品板材质：铝质或石英；</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5.高速阵列探测器：</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▲（1）类型：2 维 SSD 半导体像素探测器；（投标时提供官方彩页电子版）</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▲（2）空间像素尺寸≤55μm*55μm；（投标时提供官方彩页电子版）</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▲（3）探测器：活性面积≥196mm2，探测器具备能量分辨率，可消除荧光背底。通道数量大于 65000 个；（投标时提供官方彩页电子版）</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（4）提高测试强度和测试速度：100 倍以上；探测器最大动态范围： ≥ 10^10cps；背景：&lt;0.1cps；</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6.验收参数：NIST 标样在 20~140 ° 范围全谱角度准确性优于±0.01 ° ；起测角度： ≤ 0.3 °(2 θ ) , 适用于介孔材料的低角度衍射分析。</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7.水冷系统：连续工作 24 h 以上；控温精度：优于±1 °C；流量：不低于 85L/min@12Bar；温度：5-35 ° ；冷却介质：去离子水；</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8.软件：</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（1）控制软件含系统环境设定、角度校正、测试及设备控制，支持数据采集处理、分峰拟合、 自动物相鉴定与报告打印；</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（2）分析软件可在线测试及分析同时进行，包括定性分析、晶粒大小、晶胞参数、结晶化度测量、定量分析功能等功能；</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（3）数据文件的保存和读入，制作分析报告；配置标准 COD 数据库，免费更新；</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9.控制系统：外置数据管理系统支持输入输出，不低于 4GB 内存、1TB硬盘、27 寸显示器及操作系统，可打印测试报告。</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4.时间：培训不少于2场，单次培训时间不少于4个小时，并提供操作视频。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其他要求</w:t>
            </w:r>
          </w:p>
          <w:p>
            <w:pPr>
              <w:pStyle w:val="null3"/>
              <w:ind w:firstLine="420"/>
              <w:jc w:val="left"/>
            </w:pPr>
            <w:r>
              <w:rPr>
                <w:rFonts w:ascii="仿宋_GB2312" w:hAnsi="仿宋_GB2312" w:cs="仿宋_GB2312" w:eastAsia="仿宋_GB2312"/>
                <w:sz w:val="21"/>
              </w:rPr>
              <w:t>投标人需一并完成为实现仪器设备正常、安全、规范运行所必需的实验室配套基础设施建设，包括但不限于：</w:t>
            </w:r>
            <w:r>
              <w:rPr>
                <w:rFonts w:ascii="仿宋_GB2312" w:hAnsi="仿宋_GB2312" w:cs="仿宋_GB2312" w:eastAsia="仿宋_GB2312"/>
                <w:sz w:val="21"/>
              </w:rPr>
              <w:t>实验仪器承托载体</w:t>
            </w:r>
            <w:r>
              <w:rPr>
                <w:rFonts w:ascii="仿宋_GB2312" w:hAnsi="仿宋_GB2312" w:cs="仿宋_GB2312" w:eastAsia="仿宋_GB2312"/>
                <w:sz w:val="21"/>
              </w:rPr>
              <w:t>、强弱电线路改造（含接地、过载保护、网线布线等）等必要的实验室环境建设。所有上述内容均属本次招标范围，投标人应整体报价，确保实验室达到</w:t>
            </w:r>
            <w:r>
              <w:rPr>
                <w:rFonts w:ascii="仿宋_GB2312" w:hAnsi="仿宋_GB2312" w:cs="仿宋_GB2312" w:eastAsia="仿宋_GB2312"/>
                <w:sz w:val="21"/>
              </w:rPr>
              <w:t>“设备到位、环境合规、可立即使用”的状态。</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其他要求</w:t>
            </w:r>
          </w:p>
          <w:p>
            <w:pPr>
              <w:pStyle w:val="null3"/>
              <w:ind w:firstLine="420"/>
              <w:jc w:val="left"/>
            </w:pPr>
            <w:r>
              <w:rPr>
                <w:rFonts w:ascii="仿宋_GB2312" w:hAnsi="仿宋_GB2312" w:cs="仿宋_GB2312" w:eastAsia="仿宋_GB2312"/>
                <w:sz w:val="21"/>
              </w:rPr>
              <w:t>投标人需一并完成为实现仪器设备正常、安全、规范运行所必需的实验室配套基础设施建设，包括但不限于：</w:t>
            </w:r>
            <w:r>
              <w:rPr>
                <w:rFonts w:ascii="仿宋_GB2312" w:hAnsi="仿宋_GB2312" w:cs="仿宋_GB2312" w:eastAsia="仿宋_GB2312"/>
                <w:sz w:val="21"/>
              </w:rPr>
              <w:t>实验仪器承托载体</w:t>
            </w:r>
            <w:r>
              <w:rPr>
                <w:rFonts w:ascii="仿宋_GB2312" w:hAnsi="仿宋_GB2312" w:cs="仿宋_GB2312" w:eastAsia="仿宋_GB2312"/>
                <w:sz w:val="21"/>
              </w:rPr>
              <w:t>、强弱电线路改造（含接地、过载保护、网线布线等）等必要的实验室环境建设。所有上述内容均属本次招标范围，投标人应整体报价，确保实验室达到</w:t>
            </w:r>
            <w:r>
              <w:rPr>
                <w:rFonts w:ascii="仿宋_GB2312" w:hAnsi="仿宋_GB2312" w:cs="仿宋_GB2312" w:eastAsia="仿宋_GB2312"/>
                <w:sz w:val="21"/>
              </w:rPr>
              <w:t>“设备到位、环境合规、可立即使用”的状态。</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4.时间：培训时间不少于2场，单次培训时间不少于4个小时并提供操作视频。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（一）售后服务：除采购清单中有特殊要求的外，质保期内，凡因正常使用出现质量问题，投标人应提供免费维修或咨询等服务，承担因此产生的一切费用。投标人在接到买方故障通知后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4.时间：培训时间不少于2场，单次培训时间不少于4个小时并提供操作视频。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1.交货时间（履约时间/交付期）：合同签订后90天内交货且安装调试完毕交付使用。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一、服务标准</w:t>
            </w:r>
          </w:p>
          <w:p>
            <w:pPr>
              <w:pStyle w:val="null3"/>
              <w:jc w:val="left"/>
            </w:pPr>
            <w:r>
              <w:rPr>
                <w:rFonts w:ascii="仿宋_GB2312" w:hAnsi="仿宋_GB2312" w:cs="仿宋_GB2312" w:eastAsia="仿宋_GB2312"/>
                <w:sz w:val="21"/>
              </w:rPr>
              <w:t>（一）售后服务：除采购清单里有特殊要求的外，质保期内，凡因正常使用出现质量问题，投标人应提供免费维修或咨询等服务，承担因此产生的一切费用。投标人在接到买方故障通知后</w:t>
            </w:r>
            <w:r>
              <w:rPr>
                <w:rFonts w:ascii="仿宋_GB2312" w:hAnsi="仿宋_GB2312" w:cs="仿宋_GB2312" w:eastAsia="仿宋_GB2312"/>
                <w:sz w:val="21"/>
              </w:rPr>
              <w:t>3小时内响应，48小时内到达用户现场，修理相关货物或解决相关问题，质保期结束后，投标人仍应负责对货物提供终身维修服务或对服务提供咨询服务，只收取配件成本或服务成本。</w:t>
            </w:r>
          </w:p>
          <w:p>
            <w:pPr>
              <w:pStyle w:val="null3"/>
              <w:jc w:val="left"/>
            </w:pPr>
            <w:r>
              <w:rPr>
                <w:rFonts w:ascii="仿宋_GB2312" w:hAnsi="仿宋_GB2312" w:cs="仿宋_GB2312" w:eastAsia="仿宋_GB2312"/>
                <w:sz w:val="21"/>
              </w:rPr>
              <w:t>（二）培训服务：</w:t>
            </w:r>
          </w:p>
          <w:p>
            <w:pPr>
              <w:pStyle w:val="null3"/>
              <w:jc w:val="left"/>
            </w:pPr>
            <w:r>
              <w:rPr>
                <w:rFonts w:ascii="仿宋_GB2312" w:hAnsi="仿宋_GB2312" w:cs="仿宋_GB2312" w:eastAsia="仿宋_GB2312"/>
                <w:sz w:val="21"/>
              </w:rPr>
              <w:t>1.投标人应在采购人规定的时间内将全部产品安装、调试完毕，提供给采购人正常使用，并免费提供使用说明书及有关产品使用和管理的培训。</w:t>
            </w:r>
          </w:p>
          <w:p>
            <w:pPr>
              <w:pStyle w:val="null3"/>
              <w:jc w:val="left"/>
            </w:pPr>
            <w:r>
              <w:rPr>
                <w:rFonts w:ascii="仿宋_GB2312" w:hAnsi="仿宋_GB2312" w:cs="仿宋_GB2312" w:eastAsia="仿宋_GB2312"/>
                <w:sz w:val="21"/>
              </w:rPr>
              <w:t>2.免费提供培训材料及所培训内容。</w:t>
            </w:r>
          </w:p>
          <w:p>
            <w:pPr>
              <w:pStyle w:val="null3"/>
              <w:jc w:val="left"/>
            </w:pPr>
            <w:r>
              <w:rPr>
                <w:rFonts w:ascii="仿宋_GB2312" w:hAnsi="仿宋_GB2312" w:cs="仿宋_GB2312" w:eastAsia="仿宋_GB2312"/>
                <w:sz w:val="21"/>
              </w:rPr>
              <w:t>3.培训地点：采购人指定地点。</w:t>
            </w:r>
          </w:p>
          <w:p>
            <w:pPr>
              <w:pStyle w:val="null3"/>
              <w:jc w:val="left"/>
            </w:pPr>
            <w:r>
              <w:rPr>
                <w:rFonts w:ascii="仿宋_GB2312" w:hAnsi="仿宋_GB2312" w:cs="仿宋_GB2312" w:eastAsia="仿宋_GB2312"/>
                <w:sz w:val="21"/>
              </w:rPr>
              <w:t>4.时间：培训时间不少于2场，并提供操作视频。</w:t>
            </w:r>
          </w:p>
          <w:p>
            <w:pPr>
              <w:pStyle w:val="null3"/>
              <w:jc w:val="left"/>
            </w:pPr>
            <w:r>
              <w:rPr>
                <w:rFonts w:ascii="仿宋_GB2312" w:hAnsi="仿宋_GB2312" w:cs="仿宋_GB2312" w:eastAsia="仿宋_GB2312"/>
                <w:sz w:val="21"/>
              </w:rPr>
              <w:t>5.内容：产品的基本原理、结构、基本操作及维护知识，并指导用户进行操作，直到用户方使用人员可独立进行操作为止。</w:t>
            </w:r>
          </w:p>
          <w:p>
            <w:pPr>
              <w:pStyle w:val="null3"/>
              <w:jc w:val="left"/>
            </w:pPr>
            <w:r>
              <w:rPr>
                <w:rFonts w:ascii="仿宋_GB2312" w:hAnsi="仿宋_GB2312" w:cs="仿宋_GB2312" w:eastAsia="仿宋_GB2312"/>
                <w:sz w:val="21"/>
              </w:rPr>
              <w:t>二、交货时间、交货地点及方式（履约时间</w:t>
            </w:r>
            <w:r>
              <w:rPr>
                <w:rFonts w:ascii="仿宋_GB2312" w:hAnsi="仿宋_GB2312" w:cs="仿宋_GB2312" w:eastAsia="仿宋_GB2312"/>
                <w:sz w:val="21"/>
              </w:rPr>
              <w:t>/交付期、履约地点、履约方式）</w:t>
            </w:r>
          </w:p>
          <w:p>
            <w:pPr>
              <w:pStyle w:val="null3"/>
              <w:jc w:val="left"/>
            </w:pPr>
            <w:r>
              <w:rPr>
                <w:rFonts w:ascii="仿宋_GB2312" w:hAnsi="仿宋_GB2312" w:cs="仿宋_GB2312" w:eastAsia="仿宋_GB2312"/>
                <w:sz w:val="21"/>
              </w:rPr>
              <w:t>1.交货时间（履约时间/交付期）：合同签订后120天内交货且安装调试完毕交付使用。</w:t>
            </w:r>
          </w:p>
          <w:p>
            <w:pPr>
              <w:pStyle w:val="null3"/>
              <w:jc w:val="left"/>
            </w:pPr>
            <w:r>
              <w:rPr>
                <w:rFonts w:ascii="仿宋_GB2312" w:hAnsi="仿宋_GB2312" w:cs="仿宋_GB2312" w:eastAsia="仿宋_GB2312"/>
                <w:sz w:val="21"/>
              </w:rPr>
              <w:t>2.交货地点（履约地点）：采购人（用户）指定地点</w:t>
            </w:r>
          </w:p>
          <w:p>
            <w:pPr>
              <w:pStyle w:val="null3"/>
              <w:jc w:val="left"/>
            </w:pPr>
            <w:r>
              <w:rPr>
                <w:rFonts w:ascii="仿宋_GB2312" w:hAnsi="仿宋_GB2312" w:cs="仿宋_GB2312" w:eastAsia="仿宋_GB2312"/>
                <w:sz w:val="21"/>
              </w:rPr>
              <w:t>3.交货方式（履约方式）：由中标人运输至采购人指定地点施工及安装，且验收完毕。</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rPr>
        <w:t>本项目采购包</w:t>
      </w:r>
      <w:r>
        <w:rPr>
          <w:rFonts w:ascii="仿宋_GB2312" w:hAnsi="仿宋_GB2312" w:cs="仿宋_GB2312" w:eastAsia="仿宋_GB2312"/>
          <w:sz w:val="21"/>
        </w:rPr>
        <w:t>1、采购包2、采购包3、采购包5、采购包7、采购包8、采购包10、采购包12、采购包13、采购包14、采购包16、采购包18付款方式为：</w:t>
      </w:r>
    </w:p>
    <w:p>
      <w:pPr>
        <w:pStyle w:val="null3"/>
        <w:ind w:firstLine="420"/>
        <w:jc w:val="left"/>
      </w:pPr>
      <w:r>
        <w:rPr>
          <w:rFonts w:ascii="仿宋_GB2312" w:hAnsi="仿宋_GB2312" w:cs="仿宋_GB2312" w:eastAsia="仿宋_GB2312"/>
          <w:sz w:val="21"/>
        </w:rPr>
        <w:t>1.本合同生效后，乙方向甲方提供有效期至少涵盖本合同指定到货时间点后60日的预付款等额银行保函或者保险保函，并在甲方收到本合同采购项目财政资金后，甲方在满足支付条件并取得乙方提供的合法有效的发票后按相关规定向乙方支付合同总金额的  70  %的货款，即人民币¥          元；</w:t>
      </w:r>
    </w:p>
    <w:p>
      <w:pPr>
        <w:pStyle w:val="null3"/>
        <w:ind w:firstLine="420"/>
        <w:jc w:val="left"/>
      </w:pPr>
      <w:r>
        <w:rPr>
          <w:rFonts w:ascii="仿宋_GB2312" w:hAnsi="仿宋_GB2312" w:cs="仿宋_GB2312" w:eastAsia="仿宋_GB2312"/>
          <w:sz w:val="21"/>
        </w:rPr>
        <w:t>2.甲方收到本合同约定的所有货物并验收合格，甲方收到本合同采购项目财政资金后，甲方在满足支付条件并取得乙方提供的合法有效的发票后按相关规定向乙方支付合同总金额的  30  %的货款，即人民币¥          元；</w:t>
      </w:r>
    </w:p>
    <w:p>
      <w:pPr>
        <w:pStyle w:val="null3"/>
        <w:ind w:firstLine="420"/>
        <w:jc w:val="left"/>
      </w:pPr>
      <w:r>
        <w:rPr>
          <w:rFonts w:ascii="仿宋_GB2312" w:hAnsi="仿宋_GB2312" w:cs="仿宋_GB2312" w:eastAsia="仿宋_GB2312"/>
          <w:sz w:val="21"/>
        </w:rPr>
        <w:t>3.乙方可自主选择发票提供方式，可以一次性提供合同总金额100%的增值税发票或对应支付比例分两次提供合同总金额共计100%增值税发票，但均应在甲方付款前至少10个工作日向甲方提供发票，否则，甲方的付款期限顺延，且不视为甲方违约，由此产生的责任由乙方承担且乙方不得以甲方未付款为由而拒绝履行其合同义务。</w:t>
      </w:r>
    </w:p>
    <w:p>
      <w:pPr>
        <w:pStyle w:val="null3"/>
        <w:ind w:firstLine="420"/>
        <w:jc w:val="left"/>
      </w:pPr>
      <w:r>
        <w:rPr>
          <w:rFonts w:ascii="仿宋_GB2312" w:hAnsi="仿宋_GB2312" w:cs="仿宋_GB2312" w:eastAsia="仿宋_GB2312"/>
          <w:sz w:val="21"/>
        </w:rPr>
        <w:t>4.各款项均应在甲方收到本合同采购项目财政资金，满足支付条件后按相关规定支付。</w:t>
      </w:r>
    </w:p>
    <w:p>
      <w:pPr>
        <w:pStyle w:val="null3"/>
        <w:ind w:firstLine="422"/>
        <w:jc w:val="left"/>
      </w:pPr>
      <w:r>
        <w:rPr>
          <w:rFonts w:ascii="仿宋_GB2312" w:hAnsi="仿宋_GB2312" w:cs="仿宋_GB2312" w:eastAsia="仿宋_GB2312"/>
          <w:sz w:val="21"/>
          <w:b/>
        </w:rPr>
        <w:t>二、</w:t>
      </w:r>
      <w:r>
        <w:rPr>
          <w:rFonts w:ascii="仿宋_GB2312" w:hAnsi="仿宋_GB2312" w:cs="仿宋_GB2312" w:eastAsia="仿宋_GB2312"/>
          <w:sz w:val="21"/>
        </w:rPr>
        <w:t>本项目采购包</w:t>
      </w:r>
      <w:r>
        <w:rPr>
          <w:rFonts w:ascii="仿宋_GB2312" w:hAnsi="仿宋_GB2312" w:cs="仿宋_GB2312" w:eastAsia="仿宋_GB2312"/>
          <w:sz w:val="21"/>
        </w:rPr>
        <w:t>4、采购包6、采购包9、采购包11、采购包15、采购包17、采购包19付款方式为：</w:t>
      </w:r>
    </w:p>
    <w:p>
      <w:pPr>
        <w:pStyle w:val="null3"/>
        <w:ind w:firstLine="420"/>
        <w:jc w:val="left"/>
      </w:pPr>
      <w:r>
        <w:rPr>
          <w:rFonts w:ascii="仿宋_GB2312" w:hAnsi="仿宋_GB2312" w:cs="仿宋_GB2312" w:eastAsia="仿宋_GB2312"/>
          <w:sz w:val="21"/>
        </w:rPr>
        <w:t>进口产品：</w:t>
      </w:r>
    </w:p>
    <w:p>
      <w:pPr>
        <w:pStyle w:val="null3"/>
        <w:ind w:firstLine="420"/>
        <w:jc w:val="left"/>
      </w:pPr>
      <w:r>
        <w:rPr>
          <w:rFonts w:ascii="仿宋_GB2312" w:hAnsi="仿宋_GB2312" w:cs="仿宋_GB2312" w:eastAsia="仿宋_GB2312"/>
          <w:sz w:val="21"/>
        </w:rPr>
        <w:t>1.乙方同意在丙方免税申报表办理完成后，凭乙方开具的收款收据，甲方于收到本合同采购项目财政资金后按相关规定将合同总金额70%的预付款（人民币     ）支付给丙方，丙方收到预付款后，向乙方指定的境外公司（外贸合同卖方）开具同比例的即期信用证，由外贸合同卖方发货后向银行提交单据进行议付，或通过对外电汇方式支付预付款。货物验收合格后，丙方向甲方开具合法有效发票且经乙方鉴证合格的，甲方于收到本合同采购项目财政资金后按相关规定将剩余的价款支付给丙方，丙方以收到尾款为指令，按照对外合同的约定及时对外电汇支付剩余价款。</w:t>
      </w:r>
    </w:p>
    <w:p>
      <w:pPr>
        <w:pStyle w:val="null3"/>
        <w:ind w:firstLine="420"/>
        <w:jc w:val="left"/>
      </w:pPr>
      <w:r>
        <w:rPr>
          <w:rFonts w:ascii="仿宋_GB2312" w:hAnsi="仿宋_GB2312" w:cs="仿宋_GB2312" w:eastAsia="仿宋_GB2312"/>
          <w:sz w:val="21"/>
        </w:rPr>
        <w:t>2.丙方向乙方指定的境外公司（外贸合同卖方）付款，外贸合同买方向外贸合同卖方付款即视同本合同甲方向乙方付款。</w:t>
      </w:r>
    </w:p>
    <w:p>
      <w:pPr>
        <w:pStyle w:val="null3"/>
        <w:ind w:firstLine="420"/>
        <w:jc w:val="left"/>
      </w:pPr>
      <w:r>
        <w:rPr>
          <w:rFonts w:ascii="仿宋_GB2312" w:hAnsi="仿宋_GB2312" w:cs="仿宋_GB2312" w:eastAsia="仿宋_GB2312"/>
          <w:sz w:val="21"/>
        </w:rPr>
        <w:t>3.预付款支付：甲方在同时满足收到丙方提供有效期至少涵盖本合同指定到货时间点后60日的预付款等额银行保函或者保险保函、丙方免税申报表办理完成、乙方开具的合法有效收款收据，且收到本合同采购项目财政资金的条件下，于前述全部条件满足后按相关规定支付预付款。</w:t>
      </w:r>
    </w:p>
    <w:p>
      <w:pPr>
        <w:pStyle w:val="null3"/>
        <w:ind w:firstLine="420"/>
        <w:jc w:val="left"/>
      </w:pPr>
      <w:r>
        <w:rPr>
          <w:rFonts w:ascii="仿宋_GB2312" w:hAnsi="仿宋_GB2312" w:cs="仿宋_GB2312" w:eastAsia="仿宋_GB2312"/>
          <w:sz w:val="21"/>
        </w:rPr>
        <w:t>4.尾款支付：甲方收到本合同约定的所有货物并验收合格，并甲方收到本合同采购项目的财政资金后，甲方在满足支付条件并取得丙方提供的合法有效的合同总金额100%的发票后按相关规定向丙方支付合同总金额的  30  %的货款，即人民币¥          元。</w:t>
      </w:r>
    </w:p>
    <w:p>
      <w:pPr>
        <w:pStyle w:val="null3"/>
        <w:ind w:firstLine="420"/>
        <w:jc w:val="left"/>
      </w:pPr>
      <w:r>
        <w:rPr>
          <w:rFonts w:ascii="仿宋_GB2312" w:hAnsi="仿宋_GB2312" w:cs="仿宋_GB2312" w:eastAsia="仿宋_GB2312"/>
          <w:sz w:val="21"/>
        </w:rPr>
        <w:t>5.丙方与乙方的费用结算自行协商，与甲方无涉。</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采购需求中明确要求提供相关证明材料的，投标人须按要求完整提交，未按规定提供的不得分。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其他相关承诺函 投标保证金缴纳证明材料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其他相关承诺函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其他相关承诺函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投标人提供的产品技术参数、规格及功能完全满足或优于招标文件技术指标要求得满分，标“▲”条款（36分）：带“▲”的重要技术指标共25项，符合技术要求得36分；每负偏离1项扣 1.44分，扣完为止，最低得0分。（采购需求中明确要求提供相关证明材料的，投标人须按要求完整提交，未按规定提供的不得分。）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非“▲”条款（24分）：非带“▲”的一般技术指标共 32 项，符合技术要求得24分，每负偏离1项扣0.75分，扣完为止，最低得0分。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4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投标人提供的产品技术参数、规格及功能完全满足或优于招标文件技术指标要求得满分，标“▲”条款（34分）：带“▲”的重要技术指标共17项，符合技术要求得34分；每负偏离1项扣 2分，扣完为止，最低得0分。（采购需求中明确要求提供相关证明材料的，投标人须按要求完整提交，未按规定提供的不得分。）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非“▲”条款（24.7分）：非带“▲”的一般技术指标共 19 项，符合技术要求得24.7分；每负偏离1项扣1.3分，扣完为止，最低得0分。</w:t>
            </w:r>
          </w:p>
        </w:tc>
        <w:tc>
          <w:tcPr>
            <w:tcW w:type="dxa" w:w="831"/>
          </w:tcPr>
          <w:p>
            <w:pPr>
              <w:pStyle w:val="null3"/>
              <w:jc w:val="right"/>
            </w:pPr>
            <w:r>
              <w:rPr>
                <w:rFonts w:ascii="仿宋_GB2312" w:hAnsi="仿宋_GB2312" w:cs="仿宋_GB2312" w:eastAsia="仿宋_GB2312"/>
              </w:rPr>
              <w:t>24.7000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投标人承诺中标后有固定的维护人员并有能力及时处理所有可能发生的故障(提供承诺函)得3.3分。</w:t>
            </w:r>
          </w:p>
        </w:tc>
        <w:tc>
          <w:tcPr>
            <w:tcW w:type="dxa" w:w="831"/>
          </w:tcPr>
          <w:p>
            <w:pPr>
              <w:pStyle w:val="null3"/>
              <w:jc w:val="right"/>
            </w:pPr>
            <w:r>
              <w:rPr>
                <w:rFonts w:ascii="仿宋_GB2312" w:hAnsi="仿宋_GB2312" w:cs="仿宋_GB2312" w:eastAsia="仿宋_GB2312"/>
              </w:rPr>
              <w:t>3.3000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4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投标人提供的产品技术参数、规格及功能完全满足或优于招标文件技术指标要求得满分，标“▲”条款（42分）：带“▲”的重要技术指标共 28项，符合技术要求得42分；每负偏离1项扣1.5分，扣完为止，最低得0分。（采购需求中明确要求提供相关证明材料的，投标人须按要求完整提交，未按规定提供的不得分。）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非“▲”条款（17.8分）：非带“▲”的一般技术指标共89项，符合技术要求得17.8分；每负偏离1项扣0.2分扣完为止，最低得0分。</w:t>
            </w:r>
          </w:p>
        </w:tc>
        <w:tc>
          <w:tcPr>
            <w:tcW w:type="dxa" w:w="831"/>
          </w:tcPr>
          <w:p>
            <w:pPr>
              <w:pStyle w:val="null3"/>
              <w:jc w:val="right"/>
            </w:pPr>
            <w:r>
              <w:rPr>
                <w:rFonts w:ascii="仿宋_GB2312" w:hAnsi="仿宋_GB2312" w:cs="仿宋_GB2312" w:eastAsia="仿宋_GB2312"/>
              </w:rPr>
              <w:t>17.8000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投标人承诺中标后有固定的维护人员并有能力及时处理所有可能发生的故障(提供承诺函)得2.2分。</w:t>
            </w:r>
          </w:p>
        </w:tc>
        <w:tc>
          <w:tcPr>
            <w:tcW w:type="dxa" w:w="831"/>
          </w:tcPr>
          <w:p>
            <w:pPr>
              <w:pStyle w:val="null3"/>
              <w:jc w:val="right"/>
            </w:pPr>
            <w:r>
              <w:rPr>
                <w:rFonts w:ascii="仿宋_GB2312" w:hAnsi="仿宋_GB2312" w:cs="仿宋_GB2312" w:eastAsia="仿宋_GB2312"/>
              </w:rPr>
              <w:t>2.2000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4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技术部分65.00分</w:t>
            </w:r>
          </w:p>
          <w:p>
            <w:pPr>
              <w:pStyle w:val="null3"/>
              <w:jc w:val="both"/>
            </w:pPr>
            <w:r>
              <w:rPr>
                <w:rFonts w:ascii="仿宋_GB2312" w:hAnsi="仿宋_GB2312" w:cs="仿宋_GB2312" w:eastAsia="仿宋_GB2312"/>
              </w:rPr>
              <w:t>商务部分5.00分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 “▲”重要技术指标）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6项，符合技术要求得36分；每负偏离1项扣6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投标人提供的产品技术参数、规格及功能完全满足或优于招标文件技术指标要求得满分，非“▲”条款（21分）：非带“▲”的一般技术指标共 14项，符合技术要求得21分；每负偏离1项扣1.5分扣完为止，最低得0分。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5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进口产品、设备的其他说明</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40分）：带“▲”的重要技术指标共25项，符合技术要求得40分；每负偏离1项扣1.6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非“▲”条款（19.95分）：非带“▲”的一般技术指标共 57项，符合技术要求得19.95分；每负偏离1项扣0.35分扣完为止，最低得0分。</w:t>
            </w:r>
          </w:p>
        </w:tc>
        <w:tc>
          <w:tcPr>
            <w:tcW w:type="dxa" w:w="831"/>
          </w:tcPr>
          <w:p>
            <w:pPr>
              <w:pStyle w:val="null3"/>
              <w:jc w:val="right"/>
            </w:pPr>
            <w:r>
              <w:rPr>
                <w:rFonts w:ascii="仿宋_GB2312" w:hAnsi="仿宋_GB2312" w:cs="仿宋_GB2312" w:eastAsia="仿宋_GB2312"/>
              </w:rPr>
              <w:t>19.9500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投标人承诺中标后有固定的维护人员并有能力及时处理所有可能发生的故障(提供承诺函)得3.05分。</w:t>
            </w:r>
          </w:p>
        </w:tc>
        <w:tc>
          <w:tcPr>
            <w:tcW w:type="dxa" w:w="831"/>
          </w:tcPr>
          <w:p>
            <w:pPr>
              <w:pStyle w:val="null3"/>
              <w:jc w:val="right"/>
            </w:pPr>
            <w:r>
              <w:rPr>
                <w:rFonts w:ascii="仿宋_GB2312" w:hAnsi="仿宋_GB2312" w:cs="仿宋_GB2312" w:eastAsia="仿宋_GB2312"/>
              </w:rPr>
              <w:t>3.0500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价格评审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技术部分68.00分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标“▲”条款技术指标要求得满分（48分）：标“▲”重要技术条款共15项，符合技术要求得48分，每负偏离1项扣3.2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投标人提供的产品技术参数、规格及功能完全满足或优于招标文件非标“▲”条款要求得满分（14.85分）：非标“▲”的一般技术指标共55项，符合技术要求得14.85分；每负偏离1项扣0.27分扣完为止，最低得0分。</w:t>
            </w:r>
          </w:p>
        </w:tc>
        <w:tc>
          <w:tcPr>
            <w:tcW w:type="dxa" w:w="831"/>
          </w:tcPr>
          <w:p>
            <w:pPr>
              <w:pStyle w:val="null3"/>
              <w:jc w:val="right"/>
            </w:pPr>
            <w:r>
              <w:rPr>
                <w:rFonts w:ascii="仿宋_GB2312" w:hAnsi="仿宋_GB2312" w:cs="仿宋_GB2312" w:eastAsia="仿宋_GB2312"/>
              </w:rPr>
              <w:t>14.8500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投标人承诺中标后有固定的维护人员并有能力及时处理所有可能发生的故障(提供承诺函)得2.15分。</w:t>
            </w:r>
          </w:p>
        </w:tc>
        <w:tc>
          <w:tcPr>
            <w:tcW w:type="dxa" w:w="831"/>
          </w:tcPr>
          <w:p>
            <w:pPr>
              <w:pStyle w:val="null3"/>
              <w:jc w:val="right"/>
            </w:pPr>
            <w:r>
              <w:rPr>
                <w:rFonts w:ascii="仿宋_GB2312" w:hAnsi="仿宋_GB2312" w:cs="仿宋_GB2312" w:eastAsia="仿宋_GB2312"/>
              </w:rPr>
              <w:t>2.1500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在保质期以内，投标人在接到业主的维修通知对故障能在1小时内响应，16小时内派出有能力的维修人员赶到业主现场进行处理。（3分） 在保质期以内，投标人在接到业主的维修通知对故障能在1-2小时内电话响应，16-32小时内派出有能力的维修人员赶到业主现场进行处理。（2分） 在保质期以内，投标人在接到业主的维修通知对故障能在2-3小时内电话响应，32-48小时内派出有能力的维修人员赶到业主现场进行处理。（1分）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2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价格评审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进口产品、设备的其他说明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投标人提供的产品技术参数、规格及功能完全满足或优于招标文件技术指标要求得满分，标“▲”条款（50分）：带“▲”的重要技术指标共 25项，完全符合技术要求得50分；每负偏离1项扣 2 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非“▲”条款（11.9分）：非带“▲”的一般技术指标共70项，完全符合技术要求得11.9分；每负偏离1项扣0.17分，扣完为止，最低得0分。</w:t>
            </w:r>
          </w:p>
        </w:tc>
        <w:tc>
          <w:tcPr>
            <w:tcW w:type="dxa" w:w="831"/>
          </w:tcPr>
          <w:p>
            <w:pPr>
              <w:pStyle w:val="null3"/>
              <w:jc w:val="right"/>
            </w:pPr>
            <w:r>
              <w:rPr>
                <w:rFonts w:ascii="仿宋_GB2312" w:hAnsi="仿宋_GB2312" w:cs="仿宋_GB2312" w:eastAsia="仿宋_GB2312"/>
              </w:rPr>
              <w:t>11.9000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1、明确提供7×24 小时响应，在保质期以内，投标人在接到业主的维修通知对故障能在0.5小时内响应，4小时内派出有能力的维修人员赶到业主现场进行处理，提供定期巡检、免费培训、升级维护。（5.1分） 2、提供正常工作日服务，在保质期以内，投标人在接到业主的维修通知对故障能在0.5-1小时内电话响应，4-24小时内派出有能力的维修人员赶到业主现场进行处理。（4分） 3、提供正常工作日服务，在保质期以内，投标人在接到业主的维修通知对故障能在1-2小时内电话响应，24-32小时内派出有能力的维修人员赶到业主现场进行处理。（3分） 4、提供正常工作日服务，在保质期以内，投标人在接到业主的维修通知对故障能在2-3小时内电话响应，32-48小时派出有能力的维修人员赶到业主现场进行处理。（2分）</w:t>
            </w:r>
          </w:p>
        </w:tc>
        <w:tc>
          <w:tcPr>
            <w:tcW w:type="dxa" w:w="831"/>
          </w:tcPr>
          <w:p>
            <w:pPr>
              <w:pStyle w:val="null3"/>
              <w:jc w:val="right"/>
            </w:pPr>
            <w:r>
              <w:rPr>
                <w:rFonts w:ascii="仿宋_GB2312" w:hAnsi="仿宋_GB2312" w:cs="仿宋_GB2312" w:eastAsia="仿宋_GB2312"/>
              </w:rPr>
              <w:t>5.1000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投标人提供的产品技术参数、规格及功能完全满足或优于招标文件技术指标要求得满分，标“▲”条款（42分）：带“▲”的重要技术指标共 15 项，符合技术要求得42分；每负偏离1项扣 2.8分，扣完为止，最低得0分。（采购需求中明确要求提供相关证明材料的，投标人须按要求完整提交，未按规定提供的不得分。）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非“▲”条款（18分）：非带“▲”的一般技术指标共 15项，完全符合技术要求得18分；每负偏离1项扣1.2分，扣完为止，最低得0分。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1、明确提供7×24 小时响应，在保质期以内，投标人在接到业主的维修通知对故障能在0.5小时内响应，4小时内派出有能力的维修人员赶到业主现场进行处理，提供定期巡检、免费培训、升级维护。（7分） 2、提供正常工作日服务，在保质期以内，投标人在接到业主的维修通知对故障能在0.5-1小时内电话响应，4-24小时内派出有能力的维修人员赶到业主现场进行处理。（4分） 3、提供正常工作日服务，在保质期以内，投标人在接到业主的维修通知对故障能在1-2小时内电话响应，24-32小时内派出有能力的维修人员赶到业主现场进行处理。（3分） 4、提供正常工作日服务，在保质期以内，投标人在接到业主的维修通知对故障能在2-3小时内电话响应，32-48小时派出有能力的维修人员赶到业主现场进行处理。（2分）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5项，完全符合技术要求得36分；每负偏离1项扣7.2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非“▲”条款（27分）：非带“▲”的一般技术指标共18项，完全符合技术要求得27分；每负偏离1项扣1.5分，扣完为止，最低得0分。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1、明确提供7×24 小时响应，在保质期以内，投标人在接到业主的维修通知对故障能在0.5小时内响应，4小时内派出有能力的维修人员赶到业主现场进行处理，提供定期巡检、免费培训、升级维护。（4分） 2、提供正常工作日服务，在保质期以内，投标人在接到业主的维修通知对故障能在0.5-1小时内电话响应，4-24小时内派出有能力的维修人员赶到业主现场进行处理。（3分） 3、提供正常工作日服务，在保质期以内，投标人在接到业主的维修通知对故障能在1-2小时内电话响应，24-32小时内派出有能力的维修人员赶到业主现场进行处理。（2分） 4、提供正常工作日服务，在保质期以内，投标人在接到业主的维修通知对故障能在2-3小时内电话响应，32-48小时派出有能力的维修人员赶到业主现场进行处理。（1分）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进口产品、设备的其他说明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12项，符合技术要求得36分；每负偏离1项扣3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非“▲”条款（20分）：非带“▲”的一般技术指标共 20 项，符合技术要求得20分；每负偏离1项扣1 分，扣完为止，最低得0分。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在保质期以内，投标人在接到业主的维修通知对故障能在1小时内响应，16小时内派出有能力的维修人员赶到业主现场进行处理。（7分） 在保质期以内，投标人在接到业主的维修通知对故障能在1-2小时内电话响应，16-32小时内派出有能力的维修人员赶到业主现场进行处理。（5分） 在保质期以内，投标人在接到业主的维修通知对故障能在2-3小时内电话响应，32-48小时内派出有能力的维修人员赶到业主现场进行处理。（3分）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投标人提供的产品技术参数、规格及功能完全满足或优于招标文件技术指标要求得满分，标“▲”条款（45分）：带“▲”的重要技术指标共 15项，符合技术要求得45分；每负偏离1项扣3分，扣完为止，最低得0分。（采购需求中明确要求提供相关证明材料的，投标人须按要求完整提交，未按规定提供的不得分。）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非“▲”条款（17分）：非带“▲”的一般技术指标共 34项，符合技术要求得17分；每负偏离1项扣0.5分，扣完为止，最低得0分。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在保质期以内，投标人在接到业主的维修通知对故障能在1小时内响应，16小时内派出有能力的维修人员赶到业主现场进行处理。（3分） 在保质期以内，投标人在接到业主的维修通知对故障能在1-2小时内电话响应，16-32小时内派出有能力的维修人员赶到业主现场进行处理。（2分） 在保质期以内，投标人在接到业主的维修通知对故障能在2-3小时内电话响应，32-48小时内派出有能力的维修人员赶到业主现场进行处理。（1分）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进口产品、设备的其他说明</w:t>
            </w:r>
          </w:p>
        </w:tc>
      </w:tr>
    </w:tbl>
    <w:p>
      <w:pPr>
        <w:pStyle w:val="null3"/>
        <w:jc w:val="both"/>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技术部分64.00分</w:t>
            </w:r>
          </w:p>
          <w:p>
            <w:pPr>
              <w:pStyle w:val="null3"/>
              <w:jc w:val="both"/>
            </w:pPr>
            <w:r>
              <w:rPr>
                <w:rFonts w:ascii="仿宋_GB2312" w:hAnsi="仿宋_GB2312" w:cs="仿宋_GB2312" w:eastAsia="仿宋_GB2312"/>
              </w:rPr>
              <w:t>商务部分6.00分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 ▲ ”条款（36分） ：带“▲”的重要技术指标共20项，符合技术要求得36分；每负偏离1项扣1.8分，扣完为止，最低得0分。 （采购需求中明确要求提供相关证明材料的，投标人须按要求完整提交，未按规定提供的不得分。）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 ▲ ”条款（18分）：非带“▲”的一般技术指标共90项，符合技术要求得18分；每负偏离1项扣0.2分，扣完为止，最低得0分。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若实际无固定维护人员导致维护不及时的，相关经济损失和责任后果由投标人承担，提供承诺函得4分，承诺不完全或不承诺视为负偏离。</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在保质期以内，投标人在接到业主的维修通知对故障能在1小时内响应，16小时内派出有能力的维修人员赶到业主现场进行处理。（6分）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2分，满分6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技术部分64.00分</w:t>
            </w:r>
          </w:p>
          <w:p>
            <w:pPr>
              <w:pStyle w:val="null3"/>
              <w:jc w:val="both"/>
            </w:pPr>
            <w:r>
              <w:rPr>
                <w:rFonts w:ascii="仿宋_GB2312" w:hAnsi="仿宋_GB2312" w:cs="仿宋_GB2312" w:eastAsia="仿宋_GB2312"/>
              </w:rPr>
              <w:t>商务部分6.00分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投标人提供的产品技术参数、规格及功能完全满足或优于招标文件技术指标要求得满分，标“▲”条款（33分）：带“▲”的重要技术指标共11项，符合技术要求得33分；每负偏离1项扣 3分，扣完为止，最低得0分。 （采购需求中明确要求提供相关证明材料的，投标人须按要求完整提交，未按规定提供的不得分。）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非“▲”条款（23.84分）：非带“▲”的一般技术指标共 298项，符合技术要求得23.84分；每负偏离1项扣0.08分，扣完为止，最低得0分。</w:t>
            </w:r>
          </w:p>
        </w:tc>
        <w:tc>
          <w:tcPr>
            <w:tcW w:type="dxa" w:w="831"/>
          </w:tcPr>
          <w:p>
            <w:pPr>
              <w:pStyle w:val="null3"/>
              <w:jc w:val="right"/>
            </w:pPr>
            <w:r>
              <w:rPr>
                <w:rFonts w:ascii="仿宋_GB2312" w:hAnsi="仿宋_GB2312" w:cs="仿宋_GB2312" w:eastAsia="仿宋_GB2312"/>
              </w:rPr>
              <w:t>23.8400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若实际无固定维护人员导致维护不及时的，相关经济损失和责任后果由投标人承担，提供承诺函得3分，承诺不完全或不承诺视为负偏离。</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在保质期以内，投标人在接到业主的维修通知对故障能在1小时内响应，16小时内派出有能力的维修人员赶到业主现场进行处理。（4.16分）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4.1600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2分，满分6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 8 项，符合技术要求得36分；每负偏离1项扣 4.5分，扣完为止，最低得0分。（采购需求中明确要求提供相关证明材料的，投标人须按要求完整提交，未按规定提供的不得分。）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非“▲”条款（22.5分）：非带“▲”的一般技术指标共15 项，符合技术要求得22.5分；每负偏离1项扣1.5分，扣完为止，最低得0分。</w:t>
            </w:r>
          </w:p>
        </w:tc>
        <w:tc>
          <w:tcPr>
            <w:tcW w:type="dxa" w:w="831"/>
          </w:tcPr>
          <w:p>
            <w:pPr>
              <w:pStyle w:val="null3"/>
              <w:jc w:val="right"/>
            </w:pPr>
            <w:r>
              <w:rPr>
                <w:rFonts w:ascii="仿宋_GB2312" w:hAnsi="仿宋_GB2312" w:cs="仿宋_GB2312" w:eastAsia="仿宋_GB2312"/>
              </w:rPr>
              <w:t>22.5000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在保质期以内，投标人在接到业主的维修通知对故障能在1小时内响应，24小时内派出有能力的维修人员赶到业主现场进行处理。（5.5分） 在保质期以内，投标人在接到业主的维修通知对故障能在1-2小时内电话响应，24-32小时内派出有能力的维修人员赶到业主现场进行处理。（4分） 在保质期以内，投标人在接到业主的维修通知对故障能在2-3小时内电话响应，32-48小时内派出有能力的维修人员赶到业主现场进行处理。（3分）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投标人提供的产品技术参数、规格及功能完全满足或优于招标文件技术指标要求得满分，标“▲”条款（36分）：带“▲”的重要技术指标共 6 项，符合技术要求得36分；每负偏离1项扣 6分，扣完为止，最低得0分。（采购需求中明确要求提供相关证明材料的，投标人须按要求完整提交，未按规定提供的不得分。）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非“▲”条款（25分）：非带“▲”的一般技术指标共 10 项，符合技术要求得25分；每负偏离1项扣2.5分，扣完为止，最低得0分。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在保质期以内，投标人在接到业主的维修通知对故障能在1小时内响应，24小时内派出有能力的维修人员赶到业主现场进行处理。（4分） 在保质期以内，投标人在接到业主的维修通知对故障能在1-2小时内电话响应，24-32小时内派出有能力的维修人员赶到业主现场进行处理。（3分）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进口产品、设备的其他说明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tc>
      </w:tr>
    </w:tbl>
    <w:p>
      <w:pPr>
        <w:pStyle w:val="null3"/>
        <w:jc w:val="both"/>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40分）：带“▲”的重要技术指标共5项，符合技术要求得40分；每负偏离1项扣8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非“▲”条款（19.5分）：非带“▲”的一般技术指标共15项，符合技术要求得19.5分；每负偏离1项扣1.3分。扣完为止，最低得0分。（须按照技术参数需求的要求提供相应的证明材料）</w:t>
            </w:r>
          </w:p>
        </w:tc>
        <w:tc>
          <w:tcPr>
            <w:tcW w:type="dxa" w:w="831"/>
          </w:tcPr>
          <w:p>
            <w:pPr>
              <w:pStyle w:val="null3"/>
              <w:jc w:val="right"/>
            </w:pPr>
            <w:r>
              <w:rPr>
                <w:rFonts w:ascii="仿宋_GB2312" w:hAnsi="仿宋_GB2312" w:cs="仿宋_GB2312" w:eastAsia="仿宋_GB2312"/>
              </w:rPr>
              <w:t>19.5000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4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投标人提供的产品技术参数、规格及功能完全满足或优于招标文件技术指标要求得满分，标“▲”条款（40分）：带“▲”的重要技术指标共8项，符合技术要求得40分；每负偏离1项扣 5分，扣完为止，最低得0分。（采购需求中明确要求提供相关证明材料的，投标人须按要求完整提交，未按规定提供的不得分。）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非“▲”条款（20分）：非带“▲”的一般技术指标共25项，符合技术要求得20分；每负偏离1项扣0.8分。扣完为止，最低得0分。（须按照技术参数需求的要求提供相应的证明材料）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在保质期以内，投标人在接到业主的维修通知对故障能在1小时内响应，16小时内派出有能力的维修人员赶到业主现场进行处理。(4分) 在保质期以内，投标人在接到业主的维修通知对故障能在1-2小时内电话响应，16-32小时内派出有能力的维修人员赶到业主现场进行处理。(3分） 在保质期以内，投标人在接到业主的维修通知对故障能在2-3小时内电话响应，32-48小时内派出有能力的维修人员赶到业主现场进行处理。（2分）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4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进口产品、设备的其他说明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投标人提供的产品技术参数、规格及功能完全满足或优于招标文件技术指标要求得满分，标“▲”条款（45分）：带“▲”的重要技术指标共 9 项，符合技术要求得45分；每负偏离1项扣 5分，扣完为止，最低得0分。（采购需求中明确要求提供相关证明材料的，投标人须按要求完整提交，未按规定提供的不得分。）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非“▲”条款（14.7分）：非带“▲”的一般技术指标共 21 项，符合技术要求得14.7分；每负偏离1项扣0.7分，扣完为止，最低得0分。</w:t>
            </w:r>
          </w:p>
        </w:tc>
        <w:tc>
          <w:tcPr>
            <w:tcW w:type="dxa" w:w="831"/>
          </w:tcPr>
          <w:p>
            <w:pPr>
              <w:pStyle w:val="null3"/>
              <w:jc w:val="right"/>
            </w:pPr>
            <w:r>
              <w:rPr>
                <w:rFonts w:ascii="仿宋_GB2312" w:hAnsi="仿宋_GB2312" w:cs="仿宋_GB2312" w:eastAsia="仿宋_GB2312"/>
              </w:rPr>
              <w:t>14.7000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投标人承诺中标后有固定的维护人员并有能力及时处理所有可能发生的故障(提供承诺函)得2.3分。</w:t>
            </w:r>
          </w:p>
        </w:tc>
        <w:tc>
          <w:tcPr>
            <w:tcW w:type="dxa" w:w="831"/>
          </w:tcPr>
          <w:p>
            <w:pPr>
              <w:pStyle w:val="null3"/>
              <w:jc w:val="right"/>
            </w:pPr>
            <w:r>
              <w:rPr>
                <w:rFonts w:ascii="仿宋_GB2312" w:hAnsi="仿宋_GB2312" w:cs="仿宋_GB2312" w:eastAsia="仿宋_GB2312"/>
              </w:rPr>
              <w:t>2.3000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在保质期内，投标人在接到业主的维修通知对故障能在1小时内响应，24小时内派出有能力的维修人员赶到业主现场进行处理。（5分） 在保质期内，投标人在接到业主的维修通知对故障能在1-2小时内电话响应，24-36小时内派出有能力的维修人员赶到业主现场进行处理。（4分） 在保质期内，投标人在接到业主的维修通知对故障能在2-3小时内电话响应，36-48小时内派出有能力的维修人员赶到业主现场进行处理。（3分）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jc w:val="both"/>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标“▲”条款（38分）：带“▲”的重要技术指标共5项，符合技术要求得38分；每负偏离1项扣7.6分，扣完为止，最低得0分。（采购需求中明确要求提供相关证明材料的，投标人须按要求完整提交，未按规定提供的不得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 非“▲”条款（19.5分）：非带“▲”的一般技术指标共15项，符合技术要求得19.5分；每负偏离1项扣1.3分，扣完为止，最低得0分。</w:t>
            </w:r>
          </w:p>
        </w:tc>
        <w:tc>
          <w:tcPr>
            <w:tcW w:type="dxa" w:w="831"/>
          </w:tcPr>
          <w:p>
            <w:pPr>
              <w:pStyle w:val="null3"/>
              <w:jc w:val="right"/>
            </w:pPr>
            <w:r>
              <w:rPr>
                <w:rFonts w:ascii="仿宋_GB2312" w:hAnsi="仿宋_GB2312" w:cs="仿宋_GB2312" w:eastAsia="仿宋_GB2312"/>
              </w:rPr>
              <w:t>19.5000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处理故障服务承诺</w:t>
            </w:r>
          </w:p>
        </w:tc>
        <w:tc>
          <w:tcPr>
            <w:tcW w:type="dxa" w:w="2492"/>
          </w:tcPr>
          <w:p>
            <w:pPr>
              <w:pStyle w:val="null3"/>
              <w:jc w:val="both"/>
            </w:pPr>
            <w:r>
              <w:rPr>
                <w:rFonts w:ascii="仿宋_GB2312" w:hAnsi="仿宋_GB2312" w:cs="仿宋_GB2312" w:eastAsia="仿宋_GB2312"/>
              </w:rPr>
              <w:t>投标人承诺中标后有固定的维护人员并有能力及时处理所有可能发生的故障(提供承诺函)得3.5分。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根据投标人提供“售后服务方案”进行评审： 在保质期以内，投标人在接到业主的维修通知对故障能在1小时内响应，24小时内派出有能力的维修人员赶到业主现场进行处理。（6分） 在保质期以内，投标人在接到业主的维修通知对故障能在1-2小时内电话响应，24-36小时内派出有能力的维修人员赶到业主现场进行处理。（4分） 在保质期以内，投标人在接到业主的维修通知对故障能在2-3小时内电话响应，36-48小时内派出有能力的维修人员赶到业主现场进行处理。（3分）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提供2023年1月1日以来的已完成成功案例（时间以收付款凭证日期为准），每提供一宗类似单笔合同业绩者得1分，满分3分（以提供合同、验收证明材料、与该项目相关的收付款凭证为准，未完全提供不得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进口产品、设备的其他说明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海洋牧场观测系统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2750000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水下高光谱成像仪及辐射定标系统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深远海水下光学成像通讯一体机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670000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无人机海气观测设备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530000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多功能声学多普勒剖面流速仪 （测量剖面300-400米）</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波浪谱浮标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950000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多功能声学多普勒剖面流速仪 （测量剖面1000米）</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海洋动力浮标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3</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电催化测试系统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光热海水淡化测试系统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4</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热带岛礁环境地质测试分析平台</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1100000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5</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全功能微孔板检测分析仪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油水分离器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580000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高速冷冻离心机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435000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数字型智能倒置荧光显微镜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550000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低温等离子体杀菌机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6</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蛋白质高效提取分离层析检测系统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1350000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活细胞工作站</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1650000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超临界二氧化碳萃取仪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7</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蛋白质层析纯化系统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高分辨全自动体视荧光显微镜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实时荧光定量PCR仪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氨基酸分析仪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斑马鱼行为跟踪系统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8</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海龟驯养循环水系统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9</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三维图像动态识别声呐</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1380000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10</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环境DNA全自动样品提取建库工作站</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全自动固相萃取系统（国产）</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11</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海气通量观测系统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1860000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大进样量元素分析仪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1065000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全自动数字PCR系统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1100000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12</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气体燃料冲装模拟器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液货船操作辅助设备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13</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润滑油检测辅助设备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油料光谱仪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475000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船舶电子实验平台</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14</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标准天线</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频谱分析仪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15</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快照式水下高光谱成像系统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16</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组织全景全自动玻片扫描分析系统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17</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开放式叶绿素荧光成像系统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高通量全自动间断化学分析仪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18</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万能材料电子试验机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钠离子电池制备小试生产线</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HNT2026005H</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海南热带海洋学院学科支撑科研设备更新置换项目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19</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台式X射线衍射仪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详见附件：本国产品标准有关证明材料</w:t>
      </w:r>
    </w:p>
    <w:p>
      <w:pPr>
        <w:pStyle w:val="null3"/>
        <w:ind w:firstLine="960"/>
        <w:jc w:val="left"/>
      </w:pPr>
      <w:r>
        <w:rPr>
          <w:rFonts w:ascii="仿宋_GB2312" w:hAnsi="仿宋_GB2312" w:cs="仿宋_GB2312" w:eastAsia="仿宋_GB2312"/>
        </w:rPr>
        <w:t>详见附件：投标人承诺函</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ind w:firstLine="960"/>
      </w:pPr>
      <w:r>
        <w:rPr>
          <w:rFonts w:ascii="仿宋_GB2312" w:hAnsi="仿宋_GB2312" w:cs="仿宋_GB2312" w:eastAsia="仿宋_GB2312"/>
        </w:rPr>
        <w:t>详见附件：法定代表人资格证明书或法定代表人授权委托书</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详见附件：投标保证金缴纳证明材料</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ind w:firstLine="960"/>
      </w:pPr>
      <w:r>
        <w:rPr>
          <w:rFonts w:ascii="仿宋_GB2312" w:hAnsi="仿宋_GB2312" w:cs="仿宋_GB2312" w:eastAsia="仿宋_GB2312"/>
        </w:rPr>
        <w:t>详见附件：其他相关承诺函</w:t>
      </w:r>
    </w:p>
    <w:p>
      <w:pPr>
        <w:pStyle w:val="null3"/>
        <w:ind w:firstLine="960"/>
      </w:pPr>
      <w:r>
        <w:rPr>
          <w:rFonts w:ascii="仿宋_GB2312" w:hAnsi="仿宋_GB2312" w:cs="仿宋_GB2312" w:eastAsia="仿宋_GB2312"/>
        </w:rPr>
        <w:t>详见附件：进口产品、设备的其他说明</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