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center"/>
        <w:outlineLvl w:val="1"/>
      </w:pPr>
      <w:r>
        <w:rPr>
          <w:rFonts w:ascii="仿宋_GB2312" w:hAnsi="仿宋_GB2312" w:eastAsia="仿宋_GB2312" w:cs="仿宋_GB2312"/>
          <w:b/>
          <w:sz w:val="36"/>
        </w:rPr>
        <w:t>第三章 技术、服务及其他要求</w:t>
      </w:r>
    </w:p>
    <w:p>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pPr>
        <w:pStyle w:val="4"/>
        <w:jc w:val="left"/>
        <w:outlineLvl w:val="2"/>
      </w:pPr>
      <w:r>
        <w:rPr>
          <w:rFonts w:ascii="仿宋_GB2312" w:hAnsi="仿宋_GB2312" w:eastAsia="仿宋_GB2312" w:cs="仿宋_GB2312"/>
          <w:b/>
          <w:sz w:val="28"/>
        </w:rPr>
        <w:t>3.1.采购内容</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采购包预算金额（元）: 2,600,000.00</w:t>
      </w:r>
    </w:p>
    <w:p>
      <w:pPr>
        <w:pStyle w:val="4"/>
        <w:jc w:val="left"/>
      </w:pPr>
      <w:r>
        <w:rPr>
          <w:rFonts w:ascii="仿宋_GB2312" w:hAnsi="仿宋_GB2312" w:eastAsia="仿宋_GB2312" w:cs="仿宋_GB2312"/>
        </w:rPr>
        <w:t>采购包最高限价（元）: 2,487,119.24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center"/>
            </w:pPr>
            <w:r>
              <w:rPr>
                <w:rFonts w:ascii="仿宋_GB2312" w:hAnsi="仿宋_GB2312" w:eastAsia="仿宋_GB2312" w:cs="仿宋_GB2312"/>
              </w:rPr>
              <w:t>序号</w:t>
            </w:r>
          </w:p>
        </w:tc>
        <w:tc>
          <w:tcPr>
            <w:tcW w:w="821" w:type="dxa"/>
          </w:tcPr>
          <w:p>
            <w:pPr>
              <w:pStyle w:val="4"/>
              <w:jc w:val="center"/>
            </w:pPr>
            <w:r>
              <w:rPr>
                <w:rFonts w:ascii="仿宋_GB2312" w:hAnsi="仿宋_GB2312" w:eastAsia="仿宋_GB2312" w:cs="仿宋_GB2312"/>
              </w:rPr>
              <w:t>采购品目名称</w:t>
            </w:r>
          </w:p>
        </w:tc>
        <w:tc>
          <w:tcPr>
            <w:tcW w:w="821" w:type="dxa"/>
          </w:tcPr>
          <w:p>
            <w:pPr>
              <w:pStyle w:val="4"/>
              <w:jc w:val="center"/>
            </w:pPr>
            <w:r>
              <w:rPr>
                <w:rFonts w:ascii="仿宋_GB2312" w:hAnsi="仿宋_GB2312" w:eastAsia="仿宋_GB2312" w:cs="仿宋_GB2312"/>
              </w:rPr>
              <w:t>标的名称</w:t>
            </w:r>
          </w:p>
        </w:tc>
        <w:tc>
          <w:tcPr>
            <w:tcW w:w="821" w:type="dxa"/>
          </w:tcPr>
          <w:p>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pPr>
              <w:pStyle w:val="4"/>
              <w:jc w:val="center"/>
            </w:pPr>
            <w:r>
              <w:rPr>
                <w:rFonts w:ascii="仿宋_GB2312" w:hAnsi="仿宋_GB2312" w:eastAsia="仿宋_GB2312" w:cs="仿宋_GB2312"/>
              </w:rPr>
              <w:t>标的金额 （元）</w:t>
            </w:r>
          </w:p>
        </w:tc>
        <w:tc>
          <w:tcPr>
            <w:tcW w:w="821" w:type="dxa"/>
          </w:tcPr>
          <w:p>
            <w:pPr>
              <w:pStyle w:val="4"/>
              <w:jc w:val="center"/>
            </w:pPr>
            <w:r>
              <w:rPr>
                <w:rFonts w:ascii="仿宋_GB2312" w:hAnsi="仿宋_GB2312" w:eastAsia="仿宋_GB2312" w:cs="仿宋_GB2312"/>
              </w:rPr>
              <w:t>所属行业</w:t>
            </w:r>
          </w:p>
        </w:tc>
        <w:tc>
          <w:tcPr>
            <w:tcW w:w="821" w:type="dxa"/>
          </w:tcPr>
          <w:p>
            <w:pPr>
              <w:pStyle w:val="4"/>
              <w:jc w:val="center"/>
            </w:pPr>
            <w:r>
              <w:rPr>
                <w:rFonts w:ascii="仿宋_GB2312" w:hAnsi="仿宋_GB2312" w:eastAsia="仿宋_GB2312" w:cs="仿宋_GB2312"/>
              </w:rPr>
              <w:t>是否涉及核心产品</w:t>
            </w:r>
          </w:p>
        </w:tc>
        <w:tc>
          <w:tcPr>
            <w:tcW w:w="821" w:type="dxa"/>
          </w:tcPr>
          <w:p>
            <w:pPr>
              <w:pStyle w:val="4"/>
              <w:jc w:val="center"/>
            </w:pPr>
            <w:r>
              <w:rPr>
                <w:rFonts w:ascii="仿宋_GB2312" w:hAnsi="仿宋_GB2312" w:eastAsia="仿宋_GB2312" w:cs="仿宋_GB2312"/>
              </w:rPr>
              <w:t>是否涉及采购进口产品</w:t>
            </w:r>
          </w:p>
        </w:tc>
        <w:tc>
          <w:tcPr>
            <w:tcW w:w="821" w:type="dxa"/>
          </w:tcPr>
          <w:p>
            <w:pPr>
              <w:pStyle w:val="4"/>
              <w:jc w:val="center"/>
            </w:pPr>
            <w:r>
              <w:rPr>
                <w:rFonts w:ascii="仿宋_GB2312" w:hAnsi="仿宋_GB2312" w:eastAsia="仿宋_GB2312" w:cs="仿宋_GB2312"/>
              </w:rPr>
              <w:t>是否涉及强制采购节能产品</w:t>
            </w:r>
          </w:p>
        </w:tc>
        <w:tc>
          <w:tcPr>
            <w:tcW w:w="639" w:type="dxa"/>
          </w:tcPr>
          <w:p>
            <w:pPr>
              <w:pStyle w:val="4"/>
              <w:jc w:val="center"/>
            </w:pPr>
            <w:r>
              <w:rPr>
                <w:rFonts w:ascii="仿宋_GB2312" w:hAnsi="仿宋_GB2312" w:eastAsia="仿宋_GB2312" w:cs="仿宋_GB2312"/>
              </w:rPr>
              <w:t>是否涉及优先采购节能产品</w:t>
            </w:r>
          </w:p>
        </w:tc>
        <w:tc>
          <w:tcPr>
            <w:tcW w:w="639" w:type="dxa"/>
          </w:tcPr>
          <w:p>
            <w:pPr>
              <w:pStyle w:val="4"/>
              <w:jc w:val="center"/>
            </w:pPr>
            <w:r>
              <w:rPr>
                <w:rFonts w:ascii="仿宋_GB2312" w:hAnsi="仿宋_GB2312" w:eastAsia="仿宋_GB2312" w:cs="仿宋_GB2312"/>
              </w:rPr>
              <w:t>是否涉及优先采购环境标志产品</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pPr>
              <w:pStyle w:val="4"/>
              <w:jc w:val="left"/>
            </w:pPr>
            <w:r>
              <w:rPr>
                <w:rFonts w:ascii="仿宋_GB2312" w:hAnsi="仿宋_GB2312" w:eastAsia="仿宋_GB2312" w:cs="仿宋_GB2312"/>
              </w:rPr>
              <w:t>1</w:t>
            </w:r>
          </w:p>
        </w:tc>
        <w:tc>
          <w:tcPr>
            <w:tcW w:w="821" w:type="dxa"/>
          </w:tcPr>
          <w:p>
            <w:pPr>
              <w:pStyle w:val="4"/>
              <w:jc w:val="left"/>
            </w:pPr>
            <w:r>
              <w:rPr>
                <w:rFonts w:ascii="仿宋_GB2312" w:hAnsi="仿宋_GB2312" w:eastAsia="仿宋_GB2312" w:cs="仿宋_GB2312"/>
              </w:rPr>
              <w:t>C19990000 其他专业技术服务</w:t>
            </w:r>
          </w:p>
        </w:tc>
        <w:tc>
          <w:tcPr>
            <w:tcW w:w="821" w:type="dxa"/>
          </w:tcPr>
          <w:p>
            <w:pPr>
              <w:pStyle w:val="4"/>
              <w:jc w:val="left"/>
            </w:pPr>
            <w:r>
              <w:rPr>
                <w:rFonts w:ascii="仿宋_GB2312" w:hAnsi="仿宋_GB2312" w:eastAsia="仿宋_GB2312" w:cs="仿宋_GB2312"/>
              </w:rPr>
              <w:t>国省干线及农村公路桥隧定期检查评定和农村公路路况自动化检测评定</w:t>
            </w:r>
          </w:p>
        </w:tc>
        <w:tc>
          <w:tcPr>
            <w:tcW w:w="821" w:type="dxa"/>
          </w:tcPr>
          <w:p>
            <w:pPr>
              <w:pStyle w:val="4"/>
              <w:jc w:val="right"/>
            </w:pPr>
            <w:r>
              <w:rPr>
                <w:rFonts w:ascii="仿宋_GB2312" w:hAnsi="仿宋_GB2312" w:eastAsia="仿宋_GB2312" w:cs="仿宋_GB2312"/>
              </w:rPr>
              <w:t>1.00（项）</w:t>
            </w:r>
          </w:p>
        </w:tc>
        <w:tc>
          <w:tcPr>
            <w:tcW w:w="821" w:type="dxa"/>
          </w:tcPr>
          <w:p>
            <w:pPr>
              <w:pStyle w:val="4"/>
              <w:jc w:val="right"/>
            </w:pPr>
            <w:r>
              <w:rPr>
                <w:rFonts w:ascii="仿宋_GB2312" w:hAnsi="仿宋_GB2312" w:eastAsia="仿宋_GB2312" w:cs="仿宋_GB2312"/>
              </w:rPr>
              <w:t>2,487,119.24</w:t>
            </w:r>
          </w:p>
        </w:tc>
        <w:tc>
          <w:tcPr>
            <w:tcW w:w="821" w:type="dxa"/>
          </w:tcPr>
          <w:p>
            <w:pPr>
              <w:pStyle w:val="4"/>
              <w:jc w:val="left"/>
            </w:pPr>
            <w:r>
              <w:rPr>
                <w:rFonts w:ascii="仿宋_GB2312" w:hAnsi="仿宋_GB2312" w:eastAsia="仿宋_GB2312" w:cs="仿宋_GB2312"/>
              </w:rPr>
              <w:t>其他未列明行业</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821"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c>
          <w:tcPr>
            <w:tcW w:w="639" w:type="dxa"/>
          </w:tcPr>
          <w:p>
            <w:pPr>
              <w:pStyle w:val="4"/>
              <w:jc w:val="left"/>
            </w:pPr>
            <w:r>
              <w:rPr>
                <w:rFonts w:ascii="仿宋_GB2312" w:hAnsi="仿宋_GB2312" w:eastAsia="仿宋_GB2312" w:cs="仿宋_GB2312"/>
              </w:rPr>
              <w:t>否</w:t>
            </w:r>
          </w:p>
        </w:tc>
      </w:tr>
    </w:tbl>
    <w:p>
      <w:pPr>
        <w:pStyle w:val="4"/>
        <w:jc w:val="left"/>
      </w:pPr>
      <w:r>
        <w:rPr>
          <w:rFonts w:ascii="仿宋_GB2312" w:hAnsi="仿宋_GB2312" w:eastAsia="仿宋_GB2312" w:cs="仿宋_GB2312"/>
        </w:rPr>
        <w:t>是否适用本国产品标准：否</w:t>
      </w:r>
    </w:p>
    <w:p>
      <w:pPr>
        <w:pStyle w:val="4"/>
        <w:jc w:val="left"/>
        <w:outlineLvl w:val="3"/>
      </w:pPr>
      <w:r>
        <w:rPr>
          <w:rFonts w:ascii="仿宋_GB2312" w:hAnsi="仿宋_GB2312" w:eastAsia="仿宋_GB2312" w:cs="仿宋_GB2312"/>
          <w:b/>
          <w:sz w:val="24"/>
        </w:rPr>
        <w:t>报价要求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序号</w:t>
            </w:r>
          </w:p>
        </w:tc>
        <w:tc>
          <w:tcPr>
            <w:tcW w:w="1707" w:type="dxa"/>
          </w:tcPr>
          <w:p>
            <w:pPr>
              <w:pStyle w:val="4"/>
              <w:jc w:val="center"/>
            </w:pPr>
            <w:r>
              <w:rPr>
                <w:rFonts w:ascii="仿宋_GB2312" w:hAnsi="仿宋_GB2312" w:eastAsia="仿宋_GB2312" w:cs="仿宋_GB2312"/>
              </w:rPr>
              <w:t>报价内容</w:t>
            </w:r>
          </w:p>
        </w:tc>
        <w:tc>
          <w:tcPr>
            <w:tcW w:w="1138" w:type="dxa"/>
          </w:tcPr>
          <w:p>
            <w:pPr>
              <w:pStyle w:val="4"/>
              <w:jc w:val="center"/>
            </w:pPr>
            <w:r>
              <w:rPr>
                <w:rFonts w:ascii="仿宋_GB2312" w:hAnsi="仿宋_GB2312" w:eastAsia="仿宋_GB2312" w:cs="仿宋_GB2312"/>
              </w:rPr>
              <w:t>数量（计量单位）</w:t>
            </w:r>
          </w:p>
        </w:tc>
        <w:tc>
          <w:tcPr>
            <w:tcW w:w="1365" w:type="dxa"/>
          </w:tcPr>
          <w:p>
            <w:pPr>
              <w:pStyle w:val="4"/>
              <w:jc w:val="center"/>
            </w:pPr>
            <w:r>
              <w:rPr>
                <w:rFonts w:ascii="仿宋_GB2312" w:hAnsi="仿宋_GB2312" w:eastAsia="仿宋_GB2312" w:cs="仿宋_GB2312"/>
              </w:rPr>
              <w:t>最高限价</w:t>
            </w:r>
          </w:p>
        </w:tc>
        <w:tc>
          <w:tcPr>
            <w:tcW w:w="1138" w:type="dxa"/>
          </w:tcPr>
          <w:p>
            <w:pPr>
              <w:pStyle w:val="4"/>
              <w:jc w:val="center"/>
            </w:pPr>
            <w:r>
              <w:rPr>
                <w:rFonts w:ascii="仿宋_GB2312" w:hAnsi="仿宋_GB2312" w:eastAsia="仿宋_GB2312" w:cs="仿宋_GB2312"/>
              </w:rPr>
              <w:t>价款形式</w:t>
            </w:r>
          </w:p>
        </w:tc>
        <w:tc>
          <w:tcPr>
            <w:tcW w:w="1934" w:type="dxa"/>
          </w:tcPr>
          <w:p>
            <w:pPr>
              <w:pStyle w:val="4"/>
              <w:jc w:val="center"/>
            </w:pPr>
            <w:r>
              <w:rPr>
                <w:rFonts w:ascii="仿宋_GB2312" w:hAnsi="仿宋_GB2312" w:eastAsia="仿宋_GB2312" w:cs="仿宋_GB2312"/>
              </w:rPr>
              <w:t>报价说明</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pPr>
              <w:pStyle w:val="4"/>
              <w:jc w:val="center"/>
            </w:pPr>
            <w:r>
              <w:rPr>
                <w:rFonts w:ascii="仿宋_GB2312" w:hAnsi="仿宋_GB2312" w:eastAsia="仿宋_GB2312" w:cs="仿宋_GB2312"/>
              </w:rPr>
              <w:t>1</w:t>
            </w:r>
          </w:p>
        </w:tc>
        <w:tc>
          <w:tcPr>
            <w:tcW w:w="1707" w:type="dxa"/>
          </w:tcPr>
          <w:p>
            <w:pPr>
              <w:pStyle w:val="4"/>
              <w:jc w:val="center"/>
            </w:pPr>
            <w:r>
              <w:rPr>
                <w:rFonts w:ascii="仿宋_GB2312" w:hAnsi="仿宋_GB2312" w:eastAsia="仿宋_GB2312" w:cs="仿宋_GB2312"/>
              </w:rPr>
              <w:t>国省干线及农村公路桥隧定期检查评定和农村公路路况自动化检测评定</w:t>
            </w:r>
          </w:p>
        </w:tc>
        <w:tc>
          <w:tcPr>
            <w:tcW w:w="1138" w:type="dxa"/>
          </w:tcPr>
          <w:p>
            <w:pPr>
              <w:pStyle w:val="4"/>
              <w:jc w:val="center"/>
            </w:pPr>
            <w:r>
              <w:rPr>
                <w:rFonts w:ascii="仿宋_GB2312" w:hAnsi="仿宋_GB2312" w:eastAsia="仿宋_GB2312" w:cs="仿宋_GB2312"/>
              </w:rPr>
              <w:t>1.00（项）</w:t>
            </w:r>
          </w:p>
        </w:tc>
        <w:tc>
          <w:tcPr>
            <w:tcW w:w="1365" w:type="dxa"/>
          </w:tcPr>
          <w:p>
            <w:pPr>
              <w:pStyle w:val="4"/>
              <w:jc w:val="center"/>
            </w:pPr>
            <w:r>
              <w:rPr>
                <w:rFonts w:ascii="仿宋_GB2312" w:hAnsi="仿宋_GB2312" w:eastAsia="仿宋_GB2312" w:cs="仿宋_GB2312"/>
              </w:rPr>
              <w:t>2,487,119.24</w:t>
            </w:r>
          </w:p>
        </w:tc>
        <w:tc>
          <w:tcPr>
            <w:tcW w:w="1138" w:type="dxa"/>
          </w:tcPr>
          <w:p>
            <w:pPr>
              <w:pStyle w:val="4"/>
              <w:jc w:val="center"/>
            </w:pPr>
            <w:r>
              <w:rPr>
                <w:rFonts w:ascii="仿宋_GB2312" w:hAnsi="仿宋_GB2312" w:eastAsia="仿宋_GB2312" w:cs="仿宋_GB2312"/>
              </w:rPr>
              <w:t>总价</w:t>
            </w:r>
          </w:p>
        </w:tc>
        <w:tc>
          <w:tcPr>
            <w:tcW w:w="1934" w:type="dxa"/>
          </w:tcPr>
          <w:p>
            <w:pPr>
              <w:pStyle w:val="4"/>
              <w:jc w:val="left"/>
            </w:pPr>
            <w:r>
              <w:rPr>
                <w:rFonts w:ascii="仿宋_GB2312" w:hAnsi="仿宋_GB2312" w:eastAsia="仿宋_GB2312" w:cs="仿宋_GB2312"/>
              </w:rPr>
              <w:t>无</w:t>
            </w:r>
          </w:p>
        </w:tc>
      </w:tr>
    </w:tbl>
    <w:p>
      <w:pPr>
        <w:pStyle w:val="4"/>
        <w:ind w:firstLine="480"/>
        <w:jc w:val="left"/>
      </w:pPr>
      <w:r>
        <w:rPr>
          <w:rFonts w:ascii="仿宋_GB2312" w:hAnsi="仿宋_GB2312" w:eastAsia="仿宋_GB2312" w:cs="仿宋_GB2312"/>
        </w:rPr>
        <w:t>★注：本采购包涉及采购货物的，供应商响应产品应当明确品牌和规格型号并指向唯一产品，不能指向唯一产品的，应通过报价表唯一产品说明栏补充说明。</w:t>
      </w:r>
    </w:p>
    <w:p>
      <w:pPr>
        <w:pStyle w:val="4"/>
        <w:jc w:val="left"/>
        <w:outlineLvl w:val="3"/>
      </w:pPr>
      <w:r>
        <w:rPr>
          <w:rFonts w:ascii="仿宋_GB2312" w:hAnsi="仿宋_GB2312" w:eastAsia="仿宋_GB2312" w:cs="仿宋_GB2312"/>
          <w:b/>
          <w:sz w:val="24"/>
        </w:rPr>
        <w:t>本项目涉及核心产品：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注：涉及核心产品的，具体评审规定见第五章。</w:t>
      </w:r>
    </w:p>
    <w:p>
      <w:pPr>
        <w:pStyle w:val="4"/>
        <w:jc w:val="left"/>
        <w:outlineLvl w:val="3"/>
      </w:pPr>
      <w:r>
        <w:rPr>
          <w:rFonts w:ascii="仿宋_GB2312" w:hAnsi="仿宋_GB2312" w:eastAsia="仿宋_GB2312" w:cs="仿宋_GB2312"/>
          <w:b/>
          <w:sz w:val="24"/>
        </w:rPr>
        <w:t>本项目涉及采购进口产品：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★注：不涉及采购进口产品时，供应商不得提供进口产品进行响应；涉及采购进口产品时，如国产产品满足采购需求，也可提供国产产品进行响应。</w:t>
      </w:r>
    </w:p>
    <w:p>
      <w:pPr>
        <w:pStyle w:val="4"/>
        <w:jc w:val="left"/>
        <w:outlineLvl w:val="3"/>
      </w:pPr>
      <w:r>
        <w:rPr>
          <w:rFonts w:ascii="仿宋_GB2312" w:hAnsi="仿宋_GB2312" w:eastAsia="仿宋_GB2312" w:cs="仿宋_GB2312"/>
          <w:b/>
          <w:sz w:val="24"/>
        </w:rPr>
        <w:t>本项目涉及强制采购节能产品：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pPr>
        <w:pStyle w:val="4"/>
        <w:jc w:val="left"/>
      </w:pPr>
      <w:r>
        <w:rPr>
          <w:rFonts w:ascii="仿宋_GB2312" w:hAnsi="仿宋_GB2312" w:eastAsia="仿宋_GB2312" w:cs="仿宋_GB2312"/>
          <w:b/>
        </w:rPr>
        <w:t>本项目涉及优先采购节能产品：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pPr>
        <w:pStyle w:val="4"/>
        <w:jc w:val="left"/>
        <w:outlineLvl w:val="3"/>
      </w:pPr>
      <w:r>
        <w:rPr>
          <w:rFonts w:ascii="仿宋_GB2312" w:hAnsi="仿宋_GB2312" w:eastAsia="仿宋_GB2312" w:cs="仿宋_GB2312"/>
          <w:b/>
          <w:sz w:val="24"/>
        </w:rPr>
        <w:t>本项目涉及优先采购环境标志产品：</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pPr>
              <w:pStyle w:val="4"/>
              <w:jc w:val="center"/>
            </w:pPr>
            <w:r>
              <w:rPr>
                <w:rFonts w:ascii="仿宋_GB2312" w:hAnsi="仿宋_GB2312" w:eastAsia="仿宋_GB2312" w:cs="仿宋_GB2312"/>
              </w:rPr>
              <w:t>序号</w:t>
            </w:r>
          </w:p>
        </w:tc>
        <w:tc>
          <w:tcPr>
            <w:tcW w:w="2492" w:type="dxa"/>
          </w:tcPr>
          <w:p>
            <w:pPr>
              <w:pStyle w:val="4"/>
              <w:jc w:val="center"/>
            </w:pPr>
            <w:r>
              <w:rPr>
                <w:rFonts w:ascii="仿宋_GB2312" w:hAnsi="仿宋_GB2312" w:eastAsia="仿宋_GB2312" w:cs="仿宋_GB2312"/>
              </w:rPr>
              <w:t>采购品目名称</w:t>
            </w:r>
          </w:p>
        </w:tc>
        <w:tc>
          <w:tcPr>
            <w:tcW w:w="2492" w:type="dxa"/>
          </w:tcPr>
          <w:p>
            <w:pPr>
              <w:pStyle w:val="4"/>
              <w:jc w:val="center"/>
            </w:pPr>
            <w:r>
              <w:rPr>
                <w:rFonts w:ascii="仿宋_GB2312" w:hAnsi="仿宋_GB2312" w:eastAsia="仿宋_GB2312" w:cs="仿宋_GB2312"/>
              </w:rPr>
              <w:t>标的名称</w:t>
            </w:r>
          </w:p>
        </w:tc>
        <w:tc>
          <w:tcPr>
            <w:tcW w:w="2492" w:type="dxa"/>
          </w:tcPr>
          <w:p>
            <w:pPr>
              <w:pStyle w:val="4"/>
              <w:jc w:val="center"/>
            </w:pPr>
            <w:r>
              <w:rPr>
                <w:rFonts w:ascii="仿宋_GB2312" w:hAnsi="仿宋_GB2312" w:eastAsia="仿宋_GB2312" w:cs="仿宋_GB2312"/>
              </w:rPr>
              <w:t>产品名称</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pPr>
              <w:pStyle w:val="4"/>
              <w:jc w:val="center"/>
            </w:pPr>
            <w:r>
              <w:rPr>
                <w:rFonts w:ascii="仿宋_GB2312" w:hAnsi="仿宋_GB2312" w:eastAsia="仿宋_GB2312" w:cs="仿宋_GB2312"/>
              </w:rPr>
              <w:t>不涉及</w:t>
            </w:r>
          </w:p>
        </w:tc>
      </w:tr>
    </w:tbl>
    <w:p>
      <w:pPr>
        <w:pStyle w:val="4"/>
        <w:ind w:firstLine="480"/>
        <w:jc w:val="left"/>
      </w:pPr>
      <w:r>
        <w:rPr>
          <w:rFonts w:ascii="仿宋_GB2312" w:hAnsi="仿宋_GB2312" w:eastAsia="仿宋_GB2312" w:cs="仿宋_GB2312"/>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标的名称：国省干线及农村公路桥隧定期检查评定和农村公路路况自动化检测评定</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07"/>
        <w:gridCol w:w="407"/>
        <w:gridCol w:w="407"/>
        <w:gridCol w:w="7301"/>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pPr>
              <w:pStyle w:val="4"/>
              <w:jc w:val="left"/>
            </w:pPr>
            <w:r>
              <w:rPr>
                <w:rFonts w:ascii="仿宋_GB2312" w:hAnsi="仿宋_GB2312" w:eastAsia="仿宋_GB2312" w:cs="仿宋_GB2312"/>
              </w:rPr>
              <w:t>项目简介</w:t>
            </w:r>
          </w:p>
        </w:tc>
        <w:tc>
          <w:tcPr>
            <w:tcW w:w="5814" w:type="dxa"/>
          </w:tcPr>
          <w:p>
            <w:pPr>
              <w:pStyle w:val="4"/>
              <w:ind w:firstLine="480"/>
              <w:jc w:val="both"/>
            </w:pPr>
            <w:r>
              <w:rPr>
                <w:rFonts w:ascii="仿宋_GB2312" w:hAnsi="仿宋_GB2312" w:eastAsia="仿宋_GB2312" w:cs="仿宋_GB2312"/>
                <w:sz w:val="24"/>
              </w:rPr>
              <w:t>对沐川县现有桥隧中10座国省干线桥梁、7座隧道，234座农村公路桥梁（其中县道70座、乡道59座、村道105座）开展国省干线及农村公路桥隧定期检查评定工作，对2463.191公里农村公路（其中县道430.241公里、乡道462.544公里、村道1570.406公里）开展农村公路路况自动化检测评定工作。</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技术服务要求</w:t>
            </w:r>
          </w:p>
        </w:tc>
        <w:tc>
          <w:tcPr>
            <w:tcW w:w="5814" w:type="dxa"/>
          </w:tcPr>
          <w:p>
            <w:pPr>
              <w:pStyle w:val="4"/>
              <w:ind w:firstLine="482"/>
              <w:jc w:val="left"/>
            </w:pPr>
            <w:r>
              <w:rPr>
                <w:rFonts w:ascii="仿宋_GB2312" w:hAnsi="仿宋_GB2312" w:eastAsia="仿宋_GB2312" w:cs="仿宋_GB2312"/>
                <w:b/>
                <w:sz w:val="24"/>
              </w:rPr>
              <w:t>（一）公路桥梁技术要求</w:t>
            </w:r>
          </w:p>
          <w:p>
            <w:pPr>
              <w:pStyle w:val="4"/>
              <w:ind w:firstLine="482"/>
              <w:jc w:val="left"/>
            </w:pPr>
            <w:r>
              <w:rPr>
                <w:rFonts w:ascii="仿宋_GB2312" w:hAnsi="仿宋_GB2312" w:eastAsia="仿宋_GB2312" w:cs="仿宋_GB2312"/>
                <w:b/>
                <w:sz w:val="24"/>
              </w:rPr>
              <w:t>1、检测依据：</w:t>
            </w:r>
          </w:p>
          <w:p>
            <w:pPr>
              <w:pStyle w:val="4"/>
              <w:ind w:firstLine="480"/>
              <w:jc w:val="left"/>
            </w:pPr>
            <w:r>
              <w:rPr>
                <w:rFonts w:ascii="仿宋_GB2312" w:hAnsi="仿宋_GB2312" w:eastAsia="仿宋_GB2312" w:cs="仿宋_GB2312"/>
                <w:sz w:val="24"/>
              </w:rPr>
              <w:t>根据《公路桥涵养护规范》（JTG 5120-2021）、《公路桥梁技术状况评定标准》（JTG/T H21-2011）、《公路养护技术标准》（JTG 5110-2023）等现行公路检测相关规范等要求开展桥梁定期检查工作。</w:t>
            </w:r>
          </w:p>
          <w:p>
            <w:pPr>
              <w:pStyle w:val="4"/>
              <w:ind w:firstLine="482"/>
              <w:jc w:val="left"/>
            </w:pPr>
            <w:r>
              <w:rPr>
                <w:rFonts w:ascii="仿宋_GB2312" w:hAnsi="仿宋_GB2312" w:eastAsia="仿宋_GB2312" w:cs="仿宋_GB2312"/>
                <w:b/>
                <w:sz w:val="24"/>
              </w:rPr>
              <w:t>2、检测要求：</w:t>
            </w:r>
          </w:p>
          <w:p>
            <w:pPr>
              <w:pStyle w:val="4"/>
              <w:ind w:firstLine="480"/>
              <w:jc w:val="left"/>
            </w:pPr>
            <w:r>
              <w:rPr>
                <w:rFonts w:ascii="仿宋_GB2312" w:hAnsi="仿宋_GB2312" w:eastAsia="仿宋_GB2312" w:cs="仿宋_GB2312"/>
                <w:sz w:val="24"/>
              </w:rPr>
              <w:t>2.1定期检查应使用桥检车抵近各部件仔细检查其缺损情况，并应符合下列规定：</w:t>
            </w:r>
          </w:p>
          <w:p>
            <w:pPr>
              <w:pStyle w:val="4"/>
              <w:ind w:firstLine="480"/>
              <w:jc w:val="left"/>
            </w:pPr>
            <w:r>
              <w:rPr>
                <w:rFonts w:ascii="仿宋_GB2312" w:hAnsi="仿宋_GB2312" w:eastAsia="仿宋_GB2312" w:cs="仿宋_GB2312"/>
                <w:sz w:val="24"/>
              </w:rPr>
              <w:t>（1）现场校核桥梁基本数据，填写或补充完善“桥梁基本状况卡片”(《公路桥涵养护规范》附录A)。</w:t>
            </w:r>
          </w:p>
          <w:p>
            <w:pPr>
              <w:pStyle w:val="4"/>
              <w:ind w:firstLine="480"/>
              <w:jc w:val="left"/>
            </w:pPr>
            <w:r>
              <w:rPr>
                <w:rFonts w:ascii="仿宋_GB2312" w:hAnsi="仿宋_GB2312" w:eastAsia="仿宋_GB2312" w:cs="仿宋_GB2312"/>
                <w:sz w:val="24"/>
              </w:rPr>
              <w:t>（2）现场填写“桥梁定期检查记录表”（《公路桥涵养护规范》附录C），记录各部件缺损状况并绘制主要病害分布图。</w:t>
            </w:r>
          </w:p>
          <w:p>
            <w:pPr>
              <w:pStyle w:val="4"/>
              <w:ind w:firstLine="480"/>
              <w:jc w:val="left"/>
            </w:pPr>
            <w:r>
              <w:rPr>
                <w:rFonts w:ascii="仿宋_GB2312" w:hAnsi="仿宋_GB2312" w:eastAsia="仿宋_GB2312" w:cs="仿宋_GB2312"/>
                <w:sz w:val="24"/>
              </w:rPr>
              <w:t>（3）对桥梁永久观测点进行复核，对桥面高程及线形、变位等检测指标进行量测。应设而没有设置永久观察点的桥梁，应按规定补设。测点的布设和首次检测的时间及检测数据等，应按要求归档。</w:t>
            </w:r>
          </w:p>
          <w:p>
            <w:pPr>
              <w:pStyle w:val="4"/>
              <w:ind w:firstLine="480"/>
              <w:jc w:val="left"/>
            </w:pPr>
            <w:r>
              <w:rPr>
                <w:rFonts w:ascii="仿宋_GB2312" w:hAnsi="仿宋_GB2312" w:eastAsia="仿宋_GB2312" w:cs="仿宋_GB2312"/>
                <w:sz w:val="24"/>
              </w:rPr>
              <w:t>（4）判断病害原因及影响范围。</w:t>
            </w:r>
          </w:p>
          <w:p>
            <w:pPr>
              <w:pStyle w:val="4"/>
              <w:ind w:firstLine="480"/>
              <w:jc w:val="left"/>
            </w:pPr>
            <w:r>
              <w:rPr>
                <w:rFonts w:ascii="仿宋_GB2312" w:hAnsi="仿宋_GB2312" w:eastAsia="仿宋_GB2312" w:cs="仿宋_GB2312"/>
                <w:sz w:val="24"/>
              </w:rPr>
              <w:t>（5）进行技术状况评定，提出养护建议。</w:t>
            </w:r>
          </w:p>
          <w:p>
            <w:pPr>
              <w:pStyle w:val="4"/>
              <w:ind w:firstLine="480"/>
              <w:jc w:val="left"/>
            </w:pPr>
            <w:r>
              <w:rPr>
                <w:rFonts w:ascii="仿宋_GB2312" w:hAnsi="仿宋_GB2312" w:eastAsia="仿宋_GB2312" w:cs="仿宋_GB2312"/>
                <w:sz w:val="24"/>
              </w:rPr>
              <w:t>2.2桥检车无法到达的位置需用无人机或其它技术配合检查。</w:t>
            </w:r>
          </w:p>
          <w:p>
            <w:pPr>
              <w:pStyle w:val="4"/>
              <w:ind w:firstLine="480"/>
              <w:jc w:val="left"/>
            </w:pPr>
            <w:r>
              <w:rPr>
                <w:rFonts w:ascii="仿宋_GB2312" w:hAnsi="仿宋_GB2312" w:eastAsia="仿宋_GB2312" w:cs="仿宋_GB2312"/>
                <w:sz w:val="24"/>
              </w:rPr>
              <w:t>2.3对需限制交通或关闭的桥梁应及时报告并提出建议。</w:t>
            </w:r>
          </w:p>
          <w:p>
            <w:pPr>
              <w:pStyle w:val="4"/>
              <w:ind w:firstLine="480"/>
              <w:jc w:val="left"/>
            </w:pPr>
            <w:r>
              <w:rPr>
                <w:rFonts w:ascii="仿宋_GB2312" w:hAnsi="仿宋_GB2312" w:eastAsia="仿宋_GB2312" w:cs="仿宋_GB2312"/>
                <w:sz w:val="24"/>
              </w:rPr>
              <w:t>2.4符合国家和行业现行有关标准的规定。</w:t>
            </w:r>
          </w:p>
          <w:p>
            <w:pPr>
              <w:pStyle w:val="4"/>
              <w:ind w:firstLine="482"/>
              <w:jc w:val="left"/>
            </w:pPr>
            <w:r>
              <w:rPr>
                <w:rFonts w:ascii="仿宋_GB2312" w:hAnsi="仿宋_GB2312" w:eastAsia="仿宋_GB2312" w:cs="仿宋_GB2312"/>
                <w:b/>
                <w:sz w:val="24"/>
              </w:rPr>
              <w:t>3、检测目的：</w:t>
            </w:r>
          </w:p>
          <w:p>
            <w:pPr>
              <w:pStyle w:val="4"/>
              <w:ind w:firstLine="480"/>
              <w:jc w:val="left"/>
            </w:pPr>
            <w:r>
              <w:rPr>
                <w:rFonts w:ascii="仿宋_GB2312" w:hAnsi="仿宋_GB2312" w:eastAsia="仿宋_GB2312" w:cs="仿宋_GB2312"/>
                <w:sz w:val="24"/>
              </w:rPr>
              <w:t>3.1通过检测，查清桥梁各个部件技术现状，掌握桥梁各部件的缺损状态和退化程度，评定桥梁的技术状况。</w:t>
            </w:r>
          </w:p>
          <w:p>
            <w:pPr>
              <w:pStyle w:val="4"/>
              <w:ind w:firstLine="480"/>
              <w:jc w:val="left"/>
            </w:pPr>
            <w:r>
              <w:rPr>
                <w:rFonts w:ascii="仿宋_GB2312" w:hAnsi="仿宋_GB2312" w:eastAsia="仿宋_GB2312" w:cs="仿宋_GB2312"/>
                <w:sz w:val="24"/>
              </w:rPr>
              <w:t>3.2查明待检桥梁的基本情况，校核既有资料，复核桥梁已有的基本数据并完善桥梁的缺失数据，建立桥梁的健康档案，为桥梁养护档案管理工作的电子化、数据化或桥梁信息管理系统提供可靠的基础资料。</w:t>
            </w:r>
          </w:p>
          <w:p>
            <w:pPr>
              <w:pStyle w:val="4"/>
              <w:ind w:firstLine="480"/>
              <w:jc w:val="left"/>
            </w:pPr>
            <w:r>
              <w:rPr>
                <w:rFonts w:ascii="仿宋_GB2312" w:hAnsi="仿宋_GB2312" w:eastAsia="仿宋_GB2312" w:cs="仿宋_GB2312"/>
                <w:sz w:val="24"/>
              </w:rPr>
              <w:t>3.3根据桥梁的病害(缺损)情况，提出合理的养护措施和确定维修范围及方式；为桥梁的养护维修加固提供依据。</w:t>
            </w:r>
          </w:p>
          <w:p>
            <w:pPr>
              <w:pStyle w:val="4"/>
              <w:ind w:firstLine="480"/>
              <w:jc w:val="left"/>
            </w:pPr>
            <w:r>
              <w:rPr>
                <w:rFonts w:ascii="仿宋_GB2312" w:hAnsi="仿宋_GB2312" w:eastAsia="仿宋_GB2312" w:cs="仿宋_GB2312"/>
                <w:sz w:val="24"/>
              </w:rPr>
              <w:t>3.4揭示桥梁的安全隐患，对难以判断其损坏程度和原因的桥梁构件，提出进一步检测、试验或监控的建议，确保运营安全。</w:t>
            </w:r>
          </w:p>
          <w:p>
            <w:pPr>
              <w:pStyle w:val="4"/>
              <w:ind w:firstLine="482"/>
              <w:jc w:val="left"/>
            </w:pPr>
            <w:r>
              <w:rPr>
                <w:rFonts w:ascii="仿宋_GB2312" w:hAnsi="仿宋_GB2312" w:eastAsia="仿宋_GB2312" w:cs="仿宋_GB2312"/>
                <w:b/>
                <w:sz w:val="24"/>
              </w:rPr>
              <w:t>4、检测内容：</w:t>
            </w:r>
          </w:p>
          <w:p>
            <w:pPr>
              <w:pStyle w:val="4"/>
              <w:ind w:firstLine="480"/>
              <w:jc w:val="left"/>
            </w:pPr>
            <w:r>
              <w:rPr>
                <w:rFonts w:ascii="仿宋_GB2312" w:hAnsi="仿宋_GB2312" w:eastAsia="仿宋_GB2312" w:cs="仿宋_GB2312"/>
                <w:sz w:val="24"/>
              </w:rPr>
              <w:t>桥梁定期检查的检测内容依据《公路桥涵养护规范》（JTG 5120-2021）、《公路桥梁技术状况评定标准》（JTG/T H21-2011）、《公路养护技术标准》（JTG 5110-2023）等现行公路检测相关规范等要求，主要包括以下检测工作：</w:t>
            </w:r>
          </w:p>
          <w:p>
            <w:pPr>
              <w:pStyle w:val="4"/>
              <w:ind w:firstLine="480"/>
              <w:jc w:val="left"/>
            </w:pPr>
            <w:r>
              <w:rPr>
                <w:rFonts w:ascii="仿宋_GB2312" w:hAnsi="仿宋_GB2312" w:eastAsia="仿宋_GB2312" w:cs="仿宋_GB2312"/>
                <w:sz w:val="24"/>
              </w:rPr>
              <w:t>4.1通过检测，摸清所检测桥梁的运营状况：检查桥梁上部结构和下部结构的裂缝、损伤等情况；检查桥面铺装、护栏等构件缺损状况；</w:t>
            </w:r>
          </w:p>
          <w:p>
            <w:pPr>
              <w:pStyle w:val="4"/>
              <w:ind w:firstLine="480"/>
              <w:jc w:val="left"/>
            </w:pPr>
            <w:r>
              <w:rPr>
                <w:rFonts w:ascii="仿宋_GB2312" w:hAnsi="仿宋_GB2312" w:eastAsia="仿宋_GB2312" w:cs="仿宋_GB2312"/>
                <w:sz w:val="24"/>
              </w:rPr>
              <w:t>4.2实测桥梁的结构尺寸、几何尺寸等，绘制桥梁现状结构图；</w:t>
            </w:r>
          </w:p>
          <w:p>
            <w:pPr>
              <w:pStyle w:val="4"/>
              <w:ind w:firstLine="480"/>
              <w:jc w:val="left"/>
            </w:pPr>
            <w:r>
              <w:rPr>
                <w:rFonts w:ascii="仿宋_GB2312" w:hAnsi="仿宋_GB2312" w:eastAsia="仿宋_GB2312" w:cs="仿宋_GB2312"/>
                <w:sz w:val="24"/>
              </w:rPr>
              <w:t>4.3检查主体结构的强度；</w:t>
            </w:r>
          </w:p>
          <w:p>
            <w:pPr>
              <w:pStyle w:val="4"/>
              <w:ind w:firstLine="480"/>
              <w:jc w:val="left"/>
            </w:pPr>
            <w:r>
              <w:rPr>
                <w:rFonts w:ascii="仿宋_GB2312" w:hAnsi="仿宋_GB2312" w:eastAsia="仿宋_GB2312" w:cs="仿宋_GB2312"/>
                <w:sz w:val="24"/>
              </w:rPr>
              <w:t>4.4依据规范的规定对桥梁进行检测，对桥梁缺陷、损伤和病害进行描述、标记和记录；</w:t>
            </w:r>
          </w:p>
          <w:p>
            <w:pPr>
              <w:pStyle w:val="4"/>
              <w:ind w:firstLine="480"/>
              <w:jc w:val="left"/>
            </w:pPr>
            <w:r>
              <w:rPr>
                <w:rFonts w:ascii="仿宋_GB2312" w:hAnsi="仿宋_GB2312" w:eastAsia="仿宋_GB2312" w:cs="仿宋_GB2312"/>
                <w:sz w:val="24"/>
              </w:rPr>
              <w:t>4.5对发现的病害，实地判断缺损原因，确定维修范围及方式；</w:t>
            </w:r>
          </w:p>
          <w:p>
            <w:pPr>
              <w:pStyle w:val="4"/>
              <w:ind w:firstLine="480"/>
              <w:jc w:val="left"/>
            </w:pPr>
            <w:r>
              <w:rPr>
                <w:rFonts w:ascii="仿宋_GB2312" w:hAnsi="仿宋_GB2312" w:eastAsia="仿宋_GB2312" w:cs="仿宋_GB2312"/>
                <w:sz w:val="24"/>
              </w:rPr>
              <w:t>4.6对具有潜在退化可能的桥梁构件，提出相应的养护措施；</w:t>
            </w:r>
          </w:p>
          <w:p>
            <w:pPr>
              <w:pStyle w:val="4"/>
              <w:ind w:firstLine="480"/>
              <w:jc w:val="left"/>
            </w:pPr>
            <w:r>
              <w:rPr>
                <w:rFonts w:ascii="仿宋_GB2312" w:hAnsi="仿宋_GB2312" w:eastAsia="仿宋_GB2312" w:cs="仿宋_GB2312"/>
                <w:sz w:val="24"/>
              </w:rPr>
              <w:t>4.7依据各部件缺损状况的记录，做出桥梁的技术状况评定；</w:t>
            </w:r>
          </w:p>
          <w:p>
            <w:pPr>
              <w:pStyle w:val="4"/>
              <w:ind w:firstLine="480"/>
              <w:jc w:val="left"/>
            </w:pPr>
            <w:r>
              <w:rPr>
                <w:rFonts w:ascii="仿宋_GB2312" w:hAnsi="仿宋_GB2312" w:eastAsia="仿宋_GB2312" w:cs="仿宋_GB2312"/>
                <w:sz w:val="24"/>
              </w:rPr>
              <w:t>4.8对损坏严重、危及桥梁安全运行的构件，提出处治的建议；</w:t>
            </w:r>
          </w:p>
          <w:p>
            <w:pPr>
              <w:pStyle w:val="4"/>
              <w:ind w:firstLine="480"/>
              <w:jc w:val="left"/>
            </w:pPr>
            <w:r>
              <w:rPr>
                <w:rFonts w:ascii="仿宋_GB2312" w:hAnsi="仿宋_GB2312" w:eastAsia="仿宋_GB2312" w:cs="仿宋_GB2312"/>
                <w:sz w:val="24"/>
              </w:rPr>
              <w:t>4.9跨河桥梁须进行河床及调治构造物的检查。</w:t>
            </w:r>
          </w:p>
          <w:p>
            <w:pPr>
              <w:pStyle w:val="4"/>
              <w:ind w:firstLine="480"/>
              <w:jc w:val="left"/>
            </w:pPr>
            <w:r>
              <w:rPr>
                <w:rFonts w:ascii="仿宋_GB2312" w:hAnsi="仿宋_GB2312" w:eastAsia="仿宋_GB2312" w:cs="仿宋_GB2312"/>
                <w:sz w:val="24"/>
              </w:rPr>
              <w:t>4.10定期检查中发现的各种缺损应在现场将其范围、分布特征、程度及检测日期标记清楚。对3、4、5类桥梁及有严重缺损的构件，应作影像记录，并附病害状况说明；</w:t>
            </w:r>
          </w:p>
          <w:p>
            <w:pPr>
              <w:pStyle w:val="4"/>
              <w:ind w:firstLine="480"/>
              <w:jc w:val="left"/>
            </w:pPr>
            <w:r>
              <w:rPr>
                <w:rFonts w:ascii="仿宋_GB2312" w:hAnsi="仿宋_GB2312" w:eastAsia="仿宋_GB2312" w:cs="仿宋_GB2312"/>
                <w:sz w:val="24"/>
              </w:rPr>
              <w:t>4.11《公路桥涵养护规范》（JTG 5120-2021）中3.5节中规定的检查内容；</w:t>
            </w:r>
          </w:p>
          <w:p>
            <w:pPr>
              <w:pStyle w:val="4"/>
              <w:ind w:firstLine="480"/>
              <w:jc w:val="left"/>
            </w:pPr>
            <w:r>
              <w:rPr>
                <w:rFonts w:ascii="仿宋_GB2312" w:hAnsi="仿宋_GB2312" w:eastAsia="仿宋_GB2312" w:cs="仿宋_GB2312"/>
                <w:sz w:val="24"/>
              </w:rPr>
              <w:t>4.12供应商应负责检测期间交通组织方案编制及报批，实施及现场安全管理。</w:t>
            </w:r>
          </w:p>
          <w:p>
            <w:pPr>
              <w:pStyle w:val="4"/>
              <w:ind w:firstLine="482"/>
              <w:jc w:val="left"/>
            </w:pPr>
            <w:r>
              <w:rPr>
                <w:rFonts w:ascii="仿宋_GB2312" w:hAnsi="仿宋_GB2312" w:eastAsia="仿宋_GB2312" w:cs="仿宋_GB2312"/>
                <w:b/>
                <w:sz w:val="24"/>
              </w:rPr>
              <w:t>5、检查成果：</w:t>
            </w:r>
          </w:p>
          <w:p>
            <w:pPr>
              <w:pStyle w:val="4"/>
              <w:ind w:firstLine="480"/>
              <w:jc w:val="left"/>
            </w:pPr>
            <w:r>
              <w:rPr>
                <w:rFonts w:ascii="仿宋_GB2312" w:hAnsi="仿宋_GB2312" w:eastAsia="仿宋_GB2312" w:cs="仿宋_GB2312"/>
                <w:sz w:val="24"/>
              </w:rPr>
              <w:t>定期检查后提交检查报告，应主要包括下列内容：</w:t>
            </w:r>
          </w:p>
          <w:p>
            <w:pPr>
              <w:pStyle w:val="4"/>
              <w:ind w:firstLine="480"/>
              <w:jc w:val="left"/>
            </w:pPr>
            <w:r>
              <w:rPr>
                <w:rFonts w:ascii="仿宋_GB2312" w:hAnsi="仿宋_GB2312" w:eastAsia="仿宋_GB2312" w:cs="仿宋_GB2312"/>
                <w:sz w:val="24"/>
              </w:rPr>
              <w:t>5.1桥梁基本状况卡片（《公路桥涵养护规范》附录A）、桥梁定期检查记录表（《公路桥涵养护规范》附录C）、桥梁技术状况评定表。</w:t>
            </w:r>
          </w:p>
          <w:p>
            <w:pPr>
              <w:pStyle w:val="4"/>
              <w:ind w:firstLine="480"/>
              <w:jc w:val="left"/>
            </w:pPr>
            <w:r>
              <w:rPr>
                <w:rFonts w:ascii="仿宋_GB2312" w:hAnsi="仿宋_GB2312" w:eastAsia="仿宋_GB2312" w:cs="仿宋_GB2312"/>
                <w:sz w:val="24"/>
              </w:rPr>
              <w:t>5.2典型缺损和病害的照片、文字说明及缺损分布图，缺损状况的描述应采用专业术语，说明缺损的部位、类型、性质、范围、数量和程度等。</w:t>
            </w:r>
          </w:p>
          <w:p>
            <w:pPr>
              <w:pStyle w:val="4"/>
              <w:ind w:firstLine="480"/>
              <w:jc w:val="left"/>
            </w:pPr>
            <w:r>
              <w:rPr>
                <w:rFonts w:ascii="仿宋_GB2312" w:hAnsi="仿宋_GB2312" w:eastAsia="仿宋_GB2312" w:cs="仿宋_GB2312"/>
                <w:sz w:val="24"/>
              </w:rPr>
              <w:t>5.3三张总体照片。包括桥面正面照片一张，桥梁两侧立面照片各一张。</w:t>
            </w:r>
          </w:p>
          <w:p>
            <w:pPr>
              <w:pStyle w:val="4"/>
              <w:ind w:firstLine="480"/>
              <w:jc w:val="left"/>
            </w:pPr>
            <w:r>
              <w:rPr>
                <w:rFonts w:ascii="仿宋_GB2312" w:hAnsi="仿宋_GB2312" w:eastAsia="仿宋_GB2312" w:cs="仿宋_GB2312"/>
                <w:sz w:val="24"/>
              </w:rPr>
              <w:t>5.4判断病害原因及影响范围，并与历次检查报告进行对比分析，说明病害发展情况。</w:t>
            </w:r>
          </w:p>
          <w:p>
            <w:pPr>
              <w:pStyle w:val="4"/>
              <w:ind w:firstLine="480"/>
              <w:jc w:val="left"/>
            </w:pPr>
            <w:r>
              <w:rPr>
                <w:rFonts w:ascii="仿宋_GB2312" w:hAnsi="仿宋_GB2312" w:eastAsia="仿宋_GB2312" w:cs="仿宋_GB2312"/>
                <w:sz w:val="24"/>
              </w:rPr>
              <w:t>5.5桥梁的技术状况评定等级，承载能力较低拱桥需要进行承载能力验算。</w:t>
            </w:r>
          </w:p>
          <w:p>
            <w:pPr>
              <w:pStyle w:val="4"/>
              <w:ind w:firstLine="480"/>
              <w:jc w:val="left"/>
            </w:pPr>
            <w:r>
              <w:rPr>
                <w:rFonts w:ascii="仿宋_GB2312" w:hAnsi="仿宋_GB2312" w:eastAsia="仿宋_GB2312" w:cs="仿宋_GB2312"/>
                <w:sz w:val="24"/>
              </w:rPr>
              <w:t>5.6桥梁的养护检查等级。</w:t>
            </w:r>
          </w:p>
          <w:p>
            <w:pPr>
              <w:pStyle w:val="4"/>
              <w:ind w:firstLine="480"/>
              <w:jc w:val="left"/>
            </w:pPr>
            <w:r>
              <w:rPr>
                <w:rFonts w:ascii="仿宋_GB2312" w:hAnsi="仿宋_GB2312" w:eastAsia="仿宋_GB2312" w:cs="仿宋_GB2312"/>
                <w:sz w:val="24"/>
              </w:rPr>
              <w:t>5.7提出养护建议及下次检查时间。</w:t>
            </w:r>
          </w:p>
          <w:p>
            <w:pPr>
              <w:pStyle w:val="4"/>
              <w:ind w:firstLine="482"/>
              <w:jc w:val="left"/>
            </w:pPr>
            <w:r>
              <w:rPr>
                <w:rFonts w:ascii="仿宋_GB2312" w:hAnsi="仿宋_GB2312" w:eastAsia="仿宋_GB2312" w:cs="仿宋_GB2312"/>
                <w:b/>
                <w:sz w:val="24"/>
              </w:rPr>
              <w:t>（二）隧道技术要求</w:t>
            </w:r>
          </w:p>
          <w:p>
            <w:pPr>
              <w:pStyle w:val="4"/>
              <w:ind w:firstLine="482"/>
              <w:jc w:val="left"/>
            </w:pPr>
            <w:r>
              <w:rPr>
                <w:rFonts w:ascii="仿宋_GB2312" w:hAnsi="仿宋_GB2312" w:eastAsia="仿宋_GB2312" w:cs="仿宋_GB2312"/>
                <w:b/>
                <w:sz w:val="24"/>
              </w:rPr>
              <w:t>1、检测依据：</w:t>
            </w:r>
          </w:p>
          <w:p>
            <w:pPr>
              <w:pStyle w:val="4"/>
              <w:ind w:firstLine="480"/>
              <w:jc w:val="left"/>
            </w:pPr>
            <w:r>
              <w:rPr>
                <w:rFonts w:ascii="仿宋_GB2312" w:hAnsi="仿宋_GB2312" w:eastAsia="仿宋_GB2312" w:cs="仿宋_GB2312"/>
                <w:sz w:val="24"/>
              </w:rPr>
              <w:t>根据《公路工程质量检验评定标准第二册机电工程》（JTG 2182-2020）；《公路机电工程测试规程》（JTG/T 3520-2021）；《公路隧道设计规范 第二册 交通工程与附属设施》（JTG D70/2-2014）；《公路隧道养护技术规范》（JTG H12-2015）；《电气装置安装工程 接地装置施工及验收规范》（GB 50169-2016）；《公路隧道火灾报警系统技术条件》（JT/T 610-2024）；《公路隧道照明灯具》（JT/T 609-2022）；《公路隧道发光型诱导设施》（JT/T 820-2011）；《LED 车道控制标志》（JT/T 597-2022）；《高速公路 LED 可变信息标志》（GB/T 23828-2023）；其它相关国家、行业主管部门发布的文件、标准和规范。</w:t>
            </w:r>
          </w:p>
          <w:p>
            <w:pPr>
              <w:pStyle w:val="4"/>
              <w:ind w:firstLine="482"/>
              <w:jc w:val="left"/>
            </w:pPr>
            <w:r>
              <w:rPr>
                <w:rFonts w:ascii="仿宋_GB2312" w:hAnsi="仿宋_GB2312" w:eastAsia="仿宋_GB2312" w:cs="仿宋_GB2312"/>
                <w:b/>
                <w:sz w:val="24"/>
              </w:rPr>
              <w:t>2、检测要求：</w:t>
            </w:r>
          </w:p>
          <w:p>
            <w:pPr>
              <w:pStyle w:val="4"/>
              <w:ind w:firstLine="480"/>
              <w:jc w:val="left"/>
            </w:pPr>
            <w:r>
              <w:rPr>
                <w:rFonts w:ascii="仿宋_GB2312" w:hAnsi="仿宋_GB2312" w:eastAsia="仿宋_GB2312" w:cs="仿宋_GB2312"/>
                <w:sz w:val="24"/>
              </w:rPr>
              <w:t>符合国家和行业现行有关标准的规定，对隧道土建结构和其他工程设施的各分项设施病害、缺损程度及相关指标、机电设施及设备完好率等进行检查，准确全面掌握隧道使用状况，提出养护维修的方案和相关建议，对隧道进行技术状况评定，并出具检测报告。供应商应负责检测期间交通组织方案编制及报批、实施及现场安全管理。</w:t>
            </w:r>
          </w:p>
          <w:p>
            <w:pPr>
              <w:pStyle w:val="4"/>
              <w:ind w:firstLine="482"/>
              <w:jc w:val="left"/>
            </w:pPr>
            <w:r>
              <w:rPr>
                <w:rFonts w:ascii="仿宋_GB2312" w:hAnsi="仿宋_GB2312" w:eastAsia="仿宋_GB2312" w:cs="仿宋_GB2312"/>
                <w:b/>
                <w:sz w:val="24"/>
              </w:rPr>
              <w:t>3、检测目的：</w:t>
            </w:r>
          </w:p>
          <w:p>
            <w:pPr>
              <w:pStyle w:val="4"/>
              <w:ind w:firstLine="480"/>
              <w:jc w:val="left"/>
            </w:pPr>
            <w:r>
              <w:rPr>
                <w:rFonts w:ascii="仿宋_GB2312" w:hAnsi="仿宋_GB2312" w:eastAsia="仿宋_GB2312" w:cs="仿宋_GB2312"/>
                <w:sz w:val="24"/>
              </w:rPr>
              <w:t>系统掌握结构技术状况和功能状况，通过系统检查及时发现隐患，制定维修计划，保障隧道长期安全运营。检查后需形成报告，记录缺陷位置、等级及处理建议。</w:t>
            </w:r>
          </w:p>
          <w:p>
            <w:pPr>
              <w:pStyle w:val="4"/>
              <w:ind w:firstLine="482"/>
              <w:jc w:val="left"/>
            </w:pPr>
            <w:r>
              <w:rPr>
                <w:rFonts w:ascii="仿宋_GB2312" w:hAnsi="仿宋_GB2312" w:eastAsia="仿宋_GB2312" w:cs="仿宋_GB2312"/>
                <w:b/>
                <w:sz w:val="24"/>
              </w:rPr>
              <w:t>4、检测内容：</w:t>
            </w:r>
          </w:p>
          <w:p>
            <w:pPr>
              <w:pStyle w:val="4"/>
              <w:ind w:firstLine="480"/>
              <w:jc w:val="left"/>
            </w:pPr>
            <w:r>
              <w:rPr>
                <w:rFonts w:ascii="仿宋_GB2312" w:hAnsi="仿宋_GB2312" w:eastAsia="仿宋_GB2312" w:cs="仿宋_GB2312"/>
                <w:sz w:val="24"/>
              </w:rPr>
              <w:t>公路隧道定期检查是确保结构安全、运营正常的重要环节，检查内容需覆盖土建结构、机电设施、交通安全及环境等方面。以下是主要检查内容分类及要点：</w:t>
            </w:r>
          </w:p>
          <w:p>
            <w:pPr>
              <w:pStyle w:val="4"/>
              <w:ind w:firstLine="480"/>
              <w:jc w:val="left"/>
            </w:pPr>
            <w:r>
              <w:rPr>
                <w:rFonts w:ascii="仿宋_GB2312" w:hAnsi="仿宋_GB2312" w:eastAsia="仿宋_GB2312" w:cs="仿宋_GB2312"/>
                <w:sz w:val="24"/>
              </w:rPr>
              <w:t>4.1土建结构检查</w:t>
            </w:r>
          </w:p>
          <w:p>
            <w:pPr>
              <w:pStyle w:val="4"/>
              <w:ind w:firstLine="480"/>
              <w:jc w:val="left"/>
            </w:pPr>
            <w:r>
              <w:rPr>
                <w:rFonts w:ascii="仿宋_GB2312" w:hAnsi="仿宋_GB2312" w:eastAsia="仿宋_GB2312" w:cs="仿宋_GB2312"/>
                <w:sz w:val="24"/>
              </w:rPr>
              <w:t>（1）衬砌结构：裂缝位置、宽度、长度、范围及程度，墙身施工缝开裂宽度、错位量等；渗漏水（位置、水量、浑浊、冻结状况及渗漏量等）；剥落、起层、孔洞等表面缺陷；变形、错台、接缝开裂；混凝土碳化、钢筋锈蚀（必要时检测）。</w:t>
            </w:r>
          </w:p>
          <w:p>
            <w:pPr>
              <w:pStyle w:val="4"/>
              <w:ind w:firstLine="480"/>
              <w:jc w:val="left"/>
            </w:pPr>
            <w:r>
              <w:rPr>
                <w:rFonts w:ascii="仿宋_GB2312" w:hAnsi="仿宋_GB2312" w:eastAsia="仿宋_GB2312" w:cs="仿宋_GB2312"/>
                <w:sz w:val="24"/>
              </w:rPr>
              <w:t>（2）路面与排水系统：路面破损（裂缝、坑槽、隆起等）；沉陷、错台、溜滑的范围和程度；积水、结冰等隐患。</w:t>
            </w:r>
          </w:p>
          <w:p>
            <w:pPr>
              <w:pStyle w:val="4"/>
              <w:ind w:firstLine="480"/>
              <w:jc w:val="left"/>
            </w:pPr>
            <w:r>
              <w:rPr>
                <w:rFonts w:ascii="仿宋_GB2312" w:hAnsi="仿宋_GB2312" w:eastAsia="仿宋_GB2312" w:cs="仿宋_GB2312"/>
                <w:sz w:val="24"/>
              </w:rPr>
              <w:t>（3）洞门与洞口：边坡稳定性（滑坡、落石、岩石崩塌的迹象、征兆及发展趋势）；边坡、碎落台、护坡道的缺口、冲沟、潜流涌水、沉陷、塌落等及发展趋势；护坡、挡土墙的裂缝、断缝、倾斜、鼓肚、滑动、下沉的位置、范围及其程度，有无表面风化、泄水孔堵塞、墙后积水、地基错台、空隙等现象及其程度。洞门墙身裂缝的位置、宽度、长度、范围和程度；结构倾斜、沉陷、断裂范围、变位量、发展趋势；混凝土起层、剥落的范围和深度；钢筋有无外露、受到锈蚀；墙背填料流失范围及程度。</w:t>
            </w:r>
          </w:p>
          <w:p>
            <w:pPr>
              <w:pStyle w:val="4"/>
              <w:ind w:firstLine="480"/>
              <w:jc w:val="left"/>
            </w:pPr>
            <w:r>
              <w:rPr>
                <w:rFonts w:ascii="仿宋_GB2312" w:hAnsi="仿宋_GB2312" w:eastAsia="仿宋_GB2312" w:cs="仿宋_GB2312"/>
                <w:sz w:val="24"/>
              </w:rPr>
              <w:t>（4）排水系统：结构缺损情况，边沟盖板完好程度；沟管开裂漏水状况；排水沟、截水沟等淤塞、沉沙、滞水、结冰等状况。</w:t>
            </w:r>
          </w:p>
          <w:p>
            <w:pPr>
              <w:pStyle w:val="4"/>
              <w:ind w:firstLine="480"/>
              <w:jc w:val="left"/>
            </w:pPr>
            <w:r>
              <w:rPr>
                <w:rFonts w:ascii="仿宋_GB2312" w:hAnsi="仿宋_GB2312" w:eastAsia="仿宋_GB2312" w:cs="仿宋_GB2312"/>
                <w:sz w:val="24"/>
              </w:rPr>
              <w:t>（5）附属设施：检修道、电缆沟破损；防火板、装饰层脱落等；检修道损坏、盖板缺损的位置状况；栏杆变形、锈蚀、缺损情况；吊顶及吊杆等预埋件完好程度，有无锈蚀、变形缺损等危及安全的现象及程度；是否漏水（挂冰）等；装饰板变形、缺损范围及程度。</w:t>
            </w:r>
          </w:p>
          <w:p>
            <w:pPr>
              <w:pStyle w:val="4"/>
              <w:ind w:firstLine="480"/>
              <w:jc w:val="left"/>
            </w:pPr>
            <w:r>
              <w:rPr>
                <w:rFonts w:ascii="仿宋_GB2312" w:hAnsi="仿宋_GB2312" w:eastAsia="仿宋_GB2312" w:cs="仿宋_GB2312"/>
                <w:sz w:val="24"/>
              </w:rPr>
              <w:t>4.2机电设施检查</w:t>
            </w:r>
          </w:p>
          <w:p>
            <w:pPr>
              <w:pStyle w:val="4"/>
              <w:ind w:firstLine="480"/>
              <w:jc w:val="left"/>
            </w:pPr>
            <w:r>
              <w:rPr>
                <w:rFonts w:ascii="仿宋_GB2312" w:hAnsi="仿宋_GB2312" w:eastAsia="仿宋_GB2312" w:cs="仿宋_GB2312"/>
                <w:sz w:val="24"/>
              </w:rPr>
              <w:t>（1）供配电设施：高压断路器柜，高压互感器与避雷器柜，高压计量柜，高压隔离开关和负荷开关柜，电力变压器，箱式变电站，电力电容器柜，低压开关柜，配电箱，插座箱，控制箱，电力线缆，电缆桥架、槽盒、托架及支架，变电所铁构件，综合微机保护装置，直流电源，UPS源，EPS电源、自备发电设备，防雷接地设施，所有设备是否符合标准要求。设备是否有无烧损、接触是否紧密，安装是否牢固，接地电阻是否正常等，</w:t>
            </w:r>
          </w:p>
          <w:p>
            <w:pPr>
              <w:pStyle w:val="4"/>
              <w:ind w:firstLine="480"/>
              <w:jc w:val="left"/>
            </w:pPr>
            <w:r>
              <w:rPr>
                <w:rFonts w:ascii="仿宋_GB2312" w:hAnsi="仿宋_GB2312" w:eastAsia="仿宋_GB2312" w:cs="仿宋_GB2312"/>
                <w:sz w:val="24"/>
              </w:rPr>
              <w:t>（2）通风系统：风机运行状态、噪音异常；风道积尘或堵塞；安装部位是否存在问题；电动机及线路有无异常等。</w:t>
            </w:r>
          </w:p>
          <w:p>
            <w:pPr>
              <w:pStyle w:val="4"/>
              <w:ind w:firstLine="480"/>
              <w:jc w:val="left"/>
            </w:pPr>
            <w:r>
              <w:rPr>
                <w:rFonts w:ascii="仿宋_GB2312" w:hAnsi="仿宋_GB2312" w:eastAsia="仿宋_GB2312" w:cs="仿宋_GB2312"/>
                <w:sz w:val="24"/>
              </w:rPr>
              <w:t>（3）照明系统：隧道灯具，洞外照明、照明线路。灯具损坏、亮度达标性；应急照明功能测试；照明线路；照明亮度检测等</w:t>
            </w:r>
          </w:p>
          <w:p>
            <w:pPr>
              <w:pStyle w:val="4"/>
              <w:ind w:firstLine="480"/>
              <w:jc w:val="left"/>
            </w:pPr>
            <w:r>
              <w:rPr>
                <w:rFonts w:ascii="仿宋_GB2312" w:hAnsi="仿宋_GB2312" w:eastAsia="仿宋_GB2312" w:cs="仿宋_GB2312"/>
                <w:sz w:val="24"/>
              </w:rPr>
              <w:t>（4）消防系统：火灾报警设施，液位检测器，消防栓及灭火器，阀门，水喷雾灭火设施，水泵接合器，水泵，电动机，给水管，气体灭火设施，消防水池，电光标志。灭火器、消火栓压力及有效期；火灾报警器灵敏度；给水管总体情况等。</w:t>
            </w:r>
          </w:p>
          <w:p>
            <w:pPr>
              <w:pStyle w:val="4"/>
              <w:ind w:firstLine="480"/>
              <w:jc w:val="left"/>
            </w:pPr>
            <w:r>
              <w:rPr>
                <w:rFonts w:ascii="仿宋_GB2312" w:hAnsi="仿宋_GB2312" w:eastAsia="仿宋_GB2312" w:cs="仿宋_GB2312"/>
                <w:sz w:val="24"/>
              </w:rPr>
              <w:t>（5）监控与通信：亮度检测器，能见度检测器，CO检测器，风速风向检测器，车辆检测器，闭路电视监控系统，视频交通事件检测器，大屏幕投影系统，地图板，紧急电话及广播，本地控制器，横通道门，横通道控制箱，交通控制和诱导设施，通信设施，监控室设备及系统，监控室。以上设施符合相关标准要求，功能正常。</w:t>
            </w:r>
          </w:p>
          <w:p>
            <w:pPr>
              <w:pStyle w:val="4"/>
              <w:ind w:firstLine="480"/>
              <w:jc w:val="left"/>
            </w:pPr>
            <w:r>
              <w:rPr>
                <w:rFonts w:ascii="仿宋_GB2312" w:hAnsi="仿宋_GB2312" w:eastAsia="仿宋_GB2312" w:cs="仿宋_GB2312"/>
                <w:sz w:val="24"/>
              </w:rPr>
              <w:t>4.3交通安全设施</w:t>
            </w:r>
          </w:p>
          <w:p>
            <w:pPr>
              <w:pStyle w:val="4"/>
              <w:ind w:firstLine="480"/>
              <w:jc w:val="left"/>
            </w:pPr>
            <w:r>
              <w:rPr>
                <w:rFonts w:ascii="仿宋_GB2312" w:hAnsi="仿宋_GB2312" w:eastAsia="仿宋_GB2312" w:cs="仿宋_GB2312"/>
                <w:sz w:val="24"/>
              </w:rPr>
              <w:t>标志标线（清晰度、反光效果）；轮廓标、诱导设施完好性，连接构件牢固情况，光度是否满足要求；防撞设施（护栏、缓冲垫）变形或损坏。</w:t>
            </w:r>
          </w:p>
          <w:p>
            <w:pPr>
              <w:pStyle w:val="4"/>
              <w:ind w:firstLine="480"/>
              <w:jc w:val="left"/>
            </w:pPr>
            <w:r>
              <w:rPr>
                <w:rFonts w:ascii="仿宋_GB2312" w:hAnsi="仿宋_GB2312" w:eastAsia="仿宋_GB2312" w:cs="仿宋_GB2312"/>
                <w:sz w:val="24"/>
              </w:rPr>
              <w:t>4.4环境与运营状态</w:t>
            </w:r>
          </w:p>
          <w:p>
            <w:pPr>
              <w:pStyle w:val="4"/>
              <w:ind w:firstLine="480"/>
              <w:jc w:val="left"/>
            </w:pPr>
            <w:r>
              <w:rPr>
                <w:rFonts w:ascii="仿宋_GB2312" w:hAnsi="仿宋_GB2312" w:eastAsia="仿宋_GB2312" w:cs="仿宋_GB2312"/>
                <w:sz w:val="24"/>
              </w:rPr>
              <w:t>洞内空气质量（CO/VI浓度检测）；噪声水平（特殊路段需监测）；交通流量异常或拥堵点分析。</w:t>
            </w:r>
          </w:p>
          <w:p>
            <w:pPr>
              <w:pStyle w:val="4"/>
              <w:ind w:firstLine="480"/>
              <w:jc w:val="left"/>
            </w:pPr>
            <w:r>
              <w:rPr>
                <w:rFonts w:ascii="仿宋_GB2312" w:hAnsi="仿宋_GB2312" w:eastAsia="仿宋_GB2312" w:cs="仿宋_GB2312"/>
                <w:sz w:val="24"/>
              </w:rPr>
              <w:t>4.5特殊项目（根据需求）</w:t>
            </w:r>
          </w:p>
          <w:p>
            <w:pPr>
              <w:pStyle w:val="4"/>
              <w:ind w:firstLine="480"/>
              <w:jc w:val="left"/>
            </w:pPr>
            <w:r>
              <w:rPr>
                <w:rFonts w:ascii="仿宋_GB2312" w:hAnsi="仿宋_GB2312" w:eastAsia="仿宋_GB2312" w:cs="仿宋_GB2312"/>
                <w:sz w:val="24"/>
              </w:rPr>
              <w:t>结构变形监测（收敛仪、全站仪）；地质雷达扫描（衬砌背后空洞检测）；抗震设施状态（如设防区）。</w:t>
            </w:r>
          </w:p>
          <w:p>
            <w:pPr>
              <w:pStyle w:val="4"/>
              <w:ind w:firstLine="482"/>
              <w:jc w:val="left"/>
            </w:pPr>
            <w:r>
              <w:rPr>
                <w:rFonts w:ascii="仿宋_GB2312" w:hAnsi="仿宋_GB2312" w:eastAsia="仿宋_GB2312" w:cs="仿宋_GB2312"/>
                <w:b/>
                <w:sz w:val="24"/>
              </w:rPr>
              <w:t>5、检测成果：</w:t>
            </w:r>
          </w:p>
          <w:p>
            <w:pPr>
              <w:pStyle w:val="4"/>
              <w:ind w:firstLine="480"/>
              <w:jc w:val="left"/>
            </w:pPr>
            <w:r>
              <w:rPr>
                <w:rFonts w:ascii="仿宋_GB2312" w:hAnsi="仿宋_GB2312" w:eastAsia="仿宋_GB2312" w:cs="仿宋_GB2312"/>
                <w:sz w:val="24"/>
              </w:rPr>
              <w:t>5.1检查结果应及时填入土建结构和机电设施“定期检查记录表”，将检查数据及病害绘入“隧道展示图”；</w:t>
            </w:r>
          </w:p>
          <w:p>
            <w:pPr>
              <w:pStyle w:val="4"/>
              <w:ind w:firstLine="480"/>
              <w:jc w:val="left"/>
            </w:pPr>
            <w:r>
              <w:rPr>
                <w:rFonts w:ascii="仿宋_GB2312" w:hAnsi="仿宋_GB2312" w:eastAsia="仿宋_GB2312" w:cs="仿宋_GB2312"/>
                <w:sz w:val="24"/>
              </w:rPr>
              <w:t>5.2提供隧道总体照片，其中每座隧道照片不少于3张，分别为正面照1张，两侧立面照各1张；</w:t>
            </w:r>
          </w:p>
          <w:p>
            <w:pPr>
              <w:pStyle w:val="4"/>
              <w:ind w:firstLine="480"/>
              <w:jc w:val="left"/>
            </w:pPr>
            <w:r>
              <w:rPr>
                <w:rFonts w:ascii="仿宋_GB2312" w:hAnsi="仿宋_GB2312" w:eastAsia="仿宋_GB2312" w:cs="仿宋_GB2312"/>
                <w:sz w:val="24"/>
              </w:rPr>
              <w:t>5.3按照《公路隧道养护技术规范》要求，详细、准确地记录各类结构的基本技术状况，分析病害的成因，给出判定结论，提出养护维修或加固方案；</w:t>
            </w:r>
          </w:p>
          <w:p>
            <w:pPr>
              <w:pStyle w:val="4"/>
              <w:ind w:firstLine="480"/>
              <w:jc w:val="left"/>
            </w:pPr>
            <w:r>
              <w:rPr>
                <w:rFonts w:ascii="仿宋_GB2312" w:hAnsi="仿宋_GB2312" w:eastAsia="仿宋_GB2312" w:cs="仿宋_GB2312"/>
                <w:sz w:val="24"/>
              </w:rPr>
              <w:t>5.4检测中发现的各种缺损均应在现场用油漆等将其范围及日期标记清楚。发现有严重缺损和难以判明损坏原因和程度的病害，应作影像记录，并附病害状况说明；</w:t>
            </w:r>
          </w:p>
          <w:p>
            <w:pPr>
              <w:pStyle w:val="4"/>
              <w:ind w:firstLine="480"/>
              <w:jc w:val="left"/>
            </w:pPr>
            <w:r>
              <w:rPr>
                <w:rFonts w:ascii="仿宋_GB2312" w:hAnsi="仿宋_GB2312" w:eastAsia="仿宋_GB2312" w:cs="仿宋_GB2312"/>
                <w:sz w:val="24"/>
              </w:rPr>
              <w:t>5.5对受检隧道结合以往检查报告对比分析病害动态变化情况及产生原因；</w:t>
            </w:r>
          </w:p>
          <w:p>
            <w:pPr>
              <w:pStyle w:val="4"/>
              <w:ind w:firstLine="480"/>
              <w:jc w:val="left"/>
            </w:pPr>
            <w:r>
              <w:rPr>
                <w:rFonts w:ascii="仿宋_GB2312" w:hAnsi="仿宋_GB2312" w:eastAsia="仿宋_GB2312" w:cs="仿宋_GB2312"/>
                <w:sz w:val="24"/>
              </w:rPr>
              <w:t>5.6检查后需编制检查报告，内容应主要包括：</w:t>
            </w:r>
          </w:p>
          <w:p>
            <w:pPr>
              <w:pStyle w:val="4"/>
              <w:ind w:firstLine="480"/>
              <w:jc w:val="left"/>
            </w:pPr>
            <w:r>
              <w:rPr>
                <w:rFonts w:ascii="仿宋_GB2312" w:hAnsi="仿宋_GB2312" w:eastAsia="仿宋_GB2312" w:cs="仿宋_GB2312"/>
                <w:sz w:val="24"/>
              </w:rPr>
              <w:t>（1）检查记录表、隧道展示图及相关调查资料等。</w:t>
            </w:r>
          </w:p>
          <w:p>
            <w:pPr>
              <w:pStyle w:val="4"/>
              <w:ind w:firstLine="480"/>
              <w:jc w:val="left"/>
            </w:pPr>
            <w:r>
              <w:rPr>
                <w:rFonts w:ascii="仿宋_GB2312" w:hAnsi="仿宋_GB2312" w:eastAsia="仿宋_GB2312" w:cs="仿宋_GB2312"/>
                <w:sz w:val="24"/>
              </w:rPr>
              <w:t>（2）隧道养护等级评定。</w:t>
            </w:r>
          </w:p>
          <w:p>
            <w:pPr>
              <w:pStyle w:val="4"/>
              <w:ind w:firstLine="480"/>
              <w:jc w:val="left"/>
            </w:pPr>
            <w:r>
              <w:rPr>
                <w:rFonts w:ascii="仿宋_GB2312" w:hAnsi="仿宋_GB2312" w:eastAsia="仿宋_GB2312" w:cs="仿宋_GB2312"/>
                <w:sz w:val="24"/>
              </w:rPr>
              <w:t>（3）隧道技术状况评定。</w:t>
            </w:r>
          </w:p>
          <w:p>
            <w:pPr>
              <w:pStyle w:val="4"/>
              <w:ind w:firstLine="480"/>
              <w:jc w:val="left"/>
            </w:pPr>
            <w:r>
              <w:rPr>
                <w:rFonts w:ascii="仿宋_GB2312" w:hAnsi="仿宋_GB2312" w:eastAsia="仿宋_GB2312" w:cs="仿宋_GB2312"/>
                <w:sz w:val="24"/>
              </w:rPr>
              <w:t>（4）记录缺陷位置、等级及处理建议。</w:t>
            </w:r>
          </w:p>
          <w:p>
            <w:pPr>
              <w:pStyle w:val="4"/>
              <w:ind w:firstLine="480"/>
              <w:jc w:val="left"/>
            </w:pPr>
            <w:r>
              <w:rPr>
                <w:rFonts w:ascii="仿宋_GB2312" w:hAnsi="仿宋_GB2312" w:eastAsia="仿宋_GB2312" w:cs="仿宋_GB2312"/>
                <w:sz w:val="24"/>
              </w:rPr>
              <w:t>（5）检查结论与养护建议：</w:t>
            </w:r>
          </w:p>
          <w:p>
            <w:pPr>
              <w:pStyle w:val="4"/>
              <w:ind w:firstLine="480"/>
              <w:jc w:val="left"/>
            </w:pPr>
            <w:r>
              <w:rPr>
                <w:rFonts w:ascii="仿宋_GB2312" w:hAnsi="仿宋_GB2312" w:eastAsia="仿宋_GB2312" w:cs="仿宋_GB2312"/>
                <w:sz w:val="24"/>
              </w:rPr>
              <w:t>①病害成因分析。</w:t>
            </w:r>
          </w:p>
          <w:p>
            <w:pPr>
              <w:pStyle w:val="4"/>
              <w:ind w:firstLine="480"/>
              <w:jc w:val="left"/>
            </w:pPr>
            <w:r>
              <w:rPr>
                <w:rFonts w:ascii="仿宋_GB2312" w:hAnsi="仿宋_GB2312" w:eastAsia="仿宋_GB2312" w:cs="仿宋_GB2312"/>
                <w:sz w:val="24"/>
              </w:rPr>
              <w:t>②需要采取处治措施的建议（包括紧急处治措施及中长期处治计划等）。</w:t>
            </w:r>
          </w:p>
          <w:p>
            <w:pPr>
              <w:pStyle w:val="4"/>
              <w:ind w:firstLine="480"/>
              <w:jc w:val="left"/>
            </w:pPr>
            <w:r>
              <w:rPr>
                <w:rFonts w:ascii="仿宋_GB2312" w:hAnsi="仿宋_GB2312" w:eastAsia="仿宋_GB2312" w:cs="仿宋_GB2312"/>
                <w:sz w:val="24"/>
              </w:rPr>
              <w:t>（6）需要实施专项检查的建议。</w:t>
            </w:r>
          </w:p>
          <w:p>
            <w:pPr>
              <w:pStyle w:val="4"/>
              <w:ind w:firstLine="480"/>
              <w:jc w:val="left"/>
            </w:pPr>
            <w:r>
              <w:rPr>
                <w:rFonts w:ascii="仿宋_GB2312" w:hAnsi="仿宋_GB2312" w:eastAsia="仿宋_GB2312" w:cs="仿宋_GB2312"/>
                <w:sz w:val="24"/>
              </w:rPr>
              <w:t>5.7提出养护建议及下次检查时间。</w:t>
            </w:r>
          </w:p>
          <w:p>
            <w:pPr>
              <w:pStyle w:val="4"/>
              <w:ind w:firstLine="482"/>
              <w:jc w:val="left"/>
            </w:pPr>
            <w:r>
              <w:rPr>
                <w:rFonts w:ascii="仿宋_GB2312" w:hAnsi="仿宋_GB2312" w:eastAsia="仿宋_GB2312" w:cs="仿宋_GB2312"/>
                <w:b/>
                <w:sz w:val="24"/>
              </w:rPr>
              <w:t>（三）路况自动化检测要求</w:t>
            </w:r>
          </w:p>
          <w:p>
            <w:pPr>
              <w:pStyle w:val="4"/>
              <w:ind w:firstLine="482"/>
              <w:jc w:val="left"/>
            </w:pPr>
            <w:r>
              <w:rPr>
                <w:rFonts w:ascii="仿宋_GB2312" w:hAnsi="仿宋_GB2312" w:eastAsia="仿宋_GB2312" w:cs="仿宋_GB2312"/>
                <w:b/>
                <w:sz w:val="24"/>
              </w:rPr>
              <w:t>1、检测依据：</w:t>
            </w:r>
          </w:p>
          <w:p>
            <w:pPr>
              <w:pStyle w:val="4"/>
              <w:ind w:firstLine="480"/>
              <w:jc w:val="left"/>
            </w:pPr>
            <w:r>
              <w:rPr>
                <w:rFonts w:ascii="仿宋_GB2312" w:hAnsi="仿宋_GB2312" w:eastAsia="仿宋_GB2312" w:cs="仿宋_GB2312"/>
                <w:sz w:val="24"/>
              </w:rPr>
              <w:t>根据《公路技术状况评定标准》（JTG 5210-2018）、《农村公路技术状况评定标准》（JTG 5211-2024）、《公路路面技术状况自动化检测规程》（JTG/T 5212-2026）等现行公路检测相关规范等要求农村公路路况自动化检测评定工作。</w:t>
            </w:r>
          </w:p>
          <w:p>
            <w:pPr>
              <w:pStyle w:val="4"/>
              <w:ind w:firstLine="482"/>
              <w:jc w:val="left"/>
            </w:pPr>
            <w:r>
              <w:rPr>
                <w:rFonts w:ascii="仿宋_GB2312" w:hAnsi="仿宋_GB2312" w:eastAsia="仿宋_GB2312" w:cs="仿宋_GB2312"/>
                <w:b/>
                <w:sz w:val="24"/>
              </w:rPr>
              <w:t>2、检测要求：</w:t>
            </w:r>
          </w:p>
          <w:p>
            <w:pPr>
              <w:pStyle w:val="4"/>
              <w:ind w:firstLine="480"/>
              <w:jc w:val="left"/>
            </w:pPr>
            <w:r>
              <w:rPr>
                <w:rFonts w:ascii="仿宋_GB2312" w:hAnsi="仿宋_GB2312" w:eastAsia="仿宋_GB2312" w:cs="仿宋_GB2312"/>
                <w:sz w:val="24"/>
              </w:rPr>
              <w:t>严格按照技术等级为一、二级公路采用《公路技术状况评定标准》（JTG 5210—2018）、技术等级为三级及以下公路采用《农村公路技术状况评定标准》（JTG 5211—2024）进行评定。通过评定路面损坏状况指数（PCI）和路面行驶质量指数（RQI）等两项指标，综合形成路面技术状况指数（PQI），同步采集前方景观图像和空间定位GPS信息。检测设备应符合《多功能路况快速检测设备》（GB/T 26764—2024）、《公路路面技术状况自动化检测规程》（JTG E61—2014）等技术规范要求。检测评定有关数据应包含但不限于以下内容：评定数据、结果明细数据、原始数据等。</w:t>
            </w:r>
          </w:p>
          <w:p>
            <w:pPr>
              <w:pStyle w:val="4"/>
              <w:ind w:firstLine="482"/>
              <w:jc w:val="left"/>
            </w:pPr>
            <w:r>
              <w:rPr>
                <w:rFonts w:ascii="仿宋_GB2312" w:hAnsi="仿宋_GB2312" w:eastAsia="仿宋_GB2312" w:cs="仿宋_GB2312"/>
                <w:b/>
                <w:sz w:val="24"/>
              </w:rPr>
              <w:t>3、检测目的：</w:t>
            </w:r>
          </w:p>
          <w:p>
            <w:pPr>
              <w:pStyle w:val="4"/>
              <w:ind w:firstLine="480"/>
              <w:jc w:val="left"/>
            </w:pPr>
            <w:r>
              <w:rPr>
                <w:rFonts w:ascii="仿宋_GB2312" w:hAnsi="仿宋_GB2312" w:eastAsia="仿宋_GB2312" w:cs="仿宋_GB2312"/>
                <w:sz w:val="24"/>
              </w:rPr>
              <w:t>通过检测，查清农村公路路面技术现状，掌握农村公路路面破损状态和退化程度，精准、高效、客观地给道路做“健康体检”，为科学制定养护计划提供依据。</w:t>
            </w:r>
          </w:p>
          <w:p>
            <w:pPr>
              <w:pStyle w:val="4"/>
              <w:ind w:firstLine="482"/>
              <w:jc w:val="left"/>
            </w:pPr>
            <w:r>
              <w:rPr>
                <w:rFonts w:ascii="仿宋_GB2312" w:hAnsi="仿宋_GB2312" w:eastAsia="仿宋_GB2312" w:cs="仿宋_GB2312"/>
                <w:b/>
                <w:sz w:val="24"/>
              </w:rPr>
              <w:t>4、检测内容：</w:t>
            </w:r>
          </w:p>
          <w:p>
            <w:pPr>
              <w:pStyle w:val="4"/>
              <w:ind w:firstLine="480"/>
              <w:jc w:val="left"/>
            </w:pPr>
            <w:r>
              <w:rPr>
                <w:rFonts w:ascii="仿宋_GB2312" w:hAnsi="仿宋_GB2312" w:eastAsia="仿宋_GB2312" w:cs="仿宋_GB2312"/>
                <w:sz w:val="24"/>
              </w:rPr>
              <w:t>按照《公路技术状况评定标准》（JTG 5210）、《农村公路技术状况评定标准》（JTG 5211）要求，以1000m路段长度为基本评定单元计算路面使用性能PQI及其分项指标PCI、RQI，应包含路线代码、行政区划代码、起点桩号、终点桩号、检测方式、检测年度、采用评定标准等内容。</w:t>
            </w:r>
          </w:p>
          <w:p>
            <w:pPr>
              <w:pStyle w:val="4"/>
              <w:ind w:firstLine="482"/>
              <w:jc w:val="left"/>
            </w:pPr>
            <w:r>
              <w:rPr>
                <w:rFonts w:ascii="仿宋_GB2312" w:hAnsi="仿宋_GB2312" w:eastAsia="仿宋_GB2312" w:cs="仿宋_GB2312"/>
                <w:b/>
                <w:sz w:val="24"/>
              </w:rPr>
              <w:t>5、检查成果：</w:t>
            </w:r>
          </w:p>
          <w:p>
            <w:pPr>
              <w:pStyle w:val="4"/>
              <w:ind w:firstLine="480"/>
              <w:jc w:val="left"/>
            </w:pPr>
            <w:r>
              <w:rPr>
                <w:rFonts w:ascii="仿宋_GB2312" w:hAnsi="仿宋_GB2312" w:eastAsia="仿宋_GB2312" w:cs="仿宋_GB2312"/>
                <w:sz w:val="24"/>
              </w:rPr>
              <w:t>自动化检测后提交检测评定报告应包含项目概况、检测技术、检测过程及评定结果、养护建议等内容。并提交检测评定有关数据应包含但不限于以下内容。</w:t>
            </w:r>
          </w:p>
          <w:p>
            <w:pPr>
              <w:pStyle w:val="4"/>
              <w:ind w:firstLine="480"/>
              <w:jc w:val="left"/>
            </w:pPr>
            <w:r>
              <w:rPr>
                <w:rFonts w:ascii="仿宋_GB2312" w:hAnsi="仿宋_GB2312" w:eastAsia="仿宋_GB2312" w:cs="仿宋_GB2312"/>
                <w:sz w:val="24"/>
              </w:rPr>
              <w:t>5.1原始数据。</w:t>
            </w:r>
          </w:p>
          <w:p>
            <w:pPr>
              <w:pStyle w:val="4"/>
              <w:ind w:firstLine="480"/>
              <w:jc w:val="left"/>
            </w:pPr>
            <w:r>
              <w:rPr>
                <w:rFonts w:ascii="仿宋_GB2312" w:hAnsi="仿宋_GB2312" w:eastAsia="仿宋_GB2312" w:cs="仿宋_GB2312"/>
                <w:sz w:val="24"/>
              </w:rPr>
              <w:t>（1）空间定位信息原始数据LBI应包括桩号、经度、纬度等内容，数据文件内容格式见附表1-1、数据文件输出间距应为10m，经纬度应保留至小数点后6位。LBI文件格式为.txt。文件名命名规则为：路线编码—LBI—起点桩号—检测时间。检测时间应按照北京时间格式去掉间隔符号表示，示例2022年10月10日13点12分50秒表示为20221010131250，以下同上。</w:t>
            </w:r>
          </w:p>
          <w:p>
            <w:pPr>
              <w:pStyle w:val="4"/>
              <w:ind w:firstLine="480"/>
              <w:jc w:val="left"/>
            </w:pPr>
            <w:r>
              <w:rPr>
                <w:rFonts w:ascii="仿宋_GB2312" w:hAnsi="仿宋_GB2312" w:eastAsia="仿宋_GB2312" w:cs="仿宋_GB2312"/>
                <w:sz w:val="24"/>
              </w:rPr>
              <w:t>（2）道路景观图像，文件格式为JPG，以及含有图像存储路径等信息的图像索引文件。索引文件名称为fileindex，格式为.txt。索引文件应逐行记录每张图片位置、存储相关信息。</w:t>
            </w:r>
          </w:p>
          <w:p>
            <w:pPr>
              <w:pStyle w:val="4"/>
              <w:ind w:firstLine="480"/>
              <w:jc w:val="left"/>
            </w:pPr>
            <w:r>
              <w:rPr>
                <w:rFonts w:ascii="仿宋_GB2312" w:hAnsi="仿宋_GB2312" w:eastAsia="仿宋_GB2312" w:cs="仿宋_GB2312"/>
                <w:sz w:val="24"/>
              </w:rPr>
              <w:t>（3）路面损坏原始数据是指用于识别的路面图像，应为转正视后直接用于识别的路面图像。文件格式为JPG，并含有图像存储路径等信息的图像索引文件。索引文件名称为fileindex，格式为.txt。索引文件应逐行记录每张图片位置、存储相关信息。</w:t>
            </w:r>
          </w:p>
          <w:p>
            <w:pPr>
              <w:pStyle w:val="4"/>
              <w:ind w:firstLine="480"/>
              <w:jc w:val="left"/>
            </w:pPr>
            <w:r>
              <w:rPr>
                <w:rFonts w:ascii="仿宋_GB2312" w:hAnsi="仿宋_GB2312" w:eastAsia="仿宋_GB2312" w:cs="仿宋_GB2312"/>
                <w:sz w:val="24"/>
              </w:rPr>
              <w:t>（4）平整度原始数据应为直接用于计算IRI的高程数据或其他初始采集数据。高程数据间隔应为0.1m；采用颠簸累积仪时，数据间隔应为100m；采用基于加速度的检测方法时，桩号间隔按照时长确定。文件格式为.txt。命名为路线编码—原始数据格式（LP/a/VBI）—起点桩号—检测时间。</w:t>
            </w:r>
          </w:p>
          <w:p>
            <w:pPr>
              <w:pStyle w:val="4"/>
              <w:ind w:firstLine="480"/>
              <w:jc w:val="left"/>
            </w:pPr>
            <w:r>
              <w:rPr>
                <w:rFonts w:ascii="仿宋_GB2312" w:hAnsi="仿宋_GB2312" w:eastAsia="仿宋_GB2312" w:cs="仿宋_GB2312"/>
                <w:sz w:val="24"/>
              </w:rPr>
              <w:t>5.2结果明细数据。</w:t>
            </w:r>
          </w:p>
          <w:p>
            <w:pPr>
              <w:pStyle w:val="4"/>
              <w:ind w:firstLine="480"/>
              <w:jc w:val="left"/>
            </w:pPr>
            <w:r>
              <w:rPr>
                <w:rFonts w:ascii="仿宋_GB2312" w:hAnsi="仿宋_GB2312" w:eastAsia="仿宋_GB2312" w:cs="仿宋_GB2312"/>
                <w:sz w:val="24"/>
              </w:rPr>
              <w:t>（1）路面损坏结果数据为识别结果DR，应包含桩号、识别宽度、路面破损率DR、路面病害明细等内容。以10m为间隔，破损率DR应保留小数点后2位。文件格式为.txt。识别结果DR文件命名格式为：路线编码—DR—起点桩号—止点桩号—检测时间。检测时间对应原始数据检测时间。</w:t>
            </w:r>
          </w:p>
          <w:p>
            <w:pPr>
              <w:pStyle w:val="4"/>
              <w:ind w:firstLine="480"/>
              <w:jc w:val="left"/>
            </w:pPr>
            <w:r>
              <w:rPr>
                <w:rFonts w:ascii="仿宋_GB2312" w:hAnsi="仿宋_GB2312" w:eastAsia="仿宋_GB2312" w:cs="仿宋_GB2312"/>
                <w:sz w:val="24"/>
              </w:rPr>
              <w:t>（2）平整度结果数据为国际平整度指数IRI，应包含桩号、国际平整度指数IRI等内容。IRI应保留两位小数，颠簸累积仪的结果数据应以100m为间隔，其他类型的结果数据应以10m为间隔。文件格式为.txt。文件命名为：路线编码—IRI—起点桩号—检测时间，存储在IRI文件夹内。</w:t>
            </w:r>
          </w:p>
          <w:p>
            <w:pPr>
              <w:pStyle w:val="4"/>
              <w:ind w:firstLine="482"/>
              <w:jc w:val="left"/>
            </w:pPr>
            <w:r>
              <w:rPr>
                <w:rFonts w:ascii="仿宋_GB2312" w:hAnsi="仿宋_GB2312" w:eastAsia="仿宋_GB2312" w:cs="仿宋_GB2312"/>
                <w:b/>
                <w:sz w:val="24"/>
              </w:rPr>
              <w:t>（四）其他技术服务要求</w:t>
            </w:r>
          </w:p>
          <w:p>
            <w:pPr>
              <w:pStyle w:val="4"/>
              <w:ind w:firstLine="480"/>
              <w:jc w:val="left"/>
            </w:pPr>
            <w:r>
              <w:rPr>
                <w:rFonts w:ascii="仿宋_GB2312" w:hAnsi="仿宋_GB2312" w:eastAsia="仿宋_GB2312" w:cs="仿宋_GB2312"/>
                <w:sz w:val="24"/>
              </w:rPr>
              <w:t>1、后续服务要求：协助完成年报数据及国桥库数据录入，协助完成报送农村公路技术状况检测评定数据。如根据实际情况需对成交供应商提交的成果进行修订和完善，成交供应商应配合采购人按照要求进行修订和完善，同时为成果的后续使用提供技术咨询服务。成交供应商在接到采购人的通知后3小时内响应，无法远程服务的，应在24小时内到达采购人指定地点，并按照采购人的要求开展相关工作，采购人不再另行支付费用。供应商应提供稳定的后续服务团队。</w:t>
            </w:r>
          </w:p>
          <w:p>
            <w:pPr>
              <w:pStyle w:val="4"/>
              <w:ind w:firstLine="480"/>
              <w:jc w:val="left"/>
            </w:pPr>
            <w:r>
              <w:rPr>
                <w:rFonts w:ascii="仿宋_GB2312" w:hAnsi="仿宋_GB2312" w:eastAsia="仿宋_GB2312" w:cs="仿宋_GB2312"/>
                <w:sz w:val="24"/>
              </w:rPr>
              <w:t>2、保密要求：</w:t>
            </w:r>
          </w:p>
          <w:p>
            <w:pPr>
              <w:pStyle w:val="4"/>
              <w:ind w:firstLine="480"/>
              <w:jc w:val="left"/>
            </w:pPr>
            <w:r>
              <w:rPr>
                <w:rFonts w:ascii="仿宋_GB2312" w:hAnsi="仿宋_GB2312" w:eastAsia="仿宋_GB2312" w:cs="仿宋_GB2312"/>
                <w:sz w:val="24"/>
              </w:rPr>
              <w:t>（1）供应商不得对在工作过程中接触到的采购人的任何资料、文件、数据(无论是书面的还是电子的)，以及对为采购人服务形成的任何交付物，负有为采购人保密的责任。未经采购人书面同意，供应商不得以任何方式向任何第三方提供或透露。</w:t>
            </w:r>
          </w:p>
          <w:p>
            <w:pPr>
              <w:pStyle w:val="4"/>
              <w:ind w:firstLine="480"/>
              <w:jc w:val="left"/>
            </w:pPr>
            <w:r>
              <w:rPr>
                <w:rFonts w:ascii="仿宋_GB2312" w:hAnsi="仿宋_GB2312" w:eastAsia="仿宋_GB2312" w:cs="仿宋_GB2312"/>
                <w:sz w:val="24"/>
              </w:rPr>
              <w:t>（2）采购人向供应商提供的任何资料、文件和信息，在供应商服务结束后，供应商均应及时归还采购人，电子文档的应从自己的电脑等存储设备上予永久删除。</w:t>
            </w:r>
          </w:p>
          <w:p>
            <w:pPr>
              <w:pStyle w:val="4"/>
              <w:ind w:firstLine="480"/>
              <w:jc w:val="left"/>
            </w:pPr>
            <w:r>
              <w:rPr>
                <w:rFonts w:ascii="仿宋_GB2312" w:hAnsi="仿宋_GB2312" w:eastAsia="仿宋_GB2312" w:cs="仿宋_GB2312"/>
                <w:sz w:val="24"/>
              </w:rPr>
              <w:t>（3）供应商人员违反上述保密规定时间，供应商应承担相应法律责任。</w:t>
            </w:r>
          </w:p>
          <w:p>
            <w:pPr>
              <w:pStyle w:val="4"/>
              <w:ind w:firstLine="480"/>
              <w:jc w:val="left"/>
            </w:pPr>
            <w:r>
              <w:rPr>
                <w:rFonts w:ascii="仿宋_GB2312" w:hAnsi="仿宋_GB2312" w:eastAsia="仿宋_GB2312" w:cs="仿宋_GB2312"/>
                <w:sz w:val="24"/>
              </w:rPr>
              <w:t>3、安全责任：供应商在项目实施过程中的安全责任由成交供应商负全责，采购人不承担任何安全责任。</w:t>
            </w:r>
            <w:r>
              <w:rPr>
                <w:rFonts w:ascii="仿宋_GB2312" w:hAnsi="仿宋_GB2312" w:eastAsia="仿宋_GB2312" w:cs="仿宋_GB2312"/>
                <w:b/>
                <w:sz w:val="24"/>
              </w:rPr>
              <w:t>（供应商须在响应文件中对此单独提供承诺函，格式自拟）</w:t>
            </w:r>
            <w:r>
              <w:rPr>
                <w:rFonts w:ascii="仿宋_GB2312" w:hAnsi="仿宋_GB2312" w:eastAsia="仿宋_GB2312" w:cs="仿宋_GB2312"/>
                <w:sz w:val="24"/>
              </w:rPr>
              <w:t>。</w:t>
            </w:r>
          </w:p>
          <w:p>
            <w:pPr>
              <w:pStyle w:val="4"/>
              <w:ind w:firstLine="480"/>
              <w:jc w:val="left"/>
            </w:pPr>
            <w:r>
              <w:rPr>
                <w:rFonts w:ascii="仿宋_GB2312" w:hAnsi="仿宋_GB2312" w:eastAsia="仿宋_GB2312" w:cs="仿宋_GB2312"/>
                <w:sz w:val="24"/>
              </w:rPr>
              <w:t>4、接受项目行业管理部门及政府有关部门的指导，接受采购人的监督。</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检测清单</w:t>
            </w:r>
          </w:p>
        </w:tc>
        <w:tc>
          <w:tcPr>
            <w:tcW w:w="5814" w:type="dxa"/>
          </w:tcPr>
          <w:p>
            <w:pPr>
              <w:pStyle w:val="4"/>
              <w:jc w:val="left"/>
              <w:outlineLvl w:val="2"/>
            </w:pPr>
            <w:r>
              <w:rPr>
                <w:rFonts w:ascii="仿宋_GB2312" w:hAnsi="仿宋_GB2312" w:eastAsia="仿宋_GB2312" w:cs="仿宋_GB2312"/>
                <w:b/>
                <w:sz w:val="24"/>
              </w:rPr>
              <w:t>（一）沐川县国省干线桥梁定期检查清单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81"/>
              <w:gridCol w:w="381"/>
              <w:gridCol w:w="1483"/>
              <w:gridCol w:w="722"/>
              <w:gridCol w:w="722"/>
              <w:gridCol w:w="381"/>
              <w:gridCol w:w="381"/>
              <w:gridCol w:w="1907"/>
              <w:gridCol w:w="72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序号</w:t>
                  </w:r>
                </w:p>
              </w:tc>
              <w:tc>
                <w:tcPr>
                  <w:tcW w:w="83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桥梁名称</w:t>
                  </w:r>
                </w:p>
              </w:tc>
              <w:tc>
                <w:tcPr>
                  <w:tcW w:w="878"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桥梁代码</w:t>
                  </w:r>
                </w:p>
              </w:tc>
              <w:tc>
                <w:tcPr>
                  <w:tcW w:w="574"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桥梁全长</w:t>
                  </w:r>
                  <w:r>
                    <w:br w:type="textWrapping"/>
                  </w:r>
                  <w:r>
                    <w:rPr>
                      <w:rFonts w:ascii="仿宋_GB2312" w:hAnsi="仿宋_GB2312" w:eastAsia="仿宋_GB2312" w:cs="仿宋_GB2312"/>
                      <w:b/>
                      <w:sz w:val="18"/>
                    </w:rPr>
                    <w:t>（米）</w:t>
                  </w:r>
                </w:p>
              </w:tc>
              <w:tc>
                <w:tcPr>
                  <w:tcW w:w="511"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单孔最大跨径（米）</w:t>
                  </w:r>
                </w:p>
              </w:tc>
              <w:tc>
                <w:tcPr>
                  <w:tcW w:w="43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桥梁跨径分类</w:t>
                  </w:r>
                </w:p>
              </w:tc>
              <w:tc>
                <w:tcPr>
                  <w:tcW w:w="43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主桥上部结构类型</w:t>
                  </w:r>
                </w:p>
              </w:tc>
              <w:tc>
                <w:tcPr>
                  <w:tcW w:w="107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跨径组合（孔*米）</w:t>
                  </w:r>
                </w:p>
              </w:tc>
              <w:tc>
                <w:tcPr>
                  <w:tcW w:w="51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w:t>
                  </w:r>
                  <w:r>
                    <w:br w:type="textWrapping"/>
                  </w:r>
                  <w:r>
                    <w:rPr>
                      <w:rFonts w:ascii="仿宋_GB2312" w:hAnsi="仿宋_GB2312" w:eastAsia="仿宋_GB2312" w:cs="仿宋_GB2312"/>
                      <w:b/>
                      <w:sz w:val="18"/>
                    </w:rPr>
                    <w:t>全宽</w:t>
                  </w:r>
                  <w:r>
                    <w:br w:type="textWrapping"/>
                  </w:r>
                  <w:r>
                    <w:rPr>
                      <w:rFonts w:ascii="仿宋_GB2312" w:hAnsi="仿宋_GB2312" w:eastAsia="仿宋_GB2312" w:cs="仿宋_GB2312"/>
                      <w:b/>
                      <w:sz w:val="18"/>
                    </w:rPr>
                    <w:t>（米）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vMerge w:val="continue"/>
                  <w:tcBorders>
                    <w:top w:val="single" w:color="000000" w:sz="4" w:space="0"/>
                    <w:left w:val="single" w:color="000000" w:sz="4" w:space="0"/>
                    <w:bottom w:val="single" w:color="000000" w:sz="4" w:space="0"/>
                    <w:right w:val="single" w:color="000000" w:sz="4" w:space="0"/>
                  </w:tcBorders>
                </w:tcPr>
                <w:p/>
              </w:tc>
              <w:tc>
                <w:tcPr>
                  <w:tcW w:w="830" w:type="dxa"/>
                  <w:vMerge w:val="continue"/>
                  <w:tcBorders>
                    <w:top w:val="single" w:color="000000" w:sz="4" w:space="0"/>
                    <w:left w:val="nil"/>
                    <w:bottom w:val="single" w:color="000000" w:sz="4" w:space="0"/>
                    <w:right w:val="single" w:color="000000" w:sz="4" w:space="0"/>
                  </w:tcBorders>
                </w:tcPr>
                <w:p/>
              </w:tc>
              <w:tc>
                <w:tcPr>
                  <w:tcW w:w="878" w:type="dxa"/>
                  <w:vMerge w:val="continue"/>
                  <w:tcBorders>
                    <w:top w:val="single" w:color="000000" w:sz="4" w:space="0"/>
                    <w:left w:val="nil"/>
                    <w:bottom w:val="single" w:color="000000" w:sz="4" w:space="0"/>
                    <w:right w:val="single" w:color="000000" w:sz="4" w:space="0"/>
                  </w:tcBorders>
                </w:tcPr>
                <w:p/>
              </w:tc>
              <w:tc>
                <w:tcPr>
                  <w:tcW w:w="574" w:type="dxa"/>
                  <w:vMerge w:val="continue"/>
                  <w:tcBorders>
                    <w:top w:val="single" w:color="000000" w:sz="4" w:space="0"/>
                    <w:left w:val="nil"/>
                    <w:bottom w:val="single" w:color="000000" w:sz="4" w:space="0"/>
                    <w:right w:val="single" w:color="000000" w:sz="4" w:space="0"/>
                  </w:tcBorders>
                </w:tcPr>
                <w:p/>
              </w:tc>
              <w:tc>
                <w:tcPr>
                  <w:tcW w:w="511" w:type="dxa"/>
                  <w:vMerge w:val="continue"/>
                  <w:tcBorders>
                    <w:top w:val="single" w:color="000000" w:sz="4" w:space="0"/>
                    <w:left w:val="nil"/>
                    <w:bottom w:val="single" w:color="000000" w:sz="4" w:space="0"/>
                    <w:right w:val="single" w:color="000000" w:sz="4" w:space="0"/>
                  </w:tcBorders>
                </w:tcPr>
                <w:p/>
              </w:tc>
              <w:tc>
                <w:tcPr>
                  <w:tcW w:w="439" w:type="dxa"/>
                  <w:vMerge w:val="continue"/>
                  <w:tcBorders>
                    <w:top w:val="single" w:color="000000" w:sz="4" w:space="0"/>
                    <w:left w:val="nil"/>
                    <w:bottom w:val="single" w:color="000000" w:sz="4" w:space="0"/>
                    <w:right w:val="single" w:color="000000" w:sz="4" w:space="0"/>
                  </w:tcBorders>
                </w:tcPr>
                <w:p/>
              </w:tc>
              <w:tc>
                <w:tcPr>
                  <w:tcW w:w="439" w:type="dxa"/>
                  <w:vMerge w:val="continue"/>
                  <w:tcBorders>
                    <w:top w:val="single" w:color="000000" w:sz="4" w:space="0"/>
                    <w:left w:val="nil"/>
                    <w:bottom w:val="single" w:color="000000" w:sz="4" w:space="0"/>
                    <w:right w:val="single" w:color="000000" w:sz="4" w:space="0"/>
                  </w:tcBorders>
                </w:tcPr>
                <w:p/>
              </w:tc>
              <w:tc>
                <w:tcPr>
                  <w:tcW w:w="1070" w:type="dxa"/>
                  <w:vMerge w:val="continue"/>
                  <w:tcBorders>
                    <w:top w:val="single" w:color="000000" w:sz="4" w:space="0"/>
                    <w:left w:val="nil"/>
                    <w:bottom w:val="single" w:color="000000" w:sz="4" w:space="0"/>
                    <w:right w:val="single" w:color="000000" w:sz="4" w:space="0"/>
                  </w:tcBorders>
                </w:tcPr>
                <w:p/>
              </w:tc>
              <w:tc>
                <w:tcPr>
                  <w:tcW w:w="519"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深沟头大桥下行</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G213511129L0130</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148.5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3*40+1*25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10.25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深沟头大桥上行</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G213511129R0110</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148.5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3*40+1*25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10.25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沐溪河大桥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G213511129L0100</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619.5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连续刚构</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8*40+1*75+1*140+1*75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双石村一号大桥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G213511129L0091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468</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12*25+4*40</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双石村二号大桥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G213511129L0081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233.5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5*40+1*25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新塘村大桥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G213511129L0071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5*40</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官头山大桥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G213511129L0061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178</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3*40+2*25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生基坪大桥下行</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G213511129L0121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349.5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6*40+4*25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10.25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生基坪大桥上行</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G213511129R0050</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349.5</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6*40+4*25</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10.25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03"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83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沐溪河二号桥</w:t>
                  </w:r>
                </w:p>
              </w:tc>
              <w:tc>
                <w:tcPr>
                  <w:tcW w:w="87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G213511129L0011</w:t>
                  </w:r>
                </w:p>
              </w:tc>
              <w:tc>
                <w:tcPr>
                  <w:tcW w:w="57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81.08</w:t>
                  </w:r>
                </w:p>
              </w:tc>
              <w:tc>
                <w:tcPr>
                  <w:tcW w:w="511"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43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1070"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3*16+1*20</w:t>
                  </w:r>
                </w:p>
              </w:tc>
              <w:tc>
                <w:tcPr>
                  <w:tcW w:w="51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28.25</w:t>
                  </w:r>
                </w:p>
              </w:tc>
            </w:tr>
          </w:tbl>
          <w:p>
            <w:pPr>
              <w:pStyle w:val="4"/>
              <w:jc w:val="left"/>
              <w:outlineLvl w:val="2"/>
            </w:pPr>
            <w:r>
              <w:rPr>
                <w:rFonts w:ascii="仿宋_GB2312" w:hAnsi="仿宋_GB2312" w:eastAsia="仿宋_GB2312" w:cs="仿宋_GB2312"/>
                <w:b/>
                <w:sz w:val="24"/>
              </w:rPr>
              <w:t>（二）沐川县国省干线隧道定期检查清单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391"/>
              <w:gridCol w:w="873"/>
              <w:gridCol w:w="1560"/>
              <w:gridCol w:w="659"/>
              <w:gridCol w:w="659"/>
              <w:gridCol w:w="794"/>
              <w:gridCol w:w="905"/>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序号</w:t>
                  </w:r>
                </w:p>
              </w:tc>
              <w:tc>
                <w:tcPr>
                  <w:tcW w:w="873"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隧道名称</w:t>
                  </w:r>
                </w:p>
              </w:tc>
              <w:tc>
                <w:tcPr>
                  <w:tcW w:w="1318"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隧道代码</w:t>
                  </w:r>
                </w:p>
              </w:tc>
              <w:tc>
                <w:tcPr>
                  <w:tcW w:w="65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w:t>
                  </w:r>
                  <w:r>
                    <w:br w:type="textWrapping"/>
                  </w:r>
                  <w:r>
                    <w:rPr>
                      <w:rFonts w:ascii="仿宋_GB2312" w:hAnsi="仿宋_GB2312" w:eastAsia="仿宋_GB2312" w:cs="仿宋_GB2312"/>
                      <w:b/>
                      <w:sz w:val="18"/>
                    </w:rPr>
                    <w:t>长度</w:t>
                  </w:r>
                  <w:r>
                    <w:br w:type="textWrapping"/>
                  </w:r>
                  <w:r>
                    <w:rPr>
                      <w:rFonts w:ascii="仿宋_GB2312" w:hAnsi="仿宋_GB2312" w:eastAsia="仿宋_GB2312" w:cs="仿宋_GB2312"/>
                      <w:b/>
                      <w:sz w:val="18"/>
                    </w:rPr>
                    <w:t>(延米)</w:t>
                  </w:r>
                </w:p>
              </w:tc>
              <w:tc>
                <w:tcPr>
                  <w:tcW w:w="65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w:t>
                  </w:r>
                  <w:r>
                    <w:br w:type="textWrapping"/>
                  </w:r>
                  <w:r>
                    <w:rPr>
                      <w:rFonts w:ascii="仿宋_GB2312" w:hAnsi="仿宋_GB2312" w:eastAsia="仿宋_GB2312" w:cs="仿宋_GB2312"/>
                      <w:b/>
                      <w:sz w:val="18"/>
                    </w:rPr>
                    <w:t>净宽(米)</w:t>
                  </w:r>
                </w:p>
              </w:tc>
              <w:tc>
                <w:tcPr>
                  <w:tcW w:w="794"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隧道按长度分类</w:t>
                  </w:r>
                </w:p>
              </w:tc>
              <w:tc>
                <w:tcPr>
                  <w:tcW w:w="90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隧道结构形式分类</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single" w:color="000000" w:sz="4" w:space="0"/>
                    <w:left w:val="single" w:color="000000" w:sz="4" w:space="0"/>
                    <w:bottom w:val="single" w:color="000000" w:sz="4" w:space="0"/>
                    <w:right w:val="single" w:color="000000" w:sz="4" w:space="0"/>
                  </w:tcBorders>
                </w:tcPr>
                <w:p/>
              </w:tc>
              <w:tc>
                <w:tcPr>
                  <w:tcW w:w="873" w:type="dxa"/>
                  <w:vMerge w:val="continue"/>
                  <w:tcBorders>
                    <w:top w:val="single" w:color="000000" w:sz="4" w:space="0"/>
                    <w:left w:val="nil"/>
                    <w:bottom w:val="single" w:color="000000" w:sz="4" w:space="0"/>
                    <w:right w:val="single" w:color="000000" w:sz="4" w:space="0"/>
                  </w:tcBorders>
                </w:tcPr>
                <w:p/>
              </w:tc>
              <w:tc>
                <w:tcPr>
                  <w:tcW w:w="1318"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794" w:type="dxa"/>
                  <w:vMerge w:val="continue"/>
                  <w:tcBorders>
                    <w:top w:val="single" w:color="000000" w:sz="4" w:space="0"/>
                    <w:left w:val="nil"/>
                    <w:bottom w:val="single" w:color="000000" w:sz="4" w:space="0"/>
                    <w:right w:val="single" w:color="000000" w:sz="4" w:space="0"/>
                  </w:tcBorders>
                </w:tcPr>
                <w:p/>
              </w:tc>
              <w:tc>
                <w:tcPr>
                  <w:tcW w:w="905"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single" w:color="000000" w:sz="4" w:space="0"/>
                    <w:left w:val="single" w:color="000000" w:sz="4" w:space="0"/>
                    <w:bottom w:val="single" w:color="000000" w:sz="4" w:space="0"/>
                    <w:right w:val="single" w:color="000000" w:sz="4" w:space="0"/>
                  </w:tcBorders>
                </w:tcPr>
                <w:p/>
              </w:tc>
              <w:tc>
                <w:tcPr>
                  <w:tcW w:w="873" w:type="dxa"/>
                  <w:vMerge w:val="continue"/>
                  <w:tcBorders>
                    <w:top w:val="single" w:color="000000" w:sz="4" w:space="0"/>
                    <w:left w:val="nil"/>
                    <w:bottom w:val="single" w:color="000000" w:sz="4" w:space="0"/>
                    <w:right w:val="single" w:color="000000" w:sz="4" w:space="0"/>
                  </w:tcBorders>
                </w:tcPr>
                <w:p/>
              </w:tc>
              <w:tc>
                <w:tcPr>
                  <w:tcW w:w="1318"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794" w:type="dxa"/>
                  <w:vMerge w:val="continue"/>
                  <w:tcBorders>
                    <w:top w:val="single" w:color="000000" w:sz="4" w:space="0"/>
                    <w:left w:val="nil"/>
                    <w:bottom w:val="single" w:color="000000" w:sz="4" w:space="0"/>
                    <w:right w:val="single" w:color="000000" w:sz="4" w:space="0"/>
                  </w:tcBorders>
                </w:tcPr>
                <w:p/>
              </w:tc>
              <w:tc>
                <w:tcPr>
                  <w:tcW w:w="905"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vMerge w:val="continue"/>
                  <w:tcBorders>
                    <w:top w:val="single" w:color="000000" w:sz="4" w:space="0"/>
                    <w:left w:val="single" w:color="000000" w:sz="4" w:space="0"/>
                    <w:bottom w:val="single" w:color="000000" w:sz="4" w:space="0"/>
                    <w:right w:val="single" w:color="000000" w:sz="4" w:space="0"/>
                  </w:tcBorders>
                </w:tcPr>
                <w:p/>
              </w:tc>
              <w:tc>
                <w:tcPr>
                  <w:tcW w:w="873" w:type="dxa"/>
                  <w:vMerge w:val="continue"/>
                  <w:tcBorders>
                    <w:top w:val="single" w:color="000000" w:sz="4" w:space="0"/>
                    <w:left w:val="nil"/>
                    <w:bottom w:val="single" w:color="000000" w:sz="4" w:space="0"/>
                    <w:right w:val="single" w:color="000000" w:sz="4" w:space="0"/>
                  </w:tcBorders>
                </w:tcPr>
                <w:p/>
              </w:tc>
              <w:tc>
                <w:tcPr>
                  <w:tcW w:w="1318"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659" w:type="dxa"/>
                  <w:vMerge w:val="continue"/>
                  <w:tcBorders>
                    <w:top w:val="single" w:color="000000" w:sz="4" w:space="0"/>
                    <w:left w:val="nil"/>
                    <w:bottom w:val="single" w:color="000000" w:sz="4" w:space="0"/>
                    <w:right w:val="single" w:color="000000" w:sz="4" w:space="0"/>
                  </w:tcBorders>
                </w:tcPr>
                <w:p/>
              </w:tc>
              <w:tc>
                <w:tcPr>
                  <w:tcW w:w="794" w:type="dxa"/>
                  <w:vMerge w:val="continue"/>
                  <w:tcBorders>
                    <w:top w:val="single" w:color="000000" w:sz="4" w:space="0"/>
                    <w:left w:val="nil"/>
                    <w:bottom w:val="single" w:color="000000" w:sz="4" w:space="0"/>
                    <w:right w:val="single" w:color="000000" w:sz="4" w:space="0"/>
                  </w:tcBorders>
                </w:tcPr>
                <w:p/>
              </w:tc>
              <w:tc>
                <w:tcPr>
                  <w:tcW w:w="905"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松林坡隧道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G213511129U0010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114</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短隧道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单洞隧道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沐源川隧道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G213511129U0040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短隧道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单洞隧道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永福隧道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G213511129U0020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短隧道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单洞隧道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五指山隧道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G213511129U0030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3923</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特长隧道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单洞隧道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猫猫嘴隧道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G348511129U0010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短隧道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单洞隧道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峰门山隧道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C999511129U0010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214</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短隧道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双洞隧道</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c>
                <w:tcPr>
                  <w:tcW w:w="873"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大岩头隧道</w:t>
                  </w:r>
                </w:p>
              </w:tc>
              <w:tc>
                <w:tcPr>
                  <w:tcW w:w="1318"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C999511129U0020</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2018</w:t>
                  </w:r>
                </w:p>
              </w:tc>
              <w:tc>
                <w:tcPr>
                  <w:tcW w:w="659"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794"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长隧道</w:t>
                  </w:r>
                </w:p>
              </w:tc>
              <w:tc>
                <w:tcPr>
                  <w:tcW w:w="905" w:type="dxa"/>
                  <w:tcBorders>
                    <w:top w:val="nil"/>
                    <w:left w:val="nil"/>
                    <w:bottom w:val="single" w:color="000000" w:sz="4" w:space="0"/>
                    <w:right w:val="single" w:color="000000" w:sz="4" w:space="0"/>
                  </w:tcBorders>
                  <w:shd w:val="clear" w:color="auto" w:fill="FFFFFF"/>
                  <w:tcMar>
                    <w:top w:w="0" w:type="dxa"/>
                    <w:left w:w="105" w:type="dxa"/>
                    <w:bottom w:w="0" w:type="dxa"/>
                    <w:right w:w="105" w:type="dxa"/>
                  </w:tcMar>
                  <w:vAlign w:val="top"/>
                </w:tcPr>
                <w:p>
                  <w:pPr>
                    <w:pStyle w:val="4"/>
                    <w:jc w:val="center"/>
                  </w:pPr>
                  <w:r>
                    <w:rPr>
                      <w:rFonts w:ascii="仿宋_GB2312" w:hAnsi="仿宋_GB2312" w:eastAsia="仿宋_GB2312" w:cs="仿宋_GB2312"/>
                      <w:sz w:val="18"/>
                    </w:rPr>
                    <w:t>双洞隧道</w:t>
                  </w:r>
                </w:p>
              </w:tc>
            </w:tr>
          </w:tbl>
          <w:p>
            <w:pPr>
              <w:pStyle w:val="4"/>
              <w:jc w:val="left"/>
              <w:outlineLvl w:val="2"/>
            </w:pPr>
            <w:r>
              <w:rPr>
                <w:rFonts w:ascii="仿宋_GB2312" w:hAnsi="仿宋_GB2312" w:eastAsia="仿宋_GB2312" w:cs="仿宋_GB2312"/>
                <w:b/>
                <w:sz w:val="24"/>
              </w:rPr>
              <w:t>（三）沐川县农村公路桥梁定期检查清单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0"/>
              <w:gridCol w:w="691"/>
              <w:gridCol w:w="1560"/>
              <w:gridCol w:w="753"/>
              <w:gridCol w:w="753"/>
              <w:gridCol w:w="528"/>
              <w:gridCol w:w="707"/>
              <w:gridCol w:w="855"/>
              <w:gridCol w:w="753"/>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序号</w:t>
                  </w:r>
                </w:p>
              </w:tc>
              <w:tc>
                <w:tcPr>
                  <w:tcW w:w="699"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桥梁名称</w:t>
                  </w:r>
                </w:p>
              </w:tc>
              <w:tc>
                <w:tcPr>
                  <w:tcW w:w="866"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桥梁代码</w:t>
                  </w:r>
                </w:p>
              </w:tc>
              <w:tc>
                <w:tcPr>
                  <w:tcW w:w="58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桥梁全长</w:t>
                  </w:r>
                  <w:r>
                    <w:br w:type="textWrapping"/>
                  </w:r>
                  <w:r>
                    <w:rPr>
                      <w:rFonts w:ascii="仿宋_GB2312" w:hAnsi="仿宋_GB2312" w:eastAsia="仿宋_GB2312" w:cs="仿宋_GB2312"/>
                      <w:b/>
                      <w:sz w:val="18"/>
                    </w:rPr>
                    <w:t>（米）</w:t>
                  </w:r>
                </w:p>
              </w:tc>
              <w:tc>
                <w:tcPr>
                  <w:tcW w:w="53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单孔最大跨径（米）</w:t>
                  </w:r>
                </w:p>
              </w:tc>
              <w:tc>
                <w:tcPr>
                  <w:tcW w:w="532"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桥梁跨径分类</w:t>
                  </w:r>
                </w:p>
              </w:tc>
              <w:tc>
                <w:tcPr>
                  <w:tcW w:w="715"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主桥上部结构类型</w:t>
                  </w:r>
                </w:p>
              </w:tc>
              <w:tc>
                <w:tcPr>
                  <w:tcW w:w="858"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跨径组合（孔*米）</w:t>
                  </w:r>
                </w:p>
              </w:tc>
              <w:tc>
                <w:tcPr>
                  <w:tcW w:w="508"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桥梁</w:t>
                  </w:r>
                  <w:r>
                    <w:br w:type="textWrapping"/>
                  </w:r>
                  <w:r>
                    <w:rPr>
                      <w:rFonts w:ascii="仿宋_GB2312" w:hAnsi="仿宋_GB2312" w:eastAsia="仿宋_GB2312" w:cs="仿宋_GB2312"/>
                      <w:b/>
                      <w:sz w:val="18"/>
                    </w:rPr>
                    <w:t>全宽</w:t>
                  </w:r>
                  <w:r>
                    <w:br w:type="textWrapping"/>
                  </w:r>
                  <w:r>
                    <w:rPr>
                      <w:rFonts w:ascii="仿宋_GB2312" w:hAnsi="仿宋_GB2312" w:eastAsia="仿宋_GB2312" w:cs="仿宋_GB2312"/>
                      <w:b/>
                      <w:sz w:val="18"/>
                    </w:rPr>
                    <w:t>（米）</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vMerge w:val="continue"/>
                  <w:tcBorders>
                    <w:top w:val="single" w:color="000000" w:sz="4" w:space="0"/>
                    <w:left w:val="single" w:color="000000" w:sz="4" w:space="0"/>
                    <w:bottom w:val="single" w:color="000000" w:sz="4" w:space="0"/>
                    <w:right w:val="single" w:color="000000" w:sz="4" w:space="0"/>
                  </w:tcBorders>
                </w:tcPr>
                <w:p/>
              </w:tc>
              <w:tc>
                <w:tcPr>
                  <w:tcW w:w="699" w:type="dxa"/>
                  <w:vMerge w:val="continue"/>
                  <w:tcBorders>
                    <w:top w:val="single" w:color="000000" w:sz="4" w:space="0"/>
                    <w:left w:val="nil"/>
                    <w:bottom w:val="single" w:color="000000" w:sz="4" w:space="0"/>
                    <w:right w:val="single" w:color="000000" w:sz="4" w:space="0"/>
                  </w:tcBorders>
                </w:tcPr>
                <w:p/>
              </w:tc>
              <w:tc>
                <w:tcPr>
                  <w:tcW w:w="866" w:type="dxa"/>
                  <w:vMerge w:val="continue"/>
                  <w:tcBorders>
                    <w:top w:val="single" w:color="000000" w:sz="4" w:space="0"/>
                    <w:left w:val="nil"/>
                    <w:bottom w:val="single" w:color="000000" w:sz="4" w:space="0"/>
                    <w:right w:val="single" w:color="000000" w:sz="4" w:space="0"/>
                  </w:tcBorders>
                </w:tcPr>
                <w:p/>
              </w:tc>
              <w:tc>
                <w:tcPr>
                  <w:tcW w:w="580" w:type="dxa"/>
                  <w:vMerge w:val="continue"/>
                  <w:tcBorders>
                    <w:top w:val="single" w:color="000000" w:sz="4" w:space="0"/>
                    <w:left w:val="nil"/>
                    <w:bottom w:val="single" w:color="000000" w:sz="4" w:space="0"/>
                    <w:right w:val="single" w:color="000000" w:sz="4" w:space="0"/>
                  </w:tcBorders>
                </w:tcPr>
                <w:p/>
              </w:tc>
              <w:tc>
                <w:tcPr>
                  <w:tcW w:w="532" w:type="dxa"/>
                  <w:vMerge w:val="continue"/>
                  <w:tcBorders>
                    <w:top w:val="single" w:color="000000" w:sz="4" w:space="0"/>
                    <w:left w:val="nil"/>
                    <w:bottom w:val="single" w:color="000000" w:sz="4" w:space="0"/>
                    <w:right w:val="single" w:color="000000" w:sz="4" w:space="0"/>
                  </w:tcBorders>
                </w:tcPr>
                <w:p/>
              </w:tc>
              <w:tc>
                <w:tcPr>
                  <w:tcW w:w="532" w:type="dxa"/>
                  <w:vMerge w:val="continue"/>
                  <w:tcBorders>
                    <w:top w:val="single" w:color="000000" w:sz="4" w:space="0"/>
                    <w:left w:val="nil"/>
                    <w:bottom w:val="single" w:color="000000" w:sz="4" w:space="0"/>
                    <w:right w:val="single" w:color="000000" w:sz="4" w:space="0"/>
                  </w:tcBorders>
                </w:tcPr>
                <w:p/>
              </w:tc>
              <w:tc>
                <w:tcPr>
                  <w:tcW w:w="715" w:type="dxa"/>
                  <w:vMerge w:val="continue"/>
                  <w:tcBorders>
                    <w:top w:val="single" w:color="000000" w:sz="4" w:space="0"/>
                    <w:left w:val="nil"/>
                    <w:bottom w:val="single" w:color="000000" w:sz="4" w:space="0"/>
                    <w:right w:val="single" w:color="000000" w:sz="4" w:space="0"/>
                  </w:tcBorders>
                </w:tcPr>
                <w:p/>
              </w:tc>
              <w:tc>
                <w:tcPr>
                  <w:tcW w:w="858" w:type="dxa"/>
                  <w:vMerge w:val="continue"/>
                  <w:tcBorders>
                    <w:top w:val="single" w:color="000000" w:sz="4" w:space="0"/>
                    <w:left w:val="nil"/>
                    <w:bottom w:val="single" w:color="000000" w:sz="4" w:space="0"/>
                    <w:right w:val="single" w:color="000000" w:sz="4" w:space="0"/>
                  </w:tcBorders>
                </w:tcPr>
                <w:p/>
              </w:tc>
              <w:tc>
                <w:tcPr>
                  <w:tcW w:w="508" w:type="dxa"/>
                  <w:vMerge w:val="continue"/>
                  <w:tcBorders>
                    <w:top w:val="single" w:color="000000" w:sz="4" w:space="0"/>
                    <w:left w:val="nil"/>
                    <w:bottom w:val="single" w:color="000000" w:sz="4" w:space="0"/>
                    <w:right w:val="single" w:color="000000" w:sz="4" w:space="0"/>
                  </w:tcBorders>
                </w:tcP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龙口桥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杉魁坳</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金盆桥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底堡大桥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双凤桥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36.8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赵沟桥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干介大桥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平石盘桥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X101511129L0080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2*12</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8.3</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小鱼铺桥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X101511129L0090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1*7.4</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红庙子大桥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X101511129L0100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三溪口桥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X101511129L0110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沐卷河中桥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1*12</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火岩桥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反修桥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高岩桥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响洞桥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X102511129L0080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岔沟桥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X102511129L0090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吊嘴桥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X102511129L0100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双新大桥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车行天桥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X103511129L0020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漫水桥11</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X103511129L0030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通沐溪桥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X103511129L0040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宇业大桥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3*25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黄丹大桥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X104511129L0150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集立桥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红星桥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X104511129L0020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建和大桥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699"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河口桥</w:t>
                  </w:r>
                </w:p>
              </w:tc>
              <w:tc>
                <w:tcPr>
                  <w:tcW w:w="866"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X105511129L0020</w:t>
                  </w:r>
                </w:p>
              </w:tc>
              <w:tc>
                <w:tcPr>
                  <w:tcW w:w="580"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37</w:t>
                  </w:r>
                </w:p>
              </w:tc>
              <w:tc>
                <w:tcPr>
                  <w:tcW w:w="532"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nil"/>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31</w:t>
                  </w:r>
                </w:p>
              </w:tc>
              <w:tc>
                <w:tcPr>
                  <w:tcW w:w="69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煤建桥</w:t>
                  </w:r>
                </w:p>
              </w:tc>
              <w:tc>
                <w:tcPr>
                  <w:tcW w:w="86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X106511129L0120</w:t>
                  </w:r>
                </w:p>
              </w:tc>
              <w:tc>
                <w:tcPr>
                  <w:tcW w:w="58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桥墩子桥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纸厂沟桥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铁路沟桥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蒙古沱桥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牛尾沟桥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X106511129L0160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实心板梁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干岩桥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X107511129L0030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茨梨桥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龙沱大桥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洗脚溪桥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X108511129L0070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林场桥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X108511129L0030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1*24</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天盐厂桥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X108511129L0040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月咡沱大桥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X109511129L0020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平坝桥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X109511129L0030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2*16</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X109511129L0040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下村桥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清凉桥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5.9</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1*5.9</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富和桥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6.3</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梧桐嘴桥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七一桥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X111511129L0100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大桥弯桥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X111511129L0090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大河沟桥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X111511129L0080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幸福桥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1*12.5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牛滚荡桥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四合头桥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6.3</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团结桥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战斗桥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武圣桥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胜利桥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6.9</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王安桥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X111511129L0170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1*16</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柏树沟桥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X113511129L0020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徐沟桥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胜利桥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X114511129L0020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洞子桥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三百步桥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X114511129L0160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1*5.2</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8.53</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双河口桥一</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X115511129L0020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双河口桥二</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X115511129L0030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天马桥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X115511129L0050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Y002511129L0030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青石沟桥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Y002511129L0040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桂圆桥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筒车桥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33</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黄石桥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黄石滩桥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沱湾儿桥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桐梓沟桥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Y004511129L0070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郭家溪桥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Y004511129L0080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老鹰滩大桥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Y004511129L0110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87.5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新桥沟桥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Y004511129L0090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罗家坝大桥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Y004511129L0100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垃圾场1号桥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29</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垃圾场二号桥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Y007511129L0020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三宝石漫水桥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小沟口桥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Y008511129L0020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二号卷桥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沟儿口桥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Y011511129L0020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洞盘上桥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Y011511129L0030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邓洋桥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Y011511129L0040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桥弯桥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Y011511129L0050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6.2</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王安桥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拦河坝桥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干岩子桥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Y014511129L0020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七一桥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无名桥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Y015511129L0020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山道桥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Y015511129L0030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龙沱大桥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堰沟桥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Y016511129L0020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油房桥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Y017511129L0020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四河大桥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尹安桥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马草沟桥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Y018511129L0030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鱼翁桥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仁河桥2</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仁河桥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友谊桥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团结桥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Y019511129L0050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头道桥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二道桥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八角庙桥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多桥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同福桥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Y023511129L0060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大河坝桥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苏木溪桥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Y026511129L0030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水沟桥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Y026511129L0020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六组无名桥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龙川沱桥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Y027511129L0020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鱼桐坝桥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Y032511129L0010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桐林村桥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Y032511129L0020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虎栖桥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C003511129L0010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石板滩桥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C004511129L0010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桃儿平桥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C007511129L0020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沙溪桥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C010511129L0015</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老观音桥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C012511129L0010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一线天桥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C020511129L0020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竹林桥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C020511129L0010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共和村桥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C034511129L0010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高石梯桥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C034511129L0030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祖献桥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C040511129L0020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河家桥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C040511129L0010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羊山桥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C041511129L0010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漫水桥12</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C044511129L0010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围墙二桥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C052511129L0010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围墙桥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C052511129L0020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观音桥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C070511129L0010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漫小桥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C082511129L0010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C084511129L0010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牛角桥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C089511129L0010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机砖桥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C092511129L0010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脱木桥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C100511129L0010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舜山桥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C107511129L0010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涧溪桥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C108511129L0010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应佳河桥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C108511129L0020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健康桥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C110511129L0030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平安桥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C110511129L0020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关东桥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C115511129L0010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13</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久和桥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C115511129L0020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楠苏桥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C116511129L0010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草坪桥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C121511129L0010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竹海桥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C132511129L0010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双河口桥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C149511129L0010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沙嘴桥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C155511129L0010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燕儿窝桥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C160511129L0010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庙儿嘴桥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C189511129L0010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庙儿坝桥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C199511129L0010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大堰二桥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C212511129L0020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C224511129L0010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红旗桥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C332511129L0010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汤家沟桥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C346511129L0010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白黄路桥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C426511129L0010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三王桥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C668511129L0010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麻秧溪桥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C682511129L0020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鬼打沱桥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C686511129L0010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藤家河桥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C701511129L0010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义和桥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C710511129L0010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小洞桥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C733511129L0010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老桥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C734511129L0010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吊梯子桥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C758511129L0020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179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两河口桥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C758511129L0010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99.5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卫国村12组桥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C765511129L0010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到石桥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C797511129L0010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阳雀村1号桥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C927511129L0010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双河口桥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C940511129L0010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碾子桥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C957511129L0010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富民桥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C965511129L0010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隧道口桥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C972511129L0010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无名桥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C984511129L0010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14</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庆子坨桥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C984511129L0020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加工厂桥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C984511129L0030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解结湖1号桥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解结湖2号桥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解结湖3号桥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解结湖4号桥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C998511129L0040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解结湖5号桥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C998511129L0050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解结湖6号桥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C998511129L0060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113</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大河沟桥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CA15511129L0010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跳蹬子桥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CA44511129L0010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大河沟桥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CA91511129L0010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199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刘岩桥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CB05511129L0010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涧溪一桥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CB23511129L0010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三河二桥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CB49511129L0010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CE34511129L0010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高桥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CE37511129L0010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乌厂桥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CF76511129L0010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CG05511129L0010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金鱼砭桥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CI78511129L0010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沙坝子桥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CJ06511129L0010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宝纸路桥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CJ29511129L0010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连心桥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CJ62511129L0010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溪鸣渡口爱心桥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CL21511129L0010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三核桃桥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CL54511129L0090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金星桥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CL54511129L0080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刘家桥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CL54511129L0030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团结村桥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永丰桥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永丰2桥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CL59511129L0020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7.5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栓牛沱桥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CL91511129L0010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4.6</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漫水桥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CL96511129L0010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水库桥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CM09511129L0010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红岩沱桥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CM84511129L0010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小鱼铺桥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CN81511129L0010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青龙咀桥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CN86511129L0010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T梁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中华咀大桥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CN90511129L0010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蛇儿咀桥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CO43511129L0020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225</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五显村9组桥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CP31511129L0010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21</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226</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新店桥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CP37511129L0010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227</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新坝村11组小桥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CP65511129L0010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实心板梁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228</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黄沙桥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CP68511129L0010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229</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桢楠村桥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CP73511129L0010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230</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里坪二组桥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CQ32511129L0010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231</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大洞子桥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CQ83511129L0010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20</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232</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导石桥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CQ94511129L0010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8</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整体现浇板</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4</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233</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杨柳大桥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CR51511129L0010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32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22</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中桥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空心板梁</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234</w:t>
                  </w:r>
                </w:p>
              </w:tc>
              <w:tc>
                <w:tcPr>
                  <w:tcW w:w="699"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洞耳口桥</w:t>
                  </w:r>
                </w:p>
              </w:tc>
              <w:tc>
                <w:tcPr>
                  <w:tcW w:w="866"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CX19511129L0010</w:t>
                  </w:r>
                </w:p>
              </w:tc>
              <w:tc>
                <w:tcPr>
                  <w:tcW w:w="580"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15.6</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5</w:t>
                  </w:r>
                </w:p>
              </w:tc>
              <w:tc>
                <w:tcPr>
                  <w:tcW w:w="53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小桥</w:t>
                  </w:r>
                </w:p>
              </w:tc>
              <w:tc>
                <w:tcPr>
                  <w:tcW w:w="715"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板拱</w:t>
                  </w:r>
                </w:p>
              </w:tc>
              <w:tc>
                <w:tcPr>
                  <w:tcW w:w="85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w:t>
                  </w:r>
                </w:p>
              </w:tc>
              <w:tc>
                <w:tcPr>
                  <w:tcW w:w="508"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11.15</w:t>
                  </w:r>
                </w:p>
              </w:tc>
            </w:tr>
          </w:tbl>
          <w:p>
            <w:pPr>
              <w:pStyle w:val="4"/>
              <w:jc w:val="left"/>
              <w:outlineLvl w:val="2"/>
            </w:pPr>
            <w:r>
              <w:rPr>
                <w:rFonts w:ascii="仿宋_GB2312" w:hAnsi="仿宋_GB2312" w:eastAsia="仿宋_GB2312" w:cs="仿宋_GB2312"/>
                <w:b/>
                <w:sz w:val="24"/>
              </w:rPr>
              <w:t>（四）沐川县农村公路路况自动化检测清单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152"/>
              <w:gridCol w:w="2084"/>
              <w:gridCol w:w="2352"/>
            </w:tblGrid>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5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序号</w:t>
                  </w:r>
                </w:p>
              </w:tc>
              <w:tc>
                <w:tcPr>
                  <w:tcW w:w="208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名称</w:t>
                  </w:r>
                </w:p>
              </w:tc>
              <w:tc>
                <w:tcPr>
                  <w:tcW w:w="235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b/>
                      <w:sz w:val="18"/>
                    </w:rPr>
                    <w:t>里程（公里）</w:t>
                  </w:r>
                </w:p>
              </w:tc>
            </w:tr>
            <w:tr>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1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1</w:t>
                  </w:r>
                </w:p>
              </w:tc>
              <w:tc>
                <w:tcPr>
                  <w:tcW w:w="2084"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农村公路</w:t>
                  </w:r>
                </w:p>
              </w:tc>
              <w:tc>
                <w:tcPr>
                  <w:tcW w:w="2352" w:type="dxa"/>
                  <w:tcBorders>
                    <w:top w:val="nil"/>
                    <w:left w:val="nil"/>
                    <w:bottom w:val="single" w:color="000000" w:sz="4" w:space="0"/>
                    <w:right w:val="single" w:color="000000" w:sz="4" w:space="0"/>
                  </w:tcBorders>
                  <w:tcMar>
                    <w:top w:w="0" w:type="dxa"/>
                    <w:left w:w="105" w:type="dxa"/>
                    <w:bottom w:w="0" w:type="dxa"/>
                    <w:right w:w="105" w:type="dxa"/>
                  </w:tcMar>
                  <w:vAlign w:val="top"/>
                </w:tcPr>
                <w:p>
                  <w:pPr>
                    <w:pStyle w:val="4"/>
                    <w:jc w:val="center"/>
                  </w:pPr>
                  <w:r>
                    <w:rPr>
                      <w:rFonts w:ascii="仿宋_GB2312" w:hAnsi="仿宋_GB2312" w:eastAsia="仿宋_GB2312" w:cs="仿宋_GB2312"/>
                      <w:sz w:val="18"/>
                    </w:rPr>
                    <w:t>2463.191</w:t>
                  </w:r>
                </w:p>
              </w:tc>
            </w:tr>
          </w:tbl>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pPr>
              <w:pStyle w:val="4"/>
              <w:jc w:val="center"/>
            </w:pPr>
            <w:r>
              <w:rPr>
                <w:rFonts w:ascii="仿宋_GB2312" w:hAnsi="仿宋_GB2312" w:eastAsia="仿宋_GB2312" w:cs="仿宋_GB2312"/>
              </w:rPr>
              <w:t>无</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序号</w:t>
            </w:r>
          </w:p>
        </w:tc>
        <w:tc>
          <w:tcPr>
            <w:tcW w:w="2076" w:type="dxa"/>
          </w:tcPr>
          <w:p>
            <w:pPr>
              <w:pStyle w:val="4"/>
              <w:jc w:val="left"/>
            </w:pPr>
            <w:r>
              <w:rPr>
                <w:rFonts w:ascii="仿宋_GB2312" w:hAnsi="仿宋_GB2312" w:eastAsia="仿宋_GB2312" w:cs="仿宋_GB2312"/>
              </w:rPr>
              <w:t>符号标识</w:t>
            </w:r>
          </w:p>
        </w:tc>
        <w:tc>
          <w:tcPr>
            <w:tcW w:w="2076" w:type="dxa"/>
          </w:tcPr>
          <w:p>
            <w:pPr>
              <w:pStyle w:val="4"/>
              <w:jc w:val="left"/>
            </w:pPr>
            <w:r>
              <w:rPr>
                <w:rFonts w:ascii="仿宋_GB2312" w:hAnsi="仿宋_GB2312" w:eastAsia="仿宋_GB2312" w:cs="仿宋_GB2312"/>
              </w:rPr>
              <w:t>商务要求名称</w:t>
            </w:r>
          </w:p>
        </w:tc>
        <w:tc>
          <w:tcPr>
            <w:tcW w:w="2076" w:type="dxa"/>
          </w:tcPr>
          <w:p>
            <w:pPr>
              <w:pStyle w:val="4"/>
              <w:jc w:val="left"/>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1</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服务期限</w:t>
            </w:r>
          </w:p>
        </w:tc>
        <w:tc>
          <w:tcPr>
            <w:tcW w:w="2076" w:type="dxa"/>
          </w:tcPr>
          <w:p>
            <w:pPr>
              <w:pStyle w:val="4"/>
              <w:jc w:val="left"/>
            </w:pPr>
            <w:r>
              <w:rPr>
                <w:rFonts w:ascii="仿宋_GB2312" w:hAnsi="仿宋_GB2312" w:eastAsia="仿宋_GB2312" w:cs="仿宋_GB2312"/>
              </w:rPr>
              <w:t>签订合同之日起60日</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2</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服务地点</w:t>
            </w:r>
          </w:p>
        </w:tc>
        <w:tc>
          <w:tcPr>
            <w:tcW w:w="2076" w:type="dxa"/>
          </w:tcPr>
          <w:p>
            <w:pPr>
              <w:pStyle w:val="4"/>
              <w:jc w:val="left"/>
            </w:pPr>
            <w:r>
              <w:rPr>
                <w:rFonts w:ascii="仿宋_GB2312" w:hAnsi="仿宋_GB2312" w:eastAsia="仿宋_GB2312" w:cs="仿宋_GB2312"/>
              </w:rPr>
              <w:t>乐山市沐川县。</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3</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验收、交付标准和方法</w:t>
            </w:r>
          </w:p>
        </w:tc>
        <w:tc>
          <w:tcPr>
            <w:tcW w:w="2076" w:type="dxa"/>
          </w:tcPr>
          <w:p>
            <w:pPr>
              <w:pStyle w:val="4"/>
              <w:jc w:val="left"/>
            </w:pPr>
            <w:r>
              <w:rPr>
                <w:rFonts w:ascii="仿宋_GB2312" w:hAnsi="仿宋_GB2312" w:eastAsia="仿宋_GB2312" w:cs="仿宋_GB2312"/>
              </w:rPr>
              <w:t>严格按照《财政部关于进一步加强政府采购需求和履约验收管理的指导意见》(财库〔2016〕205 号)和《乐山市财政局关于沿用乐山市政府采购项目需求论证和履约验收管理实施细则的通知》（乐市财政采〔2021〕8号）的要求及国家行业主管部门规定的标准、方法和内容进行验收。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4</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支付方式</w:t>
            </w:r>
          </w:p>
        </w:tc>
        <w:tc>
          <w:tcPr>
            <w:tcW w:w="2076"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5</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付款进度安排</w:t>
            </w:r>
          </w:p>
        </w:tc>
        <w:tc>
          <w:tcPr>
            <w:tcW w:w="2076" w:type="dxa"/>
          </w:tcPr>
          <w:p>
            <w:pPr>
              <w:pStyle w:val="4"/>
              <w:jc w:val="left"/>
            </w:pPr>
            <w:r>
              <w:rPr>
                <w:rFonts w:ascii="仿宋_GB2312" w:hAnsi="仿宋_GB2312" w:eastAsia="仿宋_GB2312" w:cs="仿宋_GB2312"/>
              </w:rPr>
              <w:t>1付款条件：政府采购合同签订生效，采购人收到供应商提供的合法有效完整的完税发票及相关凭证资料，达到该付款条件起10个工作日内，支付合同总金额的40.00%</w:t>
            </w:r>
          </w:p>
          <w:p>
            <w:pPr>
              <w:pStyle w:val="4"/>
              <w:jc w:val="left"/>
            </w:pPr>
            <w:r>
              <w:rPr>
                <w:rFonts w:ascii="仿宋_GB2312" w:hAnsi="仿宋_GB2312" w:eastAsia="仿宋_GB2312" w:cs="仿宋_GB2312"/>
              </w:rPr>
              <w:t>2付款条件：现场检测全部完成，并提交检查报告后，采购人收到供应商提供的合法有效完整的完税发票及相关凭证资料，达到该付款条件起10个工作日内，支付合同总金额的60.00%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pPr>
              <w:pStyle w:val="4"/>
              <w:jc w:val="left"/>
            </w:pPr>
            <w:r>
              <w:rPr>
                <w:rFonts w:ascii="仿宋_GB2312" w:hAnsi="仿宋_GB2312" w:eastAsia="仿宋_GB2312" w:cs="仿宋_GB2312"/>
              </w:rPr>
              <w:t>6</w:t>
            </w:r>
          </w:p>
        </w:tc>
        <w:tc>
          <w:tcPr>
            <w:tcW w:w="2076" w:type="dxa"/>
          </w:tcPr>
          <w:p>
            <w:pPr>
              <w:pStyle w:val="4"/>
              <w:jc w:val="left"/>
            </w:pPr>
            <w:r>
              <w:rPr>
                <w:rFonts w:ascii="仿宋_GB2312" w:hAnsi="仿宋_GB2312" w:eastAsia="仿宋_GB2312" w:cs="仿宋_GB2312"/>
              </w:rPr>
              <w:t>★</w:t>
            </w:r>
          </w:p>
        </w:tc>
        <w:tc>
          <w:tcPr>
            <w:tcW w:w="2076" w:type="dxa"/>
          </w:tcPr>
          <w:p>
            <w:pPr>
              <w:pStyle w:val="4"/>
              <w:jc w:val="left"/>
            </w:pPr>
            <w:r>
              <w:rPr>
                <w:rFonts w:ascii="仿宋_GB2312" w:hAnsi="仿宋_GB2312" w:eastAsia="仿宋_GB2312" w:cs="仿宋_GB2312"/>
              </w:rPr>
              <w:t>违约责任与解决争议的方法</w:t>
            </w:r>
          </w:p>
        </w:tc>
        <w:tc>
          <w:tcPr>
            <w:tcW w:w="2076" w:type="dxa"/>
          </w:tcPr>
          <w:p>
            <w:pPr>
              <w:pStyle w:val="4"/>
              <w:jc w:val="left"/>
            </w:pPr>
            <w:r>
              <w:rPr>
                <w:rFonts w:ascii="仿宋_GB2312" w:hAnsi="仿宋_GB2312" w:eastAsia="仿宋_GB2312" w:cs="仿宋_GB2312"/>
              </w:rPr>
              <w:t>1、违约责任： （1）成交供应商必须遵守采购合同并执行合同中的各项规定，保证采购合同的正常履行。 （2）如因成交供应商工作人员在履行职务过程中的疏忽、失职、过错等原因给采购人造成损失或侵害，包括但不限于采购人本身的财产损失、由此而导致的采购人对任何第三方的法律责任等，成交供应商对此均应承担全部的赔偿责任。 2、争议解决办法： （1）采购人与供应商双方就本项目政府采购合同所产生的任何争议都应该进行友好协商，协商解决不成的，任何一方均可向采购人所在地有管辖权的人民法院提起诉讼。 （2）诉讼费应由败诉方承担。 （3）在诉讼期间，除正在进行诉讼的部分外，合同其他部分继续执行。</w:t>
            </w:r>
          </w:p>
        </w:tc>
      </w:tr>
    </w:tbl>
    <w:p>
      <w:pPr>
        <w:pStyle w:val="4"/>
        <w:jc w:val="left"/>
        <w:outlineLvl w:val="2"/>
      </w:pPr>
      <w:r>
        <w:rPr>
          <w:rFonts w:ascii="仿宋_GB2312" w:hAnsi="仿宋_GB2312" w:eastAsia="仿宋_GB2312" w:cs="仿宋_GB2312"/>
          <w:b/>
          <w:sz w:val="28"/>
        </w:rPr>
        <w:t>3.4.其他要求</w:t>
      </w:r>
    </w:p>
    <w:p>
      <w:pPr>
        <w:pStyle w:val="4"/>
        <w:ind w:firstLine="480"/>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无</w:t>
      </w:r>
    </w:p>
    <w:p>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U0N2E3ZGYzMDc2MDc4N2JkMTM5NDIwNDNkNDRkNGEifQ=="/>
  </w:docVars>
  <w:rsids>
    <w:rsidRoot w:val="00000000"/>
    <w:rsid w:val="23E56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autoRedefine/>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2026-09-30T01:52:42Z</dcterms:created>
  <dc:creator>hp01</dc:creator>
  <cp:lastModifiedBy>杨鸿飞</cp:lastModifiedBy>
  <dcterms:modified xsi:type="dcterms:W3CDTF">2026-09-30T01:53:25Z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0DFD0A85D3E1436B85364F97455A2C9F_12</vt:lpwstr>
  </property>
</Properties>
</file>