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5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单细胞高维分析系统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单细胞高维分析系统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rPr>
          <w:rFonts w:hint="eastAsia"/>
          <w:color w:val="auto"/>
          <w:position w:val="-14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</w:t>
      </w:r>
      <w:r>
        <w:rPr>
          <w:color w:val="auto"/>
          <w:sz w:val="24"/>
          <w:highlight w:val="none"/>
        </w:rPr>
        <w:t>.1</w:t>
      </w:r>
      <w:r>
        <w:rPr>
          <w:rFonts w:hint="eastAsia"/>
          <w:color w:val="auto"/>
          <w:sz w:val="24"/>
          <w:highlight w:val="none"/>
        </w:rPr>
        <w:t xml:space="preserve"> 稳固台面无震动</w:t>
      </w:r>
    </w:p>
    <w:p>
      <w:pPr>
        <w:spacing w:line="360" w:lineRule="auto"/>
        <w:ind w:left="435" w:firstLine="240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设备用途：</w:t>
      </w:r>
    </w:p>
    <w:p>
      <w:pPr>
        <w:spacing w:line="360" w:lineRule="auto"/>
        <w:rPr>
          <w:rFonts w:hint="eastAsia" w:ascii="inherit" w:hAnsi="inherit" w:cs="宋体"/>
          <w:color w:val="auto"/>
          <w:kern w:val="0"/>
          <w:sz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 xml:space="preserve">2.1  </w:t>
      </w: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单细胞高维分析系统</w:t>
      </w:r>
      <w:r>
        <w:rPr>
          <w:rFonts w:ascii="inherit" w:hAnsi="inherit" w:cs="宋体"/>
          <w:color w:val="auto"/>
          <w:kern w:val="0"/>
          <w:sz w:val="24"/>
          <w:highlight w:val="none"/>
        </w:rPr>
        <w:t>满足</w:t>
      </w: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单细胞及小颗粒</w:t>
      </w:r>
      <w:r>
        <w:rPr>
          <w:rFonts w:ascii="inherit" w:hAnsi="inherit" w:cs="宋体"/>
          <w:color w:val="auto"/>
          <w:kern w:val="0"/>
          <w:sz w:val="24"/>
          <w:highlight w:val="none"/>
        </w:rPr>
        <w:t>分析</w:t>
      </w: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需求，实现免疫细胞表面标志物检测、活死细胞染色、类器官表面多种抗体标记、外泌体和脂质体的分析和标定、以及细菌和藻类的荧光标记和鉴别等，此类实验需要对群体细胞在单细胞水平上进行多重分析，在短时间内检测分析大量细胞，并确定细胞种类，同时对细胞周期检测、细胞凋亡检测、细胞因子检测、免疫分型、绝对计数、细胞增殖检测等进行多参数定量分析。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 激光器配置：至少包含405nm, 488nm,633～640nm，561nm四根固态激光器，各激光器功率≥100 mW。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*3.2 检测器参数：≥16个荧光探测器，1个前向角检测器，1个侧向角检测器，合计不少于18个检测器。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#3.3 光路设计：采用全光纤化光路传递和多角盘全反射收集系统，确保荧光收集效率，提升检测灵敏度。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*3.4 细胞探测器类型：全数字化PMT检测器，非APD类检测器，电子死时间为0，检测电压可调。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 荧光激发：多激光（≥4激光）立体空间激发方式，实现至少16色荧光分析，所有荧光在抵达检测器之前只经过一次透射，减少荧光损失。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*3.6 需配备侧向小颗粒检测器，最小检测颗粒大小：≤90nm 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 荧光检测灵敏度：荧光检测灵敏度FITC≦80MESF，PE≦30MESF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3.8 样本获取速度：≥25,000个细胞/秒。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3.9 进样针自动清洗系统：换样时自动清洗进样针内的残余样本，交叉污染率&lt;0.5%。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3.10 荧光补偿：机器具备自动调节荧光补偿功能。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*3.11 液流动力：液流采用正压空气泵驱动，流体动力学聚焦驱动样本细胞通过石英杯被激光激发。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#3.12 具备准确报告仪器性能基线，仪器性能追踪、自动生成不少于20项质控图，自动调整电压、激光参数，提高仪器设置的精确性，保证不同时间检测数据的一致性。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3.13 荧光补偿：任意激光间的荧光间补偿，不受限制。既可以实时补偿，也可以获取后脱机补偿，还可以软件自动补偿。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*3.14 可升级孔板自动上样系统，能满足96孔和384孔板上样，最快进样时间一块96孔板≤15min。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3.15 自动对焦到作为基准点的载玻片网。所得数值，始终一致，准确度高，无需手动对焦，即自动对焦高清晰识别图像，区分活细胞、死细胞。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3.16 每个载玻片样品池数量：4个。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3.17 装载样品体积：20 ul。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3.18 分析体积：最大值为3.6 ul。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3.19 细胞浓度范围：1×104 - 1×107个细胞/ml。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3.20 支持三种不同模式：快速模式，正常模式，精确模式。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3.21 可提供IQ/OQ，并可供GMP设施使用。 </w:t>
      </w:r>
    </w:p>
    <w:p>
      <w:pPr>
        <w:spacing w:line="360" w:lineRule="auto"/>
        <w:ind w:firstLine="480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产品配置要求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4.1 单细胞高维分析系统主机一台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4.2 计算机工作站一台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4.3 数据获取及分析软件一套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4.4 34英寸宽屏液晶显示器一台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4.5 3KW净化精密稳压电源一台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4.6 HP彩色激光打印机一台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4.7 仪器启动试剂一套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</w:t>
      </w:r>
      <w:r>
        <w:rPr>
          <w:b/>
          <w:color w:val="auto"/>
          <w:sz w:val="24"/>
          <w:highlight w:val="none"/>
        </w:rPr>
        <w:t xml:space="preserve">. </w:t>
      </w:r>
      <w:r>
        <w:rPr>
          <w:rFonts w:hint="eastAsia"/>
          <w:b/>
          <w:color w:val="auto"/>
          <w:sz w:val="24"/>
          <w:highlight w:val="none"/>
        </w:rPr>
        <w:t>选购附件、备件及消耗品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  <w:lang w:val="en-US" w:eastAsia="zh-CN"/>
        </w:rPr>
        <w:t>无</w:t>
      </w:r>
      <w:r>
        <w:rPr>
          <w:rFonts w:hint="eastAsia"/>
          <w:color w:val="auto"/>
          <w:sz w:val="24"/>
          <w:highlight w:val="none"/>
        </w:rPr>
        <w:t xml:space="preserve">          </w:t>
      </w:r>
    </w:p>
    <w:p>
      <w:pPr>
        <w:tabs>
          <w:tab w:val="left" w:pos="540"/>
        </w:tabs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</w:t>
      </w:r>
    </w:p>
    <w:p>
      <w:pPr>
        <w:tabs>
          <w:tab w:val="left" w:pos="540"/>
        </w:tabs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6.  技术文件：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6.1 请参考总则第1.2条。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6.2 请参考总则第2.3条。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 设备安装调试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1.1在最终用户处现场安装、调试，调试后，按照中标方提供的标书所列技术指标或具体技术规格中第3条所列技术指标进行验收。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在合同生效后的3个月内向最终用户提供详细的安装要求并提供技术咨询；在仪器到达前1个月，卖方应通知用户水、电、气及其他仪器必备辅助设施的具体要求，从而让用户提前做好仪器安装准备。仪器到达用户所在地，在接到用户通知后一周内进行安装调试，直至通过验收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2 技术培训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在用户所在地或指定培训场所，对仪器使用者2-3人进行仪器操作和维护进行培训，使被培训人员达到能够熟练使用。培训内容包括仪器的技术原理、操作、数据处理、基本维护等。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 质保期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卖方提供1年的免费保修,保修期自仪器验收合格之日起计算。保修期间维修及零件更换费用由厂家负担。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4 维修响应时间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在保修期内，卖方工程师在收到用户的维修服务要求后4小时内给予答复，2个工作日内到达用户现场进行维修，除需进口仪器配件外，应使仪器恢复正常使用。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 要求卖方提供的其它技术服务内容（如软、硬件升级要求等）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5.1 卖方负责设备终身维修；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5.2 卖方应免费向用户提供在硬件许可条件下的软件升级服务。</w:t>
      </w: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1套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交货地点/目的港：</w:t>
      </w:r>
    </w:p>
    <w:p>
      <w:pPr>
        <w:spacing w:line="360" w:lineRule="auto"/>
        <w:ind w:firstLine="24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交货地点：中国科学院化学研究所</w:t>
      </w:r>
    </w:p>
    <w:p>
      <w:pPr>
        <w:spacing w:line="360" w:lineRule="auto"/>
        <w:ind w:firstLine="24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目的港：CIP中国科学院化学研究所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合同签订起6个月内交货。                                          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（六）执行的相关标准</w:t>
      </w:r>
    </w:p>
    <w:p>
      <w:pPr>
        <w:spacing w:line="360" w:lineRule="auto"/>
        <w:rPr>
          <w:rFonts w:hint="eastAsia" w:ascii="宋体" w:hAnsi="宋体" w:eastAsia="宋体"/>
          <w:b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 xml:space="preserve"> </w:t>
      </w:r>
      <w:r>
        <w:rPr>
          <w:rFonts w:hint="eastAsia" w:ascii="inherit" w:hAnsi="inherit" w:cs="宋体"/>
          <w:color w:val="auto"/>
          <w:kern w:val="0"/>
          <w:sz w:val="24"/>
          <w:highlight w:val="none"/>
          <w:lang w:val="en-US" w:eastAsia="zh-CN"/>
        </w:rPr>
        <w:t>无</w:t>
      </w:r>
    </w:p>
    <w:p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eastAsia"/>
      </w:rPr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mODAwMjU3MDZiMTA1ZGNlMWIzYzVhOTM2YjUwNTgifQ=="/>
  </w:docVars>
  <w:rsids>
    <w:rsidRoot w:val="20CE4E4E"/>
    <w:rsid w:val="20CE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2023-10-10T12:53:00Z</dcterms:created>
  <dc:creator>godjiao</dc:creator>
  <cp:lastModifiedBy>godjiao</cp:lastModifiedBy>
  <dcterms:modified xsi:type="dcterms:W3CDTF">2023-10-10T12:53:37Z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8F084C0E25EC425CA2EFA31CEC69B9EB_11</vt:lpwstr>
  </property>
</Properties>
</file>