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B986F">
      <w:pPr>
        <w:adjustRightInd w:val="0"/>
        <w:snapToGrid w:val="0"/>
        <w:spacing w:after="156" w:afterLines="50" w:line="360" w:lineRule="auto"/>
        <w:jc w:val="center"/>
        <w:outlineLvl w:val="0"/>
        <w:rPr>
          <w:rFonts w:ascii="黑体" w:eastAsia="黑体"/>
          <w:b/>
          <w:color w:val="000000"/>
          <w:kern w:val="44"/>
          <w:sz w:val="48"/>
          <w:szCs w:val="20"/>
        </w:rPr>
      </w:pPr>
      <w:bookmarkStart w:id="0" w:name="_Toc129880039"/>
      <w:r>
        <w:rPr>
          <w:rFonts w:hint="eastAsia" w:ascii="宋体" w:hAnsi="宋体"/>
          <w:b/>
          <w:color w:val="000000"/>
          <w:sz w:val="30"/>
          <w:szCs w:val="30"/>
        </w:rPr>
        <w:t>第八部分 采购需求</w:t>
      </w:r>
      <w:bookmarkEnd w:id="0"/>
    </w:p>
    <w:p w14:paraId="5B131D90">
      <w:pPr>
        <w:adjustRightInd w:val="0"/>
        <w:snapToGrid w:val="0"/>
        <w:spacing w:before="156" w:beforeLines="50" w:after="156" w:afterLines="50" w:line="360" w:lineRule="auto"/>
        <w:jc w:val="center"/>
        <w:rPr>
          <w:rFonts w:ascii="宋体" w:hAnsi="宋体"/>
          <w:b/>
          <w:color w:val="000000"/>
          <w:sz w:val="24"/>
        </w:rPr>
      </w:pPr>
      <w:r>
        <w:rPr>
          <w:rFonts w:hint="eastAsia" w:ascii="宋体" w:hAnsi="宋体"/>
          <w:b/>
          <w:color w:val="000000"/>
          <w:sz w:val="24"/>
        </w:rPr>
        <w:t>货物需求一览表</w:t>
      </w:r>
    </w:p>
    <w:p w14:paraId="7CB19C8C">
      <w:pPr>
        <w:adjustRightInd w:val="0"/>
        <w:snapToGrid w:val="0"/>
        <w:jc w:val="center"/>
        <w:rPr>
          <w:rFonts w:ascii="宋体" w:hAnsi="宋体"/>
          <w:b/>
          <w:color w:val="000000"/>
          <w:sz w:val="30"/>
          <w:szCs w:val="30"/>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597FF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0329BED7">
            <w:pPr>
              <w:jc w:val="center"/>
              <w:rPr>
                <w:rFonts w:ascii="宋体" w:hAnsi="Bookman Old Style"/>
                <w:color w:val="000000"/>
                <w:sz w:val="24"/>
              </w:rPr>
            </w:pPr>
            <w:r>
              <w:rPr>
                <w:rFonts w:hint="eastAsia" w:ascii="宋体" w:hAnsi="Bookman Old Style"/>
                <w:color w:val="000000"/>
                <w:sz w:val="24"/>
              </w:rPr>
              <w:t>包号</w:t>
            </w:r>
          </w:p>
        </w:tc>
        <w:tc>
          <w:tcPr>
            <w:tcW w:w="2357" w:type="dxa"/>
            <w:vAlign w:val="center"/>
          </w:tcPr>
          <w:p w14:paraId="1357301A">
            <w:pPr>
              <w:jc w:val="center"/>
              <w:rPr>
                <w:rFonts w:ascii="宋体" w:hAnsi="Bookman Old Style"/>
                <w:color w:val="000000"/>
                <w:sz w:val="24"/>
              </w:rPr>
            </w:pPr>
            <w:r>
              <w:rPr>
                <w:rFonts w:hint="eastAsia" w:ascii="宋体" w:hAnsi="Bookman Old Style"/>
                <w:color w:val="000000"/>
                <w:sz w:val="24"/>
              </w:rPr>
              <w:t>货物名称</w:t>
            </w:r>
          </w:p>
        </w:tc>
        <w:tc>
          <w:tcPr>
            <w:tcW w:w="1329" w:type="dxa"/>
            <w:vAlign w:val="center"/>
          </w:tcPr>
          <w:p w14:paraId="12C89CFC">
            <w:pPr>
              <w:jc w:val="center"/>
              <w:rPr>
                <w:rFonts w:ascii="宋体" w:hAnsi="Bookman Old Style"/>
                <w:color w:val="000000"/>
                <w:sz w:val="24"/>
              </w:rPr>
            </w:pPr>
            <w:r>
              <w:rPr>
                <w:rFonts w:hint="eastAsia" w:ascii="宋体" w:hAnsi="Bookman Old Style"/>
                <w:color w:val="000000"/>
                <w:sz w:val="24"/>
              </w:rPr>
              <w:t>数量</w:t>
            </w:r>
          </w:p>
        </w:tc>
        <w:tc>
          <w:tcPr>
            <w:tcW w:w="2470" w:type="dxa"/>
            <w:vAlign w:val="center"/>
          </w:tcPr>
          <w:p w14:paraId="1EA47696">
            <w:pPr>
              <w:jc w:val="center"/>
              <w:rPr>
                <w:rFonts w:ascii="宋体" w:hAnsi="Bookman Old Style"/>
                <w:color w:val="000000"/>
                <w:sz w:val="24"/>
              </w:rPr>
            </w:pPr>
            <w:r>
              <w:rPr>
                <w:rFonts w:hint="eastAsia" w:ascii="宋体" w:hAnsi="Bookman Old Style"/>
                <w:color w:val="000000"/>
                <w:sz w:val="24"/>
              </w:rPr>
              <w:t>是否接受进口</w:t>
            </w:r>
          </w:p>
        </w:tc>
      </w:tr>
      <w:tr w14:paraId="690A0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25E40FFD">
            <w:pPr>
              <w:jc w:val="center"/>
              <w:rPr>
                <w:rFonts w:hint="default" w:ascii="宋体" w:eastAsia="宋体"/>
                <w:color w:val="000000"/>
                <w:sz w:val="24"/>
                <w:lang w:val="en-US" w:eastAsia="zh-CN"/>
              </w:rPr>
            </w:pPr>
            <w:r>
              <w:rPr>
                <w:rFonts w:hint="eastAsia" w:ascii="宋体"/>
                <w:color w:val="000000"/>
                <w:sz w:val="24"/>
                <w:lang w:val="en-US" w:eastAsia="zh-CN"/>
              </w:rPr>
              <w:t>17</w:t>
            </w:r>
          </w:p>
        </w:tc>
        <w:tc>
          <w:tcPr>
            <w:tcW w:w="2357" w:type="dxa"/>
            <w:vAlign w:val="center"/>
          </w:tcPr>
          <w:p w14:paraId="744F2C20">
            <w:pPr>
              <w:jc w:val="center"/>
              <w:rPr>
                <w:rFonts w:ascii="Bookman Old Style" w:hAnsi="Bookman Old Style"/>
                <w:color w:val="000000"/>
                <w:sz w:val="24"/>
              </w:rPr>
            </w:pPr>
            <w:r>
              <w:rPr>
                <w:rFonts w:hint="eastAsia" w:ascii="Bookman Old Style" w:hAnsi="Bookman Old Style"/>
                <w:color w:val="000000"/>
                <w:sz w:val="24"/>
              </w:rPr>
              <w:t>傅里叶变换离子回旋共振质谱高分辨检测池套件</w:t>
            </w:r>
          </w:p>
        </w:tc>
        <w:tc>
          <w:tcPr>
            <w:tcW w:w="1329" w:type="dxa"/>
            <w:vAlign w:val="center"/>
          </w:tcPr>
          <w:p w14:paraId="2BD0A4BE">
            <w:pPr>
              <w:jc w:val="center"/>
              <w:rPr>
                <w:rFonts w:ascii="宋体" w:hAnsi="Bookman Old Style"/>
                <w:color w:val="000000"/>
                <w:sz w:val="24"/>
              </w:rPr>
            </w:pPr>
            <w:r>
              <w:rPr>
                <w:rFonts w:hint="eastAsia" w:ascii="宋体" w:hAnsi="Bookman Old Style"/>
                <w:color w:val="000000"/>
                <w:sz w:val="24"/>
              </w:rPr>
              <w:t>1套</w:t>
            </w:r>
          </w:p>
        </w:tc>
        <w:tc>
          <w:tcPr>
            <w:tcW w:w="2470" w:type="dxa"/>
            <w:vAlign w:val="center"/>
          </w:tcPr>
          <w:p w14:paraId="70DA9CFD">
            <w:pPr>
              <w:jc w:val="center"/>
              <w:rPr>
                <w:rFonts w:ascii="宋体" w:hAnsi="Bookman Old Style"/>
                <w:color w:val="000000"/>
                <w:sz w:val="24"/>
              </w:rPr>
            </w:pPr>
            <w:r>
              <w:rPr>
                <w:rFonts w:hint="eastAsia" w:ascii="宋体" w:hAnsi="Bookman Old Style"/>
                <w:color w:val="000000"/>
                <w:sz w:val="24"/>
              </w:rPr>
              <w:t>是</w:t>
            </w:r>
          </w:p>
        </w:tc>
      </w:tr>
    </w:tbl>
    <w:p w14:paraId="3DAC7171">
      <w:pPr>
        <w:adjustRightInd w:val="0"/>
        <w:snapToGrid w:val="0"/>
        <w:jc w:val="center"/>
        <w:rPr>
          <w:rFonts w:ascii="宋体" w:hAnsi="宋体"/>
          <w:b/>
          <w:color w:val="000000"/>
          <w:sz w:val="30"/>
          <w:szCs w:val="30"/>
        </w:rPr>
      </w:pPr>
    </w:p>
    <w:p w14:paraId="0A239B6E">
      <w:pPr>
        <w:adjustRightInd w:val="0"/>
        <w:snapToGrid w:val="0"/>
        <w:jc w:val="center"/>
        <w:rPr>
          <w:rFonts w:ascii="宋体" w:hAnsi="宋体"/>
          <w:b/>
          <w:color w:val="000000"/>
          <w:sz w:val="30"/>
          <w:szCs w:val="30"/>
        </w:rPr>
      </w:pPr>
    </w:p>
    <w:p w14:paraId="19F6C697">
      <w:pPr>
        <w:rPr>
          <w:rFonts w:ascii="Bookman Old Style" w:hAnsi="Bookman Old Style"/>
          <w:color w:val="000000"/>
          <w:sz w:val="24"/>
        </w:rPr>
      </w:pPr>
      <w:r>
        <w:rPr>
          <w:rFonts w:hint="eastAsia"/>
          <w:color w:val="000000"/>
          <w:sz w:val="24"/>
        </w:rPr>
        <w:t>注：投标人须对上述投标内容中完整的一包进行投标，</w:t>
      </w:r>
      <w:r>
        <w:rPr>
          <w:rFonts w:hint="eastAsia" w:ascii="Bookman Old Style" w:hAnsi="Bookman Old Style"/>
          <w:color w:val="000000"/>
          <w:sz w:val="24"/>
        </w:rPr>
        <w:t>不完整的投标将视为非响应性投标予以拒绝。</w:t>
      </w:r>
    </w:p>
    <w:p w14:paraId="6A83231C">
      <w:pPr>
        <w:adjustRightInd w:val="0"/>
        <w:snapToGrid w:val="0"/>
        <w:rPr>
          <w:rFonts w:ascii="宋体" w:hAnsi="宋体"/>
          <w:color w:val="000000"/>
          <w:szCs w:val="21"/>
        </w:rPr>
      </w:pPr>
    </w:p>
    <w:p w14:paraId="5BD718D5">
      <w:pPr>
        <w:adjustRightInd w:val="0"/>
        <w:snapToGrid w:val="0"/>
        <w:rPr>
          <w:rFonts w:ascii="宋体" w:hAnsi="宋体"/>
          <w:color w:val="000000"/>
          <w:szCs w:val="21"/>
        </w:rPr>
      </w:pPr>
    </w:p>
    <w:p w14:paraId="7E086F59">
      <w:pPr>
        <w:adjustRightInd w:val="0"/>
        <w:snapToGrid w:val="0"/>
        <w:rPr>
          <w:rFonts w:ascii="宋体" w:hAnsi="宋体"/>
          <w:color w:val="000000"/>
          <w:szCs w:val="21"/>
        </w:rPr>
      </w:pPr>
    </w:p>
    <w:p w14:paraId="225A893F">
      <w:pPr>
        <w:adjustRightInd w:val="0"/>
        <w:snapToGrid w:val="0"/>
        <w:spacing w:line="360" w:lineRule="auto"/>
        <w:rPr>
          <w:rFonts w:ascii="宋体" w:hAnsi="宋体"/>
          <w:b/>
          <w:color w:val="000000"/>
          <w:sz w:val="28"/>
          <w:szCs w:val="28"/>
        </w:rPr>
      </w:pPr>
      <w:r>
        <w:rPr>
          <w:rFonts w:ascii="宋体" w:hAnsi="宋体"/>
          <w:b/>
          <w:color w:val="000000"/>
          <w:sz w:val="30"/>
          <w:szCs w:val="30"/>
        </w:rPr>
        <w:br w:type="page"/>
      </w:r>
      <w:r>
        <w:rPr>
          <w:rFonts w:hint="eastAsia" w:ascii="宋体" w:hAnsi="宋体"/>
          <w:b/>
          <w:color w:val="000000"/>
          <w:sz w:val="28"/>
          <w:szCs w:val="28"/>
        </w:rPr>
        <w:t>一、总则</w:t>
      </w:r>
    </w:p>
    <w:p w14:paraId="2F2E2322">
      <w:pPr>
        <w:adjustRightInd w:val="0"/>
        <w:snapToGrid w:val="0"/>
        <w:spacing w:line="360" w:lineRule="auto"/>
        <w:rPr>
          <w:rFonts w:ascii="宋体" w:hAnsi="宋体"/>
          <w:b/>
          <w:color w:val="000000"/>
          <w:sz w:val="28"/>
          <w:szCs w:val="28"/>
        </w:rPr>
      </w:pPr>
      <w:r>
        <w:rPr>
          <w:rFonts w:ascii="宋体" w:hAnsi="宋体"/>
          <w:b/>
          <w:color w:val="000000"/>
          <w:sz w:val="28"/>
          <w:szCs w:val="28"/>
        </w:rPr>
        <w:t>1</w:t>
      </w:r>
      <w:r>
        <w:rPr>
          <w:rFonts w:hint="eastAsia" w:ascii="宋体" w:hAnsi="宋体"/>
          <w:b/>
          <w:color w:val="000000"/>
          <w:sz w:val="28"/>
          <w:szCs w:val="28"/>
        </w:rPr>
        <w:t>、投标要求</w:t>
      </w:r>
    </w:p>
    <w:p w14:paraId="732C8904">
      <w:pPr>
        <w:spacing w:line="360" w:lineRule="auto"/>
        <w:ind w:left="554" w:hanging="554" w:hangingChars="231"/>
        <w:rPr>
          <w:rFonts w:ascii="宋体" w:hAnsi="宋体"/>
          <w:color w:val="000000"/>
          <w:sz w:val="24"/>
        </w:rPr>
      </w:pPr>
      <w:r>
        <w:rPr>
          <w:rFonts w:ascii="宋体" w:hAnsi="宋体"/>
          <w:color w:val="000000"/>
          <w:sz w:val="24"/>
        </w:rPr>
        <w:t xml:space="preserve">1.1 </w:t>
      </w:r>
      <w:r>
        <w:rPr>
          <w:rFonts w:hint="eastAsia" w:ascii="宋体" w:hAnsi="宋体"/>
          <w:color w:val="000000"/>
          <w:sz w:val="24"/>
        </w:rPr>
        <w:t xml:space="preserve"> 投标人在准备投标书时，务必在所提供的商品的技术规格文件中，标明型号、商标名称、目录号。</w:t>
      </w:r>
    </w:p>
    <w:p w14:paraId="60AEDF95">
      <w:pPr>
        <w:spacing w:line="360" w:lineRule="auto"/>
        <w:ind w:left="554" w:hanging="554" w:hangingChars="231"/>
        <w:rPr>
          <w:rFonts w:ascii="宋体" w:hAnsi="宋体"/>
          <w:color w:val="000000"/>
          <w:sz w:val="24"/>
        </w:rPr>
      </w:pPr>
      <w:r>
        <w:rPr>
          <w:rFonts w:hint="eastAsia" w:ascii="宋体" w:hAnsi="宋体"/>
          <w:color w:val="000000"/>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8090A5C">
      <w:pPr>
        <w:spacing w:line="360" w:lineRule="auto"/>
        <w:ind w:left="554" w:hanging="554" w:hangingChars="231"/>
        <w:rPr>
          <w:rFonts w:ascii="宋体"/>
          <w:color w:val="000000"/>
          <w:sz w:val="24"/>
        </w:rPr>
      </w:pPr>
      <w:r>
        <w:rPr>
          <w:rFonts w:hint="eastAsia" w:ascii="宋体" w:hAnsi="宋体"/>
          <w:color w:val="000000"/>
          <w:sz w:val="24"/>
        </w:rPr>
        <w:t xml:space="preserve">1.3  </w:t>
      </w:r>
      <w:r>
        <w:rPr>
          <w:rFonts w:hint="eastAsia"/>
          <w:color w:val="000000"/>
          <w:sz w:val="24"/>
        </w:rPr>
        <w:t>投标人提供的</w:t>
      </w:r>
      <w:r>
        <w:rPr>
          <w:rFonts w:hint="eastAsia" w:ascii="宋体"/>
          <w:color w:val="000000"/>
          <w:sz w:val="24"/>
        </w:rPr>
        <w:t>产品</w:t>
      </w:r>
      <w:r>
        <w:rPr>
          <w:rFonts w:hint="eastAsia"/>
          <w:color w:val="000000"/>
          <w:sz w:val="24"/>
        </w:rPr>
        <w:t>样本，必须是“原件”而非复印件，</w:t>
      </w:r>
      <w:r>
        <w:rPr>
          <w:rFonts w:hint="eastAsia" w:ascii="宋体"/>
          <w:color w:val="000000"/>
          <w:sz w:val="24"/>
        </w:rPr>
        <w:t>图表、简图、电路图以及印刷电路板图等都应</w:t>
      </w:r>
      <w:r>
        <w:rPr>
          <w:rFonts w:hint="eastAsia"/>
          <w:color w:val="000000"/>
          <w:sz w:val="24"/>
        </w:rPr>
        <w:t>清晰易读。买方有权</w:t>
      </w:r>
      <w:r>
        <w:rPr>
          <w:rFonts w:hint="eastAsia" w:ascii="宋体"/>
          <w:color w:val="000000"/>
          <w:sz w:val="24"/>
        </w:rPr>
        <w:t>不付任何附加费用</w:t>
      </w:r>
      <w:r>
        <w:rPr>
          <w:rFonts w:hint="eastAsia"/>
          <w:color w:val="000000"/>
          <w:sz w:val="24"/>
        </w:rPr>
        <w:t>复制这些资料</w:t>
      </w:r>
      <w:r>
        <w:rPr>
          <w:rFonts w:hint="eastAsia" w:ascii="宋体"/>
          <w:color w:val="000000"/>
          <w:sz w:val="24"/>
        </w:rPr>
        <w:t>以供参考。</w:t>
      </w:r>
    </w:p>
    <w:p w14:paraId="5E1EF1CE">
      <w:pPr>
        <w:spacing w:line="360" w:lineRule="auto"/>
        <w:ind w:left="554" w:hanging="554" w:hangingChars="231"/>
        <w:rPr>
          <w:rFonts w:ascii="宋体"/>
          <w:color w:val="000000"/>
          <w:sz w:val="24"/>
        </w:rPr>
      </w:pPr>
      <w:r>
        <w:rPr>
          <w:rFonts w:hint="eastAsia" w:ascii="宋体"/>
          <w:color w:val="000000"/>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E19185D">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2、评标标准</w:t>
      </w:r>
    </w:p>
    <w:p w14:paraId="3C8D3866">
      <w:pPr>
        <w:spacing w:line="360" w:lineRule="auto"/>
        <w:ind w:left="554" w:hanging="554" w:hangingChars="231"/>
        <w:rPr>
          <w:rFonts w:ascii="宋体"/>
          <w:color w:val="000000"/>
          <w:sz w:val="24"/>
        </w:rPr>
      </w:pPr>
      <w:r>
        <w:rPr>
          <w:rFonts w:ascii="宋体" w:hAnsi="宋体"/>
          <w:color w:val="000000"/>
          <w:sz w:val="24"/>
        </w:rPr>
        <w:t>2.</w:t>
      </w:r>
      <w:r>
        <w:rPr>
          <w:rFonts w:hint="eastAsia" w:ascii="宋体" w:hAnsi="宋体"/>
          <w:color w:val="000000"/>
          <w:sz w:val="24"/>
        </w:rPr>
        <w:t xml:space="preserve">1  </w:t>
      </w:r>
      <w:r>
        <w:rPr>
          <w:rFonts w:hint="eastAsia"/>
          <w:color w:val="000000"/>
          <w:sz w:val="24"/>
        </w:rPr>
        <w:t>除招标文件中指定的附件和专用工具外，</w:t>
      </w:r>
      <w:r>
        <w:rPr>
          <w:rFonts w:hint="eastAsia" w:ascii="宋体"/>
          <w:color w:val="000000"/>
          <w:sz w:val="24"/>
        </w:rPr>
        <w:t>投标人应提供仪器设备的正常运行和常规保养所需的全套标准附件、专用工具</w:t>
      </w:r>
      <w:r>
        <w:rPr>
          <w:rFonts w:hint="eastAsia"/>
          <w:color w:val="000000"/>
          <w:sz w:val="24"/>
        </w:rPr>
        <w:t>和消耗品</w:t>
      </w:r>
      <w:r>
        <w:rPr>
          <w:rFonts w:hint="eastAsia" w:ascii="宋体"/>
          <w:color w:val="000000"/>
          <w:sz w:val="24"/>
        </w:rPr>
        <w:t>。投标人在投标书中需列出这些附件和工具的数量和单价的清单，这些附件和工具的报价的总值需计入投标价中。</w:t>
      </w:r>
    </w:p>
    <w:p w14:paraId="03896DB1">
      <w:pPr>
        <w:spacing w:line="360" w:lineRule="auto"/>
        <w:ind w:left="554" w:hanging="554" w:hangingChars="231"/>
        <w:rPr>
          <w:color w:val="000000"/>
          <w:sz w:val="24"/>
        </w:rPr>
      </w:pPr>
      <w:r>
        <w:rPr>
          <w:rFonts w:hint="eastAsia" w:ascii="宋体" w:hAnsi="宋体"/>
          <w:color w:val="000000"/>
          <w:sz w:val="24"/>
        </w:rPr>
        <w:t xml:space="preserve">2.2  </w:t>
      </w:r>
      <w:r>
        <w:rPr>
          <w:rFonts w:hint="eastAsia"/>
          <w:color w:val="000000"/>
          <w:sz w:val="24"/>
        </w:rPr>
        <w:t>对于标书</w:t>
      </w:r>
      <w:r>
        <w:rPr>
          <w:rFonts w:hint="eastAsia" w:ascii="宋体"/>
          <w:color w:val="000000"/>
          <w:sz w:val="24"/>
        </w:rPr>
        <w:t>技术规范中已列</w:t>
      </w:r>
      <w:r>
        <w:rPr>
          <w:rFonts w:hint="eastAsia"/>
          <w:color w:val="000000"/>
          <w:sz w:val="24"/>
        </w:rPr>
        <w:t>出的作为查询选件的附件、零配件、专用工具和消耗品，投标书中</w:t>
      </w:r>
      <w:r>
        <w:rPr>
          <w:rFonts w:hint="eastAsia" w:ascii="宋体"/>
          <w:color w:val="000000"/>
          <w:sz w:val="24"/>
        </w:rPr>
        <w:t>应列明其数量、单价、总价供买方参考。投标人也可推荐买方没有要求的附件或专用工具作为选件，并列明其数量、单价、总价供买方参考。选件价格不计入评标价中。</w:t>
      </w:r>
    </w:p>
    <w:p w14:paraId="2ECA9517">
      <w:pPr>
        <w:spacing w:line="360" w:lineRule="auto"/>
        <w:ind w:left="554" w:hanging="554" w:hangingChars="231"/>
        <w:rPr>
          <w:rFonts w:ascii="宋体" w:hAnsi="宋体"/>
          <w:color w:val="000000"/>
          <w:sz w:val="24"/>
        </w:rPr>
      </w:pPr>
      <w:r>
        <w:rPr>
          <w:rFonts w:hint="eastAsia" w:ascii="宋体" w:hAnsi="宋体"/>
          <w:color w:val="000000"/>
          <w:sz w:val="24"/>
        </w:rPr>
        <w:t>2.3  为便于用户进行接收仪器的准备工作，卖方应在合同生效后</w:t>
      </w:r>
      <w:r>
        <w:rPr>
          <w:rFonts w:hint="eastAsia" w:ascii="宋体" w:hAnsi="宋体"/>
          <w:b/>
          <w:color w:val="000000"/>
          <w:sz w:val="24"/>
        </w:rPr>
        <w:t>60</w:t>
      </w:r>
      <w:r>
        <w:rPr>
          <w:rFonts w:hint="eastAsia" w:ascii="宋体" w:hAnsi="宋体"/>
          <w:color w:val="000000"/>
          <w:sz w:val="24"/>
        </w:rPr>
        <w:t>天内向用户提供一套完整的使用说明书、操作手册、维修及安装说明等文件。另一套完整上述资料应在交货时随货包装提供给用户，这些费用应计入投标价中。</w:t>
      </w:r>
    </w:p>
    <w:p w14:paraId="1B79F885">
      <w:pPr>
        <w:spacing w:line="360" w:lineRule="auto"/>
        <w:ind w:left="554" w:hanging="554" w:hangingChars="231"/>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ascii="宋体" w:hAnsi="宋体"/>
          <w:color w:val="000000"/>
          <w:sz w:val="24"/>
        </w:rPr>
        <w:t>4</w:t>
      </w:r>
      <w:r>
        <w:rPr>
          <w:rFonts w:ascii="宋体" w:hAnsi="宋体"/>
          <w:color w:val="000000"/>
          <w:sz w:val="24"/>
        </w:rPr>
        <w:t xml:space="preserve"> </w:t>
      </w:r>
      <w:r>
        <w:rPr>
          <w:rFonts w:hint="eastAsia" w:ascii="宋体" w:hAnsi="宋体"/>
          <w:color w:val="000000"/>
          <w:sz w:val="24"/>
        </w:rPr>
        <w:t xml:space="preserve"> 关于设备的安装调试，如果有必要的安装准备条件，卖方应在合同生效后一个月内向买方提出详细的要求或计划。安装调试的费用应计入投标价中，并应单独列出，供评标使用。</w:t>
      </w:r>
    </w:p>
    <w:p w14:paraId="61824492">
      <w:pPr>
        <w:spacing w:line="360" w:lineRule="auto"/>
        <w:ind w:left="554" w:hanging="554" w:hangingChars="231"/>
        <w:rPr>
          <w:rFonts w:ascii="宋体" w:hAnsi="宋体"/>
          <w:color w:val="000000"/>
          <w:sz w:val="24"/>
        </w:rPr>
      </w:pPr>
      <w:r>
        <w:rPr>
          <w:rFonts w:ascii="宋体" w:hAnsi="宋体"/>
          <w:color w:val="000000"/>
          <w:sz w:val="24"/>
        </w:rPr>
        <w:t>2.</w:t>
      </w:r>
      <w:r>
        <w:rPr>
          <w:rFonts w:hint="eastAsia" w:ascii="宋体" w:hAnsi="宋体"/>
          <w:color w:val="000000"/>
          <w:sz w:val="24"/>
        </w:rPr>
        <w:t>5  制造厂家提供的培训指的是涉及货物的基本原理、操作使用和保养维修等有关内容的培训。培训教员的培训费、旅费、食宿费等费用和培训场地费及培训资料费均应由卖方支付。</w:t>
      </w:r>
    </w:p>
    <w:p w14:paraId="10BF5FF1">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3、工作条件</w:t>
      </w:r>
    </w:p>
    <w:p w14:paraId="412D51F6">
      <w:pPr>
        <w:spacing w:after="312" w:afterLines="100" w:line="360" w:lineRule="auto"/>
        <w:rPr>
          <w:rFonts w:ascii="宋体" w:hAnsi="宋体"/>
          <w:color w:val="000000"/>
          <w:sz w:val="24"/>
        </w:rPr>
      </w:pPr>
      <w:r>
        <w:rPr>
          <w:rFonts w:hint="eastAsia" w:ascii="宋体" w:hAnsi="宋体"/>
          <w:color w:val="000000"/>
          <w:sz w:val="24"/>
        </w:rPr>
        <w:t>除非在技术规格中另有说明，所有仪器、设备和系统都应符合下列要求：</w:t>
      </w:r>
      <w:r>
        <w:rPr>
          <w:rFonts w:ascii="宋体" w:hAnsi="宋体"/>
          <w:color w:val="000000"/>
          <w:sz w:val="24"/>
        </w:rPr>
        <w:t xml:space="preserve"> </w:t>
      </w:r>
    </w:p>
    <w:p w14:paraId="49722393">
      <w:pPr>
        <w:spacing w:line="360" w:lineRule="auto"/>
        <w:ind w:left="554" w:hanging="554" w:hangingChars="231"/>
        <w:rPr>
          <w:rFonts w:ascii="宋体" w:hAnsi="宋体"/>
          <w:color w:val="000000"/>
          <w:sz w:val="24"/>
        </w:rPr>
      </w:pPr>
      <w:r>
        <w:rPr>
          <w:rFonts w:hint="eastAsia" w:ascii="宋体" w:hAnsi="宋体"/>
          <w:color w:val="000000"/>
          <w:sz w:val="24"/>
        </w:rPr>
        <w:t>3.1  适于在气温为摄氏</w:t>
      </w:r>
      <w:r>
        <w:rPr>
          <w:rFonts w:ascii="宋体" w:hAnsi="宋体"/>
          <w:b/>
          <w:color w:val="000000"/>
          <w:sz w:val="24"/>
        </w:rPr>
        <w:t>-40</w:t>
      </w:r>
      <w:r>
        <w:rPr>
          <w:rFonts w:hint="eastAsia" w:ascii="宋体" w:hAnsi="宋体"/>
          <w:b/>
          <w:color w:val="000000"/>
          <w:sz w:val="24"/>
        </w:rPr>
        <w:t>℃～＋</w:t>
      </w:r>
      <w:r>
        <w:rPr>
          <w:rFonts w:ascii="宋体" w:hAnsi="宋体"/>
          <w:b/>
          <w:color w:val="000000"/>
          <w:sz w:val="24"/>
        </w:rPr>
        <w:t>50</w:t>
      </w:r>
      <w:r>
        <w:rPr>
          <w:rFonts w:hint="eastAsia" w:ascii="宋体" w:hAnsi="宋体"/>
          <w:b/>
          <w:color w:val="000000"/>
          <w:sz w:val="24"/>
        </w:rPr>
        <w:t>℃</w:t>
      </w:r>
      <w:r>
        <w:rPr>
          <w:rFonts w:hint="eastAsia" w:ascii="宋体" w:hAnsi="宋体"/>
          <w:color w:val="000000"/>
          <w:sz w:val="24"/>
        </w:rPr>
        <w:t>和相对湿度为</w:t>
      </w:r>
      <w:r>
        <w:rPr>
          <w:rFonts w:ascii="宋体" w:hAnsi="宋体"/>
          <w:b/>
          <w:color w:val="000000"/>
          <w:sz w:val="24"/>
        </w:rPr>
        <w:t>90</w:t>
      </w:r>
      <w:r>
        <w:rPr>
          <w:rFonts w:hint="eastAsia" w:ascii="宋体" w:hAnsi="宋体"/>
          <w:b/>
          <w:color w:val="000000"/>
          <w:sz w:val="24"/>
        </w:rPr>
        <w:t>％</w:t>
      </w:r>
      <w:r>
        <w:rPr>
          <w:rFonts w:hint="eastAsia" w:ascii="宋体" w:hAnsi="宋体"/>
          <w:color w:val="000000"/>
          <w:sz w:val="24"/>
        </w:rPr>
        <w:t>的环境条件下运输和贮存。</w:t>
      </w:r>
    </w:p>
    <w:p w14:paraId="412D9EA4">
      <w:pPr>
        <w:spacing w:line="360" w:lineRule="auto"/>
        <w:ind w:left="554" w:hanging="554" w:hangingChars="231"/>
        <w:rPr>
          <w:rFonts w:ascii="宋体" w:hAnsi="宋体"/>
          <w:color w:val="000000"/>
          <w:sz w:val="24"/>
        </w:rPr>
      </w:pPr>
      <w:r>
        <w:rPr>
          <w:rFonts w:hint="eastAsia" w:ascii="宋体" w:hAnsi="宋体"/>
          <w:color w:val="000000"/>
          <w:sz w:val="24"/>
        </w:rPr>
        <w:t>3.2  适于在电源</w:t>
      </w:r>
      <w:r>
        <w:rPr>
          <w:rFonts w:ascii="宋体" w:hAnsi="宋体"/>
          <w:b/>
          <w:color w:val="000000"/>
          <w:sz w:val="24"/>
        </w:rPr>
        <w:t>220V</w:t>
      </w:r>
      <w:r>
        <w:rPr>
          <w:rFonts w:hint="eastAsia" w:ascii="宋体" w:hAnsi="宋体"/>
          <w:b/>
          <w:color w:val="000000"/>
          <w:sz w:val="24"/>
        </w:rPr>
        <w:t>（</w:t>
      </w:r>
      <w:r>
        <w:rPr>
          <w:rFonts w:ascii="宋体" w:hAnsi="宋体"/>
          <w:b/>
          <w:color w:val="000000"/>
          <w:sz w:val="24"/>
        </w:rPr>
        <w:sym w:font="Symbol" w:char="F0B1"/>
      </w:r>
      <w:r>
        <w:rPr>
          <w:rFonts w:ascii="宋体" w:hAnsi="宋体"/>
          <w:b/>
          <w:color w:val="000000"/>
          <w:sz w:val="24"/>
        </w:rPr>
        <w:t>10</w:t>
      </w:r>
      <w:r>
        <w:rPr>
          <w:rFonts w:hint="eastAsia" w:ascii="宋体" w:hAnsi="宋体"/>
          <w:b/>
          <w:color w:val="000000"/>
          <w:sz w:val="24"/>
        </w:rPr>
        <w:t>％）</w:t>
      </w:r>
      <w:r>
        <w:rPr>
          <w:rFonts w:ascii="宋体" w:hAnsi="宋体"/>
          <w:b/>
          <w:color w:val="000000"/>
          <w:sz w:val="24"/>
        </w:rPr>
        <w:t>/50Hz</w:t>
      </w:r>
      <w:r>
        <w:rPr>
          <w:rFonts w:hint="eastAsia" w:ascii="宋体" w:hAnsi="宋体"/>
          <w:color w:val="000000"/>
          <w:sz w:val="24"/>
        </w:rPr>
        <w:t>、气温摄氏</w:t>
      </w:r>
      <w:r>
        <w:rPr>
          <w:rFonts w:hint="eastAsia" w:ascii="宋体" w:hAnsi="宋体"/>
          <w:b/>
          <w:color w:val="000000"/>
          <w:sz w:val="24"/>
        </w:rPr>
        <w:t>+1</w:t>
      </w:r>
      <w:r>
        <w:rPr>
          <w:rFonts w:ascii="宋体" w:hAnsi="宋体"/>
          <w:b/>
          <w:color w:val="000000"/>
          <w:sz w:val="24"/>
        </w:rPr>
        <w:t>5</w:t>
      </w:r>
      <w:r>
        <w:rPr>
          <w:rFonts w:hint="eastAsia" w:ascii="宋体" w:hAnsi="宋体"/>
          <w:b/>
          <w:color w:val="000000"/>
          <w:sz w:val="24"/>
        </w:rPr>
        <w:t>℃～＋3</w:t>
      </w:r>
      <w:r>
        <w:rPr>
          <w:rFonts w:ascii="宋体" w:hAnsi="宋体"/>
          <w:b/>
          <w:color w:val="000000"/>
          <w:sz w:val="24"/>
        </w:rPr>
        <w:t>0</w:t>
      </w:r>
      <w:r>
        <w:rPr>
          <w:rFonts w:hint="eastAsia" w:ascii="宋体" w:hAnsi="宋体"/>
          <w:b/>
          <w:color w:val="000000"/>
          <w:sz w:val="24"/>
        </w:rPr>
        <w:t>℃</w:t>
      </w:r>
      <w:r>
        <w:rPr>
          <w:rFonts w:hint="eastAsia" w:ascii="宋体" w:hAnsi="宋体"/>
          <w:color w:val="000000"/>
          <w:sz w:val="24"/>
        </w:rPr>
        <w:t>和相对湿度小于</w:t>
      </w:r>
      <w:r>
        <w:rPr>
          <w:rFonts w:ascii="宋体" w:hAnsi="宋体"/>
          <w:b/>
          <w:color w:val="000000"/>
          <w:sz w:val="24"/>
        </w:rPr>
        <w:t>8</w:t>
      </w:r>
      <w:r>
        <w:rPr>
          <w:rFonts w:hint="eastAsia" w:ascii="宋体" w:hAnsi="宋体"/>
          <w:b/>
          <w:color w:val="000000"/>
          <w:sz w:val="24"/>
        </w:rPr>
        <w:t>0％</w:t>
      </w:r>
      <w:r>
        <w:rPr>
          <w:rFonts w:hint="eastAsia" w:ascii="宋体" w:hAnsi="宋体"/>
          <w:color w:val="000000"/>
          <w:sz w:val="24"/>
        </w:rPr>
        <w:t>的环境条件下运行。</w:t>
      </w:r>
      <w:r>
        <w:rPr>
          <w:rFonts w:hint="eastAsia" w:ascii="宋体" w:hAnsi="宋体"/>
          <w:b/>
          <w:color w:val="000000"/>
          <w:sz w:val="24"/>
        </w:rPr>
        <w:t>能够连续正常工作。</w:t>
      </w:r>
    </w:p>
    <w:p w14:paraId="6B35AD90">
      <w:pPr>
        <w:spacing w:line="360" w:lineRule="auto"/>
        <w:ind w:left="554" w:hanging="554" w:hangingChars="231"/>
        <w:rPr>
          <w:rFonts w:ascii="宋体" w:hAnsi="宋体"/>
          <w:color w:val="000000"/>
          <w:sz w:val="24"/>
        </w:rPr>
      </w:pPr>
      <w:r>
        <w:rPr>
          <w:rFonts w:hint="eastAsia" w:ascii="宋体" w:hAnsi="宋体"/>
          <w:color w:val="000000"/>
          <w:sz w:val="24"/>
        </w:rPr>
        <w:t>3.3  配置符合中国有关标准要求的插头，如果没有这样的插头，则需</w:t>
      </w:r>
      <w:r>
        <w:rPr>
          <w:rFonts w:hint="eastAsia" w:ascii="宋体"/>
          <w:color w:val="000000"/>
          <w:sz w:val="24"/>
        </w:rPr>
        <w:t>提供适当的转</w:t>
      </w:r>
      <w:r>
        <w:rPr>
          <w:rFonts w:hint="eastAsia" w:ascii="宋体" w:hAnsi="宋体"/>
          <w:color w:val="000000"/>
          <w:sz w:val="24"/>
        </w:rPr>
        <w:t>换插座。</w:t>
      </w:r>
    </w:p>
    <w:p w14:paraId="75E9E3A0">
      <w:pPr>
        <w:spacing w:line="360" w:lineRule="auto"/>
        <w:ind w:left="554" w:hanging="554" w:hangingChars="231"/>
        <w:rPr>
          <w:rFonts w:ascii="宋体" w:hAnsi="宋体"/>
          <w:color w:val="000000"/>
          <w:sz w:val="24"/>
        </w:rPr>
      </w:pPr>
      <w:r>
        <w:rPr>
          <w:rFonts w:hint="eastAsia" w:ascii="宋体" w:hAnsi="宋体"/>
          <w:color w:val="000000"/>
          <w:sz w:val="24"/>
        </w:rPr>
        <w:t>3.4  如产品达不到上述要求，投标人应注明其偏差。如仪器设备需要特殊工作条件（如水、电源、磁场强度、温度、湿度、动强度等）投标人应在投标书中加以说明。</w:t>
      </w:r>
    </w:p>
    <w:p w14:paraId="0EDF277F">
      <w:pPr>
        <w:rPr>
          <w:rFonts w:eastAsia="黑体"/>
          <w:b/>
          <w:bCs/>
          <w:color w:val="000000"/>
          <w:kern w:val="44"/>
          <w:sz w:val="24"/>
        </w:rPr>
      </w:pPr>
    </w:p>
    <w:p w14:paraId="645452FE">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4、验收标准</w:t>
      </w:r>
    </w:p>
    <w:p w14:paraId="4E0B9B89">
      <w:pPr>
        <w:spacing w:after="312" w:afterLines="100" w:line="360" w:lineRule="auto"/>
        <w:rPr>
          <w:rFonts w:ascii="宋体" w:hAnsi="宋体"/>
          <w:color w:val="000000"/>
          <w:sz w:val="24"/>
        </w:rPr>
      </w:pPr>
      <w:r>
        <w:rPr>
          <w:rFonts w:hint="eastAsia" w:ascii="宋体" w:hAnsi="宋体"/>
          <w:color w:val="000000"/>
          <w:sz w:val="24"/>
        </w:rPr>
        <w:t>除非另有说明，所有仪器、设备和系统按下列要求进行验收：</w:t>
      </w:r>
      <w:r>
        <w:rPr>
          <w:rFonts w:ascii="宋体" w:hAnsi="宋体"/>
          <w:color w:val="000000"/>
          <w:sz w:val="24"/>
        </w:rPr>
        <w:t xml:space="preserve"> </w:t>
      </w:r>
    </w:p>
    <w:p w14:paraId="1DAC0749">
      <w:pPr>
        <w:spacing w:line="360" w:lineRule="auto"/>
        <w:ind w:left="554" w:hanging="554" w:hangingChars="231"/>
        <w:rPr>
          <w:rFonts w:ascii="宋体" w:hAnsi="宋体"/>
          <w:color w:val="000000"/>
          <w:sz w:val="24"/>
        </w:rPr>
      </w:pPr>
      <w:r>
        <w:rPr>
          <w:rFonts w:hint="eastAsia" w:ascii="宋体" w:hAnsi="宋体"/>
          <w:color w:val="000000"/>
          <w:sz w:val="24"/>
        </w:rPr>
        <w:t>4.1  仪器设备运抵安装现场后，买方将与卖方共同开箱验收</w:t>
      </w:r>
      <w:r>
        <w:rPr>
          <w:rFonts w:ascii="宋体" w:hAnsi="宋体"/>
          <w:color w:val="000000"/>
          <w:sz w:val="24"/>
        </w:rPr>
        <w:t xml:space="preserve">, </w:t>
      </w:r>
      <w:r>
        <w:rPr>
          <w:rFonts w:hint="eastAsia" w:ascii="宋体" w:hAnsi="宋体"/>
          <w:color w:val="000000"/>
          <w:sz w:val="24"/>
        </w:rPr>
        <w:t>如卖方届时不派人来</w:t>
      </w:r>
      <w:r>
        <w:rPr>
          <w:rFonts w:ascii="宋体" w:hAnsi="宋体"/>
          <w:color w:val="000000"/>
          <w:sz w:val="24"/>
        </w:rPr>
        <w:t xml:space="preserve">, </w:t>
      </w:r>
      <w:r>
        <w:rPr>
          <w:rFonts w:hint="eastAsia" w:ascii="宋体" w:hAnsi="宋体"/>
          <w:color w:val="000000"/>
          <w:sz w:val="24"/>
        </w:rPr>
        <w:t>则验收结果应以买方的验收报告为最终验收结果。验收时发现短缺、破损</w:t>
      </w:r>
      <w:r>
        <w:rPr>
          <w:rFonts w:ascii="宋体" w:hAnsi="宋体"/>
          <w:color w:val="000000"/>
          <w:sz w:val="24"/>
        </w:rPr>
        <w:t xml:space="preserve">, </w:t>
      </w:r>
      <w:r>
        <w:rPr>
          <w:rFonts w:hint="eastAsia" w:ascii="宋体" w:hAnsi="宋体"/>
          <w:color w:val="000000"/>
          <w:sz w:val="24"/>
        </w:rPr>
        <w:t>买方有权要求卖方负责更换。</w:t>
      </w:r>
    </w:p>
    <w:p w14:paraId="627D588A">
      <w:pPr>
        <w:spacing w:line="360" w:lineRule="auto"/>
        <w:ind w:left="554" w:hanging="554" w:hangingChars="231"/>
        <w:rPr>
          <w:rFonts w:ascii="宋体" w:hAnsi="宋体"/>
          <w:color w:val="000000"/>
          <w:sz w:val="24"/>
        </w:rPr>
      </w:pPr>
      <w:r>
        <w:rPr>
          <w:rFonts w:hint="eastAsia" w:ascii="宋体" w:hAnsi="宋体"/>
          <w:color w:val="000000"/>
          <w:sz w:val="24"/>
        </w:rPr>
        <w:t xml:space="preserve">4.2  </w:t>
      </w:r>
      <w:r>
        <w:rPr>
          <w:rFonts w:hint="eastAsia"/>
          <w:color w:val="000000"/>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3BB3FB0A">
      <w:pPr>
        <w:spacing w:line="360" w:lineRule="auto"/>
        <w:ind w:left="554" w:hanging="554" w:hangingChars="231"/>
        <w:rPr>
          <w:rFonts w:ascii="宋体" w:hAnsi="宋体"/>
          <w:color w:val="000000"/>
          <w:sz w:val="24"/>
        </w:rPr>
      </w:pPr>
      <w:r>
        <w:rPr>
          <w:rFonts w:hint="eastAsia" w:ascii="宋体" w:hAnsi="宋体"/>
          <w:color w:val="000000"/>
          <w:sz w:val="24"/>
        </w:rPr>
        <w:t xml:space="preserve">4.3  </w:t>
      </w:r>
      <w:r>
        <w:rPr>
          <w:rFonts w:ascii="宋体" w:hAnsi="宋体"/>
          <w:color w:val="000000"/>
          <w:sz w:val="24"/>
        </w:rPr>
        <w:t>验收由采购人、中标人及相关人员依国家有关标准、合同及有关附件要求进行，验收完毕由采购人及中标人在验收报告上签名。</w:t>
      </w:r>
    </w:p>
    <w:p w14:paraId="6B7742D0">
      <w:pPr>
        <w:pStyle w:val="2"/>
        <w:spacing w:line="360" w:lineRule="auto"/>
        <w:ind w:left="410" w:hanging="410" w:hangingChars="170"/>
        <w:rPr>
          <w:rFonts w:hAnsi="宋体"/>
          <w:b/>
          <w:color w:val="000000"/>
          <w:sz w:val="24"/>
          <w:szCs w:val="24"/>
        </w:rPr>
      </w:pPr>
    </w:p>
    <w:p w14:paraId="4235F893">
      <w:pPr>
        <w:adjustRightInd w:val="0"/>
        <w:snapToGrid w:val="0"/>
        <w:spacing w:line="360" w:lineRule="auto"/>
        <w:rPr>
          <w:rFonts w:hAnsi="宋体"/>
          <w:b/>
          <w:color w:val="000000"/>
          <w:sz w:val="24"/>
        </w:rPr>
      </w:pPr>
      <w:r>
        <w:rPr>
          <w:rFonts w:hint="eastAsia"/>
          <w:b/>
          <w:bCs/>
          <w:color w:val="000000"/>
          <w:sz w:val="24"/>
        </w:rPr>
        <w:t>5、本采购需求书中标注“★”号技术条款的为实质性要求，不满足其投标将视为无效投标被拒绝。</w:t>
      </w:r>
    </w:p>
    <w:p w14:paraId="57117DF9">
      <w:pPr>
        <w:adjustRightInd w:val="0"/>
        <w:snapToGrid w:val="0"/>
        <w:spacing w:line="360" w:lineRule="auto"/>
        <w:rPr>
          <w:rFonts w:ascii="宋体" w:hAnsi="宋体"/>
          <w:b/>
          <w:color w:val="000000"/>
          <w:sz w:val="24"/>
        </w:rPr>
      </w:pPr>
    </w:p>
    <w:p w14:paraId="23CC282D">
      <w:pPr>
        <w:adjustRightInd w:val="0"/>
        <w:snapToGrid w:val="0"/>
        <w:spacing w:line="360" w:lineRule="auto"/>
        <w:rPr>
          <w:rFonts w:ascii="宋体" w:hAnsi="宋体"/>
          <w:b/>
          <w:color w:val="000000"/>
          <w:sz w:val="24"/>
        </w:rPr>
      </w:pPr>
      <w:r>
        <w:rPr>
          <w:rFonts w:hint="eastAsia" w:ascii="宋体" w:hAnsi="宋体"/>
          <w:b/>
          <w:color w:val="000000"/>
          <w:sz w:val="24"/>
        </w:rPr>
        <w:t>6、如在具体规格要求中有本总则不一致之处，以具体规格中的要求为准。</w:t>
      </w:r>
    </w:p>
    <w:p w14:paraId="1A3102CE">
      <w:pPr>
        <w:adjustRightInd w:val="0"/>
        <w:snapToGrid w:val="0"/>
        <w:spacing w:line="360" w:lineRule="auto"/>
        <w:rPr>
          <w:rFonts w:ascii="宋体" w:hAnsi="宋体"/>
          <w:b/>
          <w:color w:val="000000"/>
          <w:sz w:val="28"/>
          <w:szCs w:val="28"/>
        </w:rPr>
      </w:pPr>
      <w:r>
        <w:rPr>
          <w:rFonts w:ascii="宋体" w:hAnsi="宋体"/>
          <w:b/>
          <w:color w:val="000000"/>
          <w:sz w:val="28"/>
        </w:rPr>
        <w:br w:type="page"/>
      </w:r>
      <w:r>
        <w:rPr>
          <w:rFonts w:hint="eastAsia" w:ascii="宋体" w:hAnsi="宋体"/>
          <w:b/>
          <w:color w:val="000000"/>
          <w:sz w:val="28"/>
          <w:szCs w:val="28"/>
        </w:rPr>
        <w:t>二、具体规格要求</w:t>
      </w:r>
    </w:p>
    <w:p w14:paraId="23EA8F66">
      <w:pPr>
        <w:jc w:val="center"/>
        <w:rPr>
          <w:b/>
          <w:color w:val="000000"/>
          <w:sz w:val="24"/>
        </w:rPr>
      </w:pPr>
      <w:r>
        <w:rPr>
          <w:rFonts w:hint="eastAsia"/>
          <w:b/>
          <w:color w:val="000000"/>
          <w:sz w:val="24"/>
        </w:rPr>
        <w:t>傅里叶变换离子回旋共振质谱高分辨检测池套件</w:t>
      </w:r>
    </w:p>
    <w:p w14:paraId="1C683A37">
      <w:pPr>
        <w:rPr>
          <w:b/>
          <w:color w:val="000000"/>
          <w:sz w:val="24"/>
        </w:rPr>
      </w:pPr>
    </w:p>
    <w:p w14:paraId="3142AC89">
      <w:pPr>
        <w:rPr>
          <w:b/>
          <w:color w:val="000000"/>
          <w:sz w:val="24"/>
        </w:rPr>
      </w:pPr>
    </w:p>
    <w:p w14:paraId="48EF00E2">
      <w:pPr>
        <w:numPr>
          <w:ilvl w:val="0"/>
          <w:numId w:val="1"/>
        </w:numPr>
        <w:rPr>
          <w:b/>
          <w:color w:val="000000"/>
          <w:sz w:val="24"/>
        </w:rPr>
      </w:pPr>
      <w:r>
        <w:rPr>
          <w:rFonts w:hint="eastAsia"/>
          <w:b/>
          <w:color w:val="000000"/>
          <w:sz w:val="24"/>
        </w:rPr>
        <w:t>技术要求：</w:t>
      </w:r>
    </w:p>
    <w:p w14:paraId="283B6DB1">
      <w:pPr>
        <w:rPr>
          <w:b/>
          <w:color w:val="000000"/>
          <w:sz w:val="24"/>
        </w:rPr>
      </w:pPr>
    </w:p>
    <w:p w14:paraId="02D83985">
      <w:pPr>
        <w:numPr>
          <w:ilvl w:val="0"/>
          <w:numId w:val="2"/>
        </w:numPr>
        <w:spacing w:line="360" w:lineRule="auto"/>
        <w:rPr>
          <w:b/>
          <w:color w:val="000000"/>
          <w:sz w:val="24"/>
        </w:rPr>
      </w:pPr>
      <w:r>
        <w:rPr>
          <w:rFonts w:hint="eastAsia"/>
          <w:b/>
          <w:color w:val="000000"/>
          <w:sz w:val="24"/>
        </w:rPr>
        <w:t>工作条件：</w:t>
      </w:r>
    </w:p>
    <w:p w14:paraId="5A8817D8">
      <w:pPr>
        <w:numPr>
          <w:ilvl w:val="1"/>
          <w:numId w:val="3"/>
        </w:numPr>
        <w:spacing w:line="360" w:lineRule="auto"/>
        <w:rPr>
          <w:sz w:val="24"/>
        </w:rPr>
      </w:pPr>
      <w:r>
        <w:rPr>
          <w:rFonts w:hint="eastAsia"/>
          <w:color w:val="000000"/>
          <w:sz w:val="24"/>
        </w:rPr>
        <w:t xml:space="preserve">1.1 </w:t>
      </w:r>
      <w:r>
        <w:rPr>
          <w:sz w:val="24"/>
        </w:rPr>
        <w:t xml:space="preserve">电源：380V, </w:t>
      </w:r>
      <w:r>
        <w:rPr>
          <w:rFonts w:hint="eastAsia"/>
          <w:sz w:val="24"/>
        </w:rPr>
        <w:t>三相五线</w:t>
      </w:r>
      <w:r>
        <w:rPr>
          <w:sz w:val="24"/>
        </w:rPr>
        <w:t>交流电</w:t>
      </w:r>
      <w:r>
        <w:rPr>
          <w:rFonts w:hint="eastAsia"/>
          <w:sz w:val="24"/>
        </w:rPr>
        <w:t>，电压波动为额定电压的 ±</w:t>
      </w:r>
      <w:r>
        <w:rPr>
          <w:sz w:val="24"/>
        </w:rPr>
        <w:t xml:space="preserve"> 10</w:t>
      </w:r>
      <w:r>
        <w:rPr>
          <w:rFonts w:hint="eastAsia"/>
          <w:sz w:val="24"/>
        </w:rPr>
        <w:t>%</w:t>
      </w:r>
    </w:p>
    <w:p w14:paraId="5C857E86">
      <w:pPr>
        <w:numPr>
          <w:ilvl w:val="1"/>
          <w:numId w:val="3"/>
        </w:numPr>
        <w:spacing w:line="360" w:lineRule="auto"/>
        <w:rPr>
          <w:sz w:val="24"/>
        </w:rPr>
      </w:pPr>
      <w:r>
        <w:rPr>
          <w:sz w:val="24"/>
        </w:rPr>
        <w:t>环境温度：21</w:t>
      </w:r>
      <w:r>
        <w:rPr>
          <w:rFonts w:hint="eastAsia"/>
          <w:sz w:val="24"/>
        </w:rPr>
        <w:t>℃±3℃</w:t>
      </w:r>
    </w:p>
    <w:p w14:paraId="63A06F72">
      <w:pPr>
        <w:spacing w:line="360" w:lineRule="auto"/>
        <w:rPr>
          <w:sz w:val="24"/>
        </w:rPr>
      </w:pPr>
      <w:r>
        <w:rPr>
          <w:sz w:val="24"/>
        </w:rPr>
        <w:t xml:space="preserve">1.3 </w:t>
      </w:r>
      <w:r>
        <w:rPr>
          <w:rFonts w:hint="eastAsia"/>
          <w:sz w:val="24"/>
        </w:rPr>
        <w:t>环境湿度：≤</w:t>
      </w:r>
      <w:r>
        <w:rPr>
          <w:sz w:val="24"/>
        </w:rPr>
        <w:t xml:space="preserve"> 80</w:t>
      </w:r>
      <w:r>
        <w:rPr>
          <w:rFonts w:hint="eastAsia"/>
          <w:sz w:val="24"/>
        </w:rPr>
        <w:t>%</w:t>
      </w:r>
    </w:p>
    <w:p w14:paraId="3822F30E">
      <w:pPr>
        <w:spacing w:line="360" w:lineRule="auto"/>
        <w:rPr>
          <w:color w:val="000000"/>
          <w:sz w:val="24"/>
        </w:rPr>
      </w:pPr>
    </w:p>
    <w:p w14:paraId="60137650">
      <w:pPr>
        <w:numPr>
          <w:ilvl w:val="0"/>
          <w:numId w:val="2"/>
        </w:numPr>
        <w:spacing w:line="360" w:lineRule="auto"/>
        <w:rPr>
          <w:b/>
          <w:color w:val="000000"/>
          <w:sz w:val="24"/>
        </w:rPr>
      </w:pPr>
      <w:r>
        <w:rPr>
          <w:rFonts w:hint="eastAsia"/>
          <w:b/>
          <w:color w:val="000000"/>
          <w:sz w:val="24"/>
        </w:rPr>
        <w:t>设备用途：</w:t>
      </w:r>
    </w:p>
    <w:p w14:paraId="69FB8311">
      <w:pPr>
        <w:spacing w:line="360" w:lineRule="auto"/>
        <w:ind w:firstLine="480" w:firstLineChars="200"/>
        <w:rPr>
          <w:color w:val="000000"/>
          <w:sz w:val="24"/>
        </w:rPr>
      </w:pPr>
      <w:r>
        <w:rPr>
          <w:rFonts w:hint="eastAsia"/>
          <w:color w:val="000000"/>
          <w:sz w:val="24"/>
        </w:rPr>
        <w:t xml:space="preserve">用于复杂环境样品如土壤、沉积物、废水中含S、P、Cl等杂原子的未知有机污染物的元素组成分析；其次，通过提高质谱检测分辨率和质量检测准确度，可以得到被测化合物更加准确的精细同位素峰形分布，便于筛选未知化合物的正确分子式；同时，新的离子传输组件可以大大提高痕量组分的检测能力，是复杂样品中未知有机物定性分析的有力工具。 </w:t>
      </w:r>
    </w:p>
    <w:p w14:paraId="1291F605">
      <w:pPr>
        <w:spacing w:line="360" w:lineRule="auto"/>
        <w:ind w:firstLine="480" w:firstLineChars="200"/>
        <w:rPr>
          <w:color w:val="000000"/>
          <w:sz w:val="24"/>
        </w:rPr>
      </w:pPr>
    </w:p>
    <w:p w14:paraId="58FEC47A">
      <w:pPr>
        <w:numPr>
          <w:ilvl w:val="0"/>
          <w:numId w:val="2"/>
        </w:numPr>
        <w:spacing w:line="360" w:lineRule="auto"/>
        <w:rPr>
          <w:b/>
          <w:color w:val="000000"/>
          <w:sz w:val="24"/>
        </w:rPr>
      </w:pPr>
      <w:r>
        <w:rPr>
          <w:rFonts w:hint="eastAsia"/>
          <w:b/>
          <w:color w:val="000000"/>
          <w:sz w:val="24"/>
        </w:rPr>
        <w:t>技术规格：</w:t>
      </w:r>
    </w:p>
    <w:p w14:paraId="5F74C7F7">
      <w:pPr>
        <w:spacing w:line="360" w:lineRule="auto"/>
        <w:rPr>
          <w:sz w:val="24"/>
        </w:rPr>
      </w:pPr>
      <w:r>
        <w:rPr>
          <w:rFonts w:hint="eastAsia"/>
          <w:sz w:val="24"/>
        </w:rPr>
        <w:t>★3.1内部校准质量精度(正离子模式测定)：使用样品</w:t>
      </w:r>
      <w:r>
        <w:rPr>
          <w:rFonts w:hint="eastAsia"/>
          <w:sz w:val="24"/>
          <w:lang w:eastAsia="zh-CN"/>
        </w:rPr>
        <w:t>：</w:t>
      </w:r>
      <w:r>
        <w:rPr>
          <w:rFonts w:hint="eastAsia"/>
          <w:sz w:val="24"/>
        </w:rPr>
        <w:t>三氟乙酸钠 NaTFA, 样品浓度 0.1 mg/mL</w:t>
      </w:r>
      <w:r>
        <w:rPr>
          <w:rFonts w:hint="eastAsia"/>
          <w:sz w:val="24"/>
          <w:lang w:eastAsia="zh-CN"/>
        </w:rPr>
        <w:t>，</w:t>
      </w:r>
      <w:r>
        <w:rPr>
          <w:rFonts w:hint="eastAsia"/>
          <w:sz w:val="24"/>
        </w:rPr>
        <w:t>校准 294-1246 m/z 范围内所有标样峰</w:t>
      </w:r>
      <w:r>
        <w:rPr>
          <w:rFonts w:hint="eastAsia"/>
          <w:sz w:val="24"/>
          <w:lang w:eastAsia="zh-CN"/>
        </w:rPr>
        <w:t>，</w:t>
      </w:r>
      <w:r>
        <w:rPr>
          <w:rFonts w:hint="eastAsia"/>
          <w:sz w:val="24"/>
        </w:rPr>
        <w:t>每一个质量数偏差小于 0.25ppm；</w:t>
      </w:r>
    </w:p>
    <w:p w14:paraId="1A4AFDA8">
      <w:pPr>
        <w:spacing w:line="360" w:lineRule="auto"/>
        <w:rPr>
          <w:sz w:val="24"/>
        </w:rPr>
      </w:pPr>
      <w:r>
        <w:rPr>
          <w:rFonts w:hint="eastAsia"/>
          <w:sz w:val="24"/>
        </w:rPr>
        <w:t>#3.2外部校准质量精度 (正离子模式测定)：使用样品</w:t>
      </w:r>
      <w:r>
        <w:rPr>
          <w:rFonts w:hint="eastAsia"/>
          <w:sz w:val="24"/>
          <w:lang w:eastAsia="zh-CN"/>
        </w:rPr>
        <w:t>：</w:t>
      </w:r>
      <w:r>
        <w:rPr>
          <w:rFonts w:hint="eastAsia"/>
          <w:sz w:val="24"/>
        </w:rPr>
        <w:t>三氟乙酸钠 NaTFA, 样品浓度 0.1 mg/mL</w:t>
      </w:r>
      <w:r>
        <w:rPr>
          <w:rFonts w:hint="eastAsia"/>
          <w:sz w:val="24"/>
          <w:lang w:eastAsia="zh-CN"/>
        </w:rPr>
        <w:t>，</w:t>
      </w:r>
      <w:r>
        <w:rPr>
          <w:rFonts w:hint="eastAsia"/>
          <w:sz w:val="24"/>
        </w:rPr>
        <w:t>在25 ms</w:t>
      </w:r>
      <w:r>
        <w:rPr>
          <w:rFonts w:hint="eastAsia"/>
          <w:sz w:val="24"/>
          <w:lang w:eastAsia="zh-CN"/>
        </w:rPr>
        <w:t>，</w:t>
      </w:r>
      <w:r>
        <w:rPr>
          <w:rFonts w:hint="eastAsia"/>
          <w:sz w:val="24"/>
        </w:rPr>
        <w:t>50 ms</w:t>
      </w:r>
      <w:r>
        <w:rPr>
          <w:rFonts w:hint="eastAsia"/>
          <w:sz w:val="24"/>
          <w:lang w:eastAsia="zh-CN"/>
        </w:rPr>
        <w:t>，</w:t>
      </w:r>
      <w:r>
        <w:rPr>
          <w:rFonts w:hint="eastAsia"/>
          <w:sz w:val="24"/>
        </w:rPr>
        <w:t>100 ms</w:t>
      </w:r>
      <w:r>
        <w:rPr>
          <w:rFonts w:hint="eastAsia"/>
          <w:sz w:val="24"/>
          <w:lang w:eastAsia="zh-CN"/>
        </w:rPr>
        <w:t>，</w:t>
      </w:r>
      <w:r>
        <w:rPr>
          <w:rFonts w:hint="eastAsia"/>
          <w:sz w:val="24"/>
        </w:rPr>
        <w:t>250 ms的几种富集时间下测定566 m/z 的质量数偏差小于0.6ppm；</w:t>
      </w:r>
    </w:p>
    <w:p w14:paraId="6D51706E">
      <w:pPr>
        <w:spacing w:line="360" w:lineRule="auto"/>
        <w:rPr>
          <w:sz w:val="24"/>
        </w:rPr>
      </w:pPr>
      <w:r>
        <w:rPr>
          <w:rFonts w:hint="eastAsia"/>
          <w:sz w:val="24"/>
        </w:rPr>
        <w:t>#3.3灵敏度测试 (正离子模式测定)：使用样品</w:t>
      </w:r>
      <w:r>
        <w:rPr>
          <w:rFonts w:hint="eastAsia"/>
          <w:sz w:val="24"/>
          <w:lang w:eastAsia="zh-CN"/>
        </w:rPr>
        <w:t>：</w:t>
      </w:r>
      <w:r>
        <w:rPr>
          <w:rFonts w:hint="eastAsia"/>
          <w:sz w:val="24"/>
        </w:rPr>
        <w:t>泛激素 Ubiquitin</w:t>
      </w:r>
      <w:r>
        <w:rPr>
          <w:rFonts w:hint="eastAsia"/>
          <w:sz w:val="24"/>
          <w:lang w:eastAsia="zh-CN"/>
        </w:rPr>
        <w:t>，</w:t>
      </w:r>
      <w:r>
        <w:rPr>
          <w:rFonts w:hint="eastAsia"/>
          <w:sz w:val="24"/>
        </w:rPr>
        <w:t>样品浓度</w:t>
      </w:r>
      <w:r>
        <w:rPr>
          <w:rFonts w:hint="eastAsia"/>
          <w:sz w:val="24"/>
          <w:lang w:eastAsia="zh-CN"/>
        </w:rPr>
        <w:t>：</w:t>
      </w:r>
      <w:r>
        <w:rPr>
          <w:rFonts w:hint="eastAsia"/>
          <w:sz w:val="24"/>
        </w:rPr>
        <w:t>5 fmol/μL</w:t>
      </w:r>
      <w:r>
        <w:rPr>
          <w:rFonts w:hint="eastAsia"/>
          <w:sz w:val="24"/>
          <w:lang w:eastAsia="zh-CN"/>
        </w:rPr>
        <w:t>，</w:t>
      </w:r>
      <w:r>
        <w:rPr>
          <w:rFonts w:hint="eastAsia"/>
          <w:sz w:val="24"/>
        </w:rPr>
        <w:t>测定779 m/z</w:t>
      </w:r>
      <w:r>
        <w:rPr>
          <w:rFonts w:hint="eastAsia"/>
          <w:sz w:val="24"/>
          <w:lang w:eastAsia="zh-CN"/>
        </w:rPr>
        <w:t>，</w:t>
      </w:r>
      <w:r>
        <w:rPr>
          <w:rFonts w:hint="eastAsia"/>
          <w:sz w:val="24"/>
        </w:rPr>
        <w:t>信噪比不小于10；</w:t>
      </w:r>
    </w:p>
    <w:p w14:paraId="577EAD0F">
      <w:pPr>
        <w:spacing w:line="360" w:lineRule="auto"/>
        <w:rPr>
          <w:sz w:val="24"/>
        </w:rPr>
      </w:pPr>
      <w:r>
        <w:rPr>
          <w:rFonts w:hint="eastAsia"/>
          <w:sz w:val="24"/>
        </w:rPr>
        <w:t>#3.4 ECD 灵敏度测试指标，确认 (正离子模式测定)：使用样品</w:t>
      </w:r>
      <w:r>
        <w:rPr>
          <w:rFonts w:hint="eastAsia"/>
          <w:sz w:val="24"/>
          <w:lang w:eastAsia="zh-CN"/>
        </w:rPr>
        <w:t>：</w:t>
      </w:r>
      <w:r>
        <w:rPr>
          <w:rFonts w:hint="eastAsia"/>
          <w:sz w:val="24"/>
        </w:rPr>
        <w:t>Substance P</w:t>
      </w:r>
      <w:r>
        <w:rPr>
          <w:rFonts w:hint="eastAsia"/>
          <w:sz w:val="24"/>
          <w:lang w:eastAsia="zh-CN"/>
        </w:rPr>
        <w:t>，</w:t>
      </w:r>
      <w:r>
        <w:rPr>
          <w:rFonts w:hint="eastAsia"/>
          <w:sz w:val="24"/>
        </w:rPr>
        <w:t>样品浓度</w:t>
      </w:r>
      <w:r>
        <w:rPr>
          <w:rFonts w:hint="eastAsia"/>
          <w:sz w:val="24"/>
          <w:lang w:eastAsia="zh-CN"/>
        </w:rPr>
        <w:t>：</w:t>
      </w:r>
      <w:r>
        <w:rPr>
          <w:rFonts w:hint="eastAsia"/>
          <w:sz w:val="24"/>
        </w:rPr>
        <w:t>100 fmol/μL，Substance P 的二级峰 624 m/z 信噪比大于10；</w:t>
      </w:r>
    </w:p>
    <w:p w14:paraId="204129B5">
      <w:pPr>
        <w:spacing w:line="360" w:lineRule="auto"/>
        <w:rPr>
          <w:sz w:val="24"/>
        </w:rPr>
      </w:pPr>
      <w:r>
        <w:rPr>
          <w:rFonts w:hint="eastAsia"/>
          <w:sz w:val="24"/>
        </w:rPr>
        <w:t>★3.5超高分辨率(正离子模式测定)，使用样品</w:t>
      </w:r>
      <w:r>
        <w:rPr>
          <w:rFonts w:hint="eastAsia"/>
          <w:sz w:val="24"/>
          <w:lang w:eastAsia="zh-CN"/>
        </w:rPr>
        <w:t>：</w:t>
      </w:r>
      <w:r>
        <w:rPr>
          <w:rFonts w:hint="eastAsia"/>
          <w:sz w:val="24"/>
        </w:rPr>
        <w:t>三氟乙酸钠 NaTFA</w:t>
      </w:r>
      <w:r>
        <w:rPr>
          <w:rFonts w:hint="eastAsia"/>
          <w:sz w:val="24"/>
          <w:lang w:eastAsia="zh-CN"/>
        </w:rPr>
        <w:t>，</w:t>
      </w:r>
      <w:r>
        <w:rPr>
          <w:rFonts w:hint="eastAsia"/>
          <w:sz w:val="24"/>
        </w:rPr>
        <w:t>样品浓度 0.1 mg/mL</w:t>
      </w:r>
      <w:r>
        <w:rPr>
          <w:rFonts w:hint="eastAsia"/>
          <w:sz w:val="24"/>
          <w:lang w:eastAsia="zh-CN"/>
        </w:rPr>
        <w:t>，</w:t>
      </w:r>
      <w:r>
        <w:rPr>
          <w:rFonts w:hint="eastAsia"/>
          <w:sz w:val="24"/>
        </w:rPr>
        <w:t>测试其中一个标样峰430 m/z</w:t>
      </w:r>
      <w:r>
        <w:rPr>
          <w:rFonts w:hint="eastAsia"/>
          <w:sz w:val="24"/>
          <w:lang w:eastAsia="zh-CN"/>
        </w:rPr>
        <w:t>，</w:t>
      </w:r>
      <w:r>
        <w:rPr>
          <w:rFonts w:hint="eastAsia"/>
          <w:sz w:val="24"/>
        </w:rPr>
        <w:t>分辨率达到 1 千万。</w:t>
      </w:r>
    </w:p>
    <w:p w14:paraId="5EFFF9AC"/>
    <w:p w14:paraId="6F60208F">
      <w:pPr>
        <w:numPr>
          <w:ilvl w:val="0"/>
          <w:numId w:val="2"/>
        </w:numPr>
        <w:spacing w:line="360" w:lineRule="auto"/>
        <w:rPr>
          <w:b/>
          <w:sz w:val="24"/>
        </w:rPr>
      </w:pPr>
      <w:r>
        <w:rPr>
          <w:rFonts w:hint="eastAsia"/>
          <w:b/>
          <w:sz w:val="24"/>
        </w:rPr>
        <w:t>产品配置要求</w:t>
      </w:r>
    </w:p>
    <w:p w14:paraId="5156219C">
      <w:pPr>
        <w:numPr>
          <w:ilvl w:val="1"/>
          <w:numId w:val="4"/>
        </w:numPr>
        <w:spacing w:line="360" w:lineRule="auto"/>
        <w:rPr>
          <w:sz w:val="24"/>
        </w:rPr>
      </w:pPr>
      <w:r>
        <w:rPr>
          <w:rFonts w:hint="eastAsia"/>
          <w:sz w:val="24"/>
        </w:rPr>
        <w:t xml:space="preserve"> 产品主体部分说明</w:t>
      </w:r>
    </w:p>
    <w:p w14:paraId="364468BC">
      <w:pPr>
        <w:spacing w:line="360" w:lineRule="auto"/>
        <w:ind w:firstLine="240" w:firstLineChars="100"/>
        <w:rPr>
          <w:bCs/>
          <w:sz w:val="24"/>
        </w:rPr>
      </w:pPr>
      <w:r>
        <w:rPr>
          <w:rFonts w:hint="eastAsia"/>
          <w:sz w:val="24"/>
        </w:rPr>
        <w:t>4.1.1</w:t>
      </w:r>
      <w:r>
        <w:rPr>
          <w:rFonts w:hint="eastAsia"/>
          <w:bCs/>
          <w:sz w:val="24"/>
        </w:rPr>
        <w:t>傅里叶变换离子回旋共振质谱高分辨检测池套件 一套</w:t>
      </w:r>
      <w:r>
        <w:rPr>
          <w:rFonts w:hint="eastAsia"/>
          <w:sz w:val="24"/>
        </w:rPr>
        <w:t>；</w:t>
      </w:r>
    </w:p>
    <w:p w14:paraId="34BF4D2C">
      <w:pPr>
        <w:numPr>
          <w:ilvl w:val="1"/>
          <w:numId w:val="4"/>
        </w:numPr>
        <w:spacing w:line="360" w:lineRule="auto"/>
        <w:rPr>
          <w:sz w:val="24"/>
        </w:rPr>
      </w:pPr>
      <w:r>
        <w:rPr>
          <w:rFonts w:hint="eastAsia"/>
          <w:sz w:val="24"/>
        </w:rPr>
        <w:t xml:space="preserve"> 要求的附件、专用工具和消耗品：</w:t>
      </w:r>
    </w:p>
    <w:p w14:paraId="2FE8ACA7">
      <w:pPr>
        <w:spacing w:line="360" w:lineRule="auto"/>
        <w:ind w:left="360"/>
        <w:rPr>
          <w:sz w:val="24"/>
        </w:rPr>
      </w:pPr>
      <w:r>
        <w:rPr>
          <w:sz w:val="24"/>
        </w:rPr>
        <w:t>4.2</w:t>
      </w:r>
      <w:r>
        <w:rPr>
          <w:rFonts w:hint="eastAsia"/>
          <w:sz w:val="24"/>
        </w:rPr>
        <w:t>.1</w:t>
      </w:r>
      <w:r>
        <w:rPr>
          <w:sz w:val="24"/>
        </w:rPr>
        <w:t>工具：包括</w:t>
      </w:r>
      <w:r>
        <w:rPr>
          <w:rFonts w:hint="eastAsia"/>
          <w:sz w:val="24"/>
        </w:rPr>
        <w:t>安装所用特殊工具。</w:t>
      </w:r>
    </w:p>
    <w:p w14:paraId="4661F99C">
      <w:pPr>
        <w:spacing w:line="360" w:lineRule="auto"/>
        <w:ind w:left="360"/>
        <w:rPr>
          <w:sz w:val="24"/>
        </w:rPr>
      </w:pPr>
      <w:r>
        <w:rPr>
          <w:sz w:val="24"/>
        </w:rPr>
        <w:t>4.2.2</w:t>
      </w:r>
      <w:r>
        <w:rPr>
          <w:rFonts w:hint="eastAsia"/>
          <w:sz w:val="24"/>
        </w:rPr>
        <w:t>仪器使用手册，维修手册等文件随设备交付最终用户</w:t>
      </w:r>
    </w:p>
    <w:p w14:paraId="580DAF1B">
      <w:pPr>
        <w:spacing w:line="360" w:lineRule="auto"/>
        <w:ind w:left="523" w:hanging="523" w:hangingChars="218"/>
        <w:rPr>
          <w:rFonts w:ascii="宋体"/>
          <w:sz w:val="24"/>
        </w:rPr>
      </w:pPr>
      <w:r>
        <w:rPr>
          <w:rFonts w:hint="eastAsia"/>
          <w:sz w:val="24"/>
        </w:rPr>
        <w:t>4.3</w:t>
      </w:r>
      <w:r>
        <w:rPr>
          <w:rFonts w:hint="eastAsia"/>
          <w:sz w:val="24"/>
          <w:lang w:val="en-US" w:eastAsia="zh-CN"/>
        </w:rPr>
        <w:t xml:space="preserve"> </w:t>
      </w:r>
      <w:r>
        <w:rPr>
          <w:rFonts w:hint="eastAsia"/>
          <w:sz w:val="24"/>
        </w:rPr>
        <w:t>其它保证仪器设备的正常运行和常规保养所需的附件、专用工具和消耗品。</w:t>
      </w:r>
    </w:p>
    <w:p w14:paraId="681DA2FC">
      <w:pPr>
        <w:spacing w:line="360" w:lineRule="auto"/>
        <w:ind w:firstLine="480" w:firstLineChars="200"/>
        <w:rPr>
          <w:color w:val="000000"/>
          <w:sz w:val="24"/>
        </w:rPr>
      </w:pPr>
    </w:p>
    <w:p w14:paraId="5E9903A5">
      <w:pPr>
        <w:spacing w:line="360" w:lineRule="auto"/>
        <w:rPr>
          <w:b/>
          <w:color w:val="000000"/>
          <w:sz w:val="24"/>
        </w:rPr>
      </w:pPr>
      <w:r>
        <w:rPr>
          <w:rFonts w:hint="eastAsia"/>
          <w:b/>
          <w:color w:val="000000"/>
          <w:sz w:val="24"/>
        </w:rPr>
        <w:t>（二）质保及售后服务：</w:t>
      </w:r>
    </w:p>
    <w:p w14:paraId="024D2509">
      <w:pPr>
        <w:spacing w:line="360" w:lineRule="auto"/>
        <w:rPr>
          <w:color w:val="000000"/>
          <w:sz w:val="24"/>
        </w:rPr>
      </w:pPr>
      <w:r>
        <w:rPr>
          <w:rFonts w:hint="eastAsia"/>
          <w:color w:val="000000"/>
          <w:sz w:val="24"/>
        </w:rPr>
        <w:t>1.安装调试的要求</w:t>
      </w:r>
    </w:p>
    <w:p w14:paraId="7A6EC713">
      <w:pPr>
        <w:spacing w:line="360" w:lineRule="auto"/>
        <w:ind w:firstLine="480" w:firstLineChars="200"/>
        <w:rPr>
          <w:color w:val="000000"/>
          <w:sz w:val="24"/>
        </w:rPr>
      </w:pPr>
      <w:r>
        <w:rPr>
          <w:rFonts w:hint="eastAsia"/>
          <w:color w:val="000000"/>
          <w:sz w:val="24"/>
        </w:rPr>
        <w:t>1.1设备安装、调试：在合同生效后的1个月内向用户提供详细的安装要求并提供技术咨询；在仪器全部到达用户安装地点且用户现场具备仪器安装调试的条件下的前1个月，卖方应通知用户水、电、气及其他仪器必备辅助设施的具体要求，从而让用户提前做好仪器安装准备。</w:t>
      </w:r>
    </w:p>
    <w:p w14:paraId="203B795C">
      <w:pPr>
        <w:spacing w:line="360" w:lineRule="auto"/>
        <w:ind w:firstLine="480" w:firstLineChars="200"/>
        <w:rPr>
          <w:color w:val="000000"/>
          <w:sz w:val="24"/>
        </w:rPr>
      </w:pPr>
      <w:r>
        <w:rPr>
          <w:rFonts w:hint="eastAsia"/>
          <w:color w:val="000000"/>
          <w:sz w:val="24"/>
        </w:rPr>
        <w:t>1.2仪器到达用户所在地后，在接到用户通知后15天内安排技术人员执行仪器安装和调试，对仪器分析指标验收完成。</w:t>
      </w:r>
    </w:p>
    <w:p w14:paraId="47F1A88C">
      <w:pPr>
        <w:spacing w:line="360" w:lineRule="auto"/>
        <w:ind w:firstLine="480" w:firstLineChars="200"/>
        <w:rPr>
          <w:color w:val="000000"/>
          <w:sz w:val="24"/>
        </w:rPr>
      </w:pPr>
      <w:r>
        <w:rPr>
          <w:rFonts w:hint="eastAsia"/>
          <w:color w:val="000000"/>
          <w:sz w:val="24"/>
        </w:rPr>
        <w:t>1.3供方安装人员对现场安装安全负有责任。与需方共同开箱检验，检查仪器设备及随机附件是否全新、完整无损；技术资料与图纸是否与需方的要求相符。如发生破损、缺件等问题，供方应及时地提出解决方案，并尽快地给以解决。</w:t>
      </w:r>
    </w:p>
    <w:p w14:paraId="250A5214">
      <w:pPr>
        <w:spacing w:line="360" w:lineRule="auto"/>
        <w:ind w:firstLine="480" w:firstLineChars="200"/>
        <w:rPr>
          <w:color w:val="000000"/>
          <w:sz w:val="24"/>
        </w:rPr>
      </w:pPr>
      <w:r>
        <w:rPr>
          <w:rFonts w:hint="eastAsia"/>
          <w:color w:val="000000"/>
          <w:sz w:val="24"/>
        </w:rPr>
        <w:t>1.4验收标准以供需双方签订的技术协议为准（参考招标文件指标）。任何虚假指标响应一经发现即作废标，投标者必须承担由此给用户带来的一切经济损失和其它相关责任。</w:t>
      </w:r>
    </w:p>
    <w:p w14:paraId="162963A6">
      <w:pPr>
        <w:spacing w:line="360" w:lineRule="auto"/>
        <w:ind w:firstLine="480" w:firstLineChars="200"/>
        <w:rPr>
          <w:color w:val="000000"/>
          <w:sz w:val="24"/>
        </w:rPr>
      </w:pPr>
      <w:r>
        <w:rPr>
          <w:rFonts w:hint="eastAsia"/>
          <w:color w:val="000000"/>
          <w:sz w:val="24"/>
        </w:rPr>
        <w:t>1.5安装、调试和验收期间，供方人员的差旅费、食宿及其它费用应由供方自理。</w:t>
      </w:r>
    </w:p>
    <w:p w14:paraId="5A194180">
      <w:pPr>
        <w:spacing w:line="360" w:lineRule="auto"/>
        <w:rPr>
          <w:color w:val="000000"/>
          <w:sz w:val="24"/>
        </w:rPr>
      </w:pPr>
      <w:r>
        <w:rPr>
          <w:rFonts w:hint="eastAsia"/>
          <w:color w:val="000000"/>
          <w:sz w:val="24"/>
        </w:rPr>
        <w:t>2.技术培训</w:t>
      </w:r>
    </w:p>
    <w:p w14:paraId="492767A8">
      <w:pPr>
        <w:spacing w:line="360" w:lineRule="auto"/>
        <w:ind w:firstLine="480" w:firstLineChars="200"/>
        <w:rPr>
          <w:color w:val="000000"/>
          <w:sz w:val="24"/>
        </w:rPr>
      </w:pPr>
      <w:r>
        <w:rPr>
          <w:rFonts w:hint="eastAsia"/>
          <w:color w:val="000000"/>
          <w:sz w:val="24"/>
        </w:rPr>
        <w:t>仪器安装验收后，供方应及时派遣有丰富经验的技术人员就仪器软硬件操作、仪器维护、故障排除、注意事项等进行免费培训，在用户现场，工程师将对用户进行仪器的使用操作，日常的维护保养及简单的故障维修方面的培训，并使用户能够独立使用和获取正确的数据。还定期举办专门的培训班和用户会议，以加强用户间的技术交流,提高用户的仪器使用水平。</w:t>
      </w:r>
    </w:p>
    <w:p w14:paraId="5D4A4660">
      <w:pPr>
        <w:spacing w:line="360" w:lineRule="auto"/>
        <w:rPr>
          <w:color w:val="000000"/>
          <w:sz w:val="24"/>
        </w:rPr>
      </w:pPr>
      <w:r>
        <w:rPr>
          <w:rFonts w:hint="eastAsia"/>
          <w:color w:val="000000"/>
          <w:sz w:val="24"/>
        </w:rPr>
        <w:t xml:space="preserve">3.质保期 </w:t>
      </w:r>
    </w:p>
    <w:p w14:paraId="01388663">
      <w:pPr>
        <w:spacing w:line="360" w:lineRule="auto"/>
        <w:ind w:firstLine="480" w:firstLineChars="200"/>
        <w:rPr>
          <w:color w:val="000000"/>
          <w:sz w:val="24"/>
        </w:rPr>
      </w:pPr>
      <w:r>
        <w:rPr>
          <w:rFonts w:hint="eastAsia"/>
          <w:color w:val="000000"/>
          <w:sz w:val="24"/>
        </w:rPr>
        <w:t>质保期1年, 从仪器验收合格，技术验收报告签字盖章后起质保期开始生效。在质保期内，任何由制造商选材和制造不当引起的质量问题，厂家负责免费维修，如1个月内不能完全修复，需更换一台全新设备并承担相应损失。出现故障后，在收到用户正式通知后24小时之内响应，如果需要到现场，将安排就近的工程师到现场。质保期后，厂家提供终身维修，并保证零配件的供应。</w:t>
      </w:r>
    </w:p>
    <w:p w14:paraId="652938C7">
      <w:pPr>
        <w:spacing w:line="360" w:lineRule="auto"/>
        <w:rPr>
          <w:color w:val="000000"/>
          <w:sz w:val="24"/>
        </w:rPr>
      </w:pPr>
      <w:r>
        <w:rPr>
          <w:rFonts w:hint="eastAsia"/>
          <w:color w:val="000000"/>
          <w:sz w:val="24"/>
        </w:rPr>
        <w:t xml:space="preserve">4.售后服务 </w:t>
      </w:r>
    </w:p>
    <w:p w14:paraId="38C9BBDA">
      <w:pPr>
        <w:spacing w:line="360" w:lineRule="auto"/>
        <w:ind w:firstLine="480" w:firstLineChars="200"/>
        <w:rPr>
          <w:color w:val="000000"/>
          <w:sz w:val="24"/>
        </w:rPr>
      </w:pPr>
      <w:r>
        <w:rPr>
          <w:rFonts w:hint="eastAsia"/>
          <w:color w:val="000000"/>
          <w:sz w:val="24"/>
        </w:rPr>
        <w:t>供方应在24小时内对用户的报修申请做出响应。一般性问题应在48小时内解决；对于在48小时内无法解决的其它较大的问题，应在3天内给以解决；对于在3天内不能解决的问题，应提出明确的解决方案，得到用户的认可后，在预定的期限内解决问题。</w:t>
      </w:r>
    </w:p>
    <w:p w14:paraId="3123EDD6"/>
    <w:p w14:paraId="73A4D3D8">
      <w:pPr>
        <w:spacing w:line="360" w:lineRule="auto"/>
        <w:rPr>
          <w:b/>
          <w:color w:val="000000"/>
          <w:sz w:val="24"/>
        </w:rPr>
      </w:pPr>
      <w:r>
        <w:rPr>
          <w:rFonts w:hint="eastAsia"/>
          <w:b/>
          <w:color w:val="000000"/>
          <w:sz w:val="24"/>
        </w:rPr>
        <w:t>（三） 订货数量：</w:t>
      </w:r>
    </w:p>
    <w:p w14:paraId="4DD798C8">
      <w:pPr>
        <w:spacing w:line="360" w:lineRule="auto"/>
        <w:ind w:firstLine="240" w:firstLineChars="100"/>
        <w:rPr>
          <w:color w:val="000000"/>
          <w:sz w:val="24"/>
        </w:rPr>
      </w:pPr>
      <w:r>
        <w:rPr>
          <w:rFonts w:hint="eastAsia"/>
          <w:color w:val="000000"/>
          <w:sz w:val="24"/>
        </w:rPr>
        <w:t xml:space="preserve"> 1套</w:t>
      </w:r>
    </w:p>
    <w:p w14:paraId="3CD412F2">
      <w:pPr>
        <w:spacing w:line="360" w:lineRule="auto"/>
        <w:rPr>
          <w:color w:val="000000"/>
          <w:sz w:val="24"/>
        </w:rPr>
      </w:pPr>
    </w:p>
    <w:p w14:paraId="695B59BF">
      <w:pPr>
        <w:spacing w:line="360" w:lineRule="auto"/>
        <w:rPr>
          <w:b/>
          <w:color w:val="000000"/>
          <w:sz w:val="24"/>
        </w:rPr>
      </w:pPr>
      <w:r>
        <w:rPr>
          <w:rFonts w:hint="eastAsia"/>
          <w:b/>
          <w:color w:val="000000"/>
          <w:sz w:val="24"/>
        </w:rPr>
        <w:t>（四）交货日期和交货地点（项目现场）：</w:t>
      </w:r>
    </w:p>
    <w:p w14:paraId="4B2404F6">
      <w:pPr>
        <w:spacing w:line="360" w:lineRule="auto"/>
        <w:ind w:firstLine="480" w:firstLineChars="200"/>
        <w:rPr>
          <w:color w:val="000000"/>
          <w:sz w:val="24"/>
        </w:rPr>
      </w:pPr>
      <w:r>
        <w:rPr>
          <w:rFonts w:hint="eastAsia"/>
          <w:color w:val="000000"/>
          <w:sz w:val="24"/>
        </w:rPr>
        <w:t>交货日期：</w:t>
      </w:r>
      <w:r>
        <w:rPr>
          <w:bCs/>
          <w:color w:val="000000"/>
          <w:sz w:val="24"/>
        </w:rPr>
        <w:t>合同生效后</w:t>
      </w:r>
      <w:r>
        <w:rPr>
          <w:rFonts w:hint="eastAsia"/>
          <w:bCs/>
          <w:color w:val="000000"/>
          <w:sz w:val="24"/>
        </w:rPr>
        <w:t>6</w:t>
      </w:r>
      <w:r>
        <w:rPr>
          <w:bCs/>
          <w:color w:val="000000"/>
          <w:sz w:val="24"/>
        </w:rPr>
        <w:t>个月</w:t>
      </w:r>
      <w:r>
        <w:rPr>
          <w:rFonts w:hint="eastAsia"/>
          <w:bCs/>
          <w:color w:val="000000"/>
          <w:sz w:val="24"/>
        </w:rPr>
        <w:t>内。</w:t>
      </w:r>
      <w:r>
        <w:rPr>
          <w:bCs/>
          <w:color w:val="000000"/>
          <w:sz w:val="24"/>
        </w:rPr>
        <w:t xml:space="preserve"> </w:t>
      </w:r>
    </w:p>
    <w:p w14:paraId="664CA6AA">
      <w:pPr>
        <w:spacing w:line="360" w:lineRule="auto"/>
        <w:ind w:firstLine="480" w:firstLineChars="200"/>
        <w:rPr>
          <w:bCs/>
          <w:color w:val="000000"/>
          <w:sz w:val="24"/>
        </w:rPr>
      </w:pPr>
      <w:r>
        <w:rPr>
          <w:rFonts w:hint="eastAsia"/>
          <w:color w:val="000000"/>
          <w:sz w:val="24"/>
        </w:rPr>
        <w:t>交货地点：</w:t>
      </w:r>
      <w:r>
        <w:rPr>
          <w:rFonts w:hint="eastAsia"/>
          <w:bCs/>
          <w:sz w:val="24"/>
        </w:rPr>
        <w:t>中国科学院生态环境研究中心</w:t>
      </w:r>
    </w:p>
    <w:p w14:paraId="3CBCC797">
      <w:pPr>
        <w:spacing w:line="360" w:lineRule="auto"/>
        <w:rPr>
          <w:color w:val="000000"/>
          <w:sz w:val="24"/>
        </w:rPr>
      </w:pPr>
    </w:p>
    <w:p w14:paraId="4E8D9C76">
      <w:pPr>
        <w:spacing w:line="360" w:lineRule="auto"/>
        <w:rPr>
          <w:b/>
          <w:color w:val="000000"/>
          <w:sz w:val="24"/>
        </w:rPr>
      </w:pPr>
      <w:r>
        <w:rPr>
          <w:rFonts w:hint="eastAsia"/>
          <w:b/>
          <w:color w:val="000000"/>
          <w:sz w:val="24"/>
        </w:rPr>
        <w:t xml:space="preserve">（五）付款方式：                                         </w:t>
      </w:r>
    </w:p>
    <w:p w14:paraId="1A974952">
      <w:pPr>
        <w:spacing w:line="360" w:lineRule="auto"/>
        <w:ind w:firstLine="480" w:firstLineChars="200"/>
        <w:rPr>
          <w:color w:val="000000"/>
          <w:sz w:val="24"/>
        </w:rPr>
      </w:pPr>
      <w:r>
        <w:rPr>
          <w:rFonts w:hint="eastAsia"/>
          <w:color w:val="000000"/>
          <w:sz w:val="24"/>
        </w:rPr>
        <w:t>对于进口产品：</w:t>
      </w:r>
      <w:bookmarkStart w:id="1" w:name="OLE_LINK11"/>
      <w:bookmarkStart w:id="2" w:name="OLE_LINK12"/>
      <w:r>
        <w:rPr>
          <w:rFonts w:hint="eastAsia"/>
          <w:color w:val="000000"/>
          <w:sz w:val="24"/>
        </w:rPr>
        <w:t>100%不可撤销信用证，其中80%凭货到现场用户签收单支付，20%凭盖章版技术验收报告支付。</w:t>
      </w:r>
    </w:p>
    <w:bookmarkEnd w:id="1"/>
    <w:bookmarkEnd w:id="2"/>
    <w:p w14:paraId="1666D14B">
      <w:pPr>
        <w:spacing w:line="360" w:lineRule="auto"/>
        <w:ind w:firstLine="480" w:firstLineChars="200"/>
        <w:rPr>
          <w:color w:val="000000"/>
          <w:sz w:val="24"/>
        </w:rPr>
      </w:pPr>
      <w:r>
        <w:rPr>
          <w:rFonts w:hint="eastAsia"/>
          <w:color w:val="000000"/>
          <w:sz w:val="24"/>
        </w:rPr>
        <w:t>对于国产产品：100%凭用户代表签字并加盖单位公章后的验收报告支付；</w:t>
      </w:r>
    </w:p>
    <w:p w14:paraId="510FAC27">
      <w:pPr>
        <w:spacing w:line="360" w:lineRule="auto"/>
        <w:rPr>
          <w:color w:val="000000"/>
          <w:sz w:val="24"/>
        </w:rPr>
      </w:pPr>
    </w:p>
    <w:p w14:paraId="0AED8F5D">
      <w:pPr>
        <w:spacing w:line="360" w:lineRule="auto"/>
        <w:rPr>
          <w:b/>
          <w:color w:val="000000"/>
          <w:sz w:val="24"/>
        </w:rPr>
      </w:pPr>
      <w:r>
        <w:rPr>
          <w:rFonts w:hint="eastAsia"/>
          <w:b/>
          <w:color w:val="000000"/>
          <w:sz w:val="24"/>
        </w:rPr>
        <w:t>（六）执行的相关标准</w:t>
      </w:r>
    </w:p>
    <w:p w14:paraId="076815B0">
      <w:pPr>
        <w:spacing w:line="360" w:lineRule="auto"/>
        <w:rPr>
          <w:rFonts w:ascii="inherit" w:hAnsi="inherit" w:cs="宋体"/>
          <w:color w:val="000000"/>
          <w:kern w:val="0"/>
          <w:sz w:val="24"/>
        </w:rPr>
      </w:pPr>
      <w:r>
        <w:rPr>
          <w:rFonts w:hint="eastAsia" w:ascii="inherit" w:hAnsi="inherit" w:cs="宋体"/>
          <w:color w:val="000000"/>
          <w:kern w:val="0"/>
          <w:sz w:val="24"/>
        </w:rPr>
        <w:t xml:space="preserve">   产品应满足相关国家标准及行业标准。</w:t>
      </w:r>
    </w:p>
    <w:p w14:paraId="69E7D5FC">
      <w:pPr>
        <w:spacing w:line="360" w:lineRule="auto"/>
        <w:rPr>
          <w:rFonts w:ascii="inherit" w:hAnsi="inherit" w:cs="宋体"/>
          <w:color w:val="000000"/>
          <w:kern w:val="0"/>
          <w:sz w:val="24"/>
        </w:rPr>
      </w:pPr>
    </w:p>
    <w:p w14:paraId="0C6BC34C">
      <w:pPr>
        <w:numPr>
          <w:ilvl w:val="0"/>
          <w:numId w:val="5"/>
        </w:numPr>
        <w:spacing w:line="360" w:lineRule="auto"/>
        <w:rPr>
          <w:b/>
          <w:color w:val="000000"/>
          <w:sz w:val="24"/>
        </w:rPr>
      </w:pPr>
      <w:r>
        <w:rPr>
          <w:rFonts w:hint="eastAsia"/>
          <w:b/>
          <w:color w:val="000000"/>
          <w:sz w:val="24"/>
        </w:rPr>
        <w:t>验收标准</w:t>
      </w:r>
    </w:p>
    <w:p w14:paraId="251F6964">
      <w:pPr>
        <w:spacing w:line="360" w:lineRule="auto"/>
        <w:ind w:firstLine="480" w:firstLineChars="200"/>
        <w:rPr>
          <w:b/>
          <w:bCs/>
          <w:color w:val="000000"/>
          <w:sz w:val="24"/>
        </w:rPr>
      </w:pPr>
      <w:r>
        <w:rPr>
          <w:color w:val="000000"/>
          <w:sz w:val="24"/>
        </w:rPr>
        <w:t>*1. 设备的配置、功能和</w:t>
      </w:r>
      <w:r>
        <w:rPr>
          <w:b/>
          <w:bCs/>
          <w:color w:val="000000"/>
          <w:sz w:val="24"/>
        </w:rPr>
        <w:t>技术</w:t>
      </w:r>
      <w:r>
        <w:rPr>
          <w:rFonts w:hint="eastAsia"/>
          <w:b/>
          <w:bCs/>
          <w:color w:val="000000"/>
          <w:sz w:val="24"/>
          <w:lang w:val="en-US" w:eastAsia="zh-CN"/>
        </w:rPr>
        <w:t>实质性</w:t>
      </w:r>
      <w:r>
        <w:rPr>
          <w:b/>
          <w:bCs/>
          <w:color w:val="000000"/>
          <w:sz w:val="24"/>
        </w:rPr>
        <w:t>指标</w:t>
      </w:r>
      <w:r>
        <w:rPr>
          <w:color w:val="000000"/>
          <w:sz w:val="24"/>
        </w:rPr>
        <w:t>必须满足招标文件要求，所有技术指标必须能够现场验收或提供第三方权威机构的证明材料，投标商需在投标文件中提供完备的现场验收方案，</w:t>
      </w:r>
      <w:r>
        <w:rPr>
          <w:b/>
          <w:bCs/>
          <w:color w:val="000000"/>
          <w:sz w:val="24"/>
        </w:rPr>
        <w:t>未提交现场验收方案将作为废标处理。</w:t>
      </w:r>
    </w:p>
    <w:p w14:paraId="3C767272">
      <w:pPr>
        <w:spacing w:line="360" w:lineRule="auto"/>
        <w:ind w:firstLine="480" w:firstLineChars="200"/>
        <w:rPr>
          <w:rFonts w:ascii="宋体" w:hAnsi="宋体"/>
          <w:b/>
          <w:color w:val="000000"/>
          <w:sz w:val="30"/>
          <w:szCs w:val="30"/>
        </w:rPr>
      </w:pPr>
      <w:r>
        <w:rPr>
          <w:color w:val="000000"/>
          <w:sz w:val="24"/>
        </w:rPr>
        <w:t>2. 技术指标现场验收方案科学、合理，具有可行性。</w:t>
      </w:r>
    </w:p>
    <w:p w14:paraId="463E0F4D">
      <w:bookmarkStart w:id="3" w:name="_GoBack"/>
      <w:bookmarkEnd w:id="3"/>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inherit">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DDAC0A88"/>
    <w:multiLevelType w:val="singleLevel"/>
    <w:tmpl w:val="DDAC0A88"/>
    <w:lvl w:ilvl="0" w:tentative="0">
      <w:start w:val="7"/>
      <w:numFmt w:val="chineseCounting"/>
      <w:suff w:val="nothing"/>
      <w:lvlText w:val="（%1）"/>
      <w:lvlJc w:val="left"/>
      <w:rPr>
        <w:rFonts w:hint="eastAsia"/>
      </w:rPr>
    </w:lvl>
  </w:abstractNum>
  <w:abstractNum w:abstractNumId="2">
    <w:nsid w:val="1950400F"/>
    <w:multiLevelType w:val="multilevel"/>
    <w:tmpl w:val="1950400F"/>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340F57DF"/>
    <w:multiLevelType w:val="multilevel"/>
    <w:tmpl w:val="340F57DF"/>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4">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F336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2025-07-01T05:27:31Z</dcterms:created>
  <dc:creator>yzjia</dc:creator>
  <cp:lastModifiedBy>godjiao</cp:lastModifiedBy>
  <dcterms:modified xsi:type="dcterms:W3CDTF">2025-07-01T05:27:48Z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eyJoZGlkIjoiY2IxMDc5ODZkZDE5M2E5MjdjM2ZkNDMyYjY0NzE3YmEiLCJ1c2VySWQiOiIyNDgyNzkwNjcifQ==</vt:lpwstr>
  </property>
  <property fmtid="{D5CDD505-2E9C-101B-9397-08002B2CF9AE}" pid="4" name="ICV">
    <vt:lpwstr>545240DE45864AF6A623AB201FFD4BEC_12</vt:lpwstr>
  </property>
</Properties>
</file>