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441225-2024-00551</w:t>
      </w:r>
    </w:p>
    <w:p>
      <w:pPr>
        <w:pStyle w:val="null3"/>
        <w:jc w:val="center"/>
        <w:outlineLvl w:val="3"/>
      </w:pPr>
      <w:r>
        <w:rPr>
          <w:sz w:val="24"/>
          <w:b/>
        </w:rPr>
        <w:t>采购项目编号：</w:t>
      </w:r>
      <w:r>
        <w:rPr>
          <w:sz w:val="24"/>
          <w:b/>
        </w:rPr>
        <w:t>ZH采2023-003</w:t>
      </w:r>
    </w:p>
    <w:p>
      <w:pPr>
        <w:pStyle w:val="null3"/>
        <w:jc w:val="center"/>
        <w:outlineLvl w:val="3"/>
      </w:pPr>
      <w:r>
        <w:rPr>
          <w:sz w:val="24"/>
          <w:b/>
        </w:rPr>
        <w:t>项目名称：</w:t>
      </w:r>
      <w:r>
        <w:rPr>
          <w:sz w:val="24"/>
          <w:b/>
        </w:rPr>
        <w:t>2022年肇庆市封开县自然保护地整合优化（二期）第二部分</w:t>
      </w:r>
    </w:p>
    <w:p>
      <w:pPr>
        <w:pStyle w:val="null3"/>
        <w:jc w:val="center"/>
        <w:outlineLvl w:val="3"/>
      </w:pPr>
      <w:r>
        <w:rPr>
          <w:sz w:val="24"/>
          <w:b/>
        </w:rPr>
        <w:t>采购人：</w:t>
      </w:r>
      <w:r>
        <w:rPr>
          <w:sz w:val="24"/>
          <w:b/>
        </w:rPr>
        <w:t>封开县林业局</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广东肇宏项目管理有限公司</w:t>
      </w:r>
      <w:r>
        <w:rPr/>
        <w:t>受</w:t>
      </w:r>
      <w:r>
        <w:rPr/>
        <w:t>封开县林业局</w:t>
      </w:r>
      <w:r>
        <w:rPr/>
        <w:t>的委托，采用</w:t>
      </w:r>
      <w:r>
        <w:rPr/>
        <w:t>公开招标</w:t>
      </w:r>
      <w:r>
        <w:rPr/>
        <w:t>方式组织采购</w:t>
      </w:r>
      <w:r>
        <w:rPr/>
        <w:t>2022年肇庆市封开县自然保护地整合优化（二期）第二部分</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2022年肇庆市封开县自然保护地整合优化（二期）第二部分</w:t>
      </w:r>
    </w:p>
    <w:p>
      <w:pPr>
        <w:pStyle w:val="null3"/>
        <w:ind w:firstLine="480"/>
      </w:pPr>
      <w:r>
        <w:rPr/>
        <w:t>采购计划编号：</w:t>
      </w:r>
      <w:r>
        <w:rPr/>
        <w:t>441225-2024-00551</w:t>
      </w:r>
    </w:p>
    <w:p>
      <w:pPr>
        <w:pStyle w:val="null3"/>
        <w:ind w:firstLine="480"/>
      </w:pPr>
      <w:r>
        <w:rPr/>
        <w:t>采购项目编号：</w:t>
      </w:r>
      <w:r>
        <w:rPr/>
        <w:t>ZH采2023-003</w:t>
      </w:r>
    </w:p>
    <w:p>
      <w:pPr>
        <w:pStyle w:val="null3"/>
        <w:ind w:firstLine="480"/>
      </w:pPr>
      <w:r>
        <w:rPr/>
        <w:t>采购方式：</w:t>
      </w:r>
      <w:r>
        <w:rPr/>
        <w:t>公开招标</w:t>
      </w:r>
    </w:p>
    <w:p>
      <w:pPr>
        <w:pStyle w:val="null3"/>
        <w:ind w:firstLine="480"/>
      </w:pPr>
      <w:r>
        <w:rPr/>
        <w:t>预算金额：</w:t>
      </w:r>
      <w:r>
        <w:rPr/>
        <w:t>4,850,000.00</w:t>
      </w:r>
      <w:r>
        <w:rPr/>
        <w:t>元</w:t>
      </w:r>
    </w:p>
    <w:p>
      <w:pPr>
        <w:pStyle w:val="null3"/>
        <w:outlineLvl w:val="3"/>
      </w:pPr>
      <w:r>
        <w:rPr>
          <w:sz w:val="24"/>
          <w:b/>
        </w:rPr>
        <w:t>2.项目内容及需求情况（采购项目技术规格、参数及要求）</w:t>
      </w:r>
    </w:p>
    <w:p>
      <w:pPr>
        <w:pStyle w:val="null3"/>
      </w:pPr>
      <w:r>
        <w:rPr/>
        <w:t>采购包1(2022年肇庆市封开县自然保护地整合优化（二期）第二部分):</w:t>
      </w:r>
    </w:p>
    <w:p>
      <w:pPr>
        <w:pStyle w:val="null3"/>
      </w:pPr>
      <w:r>
        <w:rPr/>
        <w:t>采购包预算金额：4,850,000.00元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其他林业服务</w:t>
            </w:r>
          </w:p>
        </w:tc>
        <w:tc>
          <w:tcPr>
            <w:tcW w:type="dxa" w:w="2136"/>
          </w:tcPr>
          <w:p>
            <w:pPr>
              <w:pStyle w:val="null3"/>
            </w:pPr>
            <w:r>
              <w:rPr/>
              <w:t>2022年肇庆市封开县自然保护地整合优化（二期）第二部分</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合同履行期限：合同签订后至2025年全部完成。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2022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采购包1（2022年肇庆市封开县自然保护地整合优化（二期）第二部分）：</w:t>
      </w:r>
      <w:r>
        <w:rPr/>
        <w:t>参与的供应商（联合体）服务全部由符合政策要求的中小企业承接</w:t>
      </w:r>
    </w:p>
    <w:p>
      <w:pPr>
        <w:pStyle w:val="null3"/>
        <w:outlineLvl w:val="3"/>
      </w:pPr>
      <w:r>
        <w:rPr>
          <w:sz w:val="24"/>
          <w:b/>
        </w:rPr>
        <w:t>3.本项目特定的资格要求：</w:t>
      </w:r>
    </w:p>
    <w:p>
      <w:pPr>
        <w:pStyle w:val="null3"/>
      </w:pPr>
      <w:r>
        <w:rPr/>
        <w:t>采购包1（2022年肇庆市封开县自然保护地整合优化（二期）第二部分）：</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3)投标人必须具备有效期内林业调查规划设计单位的乙级及以上资质证书。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封开县林业局</w:t>
      </w:r>
    </w:p>
    <w:p>
      <w:pPr>
        <w:pStyle w:val="null3"/>
        <w:ind w:firstLine="480"/>
      </w:pPr>
      <w:r>
        <w:rPr/>
        <w:t xml:space="preserve"> 地址：</w:t>
      </w:r>
      <w:r>
        <w:rPr/>
        <w:t>广东省肇庆市封开县江口镇建设西路9号</w:t>
      </w:r>
    </w:p>
    <w:p>
      <w:pPr>
        <w:pStyle w:val="null3"/>
        <w:ind w:firstLine="480"/>
      </w:pPr>
      <w:r>
        <w:rPr/>
        <w:t xml:space="preserve"> 联系方式：</w:t>
      </w:r>
      <w:r>
        <w:rPr/>
        <w:t>0758-6667101</w:t>
      </w:r>
    </w:p>
    <w:p>
      <w:pPr>
        <w:pStyle w:val="null3"/>
        <w:outlineLvl w:val="3"/>
      </w:pPr>
      <w:r>
        <w:rPr>
          <w:sz w:val="24"/>
          <w:b/>
        </w:rPr>
        <w:t xml:space="preserve"> 2.采购代理机构信息</w:t>
      </w:r>
    </w:p>
    <w:p>
      <w:pPr>
        <w:pStyle w:val="null3"/>
        <w:ind w:firstLine="480"/>
      </w:pPr>
      <w:r>
        <w:rPr/>
        <w:t xml:space="preserve"> 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封开县位于广东省西北部，北纬</w:t>
      </w:r>
      <w:r>
        <w:rPr>
          <w:sz w:val="21"/>
        </w:rPr>
        <w:t>23°13ʹ~23°59ʹ</w:t>
      </w:r>
      <w:r>
        <w:rPr>
          <w:sz w:val="21"/>
        </w:rPr>
        <w:t>，东经</w:t>
      </w:r>
      <w:r>
        <w:rPr>
          <w:sz w:val="21"/>
        </w:rPr>
        <w:t>111°21ʹ~112°02ʹ</w:t>
      </w:r>
      <w:r>
        <w:rPr>
          <w:sz w:val="21"/>
        </w:rPr>
        <w:t>，东西宽</w:t>
      </w:r>
      <w:r>
        <w:rPr>
          <w:sz w:val="21"/>
        </w:rPr>
        <w:t>68km</w:t>
      </w:r>
      <w:r>
        <w:rPr>
          <w:sz w:val="21"/>
        </w:rPr>
        <w:t>，南北长</w:t>
      </w:r>
      <w:r>
        <w:rPr>
          <w:sz w:val="21"/>
        </w:rPr>
        <w:t>84km</w:t>
      </w:r>
      <w:r>
        <w:rPr>
          <w:sz w:val="21"/>
        </w:rPr>
        <w:t>，总面积</w:t>
      </w:r>
      <w:r>
        <w:rPr>
          <w:sz w:val="21"/>
        </w:rPr>
        <w:t>2723.93km</w:t>
      </w:r>
      <w:r>
        <w:rPr>
          <w:sz w:val="21"/>
          <w:vertAlign w:val="superscript"/>
        </w:rPr>
        <w:t>2</w:t>
      </w:r>
      <w:r>
        <w:rPr>
          <w:sz w:val="21"/>
        </w:rPr>
        <w:t>，是</w:t>
      </w:r>
      <w:r>
        <w:rPr>
          <w:sz w:val="21"/>
        </w:rPr>
        <w:t>“</w:t>
      </w:r>
      <w:r>
        <w:rPr>
          <w:sz w:val="21"/>
        </w:rPr>
        <w:t>西江走廊</w:t>
      </w:r>
      <w:r>
        <w:rPr>
          <w:sz w:val="21"/>
        </w:rPr>
        <w:t>”</w:t>
      </w:r>
      <w:r>
        <w:rPr>
          <w:sz w:val="21"/>
        </w:rPr>
        <w:t>经济区域的重要组成部分又是</w:t>
      </w:r>
      <w:r>
        <w:rPr>
          <w:sz w:val="21"/>
        </w:rPr>
        <w:t>“</w:t>
      </w:r>
      <w:r>
        <w:rPr>
          <w:sz w:val="21"/>
        </w:rPr>
        <w:t>珠三角</w:t>
      </w:r>
      <w:r>
        <w:rPr>
          <w:sz w:val="21"/>
        </w:rPr>
        <w:t>”</w:t>
      </w:r>
      <w:r>
        <w:rPr>
          <w:sz w:val="21"/>
        </w:rPr>
        <w:t>与大西南的交汇点。东面与德庆县毗邻，南面与郁南县接壤，东北面与怀集县相连，西北面与广西苍梧县、梧州市、贺州市交界，素有</w:t>
      </w:r>
      <w:r>
        <w:rPr>
          <w:sz w:val="21"/>
        </w:rPr>
        <w:t>“</w:t>
      </w:r>
      <w:r>
        <w:rPr>
          <w:sz w:val="21"/>
        </w:rPr>
        <w:t>两广门户</w:t>
      </w:r>
      <w:r>
        <w:rPr>
          <w:sz w:val="21"/>
        </w:rPr>
        <w:t>”</w:t>
      </w:r>
      <w:r>
        <w:rPr>
          <w:sz w:val="21"/>
        </w:rPr>
        <w:t>之称。县人民政府驻地在西江与贺江的汇合处</w:t>
      </w:r>
      <w:r>
        <w:rPr>
          <w:sz w:val="21"/>
        </w:rPr>
        <w:t>-</w:t>
      </w:r>
      <w:r>
        <w:rPr>
          <w:sz w:val="21"/>
        </w:rPr>
        <w:t>江口镇，西距梧州市</w:t>
      </w:r>
      <w:r>
        <w:rPr>
          <w:sz w:val="21"/>
        </w:rPr>
        <w:t>22km</w:t>
      </w:r>
      <w:r>
        <w:rPr>
          <w:sz w:val="21"/>
        </w:rPr>
        <w:t>，东距肇庆陆路</w:t>
      </w:r>
      <w:r>
        <w:rPr>
          <w:sz w:val="21"/>
        </w:rPr>
        <w:t>142km</w:t>
      </w:r>
      <w:r>
        <w:rPr>
          <w:sz w:val="21"/>
        </w:rPr>
        <w:t>，水路</w:t>
      </w:r>
      <w:r>
        <w:rPr>
          <w:sz w:val="21"/>
        </w:rPr>
        <w:t>152km</w:t>
      </w:r>
      <w:r>
        <w:rPr>
          <w:sz w:val="21"/>
        </w:rPr>
        <w:t>；与广州相距陆路</w:t>
      </w:r>
      <w:r>
        <w:rPr>
          <w:sz w:val="21"/>
        </w:rPr>
        <w:t>255km</w:t>
      </w:r>
      <w:r>
        <w:rPr>
          <w:sz w:val="21"/>
        </w:rPr>
        <w:t>，水路</w:t>
      </w:r>
      <w:r>
        <w:rPr>
          <w:sz w:val="21"/>
        </w:rPr>
        <w:t>281km</w:t>
      </w:r>
      <w:r>
        <w:rPr>
          <w:sz w:val="21"/>
        </w:rPr>
        <w:t>。</w:t>
      </w:r>
    </w:p>
    <w:p>
      <w:pPr>
        <w:pStyle w:val="null3"/>
        <w:ind w:firstLine="420"/>
        <w:jc w:val="both"/>
      </w:pPr>
      <w:r>
        <w:rPr>
          <w:sz w:val="21"/>
        </w:rPr>
        <w:t>建立以国家公园为主体的自然保护地体系，是党的十九大提出的重大改革任务。自然保护地是生态建设的核心载体、中华民族的宝贵财富、美丽中国的重要象征，在维护国家生态安全中居于首要地位。经过多年的努力，封开县已建立了类型丰富、功能多样的自然保护区、湿地公园、森林公园、风景名胜区等自然保护地体系，在保护生物多样性、保存自然遗产、改善生态环境质量和维护生态安全方面发挥了重要作用。经过</w:t>
      </w:r>
      <w:r>
        <w:rPr>
          <w:sz w:val="21"/>
        </w:rPr>
        <w:t>2020</w:t>
      </w:r>
      <w:r>
        <w:rPr>
          <w:sz w:val="21"/>
        </w:rPr>
        <w:t>年度自然保护地整合优化的工作，封开县有序解决自然保护地存在的交叉重叠、资源权属等部分历史遗留问题，构建了更为科学合理的自然保护地体系。</w:t>
      </w:r>
    </w:p>
    <w:p>
      <w:pPr>
        <w:pStyle w:val="null3"/>
        <w:jc w:val="both"/>
      </w:pPr>
      <w:r>
        <w:rPr>
          <w:sz w:val="28"/>
          <w:b/>
        </w:rPr>
        <w:t>二、项目背景</w:t>
      </w:r>
    </w:p>
    <w:p>
      <w:pPr>
        <w:pStyle w:val="null3"/>
        <w:ind w:firstLine="420"/>
        <w:jc w:val="both"/>
      </w:pPr>
      <w:r>
        <w:rPr>
          <w:sz w:val="21"/>
        </w:rPr>
        <w:t>中共广东省委办公厅广东省人民政府办公厅《关于建立以国家公园为主体的自然保护地体系的实施意见》提出：</w:t>
      </w:r>
      <w:r>
        <w:rPr>
          <w:sz w:val="21"/>
        </w:rPr>
        <w:t>“</w:t>
      </w:r>
      <w:r>
        <w:rPr>
          <w:sz w:val="21"/>
        </w:rPr>
        <w:t>从</w:t>
      </w:r>
      <w:r>
        <w:rPr>
          <w:sz w:val="21"/>
        </w:rPr>
        <w:t>2021</w:t>
      </w:r>
      <w:r>
        <w:rPr>
          <w:sz w:val="21"/>
        </w:rPr>
        <w:t>年开始，各地要按照国家批准自然保护地整合优化预案，组织对辖区内各类自然保护地按照程序进行整合归并优化、科学考察、勘界立标、确权登记、总体规划编制等工作，至</w:t>
      </w:r>
      <w:r>
        <w:rPr>
          <w:sz w:val="21"/>
        </w:rPr>
        <w:t>2025</w:t>
      </w:r>
      <w:r>
        <w:rPr>
          <w:sz w:val="21"/>
        </w:rPr>
        <w:t>年前，全面完成自然保护地整合优化工作</w:t>
      </w:r>
      <w:r>
        <w:rPr>
          <w:sz w:val="21"/>
        </w:rPr>
        <w:t>”</w:t>
      </w:r>
      <w:r>
        <w:rPr>
          <w:sz w:val="21"/>
        </w:rPr>
        <w:t>。结合封开县自然保护地整合优化工作成果，计划开展</w:t>
      </w:r>
      <w:r>
        <w:rPr>
          <w:sz w:val="21"/>
        </w:rPr>
        <w:t>肇庆封开利水水库市级森林公园、肇庆封开谠山市级森林公园和肇庆封开黄岗市级森林公园勘界立标、本底调查、总体规划、落地（新建）。</w:t>
      </w:r>
    </w:p>
    <w:p>
      <w:pPr>
        <w:pStyle w:val="null3"/>
        <w:jc w:val="both"/>
      </w:pPr>
      <w:r>
        <w:rPr>
          <w:sz w:val="28"/>
          <w:b/>
        </w:rPr>
        <w:t>三、项目目的</w:t>
      </w:r>
    </w:p>
    <w:p>
      <w:pPr>
        <w:pStyle w:val="null3"/>
        <w:ind w:firstLine="420"/>
        <w:jc w:val="left"/>
      </w:pPr>
      <w:r>
        <w:rPr>
          <w:sz w:val="21"/>
        </w:rPr>
        <w:t>通过此次工作，明确、落实封开县域内各自然保护地的边界范围，逐步完善各类型保护地的调查、建设和管理工作，增强保护地管理能力，提高对自然资源的保护力度，促进地区生态文明与经济协调发展。</w:t>
      </w:r>
    </w:p>
    <w:p>
      <w:pPr>
        <w:pStyle w:val="null3"/>
        <w:jc w:val="both"/>
      </w:pPr>
      <w:r>
        <w:rPr>
          <w:sz w:val="28"/>
          <w:b/>
        </w:rPr>
        <w:t>四、项目依据</w:t>
      </w:r>
    </w:p>
    <w:p>
      <w:pPr>
        <w:pStyle w:val="null3"/>
        <w:ind w:firstLine="420"/>
        <w:jc w:val="left"/>
      </w:pPr>
      <w:r>
        <w:rPr>
          <w:sz w:val="21"/>
        </w:rPr>
        <w:t>（一）法律法规</w:t>
      </w:r>
    </w:p>
    <w:p>
      <w:pPr>
        <w:pStyle w:val="null3"/>
        <w:ind w:firstLine="420"/>
        <w:jc w:val="left"/>
      </w:pPr>
      <w:r>
        <w:rPr>
          <w:sz w:val="21"/>
        </w:rPr>
        <w:t>（</w:t>
      </w:r>
      <w:r>
        <w:rPr>
          <w:sz w:val="21"/>
        </w:rPr>
        <w:t>1</w:t>
      </w:r>
      <w:r>
        <w:rPr>
          <w:sz w:val="21"/>
        </w:rPr>
        <w:t>）《中华人民共和国森林法》（</w:t>
      </w:r>
      <w:r>
        <w:rPr>
          <w:sz w:val="21"/>
        </w:rPr>
        <w:t>2019</w:t>
      </w:r>
      <w:r>
        <w:rPr>
          <w:sz w:val="21"/>
        </w:rPr>
        <w:t>年）；</w:t>
      </w:r>
    </w:p>
    <w:p>
      <w:pPr>
        <w:pStyle w:val="null3"/>
        <w:ind w:firstLine="420"/>
        <w:jc w:val="left"/>
      </w:pPr>
      <w:r>
        <w:rPr>
          <w:sz w:val="21"/>
        </w:rPr>
        <w:t>（</w:t>
      </w:r>
      <w:r>
        <w:rPr>
          <w:sz w:val="21"/>
        </w:rPr>
        <w:t>2</w:t>
      </w:r>
      <w:r>
        <w:rPr>
          <w:sz w:val="21"/>
        </w:rPr>
        <w:t>）《中华人民共和国森林法实施条例》（</w:t>
      </w:r>
      <w:r>
        <w:rPr>
          <w:sz w:val="21"/>
        </w:rPr>
        <w:t>2018</w:t>
      </w:r>
      <w:r>
        <w:rPr>
          <w:sz w:val="21"/>
        </w:rPr>
        <w:t>年）；</w:t>
      </w:r>
    </w:p>
    <w:p>
      <w:pPr>
        <w:pStyle w:val="null3"/>
        <w:ind w:firstLine="420"/>
        <w:jc w:val="left"/>
      </w:pPr>
      <w:r>
        <w:rPr>
          <w:sz w:val="21"/>
        </w:rPr>
        <w:t>（</w:t>
      </w:r>
      <w:r>
        <w:rPr>
          <w:sz w:val="21"/>
        </w:rPr>
        <w:t>3</w:t>
      </w:r>
      <w:r>
        <w:rPr>
          <w:sz w:val="21"/>
        </w:rPr>
        <w:t>）《中华人民共和国环境保护法》（</w:t>
      </w:r>
      <w:r>
        <w:rPr>
          <w:sz w:val="21"/>
        </w:rPr>
        <w:t>2014</w:t>
      </w:r>
      <w:r>
        <w:rPr>
          <w:sz w:val="21"/>
        </w:rPr>
        <w:t>年）；</w:t>
      </w:r>
    </w:p>
    <w:p>
      <w:pPr>
        <w:pStyle w:val="null3"/>
        <w:ind w:firstLine="420"/>
        <w:jc w:val="left"/>
      </w:pPr>
      <w:r>
        <w:rPr>
          <w:sz w:val="21"/>
        </w:rPr>
        <w:t>（</w:t>
      </w:r>
      <w:r>
        <w:rPr>
          <w:sz w:val="21"/>
        </w:rPr>
        <w:t>4</w:t>
      </w:r>
      <w:r>
        <w:rPr>
          <w:sz w:val="21"/>
        </w:rPr>
        <w:t>）《中华人民共和国野生动物保护法》（</w:t>
      </w:r>
      <w:r>
        <w:rPr>
          <w:sz w:val="21"/>
        </w:rPr>
        <w:t>2018</w:t>
      </w:r>
      <w:r>
        <w:rPr>
          <w:sz w:val="21"/>
        </w:rPr>
        <w:t>年）；</w:t>
      </w:r>
    </w:p>
    <w:p>
      <w:pPr>
        <w:pStyle w:val="null3"/>
        <w:ind w:firstLine="420"/>
        <w:jc w:val="left"/>
      </w:pPr>
      <w:r>
        <w:rPr>
          <w:sz w:val="21"/>
        </w:rPr>
        <w:t>（</w:t>
      </w:r>
      <w:r>
        <w:rPr>
          <w:sz w:val="21"/>
        </w:rPr>
        <w:t>5</w:t>
      </w:r>
      <w:r>
        <w:rPr>
          <w:sz w:val="21"/>
        </w:rPr>
        <w:t>）《中华人民共和国陆生野生动物保护实施条例》（</w:t>
      </w:r>
      <w:r>
        <w:rPr>
          <w:sz w:val="21"/>
        </w:rPr>
        <w:t>2016</w:t>
      </w:r>
      <w:r>
        <w:rPr>
          <w:sz w:val="21"/>
        </w:rPr>
        <w:t>年）；</w:t>
      </w:r>
    </w:p>
    <w:p>
      <w:pPr>
        <w:pStyle w:val="null3"/>
        <w:ind w:firstLine="420"/>
        <w:jc w:val="left"/>
      </w:pPr>
      <w:r>
        <w:rPr>
          <w:sz w:val="21"/>
        </w:rPr>
        <w:t>（</w:t>
      </w:r>
      <w:r>
        <w:rPr>
          <w:sz w:val="21"/>
        </w:rPr>
        <w:t>6</w:t>
      </w:r>
      <w:r>
        <w:rPr>
          <w:sz w:val="21"/>
        </w:rPr>
        <w:t>）《中华人民共和国野生植物保护条例》（</w:t>
      </w:r>
      <w:r>
        <w:rPr>
          <w:sz w:val="21"/>
        </w:rPr>
        <w:t>2017</w:t>
      </w:r>
      <w:r>
        <w:rPr>
          <w:sz w:val="21"/>
        </w:rPr>
        <w:t>年）；</w:t>
      </w:r>
    </w:p>
    <w:p>
      <w:pPr>
        <w:pStyle w:val="null3"/>
        <w:ind w:firstLine="420"/>
        <w:jc w:val="left"/>
      </w:pPr>
      <w:r>
        <w:rPr>
          <w:sz w:val="21"/>
        </w:rPr>
        <w:t>（</w:t>
      </w:r>
      <w:r>
        <w:rPr>
          <w:sz w:val="21"/>
        </w:rPr>
        <w:t>7</w:t>
      </w:r>
      <w:r>
        <w:rPr>
          <w:sz w:val="21"/>
        </w:rPr>
        <w:t>）《中国生物多样性保护行动计划》（</w:t>
      </w:r>
      <w:r>
        <w:rPr>
          <w:sz w:val="21"/>
        </w:rPr>
        <w:t>2002</w:t>
      </w:r>
      <w:r>
        <w:rPr>
          <w:sz w:val="21"/>
        </w:rPr>
        <w:t>年）；</w:t>
      </w:r>
    </w:p>
    <w:p>
      <w:pPr>
        <w:pStyle w:val="null3"/>
        <w:ind w:firstLine="420"/>
        <w:jc w:val="left"/>
      </w:pPr>
      <w:r>
        <w:rPr>
          <w:sz w:val="21"/>
        </w:rPr>
        <w:t>（</w:t>
      </w:r>
      <w:r>
        <w:rPr>
          <w:sz w:val="21"/>
        </w:rPr>
        <w:t>8</w:t>
      </w:r>
      <w:r>
        <w:rPr>
          <w:sz w:val="21"/>
        </w:rPr>
        <w:t>）中共中央、国务院《关于加快林业发展的决定》（</w:t>
      </w:r>
      <w:r>
        <w:rPr>
          <w:sz w:val="21"/>
        </w:rPr>
        <w:t>2003</w:t>
      </w:r>
      <w:r>
        <w:rPr>
          <w:sz w:val="21"/>
        </w:rPr>
        <w:t>年</w:t>
      </w:r>
      <w:r>
        <w:rPr>
          <w:sz w:val="21"/>
        </w:rPr>
        <w:t>6</w:t>
      </w:r>
      <w:r>
        <w:rPr>
          <w:sz w:val="21"/>
        </w:rPr>
        <w:t>月）；</w:t>
      </w:r>
    </w:p>
    <w:p>
      <w:pPr>
        <w:pStyle w:val="null3"/>
        <w:ind w:firstLine="420"/>
        <w:jc w:val="left"/>
      </w:pPr>
      <w:r>
        <w:rPr>
          <w:sz w:val="21"/>
        </w:rPr>
        <w:t>（</w:t>
      </w:r>
      <w:r>
        <w:rPr>
          <w:sz w:val="21"/>
        </w:rPr>
        <w:t>9</w:t>
      </w:r>
      <w:r>
        <w:rPr>
          <w:sz w:val="21"/>
        </w:rPr>
        <w:t>）《广东省森林公园管理条例》（</w:t>
      </w:r>
      <w:r>
        <w:rPr>
          <w:sz w:val="21"/>
        </w:rPr>
        <w:t>2014</w:t>
      </w:r>
      <w:r>
        <w:rPr>
          <w:sz w:val="21"/>
        </w:rPr>
        <w:t>年）；</w:t>
      </w:r>
    </w:p>
    <w:p>
      <w:pPr>
        <w:pStyle w:val="null3"/>
        <w:ind w:firstLine="420"/>
        <w:jc w:val="left"/>
      </w:pPr>
      <w:r>
        <w:rPr>
          <w:sz w:val="21"/>
        </w:rPr>
        <w:t>（二）行业标准、规范</w:t>
      </w:r>
    </w:p>
    <w:p>
      <w:pPr>
        <w:pStyle w:val="null3"/>
        <w:ind w:firstLine="420"/>
        <w:jc w:val="left"/>
      </w:pPr>
      <w:r>
        <w:rPr>
          <w:sz w:val="21"/>
        </w:rPr>
        <w:t>（</w:t>
      </w:r>
      <w:r>
        <w:rPr>
          <w:sz w:val="21"/>
        </w:rPr>
        <w:t>1</w:t>
      </w:r>
      <w:r>
        <w:rPr>
          <w:sz w:val="21"/>
        </w:rPr>
        <w:t>）《国家级森林公园管理办法》（</w:t>
      </w:r>
      <w:r>
        <w:rPr>
          <w:sz w:val="21"/>
        </w:rPr>
        <w:t>2011</w:t>
      </w:r>
      <w:r>
        <w:rPr>
          <w:sz w:val="21"/>
        </w:rPr>
        <w:t>年</w:t>
      </w:r>
      <w:r>
        <w:rPr>
          <w:sz w:val="21"/>
        </w:rPr>
        <w:t>5</w:t>
      </w:r>
      <w:r>
        <w:rPr>
          <w:sz w:val="21"/>
        </w:rPr>
        <w:t>月）；</w:t>
      </w:r>
    </w:p>
    <w:p>
      <w:pPr>
        <w:pStyle w:val="null3"/>
        <w:ind w:firstLine="420"/>
        <w:jc w:val="left"/>
      </w:pPr>
      <w:r>
        <w:rPr>
          <w:sz w:val="21"/>
        </w:rPr>
        <w:t>（</w:t>
      </w:r>
      <w:r>
        <w:rPr>
          <w:sz w:val="21"/>
        </w:rPr>
        <w:t>2</w:t>
      </w:r>
      <w:r>
        <w:rPr>
          <w:sz w:val="21"/>
        </w:rPr>
        <w:t>）《中国森林公园风景资源质量等级评定（</w:t>
      </w:r>
      <w:r>
        <w:rPr>
          <w:sz w:val="21"/>
        </w:rPr>
        <w:t>GB/T18005-1999</w:t>
      </w:r>
      <w:r>
        <w:rPr>
          <w:sz w:val="21"/>
        </w:rPr>
        <w:t>）》；</w:t>
      </w:r>
    </w:p>
    <w:p>
      <w:pPr>
        <w:pStyle w:val="null3"/>
        <w:ind w:firstLine="420"/>
        <w:jc w:val="left"/>
      </w:pPr>
      <w:r>
        <w:rPr>
          <w:sz w:val="21"/>
        </w:rPr>
        <w:t>（</w:t>
      </w:r>
      <w:r>
        <w:rPr>
          <w:sz w:val="21"/>
        </w:rPr>
        <w:t>3</w:t>
      </w:r>
      <w:r>
        <w:rPr>
          <w:sz w:val="21"/>
        </w:rPr>
        <w:t>）《自然保护区工程总体设计标准》（</w:t>
      </w:r>
      <w:r>
        <w:rPr>
          <w:sz w:val="21"/>
        </w:rPr>
        <w:t>LYJ126-88</w:t>
      </w:r>
      <w:r>
        <w:rPr>
          <w:sz w:val="21"/>
        </w:rPr>
        <w:t>）；</w:t>
      </w:r>
    </w:p>
    <w:p>
      <w:pPr>
        <w:pStyle w:val="null3"/>
        <w:ind w:firstLine="420"/>
        <w:jc w:val="left"/>
      </w:pPr>
      <w:r>
        <w:rPr>
          <w:sz w:val="21"/>
        </w:rPr>
        <w:t>（</w:t>
      </w:r>
      <w:r>
        <w:rPr>
          <w:sz w:val="21"/>
        </w:rPr>
        <w:t>4</w:t>
      </w:r>
      <w:r>
        <w:rPr>
          <w:sz w:val="21"/>
        </w:rPr>
        <w:t>）《国家级森林公园总体规划规范》（</w:t>
      </w:r>
      <w:r>
        <w:rPr>
          <w:sz w:val="21"/>
        </w:rPr>
        <w:t>LY/T2005-2012</w:t>
      </w:r>
      <w:r>
        <w:rPr>
          <w:sz w:val="21"/>
        </w:rPr>
        <w:t>）；</w:t>
      </w:r>
    </w:p>
    <w:p>
      <w:pPr>
        <w:pStyle w:val="null3"/>
        <w:ind w:firstLine="420"/>
        <w:jc w:val="left"/>
      </w:pPr>
      <w:r>
        <w:rPr>
          <w:sz w:val="21"/>
        </w:rPr>
        <w:t>（</w:t>
      </w:r>
      <w:r>
        <w:rPr>
          <w:sz w:val="21"/>
        </w:rPr>
        <w:t>5</w:t>
      </w:r>
      <w:r>
        <w:rPr>
          <w:sz w:val="21"/>
        </w:rPr>
        <w:t>）《风景名胜区规划规范》（</w:t>
      </w:r>
      <w:r>
        <w:rPr>
          <w:sz w:val="21"/>
        </w:rPr>
        <w:t>GB50298-1999</w:t>
      </w:r>
      <w:r>
        <w:rPr>
          <w:sz w:val="21"/>
        </w:rPr>
        <w:t>）；</w:t>
      </w:r>
    </w:p>
    <w:p>
      <w:pPr>
        <w:pStyle w:val="null3"/>
        <w:ind w:firstLine="420"/>
        <w:jc w:val="left"/>
      </w:pPr>
      <w:r>
        <w:rPr>
          <w:sz w:val="21"/>
        </w:rPr>
        <w:t>（</w:t>
      </w:r>
      <w:r>
        <w:rPr>
          <w:sz w:val="21"/>
        </w:rPr>
        <w:t>6</w:t>
      </w:r>
      <w:r>
        <w:rPr>
          <w:sz w:val="21"/>
        </w:rPr>
        <w:t>）《公园设计规范》（</w:t>
      </w:r>
      <w:r>
        <w:rPr>
          <w:sz w:val="21"/>
        </w:rPr>
        <w:t>CJJ48-92</w:t>
      </w:r>
      <w:r>
        <w:rPr>
          <w:sz w:val="21"/>
        </w:rPr>
        <w:t>）；</w:t>
      </w:r>
    </w:p>
    <w:p>
      <w:pPr>
        <w:pStyle w:val="null3"/>
        <w:ind w:firstLine="420"/>
        <w:jc w:val="left"/>
      </w:pPr>
      <w:r>
        <w:rPr>
          <w:sz w:val="21"/>
        </w:rPr>
        <w:t>（</w:t>
      </w:r>
      <w:r>
        <w:rPr>
          <w:sz w:val="21"/>
        </w:rPr>
        <w:t>7</w:t>
      </w:r>
      <w:r>
        <w:rPr>
          <w:sz w:val="21"/>
        </w:rPr>
        <w:t>）《森林防火工程技术标准》（</w:t>
      </w:r>
      <w:r>
        <w:rPr>
          <w:sz w:val="21"/>
        </w:rPr>
        <w:t>LYJ127-91</w:t>
      </w:r>
      <w:r>
        <w:rPr>
          <w:sz w:val="21"/>
        </w:rPr>
        <w:t>）。</w:t>
      </w:r>
    </w:p>
    <w:p>
      <w:pPr>
        <w:pStyle w:val="null3"/>
        <w:ind w:firstLine="420"/>
        <w:jc w:val="left"/>
      </w:pPr>
      <w:r>
        <w:rPr>
          <w:sz w:val="21"/>
        </w:rPr>
        <w:t>（三）相关文件</w:t>
      </w:r>
    </w:p>
    <w:p>
      <w:pPr>
        <w:pStyle w:val="null3"/>
        <w:ind w:firstLine="420"/>
        <w:jc w:val="left"/>
      </w:pPr>
      <w:r>
        <w:rPr>
          <w:sz w:val="21"/>
        </w:rPr>
        <w:t>（</w:t>
      </w:r>
      <w:r>
        <w:rPr>
          <w:sz w:val="21"/>
        </w:rPr>
        <w:t>1</w:t>
      </w:r>
      <w:r>
        <w:rPr>
          <w:sz w:val="21"/>
        </w:rPr>
        <w:t>）中共中央办公厅、国务院办公厅《关于建立以国家公园为主体的自然保护地体系的指导意见》（中办发〔</w:t>
      </w:r>
      <w:r>
        <w:rPr>
          <w:sz w:val="21"/>
        </w:rPr>
        <w:t>2019</w:t>
      </w:r>
      <w:r>
        <w:rPr>
          <w:sz w:val="21"/>
        </w:rPr>
        <w:t>〕</w:t>
      </w:r>
      <w:r>
        <w:rPr>
          <w:sz w:val="21"/>
        </w:rPr>
        <w:t>42</w:t>
      </w:r>
      <w:r>
        <w:rPr>
          <w:sz w:val="21"/>
        </w:rPr>
        <w:t>号）；</w:t>
      </w:r>
    </w:p>
    <w:p>
      <w:pPr>
        <w:pStyle w:val="null3"/>
        <w:ind w:firstLine="420"/>
        <w:jc w:val="left"/>
      </w:pPr>
      <w:r>
        <w:rPr>
          <w:sz w:val="21"/>
        </w:rPr>
        <w:t>（</w:t>
      </w:r>
      <w:r>
        <w:rPr>
          <w:sz w:val="21"/>
        </w:rPr>
        <w:t>2</w:t>
      </w:r>
      <w:r>
        <w:rPr>
          <w:sz w:val="21"/>
        </w:rPr>
        <w:t>）中共广东省委办公厅、广东省人民政府办公厅《关于建立以国家公园为主体的自然保护地体系的实施意见》（粤办发〔</w:t>
      </w:r>
      <w:r>
        <w:rPr>
          <w:sz w:val="21"/>
        </w:rPr>
        <w:t>2020</w:t>
      </w:r>
      <w:r>
        <w:rPr>
          <w:sz w:val="21"/>
        </w:rPr>
        <w:t>〕</w:t>
      </w:r>
      <w:r>
        <w:rPr>
          <w:sz w:val="21"/>
        </w:rPr>
        <w:t>42</w:t>
      </w:r>
      <w:r>
        <w:rPr>
          <w:sz w:val="21"/>
        </w:rPr>
        <w:t>号）；</w:t>
      </w:r>
    </w:p>
    <w:p>
      <w:pPr>
        <w:pStyle w:val="null3"/>
        <w:ind w:firstLine="420"/>
        <w:jc w:val="left"/>
      </w:pPr>
      <w:r>
        <w:rPr>
          <w:sz w:val="21"/>
        </w:rPr>
        <w:t>（</w:t>
      </w:r>
      <w:r>
        <w:rPr>
          <w:sz w:val="21"/>
        </w:rPr>
        <w:t>3</w:t>
      </w:r>
      <w:r>
        <w:rPr>
          <w:sz w:val="21"/>
        </w:rPr>
        <w:t>）国家林业和草原局办公室关于印发《自然保护区等自然保护地勘界立标工作规范》的通知（办护字〔</w:t>
      </w:r>
      <w:r>
        <w:rPr>
          <w:sz w:val="21"/>
        </w:rPr>
        <w:t>2019</w:t>
      </w:r>
      <w:r>
        <w:rPr>
          <w:sz w:val="21"/>
        </w:rPr>
        <w:t>〕</w:t>
      </w:r>
      <w:r>
        <w:rPr>
          <w:sz w:val="21"/>
        </w:rPr>
        <w:t>129</w:t>
      </w:r>
      <w:r>
        <w:rPr>
          <w:sz w:val="21"/>
        </w:rPr>
        <w:t>号）；</w:t>
      </w:r>
    </w:p>
    <w:p>
      <w:pPr>
        <w:pStyle w:val="null3"/>
      </w:pPr>
      <w:r>
        <w:rPr/>
        <w:t>采购包1（2022年肇庆市封开县自然保护地整合优化（二期）第二部分）</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合同签订后至2025年全部完成。</w:t>
            </w:r>
          </w:p>
        </w:tc>
      </w:tr>
      <w:tr>
        <w:tc>
          <w:tcPr>
            <w:tcW w:type="dxa" w:w="4153"/>
          </w:tcPr>
          <w:p>
            <w:pPr>
              <w:pStyle w:val="null3"/>
            </w:pPr>
            <w:r>
              <w:rPr/>
              <w:t>标的提供的地点</w:t>
            </w:r>
          </w:p>
        </w:tc>
        <w:tc>
          <w:tcPr>
            <w:tcW w:type="dxa" w:w="4153"/>
          </w:tcPr>
          <w:p>
            <w:pPr>
              <w:pStyle w:val="null3"/>
            </w:pPr>
            <w:r>
              <w:rPr/>
              <w:t>采购内容要求的地点。</w:t>
            </w:r>
          </w:p>
        </w:tc>
      </w:tr>
      <w:tr>
        <w:tc>
          <w:tcPr>
            <w:tcW w:type="dxa" w:w="4153"/>
          </w:tcPr>
          <w:p>
            <w:pPr>
              <w:pStyle w:val="null3"/>
            </w:pPr>
            <w:r>
              <w:rPr/>
              <w:t>付款方式</w:t>
            </w:r>
          </w:p>
        </w:tc>
        <w:tc>
          <w:tcPr>
            <w:tcW w:type="dxa" w:w="4153"/>
          </w:tcPr>
          <w:p>
            <w:pPr>
              <w:pStyle w:val="null3"/>
            </w:pPr>
            <w:r>
              <w:rPr/>
              <w:t>1期：支付比例30%,签订政府采购合同后，支付合同价总价的30%作为项目预付款；</w:t>
            </w:r>
          </w:p>
          <w:p>
            <w:pPr>
              <w:pStyle w:val="null3"/>
            </w:pPr>
            <w:r>
              <w:rPr/>
              <w:t>2期：支付比例50%,完成所有工作并提交成果后，支付合同总价的50%；</w:t>
            </w:r>
          </w:p>
          <w:p>
            <w:pPr>
              <w:pStyle w:val="null3"/>
            </w:pPr>
            <w:r>
              <w:rPr/>
              <w:t>3期：支付比例20%,通过初步验收合格,支付合同总价的20%。</w:t>
            </w:r>
          </w:p>
        </w:tc>
      </w:tr>
      <w:tr>
        <w:tc>
          <w:tcPr>
            <w:tcW w:type="dxa" w:w="4153"/>
          </w:tcPr>
          <w:p>
            <w:pPr>
              <w:pStyle w:val="null3"/>
            </w:pPr>
            <w:r>
              <w:rPr/>
              <w:t>验收要求</w:t>
            </w:r>
          </w:p>
        </w:tc>
        <w:tc>
          <w:tcPr>
            <w:tcW w:type="dxa" w:w="4153"/>
          </w:tcPr>
          <w:p>
            <w:pPr>
              <w:pStyle w:val="null3"/>
            </w:pPr>
            <w:r>
              <w:rPr/>
              <w:t>1期：成交人将成果报告送至采购人要求的地方并派遣有经验有能力的技术人员到现场接受质询、答疑，成交人完成的成果需通过采购人签字确认方为验收合格。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项目成果要求</w:t>
            </w:r>
          </w:p>
        </w:tc>
        <w:tc>
          <w:tcPr>
            <w:tcW w:type="dxa" w:w="2076"/>
          </w:tcPr>
          <w:p>
            <w:pPr>
              <w:pStyle w:val="null3"/>
              <w:jc w:val="left"/>
            </w:pPr>
            <w:r>
              <w:rPr/>
              <w:t>1.肇庆封开利水水库市级森林公园、肇庆封开谠山市级森林公园和肇庆封开黄岗市级森林公园勘界立标、本底调查、总体规划、落地（新建）。 2.项目成果还应提交电子文档（包括报告、图件材料和矢量数据），以上材料分别为6份，并装订成册。</w:t>
            </w:r>
          </w:p>
        </w:tc>
      </w:tr>
      <w:tr>
        <w:tc>
          <w:tcPr>
            <w:tcW w:type="dxa" w:w="2076"/>
          </w:tcPr>
          <w:p/>
        </w:tc>
        <w:tc>
          <w:tcPr>
            <w:tcW w:type="dxa" w:w="2076"/>
          </w:tcPr>
          <w:p>
            <w:pPr>
              <w:pStyle w:val="null3"/>
              <w:jc w:val="center"/>
            </w:pPr>
            <w:r>
              <w:rPr/>
              <w:t>2</w:t>
            </w:r>
          </w:p>
        </w:tc>
        <w:tc>
          <w:tcPr>
            <w:tcW w:type="dxa" w:w="2076"/>
          </w:tcPr>
          <w:p>
            <w:pPr>
              <w:pStyle w:val="null3"/>
              <w:jc w:val="left"/>
            </w:pPr>
            <w:r>
              <w:rPr/>
              <w:t>双方责任</w:t>
            </w:r>
          </w:p>
        </w:tc>
        <w:tc>
          <w:tcPr>
            <w:tcW w:type="dxa" w:w="2076"/>
          </w:tcPr>
          <w:p>
            <w:pPr>
              <w:pStyle w:val="null3"/>
              <w:jc w:val="left"/>
            </w:pPr>
            <w:r>
              <w:rPr/>
              <w:t>1.采购方责任①必须按合同规定及时支付费用；②应尽可能为供应方派驻现场的工作人员提供工作上的协助。（由此产生的一切费用采购方概不负责）。2.供应方责任①供应方应独立完成本合同项下的工作，不得以转委托或其他任何方式交由任何第三方履行；②供应方应保障外业调查的合法、安全，由于供应方外业调查引起的破坏动植物情况或引发第三方损害的，由乙方承担全部责任；供应方应按国家规定和合同约定的技术规范、标准进行，按本合同规定的内容、时间及份数向采购方交付成果文件。并对提交的成果文件的质量负责，供应方应保证所提交的项目报告中涉及的资料、数据、图片的真实性和正确性，不存在侵犯他人知识产权的问题，如由此引起纠纷，采购方不承担任何责任；③由于供应方原因，延误了成果文件交付时间，每延误一天，应减收该项目应收合同总额的千分之一，双方同意可由采购方在支付费用时予以扣除；④供应方交付成果文件后，应按规定接受采购方组织的评审，并应根据采购方要求及时支付专家费以及评审产生的其他费用，以保证评审会及时有效开展。供应方根据评审意见在本合同规定时间内予以修改；⑤供应方不能交付成果报告的，应向采购方退还已收款项并偿付合同金额30％的违约金；⑥供应方完成本项目所需的设施、仪器、工具、材料，由供应方自备，采购方尽可能提供便利。</w:t>
            </w:r>
          </w:p>
        </w:tc>
      </w:tr>
      <w:tr>
        <w:tc>
          <w:tcPr>
            <w:tcW w:type="dxa" w:w="2076"/>
          </w:tcPr>
          <w:p/>
        </w:tc>
        <w:tc>
          <w:tcPr>
            <w:tcW w:type="dxa" w:w="2076"/>
          </w:tcPr>
          <w:p>
            <w:pPr>
              <w:pStyle w:val="null3"/>
              <w:jc w:val="center"/>
            </w:pPr>
            <w:r>
              <w:rPr/>
              <w:t>3</w:t>
            </w:r>
          </w:p>
        </w:tc>
        <w:tc>
          <w:tcPr>
            <w:tcW w:type="dxa" w:w="2076"/>
          </w:tcPr>
          <w:p>
            <w:pPr>
              <w:pStyle w:val="null3"/>
              <w:jc w:val="left"/>
            </w:pPr>
            <w:r>
              <w:rPr/>
              <w:t>知识产权约定</w:t>
            </w:r>
          </w:p>
        </w:tc>
        <w:tc>
          <w:tcPr>
            <w:tcW w:type="dxa" w:w="2076"/>
          </w:tcPr>
          <w:p>
            <w:pPr>
              <w:pStyle w:val="null3"/>
              <w:jc w:val="left"/>
            </w:pPr>
            <w:r>
              <w:rPr/>
              <w:t>本合同项下的项目成果及其著作权归采购方所有（供应方参加编写人员可享有署名权）。未经采购方同意，供应方不得对外公布和发表。供应方基于科研、教学目的可使用该项目成果，但不得用作商业用途，否则，采购方将依法追究供应方的法律责任。</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项目编制完成后，成交供应商须提供为期1年的售后服务，重点提供规划技术咨询服务。2.所有为完成本项目所需的必要服务全部免费，若成交供应商提供更优质的服务，则按成交供应商的标准执行。成交供应商须承诺服务质量和服务期限不低于采购文件的要求。所有服务均由成交供应商指派专业人员上门提供，提供定期上门技术服务，24小时不间断技术支持，由此产生的一切费用均由成交供应商承担，成交供应商有责任为采购人提供高标准的服务和技术支持。3.在服务期内，成交供应商在接到采购人通知后应在4小时内响应，24小时内到达指定地点，48小时提供解决方案。如成交供应商超出规定时间三次以上，采购人有权按比例（或全部）扣除合同期内未支付的合同金额。4.若成交供应商不能按时间要求完成本项目服务，或提交的成果资料不满足采购人要求的，在采购人要求整改后还是无法达到采购文件要求，采购人有权终止合同，由此产生的一切后果由成交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2022年肇庆市封开县自然保护地整合优化（二期）第二部分</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4,850,000.00</w:t>
            </w:r>
          </w:p>
        </w:tc>
        <w:tc>
          <w:tcPr>
            <w:tcW w:type="dxa" w:w="933"/>
          </w:tcPr>
          <w:p>
            <w:pPr>
              <w:pStyle w:val="null3"/>
              <w:jc w:val="right"/>
            </w:pPr>
            <w:r>
              <w:rPr/>
              <w:t>4,850,000.00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2022年肇庆市封开县自然保护地整合优化（二期）第二部分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自然保护地整合优化调整工作：衔接整合优化预案成果，完成封开县内各自然保护地整合优化落地工作，根据合并、调整或者新建等不同类型开展相应落地工作。</w:t>
            </w:r>
          </w:p>
          <w:p>
            <w:pPr>
              <w:pStyle w:val="null3"/>
              <w:jc w:val="left"/>
            </w:pPr>
            <w:r>
              <w:rPr>
                <w:sz w:val="21"/>
              </w:rPr>
              <w:t>2.</w:t>
            </w:r>
            <w:r>
              <w:rPr>
                <w:sz w:val="21"/>
              </w:rPr>
              <w:t>矢量化勘界：根据《国家林业和草原局办公室关于印发</w:t>
            </w:r>
            <w:r>
              <w:rPr>
                <w:sz w:val="21"/>
              </w:rPr>
              <w:t>&lt;</w:t>
            </w:r>
            <w:r>
              <w:rPr>
                <w:sz w:val="21"/>
              </w:rPr>
              <w:t>自然保护区等自然保护地勘界立标工作规范</w:t>
            </w:r>
            <w:r>
              <w:rPr>
                <w:sz w:val="21"/>
              </w:rPr>
              <w:t>&gt;</w:t>
            </w:r>
            <w:r>
              <w:rPr>
                <w:sz w:val="21"/>
              </w:rPr>
              <w:t>的通知》（办护字〔</w:t>
            </w:r>
            <w:r>
              <w:rPr>
                <w:sz w:val="21"/>
              </w:rPr>
              <w:t>2019</w:t>
            </w:r>
            <w:r>
              <w:rPr>
                <w:sz w:val="21"/>
              </w:rPr>
              <w:t>〕</w:t>
            </w:r>
            <w:r>
              <w:rPr>
                <w:sz w:val="21"/>
              </w:rPr>
              <w:t>129</w:t>
            </w:r>
            <w:r>
              <w:rPr>
                <w:sz w:val="21"/>
              </w:rPr>
              <w:t>号）的相关要求，对各自然保护地开展矢量化勘界，准确测量保护地边界线，为实现自然保护地精细化管理做好基础工作。做好自然保护地勘界是依法依规开展保护管理的最基础性工作，有助于推动自然保护地规范化建设和精细化管理，确保自然保护地执法监督有据可依。</w:t>
            </w:r>
          </w:p>
          <w:p>
            <w:pPr>
              <w:pStyle w:val="null3"/>
              <w:jc w:val="left"/>
            </w:pPr>
            <w:r>
              <w:rPr>
                <w:sz w:val="21"/>
              </w:rPr>
              <w:t>3.</w:t>
            </w:r>
            <w:r>
              <w:rPr>
                <w:sz w:val="21"/>
              </w:rPr>
              <w:t>本底资源调查：根据自然保护地特点，开展包含植物学、动物学、生态学、地质学、水文学等相关学科的调查，资源调查结束后，对保护地资源情况进行总结分析，并附上相关调查图片及成果图。</w:t>
            </w:r>
          </w:p>
          <w:p>
            <w:pPr>
              <w:pStyle w:val="null3"/>
              <w:jc w:val="both"/>
            </w:pPr>
            <w:r>
              <w:rPr>
                <w:sz w:val="21"/>
              </w:rPr>
              <w:t>4.</w:t>
            </w:r>
            <w:r>
              <w:rPr>
                <w:sz w:val="21"/>
              </w:rPr>
              <w:t>总体规划：以自然保护地建设规划的发展趋势和设计理念为先导，紧扣自然、地理、景观特征优势，提出保护地建设发展的规划理念、总体目标、总体布局，将风景资源的可持续发展利用与保护及旅游者的游憩体验的双重目标统一起来，实现自然资源及其生态环境的恢复和保护。在不破坏自然生态正常运作循环的体系下，发展民众所需要的活动空间及游憩娱乐设施，满足居民日益增长的游憩休闲需求，体现科学的发展观和</w:t>
            </w:r>
            <w:r>
              <w:rPr>
                <w:sz w:val="21"/>
              </w:rPr>
              <w:t>“</w:t>
            </w:r>
            <w:r>
              <w:rPr>
                <w:sz w:val="21"/>
              </w:rPr>
              <w:t>生态、自然、人本</w:t>
            </w:r>
            <w:r>
              <w:rPr>
                <w:sz w:val="21"/>
              </w:rPr>
              <w:t>”</w:t>
            </w:r>
            <w:r>
              <w:rPr>
                <w:sz w:val="21"/>
              </w:rPr>
              <w:t>的理念。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封开县林业局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采购机构代理服务收费标准：中标总金额在100万以下的，代理服务费按成交总金额的1.50%计算；100万到500万的，按0.80%计算；代理服务费按差额定率累进法计算。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；请各投标人在投标文件递交截止时间前按须知前附表规定的金额递交至</w:t>
      </w:r>
      <w:r>
        <w:rPr/>
        <w:t>广东肇宏项目管理有限公司</w:t>
      </w:r>
      <w:r>
        <w:rPr/>
        <w:t>，到账情况以开标时</w:t>
      </w:r>
      <w:r>
        <w:rPr/>
        <w:t>广东肇宏项目管理有限公司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广东肇宏项目管理有限公司网（http://www.gdzhgl.com）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广东肇宏项目管理有限公司网（http://www.gdzhgl.com）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广东省肇庆市端州区端州一路112号中国端砚展览馆附楼第二层201室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(2022年肇庆市封开县自然保护地整合优化（二期）第二部分)：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广东肇宏项目管理有限公司</w:t>
      </w:r>
      <w:r>
        <w:rPr/>
        <w:t>统一对外发布。</w:t>
      </w:r>
    </w:p>
    <w:p>
      <w:pPr>
        <w:pStyle w:val="null3"/>
        <w:ind w:firstLine="480"/>
      </w:pPr>
      <w:r>
        <w:rPr/>
        <w:t>（2）对</w:t>
      </w:r>
      <w:r>
        <w:rPr/>
        <w:t>广东肇宏项目管理有限公司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采购包1（2022年肇庆市封开县自然保护地整合优化（二期）第二部分）：</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采购包1（2022年肇庆市封开县自然保护地整合优化（二期）第二部分）：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供应商提供以下其中一项有效材料即可：1、针对该项作出承诺，并加盖公章（格式可参照《附件1.资格条件承诺函》）；2、提供2022年度财务状况报告或基本开户行出具的资信证明。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投标人必须具备有效期内林业调查规划设计单位的乙级及以上资质证书。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采购包1（2022年肇庆市封开县自然保护地整合优化（二期）第二部分）：</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投标报价必须是固定的，且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投标人投标报价没有超出最高限价</w:t>
            </w:r>
          </w:p>
        </w:tc>
        <w:tc>
          <w:tcPr>
            <w:tcW w:type="dxa" w:w="4238"/>
          </w:tcPr>
          <w:p>
            <w:pPr>
              <w:pStyle w:val="null3"/>
            </w:pPr>
            <w:r>
              <w:rPr/>
              <w:t>投标人投标报价没有超出最高限价。</w:t>
            </w:r>
          </w:p>
        </w:tc>
      </w:tr>
      <w:tr>
        <w:tc>
          <w:tcPr>
            <w:tcW w:type="dxa" w:w="890"/>
          </w:tcPr>
          <w:p>
            <w:pPr>
              <w:pStyle w:val="null3"/>
            </w:pPr>
            <w:r>
              <w:rPr/>
              <w:t>5</w:t>
            </w:r>
          </w:p>
        </w:tc>
        <w:tc>
          <w:tcPr>
            <w:tcW w:type="dxa" w:w="3178"/>
          </w:tcPr>
          <w:p>
            <w:pPr>
              <w:pStyle w:val="null3"/>
            </w:pPr>
            <w:r>
              <w:rPr/>
              <w:t>合同履行期限满足招标文件要求</w:t>
            </w:r>
          </w:p>
        </w:tc>
        <w:tc>
          <w:tcPr>
            <w:tcW w:type="dxa" w:w="4238"/>
          </w:tcPr>
          <w:p>
            <w:pPr>
              <w:pStyle w:val="null3"/>
            </w:pPr>
            <w:r>
              <w:rPr/>
              <w:t>合同签订后至2025年全部完成。</w:t>
            </w:r>
          </w:p>
        </w:tc>
      </w:tr>
      <w:tr>
        <w:tc>
          <w:tcPr>
            <w:tcW w:type="dxa" w:w="890"/>
          </w:tcPr>
          <w:p>
            <w:pPr>
              <w:pStyle w:val="null3"/>
            </w:pPr>
            <w:r>
              <w:rPr/>
              <w:t>6</w:t>
            </w:r>
          </w:p>
        </w:tc>
        <w:tc>
          <w:tcPr>
            <w:tcW w:type="dxa" w:w="3178"/>
          </w:tcPr>
          <w:p>
            <w:pPr>
              <w:pStyle w:val="null3"/>
            </w:pPr>
            <w:r>
              <w:rPr/>
              <w:t>满足招标文件带“★”号条款</w:t>
            </w:r>
          </w:p>
        </w:tc>
        <w:tc>
          <w:tcPr>
            <w:tcW w:type="dxa" w:w="4238"/>
          </w:tcPr>
          <w:p>
            <w:pPr>
              <w:pStyle w:val="null3"/>
            </w:pPr>
            <w:r>
              <w:rPr/>
              <w:t>满足招标文件带“★”号条款。</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采购包1(2022年肇庆市封开县自然保护地整合优化（二期）第二部分):</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项目了解程度 (10.0分)</w:t>
            </w:r>
            <w:r>
              <w:rPr/>
              <w:t>，（等次分值选择：</w:t>
            </w:r>
            <w:r>
              <w:rPr/>
              <w:t>0.0;</w:t>
            </w:r>
            <w:r>
              <w:rPr/>
              <w:t>2.0;</w:t>
            </w:r>
            <w:r>
              <w:rPr/>
              <w:t>6.0;</w:t>
            </w:r>
            <w:r>
              <w:rPr/>
              <w:t>10.0;</w:t>
            </w:r>
            <w:r>
              <w:rPr/>
              <w:t>）</w:t>
            </w:r>
          </w:p>
        </w:tc>
        <w:tc>
          <w:tcPr>
            <w:tcW w:type="dxa" w:w="5076"/>
          </w:tcPr>
          <w:p>
            <w:pPr>
              <w:pStyle w:val="null3"/>
              <w:jc w:val="left"/>
            </w:pPr>
            <w:r>
              <w:rPr/>
              <w:t>根据投标人对项目背景情况了解和熟悉程度进行综合评审： （1）对项目背景、内容、范围及要求十分熟悉、理解准确到位，对现状问题分析全面、详实，制定的方案完全贴合本项目需求，具备针对性、实施性和有效性，得10分； （2）对项目背景、内容、范围及要求理解一般、对现状问题分析片面，制定的方案基本贴合本项目需求，具备一定针对性、实施性和有效性，得6分； （3）对项目背景、内容、范围及要求理解不到位、对现状问题分析缺乏，制定的方案阐述模糊，针对性和实施性差的，得2分； （4）不提供方案不得分。</w:t>
            </w:r>
          </w:p>
        </w:tc>
      </w:tr>
      <w:tr>
        <w:tc>
          <w:tcPr>
            <w:tcW w:type="dxa" w:w="922"/>
            <w:gridSpan w:val="2"/>
            <w:vMerge/>
          </w:tcPr>
          <w:p/>
        </w:tc>
        <w:tc>
          <w:tcPr>
            <w:tcW w:type="dxa" w:w="2307"/>
          </w:tcPr>
          <w:p>
            <w:pPr>
              <w:pStyle w:val="null3"/>
              <w:jc w:val="left"/>
            </w:pPr>
            <w:r>
              <w:rPr/>
              <w:t>专业技术方案 (15.0分)</w:t>
            </w:r>
            <w:r>
              <w:rPr/>
              <w:t>，（等次分值选择：</w:t>
            </w:r>
            <w:r>
              <w:rPr/>
              <w:t>0.0;</w:t>
            </w:r>
            <w:r>
              <w:rPr/>
              <w:t>5.0;</w:t>
            </w:r>
            <w:r>
              <w:rPr/>
              <w:t>10.0;</w:t>
            </w:r>
            <w:r>
              <w:rPr/>
              <w:t>15.0;</w:t>
            </w:r>
            <w:r>
              <w:rPr/>
              <w:t>）</w:t>
            </w:r>
          </w:p>
        </w:tc>
        <w:tc>
          <w:tcPr>
            <w:tcW w:type="dxa" w:w="5076"/>
          </w:tcPr>
          <w:p>
            <w:pPr>
              <w:pStyle w:val="null3"/>
              <w:jc w:val="left"/>
            </w:pPr>
            <w:r>
              <w:rPr/>
              <w:t>根据投标人针对本项目制定的规划设计和专业技术方案进行评审：（1）对本项目提出的规划设计和专业技术方案编制思路清晰，能制定完整技术路线且有强的逻辑性、有层次，完全满足或优于项目需求的，得15分； （2）对本项目提出的规划设计和专业技术方案编制思路较为清晰，制定的技术路线基本对每个技术路线均有解析或说明，或者说明有较小的内容缺失，但该缺失不影响项目的实施质量，大部分满足项目要求，得10分； （3）对本项目提出的规划设计和专业技术方案编制思路差，技术路线的掌握一般，或有部分内容缺失，不能完全满足项目需求的，得5分；（4）不提供方案不得分。</w:t>
            </w:r>
          </w:p>
        </w:tc>
      </w:tr>
      <w:tr>
        <w:tc>
          <w:tcPr>
            <w:tcW w:type="dxa" w:w="922"/>
            <w:gridSpan w:val="2"/>
            <w:vMerge/>
          </w:tcPr>
          <w:p/>
        </w:tc>
        <w:tc>
          <w:tcPr>
            <w:tcW w:type="dxa" w:w="2307"/>
          </w:tcPr>
          <w:p>
            <w:pPr>
              <w:pStyle w:val="null3"/>
              <w:jc w:val="left"/>
            </w:pPr>
            <w:r>
              <w:rPr/>
              <w:t>组织进度计划安排及控制措施 (10.0分)</w:t>
            </w:r>
            <w:r>
              <w:rPr/>
              <w:t>，（等次分值选择：</w:t>
            </w:r>
            <w:r>
              <w:rPr/>
              <w:t>0.0;</w:t>
            </w:r>
            <w:r>
              <w:rPr/>
              <w:t>2.0;</w:t>
            </w:r>
            <w:r>
              <w:rPr/>
              <w:t>6.0;</w:t>
            </w:r>
            <w:r>
              <w:rPr/>
              <w:t>10.0;</w:t>
            </w:r>
            <w:r>
              <w:rPr/>
              <w:t>）</w:t>
            </w:r>
          </w:p>
        </w:tc>
        <w:tc>
          <w:tcPr>
            <w:tcW w:type="dxa" w:w="5076"/>
          </w:tcPr>
          <w:p>
            <w:pPr>
              <w:pStyle w:val="null3"/>
              <w:jc w:val="left"/>
            </w:pPr>
            <w:r>
              <w:rPr/>
              <w:t>根据投标人服务的进度计划安排及控制措施方案进行评分：（1）项目进度计划与控制措施详细且计划周密，进度安排合理满足本项目需要，各项措施周全、有针对性、有利于本项目实施的得10分； （2）项目进度计划与控制措施详细、进度安排比较合理，具备一定参考性、能推动本项目实施的得6分；（3）项目进度计划与措施不具体、不齐全，进度安排不太合理，部分内容满足项目实施的得2分； （4）不提供方案不得分。</w:t>
            </w:r>
          </w:p>
        </w:tc>
      </w:tr>
      <w:tr>
        <w:tc>
          <w:tcPr>
            <w:tcW w:type="dxa" w:w="922"/>
            <w:gridSpan w:val="2"/>
            <w:vMerge/>
          </w:tcPr>
          <w:p/>
        </w:tc>
        <w:tc>
          <w:tcPr>
            <w:tcW w:type="dxa" w:w="2307"/>
          </w:tcPr>
          <w:p>
            <w:pPr>
              <w:pStyle w:val="null3"/>
              <w:jc w:val="left"/>
            </w:pPr>
            <w:r>
              <w:rPr/>
              <w:t>质量管理方案和质量保证措施 (10.0分)</w:t>
            </w:r>
            <w:r>
              <w:rPr/>
              <w:t>，（等次分值选择：</w:t>
            </w:r>
            <w:r>
              <w:rPr/>
              <w:t>0.0;</w:t>
            </w:r>
            <w:r>
              <w:rPr/>
              <w:t>2.0;</w:t>
            </w:r>
            <w:r>
              <w:rPr/>
              <w:t>6.0;</w:t>
            </w:r>
            <w:r>
              <w:rPr/>
              <w:t>10.0;</w:t>
            </w:r>
            <w:r>
              <w:rPr/>
              <w:t>）</w:t>
            </w:r>
          </w:p>
        </w:tc>
        <w:tc>
          <w:tcPr>
            <w:tcW w:type="dxa" w:w="5076"/>
          </w:tcPr>
          <w:p>
            <w:pPr>
              <w:pStyle w:val="null3"/>
              <w:jc w:val="left"/>
            </w:pPr>
            <w:r>
              <w:rPr/>
              <w:t>根据投标人针对本项目的质量管理方案和质量保证措施进行评审： （1）提供的质量管理方案和质量保证措施贴合本项目实际情况，有效地保障项目质量，且全面性广、针对性强、可行性高，完全满足项目需求的得10分； （2）提供的质量管理方案和质量保证措施符合本项目实际情况，基本能保障项目质量，较全面、针对性较强、可行性较高，大部分满足项目需求的，得6分； （3）提供的质量管理方案和质量保证措施存在欠缺之处，难以保障项目质量，不全面、有针对性、有可行性，但不能满足项目需求，得2分； （4）不提供方案不得分。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2.0;</w:t>
            </w:r>
            <w:r>
              <w:rPr/>
              <w:t>6.0;</w:t>
            </w:r>
            <w:r>
              <w:rPr/>
              <w:t>10.0;</w:t>
            </w:r>
            <w:r>
              <w:rPr/>
              <w:t>）</w:t>
            </w:r>
          </w:p>
        </w:tc>
        <w:tc>
          <w:tcPr>
            <w:tcW w:type="dxa" w:w="5076"/>
          </w:tcPr>
          <w:p>
            <w:pPr>
              <w:pStyle w:val="null3"/>
              <w:jc w:val="left"/>
            </w:pPr>
            <w:r>
              <w:rPr/>
              <w:t>根据各投标人提供的售后服务方案及服务承诺进行评审： （1）售后服务方案优于采购文件要求，对售后服务、质量保障表述清晰，方案的可行性、完整性以及响应机制等全面、具体，具有专门的技术咨询人员、联系方式清晰，提供多种技术咨询方式，得10分。（2）售后服务方案完全满足采购文件要求，对售后服务、质量保障有较详细，方案的可行性、完整性以及响应机制等大部分能满足项目要求，具有专门的技术咨询人员提供技术咨询，得6分。 （3）售后服务方案基本满足采购文件要求，对售后服务、质量保障有承诺，方案的可行性、完整性以及响应机制等一般，未指定专门的技术咨询人员提供技术咨询，得2分。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企业管理体系 (3.0分)</w:t>
            </w:r>
            <w:r>
              <w:rPr/>
              <w:t>，（等次分值选择：</w:t>
            </w:r>
            <w:r>
              <w:rPr/>
              <w:t>0.0;</w:t>
            </w:r>
            <w:r>
              <w:rPr/>
              <w:t>1.0;</w:t>
            </w:r>
            <w:r>
              <w:rPr/>
              <w:t>2.0;</w:t>
            </w:r>
            <w:r>
              <w:rPr/>
              <w:t>3.0;</w:t>
            </w:r>
            <w:r>
              <w:rPr/>
              <w:t>）</w:t>
            </w:r>
          </w:p>
        </w:tc>
        <w:tc>
          <w:tcPr>
            <w:tcW w:type="dxa" w:w="5076"/>
          </w:tcPr>
          <w:p>
            <w:pPr>
              <w:pStyle w:val="null3"/>
              <w:jc w:val="left"/>
            </w:pPr>
            <w:r>
              <w:rPr/>
              <w:t>投标人具备有效的质量管理体系认证、职业健康安全管理体系认证、环境管理体系认证，每提供一项证书得1分，最高的3分。注：须提供全国认证认可信息公共服务平台网（http://cx.cnca.cn/CertECloud/）的查询截图，并加盖投标人公章。不提供不得分。</w:t>
            </w:r>
          </w:p>
        </w:tc>
      </w:tr>
      <w:tr>
        <w:tc>
          <w:tcPr>
            <w:tcW w:type="dxa" w:w="922"/>
            <w:gridSpan w:val="2"/>
            <w:vMerge/>
          </w:tcPr>
          <w:p/>
        </w:tc>
        <w:tc>
          <w:tcPr>
            <w:tcW w:type="dxa" w:w="2307"/>
          </w:tcPr>
          <w:p>
            <w:pPr>
              <w:pStyle w:val="null3"/>
              <w:jc w:val="left"/>
            </w:pPr>
            <w:r>
              <w:rPr/>
              <w:t>同类业绩 (10.0分)</w:t>
            </w:r>
            <w:r>
              <w:rPr/>
              <w:t>，（等次分值选择：</w:t>
            </w:r>
            <w:r>
              <w:rPr/>
              <w:t>0.0;</w:t>
            </w:r>
            <w:r>
              <w:rPr/>
              <w:t>2.0;</w:t>
            </w:r>
            <w:r>
              <w:rPr/>
              <w:t>4.0;</w:t>
            </w:r>
            <w:r>
              <w:rPr/>
              <w:t>6.0;</w:t>
            </w:r>
            <w:r>
              <w:rPr/>
              <w:t>8.0;</w:t>
            </w:r>
            <w:r>
              <w:rPr/>
              <w:t>10.0;</w:t>
            </w:r>
            <w:r>
              <w:rPr/>
              <w:t>）</w:t>
            </w:r>
          </w:p>
        </w:tc>
        <w:tc>
          <w:tcPr>
            <w:tcW w:type="dxa" w:w="5076"/>
          </w:tcPr>
          <w:p>
            <w:pPr>
              <w:pStyle w:val="null3"/>
              <w:jc w:val="left"/>
            </w:pPr>
            <w:r>
              <w:rPr/>
              <w:t>投标人2020年1月1日至今同类业绩，每提供一份得2分，本项最高得10分。注：投标文件中提供上述相关业绩合同复印件并加盖投标人公章，不提供不得分。</w:t>
            </w:r>
          </w:p>
        </w:tc>
      </w:tr>
      <w:tr>
        <w:tc>
          <w:tcPr>
            <w:tcW w:type="dxa" w:w="922"/>
            <w:gridSpan w:val="2"/>
            <w:vMerge/>
          </w:tcPr>
          <w:p/>
        </w:tc>
        <w:tc>
          <w:tcPr>
            <w:tcW w:type="dxa" w:w="2307"/>
          </w:tcPr>
          <w:p>
            <w:pPr>
              <w:pStyle w:val="null3"/>
              <w:jc w:val="left"/>
            </w:pPr>
            <w:r>
              <w:rPr/>
              <w:t>项目团队 (17.0分)</w:t>
            </w:r>
          </w:p>
        </w:tc>
        <w:tc>
          <w:tcPr>
            <w:tcW w:type="dxa" w:w="5076"/>
          </w:tcPr>
          <w:p>
            <w:pPr>
              <w:pStyle w:val="null3"/>
              <w:jc w:val="left"/>
            </w:pPr>
            <w:r>
              <w:rPr/>
              <w:t>（1）项目负责人：项目负责人具有林业及相关专业副高或以上职称的，得4分；具有林业及相关专业中级职称的，得2.5分；具有林业及相关专业助理职称的，得1分；本小项最高得4分。（2）技术负责人：技术负责人具有林业及相关专业副高或以上职称的，得3分；具有林业及相关专业中级职称的，得2分；具有林业及相关专业助理职称的，得1分；本小项最高得3分。（3）团队成员：具有林业及相关专业副高或以上职称的，得2分；具有林业及相关专业中级职称的，得1分；具有林业及相关专业助理职称的，得0.5分；本小项最高得10分。注：上述人员实行一人一证书，不可重复得分。须同时提供：①职称证书扫描件或复印件；②投标供应商为其缴纳的近3个月中任意一个月的社保证明材料复印件并加盖公章，不提供不得分。【如依法不需要缴纳社会保险的，应提供相应文件证明其依法不需要缴纳社会保障资金；如聘请离退人员无法购买社保的，则须提供退休证明、聘书（或劳动合同）作为评审依据，不提供或提供不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jc w:val="both"/>
      </w:pPr>
      <w:r>
        <w:rPr>
          <w:sz w:val="27"/>
          <w:color w:val="222222"/>
        </w:rPr>
        <w:t xml:space="preserve">      1期：支付比例30%,签订政府采购合同后，支付合同价总价的30%作为项目预付款；</w:t>
      </w:r>
    </w:p>
    <w:p>
      <w:pPr>
        <w:pStyle w:val="null3"/>
      </w:pPr>
      <w:r>
        <w:rPr>
          <w:sz w:val="27"/>
          <w:color w:val="222222"/>
        </w:rPr>
        <w:t xml:space="preserve">      2期：支付比例50%,完成所有工作并提交成果后，支付合同总价的50%；</w:t>
      </w:r>
    </w:p>
    <w:p>
      <w:pPr>
        <w:pStyle w:val="null3"/>
      </w:pPr>
      <w:r>
        <w:rPr>
          <w:sz w:val="27"/>
          <w:color w:val="222222"/>
        </w:rPr>
        <w:t xml:space="preserve">      3期：支付比例20%,通过初步验收合格,支付合同总价的20%。</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441225-2024-00551</w:t>
      </w:r>
    </w:p>
    <w:p>
      <w:pPr>
        <w:pStyle w:val="null3"/>
        <w:jc w:val="center"/>
        <w:outlineLvl w:val="3"/>
      </w:pPr>
      <w:r>
        <w:rPr>
          <w:sz w:val="24"/>
          <w:b/>
        </w:rPr>
        <w:t>采购项目编号：</w:t>
      </w:r>
      <w:r>
        <w:rPr>
          <w:sz w:val="24"/>
          <w:b/>
        </w:rPr>
        <w:t>ZH采2023-003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广东肇宏项目管理有限公司</w:t>
      </w:r>
    </w:p>
    <w:p>
      <w:pPr>
        <w:pStyle w:val="null3"/>
        <w:ind w:firstLine="480"/>
      </w:pPr>
      <w:r>
        <w:rPr/>
        <w:t xml:space="preserve"> 你方组织的</w:t>
      </w:r>
      <w:r>
        <w:rPr>
          <w:u w:val="single"/>
        </w:rPr>
        <w:t>“</w:t>
      </w:r>
      <w:r>
        <w:rPr>
          <w:u w:val="single"/>
        </w:rPr>
        <w:t>2022年肇庆市封开县自然保护地整合优化（二期）第二部分</w:t>
      </w:r>
      <w:r>
        <w:rPr>
          <w:u w:val="single"/>
        </w:rPr>
        <w:t>”</w:t>
      </w:r>
      <w:r>
        <w:rPr/>
        <w:t>项目的招标[采购项目编号为：</w:t>
      </w:r>
      <w:r>
        <w:rPr>
          <w:u w:val="single"/>
        </w:rPr>
        <w:t>ZH采2023-003</w:t>
      </w:r>
      <w:r>
        <w:rPr/>
        <w:t>]，我方愿参与投标。</w:t>
      </w:r>
    </w:p>
    <w:p>
      <w:pPr>
        <w:pStyle w:val="null3"/>
        <w:ind w:firstLine="480"/>
      </w:pPr>
      <w:r>
        <w:rPr/>
        <w:t>我方确认收到贵方提供的</w:t>
      </w:r>
      <w:r>
        <w:rPr>
          <w:u w:val="single"/>
        </w:rPr>
        <w:t>“</w:t>
      </w:r>
      <w:r>
        <w:rPr>
          <w:u w:val="single"/>
        </w:rPr>
        <w:t>2022年肇庆市封开县自然保护地整合优化（二期）第二部分</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2022年肇庆市封开县自然保护地整合优化（二期）第二部分</w:t>
      </w:r>
      <w:r>
        <w:rPr/>
        <w:t>”项目采购[采购项目编号为</w:t>
      </w:r>
      <w:r>
        <w:rPr/>
        <w:t>ZH采2023-003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广东肇宏项目管理有限公司</w:t>
      </w:r>
    </w:p>
    <w:p>
      <w:pPr>
        <w:pStyle w:val="null3"/>
        <w:ind w:firstLine="480"/>
      </w:pPr>
      <w:r>
        <w:rPr/>
        <w:t xml:space="preserve"> 如果我方在贵采购代理机构组织的</w:t>
      </w:r>
      <w:r>
        <w:rPr/>
        <w:t>2022年肇庆市封开县自然保护地整合优化（二期）第二部分</w:t>
      </w:r>
      <w:r>
        <w:rPr/>
        <w:t>招标中获中标（采购项目编号：</w:t>
      </w:r>
      <w:r>
        <w:rPr/>
        <w:t>ZH采2023-003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广东肇宏项目管理有限公司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2022年肇庆市封开县自然保护地整合优化（二期）第二部分</w:t>
      </w:r>
      <w:r>
        <w:rPr/>
        <w:t>”项目（采购项目编号：</w:t>
      </w:r>
      <w:r>
        <w:rPr/>
        <w:t>ZH采2023-003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