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_GBK" w:hAnsi="方正小标宋_GBK" w:eastAsia="方正小标宋_GBK" w:cs="方正小标宋_GBK"/>
          <w:b w:val="0"/>
          <w:sz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sz w:val="44"/>
          <w:lang w:val="en-US" w:eastAsia="zh-CN"/>
        </w:rPr>
        <w:t>水域救援类装备技术参数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指挥部帐篷（60m2）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1.帐篷占地面积≥60 m，帐篷主体与骨架为一体化，两侧墙及两山墙分别开有窗户，整体帐篷通过拉绳连接，三角桩固定配有地布;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2.架设时间:&lt;15min/8 人，撤收时间:&lt;15min/8 人可完成帐篷支架采用铝合金材质，双层篷布，外篷布材质涂层涤纶长丝牛津布≥220D，内篷布材质白色涂层涤纶牛津布&gt;150D，地布材质为双面涂覆聚氯乙烯防水布(符合BB/T0037-2012中 4.4B 类规定)，帐篷门&gt;2，窗户&gt;6(防蚊纱网窗)，防风拉环采用金属材质且配有对应数量地钉;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3.面料断裂强度:经向&gt;1600N，纬向&gt;1350N:撕破力:经向&gt;40N，纬向&gt;35N:阻燃性能:≤15s;损毁长度≤150mm; 产品质量&lt;300KG，收整体积&lt;2㎡ x2; 淋雨强度&gt;16mm/h,持续淋雨3h以上篷内表面无渗漏水现象: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 xml:space="preserve">4.抗风等级:&gt;8 级:; 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5.适应温度:-35℃-45℃; 雪载&gt;10cm，无明显变形: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6.外篷颜色支持定制，支持按要求喷涂有关标识字体; 具有永久性标志及产品数据标识。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指挥部帐篷（40m2）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 xml:space="preserve">1.结构材质：铁架式帐篷，面料为加厚牛津布,防雨、防潮、挡风、遮阳。 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 xml:space="preserve">2.尺寸（长*宽*顶高*边高）：≥8m*5m*3m*1.5m，使用面积≥40m2； 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3.帐篷样式：帐篷为长方形双披面直立墙建筑样式，两侧墙各开方形窗户3-5个（窗带防蚊纱窗）整体帐篷通过拉绳拉起，用三角柱加固。篷架为插接式框架结构，柱底四周全部设有落地横杆；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4.整体篷架采用铝合金管材质；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5.颜色：上半部为红色（色号：PANTONE 186C C:0 M:100 Y:100 K:0），下半部为蓝色（色号：FIRE BLUE C:100 M:100 Y:50 K:0),红色占5/8，蓝色占3/8；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 xml:space="preserve">6.地布：PVC，克重≥550g/㎡； 3.8帐篷整体为框架式结构，主体一体化，在10分钟内可将整个帐篷架设或撤收完毕； 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 xml:space="preserve">7.其他要求：能在8级风或8㎝雪灾下正常使用；南、北通用，可全天候架设与撤收； 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8.供货前，须主动对接使用单位，确保满足用户需求；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9.提供中文使用说明书（含电子版），含装备简介、使用注意事项及维护保养等内容。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湿式水域救援服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.撕破强力：面料经纬向荷载≥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150N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.面料接缝强力：应承受的拉力荷载≥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100N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.耐磨性：湿式服的面料经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2000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次循环摩擦后，试样未被磨穿。湿式服的补强材料经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6000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次循环摩擦后，试样未被磨穿。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.型号规格：分为大.中.小等可选号码，具体码数及数量签订合同时采购方跟供货商确认。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.用途：湿式水域救援服满足消防人员水域救援工作时使用，在水中使用可保持身体温暖，在腕部，踝部，臀部和膝部处都有聚氨酯涂层垫，可以提供额外的保护，增强耐磨性能。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.形式：采用连体式。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.抗永久变形：湿式服面料的不可逆伸长量应小于等于安原始长度的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%。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.色牢度：≥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级。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.水域救援服主体为黑色，服装背部居中采用防水.荧光材料喷涂，上部印制中标后按采购人要求印制。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干式水域救援服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耐磨处：臀部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肘部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膝盖处设计有900D防水面料补强，具有很好的防水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耐磨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抗撕裂效果；需采用防水透气面料，多层复合材质（防水层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透气层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耐磨层），材质需防刮；需具有高聚酯材料涂层，裆部需设计高强度树脂防水密拉链及设保护盖。臀部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肘部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膝部需采用耐磨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抗撕裂面料做特殊加固处理。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穿脱方式：从右至左下拉链设计，拉链为TIZIP水密拉链，拉链闭合顺畅舒适。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排水网：脖子前下侧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后下侧具有防兜水排水网设计，裤脚和袖子处具有防兜水排水网设计，保证排水顺畅。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具有加魔术贴的快挂，可选择性挂放救生服示位灯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口哨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刀具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GPS定位器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对讲机等。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经静水中持续1h的渗透性能试验，救援服的进水量≤0.2 kg，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在5℃水中浸泡1h，人体体温下降≤2℃，穿着水域救援防护服的人员能行走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爬行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游泳并登上平台无限制。穿着时间≤25秒。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面料主要性能：7.1面料耐静水压≥17kpa；7.2撕破强力≥350N；7.3耐水色牢度≥3级;7.4耐高温≥65℃；7.5耐低温≤-30℃；7.6静水压防水性能：≥9000mm，透湿度：≥4000g/M2，抗拉强度：≥9000g/CM2,接缝强度：≥50N。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8.根据支队统一要求进行标识并根据需求单位进行配号。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9.自带透水型服装包。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急流专用救生衣（含附件）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基本要求：产品由固有浮力装置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裆带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快脱带等部件组成的背心式救生装备套装，主要用于激流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急流等复杂水域中的救援时穿着，配备示位灯1个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水用救生高音哨1只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牛尾绳1根，15M腰腹式抛绳包3个，割绳刀1把。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款式结构2.1颜色为红黑色；2.2固体浮力采用闭孔浮力泡绵材料;2.3救生衣的系紧和固定采用扣件和拉链形式。2.4需在救生衣的正前方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肩部和背部均贴有反光标识带。2.5前置≥6个挂点，可满足固定示位灯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口哨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通信设备及其他救援工具需要；2.6救生衣应配备有快速解脱救援系统，可以确保救援者遇到特殊情况时迅速脱离。2.7救生衣后背设计有提手，方便提拿，胸前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背部设计有模块化储物袋，可自由拆装,储物袋上有可自由粘贴标识的粘扣位置；2.8救生衣应具有可调节功能的裆带，防止穿着人员入水后救生衣上浮窜动。“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技术参数：3.1浮力：≥150N;3.2浮力损失：淡水中浸泡24h后，浮力损失≤1.5%。3.3强度“※”3.3.1救生衣衣身应能承受3200N的作用力10min而不损坏；“※”3.3.2救生衣肩部应能承受900N的作用力5min而不损坏；“※”3.3.3裆带与救生衣体之间应能承受900N的作用力而不发生脱离或损坏；3.4穿脱性能：经指导后穿着人员在水中脱掉救生衣的时间≤10s；3.5救生衣质量：≤2.5K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牛尾绳：牛尾绳与救生衣配套使用，用于救生衣PFD上面的牵引绳，带有0型环和三角形连接锁，牵引绳应具有良好的延展效果，紧急情况下PFD救生衣可与该牵引绳快速分离，绳长≥80cm，延展长度≥150cm，断裂强力：≥5KN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割绳刀：割绳刀与救生衣配套使用，刀片材质采用TC4或优于TC4材质，硬度：≥30HRC。刀鞘：按压设计，单手按压刀会自动弹出，配绑腿带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卡梢双固定，底部设有排水口；刀具备采用平刃和齿刃，刀体长度：≤21cm，刀刃长：≥8.5cm。刀头平头设计防误伤也可作一字螺丝刀使用，刀柄具备玻璃破碎等功能。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高音哨笛:高音哨笛与救生衣配套使用，音量≥100分贝，需为无滚珠式构造，带有可拆卸挂绳。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示位灯:示位灯与救生衣配套使用，有北斗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GPS多模定位，定位精度≤5m，防水等级≥IP67，质量≤300g，具有落水报警功能和静止报警功能（静止时间≥30秒预报警，≥45秒SOS报警），示位灯亮度≥300cd/m²，SOS报警声级强度≥80dB，连续工作时间≥24h。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抛绳包：抛绳包与救生衣配套使用，应为腰腹式的腰包便于携带和操作，面料采用优质尼龙布料，颜色为红色，中部设置网布，顶端设有收紧拉绳，侧面设置魔术贴挂点，可挂闪光棒或荧光棒。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水域救援手套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1.五指分离式结构，有弹性可紧贴手部，便于穿戴，灵巧性能≥3级；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2.手套主体应做防水处理，具备防寒保暖性能；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3.手掌和手指部位采用耐磨防滑设计；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4.手腕为束紧设计，调节束紧，且能保证手腕的灵活度；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5.手套袖筒长度应超出腕骨≥25mm且小于35mm；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6.手套大小按各支队所需型号供选择。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水域救援刀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总体要求符合国家现行有关标准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规范，符合行业XF633-2006《消防员抢险救援防护服装》标准。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刀具由刀柄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刀身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刀鞘组成，适于快速除脱网绳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水草或藤蔓等绞缠物。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采用钛合金制造或其他高强度材质制造，应具有良好的机械性能和抗蚀性能。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整刀长度≥15cm，刀刃长度≥7cm，可做户外应急刀使用，也可做水域割绳刀使用；具备刮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切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刺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削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砍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割绳等功能。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防滑刀柄一体注塑防滑材质，耐热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耐低温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耐化学侵蚀。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刀体平头设计。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一面刀齿，一面锯齿，锯齿面带有割绳钩。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刀身与刀鞘采用双按压机制结合。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</w:t>
      </w:r>
      <w:r>
        <w:rPr>
          <w:rFonts w:hint="eastAsia" w:ascii="Times New Roman" w:hAnsi="Times New Roman" w:eastAsia="仿宋_GB2312" w:cs="仿宋_GB2312"/>
          <w:b w:val="0"/>
          <w:sz w:val="32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刀身和刀鞘都带有挂绳孔。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水域救援抛绳包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1.桶型外包设计，紧凑便携，带有一个D型金属环，可以连接挂点。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2.包内可收纳长度≥30m.直径≥8mm的救援绳索。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3.包内绳索抗拉强度不小于8kN，并且漂浮在水面上以获得良好的能见度。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4.底部带有网布设计，可排出积水。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5.顶部带有紧绳收口和塑料插扣，可快速取用绳索。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6.绳包主要面料应采用尼龙布。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充气救援艇（橡皮艇）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1.救援艇结构：全艇≥4个独立气室，M型艇底，底部至少设有2处稳定浮筒，艇身至少设计2处无障碍救援通道，船体为单体。船外机固定板配有加强防滑装置，艇身贴有反光标识和特征标志。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2.救援艇设计：船体两侧有安全救生拉绳，有快速排水口，不锈钢牵引环；配有翻舟自救绳收纳包。可拆卸耐磨防滑底板。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3.救援艇材料：PVC，船体面料经向撕裂强度≥400N，经纬向拉伸强度≥50KN/m；PVC夹网布材料厚度≥0.8 mm；船底加贴防磨护甲耐磨耐撞，厚度≥1.5mm。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4.船底材料撕裂强度：≥400N；拉伸强度：≥50KN/m；纵向：≥50KN/m。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5.充放气系统，完成充/抽气过程时间：≤4分钟。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6.满载人数：≥8人。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7.船身气室：独立安全密封气室≥4个。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8.重量：≤120kg；舷外机功率：≥30匹；最大时速：≥35公里/小时。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9.长度≤4.2m。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10.充气静放24h，漏气不超过10%。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便携式流速仪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1.手持式，可对河流.污水.泥浆.海洋进行非接触式流速测量。使用中不受污水腐蚀.不受泥沙干扰，并可在范围内进行非接触测量。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2.主机为ABS树脂材料外壳。测量范围≥100m。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3.测速范围：不低于0.15m/s～30m/s。测流误差：±0.03m/s。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4.使用环境温度：—30℃～+70℃；相对湿度：20%～80%。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5.电波发射角12°，发射标准功率≥10mW，电波频率≥24GHz。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6.内置可充电锂电池，电池容量≥2800mAh。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7.储蓄大于等于2000个测试结果。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8.连续工作时间≥10h。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9.防护等级≥IP67。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10.主机质量≤1kg。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11.配备包含主机1台，充电器1套，可充电电池2套，内置角度传感器1套，三脚架1副，便携式手提箱1个。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水深探测仪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1.测量范围:1m-80m或优于;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2.检测精度:士0.5%;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3.工作温度:0-50℃;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4.显示方式:液晶显示屏;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5.工作时间:间歇待机时间≥6小时: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6.应用介质:淡水.海水;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7.防护等级:传感器&gt;IP68。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8.重量:≤5Kg(含铝合金手提防护箱);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9.配备:手持仪表.传感器.连接杆一体机.手提箱等。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水温仪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1.耐腐性强.可靠性高.自动测量.显示.组装使用方便.单人可完成测量；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2.可测量水温.水深等；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3.测量深度范围：≥90m，流速范围不低于0.05~5m/s，操作温度范围不低于-10℃~50℃；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4.精度：不低于量程的1/10(由于水面干扰因素较多，深度越大，越精准)；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5.电池类型：间隔10s测量电池可测量高不低于500次。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水质检测仪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1.总体性能符合市场准入标准的要求，提供检测报告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2.能快速检测废水.废水处理厂出水和受污染的水中，能被强氧化剂氧化的物质（一般为有机物）的氧当量（COD量）；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3.设备配备于坚固.耐用的一体集成式携行箱内，另附手提配件箱，设备集成液晶触摸屏.热敏打印机.RJ45网口.消解仪.管比色池.皿比色池及其他传感器预留插口；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4.支持WIFI联网.RJ网口有线联网.可无线（USB）传输和储存检测数据，提供系数曲线和样品曲线自定义标定；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5.预制比色试管16mm，比色皿50mm，示值误差≤±5%，重复性＜0.5%，稳定性＜0.5%，分辨率0.001，光学稳定性≤±0.001Abs/20分钟（10万小时寿命），内置标准曲线≥100条，具备仪器自动校准功能；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6.消解模块支持双温区独立控制，温控精度±0.5℃，仪器重量≤15kg；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7.配备数显移液枪，移液枪枪头，充电器，比色皿，比色管，预制试剂.定性滤纸.手套.中文说明书；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水上救生机器人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1.最高时速：空载≥20km/h.载人速度≥9km/h；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2.最大遥控距离≥3000m.抗风浪等级≥2m;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3.电池续航时间：≥70min；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4.最大拖拽能力≥500N；最大负载能力≥8人；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5.尺寸：长度≥2000mm，宽度≥900mm，高度≥300mm；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6.具备手动开机和触水自动开机两种功能；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7.具备自动设置或手动设置返航点功能；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8.遥控器具有电量显示和在低电量状态警示报警功能；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9.提供“船舶救生设备质量检验中心”出具的合格检测报告。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10.包含棒型天线.充气抽气两用口.救生把手.船体气囊.防水动力仓盖.磁吸保护开关.天线接头.气囊固定带.机器人转向管.放水阀.冷却水出水口.倒档装置。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11.符合《水上救生遥控机器人通用技术条件》行业标准及国家现行标准。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定位浮标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1.用于水域救援中作为定位标识。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2.用环保PVC材质，颜色醒目。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3.内外光滑.抗老化.不长水藻.易清洗。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4.安装快捷，成人10口气内可吹满。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5.气囊设计为上锥下球型外形，底部可装沙固定，有挂孔可系绳固定；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6.直径和高度不小于30cm。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可漂浮救生担架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1.EVA防滑设计.配件包含：补漏修理包和储存袋；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2.自动充气时间≤180s；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3.手动充气时间≤300s；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4.充气压力范围15-20kpa；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5.面料撕破强力≥2000N；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6.接缝强力≥2000N；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7.担架承重≥150kg；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8.担架浮力≥1500N；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9.提手拉力≥3000N；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10.充气后尺寸：（1）长≥190cm；（2）宽≥70cm；（3）高≥50cm；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11.质量≤15kg；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12.救援筏周边把手数量≥4个；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13.板身绑带数量≥2个；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14.具有永久性标志及产品数据标识；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救生圈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1.高密度聚乙烯外壳充聚氨酯闭孔泡沫；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2.主体橙红色；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3.救生圈四个等间位置具有逆向反光带，宽度≥50mm；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4.外径：≥700mm且≤800mm；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5.重量：≥2.5kg；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6.救生圈外围具有4个等长的可浮把手锁，直径≥9.5mm。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7.符合GB4302-2008《救生圈》标准。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水下液压（电动）破拆工具组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1.液压泵:额定工作压力≥60MPa，额定流量≥0.45L/min，质量≤24kg（含电池和液压油）。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2.液压剪扩器：额定工作压力≥60MPa，剪切能力圆钢直径≥28mm(Q235A）。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3.液压剪扩器：扩张力≥45kN，扩张距离≥270mm，质量≤16kg。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4.液压扩张器：扩张力≥50kN。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5.液压扩张器：扩张距离≥315mm。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6.液压剪切器：额定工作压力≥60Mpa，剪切能力能一次剪断φ≥25mm圆钢（Q235A），能一次剪断宽度50mm.厚度≥12mm的板材（Q235A）。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7.液压剪切器：开口距离≥160mm，质量≤14kg。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8.液压撑顶器：额定工作压力≥60Mpa，最大撑顶力≥118kN，撑顶长度≥750mm，收拢（闭合）长度≤600mm，质量≤12kg。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9.液压双级撑顶器：额定工作压力≥60MPa，一级撑顶力≥160kN，一级撑顶长度≥770mm。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10.液压双级撑顶器：二级撑顶力≥60kN，二级撑顶长度≥1040mm，收拢(闭合）长度≤490mm，质量≤19kg。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11.配置：电动液压泵1台.电动液压扩张器1套.电动液压剪扩器1套.电动液压剪切器1套.电动液压撑顶器1套.电动液压双级撑顶器1套。每套破拆工具电池应配备1用1备及充电器1个（单块电池连续工作时间≥30min）.配备1米牵引链条2条.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12.每套破拆工具应配备铝质或工程防水整理箱.每套破拆工具具备背带功能.配备浮力装置（用于水下不同深度作业），整组能水下接驳.能带压接驳.可单手接驳.有防污染接口，整组电动液压破拆工具组作业深度≥70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13.整套工具水下性能：快速接头经模拟≥70m水深的水下密封性能试验（0.7MPa试验压力）后，无进水或泄压现象；控制开关具备防误动作功能，在模拟≥70m水深的水下密封性能试验（0.7MPa试验压力）未出现自行启动或自行停止现象；液压电动泵.电动液压剪扩器.电动液压剪切器.电动液压撑顶器和电动液压双级撑顶器经模拟≥70m水深的水下密封性能试验（0.7MPa试验压力）后，均无进水或泄压现象，动作正常，无异常现象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绝缘拉杆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1.直径：35mm（±5mm）；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2.分为3节或4节；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3.连接后工作长度：≥3m；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4.绝缘负荷：≥35KV。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救生拉杆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1.材料：碳纤维杆，可漂浮；收缩（折叠）后长度≤3m；展开长度≥15m；重量≤3kg；数量≥1根；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2.浮球重量≤1500g；浮力≥60N；数量不少于1个。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3.圆圈的直径≥350mm；浮力≥50N；数量不少于1个。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4.单钩的材料：铝或不锈钢；长度≥300mm；重量≤500g；数量不少于2个。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5.三角钩的材料：铝或不锈钢；长度≥280mm；重量≤600g；数量不少于2个。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折叠锚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1.采用镀锌工艺，防腐耐绣。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2.四爪加宽，抓力大。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3.折叠便携，节约空间。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4.重量：≥1.5kg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滚钩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1.救生滚钩应采用优质304不锈钢材质制作，由三角拉杆，不锈钢锁链，三爪锚钩，搭扣连接器，≥10mm双层尼龙编织绳组成；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2.整体三角可拆卸式设计，在底端配置6套可拆卸不锈钢锚钩，不锈钢三爪锚钩强度≥8.4kN；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3.三角架需经过静载荷性能测试：承重≥200kg重物，并保持5min，卸载后，外观检查未发生变形现象；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4.头部配置20米的高强度拖拽螺旋牵引绳，不少于3股，每股直径≥8mm，承重强度≥28kN；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5.配专用包装袋；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手提式防水（爆）照明灯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1.LED光源，功率≥3W，光通量≥350lm，锂电池，电池容量≥190 0mAh；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2.连续照明时间，强光≥6h，工作光≥55h，节能光≥200h；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3.防护性能符合GB/T 4208-2008规定的要求，防护等级IP66-IP68，潜水深度≥5米；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4.照度应符合GB/T 5700-2008《照明测量方法》所示测试方法，测试灯具在稳定工作状态下的照度值，测试距离2米光束直径150mm范围，强光平均照度≥4000lx，强光最小值≥3500lx；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5.重量（含电池）≤80g；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6.灯具应采用合金材质，可抗强力冲击；7.充电口需采用Type-c充电接口，尾部设计红色方位灯功能，保障救援人员安全；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8.灯具开关经50000次可靠性试验后应保持完好，能正常点亮并实现强.弱光切换；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9.防爆等级≥Ex ibⅡCT4 Gb。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救生拦截网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1.具有多角度斜拉拦截水中被困人员的功能。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2.整体宽≥500cm，高≥120cm，织带宽5±0.5cm。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3.配置直径12±1mm，拉力≥30kN,长度≥20m的救援绳1根。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4.带有连接扣锁≥9个。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5.手提收纳包1个。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净水设备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1.滤材：PP棉.双控制膜陶瓷膜滤芯.NMC滤料.活性炭.反渗透膜；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2.适用水源：Ⅳ类及以上地表水或地下水；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3.净水流量：≥70L/h；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4.生活用水流量：≥200L/h；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5.净水容量：≥3m</w:t>
      </w:r>
      <w:r>
        <w:rPr>
          <w:rFonts w:hint="eastAsia" w:ascii="仿宋_GB2312" w:hAnsi="仿宋_GB2312" w:eastAsia="仿宋_GB2312" w:cs="仿宋_GB2312"/>
          <w:b w:val="0"/>
          <w:sz w:val="32"/>
          <w:vertAlign w:val="superscript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6.尺寸：长×宽×高（mm）≥500*400*500；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7.材料：陶瓷.NMC滤料.活性炭.RO膜.PP.ABS.PE.不锈钢等；</w:t>
      </w:r>
    </w:p>
    <w:p>
      <w:pP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br w:type="page"/>
      </w:r>
    </w:p>
    <w:p>
      <w:pPr>
        <w:spacing w:line="240" w:lineRule="auto"/>
        <w:ind w:firstLine="643" w:firstLineChars="200"/>
        <w:jc w:val="both"/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b/>
          <w:bCs/>
          <w:sz w:val="32"/>
          <w:lang w:val="en-US" w:eastAsia="zh-CN"/>
        </w:rPr>
        <w:t>单兵携行包（箱）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携行包：采用分体设计，至少包含主包和工作包，均采用双肩背负设计，工作包可挂于主包上。布料：600D牛津布；总容量≥80L；具有反光标识，加印陕西消防救援；外层色牢度≥4级；接缝断裂强力：外层经.纬向≥900N；撕破强力：外层经.纬向≥300N；颜色：蓝色.橙色.黑色可选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2单兵携行背包配置至少包括携行包.帐篷.睡袋.口哨.防潮垫.军用水壶.雨衣.简易洗漱用品.口罩.内裤.袜子.单兵净水器.急救包.饭盒.多功能刀具各1个（套）。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3帐篷：尺寸≥200*100*100cm；外帐面料：210T迷彩涤沦防水布；底帐面料：150D牛津布；帐篷性能：双层防雨帐篷，防水指数≥3000mm，含裙边；支架材质：玻璃钢杆，支架直径：≥6.9mm；帐篷配件：地钉，风绳，帐篷灯；包装布料：牛津布包装袋；包尺寸：≤40*15*15cm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4睡袋：包含冬季睡袋和夏季睡袋。冬季睡袋：木乃伊式；尺寸≥205*85cm；里料：300T防泼水尼龙布；填充物：羽绒；填充物重量≥1200g；温标：≤-20-（-5）-0；整体重量：≤2000g。夏季睡袋：信封式；尺寸≥205*85cm；里料：尼龙布；填充物：仿丝棉或同种材质；填充物重量≥400g；温标：≥+10-（+15）+20；整体质量：≤850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5雨衣：面料：春亚纺190T材质；热封条：热封条结合后宽度≥16mm，粘合力≥4.5N；防水性:≥20kPa；面料断裂强力≥200N；塑料接缝粘合力≥35N或变形极限范围内不断裂；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6单兵净水器：滤材：双控制膜陶瓷膜滤芯.NMC滤料；除菌率≥99.9999%；适用水源：lI类及以上地表水或地下水；净水流量:≤0.3升/分钟；净水容量:≥2L；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7口哨：材质：铝合金；规格：（长×宽×厚）55mm×15mm×8mm±3%；峰值音量：≥120dB；质量：≤11g。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8防潮垫：尺寸：2000*1000mm（±2%）；质量：≤0.30 kg；底料：PEVA黑色涂层；面料：藏青格子摇粒绒。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9军用水壶：材质：钢化铝；尺寸：≥19cm*12cm*9cm；容量≥1L；质量≤360g；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10简易洗漱用品：沐浴露.洗发露.牙膏.牙刷.梳子.毛巾.防水收纳袋；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11口罩：由无纺布.过滤布.口罩带.鼻夹组成，独立包装；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12内裤：面料棉≥95％，氨纶≥5％；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13袜子：阻燃面料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14急救包：15*10*5cm，材质：尼龙。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15饭盒：材质：304不锈钢；容量≥1L；配置帆布包带背带.不锈钢叉各一个。</w:t>
      </w:r>
    </w:p>
    <w:p>
      <w:pPr>
        <w:spacing w:line="240" w:lineRule="auto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sz w:val="32"/>
          <w:lang w:val="en-US" w:eastAsia="zh-CN"/>
        </w:rPr>
        <w:t>16多功能刀具：包含主刀.钳子.开瓶器.扳手.十字螺丝刀.一字螺丝刀等。折叠后尺寸长＜20cm，宽＜10cm，厚＜3cm；材质：不锈钢。</w:t>
      </w:r>
    </w:p>
    <w:sectPr>
      <w:footerReference r:id="rId3" w:type="default"/>
      <w:pgSz w:w="11906" w:h="16838"/>
      <w:pgMar w:top="2098" w:right="1474" w:bottom="198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2DA1E548-70E2-41D9-89A1-BB04EFA553F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97A8478-ED6E-4387-B1EF-304A633A820E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0D3FD3C0-C100-4025-B27A-6EC53EDEC55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center"/>
      <w:rPr>
        <w:rFonts w:hint="eastAsia" w:ascii="宋体" w:hAnsi="宋体" w:eastAsia="宋体" w:cs="宋体"/>
        <w:sz w:val="24"/>
        <w:lang w:eastAsia="zh-CN"/>
      </w:rPr>
    </w:pPr>
    <w:r>
      <w:rPr>
        <w:rFonts w:hint="eastAsia" w:ascii="宋体" w:hAnsi="宋体" w:eastAsia="宋体" w:cs="宋体"/>
        <w:sz w:val="24"/>
        <w:lang w:eastAsia="zh-CN"/>
      </w:rPr>
      <w:t xml:space="preserve">— </w:t>
    </w:r>
    <w:r>
      <w:rPr>
        <w:rFonts w:hint="eastAsia" w:ascii="宋体" w:hAnsi="宋体" w:eastAsia="宋体" w:cs="宋体"/>
        <w:sz w:val="24"/>
        <w:lang w:eastAsia="zh-CN"/>
      </w:rPr>
      <w:fldChar w:fldCharType="begin"/>
    </w:r>
    <w:r>
      <w:rPr>
        <w:rFonts w:hint="eastAsia" w:ascii="宋体" w:hAnsi="宋体" w:eastAsia="宋体" w:cs="宋体"/>
        <w:sz w:val="24"/>
        <w:lang w:eastAsia="zh-CN"/>
      </w:rPr>
      <w:instrText xml:space="preserve"> PAGE  \* MERGEFORMAT </w:instrText>
    </w:r>
    <w:r>
      <w:rPr>
        <w:rFonts w:hint="eastAsia" w:ascii="宋体" w:hAnsi="宋体" w:eastAsia="宋体" w:cs="宋体"/>
        <w:sz w:val="24"/>
        <w:lang w:eastAsia="zh-CN"/>
      </w:rPr>
      <w:fldChar w:fldCharType="separate"/>
    </w:r>
    <w:r>
      <w:rPr>
        <w:rFonts w:hint="eastAsia" w:ascii="宋体" w:hAnsi="宋体" w:eastAsia="宋体" w:cs="宋体"/>
        <w:sz w:val="24"/>
        <w:lang w:eastAsia="zh-CN"/>
      </w:rPr>
      <w:t>1</w:t>
    </w:r>
    <w:r>
      <w:rPr>
        <w:rFonts w:hint="eastAsia" w:ascii="宋体" w:hAnsi="宋体" w:eastAsia="宋体" w:cs="宋体"/>
        <w:sz w:val="24"/>
        <w:lang w:eastAsia="zh-CN"/>
      </w:rPr>
      <w:fldChar w:fldCharType="end"/>
    </w:r>
    <w:r>
      <w:rPr>
        <w:rFonts w:hint="eastAsia" w:ascii="宋体" w:hAnsi="宋体" w:eastAsia="宋体" w:cs="宋体"/>
        <w:sz w:val="24"/>
        <w:lang w:eastAsia="zh-CN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1OThlNzNmNTljMzQyMTU4ZTYyZmY4YzY3NzAzNDEifQ=="/>
    <w:docVar w:name="KSO_WPS_MARK_KEY" w:val="4702c646-3369-4036-bd29-0e2eb01c25ca"/>
  </w:docVars>
  <w:rsids>
    <w:rsidRoot w:val="78DE4122"/>
    <w:rsid w:val="089D6AE7"/>
    <w:rsid w:val="294D6516"/>
    <w:rsid w:val="41882436"/>
    <w:rsid w:val="74F14200"/>
    <w:rsid w:val="78DE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32</Pages>
  <Words>7421</Words>
  <Characters>8911</Characters>
  <Lines>0</Lines>
  <Paragraphs>0</Paragraphs>
  <TotalTime>14</TotalTime>
  <ScaleCrop>false</ScaleCrop>
  <LinksUpToDate>false</LinksUpToDate>
  <CharactersWithSpaces>8946</CharactersWithSpaces>
  <Application>WPS Office_11.1.0.12173_F1E327BC-269C-435d-A152-05C5408002CA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2025-05-16T23:23:00Z</dcterms:created>
  <dc:creator>Fwxxxxx</dc:creator>
  <cp:lastModifiedBy>Fwxxxxx</cp:lastModifiedBy>
  <dcterms:modified xsi:type="dcterms:W3CDTF">2025-06-09T08:23:17Z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2052-11.1.0.12173</vt:lpwstr>
  </property>
  <property fmtid="{D5CDD505-2E9C-101B-9397-08002B2CF9AE}" pid="3" name="ICV">
    <vt:lpwstr>5B01408A4BCA4CF9A7EBFF4F3F651082</vt:lpwstr>
  </property>
</Properties>
</file>