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cs="宋体"/>
          <w:b/>
          <w:bCs/>
          <w:color w:val="auto"/>
          <w:kern w:val="0"/>
          <w:sz w:val="36"/>
          <w:szCs w:val="36"/>
          <w:highlight w:val="none"/>
        </w:rPr>
      </w:pPr>
    </w:p>
    <w:p>
      <w:pPr>
        <w:pStyle w:val="23"/>
        <w:rPr>
          <w:color w:val="auto"/>
          <w:highlight w:val="none"/>
        </w:rPr>
      </w:pPr>
    </w:p>
    <w:p>
      <w:pPr>
        <w:spacing w:line="360" w:lineRule="atLeast"/>
        <w:ind w:left="1626" w:hanging="1626" w:hangingChars="450"/>
        <w:jc w:val="center"/>
        <w:rPr>
          <w:rFonts w:hint="default" w:eastAsia="宋体" w:cs="宋体"/>
          <w:b/>
          <w:bCs/>
          <w:color w:val="auto"/>
          <w:kern w:val="0"/>
          <w:sz w:val="36"/>
          <w:szCs w:val="36"/>
          <w:highlight w:val="none"/>
          <w:lang w:val="en-US" w:eastAsia="zh-CN"/>
        </w:rPr>
      </w:pPr>
      <w:r>
        <w:rPr>
          <w:rFonts w:hint="eastAsia" w:eastAsia="宋体" w:cs="宋体"/>
          <w:b/>
          <w:bCs/>
          <w:color w:val="auto"/>
          <w:kern w:val="0"/>
          <w:sz w:val="36"/>
          <w:szCs w:val="36"/>
          <w:highlight w:val="none"/>
          <w:lang w:val="en-US" w:eastAsia="zh-CN"/>
        </w:rPr>
        <w:t>新疆消防救援总队伊犁支队“自然灾害应急能力提升工程”项目（六）</w:t>
      </w:r>
      <w:r>
        <w:rPr>
          <w:rFonts w:hint="eastAsia" w:cs="宋体"/>
          <w:b/>
          <w:bCs/>
          <w:color w:val="auto"/>
          <w:kern w:val="0"/>
          <w:sz w:val="36"/>
          <w:szCs w:val="36"/>
          <w:highlight w:val="none"/>
          <w:lang w:val="en-US" w:eastAsia="zh-CN"/>
        </w:rPr>
        <w:t>&lt;1-3包&gt;</w:t>
      </w:r>
    </w:p>
    <w:p>
      <w:pPr>
        <w:spacing w:line="360" w:lineRule="atLeast"/>
        <w:ind w:left="1446" w:hanging="1446" w:hangingChars="450"/>
        <w:jc w:val="center"/>
        <w:rPr>
          <w:rFonts w:hint="default" w:eastAsia="宋体"/>
          <w:color w:val="auto"/>
          <w:sz w:val="30"/>
          <w:szCs w:val="30"/>
          <w:highlight w:val="none"/>
          <w:lang w:val="en-US" w:eastAsia="zh-CN"/>
        </w:rPr>
      </w:pPr>
      <w:r>
        <w:rPr>
          <w:rFonts w:hint="eastAsia" w:hAnsi="宋体" w:cs="宋体"/>
          <w:b/>
          <w:bCs/>
          <w:color w:val="auto"/>
          <w:kern w:val="0"/>
          <w:sz w:val="32"/>
          <w:szCs w:val="32"/>
          <w:highlight w:val="none"/>
        </w:rPr>
        <w:t>项目编号：</w:t>
      </w:r>
      <w:r>
        <w:rPr>
          <w:rFonts w:hint="eastAsia" w:hAnsi="宋体" w:cs="宋体"/>
          <w:b/>
          <w:bCs/>
          <w:color w:val="auto"/>
          <w:kern w:val="0"/>
          <w:sz w:val="32"/>
          <w:szCs w:val="32"/>
          <w:highlight w:val="none"/>
          <w:lang w:val="en-US" w:eastAsia="zh-CN"/>
        </w:rPr>
        <w:t>YZ-HW-GKZB202405-1</w:t>
      </w:r>
    </w:p>
    <w:p>
      <w:pPr>
        <w:spacing w:line="360" w:lineRule="atLeast"/>
        <w:ind w:left="1350" w:hanging="1350" w:hangingChars="450"/>
        <w:jc w:val="center"/>
        <w:rPr>
          <w:color w:val="auto"/>
          <w:sz w:val="30"/>
          <w:szCs w:val="30"/>
          <w:highlight w:val="none"/>
        </w:rPr>
      </w:pPr>
    </w:p>
    <w:p>
      <w:pPr>
        <w:spacing w:line="360" w:lineRule="auto"/>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招  标  文  件</w:t>
      </w:r>
    </w:p>
    <w:p>
      <w:pPr>
        <w:spacing w:line="360" w:lineRule="auto"/>
        <w:rPr>
          <w:rFonts w:ascii="宋体" w:hAnsi="宋体" w:cs="宋体"/>
          <w:color w:val="auto"/>
          <w:sz w:val="30"/>
          <w:szCs w:val="30"/>
          <w:highlight w:val="none"/>
        </w:rPr>
      </w:pPr>
    </w:p>
    <w:p>
      <w:pPr>
        <w:spacing w:line="360" w:lineRule="auto"/>
        <w:rPr>
          <w:rFonts w:ascii="宋体" w:hAnsi="宋体" w:cs="宋体"/>
          <w:color w:val="auto"/>
          <w:sz w:val="30"/>
          <w:szCs w:val="30"/>
          <w:highlight w:val="none"/>
        </w:rPr>
      </w:pPr>
    </w:p>
    <w:p>
      <w:pPr>
        <w:spacing w:line="360" w:lineRule="auto"/>
        <w:rPr>
          <w:rFonts w:ascii="宋体" w:hAnsi="宋体" w:cs="宋体"/>
          <w:color w:val="auto"/>
          <w:sz w:val="30"/>
          <w:szCs w:val="30"/>
          <w:highlight w:val="none"/>
        </w:rPr>
      </w:pPr>
    </w:p>
    <w:p>
      <w:pPr>
        <w:spacing w:line="360" w:lineRule="auto"/>
        <w:rPr>
          <w:rFonts w:ascii="宋体" w:hAnsi="宋体" w:cs="宋体"/>
          <w:color w:val="auto"/>
          <w:sz w:val="30"/>
          <w:szCs w:val="30"/>
          <w:highlight w:val="none"/>
        </w:rPr>
      </w:pPr>
    </w:p>
    <w:p>
      <w:pPr>
        <w:pStyle w:val="4"/>
        <w:rPr>
          <w:rFonts w:ascii="宋体" w:hAnsi="宋体" w:cs="宋体"/>
          <w:color w:val="auto"/>
          <w:sz w:val="30"/>
          <w:szCs w:val="30"/>
          <w:highlight w:val="none"/>
        </w:rPr>
      </w:pPr>
    </w:p>
    <w:p>
      <w:pPr>
        <w:rPr>
          <w:rFonts w:ascii="宋体" w:hAnsi="宋体" w:cs="宋体"/>
          <w:color w:val="auto"/>
          <w:sz w:val="30"/>
          <w:szCs w:val="30"/>
          <w:highlight w:val="none"/>
        </w:rPr>
      </w:pPr>
    </w:p>
    <w:p>
      <w:pPr>
        <w:pStyle w:val="4"/>
        <w:rPr>
          <w:color w:val="auto"/>
          <w:highlight w:val="none"/>
        </w:rPr>
      </w:pPr>
    </w:p>
    <w:p>
      <w:pPr>
        <w:spacing w:line="360" w:lineRule="auto"/>
        <w:rPr>
          <w:rFonts w:ascii="宋体" w:hAnsi="宋体" w:cs="宋体"/>
          <w:b/>
          <w:bCs/>
          <w:color w:val="auto"/>
          <w:sz w:val="30"/>
          <w:szCs w:val="30"/>
          <w:highlight w:val="none"/>
        </w:rPr>
      </w:pPr>
      <w:r>
        <w:rPr>
          <w:rFonts w:hint="eastAsia" w:ascii="宋体" w:hAnsi="宋体" w:cs="宋体"/>
          <w:b/>
          <w:bCs/>
          <w:color w:val="auto"/>
          <w:kern w:val="0"/>
          <w:sz w:val="30"/>
          <w:szCs w:val="30"/>
          <w:highlight w:val="none"/>
        </w:rPr>
        <w:t>招标人（盖章）</w:t>
      </w:r>
      <w:r>
        <w:rPr>
          <w:rFonts w:hint="eastAsia" w:ascii="宋体" w:hAnsi="宋体" w:cs="宋体"/>
          <w:b/>
          <w:bCs/>
          <w:color w:val="auto"/>
          <w:sz w:val="30"/>
          <w:szCs w:val="30"/>
          <w:highlight w:val="none"/>
        </w:rPr>
        <w:t>：伊犁</w:t>
      </w:r>
      <w:r>
        <w:rPr>
          <w:rFonts w:hint="eastAsia" w:ascii="宋体" w:hAnsi="宋体" w:cs="宋体"/>
          <w:b/>
          <w:bCs/>
          <w:color w:val="auto"/>
          <w:sz w:val="30"/>
          <w:szCs w:val="30"/>
          <w:highlight w:val="none"/>
          <w:lang w:val="en-US" w:eastAsia="zh-CN"/>
        </w:rPr>
        <w:t>州</w:t>
      </w:r>
      <w:r>
        <w:rPr>
          <w:rFonts w:hint="eastAsia" w:ascii="宋体" w:hAnsi="宋体" w:cs="宋体"/>
          <w:b/>
          <w:bCs/>
          <w:color w:val="auto"/>
          <w:sz w:val="30"/>
          <w:szCs w:val="30"/>
          <w:highlight w:val="none"/>
        </w:rPr>
        <w:t>消防救援支队</w:t>
      </w:r>
      <w:r>
        <w:rPr>
          <w:rFonts w:hint="eastAsia" w:ascii="宋体" w:hAnsi="宋体" w:cs="宋体"/>
          <w:b/>
          <w:bCs/>
          <w:color w:val="auto"/>
          <w:sz w:val="30"/>
          <w:szCs w:val="30"/>
          <w:highlight w:val="none"/>
          <w:lang w:val="en-US" w:eastAsia="zh-CN"/>
        </w:rPr>
        <w:t xml:space="preserve"> </w:t>
      </w:r>
    </w:p>
    <w:p>
      <w:pP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联系人：陶先生</w:t>
      </w:r>
      <w:r>
        <w:rPr>
          <w:rFonts w:hint="eastAsia" w:ascii="宋体" w:hAnsi="宋体" w:cs="宋体"/>
          <w:b/>
          <w:bCs/>
          <w:color w:val="auto"/>
          <w:sz w:val="30"/>
          <w:szCs w:val="30"/>
          <w:highlight w:val="none"/>
          <w:lang w:eastAsia="zh-CN"/>
        </w:rPr>
        <w:t>、</w:t>
      </w:r>
      <w:r>
        <w:rPr>
          <w:rFonts w:hint="eastAsia" w:ascii="宋体" w:hAnsi="宋体" w:cs="宋体"/>
          <w:b/>
          <w:bCs/>
          <w:color w:val="auto"/>
          <w:sz w:val="30"/>
          <w:szCs w:val="30"/>
          <w:highlight w:val="none"/>
          <w:lang w:val="en-US" w:eastAsia="zh-CN"/>
        </w:rPr>
        <w:t>尹女士</w:t>
      </w:r>
    </w:p>
    <w:p>
      <w:pP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联系电话：18609990215</w:t>
      </w:r>
      <w:r>
        <w:rPr>
          <w:rFonts w:hint="eastAsia" w:ascii="宋体" w:hAnsi="宋体" w:cs="宋体"/>
          <w:b/>
          <w:bCs/>
          <w:color w:val="auto"/>
          <w:sz w:val="30"/>
          <w:szCs w:val="30"/>
          <w:highlight w:val="none"/>
          <w:lang w:eastAsia="zh-CN"/>
        </w:rPr>
        <w:t>、</w:t>
      </w:r>
      <w:r>
        <w:rPr>
          <w:rFonts w:hint="eastAsia" w:ascii="宋体" w:hAnsi="宋体" w:cs="宋体"/>
          <w:b/>
          <w:bCs/>
          <w:color w:val="auto"/>
          <w:sz w:val="30"/>
          <w:szCs w:val="30"/>
          <w:highlight w:val="none"/>
          <w:lang w:val="zh-CN" w:eastAsia="zh-CN"/>
        </w:rPr>
        <w:t>18699931778</w:t>
      </w:r>
    </w:p>
    <w:p>
      <w:pPr>
        <w:spacing w:line="360" w:lineRule="auto"/>
        <w:rPr>
          <w:rFonts w:ascii="宋体" w:hAnsi="宋体" w:cs="宋体"/>
          <w:b/>
          <w:bCs/>
          <w:color w:val="auto"/>
          <w:sz w:val="30"/>
          <w:szCs w:val="30"/>
          <w:highlight w:val="none"/>
        </w:rPr>
      </w:pPr>
      <w:r>
        <w:rPr>
          <w:rFonts w:ascii="宋体" w:hAnsi="宋体" w:cs="宋体"/>
          <w:b/>
          <w:bCs/>
          <w:color w:val="auto"/>
          <w:sz w:val="30"/>
          <w:szCs w:val="30"/>
          <w:highlight w:val="none"/>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0</wp:posOffset>
                </wp:positionV>
                <wp:extent cx="6019800"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6019800" cy="0"/>
                        </a:xfrm>
                        <a:prstGeom prst="line">
                          <a:avLst/>
                        </a:prstGeom>
                        <a:ln w="12700" cap="flat" cmpd="sng">
                          <a:solidFill>
                            <a:srgbClr val="000000"/>
                          </a:solidFill>
                          <a:prstDash val="sysDot"/>
                          <a:headEnd type="none" w="med" len="med"/>
                          <a:tailEnd type="none" w="med" len="med"/>
                        </a:ln>
                        <a:effectLst/>
                      </wps:spPr>
                      <wps:bodyPr/>
                    </wps:wsp>
                  </a:graphicData>
                </a:graphic>
              </wp:anchor>
            </w:drawing>
          </mc:Choice>
          <mc:Fallback>
            <w:pict>
              <v:line id="_x0000_s1026" o:spid="_x0000_s1026" o:spt="20" style="position:absolute;left:0pt;margin-left:-9pt;margin-top:0pt;height:0pt;width:474pt;z-index:251660288;mso-width-relative:page;mso-height-relative:page;" filled="f" stroked="t" coordsize="21600,2160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xY7g9MAAAAFAQAADwAAAAAAAAABACAAAAAiAAAAZHJzL2Rvd25yZXYueG1sUEsBAhQAFAAAAAgA&#10;h07iQCY6lI3xAQAA6AMAAA4AAAAAAAAAAQAgAAAAIgEAAGRycy9lMm9Eb2MueG1sUEsFBgAAAAAG&#10;AAYAWQEAAIUFAAAAAA==&#10;">
                <v:fill on="f" focussize="0,0"/>
                <v:stroke weight="1pt" color="#000000" joinstyle="round" dashstyle="1 1"/>
                <v:imagedata o:title=""/>
                <o:lock v:ext="edit" aspectratio="f"/>
              </v:line>
            </w:pict>
          </mc:Fallback>
        </mc:AlternateContent>
      </w:r>
    </w:p>
    <w:p>
      <w:pPr>
        <w:spacing w:line="360" w:lineRule="auto"/>
        <w:rPr>
          <w:rFonts w:hint="eastAsia" w:ascii="宋体" w:hAnsi="宋体" w:eastAsia="宋体" w:cs="宋体"/>
          <w:b/>
          <w:bCs/>
          <w:color w:val="auto"/>
          <w:sz w:val="30"/>
          <w:szCs w:val="30"/>
          <w:highlight w:val="none"/>
          <w:lang w:eastAsia="zh-CN"/>
        </w:rPr>
      </w:pPr>
      <w:bookmarkStart w:id="0" w:name="_Toc494375077"/>
      <w:bookmarkStart w:id="1" w:name="_Toc120614210"/>
      <w:bookmarkStart w:id="2" w:name="_Toc20823272"/>
      <w:bookmarkStart w:id="3" w:name="_Toc479757206"/>
      <w:bookmarkStart w:id="4" w:name="_Toc16938516"/>
      <w:bookmarkStart w:id="5" w:name="_Toc523127445"/>
      <w:bookmarkStart w:id="6" w:name="_Toc513029200"/>
      <w:r>
        <w:rPr>
          <w:rFonts w:hint="eastAsia" w:ascii="宋体" w:hAnsi="宋体" w:cs="宋体"/>
          <w:b/>
          <w:bCs/>
          <w:color w:val="auto"/>
          <w:kern w:val="0"/>
          <w:sz w:val="30"/>
          <w:szCs w:val="30"/>
          <w:highlight w:val="none"/>
        </w:rPr>
        <w:t>招标代理机构（盖章）：</w:t>
      </w:r>
      <w:r>
        <w:rPr>
          <w:rFonts w:hint="eastAsia" w:ascii="宋体" w:hAnsi="宋体" w:cs="宋体"/>
          <w:b/>
          <w:bCs/>
          <w:color w:val="auto"/>
          <w:kern w:val="0"/>
          <w:sz w:val="30"/>
          <w:szCs w:val="30"/>
          <w:highlight w:val="none"/>
          <w:lang w:val="en-US" w:eastAsia="zh-CN"/>
        </w:rPr>
        <w:t xml:space="preserve">新疆伊筑工程管理有限公司 </w:t>
      </w:r>
    </w:p>
    <w:p>
      <w:pPr>
        <w:spacing w:line="360" w:lineRule="auto"/>
        <w:rPr>
          <w:rFonts w:hint="eastAsia" w:ascii="宋体" w:hAnsi="宋体" w:eastAsia="宋体" w:cs="宋体"/>
          <w:b/>
          <w:bCs/>
          <w:color w:val="auto"/>
          <w:kern w:val="0"/>
          <w:sz w:val="30"/>
          <w:szCs w:val="30"/>
          <w:highlight w:val="none"/>
          <w:lang w:val="en-US" w:eastAsia="zh-CN"/>
        </w:rPr>
      </w:pPr>
      <w:r>
        <w:rPr>
          <w:rFonts w:hint="eastAsia" w:ascii="宋体" w:hAnsi="宋体" w:cs="宋体"/>
          <w:b/>
          <w:bCs/>
          <w:color w:val="auto"/>
          <w:kern w:val="0"/>
          <w:sz w:val="30"/>
          <w:szCs w:val="30"/>
          <w:highlight w:val="none"/>
        </w:rPr>
        <w:t>法人代表（盖章）：</w:t>
      </w:r>
      <w:r>
        <w:rPr>
          <w:rFonts w:hint="eastAsia" w:ascii="宋体" w:hAnsi="宋体" w:cs="宋体"/>
          <w:b/>
          <w:bCs/>
          <w:color w:val="auto"/>
          <w:kern w:val="0"/>
          <w:sz w:val="30"/>
          <w:szCs w:val="30"/>
          <w:highlight w:val="none"/>
          <w:lang w:val="en-US" w:eastAsia="zh-CN"/>
        </w:rPr>
        <w:t>张磊</w:t>
      </w:r>
    </w:p>
    <w:p>
      <w:pPr>
        <w:spacing w:line="360" w:lineRule="auto"/>
        <w:rPr>
          <w:rFonts w:hint="default" w:ascii="宋体" w:hAnsi="宋体" w:eastAsia="宋体" w:cs="宋体"/>
          <w:b/>
          <w:bCs/>
          <w:color w:val="auto"/>
          <w:kern w:val="0"/>
          <w:sz w:val="30"/>
          <w:szCs w:val="30"/>
          <w:highlight w:val="none"/>
          <w:lang w:val="en-US" w:eastAsia="zh-CN"/>
        </w:rPr>
      </w:pPr>
      <w:r>
        <w:rPr>
          <w:rFonts w:hint="eastAsia" w:ascii="宋体" w:hAnsi="宋体" w:cs="宋体"/>
          <w:b/>
          <w:bCs/>
          <w:color w:val="auto"/>
          <w:kern w:val="0"/>
          <w:sz w:val="30"/>
          <w:szCs w:val="30"/>
          <w:highlight w:val="none"/>
        </w:rPr>
        <w:t>联系人：</w:t>
      </w:r>
      <w:r>
        <w:rPr>
          <w:rFonts w:hint="eastAsia" w:ascii="宋体" w:hAnsi="宋体" w:cs="宋体"/>
          <w:b/>
          <w:bCs/>
          <w:color w:val="auto"/>
          <w:kern w:val="0"/>
          <w:sz w:val="30"/>
          <w:szCs w:val="30"/>
          <w:highlight w:val="none"/>
          <w:lang w:val="en-US" w:eastAsia="zh-CN"/>
        </w:rPr>
        <w:t>张磊、白雪</w:t>
      </w:r>
    </w:p>
    <w:p>
      <w:pPr>
        <w:spacing w:line="360" w:lineRule="auto"/>
        <w:rPr>
          <w:rFonts w:hint="default" w:eastAsia="宋体"/>
          <w:color w:val="auto"/>
          <w:highlight w:val="none"/>
          <w:lang w:val="en-US" w:eastAsia="zh-CN"/>
        </w:rPr>
      </w:pPr>
      <w:r>
        <w:rPr>
          <w:rFonts w:hint="eastAsia" w:ascii="宋体" w:hAnsi="宋体" w:cs="宋体"/>
          <w:b/>
          <w:bCs/>
          <w:color w:val="auto"/>
          <w:kern w:val="0"/>
          <w:sz w:val="30"/>
          <w:szCs w:val="30"/>
          <w:highlight w:val="none"/>
        </w:rPr>
        <w:t>联系电话：</w:t>
      </w:r>
      <w:r>
        <w:rPr>
          <w:rFonts w:hint="eastAsia" w:cs="宋体" w:asciiTheme="minorEastAsia" w:hAnsiTheme="minorEastAsia" w:eastAsiaTheme="minorEastAsia"/>
          <w:b/>
          <w:bCs/>
          <w:color w:val="auto"/>
          <w:sz w:val="30"/>
          <w:szCs w:val="30"/>
          <w:highlight w:val="none"/>
          <w:lang w:val="en-US" w:eastAsia="zh-CN"/>
        </w:rPr>
        <w:t>0999-8988777</w:t>
      </w:r>
    </w:p>
    <w:p>
      <w:pPr>
        <w:spacing w:line="360" w:lineRule="auto"/>
        <w:rPr>
          <w:rFonts w:ascii="宋体" w:hAnsi="宋体" w:cs="宋体"/>
          <w:b/>
          <w:bCs/>
          <w:color w:val="auto"/>
          <w:kern w:val="0"/>
          <w:sz w:val="30"/>
          <w:szCs w:val="30"/>
          <w:highlight w:val="none"/>
        </w:rPr>
        <w:sectPr>
          <w:footerReference r:id="rId4" w:type="default"/>
          <w:headerReference r:id="rId3" w:type="even"/>
          <w:footerReference r:id="rId5" w:type="even"/>
          <w:pgSz w:w="11906" w:h="16838"/>
          <w:pgMar w:top="1418" w:right="1417" w:bottom="1418" w:left="1417" w:header="851" w:footer="907" w:gutter="0"/>
          <w:pgBorders>
            <w:top w:val="none" w:sz="0" w:space="0"/>
            <w:left w:val="none" w:sz="0" w:space="0"/>
            <w:bottom w:val="none" w:sz="0" w:space="0"/>
            <w:right w:val="none" w:sz="0" w:space="0"/>
          </w:pgBorders>
          <w:pgNumType w:start="1"/>
          <w:cols w:space="720" w:num="1"/>
          <w:titlePg/>
          <w:docGrid w:type="lines" w:linePitch="290" w:charSpace="0"/>
        </w:sectPr>
      </w:pPr>
    </w:p>
    <w:p>
      <w:pPr>
        <w:spacing w:line="360" w:lineRule="auto"/>
        <w:rPr>
          <w:rFonts w:ascii="宋体" w:hAnsi="宋体" w:cs="宋体"/>
          <w:b/>
          <w:bCs/>
          <w:color w:val="auto"/>
          <w:kern w:val="0"/>
          <w:sz w:val="30"/>
          <w:szCs w:val="30"/>
          <w:highlight w:val="none"/>
        </w:rPr>
      </w:pPr>
    </w:p>
    <w:p>
      <w:pPr>
        <w:pStyle w:val="130"/>
        <w:jc w:val="center"/>
        <w:rPr>
          <w:color w:val="auto"/>
          <w:sz w:val="44"/>
          <w:szCs w:val="44"/>
          <w:highlight w:val="none"/>
          <w:lang w:val="zh-CN"/>
        </w:rPr>
      </w:pPr>
      <w:r>
        <w:rPr>
          <w:color w:val="auto"/>
          <w:sz w:val="44"/>
          <w:szCs w:val="44"/>
          <w:highlight w:val="none"/>
          <w:lang w:val="zh-CN"/>
        </w:rPr>
        <w:t>目录</w:t>
      </w:r>
    </w:p>
    <w:p>
      <w:pPr>
        <w:rPr>
          <w:color w:val="auto"/>
          <w:sz w:val="44"/>
          <w:szCs w:val="44"/>
          <w:highlight w:val="none"/>
          <w:lang w:val="zh-CN"/>
        </w:rPr>
      </w:pPr>
    </w:p>
    <w:p>
      <w:pPr>
        <w:pStyle w:val="22"/>
        <w:tabs>
          <w:tab w:val="right" w:leader="dot" w:pos="9072"/>
        </w:tabs>
        <w:spacing w:line="720" w:lineRule="auto"/>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highlight w:val="none"/>
        </w:rPr>
        <w:fldChar w:fldCharType="begin"/>
      </w:r>
      <w:r>
        <w:rPr>
          <w:color w:val="auto"/>
          <w:highlight w:val="none"/>
        </w:rPr>
        <w:instrText xml:space="preserve"> HYPERLINK \l "_Toc26965" </w:instrText>
      </w:r>
      <w:r>
        <w:rPr>
          <w:color w:val="auto"/>
          <w:highlight w:val="none"/>
        </w:rPr>
        <w:fldChar w:fldCharType="separate"/>
      </w:r>
      <w:r>
        <w:rPr>
          <w:rFonts w:hint="eastAsia"/>
          <w:color w:val="auto"/>
          <w:sz w:val="28"/>
          <w:szCs w:val="28"/>
          <w:highlight w:val="none"/>
        </w:rPr>
        <w:t>须知前附表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_Toc26965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color w:val="auto"/>
          <w:sz w:val="28"/>
          <w:szCs w:val="28"/>
          <w:highlight w:val="none"/>
        </w:rPr>
        <w:fldChar w:fldCharType="end"/>
      </w:r>
    </w:p>
    <w:p>
      <w:pPr>
        <w:pStyle w:val="22"/>
        <w:tabs>
          <w:tab w:val="right" w:leader="dot" w:pos="9072"/>
        </w:tabs>
        <w:spacing w:line="720" w:lineRule="auto"/>
        <w:rPr>
          <w:color w:val="auto"/>
          <w:sz w:val="28"/>
          <w:szCs w:val="28"/>
          <w:highlight w:val="none"/>
        </w:rPr>
      </w:pPr>
      <w:r>
        <w:rPr>
          <w:color w:val="auto"/>
          <w:highlight w:val="none"/>
        </w:rPr>
        <w:fldChar w:fldCharType="begin"/>
      </w:r>
      <w:r>
        <w:rPr>
          <w:color w:val="auto"/>
          <w:highlight w:val="none"/>
        </w:rPr>
        <w:instrText xml:space="preserve"> HYPERLINK \l "_Toc32510" </w:instrText>
      </w:r>
      <w:r>
        <w:rPr>
          <w:color w:val="auto"/>
          <w:highlight w:val="none"/>
        </w:rPr>
        <w:fldChar w:fldCharType="separate"/>
      </w:r>
      <w:r>
        <w:rPr>
          <w:rFonts w:hint="eastAsia"/>
          <w:color w:val="auto"/>
          <w:sz w:val="28"/>
          <w:szCs w:val="28"/>
          <w:highlight w:val="none"/>
        </w:rPr>
        <w:t>第一章 招标邀请</w:t>
      </w:r>
      <w:r>
        <w:rPr>
          <w:color w:val="auto"/>
          <w:sz w:val="28"/>
          <w:szCs w:val="28"/>
          <w:highlight w:val="none"/>
        </w:rPr>
        <w:tab/>
      </w:r>
      <w:r>
        <w:rPr>
          <w:rFonts w:hint="eastAsia"/>
          <w:color w:val="auto"/>
          <w:sz w:val="28"/>
          <w:szCs w:val="28"/>
          <w:highlight w:val="none"/>
          <w:lang w:val="en-US" w:eastAsia="zh-CN"/>
        </w:rPr>
        <w:t>7</w:t>
      </w:r>
      <w:r>
        <w:rPr>
          <w:color w:val="auto"/>
          <w:sz w:val="28"/>
          <w:szCs w:val="28"/>
          <w:highlight w:val="none"/>
        </w:rPr>
        <w:fldChar w:fldCharType="end"/>
      </w:r>
    </w:p>
    <w:p>
      <w:pPr>
        <w:pStyle w:val="22"/>
        <w:tabs>
          <w:tab w:val="right" w:leader="dot" w:pos="9072"/>
        </w:tabs>
        <w:spacing w:line="720" w:lineRule="auto"/>
        <w:rPr>
          <w:color w:val="auto"/>
          <w:sz w:val="28"/>
          <w:szCs w:val="28"/>
          <w:highlight w:val="none"/>
        </w:rPr>
      </w:pPr>
      <w:r>
        <w:rPr>
          <w:color w:val="auto"/>
          <w:highlight w:val="none"/>
        </w:rPr>
        <w:fldChar w:fldCharType="begin"/>
      </w:r>
      <w:r>
        <w:rPr>
          <w:color w:val="auto"/>
          <w:highlight w:val="none"/>
        </w:rPr>
        <w:instrText xml:space="preserve"> HYPERLINK \l "_Toc26763" </w:instrText>
      </w:r>
      <w:r>
        <w:rPr>
          <w:color w:val="auto"/>
          <w:highlight w:val="none"/>
        </w:rPr>
        <w:fldChar w:fldCharType="separate"/>
      </w:r>
      <w:r>
        <w:rPr>
          <w:rFonts w:hint="eastAsia"/>
          <w:color w:val="auto"/>
          <w:sz w:val="28"/>
          <w:szCs w:val="28"/>
          <w:highlight w:val="none"/>
        </w:rPr>
        <w:t>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_Toc26763 \h </w:instrText>
      </w:r>
      <w:r>
        <w:rPr>
          <w:color w:val="auto"/>
          <w:sz w:val="28"/>
          <w:szCs w:val="28"/>
          <w:highlight w:val="none"/>
        </w:rPr>
        <w:fldChar w:fldCharType="separate"/>
      </w:r>
      <w:r>
        <w:rPr>
          <w:color w:val="auto"/>
          <w:sz w:val="28"/>
          <w:szCs w:val="28"/>
          <w:highlight w:val="none"/>
        </w:rPr>
        <w:t>1</w:t>
      </w:r>
      <w:r>
        <w:rPr>
          <w:rFonts w:hint="eastAsia"/>
          <w:color w:val="auto"/>
          <w:sz w:val="28"/>
          <w:szCs w:val="28"/>
          <w:highlight w:val="none"/>
          <w:lang w:val="en-US" w:eastAsia="zh-CN"/>
        </w:rPr>
        <w:t>1</w:t>
      </w:r>
      <w:r>
        <w:rPr>
          <w:color w:val="auto"/>
          <w:sz w:val="28"/>
          <w:szCs w:val="28"/>
          <w:highlight w:val="none"/>
        </w:rPr>
        <w:fldChar w:fldCharType="end"/>
      </w:r>
      <w:r>
        <w:rPr>
          <w:color w:val="auto"/>
          <w:sz w:val="28"/>
          <w:szCs w:val="28"/>
          <w:highlight w:val="none"/>
        </w:rPr>
        <w:fldChar w:fldCharType="end"/>
      </w:r>
    </w:p>
    <w:p>
      <w:pPr>
        <w:pStyle w:val="22"/>
        <w:tabs>
          <w:tab w:val="right" w:leader="dot" w:pos="9072"/>
        </w:tabs>
        <w:spacing w:line="720" w:lineRule="auto"/>
        <w:rPr>
          <w:color w:val="auto"/>
          <w:sz w:val="28"/>
          <w:szCs w:val="28"/>
          <w:highlight w:val="none"/>
        </w:rPr>
      </w:pPr>
      <w:r>
        <w:rPr>
          <w:color w:val="auto"/>
          <w:highlight w:val="none"/>
        </w:rPr>
        <w:fldChar w:fldCharType="begin"/>
      </w:r>
      <w:r>
        <w:rPr>
          <w:color w:val="auto"/>
          <w:highlight w:val="none"/>
        </w:rPr>
        <w:instrText xml:space="preserve"> HYPERLINK \l "_Toc30905" </w:instrText>
      </w:r>
      <w:r>
        <w:rPr>
          <w:color w:val="auto"/>
          <w:highlight w:val="none"/>
        </w:rPr>
        <w:fldChar w:fldCharType="separate"/>
      </w:r>
      <w:r>
        <w:rPr>
          <w:rFonts w:hint="eastAsia"/>
          <w:color w:val="auto"/>
          <w:sz w:val="28"/>
          <w:szCs w:val="28"/>
          <w:highlight w:val="none"/>
        </w:rPr>
        <w:t>第三章 评分办法及评分标准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_Toc30905 \h </w:instrText>
      </w:r>
      <w:r>
        <w:rPr>
          <w:color w:val="auto"/>
          <w:sz w:val="28"/>
          <w:szCs w:val="28"/>
          <w:highlight w:val="none"/>
        </w:rPr>
        <w:fldChar w:fldCharType="separate"/>
      </w:r>
      <w:r>
        <w:rPr>
          <w:color w:val="auto"/>
          <w:sz w:val="28"/>
          <w:szCs w:val="28"/>
          <w:highlight w:val="none"/>
        </w:rPr>
        <w:t>2</w:t>
      </w:r>
      <w:r>
        <w:rPr>
          <w:rFonts w:hint="eastAsia"/>
          <w:color w:val="auto"/>
          <w:sz w:val="28"/>
          <w:szCs w:val="28"/>
          <w:highlight w:val="none"/>
          <w:lang w:val="en-US" w:eastAsia="zh-CN"/>
        </w:rPr>
        <w:t>6</w:t>
      </w:r>
      <w:r>
        <w:rPr>
          <w:color w:val="auto"/>
          <w:sz w:val="28"/>
          <w:szCs w:val="28"/>
          <w:highlight w:val="none"/>
        </w:rPr>
        <w:fldChar w:fldCharType="end"/>
      </w:r>
      <w:r>
        <w:rPr>
          <w:color w:val="auto"/>
          <w:sz w:val="28"/>
          <w:szCs w:val="28"/>
          <w:highlight w:val="none"/>
        </w:rPr>
        <w:fldChar w:fldCharType="end"/>
      </w:r>
    </w:p>
    <w:p>
      <w:pPr>
        <w:pStyle w:val="22"/>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"_Toc15450" </w:instrText>
      </w:r>
      <w:r>
        <w:rPr>
          <w:color w:val="auto"/>
          <w:highlight w:val="none"/>
        </w:rPr>
        <w:fldChar w:fldCharType="separate"/>
      </w:r>
      <w:r>
        <w:rPr>
          <w:rFonts w:hint="eastAsia"/>
          <w:color w:val="auto"/>
          <w:sz w:val="28"/>
          <w:szCs w:val="28"/>
          <w:highlight w:val="none"/>
        </w:rPr>
        <w:t xml:space="preserve">第四章 </w:t>
      </w:r>
      <w:r>
        <w:rPr>
          <w:rFonts w:hint="eastAsia"/>
          <w:color w:val="auto"/>
          <w:sz w:val="28"/>
          <w:szCs w:val="28"/>
          <w:highlight w:val="none"/>
          <w:lang w:eastAsia="en-US"/>
        </w:rPr>
        <w:t>拟订立的合同样本</w:t>
      </w:r>
      <w:r>
        <w:rPr>
          <w:color w:val="auto"/>
          <w:sz w:val="28"/>
          <w:szCs w:val="28"/>
          <w:highlight w:val="none"/>
        </w:rPr>
        <w:tab/>
      </w:r>
      <w:r>
        <w:rPr>
          <w:rFonts w:hint="eastAsia"/>
          <w:color w:val="auto"/>
          <w:sz w:val="28"/>
          <w:szCs w:val="28"/>
          <w:highlight w:val="none"/>
          <w:lang w:val="en-US" w:eastAsia="zh-CN"/>
        </w:rPr>
        <w:t>3</w:t>
      </w:r>
      <w:r>
        <w:rPr>
          <w:color w:val="auto"/>
          <w:sz w:val="28"/>
          <w:szCs w:val="28"/>
          <w:highlight w:val="none"/>
        </w:rPr>
        <w:fldChar w:fldCharType="end"/>
      </w:r>
      <w:r>
        <w:rPr>
          <w:rFonts w:hint="eastAsia"/>
          <w:color w:val="auto"/>
          <w:sz w:val="28"/>
          <w:szCs w:val="28"/>
          <w:highlight w:val="none"/>
          <w:lang w:val="en-US" w:eastAsia="zh-CN"/>
        </w:rPr>
        <w:t>7</w:t>
      </w:r>
    </w:p>
    <w:p>
      <w:pPr>
        <w:pStyle w:val="22"/>
        <w:tabs>
          <w:tab w:val="right" w:leader="dot" w:pos="9072"/>
        </w:tabs>
        <w:spacing w:line="720" w:lineRule="auto"/>
        <w:rPr>
          <w:rFonts w:hint="eastAsia" w:eastAsia="宋体"/>
          <w:color w:val="auto"/>
          <w:sz w:val="28"/>
          <w:szCs w:val="28"/>
          <w:highlight w:val="none"/>
          <w:lang w:val="en-US" w:eastAsia="zh-CN"/>
        </w:rPr>
      </w:pPr>
      <w:r>
        <w:rPr>
          <w:color w:val="auto"/>
          <w:highlight w:val="none"/>
        </w:rPr>
        <w:fldChar w:fldCharType="begin"/>
      </w:r>
      <w:r>
        <w:rPr>
          <w:color w:val="auto"/>
          <w:highlight w:val="none"/>
        </w:rPr>
        <w:instrText xml:space="preserve"> HYPERLINK \l "_Toc17639" </w:instrText>
      </w:r>
      <w:r>
        <w:rPr>
          <w:color w:val="auto"/>
          <w:highlight w:val="none"/>
        </w:rPr>
        <w:fldChar w:fldCharType="separate"/>
      </w:r>
      <w:r>
        <w:rPr>
          <w:rFonts w:hint="eastAsia"/>
          <w:color w:val="auto"/>
          <w:sz w:val="28"/>
          <w:szCs w:val="28"/>
          <w:highlight w:val="none"/>
        </w:rPr>
        <w:t>第五章 投标文件格式</w:t>
      </w:r>
      <w:r>
        <w:rPr>
          <w:color w:val="auto"/>
          <w:sz w:val="28"/>
          <w:szCs w:val="28"/>
          <w:highlight w:val="none"/>
        </w:rPr>
        <w:tab/>
      </w:r>
      <w:r>
        <w:rPr>
          <w:rFonts w:hint="eastAsia"/>
          <w:color w:val="auto"/>
          <w:sz w:val="28"/>
          <w:szCs w:val="28"/>
          <w:highlight w:val="none"/>
          <w:lang w:val="en-US" w:eastAsia="zh-CN"/>
        </w:rPr>
        <w:t>4</w:t>
      </w:r>
      <w:r>
        <w:rPr>
          <w:rFonts w:hint="eastAsia"/>
          <w:color w:val="auto"/>
          <w:sz w:val="28"/>
          <w:szCs w:val="28"/>
          <w:highlight w:val="none"/>
        </w:rPr>
        <w:fldChar w:fldCharType="end"/>
      </w:r>
      <w:r>
        <w:rPr>
          <w:rFonts w:hint="eastAsia"/>
          <w:color w:val="auto"/>
          <w:sz w:val="28"/>
          <w:szCs w:val="28"/>
          <w:highlight w:val="none"/>
          <w:lang w:val="en-US" w:eastAsia="zh-CN"/>
        </w:rPr>
        <w:t>6</w:t>
      </w:r>
    </w:p>
    <w:p>
      <w:pPr>
        <w:pStyle w:val="22"/>
        <w:tabs>
          <w:tab w:val="right" w:leader="dot" w:pos="9072"/>
        </w:tabs>
        <w:spacing w:line="720" w:lineRule="auto"/>
        <w:rPr>
          <w:color w:val="auto"/>
          <w:highlight w:val="none"/>
        </w:rPr>
      </w:pPr>
      <w:r>
        <w:rPr>
          <w:color w:val="auto"/>
          <w:highlight w:val="none"/>
        </w:rPr>
        <w:fldChar w:fldCharType="begin"/>
      </w:r>
      <w:r>
        <w:rPr>
          <w:color w:val="auto"/>
          <w:highlight w:val="none"/>
        </w:rPr>
        <w:instrText xml:space="preserve"> HYPERLINK \l "_Toc24870" </w:instrText>
      </w:r>
      <w:r>
        <w:rPr>
          <w:color w:val="auto"/>
          <w:highlight w:val="none"/>
        </w:rPr>
        <w:fldChar w:fldCharType="separate"/>
      </w:r>
      <w:r>
        <w:rPr>
          <w:rFonts w:hint="eastAsia"/>
          <w:color w:val="auto"/>
          <w:sz w:val="28"/>
          <w:szCs w:val="28"/>
          <w:highlight w:val="none"/>
        </w:rPr>
        <w:t>第六章 项目需求</w:t>
      </w:r>
      <w:r>
        <w:rPr>
          <w:color w:val="auto"/>
          <w:sz w:val="28"/>
          <w:szCs w:val="28"/>
          <w:highlight w:val="none"/>
        </w:rPr>
        <w:tab/>
      </w:r>
      <w:r>
        <w:rPr>
          <w:rFonts w:hint="eastAsia"/>
          <w:color w:val="auto"/>
          <w:sz w:val="28"/>
          <w:szCs w:val="28"/>
          <w:highlight w:val="none"/>
          <w:lang w:val="en-US" w:eastAsia="zh-CN"/>
        </w:rPr>
        <w:t>70</w:t>
      </w:r>
      <w:r>
        <w:rPr>
          <w:rFonts w:hint="eastAsia"/>
          <w:color w:val="auto"/>
          <w:sz w:val="28"/>
          <w:szCs w:val="28"/>
          <w:highlight w:val="none"/>
        </w:rPr>
        <w:fldChar w:fldCharType="end"/>
      </w:r>
    </w:p>
    <w:p>
      <w:pPr>
        <w:rPr>
          <w:color w:val="auto"/>
          <w:highlight w:val="none"/>
        </w:rPr>
      </w:pPr>
      <w:r>
        <w:rPr>
          <w:color w:val="auto"/>
          <w:szCs w:val="28"/>
          <w:highlight w:val="none"/>
        </w:rPr>
        <w:fldChar w:fldCharType="end"/>
      </w:r>
    </w:p>
    <w:p>
      <w:pPr>
        <w:pStyle w:val="3"/>
        <w:rPr>
          <w:color w:val="auto"/>
          <w:highlight w:val="none"/>
        </w:rPr>
        <w:sectPr>
          <w:headerReference r:id="rId6" w:type="default"/>
          <w:footerReference r:id="rId7"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bookmarkStart w:id="7" w:name="_Toc21554"/>
      <w:bookmarkStart w:id="8" w:name="_Toc26965"/>
      <w:bookmarkStart w:id="9" w:name="_Toc20753"/>
      <w:bookmarkStart w:id="10" w:name="_Toc534725596"/>
      <w:bookmarkStart w:id="11" w:name="_Toc22122"/>
      <w:bookmarkStart w:id="12" w:name="_Toc13808"/>
    </w:p>
    <w:p>
      <w:pPr>
        <w:pStyle w:val="3"/>
        <w:rPr>
          <w:color w:val="auto"/>
          <w:highlight w:val="none"/>
          <w:lang w:eastAsia="en-US"/>
        </w:rPr>
      </w:pPr>
      <w:r>
        <w:rPr>
          <w:rFonts w:hint="eastAsia"/>
          <w:color w:val="auto"/>
          <w:highlight w:val="none"/>
        </w:rPr>
        <w:t>须知前附表</w:t>
      </w:r>
      <w:bookmarkEnd w:id="7"/>
      <w:bookmarkEnd w:id="8"/>
      <w:bookmarkEnd w:id="9"/>
    </w:p>
    <w:tbl>
      <w:tblPr>
        <w:tblStyle w:val="38"/>
        <w:tblW w:w="90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695"/>
        <w:gridCol w:w="663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color w:val="auto"/>
                <w:highlight w:val="none"/>
              </w:rPr>
            </w:pPr>
            <w:r>
              <w:rPr>
                <w:rFonts w:hint="eastAsia" w:hAnsi="宋体" w:cs="Arial"/>
                <w:b/>
                <w:bCs/>
                <w:color w:val="auto"/>
                <w:highlight w:val="none"/>
              </w:rPr>
              <w:t>序号</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color w:val="auto"/>
                <w:highlight w:val="none"/>
              </w:rPr>
            </w:pPr>
            <w:r>
              <w:rPr>
                <w:rFonts w:hint="eastAsia" w:hAnsi="宋体" w:cs="Arial"/>
                <w:b/>
                <w:bCs/>
                <w:color w:val="auto"/>
                <w:highlight w:val="none"/>
              </w:rPr>
              <w:t>内  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color w:val="auto"/>
                <w:highlight w:val="none"/>
              </w:rPr>
            </w:pPr>
            <w:r>
              <w:rPr>
                <w:rFonts w:hint="eastAsia" w:hAnsi="宋体" w:cs="Arial"/>
                <w:b/>
                <w:bCs/>
                <w:color w:val="auto"/>
                <w:highlight w:val="none"/>
              </w:rPr>
              <w:t>说明及要求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8"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项目名称</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default" w:cs="宋体"/>
                <w:b/>
                <w:bCs/>
                <w:color w:val="auto"/>
                <w:kern w:val="0"/>
                <w:sz w:val="36"/>
                <w:szCs w:val="36"/>
                <w:highlight w:val="none"/>
                <w:lang w:val="en-US"/>
              </w:rPr>
            </w:pPr>
            <w:r>
              <w:rPr>
                <w:rFonts w:hint="eastAsia" w:ascii="Times New Roman" w:hAnsi="宋体" w:eastAsia="宋体" w:cs="Arial"/>
                <w:bCs/>
                <w:color w:val="auto"/>
                <w:highlight w:val="none"/>
                <w:lang w:val="en-US" w:eastAsia="zh-Hans"/>
              </w:rPr>
              <w:t>新疆消防救援总队伊犁支队“自然灾害应急能力提升工程”项目</w:t>
            </w:r>
            <w:r>
              <w:rPr>
                <w:rFonts w:hint="eastAsia" w:ascii="Times New Roman" w:hAnsi="宋体" w:eastAsia="宋体" w:cs="Arial"/>
                <w:bCs/>
                <w:color w:val="auto"/>
                <w:highlight w:val="none"/>
                <w:lang w:val="en-US" w:eastAsia="zh-CN"/>
              </w:rPr>
              <w:t>（</w:t>
            </w:r>
            <w:r>
              <w:rPr>
                <w:rFonts w:hint="eastAsia" w:ascii="Times New Roman" w:hAnsi="宋体" w:eastAsia="宋体" w:cs="Arial"/>
                <w:bCs/>
                <w:color w:val="auto"/>
                <w:highlight w:val="none"/>
                <w:lang w:val="en-US" w:eastAsia="zh-Hans"/>
              </w:rPr>
              <w:t>六</w:t>
            </w:r>
            <w:r>
              <w:rPr>
                <w:rFonts w:hint="eastAsia" w:ascii="Times New Roman" w:hAnsi="宋体" w:eastAsia="宋体" w:cs="Arial"/>
                <w:bCs/>
                <w:color w:val="auto"/>
                <w:highlight w:val="none"/>
                <w:lang w:val="en-US" w:eastAsia="zh-CN"/>
              </w:rPr>
              <w:t>）</w:t>
            </w:r>
            <w:r>
              <w:rPr>
                <w:rFonts w:hint="eastAsia" w:hAnsi="宋体" w:cs="Arial"/>
                <w:bCs/>
                <w:color w:val="auto"/>
                <w:highlight w:val="none"/>
                <w:lang w:val="en-US" w:eastAsia="zh-CN"/>
              </w:rPr>
              <w:t>&lt;1-3包&gt;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color w:val="auto"/>
                <w:highlight w:val="none"/>
              </w:rPr>
              <w:t>招标编号</w:t>
            </w:r>
          </w:p>
        </w:tc>
        <w:tc>
          <w:tcPr>
            <w:tcW w:w="6639"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hAnsi="宋体" w:cs="Arial"/>
                <w:bCs/>
                <w:color w:val="auto"/>
                <w:highlight w:val="none"/>
                <w:lang w:val="en-US" w:eastAsia="zh-CN"/>
              </w:rPr>
            </w:pPr>
            <w:r>
              <w:rPr>
                <w:rFonts w:hint="eastAsia" w:hAnsi="宋体" w:eastAsia="宋体" w:cs="Arial"/>
                <w:bCs/>
                <w:color w:val="auto"/>
                <w:highlight w:val="none"/>
                <w:lang w:val="en-US" w:eastAsia="zh-CN"/>
              </w:rPr>
              <w:t>项目编号：YZ-HW-GKZB20240</w:t>
            </w:r>
            <w:r>
              <w:rPr>
                <w:rFonts w:hint="eastAsia" w:hAnsi="宋体" w:cs="Arial"/>
                <w:bCs/>
                <w:color w:val="auto"/>
                <w:highlight w:val="none"/>
                <w:lang w:val="en-US" w:eastAsia="zh-CN"/>
              </w:rPr>
              <w:t>5-1</w:t>
            </w:r>
          </w:p>
          <w:p>
            <w:pPr>
              <w:spacing w:line="400" w:lineRule="exact"/>
              <w:rPr>
                <w:rFonts w:hint="eastAsia" w:hAnsi="宋体" w:cs="Arial"/>
                <w:bCs/>
                <w:color w:val="auto"/>
                <w:highlight w:val="none"/>
                <w:lang w:val="en-US" w:eastAsia="zh-CN"/>
              </w:rPr>
            </w:pPr>
            <w:r>
              <w:rPr>
                <w:rFonts w:hint="eastAsia" w:hAnsi="宋体" w:cs="Arial"/>
                <w:bCs/>
                <w:color w:val="auto"/>
                <w:highlight w:val="none"/>
                <w:lang w:eastAsia="zh-CN"/>
              </w:rPr>
              <w:t>标包编号：第一包：</w:t>
            </w:r>
            <w:r>
              <w:rPr>
                <w:rFonts w:hint="eastAsia" w:hAnsi="宋体" w:eastAsia="宋体" w:cs="Arial"/>
                <w:bCs/>
                <w:color w:val="auto"/>
                <w:highlight w:val="none"/>
                <w:lang w:val="en-US" w:eastAsia="zh-CN"/>
              </w:rPr>
              <w:t>YZ-HW-GKZB20240</w:t>
            </w:r>
            <w:r>
              <w:rPr>
                <w:rFonts w:hint="eastAsia" w:hAnsi="宋体" w:cs="Arial"/>
                <w:bCs/>
                <w:color w:val="auto"/>
                <w:highlight w:val="none"/>
                <w:lang w:val="en-US" w:eastAsia="zh-CN"/>
              </w:rPr>
              <w:t>5-1-01</w:t>
            </w:r>
          </w:p>
          <w:p>
            <w:pPr>
              <w:spacing w:line="400" w:lineRule="exact"/>
              <w:rPr>
                <w:rFonts w:hint="default" w:hAnsi="宋体" w:cs="Arial"/>
                <w:bCs/>
                <w:color w:val="auto"/>
                <w:highlight w:val="none"/>
                <w:lang w:val="en-US" w:eastAsia="zh-CN"/>
              </w:rPr>
            </w:pPr>
            <w:r>
              <w:rPr>
                <w:rFonts w:hint="default" w:hAnsi="宋体" w:cs="Arial"/>
                <w:bCs/>
                <w:color w:val="auto"/>
                <w:highlight w:val="none"/>
                <w:lang w:val="en-US" w:eastAsia="zh-CN"/>
              </w:rPr>
              <w:t>第二包：YZ-HW-GKZB202405-1-0</w:t>
            </w:r>
            <w:r>
              <w:rPr>
                <w:rFonts w:hint="eastAsia" w:hAnsi="宋体" w:cs="Arial"/>
                <w:bCs/>
                <w:color w:val="auto"/>
                <w:highlight w:val="none"/>
                <w:lang w:val="en-US" w:eastAsia="zh-CN"/>
              </w:rPr>
              <w:t>2</w:t>
            </w:r>
          </w:p>
          <w:p>
            <w:pPr>
              <w:spacing w:line="400" w:lineRule="exact"/>
              <w:rPr>
                <w:rFonts w:hint="default" w:hAnsi="宋体" w:cs="Arial"/>
                <w:bCs/>
                <w:color w:val="auto"/>
                <w:highlight w:val="none"/>
                <w:lang w:val="en-US" w:eastAsia="zh-CN"/>
              </w:rPr>
            </w:pPr>
            <w:r>
              <w:rPr>
                <w:rFonts w:hint="eastAsia" w:hAnsi="宋体" w:cs="Arial"/>
                <w:bCs/>
                <w:color w:val="auto"/>
                <w:highlight w:val="none"/>
                <w:lang w:val="en-US" w:eastAsia="zh-CN"/>
              </w:rPr>
              <w:t>第三包：</w:t>
            </w:r>
            <w:r>
              <w:rPr>
                <w:rFonts w:hint="eastAsia" w:hAnsi="宋体" w:eastAsia="宋体" w:cs="Arial"/>
                <w:bCs/>
                <w:color w:val="auto"/>
                <w:highlight w:val="none"/>
                <w:lang w:val="en-US" w:eastAsia="zh-CN"/>
              </w:rPr>
              <w:t>YZ-HW-GKZB20240</w:t>
            </w:r>
            <w:r>
              <w:rPr>
                <w:rFonts w:hint="eastAsia" w:hAnsi="宋体" w:cs="Arial"/>
                <w:bCs/>
                <w:color w:val="auto"/>
                <w:highlight w:val="none"/>
                <w:lang w:val="en-US" w:eastAsia="zh-CN"/>
              </w:rPr>
              <w:t>5-1-03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资金来源</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s="Arial"/>
                <w:bCs/>
                <w:color w:val="auto"/>
                <w:highlight w:val="none"/>
              </w:rPr>
            </w:pPr>
            <w:r>
              <w:rPr>
                <w:rFonts w:hint="eastAsia" w:hAnsi="宋体" w:cs="Arial"/>
                <w:bCs/>
                <w:color w:val="auto"/>
                <w:highlight w:val="none"/>
                <w:lang w:val="en-US" w:eastAsia="zh-CN"/>
              </w:rPr>
              <w:t>国债</w:t>
            </w:r>
            <w:r>
              <w:rPr>
                <w:rFonts w:hint="eastAsia" w:hAnsi="宋体" w:cs="Arial"/>
                <w:bCs/>
                <w:color w:val="auto"/>
                <w:highlight w:val="none"/>
              </w:rPr>
              <w:t>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right w:val="single" w:color="auto" w:sz="4" w:space="0"/>
            </w:tcBorders>
            <w:vAlign w:val="center"/>
          </w:tcPr>
          <w:p>
            <w:pPr>
              <w:spacing w:line="300" w:lineRule="exact"/>
              <w:jc w:val="center"/>
              <w:rPr>
                <w:rFonts w:hAnsi="宋体" w:cs="Arial"/>
                <w:bCs/>
                <w:color w:val="auto"/>
                <w:highlight w:val="none"/>
              </w:rPr>
            </w:pPr>
          </w:p>
        </w:tc>
        <w:tc>
          <w:tcPr>
            <w:tcW w:w="1695" w:type="dxa"/>
            <w:vMerge w:val="restart"/>
            <w:tcBorders>
              <w:top w:val="single" w:color="auto" w:sz="4" w:space="0"/>
              <w:left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预算金额</w:t>
            </w:r>
          </w:p>
          <w:p>
            <w:pPr>
              <w:spacing w:line="288" w:lineRule="auto"/>
              <w:jc w:val="center"/>
              <w:rPr>
                <w:color w:val="auto"/>
                <w:highlight w:val="none"/>
              </w:rPr>
            </w:pPr>
            <w:r>
              <w:rPr>
                <w:rFonts w:hint="eastAsia" w:hAnsi="宋体" w:cs="Arial"/>
                <w:bCs/>
                <w:color w:val="auto"/>
                <w:highlight w:val="none"/>
              </w:rPr>
              <w:t>最高限价</w:t>
            </w:r>
          </w:p>
        </w:tc>
        <w:tc>
          <w:tcPr>
            <w:tcW w:w="6639" w:type="dxa"/>
            <w:tcBorders>
              <w:top w:val="single" w:color="auto" w:sz="4" w:space="0"/>
              <w:left w:val="single" w:color="auto" w:sz="4" w:space="0"/>
              <w:bottom w:val="single" w:color="auto" w:sz="4" w:space="0"/>
              <w:right w:val="single" w:color="auto" w:sz="4" w:space="0"/>
            </w:tcBorders>
            <w:vAlign w:val="center"/>
          </w:tcPr>
          <w:p>
            <w:pPr>
              <w:pStyle w:val="23"/>
              <w:spacing w:line="288" w:lineRule="auto"/>
              <w:jc w:val="left"/>
              <w:rPr>
                <w:rFonts w:hint="eastAsia" w:hAnsi="宋体" w:cs="Arial"/>
                <w:bCs/>
                <w:color w:val="auto"/>
                <w:highlight w:val="none"/>
              </w:rPr>
            </w:pPr>
            <w:r>
              <w:rPr>
                <w:rFonts w:hint="eastAsia" w:hAnsi="宋体" w:cs="Arial"/>
                <w:bCs/>
                <w:color w:val="auto"/>
                <w:highlight w:val="none"/>
              </w:rPr>
              <w:t>预算总金额：</w:t>
            </w:r>
            <w:r>
              <w:rPr>
                <w:rFonts w:hint="eastAsia" w:hAnsi="宋体" w:cs="Arial"/>
                <w:bCs/>
                <w:color w:val="auto"/>
                <w:highlight w:val="none"/>
                <w:lang w:val="en-US" w:eastAsia="zh-CN"/>
              </w:rPr>
              <w:t>744.525</w:t>
            </w:r>
            <w:r>
              <w:rPr>
                <w:rFonts w:hint="eastAsia" w:hAnsi="宋体" w:cs="Arial"/>
                <w:bCs/>
                <w:color w:val="auto"/>
                <w:highlight w:val="none"/>
              </w:rPr>
              <w:t>万元</w:t>
            </w:r>
          </w:p>
          <w:p>
            <w:pPr>
              <w:pStyle w:val="23"/>
              <w:spacing w:line="288" w:lineRule="auto"/>
              <w:jc w:val="left"/>
              <w:rPr>
                <w:rFonts w:hint="eastAsia" w:hAnsi="宋体" w:eastAsia="宋体" w:cs="Arial"/>
                <w:bCs/>
                <w:color w:val="auto"/>
                <w:highlight w:val="none"/>
                <w:lang w:eastAsia="zh-CN"/>
              </w:rPr>
            </w:pPr>
            <w:r>
              <w:rPr>
                <w:rFonts w:hint="eastAsia" w:hAnsi="宋体" w:cs="Arial"/>
                <w:bCs/>
                <w:color w:val="auto"/>
                <w:highlight w:val="none"/>
              </w:rPr>
              <w:t>第一包：</w:t>
            </w:r>
            <w:r>
              <w:rPr>
                <w:rFonts w:hint="eastAsia" w:hAnsi="宋体" w:cs="Arial"/>
                <w:bCs/>
                <w:color w:val="auto"/>
                <w:highlight w:val="none"/>
                <w:lang w:val="en-US" w:eastAsia="zh-CN"/>
              </w:rPr>
              <w:t>256.25</w:t>
            </w:r>
            <w:r>
              <w:rPr>
                <w:rFonts w:hint="eastAsia" w:hAnsi="宋体" w:cs="Arial"/>
                <w:bCs/>
                <w:color w:val="auto"/>
                <w:highlight w:val="none"/>
              </w:rPr>
              <w:t>万元；第二包：</w:t>
            </w:r>
            <w:r>
              <w:rPr>
                <w:rFonts w:hint="eastAsia" w:hAnsi="宋体" w:cs="Arial"/>
                <w:bCs/>
                <w:color w:val="auto"/>
                <w:highlight w:val="none"/>
                <w:lang w:val="en-US" w:eastAsia="zh-CN"/>
              </w:rPr>
              <w:t>359.40</w:t>
            </w:r>
            <w:r>
              <w:rPr>
                <w:rFonts w:hint="eastAsia" w:hAnsi="宋体" w:cs="Arial"/>
                <w:bCs/>
                <w:color w:val="auto"/>
                <w:highlight w:val="none"/>
              </w:rPr>
              <w:t>万元；第三包：</w:t>
            </w:r>
            <w:r>
              <w:rPr>
                <w:rFonts w:hint="eastAsia" w:hAnsi="宋体" w:cs="Arial"/>
                <w:bCs/>
                <w:color w:val="auto"/>
                <w:highlight w:val="none"/>
                <w:lang w:val="en-US" w:eastAsia="zh-CN"/>
              </w:rPr>
              <w:t>128.875</w:t>
            </w:r>
            <w:r>
              <w:rPr>
                <w:rFonts w:hint="eastAsia" w:hAnsi="宋体" w:cs="Arial"/>
                <w:bCs/>
                <w:color w:val="auto"/>
                <w:highlight w:val="none"/>
              </w:rPr>
              <w:t>万元</w:t>
            </w:r>
            <w:r>
              <w:rPr>
                <w:rFonts w:hint="eastAsia" w:hAnsi="宋体" w:cs="Arial"/>
                <w:bCs/>
                <w:color w:val="auto"/>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p>
        </w:tc>
        <w:tc>
          <w:tcPr>
            <w:tcW w:w="1695" w:type="dxa"/>
            <w:vMerge w:val="continue"/>
            <w:tcBorders>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p>
        </w:tc>
        <w:tc>
          <w:tcPr>
            <w:tcW w:w="6639" w:type="dxa"/>
            <w:tcBorders>
              <w:top w:val="single" w:color="auto" w:sz="4" w:space="0"/>
              <w:left w:val="single" w:color="auto" w:sz="4" w:space="0"/>
              <w:bottom w:val="single" w:color="auto" w:sz="4" w:space="0"/>
              <w:right w:val="single" w:color="auto" w:sz="4" w:space="0"/>
            </w:tcBorders>
            <w:vAlign w:val="center"/>
          </w:tcPr>
          <w:p>
            <w:pPr>
              <w:pStyle w:val="23"/>
              <w:spacing w:line="288" w:lineRule="auto"/>
              <w:jc w:val="left"/>
              <w:rPr>
                <w:rFonts w:hint="eastAsia" w:hAnsi="宋体" w:cs="Arial"/>
                <w:bCs/>
                <w:color w:val="auto"/>
                <w:highlight w:val="none"/>
              </w:rPr>
            </w:pPr>
            <w:r>
              <w:rPr>
                <w:rFonts w:hint="eastAsia" w:hAnsi="宋体" w:cs="Arial"/>
                <w:bCs/>
                <w:color w:val="auto"/>
                <w:highlight w:val="none"/>
              </w:rPr>
              <w:t>最高限价：</w:t>
            </w:r>
            <w:r>
              <w:rPr>
                <w:rFonts w:hint="eastAsia" w:hAnsi="宋体" w:cs="Arial"/>
                <w:bCs/>
                <w:color w:val="auto"/>
                <w:highlight w:val="none"/>
                <w:lang w:val="en-US" w:eastAsia="zh-CN"/>
              </w:rPr>
              <w:t>744.525</w:t>
            </w:r>
            <w:r>
              <w:rPr>
                <w:rFonts w:hint="eastAsia" w:hAnsi="宋体" w:cs="Arial"/>
                <w:bCs/>
                <w:color w:val="auto"/>
                <w:highlight w:val="none"/>
              </w:rPr>
              <w:t>万元</w:t>
            </w:r>
          </w:p>
          <w:p>
            <w:pPr>
              <w:pStyle w:val="23"/>
              <w:spacing w:line="288" w:lineRule="auto"/>
              <w:jc w:val="left"/>
              <w:rPr>
                <w:rFonts w:hint="default" w:hAnsi="宋体" w:eastAsia="宋体" w:cs="Arial"/>
                <w:bCs/>
                <w:color w:val="auto"/>
                <w:highlight w:val="none"/>
                <w:lang w:val="en-US" w:eastAsia="zh-CN"/>
              </w:rPr>
            </w:pPr>
            <w:r>
              <w:rPr>
                <w:rFonts w:hint="eastAsia" w:hAnsi="宋体" w:cs="Arial"/>
                <w:bCs/>
                <w:color w:val="auto"/>
                <w:highlight w:val="none"/>
              </w:rPr>
              <w:t>第一包：</w:t>
            </w:r>
            <w:r>
              <w:rPr>
                <w:rFonts w:hint="eastAsia" w:hAnsi="宋体" w:cs="Arial"/>
                <w:bCs/>
                <w:color w:val="auto"/>
                <w:highlight w:val="none"/>
                <w:lang w:val="en-US" w:eastAsia="zh-CN"/>
              </w:rPr>
              <w:t>256.25</w:t>
            </w:r>
            <w:r>
              <w:rPr>
                <w:rFonts w:hint="eastAsia" w:hAnsi="宋体" w:cs="Arial"/>
                <w:bCs/>
                <w:color w:val="auto"/>
                <w:highlight w:val="none"/>
              </w:rPr>
              <w:t>万元</w:t>
            </w:r>
            <w:r>
              <w:rPr>
                <w:rFonts w:hint="eastAsia" w:asciiTheme="minorEastAsia" w:hAnsiTheme="minorEastAsia" w:eastAsiaTheme="minorEastAsia" w:cstheme="minorEastAsia"/>
                <w:bCs/>
                <w:color w:val="auto"/>
                <w:highlight w:val="none"/>
                <w:lang w:val="en-US" w:eastAsia="zh-CN"/>
              </w:rPr>
              <w:t>；</w:t>
            </w:r>
            <w:r>
              <w:rPr>
                <w:rFonts w:hint="eastAsia" w:hAnsi="宋体" w:cs="Arial"/>
                <w:bCs/>
                <w:color w:val="auto"/>
                <w:highlight w:val="none"/>
              </w:rPr>
              <w:t>第二包：</w:t>
            </w:r>
            <w:r>
              <w:rPr>
                <w:rFonts w:hint="eastAsia" w:hAnsi="宋体" w:cs="Arial"/>
                <w:bCs/>
                <w:color w:val="auto"/>
                <w:highlight w:val="none"/>
                <w:lang w:val="en-US" w:eastAsia="zh-CN"/>
              </w:rPr>
              <w:t>359.40</w:t>
            </w:r>
            <w:r>
              <w:rPr>
                <w:rFonts w:hint="eastAsia" w:hAnsi="宋体" w:cs="Arial"/>
                <w:bCs/>
                <w:color w:val="auto"/>
                <w:highlight w:val="none"/>
              </w:rPr>
              <w:t>万元</w:t>
            </w:r>
            <w:r>
              <w:rPr>
                <w:rFonts w:hint="eastAsia" w:asciiTheme="minorEastAsia" w:hAnsiTheme="minorEastAsia" w:eastAsiaTheme="minorEastAsia" w:cstheme="minorEastAsia"/>
                <w:bCs/>
                <w:color w:val="auto"/>
                <w:highlight w:val="none"/>
                <w:lang w:val="en-US" w:eastAsia="zh-CN"/>
              </w:rPr>
              <w:t>；</w:t>
            </w:r>
            <w:r>
              <w:rPr>
                <w:rFonts w:hint="eastAsia" w:hAnsi="宋体" w:cs="Arial"/>
                <w:bCs/>
                <w:color w:val="auto"/>
                <w:highlight w:val="none"/>
              </w:rPr>
              <w:t>第三包：</w:t>
            </w:r>
            <w:r>
              <w:rPr>
                <w:rFonts w:hint="eastAsia" w:hAnsi="宋体" w:cs="Arial"/>
                <w:bCs/>
                <w:color w:val="auto"/>
                <w:highlight w:val="none"/>
                <w:lang w:val="en-US" w:eastAsia="zh-CN"/>
              </w:rPr>
              <w:t>128.875</w:t>
            </w:r>
            <w:r>
              <w:rPr>
                <w:rFonts w:hint="eastAsia" w:hAnsi="宋体" w:cs="Arial"/>
                <w:bCs/>
                <w:color w:val="auto"/>
                <w:highlight w:val="none"/>
              </w:rPr>
              <w:t>万元</w:t>
            </w:r>
            <w:r>
              <w:rPr>
                <w:rFonts w:hint="eastAsia" w:asciiTheme="minorEastAsia" w:hAnsiTheme="minorEastAsia" w:eastAsiaTheme="minorEastAsia" w:cstheme="minorEastAsia"/>
                <w:bCs/>
                <w:color w:val="auto"/>
                <w:highlight w:val="none"/>
                <w:lang w:val="en-US" w:eastAsia="zh-CN"/>
              </w:rPr>
              <w:t>。</w:t>
            </w:r>
          </w:p>
          <w:p>
            <w:pPr>
              <w:pStyle w:val="23"/>
              <w:spacing w:line="288" w:lineRule="auto"/>
              <w:jc w:val="left"/>
              <w:rPr>
                <w:rFonts w:hint="eastAsia" w:asciiTheme="minorEastAsia" w:hAnsiTheme="minorEastAsia" w:eastAsiaTheme="minorEastAsia" w:cstheme="minorEastAsia"/>
                <w:bCs/>
                <w:color w:val="auto"/>
                <w:highlight w:val="none"/>
                <w:lang w:eastAsia="zh-CN"/>
              </w:rPr>
            </w:pPr>
            <w:r>
              <w:rPr>
                <w:rFonts w:hint="eastAsia" w:asciiTheme="minorEastAsia" w:hAnsiTheme="minorEastAsia" w:eastAsiaTheme="minorEastAsia" w:cstheme="minorEastAsia"/>
                <w:bCs/>
                <w:color w:val="auto"/>
                <w:highlight w:val="none"/>
                <w:lang w:eastAsia="zh-CN"/>
              </w:rPr>
              <w:t>（供应商的报价不得超过最高限价，否则其响应文件将被拒绝。）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招标方式</w:t>
            </w:r>
          </w:p>
        </w:tc>
        <w:tc>
          <w:tcPr>
            <w:tcW w:w="6639" w:type="dxa"/>
            <w:tcBorders>
              <w:top w:val="single" w:color="auto" w:sz="4" w:space="0"/>
              <w:left w:val="single" w:color="auto" w:sz="4" w:space="0"/>
              <w:bottom w:val="single" w:color="auto" w:sz="4" w:space="0"/>
              <w:right w:val="single" w:color="auto" w:sz="4" w:space="0"/>
            </w:tcBorders>
            <w:vAlign w:val="center"/>
          </w:tcPr>
          <w:p>
            <w:pPr>
              <w:pStyle w:val="124"/>
              <w:spacing w:line="288" w:lineRule="auto"/>
              <w:ind w:left="0"/>
              <w:rPr>
                <w:rFonts w:ascii="宋体" w:hAnsi="宋体" w:cs="Arial"/>
                <w:bCs/>
                <w:color w:val="auto"/>
                <w:sz w:val="21"/>
                <w:szCs w:val="21"/>
                <w:highlight w:val="none"/>
              </w:rPr>
            </w:pPr>
            <w:r>
              <w:rPr>
                <w:rFonts w:hint="eastAsia" w:ascii="宋体" w:hAnsi="宋体" w:cs="Arial"/>
                <w:bCs/>
                <w:color w:val="auto"/>
                <w:sz w:val="21"/>
                <w:szCs w:val="21"/>
                <w:highlight w:val="none"/>
              </w:rPr>
              <w:t>公开招标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招标内容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详见本招标文件第六章项目需求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lang w:val="en-US" w:eastAsia="zh-CN"/>
              </w:rPr>
              <w:t>供货</w:t>
            </w:r>
            <w:r>
              <w:rPr>
                <w:rFonts w:hint="eastAsia" w:hAnsi="宋体" w:cs="Arial"/>
                <w:bCs/>
                <w:color w:val="auto"/>
                <w:highlight w:val="none"/>
              </w:rPr>
              <w:t>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招标人指定地点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color w:val="auto"/>
                <w:highlight w:val="none"/>
              </w:rPr>
            </w:pPr>
            <w:r>
              <w:rPr>
                <w:rFonts w:hint="eastAsia" w:hAnsi="宋体" w:cs="Arial"/>
                <w:color w:val="auto"/>
                <w:highlight w:val="none"/>
              </w:rPr>
              <w:t>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color w:val="auto"/>
                <w:highlight w:val="none"/>
              </w:rPr>
            </w:pPr>
            <w:r>
              <w:rPr>
                <w:rFonts w:hint="eastAsia" w:hAnsi="宋体" w:cs="宋体"/>
                <w:color w:val="auto"/>
                <w:highlight w:val="none"/>
                <w:lang w:val="en-US" w:eastAsia="zh-CN"/>
              </w:rPr>
              <w:t>供货交付</w:t>
            </w:r>
            <w:r>
              <w:rPr>
                <w:rFonts w:hint="eastAsia" w:hAnsi="宋体" w:cs="宋体"/>
                <w:color w:val="auto"/>
                <w:highlight w:val="none"/>
              </w:rPr>
              <w:t>期限</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hAnsi="宋体" w:eastAsia="宋体"/>
                <w:color w:val="auto"/>
                <w:highlight w:val="none"/>
                <w:lang w:val="en-US" w:eastAsia="zh-CN"/>
              </w:rPr>
            </w:pPr>
            <w:r>
              <w:rPr>
                <w:rFonts w:hint="eastAsia" w:hAnsi="宋体"/>
                <w:color w:val="auto"/>
                <w:highlight w:val="none"/>
              </w:rPr>
              <w:t>签订合同后 45 日内交付货物。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color w:val="auto"/>
                <w:highlight w:val="none"/>
              </w:rPr>
            </w:pPr>
            <w:r>
              <w:rPr>
                <w:rFonts w:hint="eastAsia" w:hAnsi="宋体" w:cs="宋体"/>
                <w:color w:val="auto"/>
                <w:highlight w:val="none"/>
              </w:rPr>
              <w:t>质量标准</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达到招标人要求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color w:val="auto"/>
                <w:highlight w:val="none"/>
              </w:rPr>
            </w:pPr>
            <w:r>
              <w:rPr>
                <w:rFonts w:hint="eastAsia" w:cs="宋体"/>
                <w:color w:val="auto"/>
                <w:highlight w:val="none"/>
              </w:rPr>
              <w:t>付款方式</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rFonts w:hint="eastAsia"/>
                <w:color w:val="auto"/>
                <w:highlight w:val="none"/>
                <w:lang w:val="en-US" w:eastAsia="zh-CN"/>
              </w:rPr>
              <w:t>中标单位按合同约定交付全部产品、安装调试完毕，验收合格并经过结算审计后30日内，采购人按验收报告、结算审计、合同相关条款支付货款100%；如结算审计有审减，按照结算审计结果支付货款；如验收不合格、未完成安装调试，参照第四章违约责任执行。(如采购人有付款需求，在签订合同后，中标单位向采购人提供同等合同金额的银行保函，收到保函，采购人可支付合同金额的100%，待验收合格、安装调试完毕后，根据结算审计结果解除银行质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cs="宋体"/>
                <w:color w:val="auto"/>
                <w:highlight w:val="none"/>
              </w:rPr>
              <w:t>质量保修期</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rFonts w:hint="eastAsia"/>
                <w:color w:val="auto"/>
                <w:highlight w:val="none"/>
              </w:rPr>
              <w:t>消防装备自验收</w:t>
            </w:r>
            <w:r>
              <w:rPr>
                <w:rFonts w:hint="eastAsia"/>
                <w:color w:val="auto"/>
                <w:highlight w:val="none"/>
                <w:lang w:eastAsia="zh-CN"/>
              </w:rPr>
              <w:t>合格</w:t>
            </w:r>
            <w:r>
              <w:rPr>
                <w:rFonts w:hint="eastAsia"/>
                <w:color w:val="auto"/>
                <w:highlight w:val="none"/>
              </w:rPr>
              <w:t>之日起三年</w:t>
            </w:r>
            <w:r>
              <w:rPr>
                <w:rFonts w:hint="eastAsia"/>
                <w:color w:val="auto"/>
                <w:highlight w:val="none"/>
                <w:lang w:eastAsia="zh-CN"/>
              </w:rPr>
              <w:t>，质保期内</w:t>
            </w:r>
            <w:r>
              <w:rPr>
                <w:rFonts w:hint="eastAsia"/>
                <w:color w:val="auto"/>
                <w:highlight w:val="none"/>
              </w:rPr>
              <w:t>免费维修更换相关配件。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cs="宋体"/>
                <w:color w:val="auto"/>
                <w:highlight w:val="none"/>
              </w:rPr>
              <w:t>进口产品</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rPr>
              <w:t>本项目不接受进口产品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cs="宋体"/>
                <w:color w:val="auto"/>
                <w:highlight w:val="none"/>
              </w:rPr>
              <w:t>核心产品</w:t>
            </w:r>
          </w:p>
        </w:tc>
        <w:tc>
          <w:tcPr>
            <w:tcW w:w="6639" w:type="dxa"/>
            <w:tcBorders>
              <w:top w:val="single" w:color="auto" w:sz="4" w:space="0"/>
              <w:left w:val="single" w:color="auto" w:sz="4" w:space="0"/>
              <w:bottom w:val="single" w:color="auto" w:sz="4" w:space="0"/>
              <w:right w:val="single" w:color="auto" w:sz="4" w:space="0"/>
            </w:tcBorders>
            <w:vAlign w:val="center"/>
          </w:tcPr>
          <w:p>
            <w:pPr>
              <w:pStyle w:val="4"/>
              <w:keepNext w:val="0"/>
              <w:keepLines w:val="0"/>
              <w:pageBreakBefore w:val="0"/>
              <w:kinsoku/>
              <w:wordWrap/>
              <w:overflowPunct/>
              <w:topLinePunct w:val="0"/>
              <w:autoSpaceDE/>
              <w:autoSpaceDN/>
              <w:bidi w:val="0"/>
              <w:adjustRightInd/>
              <w:snapToGrid/>
              <w:spacing w:line="320" w:lineRule="exact"/>
              <w:ind w:firstLine="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第一包：</w:t>
            </w:r>
            <w:r>
              <w:rPr>
                <w:rFonts w:hint="eastAsia"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 xml:space="preserve">有  </w:t>
            </w:r>
            <w:r>
              <w:rPr>
                <w:rFonts w:hint="eastAsia"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无 核心产品为：干式水域救援服</w:t>
            </w:r>
            <w:r>
              <w:rPr>
                <w:rFonts w:hint="eastAsia" w:cs="Times New Roman"/>
                <w:color w:val="auto"/>
                <w:kern w:val="2"/>
                <w:sz w:val="21"/>
                <w:szCs w:val="21"/>
                <w:highlight w:val="none"/>
                <w:lang w:val="en-US" w:eastAsia="zh-CN" w:bidi="ar-SA"/>
              </w:rPr>
              <w:t>、湿式水域救援服</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第二包：</w:t>
            </w:r>
            <w:r>
              <w:rPr>
                <w:rFonts w:hint="eastAsia"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 xml:space="preserve">有  </w:t>
            </w:r>
            <w:r>
              <w:rPr>
                <w:rFonts w:hint="eastAsia"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无 核心产品为</w:t>
            </w:r>
            <w:r>
              <w:rPr>
                <w:rFonts w:hint="eastAsia" w:cs="Times New Roman"/>
                <w:color w:val="auto"/>
                <w:kern w:val="2"/>
                <w:sz w:val="21"/>
                <w:szCs w:val="21"/>
                <w:highlight w:val="none"/>
                <w:lang w:val="en-US" w:eastAsia="zh-CN" w:bidi="ar-SA"/>
              </w:rPr>
              <w:t>：干式潜水衣、湿式潜水衣</w:t>
            </w:r>
          </w:p>
          <w:p>
            <w:pPr>
              <w:pStyle w:val="23"/>
              <w:keepNext w:val="0"/>
              <w:keepLines w:val="0"/>
              <w:pageBreakBefore w:val="0"/>
              <w:kinsoku/>
              <w:wordWrap/>
              <w:overflowPunct/>
              <w:topLinePunct w:val="0"/>
              <w:autoSpaceDE/>
              <w:autoSpaceDN/>
              <w:bidi w:val="0"/>
              <w:adjustRightInd/>
              <w:snapToGrid/>
              <w:spacing w:line="320" w:lineRule="exact"/>
              <w:rPr>
                <w:rFonts w:hint="eastAsia"/>
                <w:color w:val="auto"/>
                <w:sz w:val="22"/>
                <w:szCs w:val="22"/>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第三包：</w:t>
            </w:r>
            <w:r>
              <w:rPr>
                <w:rFonts w:hint="eastAsia" w:ascii="Times New Roman" w:hAnsi="Times New Roman"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 xml:space="preserve">有  </w:t>
            </w:r>
            <w:r>
              <w:rPr>
                <w:rFonts w:hint="eastAsia" w:ascii="Times New Roman" w:hAnsi="Times New Roman"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无 核心产品为</w:t>
            </w:r>
            <w:r>
              <w:rPr>
                <w:rFonts w:hint="eastAsia" w:cs="Times New Roman"/>
                <w:color w:val="auto"/>
                <w:kern w:val="2"/>
                <w:sz w:val="21"/>
                <w:szCs w:val="21"/>
                <w:highlight w:val="none"/>
                <w:lang w:val="en-US" w:eastAsia="zh-CN" w:bidi="ar-SA"/>
              </w:rPr>
              <w:t>：冰面救援服、冰域呼吸器组件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12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color w:val="auto"/>
                <w:highlight w:val="none"/>
              </w:rPr>
            </w:pPr>
            <w:r>
              <w:rPr>
                <w:rFonts w:hint="eastAsia" w:ascii="宋体" w:hAnsi="宋体" w:cs="宋体"/>
                <w:color w:val="auto"/>
                <w:highlight w:val="none"/>
                <w:lang w:val="zh-CN"/>
              </w:rPr>
              <w:t>构成招标文件的其他文件</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olor w:val="auto"/>
                <w:highlight w:val="none"/>
              </w:rPr>
            </w:pPr>
            <w:r>
              <w:rPr>
                <w:rFonts w:hint="eastAsia" w:hAnsi="宋体"/>
                <w:color w:val="auto"/>
                <w:highlight w:val="none"/>
                <w:lang w:val="zh-CN"/>
              </w:rPr>
              <w:t>招标文件的澄清、修改书及有关补充通知为招标文件的有效组成部分。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color w:val="auto"/>
                <w:highlight w:val="none"/>
              </w:rPr>
            </w:pPr>
            <w:r>
              <w:rPr>
                <w:rFonts w:hint="eastAsia" w:hAnsi="宋体" w:cs="Arial"/>
                <w:color w:val="auto"/>
                <w:highlight w:val="none"/>
              </w:rPr>
              <w:t>投标人资格要求</w:t>
            </w:r>
          </w:p>
        </w:tc>
        <w:tc>
          <w:tcPr>
            <w:tcW w:w="6639" w:type="dxa"/>
            <w:tcBorders>
              <w:top w:val="single" w:color="auto" w:sz="4" w:space="0"/>
              <w:left w:val="single" w:color="auto" w:sz="4" w:space="0"/>
              <w:bottom w:val="single" w:color="auto" w:sz="4" w:space="0"/>
              <w:right w:val="single" w:color="auto" w:sz="4" w:space="0"/>
            </w:tcBorders>
            <w:vAlign w:val="center"/>
          </w:tcPr>
          <w:p>
            <w:pPr>
              <w:numPr>
                <w:ilvl w:val="0"/>
                <w:numId w:val="7"/>
              </w:numPr>
              <w:spacing w:line="288" w:lineRule="auto"/>
              <w:rPr>
                <w:rFonts w:hint="eastAsia"/>
                <w:color w:val="auto"/>
                <w:highlight w:val="none"/>
                <w:lang w:val="zh-CN"/>
              </w:rPr>
            </w:pPr>
            <w:r>
              <w:rPr>
                <w:rFonts w:hint="eastAsia"/>
                <w:color w:val="auto"/>
                <w:highlight w:val="none"/>
                <w:lang w:val="zh-CN"/>
              </w:rPr>
              <w:t>满足《中华人民共和国政府采购法》第二十二条规定；</w:t>
            </w:r>
          </w:p>
          <w:p>
            <w:pPr>
              <w:numPr>
                <w:ilvl w:val="0"/>
                <w:numId w:val="8"/>
              </w:numPr>
              <w:spacing w:line="288" w:lineRule="auto"/>
              <w:rPr>
                <w:rFonts w:hint="eastAsia"/>
                <w:color w:val="auto"/>
                <w:highlight w:val="none"/>
                <w:lang w:val="zh-CN"/>
              </w:rPr>
            </w:pPr>
            <w:r>
              <w:rPr>
                <w:rFonts w:hint="eastAsia"/>
                <w:color w:val="auto"/>
                <w:highlight w:val="none"/>
                <w:lang w:val="zh-CN"/>
              </w:rPr>
              <w:t>1  具有独立承担民事责任的能力；</w:t>
            </w:r>
          </w:p>
          <w:p>
            <w:pPr>
              <w:numPr>
                <w:ilvl w:val="0"/>
                <w:numId w:val="0"/>
              </w:numPr>
              <w:spacing w:line="288" w:lineRule="auto"/>
              <w:rPr>
                <w:rFonts w:hint="eastAsia"/>
                <w:color w:val="auto"/>
                <w:highlight w:val="none"/>
                <w:lang w:val="zh-CN"/>
              </w:rPr>
            </w:pPr>
            <w:r>
              <w:rPr>
                <w:rFonts w:hint="eastAsia"/>
                <w:color w:val="auto"/>
                <w:highlight w:val="none"/>
                <w:lang w:val="zh-CN"/>
              </w:rPr>
              <w:t>1.2  具有良好的商业信誉和健全的财务会计制度：应提供本单 位 2022 年度或 2023 年度经会计师事务所出具的审计报告复印 件（报告中须包括资产负债表、利润表、现金流量表及财务报 表附注）如供应商注册不满 1 年提供具有良好的商业信誉和健 全的财务会计制度承诺函；</w:t>
            </w:r>
          </w:p>
          <w:p>
            <w:pPr>
              <w:numPr>
                <w:ilvl w:val="0"/>
                <w:numId w:val="0"/>
              </w:numPr>
              <w:spacing w:line="288" w:lineRule="auto"/>
              <w:rPr>
                <w:rFonts w:hint="eastAsia"/>
                <w:color w:val="auto"/>
                <w:highlight w:val="none"/>
                <w:lang w:val="zh-CN"/>
              </w:rPr>
            </w:pPr>
            <w:r>
              <w:rPr>
                <w:rFonts w:hint="eastAsia"/>
                <w:color w:val="auto"/>
                <w:highlight w:val="none"/>
                <w:lang w:val="zh-CN"/>
              </w:rPr>
              <w:t>1.3  具有履行合同所必需的设备和专业技术能力：须附相关证明材料或声明 ；</w:t>
            </w:r>
          </w:p>
          <w:p>
            <w:pPr>
              <w:numPr>
                <w:ilvl w:val="0"/>
                <w:numId w:val="0"/>
              </w:numPr>
              <w:spacing w:line="288" w:lineRule="auto"/>
              <w:rPr>
                <w:spacing w:val="1"/>
              </w:rPr>
            </w:pPr>
            <w:r>
              <w:rPr>
                <w:rFonts w:ascii="Times New Roman" w:hAnsi="Times New Roman" w:eastAsia="Times New Roman" w:cs="Times New Roman"/>
                <w:spacing w:val="-1"/>
              </w:rPr>
              <w:t xml:space="preserve">1.4  </w:t>
            </w:r>
            <w:r>
              <w:rPr>
                <w:spacing w:val="-1"/>
              </w:rPr>
              <w:t>有依法缴纳税收和社会保障资金的良好记录：缴纳税收的证明材料，指供应商缴纳增值税和企业所得税两种缴纳凭据；</w:t>
            </w:r>
            <w:r>
              <w:rPr>
                <w:spacing w:val="-12"/>
              </w:rPr>
              <w:t>本项目开标前</w:t>
            </w:r>
            <w:r>
              <w:rPr>
                <w:spacing w:val="-36"/>
              </w:rPr>
              <w:t xml:space="preserve"> </w:t>
            </w:r>
            <w:r>
              <w:rPr>
                <w:rFonts w:ascii="Times New Roman" w:hAnsi="Times New Roman" w:eastAsia="Times New Roman" w:cs="Times New Roman"/>
                <w:spacing w:val="-12"/>
              </w:rPr>
              <w:t xml:space="preserve">6 </w:t>
            </w:r>
            <w:r>
              <w:rPr>
                <w:spacing w:val="-12"/>
              </w:rPr>
              <w:t>个月内（至少提供</w:t>
            </w:r>
            <w:r>
              <w:rPr>
                <w:spacing w:val="-31"/>
              </w:rPr>
              <w:t xml:space="preserve"> </w:t>
            </w:r>
            <w:r>
              <w:rPr>
                <w:rFonts w:ascii="Times New Roman" w:hAnsi="Times New Roman" w:eastAsia="Times New Roman" w:cs="Times New Roman"/>
                <w:spacing w:val="-12"/>
              </w:rPr>
              <w:t xml:space="preserve">1 </w:t>
            </w:r>
            <w:r>
              <w:rPr>
                <w:spacing w:val="-12"/>
              </w:rPr>
              <w:t>个月）缴纳税收的凭据（完</w:t>
            </w:r>
            <w:r>
              <w:t xml:space="preserve"> </w:t>
            </w:r>
            <w:r>
              <w:rPr>
                <w:spacing w:val="-12"/>
              </w:rPr>
              <w:t>税证、缴款书、印花税票、银行代扣（代缴）转账凭证等均可</w:t>
            </w:r>
            <w:r>
              <w:rPr>
                <w:spacing w:val="-57"/>
                <w:w w:val="89"/>
              </w:rPr>
              <w:t>）；</w:t>
            </w:r>
            <w:r>
              <w:rPr>
                <w:spacing w:val="3"/>
              </w:rPr>
              <w:t xml:space="preserve"> </w:t>
            </w:r>
            <w:r>
              <w:rPr>
                <w:spacing w:val="6"/>
              </w:rPr>
              <w:t xml:space="preserve">供应商依法缴纳社会保障资金的证明材料：本项目开标前 </w:t>
            </w:r>
            <w:r>
              <w:rPr>
                <w:rFonts w:ascii="Times New Roman" w:hAnsi="Times New Roman" w:eastAsia="Times New Roman" w:cs="Times New Roman"/>
                <w:spacing w:val="6"/>
              </w:rPr>
              <w:t>6</w:t>
            </w:r>
            <w:r>
              <w:rPr>
                <w:rFonts w:ascii="Times New Roman" w:hAnsi="Times New Roman" w:eastAsia="Times New Roman" w:cs="Times New Roman"/>
                <w:spacing w:val="5"/>
              </w:rPr>
              <w:t xml:space="preserve">  </w:t>
            </w:r>
            <w:r>
              <w:rPr>
                <w:spacing w:val="-4"/>
              </w:rPr>
              <w:t>个月内（至少提供</w:t>
            </w:r>
            <w:r>
              <w:rPr>
                <w:spacing w:val="-15"/>
              </w:rPr>
              <w:t xml:space="preserve"> </w:t>
            </w:r>
            <w:r>
              <w:rPr>
                <w:rFonts w:ascii="Times New Roman" w:hAnsi="Times New Roman" w:eastAsia="Times New Roman" w:cs="Times New Roman"/>
                <w:spacing w:val="-4"/>
              </w:rPr>
              <w:t xml:space="preserve">1 </w:t>
            </w:r>
            <w:r>
              <w:rPr>
                <w:spacing w:val="-4"/>
              </w:rPr>
              <w:t>个月）缴纳社会保险的凭据（专用收据或</w:t>
            </w:r>
            <w:r>
              <w:t xml:space="preserve"> </w:t>
            </w:r>
            <w:r>
              <w:rPr>
                <w:spacing w:val="1"/>
              </w:rPr>
              <w:t>社会保险交纳清单</w:t>
            </w:r>
            <w:r>
              <w:rPr>
                <w:spacing w:val="7"/>
              </w:rPr>
              <w:t>）；</w:t>
            </w:r>
            <w:r>
              <w:rPr>
                <w:spacing w:val="14"/>
              </w:rPr>
              <w:t xml:space="preserve"> </w:t>
            </w:r>
            <w:r>
              <w:rPr>
                <w:spacing w:val="1"/>
              </w:rPr>
              <w:t>供应商为其他组织或自然人的，也需要按此项规定提供缴纳税收的凭据和交纳社会保险的凭据。如 供应商的社会保险为委托第三方代缴，还需同时提供供应商与 第三方服务机构签署的服务合同（合同中应明确写明第三方为</w:t>
            </w:r>
          </w:p>
          <w:p>
            <w:pPr>
              <w:numPr>
                <w:ilvl w:val="0"/>
                <w:numId w:val="0"/>
              </w:numPr>
              <w:spacing w:line="288" w:lineRule="auto"/>
              <w:rPr>
                <w:rFonts w:hint="eastAsia" w:eastAsia="宋体"/>
                <w:spacing w:val="1"/>
                <w:lang w:eastAsia="zh-CN"/>
              </w:rPr>
            </w:pPr>
            <w:r>
              <w:rPr>
                <w:spacing w:val="1"/>
              </w:rPr>
              <w:t>供应商代缴其社会保险）</w:t>
            </w:r>
            <w:r>
              <w:rPr>
                <w:rFonts w:hint="eastAsia"/>
                <w:spacing w:val="1"/>
                <w:lang w:eastAsia="zh-CN"/>
              </w:rPr>
              <w:t>；</w:t>
            </w:r>
          </w:p>
          <w:p>
            <w:pPr>
              <w:numPr>
                <w:ilvl w:val="0"/>
                <w:numId w:val="0"/>
              </w:numPr>
              <w:spacing w:line="288" w:lineRule="auto"/>
              <w:rPr>
                <w:spacing w:val="1"/>
              </w:rPr>
            </w:pPr>
            <w:r>
              <w:rPr>
                <w:spacing w:val="1"/>
              </w:rPr>
              <w:t>1.5  参加政府采购活动前三年内，在经营活动中没有重大违法记录：提供前三年内在经营活动中没有重大违法记录的书面声明；</w:t>
            </w:r>
          </w:p>
          <w:p>
            <w:pPr>
              <w:numPr>
                <w:ilvl w:val="0"/>
                <w:numId w:val="0"/>
              </w:numPr>
              <w:spacing w:line="288" w:lineRule="auto"/>
              <w:rPr>
                <w:rFonts w:hint="eastAsia"/>
                <w:color w:val="auto"/>
                <w:highlight w:val="none"/>
                <w:lang w:val="zh-CN"/>
              </w:rPr>
            </w:pPr>
            <w:r>
              <w:rPr>
                <w:spacing w:val="1"/>
              </w:rPr>
              <w:t>1.6  法律、行政法规规定的其他条件。</w:t>
            </w:r>
          </w:p>
          <w:p>
            <w:pPr>
              <w:spacing w:line="400" w:lineRule="exact"/>
              <w:rPr>
                <w:color w:val="auto"/>
                <w:highlight w:val="none"/>
                <w:lang w:val="zh-CN"/>
              </w:rPr>
            </w:pPr>
            <w:r>
              <w:rPr>
                <w:rFonts w:hint="eastAsia"/>
                <w:color w:val="auto"/>
                <w:highlight w:val="none"/>
                <w:lang w:val="zh-CN"/>
              </w:rPr>
              <w:t>2.落实政府采购政策需满足的资格要求：1）</w:t>
            </w:r>
            <w:r>
              <w:rPr>
                <w:rFonts w:hint="eastAsia"/>
                <w:color w:val="auto"/>
                <w:highlight w:val="none"/>
                <w:lang w:val="en-US" w:eastAsia="zh-CN"/>
              </w:rPr>
              <w:t>本项目</w:t>
            </w:r>
            <w:r>
              <w:rPr>
                <w:rFonts w:hint="eastAsia"/>
                <w:color w:val="auto"/>
                <w:highlight w:val="none"/>
                <w:lang w:val="zh-CN"/>
              </w:rPr>
              <w:t>为</w:t>
            </w:r>
            <w:r>
              <w:rPr>
                <w:rFonts w:hint="eastAsia"/>
                <w:color w:val="auto"/>
                <w:highlight w:val="none"/>
              </w:rPr>
              <w:t>专门面向</w:t>
            </w:r>
            <w:r>
              <w:rPr>
                <w:rFonts w:hint="eastAsia"/>
                <w:color w:val="auto"/>
                <w:highlight w:val="none"/>
                <w:lang w:val="zh-CN"/>
              </w:rPr>
              <w:t>中小企业采购，</w:t>
            </w:r>
            <w:r>
              <w:rPr>
                <w:rFonts w:hint="eastAsia" w:ascii="宋体" w:hAnsi="宋体" w:eastAsia="宋体" w:cs="宋体"/>
                <w:color w:val="auto"/>
                <w:highlight w:val="none"/>
                <w:lang w:val="zh-CN"/>
              </w:rPr>
              <w:t>价格不再进行财政政策扣除</w:t>
            </w:r>
            <w:r>
              <w:rPr>
                <w:rFonts w:hint="eastAsia"/>
                <w:color w:val="auto"/>
                <w:highlight w:val="none"/>
                <w:lang w:val="zh-CN"/>
              </w:rPr>
              <w:t>； 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288" w:lineRule="auto"/>
              <w:rPr>
                <w:color w:val="auto"/>
                <w:highlight w:val="none"/>
                <w:lang w:val="zh-CN"/>
              </w:rPr>
            </w:pPr>
            <w:r>
              <w:rPr>
                <w:rFonts w:hint="eastAsia"/>
                <w:color w:val="auto"/>
                <w:highlight w:val="none"/>
              </w:rPr>
              <w:t>3</w:t>
            </w:r>
            <w:r>
              <w:rPr>
                <w:rFonts w:hint="eastAsia"/>
                <w:color w:val="auto"/>
                <w:highlight w:val="none"/>
                <w:lang w:val="zh-CN"/>
              </w:rPr>
              <w:t>.本项目的特定资格要求：</w:t>
            </w:r>
          </w:p>
          <w:p>
            <w:pPr>
              <w:spacing w:line="288" w:lineRule="auto"/>
              <w:rPr>
                <w:color w:val="auto"/>
                <w:highlight w:val="none"/>
              </w:rPr>
            </w:pPr>
            <w:r>
              <w:rPr>
                <w:rFonts w:hint="eastAsia"/>
                <w:color w:val="auto"/>
                <w:highlight w:val="none"/>
              </w:rPr>
              <w:t>3.1与招标人存在利害关系可能影响招标公正性的法人、其他组织或者个人，不得参加同一标段投标或者未划分标段的同一招标不得参加投标；</w:t>
            </w:r>
          </w:p>
          <w:p>
            <w:pPr>
              <w:spacing w:line="288" w:lineRule="auto"/>
              <w:rPr>
                <w:color w:val="auto"/>
                <w:highlight w:val="none"/>
              </w:rPr>
            </w:pPr>
            <w:r>
              <w:rPr>
                <w:rFonts w:hint="eastAsia"/>
                <w:color w:val="auto"/>
                <w:highlight w:val="none"/>
              </w:rPr>
              <w:t>3.2 投标人负责人为同一人或者存在控股、管理关系的不同单位，不得同时参加本项目的投标。</w:t>
            </w:r>
          </w:p>
          <w:p>
            <w:pPr>
              <w:pStyle w:val="4"/>
              <w:ind w:firstLine="0"/>
              <w:rPr>
                <w:color w:val="auto"/>
                <w:highlight w:val="none"/>
              </w:rPr>
            </w:pPr>
            <w:r>
              <w:rPr>
                <w:rFonts w:hint="eastAsia"/>
                <w:color w:val="auto"/>
                <w:highlight w:val="none"/>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288" w:lineRule="auto"/>
              <w:rPr>
                <w:color w:val="auto"/>
                <w:highlight w:val="none"/>
              </w:rPr>
            </w:pPr>
            <w:r>
              <w:rPr>
                <w:rFonts w:hint="eastAsia"/>
                <w:color w:val="auto"/>
                <w:highlight w:val="none"/>
              </w:rPr>
              <w:t>4.本项目不接受联合体投标。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投标保证金</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color w:val="auto"/>
                <w:highlight w:val="none"/>
              </w:rPr>
            </w:pPr>
            <w:r>
              <w:rPr>
                <w:rFonts w:hint="eastAsia"/>
                <w:color w:val="auto"/>
                <w:highlight w:val="none"/>
              </w:rPr>
              <w:t>1. 投标保证金金额：</w:t>
            </w:r>
          </w:p>
          <w:p>
            <w:pPr>
              <w:pStyle w:val="23"/>
              <w:rPr>
                <w:color w:val="auto"/>
                <w:highlight w:val="none"/>
              </w:rPr>
            </w:pPr>
            <w:r>
              <w:rPr>
                <w:rFonts w:hint="eastAsia"/>
                <w:color w:val="auto"/>
                <w:highlight w:val="none"/>
              </w:rPr>
              <w:t>一包：</w:t>
            </w:r>
            <w:r>
              <w:rPr>
                <w:rFonts w:hint="eastAsia"/>
                <w:color w:val="auto"/>
                <w:highlight w:val="none"/>
                <w:lang w:val="en-US" w:eastAsia="zh-CN"/>
              </w:rPr>
              <w:t>19100</w:t>
            </w:r>
            <w:r>
              <w:rPr>
                <w:rFonts w:hint="eastAsia"/>
                <w:color w:val="auto"/>
                <w:highlight w:val="none"/>
              </w:rPr>
              <w:t>元，大写：</w:t>
            </w:r>
            <w:r>
              <w:rPr>
                <w:rFonts w:hint="eastAsia"/>
                <w:color w:val="auto"/>
                <w:highlight w:val="none"/>
                <w:lang w:val="en-US" w:eastAsia="zh-CN"/>
              </w:rPr>
              <w:t>壹万玖仟壹佰元整</w:t>
            </w:r>
            <w:r>
              <w:rPr>
                <w:rFonts w:hint="eastAsia"/>
                <w:color w:val="auto"/>
                <w:highlight w:val="none"/>
              </w:rPr>
              <w:t>；</w:t>
            </w:r>
          </w:p>
          <w:p>
            <w:pPr>
              <w:pStyle w:val="23"/>
              <w:rPr>
                <w:color w:val="auto"/>
                <w:highlight w:val="none"/>
              </w:rPr>
            </w:pPr>
            <w:r>
              <w:rPr>
                <w:rFonts w:hint="eastAsia"/>
                <w:color w:val="auto"/>
                <w:highlight w:val="none"/>
              </w:rPr>
              <w:t>二包：</w:t>
            </w:r>
            <w:r>
              <w:rPr>
                <w:rFonts w:hint="eastAsia"/>
                <w:color w:val="auto"/>
                <w:highlight w:val="none"/>
                <w:lang w:val="en-US" w:eastAsia="zh-CN"/>
              </w:rPr>
              <w:t>19200</w:t>
            </w:r>
            <w:r>
              <w:rPr>
                <w:rFonts w:hint="eastAsia"/>
                <w:color w:val="auto"/>
                <w:highlight w:val="none"/>
              </w:rPr>
              <w:t>元，大写：</w:t>
            </w:r>
            <w:r>
              <w:rPr>
                <w:rFonts w:hint="eastAsia"/>
                <w:color w:val="auto"/>
                <w:highlight w:val="none"/>
                <w:lang w:val="en-US" w:eastAsia="zh-CN"/>
              </w:rPr>
              <w:t>壹万玖仟贰佰元整</w:t>
            </w:r>
            <w:r>
              <w:rPr>
                <w:rFonts w:hint="eastAsia"/>
                <w:color w:val="auto"/>
                <w:highlight w:val="none"/>
              </w:rPr>
              <w:t>；</w:t>
            </w:r>
          </w:p>
          <w:p>
            <w:pPr>
              <w:pStyle w:val="23"/>
              <w:rPr>
                <w:color w:val="auto"/>
                <w:highlight w:val="none"/>
              </w:rPr>
            </w:pPr>
            <w:r>
              <w:rPr>
                <w:rFonts w:hint="eastAsia"/>
                <w:color w:val="auto"/>
                <w:highlight w:val="none"/>
              </w:rPr>
              <w:t>三包：</w:t>
            </w:r>
            <w:r>
              <w:rPr>
                <w:rFonts w:hint="eastAsia"/>
                <w:color w:val="auto"/>
                <w:highlight w:val="none"/>
                <w:lang w:val="en-US" w:eastAsia="zh-CN"/>
              </w:rPr>
              <w:t>19300</w:t>
            </w:r>
            <w:r>
              <w:rPr>
                <w:rFonts w:hint="eastAsia"/>
                <w:color w:val="auto"/>
                <w:highlight w:val="none"/>
              </w:rPr>
              <w:t>元，大写：</w:t>
            </w:r>
            <w:r>
              <w:rPr>
                <w:rFonts w:hint="eastAsia"/>
                <w:color w:val="auto"/>
                <w:highlight w:val="none"/>
                <w:lang w:val="en-US" w:eastAsia="zh-CN"/>
              </w:rPr>
              <w:t>壹万玖仟叁佰元整</w:t>
            </w:r>
            <w:r>
              <w:rPr>
                <w:rFonts w:hint="eastAsia"/>
                <w:color w:val="auto"/>
                <w:highlight w:val="none"/>
              </w:rPr>
              <w:t>；</w:t>
            </w:r>
          </w:p>
          <w:p>
            <w:pPr>
              <w:spacing w:line="360" w:lineRule="exact"/>
              <w:rPr>
                <w:color w:val="auto"/>
                <w:highlight w:val="none"/>
                <w:lang w:val="zh-CN"/>
              </w:rPr>
            </w:pPr>
            <w:r>
              <w:rPr>
                <w:rFonts w:hint="eastAsia"/>
                <w:color w:val="auto"/>
                <w:highlight w:val="none"/>
              </w:rPr>
              <w:t>2.</w:t>
            </w:r>
            <w:r>
              <w:rPr>
                <w:rFonts w:hint="eastAsia"/>
                <w:color w:val="auto"/>
                <w:highlight w:val="none"/>
                <w:lang w:val="zh-CN"/>
              </w:rPr>
              <w:t>投标保证金递交截止时间：投标文件递交截止时间前。</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auto"/>
                <w:highlight w:val="none"/>
              </w:rPr>
            </w:pPr>
            <w:r>
              <w:rPr>
                <w:rFonts w:hint="eastAsia"/>
                <w:color w:val="auto"/>
                <w:highlight w:val="none"/>
              </w:rPr>
              <w:t>3.投标保证金缴纳形式：投标保证金应当以支票、汇票、本票或者金融机构、担保机构出具的保函等非现金形式提交</w:t>
            </w:r>
            <w:r>
              <w:rPr>
                <w:rFonts w:hint="eastAsia"/>
                <w:color w:val="auto"/>
                <w:highlight w:val="none"/>
                <w:lang w:eastAsia="zh-CN"/>
              </w:rPr>
              <w:t>，</w:t>
            </w:r>
            <w:r>
              <w:rPr>
                <w:rFonts w:hint="eastAsia"/>
                <w:color w:val="auto"/>
                <w:highlight w:val="none"/>
              </w:rPr>
              <w:t>投标人未按照招标文件要求提交投标保证金的，投标无效。</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auto"/>
                <w:highlight w:val="none"/>
              </w:rPr>
            </w:pPr>
            <w:r>
              <w:rPr>
                <w:rFonts w:hint="eastAsia"/>
                <w:color w:val="auto"/>
                <w:highlight w:val="none"/>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pPr>
              <w:keepNext w:val="0"/>
              <w:keepLines w:val="0"/>
              <w:pageBreakBefore w:val="0"/>
              <w:widowControl w:val="0"/>
              <w:kinsoku/>
              <w:wordWrap/>
              <w:overflowPunct/>
              <w:topLinePunct w:val="0"/>
              <w:autoSpaceDE/>
              <w:autoSpaceDN/>
              <w:bidi w:val="0"/>
              <w:adjustRightInd/>
              <w:snapToGrid/>
              <w:spacing w:line="400" w:lineRule="exact"/>
              <w:textAlignment w:val="auto"/>
              <w:rPr>
                <w:color w:val="auto"/>
                <w:highlight w:val="none"/>
              </w:rPr>
            </w:pPr>
            <w:r>
              <w:rPr>
                <w:rFonts w:hint="eastAsia"/>
                <w:color w:val="auto"/>
                <w:highlight w:val="none"/>
              </w:rPr>
              <w:t>5.投标保证金递交的开户银行及账号如下：</w:t>
            </w:r>
          </w:p>
          <w:p>
            <w:pPr>
              <w:spacing w:line="360" w:lineRule="exact"/>
              <w:rPr>
                <w:color w:val="auto"/>
                <w:highlight w:val="none"/>
              </w:rPr>
            </w:pPr>
            <w:r>
              <w:rPr>
                <w:rFonts w:hint="eastAsia"/>
                <w:color w:val="auto"/>
                <w:highlight w:val="none"/>
              </w:rPr>
              <w:t>账户名称：</w:t>
            </w:r>
            <w:r>
              <w:rPr>
                <w:rFonts w:hint="eastAsia" w:ascii="Times New Roman" w:hAnsi="Times New Roman" w:cs="Times New Roman"/>
              </w:rPr>
              <w:t>新疆伊筑工程管理有限公司</w:t>
            </w:r>
          </w:p>
          <w:p>
            <w:pPr>
              <w:spacing w:line="360" w:lineRule="exact"/>
              <w:rPr>
                <w:color w:val="auto"/>
                <w:highlight w:val="none"/>
              </w:rPr>
            </w:pPr>
            <w:r>
              <w:rPr>
                <w:rFonts w:hint="eastAsia"/>
                <w:color w:val="auto"/>
                <w:highlight w:val="none"/>
              </w:rPr>
              <w:t>账    号：</w:t>
            </w:r>
            <w:r>
              <w:rPr>
                <w:rFonts w:hint="eastAsia" w:ascii="Times New Roman" w:hAnsi="Times New Roman" w:cs="Times New Roman"/>
              </w:rPr>
              <w:t>3006022009200735786</w:t>
            </w:r>
          </w:p>
          <w:p>
            <w:pPr>
              <w:spacing w:line="360" w:lineRule="exact"/>
              <w:rPr>
                <w:color w:val="auto"/>
                <w:highlight w:val="none"/>
              </w:rPr>
            </w:pPr>
            <w:r>
              <w:rPr>
                <w:rFonts w:hint="eastAsia"/>
                <w:color w:val="auto"/>
                <w:highlight w:val="none"/>
              </w:rPr>
              <w:t>开户行名称：</w:t>
            </w:r>
            <w:r>
              <w:rPr>
                <w:rFonts w:hint="eastAsia" w:ascii="Times New Roman" w:hAnsi="Times New Roman" w:cs="Times New Roman"/>
              </w:rPr>
              <w:t>中国工商银行股份有限公司伊犁哈萨克自治州分行</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eastAsia="宋体"/>
                <w:color w:val="auto"/>
                <w:highlight w:val="none"/>
                <w:lang w:val="en-US" w:eastAsia="zh-CN"/>
              </w:rPr>
            </w:pPr>
            <w:r>
              <w:rPr>
                <w:rFonts w:hint="eastAsia"/>
                <w:color w:val="auto"/>
                <w:highlight w:val="none"/>
              </w:rPr>
              <w:t>注意：不得以现金的方式和其他的形式缴纳，不得以办事处或其他机构名义缴纳，投标人在缴纳保证金时，需在进账凭证上明确自己用途和投标项目，并注明联系人及电话，以便查对核实。请投标人按上述要求将投标保证金汇入指定的开户银行，未按规定提交投标保证金的投标，将被视为投标无效。保证金事宜请联系财务室：</w:t>
            </w:r>
            <w:r>
              <w:rPr>
                <w:rFonts w:hint="eastAsia"/>
                <w:color w:val="auto"/>
                <w:highlight w:val="none"/>
                <w:lang w:eastAsia="zh-CN"/>
              </w:rPr>
              <w:t>099</w:t>
            </w:r>
            <w:r>
              <w:rPr>
                <w:rFonts w:hint="eastAsia"/>
                <w:color w:val="auto"/>
                <w:highlight w:val="none"/>
                <w:lang w:val="en-US" w:eastAsia="zh-CN"/>
              </w:rPr>
              <w:t>9-8988777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投标有效期</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left"/>
              <w:rPr>
                <w:rFonts w:ascii="宋体" w:hAnsi="宋体" w:cs="Arial"/>
                <w:bCs/>
                <w:color w:val="auto"/>
                <w:highlight w:val="none"/>
              </w:rPr>
            </w:pPr>
            <w:r>
              <w:rPr>
                <w:rFonts w:hint="eastAsia" w:ascii="宋体" w:hAnsi="宋体" w:cs="宋体"/>
                <w:color w:val="auto"/>
                <w:kern w:val="0"/>
                <w:highlight w:val="none"/>
              </w:rPr>
              <w:t>递交</w:t>
            </w:r>
            <w:r>
              <w:rPr>
                <w:rFonts w:ascii="宋体" w:hAnsi="宋体" w:cs="宋体"/>
                <w:color w:val="auto"/>
                <w:kern w:val="0"/>
                <w:highlight w:val="none"/>
              </w:rPr>
              <w:t>投标文件的截止之日</w:t>
            </w:r>
            <w:r>
              <w:rPr>
                <w:rFonts w:hint="eastAsia" w:cs="宋体"/>
                <w:color w:val="auto"/>
                <w:kern w:val="0"/>
                <w:highlight w:val="none"/>
              </w:rPr>
              <w:t>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现场踏勘</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color w:val="auto"/>
                <w:highlight w:val="none"/>
              </w:rPr>
            </w:pPr>
            <w:r>
              <w:rPr>
                <w:rFonts w:hint="eastAsia" w:hAnsi="宋体" w:cs="Arial"/>
                <w:bCs/>
                <w:color w:val="auto"/>
                <w:highlight w:val="none"/>
              </w:rPr>
              <w:t>本项目不安排现场踏勘。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投标文件</w:t>
            </w:r>
          </w:p>
          <w:p>
            <w:pPr>
              <w:spacing w:line="288" w:lineRule="auto"/>
              <w:jc w:val="center"/>
              <w:rPr>
                <w:rFonts w:ascii="宋体" w:hAnsi="宋体" w:cs="Arial"/>
                <w:bCs/>
                <w:color w:val="auto"/>
                <w:highlight w:val="none"/>
              </w:rPr>
            </w:pPr>
            <w:r>
              <w:rPr>
                <w:rFonts w:hint="eastAsia" w:hAnsi="宋体" w:cs="Arial"/>
                <w:bCs/>
                <w:color w:val="auto"/>
                <w:highlight w:val="none"/>
              </w:rPr>
              <w:t>份数</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rFonts w:hint="eastAsia"/>
                <w:color w:val="auto"/>
                <w:highlight w:val="none"/>
              </w:rPr>
              <w:t>1、一份正本、四份副本</w:t>
            </w:r>
            <w:r>
              <w:rPr>
                <w:rFonts w:hint="eastAsia"/>
                <w:b/>
                <w:bCs/>
                <w:color w:val="auto"/>
                <w:highlight w:val="none"/>
              </w:rPr>
              <w:t>（报价文件单独胶装成一册，</w:t>
            </w:r>
            <w:r>
              <w:rPr>
                <w:rFonts w:hint="eastAsia"/>
                <w:b/>
                <w:bCs/>
                <w:color w:val="auto"/>
                <w:highlight w:val="none"/>
                <w:lang w:val="en-US" w:eastAsia="zh-CN"/>
              </w:rPr>
              <w:t>商务技术</w:t>
            </w:r>
            <w:r>
              <w:rPr>
                <w:rFonts w:hint="eastAsia"/>
                <w:b/>
                <w:bCs/>
                <w:color w:val="auto"/>
                <w:highlight w:val="none"/>
              </w:rPr>
              <w:t>文件合并胶装）。</w:t>
            </w:r>
          </w:p>
          <w:p>
            <w:pPr>
              <w:spacing w:line="288" w:lineRule="auto"/>
              <w:rPr>
                <w:rFonts w:hint="default" w:ascii="宋体" w:hAnsi="宋体" w:cs="Arial"/>
                <w:bCs/>
                <w:color w:val="auto"/>
                <w:highlight w:val="none"/>
                <w:lang w:val="en-US"/>
              </w:rPr>
            </w:pPr>
            <w:r>
              <w:rPr>
                <w:rFonts w:hint="eastAsia"/>
                <w:color w:val="auto"/>
                <w:highlight w:val="none"/>
              </w:rPr>
              <w:t>2、电子文档：1份光盘，1份U盘。格式为WORD版和签章后的投标文件正本扫描件PDF版，样品讲解视频</w:t>
            </w:r>
            <w:r>
              <w:rPr>
                <w:rFonts w:hint="eastAsia"/>
                <w:color w:val="auto"/>
                <w:highlight w:val="none"/>
                <w:lang w:val="en-US" w:eastAsia="zh-CN"/>
              </w:rPr>
              <w:t>光盘1份，U盘一份。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color w:val="auto"/>
                <w:highlight w:val="none"/>
              </w:rPr>
            </w:pPr>
            <w:r>
              <w:rPr>
                <w:rFonts w:hint="eastAsia" w:hAnsi="宋体" w:cs="Arial"/>
                <w:color w:val="auto"/>
                <w:highlight w:val="none"/>
              </w:rPr>
              <w:t>18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hAnsi="宋体" w:cs="Arial"/>
                <w:bCs/>
                <w:color w:val="auto"/>
                <w:highlight w:val="none"/>
              </w:rPr>
              <w:t>投标截止时间及投标文件递交地点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int="eastAsia" w:hAnsi="宋体" w:cs="Arial"/>
                <w:bCs/>
                <w:color w:val="auto"/>
                <w:highlight w:val="none"/>
              </w:rPr>
            </w:pPr>
            <w:r>
              <w:rPr>
                <w:rFonts w:hint="eastAsia" w:hAnsi="宋体" w:cs="Arial"/>
                <w:bCs/>
                <w:color w:val="auto"/>
                <w:highlight w:val="none"/>
              </w:rPr>
              <w:t>投标截止时间：</w:t>
            </w:r>
            <w:r>
              <w:rPr>
                <w:rFonts w:hint="eastAsia" w:hAnsi="宋体" w:cs="Arial"/>
                <w:bCs/>
                <w:color w:val="auto"/>
                <w:highlight w:val="green"/>
              </w:rPr>
              <w:t>202</w:t>
            </w:r>
            <w:r>
              <w:rPr>
                <w:rFonts w:hint="eastAsia" w:hAnsi="宋体" w:cs="Arial"/>
                <w:bCs/>
                <w:color w:val="auto"/>
                <w:highlight w:val="green"/>
                <w:lang w:val="en-US" w:eastAsia="zh-CN"/>
              </w:rPr>
              <w:t>4</w:t>
            </w:r>
            <w:r>
              <w:rPr>
                <w:rFonts w:hint="eastAsia" w:hAnsi="宋体" w:cs="Arial"/>
                <w:bCs/>
                <w:color w:val="auto"/>
                <w:highlight w:val="green"/>
              </w:rPr>
              <w:t>年</w:t>
            </w:r>
            <w:r>
              <w:rPr>
                <w:rFonts w:hint="eastAsia" w:hAnsi="宋体" w:cs="Arial"/>
                <w:bCs/>
                <w:color w:val="auto"/>
                <w:highlight w:val="green"/>
                <w:lang w:val="en-US" w:eastAsia="zh-CN"/>
              </w:rPr>
              <w:t xml:space="preserve">05 </w:t>
            </w:r>
            <w:r>
              <w:rPr>
                <w:rFonts w:hint="eastAsia" w:hAnsi="宋体" w:cs="Arial"/>
                <w:bCs/>
                <w:color w:val="auto"/>
                <w:highlight w:val="green"/>
              </w:rPr>
              <w:t>月</w:t>
            </w:r>
            <w:r>
              <w:rPr>
                <w:rFonts w:hint="eastAsia" w:hAnsi="宋体" w:cs="Arial"/>
                <w:bCs/>
                <w:color w:val="auto"/>
                <w:highlight w:val="green"/>
                <w:lang w:val="en-US" w:eastAsia="zh-CN"/>
              </w:rPr>
              <w:t xml:space="preserve">06 </w:t>
            </w:r>
            <w:r>
              <w:rPr>
                <w:rFonts w:hint="eastAsia" w:hAnsi="宋体" w:cs="Arial"/>
                <w:bCs/>
                <w:color w:val="auto"/>
                <w:highlight w:val="green"/>
              </w:rPr>
              <w:t>日1</w:t>
            </w:r>
            <w:r>
              <w:rPr>
                <w:rFonts w:hint="eastAsia" w:hAnsi="宋体" w:cs="Arial"/>
                <w:bCs/>
                <w:color w:val="auto"/>
                <w:highlight w:val="green"/>
                <w:lang w:val="en-US" w:eastAsia="zh-CN"/>
              </w:rPr>
              <w:t>0</w:t>
            </w:r>
            <w:r>
              <w:rPr>
                <w:rFonts w:hint="eastAsia" w:hAnsi="宋体" w:cs="Arial"/>
                <w:bCs/>
                <w:color w:val="auto"/>
                <w:highlight w:val="green"/>
              </w:rPr>
              <w:t>点</w:t>
            </w:r>
            <w:r>
              <w:rPr>
                <w:rFonts w:hint="eastAsia" w:hAnsi="宋体" w:cs="Arial"/>
                <w:bCs/>
                <w:color w:val="auto"/>
                <w:highlight w:val="green"/>
                <w:lang w:val="en-US" w:eastAsia="zh-CN"/>
              </w:rPr>
              <w:t>3</w:t>
            </w:r>
            <w:r>
              <w:rPr>
                <w:rFonts w:hint="eastAsia" w:hAnsi="宋体" w:cs="Arial"/>
                <w:bCs/>
                <w:color w:val="auto"/>
                <w:highlight w:val="green"/>
              </w:rPr>
              <w:t>0分</w:t>
            </w:r>
            <w:r>
              <w:rPr>
                <w:rFonts w:hint="eastAsia" w:hAnsi="宋体" w:cs="Arial"/>
                <w:bCs/>
                <w:color w:val="auto"/>
                <w:highlight w:val="none"/>
              </w:rPr>
              <w:t>(北京时间)</w:t>
            </w:r>
          </w:p>
          <w:p>
            <w:pPr>
              <w:spacing w:line="288" w:lineRule="auto"/>
              <w:jc w:val="left"/>
              <w:rPr>
                <w:rFonts w:ascii="宋体" w:hAnsi="宋体" w:cs="Arial"/>
                <w:bCs/>
                <w:color w:val="auto"/>
                <w:highlight w:val="none"/>
              </w:rPr>
            </w:pPr>
            <w:r>
              <w:rPr>
                <w:rFonts w:hint="eastAsia" w:hAnsi="宋体" w:cs="Arial"/>
                <w:bCs/>
                <w:color w:val="auto"/>
                <w:highlight w:val="none"/>
              </w:rPr>
              <w:t>投标地点：乌鲁木齐市公共资源交易中心（益民大厦5楼515室）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19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开标时间</w:t>
            </w:r>
          </w:p>
          <w:p>
            <w:pPr>
              <w:spacing w:line="288" w:lineRule="auto"/>
              <w:jc w:val="center"/>
              <w:rPr>
                <w:rFonts w:ascii="宋体" w:hAnsi="宋体" w:cs="Arial"/>
                <w:bCs/>
                <w:color w:val="auto"/>
                <w:highlight w:val="none"/>
              </w:rPr>
            </w:pPr>
            <w:r>
              <w:rPr>
                <w:rFonts w:hint="eastAsia" w:hAnsi="宋体" w:cs="Arial"/>
                <w:bCs/>
                <w:color w:val="auto"/>
                <w:highlight w:val="none"/>
              </w:rPr>
              <w:t>及地点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ind w:left="1050" w:hanging="1050" w:hangingChars="500"/>
              <w:rPr>
                <w:rFonts w:hAnsi="宋体" w:cs="Arial"/>
                <w:bCs/>
                <w:color w:val="auto"/>
                <w:highlight w:val="none"/>
              </w:rPr>
            </w:pPr>
            <w:r>
              <w:rPr>
                <w:rFonts w:hint="eastAsia" w:hAnsi="宋体" w:cs="Arial"/>
                <w:bCs/>
                <w:color w:val="auto"/>
                <w:highlight w:val="none"/>
              </w:rPr>
              <w:t>开标时间：</w:t>
            </w:r>
            <w:r>
              <w:rPr>
                <w:rFonts w:hint="eastAsia" w:hAnsi="宋体" w:cs="Arial"/>
                <w:bCs/>
                <w:color w:val="auto"/>
                <w:highlight w:val="green"/>
              </w:rPr>
              <w:t>202</w:t>
            </w:r>
            <w:r>
              <w:rPr>
                <w:rFonts w:hint="eastAsia" w:hAnsi="宋体" w:cs="Arial"/>
                <w:bCs/>
                <w:color w:val="auto"/>
                <w:highlight w:val="green"/>
                <w:lang w:val="en-US" w:eastAsia="zh-CN"/>
              </w:rPr>
              <w:t>4</w:t>
            </w:r>
            <w:r>
              <w:rPr>
                <w:rFonts w:hint="eastAsia" w:hAnsi="宋体" w:cs="Arial"/>
                <w:bCs/>
                <w:color w:val="auto"/>
                <w:highlight w:val="green"/>
              </w:rPr>
              <w:t>年</w:t>
            </w:r>
            <w:r>
              <w:rPr>
                <w:rFonts w:hint="eastAsia" w:hAnsi="宋体" w:cs="Arial"/>
                <w:bCs/>
                <w:color w:val="auto"/>
                <w:highlight w:val="green"/>
                <w:lang w:val="en-US" w:eastAsia="zh-CN"/>
              </w:rPr>
              <w:t xml:space="preserve"> 05</w:t>
            </w:r>
            <w:r>
              <w:rPr>
                <w:rFonts w:hint="eastAsia" w:hAnsi="宋体" w:cs="Arial"/>
                <w:bCs/>
                <w:color w:val="auto"/>
                <w:highlight w:val="green"/>
              </w:rPr>
              <w:t>月</w:t>
            </w:r>
            <w:r>
              <w:rPr>
                <w:rFonts w:hint="eastAsia" w:hAnsi="宋体" w:cs="Arial"/>
                <w:bCs/>
                <w:color w:val="auto"/>
                <w:highlight w:val="green"/>
                <w:lang w:val="en-US" w:eastAsia="zh-CN"/>
              </w:rPr>
              <w:t xml:space="preserve"> 06</w:t>
            </w:r>
            <w:r>
              <w:rPr>
                <w:rFonts w:hint="eastAsia" w:hAnsi="宋体" w:cs="Arial"/>
                <w:bCs/>
                <w:color w:val="auto"/>
                <w:highlight w:val="green"/>
              </w:rPr>
              <w:t>日</w:t>
            </w:r>
            <w:r>
              <w:rPr>
                <w:rFonts w:hint="eastAsia" w:hAnsi="宋体" w:cs="Arial"/>
                <w:bCs/>
                <w:color w:val="auto"/>
                <w:highlight w:val="green"/>
                <w:lang w:val="en-US" w:eastAsia="zh-CN"/>
              </w:rPr>
              <w:t>10</w:t>
            </w:r>
            <w:r>
              <w:rPr>
                <w:rFonts w:hint="eastAsia" w:hAnsi="宋体" w:cs="Arial"/>
                <w:bCs/>
                <w:color w:val="auto"/>
                <w:highlight w:val="green"/>
              </w:rPr>
              <w:t>点</w:t>
            </w:r>
            <w:r>
              <w:rPr>
                <w:rFonts w:hint="eastAsia" w:hAnsi="宋体" w:cs="Arial"/>
                <w:bCs/>
                <w:color w:val="auto"/>
                <w:highlight w:val="green"/>
                <w:lang w:val="en-US" w:eastAsia="zh-CN"/>
              </w:rPr>
              <w:t>30</w:t>
            </w:r>
            <w:r>
              <w:rPr>
                <w:rFonts w:hint="eastAsia" w:hAnsi="宋体" w:cs="Arial"/>
                <w:bCs/>
                <w:color w:val="auto"/>
                <w:highlight w:val="green"/>
              </w:rPr>
              <w:t>分(</w:t>
            </w:r>
            <w:r>
              <w:rPr>
                <w:rFonts w:hint="eastAsia" w:hAnsi="宋体" w:cs="Arial"/>
                <w:bCs/>
                <w:color w:val="auto"/>
                <w:highlight w:val="none"/>
              </w:rPr>
              <w:t>北京时间)</w:t>
            </w:r>
          </w:p>
          <w:p>
            <w:pPr>
              <w:spacing w:line="288" w:lineRule="auto"/>
              <w:ind w:left="1050" w:hanging="1050" w:hangingChars="500"/>
              <w:jc w:val="left"/>
              <w:rPr>
                <w:rFonts w:ascii="宋体" w:hAnsi="宋体" w:cs="Arial"/>
                <w:bCs/>
                <w:color w:val="auto"/>
                <w:highlight w:val="none"/>
              </w:rPr>
            </w:pPr>
            <w:r>
              <w:rPr>
                <w:rFonts w:hint="eastAsia" w:hAnsi="宋体" w:cs="Arial"/>
                <w:bCs/>
                <w:color w:val="auto"/>
                <w:highlight w:val="none"/>
              </w:rPr>
              <w:t>开标地点：乌鲁木齐市公共资源交易中心（益民大厦5楼）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ind w:right="-8"/>
              <w:jc w:val="center"/>
              <w:rPr>
                <w:rFonts w:ascii="宋体" w:hAnsi="宋体" w:cs="Arial"/>
                <w:bCs/>
                <w:color w:val="auto"/>
                <w:highlight w:val="none"/>
              </w:rPr>
            </w:pPr>
            <w:r>
              <w:rPr>
                <w:rFonts w:hint="eastAsia" w:hAnsi="宋体" w:cs="Arial"/>
                <w:bCs/>
                <w:color w:val="auto"/>
                <w:highlight w:val="none"/>
              </w:rPr>
              <w:t>评标办法</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color w:val="auto"/>
                <w:highlight w:val="none"/>
              </w:rPr>
            </w:pPr>
            <w:r>
              <w:rPr>
                <w:rFonts w:hint="eastAsia" w:hAnsi="宋体" w:cs="Arial"/>
                <w:bCs/>
                <w:color w:val="auto"/>
                <w:highlight w:val="none"/>
              </w:rPr>
              <w:t>综合评</w:t>
            </w:r>
            <w:r>
              <w:rPr>
                <w:rFonts w:hint="eastAsia" w:cs="Arial"/>
                <w:bCs/>
                <w:color w:val="auto"/>
                <w:highlight w:val="none"/>
              </w:rPr>
              <w:t>分</w:t>
            </w:r>
            <w:r>
              <w:rPr>
                <w:rFonts w:hint="eastAsia" w:hAnsi="宋体" w:cs="Arial"/>
                <w:bCs/>
                <w:color w:val="auto"/>
                <w:highlight w:val="none"/>
              </w:rPr>
              <w:t>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color w:val="auto"/>
                <w:highlight w:val="none"/>
              </w:rPr>
            </w:pPr>
            <w:r>
              <w:rPr>
                <w:rFonts w:hint="eastAsia" w:hAnsi="宋体" w:cs="Arial"/>
                <w:bCs/>
                <w:color w:val="auto"/>
                <w:highlight w:val="none"/>
              </w:rPr>
              <w:t>履约保证金</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color w:val="auto"/>
                <w:highlight w:val="none"/>
              </w:rPr>
            </w:pPr>
            <w:r>
              <w:rPr>
                <w:color w:val="auto"/>
                <w:highlight w:val="none"/>
              </w:rPr>
              <w:t>合同签订前，中标</w:t>
            </w:r>
            <w:r>
              <w:rPr>
                <w:rFonts w:hint="eastAsia"/>
                <w:color w:val="auto"/>
                <w:highlight w:val="none"/>
              </w:rPr>
              <w:t>单位</w:t>
            </w:r>
            <w:r>
              <w:rPr>
                <w:color w:val="auto"/>
                <w:highlight w:val="none"/>
              </w:rPr>
              <w:t>按照中标</w:t>
            </w:r>
            <w:r>
              <w:rPr>
                <w:rFonts w:hint="eastAsia"/>
                <w:color w:val="auto"/>
                <w:highlight w:val="none"/>
              </w:rPr>
              <w:t>金额</w:t>
            </w:r>
            <w:r>
              <w:rPr>
                <w:color w:val="auto"/>
                <w:highlight w:val="none"/>
              </w:rPr>
              <w:t>的</w:t>
            </w:r>
            <w:r>
              <w:rPr>
                <w:rFonts w:hint="eastAsia"/>
                <w:color w:val="auto"/>
                <w:highlight w:val="none"/>
              </w:rPr>
              <w:t>5</w:t>
            </w:r>
            <w:r>
              <w:rPr>
                <w:color w:val="auto"/>
                <w:highlight w:val="none"/>
              </w:rPr>
              <w:t>%</w:t>
            </w:r>
            <w:r>
              <w:rPr>
                <w:rFonts w:hint="eastAsia"/>
                <w:color w:val="auto"/>
                <w:highlight w:val="none"/>
                <w:lang w:val="en-US" w:eastAsia="zh-CN"/>
              </w:rPr>
              <w:t>或者银行保函</w:t>
            </w:r>
            <w:r>
              <w:rPr>
                <w:color w:val="auto"/>
                <w:highlight w:val="none"/>
              </w:rPr>
              <w:t>缴纳履约保证金，</w:t>
            </w:r>
            <w:r>
              <w:rPr>
                <w:rFonts w:hint="eastAsia"/>
                <w:color w:val="auto"/>
                <w:highlight w:val="none"/>
              </w:rPr>
              <w:t>中标单位按合同约定交付全部产品，安装调试完毕，书面验收合格一年后，采购单位无息退还全部履约保证金</w:t>
            </w:r>
            <w:r>
              <w:rPr>
                <w:color w:val="auto"/>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22</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bCs/>
                <w:color w:val="auto"/>
                <w:spacing w:val="-4"/>
                <w:highlight w:val="none"/>
                <w:lang w:val="en-US" w:eastAsia="zh-CN"/>
              </w:rPr>
              <w:t>开标准备</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ascii="宋体" w:hAnsi="宋体" w:cs="宋体"/>
                <w:color w:val="auto"/>
                <w:spacing w:val="-4"/>
                <w:highlight w:val="none"/>
              </w:rPr>
              <w:t>详见本招标文件投标人须知第</w:t>
            </w:r>
            <w:r>
              <w:rPr>
                <w:rFonts w:hint="eastAsia" w:ascii="宋体" w:hAnsi="宋体" w:cs="宋体"/>
                <w:color w:val="auto"/>
                <w:spacing w:val="-4"/>
                <w:highlight w:val="none"/>
                <w:lang w:val="en-US" w:eastAsia="zh-CN"/>
              </w:rPr>
              <w:t>22</w:t>
            </w:r>
            <w:r>
              <w:rPr>
                <w:rFonts w:hint="eastAsia" w:ascii="宋体" w:hAnsi="宋体" w:cs="宋体"/>
                <w:color w:val="auto"/>
                <w:spacing w:val="-4"/>
                <w:highlight w:val="none"/>
              </w:rPr>
              <w:t>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color w:val="auto"/>
                <w:highlight w:val="none"/>
              </w:rPr>
            </w:pPr>
            <w:r>
              <w:rPr>
                <w:rFonts w:hint="eastAsia" w:hAnsi="宋体" w:cs="Arial"/>
                <w:bCs/>
                <w:color w:val="auto"/>
                <w:highlight w:val="none"/>
              </w:rPr>
              <w:t>23</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同品牌投标处理原则</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rFonts w:ascii="宋体" w:hAnsi="宋体" w:cs="宋体"/>
                <w:b/>
                <w:bCs/>
                <w:color w:val="auto"/>
                <w:spacing w:val="-4"/>
                <w:highlight w:val="none"/>
              </w:rPr>
            </w:pPr>
            <w:r>
              <w:rPr>
                <w:rFonts w:hint="eastAsia" w:ascii="宋体" w:hAnsi="宋体" w:cs="宋体"/>
                <w:color w:val="auto"/>
                <w:spacing w:val="-4"/>
                <w:highlight w:val="none"/>
              </w:rPr>
              <w:t>详见本招标文件投标人须知第7条。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24</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国家规定的优先、强制采购范围（节能、环保）</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tabs>
                <w:tab w:val="left" w:pos="720"/>
                <w:tab w:val="left" w:pos="900"/>
                <w:tab w:val="left" w:pos="1080"/>
                <w:tab w:val="left" w:pos="1260"/>
                <w:tab w:val="left" w:pos="1440"/>
                <w:tab w:val="left" w:pos="1800"/>
              </w:tabs>
              <w:spacing w:line="288" w:lineRule="auto"/>
              <w:rPr>
                <w:rFonts w:hint="eastAsia"/>
                <w:color w:val="auto"/>
                <w:highlight w:val="none"/>
              </w:rPr>
            </w:pPr>
            <w:r>
              <w:rPr>
                <w:rFonts w:hint="eastAsia"/>
                <w:color w:val="auto"/>
                <w:highlight w:val="none"/>
                <w:lang w:val="en-US" w:eastAsia="zh-CN"/>
              </w:rPr>
              <w:t>1.</w:t>
            </w:r>
            <w:r>
              <w:rPr>
                <w:rFonts w:hint="eastAsia"/>
                <w:color w:val="auto"/>
                <w:highlight w:val="none"/>
              </w:rPr>
              <w:t>根据《国家市场监督管理总局关于发布强制性产品认证目录描述与界定表的公告》（2023年第36号）要求，本项目</w:t>
            </w:r>
            <w:r>
              <w:rPr>
                <w:rFonts w:hint="eastAsia"/>
                <w:color w:val="auto"/>
                <w:highlight w:val="none"/>
                <w:lang w:val="en-US" w:eastAsia="zh-CN"/>
              </w:rPr>
              <w:t>的产品如</w:t>
            </w:r>
            <w:r>
              <w:rPr>
                <w:rFonts w:hint="eastAsia"/>
                <w:color w:val="auto"/>
                <w:highlight w:val="none"/>
              </w:rPr>
              <w:t>属于《强制性产品认证目录》、《强制性产品认证目录描述与界定表（2023年修订）》范围内产品的，应取得有效期内的强制性认证证书（CCC认证证书），</w:t>
            </w:r>
            <w:r>
              <w:rPr>
                <w:rFonts w:hint="eastAsia"/>
                <w:color w:val="auto"/>
                <w:highlight w:val="none"/>
                <w:lang w:val="en-US" w:eastAsia="zh-CN"/>
              </w:rPr>
              <w:t>供应商在投标文件中应提供认证证书复印件（加盖公章），否则</w:t>
            </w:r>
            <w:r>
              <w:rPr>
                <w:rFonts w:hint="eastAsia"/>
                <w:color w:val="auto"/>
                <w:highlight w:val="none"/>
              </w:rPr>
              <w:t>未将被视为无效投标。</w:t>
            </w:r>
          </w:p>
          <w:p>
            <w:pPr>
              <w:widowControl/>
              <w:tabs>
                <w:tab w:val="left" w:pos="720"/>
                <w:tab w:val="left" w:pos="900"/>
                <w:tab w:val="left" w:pos="1080"/>
                <w:tab w:val="left" w:pos="1260"/>
                <w:tab w:val="left" w:pos="1440"/>
                <w:tab w:val="left" w:pos="1800"/>
              </w:tabs>
              <w:spacing w:line="288" w:lineRule="auto"/>
              <w:rPr>
                <w:rFonts w:hint="default" w:eastAsia="宋体"/>
                <w:color w:val="auto"/>
                <w:highlight w:val="none"/>
                <w:lang w:val="en-US" w:eastAsia="zh-CN"/>
              </w:rPr>
            </w:pPr>
            <w:r>
              <w:rPr>
                <w:rFonts w:hint="eastAsia"/>
                <w:color w:val="auto"/>
                <w:highlight w:val="none"/>
              </w:rPr>
              <w:t>2.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范围内的政府强制采购产品的，应取得有效期内的节能产品认证证书，</w:t>
            </w:r>
            <w:r>
              <w:rPr>
                <w:rFonts w:hint="eastAsia"/>
                <w:color w:val="auto"/>
                <w:highlight w:val="none"/>
                <w:lang w:val="en-US" w:eastAsia="zh-CN"/>
              </w:rPr>
              <w:t>供应商应在投标文件中提供认证证书复印件（加盖公章），否则将被视为无效投标。</w:t>
            </w:r>
          </w:p>
          <w:p>
            <w:pPr>
              <w:widowControl/>
              <w:tabs>
                <w:tab w:val="left" w:pos="720"/>
                <w:tab w:val="left" w:pos="900"/>
                <w:tab w:val="left" w:pos="1080"/>
                <w:tab w:val="left" w:pos="1260"/>
                <w:tab w:val="left" w:pos="1440"/>
                <w:tab w:val="left" w:pos="1800"/>
              </w:tabs>
              <w:spacing w:line="288" w:lineRule="auto"/>
              <w:rPr>
                <w:color w:val="auto"/>
                <w:highlight w:val="none"/>
              </w:rPr>
            </w:pPr>
            <w:r>
              <w:rPr>
                <w:rFonts w:hint="eastAsia"/>
                <w:color w:val="auto"/>
                <w:highlight w:val="none"/>
              </w:rPr>
              <w:t>3.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关于印发环境标志产品政府采购品目清单的通知》（财库[2019]18号）范围内的政府优先采购产品的，应取得有效期内的节能产品、环境标志产品认证证书，供应商须在投标文件中提供认证证书复印件（加盖公章），否则不予认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hAnsi="宋体" w:cs="Arial"/>
                <w:bCs/>
                <w:color w:val="auto"/>
                <w:highlight w:val="none"/>
              </w:rPr>
              <w:t>25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color w:val="auto"/>
                <w:highlight w:val="none"/>
              </w:rPr>
            </w:pPr>
            <w:r>
              <w:rPr>
                <w:rFonts w:hint="eastAsia" w:cs="Arial"/>
                <w:bCs/>
                <w:color w:val="auto"/>
                <w:highlight w:val="none"/>
              </w:rPr>
              <w:t>代理服务费用</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color w:val="auto"/>
                <w:highlight w:val="none"/>
              </w:rPr>
            </w:pPr>
            <w:r>
              <w:rPr>
                <w:rFonts w:hint="eastAsia"/>
              </w:rPr>
              <w:t>代理服务费由成交方向新疆伊筑工程管理有限公司支付，招标代理服务费根据《新疆维吾尔自治区建设工程招标投标协会文件》：新建招协[2024]4号文件关于印发《新疆维吾尔自治区招标代理服务收费指导意见》的通知取费标准收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color w:val="auto"/>
                <w:highlight w:val="none"/>
              </w:rPr>
            </w:pPr>
            <w:r>
              <w:rPr>
                <w:rFonts w:hint="eastAsia" w:cs="Arial"/>
                <w:bCs/>
                <w:color w:val="auto"/>
                <w:highlight w:val="none"/>
              </w:rPr>
              <w:t>26</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Arial"/>
                <w:bCs/>
                <w:color w:val="auto"/>
                <w:highlight w:val="none"/>
              </w:rPr>
              <w:t>低于成本价不正当竞争预防措施</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tabs>
                <w:tab w:val="left" w:pos="720"/>
                <w:tab w:val="left" w:pos="900"/>
                <w:tab w:val="left" w:pos="1080"/>
                <w:tab w:val="left" w:pos="1260"/>
                <w:tab w:val="left" w:pos="1440"/>
                <w:tab w:val="left" w:pos="1800"/>
              </w:tabs>
              <w:spacing w:line="288" w:lineRule="auto"/>
              <w:jc w:val="left"/>
              <w:rPr>
                <w:rFonts w:hint="default" w:ascii="宋体" w:hAnsi="宋体" w:cs="宋体"/>
                <w:spacing w:val="-4"/>
                <w:highlight w:val="none"/>
                <w:lang w:val="en-US" w:eastAsia="zh-CN"/>
              </w:rPr>
            </w:pPr>
            <w:r>
              <w:rPr>
                <w:rFonts w:hint="eastAsia" w:ascii="宋体" w:hAnsi="宋体" w:cs="宋体"/>
                <w:spacing w:val="-4"/>
                <w:highlight w:val="none"/>
                <w:lang w:val="en-US" w:eastAsia="zh-CN"/>
              </w:rPr>
              <w:t>1.</w:t>
            </w:r>
            <w:r>
              <w:rPr>
                <w:rFonts w:hint="eastAsia" w:ascii="宋体" w:hAnsi="宋体" w:cs="宋体"/>
                <w:spacing w:val="-4"/>
                <w:highlight w:val="none"/>
              </w:rPr>
              <w:t>在评标过程中，</w:t>
            </w:r>
            <w:r>
              <w:rPr>
                <w:rFonts w:hint="eastAsia" w:ascii="宋体" w:hAnsi="宋体" w:cs="宋体"/>
                <w:spacing w:val="-4"/>
                <w:highlight w:val="none"/>
                <w:lang w:val="en-US" w:eastAsia="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lang w:val="en-US" w:eastAsia="zh-CN"/>
              </w:rPr>
              <w:t>2.</w:t>
            </w:r>
            <w:r>
              <w:rPr>
                <w:rFonts w:hint="eastAsia" w:ascii="宋体" w:hAnsi="宋体" w:cs="宋体"/>
                <w:color w:val="auto"/>
                <w:spacing w:val="-4"/>
                <w:highlight w:val="none"/>
              </w:rPr>
              <w:t>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lang w:val="en-US" w:eastAsia="zh-CN"/>
              </w:rPr>
              <w:t>3.</w:t>
            </w:r>
            <w:r>
              <w:rPr>
                <w:rFonts w:hint="eastAsia" w:ascii="宋体" w:hAnsi="宋体" w:cs="宋体"/>
                <w:color w:val="auto"/>
                <w:spacing w:val="-4"/>
                <w:highlight w:val="none"/>
              </w:rPr>
              <w:t>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宋体" w:cs="Arial"/>
                <w:bCs/>
                <w:color w:val="auto"/>
                <w:highlight w:val="none"/>
                <w:lang w:eastAsia="zh-CN"/>
              </w:rPr>
            </w:pPr>
            <w:r>
              <w:rPr>
                <w:rFonts w:hint="eastAsia" w:cs="Arial"/>
                <w:bCs/>
                <w:color w:val="auto"/>
                <w:highlight w:val="none"/>
              </w:rPr>
              <w:t>2</w:t>
            </w:r>
            <w:r>
              <w:rPr>
                <w:rFonts w:hint="eastAsia" w:cs="Arial"/>
                <w:bCs/>
                <w:color w:val="auto"/>
                <w:highlight w:val="none"/>
                <w:lang w:val="en-US" w:eastAsia="zh-CN"/>
              </w:rPr>
              <w:t>7</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中小企业所属行业</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ascii="宋体" w:hAnsi="宋体" w:cs="宋体"/>
                <w:color w:val="auto"/>
                <w:spacing w:val="-4"/>
                <w:highlight w:val="none"/>
              </w:rPr>
            </w:pPr>
            <w:r>
              <w:rPr>
                <w:rFonts w:hint="eastAsia" w:ascii="宋体" w:hAnsi="宋体" w:cs="宋体"/>
                <w:color w:val="auto"/>
                <w:spacing w:val="-4"/>
                <w:highlight w:val="none"/>
              </w:rPr>
              <w:t xml:space="preserve">本项目采购标的对应的中小企业划分标准所属行业：工业（根据工信部联企业〔2011〕300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宋体" w:cs="Arial"/>
                <w:bCs/>
                <w:color w:val="auto"/>
                <w:highlight w:val="none"/>
                <w:lang w:eastAsia="zh-CN"/>
              </w:rPr>
            </w:pPr>
            <w:r>
              <w:rPr>
                <w:rFonts w:hint="eastAsia" w:cs="Arial"/>
                <w:bCs/>
                <w:color w:val="auto"/>
                <w:highlight w:val="none"/>
              </w:rPr>
              <w:t>2</w:t>
            </w:r>
            <w:r>
              <w:rPr>
                <w:rFonts w:hint="eastAsia" w:cs="Arial"/>
                <w:bCs/>
                <w:color w:val="auto"/>
                <w:highlight w:val="none"/>
                <w:lang w:val="en-US" w:eastAsia="zh-CN"/>
              </w:rPr>
              <w:t>8</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中小微企业</w:t>
            </w:r>
          </w:p>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声明函</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w:t>
            </w:r>
            <w:r>
              <w:rPr>
                <w:rFonts w:hint="eastAsia"/>
                <w:color w:val="auto"/>
                <w:highlight w:val="none"/>
                <w:lang w:val="en-US" w:eastAsia="zh-CN"/>
              </w:rPr>
              <w:t>本项目</w:t>
            </w:r>
            <w:r>
              <w:rPr>
                <w:rFonts w:hint="eastAsia"/>
                <w:color w:val="auto"/>
                <w:highlight w:val="none"/>
                <w:lang w:val="zh-CN"/>
              </w:rPr>
              <w:t>为</w:t>
            </w:r>
            <w:r>
              <w:rPr>
                <w:rFonts w:hint="eastAsia"/>
                <w:color w:val="auto"/>
                <w:highlight w:val="none"/>
              </w:rPr>
              <w:t>专门面向</w:t>
            </w:r>
            <w:r>
              <w:rPr>
                <w:rFonts w:hint="eastAsia"/>
                <w:color w:val="auto"/>
                <w:highlight w:val="none"/>
                <w:lang w:val="zh-CN"/>
              </w:rPr>
              <w:t>中小企业采购，</w:t>
            </w:r>
            <w:r>
              <w:rPr>
                <w:rFonts w:hint="eastAsia" w:ascii="宋体" w:hAnsi="宋体" w:eastAsia="宋体" w:cs="宋体"/>
                <w:color w:val="auto"/>
                <w:highlight w:val="none"/>
                <w:lang w:val="zh-CN"/>
              </w:rPr>
              <w:t>价格不再进行财政政策扣除</w:t>
            </w:r>
            <w:r>
              <w:rPr>
                <w:rFonts w:hint="eastAsia" w:ascii="宋体" w:hAnsi="宋体" w:cs="宋体"/>
                <w:color w:val="auto"/>
                <w:highlight w:val="none"/>
                <w:lang w:val="zh-CN"/>
              </w:rPr>
              <w:t>。</w:t>
            </w:r>
            <w:r>
              <w:rPr>
                <w:rFonts w:hint="eastAsia"/>
                <w:color w:val="auto"/>
                <w:highlight w:val="none"/>
                <w:lang w:val="zh-CN"/>
              </w:rPr>
              <w:t xml:space="preserve"> </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2.残疾人福利性单位、监狱和戒毒企业（简称监狱企业）视同小型、微型企业</w:t>
            </w:r>
            <w:r>
              <w:rPr>
                <w:rFonts w:hint="eastAsia" w:cs="Times New Roman"/>
                <w:color w:val="auto"/>
                <w:highlight w:val="none"/>
                <w:lang w:val="en-US" w:eastAsia="zh-CN"/>
              </w:rPr>
              <w:t>；残疾人福利单位、监狱企业同时属于小型、微型企业的，不重复享受财政政策。</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3.根据《政府采购促进中小企业发展管理办法》（财库[2020]46号）和《财政部关于进一步加大政府采购支持中小企业力度的通知》要求，供应商应提供合格的《中小企业声明函》，如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提供的《中小企业声明函》不合格或未提供《中小微企业声明函》的，不得享受相关中小微企业扶持政策。</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根据《关于政府采购支持监狱企业发展有关问题的通知》（财库[2014]68号）和本招标文件要求，投标人应提供由省级以上监狱管理局、戒毒管理局（含新疆生产建设兵团）出具的属于监狱企业的证明文件，如投标人提供的监狱企业的证明文件不合格或未提供监狱企业的证明文件的，不得享受相关中小微企业扶持政策。</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default"/>
                <w:color w:val="auto"/>
                <w:highlight w:val="none"/>
                <w:lang w:val="en-US"/>
              </w:rPr>
            </w:pPr>
            <w:r>
              <w:rPr>
                <w:rFonts w:hint="eastAsia" w:ascii="Times New Roman" w:hAnsi="Times New Roman" w:eastAsia="宋体" w:cs="Times New Roman"/>
                <w:color w:val="auto"/>
                <w:highlight w:val="none"/>
                <w:lang w:val="en-US" w:eastAsia="zh-CN"/>
              </w:rPr>
              <w:t>5.根据《关于促进残疾人就业政府采购政策的通知》（财库[2017]141号）要求，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应提供合格的《残疾人福利性单位声明函》，如</w:t>
            </w:r>
            <w:r>
              <w:rPr>
                <w:rFonts w:hint="eastAsia" w:cs="Times New Roman"/>
                <w:color w:val="auto"/>
                <w:highlight w:val="none"/>
                <w:lang w:val="en-US" w:eastAsia="zh-CN"/>
              </w:rPr>
              <w:t>投标人</w:t>
            </w:r>
            <w:r>
              <w:rPr>
                <w:rFonts w:hint="eastAsia" w:ascii="Times New Roman" w:hAnsi="Times New Roman" w:eastAsia="宋体" w:cs="Times New Roman"/>
                <w:color w:val="auto"/>
                <w:highlight w:val="none"/>
                <w:lang w:val="en-US" w:eastAsia="zh-CN"/>
              </w:rPr>
              <w:t>提供的《残疾人福利性单位声明函》不合格或未提供《残疾人福利性单位声明函》的，不得享受相关中小微企业扶持政策。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宋体" w:cs="Arial"/>
                <w:bCs/>
                <w:color w:val="auto"/>
                <w:highlight w:val="none"/>
                <w:lang w:val="en-US" w:eastAsia="zh-CN"/>
              </w:rPr>
            </w:pPr>
            <w:r>
              <w:rPr>
                <w:rFonts w:hint="eastAsia" w:cs="Arial"/>
                <w:bCs/>
                <w:color w:val="auto"/>
                <w:highlight w:val="none"/>
                <w:lang w:val="en-US" w:eastAsia="zh-CN"/>
              </w:rPr>
              <w:t>29</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检验</w:t>
            </w:r>
          </w:p>
          <w:p>
            <w:pPr>
              <w:widowControl/>
              <w:tabs>
                <w:tab w:val="left" w:pos="720"/>
                <w:tab w:val="left" w:pos="900"/>
                <w:tab w:val="left" w:pos="1080"/>
                <w:tab w:val="left" w:pos="1260"/>
                <w:tab w:val="left" w:pos="1440"/>
                <w:tab w:val="left" w:pos="1800"/>
              </w:tabs>
              <w:spacing w:line="288" w:lineRule="auto"/>
              <w:jc w:val="center"/>
              <w:rPr>
                <w:rFonts w:ascii="宋体" w:hAnsi="宋体" w:cs="宋体"/>
                <w:color w:val="auto"/>
                <w:spacing w:val="-4"/>
                <w:highlight w:val="none"/>
              </w:rPr>
            </w:pPr>
            <w:r>
              <w:rPr>
                <w:rFonts w:hint="eastAsia" w:ascii="宋体" w:hAnsi="宋体" w:cs="宋体"/>
                <w:color w:val="auto"/>
                <w:spacing w:val="-4"/>
                <w:highlight w:val="none"/>
              </w:rPr>
              <w:t>检测报告</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numPr>
                <w:ilvl w:val="0"/>
                <w:numId w:val="0"/>
              </w:numPr>
              <w:tabs>
                <w:tab w:val="left" w:pos="720"/>
                <w:tab w:val="left" w:pos="900"/>
                <w:tab w:val="left" w:pos="1080"/>
                <w:tab w:val="left" w:pos="1260"/>
                <w:tab w:val="left" w:pos="1440"/>
                <w:tab w:val="left" w:pos="1800"/>
              </w:tabs>
              <w:spacing w:line="288" w:lineRule="auto"/>
              <w:jc w:val="left"/>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1.</w:t>
            </w:r>
            <w:r>
              <w:rPr>
                <w:rFonts w:hint="default" w:ascii="Times New Roman" w:hAnsi="Times New Roman" w:cs="Times New Roman"/>
                <w:color w:val="auto"/>
                <w:highlight w:val="none"/>
                <w:lang w:val="en-US" w:eastAsia="zh-CN"/>
              </w:rPr>
              <w:t>有国家或行业标准的产品投标时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w:t>
            </w:r>
            <w:r>
              <w:rPr>
                <w:rFonts w:hint="eastAsia" w:ascii="Times New Roman" w:hAnsi="Times New Roman" w:cs="Times New Roman"/>
                <w:color w:val="auto"/>
                <w:highlight w:val="none"/>
                <w:lang w:val="en-US" w:eastAsia="zh-CN"/>
              </w:rPr>
              <w:t>第三方权威</w:t>
            </w:r>
            <w:r>
              <w:rPr>
                <w:rFonts w:hint="default" w:ascii="Times New Roman" w:hAnsi="Times New Roman" w:cs="Times New Roman"/>
                <w:color w:val="auto"/>
                <w:highlight w:val="none"/>
                <w:lang w:val="en-US" w:eastAsia="zh-CN"/>
              </w:rPr>
              <w:t>质量检验检测机构出具的检验检测报告。</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color w:val="auto"/>
                <w:highlight w:val="none"/>
              </w:rPr>
            </w:pP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lang w:val="en-US" w:eastAsia="zh-CN"/>
              </w:rPr>
              <w:t>.无国家或行业标准的产品投标时应提供国家认可的质量检验检测机构出具的检验检测报告（如有；如投标时未提供，应在产品交付验收时提供国家认可的质量检验检测机构出具的检验检测报告）</w:t>
            </w:r>
            <w:r>
              <w:rPr>
                <w:rFonts w:hint="eastAsia" w:cs="Times New Roman"/>
                <w:color w:val="auto"/>
                <w:highlight w:val="none"/>
                <w:lang w:val="en-US"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eastAsia="宋体" w:cs="Arial"/>
                <w:bCs/>
                <w:color w:val="auto"/>
                <w:highlight w:val="none"/>
                <w:lang w:val="en-US" w:eastAsia="zh-CN"/>
              </w:rPr>
            </w:pPr>
            <w:r>
              <w:rPr>
                <w:rFonts w:hint="eastAsia" w:cs="Arial"/>
                <w:bCs/>
                <w:color w:val="auto"/>
                <w:highlight w:val="none"/>
                <w:lang w:val="en-US" w:eastAsia="zh-CN"/>
              </w:rPr>
              <w:t>30</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宋体" w:hAnsi="宋体" w:cs="宋体"/>
                <w:color w:val="auto"/>
                <w:spacing w:val="-4"/>
                <w:highlight w:val="none"/>
              </w:rPr>
            </w:pPr>
            <w:r>
              <w:rPr>
                <w:rFonts w:hint="eastAsia" w:ascii="宋体" w:hAnsi="宋体" w:cs="宋体"/>
                <w:color w:val="auto"/>
                <w:spacing w:val="-4"/>
                <w:highlight w:val="none"/>
              </w:rPr>
              <w:t>其他</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default"/>
                <w:color w:val="auto"/>
                <w:highlight w:val="none"/>
                <w:lang w:val="en-US" w:eastAsia="zh-CN"/>
              </w:rPr>
            </w:pPr>
            <w:r>
              <w:rPr>
                <w:rFonts w:hint="eastAsia"/>
                <w:color w:val="auto"/>
                <w:highlight w:val="none"/>
                <w:lang w:val="en-US" w:eastAsia="zh-CN"/>
              </w:rPr>
              <w:t>1、根据《国家消防救援局办公室关于推广应用新版消防装备管理系统的通知》要求，中标投标人在交付装备时须附着由“消防装备物资信息采集系统”统一发行的装备物资二维码和 RFID。</w:t>
            </w:r>
          </w:p>
          <w:p>
            <w:pPr>
              <w:widowControl/>
              <w:tabs>
                <w:tab w:val="left" w:pos="720"/>
                <w:tab w:val="left" w:pos="900"/>
                <w:tab w:val="left" w:pos="1080"/>
                <w:tab w:val="left" w:pos="1260"/>
                <w:tab w:val="left" w:pos="1440"/>
                <w:tab w:val="left" w:pos="1800"/>
              </w:tabs>
              <w:spacing w:line="288" w:lineRule="auto"/>
              <w:jc w:val="left"/>
              <w:rPr>
                <w:rFonts w:hint="eastAsia" w:ascii="宋体" w:hAnsi="宋体" w:eastAsia="宋体" w:cs="宋体"/>
                <w:color w:val="auto"/>
                <w:spacing w:val="0"/>
                <w:highlight w:val="none"/>
                <w:lang w:eastAsia="zh-CN"/>
              </w:rPr>
            </w:pPr>
            <w:r>
              <w:rPr>
                <w:rFonts w:hint="eastAsia"/>
                <w:color w:val="auto"/>
                <w:highlight w:val="none"/>
                <w:lang w:val="en-US" w:eastAsia="zh-CN"/>
              </w:rPr>
              <w:t>2、</w:t>
            </w:r>
            <w:r>
              <w:rPr>
                <w:rFonts w:hint="eastAsia"/>
                <w:color w:val="auto"/>
                <w:highlight w:val="none"/>
              </w:rPr>
              <w:t>除法律、法规和规章规定外，招标文件中用“拒绝”“不接受”“无效”“不得”“必须”“应当”等文字规定的条款为实质性要求条款（即重要条款），对其中任何一条偏离的，在评标时将其视为无效投标。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cs="Arial"/>
                <w:bCs/>
                <w:color w:val="auto"/>
                <w:highlight w:val="none"/>
                <w:lang w:val="en-US" w:eastAsia="zh-CN"/>
              </w:rPr>
            </w:pPr>
            <w:r>
              <w:rPr>
                <w:rFonts w:hint="eastAsia" w:cs="Arial"/>
                <w:bCs/>
                <w:color w:val="auto"/>
                <w:highlight w:val="none"/>
                <w:lang w:val="en-US" w:eastAsia="zh-CN"/>
              </w:rPr>
              <w:t>31</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宋体" w:hAnsi="宋体" w:eastAsia="宋体" w:cs="宋体"/>
                <w:color w:val="auto"/>
                <w:spacing w:val="-4"/>
                <w:highlight w:val="none"/>
                <w:lang w:val="en-US" w:eastAsia="zh-CN"/>
              </w:rPr>
            </w:pPr>
            <w:r>
              <w:rPr>
                <w:rFonts w:hint="eastAsia" w:ascii="宋体" w:hAnsi="宋体" w:cs="宋体"/>
                <w:color w:val="auto"/>
                <w:spacing w:val="-4"/>
                <w:highlight w:val="none"/>
                <w:lang w:val="en-US" w:eastAsia="zh-CN"/>
              </w:rPr>
              <w:t>投标</w:t>
            </w:r>
            <w:r>
              <w:rPr>
                <w:rFonts w:hint="eastAsia" w:ascii="宋体" w:hAnsi="宋体" w:cs="宋体"/>
                <w:color w:val="auto"/>
                <w:spacing w:val="-4"/>
                <w:highlight w:val="none"/>
              </w:rPr>
              <w:t>样品</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color w:val="auto"/>
                <w:highlight w:val="none"/>
              </w:rPr>
            </w:pPr>
            <w:r>
              <w:rPr>
                <w:rFonts w:hint="eastAsia"/>
                <w:color w:val="auto"/>
                <w:highlight w:val="none"/>
              </w:rPr>
              <w:t>样品：</w:t>
            </w:r>
          </w:p>
          <w:p>
            <w:pPr>
              <w:widowControl/>
              <w:numPr>
                <w:ilvl w:val="0"/>
                <w:numId w:val="0"/>
              </w:numPr>
              <w:tabs>
                <w:tab w:val="left" w:pos="720"/>
                <w:tab w:val="left" w:pos="900"/>
                <w:tab w:val="left" w:pos="1080"/>
                <w:tab w:val="left" w:pos="1260"/>
                <w:tab w:val="left" w:pos="1440"/>
                <w:tab w:val="left" w:pos="1800"/>
              </w:tabs>
              <w:spacing w:line="288" w:lineRule="auto"/>
              <w:jc w:val="left"/>
              <w:rPr>
                <w:rFonts w:hint="eastAsia"/>
                <w:color w:val="auto"/>
                <w:highlight w:val="none"/>
              </w:rPr>
            </w:pPr>
            <w:r>
              <w:rPr>
                <w:rFonts w:hint="eastAsia" w:ascii="Times New Roman" w:hAnsi="Times New Roman" w:eastAsia="宋体" w:cs="Times New Roman"/>
                <w:color w:val="auto"/>
                <w:kern w:val="2"/>
                <w:sz w:val="21"/>
                <w:szCs w:val="21"/>
                <w:lang w:val="en-US" w:eastAsia="zh-CN" w:bidi="ar-SA"/>
              </w:rPr>
              <w:t>1.</w:t>
            </w:r>
            <w:r>
              <w:rPr>
                <w:rFonts w:hint="eastAsia"/>
                <w:color w:val="auto"/>
                <w:highlight w:val="none"/>
                <w:lang w:val="en-US" w:eastAsia="zh-CN"/>
              </w:rPr>
              <w:t>第一包：干式水域救援服、湿式水域救援服、水域救生套装；第二包：潜水全面罩、干式潜水衣、湿式潜水衣、潜水浮力装置、潜水气瓶、潜水调节器（含附件）、潜水电脑表、管供式潜水装具、水下推进器、潜水装备套装；第三包：冰域呼吸器组件、冰面行动辅助套装、冰面救援滑板因仅凭书面方式不能准确描述采购需求，</w:t>
            </w:r>
            <w:r>
              <w:rPr>
                <w:rFonts w:hint="eastAsia"/>
                <w:color w:val="auto"/>
                <w:highlight w:val="none"/>
              </w:rPr>
              <w:t>需要投标人提供样品</w:t>
            </w:r>
            <w:r>
              <w:rPr>
                <w:rFonts w:hint="eastAsia"/>
                <w:color w:val="auto"/>
                <w:highlight w:val="none"/>
                <w:lang w:val="en-US" w:eastAsia="zh-CN"/>
              </w:rPr>
              <w:t>讲解视频</w:t>
            </w:r>
            <w:r>
              <w:rPr>
                <w:rFonts w:hint="eastAsia"/>
                <w:color w:val="auto"/>
                <w:highlight w:val="none"/>
              </w:rPr>
              <w:t>进行主观判断以确认是否满足采购需求。</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2.样品讲解视频递交时间和地点:在投标文件递交截止时间前，随投标文件一并现场递交。</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3.样品讲解视频制作的标准和要求:样品讲解视频:视频格式为MP4，视频需详细述该产品材质，规格，功能，优缺点、操作方式及与样品相关的各类信息等。</w:t>
            </w:r>
            <w:r>
              <w:rPr>
                <w:rFonts w:hint="eastAsia"/>
                <w:b/>
                <w:bCs/>
                <w:color w:val="auto"/>
                <w:highlight w:val="none"/>
                <w:lang w:val="en-US" w:eastAsia="zh-CN"/>
              </w:rPr>
              <w:t>视频中不能出现品牌、厂家及供应商相关信息。</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4.是否需要随样品提交相关检测报告:相关检测报告无需随样品提交。</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5.样品的评审方法以及评审标准:详见第三章“评分办法及评分标准”。</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6.样品的密封及包装:样品讲解视频以光盘形式单独密封(密封同投标文件)随投标文件一同并现场递交。</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特别说明：</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（1）若不满足以上样品制作的标准和要求，样品评分为0分。</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（2）投标人应具有所投标包样品的所有权，并确保采购人和采购代理机构免于受到第三方基于样品所有权产生的起诉。</w:t>
            </w:r>
          </w:p>
          <w:p>
            <w:pPr>
              <w:widowControl/>
              <w:tabs>
                <w:tab w:val="left" w:pos="720"/>
                <w:tab w:val="left" w:pos="900"/>
                <w:tab w:val="left" w:pos="1080"/>
                <w:tab w:val="left" w:pos="1260"/>
                <w:tab w:val="left" w:pos="1440"/>
                <w:tab w:val="left" w:pos="1800"/>
              </w:tabs>
              <w:spacing w:line="288" w:lineRule="auto"/>
              <w:jc w:val="left"/>
              <w:rPr>
                <w:rFonts w:hint="eastAsia"/>
                <w:color w:val="auto"/>
                <w:highlight w:val="none"/>
                <w:lang w:val="en-US" w:eastAsia="zh-CN"/>
              </w:rPr>
            </w:pPr>
            <w:r>
              <w:rPr>
                <w:rFonts w:hint="eastAsia"/>
                <w:color w:val="auto"/>
                <w:highlight w:val="none"/>
                <w:lang w:val="en-US" w:eastAsia="zh-CN"/>
              </w:rPr>
              <w:t>(3)评审结束后，所有中标人的样品讲解视频经密封封存于指定位置，作为履约验收的参考。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default" w:cs="Arial"/>
                <w:bCs/>
                <w:color w:val="auto"/>
                <w:highlight w:val="none"/>
                <w:lang w:val="en-US" w:eastAsia="zh-CN"/>
              </w:rPr>
            </w:pPr>
            <w:r>
              <w:rPr>
                <w:rFonts w:hint="eastAsia" w:cs="Arial"/>
                <w:bCs/>
                <w:color w:val="auto"/>
                <w:highlight w:val="none"/>
                <w:lang w:val="en-US" w:eastAsia="zh-CN"/>
              </w:rPr>
              <w:t>32</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hint="eastAsia" w:ascii="宋体" w:hAnsi="宋体" w:cs="宋体"/>
                <w:color w:val="auto"/>
                <w:spacing w:val="-4"/>
                <w:highlight w:val="none"/>
                <w:lang w:val="en-US" w:eastAsia="zh-CN"/>
              </w:rPr>
            </w:pPr>
            <w:r>
              <w:rPr>
                <w:rFonts w:hint="eastAsia" w:ascii="宋体" w:hAnsi="宋体" w:cs="宋体"/>
                <w:color w:val="auto"/>
                <w:spacing w:val="-4"/>
                <w:highlight w:val="none"/>
              </w:rPr>
              <w:t>场地服务费</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hint="eastAsia" w:ascii="宋体" w:hAnsi="宋体" w:cs="宋体"/>
                <w:color w:val="auto"/>
                <w:highlight w:val="none"/>
              </w:rPr>
            </w:pPr>
            <w:r>
              <w:rPr>
                <w:rFonts w:hint="eastAsia" w:ascii="宋体" w:hAnsi="宋体" w:cs="宋体"/>
                <w:color w:val="auto"/>
                <w:highlight w:val="none"/>
                <w:lang w:val="en-US" w:eastAsia="zh-CN"/>
              </w:rPr>
              <w:t>投标供应商于开标时向乌鲁木齐市公共资源交易中心缴纳场地服务费，由乌鲁木齐市公共资源交易中心开具场地服务费发票。具体收费标准为：每个标包最高不超过6000元，投标供应商少于6家（含6家）的，各投标供应商按1000元/标包缴纳；投标供应商超过6家的，按单个标包6000元由投标供应商平均分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018" w:type="dxa"/>
            <w:gridSpan w:val="3"/>
            <w:tcBorders>
              <w:top w:val="single" w:color="auto" w:sz="4" w:space="0"/>
              <w:left w:val="single" w:color="auto" w:sz="4" w:space="0"/>
              <w:bottom w:val="single" w:color="auto" w:sz="4" w:space="0"/>
              <w:right w:val="single" w:color="auto" w:sz="4" w:space="0"/>
            </w:tcBorders>
            <w:vAlign w:val="center"/>
          </w:tcPr>
          <w:p>
            <w:pPr>
              <w:spacing w:line="300" w:lineRule="exact"/>
              <w:jc w:val="left"/>
              <w:rPr>
                <w:rFonts w:hAnsi="宋体" w:cs="Arial"/>
                <w:bCs/>
                <w:color w:val="auto"/>
                <w:highlight w:val="none"/>
              </w:rPr>
            </w:pPr>
            <w:r>
              <w:rPr>
                <w:rFonts w:hint="eastAsia" w:hAnsi="宋体" w:cs="Arial"/>
                <w:b/>
                <w:bCs/>
                <w:color w:val="auto"/>
                <w:highlight w:val="none"/>
              </w:rPr>
              <w:t>备注：本投标人须知前附表是对招标文件中的重要内容进行罗列；如与招标文件不符，应以本表为准。</w:t>
            </w:r>
          </w:p>
        </w:tc>
      </w:tr>
    </w:tbl>
    <w:p>
      <w:pPr>
        <w:rPr>
          <w:color w:val="auto"/>
          <w:highlight w:val="none"/>
        </w:rPr>
      </w:pPr>
      <w:r>
        <w:rPr>
          <w:rFonts w:hint="eastAsia"/>
          <w:color w:val="auto"/>
          <w:highlight w:val="none"/>
        </w:rPr>
        <w:br w:type="page"/>
      </w:r>
    </w:p>
    <w:p>
      <w:pPr>
        <w:pStyle w:val="3"/>
        <w:rPr>
          <w:color w:val="auto"/>
          <w:highlight w:val="none"/>
        </w:rPr>
      </w:pPr>
      <w:bookmarkStart w:id="13" w:name="_Toc32510"/>
      <w:r>
        <w:rPr>
          <w:rFonts w:hint="eastAsia"/>
          <w:color w:val="auto"/>
          <w:highlight w:val="none"/>
        </w:rPr>
        <w:t xml:space="preserve">第一章 </w:t>
      </w:r>
      <w:bookmarkEnd w:id="0"/>
      <w:bookmarkEnd w:id="1"/>
      <w:bookmarkEnd w:id="10"/>
      <w:r>
        <w:rPr>
          <w:rFonts w:hint="eastAsia"/>
          <w:color w:val="auto"/>
          <w:highlight w:val="none"/>
        </w:rPr>
        <w:t>招标邀请</w:t>
      </w:r>
      <w:bookmarkEnd w:id="11"/>
      <w:bookmarkEnd w:id="12"/>
      <w:bookmarkEnd w:id="13"/>
    </w:p>
    <w:bookmarkEnd w:id="2"/>
    <w:bookmarkEnd w:id="3"/>
    <w:bookmarkEnd w:id="4"/>
    <w:bookmarkEnd w:id="5"/>
    <w:bookmarkEnd w:id="6"/>
    <w:p>
      <w:pPr>
        <w:jc w:val="center"/>
        <w:rPr>
          <w:rFonts w:hint="default"/>
          <w:color w:val="auto"/>
          <w:sz w:val="24"/>
          <w:szCs w:val="24"/>
          <w:highlight w:val="none"/>
          <w:lang w:val="en-US" w:eastAsia="zh-CN"/>
        </w:rPr>
      </w:pPr>
      <w:bookmarkStart w:id="14" w:name="_Toc120614211"/>
      <w:bookmarkStart w:id="15" w:name="_Toc534725597"/>
      <w:bookmarkStart w:id="16" w:name="_Toc20823314"/>
      <w:bookmarkStart w:id="17" w:name="_Toc120614221"/>
      <w:bookmarkStart w:id="18" w:name="_Toc494375079"/>
      <w:bookmarkStart w:id="19" w:name="_Toc513029242"/>
      <w:bookmarkStart w:id="20" w:name="_Toc16938558"/>
      <w:bookmarkStart w:id="21" w:name="_Toc479757207"/>
      <w:r>
        <w:rPr>
          <w:rFonts w:hint="eastAsia"/>
          <w:color w:val="auto"/>
          <w:sz w:val="24"/>
          <w:szCs w:val="24"/>
          <w:highlight w:val="none"/>
          <w:lang w:val="en-US" w:eastAsia="zh-Hans"/>
        </w:rPr>
        <w:t>新疆消防救援总队伊犁支队“自然灾害应急能力提升工程”项目</w:t>
      </w:r>
      <w:r>
        <w:rPr>
          <w:rFonts w:hint="eastAsia"/>
          <w:color w:val="auto"/>
          <w:sz w:val="24"/>
          <w:szCs w:val="24"/>
          <w:highlight w:val="none"/>
          <w:lang w:val="en-US" w:eastAsia="zh-CN"/>
        </w:rPr>
        <w:t>（</w:t>
      </w:r>
      <w:r>
        <w:rPr>
          <w:rFonts w:hint="eastAsia"/>
          <w:color w:val="auto"/>
          <w:sz w:val="24"/>
          <w:szCs w:val="24"/>
          <w:highlight w:val="none"/>
          <w:lang w:val="en-US" w:eastAsia="zh-Hans"/>
        </w:rPr>
        <w:t>六</w:t>
      </w:r>
      <w:r>
        <w:rPr>
          <w:rFonts w:hint="eastAsia"/>
          <w:color w:val="auto"/>
          <w:sz w:val="24"/>
          <w:szCs w:val="24"/>
          <w:highlight w:val="none"/>
          <w:lang w:val="en-US" w:eastAsia="zh-CN"/>
        </w:rPr>
        <w:t>）&lt;1-3包&gt;</w:t>
      </w:r>
    </w:p>
    <w:p>
      <w:pPr>
        <w:jc w:val="center"/>
        <w:rPr>
          <w:color w:val="auto"/>
          <w:sz w:val="24"/>
          <w:szCs w:val="24"/>
          <w:highlight w:val="none"/>
        </w:rPr>
      </w:pPr>
      <w:r>
        <w:rPr>
          <w:rFonts w:hint="eastAsia"/>
          <w:color w:val="auto"/>
          <w:sz w:val="24"/>
          <w:szCs w:val="24"/>
          <w:highlight w:val="none"/>
        </w:rPr>
        <w:t>公开</w:t>
      </w:r>
      <w:r>
        <w:rPr>
          <w:color w:val="auto"/>
          <w:sz w:val="24"/>
          <w:szCs w:val="24"/>
          <w:highlight w:val="none"/>
        </w:rPr>
        <w:t>招标</w:t>
      </w:r>
      <w:r>
        <w:rPr>
          <w:rFonts w:hint="eastAsia"/>
          <w:color w:val="auto"/>
          <w:sz w:val="24"/>
          <w:szCs w:val="24"/>
          <w:highlight w:val="none"/>
        </w:rPr>
        <w:t>公告</w:t>
      </w:r>
    </w:p>
    <w:p>
      <w:pPr>
        <w:pBdr>
          <w:top w:val="single" w:color="auto" w:sz="4" w:space="1"/>
          <w:left w:val="single" w:color="auto" w:sz="4" w:space="4"/>
          <w:bottom w:val="single" w:color="auto" w:sz="4" w:space="15"/>
          <w:right w:val="single" w:color="auto" w:sz="4" w:space="4"/>
        </w:pBdr>
        <w:spacing w:line="50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项目概况</w:t>
      </w:r>
    </w:p>
    <w:p>
      <w:pPr>
        <w:pBdr>
          <w:top w:val="single" w:color="auto" w:sz="4" w:space="1"/>
          <w:left w:val="single" w:color="auto" w:sz="4" w:space="4"/>
          <w:bottom w:val="single" w:color="auto" w:sz="4" w:space="15"/>
          <w:right w:val="single" w:color="auto" w:sz="4" w:space="4"/>
        </w:pBd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Hans"/>
        </w:rPr>
        <w:t>新疆消防救援总队伊犁支队“自然灾害应急能力提升工程”项目</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en-US" w:eastAsia="zh-Hans"/>
        </w:rPr>
        <w:t>六</w:t>
      </w:r>
      <w:r>
        <w:rPr>
          <w:rFonts w:hint="eastAsia" w:ascii="宋体" w:hAnsi="宋体" w:cs="宋体"/>
          <w:color w:val="auto"/>
          <w:sz w:val="24"/>
          <w:szCs w:val="24"/>
          <w:highlight w:val="none"/>
          <w:lang w:val="en-US" w:eastAsia="zh-CN"/>
        </w:rPr>
        <w:t>）&lt;1-3包&gt;</w:t>
      </w:r>
      <w:r>
        <w:rPr>
          <w:rFonts w:hint="eastAsia" w:ascii="宋体" w:hAnsi="宋体" w:cs="宋体"/>
          <w:color w:val="auto"/>
          <w:sz w:val="24"/>
          <w:szCs w:val="24"/>
          <w:highlight w:val="none"/>
        </w:rPr>
        <w:t>的潜在供应商应在</w:t>
      </w:r>
      <w:r>
        <w:rPr>
          <w:rFonts w:hint="eastAsia" w:ascii="宋体" w:hAnsi="宋体" w:cs="宋体"/>
          <w:color w:val="auto"/>
          <w:sz w:val="24"/>
          <w:szCs w:val="24"/>
          <w:highlight w:val="none"/>
          <w:lang w:val="en-US" w:eastAsia="zh-CN"/>
        </w:rPr>
        <w:t>新疆伊筑工程管理有限公司线上领取招标文件，（请联系招标代理公司0999-8988777）</w:t>
      </w:r>
      <w:r>
        <w:rPr>
          <w:rFonts w:hint="eastAsia" w:ascii="宋体" w:hAnsi="宋体" w:cs="宋体"/>
          <w:color w:val="auto"/>
          <w:sz w:val="24"/>
          <w:szCs w:val="24"/>
          <w:highlight w:val="none"/>
        </w:rPr>
        <w:t>，并于</w:t>
      </w:r>
      <w:r>
        <w:rPr>
          <w:rFonts w:ascii="宋体" w:hAnsi="宋体" w:cs="宋体"/>
          <w:color w:val="auto"/>
          <w:sz w:val="24"/>
          <w:szCs w:val="24"/>
          <w:highlight w:val="none"/>
          <w:u w:val="single"/>
        </w:rPr>
        <w:t>20</w:t>
      </w:r>
      <w:r>
        <w:rPr>
          <w:rFonts w:hint="eastAsia" w:ascii="宋体" w:hAnsi="宋体" w:cs="宋体"/>
          <w:color w:val="auto"/>
          <w:sz w:val="24"/>
          <w:szCs w:val="24"/>
          <w:highlight w:val="none"/>
          <w:u w:val="single"/>
        </w:rPr>
        <w:t>2</w:t>
      </w:r>
      <w:r>
        <w:rPr>
          <w:rFonts w:hint="eastAsia" w:ascii="宋体" w:hAnsi="宋体" w:cs="宋体"/>
          <w:color w:val="auto"/>
          <w:sz w:val="24"/>
          <w:szCs w:val="24"/>
          <w:highlight w:val="none"/>
          <w:u w:val="single"/>
          <w:lang w:val="en-US" w:eastAsia="zh-CN"/>
        </w:rPr>
        <w:t>4</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green"/>
          <w:u w:val="single"/>
          <w:lang w:val="en-US" w:eastAsia="zh-CN"/>
        </w:rPr>
        <w:t xml:space="preserve">05 </w:t>
      </w:r>
      <w:r>
        <w:rPr>
          <w:rFonts w:hint="eastAsia" w:ascii="宋体" w:hAnsi="宋体" w:cs="宋体"/>
          <w:bCs/>
          <w:color w:val="auto"/>
          <w:sz w:val="24"/>
          <w:szCs w:val="24"/>
          <w:highlight w:val="green"/>
          <w:u w:val="single"/>
        </w:rPr>
        <w:t>月</w:t>
      </w:r>
      <w:r>
        <w:rPr>
          <w:rFonts w:hint="eastAsia" w:ascii="宋体" w:hAnsi="宋体" w:cs="宋体"/>
          <w:bCs/>
          <w:color w:val="auto"/>
          <w:sz w:val="24"/>
          <w:szCs w:val="24"/>
          <w:highlight w:val="green"/>
          <w:u w:val="single"/>
          <w:lang w:val="en-US" w:eastAsia="zh-CN"/>
        </w:rPr>
        <w:t xml:space="preserve"> 06</w:t>
      </w:r>
      <w:r>
        <w:rPr>
          <w:rFonts w:hint="eastAsia" w:ascii="宋体" w:hAnsi="宋体" w:cs="宋体"/>
          <w:bCs/>
          <w:color w:val="auto"/>
          <w:sz w:val="24"/>
          <w:szCs w:val="24"/>
          <w:highlight w:val="green"/>
          <w:u w:val="single"/>
        </w:rPr>
        <w:t>日</w:t>
      </w:r>
      <w:r>
        <w:rPr>
          <w:rFonts w:hint="eastAsia" w:ascii="宋体" w:hAnsi="宋体" w:cs="宋体"/>
          <w:bCs/>
          <w:color w:val="auto"/>
          <w:sz w:val="24"/>
          <w:szCs w:val="24"/>
          <w:highlight w:val="green"/>
          <w:u w:val="single"/>
          <w:lang w:val="en-US" w:eastAsia="zh-CN"/>
        </w:rPr>
        <w:t>10</w:t>
      </w:r>
      <w:r>
        <w:rPr>
          <w:rFonts w:hint="eastAsia" w:ascii="宋体" w:hAnsi="宋体" w:cs="宋体"/>
          <w:bCs/>
          <w:color w:val="auto"/>
          <w:sz w:val="24"/>
          <w:szCs w:val="24"/>
          <w:highlight w:val="green"/>
          <w:u w:val="single"/>
        </w:rPr>
        <w:t>点</w:t>
      </w:r>
      <w:r>
        <w:rPr>
          <w:rFonts w:hint="eastAsia" w:ascii="宋体" w:hAnsi="宋体" w:cs="宋体"/>
          <w:bCs/>
          <w:color w:val="auto"/>
          <w:sz w:val="24"/>
          <w:szCs w:val="24"/>
          <w:highlight w:val="green"/>
          <w:u w:val="single"/>
          <w:lang w:val="en-US" w:eastAsia="zh-CN"/>
        </w:rPr>
        <w:t>30</w:t>
      </w:r>
      <w:r>
        <w:rPr>
          <w:rFonts w:hint="eastAsia" w:ascii="宋体" w:hAnsi="宋体" w:cs="宋体"/>
          <w:bCs/>
          <w:color w:val="auto"/>
          <w:sz w:val="24"/>
          <w:szCs w:val="24"/>
          <w:highlight w:val="green"/>
          <w:u w:val="single"/>
        </w:rPr>
        <w:t>分</w:t>
      </w:r>
      <w:r>
        <w:rPr>
          <w:rFonts w:hint="eastAsia" w:ascii="宋体" w:hAnsi="宋体" w:cs="宋体"/>
          <w:bCs/>
          <w:color w:val="auto"/>
          <w:sz w:val="24"/>
          <w:szCs w:val="24"/>
          <w:highlight w:val="none"/>
        </w:rPr>
        <w:t>（北京时间）前提交投标文件</w:t>
      </w:r>
      <w:r>
        <w:rPr>
          <w:rFonts w:hint="eastAsia" w:ascii="宋体" w:hAnsi="宋体" w:cs="宋体"/>
          <w:color w:val="auto"/>
          <w:sz w:val="24"/>
          <w:szCs w:val="24"/>
          <w:highlight w:val="none"/>
        </w:rPr>
        <w:t>。</w:t>
      </w:r>
    </w:p>
    <w:p>
      <w:pPr>
        <w:pStyle w:val="5"/>
        <w:rPr>
          <w:rFonts w:ascii="宋体" w:hAnsi="宋体" w:cs="宋体"/>
          <w:color w:val="auto"/>
          <w:sz w:val="24"/>
          <w:szCs w:val="24"/>
          <w:highlight w:val="none"/>
        </w:rPr>
      </w:pPr>
      <w:r>
        <w:rPr>
          <w:rFonts w:hint="eastAsia"/>
          <w:color w:val="auto"/>
          <w:highlight w:val="none"/>
        </w:rPr>
        <w:t>一、项目基本情况</w:t>
      </w:r>
    </w:p>
    <w:tbl>
      <w:tblPr>
        <w:tblStyle w:val="39"/>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0"/>
        <w:gridCol w:w="5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600"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项目编号</w:t>
            </w:r>
          </w:p>
        </w:tc>
        <w:tc>
          <w:tcPr>
            <w:tcW w:w="5926" w:type="dxa"/>
          </w:tcPr>
          <w:p>
            <w:pPr>
              <w:spacing w:line="460" w:lineRule="exact"/>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YZ-HW-GKZB2024-0</w:t>
            </w:r>
            <w:r>
              <w:rPr>
                <w:rFonts w:hint="eastAsia" w:ascii="宋体" w:hAnsi="宋体" w:cs="宋体"/>
                <w:color w:val="auto"/>
                <w:sz w:val="24"/>
                <w:szCs w:val="24"/>
                <w:highlight w:val="none"/>
                <w:lang w:val="en-US" w:eastAsia="zh-CN"/>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600"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5926" w:type="dxa"/>
          </w:tcPr>
          <w:p>
            <w:pPr>
              <w:spacing w:line="460" w:lineRule="exact"/>
              <w:jc w:val="left"/>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Hans"/>
              </w:rPr>
              <w:t>新疆消防救援总队伊犁支队“自然灾害应急能力提升工程”项目</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en-US" w:eastAsia="zh-Hans"/>
              </w:rPr>
              <w:t>六</w:t>
            </w:r>
            <w:r>
              <w:rPr>
                <w:rFonts w:hint="eastAsia" w:ascii="宋体" w:hAnsi="宋体" w:cs="宋体"/>
                <w:color w:val="auto"/>
                <w:sz w:val="24"/>
                <w:szCs w:val="24"/>
                <w:highlight w:val="none"/>
                <w:lang w:val="en-US" w:eastAsia="zh-CN"/>
              </w:rPr>
              <w:t>）&lt;1-3包&gt;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2600"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采购方式</w:t>
            </w:r>
          </w:p>
        </w:tc>
        <w:tc>
          <w:tcPr>
            <w:tcW w:w="5926"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预算金额</w:t>
            </w:r>
          </w:p>
        </w:tc>
        <w:tc>
          <w:tcPr>
            <w:tcW w:w="5926"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744.525</w:t>
            </w: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00"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最高限价</w:t>
            </w:r>
          </w:p>
        </w:tc>
        <w:tc>
          <w:tcPr>
            <w:tcW w:w="5926" w:type="dxa"/>
          </w:tcPr>
          <w:p>
            <w:pPr>
              <w:spacing w:line="460" w:lineRule="exact"/>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744.525</w:t>
            </w: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Borders>
              <w:bottom w:val="single" w:color="auto" w:sz="4" w:space="0"/>
            </w:tcBorders>
          </w:tcPr>
          <w:p>
            <w:pPr>
              <w:spacing w:line="460" w:lineRule="exact"/>
              <w:jc w:val="left"/>
              <w:rPr>
                <w:rFonts w:ascii="宋体" w:hAnsi="宋体" w:cs="宋体"/>
                <w:color w:val="auto"/>
                <w:sz w:val="24"/>
                <w:szCs w:val="24"/>
                <w:highlight w:val="none"/>
              </w:rPr>
            </w:pPr>
            <w:r>
              <w:rPr>
                <w:rFonts w:hint="eastAsia" w:cs="宋体"/>
                <w:color w:val="auto"/>
                <w:sz w:val="24"/>
                <w:szCs w:val="24"/>
                <w:highlight w:val="none"/>
              </w:rPr>
              <w:t>资金来源</w:t>
            </w:r>
          </w:p>
        </w:tc>
        <w:tc>
          <w:tcPr>
            <w:tcW w:w="5926" w:type="dxa"/>
            <w:tcBorders>
              <w:bottom w:val="single" w:color="auto" w:sz="4" w:space="0"/>
            </w:tcBorders>
          </w:tcPr>
          <w:p>
            <w:pPr>
              <w:pStyle w:val="37"/>
              <w:spacing w:line="460" w:lineRule="exact"/>
              <w:ind w:firstLine="0" w:firstLineChars="0"/>
              <w:jc w:val="left"/>
              <w:rPr>
                <w:rFonts w:cs="宋体"/>
                <w:color w:val="auto"/>
                <w:sz w:val="24"/>
                <w:szCs w:val="24"/>
                <w:highlight w:val="none"/>
              </w:rPr>
            </w:pPr>
            <w:r>
              <w:rPr>
                <w:rFonts w:hint="eastAsia" w:cs="宋体"/>
                <w:color w:val="auto"/>
                <w:sz w:val="24"/>
                <w:szCs w:val="24"/>
                <w:highlight w:val="none"/>
                <w:lang w:val="en-US" w:eastAsia="zh-CN"/>
              </w:rPr>
              <w:t>国债</w:t>
            </w:r>
            <w:r>
              <w:rPr>
                <w:rFonts w:hint="eastAsia" w:cs="宋体"/>
                <w:color w:val="auto"/>
                <w:sz w:val="24"/>
                <w:szCs w:val="24"/>
                <w:highlight w:val="none"/>
              </w:rPr>
              <w:t>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Borders>
              <w:top w:val="single" w:color="auto" w:sz="4" w:space="0"/>
              <w:left w:val="nil"/>
              <w:bottom w:val="nil"/>
              <w:right w:val="nil"/>
            </w:tcBorders>
          </w:tcPr>
          <w:p>
            <w:pPr>
              <w:spacing w:line="460" w:lineRule="exact"/>
              <w:jc w:val="left"/>
              <w:rPr>
                <w:rFonts w:cs="宋体"/>
                <w:color w:val="auto"/>
                <w:sz w:val="24"/>
                <w:szCs w:val="24"/>
                <w:highlight w:val="none"/>
              </w:rPr>
            </w:pPr>
          </w:p>
        </w:tc>
        <w:tc>
          <w:tcPr>
            <w:tcW w:w="5926" w:type="dxa"/>
            <w:tcBorders>
              <w:top w:val="single" w:color="auto" w:sz="4" w:space="0"/>
              <w:left w:val="nil"/>
              <w:bottom w:val="nil"/>
              <w:right w:val="nil"/>
            </w:tcBorders>
          </w:tcPr>
          <w:p>
            <w:pPr>
              <w:pStyle w:val="37"/>
              <w:spacing w:line="460" w:lineRule="exact"/>
              <w:ind w:firstLine="0" w:firstLineChars="0"/>
              <w:jc w:val="left"/>
              <w:rPr>
                <w:rFonts w:cs="宋体"/>
                <w:color w:val="auto"/>
                <w:sz w:val="24"/>
                <w:szCs w:val="24"/>
                <w:highlight w:val="none"/>
              </w:rPr>
            </w:pPr>
          </w:p>
        </w:tc>
      </w:tr>
    </w:tbl>
    <w:p>
      <w:pPr>
        <w:spacing w:line="460" w:lineRule="exact"/>
        <w:jc w:val="left"/>
        <w:rPr>
          <w:rFonts w:ascii="宋体" w:hAnsi="宋体" w:cs="宋体"/>
          <w:color w:val="auto"/>
          <w:sz w:val="24"/>
          <w:szCs w:val="24"/>
          <w:highlight w:val="none"/>
        </w:rPr>
      </w:pPr>
      <w:r>
        <w:rPr>
          <w:rFonts w:hint="eastAsia" w:ascii="宋体" w:hAnsi="宋体" w:cs="宋体"/>
          <w:b/>
          <w:bCs/>
          <w:color w:val="auto"/>
          <w:sz w:val="24"/>
          <w:szCs w:val="24"/>
          <w:highlight w:val="none"/>
        </w:rPr>
        <w:t>采购需求：</w:t>
      </w:r>
    </w:p>
    <w:tbl>
      <w:tblPr>
        <w:tblStyle w:val="38"/>
        <w:tblW w:w="842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5"/>
        <w:gridCol w:w="2472"/>
        <w:gridCol w:w="1057"/>
        <w:gridCol w:w="1075"/>
        <w:gridCol w:w="1360"/>
        <w:gridCol w:w="178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8" w:hRule="atLeast"/>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包号</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装备名称</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单位</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数量</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2"/>
                <w:szCs w:val="22"/>
                <w:highlight w:val="none"/>
                <w:u w:val="none"/>
                <w:lang w:val="en-US" w:eastAsia="zh-CN" w:bidi="ar"/>
              </w:rPr>
            </w:pPr>
            <w:r>
              <w:rPr>
                <w:rFonts w:hint="eastAsia" w:ascii="方正黑体_GBK" w:hAnsi="方正黑体_GBK" w:eastAsia="方正黑体_GBK" w:cs="方正黑体_GBK"/>
                <w:b/>
                <w:bCs/>
                <w:i w:val="0"/>
                <w:iCs w:val="0"/>
                <w:color w:val="000000"/>
                <w:kern w:val="0"/>
                <w:sz w:val="22"/>
                <w:szCs w:val="22"/>
                <w:highlight w:val="none"/>
                <w:u w:val="none"/>
                <w:lang w:val="en-US" w:eastAsia="zh-CN" w:bidi="ar"/>
              </w:rPr>
              <w:t>单价（万元）</w:t>
            </w:r>
          </w:p>
        </w:tc>
        <w:tc>
          <w:tcPr>
            <w:tcW w:w="1784"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合计金额(万元)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sz w:val="20"/>
                <w:szCs w:val="20"/>
                <w:highlight w:val="none"/>
                <w:u w:val="none"/>
              </w:rPr>
              <w:t>干式水域救援服</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100</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0.800 </w:t>
            </w:r>
          </w:p>
        </w:tc>
        <w:tc>
          <w:tcPr>
            <w:tcW w:w="1784" w:type="dxa"/>
            <w:vMerge w:val="restart"/>
            <w:tcBorders>
              <w:top w:val="single" w:color="auto" w:sz="4" w:space="0"/>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256.25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75"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sz w:val="20"/>
                <w:szCs w:val="20"/>
                <w:highlight w:val="none"/>
                <w:u w:val="none"/>
              </w:rPr>
              <w:t>湿式水域救援服</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255</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0.350 </w:t>
            </w:r>
          </w:p>
        </w:tc>
        <w:tc>
          <w:tcPr>
            <w:tcW w:w="1784"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675"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sz w:val="20"/>
                <w:szCs w:val="20"/>
                <w:highlight w:val="none"/>
                <w:u w:val="none"/>
              </w:rPr>
              <w:t>水域救援套装</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269</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0.200 </w:t>
            </w:r>
          </w:p>
        </w:tc>
        <w:tc>
          <w:tcPr>
            <w:tcW w:w="1784" w:type="dxa"/>
            <w:vMerge w:val="continue"/>
            <w:tcBorders>
              <w:left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675" w:type="dxa"/>
            <w:vMerge w:val="continue"/>
            <w:tcBorders>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sz w:val="20"/>
                <w:szCs w:val="20"/>
                <w:highlight w:val="none"/>
                <w:u w:val="none"/>
              </w:rPr>
              <w:t>水域救生套装</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166</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0.200 </w:t>
            </w:r>
          </w:p>
        </w:tc>
        <w:tc>
          <w:tcPr>
            <w:tcW w:w="1784" w:type="dxa"/>
            <w:vMerge w:val="continue"/>
            <w:tcBorders>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247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潜水全面罩</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具</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24</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1.600 </w:t>
            </w:r>
          </w:p>
        </w:tc>
        <w:tc>
          <w:tcPr>
            <w:tcW w:w="178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359.40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47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全面罩</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具</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45</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1.600 </w:t>
            </w:r>
          </w:p>
        </w:tc>
        <w:tc>
          <w:tcPr>
            <w:tcW w:w="17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47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干式潜水衣</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075" w:type="dxa"/>
            <w:tcBorders>
              <w:top w:val="single" w:color="000000" w:sz="4" w:space="0"/>
              <w:left w:val="single" w:color="000000"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24</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1.320 </w:t>
            </w:r>
          </w:p>
        </w:tc>
        <w:tc>
          <w:tcPr>
            <w:tcW w:w="17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47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湿式潜水衣</w:t>
            </w:r>
          </w:p>
        </w:tc>
        <w:tc>
          <w:tcPr>
            <w:tcW w:w="1057"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07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24</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0.460 </w:t>
            </w:r>
          </w:p>
        </w:tc>
        <w:tc>
          <w:tcPr>
            <w:tcW w:w="17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47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潜水浮力装置</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075" w:type="dxa"/>
            <w:tcBorders>
              <w:top w:val="single" w:color="auto"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24</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0.400 </w:t>
            </w:r>
          </w:p>
        </w:tc>
        <w:tc>
          <w:tcPr>
            <w:tcW w:w="17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47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潜水气瓶</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30</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0.240 </w:t>
            </w:r>
          </w:p>
        </w:tc>
        <w:tc>
          <w:tcPr>
            <w:tcW w:w="17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47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潜水调节器（含附件）</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24</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0.500 </w:t>
            </w:r>
          </w:p>
        </w:tc>
        <w:tc>
          <w:tcPr>
            <w:tcW w:w="17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47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潜水电脑表</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18</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0.420 </w:t>
            </w:r>
          </w:p>
        </w:tc>
        <w:tc>
          <w:tcPr>
            <w:tcW w:w="17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1"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47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管供式潜水装具</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68.000 </w:t>
            </w:r>
          </w:p>
        </w:tc>
        <w:tc>
          <w:tcPr>
            <w:tcW w:w="17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47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水下推进器</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2.800 </w:t>
            </w:r>
          </w:p>
        </w:tc>
        <w:tc>
          <w:tcPr>
            <w:tcW w:w="17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47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潜水装备套装</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48</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0.590 </w:t>
            </w:r>
          </w:p>
        </w:tc>
        <w:tc>
          <w:tcPr>
            <w:tcW w:w="178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675"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冰面救援服</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20</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1.400 </w:t>
            </w:r>
          </w:p>
        </w:tc>
        <w:tc>
          <w:tcPr>
            <w:tcW w:w="1784" w:type="dxa"/>
            <w:vMerge w:val="restart"/>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128.875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7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冰域呼吸器组件</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45</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1.500 </w:t>
            </w:r>
          </w:p>
        </w:tc>
        <w:tc>
          <w:tcPr>
            <w:tcW w:w="1784"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7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冰面行动辅助套装</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25</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0.535 </w:t>
            </w:r>
          </w:p>
        </w:tc>
        <w:tc>
          <w:tcPr>
            <w:tcW w:w="1784"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675"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4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冰面救援滑板</w:t>
            </w:r>
          </w:p>
        </w:tc>
        <w:tc>
          <w:tcPr>
            <w:tcW w:w="10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107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25</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0.800 </w:t>
            </w:r>
          </w:p>
        </w:tc>
        <w:tc>
          <w:tcPr>
            <w:tcW w:w="1784" w:type="dxa"/>
            <w:vMerge w:val="continue"/>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bl>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供货</w:t>
      </w:r>
      <w:r>
        <w:rPr>
          <w:rFonts w:hint="eastAsia" w:ascii="宋体" w:hAnsi="宋体" w:cs="宋体"/>
          <w:color w:val="auto"/>
          <w:sz w:val="24"/>
          <w:szCs w:val="24"/>
          <w:highlight w:val="none"/>
          <w:lang w:val="zh-CN"/>
        </w:rPr>
        <w:t>地点：</w:t>
      </w:r>
      <w:r>
        <w:rPr>
          <w:rFonts w:hint="eastAsia" w:ascii="宋体" w:hAnsi="宋体" w:cs="宋体"/>
          <w:color w:val="auto"/>
          <w:sz w:val="24"/>
          <w:szCs w:val="24"/>
          <w:highlight w:val="none"/>
        </w:rPr>
        <w:t>招标人指定地点。</w:t>
      </w:r>
    </w:p>
    <w:p>
      <w:pPr>
        <w:spacing w:line="460" w:lineRule="exact"/>
        <w:ind w:firstLine="480" w:firstLineChars="20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货物交付</w:t>
      </w:r>
      <w:r>
        <w:rPr>
          <w:rFonts w:hint="eastAsia" w:ascii="宋体" w:hAnsi="宋体" w:cs="宋体"/>
          <w:color w:val="auto"/>
          <w:sz w:val="24"/>
          <w:szCs w:val="24"/>
          <w:highlight w:val="none"/>
        </w:rPr>
        <w:t>期限：签订合同后</w:t>
      </w:r>
      <w:r>
        <w:rPr>
          <w:rFonts w:hint="eastAsia" w:ascii="宋体" w:hAnsi="宋体" w:cs="宋体"/>
          <w:color w:val="auto"/>
          <w:sz w:val="24"/>
          <w:szCs w:val="24"/>
          <w:highlight w:val="none"/>
          <w:u w:val="single"/>
        </w:rPr>
        <w:t>45</w:t>
      </w:r>
      <w:r>
        <w:rPr>
          <w:rFonts w:hint="eastAsia" w:ascii="宋体" w:hAnsi="宋体" w:cs="宋体"/>
          <w:color w:val="auto"/>
          <w:sz w:val="24"/>
          <w:szCs w:val="24"/>
          <w:highlight w:val="none"/>
        </w:rPr>
        <w:t>日内交付货物；</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本项目不接受联合体投标。</w:t>
      </w:r>
    </w:p>
    <w:p>
      <w:pPr>
        <w:pStyle w:val="5"/>
        <w:rPr>
          <w:color w:val="auto"/>
          <w:highlight w:val="none"/>
        </w:rPr>
      </w:pPr>
      <w:r>
        <w:rPr>
          <w:rFonts w:hint="eastAsia"/>
          <w:color w:val="auto"/>
          <w:highlight w:val="none"/>
        </w:rPr>
        <w:t>二、申请人的资格要求</w:t>
      </w:r>
    </w:p>
    <w:p>
      <w:pPr>
        <w:spacing w:line="460" w:lineRule="exact"/>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1.满足《中华人民共和国政府采购法》第二十二条规定；</w:t>
      </w:r>
    </w:p>
    <w:p>
      <w:pPr>
        <w:spacing w:line="460" w:lineRule="exact"/>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2.落实政府采购政策需满足的资格要求：1）</w:t>
      </w:r>
      <w:r>
        <w:rPr>
          <w:rFonts w:hint="eastAsia" w:ascii="宋体" w:hAnsi="宋体" w:cs="宋体"/>
          <w:color w:val="auto"/>
          <w:sz w:val="24"/>
          <w:szCs w:val="24"/>
          <w:highlight w:val="none"/>
          <w:lang w:val="en-US" w:eastAsia="zh-CN"/>
        </w:rPr>
        <w:t>本项目为</w:t>
      </w:r>
      <w:r>
        <w:rPr>
          <w:rFonts w:hint="eastAsia" w:ascii="宋体" w:hAnsi="宋体" w:cs="宋体"/>
          <w:color w:val="auto"/>
          <w:sz w:val="24"/>
          <w:szCs w:val="24"/>
          <w:highlight w:val="none"/>
          <w:lang w:val="zh-CN"/>
        </w:rPr>
        <w:t>专门面向中小企业采购，价格不再进行财政政策扣除。</w:t>
      </w:r>
      <w:r>
        <w:rPr>
          <w:rFonts w:hint="eastAsia"/>
          <w:color w:val="auto"/>
          <w:highlight w:val="none"/>
          <w:lang w:val="zh-CN"/>
        </w:rPr>
        <w:t xml:space="preserve"> </w:t>
      </w:r>
      <w:r>
        <w:rPr>
          <w:rFonts w:hint="eastAsia" w:ascii="宋体" w:hAnsi="宋体" w:cs="宋体"/>
          <w:color w:val="auto"/>
          <w:sz w:val="24"/>
          <w:szCs w:val="24"/>
          <w:highlight w:val="none"/>
          <w:lang w:val="zh-CN"/>
        </w:rPr>
        <w:t>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460" w:lineRule="exact"/>
        <w:ind w:firstLine="480" w:firstLineChars="200"/>
        <w:jc w:val="left"/>
        <w:rPr>
          <w:rFonts w:ascii="宋体" w:hAnsi="宋体" w:cs="宋体"/>
          <w:color w:val="auto"/>
          <w:sz w:val="24"/>
          <w:szCs w:val="24"/>
          <w:highlight w:val="none"/>
          <w:lang w:val="zh-C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.本项目的特定资格要求：</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3.1与招标人存在利害关系可能影响招标公正性的法人、其他组织或者个人，不得参加同一标段投标或者未划分标段的同一招标不得参加投标；</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3.2 投标人负责人为同一人或者存在控股、管理关系的不同单位，不得同时参加本项目的投标；</w:t>
      </w:r>
    </w:p>
    <w:p>
      <w:pPr>
        <w:spacing w:line="4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r>
        <w:rPr>
          <w:rFonts w:hint="eastAsia" w:ascii="宋体" w:hAnsi="宋体" w:cs="宋体"/>
          <w:color w:val="auto"/>
          <w:sz w:val="24"/>
          <w:szCs w:val="24"/>
          <w:highlight w:val="none"/>
          <w:lang w:eastAsia="zh-CN"/>
        </w:rPr>
        <w:t>。</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4.本项目不接受联合体投标。</w:t>
      </w:r>
    </w:p>
    <w:p>
      <w:pPr>
        <w:pStyle w:val="5"/>
        <w:rPr>
          <w:color w:val="auto"/>
          <w:highlight w:val="none"/>
        </w:rPr>
      </w:pPr>
      <w:r>
        <w:rPr>
          <w:rFonts w:hint="eastAsia"/>
          <w:color w:val="auto"/>
          <w:highlight w:val="none"/>
        </w:rPr>
        <w:t>三、获取招标文件</w:t>
      </w:r>
    </w:p>
    <w:p>
      <w:pPr>
        <w:spacing w:line="460" w:lineRule="exact"/>
        <w:ind w:firstLine="540"/>
        <w:jc w:val="left"/>
        <w:rPr>
          <w:rFonts w:ascii="宋体" w:hAnsi="宋体" w:cs="宋体"/>
          <w:color w:val="auto"/>
          <w:sz w:val="24"/>
          <w:szCs w:val="24"/>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green"/>
          <w:u w:val="single"/>
        </w:rPr>
        <w:t>202</w:t>
      </w:r>
      <w:r>
        <w:rPr>
          <w:rFonts w:hint="eastAsia" w:ascii="宋体" w:hAnsi="宋体" w:cs="宋体"/>
          <w:color w:val="auto"/>
          <w:sz w:val="24"/>
          <w:szCs w:val="24"/>
          <w:highlight w:val="green"/>
          <w:u w:val="single"/>
          <w:lang w:val="en-US" w:eastAsia="zh-CN"/>
        </w:rPr>
        <w:t>4</w:t>
      </w:r>
      <w:r>
        <w:rPr>
          <w:rFonts w:hint="eastAsia" w:ascii="宋体" w:hAnsi="宋体" w:cs="宋体"/>
          <w:color w:val="auto"/>
          <w:sz w:val="24"/>
          <w:szCs w:val="24"/>
          <w:highlight w:val="green"/>
          <w:u w:val="single"/>
        </w:rPr>
        <w:t>年</w:t>
      </w:r>
      <w:r>
        <w:rPr>
          <w:rFonts w:hint="eastAsia" w:ascii="宋体" w:hAnsi="宋体" w:cs="宋体"/>
          <w:color w:val="auto"/>
          <w:sz w:val="24"/>
          <w:szCs w:val="24"/>
          <w:highlight w:val="green"/>
          <w:u w:val="single"/>
          <w:lang w:val="en-US" w:eastAsia="zh-CN"/>
        </w:rPr>
        <w:t xml:space="preserve"> 04</w:t>
      </w:r>
      <w:r>
        <w:rPr>
          <w:rFonts w:hint="eastAsia" w:ascii="宋体" w:hAnsi="宋体" w:cs="宋体"/>
          <w:color w:val="auto"/>
          <w:sz w:val="24"/>
          <w:szCs w:val="24"/>
          <w:highlight w:val="green"/>
          <w:u w:val="single"/>
        </w:rPr>
        <w:t>月</w:t>
      </w:r>
      <w:r>
        <w:rPr>
          <w:rFonts w:hint="eastAsia" w:ascii="宋体" w:hAnsi="宋体" w:cs="宋体"/>
          <w:color w:val="auto"/>
          <w:sz w:val="24"/>
          <w:szCs w:val="24"/>
          <w:highlight w:val="green"/>
          <w:u w:val="single"/>
          <w:lang w:val="en-US" w:eastAsia="zh-CN"/>
        </w:rPr>
        <w:t xml:space="preserve"> 08</w:t>
      </w:r>
      <w:r>
        <w:rPr>
          <w:rFonts w:hint="eastAsia" w:ascii="宋体" w:hAnsi="宋体" w:cs="宋体"/>
          <w:color w:val="auto"/>
          <w:sz w:val="24"/>
          <w:szCs w:val="24"/>
          <w:highlight w:val="green"/>
          <w:u w:val="single"/>
        </w:rPr>
        <w:t>日</w:t>
      </w:r>
      <w:r>
        <w:rPr>
          <w:rFonts w:hint="eastAsia" w:ascii="宋体" w:hAnsi="宋体" w:cs="宋体"/>
          <w:color w:val="auto"/>
          <w:sz w:val="24"/>
          <w:szCs w:val="24"/>
          <w:highlight w:val="green"/>
        </w:rPr>
        <w:t>至</w:t>
      </w:r>
      <w:r>
        <w:rPr>
          <w:rFonts w:hint="eastAsia" w:ascii="宋体" w:hAnsi="宋体" w:cs="宋体"/>
          <w:color w:val="auto"/>
          <w:sz w:val="24"/>
          <w:szCs w:val="24"/>
          <w:highlight w:val="green"/>
          <w:u w:val="single"/>
        </w:rPr>
        <w:t>202</w:t>
      </w:r>
      <w:r>
        <w:rPr>
          <w:rFonts w:hint="eastAsia" w:ascii="宋体" w:hAnsi="宋体" w:cs="宋体"/>
          <w:color w:val="auto"/>
          <w:sz w:val="24"/>
          <w:szCs w:val="24"/>
          <w:highlight w:val="green"/>
          <w:u w:val="single"/>
          <w:lang w:val="en-US" w:eastAsia="zh-CN"/>
        </w:rPr>
        <w:t>4</w:t>
      </w:r>
      <w:r>
        <w:rPr>
          <w:rFonts w:hint="eastAsia" w:ascii="宋体" w:hAnsi="宋体" w:cs="宋体"/>
          <w:color w:val="auto"/>
          <w:sz w:val="24"/>
          <w:szCs w:val="24"/>
          <w:highlight w:val="green"/>
          <w:u w:val="single"/>
        </w:rPr>
        <w:t>年</w:t>
      </w:r>
      <w:r>
        <w:rPr>
          <w:rFonts w:hint="eastAsia" w:ascii="宋体" w:hAnsi="宋体" w:cs="宋体"/>
          <w:color w:val="auto"/>
          <w:sz w:val="24"/>
          <w:szCs w:val="24"/>
          <w:highlight w:val="green"/>
          <w:u w:val="single"/>
          <w:lang w:val="en-US" w:eastAsia="zh-CN"/>
        </w:rPr>
        <w:t xml:space="preserve"> 04</w:t>
      </w:r>
      <w:r>
        <w:rPr>
          <w:rFonts w:hint="eastAsia" w:ascii="宋体" w:hAnsi="宋体" w:cs="宋体"/>
          <w:color w:val="auto"/>
          <w:sz w:val="24"/>
          <w:szCs w:val="24"/>
          <w:highlight w:val="green"/>
          <w:u w:val="single"/>
        </w:rPr>
        <w:t>月</w:t>
      </w:r>
      <w:r>
        <w:rPr>
          <w:rFonts w:hint="eastAsia" w:ascii="宋体" w:hAnsi="宋体" w:cs="宋体"/>
          <w:color w:val="auto"/>
          <w:sz w:val="24"/>
          <w:szCs w:val="24"/>
          <w:highlight w:val="green"/>
          <w:u w:val="single"/>
          <w:lang w:val="en-US" w:eastAsia="zh-CN"/>
        </w:rPr>
        <w:t xml:space="preserve"> 12</w:t>
      </w:r>
      <w:r>
        <w:rPr>
          <w:rFonts w:hint="eastAsia" w:ascii="宋体" w:hAnsi="宋体" w:cs="宋体"/>
          <w:color w:val="auto"/>
          <w:sz w:val="24"/>
          <w:szCs w:val="24"/>
          <w:highlight w:val="green"/>
          <w:u w:val="single"/>
        </w:rPr>
        <w:t>日</w:t>
      </w:r>
      <w:r>
        <w:rPr>
          <w:rFonts w:hint="eastAsia" w:ascii="宋体" w:hAnsi="宋体" w:cs="宋体"/>
          <w:color w:val="auto"/>
          <w:sz w:val="24"/>
          <w:szCs w:val="24"/>
          <w:highlight w:val="green"/>
        </w:rPr>
        <w:t>，</w:t>
      </w:r>
      <w:r>
        <w:rPr>
          <w:rFonts w:hint="eastAsia" w:ascii="宋体" w:hAnsi="宋体" w:cs="宋体"/>
          <w:color w:val="auto"/>
          <w:sz w:val="24"/>
          <w:szCs w:val="24"/>
          <w:highlight w:val="none"/>
        </w:rPr>
        <w:t>每天上午</w:t>
      </w:r>
      <w:r>
        <w:rPr>
          <w:rFonts w:hint="eastAsia" w:ascii="宋体" w:hAnsi="宋体" w:cs="宋体"/>
          <w:color w:val="auto"/>
          <w:sz w:val="24"/>
          <w:szCs w:val="24"/>
          <w:highlight w:val="none"/>
          <w:u w:val="single"/>
        </w:rPr>
        <w:t>10:00</w:t>
      </w:r>
      <w:r>
        <w:rPr>
          <w:rFonts w:hint="eastAsia" w:ascii="宋体" w:hAnsi="宋体" w:cs="宋体"/>
          <w:color w:val="auto"/>
          <w:sz w:val="24"/>
          <w:szCs w:val="24"/>
          <w:highlight w:val="none"/>
        </w:rPr>
        <w:t>至</w:t>
      </w:r>
      <w:r>
        <w:rPr>
          <w:rFonts w:hint="eastAsia" w:ascii="宋体" w:hAnsi="宋体" w:cs="宋体"/>
          <w:color w:val="auto"/>
          <w:sz w:val="24"/>
          <w:szCs w:val="24"/>
          <w:highlight w:val="none"/>
          <w:u w:val="single"/>
        </w:rPr>
        <w:t>14:00</w:t>
      </w:r>
      <w:r>
        <w:rPr>
          <w:rFonts w:hint="eastAsia" w:ascii="宋体" w:hAnsi="宋体" w:cs="宋体"/>
          <w:color w:val="auto"/>
          <w:sz w:val="24"/>
          <w:szCs w:val="24"/>
          <w:highlight w:val="none"/>
        </w:rPr>
        <w:t>，下午</w:t>
      </w:r>
      <w:r>
        <w:rPr>
          <w:rFonts w:hint="eastAsia" w:ascii="宋体" w:hAnsi="宋体" w:cs="宋体"/>
          <w:color w:val="auto"/>
          <w:sz w:val="24"/>
          <w:szCs w:val="24"/>
          <w:highlight w:val="none"/>
          <w:u w:val="single"/>
        </w:rPr>
        <w:t>15:</w:t>
      </w:r>
      <w:r>
        <w:rPr>
          <w:rFonts w:hint="eastAsia" w:ascii="宋体" w:hAnsi="宋体" w:cs="宋体"/>
          <w:color w:val="auto"/>
          <w:sz w:val="24"/>
          <w:szCs w:val="24"/>
          <w:highlight w:val="none"/>
          <w:u w:val="single"/>
          <w:lang w:val="en-US" w:eastAsia="zh-CN"/>
        </w:rPr>
        <w:t>0</w:t>
      </w:r>
      <w:r>
        <w:rPr>
          <w:rFonts w:hint="eastAsia" w:ascii="宋体" w:hAnsi="宋体" w:cs="宋体"/>
          <w:color w:val="auto"/>
          <w:sz w:val="24"/>
          <w:szCs w:val="24"/>
          <w:highlight w:val="none"/>
          <w:u w:val="single"/>
        </w:rPr>
        <w:t>0</w:t>
      </w:r>
      <w:r>
        <w:rPr>
          <w:rFonts w:hint="eastAsia" w:ascii="宋体" w:hAnsi="宋体" w:cs="宋体"/>
          <w:color w:val="auto"/>
          <w:sz w:val="24"/>
          <w:szCs w:val="24"/>
          <w:highlight w:val="none"/>
        </w:rPr>
        <w:t>至</w:t>
      </w:r>
      <w:r>
        <w:rPr>
          <w:rFonts w:hint="eastAsia" w:ascii="宋体" w:hAnsi="宋体" w:cs="宋体"/>
          <w:color w:val="auto"/>
          <w:sz w:val="24"/>
          <w:szCs w:val="24"/>
          <w:highlight w:val="none"/>
          <w:u w:val="single"/>
        </w:rPr>
        <w:t>19:</w:t>
      </w:r>
      <w:r>
        <w:rPr>
          <w:rFonts w:hint="eastAsia" w:ascii="宋体" w:hAnsi="宋体" w:cs="宋体"/>
          <w:color w:val="auto"/>
          <w:sz w:val="24"/>
          <w:szCs w:val="24"/>
          <w:highlight w:val="none"/>
          <w:u w:val="single"/>
          <w:lang w:val="en-US" w:eastAsia="zh-CN"/>
        </w:rPr>
        <w:t>0</w:t>
      </w:r>
      <w:r>
        <w:rPr>
          <w:rFonts w:hint="eastAsia" w:ascii="宋体" w:hAnsi="宋体" w:cs="宋体"/>
          <w:color w:val="auto"/>
          <w:sz w:val="24"/>
          <w:szCs w:val="24"/>
          <w:highlight w:val="none"/>
          <w:u w:val="single"/>
        </w:rPr>
        <w:t>0</w:t>
      </w:r>
      <w:r>
        <w:rPr>
          <w:rFonts w:hint="eastAsia" w:ascii="宋体" w:hAnsi="宋体" w:cs="宋体"/>
          <w:color w:val="auto"/>
          <w:sz w:val="24"/>
          <w:szCs w:val="24"/>
          <w:highlight w:val="none"/>
        </w:rPr>
        <w:t>（北京时间，法定节假日除外）</w:t>
      </w:r>
    </w:p>
    <w:p>
      <w:pPr>
        <w:spacing w:line="400" w:lineRule="exact"/>
        <w:ind w:firstLine="480" w:firstLineChars="200"/>
        <w:jc w:val="left"/>
        <w:rPr>
          <w:rFonts w:ascii="仿宋" w:hAnsi="仿宋" w:cs="宋体"/>
          <w:color w:val="auto"/>
          <w:kern w:val="0"/>
          <w:sz w:val="24"/>
          <w:szCs w:val="24"/>
          <w:highlight w:val="none"/>
        </w:rPr>
      </w:pPr>
      <w:r>
        <w:rPr>
          <w:rFonts w:hint="eastAsia" w:ascii="宋体" w:hAnsi="宋体" w:cs="宋体"/>
          <w:color w:val="auto"/>
          <w:sz w:val="24"/>
          <w:szCs w:val="24"/>
          <w:highlight w:val="none"/>
        </w:rPr>
        <w:t>地点：</w:t>
      </w:r>
      <w:r>
        <w:rPr>
          <w:rFonts w:hint="eastAsia" w:ascii="宋体" w:hAnsi="宋体" w:cs="宋体"/>
          <w:color w:val="auto"/>
          <w:sz w:val="24"/>
          <w:szCs w:val="24"/>
          <w:highlight w:val="none"/>
          <w:lang w:val="en-US" w:eastAsia="zh-CN"/>
        </w:rPr>
        <w:t>伊宁市开发区辽宁路105号（人防办旁）</w:t>
      </w:r>
    </w:p>
    <w:p>
      <w:pPr>
        <w:widowControl/>
        <w:spacing w:line="400" w:lineRule="exact"/>
        <w:ind w:firstLine="480" w:firstLineChars="200"/>
        <w:rPr>
          <w:color w:val="auto"/>
          <w:highlight w:val="none"/>
        </w:rPr>
      </w:pPr>
      <w:r>
        <w:rPr>
          <w:rFonts w:hint="eastAsia" w:ascii="宋体" w:hAnsi="宋体" w:cs="宋体"/>
          <w:color w:val="auto"/>
          <w:sz w:val="24"/>
          <w:szCs w:val="24"/>
          <w:highlight w:val="none"/>
        </w:rPr>
        <w:t>方式：</w:t>
      </w:r>
      <w:r>
        <w:rPr>
          <w:rFonts w:hint="eastAsia" w:ascii="宋体" w:hAnsi="宋体" w:cs="宋体"/>
          <w:color w:val="auto"/>
          <w:kern w:val="0"/>
          <w:sz w:val="24"/>
          <w:highlight w:val="none"/>
        </w:rPr>
        <w:t>线上</w:t>
      </w:r>
    </w:p>
    <w:p>
      <w:pPr>
        <w:spacing w:line="460" w:lineRule="exact"/>
        <w:ind w:firstLine="540"/>
        <w:jc w:val="left"/>
        <w:rPr>
          <w:rFonts w:ascii="宋体" w:hAnsi="宋体" w:cs="宋体"/>
          <w:color w:val="auto"/>
          <w:sz w:val="24"/>
          <w:szCs w:val="24"/>
          <w:highlight w:val="none"/>
          <w:u w:val="single"/>
        </w:rPr>
      </w:pPr>
      <w:r>
        <w:rPr>
          <w:rFonts w:hint="eastAsia" w:ascii="仿宋" w:hAnsi="仿宋" w:cs="宋体"/>
          <w:color w:val="auto"/>
          <w:kern w:val="0"/>
          <w:sz w:val="24"/>
          <w:szCs w:val="24"/>
          <w:highlight w:val="none"/>
        </w:rPr>
        <w:t>售价：</w:t>
      </w:r>
      <w:r>
        <w:rPr>
          <w:rFonts w:ascii="宋体" w:hAnsi="宋体" w:cs="宋体"/>
          <w:color w:val="auto"/>
          <w:kern w:val="0"/>
          <w:sz w:val="24"/>
          <w:szCs w:val="24"/>
          <w:highlight w:val="none"/>
        </w:rPr>
        <w:t>¥</w:t>
      </w:r>
      <w:r>
        <w:rPr>
          <w:rFonts w:hint="eastAsia" w:ascii="仿宋" w:hAnsi="仿宋" w:cs="宋体"/>
          <w:color w:val="auto"/>
          <w:kern w:val="0"/>
          <w:sz w:val="24"/>
          <w:szCs w:val="24"/>
          <w:highlight w:val="none"/>
        </w:rPr>
        <w:t>0元</w:t>
      </w:r>
    </w:p>
    <w:p>
      <w:pPr>
        <w:pStyle w:val="5"/>
        <w:rPr>
          <w:color w:val="auto"/>
          <w:highlight w:val="none"/>
        </w:rPr>
      </w:pPr>
      <w:r>
        <w:rPr>
          <w:rFonts w:hint="eastAsia"/>
          <w:color w:val="auto"/>
          <w:highlight w:val="none"/>
        </w:rPr>
        <w:t>四、投标文件提交</w:t>
      </w:r>
    </w:p>
    <w:p>
      <w:pPr>
        <w:spacing w:line="460" w:lineRule="exact"/>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rPr>
        <w:t>截止时间：</w:t>
      </w:r>
      <w:r>
        <w:rPr>
          <w:rFonts w:hint="eastAsia" w:ascii="宋体" w:hAnsi="宋体" w:cs="宋体"/>
          <w:color w:val="auto"/>
          <w:sz w:val="24"/>
          <w:szCs w:val="24"/>
          <w:highlight w:val="green"/>
          <w:u w:val="single"/>
        </w:rPr>
        <w:t>202</w:t>
      </w:r>
      <w:r>
        <w:rPr>
          <w:rFonts w:hint="eastAsia" w:ascii="宋体" w:hAnsi="宋体" w:cs="宋体"/>
          <w:color w:val="auto"/>
          <w:sz w:val="24"/>
          <w:szCs w:val="24"/>
          <w:highlight w:val="green"/>
          <w:u w:val="single"/>
          <w:lang w:val="en-US" w:eastAsia="zh-CN"/>
        </w:rPr>
        <w:t>4</w:t>
      </w:r>
      <w:r>
        <w:rPr>
          <w:rFonts w:hint="eastAsia" w:ascii="宋体" w:hAnsi="宋体" w:cs="宋体"/>
          <w:bCs/>
          <w:color w:val="auto"/>
          <w:sz w:val="24"/>
          <w:szCs w:val="24"/>
          <w:highlight w:val="green"/>
          <w:u w:val="single"/>
        </w:rPr>
        <w:t>年</w:t>
      </w:r>
      <w:r>
        <w:rPr>
          <w:rFonts w:hint="eastAsia" w:ascii="宋体" w:hAnsi="宋体" w:cs="宋体"/>
          <w:bCs/>
          <w:color w:val="auto"/>
          <w:sz w:val="24"/>
          <w:szCs w:val="24"/>
          <w:highlight w:val="green"/>
          <w:u w:val="single"/>
          <w:lang w:val="en-US" w:eastAsia="zh-CN"/>
        </w:rPr>
        <w:t xml:space="preserve"> 05 </w:t>
      </w:r>
      <w:r>
        <w:rPr>
          <w:rFonts w:hint="eastAsia" w:ascii="宋体" w:hAnsi="宋体" w:cs="宋体"/>
          <w:bCs/>
          <w:color w:val="auto"/>
          <w:sz w:val="24"/>
          <w:szCs w:val="24"/>
          <w:highlight w:val="green"/>
          <w:u w:val="single"/>
        </w:rPr>
        <w:t>月</w:t>
      </w:r>
      <w:r>
        <w:rPr>
          <w:rFonts w:hint="eastAsia" w:ascii="宋体" w:hAnsi="宋体" w:cs="宋体"/>
          <w:bCs/>
          <w:color w:val="auto"/>
          <w:sz w:val="24"/>
          <w:szCs w:val="24"/>
          <w:highlight w:val="green"/>
          <w:u w:val="single"/>
          <w:lang w:val="en-US" w:eastAsia="zh-CN"/>
        </w:rPr>
        <w:t xml:space="preserve"> 06</w:t>
      </w:r>
      <w:r>
        <w:rPr>
          <w:rFonts w:hint="eastAsia" w:ascii="宋体" w:hAnsi="宋体" w:cs="宋体"/>
          <w:bCs/>
          <w:color w:val="auto"/>
          <w:sz w:val="24"/>
          <w:szCs w:val="24"/>
          <w:highlight w:val="green"/>
          <w:u w:val="single"/>
        </w:rPr>
        <w:t>日</w:t>
      </w:r>
      <w:r>
        <w:rPr>
          <w:rFonts w:hint="eastAsia" w:ascii="宋体" w:hAnsi="宋体" w:cs="宋体"/>
          <w:color w:val="auto"/>
          <w:sz w:val="24"/>
          <w:szCs w:val="24"/>
          <w:highlight w:val="green"/>
          <w:u w:val="single"/>
        </w:rPr>
        <w:t>1</w:t>
      </w:r>
      <w:r>
        <w:rPr>
          <w:rFonts w:hint="eastAsia" w:ascii="宋体" w:hAnsi="宋体" w:cs="宋体"/>
          <w:color w:val="auto"/>
          <w:sz w:val="24"/>
          <w:szCs w:val="24"/>
          <w:highlight w:val="green"/>
          <w:u w:val="single"/>
          <w:lang w:val="en-US" w:eastAsia="zh-CN"/>
        </w:rPr>
        <w:t>0</w:t>
      </w:r>
      <w:r>
        <w:rPr>
          <w:rFonts w:hint="eastAsia" w:ascii="宋体" w:hAnsi="宋体" w:cs="宋体"/>
          <w:bCs/>
          <w:color w:val="auto"/>
          <w:sz w:val="24"/>
          <w:szCs w:val="24"/>
          <w:highlight w:val="green"/>
          <w:u w:val="single"/>
        </w:rPr>
        <w:t>点</w:t>
      </w:r>
      <w:r>
        <w:rPr>
          <w:rFonts w:hint="eastAsia" w:ascii="宋体" w:hAnsi="宋体" w:cs="宋体"/>
          <w:color w:val="auto"/>
          <w:sz w:val="24"/>
          <w:szCs w:val="24"/>
          <w:highlight w:val="green"/>
          <w:u w:val="single"/>
          <w:lang w:val="en-US" w:eastAsia="zh-CN"/>
        </w:rPr>
        <w:t>3</w:t>
      </w:r>
      <w:r>
        <w:rPr>
          <w:rFonts w:hint="eastAsia" w:ascii="宋体" w:hAnsi="宋体" w:cs="宋体"/>
          <w:color w:val="auto"/>
          <w:sz w:val="24"/>
          <w:szCs w:val="24"/>
          <w:highlight w:val="green"/>
          <w:u w:val="single"/>
        </w:rPr>
        <w:t>0</w:t>
      </w:r>
      <w:r>
        <w:rPr>
          <w:rFonts w:hint="eastAsia" w:ascii="宋体" w:hAnsi="宋体" w:cs="宋体"/>
          <w:bCs/>
          <w:color w:val="auto"/>
          <w:sz w:val="24"/>
          <w:szCs w:val="24"/>
          <w:highlight w:val="green"/>
          <w:u w:val="single"/>
        </w:rPr>
        <w:t>分</w:t>
      </w:r>
      <w:r>
        <w:rPr>
          <w:rFonts w:hint="eastAsia" w:ascii="宋体" w:hAnsi="宋体" w:cs="宋体"/>
          <w:bCs/>
          <w:color w:val="auto"/>
          <w:sz w:val="24"/>
          <w:szCs w:val="24"/>
          <w:highlight w:val="none"/>
        </w:rPr>
        <w:t>（北京时间）</w:t>
      </w:r>
    </w:p>
    <w:p>
      <w:pPr>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地点：乌鲁木齐市公共资源交易中心（益民大厦5楼515室）</w:t>
      </w:r>
    </w:p>
    <w:p>
      <w:pPr>
        <w:pStyle w:val="5"/>
        <w:rPr>
          <w:color w:val="auto"/>
          <w:highlight w:val="none"/>
        </w:rPr>
      </w:pPr>
      <w:r>
        <w:rPr>
          <w:rFonts w:hint="eastAsia"/>
          <w:color w:val="auto"/>
          <w:highlight w:val="none"/>
        </w:rPr>
        <w:t>五、开启</w:t>
      </w:r>
    </w:p>
    <w:p>
      <w:pPr>
        <w:spacing w:line="460" w:lineRule="exact"/>
        <w:ind w:firstLine="480" w:firstLineChars="200"/>
        <w:jc w:val="left"/>
        <w:rPr>
          <w:rFonts w:ascii="宋体" w:hAnsi="宋体" w:cs="宋体"/>
          <w:bCs/>
          <w:color w:val="auto"/>
          <w:sz w:val="24"/>
          <w:szCs w:val="24"/>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green"/>
          <w:u w:val="single"/>
        </w:rPr>
        <w:t>202</w:t>
      </w:r>
      <w:r>
        <w:rPr>
          <w:rFonts w:hint="eastAsia" w:ascii="宋体" w:hAnsi="宋体" w:cs="宋体"/>
          <w:color w:val="auto"/>
          <w:sz w:val="24"/>
          <w:szCs w:val="24"/>
          <w:highlight w:val="green"/>
          <w:u w:val="single"/>
          <w:lang w:val="en-US" w:eastAsia="zh-CN"/>
        </w:rPr>
        <w:t>4</w:t>
      </w:r>
      <w:r>
        <w:rPr>
          <w:rFonts w:hint="eastAsia" w:ascii="宋体" w:hAnsi="宋体" w:cs="宋体"/>
          <w:bCs/>
          <w:color w:val="auto"/>
          <w:sz w:val="24"/>
          <w:szCs w:val="24"/>
          <w:highlight w:val="green"/>
          <w:u w:val="single"/>
        </w:rPr>
        <w:t>年</w:t>
      </w:r>
      <w:r>
        <w:rPr>
          <w:rFonts w:hint="eastAsia" w:ascii="宋体" w:hAnsi="宋体" w:cs="宋体"/>
          <w:bCs/>
          <w:color w:val="auto"/>
          <w:sz w:val="24"/>
          <w:szCs w:val="24"/>
          <w:highlight w:val="green"/>
          <w:u w:val="single"/>
          <w:lang w:val="en-US" w:eastAsia="zh-CN"/>
        </w:rPr>
        <w:t xml:space="preserve"> 05 </w:t>
      </w:r>
      <w:r>
        <w:rPr>
          <w:rFonts w:hint="eastAsia" w:ascii="宋体" w:hAnsi="宋体" w:cs="宋体"/>
          <w:bCs/>
          <w:color w:val="auto"/>
          <w:sz w:val="24"/>
          <w:szCs w:val="24"/>
          <w:highlight w:val="green"/>
          <w:u w:val="single"/>
        </w:rPr>
        <w:t>月</w:t>
      </w:r>
      <w:r>
        <w:rPr>
          <w:rFonts w:hint="eastAsia" w:ascii="宋体" w:hAnsi="宋体" w:cs="宋体"/>
          <w:bCs/>
          <w:color w:val="auto"/>
          <w:sz w:val="24"/>
          <w:szCs w:val="24"/>
          <w:highlight w:val="green"/>
          <w:u w:val="single"/>
          <w:lang w:val="en-US" w:eastAsia="zh-CN"/>
        </w:rPr>
        <w:t xml:space="preserve"> 06</w:t>
      </w:r>
      <w:r>
        <w:rPr>
          <w:rFonts w:hint="eastAsia" w:ascii="宋体" w:hAnsi="宋体" w:cs="宋体"/>
          <w:bCs/>
          <w:color w:val="auto"/>
          <w:sz w:val="24"/>
          <w:szCs w:val="24"/>
          <w:highlight w:val="green"/>
          <w:u w:val="single"/>
        </w:rPr>
        <w:t>日</w:t>
      </w:r>
      <w:r>
        <w:rPr>
          <w:rFonts w:hint="eastAsia" w:ascii="宋体" w:hAnsi="宋体" w:cs="宋体"/>
          <w:color w:val="auto"/>
          <w:sz w:val="24"/>
          <w:szCs w:val="24"/>
          <w:highlight w:val="green"/>
          <w:u w:val="single"/>
        </w:rPr>
        <w:t>1</w:t>
      </w:r>
      <w:r>
        <w:rPr>
          <w:rFonts w:hint="eastAsia" w:ascii="宋体" w:hAnsi="宋体" w:cs="宋体"/>
          <w:color w:val="auto"/>
          <w:sz w:val="24"/>
          <w:szCs w:val="24"/>
          <w:highlight w:val="green"/>
          <w:u w:val="single"/>
          <w:lang w:val="en-US" w:eastAsia="zh-CN"/>
        </w:rPr>
        <w:t>0</w:t>
      </w:r>
      <w:r>
        <w:rPr>
          <w:rFonts w:hint="eastAsia" w:ascii="宋体" w:hAnsi="宋体" w:cs="宋体"/>
          <w:bCs/>
          <w:color w:val="auto"/>
          <w:sz w:val="24"/>
          <w:szCs w:val="24"/>
          <w:highlight w:val="green"/>
          <w:u w:val="single"/>
        </w:rPr>
        <w:t>点</w:t>
      </w:r>
      <w:r>
        <w:rPr>
          <w:rFonts w:hint="eastAsia" w:ascii="宋体" w:hAnsi="宋体" w:cs="宋体"/>
          <w:color w:val="auto"/>
          <w:sz w:val="24"/>
          <w:szCs w:val="24"/>
          <w:highlight w:val="green"/>
          <w:u w:val="single"/>
          <w:lang w:val="en-US" w:eastAsia="zh-CN"/>
        </w:rPr>
        <w:t>3</w:t>
      </w:r>
      <w:r>
        <w:rPr>
          <w:rFonts w:hint="eastAsia" w:ascii="宋体" w:hAnsi="宋体" w:cs="宋体"/>
          <w:color w:val="auto"/>
          <w:sz w:val="24"/>
          <w:szCs w:val="24"/>
          <w:highlight w:val="green"/>
          <w:u w:val="single"/>
        </w:rPr>
        <w:t>0</w:t>
      </w:r>
      <w:r>
        <w:rPr>
          <w:rFonts w:hint="eastAsia" w:ascii="宋体" w:hAnsi="宋体" w:cs="宋体"/>
          <w:bCs/>
          <w:color w:val="auto"/>
          <w:sz w:val="24"/>
          <w:szCs w:val="24"/>
          <w:highlight w:val="green"/>
          <w:u w:val="single"/>
        </w:rPr>
        <w:t>分</w:t>
      </w:r>
      <w:r>
        <w:rPr>
          <w:rFonts w:hint="eastAsia" w:ascii="宋体" w:hAnsi="宋体" w:cs="宋体"/>
          <w:bCs/>
          <w:color w:val="auto"/>
          <w:sz w:val="24"/>
          <w:szCs w:val="24"/>
          <w:highlight w:val="none"/>
        </w:rPr>
        <w:t>（北京时间）</w:t>
      </w:r>
    </w:p>
    <w:p>
      <w:pPr>
        <w:spacing w:line="460" w:lineRule="exact"/>
        <w:ind w:firstLine="480" w:firstLineChars="200"/>
        <w:jc w:val="left"/>
        <w:rPr>
          <w:rFonts w:ascii="宋体" w:hAnsi="宋体" w:cs="宋体"/>
          <w:bCs/>
          <w:color w:val="auto"/>
          <w:sz w:val="24"/>
          <w:szCs w:val="24"/>
          <w:highlight w:val="none"/>
          <w:u w:val="single"/>
        </w:rPr>
      </w:pPr>
      <w:r>
        <w:rPr>
          <w:rFonts w:hint="eastAsia" w:ascii="宋体" w:hAnsi="宋体" w:cs="宋体"/>
          <w:color w:val="auto"/>
          <w:sz w:val="24"/>
          <w:szCs w:val="24"/>
          <w:highlight w:val="none"/>
        </w:rPr>
        <w:t>地点：乌鲁木齐市公共资源交易中心（益民大厦5楼）</w:t>
      </w:r>
    </w:p>
    <w:p>
      <w:pPr>
        <w:pStyle w:val="5"/>
        <w:rPr>
          <w:color w:val="auto"/>
          <w:highlight w:val="none"/>
        </w:rPr>
      </w:pPr>
      <w:r>
        <w:rPr>
          <w:rFonts w:hint="eastAsia"/>
          <w:color w:val="auto"/>
          <w:highlight w:val="none"/>
        </w:rPr>
        <w:t>六、公告期限</w:t>
      </w:r>
    </w:p>
    <w:p>
      <w:pPr>
        <w:spacing w:line="50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自本公告发布之日起5个工作日。</w:t>
      </w:r>
    </w:p>
    <w:p>
      <w:pPr>
        <w:pStyle w:val="5"/>
        <w:numPr>
          <w:ilvl w:val="0"/>
          <w:numId w:val="9"/>
        </w:numPr>
        <w:rPr>
          <w:color w:val="auto"/>
          <w:highlight w:val="none"/>
        </w:rPr>
      </w:pPr>
      <w:r>
        <w:rPr>
          <w:rFonts w:hint="eastAsia"/>
          <w:color w:val="auto"/>
          <w:highlight w:val="none"/>
        </w:rPr>
        <w:t>其他补充事宜</w:t>
      </w:r>
    </w:p>
    <w:p>
      <w:pPr>
        <w:pStyle w:val="5"/>
        <w:ind w:firstLine="360" w:firstLineChars="150"/>
        <w:rPr>
          <w:rFonts w:hint="eastAsia" w:ascii="Times New Roman" w:hAnsi="Times New Roman" w:cs="Times New Roman"/>
          <w:b w:val="0"/>
          <w:bCs w:val="0"/>
          <w:color w:val="auto"/>
          <w:sz w:val="24"/>
          <w:szCs w:val="24"/>
          <w:highlight w:val="none"/>
        </w:rPr>
      </w:pPr>
      <w:r>
        <w:rPr>
          <w:rFonts w:hint="eastAsia" w:ascii="Times New Roman" w:hAnsi="Times New Roman" w:cs="Times New Roman"/>
          <w:b w:val="0"/>
          <w:bCs w:val="0"/>
          <w:color w:val="auto"/>
          <w:sz w:val="24"/>
          <w:szCs w:val="24"/>
          <w:highlight w:val="none"/>
        </w:rPr>
        <w:t>领取招标文件时：需将单位名称、所投项目名称、联系人、联系方式和电子邮箱号书写在一张A4纸上并加盖公章，扫描后发送至指定邮箱</w:t>
      </w:r>
      <w:r>
        <w:rPr>
          <w:rFonts w:hint="eastAsia" w:ascii="Times New Roman" w:hAnsi="Times New Roman" w:cs="Times New Roman"/>
          <w:b w:val="0"/>
          <w:bCs w:val="0"/>
          <w:color w:val="auto"/>
          <w:sz w:val="24"/>
          <w:szCs w:val="24"/>
          <w:highlight w:val="none"/>
          <w:lang w:val="en-US" w:eastAsia="zh-CN"/>
        </w:rPr>
        <w:t>345035339</w:t>
      </w:r>
      <w:r>
        <w:rPr>
          <w:rFonts w:hint="eastAsia" w:ascii="Times New Roman" w:hAnsi="Times New Roman" w:cs="Times New Roman"/>
          <w:b w:val="0"/>
          <w:bCs w:val="0"/>
          <w:color w:val="auto"/>
          <w:sz w:val="24"/>
          <w:szCs w:val="24"/>
          <w:highlight w:val="none"/>
        </w:rPr>
        <w:t>@qq.com。</w:t>
      </w:r>
    </w:p>
    <w:p>
      <w:pPr>
        <w:pStyle w:val="5"/>
        <w:ind w:firstLine="452" w:firstLineChars="150"/>
        <w:rPr>
          <w:color w:val="auto"/>
          <w:highlight w:val="none"/>
        </w:rPr>
      </w:pPr>
      <w:r>
        <w:rPr>
          <w:rFonts w:hint="eastAsia"/>
          <w:color w:val="auto"/>
          <w:highlight w:val="none"/>
        </w:rPr>
        <w:t>八、凡对本次采购提出询问，请按以下方式联系</w:t>
      </w:r>
    </w:p>
    <w:p>
      <w:pPr>
        <w:spacing w:line="500" w:lineRule="exact"/>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pPr>
        <w:spacing w:line="460" w:lineRule="exact"/>
        <w:ind w:firstLine="720" w:firstLineChars="300"/>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名    称：伊犁</w:t>
      </w:r>
      <w:r>
        <w:rPr>
          <w:rFonts w:hint="eastAsia" w:ascii="宋体" w:hAnsi="宋体" w:cs="宋体"/>
          <w:color w:val="auto"/>
          <w:sz w:val="24"/>
          <w:szCs w:val="24"/>
          <w:highlight w:val="none"/>
          <w:lang w:val="en-US" w:eastAsia="zh-CN"/>
        </w:rPr>
        <w:t>州</w:t>
      </w:r>
      <w:r>
        <w:rPr>
          <w:rFonts w:hint="eastAsia" w:ascii="宋体" w:hAnsi="宋体" w:cs="宋体"/>
          <w:color w:val="auto"/>
          <w:sz w:val="24"/>
          <w:szCs w:val="24"/>
          <w:highlight w:val="none"/>
        </w:rPr>
        <w:t>消防救援支队</w:t>
      </w:r>
      <w:r>
        <w:rPr>
          <w:rFonts w:hint="eastAsia" w:ascii="宋体" w:hAnsi="宋体" w:cs="宋体"/>
          <w:color w:val="auto"/>
          <w:sz w:val="24"/>
          <w:szCs w:val="24"/>
          <w:highlight w:val="none"/>
          <w:u w:val="single"/>
        </w:rPr>
        <w:t xml:space="preserve">  </w:t>
      </w:r>
    </w:p>
    <w:p>
      <w:pPr>
        <w:spacing w:line="460" w:lineRule="exact"/>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u w:val="none"/>
          <w:lang w:val="en-US" w:eastAsia="zh-CN"/>
        </w:rPr>
        <w:t>伊宁市开发区安徽路</w:t>
      </w:r>
      <w:r>
        <w:rPr>
          <w:rFonts w:hint="eastAsia" w:ascii="宋体" w:hAnsi="宋体" w:cs="宋体"/>
          <w:color w:val="auto"/>
          <w:sz w:val="24"/>
          <w:szCs w:val="24"/>
          <w:highlight w:val="none"/>
          <w:u w:val="single"/>
        </w:rPr>
        <w:t xml:space="preserve">          </w:t>
      </w:r>
    </w:p>
    <w:p>
      <w:pPr>
        <w:spacing w:line="460" w:lineRule="exact"/>
        <w:ind w:firstLine="720" w:firstLineChars="300"/>
        <w:jc w:val="left"/>
        <w:rPr>
          <w:rFonts w:ascii="宋体" w:hAnsi="宋体" w:cs="宋体"/>
          <w:color w:val="auto"/>
          <w:sz w:val="24"/>
          <w:szCs w:val="24"/>
          <w:highlight w:val="none"/>
          <w:u w:val="single"/>
        </w:rPr>
      </w:pPr>
      <w:r>
        <w:rPr>
          <w:rFonts w:hint="eastAsia" w:ascii="宋体" w:hAnsi="宋体" w:cs="宋体"/>
          <w:color w:val="auto"/>
          <w:sz w:val="24"/>
          <w:szCs w:val="24"/>
          <w:highlight w:val="none"/>
          <w:lang w:val="zh-CN"/>
        </w:rPr>
        <w:t>联</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系</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人：陶先生</w:t>
      </w:r>
      <w:r>
        <w:rPr>
          <w:rFonts w:hint="eastAsia" w:ascii="宋体" w:hAnsi="宋体" w:cs="宋体"/>
          <w:color w:val="auto"/>
          <w:sz w:val="24"/>
          <w:szCs w:val="24"/>
          <w:highlight w:val="none"/>
          <w:lang w:val="zh-CN" w:eastAsia="zh-CN"/>
        </w:rPr>
        <w:t>、</w:t>
      </w:r>
      <w:r>
        <w:rPr>
          <w:rFonts w:hint="eastAsia" w:ascii="宋体" w:hAnsi="宋体" w:cs="宋体"/>
          <w:color w:val="auto"/>
          <w:sz w:val="24"/>
          <w:szCs w:val="24"/>
          <w:highlight w:val="none"/>
          <w:u w:val="none"/>
          <w:lang w:val="en-US" w:eastAsia="zh-CN"/>
        </w:rPr>
        <w:t>尹女士</w:t>
      </w:r>
    </w:p>
    <w:p>
      <w:pPr>
        <w:pStyle w:val="124"/>
        <w:widowControl w:val="0"/>
        <w:spacing w:line="460" w:lineRule="exact"/>
        <w:ind w:left="0" w:firstLine="720" w:firstLineChars="300"/>
        <w:rPr>
          <w:rFonts w:ascii="宋体" w:hAnsi="宋体" w:cs="宋体"/>
          <w:color w:val="auto"/>
          <w:kern w:val="2"/>
          <w:highlight w:val="none"/>
          <w:u w:val="single"/>
          <w:lang w:eastAsia="zh-CN" w:bidi="ar-SA"/>
        </w:rPr>
      </w:pPr>
      <w:r>
        <w:rPr>
          <w:rFonts w:hint="eastAsia" w:ascii="宋体" w:hAnsi="宋体" w:cs="宋体"/>
          <w:color w:val="auto"/>
          <w:highlight w:val="none"/>
          <w:lang w:eastAsia="zh-CN"/>
        </w:rPr>
        <w:t>联</w:t>
      </w:r>
      <w:r>
        <w:rPr>
          <w:rFonts w:hint="eastAsia" w:ascii="宋体" w:hAnsi="宋体" w:cs="宋体"/>
          <w:color w:val="auto"/>
          <w:kern w:val="2"/>
          <w:highlight w:val="none"/>
          <w:lang w:eastAsia="zh-CN" w:bidi="ar-SA"/>
        </w:rPr>
        <w:t>系方式：18609990215、</w:t>
      </w:r>
      <w:r>
        <w:rPr>
          <w:rFonts w:hint="eastAsia" w:ascii="宋体" w:hAnsi="宋体" w:cs="宋体"/>
          <w:color w:val="auto"/>
          <w:kern w:val="2"/>
          <w:highlight w:val="none"/>
          <w:lang w:val="zh-CN" w:eastAsia="zh-CN" w:bidi="ar-SA"/>
        </w:rPr>
        <w:t>18699931778</w:t>
      </w:r>
    </w:p>
    <w:p>
      <w:pPr>
        <w:spacing w:line="460" w:lineRule="exact"/>
        <w:ind w:firstLine="720" w:firstLineChars="300"/>
        <w:jc w:val="left"/>
        <w:rPr>
          <w:rFonts w:ascii="宋体" w:hAnsi="宋体" w:cs="宋体"/>
          <w:color w:val="auto"/>
          <w:sz w:val="24"/>
          <w:szCs w:val="24"/>
          <w:highlight w:val="none"/>
        </w:rPr>
      </w:pPr>
      <w:r>
        <w:rPr>
          <w:rFonts w:hint="eastAsia" w:ascii="宋体" w:hAnsi="宋体" w:cs="宋体"/>
          <w:color w:val="auto"/>
          <w:sz w:val="24"/>
          <w:szCs w:val="24"/>
          <w:highlight w:val="none"/>
        </w:rPr>
        <w:t>2.采购代理机构信息</w:t>
      </w:r>
    </w:p>
    <w:p>
      <w:pPr>
        <w:spacing w:line="460" w:lineRule="exact"/>
        <w:ind w:firstLine="720" w:firstLineChars="3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u w:val="none"/>
          <w:lang w:val="en-US" w:eastAsia="zh-CN"/>
        </w:rPr>
        <w:t>新疆伊筑工程管理有限公司</w:t>
      </w:r>
    </w:p>
    <w:p>
      <w:pPr>
        <w:spacing w:line="460" w:lineRule="exact"/>
        <w:ind w:left="1798" w:leftChars="342" w:hanging="1080" w:hangingChars="450"/>
        <w:jc w:val="left"/>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val="en-US" w:eastAsia="zh-CN"/>
        </w:rPr>
        <w:t>伊宁市开发区辽宁路105号（人防办旁）</w:t>
      </w:r>
    </w:p>
    <w:p>
      <w:pPr>
        <w:spacing w:line="460" w:lineRule="exact"/>
        <w:ind w:left="1198" w:leftChars="342" w:hanging="480" w:hangingChars="200"/>
        <w:jc w:val="left"/>
        <w:rPr>
          <w:rFonts w:hint="eastAsia" w:ascii="宋体" w:hAnsi="宋体" w:eastAsia="宋体" w:cs="宋体"/>
          <w:color w:val="auto"/>
          <w:spacing w:val="-6"/>
          <w:sz w:val="24"/>
          <w:szCs w:val="24"/>
          <w:highlight w:val="none"/>
          <w:u w:val="single"/>
          <w:lang w:eastAsia="zh-CN"/>
        </w:rPr>
      </w:pPr>
      <w:r>
        <w:rPr>
          <w:rFonts w:hint="eastAsia" w:ascii="宋体" w:hAnsi="宋体" w:cs="宋体"/>
          <w:color w:val="auto"/>
          <w:sz w:val="24"/>
          <w:szCs w:val="24"/>
          <w:highlight w:val="none"/>
          <w:lang w:val="zh-CN"/>
        </w:rPr>
        <w:t>联</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系</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人：</w:t>
      </w:r>
      <w:r>
        <w:rPr>
          <w:rFonts w:hint="eastAsia" w:ascii="宋体" w:hAnsi="宋体" w:cs="宋体"/>
          <w:color w:val="auto"/>
          <w:spacing w:val="-6"/>
          <w:sz w:val="24"/>
          <w:szCs w:val="24"/>
          <w:highlight w:val="none"/>
          <w:u w:val="none"/>
          <w:lang w:val="en-US" w:eastAsia="zh-CN"/>
        </w:rPr>
        <w:t>张磊、白雪</w:t>
      </w:r>
    </w:p>
    <w:p>
      <w:pPr>
        <w:spacing w:line="460" w:lineRule="exact"/>
        <w:ind w:left="1198" w:leftChars="342" w:hanging="480" w:hangingChars="200"/>
        <w:jc w:val="left"/>
        <w:rPr>
          <w:rFonts w:hint="default" w:ascii="宋体" w:hAnsi="宋体" w:eastAsia="宋体" w:cs="宋体"/>
          <w:color w:val="auto"/>
          <w:spacing w:val="10"/>
          <w:sz w:val="24"/>
          <w:szCs w:val="24"/>
          <w:highlight w:val="none"/>
          <w:lang w:val="en-US" w:eastAsia="zh-CN"/>
        </w:rPr>
      </w:pP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lang w:val="en-US" w:eastAsia="zh-CN"/>
        </w:rPr>
        <w:t>0999-8988777 13179997927</w:t>
      </w:r>
    </w:p>
    <w:p>
      <w:pPr>
        <w:spacing w:line="460" w:lineRule="exact"/>
        <w:ind w:left="1174" w:leftChars="342" w:hanging="456" w:hangingChars="200"/>
        <w:jc w:val="left"/>
        <w:rPr>
          <w:rFonts w:ascii="宋体" w:hAnsi="宋体" w:cs="宋体"/>
          <w:color w:val="auto"/>
          <w:spacing w:val="-6"/>
          <w:sz w:val="24"/>
          <w:szCs w:val="24"/>
          <w:highlight w:val="none"/>
          <w:u w:val="single"/>
        </w:rPr>
      </w:pPr>
    </w:p>
    <w:p>
      <w:pPr>
        <w:pStyle w:val="124"/>
        <w:ind w:left="432" w:right="130"/>
        <w:jc w:val="right"/>
        <w:rPr>
          <w:rFonts w:ascii="宋体" w:hAnsi="宋体" w:cs="宋体"/>
          <w:color w:val="auto"/>
          <w:spacing w:val="10"/>
          <w:highlight w:val="none"/>
          <w:lang w:eastAsia="zh-CN"/>
        </w:rPr>
      </w:pPr>
      <w:r>
        <w:rPr>
          <w:rFonts w:hint="eastAsia" w:ascii="宋体" w:hAnsi="宋体" w:cs="宋体"/>
          <w:color w:val="auto"/>
          <w:spacing w:val="10"/>
          <w:highlight w:val="none"/>
          <w:lang w:eastAsia="zh-CN"/>
        </w:rPr>
        <w:t>202</w:t>
      </w:r>
      <w:r>
        <w:rPr>
          <w:rFonts w:hint="eastAsia" w:ascii="宋体" w:hAnsi="宋体" w:cs="宋体"/>
          <w:color w:val="auto"/>
          <w:spacing w:val="10"/>
          <w:highlight w:val="none"/>
          <w:lang w:val="en-US" w:eastAsia="zh-CN"/>
        </w:rPr>
        <w:t>4</w:t>
      </w:r>
      <w:r>
        <w:rPr>
          <w:rFonts w:hint="eastAsia" w:ascii="宋体" w:hAnsi="宋体" w:cs="宋体"/>
          <w:color w:val="auto"/>
          <w:spacing w:val="10"/>
          <w:highlight w:val="none"/>
          <w:lang w:eastAsia="zh-CN"/>
        </w:rPr>
        <w:t>年</w:t>
      </w:r>
      <w:r>
        <w:rPr>
          <w:rFonts w:hint="eastAsia" w:ascii="宋体" w:hAnsi="宋体" w:cs="宋体"/>
          <w:color w:val="auto"/>
          <w:spacing w:val="10"/>
          <w:highlight w:val="none"/>
          <w:lang w:val="en-US" w:eastAsia="zh-CN"/>
        </w:rPr>
        <w:t>04</w:t>
      </w:r>
      <w:r>
        <w:rPr>
          <w:rFonts w:hint="eastAsia" w:ascii="宋体" w:hAnsi="宋体" w:cs="宋体"/>
          <w:color w:val="auto"/>
          <w:spacing w:val="10"/>
          <w:highlight w:val="none"/>
          <w:lang w:eastAsia="zh-CN"/>
        </w:rPr>
        <w:t>月</w:t>
      </w:r>
      <w:r>
        <w:rPr>
          <w:rFonts w:hint="eastAsia" w:ascii="宋体" w:hAnsi="宋体" w:cs="宋体"/>
          <w:color w:val="auto"/>
          <w:spacing w:val="10"/>
          <w:highlight w:val="none"/>
          <w:lang w:val="en-US" w:eastAsia="zh-CN"/>
        </w:rPr>
        <w:t>07</w:t>
      </w:r>
      <w:r>
        <w:rPr>
          <w:rFonts w:hint="eastAsia" w:ascii="宋体" w:hAnsi="宋体" w:cs="宋体"/>
          <w:color w:val="auto"/>
          <w:spacing w:val="10"/>
          <w:highlight w:val="none"/>
          <w:lang w:eastAsia="zh-CN"/>
        </w:rPr>
        <w:t>日</w:t>
      </w:r>
    </w:p>
    <w:p>
      <w:pPr>
        <w:jc w:val="right"/>
        <w:rPr>
          <w:rFonts w:ascii="宋体" w:hAnsi="宋体" w:cs="宋体"/>
          <w:color w:val="auto"/>
          <w:spacing w:val="10"/>
          <w:sz w:val="24"/>
          <w:szCs w:val="24"/>
          <w:highlight w:val="none"/>
        </w:rPr>
      </w:pPr>
      <w:r>
        <w:rPr>
          <w:rFonts w:hint="eastAsia" w:ascii="宋体" w:hAnsi="宋体" w:cs="宋体"/>
          <w:color w:val="auto"/>
          <w:spacing w:val="10"/>
          <w:sz w:val="24"/>
          <w:szCs w:val="24"/>
          <w:highlight w:val="none"/>
        </w:rPr>
        <w:br w:type="page"/>
      </w:r>
    </w:p>
    <w:bookmarkEnd w:id="14"/>
    <w:p>
      <w:pPr>
        <w:pStyle w:val="3"/>
        <w:rPr>
          <w:color w:val="auto"/>
          <w:highlight w:val="none"/>
        </w:rPr>
      </w:pPr>
      <w:bookmarkStart w:id="22" w:name="_Toc9359"/>
      <w:bookmarkStart w:id="23" w:name="_Toc16938518"/>
      <w:bookmarkStart w:id="24" w:name="_Toc513029202"/>
      <w:bookmarkStart w:id="25" w:name="_Toc26763"/>
      <w:bookmarkStart w:id="26" w:name="_Toc13939"/>
      <w:bookmarkStart w:id="27" w:name="_Toc120614213"/>
      <w:bookmarkStart w:id="28" w:name="_Toc20823274"/>
      <w:r>
        <w:rPr>
          <w:rFonts w:hint="eastAsia"/>
          <w:color w:val="auto"/>
          <w:highlight w:val="none"/>
        </w:rPr>
        <w:t>第二章 投标人须知</w:t>
      </w:r>
      <w:bookmarkEnd w:id="15"/>
      <w:bookmarkEnd w:id="22"/>
      <w:bookmarkEnd w:id="23"/>
      <w:bookmarkEnd w:id="24"/>
      <w:bookmarkEnd w:id="25"/>
      <w:bookmarkEnd w:id="26"/>
      <w:bookmarkEnd w:id="27"/>
      <w:bookmarkEnd w:id="28"/>
    </w:p>
    <w:p>
      <w:pPr>
        <w:pStyle w:val="5"/>
        <w:rPr>
          <w:color w:val="auto"/>
          <w:highlight w:val="none"/>
        </w:rPr>
      </w:pPr>
      <w:bookmarkStart w:id="29" w:name="_Toc21065"/>
      <w:bookmarkStart w:id="30" w:name="_Toc19352"/>
      <w:bookmarkStart w:id="31" w:name="_Toc534725606"/>
      <w:r>
        <w:rPr>
          <w:rFonts w:hint="eastAsia"/>
          <w:color w:val="auto"/>
          <w:highlight w:val="none"/>
        </w:rPr>
        <w:t xml:space="preserve">一、总  </w:t>
      </w:r>
      <w:bookmarkStart w:id="32" w:name="_Toc9510635"/>
      <w:r>
        <w:rPr>
          <w:rFonts w:hint="eastAsia"/>
          <w:color w:val="auto"/>
          <w:highlight w:val="none"/>
        </w:rPr>
        <w:t>则</w:t>
      </w:r>
      <w:bookmarkEnd w:id="29"/>
      <w:bookmarkEnd w:id="30"/>
    </w:p>
    <w:p>
      <w:pPr>
        <w:pStyle w:val="6"/>
        <w:rPr>
          <w:color w:val="auto"/>
          <w:highlight w:val="none"/>
        </w:rPr>
      </w:pPr>
      <w:bookmarkStart w:id="33" w:name="_Toc26214"/>
      <w:r>
        <w:rPr>
          <w:rFonts w:hint="eastAsia"/>
          <w:color w:val="auto"/>
          <w:highlight w:val="none"/>
        </w:rPr>
        <w:t>1、适用</w:t>
      </w:r>
      <w:bookmarkEnd w:id="32"/>
      <w:r>
        <w:rPr>
          <w:rFonts w:hint="eastAsia"/>
          <w:color w:val="auto"/>
          <w:highlight w:val="none"/>
        </w:rPr>
        <w:t>范围</w:t>
      </w:r>
      <w:bookmarkEnd w:id="33"/>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本招标文件适用于</w:t>
      </w:r>
      <w:r>
        <w:rPr>
          <w:rFonts w:hint="eastAsia" w:asciiTheme="majorEastAsia" w:hAnsiTheme="majorEastAsia" w:eastAsiaTheme="majorEastAsia" w:cstheme="majorEastAsia"/>
          <w:bCs/>
          <w:color w:val="auto"/>
          <w:sz w:val="24"/>
          <w:szCs w:val="24"/>
          <w:highlight w:val="none"/>
        </w:rPr>
        <w:t>本次采购项目</w:t>
      </w:r>
      <w:r>
        <w:rPr>
          <w:rFonts w:hint="eastAsia" w:asciiTheme="majorEastAsia" w:hAnsiTheme="majorEastAsia" w:eastAsiaTheme="majorEastAsia" w:cstheme="majorEastAsia"/>
          <w:color w:val="auto"/>
          <w:sz w:val="24"/>
          <w:szCs w:val="24"/>
          <w:highlight w:val="none"/>
        </w:rPr>
        <w:t>的招标、投标、评标、定标、验收、合同履约、付款等行为（法律、法规另有规定的，从其规定）。</w:t>
      </w:r>
    </w:p>
    <w:p>
      <w:pPr>
        <w:pStyle w:val="6"/>
        <w:rPr>
          <w:color w:val="auto"/>
          <w:highlight w:val="none"/>
        </w:rPr>
      </w:pPr>
      <w:bookmarkStart w:id="34" w:name="_Toc24800"/>
      <w:r>
        <w:rPr>
          <w:rFonts w:hint="eastAsia"/>
          <w:color w:val="auto"/>
          <w:highlight w:val="none"/>
        </w:rPr>
        <w:t>2、定义</w:t>
      </w:r>
      <w:bookmarkEnd w:id="34"/>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 招标采购单位（采购人）系指采购单位。</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 “投标人”系指向采购方提交投标文件的法人、其他组织或者自然人。</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 “产品”系指供方按招标文件规定，须向采购人提供的一切设备、保险、税金、备品备件、工具、手册及其它有关技术资料和材料。</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 “服务”系指招标文件规定投标人须承担的安装、调试、技术协助、校准、培训、技术指导以及其他类似的义务。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 “项目”系指投标人按招标文件规定向采购人提供的产品和服务。</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 “书面形式”包括信函、传真、电子邮件等。</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2.7实质性响应:系指投标文件符合招标文件规定的实质性内容、条件和规定。</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 细微偏离：系指投标文件对招标文件的非实质性内容存在不完全响应或不响应。</w:t>
      </w:r>
    </w:p>
    <w:p>
      <w:pPr>
        <w:pStyle w:val="6"/>
        <w:rPr>
          <w:color w:val="auto"/>
          <w:highlight w:val="none"/>
        </w:rPr>
      </w:pPr>
      <w:bookmarkStart w:id="35" w:name="_Toc17392"/>
      <w:r>
        <w:rPr>
          <w:rFonts w:hint="eastAsia"/>
          <w:color w:val="auto"/>
          <w:highlight w:val="none"/>
        </w:rPr>
        <w:t>3、招标方式</w:t>
      </w:r>
      <w:bookmarkEnd w:id="35"/>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本项目采用公开招标方式进行。</w:t>
      </w:r>
    </w:p>
    <w:p>
      <w:pPr>
        <w:pStyle w:val="6"/>
        <w:rPr>
          <w:color w:val="auto"/>
          <w:highlight w:val="none"/>
        </w:rPr>
      </w:pPr>
      <w:bookmarkStart w:id="36" w:name="_Toc32376"/>
      <w:r>
        <w:rPr>
          <w:rFonts w:hint="eastAsia"/>
          <w:color w:val="auto"/>
          <w:highlight w:val="none"/>
        </w:rPr>
        <w:t>4、投标委托</w:t>
      </w:r>
      <w:bookmarkEnd w:id="36"/>
    </w:p>
    <w:p>
      <w:pPr>
        <w:adjustRightInd w:val="0"/>
        <w:snapToGrid w:val="0"/>
        <w:spacing w:line="500" w:lineRule="exact"/>
        <w:ind w:firstLine="464" w:firstLineChars="200"/>
        <w:jc w:val="left"/>
        <w:rPr>
          <w:rFonts w:asciiTheme="majorEastAsia" w:hAnsiTheme="majorEastAsia" w:eastAsiaTheme="majorEastAsia" w:cstheme="majorEastAsia"/>
          <w:color w:val="auto"/>
          <w:spacing w:val="-4"/>
          <w:sz w:val="24"/>
          <w:szCs w:val="24"/>
          <w:highlight w:val="none"/>
        </w:rPr>
      </w:pPr>
      <w:r>
        <w:rPr>
          <w:rFonts w:hint="eastAsia" w:asciiTheme="majorEastAsia" w:hAnsiTheme="majorEastAsia" w:eastAsiaTheme="majorEastAsia" w:cstheme="majorEastAsia"/>
          <w:color w:val="auto"/>
          <w:spacing w:val="-4"/>
          <w:sz w:val="24"/>
          <w:szCs w:val="24"/>
          <w:highlight w:val="none"/>
        </w:rPr>
        <w:t>投标人代表须携带有效身份证件。如投标人代表不是法定代表人（负责人、自然人），须有法定代表人（负责人、自然人）出具的授权委托书（格式见第五章）。</w:t>
      </w:r>
    </w:p>
    <w:p>
      <w:pPr>
        <w:pStyle w:val="6"/>
        <w:rPr>
          <w:color w:val="auto"/>
          <w:highlight w:val="none"/>
        </w:rPr>
      </w:pPr>
      <w:bookmarkStart w:id="37" w:name="_Toc21031"/>
      <w:r>
        <w:rPr>
          <w:rFonts w:hint="eastAsia"/>
          <w:color w:val="auto"/>
          <w:highlight w:val="none"/>
        </w:rPr>
        <w:t>5、投标费用</w:t>
      </w:r>
      <w:bookmarkEnd w:id="37"/>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不论投标结果如何，投标人均应自行承担所有与投标有关的全部费用。</w:t>
      </w:r>
    </w:p>
    <w:p>
      <w:pPr>
        <w:pStyle w:val="6"/>
        <w:rPr>
          <w:color w:val="auto"/>
          <w:highlight w:val="none"/>
        </w:rPr>
      </w:pPr>
      <w:bookmarkStart w:id="38" w:name="_Toc505"/>
      <w:r>
        <w:rPr>
          <w:rFonts w:hint="eastAsia"/>
          <w:color w:val="auto"/>
          <w:highlight w:val="none"/>
        </w:rPr>
        <w:t>6、分包转包</w:t>
      </w:r>
      <w:bookmarkEnd w:id="38"/>
    </w:p>
    <w:p>
      <w:pPr>
        <w:adjustRightInd w:val="0"/>
        <w:snapToGrid w:val="0"/>
        <w:spacing w:line="4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本项目不允许分包和转包。</w:t>
      </w:r>
    </w:p>
    <w:p>
      <w:pPr>
        <w:pStyle w:val="6"/>
        <w:rPr>
          <w:color w:val="auto"/>
          <w:highlight w:val="none"/>
        </w:rPr>
      </w:pPr>
      <w:bookmarkStart w:id="39" w:name="_Toc5076"/>
      <w:r>
        <w:rPr>
          <w:rFonts w:hint="eastAsia"/>
          <w:color w:val="auto"/>
          <w:highlight w:val="none"/>
        </w:rPr>
        <w:t>7、提供相同品牌产品处理</w:t>
      </w:r>
      <w:bookmarkEnd w:id="39"/>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非单一产品采购项目，采购人应当根据采购项目技术构成、产品价格比重等合理确定核心产品，并在招标文件中载明。多家投标人提供的任一核心产品品牌相同的，按前款规定处理。</w:t>
      </w:r>
    </w:p>
    <w:p>
      <w:pPr>
        <w:pStyle w:val="6"/>
        <w:rPr>
          <w:color w:val="auto"/>
          <w:highlight w:val="none"/>
        </w:rPr>
      </w:pPr>
      <w:bookmarkStart w:id="40" w:name="_Toc21631"/>
      <w:r>
        <w:rPr>
          <w:rFonts w:hint="eastAsia"/>
          <w:color w:val="auto"/>
          <w:highlight w:val="none"/>
        </w:rPr>
        <w:t>8、特别说明：</w:t>
      </w:r>
      <w:bookmarkEnd w:id="40"/>
    </w:p>
    <w:p>
      <w:pPr>
        <w:adjustRightInd w:val="0"/>
        <w:snapToGrid w:val="0"/>
        <w:spacing w:line="500" w:lineRule="exact"/>
        <w:ind w:firstLine="470"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8.1 投标人投标所使用的资格、信誉、荣誉、业绩与认证证书必须为本法人（其他组织、个人）所拥有。</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8.2 投标人应仔细阅读招标文件的所有内容，按照招标文件的要求提交投标文件，并对所提供的全部资料的真实性承担法律责任。</w:t>
      </w:r>
    </w:p>
    <w:p>
      <w:pPr>
        <w:adjustRightInd w:val="0"/>
        <w:snapToGrid w:val="0"/>
        <w:spacing w:line="500" w:lineRule="exact"/>
        <w:ind w:left="2" w:leftChars="1"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pPr>
        <w:pStyle w:val="6"/>
        <w:rPr>
          <w:color w:val="auto"/>
          <w:highlight w:val="none"/>
        </w:rPr>
      </w:pPr>
      <w:bookmarkStart w:id="41" w:name="_Toc24888"/>
      <w:r>
        <w:rPr>
          <w:rFonts w:hint="eastAsia"/>
          <w:color w:val="auto"/>
          <w:highlight w:val="none"/>
        </w:rPr>
        <w:t>9、质疑</w:t>
      </w:r>
      <w:bookmarkEnd w:id="41"/>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color w:val="auto"/>
          <w:sz w:val="24"/>
          <w:szCs w:val="24"/>
          <w:highlight w:val="none"/>
          <w:lang w:val="en-US" w:eastAsia="zh-CN"/>
        </w:rPr>
        <w:t>投标人应在法定质疑期内一次性提出针对同一采购程序环节的质疑。</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pPr>
        <w:adjustRightInd w:val="0"/>
        <w:snapToGrid w:val="0"/>
        <w:spacing w:line="500" w:lineRule="exact"/>
        <w:ind w:firstLine="480" w:firstLineChars="200"/>
        <w:rPr>
          <w:rFonts w:hint="eastAsia"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pPr>
        <w:adjustRightInd w:val="0"/>
        <w:snapToGrid w:val="0"/>
        <w:spacing w:line="500" w:lineRule="exact"/>
        <w:ind w:firstLine="480" w:firstLineChars="200"/>
        <w:rPr>
          <w:spacing w:val="5"/>
          <w:sz w:val="23"/>
          <w:szCs w:val="23"/>
        </w:rPr>
      </w:pPr>
      <w:r>
        <w:rPr>
          <w:rFonts w:hint="eastAsia" w:asciiTheme="majorEastAsia" w:hAnsiTheme="majorEastAsia" w:eastAsiaTheme="majorEastAsia" w:cstheme="majorEastAsia"/>
          <w:bCs/>
          <w:color w:val="auto"/>
          <w:sz w:val="24"/>
          <w:szCs w:val="24"/>
          <w:highlight w:val="none"/>
          <w:lang w:val="en-US" w:eastAsia="zh-CN"/>
        </w:rPr>
        <w:t>9.4</w:t>
      </w:r>
      <w:r>
        <w:rPr>
          <w:spacing w:val="5"/>
          <w:sz w:val="23"/>
          <w:szCs w:val="23"/>
        </w:rPr>
        <w:t>载明接收质疑函的方式：书面形式。</w:t>
      </w:r>
    </w:p>
    <w:p>
      <w:pPr>
        <w:adjustRightInd w:val="0"/>
        <w:snapToGrid w:val="0"/>
        <w:spacing w:line="500" w:lineRule="exact"/>
        <w:ind w:firstLine="480" w:firstLineChars="200"/>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接收质疑书的联系方式和地址：伊宁市开发区辽宁路105号（人防办旁）新疆伊筑工程管理有限公司，电话：0999-8988777</w:t>
      </w:r>
    </w:p>
    <w:p>
      <w:pPr>
        <w:pStyle w:val="5"/>
        <w:rPr>
          <w:color w:val="auto"/>
          <w:highlight w:val="none"/>
        </w:rPr>
      </w:pPr>
      <w:bookmarkStart w:id="42" w:name="_Toc31383"/>
      <w:bookmarkStart w:id="43" w:name="_Toc12925"/>
      <w:r>
        <w:rPr>
          <w:rFonts w:hint="eastAsia"/>
          <w:color w:val="auto"/>
          <w:highlight w:val="none"/>
        </w:rPr>
        <w:t>二、</w:t>
      </w:r>
      <w:bookmarkEnd w:id="42"/>
      <w:bookmarkEnd w:id="43"/>
      <w:bookmarkStart w:id="44" w:name="_Toc9510636"/>
      <w:r>
        <w:rPr>
          <w:rFonts w:hint="eastAsia"/>
          <w:color w:val="auto"/>
          <w:highlight w:val="none"/>
        </w:rPr>
        <w:t>招标文件</w:t>
      </w:r>
    </w:p>
    <w:p>
      <w:pPr>
        <w:pStyle w:val="6"/>
        <w:rPr>
          <w:color w:val="auto"/>
          <w:highlight w:val="none"/>
        </w:rPr>
      </w:pPr>
      <w:bookmarkStart w:id="45" w:name="_Toc11465"/>
      <w:r>
        <w:rPr>
          <w:rFonts w:hint="eastAsia"/>
          <w:color w:val="auto"/>
          <w:highlight w:val="none"/>
        </w:rPr>
        <w:t>10、</w:t>
      </w:r>
      <w:bookmarkEnd w:id="44"/>
      <w:r>
        <w:rPr>
          <w:rFonts w:hint="eastAsia"/>
          <w:color w:val="auto"/>
          <w:highlight w:val="none"/>
        </w:rPr>
        <w:t>招标文件的构成</w:t>
      </w:r>
      <w:bookmarkEnd w:id="45"/>
      <w:r>
        <w:rPr>
          <w:rFonts w:hint="eastAsia" w:asciiTheme="majorEastAsia" w:hAnsiTheme="majorEastAsia" w:eastAsiaTheme="majorEastAsia" w:cstheme="majorEastAsia"/>
          <w:b w:val="0"/>
          <w:bCs w:val="0"/>
          <w:color w:val="auto"/>
          <w:sz w:val="24"/>
          <w:szCs w:val="24"/>
          <w:highlight w:val="none"/>
        </w:rPr>
        <w:t>（详见本招标文件目录明细）</w:t>
      </w:r>
    </w:p>
    <w:p>
      <w:pPr>
        <w:pStyle w:val="6"/>
        <w:rPr>
          <w:color w:val="auto"/>
          <w:highlight w:val="none"/>
        </w:rPr>
      </w:pPr>
      <w:bookmarkStart w:id="46" w:name="_Toc9329"/>
      <w:r>
        <w:rPr>
          <w:rFonts w:hint="eastAsia"/>
          <w:color w:val="auto"/>
          <w:highlight w:val="none"/>
        </w:rPr>
        <w:t>11、投标人的风险</w:t>
      </w:r>
      <w:bookmarkEnd w:id="46"/>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供应商</w:t>
      </w:r>
      <w:r>
        <w:rPr>
          <w:rFonts w:hint="eastAsia" w:asciiTheme="majorEastAsia" w:hAnsiTheme="majorEastAsia" w:eastAsiaTheme="majorEastAsia" w:cstheme="majorEastAsia"/>
          <w:color w:val="auto"/>
          <w:sz w:val="24"/>
          <w:szCs w:val="24"/>
          <w:highlight w:val="none"/>
        </w:rPr>
        <w:t>没有按照招标文件要求提供全部资料，或者</w:t>
      </w:r>
      <w:r>
        <w:rPr>
          <w:rFonts w:hint="eastAsia" w:asciiTheme="majorEastAsia" w:hAnsiTheme="majorEastAsia" w:eastAsiaTheme="majorEastAsia" w:cstheme="majorEastAsia"/>
          <w:color w:val="auto"/>
          <w:sz w:val="24"/>
          <w:szCs w:val="24"/>
          <w:highlight w:val="none"/>
          <w:lang w:val="en-US" w:eastAsia="zh-CN"/>
        </w:rPr>
        <w:t>供应商</w:t>
      </w:r>
      <w:r>
        <w:rPr>
          <w:rFonts w:hint="eastAsia" w:asciiTheme="majorEastAsia" w:hAnsiTheme="majorEastAsia" w:eastAsiaTheme="majorEastAsia" w:cstheme="majorEastAsia"/>
          <w:color w:val="auto"/>
          <w:sz w:val="24"/>
          <w:szCs w:val="24"/>
          <w:highlight w:val="none"/>
        </w:rPr>
        <w:t>没有对招标文件在各方面作出实质性响应是</w:t>
      </w:r>
      <w:r>
        <w:rPr>
          <w:rFonts w:hint="eastAsia" w:asciiTheme="majorEastAsia" w:hAnsiTheme="majorEastAsia" w:eastAsiaTheme="majorEastAsia" w:cstheme="majorEastAsia"/>
          <w:color w:val="auto"/>
          <w:sz w:val="24"/>
          <w:szCs w:val="24"/>
          <w:highlight w:val="none"/>
          <w:lang w:val="en-US" w:eastAsia="zh-CN"/>
        </w:rPr>
        <w:t>供应商</w:t>
      </w:r>
      <w:r>
        <w:rPr>
          <w:rFonts w:hint="eastAsia" w:asciiTheme="majorEastAsia" w:hAnsiTheme="majorEastAsia" w:eastAsiaTheme="majorEastAsia" w:cstheme="majorEastAsia"/>
          <w:color w:val="auto"/>
          <w:sz w:val="24"/>
          <w:szCs w:val="24"/>
          <w:highlight w:val="none"/>
        </w:rPr>
        <w:t>的风险，并可能导致其投标被拒绝。</w:t>
      </w:r>
    </w:p>
    <w:p>
      <w:pPr>
        <w:pStyle w:val="6"/>
        <w:rPr>
          <w:color w:val="auto"/>
          <w:highlight w:val="none"/>
        </w:rPr>
      </w:pPr>
      <w:bookmarkStart w:id="47" w:name="_Toc14128"/>
      <w:r>
        <w:rPr>
          <w:rFonts w:hint="eastAsia"/>
          <w:color w:val="auto"/>
          <w:highlight w:val="none"/>
        </w:rPr>
        <w:t>1</w:t>
      </w:r>
      <w:bookmarkStart w:id="48" w:name="_Toc9510637"/>
      <w:r>
        <w:rPr>
          <w:rFonts w:hint="eastAsia"/>
          <w:color w:val="auto"/>
          <w:highlight w:val="none"/>
        </w:rPr>
        <w:t>2、招标文件的澄清与修改</w:t>
      </w:r>
      <w:bookmarkEnd w:id="47"/>
    </w:p>
    <w:p>
      <w:pPr>
        <w:spacing w:line="500" w:lineRule="exact"/>
        <w:ind w:firstLine="480" w:firstLineChars="200"/>
        <w:rPr>
          <w:rFonts w:hint="eastAsia"/>
          <w:color w:val="auto"/>
          <w:sz w:val="24"/>
          <w:szCs w:val="24"/>
          <w:highlight w:val="none"/>
        </w:rPr>
      </w:pPr>
      <w:r>
        <w:rPr>
          <w:rFonts w:hint="eastAsia"/>
          <w:color w:val="auto"/>
          <w:sz w:val="24"/>
          <w:szCs w:val="24"/>
          <w:highlight w:val="none"/>
        </w:rPr>
        <w:t>12.1采购人或采购代理机构对已发出的招标文件进行必要澄清或者修改的，应当在投标人须知前附表规定的提交投标文件截止时间15日前，在原刊登招标公告的媒体上发布更正公告，因供应商未及时登陆媒体（网站）查看导致通知未</w:t>
      </w:r>
    </w:p>
    <w:p>
      <w:pPr>
        <w:spacing w:line="500" w:lineRule="exact"/>
        <w:rPr>
          <w:color w:val="auto"/>
          <w:sz w:val="24"/>
          <w:szCs w:val="24"/>
          <w:highlight w:val="none"/>
        </w:rPr>
      </w:pPr>
      <w:r>
        <w:rPr>
          <w:rFonts w:hint="eastAsia"/>
          <w:color w:val="auto"/>
          <w:sz w:val="24"/>
          <w:szCs w:val="24"/>
          <w:highlight w:val="none"/>
        </w:rPr>
        <w:t>及时收到的，采购人或采购代理机构不承担责任。</w:t>
      </w:r>
    </w:p>
    <w:p>
      <w:pPr>
        <w:spacing w:line="500" w:lineRule="exact"/>
        <w:ind w:firstLine="480" w:firstLineChars="200"/>
        <w:rPr>
          <w:rFonts w:hint="eastAsia"/>
          <w:color w:val="auto"/>
          <w:sz w:val="24"/>
          <w:szCs w:val="24"/>
          <w:highlight w:val="none"/>
        </w:rPr>
      </w:pPr>
      <w:r>
        <w:rPr>
          <w:rFonts w:hint="eastAsia"/>
          <w:color w:val="auto"/>
          <w:sz w:val="24"/>
          <w:szCs w:val="24"/>
          <w:highlight w:val="none"/>
        </w:rPr>
        <w:t>12.2澄清或者修改的内容可能影响投标文件编制的，采购人或者采购代理机构应当在投标截止时间至少15日前，在原刊登招标公告的媒体上发布更正公告， 因供应商未及时登陆媒体（网站）查看导致通知未及时收到的，采购人或采购代 理机构不承担责任。不足 15 日的，采购人或者采购代理机构应当顺延提交投标文件的截止时间。</w:t>
      </w:r>
    </w:p>
    <w:p>
      <w:pPr>
        <w:spacing w:line="500" w:lineRule="exact"/>
        <w:ind w:firstLine="480" w:firstLineChars="200"/>
        <w:rPr>
          <w:color w:val="auto"/>
          <w:sz w:val="24"/>
          <w:szCs w:val="24"/>
          <w:highlight w:val="none"/>
        </w:rPr>
      </w:pPr>
      <w:r>
        <w:rPr>
          <w:rFonts w:hint="eastAsia"/>
          <w:color w:val="auto"/>
          <w:sz w:val="24"/>
          <w:szCs w:val="24"/>
          <w:highlight w:val="none"/>
        </w:rPr>
        <w:t>12.3澄清或者修改内容为招标文件的组成部分，对所有领取了招标文件的潜在投标人均具有约束力。</w:t>
      </w:r>
    </w:p>
    <w:p>
      <w:pPr>
        <w:pStyle w:val="5"/>
        <w:rPr>
          <w:color w:val="auto"/>
          <w:highlight w:val="none"/>
        </w:rPr>
      </w:pPr>
      <w:bookmarkStart w:id="49" w:name="_Toc3009"/>
      <w:bookmarkStart w:id="50" w:name="_Toc25731"/>
      <w:r>
        <w:rPr>
          <w:rFonts w:hint="eastAsia"/>
          <w:color w:val="auto"/>
          <w:highlight w:val="none"/>
        </w:rPr>
        <w:t>三、投标文件的编制</w:t>
      </w:r>
      <w:bookmarkEnd w:id="49"/>
      <w:bookmarkEnd w:id="50"/>
    </w:p>
    <w:bookmarkEnd w:id="48"/>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pPr>
        <w:pStyle w:val="6"/>
        <w:rPr>
          <w:color w:val="auto"/>
          <w:highlight w:val="none"/>
        </w:rPr>
      </w:pPr>
      <w:bookmarkStart w:id="51" w:name="_Toc29638"/>
      <w:r>
        <w:rPr>
          <w:rFonts w:hint="eastAsia"/>
          <w:color w:val="auto"/>
          <w:highlight w:val="none"/>
        </w:rPr>
        <w:t>13、投标文件的组成</w:t>
      </w:r>
      <w:bookmarkEnd w:id="51"/>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投标文件由报价文件、商务技术文件组成，其中报价文件单独装订成一册（正本1份，副本4份）；</w:t>
      </w:r>
      <w:r>
        <w:rPr>
          <w:rFonts w:hint="eastAsia" w:asciiTheme="majorEastAsia" w:hAnsiTheme="majorEastAsia" w:eastAsiaTheme="majorEastAsia" w:cstheme="majorEastAsia"/>
          <w:b/>
          <w:color w:val="auto"/>
          <w:sz w:val="24"/>
          <w:szCs w:val="24"/>
          <w:highlight w:val="none"/>
          <w:lang w:val="en-US" w:eastAsia="zh-CN"/>
        </w:rPr>
        <w:t>商务技术</w:t>
      </w:r>
      <w:r>
        <w:rPr>
          <w:rFonts w:hint="eastAsia" w:asciiTheme="majorEastAsia" w:hAnsiTheme="majorEastAsia" w:eastAsiaTheme="majorEastAsia" w:cstheme="majorEastAsia"/>
          <w:b/>
          <w:color w:val="auto"/>
          <w:sz w:val="24"/>
          <w:szCs w:val="24"/>
          <w:highlight w:val="none"/>
        </w:rPr>
        <w:t>文件装订成一册（正本1份，副本4份）。</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13.1 报价文件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（1）投标函（格式见附件）；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（2）开标一览表（格式见附件）；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（3）投标报价明细表（格式见附件）；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（4）投标保证金缴纳凭证复印件；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（5）投标人针对报价需要说明的其他文件和资料（如有）。</w:t>
      </w:r>
    </w:p>
    <w:p>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13.2商务</w:t>
      </w:r>
      <w:r>
        <w:rPr>
          <w:rFonts w:hint="eastAsia" w:asciiTheme="majorEastAsia" w:hAnsiTheme="majorEastAsia" w:eastAsiaTheme="majorEastAsia" w:cstheme="majorEastAsia"/>
          <w:b/>
          <w:color w:val="auto"/>
          <w:sz w:val="24"/>
          <w:szCs w:val="24"/>
          <w:highlight w:val="none"/>
          <w:lang w:eastAsia="zh-CN"/>
        </w:rPr>
        <w:t>部分</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（1）投标声明书(格式见附件)；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（2）授权委托书(格式见附件)；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（3）有效的营业执照（事业单位法人证书、民办非企业单位登记证书、社会团体法人登记证书、基金会法人登记证书、自然人身份证）副本复印件；</w:t>
      </w:r>
    </w:p>
    <w:p>
      <w:pPr>
        <w:adjustRightInd w:val="0"/>
        <w:snapToGrid w:val="0"/>
        <w:spacing w:line="500" w:lineRule="exact"/>
        <w:ind w:firstLine="470" w:firstLineChars="196"/>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（4）投标人情况介绍（格式见附件）；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）2022 或 2023 年度经审计的财务报告； 如供应商注册不满 1 年则提供具有良好的商业信誉和健全的财务会计制度承诺函；</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须具有履行合同所必需的设备和专业技术能力，须附相关证明材料或声明；</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（7）依法缴纳税收和社会保障资金的良好记录；</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8</w:t>
      </w:r>
      <w:r>
        <w:rPr>
          <w:rFonts w:hint="eastAsia" w:asciiTheme="majorEastAsia" w:hAnsiTheme="majorEastAsia" w:eastAsiaTheme="majorEastAsia" w:cstheme="majorEastAsia"/>
          <w:color w:val="auto"/>
          <w:sz w:val="24"/>
          <w:szCs w:val="24"/>
          <w:highlight w:val="none"/>
        </w:rPr>
        <w:t>）前三年内在经营活动中没有重大违法记录的书面声明（格式见附件）；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未被列入失信被执行人、重大税收违法案件当事人名单、政府采购严重违法失信行为记录名单</w:t>
      </w:r>
      <w:r>
        <w:rPr>
          <w:rFonts w:hint="eastAsia" w:asciiTheme="majorEastAsia" w:hAnsiTheme="majorEastAsia" w:eastAsiaTheme="majorEastAsia" w:cstheme="majorEastAsia"/>
          <w:color w:val="auto"/>
          <w:sz w:val="24"/>
          <w:szCs w:val="24"/>
          <w:highlight w:val="none"/>
          <w:lang w:eastAsia="zh-CN"/>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10</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投标人</w:t>
      </w:r>
      <w:r>
        <w:rPr>
          <w:rFonts w:hint="eastAsia" w:asciiTheme="majorEastAsia" w:hAnsiTheme="majorEastAsia" w:eastAsiaTheme="majorEastAsia" w:cstheme="majorEastAsia"/>
          <w:color w:val="auto"/>
          <w:sz w:val="24"/>
          <w:szCs w:val="24"/>
          <w:highlight w:val="none"/>
        </w:rPr>
        <w:t>已取得的各种有效认证证书、政府部门（企业）或第三方权威鉴定机构出具的信用等级证书或证明复印件；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11</w:t>
      </w:r>
      <w:r>
        <w:rPr>
          <w:rFonts w:hint="eastAsia" w:asciiTheme="majorEastAsia" w:hAnsiTheme="majorEastAsia" w:eastAsiaTheme="majorEastAsia" w:cstheme="majorEastAsia"/>
          <w:color w:val="auto"/>
          <w:sz w:val="24"/>
          <w:szCs w:val="24"/>
          <w:highlight w:val="none"/>
          <w:lang w:eastAsia="zh-CN"/>
        </w:rPr>
        <w:t>）投标人202</w:t>
      </w: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lang w:eastAsia="zh-CN"/>
        </w:rPr>
        <w:t>年1月</w:t>
      </w:r>
      <w:r>
        <w:rPr>
          <w:rFonts w:hint="eastAsia" w:asciiTheme="majorEastAsia" w:hAnsiTheme="majorEastAsia" w:eastAsiaTheme="majorEastAsia" w:cstheme="majorEastAsia"/>
          <w:color w:val="auto"/>
          <w:sz w:val="24"/>
          <w:szCs w:val="24"/>
          <w:highlight w:val="none"/>
        </w:rPr>
        <w:t>1日</w:t>
      </w:r>
      <w:r>
        <w:rPr>
          <w:rFonts w:hint="eastAsia" w:asciiTheme="majorEastAsia" w:hAnsiTheme="majorEastAsia" w:eastAsiaTheme="majorEastAsia" w:cstheme="majorEastAsia"/>
          <w:color w:val="auto"/>
          <w:sz w:val="24"/>
          <w:szCs w:val="24"/>
          <w:highlight w:val="none"/>
          <w:lang w:eastAsia="zh-CN"/>
        </w:rPr>
        <w:t>至今做过与本项目类似的业绩</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12</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政府采购政策扶持证明材料；</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eastAsia="zh-CN"/>
        </w:rPr>
        <w:t>其他证明文件或供应商认为应提交的商务文件（如有）</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72" w:firstLineChars="196"/>
        <w:jc w:val="left"/>
        <w:rPr>
          <w:rFonts w:hint="eastAsia"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color w:val="auto"/>
          <w:sz w:val="24"/>
          <w:szCs w:val="24"/>
          <w:highlight w:val="none"/>
        </w:rPr>
        <w:t>13.2</w:t>
      </w:r>
      <w:r>
        <w:rPr>
          <w:rFonts w:hint="eastAsia" w:asciiTheme="majorEastAsia" w:hAnsiTheme="majorEastAsia" w:eastAsiaTheme="majorEastAsia" w:cstheme="majorEastAsia"/>
          <w:b/>
          <w:color w:val="auto"/>
          <w:sz w:val="24"/>
          <w:szCs w:val="24"/>
          <w:highlight w:val="none"/>
          <w:lang w:eastAsia="zh-CN"/>
        </w:rPr>
        <w:t>技术部分</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（14）技术响应偏离表（格式见附件）；</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（15）产品详细技术规格书（包括产品详细配置、技术性能指标等）（格式自拟）；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（16）与产品相关的由国家认可的检测机构出具的检测报告（如有）；</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（17）针对项目的详细组织实施方案：</w:t>
      </w:r>
      <w:r>
        <w:rPr>
          <w:rFonts w:hint="eastAsia" w:asciiTheme="majorEastAsia" w:hAnsiTheme="majorEastAsia" w:eastAsiaTheme="majorEastAsia" w:cstheme="majorEastAsia"/>
          <w:sz w:val="24"/>
          <w:szCs w:val="24"/>
          <w:highlight w:val="none"/>
        </w:rPr>
        <w:t>包括（但不限于）项目人员安排、项目供货方案、质量管控方案、测试（调试）方案等内容（格式自拟）</w:t>
      </w:r>
      <w:r>
        <w:rPr>
          <w:rFonts w:hint="eastAsia" w:asciiTheme="majorEastAsia" w:hAnsiTheme="majorEastAsia" w:eastAsiaTheme="majorEastAsia" w:cstheme="majorEastAsia"/>
          <w:color w:val="auto"/>
          <w:sz w:val="24"/>
          <w:szCs w:val="24"/>
          <w:highlight w:val="none"/>
          <w:lang w:val="en-US" w:eastAsia="zh-CN"/>
        </w:rPr>
        <w:t>；</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（18）针对本项目的详细技术培训方案：包括（但不限于）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培训团队人员配置等</w:t>
      </w:r>
      <w:r>
        <w:rPr>
          <w:rFonts w:hint="eastAsia" w:asciiTheme="majorEastAsia" w:hAnsiTheme="majorEastAsia" w:eastAsiaTheme="majorEastAsia" w:cstheme="majorEastAsia"/>
          <w:color w:val="auto"/>
          <w:sz w:val="24"/>
          <w:szCs w:val="24"/>
          <w:highlight w:val="none"/>
          <w:lang w:val="en-US" w:eastAsia="zh-CN"/>
        </w:rPr>
        <w:t>内容（格式自拟）；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（19）针对本项目的售后服务方案：包括（但不限于）售后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质保外服务措施等</w:t>
      </w:r>
      <w:r>
        <w:rPr>
          <w:rFonts w:hint="eastAsia" w:asciiTheme="majorEastAsia" w:hAnsiTheme="majorEastAsia" w:eastAsiaTheme="majorEastAsia" w:cstheme="majorEastAsia"/>
          <w:color w:val="auto"/>
          <w:sz w:val="24"/>
          <w:szCs w:val="24"/>
          <w:highlight w:val="none"/>
          <w:lang w:val="en-US" w:eastAsia="zh-CN"/>
        </w:rPr>
        <w:t>内容（格式自拟）；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（20）其他优惠条件（如有）：投标人承诺给予采购人的各种优惠条件，包括备品备件、专用耗材等；</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（21）投标人需要提供的其他文件或资料（如有）。</w:t>
      </w:r>
    </w:p>
    <w:p>
      <w:pPr>
        <w:adjustRightInd w:val="0"/>
        <w:snapToGrid w:val="0"/>
        <w:spacing w:line="500" w:lineRule="exact"/>
        <w:ind w:left="479" w:leftChars="228" w:firstLine="0" w:firstLineChars="0"/>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注：a</w:t>
      </w:r>
      <w:r>
        <w:rPr>
          <w:rFonts w:hint="eastAsia" w:asciiTheme="majorEastAsia" w:hAnsiTheme="majorEastAsia" w:eastAsiaTheme="majorEastAsia" w:cstheme="majorEastAsia"/>
          <w:b/>
          <w:bCs/>
          <w:color w:val="auto"/>
          <w:sz w:val="24"/>
          <w:szCs w:val="24"/>
          <w:highlight w:val="none"/>
          <w:lang w:val="en-US" w:eastAsia="zh-CN"/>
        </w:rPr>
        <w:t>.</w:t>
      </w:r>
      <w:r>
        <w:rPr>
          <w:rFonts w:hint="eastAsia" w:asciiTheme="majorEastAsia" w:hAnsiTheme="majorEastAsia" w:eastAsiaTheme="majorEastAsia" w:cstheme="majorEastAsia"/>
          <w:b/>
          <w:bCs/>
          <w:color w:val="auto"/>
          <w:sz w:val="24"/>
          <w:szCs w:val="24"/>
          <w:highlight w:val="none"/>
        </w:rPr>
        <w:t>授权委托书、投标声明书、投标函、开标一览表必须由法定代表人（负责人、自然人）或其授权代表签名（按格式要求）并加盖单位公章。</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b.</w:t>
      </w:r>
      <w:r>
        <w:rPr>
          <w:rFonts w:hint="eastAsia" w:asciiTheme="majorEastAsia" w:hAnsiTheme="majorEastAsia" w:eastAsiaTheme="majorEastAsia" w:cstheme="majorEastAsia"/>
          <w:b/>
          <w:bCs/>
          <w:color w:val="auto"/>
          <w:sz w:val="24"/>
          <w:szCs w:val="24"/>
          <w:highlight w:val="none"/>
        </w:rPr>
        <w:t>以上提供的各种证书、证件、证明资料如是复印件，须在复印件上加盖有效公章，如发现有造假嫌疑的，将根据有关规定以“提供虚假材料谋取中标”予以处罚。</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c.</w:t>
      </w:r>
      <w:r>
        <w:rPr>
          <w:rFonts w:hint="eastAsia" w:asciiTheme="majorEastAsia" w:hAnsiTheme="majorEastAsia" w:eastAsiaTheme="majorEastAsia" w:cstheme="majorEastAsia"/>
          <w:b/>
          <w:bCs/>
          <w:color w:val="auto"/>
          <w:sz w:val="24"/>
          <w:szCs w:val="24"/>
          <w:highlight w:val="none"/>
        </w:rPr>
        <w:t>《报价文件》单独装订成册，投标供应商须按要求单独递交《报价文件》；投标文件中除《报价文件》外，其他部分不得有任何涉及本次投标报价的信息。</w:t>
      </w:r>
    </w:p>
    <w:p>
      <w:pPr>
        <w:adjustRightInd w:val="0"/>
        <w:snapToGrid w:val="0"/>
        <w:spacing w:line="500" w:lineRule="exact"/>
        <w:ind w:left="479" w:leftChars="228" w:firstLine="463" w:firstLineChars="192"/>
        <w:jc w:val="left"/>
        <w:rPr>
          <w:rFonts w:hint="eastAsia" w:eastAsiaTheme="majorEastAsia"/>
          <w:color w:val="auto"/>
          <w:highlight w:val="none"/>
          <w:lang w:eastAsia="zh-CN"/>
        </w:rPr>
      </w:pPr>
      <w:r>
        <w:rPr>
          <w:rFonts w:hint="eastAsia" w:asciiTheme="majorEastAsia" w:hAnsiTheme="majorEastAsia" w:eastAsiaTheme="majorEastAsia" w:cstheme="majorEastAsia"/>
          <w:b/>
          <w:bCs/>
          <w:color w:val="auto"/>
          <w:sz w:val="24"/>
          <w:szCs w:val="24"/>
          <w:highlight w:val="none"/>
          <w:lang w:val="en-US" w:eastAsia="zh-CN"/>
        </w:rPr>
        <w:t>d.</w:t>
      </w:r>
      <w:r>
        <w:rPr>
          <w:rFonts w:hint="eastAsia" w:asciiTheme="majorEastAsia" w:hAnsiTheme="majorEastAsia" w:eastAsiaTheme="majorEastAsia" w:cstheme="majorEastAsia"/>
          <w:b/>
          <w:bCs/>
          <w:color w:val="auto"/>
          <w:sz w:val="24"/>
          <w:szCs w:val="24"/>
          <w:highlight w:val="none"/>
        </w:rPr>
        <w:t>以上材料须加盖单位公章，投标人需将投标文件按上述顺序装订成一整册，请投标人编制投标文件的目录及页码。</w:t>
      </w:r>
    </w:p>
    <w:p>
      <w:pPr>
        <w:pStyle w:val="6"/>
        <w:rPr>
          <w:color w:val="auto"/>
          <w:highlight w:val="none"/>
        </w:rPr>
      </w:pPr>
      <w:bookmarkStart w:id="52" w:name="_Toc26745"/>
      <w:r>
        <w:rPr>
          <w:rFonts w:hint="eastAsia"/>
          <w:color w:val="auto"/>
          <w:highlight w:val="none"/>
        </w:rPr>
        <w:t>14、投标文件的语言及计量</w:t>
      </w:r>
      <w:bookmarkEnd w:id="52"/>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14.1 投标文件以及投标方与招标方就有关投标事宜的所有来往函电，均应以中文汉语书写。除签名、盖章、专用名称等特殊情形外，以中文汉语以外的文字表述的投标文件视同未提供。</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14.2 投标计量单位，招标文件已有明确规定的，使用招标文件规定的计量单位；招标文件没有规定的，应采用中华人民共和国法定计量单位（货币单位：人民币元），否则视同未响应。</w:t>
      </w:r>
    </w:p>
    <w:p>
      <w:pPr>
        <w:pStyle w:val="6"/>
        <w:rPr>
          <w:color w:val="auto"/>
          <w:highlight w:val="none"/>
        </w:rPr>
      </w:pPr>
      <w:bookmarkStart w:id="53" w:name="_Toc10847"/>
      <w:r>
        <w:rPr>
          <w:rFonts w:hint="eastAsia"/>
          <w:color w:val="auto"/>
          <w:highlight w:val="none"/>
        </w:rPr>
        <w:t>15、投标报价</w:t>
      </w:r>
      <w:bookmarkEnd w:id="53"/>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15.1 投标报价按招标文件中相关附表格式填写，应为所投标包的产品的单价报价，每个产品只允许一个报价。</w:t>
      </w:r>
      <w:r>
        <w:rPr>
          <w:rFonts w:hint="eastAsia" w:asciiTheme="majorEastAsia" w:hAnsiTheme="majorEastAsia" w:eastAsiaTheme="majorEastAsia" w:cstheme="majorEastAsia"/>
          <w:bCs/>
          <w:color w:val="auto"/>
          <w:sz w:val="24"/>
          <w:szCs w:val="24"/>
          <w:highlight w:val="none"/>
        </w:rPr>
        <w:t>同型号产品参与不同标包投标的，则其报价必须相同，否则视为有选择性报价，按无效标处理</w:t>
      </w:r>
      <w:r>
        <w:rPr>
          <w:rFonts w:hint="eastAsia" w:asciiTheme="majorEastAsia" w:hAnsiTheme="majorEastAsia" w:eastAsiaTheme="majorEastAsia" w:cstheme="majorEastAsia"/>
          <w:color w:val="auto"/>
          <w:sz w:val="24"/>
          <w:szCs w:val="24"/>
          <w:highlight w:val="none"/>
        </w:rPr>
        <w:t>。</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15.2 投标报价应包括货款、标准附件、备品备件、专用工具、包装、运输、装卸、保险、税金、货到就位以及安装、调试、培训、保修等一切税金和费用。</w:t>
      </w:r>
    </w:p>
    <w:p>
      <w:pPr>
        <w:tabs>
          <w:tab w:val="left" w:pos="525"/>
        </w:tabs>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15.3 每种货物只允许有一个报价，有选择的或有条件的报价将不予接受。</w:t>
      </w:r>
    </w:p>
    <w:p>
      <w:pPr>
        <w:pStyle w:val="6"/>
        <w:rPr>
          <w:color w:val="auto"/>
          <w:highlight w:val="none"/>
        </w:rPr>
      </w:pPr>
      <w:bookmarkStart w:id="54" w:name="_Toc11872"/>
      <w:r>
        <w:rPr>
          <w:rFonts w:hint="eastAsia"/>
          <w:color w:val="auto"/>
          <w:highlight w:val="none"/>
        </w:rPr>
        <w:t>16、投标文件的有效期</w:t>
      </w:r>
      <w:bookmarkEnd w:id="54"/>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16.1 自投标截止日起</w:t>
      </w:r>
      <w:r>
        <w:rPr>
          <w:rFonts w:hint="eastAsia" w:asciiTheme="majorEastAsia" w:hAnsiTheme="majorEastAsia" w:eastAsiaTheme="majorEastAsia" w:cstheme="majorEastAsia"/>
          <w:color w:val="auto"/>
          <w:kern w:val="0"/>
          <w:sz w:val="24"/>
          <w:szCs w:val="24"/>
          <w:highlight w:val="none"/>
          <w:u w:val="single"/>
        </w:rPr>
        <w:t>90</w:t>
      </w:r>
      <w:r>
        <w:rPr>
          <w:rFonts w:hint="eastAsia" w:asciiTheme="majorEastAsia" w:hAnsiTheme="majorEastAsia" w:eastAsiaTheme="majorEastAsia" w:cstheme="majorEastAsia"/>
          <w:color w:val="auto"/>
          <w:kern w:val="0"/>
          <w:sz w:val="24"/>
          <w:szCs w:val="24"/>
          <w:highlight w:val="none"/>
        </w:rPr>
        <w:t>天投标文件应保持有效。</w:t>
      </w:r>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16.2 在特殊情况下，采购人可与投标人协商延长投标书的有效期，这种要求和答复均以书面形式进行。</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16.3 投标人可拒绝接受延期要求而不会导致投标保证金被没收。同意延长有效期的投标人需要相应延长投标保证金的有效期，但不能修改投标文件。</w:t>
      </w:r>
    </w:p>
    <w:p>
      <w:pPr>
        <w:adjustRightInd w:val="0"/>
        <w:snapToGrid w:val="0"/>
        <w:spacing w:line="500" w:lineRule="exact"/>
        <w:ind w:firstLine="480" w:firstLineChars="200"/>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color w:val="auto"/>
          <w:sz w:val="24"/>
          <w:szCs w:val="24"/>
          <w:highlight w:val="none"/>
        </w:rPr>
        <w:t>16.4 中标人的投标文件自开标之日起至合同履行完毕止均应保持有效。</w:t>
      </w:r>
    </w:p>
    <w:p>
      <w:pPr>
        <w:pStyle w:val="6"/>
        <w:rPr>
          <w:color w:val="auto"/>
          <w:highlight w:val="none"/>
        </w:rPr>
      </w:pPr>
      <w:bookmarkStart w:id="55" w:name="_Toc2098"/>
      <w:r>
        <w:rPr>
          <w:rFonts w:hint="eastAsia"/>
          <w:color w:val="auto"/>
          <w:highlight w:val="none"/>
        </w:rPr>
        <w:t>17、投标保证金</w:t>
      </w:r>
      <w:bookmarkEnd w:id="55"/>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投标人须按规定提交投标保证金。否则，其投标将被拒绝。</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17.2 保证金形式：投标保证金应当以支票、汇票、本票或者金融机构、担保机构出具的保函等非现金形式提交。</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17.3 退还保证金时，投标人提供单位账户信息。</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pPr>
        <w:adjustRightInd w:val="0"/>
        <w:snapToGrid w:val="0"/>
        <w:spacing w:line="500" w:lineRule="exact"/>
        <w:ind w:firstLine="472" w:firstLineChars="196"/>
        <w:jc w:val="left"/>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17.5 投标人有下列情形之一的，投标保证金将不予退还：</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（1）投标人在投标有效期内撤回投标文件的；</w:t>
      </w:r>
    </w:p>
    <w:p>
      <w:pPr>
        <w:adjustRightInd w:val="0"/>
        <w:snapToGrid w:val="0"/>
        <w:spacing w:line="500" w:lineRule="exact"/>
        <w:ind w:firstLine="472" w:firstLineChars="196"/>
        <w:jc w:val="left"/>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（2）投标人在投标过程中弄虚作假，提供虚假材料的；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（3）中标人无正当理由不与采购人签订合同的；</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（4）</w:t>
      </w:r>
      <w:r>
        <w:rPr>
          <w:rFonts w:hint="eastAsia" w:asciiTheme="majorEastAsia" w:hAnsiTheme="majorEastAsia" w:eastAsiaTheme="majorEastAsia" w:cstheme="majorEastAsia"/>
          <w:b/>
          <w:bCs/>
          <w:color w:val="auto"/>
          <w:sz w:val="24"/>
          <w:szCs w:val="24"/>
          <w:highlight w:val="none"/>
        </w:rPr>
        <w:t>将中标项目转让给他人或者在投标文件中未说明且未经招标采购单位同意，将项目分包给他人的；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（5）拒绝履行合同义务的；</w:t>
      </w:r>
    </w:p>
    <w:p>
      <w:pPr>
        <w:adjustRightInd w:val="0"/>
        <w:snapToGrid w:val="0"/>
        <w:spacing w:line="500" w:lineRule="exact"/>
        <w:ind w:firstLine="482" w:firstLineChars="200"/>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（6）其他严重扰乱招投标程序的。</w:t>
      </w:r>
    </w:p>
    <w:p>
      <w:pPr>
        <w:pStyle w:val="6"/>
        <w:rPr>
          <w:rFonts w:asciiTheme="majorEastAsia" w:hAnsiTheme="majorEastAsia" w:eastAsiaTheme="majorEastAsia" w:cstheme="majorEastAsia"/>
          <w:color w:val="auto"/>
          <w:sz w:val="24"/>
          <w:szCs w:val="24"/>
          <w:highlight w:val="none"/>
        </w:rPr>
      </w:pPr>
      <w:bookmarkStart w:id="56" w:name="_Toc16494"/>
      <w:r>
        <w:rPr>
          <w:rFonts w:hint="eastAsia" w:asciiTheme="majorEastAsia" w:hAnsiTheme="majorEastAsia" w:eastAsiaTheme="majorEastAsia" w:cstheme="majorEastAsia"/>
          <w:color w:val="auto"/>
          <w:sz w:val="24"/>
          <w:szCs w:val="24"/>
          <w:highlight w:val="none"/>
        </w:rPr>
        <w:t>18、投标文件</w:t>
      </w:r>
      <w:r>
        <w:rPr>
          <w:rStyle w:val="84"/>
          <w:rFonts w:hint="eastAsia"/>
          <w:b/>
          <w:bCs/>
          <w:color w:val="auto"/>
          <w:highlight w:val="none"/>
        </w:rPr>
        <w:t>的</w:t>
      </w:r>
      <w:r>
        <w:rPr>
          <w:rFonts w:hint="eastAsia" w:asciiTheme="majorEastAsia" w:hAnsiTheme="majorEastAsia" w:eastAsiaTheme="majorEastAsia" w:cstheme="majorEastAsia"/>
          <w:color w:val="auto"/>
          <w:sz w:val="24"/>
          <w:szCs w:val="24"/>
          <w:highlight w:val="none"/>
        </w:rPr>
        <w:t>签署和份数</w:t>
      </w:r>
      <w:bookmarkEnd w:id="56"/>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18.1 投标人应按本招标文件规定的格式和顺序编制、装订投标文件并标注页码，投标文件内容不完整、编排混乱导致投标文件被误读、漏读或者查找不到相关内容的，是投标人的责任。</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18.2投标人递交的纸质投标文件包括“正本”一份、“副本”四份。报价文件单独装订成一册“正本”一份、“副本”四份；商务技术文件内容不得体现价格合并装订。</w:t>
      </w:r>
      <w:r>
        <w:rPr>
          <w:rFonts w:hint="eastAsia" w:asciiTheme="majorEastAsia" w:hAnsiTheme="majorEastAsia" w:eastAsiaTheme="majorEastAsia" w:cstheme="majorEastAsia"/>
          <w:b/>
          <w:color w:val="auto"/>
          <w:sz w:val="24"/>
          <w:szCs w:val="24"/>
          <w:highlight w:val="none"/>
        </w:rPr>
        <w:t>建议采用胶装，不得采用活页装订（是指用卡条、抽杆夹、订书机等形式装订，使投标文件可以拆卸或者在翻动过程中易脱落的一种装订方式）。</w:t>
      </w:r>
      <w:r>
        <w:rPr>
          <w:rFonts w:hint="eastAsia" w:asciiTheme="majorEastAsia" w:hAnsiTheme="majorEastAsia" w:eastAsiaTheme="majorEastAsia" w:cstheme="majorEastAsia"/>
          <w:color w:val="auto"/>
          <w:sz w:val="24"/>
          <w:szCs w:val="24"/>
          <w:highlight w:val="none"/>
        </w:rPr>
        <w:t>在投标文件封面的须清楚的注明“正本”或“副本”。</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18.3 投标文件的正本需打印或用不褪色的墨水填写，投标文件正本除本《投标人须知》中规定的可提供复印件外均须提供原件。副本可为正本的复印件。</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18.4 投标文件须由投标人在规定位置盖章并由法定代表人（负责人、自然人）或法定代表人（负责人、自然人）的授权代表签署，投标人应写全称。</w:t>
      </w:r>
    </w:p>
    <w:p>
      <w:pPr>
        <w:adjustRightInd w:val="0"/>
        <w:snapToGrid w:val="0"/>
        <w:spacing w:line="500" w:lineRule="exact"/>
        <w:ind w:firstLine="480" w:firstLineChars="20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18.5 投标文件不得涂改，若有修改错漏处，须加盖单位公章或者法定代表人（负责人、自然人）或授权代表签字。投标文件因字迹潦草或表达不清所引起的后果由投标人负责。</w:t>
      </w:r>
    </w:p>
    <w:p>
      <w:pPr>
        <w:adjustRightInd w:val="0"/>
        <w:snapToGrid w:val="0"/>
        <w:spacing w:line="500" w:lineRule="exact"/>
        <w:ind w:firstLine="480" w:firstLineChars="200"/>
        <w:rPr>
          <w:rFonts w:hint="default" w:asciiTheme="majorEastAsia" w:hAnsiTheme="majorEastAsia" w:eastAsiaTheme="majorEastAsia" w:cstheme="majorEastAsia"/>
          <w:color w:val="auto"/>
          <w:sz w:val="24"/>
          <w:szCs w:val="24"/>
          <w:highlight w:val="none"/>
          <w:lang w:val="en-US"/>
        </w:rPr>
      </w:pPr>
      <w:r>
        <w:rPr>
          <w:rFonts w:hint="eastAsia" w:asciiTheme="majorEastAsia" w:hAnsiTheme="majorEastAsia" w:eastAsiaTheme="majorEastAsia" w:cstheme="majorEastAsia"/>
          <w:color w:val="auto"/>
          <w:sz w:val="24"/>
          <w:szCs w:val="24"/>
          <w:highlight w:val="none"/>
        </w:rPr>
        <w:t>18.6电子文件（1份光盘，1份U盘）</w:t>
      </w:r>
      <w:bookmarkStart w:id="57" w:name="_Toc86216991"/>
      <w:bookmarkStart w:id="58" w:name="_Toc233618975"/>
      <w:r>
        <w:rPr>
          <w:rFonts w:hint="eastAsia" w:asciiTheme="majorEastAsia" w:hAnsiTheme="majorEastAsia" w:eastAsiaTheme="majorEastAsia" w:cstheme="majorEastAsia"/>
          <w:b/>
          <w:color w:val="auto"/>
          <w:sz w:val="24"/>
          <w:szCs w:val="24"/>
          <w:highlight w:val="none"/>
        </w:rPr>
        <w:t>U盘和1份电子版光盘中须包含投标文件的全部内容，包括报价文件</w:t>
      </w:r>
      <w:bookmarkStart w:id="59" w:name="_Hlt68403820"/>
      <w:bookmarkEnd w:id="59"/>
      <w:bookmarkStart w:id="60" w:name="_Hlt68072998"/>
      <w:bookmarkEnd w:id="60"/>
      <w:bookmarkStart w:id="61" w:name="_Hlt68073093"/>
      <w:bookmarkEnd w:id="61"/>
      <w:r>
        <w:rPr>
          <w:rFonts w:hint="eastAsia" w:asciiTheme="majorEastAsia" w:hAnsiTheme="majorEastAsia" w:eastAsiaTheme="majorEastAsia" w:cstheme="majorEastAsia"/>
          <w:b/>
          <w:color w:val="auto"/>
          <w:sz w:val="24"/>
          <w:szCs w:val="24"/>
          <w:highlight w:val="none"/>
          <w:lang w:eastAsia="zh-CN"/>
        </w:rPr>
        <w:t>和</w:t>
      </w:r>
      <w:r>
        <w:rPr>
          <w:rFonts w:hint="eastAsia" w:asciiTheme="majorEastAsia" w:hAnsiTheme="majorEastAsia" w:eastAsiaTheme="majorEastAsia" w:cstheme="majorEastAsia"/>
          <w:b/>
          <w:color w:val="auto"/>
          <w:sz w:val="24"/>
          <w:szCs w:val="24"/>
          <w:highlight w:val="none"/>
        </w:rPr>
        <w:t>商务技术文件，格式为WORD版和签章后的投标文件正本扫描件PDF版两种。</w:t>
      </w:r>
      <w:r>
        <w:rPr>
          <w:rFonts w:hint="eastAsia" w:asciiTheme="majorEastAsia" w:hAnsiTheme="majorEastAsia" w:eastAsiaTheme="majorEastAsia" w:cstheme="majorEastAsia"/>
          <w:color w:val="auto"/>
          <w:sz w:val="24"/>
          <w:szCs w:val="24"/>
          <w:highlight w:val="none"/>
        </w:rPr>
        <w:t>光盘上须注明投标人名称及所投标包及内容。光盘上的内容应与投标人纸制投标文件一致。样品讲解视频</w:t>
      </w:r>
      <w:r>
        <w:rPr>
          <w:rFonts w:hint="eastAsia" w:asciiTheme="majorEastAsia" w:hAnsiTheme="majorEastAsia" w:eastAsiaTheme="majorEastAsia" w:cstheme="majorEastAsia"/>
          <w:color w:val="auto"/>
          <w:sz w:val="24"/>
          <w:szCs w:val="24"/>
          <w:highlight w:val="none"/>
          <w:lang w:val="en-US" w:eastAsia="zh-CN"/>
        </w:rPr>
        <w:t>光盘1份，U盘一份。</w:t>
      </w:r>
    </w:p>
    <w:p>
      <w:pPr>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18.7</w:t>
      </w:r>
      <w:r>
        <w:rPr>
          <w:rFonts w:hint="eastAsia" w:asciiTheme="majorEastAsia" w:hAnsiTheme="majorEastAsia" w:eastAsiaTheme="majorEastAsia" w:cstheme="majorEastAsia"/>
          <w:b/>
          <w:color w:val="auto"/>
          <w:sz w:val="24"/>
          <w:szCs w:val="24"/>
          <w:highlight w:val="none"/>
        </w:rPr>
        <w:t>投</w:t>
      </w:r>
      <w:bookmarkEnd w:id="57"/>
      <w:bookmarkEnd w:id="58"/>
      <w:r>
        <w:rPr>
          <w:rFonts w:hint="eastAsia" w:asciiTheme="majorEastAsia" w:hAnsiTheme="majorEastAsia" w:eastAsiaTheme="majorEastAsia" w:cstheme="majorEastAsia"/>
          <w:b/>
          <w:color w:val="auto"/>
          <w:sz w:val="24"/>
          <w:szCs w:val="24"/>
          <w:highlight w:val="none"/>
        </w:rPr>
        <w:t>标人如投多个标包的，应当按照标包编号单独提供每一套投标文件</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b/>
          <w:color w:val="auto"/>
          <w:sz w:val="24"/>
          <w:szCs w:val="24"/>
          <w:highlight w:val="none"/>
        </w:rPr>
        <w:t>商务技术文件装订</w:t>
      </w:r>
      <w:r>
        <w:rPr>
          <w:rFonts w:hint="eastAsia" w:asciiTheme="majorEastAsia" w:hAnsiTheme="majorEastAsia" w:eastAsiaTheme="majorEastAsia" w:cstheme="majorEastAsia"/>
          <w:b/>
          <w:color w:val="auto"/>
          <w:sz w:val="24"/>
          <w:szCs w:val="24"/>
          <w:highlight w:val="none"/>
          <w:lang w:eastAsia="zh-CN"/>
        </w:rPr>
        <w:t>成一册</w:t>
      </w:r>
      <w:r>
        <w:rPr>
          <w:rFonts w:hint="eastAsia" w:asciiTheme="majorEastAsia" w:hAnsiTheme="majorEastAsia" w:eastAsiaTheme="majorEastAsia" w:cstheme="majorEastAsia"/>
          <w:b/>
          <w:color w:val="auto"/>
          <w:sz w:val="24"/>
          <w:szCs w:val="24"/>
          <w:highlight w:val="none"/>
        </w:rPr>
        <w:t>，报价文件单独装订成一册，在投标文件封面上列明标包编号，商务技术文件的书脊处须写明投标单位公司全称。否则按照无效</w:t>
      </w:r>
      <w:r>
        <w:rPr>
          <w:rFonts w:hint="eastAsia" w:asciiTheme="majorEastAsia" w:hAnsiTheme="majorEastAsia" w:eastAsiaTheme="majorEastAsia" w:cstheme="majorEastAsia"/>
          <w:b/>
          <w:color w:val="auto"/>
          <w:sz w:val="24"/>
          <w:szCs w:val="24"/>
          <w:highlight w:val="none"/>
          <w:lang w:eastAsia="zh-CN"/>
        </w:rPr>
        <w:t>响应</w:t>
      </w:r>
      <w:r>
        <w:rPr>
          <w:rFonts w:hint="eastAsia" w:asciiTheme="majorEastAsia" w:hAnsiTheme="majorEastAsia" w:eastAsiaTheme="majorEastAsia" w:cstheme="majorEastAsia"/>
          <w:b/>
          <w:color w:val="auto"/>
          <w:sz w:val="24"/>
          <w:szCs w:val="24"/>
          <w:highlight w:val="none"/>
        </w:rPr>
        <w:t>以处理。</w:t>
      </w:r>
    </w:p>
    <w:p>
      <w:pPr>
        <w:pStyle w:val="6"/>
        <w:rPr>
          <w:color w:val="auto"/>
          <w:highlight w:val="none"/>
        </w:rPr>
      </w:pPr>
      <w:bookmarkStart w:id="62" w:name="_Toc8464"/>
      <w:r>
        <w:rPr>
          <w:rFonts w:hint="eastAsia"/>
          <w:color w:val="auto"/>
          <w:highlight w:val="none"/>
        </w:rPr>
        <w:t>19、投标文件的包装、递交、修改和撤回</w:t>
      </w:r>
      <w:bookmarkEnd w:id="62"/>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19.1投标人应将报价文件单独装订成一册，商务文件和技术文件装订成一册,并分别密封包装，电子光盘单独密封并递交，包装封面上应注明“商务技术文件”、“报价文件”、“电子文件”及投标人名称、标包名称、标包编号及内容及“开标时启封”字样，并加盖投标人公章。</w:t>
      </w:r>
    </w:p>
    <w:p>
      <w:pPr>
        <w:pStyle w:val="194"/>
        <w:snapToGrid w:val="0"/>
        <w:spacing w:before="0" w:line="500" w:lineRule="exact"/>
        <w:ind w:left="0" w:firstLine="480" w:firstLineChars="200"/>
        <w:rPr>
          <w:rFonts w:hint="default" w:asciiTheme="majorEastAsia" w:hAnsiTheme="majorEastAsia" w:eastAsiaTheme="majorEastAsia" w:cstheme="majorEastAsia"/>
          <w:color w:val="auto"/>
          <w:kern w:val="2"/>
          <w:sz w:val="24"/>
          <w:szCs w:val="24"/>
          <w:highlight w:val="none"/>
          <w:lang w:val="en-US" w:eastAsia="zh-CN"/>
        </w:rPr>
      </w:pPr>
      <w:r>
        <w:rPr>
          <w:rFonts w:hint="eastAsia" w:asciiTheme="majorEastAsia" w:hAnsiTheme="majorEastAsia" w:eastAsiaTheme="majorEastAsia" w:cstheme="majorEastAsia"/>
          <w:color w:val="auto"/>
          <w:kern w:val="2"/>
          <w:sz w:val="24"/>
          <w:szCs w:val="24"/>
          <w:highlight w:val="none"/>
        </w:rPr>
        <w:t>19.2如果</w:t>
      </w:r>
      <w:r>
        <w:rPr>
          <w:rFonts w:hint="eastAsia" w:asciiTheme="majorEastAsia" w:hAnsiTheme="majorEastAsia" w:eastAsiaTheme="majorEastAsia" w:cstheme="majorEastAsia"/>
          <w:color w:val="auto"/>
          <w:kern w:val="2"/>
          <w:sz w:val="24"/>
          <w:szCs w:val="24"/>
          <w:highlight w:val="none"/>
          <w:lang w:val="en-US" w:eastAsia="zh-CN"/>
        </w:rPr>
        <w:t>投标文件的包装没有按上述规定密封加写标志，采购人或代理机构将拒绝接收。</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pPr>
        <w:pStyle w:val="195"/>
        <w:adjustRightInd w:val="0"/>
        <w:snapToGrid w:val="0"/>
        <w:spacing w:before="0" w:line="500" w:lineRule="exact"/>
        <w:ind w:firstLine="482"/>
        <w:rPr>
          <w:rFonts w:asciiTheme="majorEastAsia" w:hAnsiTheme="majorEastAsia" w:eastAsiaTheme="majorEastAsia" w:cstheme="majorEastAsia"/>
          <w:b/>
          <w:color w:val="auto"/>
          <w:szCs w:val="24"/>
          <w:highlight w:val="none"/>
        </w:rPr>
      </w:pPr>
      <w:r>
        <w:rPr>
          <w:rFonts w:hint="eastAsia" w:asciiTheme="majorEastAsia" w:hAnsiTheme="majorEastAsia" w:eastAsiaTheme="majorEastAsia" w:cstheme="majorEastAsia"/>
          <w:b/>
          <w:color w:val="auto"/>
          <w:szCs w:val="24"/>
          <w:highlight w:val="none"/>
        </w:rPr>
        <w:t>19.4投标文件有下列情况之一的将不予接受：</w:t>
      </w:r>
    </w:p>
    <w:p>
      <w:pPr>
        <w:pStyle w:val="194"/>
        <w:snapToGrid w:val="0"/>
        <w:spacing w:before="0" w:line="500" w:lineRule="exact"/>
        <w:ind w:left="0" w:firstLine="480" w:firstLineChars="200"/>
        <w:rPr>
          <w:rFonts w:asciiTheme="majorEastAsia" w:hAnsiTheme="majorEastAsia" w:eastAsiaTheme="majorEastAsia" w:cstheme="majorEastAsia"/>
          <w:color w:val="auto"/>
          <w:kern w:val="2"/>
          <w:sz w:val="24"/>
          <w:szCs w:val="24"/>
          <w:highlight w:val="none"/>
        </w:rPr>
      </w:pPr>
      <w:r>
        <w:rPr>
          <w:rFonts w:hint="eastAsia" w:asciiTheme="majorEastAsia" w:hAnsiTheme="majorEastAsia" w:eastAsiaTheme="majorEastAsia" w:cstheme="majorEastAsia"/>
          <w:color w:val="auto"/>
          <w:kern w:val="2"/>
          <w:sz w:val="24"/>
          <w:szCs w:val="24"/>
          <w:highlight w:val="none"/>
        </w:rPr>
        <w:t>19.4.1在投标文件递交截止时间以后送达的投标文件；</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19.4.2投标文件没有密封包装或者由于包装不妥，在递交时严重破损或失散的投标文件；</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19.4.3投标文件未按19.1条款密封包装的；</w:t>
      </w:r>
    </w:p>
    <w:p>
      <w:pPr>
        <w:pStyle w:val="194"/>
        <w:snapToGrid w:val="0"/>
        <w:spacing w:before="0" w:line="500" w:lineRule="exact"/>
        <w:ind w:left="0" w:firstLine="480" w:firstLineChars="200"/>
        <w:rPr>
          <w:rFonts w:hint="eastAsia" w:asciiTheme="majorEastAsia" w:hAnsiTheme="majorEastAsia" w:eastAsiaTheme="majorEastAsia" w:cstheme="majorEastAsia"/>
          <w:color w:val="auto"/>
          <w:kern w:val="2"/>
          <w:sz w:val="24"/>
          <w:szCs w:val="24"/>
          <w:highlight w:val="none"/>
          <w:lang w:eastAsia="zh-CN"/>
        </w:rPr>
      </w:pPr>
      <w:r>
        <w:rPr>
          <w:rFonts w:hint="eastAsia" w:asciiTheme="majorEastAsia" w:hAnsiTheme="majorEastAsia" w:eastAsiaTheme="majorEastAsia" w:cstheme="majorEastAsia"/>
          <w:color w:val="auto"/>
          <w:kern w:val="2"/>
          <w:sz w:val="24"/>
          <w:szCs w:val="24"/>
          <w:highlight w:val="none"/>
        </w:rPr>
        <w:t>19.4.4仅以非纸制文本形式的投标文件</w:t>
      </w:r>
      <w:r>
        <w:rPr>
          <w:rFonts w:hint="eastAsia" w:asciiTheme="majorEastAsia" w:hAnsiTheme="majorEastAsia" w:eastAsiaTheme="majorEastAsia" w:cstheme="majorEastAsia"/>
          <w:color w:val="auto"/>
          <w:kern w:val="2"/>
          <w:sz w:val="24"/>
          <w:szCs w:val="24"/>
          <w:highlight w:val="none"/>
          <w:lang w:eastAsia="zh-CN"/>
        </w:rPr>
        <w:t>。</w:t>
      </w:r>
    </w:p>
    <w:p>
      <w:pPr>
        <w:pStyle w:val="6"/>
        <w:rPr>
          <w:color w:val="auto"/>
          <w:highlight w:val="none"/>
        </w:rPr>
      </w:pPr>
      <w:bookmarkStart w:id="63" w:name="_Toc5085"/>
      <w:r>
        <w:rPr>
          <w:rFonts w:hint="eastAsia"/>
          <w:color w:val="auto"/>
          <w:highlight w:val="none"/>
        </w:rPr>
        <w:t>20、投标截止期</w:t>
      </w:r>
      <w:bookmarkEnd w:id="63"/>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20.1 投标人应按照前附表规定的日期、时间和地点递交投标文件。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采购人将拒绝并原封退回在前附表中规定的截止时间后收到的投标文件。</w:t>
      </w:r>
    </w:p>
    <w:p>
      <w:pPr>
        <w:adjustRightInd w:val="0"/>
        <w:snapToGrid w:val="0"/>
        <w:spacing w:line="500" w:lineRule="exact"/>
        <w:ind w:firstLine="420"/>
        <w:jc w:val="left"/>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 采购人可以按本须知第12条的规定，通过修改招标文件适当延长投标截止时间。如投标截止时间有延长的，采购人和投标人受投标截止期制约的所有权利和义务均应延长至新的截止期。</w:t>
      </w:r>
    </w:p>
    <w:p>
      <w:pPr>
        <w:pStyle w:val="6"/>
        <w:rPr>
          <w:color w:val="auto"/>
          <w:highlight w:val="none"/>
        </w:rPr>
      </w:pPr>
      <w:bookmarkStart w:id="64" w:name="_Toc11084"/>
      <w:r>
        <w:rPr>
          <w:rFonts w:hint="eastAsia"/>
          <w:color w:val="auto"/>
          <w:highlight w:val="none"/>
        </w:rPr>
        <w:t>21、投标无效的情形</w:t>
      </w:r>
      <w:bookmarkEnd w:id="64"/>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实质上没有响应招标文件要求的投标将被视为无效投标。投标人不得通过修正或撤销不合要求的偏离或保留从而使其投标成为实质上响应的投标，投标人修改、补正投标文件后，不影响评标委员会对其投标文件所作的评价和评分结果。</w:t>
      </w:r>
    </w:p>
    <w:p>
      <w:pPr>
        <w:adjustRightInd w:val="0"/>
        <w:snapToGrid w:val="0"/>
        <w:spacing w:line="500" w:lineRule="exact"/>
        <w:ind w:firstLine="472" w:firstLineChars="196"/>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在评审时，如发现下列情形之一的，由评标委员会按少数服从多数原则进行认定，投标文件将被视为无效：</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 投标方未能提供合格的投标文件；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21.2未采用人民币报价或未按招标文件标明的币种或计量单位报价的；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21.3投标文件有采购人不能接受的附加条件的；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21.4有重大偏离的投标文件；</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21.5未提供或未如实提供投标货物产品的技术参数；投标文件标明的商务、技术响应或偏离与事实不符或虚假投标的；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21.6</w:t>
      </w:r>
      <w:r>
        <w:rPr>
          <w:rFonts w:hint="eastAsia" w:asciiTheme="majorEastAsia" w:hAnsiTheme="majorEastAsia" w:eastAsiaTheme="majorEastAsia" w:cstheme="majorEastAsia"/>
          <w:color w:val="auto"/>
          <w:sz w:val="24"/>
          <w:szCs w:val="24"/>
          <w:highlight w:val="none"/>
          <w:lang w:val="en-US" w:eastAsia="zh-CN"/>
        </w:rPr>
        <w:t>投标人的报价明显低于其他通过符合性审查投标人的报价，有可能影响产品质量或者不能诚信履约的</w:t>
      </w:r>
      <w:r>
        <w:rPr>
          <w:rFonts w:hint="eastAsia" w:asciiTheme="majorEastAsia" w:hAnsiTheme="majorEastAsia" w:eastAsiaTheme="majorEastAsia" w:cstheme="majorEastAsia"/>
          <w:color w:val="auto"/>
          <w:sz w:val="24"/>
          <w:szCs w:val="24"/>
          <w:highlight w:val="none"/>
        </w:rPr>
        <w:t>，投标人又不能在规定时间内作出合理说明或提供相关证明材料；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21.7 标包以赠送方式投标的、对一个标包提供两个投标方案或两个报价的；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21.8投标文件应盖公章而未盖公章或盖非公司公章、未按照本招标文件要求装订、正副本标书数量不足的、内容字迹严重模糊辨认不清的、未有效授权。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bookmarkStart w:id="65" w:name="_Toc12370"/>
      <w:bookmarkStart w:id="66" w:name="_Toc19368"/>
      <w:r>
        <w:rPr>
          <w:rFonts w:hint="eastAsia" w:asciiTheme="majorEastAsia" w:hAnsiTheme="majorEastAsia" w:eastAsiaTheme="majorEastAsia" w:cstheme="majorEastAsia"/>
          <w:color w:val="auto"/>
          <w:sz w:val="24"/>
          <w:szCs w:val="24"/>
          <w:highlight w:val="none"/>
        </w:rPr>
        <w:t>21.9 投标报价超出最高限价的；</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0</w:t>
      </w:r>
      <w:r>
        <w:rPr>
          <w:rFonts w:hint="eastAsia" w:asciiTheme="majorEastAsia" w:hAnsiTheme="majorEastAsia" w:eastAsiaTheme="majorEastAsia" w:cstheme="majorEastAsia"/>
          <w:color w:val="auto"/>
          <w:sz w:val="24"/>
          <w:szCs w:val="24"/>
          <w:highlight w:val="none"/>
        </w:rPr>
        <w:t>投标人不能在规定时间内提供原件核实或提供相关证明材料；</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不符合法律、法规和本招标文件明确规定的其他实质性要求的。</w:t>
      </w:r>
    </w:p>
    <w:p>
      <w:pPr>
        <w:pStyle w:val="5"/>
        <w:rPr>
          <w:color w:val="auto"/>
          <w:highlight w:val="none"/>
        </w:rPr>
      </w:pPr>
      <w:r>
        <w:rPr>
          <w:rFonts w:hint="eastAsia"/>
          <w:color w:val="auto"/>
          <w:highlight w:val="none"/>
        </w:rPr>
        <w:t>四、开标</w:t>
      </w:r>
      <w:bookmarkEnd w:id="65"/>
      <w:bookmarkEnd w:id="66"/>
    </w:p>
    <w:p>
      <w:pPr>
        <w:pStyle w:val="6"/>
        <w:rPr>
          <w:color w:val="auto"/>
          <w:highlight w:val="none"/>
        </w:rPr>
      </w:pPr>
      <w:bookmarkStart w:id="67" w:name="_Toc9510638"/>
      <w:bookmarkStart w:id="68" w:name="_Toc21515"/>
      <w:r>
        <w:rPr>
          <w:rFonts w:hint="eastAsia"/>
          <w:color w:val="auto"/>
          <w:highlight w:val="none"/>
        </w:rPr>
        <w:t>22、开</w:t>
      </w:r>
      <w:bookmarkEnd w:id="67"/>
      <w:r>
        <w:rPr>
          <w:rFonts w:hint="eastAsia"/>
          <w:color w:val="auto"/>
          <w:highlight w:val="none"/>
        </w:rPr>
        <w:t>标准备</w:t>
      </w:r>
      <w:bookmarkEnd w:id="68"/>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22.1 采购代理机构将在规定的时间和地点进行开标，投标人的法定代表人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或其授权代表应参加开标会并签到。</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22.2参加开标的投标人的法定代表人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或其授权代表须携带本人有效身份证明原件（身份证或公安机关出具的临时身份证明）和法定代表人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资格证明或法定代表人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授权委托书原件</w:t>
      </w:r>
      <w:r>
        <w:rPr>
          <w:rFonts w:hint="eastAsia" w:asciiTheme="majorEastAsia" w:hAnsiTheme="majorEastAsia" w:eastAsiaTheme="majorEastAsia" w:cstheme="majorEastAsia"/>
          <w:bCs/>
          <w:color w:val="auto"/>
          <w:sz w:val="24"/>
          <w:szCs w:val="24"/>
          <w:highlight w:val="none"/>
          <w:lang w:val="en-US" w:eastAsia="zh-CN"/>
        </w:rPr>
        <w:t>，</w:t>
      </w:r>
      <w:r>
        <w:rPr>
          <w:rFonts w:hint="eastAsia" w:asciiTheme="majorEastAsia" w:hAnsiTheme="majorEastAsia" w:eastAsiaTheme="majorEastAsia" w:cstheme="majorEastAsia"/>
          <w:bCs/>
          <w:color w:val="auto"/>
          <w:sz w:val="24"/>
          <w:szCs w:val="24"/>
          <w:highlight w:val="none"/>
        </w:rPr>
        <w:t>投标人代表未对开标结果签字确认或者拒绝签字确认的，不影响评标过程。</w:t>
      </w:r>
    </w:p>
    <w:p>
      <w:pPr>
        <w:pStyle w:val="6"/>
        <w:rPr>
          <w:color w:val="auto"/>
          <w:highlight w:val="none"/>
        </w:rPr>
      </w:pPr>
      <w:bookmarkStart w:id="69" w:name="_Toc26159"/>
      <w:r>
        <w:rPr>
          <w:rFonts w:hint="eastAsia"/>
          <w:color w:val="auto"/>
          <w:highlight w:val="none"/>
        </w:rPr>
        <w:t>23、开标程序：</w:t>
      </w:r>
      <w:bookmarkEnd w:id="69"/>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23.1 开标会由采购代理机构主持，主持人宣布开标会议开始；</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23.2 主持人介绍参加开标会的投标人名单；</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bookmarkStart w:id="70" w:name="_Toc14026"/>
      <w:r>
        <w:rPr>
          <w:rFonts w:hint="eastAsia" w:asciiTheme="majorEastAsia" w:hAnsiTheme="majorEastAsia" w:eastAsiaTheme="majorEastAsia" w:cstheme="majorEastAsia"/>
          <w:bCs/>
          <w:color w:val="auto"/>
          <w:sz w:val="24"/>
          <w:szCs w:val="24"/>
          <w:highlight w:val="none"/>
        </w:rPr>
        <w:t>23.3投标人法定代表人</w:t>
      </w:r>
      <w:r>
        <w:rPr>
          <w:rFonts w:hint="eastAsia" w:asciiTheme="majorEastAsia" w:hAnsiTheme="majorEastAsia" w:eastAsiaTheme="majorEastAsia" w:cstheme="majorEastAsia"/>
          <w:color w:val="auto"/>
          <w:sz w:val="24"/>
          <w:szCs w:val="24"/>
          <w:highlight w:val="none"/>
        </w:rPr>
        <w:t>（负责人、自然人）</w:t>
      </w:r>
      <w:r>
        <w:rPr>
          <w:rFonts w:hint="eastAsia" w:asciiTheme="majorEastAsia" w:hAnsiTheme="majorEastAsia" w:eastAsiaTheme="majorEastAsia" w:cstheme="majorEastAsia"/>
          <w:bCs/>
          <w:color w:val="auto"/>
          <w:sz w:val="24"/>
          <w:szCs w:val="24"/>
          <w:highlight w:val="none"/>
        </w:rPr>
        <w:t>或其授权代表人，及采购人监督代表</w:t>
      </w:r>
      <w:r>
        <w:rPr>
          <w:rFonts w:hint="eastAsia" w:asciiTheme="majorEastAsia" w:hAnsiTheme="majorEastAsia" w:eastAsiaTheme="majorEastAsia" w:cstheme="majorEastAsia"/>
          <w:bCs/>
          <w:color w:val="auto"/>
          <w:sz w:val="24"/>
          <w:szCs w:val="24"/>
          <w:highlight w:val="none"/>
          <w:lang w:eastAsia="zh-CN"/>
        </w:rPr>
        <w:t>、公证员</w:t>
      </w:r>
      <w:r>
        <w:rPr>
          <w:rFonts w:hint="eastAsia" w:asciiTheme="majorEastAsia" w:hAnsiTheme="majorEastAsia" w:eastAsiaTheme="majorEastAsia" w:cstheme="majorEastAsia"/>
          <w:bCs/>
          <w:color w:val="auto"/>
          <w:sz w:val="24"/>
          <w:szCs w:val="24"/>
          <w:highlight w:val="none"/>
          <w:lang w:val="en-US" w:eastAsia="zh-CN"/>
        </w:rPr>
        <w:t>/律师（如有）</w:t>
      </w:r>
      <w:r>
        <w:rPr>
          <w:rFonts w:hint="eastAsia" w:asciiTheme="majorEastAsia" w:hAnsiTheme="majorEastAsia" w:eastAsiaTheme="majorEastAsia" w:cstheme="majorEastAsia"/>
          <w:bCs/>
          <w:color w:val="auto"/>
          <w:sz w:val="24"/>
          <w:szCs w:val="24"/>
          <w:highlight w:val="none"/>
        </w:rPr>
        <w:t>检查投标文件密封的完整性并签字确认；</w:t>
      </w:r>
    </w:p>
    <w:p>
      <w:pPr>
        <w:adjustRightInd w:val="0"/>
        <w:snapToGrid w:val="0"/>
        <w:spacing w:line="500" w:lineRule="exact"/>
        <w:ind w:firstLine="523" w:firstLineChars="218"/>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23.4开标时，核对授权代表身份后清点投标文件的正副本及电子文件，然后按递交标书的顺序进行唱标，采购人</w:t>
      </w:r>
      <w:r>
        <w:rPr>
          <w:rFonts w:hint="eastAsia" w:asciiTheme="majorEastAsia" w:hAnsiTheme="majorEastAsia" w:eastAsiaTheme="majorEastAsia" w:cstheme="majorEastAsia"/>
          <w:bCs/>
          <w:color w:val="auto"/>
          <w:sz w:val="24"/>
          <w:szCs w:val="24"/>
          <w:highlight w:val="none"/>
          <w:lang w:eastAsia="zh-CN"/>
        </w:rPr>
        <w:t>或</w:t>
      </w:r>
      <w:r>
        <w:rPr>
          <w:rFonts w:hint="eastAsia" w:asciiTheme="majorEastAsia" w:hAnsiTheme="majorEastAsia" w:eastAsiaTheme="majorEastAsia" w:cstheme="majorEastAsia"/>
          <w:bCs/>
          <w:color w:val="auto"/>
          <w:sz w:val="24"/>
          <w:szCs w:val="24"/>
          <w:highlight w:val="none"/>
        </w:rPr>
        <w:t>采购代理机构工作人员即当众拆封，宣读</w:t>
      </w:r>
      <w:r>
        <w:rPr>
          <w:rFonts w:hint="eastAsia" w:asciiTheme="majorEastAsia" w:hAnsiTheme="majorEastAsia" w:eastAsiaTheme="majorEastAsia" w:cstheme="majorEastAsia"/>
          <w:bCs/>
          <w:color w:val="auto"/>
          <w:sz w:val="24"/>
          <w:szCs w:val="24"/>
          <w:highlight w:val="none"/>
          <w:lang w:eastAsia="zh-CN"/>
        </w:rPr>
        <w:t>《开标一览表》的内容并做记录</w:t>
      </w:r>
      <w:r>
        <w:rPr>
          <w:rFonts w:hint="eastAsia" w:asciiTheme="majorEastAsia" w:hAnsiTheme="majorEastAsia" w:eastAsiaTheme="majorEastAsia" w:cstheme="majorEastAsia"/>
          <w:bCs/>
          <w:color w:val="auto"/>
          <w:sz w:val="24"/>
          <w:szCs w:val="24"/>
          <w:highlight w:val="none"/>
        </w:rPr>
        <w:t>；</w:t>
      </w:r>
    </w:p>
    <w:p>
      <w:pPr>
        <w:pStyle w:val="195"/>
        <w:adjustRightInd w:val="0"/>
        <w:snapToGrid w:val="0"/>
        <w:spacing w:before="0" w:line="500" w:lineRule="exact"/>
        <w:ind w:firstLine="480"/>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Cs w:val="24"/>
          <w:highlight w:val="none"/>
        </w:rPr>
        <w:t>23.5开标后投标人代表当场对开标结果进行签字确认，投标人代表未在开标记录上签字的，均视为对开标结果予以默认；</w:t>
      </w:r>
    </w:p>
    <w:p>
      <w:pPr>
        <w:adjustRightInd w:val="0"/>
        <w:snapToGrid w:val="0"/>
        <w:spacing w:line="500" w:lineRule="exact"/>
        <w:ind w:firstLine="523" w:firstLineChars="218"/>
        <w:rPr>
          <w:rFonts w:hint="eastAsia" w:asciiTheme="majorEastAsia" w:hAnsiTheme="majorEastAsia" w:eastAsiaTheme="majorEastAsia" w:cstheme="majorEastAsia"/>
          <w:bCs/>
          <w:color w:val="auto"/>
          <w:szCs w:val="24"/>
          <w:highlight w:val="none"/>
        </w:rPr>
      </w:pPr>
      <w:r>
        <w:rPr>
          <w:rFonts w:hint="eastAsia" w:asciiTheme="majorEastAsia" w:hAnsiTheme="majorEastAsia" w:eastAsiaTheme="majorEastAsia" w:cstheme="majorEastAsia"/>
          <w:bCs/>
          <w:color w:val="auto"/>
          <w:sz w:val="24"/>
          <w:szCs w:val="24"/>
          <w:highlight w:val="none"/>
        </w:rPr>
        <w:t>23.6</w:t>
      </w:r>
      <w:r>
        <w:rPr>
          <w:rFonts w:hint="eastAsia" w:asciiTheme="majorEastAsia" w:hAnsiTheme="majorEastAsia" w:eastAsiaTheme="majorEastAsia" w:cstheme="majorEastAsia"/>
          <w:bCs/>
          <w:color w:val="auto"/>
          <w:sz w:val="24"/>
          <w:szCs w:val="24"/>
          <w:highlight w:val="none"/>
          <w:lang w:eastAsia="zh-CN"/>
        </w:rPr>
        <w:t>投标人代表对开标过程和开标记录有异议，以及认为采购人、采购代理机构相关工作人员</w:t>
      </w:r>
      <w:r>
        <w:rPr>
          <w:rFonts w:hint="eastAsia" w:asciiTheme="majorEastAsia" w:hAnsiTheme="majorEastAsia" w:eastAsiaTheme="majorEastAsia" w:cstheme="majorEastAsia"/>
          <w:bCs/>
          <w:color w:val="auto"/>
          <w:sz w:val="24"/>
          <w:szCs w:val="24"/>
          <w:highlight w:val="none"/>
          <w:lang w:val="en-US" w:eastAsia="zh-CN"/>
        </w:rPr>
        <w:t>有</w:t>
      </w:r>
      <w:r>
        <w:rPr>
          <w:rFonts w:hint="eastAsia" w:asciiTheme="majorEastAsia" w:hAnsiTheme="majorEastAsia" w:eastAsiaTheme="majorEastAsia" w:cstheme="majorEastAsia"/>
          <w:bCs/>
          <w:color w:val="auto"/>
          <w:sz w:val="24"/>
          <w:szCs w:val="24"/>
          <w:highlight w:val="none"/>
          <w:lang w:eastAsia="zh-CN"/>
        </w:rPr>
        <w:t>需要回避的情形的，应当场提出询问或者回避申请，采购人、采购代理机构将对投标人代表提出的询问或者回避申请及时处理</w:t>
      </w:r>
      <w:r>
        <w:rPr>
          <w:rFonts w:hint="eastAsia" w:asciiTheme="majorEastAsia" w:hAnsiTheme="majorEastAsia" w:eastAsiaTheme="majorEastAsia" w:cstheme="majorEastAsia"/>
          <w:bCs/>
          <w:color w:val="auto"/>
          <w:sz w:val="24"/>
          <w:szCs w:val="24"/>
          <w:highlight w:val="none"/>
        </w:rPr>
        <w:t>。</w:t>
      </w:r>
    </w:p>
    <w:p>
      <w:pPr>
        <w:pStyle w:val="6"/>
        <w:rPr>
          <w:color w:val="auto"/>
          <w:highlight w:val="none"/>
        </w:rPr>
      </w:pPr>
      <w:r>
        <w:rPr>
          <w:rFonts w:hint="eastAsia"/>
          <w:color w:val="auto"/>
          <w:highlight w:val="none"/>
        </w:rPr>
        <w:t>24、资格审查</w:t>
      </w:r>
      <w:bookmarkEnd w:id="70"/>
    </w:p>
    <w:p>
      <w:pPr>
        <w:adjustRightInd w:val="0"/>
        <w:snapToGrid w:val="0"/>
        <w:spacing w:line="500" w:lineRule="exact"/>
        <w:ind w:firstLine="523" w:firstLineChars="218"/>
        <w:rPr>
          <w:rFonts w:hint="eastAsia" w:asciiTheme="majorEastAsia" w:hAnsiTheme="majorEastAsia" w:eastAsiaTheme="majorEastAsia" w:cstheme="majorEastAsia"/>
          <w:bCs/>
          <w:color w:val="auto"/>
          <w:sz w:val="24"/>
          <w:szCs w:val="24"/>
          <w:highlight w:val="none"/>
        </w:rPr>
      </w:pPr>
      <w:bookmarkStart w:id="71" w:name="_Toc21778"/>
      <w:bookmarkStart w:id="72" w:name="_Toc25332"/>
      <w:r>
        <w:rPr>
          <w:rFonts w:hint="eastAsia" w:asciiTheme="majorEastAsia" w:hAnsiTheme="majorEastAsia" w:eastAsiaTheme="majorEastAsia" w:cstheme="majorEastAsia"/>
          <w:bCs/>
          <w:color w:val="auto"/>
          <w:sz w:val="24"/>
          <w:szCs w:val="24"/>
          <w:highlight w:val="none"/>
        </w:rPr>
        <w:t>公开招标采购项目开标结束后，采购人或者采购代理机构应当依法对投标人的资格进行审查。</w:t>
      </w:r>
    </w:p>
    <w:p>
      <w:pPr>
        <w:pStyle w:val="2"/>
        <w:rPr>
          <w:rFonts w:hint="eastAsia"/>
          <w:color w:val="auto"/>
          <w:highlight w:val="none"/>
        </w:rPr>
      </w:pPr>
    </w:p>
    <w:tbl>
      <w:tblPr>
        <w:tblStyle w:val="38"/>
        <w:tblpPr w:leftFromText="180" w:rightFromText="180" w:vertAnchor="text" w:horzAnchor="page" w:tblpX="1698" w:tblpY="208"/>
        <w:tblOverlap w:val="never"/>
        <w:tblW w:w="8696"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889"/>
        <w:gridCol w:w="7807"/>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06" w:hRule="atLeast"/>
        </w:trPr>
        <w:tc>
          <w:tcPr>
            <w:tcW w:w="889"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7807" w:type="dxa"/>
            <w:tcBorders>
              <w:top w:val="single" w:color="auto" w:sz="8" w:space="0"/>
              <w:left w:val="nil"/>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247" w:hRule="atLeast"/>
        </w:trPr>
        <w:tc>
          <w:tcPr>
            <w:tcW w:w="889" w:type="dxa"/>
            <w:tcBorders>
              <w:top w:val="nil"/>
              <w:left w:val="single" w:color="auto" w:sz="8" w:space="0"/>
              <w:bottom w:val="single" w:color="auto" w:sz="4"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p>
        </w:tc>
        <w:tc>
          <w:tcPr>
            <w:tcW w:w="7807" w:type="dxa"/>
            <w:tcBorders>
              <w:top w:val="nil"/>
              <w:left w:val="nil"/>
              <w:bottom w:val="single" w:color="auto" w:sz="4" w:space="0"/>
              <w:right w:val="single" w:color="auto" w:sz="8" w:space="0"/>
            </w:tcBorders>
            <w:tcMar>
              <w:left w:w="108" w:type="dxa"/>
              <w:right w:w="108" w:type="dxa"/>
            </w:tcMar>
            <w:vAlign w:val="center"/>
          </w:tcPr>
          <w:p>
            <w:pPr>
              <w:snapToGrid w:val="0"/>
              <w:spacing w:line="400" w:lineRule="exact"/>
              <w:rPr>
                <w:rFonts w:ascii="宋体" w:hAnsi="宋体" w:cs="宋体"/>
                <w:color w:val="auto"/>
                <w:sz w:val="24"/>
                <w:szCs w:val="24"/>
                <w:highlight w:val="none"/>
              </w:rPr>
            </w:pPr>
            <w:r>
              <w:rPr>
                <w:rFonts w:hint="eastAsia" w:asciiTheme="majorEastAsia" w:hAnsiTheme="majorEastAsia" w:eastAsiaTheme="majorEastAsia" w:cstheme="majorEastAsia"/>
                <w:color w:val="auto"/>
                <w:sz w:val="24"/>
                <w:szCs w:val="24"/>
                <w:highlight w:val="none"/>
              </w:rPr>
              <w:t>在中华人民共和国境内注册或登记，具有有效的营业执照（事业单位法人证书、民办非企业单位登记证书、社会团体法人登记证书、基金会法人登记证书、自然人身份证）；</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88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p>
        </w:tc>
        <w:tc>
          <w:tcPr>
            <w:tcW w:w="78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符合</w:t>
            </w:r>
            <w:r>
              <w:rPr>
                <w:rFonts w:hint="eastAsia" w:ascii="宋体" w:hAnsi="宋体" w:cs="宋体"/>
                <w:color w:val="auto"/>
                <w:sz w:val="24"/>
                <w:szCs w:val="24"/>
                <w:highlight w:val="none"/>
                <w:lang w:val="zh-CN"/>
              </w:rPr>
              <w:t>《中华人民共和国政府采购法》第二十二条规定；</w:t>
            </w:r>
          </w:p>
          <w:p>
            <w:pPr>
              <w:snapToGrid w:val="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1.1  具有独立承担民事责任的能力；</w:t>
            </w:r>
          </w:p>
          <w:p>
            <w:pPr>
              <w:snapToGrid w:val="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1.2  具有良好的商业信誉和健全的财务会计制度：应提供本单位 2022 年度或 2023 年度经会计师事务所出具的审计报告复印件（报告中须包 括资产负债表、利润表、现金流量表及财务报表附注）。如供应商注册</w:t>
            </w:r>
          </w:p>
          <w:p>
            <w:pPr>
              <w:snapToGrid w:val="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不满 1 年则提供具有良好的商业信誉和健全的财务会计制度承诺函；</w:t>
            </w:r>
          </w:p>
          <w:p>
            <w:pPr>
              <w:snapToGrid w:val="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1.3  具有履行合同所必需的设备和专业技术能力：须附相关证明材料或声明；</w:t>
            </w:r>
          </w:p>
          <w:p>
            <w:pPr>
              <w:snapToGrid w:val="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1.4  有依法缴纳税收和社会保障资金的良好记录：缴纳税收的证明材 料，指供应商缴纳增值税和企业所得税两种缴纳凭据；本项目开标前 6 个月内（至少提供 1 个月）缴纳税收的凭据（完税证、缴款书、印花税 票、银行代扣（代缴）转账凭证等均可）；供应商依法缴纳社会保障资金的证明材料：本项目开标前 6 个月内（至少提供 1 个月）缴纳社会保险的凭据（专用收据或社会保险交纳清单）；供应商为其他组织或自然人的，也需要按此项规定提供缴纳税收的凭据和交纳社会保险的凭据。如供应商的社会保险为委托第三方代缴，还需同时提供供应商与第三方服务机构签署的服务合同（合同中应明确写明第三方为供应商代缴其社会保险）；</w:t>
            </w:r>
          </w:p>
          <w:p>
            <w:pPr>
              <w:snapToGrid w:val="0"/>
              <w:spacing w:line="4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1.5  参加政府采购活动前三年内，在经营活动中没有重大违法记录：提供前三年内在经营活动中没有重大违法记录的书面声明；</w:t>
            </w:r>
          </w:p>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lang w:val="zh-CN"/>
              </w:rPr>
              <w:t>1.6  法律、行政法规规定的其他条件。</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88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w:t>
            </w:r>
          </w:p>
        </w:tc>
        <w:tc>
          <w:tcPr>
            <w:tcW w:w="78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提供</w:t>
            </w:r>
            <w:r>
              <w:rPr>
                <w:rFonts w:hint="eastAsia" w:ascii="宋体" w:hAnsi="宋体" w:cs="宋体"/>
                <w:color w:val="auto"/>
                <w:sz w:val="24"/>
                <w:szCs w:val="24"/>
                <w:highlight w:val="none"/>
                <w:lang w:val="zh-CN" w:eastAsia="zh-CN"/>
              </w:rPr>
              <w:t>《中小企业声明函》</w:t>
            </w:r>
            <w:r>
              <w:rPr>
                <w:rFonts w:hint="eastAsia" w:ascii="宋体" w:hAnsi="宋体" w:cs="宋体"/>
                <w:color w:val="auto"/>
                <w:sz w:val="24"/>
                <w:szCs w:val="24"/>
                <w:highlight w:val="none"/>
                <w:lang w:val="en-US" w:eastAsia="zh-CN"/>
              </w:rPr>
              <w:t>并加盖公章。</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889" w:type="dxa"/>
            <w:tcBorders>
              <w:top w:val="single" w:color="auto" w:sz="4" w:space="0"/>
              <w:left w:val="single" w:color="auto" w:sz="8" w:space="0"/>
              <w:bottom w:val="single" w:color="auto" w:sz="8" w:space="0"/>
              <w:right w:val="single" w:color="auto" w:sz="4"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w:t>
            </w:r>
          </w:p>
        </w:tc>
        <w:tc>
          <w:tcPr>
            <w:tcW w:w="78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rPr>
                <w:rFonts w:hint="eastAsia" w:ascii="宋体" w:hAnsi="宋体" w:eastAsia="宋体" w:cs="宋体"/>
                <w:color w:val="auto"/>
                <w:kern w:val="2"/>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与采购人存在利害关系可能影响招标公正性的法人、其他组织或者个人，不得参加同一标段投标或者未划分标段的同一招标不得参加投标；（提供声明函）</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64" w:hRule="atLeast"/>
        </w:trPr>
        <w:tc>
          <w:tcPr>
            <w:tcW w:w="889" w:type="dxa"/>
            <w:tcBorders>
              <w:top w:val="nil"/>
              <w:left w:val="single" w:color="auto" w:sz="8" w:space="0"/>
              <w:bottom w:val="single" w:color="auto" w:sz="4" w:space="0"/>
              <w:right w:val="single" w:color="auto" w:sz="8"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5</w:t>
            </w:r>
          </w:p>
        </w:tc>
        <w:tc>
          <w:tcPr>
            <w:tcW w:w="7807" w:type="dxa"/>
            <w:tcBorders>
              <w:top w:val="single" w:color="auto" w:sz="4" w:space="0"/>
              <w:left w:val="nil"/>
              <w:bottom w:val="single" w:color="auto" w:sz="4" w:space="0"/>
              <w:right w:val="single" w:color="auto" w:sz="8" w:space="0"/>
            </w:tcBorders>
            <w:tcMar>
              <w:left w:w="108" w:type="dxa"/>
              <w:right w:w="108" w:type="dxa"/>
            </w:tcMar>
            <w:vAlign w:val="center"/>
          </w:tcPr>
          <w:p>
            <w:pPr>
              <w:snapToGrid w:val="0"/>
              <w:spacing w:line="400" w:lineRule="exact"/>
              <w:rPr>
                <w:rFonts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投标单位负责人为同一人或者存在直接控股、管理关系的不同投标人不得参加同一合同项下的采购活动。（提供声明函）</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36" w:hRule="atLeast"/>
        </w:trPr>
        <w:tc>
          <w:tcPr>
            <w:tcW w:w="889"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6</w:t>
            </w:r>
          </w:p>
        </w:tc>
        <w:tc>
          <w:tcPr>
            <w:tcW w:w="7807"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snapToGrid w:val="0"/>
              <w:spacing w:line="400" w:lineRule="exact"/>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投标单位未被列入失信被执行人、重大税收违法案件当事人名单、政府采购严重违法失信行为记录名单。</w:t>
            </w:r>
          </w:p>
          <w:p>
            <w:pPr>
              <w:snapToGrid w:val="0"/>
              <w:spacing w:line="400" w:lineRule="exact"/>
              <w:rPr>
                <w:rFonts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注：开标当天采购代理机构将通过“信用中国”网站（www.creditchina.gov.cn）和中国政府采购网（www.ccgp.gov.cn）对投标人的信用信息进行查询，查询截止时间点即投标截止时间。</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889" w:type="dxa"/>
            <w:tcBorders>
              <w:top w:val="single" w:color="auto" w:sz="4" w:space="0"/>
              <w:left w:val="single" w:color="auto" w:sz="8" w:space="0"/>
              <w:bottom w:val="single" w:color="auto" w:sz="4" w:space="0"/>
              <w:right w:val="single" w:color="auto" w:sz="8" w:space="0"/>
            </w:tcBorders>
            <w:tcMar>
              <w:left w:w="108" w:type="dxa"/>
              <w:right w:w="108" w:type="dxa"/>
            </w:tcMar>
            <w:vAlign w:val="center"/>
          </w:tcPr>
          <w:p>
            <w:pPr>
              <w:snapToGrid w:val="0"/>
              <w:spacing w:line="400" w:lineRule="exact"/>
              <w:jc w:val="center"/>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7</w:t>
            </w:r>
          </w:p>
        </w:tc>
        <w:tc>
          <w:tcPr>
            <w:tcW w:w="7807" w:type="dxa"/>
            <w:tcBorders>
              <w:top w:val="single" w:color="auto" w:sz="4" w:space="0"/>
              <w:left w:val="nil"/>
              <w:bottom w:val="single" w:color="auto" w:sz="4" w:space="0"/>
              <w:right w:val="single" w:color="auto" w:sz="8" w:space="0"/>
            </w:tcBorders>
            <w:tcMar>
              <w:left w:w="108" w:type="dxa"/>
              <w:right w:w="108" w:type="dxa"/>
            </w:tcMar>
            <w:vAlign w:val="center"/>
          </w:tcPr>
          <w:p>
            <w:pPr>
              <w:snapToGrid w:val="0"/>
              <w:spacing w:line="400" w:lineRule="exact"/>
              <w:rPr>
                <w:rFonts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rPr>
              <w:t>按招标文件要求缴纳了投标保证金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（提供缴纳凭证）</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490" w:hRule="atLeast"/>
        </w:trPr>
        <w:tc>
          <w:tcPr>
            <w:tcW w:w="8696" w:type="dxa"/>
            <w:gridSpan w:val="2"/>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adjustRightInd w:val="0"/>
              <w:snapToGrid w:val="0"/>
              <w:spacing w:line="400" w:lineRule="exact"/>
              <w:ind w:firstLine="33" w:firstLineChars="14"/>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备注：</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如果资格评审中有一项不满足审查标准的，将认定该投标人不通过资格审查，不得进入下一阶段评审，并且不允许供应商通过修改或撤销其不符合要求的差异或保留，使其成为实质性响应。</w:t>
            </w:r>
          </w:p>
          <w:p>
            <w:pPr>
              <w:adjustRightInd w:val="0"/>
              <w:snapToGrid w:val="0"/>
              <w:spacing w:line="400" w:lineRule="exact"/>
              <w:ind w:firstLine="751" w:firstLineChars="313"/>
              <w:rPr>
                <w:rFonts w:hint="default"/>
                <w:color w:val="auto"/>
                <w:highlight w:val="none"/>
                <w:lang w:val="en-US"/>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合格投标人不足3家的，不得评标。</w:t>
            </w:r>
          </w:p>
        </w:tc>
      </w:tr>
    </w:tbl>
    <w:p>
      <w:pPr>
        <w:pStyle w:val="2"/>
        <w:rPr>
          <w:rFonts w:hint="eastAsia"/>
          <w:color w:val="auto"/>
          <w:highlight w:val="none"/>
        </w:rPr>
      </w:pPr>
    </w:p>
    <w:p>
      <w:pPr>
        <w:pStyle w:val="5"/>
        <w:rPr>
          <w:color w:val="auto"/>
          <w:highlight w:val="none"/>
        </w:rPr>
      </w:pPr>
      <w:r>
        <w:rPr>
          <w:rFonts w:hint="eastAsia"/>
          <w:color w:val="auto"/>
          <w:highlight w:val="none"/>
        </w:rPr>
        <w:t>五、评标</w:t>
      </w:r>
      <w:bookmarkEnd w:id="71"/>
      <w:bookmarkEnd w:id="72"/>
    </w:p>
    <w:p>
      <w:pPr>
        <w:pStyle w:val="6"/>
        <w:rPr>
          <w:color w:val="auto"/>
          <w:highlight w:val="none"/>
        </w:rPr>
      </w:pPr>
      <w:bookmarkStart w:id="73" w:name="_Toc9510639"/>
      <w:bookmarkStart w:id="74" w:name="_Toc6750"/>
      <w:r>
        <w:rPr>
          <w:rFonts w:hint="eastAsia"/>
          <w:color w:val="auto"/>
          <w:highlight w:val="none"/>
        </w:rPr>
        <w:t>25、组</w:t>
      </w:r>
      <w:bookmarkEnd w:id="73"/>
      <w:r>
        <w:rPr>
          <w:rFonts w:hint="eastAsia"/>
          <w:color w:val="auto"/>
          <w:highlight w:val="none"/>
        </w:rPr>
        <w:t>建评标委员会</w:t>
      </w:r>
      <w:bookmarkEnd w:id="74"/>
    </w:p>
    <w:p>
      <w:pPr>
        <w:adjustRightInd w:val="0"/>
        <w:snapToGrid w:val="0"/>
        <w:spacing w:line="360" w:lineRule="auto"/>
        <w:ind w:firstLine="480" w:firstLineChars="200"/>
        <w:rPr>
          <w:rFonts w:ascii="宋体" w:hAnsi="宋体" w:cs="宋体"/>
          <w:color w:val="auto"/>
          <w:sz w:val="24"/>
          <w:szCs w:val="24"/>
          <w:highlight w:val="none"/>
        </w:rPr>
      </w:pPr>
      <w:bookmarkStart w:id="75" w:name="_Toc14527"/>
      <w:r>
        <w:rPr>
          <w:rFonts w:hint="eastAsia" w:asciiTheme="majorEastAsia" w:hAnsiTheme="majorEastAsia" w:eastAsiaTheme="majorEastAsia" w:cstheme="majorEastAsia"/>
          <w:color w:val="auto"/>
          <w:sz w:val="24"/>
          <w:szCs w:val="24"/>
          <w:highlight w:val="none"/>
        </w:rPr>
        <w:t>按《中华人民共和国政府采购法》相关要求，</w:t>
      </w:r>
      <w:r>
        <w:rPr>
          <w:rFonts w:hint="eastAsia" w:asciiTheme="majorEastAsia" w:hAnsiTheme="majorEastAsia" w:eastAsiaTheme="majorEastAsia" w:cstheme="majorEastAsia"/>
          <w:color w:val="auto"/>
          <w:sz w:val="24"/>
          <w:szCs w:val="24"/>
          <w:highlight w:val="none"/>
          <w:lang w:eastAsia="zh-CN"/>
        </w:rPr>
        <w:t>本项目</w:t>
      </w:r>
      <w:r>
        <w:rPr>
          <w:rFonts w:hint="eastAsia" w:asciiTheme="majorEastAsia" w:hAnsiTheme="majorEastAsia" w:eastAsiaTheme="majorEastAsia" w:cstheme="majorEastAsia"/>
          <w:color w:val="auto"/>
          <w:sz w:val="24"/>
          <w:szCs w:val="24"/>
          <w:highlight w:val="none"/>
        </w:rPr>
        <w:t>评标委员会由评标专家库随机抽取</w:t>
      </w:r>
      <w:r>
        <w:rPr>
          <w:rFonts w:hint="eastAsia" w:asciiTheme="majorEastAsia" w:hAnsiTheme="majorEastAsia" w:eastAsiaTheme="majorEastAsia" w:cstheme="majorEastAsia"/>
          <w:color w:val="auto"/>
          <w:sz w:val="24"/>
          <w:szCs w:val="24"/>
          <w:highlight w:val="none"/>
          <w:lang w:eastAsia="zh-CN"/>
        </w:rPr>
        <w:t>的</w:t>
      </w:r>
      <w:r>
        <w:rPr>
          <w:rFonts w:hint="eastAsia" w:asciiTheme="majorEastAsia" w:hAnsiTheme="majorEastAsia" w:eastAsiaTheme="majorEastAsia" w:cstheme="majorEastAsia"/>
          <w:color w:val="auto"/>
          <w:sz w:val="24"/>
          <w:szCs w:val="24"/>
          <w:highlight w:val="none"/>
          <w:lang w:val="en-US" w:eastAsia="zh-CN"/>
        </w:rPr>
        <w:t>5名评审</w:t>
      </w:r>
      <w:r>
        <w:rPr>
          <w:rFonts w:hint="eastAsia" w:asciiTheme="majorEastAsia" w:hAnsiTheme="majorEastAsia" w:eastAsiaTheme="majorEastAsia" w:cstheme="majorEastAsia"/>
          <w:color w:val="auto"/>
          <w:sz w:val="24"/>
          <w:szCs w:val="24"/>
          <w:highlight w:val="none"/>
        </w:rPr>
        <w:t>专家和</w:t>
      </w:r>
      <w:r>
        <w:rPr>
          <w:rFonts w:hint="eastAsia" w:asciiTheme="majorEastAsia" w:hAnsiTheme="majorEastAsia" w:eastAsiaTheme="majorEastAsia" w:cstheme="majorEastAsia"/>
          <w:color w:val="auto"/>
          <w:sz w:val="24"/>
          <w:szCs w:val="24"/>
          <w:highlight w:val="none"/>
          <w:lang w:val="en-US" w:eastAsia="zh-CN"/>
        </w:rPr>
        <w:t>2名采购人代表</w:t>
      </w:r>
      <w:r>
        <w:rPr>
          <w:rFonts w:hint="eastAsia" w:asciiTheme="majorEastAsia" w:hAnsiTheme="majorEastAsia" w:eastAsiaTheme="majorEastAsia" w:cstheme="majorEastAsia"/>
          <w:color w:val="auto"/>
          <w:sz w:val="24"/>
          <w:szCs w:val="24"/>
          <w:highlight w:val="none"/>
        </w:rPr>
        <w:t>组成。</w:t>
      </w:r>
    </w:p>
    <w:p>
      <w:pPr>
        <w:pStyle w:val="6"/>
        <w:rPr>
          <w:rFonts w:asciiTheme="majorEastAsia" w:hAnsiTheme="majorEastAsia" w:eastAsiaTheme="majorEastAsia" w:cstheme="majorEastAsia"/>
          <w:color w:val="auto"/>
          <w:sz w:val="24"/>
          <w:szCs w:val="24"/>
          <w:highlight w:val="none"/>
        </w:rPr>
      </w:pPr>
      <w:r>
        <w:rPr>
          <w:rFonts w:hint="eastAsia"/>
          <w:color w:val="auto"/>
          <w:highlight w:val="none"/>
        </w:rPr>
        <w:t>26、评标程序</w:t>
      </w:r>
      <w:bookmarkEnd w:id="75"/>
    </w:p>
    <w:p>
      <w:pPr>
        <w:adjustRightInd w:val="0"/>
        <w:snapToGrid w:val="0"/>
        <w:spacing w:line="4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1</w:t>
      </w:r>
      <w:r>
        <w:rPr>
          <w:rFonts w:hint="eastAsia" w:asciiTheme="majorEastAsia" w:hAnsiTheme="majorEastAsia" w:eastAsiaTheme="majorEastAsia" w:cstheme="majorEastAsia"/>
          <w:b/>
          <w:bCs/>
          <w:color w:val="auto"/>
          <w:sz w:val="24"/>
          <w:szCs w:val="24"/>
          <w:highlight w:val="none"/>
        </w:rPr>
        <w:t>符合性审查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评标委员会对投标文件的完整性、合法性等进行审查。</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下列有一项未通过审查</w:t>
      </w:r>
      <w:r>
        <w:rPr>
          <w:rFonts w:hint="eastAsia" w:asciiTheme="majorEastAsia" w:hAnsiTheme="majorEastAsia" w:eastAsiaTheme="majorEastAsia" w:cstheme="majorEastAsia"/>
          <w:bCs/>
          <w:color w:val="auto"/>
          <w:sz w:val="24"/>
          <w:szCs w:val="24"/>
          <w:highlight w:val="none"/>
        </w:rPr>
        <w:t>内容</w:t>
      </w:r>
      <w:r>
        <w:rPr>
          <w:rFonts w:hint="eastAsia" w:asciiTheme="majorEastAsia" w:hAnsiTheme="majorEastAsia" w:eastAsiaTheme="majorEastAsia" w:cstheme="majorEastAsia"/>
          <w:color w:val="auto"/>
          <w:sz w:val="24"/>
          <w:szCs w:val="24"/>
          <w:highlight w:val="none"/>
        </w:rPr>
        <w:t>的，应在符合性审查时按照无效投标处理：</w:t>
      </w:r>
    </w:p>
    <w:tbl>
      <w:tblPr>
        <w:tblStyle w:val="38"/>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序号</w:t>
            </w:r>
          </w:p>
        </w:tc>
        <w:tc>
          <w:tcPr>
            <w:tcW w:w="7832" w:type="dxa"/>
            <w:vAlign w:val="center"/>
          </w:tcPr>
          <w:p>
            <w:pPr>
              <w:adjustRightInd w:val="0"/>
              <w:snapToGrid w:val="0"/>
              <w:spacing w:line="400" w:lineRule="exact"/>
              <w:jc w:val="cente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color w:val="auto"/>
                <w:sz w:val="24"/>
                <w:szCs w:val="24"/>
                <w:highlight w:val="none"/>
              </w:rPr>
              <w:t>审查</w:t>
            </w:r>
            <w:r>
              <w:rPr>
                <w:rFonts w:hint="eastAsia" w:asciiTheme="majorEastAsia" w:hAnsiTheme="majorEastAsia" w:eastAsiaTheme="majorEastAsia" w:cstheme="majorEastAsia"/>
                <w:bCs/>
                <w:color w:val="auto"/>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1</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只允许有一个报价，不接受可变动性报价、赠送及“零”报价。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2</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必须采用人民币报价。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3</w:t>
            </w:r>
          </w:p>
        </w:tc>
        <w:tc>
          <w:tcPr>
            <w:tcW w:w="7832" w:type="dxa"/>
            <w:vAlign w:val="center"/>
          </w:tcPr>
          <w:p>
            <w:pPr>
              <w:adjustRightInd w:val="0"/>
              <w:snapToGrid w:val="0"/>
              <w:spacing w:line="400" w:lineRule="exact"/>
              <w:ind w:firstLine="33" w:firstLineChars="14"/>
              <w:rPr>
                <w:highlight w:val="none"/>
              </w:rPr>
            </w:pPr>
            <w:r>
              <w:rPr>
                <w:rFonts w:hint="eastAsia" w:ascii="宋体" w:hAnsi="宋体" w:cs="宋体"/>
                <w:color w:val="auto"/>
                <w:sz w:val="24"/>
                <w:szCs w:val="24"/>
                <w:highlight w:val="none"/>
                <w:lang w:val="en-US" w:eastAsia="zh-CN"/>
              </w:rPr>
              <w:t>投标人的报价明显低于其他通过符合性审查投标人的报价，有可能影响产品质量或者不能诚信履约的</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若有时，投标人能在规定时间内作出合理说明或提供相关证明材料。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4</w:t>
            </w:r>
          </w:p>
        </w:tc>
        <w:tc>
          <w:tcPr>
            <w:tcW w:w="7832" w:type="dxa"/>
            <w:vAlign w:val="center"/>
          </w:tcPr>
          <w:p>
            <w:pPr>
              <w:adjustRightInd w:val="0"/>
              <w:snapToGrid w:val="0"/>
              <w:spacing w:line="400" w:lineRule="exact"/>
              <w:ind w:firstLine="33" w:firstLineChars="14"/>
              <w:rPr>
                <w:rFonts w:ascii="宋体" w:hAnsi="宋体" w:cs="宋体"/>
                <w:color w:val="auto"/>
                <w:sz w:val="24"/>
                <w:szCs w:val="24"/>
                <w:highlight w:val="none"/>
              </w:rPr>
            </w:pPr>
            <w:r>
              <w:rPr>
                <w:rFonts w:hint="eastAsia" w:ascii="宋体" w:hAnsi="宋体" w:cs="宋体"/>
                <w:color w:val="auto"/>
                <w:sz w:val="24"/>
                <w:szCs w:val="24"/>
                <w:highlight w:val="none"/>
              </w:rPr>
              <w:t>投标文件必须按招标文件规定格式完整提供，并要盖投标人章、法定代表人或被授权人签字或盖章。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5</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法定代表人（负责人、自然人）授权委托书</w:t>
            </w:r>
            <w:r>
              <w:rPr>
                <w:rFonts w:hint="eastAsia" w:asciiTheme="majorEastAsia" w:hAnsiTheme="majorEastAsia" w:eastAsiaTheme="majorEastAsia" w:cstheme="majorEastAsia"/>
                <w:color w:val="auto"/>
                <w:sz w:val="24"/>
                <w:szCs w:val="24"/>
                <w:highlight w:val="none"/>
                <w:lang w:val="en-US" w:eastAsia="zh-CN"/>
              </w:rPr>
              <w:t>及</w:t>
            </w:r>
            <w:r>
              <w:rPr>
                <w:rFonts w:hint="eastAsia" w:asciiTheme="majorEastAsia" w:hAnsiTheme="majorEastAsia" w:eastAsiaTheme="majorEastAsia" w:cstheme="majorEastAsia"/>
                <w:color w:val="auto"/>
                <w:sz w:val="24"/>
                <w:szCs w:val="24"/>
                <w:highlight w:val="none"/>
              </w:rPr>
              <w:t>必须按招标文件规定格式完整提供，并要盖投标人章、法定代表人（负责人、自然人）签字或盖章，被授权人签字或盖章。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6</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投标文件必须注明“正本”或“副本”字样。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7</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投标报价没有超过最高限价。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eastAsia" w:asciiTheme="majorEastAsia" w:hAnsiTheme="majorEastAsia" w:eastAsiaTheme="majorEastAsia" w:cstheme="majorEastAsia"/>
                <w:bCs/>
                <w:color w:val="auto"/>
                <w:sz w:val="24"/>
                <w:szCs w:val="24"/>
                <w:highlight w:val="none"/>
                <w:lang w:eastAsia="zh-CN"/>
              </w:rPr>
            </w:pPr>
            <w:r>
              <w:rPr>
                <w:rFonts w:hint="eastAsia" w:asciiTheme="majorEastAsia" w:hAnsiTheme="majorEastAsia" w:eastAsiaTheme="majorEastAsia" w:cstheme="majorEastAsia"/>
                <w:bCs/>
                <w:color w:val="auto"/>
                <w:sz w:val="24"/>
                <w:szCs w:val="24"/>
                <w:highlight w:val="none"/>
                <w:lang w:val="en-US" w:eastAsia="zh-CN"/>
              </w:rPr>
              <w:t>8</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9</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投标文件与招标文件没有重大偏离的。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hint="default" w:asciiTheme="majorEastAsia" w:hAnsiTheme="majorEastAsia" w:eastAsiaTheme="majorEastAsia" w:cstheme="majorEastAsia"/>
                <w:bCs/>
                <w:color w:val="auto"/>
                <w:sz w:val="24"/>
                <w:szCs w:val="24"/>
                <w:highlight w:val="none"/>
                <w:lang w:val="en-US" w:eastAsia="zh-CN"/>
              </w:rPr>
            </w:pPr>
            <w:r>
              <w:rPr>
                <w:rFonts w:hint="eastAsia" w:asciiTheme="majorEastAsia" w:hAnsiTheme="majorEastAsia" w:eastAsiaTheme="majorEastAsia" w:cstheme="majorEastAsia"/>
                <w:bCs/>
                <w:color w:val="auto"/>
                <w:sz w:val="24"/>
                <w:szCs w:val="24"/>
                <w:highlight w:val="none"/>
                <w:lang w:val="en-US" w:eastAsia="zh-CN"/>
              </w:rPr>
              <w:t>10</w:t>
            </w:r>
          </w:p>
        </w:tc>
        <w:tc>
          <w:tcPr>
            <w:tcW w:w="7832" w:type="dxa"/>
            <w:vAlign w:val="center"/>
          </w:tcPr>
          <w:p>
            <w:pPr>
              <w:adjustRightInd w:val="0"/>
              <w:snapToGrid w:val="0"/>
              <w:spacing w:line="400" w:lineRule="exact"/>
              <w:ind w:firstLine="33" w:firstLineChars="14"/>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不存在其他无效情形的，如不符合法律、法规和招标文件规定的。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pPr>
              <w:adjustRightInd w:val="0"/>
              <w:snapToGrid w:val="0"/>
              <w:spacing w:line="400" w:lineRule="exact"/>
              <w:ind w:firstLine="33" w:firstLineChars="14"/>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lang w:eastAsia="zh-CN"/>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pPr>
        <w:pStyle w:val="23"/>
        <w:rPr>
          <w:color w:val="auto"/>
          <w:highlight w:val="none"/>
        </w:rPr>
      </w:pPr>
    </w:p>
    <w:p>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w:t>
      </w:r>
      <w:r>
        <w:rPr>
          <w:rFonts w:hint="eastAsia" w:asciiTheme="majorEastAsia" w:hAnsiTheme="majorEastAsia" w:eastAsiaTheme="majorEastAsia" w:cstheme="majorEastAsia"/>
          <w:b/>
          <w:bCs/>
          <w:color w:val="auto"/>
          <w:sz w:val="24"/>
          <w:szCs w:val="24"/>
          <w:highlight w:val="none"/>
          <w:lang w:val="en-US" w:eastAsia="zh-CN"/>
        </w:rPr>
        <w:t>2</w:t>
      </w:r>
      <w:r>
        <w:rPr>
          <w:rFonts w:hint="eastAsia" w:asciiTheme="majorEastAsia" w:hAnsiTheme="majorEastAsia" w:eastAsiaTheme="majorEastAsia" w:cstheme="majorEastAsia"/>
          <w:b/>
          <w:bCs/>
          <w:color w:val="auto"/>
          <w:sz w:val="24"/>
          <w:szCs w:val="24"/>
          <w:highlight w:val="none"/>
        </w:rPr>
        <w:t xml:space="preserve"> 实质审查与比较</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.1评标委员会审查投标文件的实质性内容是否符合招标文件的实质性要求。</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.2评标委员会将根据投标人的投标文件进行审查、核对,如有疑问,将对投标人进行询标,投标人要向评标委员会澄清有关问题,并最终以书面形式进行答复。</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.3各投标人的技术得分为所有评委的有效评分的算术平均数，由指定专人进行计算复核。</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.4采购代理机构工作人员协助评标委员会根据本项目的评分标准计算各投标人的商务报价得分。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w:t>
      </w: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.5评标委员会完成评标后,评委对各部分得分汇总,计算出本项目最终得分等。评标委员会按评标原则推荐中标候选人，同时起草评标报告。</w:t>
      </w:r>
    </w:p>
    <w:p>
      <w:pPr>
        <w:pStyle w:val="6"/>
        <w:rPr>
          <w:color w:val="auto"/>
          <w:highlight w:val="none"/>
        </w:rPr>
      </w:pPr>
      <w:bookmarkStart w:id="76" w:name="_Toc26304"/>
      <w:r>
        <w:rPr>
          <w:rFonts w:hint="eastAsia"/>
          <w:color w:val="auto"/>
          <w:highlight w:val="none"/>
        </w:rPr>
        <w:t>27、澄清问题的形式</w:t>
      </w:r>
      <w:bookmarkEnd w:id="76"/>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pStyle w:val="6"/>
        <w:rPr>
          <w:color w:val="auto"/>
          <w:highlight w:val="none"/>
        </w:rPr>
      </w:pPr>
      <w:bookmarkStart w:id="77" w:name="_Toc1409"/>
      <w:r>
        <w:rPr>
          <w:rFonts w:hint="eastAsia"/>
          <w:color w:val="auto"/>
          <w:highlight w:val="none"/>
        </w:rPr>
        <w:t>28、错误修正</w:t>
      </w:r>
      <w:bookmarkEnd w:id="77"/>
    </w:p>
    <w:p>
      <w:pPr>
        <w:adjustRightInd w:val="0"/>
        <w:snapToGrid w:val="0"/>
        <w:spacing w:line="500" w:lineRule="exact"/>
        <w:ind w:left="719" w:leftChars="228" w:hanging="240" w:hangingChars="1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投标文件如果出现计算或表达上的错误，修正错误的原则如下：</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28.1 开标一览表总价与投标报价明细表汇总数不一致的，</w:t>
      </w:r>
      <w:r>
        <w:rPr>
          <w:rFonts w:hint="eastAsia" w:asciiTheme="majorEastAsia" w:hAnsiTheme="majorEastAsia" w:eastAsiaTheme="majorEastAsia" w:cstheme="majorEastAsia"/>
          <w:color w:val="auto"/>
          <w:kern w:val="0"/>
          <w:sz w:val="24"/>
          <w:szCs w:val="24"/>
          <w:highlight w:val="none"/>
        </w:rPr>
        <w:t>以开标一览表为准；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 投标文件的大写金额和小写金额不一致的，以大写金额为准；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28.3 总价金额与按单价汇总金额不一致的，以单价金额计算结果为准；</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28.4 对不同文字文本投标文件的解释发生异议的，以中文文本为准。</w:t>
      </w:r>
    </w:p>
    <w:p>
      <w:pPr>
        <w:adjustRightInd w:val="0"/>
        <w:snapToGrid w:val="0"/>
        <w:spacing w:line="500" w:lineRule="exact"/>
        <w:ind w:firstLine="482" w:firstLineChars="200"/>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按上述修正错误的原则及方法调整或修正投标文件的投标报价，投标人同意并签字确认后，调整后的投标报价对投标人具有约束作用。如果投标人不接受修正后的报价，则其投标将作为无效投标处理。</w:t>
      </w:r>
    </w:p>
    <w:p>
      <w:pPr>
        <w:pStyle w:val="6"/>
        <w:rPr>
          <w:color w:val="auto"/>
          <w:highlight w:val="none"/>
        </w:rPr>
      </w:pPr>
      <w:bookmarkStart w:id="78" w:name="_Toc8797"/>
      <w:r>
        <w:rPr>
          <w:rFonts w:hint="eastAsia"/>
          <w:color w:val="auto"/>
          <w:highlight w:val="none"/>
        </w:rPr>
        <w:t>29、评标原则和评标办法</w:t>
      </w:r>
      <w:bookmarkEnd w:id="78"/>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29.2 评标办法。本项目评标办法是</w:t>
      </w:r>
      <w:r>
        <w:rPr>
          <w:rFonts w:hint="eastAsia" w:asciiTheme="majorEastAsia" w:hAnsiTheme="majorEastAsia" w:eastAsiaTheme="majorEastAsia" w:cstheme="majorEastAsia"/>
          <w:b/>
          <w:color w:val="auto"/>
          <w:sz w:val="24"/>
          <w:szCs w:val="24"/>
          <w:highlight w:val="none"/>
          <w:u w:val="single"/>
        </w:rPr>
        <w:t xml:space="preserve"> 综合评分法 </w:t>
      </w:r>
      <w:r>
        <w:rPr>
          <w:rFonts w:hint="eastAsia" w:asciiTheme="majorEastAsia" w:hAnsiTheme="majorEastAsia" w:eastAsiaTheme="majorEastAsia" w:cstheme="majorEastAsia"/>
          <w:color w:val="auto"/>
          <w:sz w:val="24"/>
          <w:szCs w:val="24"/>
          <w:highlight w:val="none"/>
        </w:rPr>
        <w:t>，具体评标内容及评分标准等详见《第三章 评分办法及评分标准》。</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29.3废标</w:t>
      </w:r>
    </w:p>
    <w:p>
      <w:pPr>
        <w:pStyle w:val="19"/>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在采购中，出现下列情形之一的，本项目或标包应予废标：</w:t>
      </w:r>
    </w:p>
    <w:p>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(1）出现影响采购公正的违法、违规行为的；</w:t>
      </w:r>
    </w:p>
    <w:p>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(2）有效投标单位不足三家的；</w:t>
      </w:r>
    </w:p>
    <w:p>
      <w:pPr>
        <w:pStyle w:val="19"/>
        <w:adjustRightInd w:val="0"/>
        <w:snapToGrid w:val="0"/>
        <w:spacing w:line="500" w:lineRule="exact"/>
        <w:ind w:firstLine="420" w:firstLineChars="175"/>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(3）因重大变故，采购任务取消的。</w:t>
      </w:r>
    </w:p>
    <w:p>
      <w:pPr>
        <w:pStyle w:val="5"/>
        <w:rPr>
          <w:color w:val="auto"/>
          <w:highlight w:val="none"/>
        </w:rPr>
      </w:pPr>
      <w:bookmarkStart w:id="79" w:name="_Toc17951"/>
      <w:bookmarkStart w:id="80" w:name="_Toc5562"/>
      <w:r>
        <w:rPr>
          <w:rFonts w:hint="eastAsia"/>
          <w:color w:val="auto"/>
          <w:highlight w:val="none"/>
        </w:rPr>
        <w:t>六、定标及</w:t>
      </w:r>
      <w:bookmarkStart w:id="81" w:name="_Toc9510640"/>
      <w:r>
        <w:rPr>
          <w:rFonts w:hint="eastAsia"/>
          <w:color w:val="auto"/>
          <w:highlight w:val="none"/>
        </w:rPr>
        <w:t>合同授予</w:t>
      </w:r>
      <w:bookmarkEnd w:id="79"/>
      <w:bookmarkEnd w:id="80"/>
    </w:p>
    <w:p>
      <w:pPr>
        <w:pStyle w:val="6"/>
        <w:rPr>
          <w:color w:val="auto"/>
          <w:highlight w:val="none"/>
        </w:rPr>
      </w:pPr>
      <w:bookmarkStart w:id="82" w:name="_Toc31428"/>
      <w:r>
        <w:rPr>
          <w:rFonts w:hint="eastAsia"/>
          <w:color w:val="auto"/>
          <w:highlight w:val="none"/>
        </w:rPr>
        <w:t>30、确</w:t>
      </w:r>
      <w:bookmarkEnd w:id="81"/>
      <w:r>
        <w:rPr>
          <w:rFonts w:hint="eastAsia"/>
          <w:color w:val="auto"/>
          <w:highlight w:val="none"/>
        </w:rPr>
        <w:t>定中标人</w:t>
      </w:r>
      <w:bookmarkEnd w:id="82"/>
    </w:p>
    <w:p>
      <w:pPr>
        <w:adjustRightInd w:val="0"/>
        <w:snapToGrid w:val="0"/>
        <w:spacing w:line="500" w:lineRule="exact"/>
        <w:ind w:firstLine="472" w:firstLineChars="196"/>
        <w:rPr>
          <w:rFonts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本项目由采购人确定中标人。</w:t>
      </w:r>
    </w:p>
    <w:p>
      <w:pPr>
        <w:adjustRightInd w:val="0"/>
        <w:snapToGrid w:val="0"/>
        <w:spacing w:line="500" w:lineRule="exact"/>
        <w:ind w:firstLine="480" w:firstLineChars="200"/>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30.1本项目由评标委员会推荐每个标包的中标候选人，</w:t>
      </w:r>
      <w:r>
        <w:rPr>
          <w:rFonts w:hint="eastAsia" w:cs="宋体" w:asciiTheme="minorEastAsia" w:hAnsiTheme="minorEastAsia"/>
          <w:color w:val="auto"/>
          <w:kern w:val="0"/>
          <w:sz w:val="24"/>
          <w:szCs w:val="24"/>
          <w:highlight w:val="none"/>
        </w:rPr>
        <w:t>采购代理机构应当自评审结束之日起2个工作日内将评审报告送交采购人。采购人应当自收到评审报告之日起5个工作日内在评审报告推荐的中标或者成交候选人中按顺序确定中标或者成交供应商。</w:t>
      </w:r>
    </w:p>
    <w:p>
      <w:pPr>
        <w:adjustRightInd w:val="0"/>
        <w:snapToGrid w:val="0"/>
        <w:spacing w:line="500" w:lineRule="exact"/>
        <w:ind w:firstLine="470" w:firstLineChars="196"/>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30.2</w:t>
      </w:r>
      <w:r>
        <w:rPr>
          <w:rFonts w:hint="eastAsia" w:cs="宋体" w:asciiTheme="minorEastAsia" w:hAnsiTheme="minorEastAsia"/>
          <w:color w:val="auto"/>
          <w:kern w:val="0"/>
          <w:sz w:val="24"/>
          <w:szCs w:val="24"/>
          <w:highlight w:val="none"/>
        </w:rPr>
        <w:t>采购人或者采购代理机构应当自中标、成交供应商确定之日起2个工作日内，发出中标、成交通知书，并在省级以上人民政府财政部门指定的媒体上公告中标、成交结果</w:t>
      </w:r>
      <w:r>
        <w:rPr>
          <w:rFonts w:hint="eastAsia" w:asciiTheme="majorEastAsia" w:hAnsiTheme="majorEastAsia" w:eastAsiaTheme="majorEastAsia" w:cstheme="majorEastAsia"/>
          <w:color w:val="auto"/>
          <w:sz w:val="24"/>
          <w:szCs w:val="24"/>
          <w:highlight w:val="none"/>
        </w:rPr>
        <w:t>。投标人如对评审结果有质疑的，按照《中华人民共和国政府采购法》、《中华人民共和国政府采购法实施条例》等有关程序办理。</w:t>
      </w:r>
    </w:p>
    <w:p>
      <w:pPr>
        <w:pStyle w:val="6"/>
        <w:rPr>
          <w:color w:val="auto"/>
          <w:highlight w:val="none"/>
        </w:rPr>
      </w:pPr>
      <w:bookmarkStart w:id="83" w:name="_Toc4164"/>
      <w:r>
        <w:rPr>
          <w:rFonts w:hint="eastAsia"/>
          <w:color w:val="auto"/>
          <w:highlight w:val="none"/>
        </w:rPr>
        <w:t>31、签订合同</w:t>
      </w:r>
      <w:bookmarkEnd w:id="83"/>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31.1招标文件和中标投标人的投标文件均为签订采购合同的依据。</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31.2中标投标人应当在中标通知书发出之日起30日内，与采购人签订采购合同。</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31.3采购人不得与中标投标人订立背离招标文件确定的合同文本以及采购标的、规格型号、采购金额、采购数量、技术和服务要求等实质性内容的协议。</w:t>
      </w:r>
    </w:p>
    <w:p>
      <w:pPr>
        <w:adjustRightInd w:val="0"/>
        <w:snapToGrid w:val="0"/>
        <w:spacing w:line="500" w:lineRule="exact"/>
        <w:ind w:firstLine="480" w:firstLineChars="200"/>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31.4自政府采购合同签订之日起2个工作日内，本项目政府采购合同在</w:t>
      </w:r>
      <w:r>
        <w:rPr>
          <w:rFonts w:hint="eastAsia" w:asciiTheme="majorEastAsia" w:hAnsiTheme="majorEastAsia" w:eastAsiaTheme="majorEastAsia" w:cstheme="majorEastAsia"/>
          <w:color w:val="auto"/>
          <w:sz w:val="24"/>
          <w:szCs w:val="24"/>
          <w:highlight w:val="none"/>
          <w:lang w:val="en-US" w:eastAsia="zh-CN"/>
        </w:rPr>
        <w:t>中国政府采购网（</w:t>
      </w:r>
      <w:r>
        <w:rPr>
          <w:rFonts w:ascii="宋体" w:hAnsi="宋体" w:eastAsia="宋体" w:cs="宋体"/>
          <w:sz w:val="24"/>
          <w:szCs w:val="24"/>
        </w:rPr>
        <w:fldChar w:fldCharType="begin"/>
      </w:r>
      <w:r>
        <w:rPr>
          <w:rFonts w:ascii="宋体" w:hAnsi="宋体" w:eastAsia="宋体" w:cs="宋体"/>
          <w:sz w:val="24"/>
          <w:szCs w:val="24"/>
        </w:rPr>
        <w:instrText xml:space="preserve"> HYPERLINK "https://www.ccgp.gov.cn/" </w:instrText>
      </w:r>
      <w:r>
        <w:rPr>
          <w:rFonts w:ascii="宋体" w:hAnsi="宋体" w:eastAsia="宋体" w:cs="宋体"/>
          <w:sz w:val="24"/>
          <w:szCs w:val="24"/>
        </w:rPr>
        <w:fldChar w:fldCharType="separate"/>
      </w:r>
      <w:r>
        <w:rPr>
          <w:rStyle w:val="49"/>
          <w:rFonts w:hint="eastAsia" w:ascii="宋体" w:hAnsi="宋体" w:eastAsia="宋体" w:cs="宋体"/>
          <w:sz w:val="24"/>
          <w:szCs w:val="24"/>
          <w:lang w:val="en-US" w:eastAsia="zh-CN"/>
        </w:rPr>
        <w:t>www.</w:t>
      </w:r>
      <w:r>
        <w:rPr>
          <w:rStyle w:val="49"/>
          <w:rFonts w:ascii="宋体" w:hAnsi="宋体" w:eastAsia="宋体" w:cs="宋体"/>
          <w:sz w:val="24"/>
          <w:szCs w:val="24"/>
        </w:rPr>
        <w:t>ccgp.gov.cn</w:t>
      </w:r>
      <w:r>
        <w:rPr>
          <w:rFonts w:ascii="宋体" w:hAnsi="宋体" w:eastAsia="宋体" w:cs="宋体"/>
          <w:sz w:val="24"/>
          <w:szCs w:val="24"/>
        </w:rPr>
        <w:fldChar w:fldCharType="end"/>
      </w:r>
      <w:r>
        <w:rPr>
          <w:rFonts w:hint="eastAsia" w:asciiTheme="majorEastAsia" w:hAnsiTheme="majorEastAsia" w:eastAsiaTheme="majorEastAsia" w:cstheme="majorEastAsia"/>
          <w:color w:val="auto"/>
          <w:sz w:val="24"/>
          <w:szCs w:val="24"/>
          <w:highlight w:val="none"/>
          <w:lang w:val="en-US" w:eastAsia="zh-CN"/>
        </w:rPr>
        <w:t>）上</w:t>
      </w:r>
      <w:r>
        <w:rPr>
          <w:rFonts w:hint="eastAsia" w:asciiTheme="majorEastAsia" w:hAnsiTheme="majorEastAsia" w:eastAsiaTheme="majorEastAsia" w:cstheme="majorEastAsia"/>
          <w:color w:val="auto"/>
          <w:sz w:val="24"/>
          <w:szCs w:val="24"/>
          <w:highlight w:val="none"/>
        </w:rPr>
        <w:t>公告，但政府采购合同中涉及国家秘密、商业秘密的内容除外。</w:t>
      </w:r>
    </w:p>
    <w:p>
      <w:pPr>
        <w:pStyle w:val="6"/>
        <w:rPr>
          <w:color w:val="auto"/>
          <w:highlight w:val="none"/>
        </w:rPr>
      </w:pPr>
      <w:bookmarkStart w:id="84" w:name="_Toc15336"/>
      <w:r>
        <w:rPr>
          <w:rFonts w:hint="eastAsia"/>
          <w:color w:val="auto"/>
          <w:highlight w:val="none"/>
        </w:rPr>
        <w:t>32、其他说明</w:t>
      </w:r>
      <w:bookmarkEnd w:id="84"/>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保密要求：在合同期内或合同终止后，未征得有关方同意，不得泄露与本项目、本合同业务有关的保密资料。</w:t>
      </w:r>
    </w:p>
    <w:p>
      <w:pPr>
        <w:adjustRightInd w:val="0"/>
        <w:snapToGrid w:val="0"/>
        <w:spacing w:line="500" w:lineRule="exact"/>
        <w:ind w:firstLine="480" w:firstLineChars="200"/>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t>本招标文件未尽事宜按现行招标投标的有关法律法规和规定执行。</w:t>
      </w:r>
    </w:p>
    <w:p>
      <w:pPr>
        <w:rPr>
          <w:rFonts w:asciiTheme="majorEastAsia" w:hAnsiTheme="majorEastAsia" w:eastAsiaTheme="majorEastAsia" w:cstheme="majorEastAsia"/>
          <w:bCs/>
          <w:color w:val="auto"/>
          <w:sz w:val="24"/>
          <w:szCs w:val="24"/>
          <w:highlight w:val="none"/>
        </w:rPr>
      </w:pPr>
      <w:r>
        <w:rPr>
          <w:rFonts w:hint="eastAsia" w:asciiTheme="majorEastAsia" w:hAnsiTheme="majorEastAsia" w:eastAsiaTheme="majorEastAsia" w:cstheme="majorEastAsia"/>
          <w:bCs/>
          <w:color w:val="auto"/>
          <w:sz w:val="24"/>
          <w:szCs w:val="24"/>
          <w:highlight w:val="none"/>
        </w:rPr>
        <w:br w:type="page"/>
      </w:r>
    </w:p>
    <w:p>
      <w:pPr>
        <w:pStyle w:val="3"/>
        <w:rPr>
          <w:color w:val="auto"/>
          <w:highlight w:val="none"/>
        </w:rPr>
      </w:pPr>
      <w:bookmarkStart w:id="85" w:name="_Toc23127"/>
      <w:bookmarkStart w:id="86" w:name="_Toc8515"/>
      <w:bookmarkStart w:id="87" w:name="_Toc30905"/>
      <w:r>
        <w:rPr>
          <w:rFonts w:hint="eastAsia"/>
          <w:color w:val="auto"/>
          <w:highlight w:val="none"/>
        </w:rPr>
        <w:t>第三章 评分</w:t>
      </w:r>
      <w:bookmarkEnd w:id="85"/>
      <w:bookmarkEnd w:id="86"/>
      <w:r>
        <w:rPr>
          <w:rFonts w:hint="eastAsia"/>
          <w:color w:val="auto"/>
          <w:highlight w:val="none"/>
        </w:rPr>
        <w:t>办法及评分标准</w:t>
      </w:r>
      <w:bookmarkEnd w:id="87"/>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为公正、公平、科学地选择中标人，根据有关法律法规的规定，并结合本项目的实际情况，制定本办法。</w:t>
      </w:r>
    </w:p>
    <w:p>
      <w:pPr>
        <w:pStyle w:val="5"/>
        <w:rPr>
          <w:color w:val="auto"/>
          <w:highlight w:val="none"/>
        </w:rPr>
      </w:pPr>
      <w:bookmarkStart w:id="88" w:name="_Toc32479"/>
      <w:bookmarkStart w:id="89" w:name="_Toc29264"/>
      <w:r>
        <w:rPr>
          <w:rFonts w:hint="eastAsia"/>
          <w:color w:val="auto"/>
          <w:highlight w:val="none"/>
        </w:rPr>
        <w:t>一、评标组织</w:t>
      </w:r>
      <w:bookmarkEnd w:id="88"/>
      <w:bookmarkEnd w:id="89"/>
    </w:p>
    <w:p>
      <w:pPr>
        <w:spacing w:line="500" w:lineRule="exact"/>
        <w:ind w:firstLine="480" w:firstLineChars="200"/>
        <w:rPr>
          <w:rFonts w:asciiTheme="minorEastAsia" w:hAnsiTheme="minorEastAsia" w:eastAsiaTheme="minorEastAsia" w:cstheme="minorEastAsia"/>
          <w:color w:val="auto"/>
          <w:sz w:val="24"/>
          <w:szCs w:val="24"/>
          <w:highlight w:val="none"/>
        </w:rPr>
      </w:pPr>
      <w:bookmarkStart w:id="90" w:name="_Toc251566663"/>
      <w:bookmarkStart w:id="91" w:name="_Toc405213814"/>
      <w:bookmarkStart w:id="92" w:name="_Toc249760792"/>
      <w:r>
        <w:rPr>
          <w:rFonts w:hint="eastAsia" w:asciiTheme="minorEastAsia" w:hAnsiTheme="minorEastAsia" w:eastAsiaTheme="minorEastAsia" w:cstheme="minorEastAsia"/>
          <w:color w:val="auto"/>
          <w:sz w:val="24"/>
          <w:szCs w:val="24"/>
          <w:highlight w:val="none"/>
        </w:rPr>
        <w:t>评标工作</w:t>
      </w:r>
      <w:bookmarkEnd w:id="90"/>
      <w:bookmarkEnd w:id="91"/>
      <w:bookmarkEnd w:id="92"/>
      <w:r>
        <w:rPr>
          <w:rFonts w:hint="eastAsia" w:asciiTheme="minorEastAsia" w:hAnsiTheme="minorEastAsia" w:eastAsiaTheme="minorEastAsia" w:cstheme="minorEastAsia"/>
          <w:color w:val="auto"/>
          <w:sz w:val="24"/>
          <w:szCs w:val="24"/>
          <w:highlight w:val="none"/>
        </w:rPr>
        <w:t>由</w:t>
      </w:r>
      <w:bookmarkStart w:id="93" w:name="_Toc251566664"/>
      <w:bookmarkStart w:id="94" w:name="_Toc249760793"/>
      <w:bookmarkStart w:id="95" w:name="_Toc405213815"/>
      <w:r>
        <w:rPr>
          <w:rFonts w:hint="eastAsia" w:asciiTheme="minorEastAsia" w:hAnsiTheme="minorEastAsia" w:eastAsiaTheme="minorEastAsia" w:cstheme="minorEastAsia"/>
          <w:color w:val="auto"/>
          <w:sz w:val="24"/>
          <w:szCs w:val="24"/>
          <w:highlight w:val="none"/>
        </w:rPr>
        <w:t>采购代理机构负责组织，具体评标事务由依法组建的评标委员会负责。</w:t>
      </w:r>
    </w:p>
    <w:p>
      <w:pPr>
        <w:pStyle w:val="5"/>
        <w:rPr>
          <w:color w:val="auto"/>
          <w:highlight w:val="none"/>
        </w:rPr>
      </w:pPr>
      <w:bookmarkStart w:id="96" w:name="_Toc24221"/>
      <w:bookmarkStart w:id="97" w:name="_Toc3581"/>
      <w:r>
        <w:rPr>
          <w:rFonts w:hint="eastAsia"/>
          <w:color w:val="auto"/>
          <w:highlight w:val="none"/>
        </w:rPr>
        <w:t>二、评标纪律</w:t>
      </w:r>
      <w:bookmarkEnd w:id="96"/>
      <w:bookmarkEnd w:id="97"/>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w:t>
      </w:r>
      <w:bookmarkEnd w:id="93"/>
      <w:bookmarkEnd w:id="94"/>
      <w:bookmarkEnd w:id="95"/>
      <w:r>
        <w:rPr>
          <w:rFonts w:hint="eastAsia" w:asciiTheme="minorEastAsia" w:hAnsiTheme="minorEastAsia" w:eastAsiaTheme="minorEastAsia" w:cstheme="minorEastAsia"/>
          <w:color w:val="auto"/>
          <w:sz w:val="24"/>
          <w:szCs w:val="24"/>
          <w:highlight w:val="none"/>
        </w:rPr>
        <w:t>是招标工作的重要环节，评标工作在评标委员会内独立进行。评标委员会将按照评标原则的要求，公正、平等地对待所有投标人。</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2．所有评标人员应忠于职守、廉洁自律、秉公办事、不徇私情。</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3．评标人员不得接受或参加投标人或与投标有关的单位、组织或个人的有碍公务的宴请、娱乐活动等，不得以任何形式弄虚作假。</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4．评标期间，评标人员不得随意出入评标地点、与外界通讯、会客等。</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5．在投标文件的审查、澄清、评价和比较以及授予合同的过程中，投标人对采购人、采购代理机构人员及评标委员会成员施加影响的任何行为，都将导致被取消投标资格。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6．为保证评标的公正性，在评标过程中，评标委员会成员不得与投标人或与中标结果有利害关系的人进行私下接触。在评标工作结束后，凡与评标情况有接触的任何人，不得将评标情况扩散出评标委员会以外。</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7．评标过程中，评标专家对投标人的优劣情况，以及认为差异较大的情况，应以书面意见作出真实、专业、诚恳负责的表述，不得违背客观、公正的原则。</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8．评标结束后，各评标人员应将全部资料整理上交采购代理机构，严禁将评标过程中的任何资料带出评标现场向投标人或其他单位提供。</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9．在中标结果公布前应对评标委员会成员名单予以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10．评标委员会对各投标人的商业秘密予以</w:t>
      </w:r>
      <w:r>
        <w:rPr>
          <w:rFonts w:hint="eastAsia" w:asciiTheme="majorEastAsia" w:hAnsiTheme="majorEastAsia" w:eastAsiaTheme="majorEastAsia" w:cstheme="majorEastAsia"/>
          <w:bCs/>
          <w:color w:val="auto"/>
          <w:sz w:val="24"/>
          <w:szCs w:val="24"/>
          <w:highlight w:val="none"/>
        </w:rPr>
        <w:t>保密</w:t>
      </w:r>
      <w:r>
        <w:rPr>
          <w:rFonts w:hint="eastAsia" w:asciiTheme="minorEastAsia" w:hAnsiTheme="minorEastAsia" w:eastAsiaTheme="minorEastAsia" w:cstheme="minorEastAsia"/>
          <w:color w:val="auto"/>
          <w:sz w:val="24"/>
          <w:szCs w:val="24"/>
          <w:highlight w:val="none"/>
        </w:rPr>
        <w:t>。</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11．评标委员会成员应当客观、公正地履行职责，遵守职业道德，对所提出的评审意见承担个人责任。</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12．在整个评标过程中，投标人企图影响招标结果的任何活动，可能导致其投标失败。如有违法行为，将依法追究其法律责任。</w:t>
      </w:r>
    </w:p>
    <w:p>
      <w:pPr>
        <w:pStyle w:val="5"/>
        <w:rPr>
          <w:color w:val="auto"/>
          <w:highlight w:val="none"/>
        </w:rPr>
      </w:pPr>
      <w:bookmarkStart w:id="98" w:name="_Toc10772"/>
      <w:bookmarkStart w:id="99" w:name="_Toc6124"/>
      <w:r>
        <w:rPr>
          <w:rFonts w:hint="eastAsia"/>
          <w:color w:val="auto"/>
          <w:highlight w:val="none"/>
        </w:rPr>
        <w:t>三、评分标准和细则</w:t>
      </w:r>
      <w:bookmarkEnd w:id="98"/>
      <w:bookmarkEnd w:id="99"/>
    </w:p>
    <w:p>
      <w:pPr>
        <w:spacing w:line="500" w:lineRule="exact"/>
        <w:ind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（一）评分标准：</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w:t>
      </w:r>
      <w:r>
        <w:rPr>
          <w:rFonts w:hint="eastAsia" w:asciiTheme="minorEastAsia" w:hAnsiTheme="minorEastAsia" w:eastAsiaTheme="minorEastAsia" w:cstheme="minorEastAsia"/>
          <w:color w:val="auto"/>
          <w:sz w:val="24"/>
          <w:szCs w:val="24"/>
          <w:highlight w:val="none"/>
          <w:lang w:val="en-US" w:eastAsia="zh-CN"/>
        </w:rPr>
        <w:t>各成员独立</w:t>
      </w:r>
      <w:r>
        <w:rPr>
          <w:rFonts w:hint="eastAsia" w:asciiTheme="minorEastAsia" w:hAnsiTheme="minorEastAsia" w:eastAsiaTheme="minorEastAsia" w:cstheme="minorEastAsia"/>
          <w:color w:val="auto"/>
          <w:sz w:val="24"/>
          <w:szCs w:val="24"/>
          <w:highlight w:val="none"/>
        </w:rPr>
        <w:t>根据招标文件对各投标文件技术内容充分审核、讨论、评议后，评标委员会</w:t>
      </w:r>
      <w:r>
        <w:rPr>
          <w:rFonts w:hint="eastAsia" w:asciiTheme="minorEastAsia" w:hAnsiTheme="minorEastAsia" w:eastAsiaTheme="minorEastAsia" w:cstheme="minorEastAsia"/>
          <w:color w:val="auto"/>
          <w:sz w:val="24"/>
          <w:szCs w:val="24"/>
          <w:highlight w:val="none"/>
          <w:lang w:val="en-US" w:eastAsia="zh-CN"/>
        </w:rPr>
        <w:t>成员独立</w:t>
      </w:r>
      <w:r>
        <w:rPr>
          <w:rFonts w:hint="eastAsia" w:asciiTheme="minorEastAsia" w:hAnsiTheme="minorEastAsia" w:eastAsiaTheme="minorEastAsia" w:cstheme="minorEastAsia"/>
          <w:color w:val="auto"/>
          <w:sz w:val="24"/>
          <w:szCs w:val="24"/>
          <w:highlight w:val="none"/>
        </w:rPr>
        <w:t>按评分细则，进行评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技术的最终评分值为评标委员会成员的有效评分票的算术平均值。</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2.评标委员会成员</w:t>
      </w:r>
      <w:r>
        <w:rPr>
          <w:rFonts w:hint="eastAsia" w:asciiTheme="minorEastAsia" w:hAnsiTheme="minorEastAsia" w:eastAsiaTheme="minorEastAsia" w:cstheme="minorEastAsia"/>
          <w:color w:val="auto"/>
          <w:sz w:val="24"/>
          <w:szCs w:val="24"/>
          <w:highlight w:val="none"/>
          <w:lang w:val="en-US" w:eastAsia="zh-CN"/>
        </w:rPr>
        <w:t>独立</w:t>
      </w:r>
      <w:r>
        <w:rPr>
          <w:rFonts w:hint="eastAsia" w:asciiTheme="minorEastAsia" w:hAnsiTheme="minorEastAsia" w:eastAsiaTheme="minorEastAsia" w:cstheme="minorEastAsia"/>
          <w:color w:val="auto"/>
          <w:sz w:val="24"/>
          <w:szCs w:val="24"/>
          <w:highlight w:val="none"/>
        </w:rPr>
        <w:t>按评分细则对各</w:t>
      </w:r>
      <w:r>
        <w:rPr>
          <w:rFonts w:hint="eastAsia" w:asciiTheme="minorEastAsia" w:hAnsiTheme="minorEastAsia" w:eastAsiaTheme="minorEastAsia" w:cstheme="minorEastAsia"/>
          <w:color w:val="auto"/>
          <w:sz w:val="24"/>
          <w:szCs w:val="24"/>
          <w:highlight w:val="none"/>
          <w:lang w:val="en-US" w:eastAsia="zh-CN"/>
        </w:rPr>
        <w:t>投标人</w:t>
      </w:r>
      <w:r>
        <w:rPr>
          <w:rFonts w:hint="eastAsia" w:asciiTheme="minorEastAsia" w:hAnsiTheme="minorEastAsia" w:eastAsiaTheme="minorEastAsia" w:cstheme="minorEastAsia"/>
          <w:color w:val="auto"/>
          <w:sz w:val="24"/>
          <w:szCs w:val="24"/>
          <w:highlight w:val="none"/>
        </w:rPr>
        <w:t>的最终报价进行统一计算评分，集体统一判定评分。</w:t>
      </w:r>
    </w:p>
    <w:p>
      <w:pPr>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供应商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pPr>
        <w:spacing w:line="400" w:lineRule="exact"/>
        <w:ind w:firstLine="482" w:firstLineChars="200"/>
        <w:rPr>
          <w:rFonts w:asciiTheme="minorEastAsia" w:hAnsiTheme="minorEastAsia" w:eastAsiaTheme="minorEastAsia" w:cstheme="minorEastAsia"/>
          <w:b/>
          <w:color w:val="auto"/>
          <w:sz w:val="24"/>
          <w:szCs w:val="24"/>
          <w:highlight w:val="none"/>
        </w:rPr>
      </w:pPr>
      <w:r>
        <w:rPr>
          <w:rFonts w:hint="eastAsia" w:ascii="宋体" w:hAnsi="宋体" w:cs="宋体"/>
          <w:b/>
          <w:bCs/>
          <w:color w:val="auto"/>
          <w:sz w:val="24"/>
          <w:szCs w:val="24"/>
          <w:highlight w:val="none"/>
        </w:rPr>
        <w:t>（二）评分细则：</w:t>
      </w:r>
    </w:p>
    <w:p>
      <w:pPr>
        <w:pStyle w:val="4"/>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对照第六章“项目需求”第</w:t>
            </w:r>
            <w:r>
              <w:rPr>
                <w:rFonts w:hint="eastAsia" w:asciiTheme="minorEastAsia" w:hAnsiTheme="minorEastAsia" w:eastAsiaTheme="minorEastAsia" w:cstheme="minorEastAsia"/>
                <w:color w:val="auto"/>
                <w:kern w:val="0"/>
                <w:sz w:val="24"/>
                <w:szCs w:val="24"/>
                <w:highlight w:val="none"/>
                <w:lang w:val="en-US" w:eastAsia="zh-CN"/>
              </w:rPr>
              <w:t>1包的技术参数（每条技术参数前</w:t>
            </w:r>
            <w:r>
              <w:rPr>
                <w:rFonts w:hint="eastAsia" w:asciiTheme="minorEastAsia" w:hAnsiTheme="minorEastAsia" w:eastAsiaTheme="minorEastAsia" w:cstheme="minorEastAsia"/>
                <w:color w:val="auto"/>
                <w:kern w:val="0"/>
                <w:sz w:val="24"/>
                <w:szCs w:val="24"/>
                <w:highlight w:val="none"/>
              </w:rPr>
              <w:t>标注“★”的为核心</w:t>
            </w:r>
            <w:r>
              <w:rPr>
                <w:rFonts w:hint="eastAsia" w:asciiTheme="minorEastAsia" w:hAnsiTheme="minorEastAsia" w:eastAsiaTheme="minorEastAsia" w:cstheme="minorEastAsia"/>
                <w:color w:val="auto"/>
                <w:kern w:val="0"/>
                <w:sz w:val="24"/>
                <w:szCs w:val="24"/>
                <w:highlight w:val="none"/>
                <w:lang w:eastAsia="zh-CN"/>
              </w:rPr>
              <w:t>技术</w:t>
            </w:r>
            <w:r>
              <w:rPr>
                <w:rFonts w:hint="eastAsia" w:asciiTheme="minorEastAsia" w:hAnsiTheme="minorEastAsia" w:eastAsiaTheme="minorEastAsia" w:cstheme="minorEastAsia"/>
                <w:color w:val="auto"/>
                <w:kern w:val="0"/>
                <w:sz w:val="24"/>
                <w:szCs w:val="24"/>
                <w:highlight w:val="none"/>
              </w:rPr>
              <w:t>参数，标注“▲”的为主要技术参数，未标注的为一般参数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numPr>
                <w:ilvl w:val="0"/>
                <w:numId w:val="10"/>
              </w:numPr>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投标人所投产品技术参数完全响应招标文件要求的，得36分；</w:t>
            </w:r>
          </w:p>
          <w:p>
            <w:pPr>
              <w:widowControl/>
              <w:numPr>
                <w:ilvl w:val="0"/>
                <w:numId w:val="0"/>
              </w:numPr>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2.核心技术参数（6条）存在一条（含）以上负偏离的，此项不得分；</w:t>
            </w:r>
          </w:p>
          <w:p>
            <w:pPr>
              <w:pStyle w:val="2"/>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3.主要技术参数存在负偏离的（8条），每一条扣2分，最多扣16分；</w:t>
            </w:r>
          </w:p>
          <w:p>
            <w:pPr>
              <w:pStyle w:val="2"/>
              <w:ind w:firstLine="480" w:firstLineChars="200"/>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3.</w:t>
            </w:r>
            <w:r>
              <w:rPr>
                <w:rFonts w:hint="eastAsia" w:asciiTheme="minorEastAsia" w:hAnsiTheme="minorEastAsia" w:eastAsiaTheme="minorEastAsia" w:cstheme="minorEastAsia"/>
                <w:color w:val="auto"/>
                <w:kern w:val="0"/>
                <w:sz w:val="24"/>
                <w:szCs w:val="24"/>
                <w:highlight w:val="none"/>
                <w:lang w:val="en-US" w:eastAsia="zh-CN"/>
              </w:rPr>
              <w:t>一般技术参数存在负偏离的，每一条扣0.5分，最多扣20分。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eastAsia="zh-CN"/>
              </w:rPr>
              <w:t>202</w:t>
            </w:r>
            <w:r>
              <w:rPr>
                <w:rFonts w:hint="eastAsia" w:cs="Times New Roman"/>
                <w:color w:val="auto"/>
                <w:sz w:val="24"/>
                <w:szCs w:val="24"/>
                <w:highlight w:val="none"/>
                <w:lang w:val="en-US" w:eastAsia="zh-CN"/>
              </w:rPr>
              <w:t>1</w:t>
            </w:r>
            <w:r>
              <w:rPr>
                <w:rFonts w:hint="eastAsia" w:cs="Times New Roman"/>
                <w:color w:val="auto"/>
                <w:sz w:val="24"/>
                <w:szCs w:val="24"/>
                <w:highlight w:val="none"/>
                <w:lang w:eastAsia="zh-CN"/>
              </w:rPr>
              <w:t>年1月</w:t>
            </w:r>
            <w:r>
              <w:rPr>
                <w:rFonts w:hint="eastAsia" w:ascii="Times New Roman" w:hAnsi="Times New Roman" w:eastAsia="宋体" w:cs="Times New Roman"/>
                <w:color w:val="auto"/>
                <w:sz w:val="24"/>
                <w:szCs w:val="24"/>
                <w:highlight w:val="none"/>
                <w:lang w:eastAsia="zh-CN"/>
              </w:rPr>
              <w:t>1日起至今，以合同签订日期为准）完成类似项目的业绩，每个项目业绩得</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项目实施方案包括但不限于：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8</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w:t>
            </w:r>
            <w:r>
              <w:rPr>
                <w:rFonts w:hint="eastAsia"/>
                <w:b w:val="0"/>
                <w:bCs w:val="0"/>
                <w:color w:val="auto"/>
                <w:sz w:val="24"/>
                <w:szCs w:val="24"/>
                <w:highlight w:val="none"/>
              </w:rPr>
              <w:t>分，扣完为止；未提供项目实施方案的，此项不得分。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bookmarkStart w:id="123" w:name="_GoBack"/>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w:t>
            </w:r>
            <w:r>
              <w:rPr>
                <w:rFonts w:hint="eastAsia" w:ascii="Times New Roman" w:hAnsi="Times New Roman" w:eastAsia="宋体" w:cs="Times New Roman"/>
                <w:color w:val="auto"/>
                <w:sz w:val="24"/>
                <w:szCs w:val="24"/>
                <w:highlight w:val="none"/>
                <w:lang w:val="en-US" w:eastAsia="zh-CN"/>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bookmarkEnd w:id="123"/>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投标样品</w:t>
            </w:r>
          </w:p>
        </w:tc>
        <w:tc>
          <w:tcPr>
            <w:tcW w:w="5954" w:type="dxa"/>
            <w:tcMar>
              <w:top w:w="15" w:type="dxa"/>
              <w:left w:w="15" w:type="dxa"/>
              <w:right w:w="15" w:type="dxa"/>
            </w:tcMar>
            <w:vAlign w:val="center"/>
          </w:tcPr>
          <w:p>
            <w:pPr>
              <w:spacing w:line="400" w:lineRule="exact"/>
              <w:ind w:firstLine="480" w:firstLineChars="200"/>
              <w:jc w:val="left"/>
              <w:rPr>
                <w:color w:val="auto"/>
                <w:sz w:val="24"/>
                <w:szCs w:val="24"/>
                <w:highlight w:val="none"/>
              </w:rPr>
            </w:pPr>
            <w:r>
              <w:rPr>
                <w:rFonts w:hint="eastAsia"/>
                <w:color w:val="auto"/>
                <w:sz w:val="24"/>
                <w:szCs w:val="24"/>
                <w:highlight w:val="none"/>
              </w:rPr>
              <w:t>投标人须按照所投标包提供符合采购文件第六章“项目需求”的要求的</w:t>
            </w:r>
            <w:r>
              <w:rPr>
                <w:rFonts w:hint="eastAsia"/>
                <w:color w:val="auto"/>
                <w:sz w:val="24"/>
                <w:szCs w:val="24"/>
                <w:highlight w:val="none"/>
                <w:lang w:val="en-US" w:eastAsia="zh-CN"/>
              </w:rPr>
              <w:t>视频</w:t>
            </w:r>
            <w:r>
              <w:rPr>
                <w:rFonts w:hint="eastAsia"/>
                <w:color w:val="auto"/>
                <w:sz w:val="24"/>
                <w:szCs w:val="24"/>
                <w:highlight w:val="none"/>
              </w:rPr>
              <w:t>样品。所递交</w:t>
            </w:r>
            <w:r>
              <w:rPr>
                <w:rFonts w:hint="eastAsia"/>
                <w:color w:val="auto"/>
                <w:sz w:val="24"/>
                <w:szCs w:val="24"/>
                <w:highlight w:val="none"/>
                <w:lang w:val="en-US" w:eastAsia="zh-CN"/>
              </w:rPr>
              <w:t>视频</w:t>
            </w:r>
            <w:r>
              <w:rPr>
                <w:rFonts w:hint="eastAsia"/>
                <w:color w:val="auto"/>
                <w:sz w:val="24"/>
                <w:szCs w:val="24"/>
                <w:highlight w:val="none"/>
              </w:rPr>
              <w:t>样品上不得体现投标人或制造商名称或其他标识，相应位置须一律空白。未提供</w:t>
            </w:r>
            <w:r>
              <w:rPr>
                <w:rFonts w:hint="eastAsia"/>
                <w:color w:val="auto"/>
                <w:sz w:val="24"/>
                <w:szCs w:val="24"/>
                <w:highlight w:val="none"/>
                <w:lang w:val="en-US" w:eastAsia="zh-CN"/>
              </w:rPr>
              <w:t>视频</w:t>
            </w:r>
            <w:r>
              <w:rPr>
                <w:rFonts w:hint="eastAsia"/>
                <w:color w:val="auto"/>
                <w:sz w:val="24"/>
                <w:szCs w:val="24"/>
                <w:highlight w:val="none"/>
              </w:rPr>
              <w:t>样品或所提供</w:t>
            </w:r>
            <w:r>
              <w:rPr>
                <w:rFonts w:hint="eastAsia"/>
                <w:color w:val="auto"/>
                <w:sz w:val="24"/>
                <w:szCs w:val="24"/>
                <w:highlight w:val="none"/>
                <w:lang w:val="en-US" w:eastAsia="zh-CN"/>
              </w:rPr>
              <w:t>视频</w:t>
            </w:r>
            <w:r>
              <w:rPr>
                <w:rFonts w:hint="eastAsia"/>
                <w:color w:val="auto"/>
                <w:sz w:val="24"/>
                <w:szCs w:val="24"/>
                <w:highlight w:val="none"/>
              </w:rPr>
              <w:t>样品不符合招标文件要求的，本项不得分。</w:t>
            </w:r>
          </w:p>
          <w:p>
            <w:pPr>
              <w:spacing w:line="400" w:lineRule="exact"/>
              <w:ind w:firstLine="480" w:firstLineChars="200"/>
              <w:jc w:val="left"/>
              <w:rPr>
                <w:rFonts w:hint="eastAsia"/>
                <w:color w:val="auto"/>
                <w:sz w:val="24"/>
                <w:szCs w:val="24"/>
                <w:highlight w:val="none"/>
              </w:rPr>
            </w:pPr>
            <w:r>
              <w:rPr>
                <w:rFonts w:hint="eastAsia"/>
                <w:color w:val="auto"/>
                <w:sz w:val="24"/>
                <w:szCs w:val="24"/>
                <w:highlight w:val="none"/>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spacing w:line="400" w:lineRule="exact"/>
              <w:ind w:firstLine="482" w:firstLineChars="200"/>
              <w:jc w:val="left"/>
              <w:rPr>
                <w:rFonts w:hint="eastAsia"/>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hint="eastAsia" w:asciiTheme="minorEastAsia" w:hAnsiTheme="minorEastAsia" w:eastAsiaTheme="minorEastAsia" w:cstheme="minorEastAsia"/>
          <w:b/>
          <w:color w:val="auto"/>
          <w:sz w:val="24"/>
          <w:szCs w:val="24"/>
          <w:highlight w:val="none"/>
        </w:rPr>
      </w:pPr>
    </w:p>
    <w:p>
      <w:pPr>
        <w:pStyle w:val="4"/>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2</w:t>
      </w:r>
      <w:r>
        <w:rPr>
          <w:rFonts w:hint="eastAsia" w:asciiTheme="minorEastAsia" w:hAnsiTheme="minorEastAsia" w:eastAsiaTheme="minorEastAsia" w:cstheme="minorEastAsia"/>
          <w:b/>
          <w:color w:val="auto"/>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对照第六章“项目需求”第</w:t>
            </w:r>
            <w:r>
              <w:rPr>
                <w:rFonts w:hint="eastAsia" w:asciiTheme="minorEastAsia" w:hAnsiTheme="minorEastAsia" w:eastAsiaTheme="minorEastAsia" w:cstheme="minorEastAsia"/>
                <w:color w:val="auto"/>
                <w:kern w:val="0"/>
                <w:sz w:val="24"/>
                <w:szCs w:val="24"/>
                <w:highlight w:val="none"/>
                <w:lang w:val="en-US" w:eastAsia="zh-CN"/>
              </w:rPr>
              <w:t>2包的技术参数（每条技术参数前</w:t>
            </w:r>
            <w:r>
              <w:rPr>
                <w:rFonts w:hint="eastAsia" w:asciiTheme="minorEastAsia" w:hAnsiTheme="minorEastAsia" w:eastAsiaTheme="minorEastAsia" w:cstheme="minorEastAsia"/>
                <w:color w:val="auto"/>
                <w:kern w:val="0"/>
                <w:sz w:val="24"/>
                <w:szCs w:val="24"/>
                <w:highlight w:val="none"/>
              </w:rPr>
              <w:t>标注“★”的为核心</w:t>
            </w:r>
            <w:r>
              <w:rPr>
                <w:rFonts w:hint="eastAsia" w:asciiTheme="minorEastAsia" w:hAnsiTheme="minorEastAsia" w:eastAsiaTheme="minorEastAsia" w:cstheme="minorEastAsia"/>
                <w:color w:val="auto"/>
                <w:kern w:val="0"/>
                <w:sz w:val="24"/>
                <w:szCs w:val="24"/>
                <w:highlight w:val="none"/>
                <w:lang w:eastAsia="zh-CN"/>
              </w:rPr>
              <w:t>技术</w:t>
            </w:r>
            <w:r>
              <w:rPr>
                <w:rFonts w:hint="eastAsia" w:asciiTheme="minorEastAsia" w:hAnsiTheme="minorEastAsia" w:eastAsiaTheme="minorEastAsia" w:cstheme="minorEastAsia"/>
                <w:color w:val="auto"/>
                <w:kern w:val="0"/>
                <w:sz w:val="24"/>
                <w:szCs w:val="24"/>
                <w:highlight w:val="none"/>
              </w:rPr>
              <w:t>参数，标注“▲”的为主要技术参数，未标注的为一般参数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spacing w:line="400" w:lineRule="exact"/>
              <w:ind w:firstLine="480" w:firstLineChars="200"/>
              <w:textAlignment w:val="center"/>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1.投标人所投产品技术参数完全响应招标文件要求的，</w:t>
            </w:r>
            <w:r>
              <w:rPr>
                <w:rFonts w:hint="eastAsia" w:asciiTheme="minorEastAsia" w:hAnsiTheme="minorEastAsia" w:eastAsiaTheme="minorEastAsia" w:cstheme="minorEastAsia"/>
                <w:color w:val="auto"/>
                <w:kern w:val="0"/>
                <w:sz w:val="24"/>
                <w:szCs w:val="24"/>
                <w:highlight w:val="none"/>
              </w:rPr>
              <w:t>得3</w:t>
            </w:r>
            <w:r>
              <w:rPr>
                <w:rFonts w:hint="eastAsia" w:asciiTheme="minorEastAsia" w:hAnsiTheme="minorEastAsia" w:eastAsiaTheme="minorEastAsia" w:cstheme="minorEastAsia"/>
                <w:color w:val="auto"/>
                <w:kern w:val="0"/>
                <w:sz w:val="24"/>
                <w:szCs w:val="24"/>
                <w:highlight w:val="none"/>
                <w:lang w:val="en-US" w:eastAsia="zh-CN"/>
              </w:rPr>
              <w:t>3</w:t>
            </w:r>
            <w:r>
              <w:rPr>
                <w:rFonts w:hint="eastAsia" w:asciiTheme="minorEastAsia" w:hAnsiTheme="minorEastAsia" w:eastAsiaTheme="minorEastAsia" w:cstheme="minorEastAsia"/>
                <w:color w:val="auto"/>
                <w:kern w:val="0"/>
                <w:sz w:val="24"/>
                <w:szCs w:val="24"/>
                <w:highlight w:val="none"/>
              </w:rPr>
              <w:t>分；</w:t>
            </w:r>
          </w:p>
          <w:p>
            <w:pPr>
              <w:widowControl/>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2.核心技术参数存在负偏离的（22条），此项不得分；</w:t>
            </w:r>
          </w:p>
          <w:p>
            <w:pPr>
              <w:pStyle w:val="2"/>
              <w:ind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3.主要技术参数存在负偏离的（7条），每一条扣2分，最多扣14分；</w:t>
            </w:r>
          </w:p>
          <w:p>
            <w:pPr>
              <w:pStyle w:val="2"/>
              <w:ind w:firstLine="480" w:firstLineChars="200"/>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rPr>
              <w:t>一般技术参数存在负偏离的，每一条扣0.5分，最多扣19分。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eastAsia="zh-CN"/>
              </w:rPr>
              <w:t>202</w:t>
            </w:r>
            <w:r>
              <w:rPr>
                <w:rFonts w:hint="eastAsia" w:cs="Times New Roman"/>
                <w:color w:val="auto"/>
                <w:sz w:val="24"/>
                <w:szCs w:val="24"/>
                <w:highlight w:val="none"/>
                <w:lang w:val="en-US" w:eastAsia="zh-CN"/>
              </w:rPr>
              <w:t>1</w:t>
            </w:r>
            <w:r>
              <w:rPr>
                <w:rFonts w:hint="eastAsia" w:cs="Times New Roman"/>
                <w:color w:val="auto"/>
                <w:sz w:val="24"/>
                <w:szCs w:val="24"/>
                <w:highlight w:val="none"/>
                <w:lang w:eastAsia="zh-CN"/>
              </w:rPr>
              <w:t>年1月</w:t>
            </w:r>
            <w:r>
              <w:rPr>
                <w:rFonts w:hint="eastAsia" w:ascii="Times New Roman" w:hAnsi="Times New Roman" w:eastAsia="宋体" w:cs="Times New Roman"/>
                <w:color w:val="auto"/>
                <w:sz w:val="24"/>
                <w:szCs w:val="24"/>
                <w:highlight w:val="none"/>
                <w:lang w:eastAsia="zh-CN"/>
              </w:rPr>
              <w:t>1日起至今，以合同签订日期为准）完成类似项目的业绩，每个项目业绩得</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lang w:eastAsia="zh-CN"/>
              </w:rPr>
              <w:t>分。</w:t>
            </w:r>
            <w:r>
              <w:rPr>
                <w:rFonts w:hint="eastAsia" w:cs="Times New Roman"/>
                <w:color w:val="auto"/>
                <w:sz w:val="24"/>
                <w:szCs w:val="24"/>
                <w:highlight w:val="none"/>
                <w:lang w:val="en-US" w:eastAsia="zh-CN"/>
              </w:rPr>
              <w:t xml:space="preserve"> </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rFonts w:hint="eastAsia" w:ascii="Times New Roman" w:hAnsi="Times New Roman" w:eastAsia="宋体" w:cs="Times New Roman"/>
                <w:color w:val="auto"/>
                <w:sz w:val="24"/>
                <w:szCs w:val="24"/>
                <w:highlight w:val="none"/>
                <w:lang w:val="en-US" w:eastAsia="zh-CN"/>
              </w:rPr>
            </w:pPr>
            <w:r>
              <w:rPr>
                <w:rFonts w:hint="eastAsia"/>
                <w:b w:val="0"/>
                <w:bCs w:val="0"/>
                <w:color w:val="auto"/>
                <w:sz w:val="24"/>
                <w:szCs w:val="24"/>
                <w:highlight w:val="none"/>
              </w:rPr>
              <w:t>项目实施方案包括但不限于：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8</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w:t>
            </w:r>
            <w:r>
              <w:rPr>
                <w:rFonts w:hint="eastAsia"/>
                <w:b w:val="0"/>
                <w:bCs w:val="0"/>
                <w:color w:val="auto"/>
                <w:sz w:val="24"/>
                <w:szCs w:val="24"/>
                <w:highlight w:val="none"/>
              </w:rPr>
              <w:t>分，扣完为止；未提供项目实施方案的，此项不得分。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eastAsia="zh-CN"/>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hAnsi="宋体" w:cs="宋体"/>
                <w:color w:val="auto"/>
                <w:sz w:val="24"/>
                <w:szCs w:val="24"/>
                <w:highlight w:val="none"/>
              </w:rPr>
              <w:t>投标样品</w:t>
            </w:r>
          </w:p>
        </w:tc>
        <w:tc>
          <w:tcPr>
            <w:tcW w:w="5954" w:type="dxa"/>
            <w:tcMar>
              <w:top w:w="15" w:type="dxa"/>
              <w:left w:w="15" w:type="dxa"/>
              <w:right w:w="15" w:type="dxa"/>
            </w:tcMar>
            <w:vAlign w:val="center"/>
          </w:tcPr>
          <w:p>
            <w:pPr>
              <w:spacing w:line="400" w:lineRule="exact"/>
              <w:ind w:firstLine="480" w:firstLineChars="200"/>
              <w:jc w:val="left"/>
              <w:rPr>
                <w:color w:val="auto"/>
                <w:sz w:val="24"/>
                <w:szCs w:val="24"/>
                <w:highlight w:val="none"/>
              </w:rPr>
            </w:pPr>
            <w:r>
              <w:rPr>
                <w:rFonts w:hint="eastAsia"/>
                <w:color w:val="auto"/>
                <w:sz w:val="24"/>
                <w:szCs w:val="24"/>
                <w:highlight w:val="none"/>
              </w:rPr>
              <w:t>投标人须按照所投标包提供符合采购文件第六章“项目需求”的要求的</w:t>
            </w:r>
            <w:r>
              <w:rPr>
                <w:rFonts w:hint="eastAsia"/>
                <w:color w:val="auto"/>
                <w:sz w:val="24"/>
                <w:szCs w:val="24"/>
                <w:highlight w:val="none"/>
                <w:lang w:val="en-US" w:eastAsia="zh-CN"/>
              </w:rPr>
              <w:t>视频</w:t>
            </w:r>
            <w:r>
              <w:rPr>
                <w:rFonts w:hint="eastAsia"/>
                <w:color w:val="auto"/>
                <w:sz w:val="24"/>
                <w:szCs w:val="24"/>
                <w:highlight w:val="none"/>
              </w:rPr>
              <w:t>样品。所递交</w:t>
            </w:r>
            <w:r>
              <w:rPr>
                <w:rFonts w:hint="eastAsia"/>
                <w:color w:val="auto"/>
                <w:sz w:val="24"/>
                <w:szCs w:val="24"/>
                <w:highlight w:val="none"/>
                <w:lang w:val="en-US" w:eastAsia="zh-CN"/>
              </w:rPr>
              <w:t>视频</w:t>
            </w:r>
            <w:r>
              <w:rPr>
                <w:rFonts w:hint="eastAsia"/>
                <w:color w:val="auto"/>
                <w:sz w:val="24"/>
                <w:szCs w:val="24"/>
                <w:highlight w:val="none"/>
              </w:rPr>
              <w:t>样品上不得体现投标人或制造商名称或其他标识，相应位置须一律空白。未提供</w:t>
            </w:r>
            <w:r>
              <w:rPr>
                <w:rFonts w:hint="eastAsia"/>
                <w:color w:val="auto"/>
                <w:sz w:val="24"/>
                <w:szCs w:val="24"/>
                <w:highlight w:val="none"/>
                <w:lang w:val="en-US" w:eastAsia="zh-CN"/>
              </w:rPr>
              <w:t>视频</w:t>
            </w:r>
            <w:r>
              <w:rPr>
                <w:rFonts w:hint="eastAsia"/>
                <w:color w:val="auto"/>
                <w:sz w:val="24"/>
                <w:szCs w:val="24"/>
                <w:highlight w:val="none"/>
              </w:rPr>
              <w:t>样品或所提供</w:t>
            </w:r>
            <w:r>
              <w:rPr>
                <w:rFonts w:hint="eastAsia"/>
                <w:color w:val="auto"/>
                <w:sz w:val="24"/>
                <w:szCs w:val="24"/>
                <w:highlight w:val="none"/>
                <w:lang w:val="en-US" w:eastAsia="zh-CN"/>
              </w:rPr>
              <w:t>视频</w:t>
            </w:r>
            <w:r>
              <w:rPr>
                <w:rFonts w:hint="eastAsia"/>
                <w:color w:val="auto"/>
                <w:sz w:val="24"/>
                <w:szCs w:val="24"/>
                <w:highlight w:val="none"/>
              </w:rPr>
              <w:t>样品不符合招标文件要求的，本项不得分。</w:t>
            </w:r>
          </w:p>
          <w:p>
            <w:pPr>
              <w:spacing w:line="400" w:lineRule="exact"/>
              <w:ind w:firstLine="480" w:firstLineChars="200"/>
              <w:jc w:val="left"/>
              <w:rPr>
                <w:rFonts w:hint="eastAsia"/>
                <w:color w:val="auto"/>
                <w:sz w:val="24"/>
                <w:szCs w:val="24"/>
                <w:highlight w:val="none"/>
              </w:rPr>
            </w:pPr>
            <w:r>
              <w:rPr>
                <w:rFonts w:hint="eastAsia"/>
                <w:color w:val="auto"/>
                <w:sz w:val="24"/>
                <w:szCs w:val="24"/>
                <w:highlight w:val="none"/>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spacing w:line="400" w:lineRule="exact"/>
              <w:ind w:firstLine="482" w:firstLineChars="200"/>
              <w:jc w:val="left"/>
              <w:rPr>
                <w:rFonts w:hint="eastAsia"/>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pStyle w:val="4"/>
        <w:rPr>
          <w:rFonts w:hint="eastAsia" w:asciiTheme="minorEastAsia" w:hAnsiTheme="minorEastAsia" w:eastAsiaTheme="minorEastAsia" w:cstheme="minorEastAsia"/>
          <w:b/>
          <w:bCs/>
          <w:color w:val="auto"/>
          <w:sz w:val="24"/>
          <w:szCs w:val="24"/>
          <w:highlight w:val="none"/>
        </w:rPr>
      </w:pPr>
    </w:p>
    <w:p>
      <w:pPr>
        <w:pStyle w:val="4"/>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第</w:t>
      </w:r>
      <w:r>
        <w:rPr>
          <w:rFonts w:hint="eastAsia" w:asciiTheme="minorEastAsia" w:hAnsiTheme="minorEastAsia" w:eastAsiaTheme="minorEastAsia" w:cstheme="minorEastAsia"/>
          <w:b/>
          <w:color w:val="auto"/>
          <w:sz w:val="24"/>
          <w:szCs w:val="24"/>
          <w:highlight w:val="none"/>
          <w:lang w:val="en-US" w:eastAsia="zh-CN"/>
        </w:rPr>
        <w:t>3</w:t>
      </w:r>
      <w:r>
        <w:rPr>
          <w:rFonts w:hint="eastAsia" w:asciiTheme="minorEastAsia" w:hAnsiTheme="minorEastAsia" w:eastAsiaTheme="minorEastAsia" w:cstheme="minorEastAsia"/>
          <w:b/>
          <w:color w:val="auto"/>
          <w:sz w:val="24"/>
          <w:szCs w:val="24"/>
          <w:highlight w:val="none"/>
        </w:rPr>
        <w:t>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kern w:val="0"/>
                <w:sz w:val="24"/>
                <w:szCs w:val="24"/>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p>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技术要求</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eastAsia="zh-CN"/>
              </w:rPr>
              <w:t>对照第六章“项目需求”第</w:t>
            </w:r>
            <w:r>
              <w:rPr>
                <w:rFonts w:hint="eastAsia" w:asciiTheme="minorEastAsia" w:hAnsiTheme="minorEastAsia" w:eastAsiaTheme="minorEastAsia" w:cstheme="minorEastAsia"/>
                <w:color w:val="auto"/>
                <w:kern w:val="0"/>
                <w:sz w:val="24"/>
                <w:szCs w:val="24"/>
                <w:highlight w:val="none"/>
                <w:lang w:val="en-US" w:eastAsia="zh-CN"/>
              </w:rPr>
              <w:t>3包的技术参数（每条技术参数前</w:t>
            </w:r>
            <w:r>
              <w:rPr>
                <w:rFonts w:hint="eastAsia" w:asciiTheme="minorEastAsia" w:hAnsiTheme="minorEastAsia" w:eastAsiaTheme="minorEastAsia" w:cstheme="minorEastAsia"/>
                <w:color w:val="auto"/>
                <w:kern w:val="0"/>
                <w:sz w:val="24"/>
                <w:szCs w:val="24"/>
                <w:highlight w:val="none"/>
              </w:rPr>
              <w:t>标注“★”的为核心</w:t>
            </w:r>
            <w:r>
              <w:rPr>
                <w:rFonts w:hint="eastAsia" w:asciiTheme="minorEastAsia" w:hAnsiTheme="minorEastAsia" w:eastAsiaTheme="minorEastAsia" w:cstheme="minorEastAsia"/>
                <w:color w:val="auto"/>
                <w:kern w:val="0"/>
                <w:sz w:val="24"/>
                <w:szCs w:val="24"/>
                <w:highlight w:val="none"/>
                <w:lang w:eastAsia="zh-CN"/>
              </w:rPr>
              <w:t>技术</w:t>
            </w:r>
            <w:r>
              <w:rPr>
                <w:rFonts w:hint="eastAsia" w:asciiTheme="minorEastAsia" w:hAnsiTheme="minorEastAsia" w:eastAsiaTheme="minorEastAsia" w:cstheme="minorEastAsia"/>
                <w:color w:val="auto"/>
                <w:kern w:val="0"/>
                <w:sz w:val="24"/>
                <w:szCs w:val="24"/>
                <w:highlight w:val="none"/>
              </w:rPr>
              <w:t>参数，标注“▲”的为主要技术参数，未标注的为一般参数</w:t>
            </w:r>
            <w:r>
              <w:rPr>
                <w:rFonts w:hint="eastAsia" w:asciiTheme="minorEastAsia" w:hAnsiTheme="minorEastAsia" w:eastAsiaTheme="minorEastAsia" w:cstheme="minorEastAsia"/>
                <w:color w:val="auto"/>
                <w:kern w:val="0"/>
                <w:sz w:val="24"/>
                <w:szCs w:val="24"/>
                <w:highlight w:val="none"/>
                <w:lang w:val="en-US" w:eastAsia="zh-CN"/>
              </w:rPr>
              <w:t>），根据投标人提供的产品配置及技术性能指标的响应情况进行评审。</w:t>
            </w:r>
          </w:p>
          <w:p>
            <w:pPr>
              <w:widowControl/>
              <w:numPr>
                <w:ilvl w:val="0"/>
                <w:numId w:val="11"/>
              </w:numPr>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投标人所投产品技术参数完全响应招标文件要求的，得32分；</w:t>
            </w:r>
          </w:p>
          <w:p>
            <w:pPr>
              <w:widowControl/>
              <w:numPr>
                <w:ilvl w:val="0"/>
                <w:numId w:val="0"/>
              </w:numPr>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2.</w:t>
            </w:r>
            <w:r>
              <w:rPr>
                <w:rFonts w:hint="eastAsia" w:asciiTheme="minorEastAsia" w:hAnsiTheme="minorEastAsia" w:eastAsiaTheme="minorEastAsia" w:cstheme="minorEastAsia"/>
                <w:color w:val="auto"/>
                <w:kern w:val="0"/>
                <w:sz w:val="24"/>
                <w:szCs w:val="24"/>
                <w:highlight w:val="none"/>
              </w:rPr>
              <w:t>每种产品</w:t>
            </w:r>
            <w:r>
              <w:rPr>
                <w:rFonts w:hint="eastAsia" w:asciiTheme="minorEastAsia" w:hAnsiTheme="minorEastAsia" w:eastAsiaTheme="minorEastAsia" w:cstheme="minorEastAsia"/>
                <w:color w:val="auto"/>
                <w:kern w:val="2"/>
                <w:sz w:val="24"/>
                <w:szCs w:val="24"/>
                <w:highlight w:val="none"/>
                <w:lang w:val="en-US" w:eastAsia="zh-CN" w:bidi="ar-SA"/>
              </w:rPr>
              <w:t>核心技术参数存在负偏离的（7条），</w:t>
            </w:r>
            <w:r>
              <w:rPr>
                <w:rFonts w:hint="eastAsia" w:asciiTheme="minorEastAsia" w:hAnsiTheme="minorEastAsia" w:eastAsiaTheme="minorEastAsia" w:cstheme="minorEastAsia"/>
                <w:color w:val="auto"/>
                <w:kern w:val="0"/>
                <w:sz w:val="24"/>
                <w:szCs w:val="24"/>
                <w:highlight w:val="none"/>
              </w:rPr>
              <w:t>该产品技术参数分为0分；</w:t>
            </w:r>
          </w:p>
          <w:p>
            <w:pPr>
              <w:widowControl/>
              <w:spacing w:line="400" w:lineRule="exact"/>
              <w:ind w:firstLine="480" w:firstLineChars="200"/>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3.主要技术参数存在负偏离的（6条），每一条扣3分，最多扣18分；</w:t>
            </w:r>
          </w:p>
          <w:p>
            <w:pPr>
              <w:pStyle w:val="2"/>
              <w:ind w:firstLine="480" w:firstLineChars="200"/>
              <w:rPr>
                <w:rFonts w:hint="default"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4.</w:t>
            </w:r>
            <w:r>
              <w:rPr>
                <w:rFonts w:hint="eastAsia" w:asciiTheme="minorEastAsia" w:hAnsiTheme="minorEastAsia" w:eastAsiaTheme="minorEastAsia" w:cstheme="minorEastAsia"/>
                <w:color w:val="auto"/>
                <w:kern w:val="0"/>
                <w:sz w:val="24"/>
                <w:szCs w:val="24"/>
                <w:highlight w:val="none"/>
                <w:lang w:val="en-US" w:eastAsia="zh-CN"/>
              </w:rPr>
              <w:t>一般技术参数存在负偏离的，</w:t>
            </w:r>
            <w:r>
              <w:rPr>
                <w:rFonts w:hint="eastAsia" w:asciiTheme="minorEastAsia" w:hAnsiTheme="minorEastAsia" w:eastAsiaTheme="minorEastAsia" w:cstheme="minorEastAsia"/>
                <w:color w:val="auto"/>
                <w:kern w:val="2"/>
                <w:sz w:val="24"/>
                <w:szCs w:val="24"/>
                <w:highlight w:val="none"/>
                <w:lang w:val="en-US" w:eastAsia="zh-CN" w:bidi="ar-SA"/>
              </w:rPr>
              <w:t>每一条扣0.5分，最多扣14分。</w:t>
            </w:r>
          </w:p>
          <w:p>
            <w:pPr>
              <w:widowControl/>
              <w:spacing w:line="400" w:lineRule="exact"/>
              <w:ind w:firstLine="482" w:firstLineChars="200"/>
              <w:textAlignment w:val="center"/>
              <w:rPr>
                <w:rFonts w:eastAsiaTheme="minorEastAsia"/>
                <w:color w:val="auto"/>
                <w:highlight w:val="none"/>
              </w:rPr>
            </w:pPr>
            <w:r>
              <w:rPr>
                <w:rFonts w:hint="default" w:ascii="Times New Roman" w:hAnsi="Times New Roman" w:eastAsia="宋体" w:cs="Times New Roman"/>
                <w:b/>
                <w:bCs/>
                <w:color w:val="auto"/>
                <w:sz w:val="24"/>
                <w:szCs w:val="24"/>
                <w:highlight w:val="none"/>
                <w:lang w:eastAsia="zh-CN"/>
              </w:rPr>
              <w:t>注：负偏离评审依据：</w:t>
            </w:r>
            <w:r>
              <w:rPr>
                <w:rFonts w:hint="eastAsia" w:ascii="Times New Roman" w:eastAsia="宋体" w:cs="Times New Roman"/>
                <w:b/>
                <w:bCs/>
                <w:color w:val="auto"/>
                <w:sz w:val="24"/>
                <w:szCs w:val="24"/>
                <w:highlight w:val="none"/>
                <w:lang w:val="en-US" w:eastAsia="zh-CN"/>
              </w:rPr>
              <w:t>①</w:t>
            </w:r>
            <w:r>
              <w:rPr>
                <w:rFonts w:hint="default" w:ascii="Times New Roman" w:hAnsi="Times New Roman" w:eastAsia="宋体" w:cs="Times New Roman"/>
                <w:b/>
                <w:bCs/>
                <w:color w:val="auto"/>
                <w:sz w:val="24"/>
                <w:szCs w:val="24"/>
                <w:highlight w:val="none"/>
                <w:lang w:val="en-US" w:eastAsia="zh-CN"/>
              </w:rPr>
              <w:t>所</w:t>
            </w:r>
            <w:r>
              <w:rPr>
                <w:rFonts w:hint="eastAsia" w:cs="Times New Roman"/>
                <w:b/>
                <w:bCs/>
                <w:color w:val="auto"/>
                <w:sz w:val="24"/>
                <w:szCs w:val="24"/>
                <w:highlight w:val="none"/>
                <w:lang w:val="en-US" w:eastAsia="zh-CN"/>
              </w:rPr>
              <w:t>提供</w:t>
            </w:r>
            <w:r>
              <w:rPr>
                <w:rFonts w:hint="default" w:ascii="Times New Roman" w:hAnsi="Times New Roman" w:eastAsia="宋体" w:cs="Times New Roman"/>
                <w:b/>
                <w:bCs/>
                <w:color w:val="auto"/>
                <w:sz w:val="24"/>
                <w:szCs w:val="24"/>
                <w:highlight w:val="none"/>
                <w:lang w:val="en-US" w:eastAsia="zh-CN"/>
              </w:rPr>
              <w:t>产品技术参数低于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文件要求的，视为负偏离；</w:t>
            </w:r>
            <w:r>
              <w:rPr>
                <w:rFonts w:hint="eastAsia" w:ascii="Times New Roman" w:eastAsia="宋体" w:cs="Times New Roman"/>
                <w:b/>
                <w:bCs/>
                <w:color w:val="auto"/>
                <w:sz w:val="24"/>
                <w:szCs w:val="24"/>
                <w:highlight w:val="none"/>
                <w:lang w:val="en-US" w:eastAsia="zh-CN"/>
              </w:rPr>
              <w:t>②</w:t>
            </w:r>
            <w:r>
              <w:rPr>
                <w:rFonts w:hint="default" w:ascii="Times New Roman" w:hAnsi="Times New Roman" w:eastAsia="宋体" w:cs="Times New Roman"/>
                <w:b/>
                <w:bCs/>
                <w:color w:val="auto"/>
                <w:sz w:val="24"/>
                <w:szCs w:val="24"/>
                <w:highlight w:val="none"/>
                <w:lang w:val="en-US" w:eastAsia="zh-CN"/>
              </w:rPr>
              <w:t>技术参数响应条款</w:t>
            </w:r>
            <w:r>
              <w:rPr>
                <w:rFonts w:hint="eastAsia" w:ascii="Times New Roman" w:eastAsia="宋体" w:cs="Times New Roman"/>
                <w:b/>
                <w:bCs/>
                <w:color w:val="auto"/>
                <w:sz w:val="24"/>
                <w:szCs w:val="24"/>
                <w:highlight w:val="none"/>
                <w:lang w:val="en-US" w:eastAsia="zh-CN"/>
              </w:rPr>
              <w:t>（以投标文件内技术偏离表为准）</w:t>
            </w:r>
            <w:r>
              <w:rPr>
                <w:rFonts w:hint="default" w:ascii="Times New Roman" w:hAnsi="Times New Roman" w:eastAsia="宋体" w:cs="Times New Roman"/>
                <w:b/>
                <w:bCs/>
                <w:color w:val="auto"/>
                <w:sz w:val="24"/>
                <w:szCs w:val="24"/>
                <w:highlight w:val="none"/>
                <w:lang w:val="en-US" w:eastAsia="zh-CN"/>
              </w:rPr>
              <w:t>与</w:t>
            </w:r>
            <w:r>
              <w:rPr>
                <w:rFonts w:hint="eastAsia" w:ascii="Times New Roman" w:hAnsi="Times New Roman" w:eastAsia="宋体" w:cs="Times New Roman"/>
                <w:b/>
                <w:bCs/>
                <w:color w:val="auto"/>
                <w:sz w:val="24"/>
                <w:szCs w:val="24"/>
                <w:highlight w:val="none"/>
                <w:lang w:val="en-US" w:eastAsia="zh-CN"/>
              </w:rPr>
              <w:t>招标</w:t>
            </w:r>
            <w:r>
              <w:rPr>
                <w:rFonts w:hint="default" w:ascii="Times New Roman" w:hAnsi="Times New Roman" w:eastAsia="宋体" w:cs="Times New Roman"/>
                <w:b/>
                <w:bCs/>
                <w:color w:val="auto"/>
                <w:sz w:val="24"/>
                <w:szCs w:val="24"/>
                <w:highlight w:val="none"/>
                <w:lang w:val="en-US" w:eastAsia="zh-CN"/>
              </w:rPr>
              <w:t>文件对比有缺项、漏项的，视为负偏离；</w:t>
            </w:r>
            <w:r>
              <w:rPr>
                <w:rFonts w:hint="eastAsia" w:ascii="Times New Roman" w:eastAsia="宋体" w:cs="Times New Roman"/>
                <w:b/>
                <w:bCs/>
                <w:color w:val="auto"/>
                <w:sz w:val="24"/>
                <w:szCs w:val="24"/>
                <w:highlight w:val="none"/>
                <w:lang w:val="en-US" w:eastAsia="zh-CN"/>
              </w:rPr>
              <w:t>③</w:t>
            </w:r>
            <w:r>
              <w:rPr>
                <w:rFonts w:hint="eastAsia" w:cs="Times New Roman"/>
                <w:b/>
                <w:bCs/>
                <w:color w:val="auto"/>
                <w:sz w:val="24"/>
                <w:szCs w:val="24"/>
                <w:highlight w:val="none"/>
                <w:lang w:val="en-US" w:eastAsia="zh-CN"/>
              </w:rPr>
              <w:t>投标文件内</w:t>
            </w:r>
            <w:r>
              <w:rPr>
                <w:rFonts w:hint="eastAsia" w:ascii="Times New Roman" w:eastAsia="宋体" w:cs="Times New Roman"/>
                <w:b/>
                <w:bCs/>
                <w:color w:val="auto"/>
                <w:sz w:val="24"/>
                <w:szCs w:val="24"/>
                <w:highlight w:val="none"/>
                <w:lang w:val="en-US" w:eastAsia="zh-CN"/>
              </w:rPr>
              <w:t>技术偏离表完全复制招标文件技术参数的（不涉及具体参数指标的描述性技术要求除外），视为负偏离；④</w:t>
            </w:r>
            <w:r>
              <w:rPr>
                <w:rFonts w:hint="eastAsia" w:ascii="Times New Roman" w:hAnsi="Times New Roman" w:eastAsia="宋体" w:cs="Times New Roman"/>
                <w:b/>
                <w:bCs/>
                <w:color w:val="auto"/>
                <w:sz w:val="24"/>
                <w:szCs w:val="24"/>
                <w:highlight w:val="none"/>
                <w:lang w:val="en-US" w:eastAsia="zh-CN"/>
              </w:rPr>
              <w:t>投标人</w:t>
            </w:r>
            <w:r>
              <w:rPr>
                <w:rFonts w:hint="default" w:ascii="Times New Roman" w:hAnsi="Times New Roman" w:eastAsia="宋体" w:cs="Times New Roman"/>
                <w:b/>
                <w:bCs/>
                <w:color w:val="auto"/>
                <w:sz w:val="24"/>
                <w:szCs w:val="24"/>
                <w:highlight w:val="none"/>
                <w:lang w:val="en-US" w:eastAsia="zh-CN"/>
              </w:rPr>
              <w:t>提供的</w:t>
            </w:r>
            <w:r>
              <w:rPr>
                <w:rFonts w:hint="eastAsia" w:cs="Times New Roman"/>
                <w:b/>
                <w:bCs/>
                <w:color w:val="auto"/>
                <w:sz w:val="24"/>
                <w:szCs w:val="24"/>
                <w:highlight w:val="none"/>
                <w:lang w:val="en-US" w:eastAsia="zh-CN"/>
              </w:rPr>
              <w:t>投标</w:t>
            </w:r>
            <w:r>
              <w:rPr>
                <w:rFonts w:hint="default" w:ascii="Times New Roman" w:hAnsi="Times New Roman" w:eastAsia="宋体" w:cs="Times New Roman"/>
                <w:b/>
                <w:bCs/>
                <w:color w:val="auto"/>
                <w:sz w:val="24"/>
                <w:szCs w:val="24"/>
                <w:highlight w:val="none"/>
                <w:lang w:val="en-US" w:eastAsia="zh-CN"/>
              </w:rPr>
              <w:t>文件中产品技术偏离表、产品技术规格书和产品检测报告内描述的同一产品技术参数响应值不一致的，视为负偏离</w:t>
            </w:r>
            <w:r>
              <w:rPr>
                <w:rFonts w:hint="eastAsia" w:ascii="Times New Roman" w:eastAsia="宋体" w:cs="Times New Roman"/>
                <w:b/>
                <w:bCs/>
                <w:color w:val="auto"/>
                <w:sz w:val="24"/>
                <w:szCs w:val="24"/>
                <w:highlight w:val="none"/>
                <w:lang w:val="en-US" w:eastAsia="zh-CN"/>
              </w:rPr>
              <w:t>。</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32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default" w:ascii="Times New Roman" w:hAnsi="Times New Roman" w:eastAsia="宋体" w:cs="Times New Roman"/>
                <w:color w:val="auto"/>
                <w:sz w:val="24"/>
                <w:szCs w:val="24"/>
                <w:highlight w:val="none"/>
              </w:rPr>
              <w:t>业绩证明</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供应商</w:t>
            </w:r>
            <w:r>
              <w:rPr>
                <w:rFonts w:hint="eastAsia" w:ascii="Times New Roman" w:hAnsi="Times New Roman" w:eastAsia="宋体" w:cs="Times New Roman"/>
                <w:color w:val="auto"/>
                <w:sz w:val="24"/>
                <w:szCs w:val="24"/>
                <w:highlight w:val="none"/>
                <w:lang w:eastAsia="zh-CN"/>
              </w:rPr>
              <w:t>近三年内（</w:t>
            </w:r>
            <w:r>
              <w:rPr>
                <w:rFonts w:hint="eastAsia" w:cs="Times New Roman"/>
                <w:color w:val="auto"/>
                <w:sz w:val="24"/>
                <w:szCs w:val="24"/>
                <w:highlight w:val="none"/>
                <w:lang w:eastAsia="zh-CN"/>
              </w:rPr>
              <w:t>202</w:t>
            </w:r>
            <w:r>
              <w:rPr>
                <w:rFonts w:hint="eastAsia" w:cs="Times New Roman"/>
                <w:color w:val="auto"/>
                <w:sz w:val="24"/>
                <w:szCs w:val="24"/>
                <w:highlight w:val="none"/>
                <w:lang w:val="en-US" w:eastAsia="zh-CN"/>
              </w:rPr>
              <w:t>1</w:t>
            </w:r>
            <w:r>
              <w:rPr>
                <w:rFonts w:hint="eastAsia" w:cs="Times New Roman"/>
                <w:color w:val="auto"/>
                <w:sz w:val="24"/>
                <w:szCs w:val="24"/>
                <w:highlight w:val="none"/>
                <w:lang w:eastAsia="zh-CN"/>
              </w:rPr>
              <w:t>年1月</w:t>
            </w:r>
            <w:r>
              <w:rPr>
                <w:rFonts w:hint="eastAsia" w:ascii="Times New Roman" w:hAnsi="Times New Roman" w:eastAsia="宋体" w:cs="Times New Roman"/>
                <w:color w:val="auto"/>
                <w:sz w:val="24"/>
                <w:szCs w:val="24"/>
                <w:highlight w:val="none"/>
                <w:lang w:eastAsia="zh-CN"/>
              </w:rPr>
              <w:t>1日起至今，以合同签订日期为准）完成类似项目的业绩，每个项目业绩得</w:t>
            </w:r>
            <w:r>
              <w:rPr>
                <w:rFonts w:hint="eastAsia" w:cs="Times New Roman"/>
                <w:color w:val="auto"/>
                <w:sz w:val="24"/>
                <w:szCs w:val="24"/>
                <w:highlight w:val="none"/>
                <w:lang w:val="en-US" w:eastAsia="zh-CN"/>
              </w:rPr>
              <w:t>2.5</w:t>
            </w:r>
            <w:r>
              <w:rPr>
                <w:rFonts w:hint="eastAsia" w:ascii="Times New Roman" w:hAnsi="Times New Roman" w:eastAsia="宋体" w:cs="Times New Roman"/>
                <w:color w:val="auto"/>
                <w:sz w:val="24"/>
                <w:szCs w:val="24"/>
                <w:highlight w:val="none"/>
                <w:lang w:eastAsia="zh-CN"/>
              </w:rPr>
              <w:t>分，最多得</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lang w:eastAsia="zh-CN"/>
              </w:rPr>
              <w:t>分。</w:t>
            </w:r>
          </w:p>
          <w:p>
            <w:pPr>
              <w:widowControl/>
              <w:spacing w:line="400" w:lineRule="exact"/>
              <w:ind w:firstLine="482" w:firstLineChars="200"/>
              <w:textAlignment w:val="center"/>
              <w:rPr>
                <w:rFonts w:hint="default" w:ascii="Times New Roman" w:hAnsi="Times New Roman" w:eastAsia="宋体" w:cs="Times New Roman"/>
                <w:b/>
                <w:bCs/>
                <w:color w:val="auto"/>
                <w:sz w:val="24"/>
                <w:szCs w:val="24"/>
                <w:highlight w:val="none"/>
                <w:lang w:eastAsia="zh-CN"/>
              </w:rPr>
            </w:pPr>
            <w:r>
              <w:rPr>
                <w:rFonts w:hint="eastAsia" w:ascii="Times New Roman" w:hAnsi="Times New Roman" w:eastAsia="宋体" w:cs="Times New Roman"/>
                <w:b/>
                <w:bCs/>
                <w:color w:val="auto"/>
                <w:sz w:val="24"/>
                <w:szCs w:val="24"/>
                <w:highlight w:val="none"/>
                <w:lang w:val="en-US" w:eastAsia="zh-CN"/>
              </w:rPr>
              <w:t>注：</w:t>
            </w:r>
            <w:r>
              <w:rPr>
                <w:rFonts w:hint="eastAsia" w:ascii="Times New Roman" w:eastAsia="宋体" w:cs="Times New Roman"/>
                <w:b/>
                <w:bCs/>
                <w:color w:val="auto"/>
                <w:sz w:val="24"/>
                <w:szCs w:val="24"/>
                <w:highlight w:val="none"/>
                <w:lang w:val="en-US" w:eastAsia="zh-CN"/>
              </w:rPr>
              <w:t>①</w:t>
            </w:r>
            <w:r>
              <w:rPr>
                <w:rFonts w:hint="eastAsia" w:ascii="Times New Roman" w:hAnsi="Times New Roman" w:eastAsia="宋体" w:cs="Times New Roman"/>
                <w:b/>
                <w:bCs/>
                <w:color w:val="auto"/>
                <w:sz w:val="24"/>
                <w:szCs w:val="24"/>
                <w:highlight w:val="none"/>
                <w:lang w:val="en-US" w:eastAsia="zh-CN"/>
              </w:rPr>
              <w:t>提供中标（成交）通知书和合同复印件，未按要求提供不得分；</w:t>
            </w:r>
            <w:r>
              <w:rPr>
                <w:rFonts w:hint="eastAsia" w:ascii="Times New Roman" w:eastAsia="宋体" w:cs="Times New Roman"/>
                <w:b/>
                <w:bCs/>
                <w:color w:val="auto"/>
                <w:sz w:val="24"/>
                <w:szCs w:val="24"/>
                <w:highlight w:val="none"/>
                <w:lang w:val="en-US" w:eastAsia="zh-CN"/>
              </w:rPr>
              <w:t>②</w:t>
            </w:r>
            <w:r>
              <w:rPr>
                <w:rFonts w:hint="eastAsia" w:ascii="Times New Roman" w:hAnsi="Times New Roman" w:eastAsia="宋体" w:cs="Times New Roman"/>
                <w:b/>
                <w:bCs/>
                <w:color w:val="auto"/>
                <w:sz w:val="24"/>
                <w:szCs w:val="24"/>
                <w:highlight w:val="none"/>
                <w:lang w:val="en-US" w:eastAsia="zh-CN"/>
              </w:rPr>
              <w:t>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bidi="ar-SA"/>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项目组织</w:t>
            </w:r>
          </w:p>
          <w:p>
            <w:pPr>
              <w:widowControl/>
              <w:spacing w:line="400" w:lineRule="exact"/>
              <w:jc w:val="center"/>
              <w:textAlignment w:val="center"/>
              <w:rPr>
                <w:rFonts w:hint="default" w:ascii="Times New Roman" w:hAnsi="Times New Roman" w:eastAsia="宋体" w:cs="Times New Roman"/>
                <w:color w:val="auto"/>
                <w:sz w:val="24"/>
                <w:szCs w:val="24"/>
                <w:highlight w:val="none"/>
              </w:rPr>
            </w:pPr>
            <w:r>
              <w:rPr>
                <w:rFonts w:hint="eastAsia" w:asciiTheme="minorEastAsia" w:hAnsiTheme="minorEastAsia" w:eastAsiaTheme="minorEastAsia" w:cstheme="minorEastAsia"/>
                <w:color w:val="auto"/>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根据供应商提供的项目实施方案进行评分：</w:t>
            </w:r>
          </w:p>
          <w:p>
            <w:pPr>
              <w:widowControl/>
              <w:spacing w:line="400" w:lineRule="exact"/>
              <w:ind w:firstLine="480" w:firstLineChars="200"/>
              <w:rPr>
                <w:b w:val="0"/>
                <w:bCs w:val="0"/>
                <w:color w:val="auto"/>
                <w:sz w:val="24"/>
                <w:szCs w:val="24"/>
                <w:highlight w:val="none"/>
              </w:rPr>
            </w:pPr>
            <w:r>
              <w:rPr>
                <w:rFonts w:hint="eastAsia"/>
                <w:b w:val="0"/>
                <w:bCs w:val="0"/>
                <w:color w:val="auto"/>
                <w:sz w:val="24"/>
                <w:szCs w:val="24"/>
                <w:highlight w:val="none"/>
              </w:rPr>
              <w:t>项目实施方案包括但不限于：</w:t>
            </w:r>
            <w:r>
              <w:rPr>
                <w:rFonts w:hint="eastAsia"/>
                <w:b w:val="0"/>
                <w:bCs w:val="0"/>
                <w:color w:val="auto"/>
                <w:sz w:val="24"/>
                <w:szCs w:val="24"/>
                <w:highlight w:val="none"/>
                <w:lang w:eastAsia="zh-CN"/>
              </w:rPr>
              <w:t>①</w:t>
            </w:r>
            <w:r>
              <w:rPr>
                <w:rFonts w:hint="eastAsia" w:asciiTheme="majorEastAsia" w:hAnsiTheme="majorEastAsia" w:eastAsiaTheme="majorEastAsia" w:cstheme="majorEastAsia"/>
                <w:b w:val="0"/>
                <w:bCs w:val="0"/>
                <w:color w:val="auto"/>
                <w:sz w:val="24"/>
                <w:szCs w:val="24"/>
                <w:highlight w:val="none"/>
              </w:rPr>
              <w:t>项目人员安排（包含但不限于主要人员名单及基本情况介绍、在本项目中承担的职责等）、</w:t>
            </w:r>
            <w:r>
              <w:rPr>
                <w:rFonts w:hint="eastAsia" w:asciiTheme="majorEastAsia" w:hAnsiTheme="majorEastAsia" w:eastAsiaTheme="majorEastAsia" w:cstheme="majorEastAsia"/>
                <w:b w:val="0"/>
                <w:bCs w:val="0"/>
                <w:color w:val="auto"/>
                <w:sz w:val="24"/>
                <w:szCs w:val="24"/>
                <w:highlight w:val="none"/>
                <w:lang w:eastAsia="zh-CN"/>
              </w:rPr>
              <w:t>②</w:t>
            </w:r>
            <w:r>
              <w:rPr>
                <w:rFonts w:hint="eastAsia" w:asciiTheme="majorEastAsia" w:hAnsiTheme="majorEastAsia" w:eastAsiaTheme="majorEastAsia" w:cstheme="majorEastAsia"/>
                <w:b w:val="0"/>
                <w:bCs w:val="0"/>
                <w:color w:val="auto"/>
                <w:sz w:val="24"/>
                <w:szCs w:val="24"/>
                <w:highlight w:val="none"/>
              </w:rPr>
              <w:t>供货方案（包含但不限于产品来源、供货计划、供货时间、包装和运输方式等）、</w:t>
            </w:r>
            <w:r>
              <w:rPr>
                <w:rFonts w:hint="eastAsia" w:asciiTheme="majorEastAsia" w:hAnsiTheme="majorEastAsia" w:eastAsiaTheme="majorEastAsia" w:cstheme="majorEastAsia"/>
                <w:b w:val="0"/>
                <w:bCs w:val="0"/>
                <w:color w:val="auto"/>
                <w:sz w:val="24"/>
                <w:szCs w:val="24"/>
                <w:highlight w:val="none"/>
                <w:lang w:eastAsia="zh-CN"/>
              </w:rPr>
              <w:t>③</w:t>
            </w:r>
            <w:r>
              <w:rPr>
                <w:rFonts w:hint="eastAsia" w:asciiTheme="majorEastAsia" w:hAnsiTheme="majorEastAsia" w:eastAsiaTheme="majorEastAsia" w:cstheme="majorEastAsia"/>
                <w:b w:val="0"/>
                <w:bCs w:val="0"/>
                <w:color w:val="auto"/>
                <w:sz w:val="24"/>
                <w:szCs w:val="24"/>
                <w:highlight w:val="none"/>
              </w:rPr>
              <w:t>质量管控方案（包括但不限于质量管控的标准、方法和程序等）、</w:t>
            </w:r>
            <w:r>
              <w:rPr>
                <w:rFonts w:hint="eastAsia" w:asciiTheme="majorEastAsia" w:hAnsiTheme="majorEastAsia" w:eastAsiaTheme="majorEastAsia" w:cstheme="majorEastAsia"/>
                <w:b w:val="0"/>
                <w:bCs w:val="0"/>
                <w:color w:val="auto"/>
                <w:sz w:val="24"/>
                <w:szCs w:val="24"/>
                <w:highlight w:val="none"/>
                <w:lang w:eastAsia="zh-CN"/>
              </w:rPr>
              <w:t>④</w:t>
            </w:r>
            <w:r>
              <w:rPr>
                <w:rFonts w:hint="eastAsia" w:asciiTheme="majorEastAsia" w:hAnsiTheme="majorEastAsia" w:eastAsiaTheme="majorEastAsia" w:cstheme="majorEastAsia"/>
                <w:b w:val="0"/>
                <w:bCs w:val="0"/>
                <w:color w:val="auto"/>
                <w:sz w:val="24"/>
                <w:szCs w:val="24"/>
                <w:highlight w:val="none"/>
              </w:rPr>
              <w:t>测试（调试）方案（包含但不限于人员安排、测试步骤、测试标准等）</w:t>
            </w:r>
            <w:r>
              <w:rPr>
                <w:b w:val="0"/>
                <w:bCs w:val="0"/>
                <w:color w:val="auto"/>
                <w:sz w:val="24"/>
                <w:szCs w:val="24"/>
                <w:highlight w:val="none"/>
              </w:rPr>
              <w:t>等</w:t>
            </w:r>
            <w:r>
              <w:rPr>
                <w:rFonts w:hint="eastAsia"/>
                <w:b w:val="0"/>
                <w:bCs w:val="0"/>
                <w:color w:val="auto"/>
                <w:sz w:val="24"/>
                <w:szCs w:val="24"/>
                <w:highlight w:val="none"/>
              </w:rPr>
              <w:t>4项内容，方案内容完整齐全，符合项目实际（</w:t>
            </w:r>
            <w:r>
              <w:rPr>
                <w:rFonts w:hint="eastAsia" w:asciiTheme="majorEastAsia" w:hAnsiTheme="majorEastAsia" w:eastAsiaTheme="majorEastAsia" w:cstheme="majorEastAsia"/>
                <w:b w:val="0"/>
                <w:bCs w:val="0"/>
                <w:color w:val="auto"/>
                <w:sz w:val="24"/>
                <w:szCs w:val="24"/>
                <w:highlight w:val="none"/>
              </w:rPr>
              <w:t>第六章“项目需求”</w:t>
            </w:r>
            <w:r>
              <w:rPr>
                <w:rFonts w:hint="eastAsia"/>
                <w:b w:val="0"/>
                <w:bCs w:val="0"/>
                <w:color w:val="auto"/>
                <w:sz w:val="24"/>
                <w:szCs w:val="24"/>
                <w:highlight w:val="none"/>
              </w:rPr>
              <w:t>）的，得</w:t>
            </w:r>
            <w:r>
              <w:rPr>
                <w:rFonts w:hint="eastAsia"/>
                <w:b w:val="0"/>
                <w:bCs w:val="0"/>
                <w:color w:val="auto"/>
                <w:sz w:val="24"/>
                <w:szCs w:val="24"/>
                <w:highlight w:val="none"/>
                <w:lang w:val="en-US" w:eastAsia="zh-CN"/>
              </w:rPr>
              <w:t>8</w:t>
            </w:r>
            <w:r>
              <w:rPr>
                <w:rFonts w:hint="eastAsia"/>
                <w:b w:val="0"/>
                <w:bCs w:val="0"/>
                <w:color w:val="auto"/>
                <w:sz w:val="24"/>
                <w:szCs w:val="24"/>
                <w:highlight w:val="none"/>
              </w:rPr>
              <w:t>分；每缺少一项方案内容，或一项内容存在缺陷的，每一项扣</w:t>
            </w:r>
            <w:r>
              <w:rPr>
                <w:rFonts w:hint="eastAsia"/>
                <w:b w:val="0"/>
                <w:bCs w:val="0"/>
                <w:color w:val="auto"/>
                <w:sz w:val="24"/>
                <w:szCs w:val="24"/>
                <w:highlight w:val="none"/>
                <w:lang w:val="en-US" w:eastAsia="zh-CN"/>
              </w:rPr>
              <w:t>2</w:t>
            </w:r>
            <w:r>
              <w:rPr>
                <w:rFonts w:hint="eastAsia"/>
                <w:b w:val="0"/>
                <w:bCs w:val="0"/>
                <w:color w:val="auto"/>
                <w:sz w:val="24"/>
                <w:szCs w:val="24"/>
                <w:highlight w:val="none"/>
              </w:rPr>
              <w:t>分，扣完为止；未提供项目实施方案的，此项不得分。</w:t>
            </w:r>
          </w:p>
          <w:p>
            <w:pPr>
              <w:keepNext w:val="0"/>
              <w:keepLines w:val="0"/>
              <w:pageBreakBefore w:val="0"/>
              <w:widowControl/>
              <w:kinsoku/>
              <w:wordWrap/>
              <w:overflowPunct/>
              <w:topLinePunct w:val="0"/>
              <w:autoSpaceDE/>
              <w:autoSpaceDN/>
              <w:bidi w:val="0"/>
              <w:adjustRightInd/>
              <w:snapToGrid/>
              <w:spacing w:line="400" w:lineRule="exact"/>
              <w:ind w:firstLine="482" w:firstLineChars="200"/>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技术培训</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根据供应商提供的项目培训方案进行评分：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项目培训方案包括但不限于</w:t>
            </w:r>
            <w:r>
              <w:rPr>
                <w:rFonts w:hint="default" w:asciiTheme="majorEastAsia" w:hAnsiTheme="majorEastAsia" w:eastAsiaTheme="majorEastAsia" w:cstheme="majorEastAsia"/>
                <w:color w:val="auto"/>
                <w:sz w:val="24"/>
                <w:szCs w:val="24"/>
                <w:highlight w:val="none"/>
                <w:lang w:val="en-US" w:eastAsia="zh-CN"/>
              </w:rPr>
              <w:t>培训内容</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培训方式</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培训计划</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培训团队人员配置</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4项内容，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8</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2</w:t>
            </w:r>
            <w:r>
              <w:rPr>
                <w:rFonts w:hint="eastAsia" w:ascii="Times New Roman" w:hAnsi="Times New Roman" w:eastAsia="宋体" w:cs="Times New Roman"/>
                <w:color w:val="auto"/>
                <w:sz w:val="24"/>
                <w:szCs w:val="24"/>
                <w:highlight w:val="none"/>
                <w:lang w:val="en-US" w:eastAsia="zh-CN"/>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kern w:val="0"/>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w:t>
            </w:r>
          </w:p>
          <w:p>
            <w:pPr>
              <w:widowControl/>
              <w:spacing w:line="400" w:lineRule="exact"/>
              <w:jc w:val="center"/>
              <w:textAlignment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方案评价</w:t>
            </w:r>
          </w:p>
        </w:tc>
        <w:tc>
          <w:tcPr>
            <w:tcW w:w="5954" w:type="dxa"/>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根据供应商提供的</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方案进行评分：</w:t>
            </w:r>
          </w:p>
          <w:p>
            <w:pPr>
              <w:keepNext w:val="0"/>
              <w:keepLines w:val="0"/>
              <w:pageBreakBefore w:val="0"/>
              <w:widowControl/>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项目</w:t>
            </w:r>
            <w:r>
              <w:rPr>
                <w:rFonts w:hint="eastAsia" w:cs="Times New Roman"/>
                <w:color w:val="auto"/>
                <w:sz w:val="24"/>
                <w:szCs w:val="24"/>
                <w:highlight w:val="none"/>
                <w:lang w:eastAsia="zh-CN"/>
              </w:rPr>
              <w:t>售后服务</w:t>
            </w:r>
            <w:r>
              <w:rPr>
                <w:rFonts w:hint="eastAsia" w:ascii="Times New Roman" w:hAnsi="Times New Roman" w:eastAsia="宋体" w:cs="Times New Roman"/>
                <w:color w:val="auto"/>
                <w:sz w:val="24"/>
                <w:szCs w:val="24"/>
                <w:highlight w:val="none"/>
                <w:lang w:eastAsia="zh-CN"/>
              </w:rPr>
              <w:t>方案包括但不限于</w:t>
            </w:r>
            <w:r>
              <w:rPr>
                <w:rFonts w:hint="eastAsia" w:asciiTheme="majorEastAsia" w:hAnsiTheme="majorEastAsia" w:eastAsiaTheme="majorEastAsia" w:cstheme="majorEastAsia"/>
                <w:color w:val="auto"/>
                <w:sz w:val="24"/>
                <w:szCs w:val="24"/>
                <w:highlight w:val="none"/>
                <w:lang w:val="en-US" w:eastAsia="zh-CN"/>
              </w:rPr>
              <w:t>售后</w:t>
            </w:r>
            <w:r>
              <w:rPr>
                <w:rFonts w:hint="default" w:asciiTheme="majorEastAsia" w:hAnsiTheme="majorEastAsia" w:eastAsiaTheme="majorEastAsia" w:cstheme="majorEastAsia"/>
                <w:color w:val="auto"/>
                <w:sz w:val="24"/>
                <w:szCs w:val="24"/>
                <w:highlight w:val="none"/>
                <w:lang w:val="en-US" w:eastAsia="zh-CN"/>
              </w:rPr>
              <w:t>服务承诺</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服务响应方案</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备件（易耗品）供应方案</w:t>
            </w:r>
            <w:r>
              <w:rPr>
                <w:rFonts w:hint="eastAsia" w:asciiTheme="majorEastAsia" w:hAnsiTheme="majorEastAsia" w:eastAsiaTheme="majorEastAsia" w:cstheme="majorEastAsia"/>
                <w:color w:val="auto"/>
                <w:sz w:val="24"/>
                <w:szCs w:val="24"/>
                <w:highlight w:val="none"/>
                <w:lang w:val="en-US" w:eastAsia="zh-CN"/>
              </w:rPr>
              <w:t>（含备件价格）、</w:t>
            </w:r>
            <w:r>
              <w:rPr>
                <w:rFonts w:hint="default" w:asciiTheme="majorEastAsia" w:hAnsiTheme="majorEastAsia" w:eastAsiaTheme="majorEastAsia" w:cstheme="majorEastAsia"/>
                <w:color w:val="auto"/>
                <w:sz w:val="24"/>
                <w:szCs w:val="24"/>
                <w:highlight w:val="none"/>
                <w:lang w:val="en-US" w:eastAsia="zh-CN"/>
              </w:rPr>
              <w:t>服务人员配备</w:t>
            </w:r>
            <w:r>
              <w:rPr>
                <w:rFonts w:hint="eastAsia" w:asciiTheme="majorEastAsia" w:hAnsiTheme="majorEastAsia" w:eastAsiaTheme="majorEastAsia" w:cstheme="majorEastAsia"/>
                <w:color w:val="auto"/>
                <w:sz w:val="24"/>
                <w:szCs w:val="24"/>
                <w:highlight w:val="none"/>
                <w:lang w:val="en-US" w:eastAsia="zh-CN"/>
              </w:rPr>
              <w:t>、</w:t>
            </w:r>
            <w:r>
              <w:rPr>
                <w:rFonts w:hint="default" w:asciiTheme="majorEastAsia" w:hAnsiTheme="majorEastAsia" w:eastAsiaTheme="majorEastAsia" w:cstheme="majorEastAsia"/>
                <w:color w:val="auto"/>
                <w:sz w:val="24"/>
                <w:szCs w:val="24"/>
                <w:highlight w:val="none"/>
                <w:lang w:val="en-US" w:eastAsia="zh-CN"/>
              </w:rPr>
              <w:t>故障响应</w:t>
            </w:r>
            <w:r>
              <w:rPr>
                <w:rFonts w:hint="eastAsia" w:asciiTheme="majorEastAsia" w:hAnsiTheme="majorEastAsia" w:eastAsiaTheme="majorEastAsia" w:cstheme="majorEastAsia"/>
                <w:color w:val="auto"/>
                <w:sz w:val="24"/>
                <w:szCs w:val="24"/>
                <w:highlight w:val="none"/>
                <w:lang w:val="en-US" w:eastAsia="zh-CN"/>
              </w:rPr>
              <w:t>措施、</w:t>
            </w:r>
            <w:r>
              <w:rPr>
                <w:rFonts w:hint="default" w:asciiTheme="majorEastAsia" w:hAnsiTheme="majorEastAsia" w:eastAsiaTheme="majorEastAsia" w:cstheme="majorEastAsia"/>
                <w:color w:val="auto"/>
                <w:sz w:val="24"/>
                <w:szCs w:val="24"/>
                <w:highlight w:val="none"/>
                <w:lang w:val="en-US" w:eastAsia="zh-CN"/>
              </w:rPr>
              <w:t>质保外服务措施</w:t>
            </w:r>
            <w:r>
              <w:rPr>
                <w:rFonts w:hint="default" w:ascii="Times New Roman" w:hAnsi="Times New Roman" w:eastAsia="宋体" w:cs="Times New Roman"/>
                <w:color w:val="auto"/>
                <w:sz w:val="24"/>
                <w:szCs w:val="24"/>
                <w:highlight w:val="none"/>
                <w:lang w:eastAsia="zh-CN"/>
              </w:rPr>
              <w:t>等</w:t>
            </w:r>
            <w:r>
              <w:rPr>
                <w:rFonts w:hint="eastAsia" w:ascii="Times New Roman" w:hAnsi="Times New Roman" w:eastAsia="宋体" w:cs="Times New Roman"/>
                <w:color w:val="auto"/>
                <w:sz w:val="24"/>
                <w:szCs w:val="24"/>
                <w:highlight w:val="none"/>
                <w:lang w:val="en-US" w:eastAsia="zh-CN"/>
              </w:rPr>
              <w:t>6项内容，</w:t>
            </w:r>
            <w:r>
              <w:rPr>
                <w:rFonts w:hint="eastAsia" w:ascii="Times New Roman" w:hAnsi="Times New Roman" w:eastAsia="宋体" w:cs="Times New Roman"/>
                <w:color w:val="auto"/>
                <w:sz w:val="24"/>
                <w:szCs w:val="24"/>
                <w:highlight w:val="none"/>
                <w:lang w:eastAsia="zh-CN"/>
              </w:rPr>
              <w:t>方案内容完整齐全，符合项目实际的，得</w:t>
            </w:r>
            <w:r>
              <w:rPr>
                <w:rFonts w:hint="eastAsia" w:cs="Times New Roman"/>
                <w:color w:val="auto"/>
                <w:sz w:val="24"/>
                <w:szCs w:val="24"/>
                <w:highlight w:val="none"/>
                <w:lang w:val="en-US" w:eastAsia="zh-CN"/>
              </w:rPr>
              <w:t>9</w:t>
            </w:r>
            <w:r>
              <w:rPr>
                <w:rFonts w:hint="eastAsia" w:ascii="Times New Roman" w:hAnsi="Times New Roman" w:eastAsia="宋体" w:cs="Times New Roman"/>
                <w:color w:val="auto"/>
                <w:sz w:val="24"/>
                <w:szCs w:val="24"/>
                <w:highlight w:val="none"/>
                <w:lang w:val="en-US" w:eastAsia="zh-CN"/>
              </w:rPr>
              <w:t>分；每缺少一项方案内容，或一项内容存在缺陷的，每一项扣</w:t>
            </w:r>
            <w:r>
              <w:rPr>
                <w:rFonts w:hint="eastAsia" w:cs="Times New Roman"/>
                <w:color w:val="auto"/>
                <w:sz w:val="24"/>
                <w:szCs w:val="24"/>
                <w:highlight w:val="none"/>
                <w:lang w:val="en-US" w:eastAsia="zh-CN"/>
              </w:rPr>
              <w:t>1.5</w:t>
            </w:r>
            <w:r>
              <w:rPr>
                <w:rFonts w:hint="eastAsia" w:ascii="Times New Roman" w:hAnsi="Times New Roman" w:eastAsia="宋体" w:cs="Times New Roman"/>
                <w:color w:val="auto"/>
                <w:sz w:val="24"/>
                <w:szCs w:val="24"/>
                <w:highlight w:val="none"/>
                <w:lang w:val="en-US" w:eastAsia="zh-CN"/>
              </w:rPr>
              <w:t>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hint="eastAsia" w:asciiTheme="minorEastAsia" w:hAnsiTheme="minorEastAsia" w:eastAsiaTheme="minorEastAsia" w:cstheme="minorEastAsia"/>
                <w:color w:val="auto"/>
                <w:kern w:val="0"/>
                <w:sz w:val="24"/>
                <w:szCs w:val="24"/>
                <w:highlight w:val="none"/>
              </w:rPr>
            </w:pPr>
            <w:r>
              <w:rPr>
                <w:rFonts w:hint="eastAsia" w:hAnsi="宋体" w:cs="宋体"/>
                <w:color w:val="auto"/>
                <w:sz w:val="24"/>
                <w:szCs w:val="24"/>
                <w:highlight w:val="none"/>
              </w:rPr>
              <w:t>投标样品</w:t>
            </w:r>
          </w:p>
        </w:tc>
        <w:tc>
          <w:tcPr>
            <w:tcW w:w="5954" w:type="dxa"/>
            <w:tcMar>
              <w:top w:w="15" w:type="dxa"/>
              <w:left w:w="15" w:type="dxa"/>
              <w:right w:w="15" w:type="dxa"/>
            </w:tcMar>
            <w:vAlign w:val="center"/>
          </w:tcPr>
          <w:p>
            <w:pPr>
              <w:spacing w:line="400" w:lineRule="exact"/>
              <w:ind w:firstLine="480" w:firstLineChars="200"/>
              <w:jc w:val="left"/>
              <w:rPr>
                <w:color w:val="auto"/>
                <w:sz w:val="24"/>
                <w:szCs w:val="24"/>
                <w:highlight w:val="none"/>
              </w:rPr>
            </w:pPr>
            <w:r>
              <w:rPr>
                <w:rFonts w:hint="eastAsia"/>
                <w:color w:val="auto"/>
                <w:sz w:val="24"/>
                <w:szCs w:val="24"/>
                <w:highlight w:val="none"/>
              </w:rPr>
              <w:t>投标人须按照所投标包提供符合采购文件第六章“项目需求”的要求的</w:t>
            </w:r>
            <w:r>
              <w:rPr>
                <w:rFonts w:hint="eastAsia"/>
                <w:color w:val="auto"/>
                <w:sz w:val="24"/>
                <w:szCs w:val="24"/>
                <w:highlight w:val="none"/>
                <w:lang w:val="en-US" w:eastAsia="zh-CN"/>
              </w:rPr>
              <w:t>视频</w:t>
            </w:r>
            <w:r>
              <w:rPr>
                <w:rFonts w:hint="eastAsia"/>
                <w:color w:val="auto"/>
                <w:sz w:val="24"/>
                <w:szCs w:val="24"/>
                <w:highlight w:val="none"/>
              </w:rPr>
              <w:t>样品。所递交</w:t>
            </w:r>
            <w:r>
              <w:rPr>
                <w:rFonts w:hint="eastAsia"/>
                <w:color w:val="auto"/>
                <w:sz w:val="24"/>
                <w:szCs w:val="24"/>
                <w:highlight w:val="none"/>
                <w:lang w:val="en-US" w:eastAsia="zh-CN"/>
              </w:rPr>
              <w:t>视频</w:t>
            </w:r>
            <w:r>
              <w:rPr>
                <w:rFonts w:hint="eastAsia"/>
                <w:color w:val="auto"/>
                <w:sz w:val="24"/>
                <w:szCs w:val="24"/>
                <w:highlight w:val="none"/>
              </w:rPr>
              <w:t>样品上不得体现投标人或制造商名称或其他标识，相应位置须一律空白。未提供</w:t>
            </w:r>
            <w:r>
              <w:rPr>
                <w:rFonts w:hint="eastAsia"/>
                <w:color w:val="auto"/>
                <w:sz w:val="24"/>
                <w:szCs w:val="24"/>
                <w:highlight w:val="none"/>
                <w:lang w:val="en-US" w:eastAsia="zh-CN"/>
              </w:rPr>
              <w:t>视频</w:t>
            </w:r>
            <w:r>
              <w:rPr>
                <w:rFonts w:hint="eastAsia"/>
                <w:color w:val="auto"/>
                <w:sz w:val="24"/>
                <w:szCs w:val="24"/>
                <w:highlight w:val="none"/>
              </w:rPr>
              <w:t>样品或所提供</w:t>
            </w:r>
            <w:r>
              <w:rPr>
                <w:rFonts w:hint="eastAsia"/>
                <w:color w:val="auto"/>
                <w:sz w:val="24"/>
                <w:szCs w:val="24"/>
                <w:highlight w:val="none"/>
                <w:lang w:val="en-US" w:eastAsia="zh-CN"/>
              </w:rPr>
              <w:t>视频</w:t>
            </w:r>
            <w:r>
              <w:rPr>
                <w:rFonts w:hint="eastAsia"/>
                <w:color w:val="auto"/>
                <w:sz w:val="24"/>
                <w:szCs w:val="24"/>
                <w:highlight w:val="none"/>
              </w:rPr>
              <w:t>样品不符合招标文件要求的，本项不得分。</w:t>
            </w:r>
          </w:p>
          <w:p>
            <w:pPr>
              <w:spacing w:line="400" w:lineRule="exact"/>
              <w:ind w:firstLine="480" w:firstLineChars="200"/>
              <w:jc w:val="left"/>
              <w:rPr>
                <w:rFonts w:hint="eastAsia"/>
                <w:color w:val="auto"/>
                <w:sz w:val="24"/>
                <w:szCs w:val="24"/>
                <w:highlight w:val="none"/>
              </w:rPr>
            </w:pPr>
            <w:r>
              <w:rPr>
                <w:rFonts w:hint="eastAsia"/>
                <w:color w:val="auto"/>
                <w:sz w:val="24"/>
                <w:szCs w:val="24"/>
                <w:highlight w:val="none"/>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spacing w:line="400" w:lineRule="exact"/>
              <w:ind w:firstLine="482" w:firstLineChars="200"/>
              <w:jc w:val="left"/>
              <w:rPr>
                <w:rFonts w:hint="eastAsia"/>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0"/>
                <w:sz w:val="24"/>
                <w:szCs w:val="24"/>
                <w:highlight w:val="none"/>
              </w:rPr>
              <w:t>合计：100分</w:t>
            </w:r>
          </w:p>
        </w:tc>
      </w:tr>
    </w:tbl>
    <w:p>
      <w:pPr>
        <w:rPr>
          <w:rFonts w:hint="eastAsia" w:asciiTheme="minorEastAsia" w:hAnsiTheme="minorEastAsia" w:eastAsiaTheme="minorEastAsia" w:cstheme="minorEastAsia"/>
          <w:b/>
          <w:bCs/>
          <w:color w:val="auto"/>
          <w:sz w:val="24"/>
          <w:szCs w:val="24"/>
          <w:highlight w:val="none"/>
        </w:rPr>
      </w:pPr>
    </w:p>
    <w:p>
      <w:pPr>
        <w:rPr>
          <w:rFonts w:hint="eastAsia" w:asciiTheme="minorEastAsia" w:hAnsiTheme="minorEastAsia" w:eastAsiaTheme="minorEastAsia" w:cstheme="minorEastAsia"/>
          <w:b/>
          <w:bCs/>
          <w:color w:val="auto"/>
          <w:sz w:val="24"/>
          <w:szCs w:val="24"/>
          <w:highlight w:val="none"/>
        </w:rPr>
      </w:pPr>
    </w:p>
    <w:p>
      <w:pPr>
        <w:rPr>
          <w:rFonts w:hint="eastAsia" w:asciiTheme="minorEastAsia" w:hAnsiTheme="minorEastAsia" w:eastAsiaTheme="minorEastAsia" w:cstheme="minorEastAsia"/>
          <w:b/>
          <w:bCs/>
          <w:color w:val="auto"/>
          <w:sz w:val="24"/>
          <w:szCs w:val="24"/>
          <w:highlight w:val="none"/>
        </w:rPr>
      </w:pPr>
    </w:p>
    <w:p>
      <w:pPr>
        <w:pStyle w:val="4"/>
        <w:rPr>
          <w:rFonts w:hint="eastAsia" w:asciiTheme="minorEastAsia" w:hAnsiTheme="minorEastAsia" w:eastAsiaTheme="minorEastAsia" w:cstheme="minorEastAsia"/>
          <w:b/>
          <w:bCs/>
          <w:color w:val="auto"/>
          <w:sz w:val="24"/>
          <w:szCs w:val="24"/>
          <w:highlight w:val="none"/>
        </w:rPr>
      </w:pPr>
    </w:p>
    <w:p>
      <w:pPr>
        <w:pStyle w:val="4"/>
        <w:rPr>
          <w:rFonts w:hint="eastAsia" w:asciiTheme="minorEastAsia" w:hAnsiTheme="minorEastAsia" w:eastAsiaTheme="minorEastAsia" w:cstheme="minorEastAsia"/>
          <w:b/>
          <w:bCs/>
          <w:color w:val="auto"/>
          <w:sz w:val="24"/>
          <w:szCs w:val="24"/>
          <w:highlight w:val="none"/>
        </w:rPr>
      </w:pPr>
    </w:p>
    <w:p>
      <w:pPr>
        <w:pStyle w:val="4"/>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（三）政府采购政策功能落实</w:t>
      </w:r>
    </w:p>
    <w:bookmarkEnd w:id="16"/>
    <w:bookmarkEnd w:id="17"/>
    <w:bookmarkEnd w:id="18"/>
    <w:bookmarkEnd w:id="19"/>
    <w:bookmarkEnd w:id="20"/>
    <w:bookmarkEnd w:id="21"/>
    <w:bookmarkEnd w:id="31"/>
    <w:p>
      <w:pPr>
        <w:spacing w:line="400" w:lineRule="exact"/>
        <w:ind w:firstLine="480" w:firstLineChars="200"/>
        <w:rPr>
          <w:rFonts w:asciiTheme="minorEastAsia" w:hAnsiTheme="minorEastAsia" w:eastAsiaTheme="minorEastAsia" w:cstheme="minorEastAsia"/>
          <w:color w:val="auto"/>
          <w:sz w:val="24"/>
          <w:szCs w:val="24"/>
          <w:highlight w:val="none"/>
        </w:rPr>
      </w:pPr>
      <w:bookmarkStart w:id="100" w:name="_Toc15450"/>
      <w:bookmarkStart w:id="101" w:name="_Toc26728"/>
      <w:bookmarkStart w:id="102" w:name="_Toc12223"/>
      <w:bookmarkStart w:id="103" w:name="_Toc120614244"/>
      <w:bookmarkStart w:id="104" w:name="_Toc479757211"/>
      <w:bookmarkStart w:id="105" w:name="_Hlt16619350"/>
      <w:bookmarkStart w:id="106" w:name="_Toc20823346"/>
      <w:bookmarkStart w:id="107" w:name="_Toc462564139"/>
      <w:bookmarkStart w:id="108" w:name="_Toc16938590"/>
      <w:bookmarkStart w:id="109" w:name="_Toc9411"/>
      <w:bookmarkStart w:id="110" w:name="_Toc17639"/>
      <w:bookmarkStart w:id="111" w:name="_Toc31151"/>
      <w:r>
        <w:rPr>
          <w:rFonts w:hint="eastAsia" w:asciiTheme="minorEastAsia" w:hAnsiTheme="minorEastAsia" w:eastAsiaTheme="minorEastAsia" w:cstheme="minorEastAsia"/>
          <w:color w:val="auto"/>
          <w:sz w:val="24"/>
          <w:szCs w:val="24"/>
          <w:highlight w:val="none"/>
        </w:rPr>
        <w:t>1.小微型企业价格扣除</w:t>
      </w:r>
    </w:p>
    <w:p>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本项目</w:t>
      </w:r>
      <w:r>
        <w:rPr>
          <w:rFonts w:hint="eastAsia" w:asciiTheme="minorEastAsia" w:hAnsiTheme="minorEastAsia" w:eastAsiaTheme="minorEastAsia" w:cstheme="minorEastAsia"/>
          <w:color w:val="auto"/>
          <w:sz w:val="24"/>
          <w:szCs w:val="24"/>
          <w:highlight w:val="none"/>
          <w:lang w:val="zh-CN"/>
        </w:rPr>
        <w:t>为</w:t>
      </w:r>
      <w:r>
        <w:rPr>
          <w:rFonts w:hint="eastAsia" w:asciiTheme="minorEastAsia" w:hAnsiTheme="minorEastAsia" w:eastAsiaTheme="minorEastAsia" w:cstheme="minorEastAsia"/>
          <w:color w:val="auto"/>
          <w:sz w:val="24"/>
          <w:szCs w:val="24"/>
          <w:highlight w:val="none"/>
        </w:rPr>
        <w:t>专门面向</w:t>
      </w:r>
      <w:r>
        <w:rPr>
          <w:rFonts w:hint="eastAsia" w:asciiTheme="minorEastAsia" w:hAnsiTheme="minorEastAsia" w:eastAsiaTheme="minorEastAsia" w:cstheme="minorEastAsia"/>
          <w:color w:val="auto"/>
          <w:sz w:val="24"/>
          <w:szCs w:val="24"/>
          <w:highlight w:val="none"/>
          <w:lang w:val="zh-CN"/>
        </w:rPr>
        <w:t xml:space="preserve">中小企业采购，价格不再进行财政政策扣除。 </w:t>
      </w:r>
    </w:p>
    <w:p>
      <w:pPr>
        <w:spacing w:line="40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供应商需按照采购文件的要求提供相应的《中小企业声明函》。</w:t>
      </w:r>
    </w:p>
    <w:p>
      <w:pPr>
        <w:spacing w:line="400" w:lineRule="exact"/>
        <w:ind w:firstLine="480" w:firstLineChars="200"/>
        <w:rPr>
          <w:rFonts w:hint="eastAsia"/>
          <w:highlight w:val="none"/>
        </w:rPr>
      </w:pPr>
      <w:r>
        <w:rPr>
          <w:rFonts w:hint="eastAsia" w:asciiTheme="minorEastAsia" w:hAnsiTheme="minorEastAsia" w:eastAsiaTheme="minorEastAsia" w:cstheme="minorEastAsia"/>
          <w:color w:val="auto"/>
          <w:sz w:val="24"/>
          <w:szCs w:val="24"/>
          <w:highlight w:val="none"/>
        </w:rPr>
        <w:t>（3）企业标准请参照关于印发《政府采购促进中小企业发展管理办法》的通知（财库[2020]46号）文件规定自行填写。</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2.残疾人福利单位价格扣除</w:t>
      </w:r>
    </w:p>
    <w:p>
      <w:pPr>
        <w:spacing w:line="40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（1）本项对残疾人福利性单位视同小型、微型企业</w:t>
      </w:r>
      <w:r>
        <w:rPr>
          <w:rFonts w:hint="eastAsia" w:asciiTheme="minorEastAsia" w:hAnsiTheme="minorEastAsia" w:eastAsiaTheme="minorEastAsia" w:cstheme="minorEastAsia"/>
          <w:color w:val="auto"/>
          <w:sz w:val="24"/>
          <w:szCs w:val="24"/>
          <w:highlight w:val="none"/>
          <w:lang w:eastAsia="zh-CN"/>
        </w:rPr>
        <w:t>。</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（2）残疾人福利单位需按照采购文件的要求提供《残疾人福利性单位声明函》。</w:t>
      </w:r>
    </w:p>
    <w:p>
      <w:pPr>
        <w:spacing w:line="400" w:lineRule="exact"/>
        <w:ind w:firstLine="480" w:firstLineChars="200"/>
        <w:rPr>
          <w:rFonts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（3）残疾人福利单位标准请参照《</w:t>
      </w:r>
      <w:r>
        <w:rPr>
          <w:rFonts w:hint="eastAsia" w:ascii="宋体" w:hAnsi="宋体" w:cs="宋体"/>
          <w:color w:val="auto"/>
          <w:sz w:val="24"/>
          <w:szCs w:val="24"/>
          <w:highlight w:val="none"/>
        </w:rPr>
        <w:t>关于促进残疾人就业政府采购政策的通知</w:t>
      </w:r>
      <w:r>
        <w:rPr>
          <w:rFonts w:hint="eastAsia" w:asciiTheme="minorEastAsia" w:hAnsiTheme="minorEastAsia" w:eastAsiaTheme="minorEastAsia" w:cstheme="minorEastAsia"/>
          <w:color w:val="auto"/>
          <w:sz w:val="24"/>
          <w:szCs w:val="24"/>
          <w:highlight w:val="none"/>
        </w:rPr>
        <w:t>》（财库[2017]141号）。</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3.监狱和戒毒企业价格扣除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（1）本项目对监狱和戒毒企业（简称监狱企业）视同小型、微型企业。</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（3）监狱企业标准请参照《财政部、司法部关于政府采购支持监狱企业发展有关问题的通知》（财库[2014]68号）。</w:t>
      </w:r>
    </w:p>
    <w:p>
      <w:pPr>
        <w:spacing w:line="4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4.残疾人福利单位、监狱企业属于小型、微型企业的，不重复享受政策。</w:t>
      </w: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pStyle w:val="3"/>
        <w:keepNext w:val="0"/>
        <w:keepLines w:val="0"/>
        <w:pageBreakBefore w:val="0"/>
        <w:widowControl w:val="0"/>
        <w:kinsoku w:val="0"/>
        <w:wordWrap/>
        <w:overflowPunct w:val="0"/>
        <w:topLinePunct w:val="0"/>
        <w:autoSpaceDE w:val="0"/>
        <w:autoSpaceDN w:val="0"/>
        <w:bidi w:val="0"/>
        <w:adjustRightInd w:val="0"/>
        <w:snapToGrid w:val="0"/>
        <w:textAlignment w:val="auto"/>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pStyle w:val="3"/>
        <w:jc w:val="center"/>
        <w:rPr>
          <w:rFonts w:hint="eastAsia"/>
          <w:color w:val="auto"/>
          <w:highlight w:val="none"/>
        </w:rPr>
      </w:pPr>
      <w:r>
        <w:rPr>
          <w:rFonts w:hint="eastAsia"/>
          <w:color w:val="auto"/>
          <w:highlight w:val="none"/>
        </w:rPr>
        <w:t>第四章拟订立的合同样本</w:t>
      </w:r>
      <w:bookmarkEnd w:id="100"/>
      <w:bookmarkEnd w:id="101"/>
      <w:bookmarkEnd w:id="102"/>
    </w:p>
    <w:p>
      <w:pPr>
        <w:pStyle w:val="4"/>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4"/>
        <w:ind w:firstLine="0"/>
        <w:rPr>
          <w:color w:val="auto"/>
          <w:highlight w:val="none"/>
        </w:rPr>
      </w:pPr>
    </w:p>
    <w:bookmarkEnd w:id="103"/>
    <w:bookmarkEnd w:id="104"/>
    <w:bookmarkEnd w:id="105"/>
    <w:bookmarkEnd w:id="106"/>
    <w:bookmarkEnd w:id="107"/>
    <w:bookmarkEnd w:id="108"/>
    <w:p>
      <w:pPr>
        <w:adjustRightInd w:val="0"/>
        <w:snapToGrid w:val="0"/>
        <w:spacing w:line="360" w:lineRule="auto"/>
        <w:jc w:val="center"/>
        <w:rPr>
          <w:rFonts w:hint="default" w:hAnsi="宋体"/>
          <w:b/>
          <w:bCs/>
          <w:color w:val="auto"/>
          <w:sz w:val="44"/>
          <w:szCs w:val="44"/>
          <w:highlight w:val="none"/>
          <w:lang w:val="en-US" w:eastAsia="zh-CN"/>
        </w:rPr>
      </w:pPr>
      <w:bookmarkStart w:id="112" w:name="_Toc9510642"/>
      <w:r>
        <w:rPr>
          <w:rFonts w:hint="eastAsia" w:hAnsi="宋体"/>
          <w:b/>
          <w:bCs/>
          <w:color w:val="auto"/>
          <w:sz w:val="44"/>
          <w:szCs w:val="44"/>
          <w:highlight w:val="none"/>
          <w:lang w:val="en-US" w:eastAsia="zh-CN"/>
        </w:rPr>
        <w:t>新疆消防救援总队伊犁支队“自然灾害应急能力提升工程”项目（六）</w:t>
      </w:r>
    </w:p>
    <w:p>
      <w:pPr>
        <w:adjustRightInd w:val="0"/>
        <w:snapToGrid w:val="0"/>
        <w:spacing w:line="360" w:lineRule="auto"/>
        <w:jc w:val="center"/>
        <w:rPr>
          <w:rFonts w:hAnsi="宋体"/>
          <w:b/>
          <w:bCs/>
          <w:color w:val="auto"/>
          <w:sz w:val="44"/>
          <w:szCs w:val="44"/>
          <w:highlight w:val="none"/>
        </w:rPr>
      </w:pPr>
    </w:p>
    <w:p>
      <w:pPr>
        <w:rPr>
          <w:color w:val="auto"/>
          <w:highlight w:val="none"/>
        </w:rPr>
      </w:pPr>
    </w:p>
    <w:p>
      <w:pPr>
        <w:pStyle w:val="15"/>
        <w:rPr>
          <w:color w:val="auto"/>
          <w:highlight w:val="none"/>
        </w:rPr>
      </w:pPr>
    </w:p>
    <w:p>
      <w:pPr>
        <w:pStyle w:val="4"/>
        <w:ind w:firstLine="0"/>
        <w:jc w:val="center"/>
        <w:rPr>
          <w:rFonts w:ascii="宋体" w:hAnsi="宋体" w:cs="宋体"/>
          <w:color w:val="auto"/>
          <w:sz w:val="24"/>
          <w:szCs w:val="24"/>
          <w:highlight w:val="none"/>
        </w:rPr>
      </w:pPr>
      <w:r>
        <w:rPr>
          <w:rFonts w:hint="eastAsia" w:ascii="宋体" w:hAnsi="宋体" w:cs="宋体"/>
          <w:color w:val="auto"/>
          <w:sz w:val="24"/>
          <w:szCs w:val="24"/>
          <w:highlight w:val="none"/>
        </w:rPr>
        <w:t>本合同仅供参考，最终以与采购人实际签订合同为准</w:t>
      </w:r>
    </w:p>
    <w:p>
      <w:pPr>
        <w:pStyle w:val="15"/>
        <w:rPr>
          <w:color w:val="auto"/>
          <w:highlight w:val="none"/>
        </w:rPr>
      </w:pPr>
    </w:p>
    <w:p>
      <w:pPr>
        <w:pStyle w:val="15"/>
        <w:rPr>
          <w:color w:val="auto"/>
          <w:highlight w:val="none"/>
        </w:rPr>
      </w:pPr>
    </w:p>
    <w:p>
      <w:pPr>
        <w:pStyle w:val="15"/>
        <w:rPr>
          <w:color w:val="auto"/>
          <w:highlight w:val="none"/>
        </w:rPr>
      </w:pP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买方（甲方）：</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snapToGrid w:val="0"/>
        <w:spacing w:line="400" w:lineRule="exact"/>
        <w:rPr>
          <w:rFonts w:ascii="宋体" w:hAnsi="宋体"/>
          <w:color w:val="auto"/>
          <w:sz w:val="24"/>
          <w:highlight w:val="none"/>
          <w:u w:val="single"/>
        </w:rPr>
      </w:pPr>
      <w:r>
        <w:rPr>
          <w:rFonts w:hint="eastAsia" w:ascii="宋体" w:hAnsi="宋体"/>
          <w:color w:val="auto"/>
          <w:sz w:val="24"/>
          <w:highlight w:val="none"/>
        </w:rPr>
        <w:t>卖方（乙方）：</w:t>
      </w:r>
    </w:p>
    <w:p>
      <w:pPr>
        <w:snapToGrid w:val="0"/>
        <w:spacing w:line="400" w:lineRule="exact"/>
        <w:rPr>
          <w:rFonts w:ascii="宋体" w:hAnsi="宋体"/>
          <w:color w:val="auto"/>
          <w:sz w:val="24"/>
          <w:highlight w:val="none"/>
        </w:rPr>
      </w:pPr>
      <w:r>
        <w:rPr>
          <w:rFonts w:hint="eastAsia" w:ascii="宋体" w:hAnsi="宋体"/>
          <w:color w:val="auto"/>
          <w:sz w:val="24"/>
          <w:highlight w:val="none"/>
        </w:rPr>
        <w:t>法定代表人：</w:t>
      </w:r>
    </w:p>
    <w:p>
      <w:pPr>
        <w:snapToGrid w:val="0"/>
        <w:spacing w:line="400" w:lineRule="exact"/>
        <w:rPr>
          <w:rFonts w:ascii="宋体" w:hAnsi="宋体"/>
          <w:color w:val="auto"/>
          <w:sz w:val="24"/>
          <w:highlight w:val="none"/>
        </w:rPr>
      </w:pPr>
      <w:r>
        <w:rPr>
          <w:rFonts w:hint="eastAsia" w:ascii="宋体" w:hAnsi="宋体"/>
          <w:color w:val="auto"/>
          <w:sz w:val="24"/>
          <w:highlight w:val="none"/>
        </w:rPr>
        <w:t>地址：</w:t>
      </w:r>
    </w:p>
    <w:p>
      <w:pPr>
        <w:snapToGrid w:val="0"/>
        <w:spacing w:line="400" w:lineRule="exact"/>
        <w:rPr>
          <w:rFonts w:ascii="宋体" w:hAnsi="宋体"/>
          <w:color w:val="auto"/>
          <w:sz w:val="24"/>
          <w:highlight w:val="none"/>
        </w:rPr>
      </w:pPr>
      <w:r>
        <w:rPr>
          <w:rFonts w:hint="eastAsia" w:ascii="宋体" w:hAnsi="宋体"/>
          <w:color w:val="auto"/>
          <w:sz w:val="24"/>
          <w:highlight w:val="none"/>
        </w:rPr>
        <w:t>指定联系人：              联系电话：                  联系邮箱：</w:t>
      </w:r>
    </w:p>
    <w:p>
      <w:pPr>
        <w:pStyle w:val="15"/>
        <w:rPr>
          <w:color w:val="auto"/>
          <w:highlight w:val="none"/>
        </w:rPr>
      </w:pPr>
    </w:p>
    <w:p>
      <w:pPr>
        <w:pStyle w:val="15"/>
        <w:rPr>
          <w:color w:val="auto"/>
          <w:highlight w:val="none"/>
        </w:rPr>
      </w:pPr>
    </w:p>
    <w:p>
      <w:pPr>
        <w:pStyle w:val="34"/>
        <w:snapToGrid w:val="0"/>
        <w:spacing w:before="0" w:beforeAutospacing="0" w:after="0" w:afterAutospacing="0" w:line="400" w:lineRule="exact"/>
        <w:ind w:firstLine="420"/>
        <w:rPr>
          <w:b/>
          <w:bCs/>
          <w:color w:val="auto"/>
          <w:highlight w:val="none"/>
          <w:u w:val="single"/>
        </w:rPr>
      </w:pPr>
      <w:r>
        <w:rPr>
          <w:rFonts w:hint="eastAsia"/>
          <w:color w:val="auto"/>
          <w:highlight w:val="none"/>
        </w:rPr>
        <w:t>买、卖双方本着公平自愿、平等互利、协商一致的原则，就</w:t>
      </w:r>
      <w:r>
        <w:rPr>
          <w:rFonts w:hint="eastAsia"/>
          <w:b/>
          <w:bCs/>
          <w:color w:val="auto"/>
          <w:highlight w:val="none"/>
          <w:u w:val="single"/>
        </w:rPr>
        <w:t>项目第  包</w:t>
      </w:r>
      <w:r>
        <w:rPr>
          <w:rFonts w:hint="eastAsia"/>
          <w:color w:val="auto"/>
          <w:highlight w:val="none"/>
        </w:rPr>
        <w:t>签订本合同，双方信守执行。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合同文本组成及解释顺序：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第一章：合同协议书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第二章：合同基本条款</w:t>
      </w:r>
    </w:p>
    <w:p>
      <w:pPr>
        <w:widowControl/>
        <w:snapToGrid w:val="0"/>
        <w:spacing w:line="400" w:lineRule="exact"/>
        <w:rPr>
          <w:rFonts w:ascii="宋体" w:hAnsi="宋体"/>
          <w:color w:val="auto"/>
          <w:sz w:val="24"/>
          <w:highlight w:val="none"/>
        </w:rPr>
      </w:pPr>
      <w:r>
        <w:rPr>
          <w:rFonts w:ascii="宋体" w:hAnsi="宋体"/>
          <w:b/>
          <w:bCs/>
          <w:color w:val="auto"/>
          <w:sz w:val="36"/>
          <w:szCs w:val="36"/>
          <w:highlight w:val="none"/>
        </w:rPr>
        <w:br w:type="page"/>
      </w:r>
      <w:r>
        <w:rPr>
          <w:rFonts w:hint="eastAsia" w:ascii="宋体" w:hAnsi="宋体"/>
          <w:b/>
          <w:bCs/>
          <w:color w:val="auto"/>
          <w:sz w:val="36"/>
          <w:szCs w:val="36"/>
          <w:highlight w:val="none"/>
        </w:rPr>
        <w:t>一、  合同协议书</w:t>
      </w:r>
    </w:p>
    <w:p>
      <w:pPr>
        <w:tabs>
          <w:tab w:val="left" w:pos="5940"/>
        </w:tabs>
        <w:snapToGrid w:val="0"/>
        <w:spacing w:line="400" w:lineRule="exact"/>
        <w:ind w:firstLine="480" w:firstLineChars="200"/>
        <w:rPr>
          <w:rFonts w:ascii="宋体" w:hAnsi="宋体"/>
          <w:color w:val="auto"/>
          <w:sz w:val="24"/>
          <w:highlight w:val="none"/>
        </w:rPr>
      </w:pPr>
    </w:p>
    <w:p>
      <w:pPr>
        <w:tabs>
          <w:tab w:val="left" w:pos="5940"/>
        </w:tabs>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  商品名称、规格、型号、单位、数量、单价、金额详见清单。</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单位：人民币：元</w:t>
      </w:r>
    </w:p>
    <w:tbl>
      <w:tblPr>
        <w:tblStyle w:val="38"/>
        <w:tblpPr w:leftFromText="180" w:rightFromText="180" w:vertAnchor="text" w:horzAnchor="page" w:tblpX="1464" w:tblpY="456"/>
        <w:tblOverlap w:val="never"/>
        <w:tblW w:w="9357" w:type="dxa"/>
        <w:tblInd w:w="0" w:type="dxa"/>
        <w:tblLayout w:type="fixed"/>
        <w:tblCellMar>
          <w:top w:w="0" w:type="dxa"/>
          <w:left w:w="108" w:type="dxa"/>
          <w:bottom w:w="0" w:type="dxa"/>
          <w:right w:w="108" w:type="dxa"/>
        </w:tblCellMar>
      </w:tblPr>
      <w:tblGrid>
        <w:gridCol w:w="993"/>
        <w:gridCol w:w="992"/>
        <w:gridCol w:w="709"/>
        <w:gridCol w:w="709"/>
        <w:gridCol w:w="1004"/>
        <w:gridCol w:w="1116"/>
        <w:gridCol w:w="850"/>
        <w:gridCol w:w="992"/>
        <w:gridCol w:w="999"/>
        <w:gridCol w:w="993"/>
      </w:tblGrid>
      <w:tr>
        <w:tblPrEx>
          <w:tblCellMar>
            <w:top w:w="0" w:type="dxa"/>
            <w:left w:w="108" w:type="dxa"/>
            <w:bottom w:w="0" w:type="dxa"/>
            <w:right w:w="108" w:type="dxa"/>
          </w:tblCellMar>
        </w:tblPrEx>
        <w:trPr>
          <w:trHeight w:val="640"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rPr>
                <w:rFonts w:ascii="宋体" w:hAnsi="宋体" w:cs="宋体"/>
                <w:color w:val="auto"/>
                <w:kern w:val="0"/>
                <w:sz w:val="22"/>
                <w:szCs w:val="22"/>
                <w:highlight w:val="none"/>
              </w:rPr>
            </w:pPr>
            <w:r>
              <w:rPr>
                <w:rFonts w:hint="eastAsia" w:ascii="宋体" w:hAnsi="宋体" w:cs="宋体"/>
                <w:color w:val="auto"/>
                <w:kern w:val="0"/>
                <w:sz w:val="22"/>
                <w:szCs w:val="22"/>
                <w:highlight w:val="none"/>
              </w:rPr>
              <w:t>器材名称</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品名/型号</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产地</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生产商</w:t>
            </w: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单价（元/台）</w:t>
            </w: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数量（台）</w:t>
            </w: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小计</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总报价</w:t>
            </w: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中标总价</w:t>
            </w: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 xml:space="preserve">履约保证金 </w:t>
            </w:r>
          </w:p>
        </w:tc>
      </w:tr>
      <w:tr>
        <w:tblPrEx>
          <w:tblCellMar>
            <w:top w:w="0" w:type="dxa"/>
            <w:left w:w="108" w:type="dxa"/>
            <w:bottom w:w="0" w:type="dxa"/>
            <w:right w:w="108" w:type="dxa"/>
          </w:tblCellMar>
        </w:tblPrEx>
        <w:trPr>
          <w:trHeight w:val="376"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p>
        </w:tc>
      </w:tr>
      <w:tr>
        <w:tblPrEx>
          <w:tblCellMar>
            <w:top w:w="0" w:type="dxa"/>
            <w:left w:w="108" w:type="dxa"/>
            <w:bottom w:w="0" w:type="dxa"/>
            <w:right w:w="108" w:type="dxa"/>
          </w:tblCellMar>
        </w:tblPrEx>
        <w:trPr>
          <w:trHeight w:val="522"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color w:val="auto"/>
                <w:kern w:val="0"/>
                <w:sz w:val="22"/>
                <w:szCs w:val="22"/>
                <w:highlight w:val="none"/>
              </w:rPr>
            </w:pPr>
            <w:r>
              <w:rPr>
                <w:rFonts w:hint="eastAsia" w:ascii="宋体" w:hAnsi="宋体" w:cs="宋体"/>
                <w:color w:val="auto"/>
                <w:kern w:val="0"/>
                <w:sz w:val="22"/>
                <w:szCs w:val="22"/>
                <w:highlight w:val="none"/>
              </w:rPr>
              <w:t>技术参数</w:t>
            </w:r>
          </w:p>
        </w:tc>
      </w:tr>
      <w:tr>
        <w:tblPrEx>
          <w:tblCellMar>
            <w:top w:w="0" w:type="dxa"/>
            <w:left w:w="108" w:type="dxa"/>
            <w:bottom w:w="0" w:type="dxa"/>
            <w:right w:w="108" w:type="dxa"/>
          </w:tblCellMar>
        </w:tblPrEx>
        <w:trPr>
          <w:trHeight w:val="2409"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snapToGrid w:val="0"/>
              <w:spacing w:line="400" w:lineRule="exact"/>
              <w:ind w:firstLine="220" w:firstLineChars="100"/>
              <w:rPr>
                <w:rFonts w:ascii="宋体" w:hAnsi="宋体"/>
                <w:bCs/>
                <w:color w:val="auto"/>
                <w:sz w:val="22"/>
                <w:szCs w:val="22"/>
                <w:highlight w:val="none"/>
              </w:rPr>
            </w:pPr>
          </w:p>
        </w:tc>
      </w:tr>
    </w:tbl>
    <w:p>
      <w:pPr>
        <w:snapToGrid w:val="0"/>
        <w:spacing w:line="400" w:lineRule="exact"/>
        <w:ind w:firstLine="480" w:firstLineChars="200"/>
        <w:rPr>
          <w:rFonts w:ascii="宋体" w:hAnsi="宋体"/>
          <w:color w:val="auto"/>
          <w:sz w:val="24"/>
          <w:highlight w:val="none"/>
        </w:rPr>
      </w:pPr>
    </w:p>
    <w:p>
      <w:pPr>
        <w:numPr>
          <w:ilvl w:val="0"/>
          <w:numId w:val="12"/>
        </w:num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合同价款及结算方式（大写）</w:t>
      </w:r>
      <w:r>
        <w:rPr>
          <w:rFonts w:hint="eastAsia" w:ascii="宋体" w:hAnsi="宋体"/>
          <w:color w:val="auto"/>
          <w:sz w:val="24"/>
          <w:highlight w:val="none"/>
          <w:u w:val="single"/>
        </w:rPr>
        <w:t>元整</w:t>
      </w:r>
      <w:r>
        <w:rPr>
          <w:rFonts w:hint="eastAsia" w:ascii="宋体" w:hAnsi="宋体"/>
          <w:color w:val="auto"/>
          <w:sz w:val="24"/>
          <w:highlight w:val="none"/>
        </w:rPr>
        <w:t>（小写）元。以上价格为合同总价，最终结算价格以审定价格为准，包括但不限于设备费、备品备件、专用工具、包装费、运保费、卸货费、安装指导费、调试费、税费等合同项下的义务；也包括买卖双方签订的技术附件中卖方承诺的其它系统配件</w:t>
      </w:r>
      <w:r>
        <w:rPr>
          <w:rFonts w:hint="eastAsia" w:ascii="宋体" w:hAnsi="宋体"/>
          <w:bCs/>
          <w:color w:val="auto"/>
          <w:sz w:val="24"/>
          <w:highlight w:val="none"/>
        </w:rPr>
        <w:t>。</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2.1 履约保证金缴纳：合同签订前，中标单位按照中标金额的5%缴纳履约保证金，中标单位按合同约定交付全部产品，安装调试完毕，书面验收合格一年后，采购单位无息退还全部履约保证金。</w:t>
      </w:r>
    </w:p>
    <w:p>
      <w:pPr>
        <w:snapToGrid w:val="0"/>
        <w:spacing w:line="400" w:lineRule="exact"/>
        <w:ind w:left="139" w:leftChars="66" w:firstLine="360" w:firstLineChars="150"/>
        <w:rPr>
          <w:rFonts w:ascii="宋体" w:hAnsi="宋体"/>
          <w:bCs/>
          <w:color w:val="auto"/>
          <w:sz w:val="24"/>
          <w:highlight w:val="none"/>
        </w:rPr>
      </w:pPr>
      <w:r>
        <w:rPr>
          <w:rFonts w:hint="eastAsia" w:ascii="宋体" w:hAnsi="宋体"/>
          <w:bCs/>
          <w:color w:val="auto"/>
          <w:sz w:val="24"/>
          <w:highlight w:val="none"/>
        </w:rPr>
        <w:t>2.2 付款方式：</w:t>
      </w:r>
      <w:r>
        <w:rPr>
          <w:rFonts w:hint="eastAsia" w:ascii="宋体" w:hAnsi="宋体"/>
          <w:bCs/>
          <w:color w:val="auto"/>
          <w:sz w:val="24"/>
          <w:highlight w:val="none"/>
          <w:lang w:val="en-US" w:eastAsia="zh-CN"/>
        </w:rPr>
        <w:t>中标单位按合同约定交付全部产品、安装调试完毕，验收合格并经过结算审计后30日内，采购人按验收报告、结算审计、合同相关条款支付货款100%；如结算审计有审减，按照结算审计结果支付货款；如验收不合格、未完成安装调试，</w:t>
      </w:r>
      <w:r>
        <w:rPr>
          <w:rFonts w:hint="eastAsia" w:ascii="宋体" w:hAnsi="宋体" w:cs="宋体"/>
          <w:bCs/>
          <w:color w:val="auto"/>
          <w:sz w:val="24"/>
          <w:szCs w:val="22"/>
          <w:highlight w:val="none"/>
          <w:lang w:val="en-US" w:eastAsia="zh-CN"/>
        </w:rPr>
        <w:t>参照合同样本第二部分合同基本条款第14条违约责任执行</w:t>
      </w:r>
      <w:r>
        <w:rPr>
          <w:rFonts w:hint="eastAsia" w:ascii="宋体" w:hAnsi="宋体"/>
          <w:bCs/>
          <w:color w:val="auto"/>
          <w:sz w:val="24"/>
          <w:highlight w:val="none"/>
          <w:lang w:val="en-US" w:eastAsia="zh-CN"/>
        </w:rPr>
        <w:t>。(如采购人有付款需求，在签订合同后，中标单位向采购人提供同等合同金额的银行保函，收到保函，采购人可支付合同金额的100%，待验收合格、安装调试完毕后，根据结算审计结果解除银行质押，如验收不合格、未完成安装调试，</w:t>
      </w:r>
      <w:r>
        <w:rPr>
          <w:rFonts w:hint="eastAsia" w:ascii="宋体" w:hAnsi="宋体" w:cs="宋体"/>
          <w:bCs/>
          <w:color w:val="auto"/>
          <w:sz w:val="24"/>
          <w:szCs w:val="22"/>
          <w:highlight w:val="none"/>
          <w:lang w:val="en-US" w:eastAsia="zh-CN"/>
        </w:rPr>
        <w:t>参照合同样本第二部分合同基本条款第14条违约责任执行</w:t>
      </w:r>
      <w:r>
        <w:rPr>
          <w:rFonts w:hint="eastAsia" w:ascii="宋体" w:hAnsi="宋体"/>
          <w:bCs/>
          <w:color w:val="auto"/>
          <w:sz w:val="24"/>
          <w:highlight w:val="none"/>
          <w:lang w:val="en-US" w:eastAsia="zh-CN"/>
        </w:rPr>
        <w:t>。）</w:t>
      </w:r>
    </w:p>
    <w:p>
      <w:pPr>
        <w:snapToGrid w:val="0"/>
        <w:spacing w:line="400" w:lineRule="exact"/>
        <w:ind w:left="139" w:leftChars="66" w:firstLine="360" w:firstLineChars="150"/>
        <w:rPr>
          <w:rFonts w:ascii="宋体" w:hAnsi="宋体"/>
          <w:b/>
          <w:color w:val="auto"/>
          <w:sz w:val="24"/>
          <w:highlight w:val="none"/>
          <w:u w:val="single"/>
        </w:rPr>
      </w:pPr>
      <w:r>
        <w:rPr>
          <w:rFonts w:hint="eastAsia" w:ascii="宋体" w:hAnsi="宋体"/>
          <w:bCs/>
          <w:color w:val="auto"/>
          <w:sz w:val="24"/>
          <w:highlight w:val="none"/>
        </w:rPr>
        <w:t>3.运输及保险：</w:t>
      </w:r>
      <w:r>
        <w:rPr>
          <w:rFonts w:hint="eastAsia" w:ascii="宋体" w:hAnsi="宋体"/>
          <w:color w:val="auto"/>
          <w:sz w:val="24"/>
          <w:highlight w:val="none"/>
          <w:u w:val="single"/>
        </w:rPr>
        <w:t xml:space="preserve">货物运输方式不限，运输、保险等运输过程中发生的所有费用均由卖方承担  </w:t>
      </w:r>
      <w:r>
        <w:rPr>
          <w:rFonts w:hint="eastAsia" w:ascii="宋体" w:hAnsi="宋体"/>
          <w:color w:val="auto"/>
          <w:sz w:val="24"/>
          <w:highlight w:val="none"/>
        </w:rPr>
        <w:t>。</w:t>
      </w:r>
    </w:p>
    <w:p>
      <w:pPr>
        <w:snapToGrid w:val="0"/>
        <w:spacing w:line="400" w:lineRule="exact"/>
        <w:rPr>
          <w:rFonts w:ascii="宋体" w:hAnsi="宋体"/>
          <w:color w:val="auto"/>
          <w:sz w:val="24"/>
          <w:highlight w:val="none"/>
        </w:rPr>
      </w:pPr>
      <w:r>
        <w:rPr>
          <w:rFonts w:hint="eastAsia" w:ascii="宋体" w:hAnsi="宋体"/>
          <w:color w:val="auto"/>
          <w:sz w:val="24"/>
          <w:highlight w:val="none"/>
        </w:rPr>
        <w:t xml:space="preserve">    4.  包装</w:t>
      </w:r>
    </w:p>
    <w:p>
      <w:pPr>
        <w:snapToGrid w:val="0"/>
        <w:spacing w:line="400" w:lineRule="exact"/>
        <w:ind w:left="244" w:leftChars="116"/>
        <w:rPr>
          <w:rFonts w:ascii="宋体" w:hAnsi="宋体"/>
          <w:b/>
          <w:color w:val="auto"/>
          <w:sz w:val="24"/>
          <w:highlight w:val="none"/>
        </w:rPr>
      </w:pPr>
      <w:r>
        <w:rPr>
          <w:rFonts w:hint="eastAsia" w:ascii="宋体" w:hAnsi="宋体"/>
          <w:color w:val="auto"/>
          <w:sz w:val="24"/>
          <w:highlight w:val="none"/>
        </w:rPr>
        <w:t xml:space="preserve">  4.1  </w:t>
      </w:r>
      <w:r>
        <w:rPr>
          <w:rFonts w:hint="eastAsia" w:ascii="宋体" w:hAnsi="宋体"/>
          <w:b/>
          <w:color w:val="auto"/>
          <w:sz w:val="24"/>
          <w:highlight w:val="none"/>
        </w:rPr>
        <w:t>包装方式：木箱包装，保证货物抵达交货地点时包装完整无损，包装箱的尺寸及重量应考虑货物最终目的地的偏远程度以及货物转运地可能缺乏重型装卸设备的情况，尽量包装牢固。对由于包装不善而引起的货物损坏或损失、耽误交货时限等损失，均由卖方承担责任。</w:t>
      </w:r>
    </w:p>
    <w:p>
      <w:pPr>
        <w:snapToGrid w:val="0"/>
        <w:spacing w:line="400" w:lineRule="exact"/>
        <w:ind w:firstLine="480"/>
        <w:rPr>
          <w:rFonts w:ascii="宋体" w:hAnsi="宋体"/>
          <w:color w:val="auto"/>
          <w:sz w:val="24"/>
          <w:highlight w:val="none"/>
        </w:rPr>
      </w:pPr>
      <w:r>
        <w:rPr>
          <w:rFonts w:hint="eastAsia" w:ascii="宋体" w:hAnsi="宋体"/>
          <w:color w:val="auto"/>
          <w:sz w:val="24"/>
          <w:highlight w:val="none"/>
        </w:rPr>
        <w:t>4.2  包装物处理：不回收。</w:t>
      </w:r>
    </w:p>
    <w:p>
      <w:pPr>
        <w:tabs>
          <w:tab w:val="left" w:pos="540"/>
        </w:tabs>
        <w:snapToGrid w:val="0"/>
        <w:spacing w:line="400" w:lineRule="exact"/>
        <w:ind w:firstLine="480" w:firstLineChars="20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5.中标产品样品交付：合同签订后15日内，乙方将中标产品的实物样品（每种产品1件、套）交付给甲方。</w:t>
      </w:r>
    </w:p>
    <w:p>
      <w:pPr>
        <w:snapToGrid w:val="0"/>
        <w:spacing w:line="400" w:lineRule="exact"/>
        <w:ind w:firstLine="480"/>
        <w:rPr>
          <w:rFonts w:hint="eastAsia"/>
          <w:highlight w:val="none"/>
          <w:lang w:val="en-US" w:eastAsia="zh-CN"/>
        </w:rPr>
      </w:pPr>
      <w:r>
        <w:rPr>
          <w:rFonts w:hint="eastAsia" w:ascii="宋体" w:hAnsi="宋体"/>
          <w:color w:val="auto"/>
          <w:sz w:val="24"/>
          <w:highlight w:val="none"/>
          <w:lang w:val="en-US" w:eastAsia="zh-CN"/>
        </w:rPr>
        <w:t>6.根据《国家消防救援局办公室关于推广应用新版消防装备管理系统的通知》要求，中标投标人在交付装备时须附着由“消防装备物资信息采集系统”统一发行的装备物资二维码和 RFID。</w:t>
      </w:r>
    </w:p>
    <w:p>
      <w:pPr>
        <w:tabs>
          <w:tab w:val="left" w:pos="540"/>
        </w:tabs>
        <w:snapToGrid w:val="0"/>
        <w:spacing w:line="400" w:lineRule="exact"/>
        <w:ind w:firstLine="480" w:firstLineChars="200"/>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7</w:t>
      </w:r>
      <w:r>
        <w:rPr>
          <w:rFonts w:hint="eastAsia" w:ascii="宋体" w:hAnsi="宋体"/>
          <w:bCs/>
          <w:color w:val="auto"/>
          <w:sz w:val="24"/>
          <w:highlight w:val="none"/>
        </w:rPr>
        <w:t>.交货</w:t>
      </w:r>
    </w:p>
    <w:p>
      <w:pPr>
        <w:snapToGrid w:val="0"/>
        <w:spacing w:line="400" w:lineRule="exact"/>
        <w:ind w:firstLine="480" w:firstLineChars="200"/>
        <w:rPr>
          <w:rFonts w:ascii="宋体" w:hAnsi="宋体"/>
          <w:b/>
          <w:bCs/>
          <w:color w:val="auto"/>
          <w:sz w:val="24"/>
          <w:highlight w:val="none"/>
        </w:rPr>
      </w:pPr>
      <w:r>
        <w:rPr>
          <w:rFonts w:hint="eastAsia" w:ascii="宋体" w:hAnsi="宋体"/>
          <w:bCs/>
          <w:color w:val="auto"/>
          <w:sz w:val="24"/>
          <w:highlight w:val="none"/>
          <w:lang w:val="en-US" w:eastAsia="zh-CN"/>
        </w:rPr>
        <w:t>7</w:t>
      </w:r>
      <w:r>
        <w:rPr>
          <w:rFonts w:hint="eastAsia" w:ascii="宋体" w:hAnsi="宋体"/>
          <w:bCs/>
          <w:color w:val="auto"/>
          <w:sz w:val="24"/>
          <w:highlight w:val="none"/>
        </w:rPr>
        <w:t>.1交货时间:</w:t>
      </w:r>
      <w:r>
        <w:rPr>
          <w:rFonts w:hint="eastAsia" w:ascii="宋体" w:hAnsi="宋体"/>
          <w:color w:val="auto"/>
          <w:sz w:val="24"/>
          <w:szCs w:val="24"/>
          <w:highlight w:val="none"/>
        </w:rPr>
        <w:t>合同签订后45日。</w:t>
      </w:r>
    </w:p>
    <w:p>
      <w:pPr>
        <w:snapToGrid w:val="0"/>
        <w:spacing w:line="400" w:lineRule="exact"/>
        <w:ind w:left="2205" w:leftChars="950" w:hanging="210" w:hangingChars="87"/>
        <w:jc w:val="left"/>
        <w:rPr>
          <w:rFonts w:ascii="宋体" w:hAnsi="宋体"/>
          <w:b/>
          <w:bCs/>
          <w:color w:val="auto"/>
          <w:sz w:val="24"/>
          <w:highlight w:val="none"/>
        </w:rPr>
      </w:pPr>
      <w:r>
        <w:rPr>
          <w:rFonts w:hint="eastAsia" w:ascii="宋体" w:hAnsi="宋体"/>
          <w:b/>
          <w:bCs/>
          <w:color w:val="auto"/>
          <w:sz w:val="24"/>
          <w:highlight w:val="none"/>
        </w:rPr>
        <w:t xml:space="preserve"> 卖方须在上述时限之前，一次完成供货并交付验收。</w:t>
      </w:r>
    </w:p>
    <w:p>
      <w:pPr>
        <w:snapToGrid w:val="0"/>
        <w:spacing w:line="400" w:lineRule="exact"/>
        <w:ind w:firstLine="480" w:firstLineChars="200"/>
        <w:rPr>
          <w:rFonts w:ascii="宋体" w:hAnsi="宋体"/>
          <w:b/>
          <w:bCs/>
          <w:color w:val="auto"/>
          <w:sz w:val="24"/>
          <w:highlight w:val="none"/>
        </w:rPr>
      </w:pPr>
      <w:r>
        <w:rPr>
          <w:rFonts w:hint="eastAsia" w:ascii="宋体" w:hAnsi="宋体"/>
          <w:bCs/>
          <w:color w:val="auto"/>
          <w:sz w:val="24"/>
          <w:highlight w:val="none"/>
          <w:lang w:val="en-US" w:eastAsia="zh-CN"/>
        </w:rPr>
        <w:t>7</w:t>
      </w:r>
      <w:r>
        <w:rPr>
          <w:rFonts w:hint="eastAsia" w:ascii="宋体" w:hAnsi="宋体"/>
          <w:bCs/>
          <w:color w:val="auto"/>
          <w:sz w:val="24"/>
          <w:highlight w:val="none"/>
        </w:rPr>
        <w:t>.2交货地点：</w:t>
      </w:r>
      <w:r>
        <w:rPr>
          <w:rFonts w:hint="eastAsia" w:ascii="宋体" w:hAnsi="宋体"/>
          <w:b/>
          <w:bCs/>
          <w:color w:val="auto"/>
          <w:sz w:val="24"/>
          <w:highlight w:val="none"/>
        </w:rPr>
        <w:t>卖方负则送货上门并卸货</w:t>
      </w:r>
    </w:p>
    <w:p>
      <w:pPr>
        <w:snapToGrid w:val="0"/>
        <w:spacing w:line="400" w:lineRule="exact"/>
        <w:ind w:firstLine="2168" w:firstLineChars="900"/>
        <w:rPr>
          <w:rFonts w:ascii="宋体" w:hAnsi="宋体"/>
          <w:b/>
          <w:bCs/>
          <w:color w:val="auto"/>
          <w:sz w:val="24"/>
          <w:highlight w:val="none"/>
        </w:rPr>
      </w:pPr>
      <w:r>
        <w:rPr>
          <w:rFonts w:ascii="宋体" w:hAnsi="宋体"/>
          <w:b/>
          <w:bCs/>
          <w:color w:val="auto"/>
          <w:sz w:val="24"/>
          <w:highlight w:val="none"/>
        </w:rPr>
        <w:t>收货联系人：</w:t>
      </w:r>
    </w:p>
    <w:p>
      <w:pPr>
        <w:snapToGrid w:val="0"/>
        <w:spacing w:line="400" w:lineRule="exact"/>
        <w:ind w:firstLine="480" w:firstLineChars="200"/>
        <w:rPr>
          <w:rFonts w:ascii="宋体" w:hAnsi="宋体"/>
          <w:b/>
          <w:bCs/>
          <w:color w:val="auto"/>
          <w:sz w:val="24"/>
          <w:highlight w:val="none"/>
        </w:rPr>
      </w:pPr>
      <w:r>
        <w:rPr>
          <w:rFonts w:hint="eastAsia" w:ascii="宋体" w:hAnsi="宋体"/>
          <w:bCs/>
          <w:color w:val="auto"/>
          <w:sz w:val="24"/>
          <w:highlight w:val="none"/>
          <w:lang w:val="en-US" w:eastAsia="zh-CN"/>
        </w:rPr>
        <w:t>7</w:t>
      </w:r>
      <w:r>
        <w:rPr>
          <w:rFonts w:hint="eastAsia" w:ascii="宋体" w:hAnsi="宋体"/>
          <w:bCs/>
          <w:color w:val="auto"/>
          <w:sz w:val="24"/>
          <w:highlight w:val="none"/>
        </w:rPr>
        <w:t>.3联系方式：</w:t>
      </w:r>
      <w:r>
        <w:rPr>
          <w:rFonts w:hint="eastAsia" w:ascii="宋体" w:hAnsi="宋体"/>
          <w:b/>
          <w:bCs/>
          <w:color w:val="auto"/>
          <w:sz w:val="24"/>
          <w:highlight w:val="none"/>
        </w:rPr>
        <w:t>XX消防救援支队</w:t>
      </w:r>
    </w:p>
    <w:p>
      <w:pPr>
        <w:snapToGrid w:val="0"/>
        <w:spacing w:line="400" w:lineRule="exact"/>
        <w:ind w:firstLine="2168" w:firstLineChars="900"/>
        <w:jc w:val="left"/>
        <w:rPr>
          <w:rFonts w:ascii="宋体" w:hAnsi="宋体"/>
          <w:b/>
          <w:bCs/>
          <w:color w:val="auto"/>
          <w:sz w:val="24"/>
          <w:highlight w:val="none"/>
        </w:rPr>
      </w:pPr>
      <w:r>
        <w:rPr>
          <w:rFonts w:hint="eastAsia" w:ascii="宋体" w:hAnsi="宋体"/>
          <w:b/>
          <w:bCs/>
          <w:color w:val="auto"/>
          <w:sz w:val="24"/>
          <w:highlight w:val="none"/>
        </w:rPr>
        <w:t>姓  名：</w:t>
      </w:r>
    </w:p>
    <w:p>
      <w:pPr>
        <w:snapToGrid w:val="0"/>
        <w:spacing w:line="400" w:lineRule="exact"/>
        <w:ind w:firstLine="2168" w:firstLineChars="900"/>
        <w:jc w:val="left"/>
        <w:rPr>
          <w:rFonts w:ascii="宋体" w:hAnsi="宋体"/>
          <w:b/>
          <w:bCs/>
          <w:color w:val="auto"/>
          <w:sz w:val="24"/>
          <w:highlight w:val="none"/>
        </w:rPr>
      </w:pPr>
      <w:r>
        <w:rPr>
          <w:rFonts w:hint="eastAsia" w:ascii="宋体" w:hAnsi="宋体"/>
          <w:b/>
          <w:bCs/>
          <w:color w:val="auto"/>
          <w:sz w:val="24"/>
          <w:highlight w:val="none"/>
        </w:rPr>
        <w:t>电  话：</w:t>
      </w:r>
    </w:p>
    <w:p>
      <w:pPr>
        <w:snapToGrid w:val="0"/>
        <w:spacing w:line="400" w:lineRule="exact"/>
        <w:ind w:firstLine="2168" w:firstLineChars="900"/>
        <w:jc w:val="left"/>
        <w:rPr>
          <w:rFonts w:ascii="宋体" w:hAnsi="宋体"/>
          <w:b/>
          <w:bCs/>
          <w:color w:val="auto"/>
          <w:sz w:val="24"/>
          <w:highlight w:val="none"/>
        </w:rPr>
      </w:pPr>
      <w:r>
        <w:rPr>
          <w:rFonts w:hint="eastAsia" w:ascii="宋体" w:hAnsi="宋体"/>
          <w:b/>
          <w:bCs/>
          <w:color w:val="auto"/>
          <w:sz w:val="24"/>
          <w:highlight w:val="none"/>
        </w:rPr>
        <w:t>传  真：</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8</w:t>
      </w:r>
      <w:r>
        <w:rPr>
          <w:rFonts w:hint="eastAsia" w:ascii="宋体" w:hAnsi="宋体"/>
          <w:bCs/>
          <w:color w:val="auto"/>
          <w:sz w:val="24"/>
          <w:highlight w:val="none"/>
        </w:rPr>
        <w:t>.验收：售后服务内容及履行情况将作为退还余款的必要条件写入合同。</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8</w:t>
      </w:r>
      <w:r>
        <w:rPr>
          <w:rFonts w:hint="eastAsia" w:ascii="宋体" w:hAnsi="宋体"/>
          <w:bCs/>
          <w:color w:val="auto"/>
          <w:sz w:val="24"/>
          <w:highlight w:val="none"/>
        </w:rPr>
        <w:t>.1验收标准：依照样品及本合同约定。</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8</w:t>
      </w:r>
      <w:r>
        <w:rPr>
          <w:rFonts w:hint="eastAsia" w:ascii="宋体" w:hAnsi="宋体"/>
          <w:bCs/>
          <w:color w:val="auto"/>
          <w:sz w:val="24"/>
          <w:highlight w:val="none"/>
        </w:rPr>
        <w:t>.2验收时间及组织：全部产品送达分初验、终验两个阶段，初验阶段为总队集中统一验收，终验阶段为货到支队后试用30天。</w:t>
      </w:r>
    </w:p>
    <w:p>
      <w:pPr>
        <w:snapToGrid w:val="0"/>
        <w:spacing w:line="400" w:lineRule="exact"/>
        <w:ind w:firstLine="602" w:firstLineChars="250"/>
        <w:rPr>
          <w:rFonts w:ascii="宋体" w:hAnsi="宋体"/>
          <w:b/>
          <w:bCs/>
          <w:color w:val="auto"/>
          <w:sz w:val="24"/>
          <w:highlight w:val="none"/>
        </w:rPr>
      </w:pPr>
      <w:r>
        <w:rPr>
          <w:rFonts w:hint="eastAsia" w:ascii="宋体" w:hAnsi="宋体"/>
          <w:b/>
          <w:bCs/>
          <w:color w:val="auto"/>
          <w:sz w:val="24"/>
          <w:highlight w:val="none"/>
          <w:lang w:val="en-US" w:eastAsia="zh-CN"/>
        </w:rPr>
        <w:t>8</w:t>
      </w:r>
      <w:r>
        <w:rPr>
          <w:rFonts w:hint="eastAsia" w:ascii="宋体" w:hAnsi="宋体"/>
          <w:b/>
          <w:bCs/>
          <w:color w:val="auto"/>
          <w:sz w:val="24"/>
          <w:highlight w:val="none"/>
        </w:rPr>
        <w:t>.3器材到齐后一次性完成验收，验收前买方不负责货物的保管，由卖方负责。</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9</w:t>
      </w:r>
      <w:r>
        <w:rPr>
          <w:rFonts w:hint="eastAsia" w:ascii="宋体" w:hAnsi="宋体"/>
          <w:bCs/>
          <w:color w:val="auto"/>
          <w:sz w:val="24"/>
          <w:highlight w:val="none"/>
        </w:rPr>
        <w:t>.合同效力</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9</w:t>
      </w:r>
      <w:r>
        <w:rPr>
          <w:rFonts w:hint="eastAsia" w:ascii="宋体" w:hAnsi="宋体"/>
          <w:bCs/>
          <w:color w:val="auto"/>
          <w:sz w:val="24"/>
          <w:highlight w:val="none"/>
        </w:rPr>
        <w:t>.1  本合同经买卖双方授权代表签署，并经双方盖章后生效。</w:t>
      </w:r>
    </w:p>
    <w:p>
      <w:pPr>
        <w:snapToGrid w:val="0"/>
        <w:spacing w:line="400" w:lineRule="exact"/>
        <w:ind w:firstLine="600" w:firstLineChars="250"/>
        <w:rPr>
          <w:rFonts w:ascii="宋体" w:hAnsi="宋体"/>
          <w:bCs/>
          <w:color w:val="auto"/>
          <w:sz w:val="24"/>
          <w:highlight w:val="none"/>
        </w:rPr>
      </w:pPr>
      <w:r>
        <w:rPr>
          <w:rFonts w:hint="eastAsia" w:ascii="宋体" w:hAnsi="宋体"/>
          <w:bCs/>
          <w:color w:val="auto"/>
          <w:sz w:val="24"/>
          <w:highlight w:val="none"/>
          <w:lang w:val="en-US" w:eastAsia="zh-CN"/>
        </w:rPr>
        <w:t>9</w:t>
      </w:r>
      <w:r>
        <w:rPr>
          <w:rFonts w:hint="eastAsia" w:ascii="宋体" w:hAnsi="宋体"/>
          <w:bCs/>
          <w:color w:val="auto"/>
          <w:sz w:val="24"/>
          <w:highlight w:val="none"/>
        </w:rPr>
        <w:t>.2  本合同一式肆份，买卖双方各持两份，具有相同的法律效力。</w:t>
      </w:r>
    </w:p>
    <w:p>
      <w:pPr>
        <w:snapToGrid w:val="0"/>
        <w:spacing w:line="400" w:lineRule="exact"/>
        <w:ind w:firstLine="904" w:firstLineChars="250"/>
        <w:jc w:val="center"/>
        <w:rPr>
          <w:rFonts w:ascii="宋体" w:hAnsi="宋体"/>
          <w:b/>
          <w:bCs/>
          <w:color w:val="auto"/>
          <w:sz w:val="36"/>
          <w:szCs w:val="36"/>
          <w:highlight w:val="none"/>
        </w:rPr>
      </w:pPr>
    </w:p>
    <w:p>
      <w:pPr>
        <w:numPr>
          <w:ilvl w:val="0"/>
          <w:numId w:val="13"/>
        </w:numPr>
        <w:snapToGrid w:val="0"/>
        <w:spacing w:line="400" w:lineRule="exact"/>
        <w:ind w:firstLine="904" w:firstLineChars="250"/>
        <w:jc w:val="center"/>
        <w:rPr>
          <w:rFonts w:ascii="宋体" w:hAnsi="宋体"/>
          <w:b/>
          <w:bCs/>
          <w:color w:val="auto"/>
          <w:sz w:val="36"/>
          <w:szCs w:val="36"/>
          <w:highlight w:val="none"/>
        </w:rPr>
      </w:pPr>
      <w:r>
        <w:rPr>
          <w:rFonts w:hint="eastAsia" w:ascii="宋体" w:hAnsi="宋体"/>
          <w:b/>
          <w:bCs/>
          <w:color w:val="auto"/>
          <w:sz w:val="36"/>
          <w:szCs w:val="36"/>
          <w:highlight w:val="none"/>
        </w:rPr>
        <w:br w:type="page"/>
      </w:r>
      <w:r>
        <w:rPr>
          <w:rFonts w:hint="eastAsia" w:ascii="宋体" w:hAnsi="宋体"/>
          <w:b/>
          <w:bCs/>
          <w:color w:val="auto"/>
          <w:sz w:val="36"/>
          <w:szCs w:val="36"/>
          <w:highlight w:val="none"/>
        </w:rPr>
        <w:t>合同基本条款</w:t>
      </w:r>
    </w:p>
    <w:p>
      <w:pPr>
        <w:snapToGrid w:val="0"/>
        <w:spacing w:line="400" w:lineRule="exact"/>
        <w:rPr>
          <w:rFonts w:ascii="宋体" w:hAnsi="宋体"/>
          <w:b/>
          <w:bCs/>
          <w:color w:val="auto"/>
          <w:sz w:val="36"/>
          <w:szCs w:val="36"/>
          <w:highlight w:val="none"/>
        </w:rPr>
      </w:pP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  定义：</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本合同有关术语解释：</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1.1  “合同”是指买卖双方签署的用以约定买卖双方买卖事项而达成的协议，包括所有的附件和构成合同的其它文件。</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1.2  “合同总价”是指根据本合同约定，卖方在正确地完全履行合同义务后买方应支付给卖方的全部价款。</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1.3  “货物”是指根据合同约定卖方向买方提供的一切设备及相应的配套设施（含备件、工具、操作手册及其他有关技术资料和材料）。</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  “服务”是指根据合同约定卖方向买方承担的与供货有关的辅助服务，如运输、保险、安装、调试、技术支持、检验、维修、培训等与购销有关的义务。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1.5  “现场”是指合同项下货物实际所在地。</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1.6  “验收”是指合同双方依据约定的程序和条件对合同标的物的数量、质量、性能等进行确认交接的行为。</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   交货时间是指卖方将本合同内全部产品提交给买方验收的最后时间。卖方分几次供货时，以最后一次提交买方验收时间为交货时间。</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 标准</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2.1  本合同下交付的货物应符合技术规格所述的标准。合同未作特别标注的国产货物，以我国颁布的最新标准为准；如无国家标准的，以行业标准为准；如无行业标准的，按企业标准执行。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2.2  本合同货物无特别标注的，计量单位均采用中华人民共和国法定计量单位。</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3. 专利权</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卖方保证，买方在使用合同货物或货物的任何一部分时，免受第三方提出的侵犯其专利权、商标权、著作权或其它知识产权的起诉。卖方应承担由此可能产生的一切法律责任和费用（包括但不限于买方支出的赔偿费、诉讼费、评估费、鉴定费、律师费等）。</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4. 包装</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4.1  除合同另有规定外，卖方提供的全部货物，均采用国家或专业标准保护措施（不低于木箱标准）进行包装，使包装适用于海运、空运或陆上的长途运输，并有良好的防潮、防震、防锈和防粗暴装卸等保护措施，确保货物安全无损运抵现场。这类包装还应足以承受但不限于承受转运过程中的装卸，暴露于恶劣气温，大风和降雨环境，以及露天存放。</w:t>
      </w:r>
      <w:r>
        <w:rPr>
          <w:rFonts w:hint="eastAsia" w:ascii="宋体" w:hAnsi="宋体"/>
          <w:bCs/>
          <w:color w:val="auto"/>
          <w:sz w:val="24"/>
          <w:highlight w:val="none"/>
        </w:rPr>
        <w:t>包装箱的尺寸及重量应考虑货物最终目的地的偏远程度以及在所有转运地点缺乏重型装卸设施的情况。</w:t>
      </w:r>
      <w:r>
        <w:rPr>
          <w:rFonts w:hint="eastAsia" w:ascii="宋体" w:hAnsi="宋体"/>
          <w:color w:val="auto"/>
          <w:sz w:val="24"/>
          <w:highlight w:val="none"/>
        </w:rPr>
        <w:t>对由于包装不善而引起的货物锈蚀、损坏或损失卖方应承担责任。</w:t>
      </w:r>
    </w:p>
    <w:p>
      <w:pPr>
        <w:snapToGrid w:val="0"/>
        <w:spacing w:line="400" w:lineRule="exact"/>
        <w:ind w:firstLine="480" w:firstLineChars="200"/>
        <w:rPr>
          <w:rFonts w:ascii="宋体" w:hAnsi="宋体"/>
          <w:b/>
          <w:color w:val="auto"/>
          <w:sz w:val="24"/>
          <w:highlight w:val="none"/>
        </w:rPr>
      </w:pPr>
      <w:r>
        <w:rPr>
          <w:rFonts w:hint="eastAsia" w:ascii="宋体" w:hAnsi="宋体"/>
          <w:color w:val="auto"/>
          <w:sz w:val="24"/>
          <w:highlight w:val="none"/>
        </w:rPr>
        <w:t xml:space="preserve">4.2  </w:t>
      </w:r>
      <w:r>
        <w:rPr>
          <w:rFonts w:hint="eastAsia" w:ascii="宋体" w:hAnsi="宋体"/>
          <w:bCs/>
          <w:color w:val="auto"/>
          <w:sz w:val="24"/>
          <w:highlight w:val="none"/>
        </w:rPr>
        <w:t>卖方必须无偿提供合同内全部货物的中文使用说明书，说明书包括产品的功能、使用方法、技术参数、常见问题解决办法及产品序列号、型号、版本号以及配合使用的主要设备品牌、型号和版本等信息。</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5.  质量</w:t>
      </w:r>
    </w:p>
    <w:p>
      <w:pPr>
        <w:snapToGrid w:val="0"/>
        <w:spacing w:line="400" w:lineRule="exact"/>
        <w:ind w:firstLine="480" w:firstLineChars="200"/>
        <w:rPr>
          <w:rFonts w:ascii="宋体" w:hAnsi="宋体"/>
          <w:bCs/>
          <w:color w:val="auto"/>
          <w:sz w:val="24"/>
          <w:highlight w:val="none"/>
        </w:rPr>
      </w:pPr>
      <w:r>
        <w:rPr>
          <w:rFonts w:hint="eastAsia" w:ascii="宋体" w:hAnsi="宋体"/>
          <w:color w:val="auto"/>
          <w:sz w:val="24"/>
          <w:highlight w:val="none"/>
        </w:rPr>
        <w:t xml:space="preserve">5.1  </w:t>
      </w:r>
      <w:r>
        <w:rPr>
          <w:rFonts w:hint="eastAsia" w:ascii="宋体" w:hAnsi="宋体"/>
          <w:bCs/>
          <w:color w:val="auto"/>
          <w:sz w:val="24"/>
          <w:highlight w:val="none"/>
        </w:rPr>
        <w:t xml:space="preserve">卖方保证所提供的货物是新品。 </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5.2  在货物质保期内，卖方应当对由于设计、工艺、材料和配件的缺陷所产生的不足或故障负责。</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5.3  验收时，如发现卖方提供的货物或配件等不符合合同约定或有缺陷时，买方应以书面形式通知卖方，提出索赔，卖方应当在约定的时间内予以更换，并按违约的相关约定向买方给予赔偿，更换的新产品质保期相应顺延；质保期内，如货物或配件发生质量问题时，按售后服务的约定执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6．交货</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6.1  交货的时间和地点执行本合同《协议书》。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  延期交货</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6.2.1  卖方应按合同规定的时间交货和提供服务。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6.2.2  在履行合同过程中，如果卖方遇到不能按期交货和提供服务情况，应及时以书面形式将不能按时交货的理由、可能延误的时间通知买方。买方在收到通知后，应进行分析，如果同意，以书面形式通知卖方,可酌情延长交货时间。</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6.2.3   如果卖方毫无理由拖延交货，将受到扣除履约保证金的制裁或终止合同。</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7. 技术文件和资料</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7.1  提供技术文件和资料的种类和数量在本采购文件中已规定，买卖双方可根据需要订立具体的资料交付时间和数量。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7.2  如果买方确认卖方提供的技术文件和资料不完整，或在运输途中丢失，卖方应在收到买方通知后3天内将文件、资料补齐。</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 税费</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8.1  器材装备的投标报价为货到采购人指定地点价格。</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8.2  根据国家现行税法征收的与本合同有关的一切税费均由卖方承担。</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8.3  在中国境外发生的与本合同执行有关的一切税费由卖方承担。</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  验收</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本合同项下货物验收遵照以下流程和条件</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9.1 卖方应在供货合同规定的时间内将装备发送收货地点并提交书面验收申请。</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9.2 货物到达目的地后买卖双方要在现场共同开箱验收。买方将按照装箱清单清点货物数量，检查货物破损情况，卖方必须派出代表参加货物验收工作，否则买方不予验收，按照卖方货物未到处理。</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9.3 买方组成集中采购装备验收小组，对采购的货物进行专门验收，不符合合同规定的，买方将不予验收。</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9.4产品验收时，卖方必须要有一名以上厂家技术人员在场，验收完毕后，买方和卖方共同签字确认验收单。买方根据采购验收单按合同支付货款。</w:t>
      </w:r>
    </w:p>
    <w:p>
      <w:pPr>
        <w:adjustRightInd w:val="0"/>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9.5装备的验收，综合判定为“合格”、“不合格”，综合评判为“合格”的器材，清点入总队库房。综合评判为“不合格”的器材，限期整改并等比例扣除履约保证金，整改完毕后进行复验；限期内未整改完毕的或“复验”不合格的，按合同规定做退货处理，扣除全额履约保证金，并将供货商列入总队装备集中采购黑名单，3年内不得参加总队装备采购投标工作。</w:t>
      </w:r>
    </w:p>
    <w:p>
      <w:pPr>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10.  付款：执行本合同《协议书》。</w:t>
      </w:r>
    </w:p>
    <w:p>
      <w:pPr>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11.  培训</w:t>
      </w:r>
    </w:p>
    <w:p>
      <w:pPr>
        <w:adjustRightInd w:val="0"/>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12.  售后服务</w:t>
      </w:r>
    </w:p>
    <w:p>
      <w:pPr>
        <w:pStyle w:val="34"/>
        <w:adjustRightInd w:val="0"/>
        <w:snapToGrid w:val="0"/>
        <w:spacing w:before="0" w:beforeAutospacing="0" w:after="0" w:afterAutospacing="0" w:line="400" w:lineRule="exact"/>
        <w:ind w:firstLine="480" w:firstLineChars="200"/>
        <w:rPr>
          <w:rFonts w:cs="Times New Roman"/>
          <w:color w:val="auto"/>
          <w:kern w:val="2"/>
          <w:szCs w:val="20"/>
          <w:highlight w:val="none"/>
        </w:rPr>
      </w:pPr>
      <w:r>
        <w:rPr>
          <w:rFonts w:hint="eastAsia" w:cs="Times New Roman"/>
          <w:color w:val="auto"/>
          <w:kern w:val="2"/>
          <w:szCs w:val="20"/>
          <w:highlight w:val="none"/>
        </w:rPr>
        <w:t xml:space="preserve">  （以中标方投标承诺为准） </w:t>
      </w:r>
    </w:p>
    <w:p>
      <w:pPr>
        <w:pStyle w:val="34"/>
        <w:adjustRightInd w:val="0"/>
        <w:snapToGrid w:val="0"/>
        <w:spacing w:before="0" w:beforeAutospacing="0" w:after="0" w:afterAutospacing="0" w:line="400" w:lineRule="exact"/>
        <w:ind w:firstLine="480" w:firstLineChars="200"/>
        <w:rPr>
          <w:rFonts w:cs="Times New Roman"/>
          <w:color w:val="auto"/>
          <w:kern w:val="2"/>
          <w:szCs w:val="20"/>
          <w:highlight w:val="none"/>
        </w:rPr>
      </w:pPr>
      <w:r>
        <w:rPr>
          <w:rFonts w:hint="eastAsia" w:cs="Times New Roman"/>
          <w:color w:val="auto"/>
          <w:kern w:val="2"/>
          <w:szCs w:val="20"/>
          <w:highlight w:val="none"/>
        </w:rPr>
        <w:t>13.  双方责任</w:t>
      </w:r>
    </w:p>
    <w:p>
      <w:pPr>
        <w:pStyle w:val="34"/>
        <w:adjustRightInd w:val="0"/>
        <w:snapToGrid w:val="0"/>
        <w:spacing w:before="0" w:beforeAutospacing="0" w:after="0" w:afterAutospacing="0" w:line="400" w:lineRule="exact"/>
        <w:ind w:firstLine="480" w:firstLineChars="200"/>
        <w:rPr>
          <w:rFonts w:cs="Times New Roman"/>
          <w:color w:val="auto"/>
          <w:kern w:val="2"/>
          <w:szCs w:val="20"/>
          <w:highlight w:val="none"/>
        </w:rPr>
      </w:pPr>
      <w:r>
        <w:rPr>
          <w:color w:val="auto"/>
          <w:highlight w:val="none"/>
        </w:rPr>
        <w:t>1</w:t>
      </w:r>
      <w:r>
        <w:rPr>
          <w:rFonts w:hint="eastAsia"/>
          <w:color w:val="auto"/>
          <w:highlight w:val="none"/>
        </w:rPr>
        <w:t>3</w:t>
      </w:r>
      <w:r>
        <w:rPr>
          <w:color w:val="auto"/>
          <w:highlight w:val="none"/>
        </w:rPr>
        <w:t xml:space="preserve">.1  </w:t>
      </w:r>
      <w:r>
        <w:rPr>
          <w:rFonts w:hint="eastAsia"/>
          <w:color w:val="auto"/>
          <w:highlight w:val="none"/>
        </w:rPr>
        <w:t>买方责任</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.1.1  </w:t>
      </w:r>
      <w:r>
        <w:rPr>
          <w:rFonts w:hint="eastAsia" w:ascii="宋体" w:hAnsi="宋体"/>
          <w:color w:val="auto"/>
          <w:sz w:val="24"/>
          <w:highlight w:val="none"/>
        </w:rPr>
        <w:t>按合同规定向卖方支付货款。</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.1.2  </w:t>
      </w:r>
      <w:r>
        <w:rPr>
          <w:rFonts w:hint="eastAsia" w:ascii="宋体" w:hAnsi="宋体"/>
          <w:color w:val="auto"/>
          <w:sz w:val="24"/>
          <w:highlight w:val="none"/>
        </w:rPr>
        <w:t>组织对货物的验收。</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  </w:t>
      </w:r>
      <w:r>
        <w:rPr>
          <w:rFonts w:hint="eastAsia" w:ascii="宋体" w:hAnsi="宋体"/>
          <w:color w:val="auto"/>
          <w:sz w:val="24"/>
          <w:highlight w:val="none"/>
        </w:rPr>
        <w:t>卖方责任</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.2.1  </w:t>
      </w:r>
      <w:r>
        <w:rPr>
          <w:rFonts w:hint="eastAsia" w:ascii="宋体" w:hAnsi="宋体"/>
          <w:color w:val="auto"/>
          <w:sz w:val="24"/>
          <w:highlight w:val="none"/>
        </w:rPr>
        <w:t>按合同要求提供货物和服务。</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 xml:space="preserve">.2.2  </w:t>
      </w:r>
      <w:r>
        <w:rPr>
          <w:rFonts w:hint="eastAsia" w:ascii="宋体" w:hAnsi="宋体"/>
          <w:color w:val="auto"/>
          <w:sz w:val="24"/>
          <w:highlight w:val="none"/>
        </w:rPr>
        <w:t>对所提供的货物和服务质量问题无条件负责处理。</w:t>
      </w:r>
    </w:p>
    <w:p>
      <w:pPr>
        <w:adjustRightInd w:val="0"/>
        <w:snapToGrid w:val="0"/>
        <w:spacing w:line="400" w:lineRule="exact"/>
        <w:ind w:firstLine="480" w:firstLine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3</w:t>
      </w:r>
      <w:r>
        <w:rPr>
          <w:rFonts w:ascii="宋体" w:hAnsi="宋体"/>
          <w:color w:val="auto"/>
          <w:sz w:val="24"/>
          <w:highlight w:val="none"/>
        </w:rPr>
        <w:t>.2.3卖方对本合同签订及履行过程中获知的买方信息负有保密义务。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  违约责任</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  交货违约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14.1.1  卖方违反本合同约定，延迟交货未取得买方书面同意的，每延迟一天按合同总价的1 ‰扣除履约保证金；延迟超过15日，买方有权单方解除合同，扣除全部履约保证金，还应当承担合同总额30%的违约金，造成买方损失的，卖方还应当赔偿。</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14.1.2卖方所发货品规格、型号、质量等不符合合同约定的，买方有权单方解除合同，拒绝收货和付款，扣除履约保证金，并由卖方承担合同总额30%的违约金，由此所发生的一切费用、损失（包括给双方造成的经济损失），均由卖方负责。</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14.1.3合同生效后，卖方中途解除合同（不可抗力原因除外），应按给买方造成的损失向甲方支付赔偿金，买方有权扣除履约保证金，并由卖方向买方支付合同总金额30%的违约金。</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14.1.4卖方违约，还应赔偿买方因此遭受的其他损失，包括为主张权益所支付的律师费、交通费、公证费、鉴定费、评估费、差旅费等全部费用。</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14.1.5卖方违约的，买方有权将相应违约金、赔偿金从履约保证金及应给卖方支付的货款中直接予以扣除。</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14.2  付款违约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买方接收经验收合格的货物后而未能按合同约定时间付款的，推迟付款时间超过</w:t>
      </w:r>
      <w:r>
        <w:rPr>
          <w:rFonts w:hint="eastAsia" w:ascii="宋体" w:hAnsi="宋体"/>
          <w:color w:val="auto"/>
          <w:sz w:val="24"/>
          <w:highlight w:val="none"/>
          <w:u w:val="single"/>
        </w:rPr>
        <w:t>30</w:t>
      </w:r>
      <w:r>
        <w:rPr>
          <w:rFonts w:hint="eastAsia" w:ascii="宋体" w:hAnsi="宋体"/>
          <w:color w:val="auto"/>
          <w:sz w:val="24"/>
          <w:highlight w:val="none"/>
        </w:rPr>
        <w:t>天时，每超过一天按合同总价的</w:t>
      </w:r>
      <w:r>
        <w:rPr>
          <w:rFonts w:hint="eastAsia" w:ascii="宋体" w:hAnsi="宋体"/>
          <w:color w:val="auto"/>
          <w:sz w:val="24"/>
          <w:highlight w:val="none"/>
          <w:u w:val="single"/>
        </w:rPr>
        <w:t>1</w:t>
      </w:r>
      <w:r>
        <w:rPr>
          <w:rFonts w:hint="eastAsia" w:ascii="宋体" w:hAnsi="宋体"/>
          <w:color w:val="auto"/>
          <w:sz w:val="24"/>
          <w:highlight w:val="none"/>
        </w:rPr>
        <w:t>‰向对方支付违约金。</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14.3任意一方如提出增减合同数量，变动交货的，应提前通知对方，并征得对方同意，否则应承担与之相关的经济责任。</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14.4卖方违反保密义务或违反禁止转让、分包合同义务或违反本合同其他约定的，除本合同另有约定外，应按照本合同总价款的5%向买方支付违约金。</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14.5卖方提供货物不符合约定或违反本协议其他约定，给买方造成损失的，应赔偿买方的全部损失，包括但不限于直接损失、间接损失、买方为处理违约事件支出的律师费、诉讼费、评估费、鉴定费等。</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14.6本合同所称违约金可以累积计算。</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15.  履约保证金</w:t>
      </w:r>
    </w:p>
    <w:p>
      <w:pPr>
        <w:snapToGrid w:val="0"/>
        <w:spacing w:line="400" w:lineRule="exact"/>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合同签订前，中标单位按照中标金额的5%缴纳履约保证金，中标单位按合同约定交付全部产品，安装调试完毕，书面验收合格一年后，采购单位无息退还全部履约保证金。</w:t>
      </w:r>
    </w:p>
    <w:p>
      <w:pPr>
        <w:snapToGrid w:val="0"/>
        <w:spacing w:line="400" w:lineRule="exact"/>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帐户名称：</w:t>
      </w:r>
    </w:p>
    <w:p>
      <w:pPr>
        <w:snapToGrid w:val="0"/>
        <w:spacing w:line="400" w:lineRule="exact"/>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开 户 行：</w:t>
      </w:r>
    </w:p>
    <w:p>
      <w:pPr>
        <w:snapToGrid w:val="0"/>
        <w:spacing w:line="400" w:lineRule="exact"/>
        <w:ind w:firstLine="480" w:firstLineChars="200"/>
        <w:rPr>
          <w:rFonts w:ascii="宋体" w:hAnsi="宋体"/>
          <w:bCs/>
          <w:color w:val="auto"/>
          <w:sz w:val="24"/>
          <w:szCs w:val="22"/>
          <w:highlight w:val="none"/>
        </w:rPr>
      </w:pPr>
      <w:r>
        <w:rPr>
          <w:rFonts w:hint="eastAsia" w:ascii="宋体" w:hAnsi="宋体"/>
          <w:bCs/>
          <w:color w:val="auto"/>
          <w:sz w:val="24"/>
          <w:szCs w:val="22"/>
          <w:highlight w:val="none"/>
        </w:rPr>
        <w:t>帐    号：</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16.  合同终止</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发生下列情况时，买方有权单方终止合同：</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1）卖方未能在合同规定的期限内或买方同意延长的期限内提供全部或部分货物；</w:t>
      </w:r>
    </w:p>
    <w:p>
      <w:pPr>
        <w:snapToGrid w:val="0"/>
        <w:spacing w:line="400" w:lineRule="exact"/>
        <w:ind w:firstLine="480" w:firstLineChars="200"/>
        <w:rPr>
          <w:rFonts w:ascii="宋体" w:hAnsi="宋体"/>
          <w:bCs/>
          <w:color w:val="auto"/>
          <w:sz w:val="24"/>
          <w:highlight w:val="none"/>
        </w:rPr>
      </w:pPr>
      <w:r>
        <w:rPr>
          <w:rFonts w:hint="eastAsia" w:ascii="宋体" w:hAnsi="宋体"/>
          <w:bCs/>
          <w:color w:val="auto"/>
          <w:sz w:val="24"/>
          <w:highlight w:val="none"/>
        </w:rPr>
        <w:t>2）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  纠纷解决方式</w:t>
      </w:r>
    </w:p>
    <w:p>
      <w:pPr>
        <w:snapToGrid w:val="0"/>
        <w:spacing w:line="400" w:lineRule="exact"/>
        <w:ind w:firstLine="420"/>
        <w:rPr>
          <w:rFonts w:ascii="宋体" w:hAnsi="宋体"/>
          <w:color w:val="auto"/>
          <w:sz w:val="24"/>
          <w:highlight w:val="none"/>
        </w:rPr>
      </w:pPr>
      <w:r>
        <w:rPr>
          <w:rFonts w:hint="eastAsia" w:ascii="宋体" w:hAnsi="宋体"/>
          <w:color w:val="auto"/>
          <w:sz w:val="24"/>
          <w:highlight w:val="none"/>
        </w:rPr>
        <w:t>本合同在执行中发生纠纷时，双方应友好协商予以解决。如协商解决不成时，双方约定采用第</w:t>
      </w:r>
      <w:r>
        <w:rPr>
          <w:rFonts w:hint="eastAsia" w:ascii="宋体" w:hAnsi="宋体"/>
          <w:color w:val="auto"/>
          <w:sz w:val="24"/>
          <w:highlight w:val="none"/>
          <w:u w:val="single"/>
        </w:rPr>
        <w:t>17.1</w:t>
      </w:r>
      <w:r>
        <w:rPr>
          <w:rFonts w:hint="eastAsia" w:ascii="宋体" w:hAnsi="宋体"/>
          <w:color w:val="auto"/>
          <w:sz w:val="24"/>
          <w:highlight w:val="none"/>
        </w:rPr>
        <w:t>种方式解决。</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17.1  向</w:t>
      </w:r>
      <w:r>
        <w:rPr>
          <w:rFonts w:hint="eastAsia" w:ascii="宋体" w:hAnsi="宋体"/>
          <w:color w:val="auto"/>
          <w:sz w:val="24"/>
          <w:highlight w:val="none"/>
          <w:u w:val="single"/>
        </w:rPr>
        <w:t>合同签订地</w:t>
      </w:r>
      <w:r>
        <w:rPr>
          <w:rFonts w:hint="eastAsia" w:ascii="宋体" w:hAnsi="宋体"/>
          <w:color w:val="auto"/>
          <w:sz w:val="24"/>
          <w:highlight w:val="none"/>
        </w:rPr>
        <w:t>人民法院提出诉讼；</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17.2  申请</w:t>
      </w:r>
      <w:r>
        <w:rPr>
          <w:rFonts w:hint="eastAsia" w:ascii="宋体" w:hAnsi="宋体"/>
          <w:color w:val="auto"/>
          <w:sz w:val="24"/>
          <w:highlight w:val="none"/>
          <w:u w:val="single"/>
        </w:rPr>
        <w:t>合同签订地</w:t>
      </w:r>
      <w:r>
        <w:rPr>
          <w:rFonts w:hint="eastAsia" w:ascii="宋体" w:hAnsi="宋体"/>
          <w:color w:val="auto"/>
          <w:sz w:val="24"/>
          <w:highlight w:val="none"/>
        </w:rPr>
        <w:t>（仲裁机构）进行仲裁。</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18.  转让和分包</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卖方不得转让或分包其履行合同的义务。</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19.  适用法律</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本合同按照中华人民共和国的法律进行解释。</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20.合同生效及其他</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20.1合同效力执行本合同《协议书》。</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20.2  合同执行期间，如因故不能履行或需要修改时，必须经双方同意，并互相换文或另订合同。其它未尽事宜，双方应友好进行协商。协商结果以“补充件”的形式作为本合同的附件，与本合同有同等的法律效力。</w:t>
      </w:r>
    </w:p>
    <w:p>
      <w:pPr>
        <w:snapToGrid w:val="0"/>
        <w:spacing w:line="400" w:lineRule="exact"/>
        <w:ind w:firstLine="480" w:firstLineChars="200"/>
        <w:rPr>
          <w:rFonts w:ascii="宋体" w:hAnsi="宋体"/>
          <w:color w:val="auto"/>
          <w:sz w:val="24"/>
          <w:highlight w:val="none"/>
          <w:u w:val="single"/>
        </w:rPr>
      </w:pPr>
      <w:r>
        <w:rPr>
          <w:rFonts w:hint="eastAsia" w:ascii="宋体" w:hAnsi="宋体"/>
          <w:color w:val="auto"/>
          <w:sz w:val="24"/>
          <w:highlight w:val="none"/>
        </w:rPr>
        <w:t>20.3 其他约定事项：</w:t>
      </w:r>
      <w:r>
        <w:rPr>
          <w:rFonts w:hint="eastAsia" w:ascii="宋体" w:hAnsi="宋体"/>
          <w:color w:val="auto"/>
          <w:sz w:val="24"/>
          <w:highlight w:val="none"/>
          <w:u w:val="single"/>
        </w:rPr>
        <w:t xml:space="preserve">①合同签订地：       </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20.4 合同有效期：年月日至年月日。</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20.5通知和送达买卖双方就本合同中涉及各类通知、协议等文件以及就合同发生纠纷时相关文件和法律文书送达时的送达地址及法律后果作如下约定：</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20.5.1买卖双方确认有效的地址及联系方式以本合同首部列明的为准。</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20.5.2双方该送达地址适用范围包括双方非诉时各类通知、协议等文件以及就合同发生纠纷时相关文件和法律文书的送达，同时包括在争议进入仲裁、民事诉讼程序后的一审、二审、再审和执行程序。</w:t>
      </w:r>
    </w:p>
    <w:p>
      <w:pPr>
        <w:snapToGrid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20.5.3双方上述送达地址需要变更时应当向对方履行书面通知义务。若未履行变更通知义务，双方所确认的送达地址仍视为有效送达地址，因双方提供或者确认的送达地址不准确、送达地址变更后未及时依程序告知对方和法院、其他当事人或指定的接收人拒绝接收等原因，导致法律文书未能被接收方实际接收的，邮寄送达的，以文书退回之日视为送达之日；直接送达的，送达人当场在送达回证上记明情况之日视为送达之日；履行送达地址变更通知义务的，以变更后的送达地址为有效送达地址。对于上述双方在合同中明确约定的送达地址，法院进行送达时可直接邮寄送达，即使接收方未能收到法院邮寄送达的文书，由于其在合同中的约定，也应当视为送达。</w:t>
      </w:r>
    </w:p>
    <w:p>
      <w:pPr>
        <w:snapToGrid w:val="0"/>
        <w:spacing w:line="400" w:lineRule="exact"/>
        <w:ind w:firstLine="208" w:firstLineChars="87"/>
        <w:rPr>
          <w:rFonts w:ascii="宋体" w:hAnsi="宋体"/>
          <w:bCs/>
          <w:color w:val="auto"/>
          <w:sz w:val="24"/>
          <w:highlight w:val="none"/>
        </w:rPr>
      </w:pPr>
    </w:p>
    <w:p>
      <w:pPr>
        <w:snapToGrid w:val="0"/>
        <w:spacing w:line="400" w:lineRule="exact"/>
        <w:ind w:firstLine="208" w:firstLineChars="87"/>
        <w:rPr>
          <w:rFonts w:ascii="宋体" w:hAnsi="宋体"/>
          <w:bCs/>
          <w:color w:val="auto"/>
          <w:sz w:val="24"/>
          <w:highlight w:val="none"/>
        </w:rPr>
      </w:pPr>
    </w:p>
    <w:p>
      <w:pPr>
        <w:snapToGrid w:val="0"/>
        <w:spacing w:line="400" w:lineRule="exact"/>
        <w:ind w:firstLine="208" w:firstLineChars="87"/>
        <w:rPr>
          <w:rFonts w:ascii="宋体" w:hAnsi="宋体"/>
          <w:bCs/>
          <w:color w:val="auto"/>
          <w:sz w:val="24"/>
          <w:highlight w:val="none"/>
        </w:rPr>
      </w:pP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买方（印章）：                              卖方：（印章）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法定代表人或委托代理人:（签字）           法定代表人或委托代理人:（签字）</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地址：                                      地址：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邮政编码：                                  邮政编码：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电话：                                      电话：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传真：                                      传真： </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 xml:space="preserve">                                            开户银行及账号：</w:t>
      </w:r>
    </w:p>
    <w:p>
      <w:pPr>
        <w:snapToGrid w:val="0"/>
        <w:spacing w:line="400" w:lineRule="exact"/>
        <w:ind w:firstLine="208" w:firstLineChars="87"/>
        <w:rPr>
          <w:rFonts w:ascii="宋体" w:hAnsi="宋体"/>
          <w:bCs/>
          <w:color w:val="auto"/>
          <w:sz w:val="24"/>
          <w:highlight w:val="none"/>
        </w:rPr>
      </w:pPr>
      <w:r>
        <w:rPr>
          <w:rFonts w:hint="eastAsia" w:ascii="宋体" w:hAnsi="宋体"/>
          <w:bCs/>
          <w:color w:val="auto"/>
          <w:sz w:val="24"/>
          <w:highlight w:val="none"/>
        </w:rPr>
        <w:t>日期：      年   月    日                   日 期：    年    月   日</w:t>
      </w: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widowControl/>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p>
      <w:pPr>
        <w:pStyle w:val="2"/>
        <w:rPr>
          <w:rFonts w:ascii="宋体" w:hAnsi="宋体" w:cs="宋体"/>
          <w:b/>
          <w:color w:val="auto"/>
          <w:spacing w:val="-4"/>
          <w:sz w:val="30"/>
          <w:szCs w:val="30"/>
          <w:highlight w:val="none"/>
        </w:rPr>
      </w:pPr>
    </w:p>
    <w:bookmarkEnd w:id="112"/>
    <w:p>
      <w:pPr>
        <w:pStyle w:val="15"/>
        <w:rPr>
          <w:color w:val="auto"/>
          <w:highlight w:val="none"/>
        </w:rPr>
      </w:pPr>
    </w:p>
    <w:p>
      <w:pPr>
        <w:pStyle w:val="3"/>
        <w:rPr>
          <w:rFonts w:hint="eastAsia"/>
          <w:color w:val="auto"/>
          <w:highlight w:val="none"/>
        </w:rPr>
      </w:pPr>
    </w:p>
    <w:p>
      <w:pPr>
        <w:pStyle w:val="3"/>
        <w:rPr>
          <w:color w:val="auto"/>
          <w:highlight w:val="none"/>
        </w:rPr>
      </w:pPr>
      <w:r>
        <w:rPr>
          <w:rFonts w:hint="eastAsia"/>
          <w:color w:val="auto"/>
          <w:highlight w:val="none"/>
        </w:rPr>
        <w:t>第</w:t>
      </w:r>
      <w:bookmarkStart w:id="113" w:name="_Toc9510643"/>
      <w:r>
        <w:rPr>
          <w:rFonts w:hint="eastAsia"/>
          <w:color w:val="auto"/>
          <w:highlight w:val="none"/>
        </w:rPr>
        <w:t>五章 投标文件格式</w:t>
      </w:r>
      <w:bookmarkEnd w:id="109"/>
      <w:bookmarkEnd w:id="110"/>
      <w:bookmarkEnd w:id="111"/>
    </w:p>
    <w:p>
      <w:pPr>
        <w:adjustRightInd w:val="0"/>
        <w:snapToGrid w:val="0"/>
        <w:spacing w:line="360" w:lineRule="auto"/>
        <w:rPr>
          <w:rFonts w:ascii="宋体" w:hAnsi="宋体" w:cs="宋体"/>
          <w:color w:val="auto"/>
          <w:szCs w:val="24"/>
          <w:highlight w:val="none"/>
        </w:rPr>
      </w:pP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一、投</w:t>
      </w:r>
      <w:bookmarkEnd w:id="113"/>
      <w:r>
        <w:rPr>
          <w:rFonts w:hint="eastAsia" w:ascii="宋体" w:hAnsi="宋体" w:cs="宋体"/>
          <w:color w:val="auto"/>
          <w:sz w:val="24"/>
          <w:szCs w:val="24"/>
          <w:highlight w:val="none"/>
        </w:rPr>
        <w:t>标人提交投标文件须知：</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1、投标人应严格按照以下顺序填写和提交下述规定的全部格式文件以及其他有关资料，混乱的编排导致投标文件被误读或评标小组查找不到有效文件是投标人的风险。</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2、所附表格中要求回答的全部问题和/或信息都必须正面回答。</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3、本声明书的签字人应保证全部声明和问题的回答是真实的和准确的。</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4、评标委员会将应用投标人提交的资料根据自己的判断和考虑决定投标人履行合同的合格性及能力。</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5、投标人提交的材料将在一定期限内被</w:t>
      </w:r>
      <w:r>
        <w:rPr>
          <w:rFonts w:hint="eastAsia" w:asciiTheme="majorEastAsia" w:hAnsiTheme="majorEastAsia" w:eastAsiaTheme="majorEastAsia" w:cstheme="majorEastAsia"/>
          <w:bCs/>
          <w:color w:val="auto"/>
          <w:sz w:val="24"/>
          <w:szCs w:val="24"/>
          <w:highlight w:val="none"/>
        </w:rPr>
        <w:t>保密</w:t>
      </w:r>
      <w:r>
        <w:rPr>
          <w:rFonts w:hint="eastAsia" w:ascii="宋体" w:hAnsi="宋体" w:cs="宋体"/>
          <w:color w:val="auto"/>
          <w:sz w:val="24"/>
          <w:szCs w:val="24"/>
          <w:highlight w:val="none"/>
        </w:rPr>
        <w:t>保存，但不退还。</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pPr>
        <w:snapToGrid w:val="0"/>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二、投标文件编制格式及规范要求：</w:t>
      </w:r>
    </w:p>
    <w:p>
      <w:pPr>
        <w:adjustRightInd w:val="0"/>
        <w:snapToGrid w:val="0"/>
        <w:spacing w:line="50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报价文件、商务技术文件部分，投标人在编制投标文件时请按照以下格式进行，并装订成册。</w:t>
      </w:r>
    </w:p>
    <w:p>
      <w:pPr>
        <w:adjustRightInd w:val="0"/>
        <w:snapToGrid w:val="0"/>
        <w:spacing w:before="50" w:after="50" w:line="360" w:lineRule="auto"/>
        <w:rPr>
          <w:rFonts w:ascii="宋体" w:hAnsi="宋体" w:cs="宋体"/>
          <w:color w:val="auto"/>
          <w:sz w:val="32"/>
          <w:highlight w:val="none"/>
        </w:rPr>
      </w:pPr>
    </w:p>
    <w:p>
      <w:pPr>
        <w:adjustRightInd w:val="0"/>
        <w:snapToGrid w:val="0"/>
        <w:spacing w:line="360" w:lineRule="auto"/>
        <w:rPr>
          <w:rFonts w:ascii="宋体" w:hAnsi="宋体" w:cs="宋体"/>
          <w:b/>
          <w:color w:val="auto"/>
          <w:sz w:val="24"/>
          <w:szCs w:val="24"/>
          <w:highlight w:val="none"/>
        </w:rPr>
      </w:pPr>
      <w:r>
        <w:rPr>
          <w:rFonts w:hint="eastAsia" w:ascii="宋体" w:hAnsi="宋体" w:cs="宋体"/>
          <w:color w:val="auto"/>
          <w:sz w:val="32"/>
          <w:highlight w:val="none"/>
        </w:rPr>
        <w:br w:type="page"/>
      </w:r>
      <w:r>
        <w:rPr>
          <w:rFonts w:hint="eastAsia" w:ascii="宋体" w:hAnsi="宋体" w:cs="宋体"/>
          <w:b/>
          <w:color w:val="auto"/>
          <w:sz w:val="24"/>
          <w:szCs w:val="24"/>
          <w:highlight w:val="none"/>
        </w:rPr>
        <w:t>投标文件封面</w:t>
      </w:r>
    </w:p>
    <w:p>
      <w:pPr>
        <w:snapToGrid w:val="0"/>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napToGrid w:val="0"/>
        <w:spacing w:line="360" w:lineRule="auto"/>
        <w:jc w:val="center"/>
        <w:rPr>
          <w:rFonts w:ascii="宋体" w:hAnsi="宋体" w:cs="宋体"/>
          <w:color w:val="auto"/>
          <w:sz w:val="56"/>
          <w:szCs w:val="20"/>
          <w:highlight w:val="none"/>
        </w:rPr>
      </w:pPr>
    </w:p>
    <w:p>
      <w:pPr>
        <w:snapToGrid w:val="0"/>
        <w:spacing w:line="360" w:lineRule="auto"/>
        <w:jc w:val="center"/>
        <w:rPr>
          <w:rFonts w:ascii="宋体" w:hAnsi="宋体" w:cs="宋体"/>
          <w:color w:val="auto"/>
          <w:sz w:val="44"/>
          <w:szCs w:val="44"/>
          <w:highlight w:val="none"/>
        </w:rPr>
      </w:pPr>
      <w:r>
        <w:rPr>
          <w:rFonts w:hint="eastAsia" w:ascii="宋体" w:hAnsi="宋体" w:cs="宋体"/>
          <w:color w:val="auto"/>
          <w:sz w:val="44"/>
          <w:szCs w:val="44"/>
          <w:highlight w:val="none"/>
        </w:rPr>
        <w:t>(项目名称)项目</w:t>
      </w:r>
    </w:p>
    <w:p>
      <w:pPr>
        <w:snapToGrid w:val="0"/>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报</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价</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文</w:t>
      </w:r>
    </w:p>
    <w:p>
      <w:pPr>
        <w:snapToGrid w:val="0"/>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件</w:t>
      </w:r>
    </w:p>
    <w:p>
      <w:pPr>
        <w:snapToGrid w:val="0"/>
        <w:spacing w:line="360" w:lineRule="auto"/>
        <w:rPr>
          <w:rFonts w:ascii="宋体" w:hAnsi="宋体" w:cs="宋体"/>
          <w:color w:val="auto"/>
          <w:sz w:val="28"/>
          <w:szCs w:val="20"/>
          <w:highlight w:val="none"/>
        </w:rPr>
      </w:pP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投标单位法定代表人（负责人、自然人）或授权代表姓名：（签字或盖章）</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投标单位法定代表人（负责人、自然人）或授权代表职务：</w:t>
      </w:r>
    </w:p>
    <w:p>
      <w:pPr>
        <w:snapToGrid w:val="0"/>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napToGrid w:val="0"/>
        <w:spacing w:line="360" w:lineRule="auto"/>
        <w:rPr>
          <w:rFonts w:ascii="宋体" w:hAnsi="宋体" w:cs="宋体"/>
          <w:color w:val="auto"/>
          <w:sz w:val="20"/>
          <w:szCs w:val="20"/>
          <w:highlight w:val="none"/>
        </w:rPr>
      </w:pPr>
    </w:p>
    <w:p>
      <w:pPr>
        <w:adjustRightInd w:val="0"/>
        <w:snapToGrid w:val="0"/>
        <w:spacing w:before="50" w:after="50" w:line="360" w:lineRule="auto"/>
        <w:jc w:val="center"/>
        <w:rPr>
          <w:rFonts w:ascii="宋体" w:hAnsi="宋体" w:cs="宋体"/>
          <w:color w:val="auto"/>
          <w:sz w:val="28"/>
          <w:szCs w:val="28"/>
          <w:highlight w:val="none"/>
        </w:rPr>
      </w:pPr>
      <w:r>
        <w:rPr>
          <w:rFonts w:hint="eastAsia" w:ascii="宋体" w:hAnsi="宋体" w:cs="宋体"/>
          <w:color w:val="auto"/>
          <w:sz w:val="28"/>
          <w:szCs w:val="28"/>
          <w:highlight w:val="none"/>
        </w:rPr>
        <w:t>年  月  日</w:t>
      </w:r>
    </w:p>
    <w:p>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pPr>
        <w:widowControl/>
        <w:snapToGrid w:val="0"/>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1、投标函…………………………………………………………………（页码）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2、开标一览表……………………………………………………………（页码）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3、投标报价明细表………………………………………………………（页码）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4、投标保证金缴纳凭证复印件…………………………………………（页码）</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5、投标人针对报价需要说明的其他文件和资料………………………（页码）</w:t>
      </w:r>
    </w:p>
    <w:p>
      <w:pPr>
        <w:adjustRightInd w:val="0"/>
        <w:snapToGrid w:val="0"/>
        <w:spacing w:line="400" w:lineRule="exact"/>
        <w:rPr>
          <w:rFonts w:ascii="宋体" w:hAnsi="宋体" w:cs="宋体"/>
          <w:color w:val="auto"/>
          <w:sz w:val="24"/>
          <w:szCs w:val="24"/>
          <w:highlight w:val="none"/>
        </w:rPr>
      </w:pPr>
    </w:p>
    <w:p>
      <w:pPr>
        <w:widowControl/>
        <w:jc w:val="left"/>
        <w:rPr>
          <w:rFonts w:ascii="宋体" w:hAnsi="宋体"/>
          <w:b/>
          <w:bCs/>
          <w:color w:val="auto"/>
          <w:sz w:val="32"/>
          <w:szCs w:val="32"/>
          <w:highlight w:val="none"/>
        </w:rPr>
      </w:pPr>
      <w:r>
        <w:rPr>
          <w:color w:val="auto"/>
          <w:highlight w:val="none"/>
        </w:rPr>
        <w:br w:type="page"/>
      </w: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1、投标函格式：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 标 函</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根据贵方项目（项目编号：）招标公告/投标邀请书，签字代表（全名）经正式授权并代表投标人（投标人名称）提交</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投标文件正本一份、副本份、电子文件份。</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据此函，签字代表宣布同意如下：</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1、投标人已详细审查全部“招标文件”，包括补充文件（如有）以及全部参考资料和有关附件，已经了解我方对于招标文件、采购过程、采购结果有依法进行询问、质疑、投诉的权利及相关渠道和要求。</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2、投标人在投标之前已经与贵方进行了充分的沟通，完全理解并接受招标文件的各项规定和要求，对招标文件的合理性、合法性不再有异议。</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3、本投标有效期自递交投标文件截止之日起</w:t>
      </w:r>
      <w:r>
        <w:rPr>
          <w:rFonts w:hint="eastAsia" w:ascii="宋体" w:hAnsi="宋体" w:cs="宋体"/>
          <w:color w:val="auto"/>
          <w:sz w:val="24"/>
          <w:szCs w:val="24"/>
          <w:highlight w:val="none"/>
          <w:u w:val="single"/>
        </w:rPr>
        <w:t>90</w:t>
      </w:r>
      <w:r>
        <w:rPr>
          <w:rFonts w:hint="eastAsia" w:ascii="宋体" w:hAnsi="宋体" w:cs="宋体"/>
          <w:color w:val="auto"/>
          <w:sz w:val="24"/>
          <w:szCs w:val="24"/>
          <w:highlight w:val="none"/>
        </w:rPr>
        <w:t>日。</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4、如中标，本投标文件至本项目合同履行完毕止均保持有效，本投标人将按“招标文件”及政府采购法律、法规的规定履行合同责任和义务。</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5、投标人同意按照贵方要求提供与投标有关的一切数据或资料，完全理解采购人不一定接受最低价的投标或收到的任何投标。</w:t>
      </w:r>
    </w:p>
    <w:p>
      <w:pPr>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6、与本投标有关的一切正式往来信函请寄：</w:t>
      </w:r>
    </w:p>
    <w:p>
      <w:pPr>
        <w:adjustRightInd w:val="0"/>
        <w:snapToGrid w:val="0"/>
        <w:spacing w:line="400" w:lineRule="exact"/>
        <w:ind w:firstLine="480" w:firstLineChars="200"/>
        <w:rPr>
          <w:rFonts w:ascii="宋体" w:hAnsi="宋体" w:cs="宋体"/>
          <w:color w:val="auto"/>
          <w:sz w:val="24"/>
          <w:szCs w:val="24"/>
          <w:highlight w:val="none"/>
        </w:rPr>
      </w:pP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地址：  邮编：     电话：</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传真：   投标人代表姓名：  职务：</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投标人名称(公章):</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开户银行：    银行帐号：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授权代表签字:</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日期：年月日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color w:val="auto"/>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2、开标一览表</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开标一览表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      </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单位：元/</w:t>
      </w:r>
      <w:r>
        <w:rPr>
          <w:rFonts w:hint="eastAsia" w:ascii="宋体" w:hAnsi="宋体"/>
          <w:color w:val="auto"/>
          <w:sz w:val="24"/>
          <w:szCs w:val="24"/>
          <w:highlight w:val="none"/>
          <w:lang w:eastAsia="zh-CN"/>
        </w:rPr>
        <w:t>辆</w:t>
      </w:r>
      <w:r>
        <w:rPr>
          <w:rFonts w:hint="eastAsia" w:ascii="宋体" w:hAnsi="宋体" w:cs="宋体"/>
          <w:color w:val="auto"/>
          <w:sz w:val="24"/>
          <w:szCs w:val="24"/>
          <w:highlight w:val="none"/>
        </w:rPr>
        <w:t>等</w:t>
      </w:r>
    </w:p>
    <w:tbl>
      <w:tblPr>
        <w:tblStyle w:val="38"/>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250"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标的名称</w:t>
            </w:r>
          </w:p>
        </w:tc>
        <w:tc>
          <w:tcPr>
            <w:tcW w:w="1065"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641"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产地</w:t>
            </w:r>
          </w:p>
        </w:tc>
        <w:tc>
          <w:tcPr>
            <w:tcW w:w="1282"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规格型号</w:t>
            </w:r>
          </w:p>
        </w:tc>
        <w:tc>
          <w:tcPr>
            <w:tcW w:w="898"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1153"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单价（元）</w:t>
            </w:r>
          </w:p>
        </w:tc>
        <w:tc>
          <w:tcPr>
            <w:tcW w:w="1154"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合计（元）</w:t>
            </w:r>
          </w:p>
        </w:tc>
        <w:tc>
          <w:tcPr>
            <w:tcW w:w="897" w:type="dxa"/>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476" w:type="dxa"/>
            <w:vAlign w:val="center"/>
          </w:tcPr>
          <w:p>
            <w:pPr>
              <w:snapToGrid w:val="0"/>
              <w:spacing w:line="400" w:lineRule="exact"/>
              <w:jc w:val="center"/>
              <w:rPr>
                <w:rFonts w:ascii="宋体" w:hAnsi="宋体" w:cs="宋体"/>
                <w:color w:val="auto"/>
                <w:sz w:val="24"/>
                <w:szCs w:val="24"/>
                <w:highlight w:val="none"/>
              </w:rPr>
            </w:pPr>
          </w:p>
        </w:tc>
        <w:tc>
          <w:tcPr>
            <w:tcW w:w="1250" w:type="dxa"/>
            <w:vAlign w:val="center"/>
          </w:tcPr>
          <w:p>
            <w:pPr>
              <w:snapToGrid w:val="0"/>
              <w:spacing w:line="400" w:lineRule="exact"/>
              <w:jc w:val="center"/>
              <w:rPr>
                <w:rFonts w:ascii="宋体" w:hAnsi="宋体" w:cs="宋体"/>
                <w:color w:val="auto"/>
                <w:sz w:val="24"/>
                <w:szCs w:val="24"/>
                <w:highlight w:val="none"/>
              </w:rPr>
            </w:pPr>
          </w:p>
        </w:tc>
        <w:tc>
          <w:tcPr>
            <w:tcW w:w="1065" w:type="dxa"/>
            <w:vAlign w:val="center"/>
          </w:tcPr>
          <w:p>
            <w:pPr>
              <w:snapToGrid w:val="0"/>
              <w:spacing w:line="400" w:lineRule="exact"/>
              <w:jc w:val="center"/>
              <w:rPr>
                <w:rFonts w:ascii="宋体" w:hAnsi="宋体" w:cs="宋体"/>
                <w:color w:val="auto"/>
                <w:sz w:val="24"/>
                <w:szCs w:val="24"/>
                <w:highlight w:val="none"/>
              </w:rPr>
            </w:pPr>
          </w:p>
        </w:tc>
        <w:tc>
          <w:tcPr>
            <w:tcW w:w="641" w:type="dxa"/>
            <w:vAlign w:val="center"/>
          </w:tcPr>
          <w:p>
            <w:pPr>
              <w:snapToGrid w:val="0"/>
              <w:spacing w:line="400" w:lineRule="exact"/>
              <w:jc w:val="center"/>
              <w:rPr>
                <w:rFonts w:ascii="宋体" w:hAnsi="宋体" w:cs="宋体"/>
                <w:color w:val="auto"/>
                <w:sz w:val="24"/>
                <w:szCs w:val="24"/>
                <w:highlight w:val="none"/>
              </w:rPr>
            </w:pPr>
          </w:p>
        </w:tc>
        <w:tc>
          <w:tcPr>
            <w:tcW w:w="1282" w:type="dxa"/>
            <w:vAlign w:val="center"/>
          </w:tcPr>
          <w:p>
            <w:pPr>
              <w:snapToGrid w:val="0"/>
              <w:spacing w:line="400" w:lineRule="exact"/>
              <w:jc w:val="center"/>
              <w:rPr>
                <w:rFonts w:ascii="宋体" w:hAnsi="宋体" w:cs="宋体"/>
                <w:color w:val="auto"/>
                <w:sz w:val="24"/>
                <w:szCs w:val="24"/>
                <w:highlight w:val="none"/>
              </w:rPr>
            </w:pPr>
          </w:p>
        </w:tc>
        <w:tc>
          <w:tcPr>
            <w:tcW w:w="898" w:type="dxa"/>
            <w:vAlign w:val="center"/>
          </w:tcPr>
          <w:p>
            <w:pPr>
              <w:snapToGrid w:val="0"/>
              <w:spacing w:line="400" w:lineRule="exact"/>
              <w:jc w:val="center"/>
              <w:rPr>
                <w:rFonts w:ascii="宋体" w:hAnsi="宋体" w:cs="宋体"/>
                <w:color w:val="auto"/>
                <w:sz w:val="24"/>
                <w:szCs w:val="24"/>
                <w:highlight w:val="none"/>
              </w:rPr>
            </w:pPr>
          </w:p>
        </w:tc>
        <w:tc>
          <w:tcPr>
            <w:tcW w:w="1153" w:type="dxa"/>
            <w:vAlign w:val="center"/>
          </w:tcPr>
          <w:p>
            <w:pPr>
              <w:snapToGrid w:val="0"/>
              <w:spacing w:line="400" w:lineRule="exact"/>
              <w:jc w:val="left"/>
              <w:rPr>
                <w:rFonts w:ascii="宋体" w:hAnsi="宋体" w:cs="宋体"/>
                <w:color w:val="auto"/>
                <w:sz w:val="24"/>
                <w:szCs w:val="24"/>
                <w:highlight w:val="none"/>
              </w:rPr>
            </w:pPr>
          </w:p>
        </w:tc>
        <w:tc>
          <w:tcPr>
            <w:tcW w:w="1154" w:type="dxa"/>
            <w:vAlign w:val="center"/>
          </w:tcPr>
          <w:p>
            <w:pPr>
              <w:snapToGrid w:val="0"/>
              <w:spacing w:line="400" w:lineRule="exact"/>
              <w:jc w:val="center"/>
              <w:rPr>
                <w:rFonts w:ascii="宋体" w:hAnsi="宋体" w:cs="宋体"/>
                <w:color w:val="auto"/>
                <w:sz w:val="24"/>
                <w:szCs w:val="24"/>
                <w:highlight w:val="none"/>
              </w:rPr>
            </w:pPr>
          </w:p>
        </w:tc>
        <w:tc>
          <w:tcPr>
            <w:tcW w:w="897" w:type="dxa"/>
            <w:vAlign w:val="center"/>
          </w:tcPr>
          <w:p>
            <w:pPr>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7090" w:type="dxa"/>
            <w:gridSpan w:val="7"/>
            <w:vAlign w:val="center"/>
          </w:tcPr>
          <w:p>
            <w:pPr>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合计金额大写：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交货时间</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质保期</w:t>
            </w:r>
          </w:p>
        </w:tc>
        <w:tc>
          <w:tcPr>
            <w:tcW w:w="7090" w:type="dxa"/>
            <w:gridSpan w:val="7"/>
            <w:vAlign w:val="center"/>
          </w:tcPr>
          <w:p>
            <w:pPr>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（可填写是\否满足招标文件要求）</w:t>
            </w:r>
          </w:p>
        </w:tc>
      </w:tr>
    </w:tbl>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注: 投标报价包括项目实施所需的货款、人工费、服务费、运输费、安装调试费、税金及其他一切费用。</w:t>
      </w:r>
    </w:p>
    <w:p>
      <w:pPr>
        <w:pStyle w:val="4"/>
        <w:rPr>
          <w:color w:val="auto"/>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adjustRightInd w:val="0"/>
        <w:snapToGrid w:val="0"/>
        <w:spacing w:line="400" w:lineRule="exact"/>
        <w:ind w:left="-2" w:leftChars="-1"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color w:val="auto"/>
          <w:highlight w:val="none"/>
        </w:rPr>
      </w:pPr>
      <w:r>
        <w:rPr>
          <w:rFonts w:hint="eastAsia" w:ascii="宋体" w:hAnsi="宋体" w:cs="宋体"/>
          <w:b/>
          <w:color w:val="auto"/>
          <w:sz w:val="24"/>
          <w:szCs w:val="24"/>
          <w:highlight w:val="none"/>
        </w:rPr>
        <w:br w:type="page"/>
      </w:r>
    </w:p>
    <w:p>
      <w:pPr>
        <w:adjustRightInd w:val="0"/>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3、投标报价明细表格式</w:t>
      </w:r>
      <w:r>
        <w:rPr>
          <w:rFonts w:hint="eastAsia" w:ascii="宋体" w:hAnsi="宋体" w:cs="宋体"/>
          <w:color w:val="auto"/>
          <w:sz w:val="24"/>
          <w:szCs w:val="24"/>
          <w:highlight w:val="none"/>
        </w:rPr>
        <w:t xml:space="preserve">：       </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投标报价明细表</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标包编号及内容：                               金额单位：人民币（元）</w:t>
      </w:r>
    </w:p>
    <w:tbl>
      <w:tblPr>
        <w:tblStyle w:val="38"/>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序号</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kern w:val="0"/>
                <w:sz w:val="24"/>
                <w:szCs w:val="24"/>
                <w:highlight w:val="none"/>
              </w:rPr>
            </w:pPr>
            <w:r>
              <w:rPr>
                <w:rFonts w:hint="eastAsia" w:ascii="宋体" w:hAnsi="宋体" w:cs="宋体"/>
                <w:color w:val="auto"/>
                <w:spacing w:val="-20"/>
                <w:kern w:val="0"/>
                <w:sz w:val="24"/>
                <w:szCs w:val="24"/>
                <w:highlight w:val="none"/>
              </w:rPr>
              <w:t>品牌</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单价</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z w:val="24"/>
                <w:szCs w:val="24"/>
                <w:highlight w:val="none"/>
              </w:rPr>
              <w:t>金额</w:t>
            </w: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color w:val="auto"/>
                <w:spacing w:val="20"/>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rPr>
                <w:rFonts w:ascii="宋体" w:hAnsi="宋体" w:cs="宋体"/>
                <w:color w:val="auto"/>
                <w:spacing w:val="20"/>
                <w:sz w:val="24"/>
                <w:szCs w:val="24"/>
                <w:highlight w:val="none"/>
              </w:rPr>
            </w:pPr>
            <w:r>
              <w:rPr>
                <w:rFonts w:hint="eastAsia" w:ascii="宋体" w:hAnsi="宋体" w:cs="宋体"/>
                <w:color w:val="auto"/>
                <w:spacing w:val="20"/>
                <w:sz w:val="24"/>
                <w:szCs w:val="24"/>
                <w:highlight w:val="none"/>
              </w:rPr>
              <w:t>合计金额：（人民币大写）</w:t>
            </w:r>
          </w:p>
        </w:tc>
      </w:tr>
    </w:tbl>
    <w:p>
      <w:pPr>
        <w:tabs>
          <w:tab w:val="left" w:pos="1418"/>
        </w:tabs>
        <w:snapToGrid w:val="0"/>
        <w:spacing w:line="400" w:lineRule="exact"/>
        <w:rPr>
          <w:rFonts w:ascii="宋体" w:hAnsi="宋体" w:cs="宋体"/>
          <w:color w:val="auto"/>
          <w:spacing w:val="20"/>
          <w:sz w:val="24"/>
          <w:szCs w:val="24"/>
          <w:highlight w:val="none"/>
        </w:rPr>
      </w:pPr>
      <w:r>
        <w:rPr>
          <w:rFonts w:hint="eastAsia" w:ascii="宋体" w:hAnsi="宋体" w:cs="宋体"/>
          <w:color w:val="auto"/>
          <w:sz w:val="24"/>
          <w:szCs w:val="24"/>
          <w:highlight w:val="none"/>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color w:val="auto"/>
          <w:spacing w:val="20"/>
          <w:sz w:val="24"/>
          <w:szCs w:val="24"/>
          <w:highlight w:val="none"/>
        </w:rPr>
        <w:t>。</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3" w:leftChars="-72" w:right="-817" w:rightChars="-389" w:hanging="148" w:hangingChars="6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法定代表人或授权代表（签字）：</w:t>
      </w:r>
    </w:p>
    <w:p>
      <w:pPr>
        <w:adjustRightInd w:val="0"/>
        <w:snapToGrid w:val="0"/>
        <w:spacing w:line="400" w:lineRule="exact"/>
        <w:rPr>
          <w:rFonts w:ascii="宋体" w:hAnsi="宋体" w:cs="宋体"/>
          <w:color w:val="auto"/>
          <w:spacing w:val="20"/>
          <w:sz w:val="24"/>
          <w:szCs w:val="24"/>
          <w:highlight w:val="none"/>
        </w:rPr>
      </w:pP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rPr>
          <w:rFonts w:ascii="宋体" w:hAnsi="宋体" w:cs="宋体"/>
          <w:color w:val="auto"/>
          <w:sz w:val="24"/>
          <w:szCs w:val="24"/>
          <w:highlight w:val="non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line="400" w:lineRule="exact"/>
        <w:rPr>
          <w:rFonts w:ascii="宋体" w:hAnsi="宋体" w:cs="宋体"/>
          <w:color w:val="auto"/>
          <w:spacing w:val="20"/>
          <w:sz w:val="24"/>
          <w:szCs w:val="24"/>
          <w:highlight w:val="none"/>
          <w:u w:val="singl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4、投标保证金缴纳凭证复印件</w:t>
      </w:r>
    </w:p>
    <w:p>
      <w:pPr>
        <w:adjustRightInd w:val="0"/>
        <w:snapToGrid w:val="0"/>
        <w:spacing w:before="50" w:after="50" w:line="400" w:lineRule="exact"/>
        <w:rPr>
          <w:rFonts w:ascii="宋体" w:hAnsi="宋体" w:cs="宋体"/>
          <w:b/>
          <w:color w:val="auto"/>
          <w:sz w:val="24"/>
          <w:szCs w:val="24"/>
          <w:highlight w:val="none"/>
        </w:rPr>
      </w:pPr>
    </w:p>
    <w:p>
      <w:pPr>
        <w:adjustRightInd w:val="0"/>
        <w:snapToGrid w:val="0"/>
        <w:spacing w:before="50" w:after="50"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5、投标人针对报价需要说明的其他文件和资料（如有）</w:t>
      </w: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8"/>
          <w:szCs w:val="28"/>
          <w:highlight w:val="none"/>
        </w:rPr>
        <w:br w:type="page"/>
      </w:r>
      <w:r>
        <w:rPr>
          <w:rFonts w:hint="eastAsia" w:ascii="宋体" w:hAnsi="宋体" w:cs="宋体"/>
          <w:b/>
          <w:color w:val="auto"/>
          <w:sz w:val="24"/>
          <w:szCs w:val="24"/>
          <w:highlight w:val="none"/>
        </w:rPr>
        <w:t>投标文件封面</w:t>
      </w:r>
    </w:p>
    <w:p>
      <w:pPr>
        <w:spacing w:line="360" w:lineRule="auto"/>
        <w:rPr>
          <w:rFonts w:ascii="宋体" w:hAnsi="宋体" w:cs="宋体"/>
          <w:color w:val="auto"/>
          <w:sz w:val="40"/>
          <w:szCs w:val="20"/>
          <w:highlight w:val="none"/>
        </w:rPr>
      </w:pPr>
      <w:r>
        <w:rPr>
          <w:rFonts w:hint="eastAsia" w:ascii="宋体" w:hAnsi="宋体" w:cs="宋体"/>
          <w:color w:val="auto"/>
          <w:sz w:val="40"/>
          <w:szCs w:val="20"/>
          <w:highlight w:val="none"/>
        </w:rPr>
        <w:t>正（副）本</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(项目名称)项目</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28"/>
          <w:szCs w:val="20"/>
          <w:highlight w:val="none"/>
        </w:rPr>
      </w:pPr>
      <w:r>
        <w:rPr>
          <w:rFonts w:hint="eastAsia" w:ascii="宋体" w:hAnsi="宋体" w:cs="宋体"/>
          <w:color w:val="auto"/>
          <w:sz w:val="28"/>
          <w:szCs w:val="20"/>
          <w:highlight w:val="none"/>
        </w:rPr>
        <w:t>标包编号：</w:t>
      </w:r>
    </w:p>
    <w:p>
      <w:pPr>
        <w:spacing w:line="360" w:lineRule="auto"/>
        <w:jc w:val="center"/>
        <w:rPr>
          <w:rFonts w:ascii="宋体" w:hAnsi="宋体" w:cs="宋体"/>
          <w:color w:val="auto"/>
          <w:sz w:val="28"/>
          <w:szCs w:val="20"/>
          <w:highlight w:val="none"/>
        </w:rPr>
      </w:pPr>
    </w:p>
    <w:p>
      <w:pPr>
        <w:spacing w:line="360" w:lineRule="auto"/>
        <w:jc w:val="center"/>
        <w:rPr>
          <w:rFonts w:ascii="宋体" w:hAnsi="宋体" w:cs="宋体"/>
          <w:color w:val="auto"/>
          <w:sz w:val="56"/>
          <w:szCs w:val="20"/>
          <w:highlight w:val="none"/>
        </w:rPr>
      </w:pPr>
      <w:r>
        <w:rPr>
          <w:rFonts w:hint="eastAsia" w:ascii="宋体" w:hAnsi="宋体" w:cs="宋体"/>
          <w:color w:val="auto"/>
          <w:sz w:val="56"/>
          <w:szCs w:val="20"/>
          <w:highlight w:val="none"/>
        </w:rPr>
        <w:t>商务技术文件</w:t>
      </w: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jc w:val="center"/>
        <w:rPr>
          <w:rFonts w:ascii="宋体" w:hAnsi="宋体" w:cs="宋体"/>
          <w:color w:val="auto"/>
          <w:sz w:val="56"/>
          <w:szCs w:val="20"/>
          <w:highlight w:val="none"/>
        </w:rPr>
      </w:pP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投标单位名称：（加盖单位公章）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投标单位地址：</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投标单位法定代表人（负责人、自然人）或法人授权代表姓名：（签字或盖章）</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投标单位法定代表人（负责人、自然人）或法人授权代表职务：</w:t>
      </w:r>
    </w:p>
    <w:p>
      <w:pPr>
        <w:spacing w:line="360" w:lineRule="auto"/>
        <w:rPr>
          <w:rFonts w:ascii="宋体" w:hAnsi="宋体" w:cs="宋体"/>
          <w:color w:val="auto"/>
          <w:sz w:val="28"/>
          <w:szCs w:val="20"/>
          <w:highlight w:val="none"/>
        </w:rPr>
      </w:pPr>
      <w:r>
        <w:rPr>
          <w:rFonts w:hint="eastAsia" w:ascii="宋体" w:hAnsi="宋体" w:cs="宋体"/>
          <w:color w:val="auto"/>
          <w:sz w:val="28"/>
          <w:szCs w:val="20"/>
          <w:highlight w:val="none"/>
        </w:rPr>
        <w:t>投标单位联系方式：</w:t>
      </w:r>
    </w:p>
    <w:p>
      <w:pPr>
        <w:spacing w:line="360" w:lineRule="auto"/>
        <w:rPr>
          <w:rFonts w:ascii="宋体" w:hAnsi="宋体" w:cs="宋体"/>
          <w:color w:val="auto"/>
          <w:sz w:val="20"/>
          <w:szCs w:val="20"/>
          <w:highlight w:val="none"/>
        </w:rPr>
      </w:pPr>
    </w:p>
    <w:p>
      <w:pPr>
        <w:adjustRightInd w:val="0"/>
        <w:snapToGrid w:val="0"/>
        <w:jc w:val="center"/>
        <w:rPr>
          <w:rFonts w:ascii="宋体" w:hAnsi="宋体" w:cs="宋体"/>
          <w:b/>
          <w:color w:val="auto"/>
          <w:sz w:val="24"/>
          <w:szCs w:val="24"/>
          <w:highlight w:val="none"/>
        </w:rPr>
      </w:pPr>
      <w:r>
        <w:rPr>
          <w:rFonts w:hint="eastAsia" w:ascii="宋体" w:hAnsi="宋体" w:cs="宋体"/>
          <w:color w:val="auto"/>
          <w:sz w:val="28"/>
          <w:szCs w:val="28"/>
          <w:highlight w:val="none"/>
        </w:rPr>
        <w:t>年  月  日</w:t>
      </w:r>
    </w:p>
    <w:p>
      <w:pPr>
        <w:jc w:val="center"/>
        <w:rPr>
          <w:rFonts w:ascii="宋体" w:hAnsi="宋体" w:cs="宋体"/>
          <w:b/>
          <w:color w:val="auto"/>
          <w:sz w:val="44"/>
          <w:szCs w:val="44"/>
          <w:highlight w:val="none"/>
        </w:rPr>
      </w:pPr>
      <w:r>
        <w:rPr>
          <w:rFonts w:hint="eastAsia" w:ascii="宋体" w:hAnsi="宋体" w:cs="宋体"/>
          <w:b/>
          <w:color w:val="auto"/>
          <w:sz w:val="28"/>
          <w:szCs w:val="28"/>
          <w:highlight w:val="none"/>
        </w:rPr>
        <w:br w:type="page"/>
      </w:r>
      <w:r>
        <w:rPr>
          <w:rFonts w:hint="eastAsia" w:ascii="宋体" w:hAnsi="宋体" w:cs="宋体"/>
          <w:b/>
          <w:color w:val="auto"/>
          <w:sz w:val="44"/>
          <w:szCs w:val="44"/>
          <w:highlight w:val="none"/>
        </w:rPr>
        <w:t xml:space="preserve">目 </w:t>
      </w:r>
      <w:r>
        <w:rPr>
          <w:rFonts w:hint="eastAsia" w:ascii="宋体" w:hAnsi="宋体" w:cs="宋体"/>
          <w:b/>
          <w:color w:val="auto"/>
          <w:sz w:val="44"/>
          <w:szCs w:val="44"/>
          <w:highlight w:val="none"/>
        </w:rPr>
        <w:tab/>
      </w:r>
      <w:r>
        <w:rPr>
          <w:rFonts w:hint="eastAsia" w:ascii="宋体" w:hAnsi="宋体" w:cs="宋体"/>
          <w:b/>
          <w:color w:val="auto"/>
          <w:sz w:val="44"/>
          <w:szCs w:val="44"/>
          <w:highlight w:val="none"/>
        </w:rPr>
        <w:t>录</w:t>
      </w:r>
    </w:p>
    <w:p>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一、商务部分</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投标声明书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法定代表人（负责人、自然人）授权书</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企业法人营业执照（或登记证书、身份证）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投标人情况介绍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近年财务状况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szCs w:val="24"/>
          <w:highlight w:val="none"/>
        </w:rPr>
        <w:t>6</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投标人须具有履行合同所必需的设备和专业技术能力</w:t>
      </w:r>
      <w:r>
        <w:rPr>
          <w:rFonts w:hint="eastAsia" w:ascii="宋体" w:hAnsi="宋体" w:cs="宋体"/>
          <w:color w:val="auto"/>
          <w:sz w:val="24"/>
          <w:szCs w:val="24"/>
          <w:highlight w:val="none"/>
          <w:lang w:eastAsia="zh-CN"/>
        </w:rPr>
        <w:t>证明资料</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w:t>
      </w:r>
      <w:r>
        <w:rPr>
          <w:rFonts w:hint="eastAsia" w:ascii="宋体" w:hAnsi="宋体" w:eastAsia="宋体" w:cs="宋体"/>
          <w:color w:val="auto"/>
          <w:sz w:val="24"/>
          <w:szCs w:val="24"/>
          <w:highlight w:val="none"/>
        </w:rPr>
        <w:t>纳税证明社保证明</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 xml:space="preserve">前三年内在经营活动中没有重大违法记录的书面声明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 xml:space="preserve">信用记录 </w:t>
      </w:r>
      <w:r>
        <w:rPr>
          <w:rFonts w:hint="eastAsia" w:ascii="宋体" w:hAnsi="宋体" w:cs="宋体"/>
          <w:color w:val="auto"/>
          <w:sz w:val="24"/>
          <w:highlight w:val="none"/>
        </w:rPr>
        <w:t>………………………………………………………………（页码）</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其他认证证书等</w:t>
      </w:r>
      <w:r>
        <w:rPr>
          <w:rFonts w:hint="eastAsia" w:ascii="宋体" w:hAnsi="宋体" w:cs="宋体"/>
          <w:color w:val="auto"/>
          <w:sz w:val="24"/>
          <w:highlight w:val="none"/>
        </w:rPr>
        <w:t>………………………………………………………（页码）</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类似成功业绩…………………………………………………………（页码）</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政府采购政策扶持证明材料…………………………………………（页码）</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其他证明文件或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认为应提交的商务文件……………………（页码）</w:t>
      </w:r>
    </w:p>
    <w:p>
      <w:pPr>
        <w:tabs>
          <w:tab w:val="center" w:pos="4912"/>
        </w:tabs>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二、技术</w:t>
      </w:r>
      <w:r>
        <w:rPr>
          <w:rFonts w:hint="eastAsia" w:ascii="宋体" w:hAnsi="宋体" w:cs="宋体"/>
          <w:color w:val="auto"/>
          <w:sz w:val="24"/>
          <w:szCs w:val="24"/>
          <w:highlight w:val="none"/>
          <w:lang w:val="en-US" w:eastAsia="zh-CN"/>
        </w:rPr>
        <w:t>部分</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.技术响应偏离表</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产品</w:t>
      </w:r>
      <w:r>
        <w:rPr>
          <w:rFonts w:hint="eastAsia" w:ascii="宋体" w:hAnsi="宋体" w:cs="宋体"/>
          <w:color w:val="auto"/>
          <w:sz w:val="24"/>
          <w:szCs w:val="24"/>
          <w:highlight w:val="none"/>
          <w:lang w:eastAsia="zh-CN"/>
        </w:rPr>
        <w:t>详细技术规格书</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16</w:t>
      </w:r>
      <w:r>
        <w:rPr>
          <w:rFonts w:hint="eastAsia" w:ascii="宋体" w:hAnsi="宋体" w:cs="宋体"/>
          <w:color w:val="auto"/>
          <w:sz w:val="24"/>
          <w:szCs w:val="24"/>
          <w:highlight w:val="none"/>
          <w:lang w:eastAsia="zh-CN"/>
        </w:rPr>
        <w:t>.产品检测报告</w:t>
      </w:r>
      <w:r>
        <w:rPr>
          <w:rFonts w:hint="eastAsia" w:ascii="宋体" w:hAnsi="宋体" w:cs="宋体"/>
          <w:color w:val="auto"/>
          <w:sz w:val="24"/>
          <w:szCs w:val="24"/>
          <w:highlight w:val="none"/>
        </w:rPr>
        <w:t xml:space="preserve">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 xml:space="preserve">针对本项目的详细组织实施方案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18.</w:t>
      </w:r>
      <w:r>
        <w:rPr>
          <w:rFonts w:hint="eastAsia" w:ascii="宋体" w:hAnsi="宋体" w:cs="宋体"/>
          <w:color w:val="auto"/>
          <w:sz w:val="24"/>
          <w:szCs w:val="24"/>
          <w:highlight w:val="none"/>
        </w:rPr>
        <w:t>针对本项目的</w:t>
      </w:r>
      <w:r>
        <w:rPr>
          <w:rFonts w:hint="eastAsia" w:ascii="宋体" w:hAnsi="宋体" w:cs="宋体"/>
          <w:color w:val="auto"/>
          <w:sz w:val="24"/>
          <w:szCs w:val="24"/>
          <w:highlight w:val="none"/>
          <w:lang w:eastAsia="zh-CN"/>
        </w:rPr>
        <w:t>详细技术培训</w:t>
      </w:r>
      <w:r>
        <w:rPr>
          <w:rFonts w:hint="eastAsia" w:ascii="宋体" w:hAnsi="宋体" w:cs="宋体"/>
          <w:color w:val="auto"/>
          <w:sz w:val="24"/>
          <w:szCs w:val="24"/>
          <w:highlight w:val="none"/>
        </w:rPr>
        <w:t xml:space="preserve">方案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19.</w:t>
      </w:r>
      <w:r>
        <w:rPr>
          <w:rFonts w:hint="eastAsia" w:ascii="宋体" w:hAnsi="宋体" w:cs="宋体"/>
          <w:color w:val="auto"/>
          <w:sz w:val="24"/>
          <w:szCs w:val="24"/>
          <w:highlight w:val="none"/>
        </w:rPr>
        <w:t xml:space="preserve">针对本项目的售后服务方案 </w:t>
      </w:r>
      <w:r>
        <w:rPr>
          <w:rFonts w:hint="eastAsia" w:ascii="宋体" w:hAnsi="宋体" w:cs="宋体"/>
          <w:color w:val="auto"/>
          <w:sz w:val="24"/>
          <w:highlight w:val="none"/>
        </w:rPr>
        <w:t>…………………………………………（页码）</w:t>
      </w:r>
    </w:p>
    <w:p>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20.</w:t>
      </w:r>
      <w:r>
        <w:rPr>
          <w:rFonts w:hint="eastAsia" w:ascii="宋体" w:hAnsi="宋体" w:cs="宋体"/>
          <w:color w:val="auto"/>
          <w:sz w:val="24"/>
          <w:szCs w:val="24"/>
          <w:highlight w:val="none"/>
        </w:rPr>
        <w:t>其他优惠条件（如有）</w:t>
      </w:r>
      <w:r>
        <w:rPr>
          <w:rFonts w:hint="eastAsia" w:ascii="宋体" w:hAnsi="宋体" w:cs="宋体"/>
          <w:color w:val="auto"/>
          <w:sz w:val="24"/>
          <w:highlight w:val="none"/>
        </w:rPr>
        <w:t>………………………………………………（页码）</w:t>
      </w:r>
    </w:p>
    <w:p>
      <w:pPr>
        <w:adjustRightInd w:val="0"/>
        <w:snapToGrid w:val="0"/>
        <w:ind w:firstLine="480" w:firstLineChars="200"/>
        <w:rPr>
          <w:rFonts w:hint="eastAsia" w:ascii="宋体" w:hAnsi="宋体" w:cs="宋体"/>
          <w:color w:val="auto"/>
          <w:sz w:val="24"/>
          <w:highlight w:val="none"/>
        </w:rPr>
      </w:pPr>
      <w:r>
        <w:rPr>
          <w:rFonts w:hint="eastAsia" w:ascii="宋体" w:hAnsi="宋体" w:cs="宋体"/>
          <w:color w:val="auto"/>
          <w:sz w:val="24"/>
          <w:szCs w:val="24"/>
          <w:highlight w:val="none"/>
          <w:lang w:val="en-US" w:eastAsia="zh-CN"/>
        </w:rPr>
        <w:t>21.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认为需要提供的其他技术文件或资料（如有）</w:t>
      </w:r>
      <w:r>
        <w:rPr>
          <w:rFonts w:hint="eastAsia" w:ascii="宋体" w:hAnsi="宋体" w:cs="宋体"/>
          <w:color w:val="auto"/>
          <w:sz w:val="24"/>
          <w:highlight w:val="none"/>
        </w:rPr>
        <w:t>……………（页码）</w:t>
      </w:r>
    </w:p>
    <w:p>
      <w:pPr>
        <w:spacing w:line="360" w:lineRule="auto"/>
        <w:ind w:left="719" w:leftChars="228" w:hanging="240" w:hangingChars="100"/>
        <w:rPr>
          <w:rFonts w:ascii="宋体" w:hAnsi="宋体" w:cs="宋体"/>
          <w:color w:val="auto"/>
          <w:sz w:val="24"/>
          <w:szCs w:val="24"/>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adjustRightInd w:val="0"/>
        <w:snapToGrid w:val="0"/>
        <w:rPr>
          <w:rFonts w:ascii="宋体" w:hAnsi="宋体" w:cs="宋体"/>
          <w:b/>
          <w:color w:val="auto"/>
          <w:sz w:val="28"/>
          <w:szCs w:val="28"/>
          <w:highlight w:val="none"/>
        </w:rPr>
      </w:pPr>
    </w:p>
    <w:tbl>
      <w:tblPr>
        <w:tblStyle w:val="3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pPr>
              <w:adjustRightInd w:val="0"/>
              <w:snapToGrid w:val="0"/>
              <w:jc w:val="center"/>
              <w:rPr>
                <w:rFonts w:ascii="宋体" w:hAnsi="宋体" w:cs="宋体"/>
                <w:b/>
                <w:color w:val="auto"/>
                <w:sz w:val="24"/>
                <w:szCs w:val="24"/>
                <w:highlight w:val="none"/>
              </w:rPr>
            </w:pPr>
            <w:r>
              <w:rPr>
                <w:rFonts w:hint="eastAsia" w:ascii="宋体" w:hAnsi="宋体" w:cs="宋体"/>
                <w:b/>
                <w:color w:val="auto"/>
                <w:sz w:val="24"/>
                <w:szCs w:val="24"/>
                <w:highlight w:val="none"/>
              </w:rPr>
              <w:t>评标索引表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评审因素</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索引页码</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000"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783"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c>
          <w:tcPr>
            <w:tcW w:w="2584" w:type="dxa"/>
          </w:tcPr>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color w:val="auto"/>
                <w:sz w:val="24"/>
                <w:szCs w:val="24"/>
                <w:highlight w:val="none"/>
              </w:rPr>
            </w:pPr>
          </w:p>
        </w:tc>
        <w:tc>
          <w:tcPr>
            <w:tcW w:w="2000" w:type="dxa"/>
          </w:tcPr>
          <w:p>
            <w:pPr>
              <w:adjustRightInd w:val="0"/>
              <w:snapToGrid w:val="0"/>
              <w:rPr>
                <w:rFonts w:ascii="宋体" w:hAnsi="宋体" w:cs="宋体"/>
                <w:b/>
                <w:color w:val="auto"/>
                <w:sz w:val="24"/>
                <w:szCs w:val="24"/>
                <w:highlight w:val="none"/>
              </w:rPr>
            </w:pPr>
          </w:p>
        </w:tc>
        <w:tc>
          <w:tcPr>
            <w:tcW w:w="2783" w:type="dxa"/>
          </w:tcPr>
          <w:p>
            <w:pPr>
              <w:adjustRightInd w:val="0"/>
              <w:snapToGrid w:val="0"/>
              <w:rPr>
                <w:rFonts w:ascii="宋体" w:hAnsi="宋体" w:cs="宋体"/>
                <w:b/>
                <w:color w:val="auto"/>
                <w:sz w:val="24"/>
                <w:szCs w:val="24"/>
                <w:highlight w:val="none"/>
              </w:rPr>
            </w:pPr>
          </w:p>
        </w:tc>
        <w:tc>
          <w:tcPr>
            <w:tcW w:w="2584" w:type="dxa"/>
          </w:tcPr>
          <w:p>
            <w:pPr>
              <w:adjustRightInd w:val="0"/>
              <w:snapToGrid w:val="0"/>
              <w:rPr>
                <w:rFonts w:ascii="宋体" w:hAnsi="宋体" w:cs="宋体"/>
                <w:b/>
                <w:color w:val="auto"/>
                <w:sz w:val="24"/>
                <w:szCs w:val="24"/>
                <w:highlight w:val="none"/>
              </w:rPr>
            </w:pPr>
          </w:p>
        </w:tc>
      </w:tr>
    </w:tbl>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pPr>
        <w:adjustRightInd w:val="0"/>
        <w:snapToGrid w:val="0"/>
        <w:rPr>
          <w:rFonts w:ascii="宋体" w:hAnsi="宋体" w:cs="宋体"/>
          <w:b/>
          <w:color w:val="auto"/>
          <w:sz w:val="24"/>
          <w:szCs w:val="24"/>
          <w:highlight w:val="none"/>
        </w:rPr>
      </w:pPr>
      <w:r>
        <w:rPr>
          <w:rFonts w:hint="eastAsia" w:ascii="宋体" w:hAnsi="宋体" w:cs="宋体"/>
          <w:b/>
          <w:color w:val="auto"/>
          <w:sz w:val="24"/>
          <w:szCs w:val="24"/>
          <w:highlight w:val="none"/>
        </w:rPr>
        <w:t>1、投标声明书格式：</w:t>
      </w:r>
    </w:p>
    <w:p>
      <w:pPr>
        <w:adjustRightInd w:val="0"/>
        <w:snapToGrid w:val="0"/>
        <w:jc w:val="center"/>
        <w:rPr>
          <w:rFonts w:ascii="宋体" w:hAnsi="宋体" w:cs="宋体"/>
          <w:color w:val="auto"/>
          <w:sz w:val="24"/>
          <w:szCs w:val="24"/>
          <w:highlight w:val="none"/>
        </w:rPr>
      </w:pPr>
      <w:r>
        <w:rPr>
          <w:rFonts w:hint="eastAsia" w:ascii="宋体" w:hAnsi="宋体" w:cs="宋体"/>
          <w:color w:val="auto"/>
          <w:sz w:val="24"/>
          <w:szCs w:val="24"/>
          <w:highlight w:val="none"/>
        </w:rPr>
        <w:t>投标声明书</w:t>
      </w:r>
    </w:p>
    <w:p>
      <w:p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400" w:lineRule="exact"/>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（投标人名称）系中华人民共和国合法企业（其他组织），经营地址。</w:t>
      </w:r>
    </w:p>
    <w:p>
      <w:pPr>
        <w:adjustRightInd w:val="0"/>
        <w:snapToGrid w:val="0"/>
        <w:spacing w:line="400" w:lineRule="exact"/>
        <w:ind w:firstLine="645"/>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我（姓名）系（投标人名称）的法定代表人（负责人），我方愿意参加贵方组织的项目（项目编号：）</w:t>
      </w:r>
      <w:r>
        <w:rPr>
          <w:rFonts w:hint="eastAsia" w:ascii="宋体" w:hAnsi="宋体" w:cs="宋体"/>
          <w:color w:val="auto"/>
          <w:sz w:val="24"/>
          <w:szCs w:val="24"/>
          <w:highlight w:val="none"/>
          <w:u w:val="single"/>
        </w:rPr>
        <w:t>标包编号及内容</w:t>
      </w:r>
      <w:r>
        <w:rPr>
          <w:rFonts w:hint="eastAsia" w:ascii="宋体" w:hAnsi="宋体" w:cs="宋体"/>
          <w:color w:val="auto"/>
          <w:sz w:val="24"/>
          <w:szCs w:val="24"/>
          <w:highlight w:val="none"/>
        </w:rPr>
        <w:t xml:space="preserve"> 的投标，为便于贵方公正、择优地确定中标人及其投标产品和服务，我方就本次投标有关事项郑重声明如下：</w:t>
      </w:r>
    </w:p>
    <w:p>
      <w:pPr>
        <w:numPr>
          <w:ilvl w:val="0"/>
          <w:numId w:val="14"/>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投标方已详细审查全部招标文件，同意招标文件的各项要求。</w:t>
      </w:r>
    </w:p>
    <w:p>
      <w:pPr>
        <w:numPr>
          <w:ilvl w:val="0"/>
          <w:numId w:val="14"/>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我方向贵方提交的所有投标文件、资料都是准确的和真实的。</w:t>
      </w:r>
    </w:p>
    <w:p>
      <w:pPr>
        <w:numPr>
          <w:ilvl w:val="0"/>
          <w:numId w:val="14"/>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若中标，我方将按招标文件规定履行合同责任和义务。</w:t>
      </w:r>
    </w:p>
    <w:p>
      <w:pPr>
        <w:numPr>
          <w:ilvl w:val="0"/>
          <w:numId w:val="14"/>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我方郑重承诺：我方所投产品及其任何一部分，免受第三方提出的侵犯其专利权、商标权、著作权或其它知识产权的起诉。我方承担由此可能产生的一切法律责任和费用。</w:t>
      </w:r>
    </w:p>
    <w:p>
      <w:pPr>
        <w:numPr>
          <w:ilvl w:val="0"/>
          <w:numId w:val="14"/>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我方不是采购人的附属机构；在获知本项目采购信息后，与采购人聘请的为此项目提供咨询服务的公司及其附属机构没有任何联系。</w:t>
      </w:r>
    </w:p>
    <w:p>
      <w:pPr>
        <w:numPr>
          <w:ilvl w:val="0"/>
          <w:numId w:val="14"/>
        </w:numPr>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投标书自开标日起有效期为日。以上事项如有虚假或隐瞒，我方愿意承担一切后果，并不再寻求任何旨在减轻或免除法律责任的辩解。</w:t>
      </w: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b/>
          <w:color w:val="auto"/>
          <w:sz w:val="24"/>
          <w:szCs w:val="24"/>
          <w:highlight w:val="none"/>
        </w:rPr>
        <w:t>2、授权委托书格式：</w:t>
      </w:r>
    </w:p>
    <w:p>
      <w:pPr>
        <w:adjustRightInd w:val="0"/>
        <w:snapToGrid w:val="0"/>
        <w:spacing w:line="360" w:lineRule="auto"/>
        <w:jc w:val="center"/>
        <w:rPr>
          <w:rFonts w:ascii="宋体" w:hAnsi="宋体" w:cs="宋体"/>
          <w:color w:val="auto"/>
          <w:sz w:val="24"/>
          <w:szCs w:val="24"/>
          <w:highlight w:val="none"/>
        </w:rPr>
      </w:pPr>
    </w:p>
    <w:p>
      <w:pPr>
        <w:adjustRightInd w:val="0"/>
        <w:snapToGrid w:val="0"/>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授权委托书</w:t>
      </w:r>
    </w:p>
    <w:p>
      <w:pPr>
        <w:adjustRightInd w:val="0"/>
        <w:snapToGrid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（采购代理机构名称）：</w:t>
      </w:r>
    </w:p>
    <w:p>
      <w:pPr>
        <w:adjustRightInd w:val="0"/>
        <w:snapToGrid w:val="0"/>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我（姓名）系（投标人名称）的法定代表人（负责人、自然人），现授权委托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（姓名）以我方的名义参加</w:t>
      </w:r>
      <w:r>
        <w:rPr>
          <w:rFonts w:hint="eastAsia" w:ascii="宋体" w:hAnsi="宋体" w:cs="宋体"/>
          <w:color w:val="auto"/>
          <w:sz w:val="24"/>
          <w:szCs w:val="24"/>
          <w:highlight w:val="none"/>
          <w:u w:val="single"/>
        </w:rPr>
        <w:t xml:space="preserve">     项目（项目编号：        ）标包编号及内容</w:t>
      </w:r>
      <w:r>
        <w:rPr>
          <w:rFonts w:hint="eastAsia" w:ascii="宋体" w:hAnsi="宋体" w:cs="宋体"/>
          <w:color w:val="auto"/>
          <w:sz w:val="24"/>
          <w:szCs w:val="24"/>
          <w:highlight w:val="none"/>
        </w:rPr>
        <w:t>的投标活动，并代表我方全权办理针对上述项目的投标、开标、评标、签约等具体事务和签署相关文件。</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我方对被授权人的签名事项负全部责任。</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u w:val="single"/>
        </w:rPr>
        <w:t>在撤销授权的书面通知以前，本授权书一直有效。</w:t>
      </w:r>
      <w:r>
        <w:rPr>
          <w:rFonts w:hint="eastAsia" w:ascii="宋体" w:hAnsi="宋体" w:cs="宋体"/>
          <w:color w:val="auto"/>
          <w:sz w:val="24"/>
          <w:szCs w:val="24"/>
          <w:highlight w:val="none"/>
        </w:rPr>
        <w:t>被授权人在授权书有效期内签署的所有文件不因授权的撤销而失效。</w:t>
      </w:r>
    </w:p>
    <w:p>
      <w:pPr>
        <w:adjustRightInd w:val="0"/>
        <w:snapToGrid w:val="0"/>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被授权人无转委托权，特此委托。</w:t>
      </w:r>
    </w:p>
    <w:p>
      <w:pPr>
        <w:adjustRightInd w:val="0"/>
        <w:snapToGrid w:val="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授权代表签名：                      授权人签名：</w:t>
      </w:r>
    </w:p>
    <w:p>
      <w:pPr>
        <w:adjustRightInd w:val="0"/>
        <w:snapToGrid w:val="0"/>
        <w:spacing w:line="360" w:lineRule="auto"/>
        <w:ind w:firstLine="960" w:firstLineChars="400"/>
        <w:rPr>
          <w:rFonts w:ascii="宋体" w:hAnsi="宋体" w:cs="宋体"/>
          <w:color w:val="auto"/>
          <w:sz w:val="24"/>
          <w:szCs w:val="24"/>
          <w:highlight w:val="none"/>
        </w:rPr>
      </w:pPr>
      <w:r>
        <w:rPr>
          <w:rFonts w:hint="eastAsia" w:ascii="宋体" w:hAnsi="宋体" w:cs="宋体"/>
          <w:color w:val="auto"/>
          <w:sz w:val="24"/>
          <w:szCs w:val="24"/>
          <w:highlight w:val="none"/>
        </w:rPr>
        <w:t>职务：                      职务：</w:t>
      </w:r>
    </w:p>
    <w:p>
      <w:pPr>
        <w:adjustRightInd w:val="0"/>
        <w:snapToGrid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授权代表身份证号码：</w:t>
      </w:r>
    </w:p>
    <w:p>
      <w:pPr>
        <w:adjustRightInd w:val="0"/>
        <w:snapToGrid w:val="0"/>
        <w:spacing w:line="360" w:lineRule="auto"/>
        <w:rPr>
          <w:rFonts w:ascii="宋体" w:hAnsi="宋体" w:cs="宋体"/>
          <w:color w:val="auto"/>
          <w:sz w:val="24"/>
          <w:szCs w:val="24"/>
          <w:highlight w:val="none"/>
        </w:rPr>
      </w:pPr>
    </w:p>
    <w:tbl>
      <w:tblPr>
        <w:tblStyle w:val="38"/>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授权人身份证正面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授权人身份证反面</w:t>
            </w:r>
          </w:p>
        </w:tc>
        <w:tc>
          <w:tcPr>
            <w:tcW w:w="4310" w:type="dxa"/>
            <w:vAlign w:val="center"/>
          </w:tcPr>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被授权人身份证反面</w:t>
            </w:r>
          </w:p>
        </w:tc>
      </w:tr>
    </w:tbl>
    <w:p>
      <w:pPr>
        <w:adjustRightInd w:val="0"/>
        <w:snapToGrid w:val="0"/>
        <w:spacing w:line="360" w:lineRule="auto"/>
        <w:ind w:right="480"/>
        <w:jc w:val="center"/>
        <w:rPr>
          <w:rFonts w:ascii="宋体" w:hAnsi="宋体" w:cs="宋体"/>
          <w:color w:val="auto"/>
          <w:sz w:val="24"/>
          <w:szCs w:val="24"/>
          <w:highlight w:val="none"/>
        </w:rPr>
      </w:pPr>
    </w:p>
    <w:p>
      <w:pPr>
        <w:adjustRightInd w:val="0"/>
        <w:snapToGrid w:val="0"/>
        <w:spacing w:line="360" w:lineRule="auto"/>
        <w:ind w:right="48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                          投标人名称（盖章）：</w:t>
      </w:r>
    </w:p>
    <w:p>
      <w:pPr>
        <w:adjustRightInd w:val="0"/>
        <w:snapToGrid w:val="0"/>
        <w:spacing w:line="360" w:lineRule="auto"/>
        <w:ind w:right="360"/>
        <w:jc w:val="righ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360" w:lineRule="auto"/>
        <w:rPr>
          <w:rFonts w:ascii="宋体" w:hAnsi="宋体" w:cs="宋体"/>
          <w:b/>
          <w:color w:val="auto"/>
          <w:sz w:val="24"/>
          <w:szCs w:val="24"/>
          <w:highlight w:val="none"/>
        </w:rPr>
      </w:pPr>
    </w:p>
    <w:p>
      <w:pPr>
        <w:adjustRightInd w:val="0"/>
        <w:snapToGrid w:val="0"/>
        <w:spacing w:line="400" w:lineRule="exact"/>
        <w:rPr>
          <w:rFonts w:ascii="宋体" w:hAnsi="宋体" w:cs="宋体"/>
          <w:b/>
          <w:color w:val="auto"/>
          <w:sz w:val="24"/>
          <w:szCs w:val="24"/>
          <w:highlight w:val="none"/>
        </w:rPr>
      </w:pPr>
      <w:r>
        <w:rPr>
          <w:rFonts w:hint="eastAsia" w:ascii="宋体" w:hAnsi="宋体" w:cs="宋体"/>
          <w:b/>
          <w:color w:val="auto"/>
          <w:sz w:val="24"/>
          <w:szCs w:val="24"/>
          <w:highlight w:val="none"/>
        </w:rPr>
        <w:t>3、有效的营业执照（事业单位法人证书、民办非企业单位登记证书、社会团体法人登记证书、基金会法人登记证书、自然人身份证）副本复印件、税务登记证副本（如有）复印件</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4、投标人情况介绍格式：</w:t>
      </w:r>
    </w:p>
    <w:p>
      <w:pPr>
        <w:adjustRightInd w:val="0"/>
        <w:snapToGrid w:val="0"/>
        <w:spacing w:line="40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投标人情况</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投标人名称:                                                   </w:t>
      </w:r>
    </w:p>
    <w:tbl>
      <w:tblPr>
        <w:tblStyle w:val="38"/>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投标人名称</w:t>
            </w:r>
          </w:p>
        </w:tc>
        <w:tc>
          <w:tcPr>
            <w:tcW w:w="6994" w:type="dxa"/>
            <w:gridSpan w:val="6"/>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注册地址</w:t>
            </w:r>
          </w:p>
        </w:tc>
        <w:tc>
          <w:tcPr>
            <w:tcW w:w="3376" w:type="dxa"/>
            <w:gridSpan w:val="3"/>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14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邮政编码</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联系方式</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联系人</w:t>
            </w:r>
          </w:p>
        </w:tc>
        <w:tc>
          <w:tcPr>
            <w:tcW w:w="2323"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5"/>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传 真</w:t>
            </w:r>
          </w:p>
        </w:tc>
        <w:tc>
          <w:tcPr>
            <w:tcW w:w="2323"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1453" w:type="dxa"/>
            <w:vAlign w:val="center"/>
          </w:tcPr>
          <w:p>
            <w:pPr>
              <w:pStyle w:val="183"/>
              <w:numPr>
                <w:ilvl w:val="0"/>
                <w:numId w:val="15"/>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网址</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法定代表人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技术负责人</w:t>
            </w:r>
          </w:p>
        </w:tc>
        <w:tc>
          <w:tcPr>
            <w:tcW w:w="1053"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姓名</w:t>
            </w:r>
          </w:p>
        </w:tc>
        <w:tc>
          <w:tcPr>
            <w:tcW w:w="1469"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854"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职称</w:t>
            </w:r>
          </w:p>
        </w:tc>
        <w:tc>
          <w:tcPr>
            <w:tcW w:w="1453"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765"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电话</w:t>
            </w:r>
          </w:p>
        </w:tc>
        <w:tc>
          <w:tcPr>
            <w:tcW w:w="1400" w:type="dxa"/>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企业资质</w:t>
            </w:r>
          </w:p>
        </w:tc>
        <w:tc>
          <w:tcPr>
            <w:tcW w:w="2522"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left="0" w:firstLine="0" w:firstLineChars="0"/>
              <w:rPr>
                <w:rFonts w:ascii="宋体" w:hAnsi="宋体" w:cs="宋体"/>
                <w:color w:val="auto"/>
                <w:sz w:val="24"/>
                <w:szCs w:val="24"/>
                <w:highlight w:val="none"/>
              </w:rPr>
            </w:pPr>
            <w:r>
              <w:rPr>
                <w:rFonts w:hint="eastAsia" w:ascii="宋体" w:hAnsi="宋体" w:cs="宋体"/>
                <w:color w:val="auto"/>
                <w:sz w:val="24"/>
                <w:szCs w:val="24"/>
                <w:highlight w:val="none"/>
              </w:rPr>
              <w:t>营业执照号</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资信等级</w:t>
            </w:r>
          </w:p>
        </w:tc>
        <w:tc>
          <w:tcPr>
            <w:tcW w:w="6994" w:type="dxa"/>
            <w:gridSpan w:val="6"/>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环境管理体系认证</w:t>
            </w:r>
          </w:p>
        </w:tc>
        <w:tc>
          <w:tcPr>
            <w:tcW w:w="2522"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职业安全健康管理体系认证</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注册资金</w:t>
            </w:r>
          </w:p>
        </w:tc>
        <w:tc>
          <w:tcPr>
            <w:tcW w:w="2522"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固定资产净值</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流动资产</w:t>
            </w:r>
          </w:p>
        </w:tc>
        <w:tc>
          <w:tcPr>
            <w:tcW w:w="2522"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万元</w:t>
            </w:r>
          </w:p>
        </w:tc>
        <w:tc>
          <w:tcPr>
            <w:tcW w:w="2307"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开户银行</w:t>
            </w:r>
          </w:p>
        </w:tc>
        <w:tc>
          <w:tcPr>
            <w:tcW w:w="2522"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c>
          <w:tcPr>
            <w:tcW w:w="2307" w:type="dxa"/>
            <w:gridSpan w:val="2"/>
            <w:vAlign w:val="center"/>
          </w:tcPr>
          <w:p>
            <w:pPr>
              <w:pStyle w:val="183"/>
              <w:spacing w:line="400" w:lineRule="exact"/>
              <w:ind w:firstLineChars="0"/>
              <w:jc w:val="both"/>
              <w:rPr>
                <w:rFonts w:ascii="宋体" w:hAnsi="宋体" w:cs="宋体"/>
                <w:color w:val="auto"/>
                <w:sz w:val="24"/>
                <w:szCs w:val="24"/>
                <w:highlight w:val="none"/>
              </w:rPr>
            </w:pPr>
            <w:r>
              <w:rPr>
                <w:rFonts w:hint="eastAsia" w:ascii="宋体" w:hAnsi="宋体" w:cs="宋体"/>
                <w:color w:val="auto"/>
                <w:sz w:val="24"/>
                <w:szCs w:val="24"/>
                <w:highlight w:val="none"/>
              </w:rPr>
              <w:t>帐号</w:t>
            </w:r>
          </w:p>
        </w:tc>
        <w:tc>
          <w:tcPr>
            <w:tcW w:w="2165" w:type="dxa"/>
            <w:gridSpan w:val="2"/>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总人数人，其中：具有高级职称的人，中级职称的人。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经营范围</w:t>
            </w:r>
          </w:p>
        </w:tc>
        <w:tc>
          <w:tcPr>
            <w:tcW w:w="6994" w:type="dxa"/>
            <w:gridSpan w:val="6"/>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资质范围</w:t>
            </w:r>
          </w:p>
        </w:tc>
        <w:tc>
          <w:tcPr>
            <w:tcW w:w="6994" w:type="dxa"/>
            <w:gridSpan w:val="6"/>
            <w:vAlign w:val="center"/>
          </w:tcPr>
          <w:p>
            <w:pPr>
              <w:pStyle w:val="183"/>
              <w:numPr>
                <w:ilvl w:val="0"/>
                <w:numId w:val="15"/>
              </w:numPr>
              <w:spacing w:line="400" w:lineRule="exact"/>
              <w:ind w:firstLineChars="0"/>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备  注</w:t>
            </w:r>
          </w:p>
        </w:tc>
        <w:tc>
          <w:tcPr>
            <w:tcW w:w="6994" w:type="dxa"/>
            <w:gridSpan w:val="6"/>
            <w:vAlign w:val="center"/>
          </w:tcPr>
          <w:p>
            <w:pPr>
              <w:pStyle w:val="183"/>
              <w:numPr>
                <w:ilvl w:val="0"/>
                <w:numId w:val="15"/>
              </w:numPr>
              <w:spacing w:line="400" w:lineRule="exact"/>
              <w:ind w:firstLineChars="0"/>
              <w:rPr>
                <w:rFonts w:ascii="宋体" w:hAnsi="宋体" w:cs="宋体"/>
                <w:color w:val="auto"/>
                <w:sz w:val="24"/>
                <w:szCs w:val="24"/>
                <w:highlight w:val="none"/>
              </w:rPr>
            </w:pPr>
          </w:p>
        </w:tc>
      </w:tr>
    </w:tbl>
    <w:p>
      <w:pPr>
        <w:autoSpaceDE w:val="0"/>
        <w:autoSpaceDN w:val="0"/>
        <w:adjustRightInd w:val="0"/>
        <w:snapToGrid w:val="0"/>
        <w:spacing w:line="400" w:lineRule="exact"/>
        <w:ind w:firstLine="472" w:firstLineChars="196"/>
        <w:rPr>
          <w:rFonts w:ascii="宋体" w:hAnsi="宋体" w:cs="宋体"/>
          <w:b/>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5、财务状况报告</w:t>
      </w:r>
    </w:p>
    <w:p>
      <w:pPr>
        <w:adjustRightInd w:val="0"/>
        <w:snapToGrid w:val="0"/>
        <w:spacing w:line="400" w:lineRule="exact"/>
        <w:jc w:val="left"/>
        <w:rPr>
          <w:rFonts w:ascii="宋体" w:hAnsi="宋体" w:cs="宋体"/>
          <w:b/>
          <w:color w:val="auto"/>
          <w:sz w:val="24"/>
          <w:szCs w:val="24"/>
          <w:highlight w:val="none"/>
        </w:rPr>
      </w:pPr>
      <w:r>
        <w:rPr>
          <w:rFonts w:ascii="宋体" w:hAnsi="宋体" w:cs="宋体"/>
          <w:b w:val="0"/>
          <w:bCs/>
          <w:color w:val="auto"/>
          <w:sz w:val="24"/>
          <w:szCs w:val="24"/>
          <w:highlight w:val="none"/>
        </w:rPr>
        <w:t>应提供本单位 2022 年度或 2023 年度经会计师事务所出具的审计报告复印件（报告中须包括资产负债表、利润表、现金流量表及财务报表附注）。如供应商注册不满 1 年则提供具有良好的商业信誉和健全的财务会计制度承诺函；</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6、投标人须具有履行合同所必需的设备和专业技术能力，须附相关证明材料或声明：</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格式：</w:t>
      </w:r>
    </w:p>
    <w:p>
      <w:pPr>
        <w:pStyle w:val="196"/>
        <w:autoSpaceDE w:val="0"/>
        <w:autoSpaceDN w:val="0"/>
        <w:adjustRightInd w:val="0"/>
        <w:snapToGrid w:val="0"/>
        <w:spacing w:line="400" w:lineRule="exact"/>
        <w:ind w:firstLine="115" w:firstLineChars="50"/>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本投标人郑重声明：</w:t>
      </w:r>
    </w:p>
    <w:p>
      <w:pPr>
        <w:pStyle w:val="196"/>
        <w:autoSpaceDE w:val="0"/>
        <w:autoSpaceDN w:val="0"/>
        <w:adjustRightInd w:val="0"/>
        <w:snapToGrid w:val="0"/>
        <w:spacing w:line="400" w:lineRule="exact"/>
        <w:ind w:firstLine="230" w:firstLineChars="10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本公司（或单位）具备本项目履行合同所必需的设备和专业技术能力，特此承诺。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被授权人签字： </w:t>
      </w:r>
    </w:p>
    <w:p>
      <w:pPr>
        <w:pStyle w:val="196"/>
        <w:autoSpaceDE w:val="0"/>
        <w:autoSpaceDN w:val="0"/>
        <w:adjustRightInd w:val="0"/>
        <w:snapToGrid w:val="0"/>
        <w:spacing w:line="400" w:lineRule="exact"/>
        <w:ind w:firstLine="115" w:firstLineChars="50"/>
        <w:jc w:val="left"/>
        <w:rPr>
          <w:rFonts w:ascii="宋体" w:hAnsi="宋体" w:cs="宋体"/>
          <w:color w:val="auto"/>
          <w:kern w:val="0"/>
          <w:sz w:val="23"/>
          <w:szCs w:val="23"/>
          <w:highlight w:val="none"/>
        </w:rPr>
      </w:pPr>
      <w:r>
        <w:rPr>
          <w:rFonts w:hint="eastAsia" w:ascii="宋体" w:hAnsi="宋体" w:cs="宋体"/>
          <w:color w:val="auto"/>
          <w:kern w:val="0"/>
          <w:sz w:val="23"/>
          <w:szCs w:val="23"/>
          <w:highlight w:val="none"/>
        </w:rPr>
        <w:t>投标人名称（加盖公章）：</w:t>
      </w:r>
    </w:p>
    <w:p>
      <w:pPr>
        <w:pStyle w:val="196"/>
        <w:autoSpaceDE w:val="0"/>
        <w:autoSpaceDN w:val="0"/>
        <w:adjustRightInd w:val="0"/>
        <w:snapToGrid w:val="0"/>
        <w:spacing w:line="400" w:lineRule="exact"/>
        <w:ind w:firstLine="115" w:firstLineChars="50"/>
        <w:rPr>
          <w:rFonts w:ascii="宋体" w:hAnsi="宋体" w:cs="宋体"/>
          <w:color w:val="auto"/>
          <w:kern w:val="0"/>
          <w:sz w:val="23"/>
          <w:szCs w:val="23"/>
          <w:highlight w:val="none"/>
        </w:rPr>
      </w:pPr>
      <w:r>
        <w:rPr>
          <w:rFonts w:hint="eastAsia" w:ascii="宋体" w:hAnsi="宋体" w:cs="宋体"/>
          <w:color w:val="auto"/>
          <w:kern w:val="0"/>
          <w:sz w:val="23"/>
          <w:szCs w:val="23"/>
          <w:highlight w:val="none"/>
        </w:rPr>
        <w:t xml:space="preserve">年 月 日 </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7</w:t>
      </w:r>
      <w:r>
        <w:rPr>
          <w:rFonts w:hint="eastAsia" w:ascii="宋体" w:hAnsi="宋体" w:cs="宋体"/>
          <w:b/>
          <w:color w:val="auto"/>
          <w:sz w:val="24"/>
          <w:szCs w:val="24"/>
          <w:highlight w:val="none"/>
        </w:rPr>
        <w:t>、依法缴纳税收和社会保障资金的良好记录</w:t>
      </w:r>
    </w:p>
    <w:p>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缴纳税收的证明材料，指</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缴纳增值税和企业所得税两种缴纳凭据；本项目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 xml:space="preserve">前6个月内（至少提供1个月）缴纳税收的凭据（完税证、缴款书、印花税票、银行代扣（代缴）转账凭证等均可）； </w:t>
      </w:r>
    </w:p>
    <w:p>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依法缴纳社会保障资金的证明材料：本项目</w:t>
      </w:r>
      <w:r>
        <w:rPr>
          <w:rFonts w:hint="eastAsia" w:ascii="宋体" w:hAnsi="宋体" w:cs="宋体"/>
          <w:color w:val="auto"/>
          <w:sz w:val="24"/>
          <w:szCs w:val="24"/>
          <w:highlight w:val="none"/>
          <w:lang w:eastAsia="zh-CN"/>
        </w:rPr>
        <w:t>开标</w:t>
      </w:r>
      <w:r>
        <w:rPr>
          <w:rFonts w:hint="eastAsia" w:ascii="宋体" w:hAnsi="宋体" w:cs="宋体"/>
          <w:color w:val="auto"/>
          <w:sz w:val="24"/>
          <w:szCs w:val="24"/>
          <w:highlight w:val="none"/>
        </w:rPr>
        <w:t xml:space="preserve">前 6个月内（至少提供1个月）缴纳社会保险的凭据（专用收据或社会保险交纳清单）； </w:t>
      </w:r>
    </w:p>
    <w:p>
      <w:pPr>
        <w:adjustRightInd w:val="0"/>
        <w:snapToGrid w:val="0"/>
        <w:spacing w:line="4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为其他组织或自然人的，也需要按此项规定提供缴纳税收的凭据和交纳社会保险的凭据。如</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的社会保险为委托第三方代缴，还需同时提供</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与第三方服务机构签署的服务合同（合同中应明确写明第三方为</w:t>
      </w:r>
      <w:r>
        <w:rPr>
          <w:rFonts w:hint="eastAsia" w:ascii="宋体" w:hAnsi="宋体" w:cs="宋体"/>
          <w:color w:val="auto"/>
          <w:sz w:val="24"/>
          <w:szCs w:val="24"/>
          <w:highlight w:val="none"/>
          <w:lang w:eastAsia="zh-CN"/>
        </w:rPr>
        <w:t>投标人</w:t>
      </w:r>
      <w:r>
        <w:rPr>
          <w:rFonts w:hint="eastAsia" w:ascii="宋体" w:hAnsi="宋体" w:cs="宋体"/>
          <w:color w:val="auto"/>
          <w:sz w:val="24"/>
          <w:szCs w:val="24"/>
          <w:highlight w:val="none"/>
        </w:rPr>
        <w:t>代缴其社会保险）。</w:t>
      </w:r>
    </w:p>
    <w:p>
      <w:pPr>
        <w:pStyle w:val="2"/>
        <w:rPr>
          <w:color w:val="auto"/>
          <w:highlight w:val="none"/>
        </w:rPr>
      </w:pPr>
    </w:p>
    <w:p>
      <w:pPr>
        <w:rPr>
          <w:rFonts w:ascii="宋体" w:hAnsi="宋体" w:cs="宋体"/>
          <w:b/>
          <w:color w:val="auto"/>
          <w:sz w:val="24"/>
          <w:szCs w:val="24"/>
          <w:highlight w:val="none"/>
        </w:rPr>
      </w:pPr>
      <w:r>
        <w:rPr>
          <w:rFonts w:hint="eastAsia" w:ascii="宋体" w:hAnsi="宋体" w:cs="宋体"/>
          <w:b/>
          <w:color w:val="auto"/>
          <w:sz w:val="24"/>
          <w:szCs w:val="24"/>
          <w:highlight w:val="none"/>
        </w:rPr>
        <w:br w:type="page"/>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8</w:t>
      </w:r>
      <w:r>
        <w:rPr>
          <w:rFonts w:hint="eastAsia" w:ascii="宋体" w:hAnsi="宋体" w:cs="宋体"/>
          <w:b/>
          <w:color w:val="auto"/>
          <w:sz w:val="24"/>
          <w:szCs w:val="24"/>
          <w:highlight w:val="none"/>
        </w:rPr>
        <w:t>、前三年内在经营活动中没有重大违法记录的书面声明：</w:t>
      </w:r>
    </w:p>
    <w:p>
      <w:pPr>
        <w:pStyle w:val="196"/>
        <w:adjustRightInd w:val="0"/>
        <w:snapToGrid w:val="0"/>
        <w:spacing w:line="4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格式：</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（采购人）         </w:t>
      </w:r>
      <w:r>
        <w:rPr>
          <w:rFonts w:hint="eastAsia" w:ascii="宋体" w:hAnsi="宋体" w:cs="宋体"/>
          <w:color w:val="auto"/>
          <w:sz w:val="24"/>
          <w:szCs w:val="24"/>
          <w:highlight w:val="none"/>
        </w:rPr>
        <w:t>：</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我单位参与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pPr>
        <w:pStyle w:val="196"/>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  </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pStyle w:val="196"/>
        <w:adjustRightInd w:val="0"/>
        <w:snapToGrid w:val="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法定代表人（负责人、自然人）或其委托代理人签字：</w:t>
      </w:r>
    </w:p>
    <w:p>
      <w:pPr>
        <w:adjustRightInd w:val="0"/>
        <w:snapToGrid w:val="0"/>
        <w:spacing w:line="400" w:lineRule="exact"/>
        <w:jc w:val="left"/>
        <w:rPr>
          <w:rFonts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rPr>
        <w:t>9、拒绝列入失信被执行人、重大税收违法案件当事人名单、政府采购严重违法失信行为记录名单及及其他不符合规定条件的投标人；投标人未被列入“信用中国”网站(www.creditchina.gov.cn)“记录失信被执行人或重大 税收违法案件当事人名单或政府采购严重违法失信行为”记录名单；未处于中国政府采购 网(www.ccgp.gov.cn)“政府采购严重违法失信行为信息记录”中的禁止参加政府采购活动 期间（以采购代理机构于开标当天在“信用中国”网站（www.creditchina.gov.cn） 及中国政府采购网(www.ccgp.gov.cn)查询结果为准，如相关失信记录已失效，投标人需提供相关证明资料）。</w:t>
      </w:r>
    </w:p>
    <w:p>
      <w:pPr>
        <w:adjustRightInd w:val="0"/>
        <w:snapToGrid w:val="0"/>
        <w:spacing w:line="400" w:lineRule="exact"/>
        <w:jc w:val="left"/>
        <w:rPr>
          <w:rFonts w:hint="eastAsia" w:ascii="宋体" w:hAnsi="宋体" w:cs="宋体"/>
          <w:b/>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10</w:t>
      </w:r>
      <w:r>
        <w:rPr>
          <w:rFonts w:hint="eastAsia" w:ascii="宋体" w:hAnsi="宋体" w:cs="宋体"/>
          <w:b/>
          <w:color w:val="auto"/>
          <w:sz w:val="24"/>
          <w:szCs w:val="24"/>
          <w:highlight w:val="none"/>
        </w:rPr>
        <w:t>、投标人已取得的各种有效认证证书、政府部门（企业）或第三方权威鉴定机构出具的信用等级证书或证明复印件 (如有)。</w:t>
      </w:r>
    </w:p>
    <w:p>
      <w:pPr>
        <w:adjustRightInd w:val="0"/>
        <w:snapToGrid w:val="0"/>
        <w:spacing w:line="400" w:lineRule="exact"/>
        <w:jc w:val="left"/>
        <w:rPr>
          <w:rFonts w:ascii="宋体" w:hAnsi="宋体" w:cs="宋体"/>
          <w:b/>
          <w:color w:val="auto"/>
          <w:sz w:val="24"/>
          <w:szCs w:val="24"/>
          <w:highlight w:val="none"/>
        </w:rPr>
      </w:pPr>
    </w:p>
    <w:p>
      <w:pPr>
        <w:widowControl/>
        <w:snapToGrid w:val="0"/>
        <w:spacing w:line="400" w:lineRule="exact"/>
        <w:jc w:val="left"/>
        <w:rPr>
          <w:rFonts w:ascii="宋体" w:hAnsi="宋体" w:cs="宋体"/>
          <w:b/>
          <w:bCs/>
          <w:color w:val="auto"/>
          <w:sz w:val="24"/>
          <w:szCs w:val="24"/>
          <w:highlight w:val="none"/>
        </w:rPr>
      </w:pPr>
    </w:p>
    <w:p>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11</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eastAsia="zh-CN"/>
        </w:rPr>
        <w:t>202</w:t>
      </w:r>
      <w:r>
        <w:rPr>
          <w:rFonts w:hint="eastAsia" w:ascii="宋体" w:hAnsi="宋体" w:cs="宋体"/>
          <w:b/>
          <w:color w:val="auto"/>
          <w:sz w:val="24"/>
          <w:szCs w:val="24"/>
          <w:highlight w:val="none"/>
          <w:lang w:val="en-US" w:eastAsia="zh-CN"/>
        </w:rPr>
        <w:t>1</w:t>
      </w:r>
      <w:r>
        <w:rPr>
          <w:rFonts w:hint="eastAsia" w:ascii="宋体" w:hAnsi="宋体" w:cs="宋体"/>
          <w:b/>
          <w:color w:val="auto"/>
          <w:sz w:val="24"/>
          <w:szCs w:val="24"/>
          <w:highlight w:val="none"/>
          <w:lang w:eastAsia="zh-CN"/>
        </w:rPr>
        <w:t>年1月</w:t>
      </w:r>
      <w:r>
        <w:rPr>
          <w:rFonts w:hint="eastAsia" w:ascii="宋体" w:hAnsi="宋体" w:cs="宋体"/>
          <w:b/>
          <w:color w:val="auto"/>
          <w:sz w:val="24"/>
          <w:szCs w:val="24"/>
          <w:highlight w:val="none"/>
        </w:rPr>
        <w:t>1日以来</w:t>
      </w:r>
      <w:r>
        <w:rPr>
          <w:rFonts w:hint="eastAsia" w:ascii="宋体" w:hAnsi="宋体" w:cs="宋体"/>
          <w:b/>
          <w:color w:val="auto"/>
          <w:sz w:val="24"/>
          <w:szCs w:val="24"/>
          <w:highlight w:val="none"/>
          <w:lang w:val="en-US" w:eastAsia="zh-CN"/>
        </w:rPr>
        <w:t>同类</w:t>
      </w:r>
      <w:r>
        <w:rPr>
          <w:rFonts w:hint="eastAsia" w:ascii="宋体" w:hAnsi="宋体" w:cs="宋体"/>
          <w:b/>
          <w:color w:val="auto"/>
          <w:sz w:val="24"/>
          <w:szCs w:val="24"/>
          <w:highlight w:val="none"/>
        </w:rPr>
        <w:t>成功业绩</w:t>
      </w:r>
    </w:p>
    <w:p>
      <w:pPr>
        <w:adjustRightInd w:val="0"/>
        <w:snapToGrid w:val="0"/>
        <w:spacing w:line="400" w:lineRule="exact"/>
        <w:ind w:firstLine="470" w:firstLineChars="196"/>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以签订合同时间为准，需提供</w:t>
      </w:r>
      <w:r>
        <w:rPr>
          <w:rFonts w:hint="eastAsia" w:ascii="宋体" w:hAnsi="宋体" w:cs="宋体"/>
          <w:color w:val="auto"/>
          <w:sz w:val="24"/>
          <w:szCs w:val="24"/>
          <w:highlight w:val="none"/>
          <w:lang w:eastAsia="zh-CN"/>
        </w:rPr>
        <w:t>中标（成交）通知书、</w:t>
      </w:r>
      <w:r>
        <w:rPr>
          <w:rFonts w:hint="eastAsia" w:ascii="宋体" w:hAnsi="宋体" w:cs="宋体"/>
          <w:color w:val="auto"/>
          <w:sz w:val="24"/>
          <w:szCs w:val="24"/>
          <w:highlight w:val="none"/>
        </w:rPr>
        <w:t>与最终用户合同复印件，复印件并加盖公章，如出现与事实不符等情况，将根据有关规定以“提供虚假材料谋取中标”予以处罚。</w:t>
      </w: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pStyle w:val="2"/>
        <w:rPr>
          <w:rFonts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rPr>
        <w:t>、政府采购政策扶持证明材料</w:t>
      </w:r>
    </w:p>
    <w:p>
      <w:pPr>
        <w:widowControl/>
        <w:snapToGrid w:val="0"/>
        <w:spacing w:before="240" w:after="240" w:line="400" w:lineRule="exact"/>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中小企业声明函（货物）</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本公司（联合体）郑重声明，根据关于《政府采购促进中小企业发展管理办法》的通知（财库〔2020〕46号）的规定，本公司（联合体）参加</w:t>
      </w:r>
      <w:r>
        <w:rPr>
          <w:rFonts w:hint="eastAsia" w:ascii="宋体" w:hAnsi="宋体" w:cs="宋体"/>
          <w:color w:val="auto"/>
          <w:kern w:val="0"/>
          <w:sz w:val="24"/>
          <w:szCs w:val="24"/>
          <w:highlight w:val="none"/>
          <w:u w:val="single"/>
        </w:rPr>
        <w:t>（单位名称）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（项目名称）</w:t>
      </w:r>
      <w:r>
        <w:rPr>
          <w:rFonts w:hint="eastAsia" w:ascii="宋体" w:hAnsi="宋体" w:cs="宋体"/>
          <w:color w:val="auto"/>
          <w:kern w:val="0"/>
          <w:sz w:val="24"/>
          <w:szCs w:val="24"/>
          <w:highlight w:val="none"/>
        </w:rPr>
        <w:t>采购活动，提供的货物全部由符合政策要求的中小企业制造。相关企业（含联合体中的中小企业、签订分包意向协议的中小企业）的具体情况如下：</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r>
        <w:rPr>
          <w:rFonts w:hint="eastAsia" w:ascii="宋体" w:hAnsi="宋体" w:cs="宋体"/>
          <w:color w:val="auto"/>
          <w:kern w:val="0"/>
          <w:sz w:val="24"/>
          <w:szCs w:val="24"/>
          <w:highlight w:val="none"/>
          <w:u w:val="single"/>
        </w:rPr>
        <w:t>（标的名称）</w:t>
      </w:r>
      <w:r>
        <w:rPr>
          <w:rFonts w:hint="eastAsia" w:ascii="宋体" w:hAnsi="宋体" w:cs="宋体"/>
          <w:color w:val="auto"/>
          <w:kern w:val="0"/>
          <w:sz w:val="24"/>
          <w:szCs w:val="24"/>
          <w:highlight w:val="none"/>
        </w:rPr>
        <w:t>，属于</w:t>
      </w:r>
      <w:r>
        <w:rPr>
          <w:rFonts w:hint="eastAsia" w:ascii="宋体" w:hAnsi="宋体" w:cs="宋体"/>
          <w:color w:val="auto"/>
          <w:kern w:val="0"/>
          <w:sz w:val="24"/>
          <w:szCs w:val="24"/>
          <w:highlight w:val="none"/>
          <w:u w:val="single"/>
        </w:rPr>
        <w:t>（招标文件中明确的所属行业）</w:t>
      </w:r>
      <w:r>
        <w:rPr>
          <w:rFonts w:hint="eastAsia" w:ascii="宋体" w:hAnsi="宋体" w:cs="宋体"/>
          <w:color w:val="auto"/>
          <w:kern w:val="0"/>
          <w:sz w:val="24"/>
          <w:szCs w:val="24"/>
          <w:highlight w:val="none"/>
        </w:rPr>
        <w:t>；制造商为</w:t>
      </w:r>
      <w:r>
        <w:rPr>
          <w:rFonts w:hint="eastAsia" w:ascii="宋体" w:hAnsi="宋体" w:cs="宋体"/>
          <w:color w:val="auto"/>
          <w:kern w:val="0"/>
          <w:sz w:val="24"/>
          <w:szCs w:val="24"/>
          <w:highlight w:val="none"/>
          <w:u w:val="single"/>
        </w:rPr>
        <w:t>（企业名称）</w:t>
      </w:r>
      <w:r>
        <w:rPr>
          <w:rFonts w:hint="eastAsia" w:ascii="宋体" w:hAnsi="宋体" w:cs="宋体"/>
          <w:color w:val="auto"/>
          <w:kern w:val="0"/>
          <w:sz w:val="24"/>
          <w:szCs w:val="24"/>
          <w:highlight w:val="none"/>
        </w:rPr>
        <w:t>，从业人员人，营业收入为万元，资产总额为万元，属于</w:t>
      </w:r>
      <w:r>
        <w:rPr>
          <w:rFonts w:hint="eastAsia" w:ascii="宋体" w:hAnsi="宋体" w:cs="宋体"/>
          <w:color w:val="auto"/>
          <w:kern w:val="0"/>
          <w:sz w:val="24"/>
          <w:szCs w:val="24"/>
          <w:highlight w:val="none"/>
          <w:u w:val="single"/>
        </w:rPr>
        <w:t>（中型企业、小型企业、微型企业）</w:t>
      </w: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以上企业，不属于大企业的分支机构，不存在控股股东为大企业的情形，也不存在与大企业的负责人为同一人的情形。</w:t>
      </w:r>
    </w:p>
    <w:p>
      <w:pPr>
        <w:widowControl/>
        <w:snapToGrid w:val="0"/>
        <w:spacing w:before="75" w:after="75" w:line="400" w:lineRule="exact"/>
        <w:ind w:firstLine="480" w:firstLineChars="200"/>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本企业对上述声明内容的真实性负责。如有虚假，将依法承担相应责任。</w:t>
      </w: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80" w:firstLineChars="200"/>
        <w:rPr>
          <w:rFonts w:ascii="宋体" w:hAnsi="宋体" w:cs="宋体"/>
          <w:color w:val="auto"/>
          <w:kern w:val="0"/>
          <w:sz w:val="24"/>
          <w:szCs w:val="24"/>
          <w:highlight w:val="none"/>
        </w:rPr>
      </w:pPr>
    </w:p>
    <w:p>
      <w:pPr>
        <w:widowControl/>
        <w:snapToGrid w:val="0"/>
        <w:spacing w:before="75" w:after="75" w:line="400" w:lineRule="exact"/>
        <w:ind w:firstLine="4677" w:firstLineChars="1949"/>
        <w:rPr>
          <w:rFonts w:ascii="宋体" w:hAnsi="宋体" w:cs="宋体"/>
          <w:color w:val="auto"/>
          <w:kern w:val="0"/>
          <w:sz w:val="24"/>
          <w:szCs w:val="24"/>
          <w:highlight w:val="none"/>
        </w:rPr>
      </w:pPr>
      <w:r>
        <w:rPr>
          <w:rFonts w:hint="eastAsia" w:ascii="宋体" w:hAnsi="宋体" w:cs="宋体"/>
          <w:color w:val="auto"/>
          <w:kern w:val="0"/>
          <w:sz w:val="24"/>
          <w:szCs w:val="24"/>
          <w:highlight w:val="none"/>
        </w:rPr>
        <w:t>企业名称（盖章）：</w:t>
      </w:r>
    </w:p>
    <w:p>
      <w:pPr>
        <w:pStyle w:val="23"/>
        <w:snapToGrid w:val="0"/>
        <w:spacing w:before="156" w:after="156"/>
        <w:ind w:firstLine="4305" w:firstLineChars="2050"/>
        <w:rPr>
          <w:rFonts w:hAnsi="宋体" w:cs="宋体"/>
          <w:color w:val="auto"/>
          <w:highlight w:val="none"/>
        </w:rPr>
      </w:pPr>
      <w:r>
        <w:rPr>
          <w:rFonts w:hint="eastAsia" w:hAnsi="宋体" w:cs="宋体"/>
          <w:color w:val="auto"/>
          <w:kern w:val="0"/>
          <w:highlight w:val="none"/>
        </w:rPr>
        <w:t>日期：</w:t>
      </w:r>
    </w:p>
    <w:p>
      <w:pPr>
        <w:snapToGrid w:val="0"/>
        <w:spacing w:line="400" w:lineRule="exact"/>
        <w:ind w:firstLine="480" w:firstLineChars="200"/>
        <w:rPr>
          <w:rFonts w:hint="eastAsia" w:ascii="宋体" w:hAnsi="宋体" w:cs="宋体"/>
          <w:color w:val="auto"/>
          <w:sz w:val="24"/>
          <w:highlight w:val="none"/>
        </w:rPr>
      </w:pPr>
    </w:p>
    <w:p>
      <w:pPr>
        <w:snapToGrid w:val="0"/>
        <w:spacing w:line="400" w:lineRule="exact"/>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tabs>
          <w:tab w:val="left" w:pos="3777"/>
          <w:tab w:val="center" w:pos="4819"/>
        </w:tabs>
        <w:snapToGrid w:val="0"/>
        <w:spacing w:line="400" w:lineRule="exact"/>
        <w:ind w:firstLine="3337" w:firstLineChars="1385"/>
        <w:rPr>
          <w:rFonts w:ascii="宋体" w:hAnsi="宋体" w:cs="宋体"/>
          <w:b/>
          <w:color w:val="auto"/>
          <w:sz w:val="24"/>
          <w:szCs w:val="24"/>
          <w:highlight w:val="none"/>
        </w:rPr>
      </w:pPr>
    </w:p>
    <w:p>
      <w:pPr>
        <w:rPr>
          <w:rFonts w:ascii="宋体" w:hAnsi="宋体" w:cs="宋体"/>
          <w:b/>
          <w:color w:val="auto"/>
          <w:sz w:val="24"/>
          <w:szCs w:val="24"/>
          <w:highlight w:val="none"/>
        </w:rPr>
      </w:pPr>
    </w:p>
    <w:p>
      <w:pPr>
        <w:snapToGrid w:val="0"/>
        <w:spacing w:line="400" w:lineRule="exact"/>
        <w:jc w:val="center"/>
        <w:rPr>
          <w:rFonts w:hint="eastAsia" w:ascii="宋体" w:hAnsi="宋体" w:cs="宋体"/>
          <w:b/>
          <w:bCs/>
          <w:color w:val="auto"/>
          <w:sz w:val="24"/>
          <w:highlight w:val="none"/>
        </w:rPr>
      </w:pPr>
      <w:r>
        <w:rPr>
          <w:rFonts w:hint="eastAsia" w:ascii="宋体" w:hAnsi="宋体" w:cs="宋体"/>
          <w:b/>
          <w:bCs/>
          <w:color w:val="auto"/>
          <w:sz w:val="24"/>
          <w:highlight w:val="none"/>
        </w:rPr>
        <w:t>监狱企业的证明文件</w:t>
      </w:r>
    </w:p>
    <w:p>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（监狱企业适用）</w:t>
      </w:r>
    </w:p>
    <w:p>
      <w:pPr>
        <w:pStyle w:val="23"/>
        <w:snapToGrid w:val="0"/>
        <w:spacing w:before="156" w:after="156"/>
        <w:ind w:firstLine="562" w:firstLineChars="200"/>
        <w:jc w:val="left"/>
        <w:rPr>
          <w:rFonts w:hAnsi="宋体" w:cs="宋体"/>
          <w:b/>
          <w:color w:val="auto"/>
          <w:sz w:val="28"/>
          <w:szCs w:val="28"/>
          <w:highlight w:val="none"/>
          <w:lang w:val="zh-CN"/>
        </w:rPr>
      </w:pPr>
    </w:p>
    <w:p>
      <w:pPr>
        <w:pStyle w:val="23"/>
        <w:snapToGrid w:val="0"/>
        <w:spacing w:before="156" w:after="156"/>
        <w:ind w:firstLine="562" w:firstLineChars="200"/>
        <w:jc w:val="left"/>
        <w:rPr>
          <w:rFonts w:hAnsi="宋体" w:cs="宋体"/>
          <w:b/>
          <w:color w:val="auto"/>
          <w:sz w:val="28"/>
          <w:szCs w:val="28"/>
          <w:highlight w:val="none"/>
          <w:lang w:val="zh-CN"/>
        </w:rPr>
      </w:pPr>
    </w:p>
    <w:p>
      <w:pPr>
        <w:pStyle w:val="23"/>
        <w:snapToGrid w:val="0"/>
        <w:spacing w:before="156" w:after="156"/>
        <w:jc w:val="left"/>
        <w:rPr>
          <w:rFonts w:hAnsi="宋体" w:cs="宋体"/>
          <w:b/>
          <w:color w:val="auto"/>
          <w:sz w:val="28"/>
          <w:szCs w:val="28"/>
          <w:highlight w:val="none"/>
          <w:lang w:val="zh-CN"/>
        </w:rPr>
      </w:pPr>
    </w:p>
    <w:p>
      <w:pPr>
        <w:pStyle w:val="23"/>
        <w:snapToGrid w:val="0"/>
        <w:spacing w:before="156" w:after="156"/>
        <w:ind w:firstLine="652" w:firstLineChars="200"/>
        <w:jc w:val="center"/>
        <w:rPr>
          <w:rFonts w:hAnsi="宋体" w:cs="宋体"/>
          <w:b/>
          <w:color w:val="auto"/>
          <w:highlight w:val="none"/>
          <w:lang w:val="zh-CN"/>
        </w:rPr>
      </w:pPr>
      <w:r>
        <w:rPr>
          <w:spacing w:val="8"/>
          <w:sz w:val="31"/>
          <w:szCs w:val="31"/>
          <w14:textOutline w14:w="5835" w14:cap="flat" w14:cmpd="sng">
            <w14:solidFill>
              <w14:srgbClr w14:val="000000"/>
            </w14:solidFill>
            <w14:prstDash w14:val="solid"/>
            <w14:miter w14:val="0"/>
          </w14:textOutline>
        </w:rPr>
        <w:t>注：应当提供由省级以上监狱管理局、戒毒管理局（含</w:t>
      </w:r>
      <w:r>
        <w:rPr>
          <w:spacing w:val="17"/>
          <w:sz w:val="31"/>
          <w:szCs w:val="31"/>
        </w:rPr>
        <w:t xml:space="preserve"> </w:t>
      </w:r>
      <w:r>
        <w:rPr>
          <w:spacing w:val="10"/>
          <w:sz w:val="31"/>
          <w:szCs w:val="31"/>
          <w14:textOutline w14:w="5835" w14:cap="flat" w14:cmpd="sng">
            <w14:solidFill>
              <w14:srgbClr w14:val="000000"/>
            </w14:solidFill>
            <w14:prstDash w14:val="solid"/>
            <w14:miter w14:val="0"/>
          </w14:textOutline>
        </w:rPr>
        <w:t>新疆生产建设兵团）出具的属于监狱企业的证明文件。</w:t>
      </w:r>
    </w:p>
    <w:p>
      <w:pPr>
        <w:pStyle w:val="23"/>
        <w:snapToGrid w:val="0"/>
        <w:spacing w:before="156" w:after="156"/>
        <w:ind w:firstLine="422" w:firstLineChars="200"/>
        <w:jc w:val="center"/>
        <w:rPr>
          <w:rFonts w:hAnsi="宋体" w:cs="宋体"/>
          <w:b/>
          <w:color w:val="auto"/>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center"/>
        <w:rPr>
          <w:rFonts w:hAnsi="宋体" w:cs="宋体"/>
          <w:b/>
          <w:color w:val="auto"/>
          <w:sz w:val="28"/>
          <w:szCs w:val="28"/>
          <w:highlight w:val="none"/>
          <w:lang w:val="zh-CN"/>
        </w:rPr>
      </w:pPr>
    </w:p>
    <w:p>
      <w:pPr>
        <w:pStyle w:val="23"/>
        <w:snapToGrid w:val="0"/>
        <w:spacing w:before="156" w:after="156"/>
        <w:ind w:firstLine="562" w:firstLineChars="200"/>
        <w:jc w:val="left"/>
        <w:rPr>
          <w:rFonts w:hAnsi="宋体" w:cs="宋体"/>
          <w:b/>
          <w:color w:val="auto"/>
          <w:sz w:val="28"/>
          <w:szCs w:val="28"/>
          <w:highlight w:val="none"/>
          <w:lang w:val="zh-CN"/>
        </w:rPr>
      </w:pPr>
    </w:p>
    <w:p>
      <w:pPr>
        <w:widowControl/>
        <w:snapToGrid w:val="0"/>
        <w:spacing w:line="400" w:lineRule="exact"/>
        <w:jc w:val="center"/>
        <w:rPr>
          <w:rFonts w:ascii="宋体" w:hAnsi="宋体" w:cs="宋体"/>
          <w:b/>
          <w:color w:val="auto"/>
          <w:spacing w:val="6"/>
          <w:sz w:val="32"/>
          <w:szCs w:val="32"/>
          <w:highlight w:val="none"/>
        </w:rPr>
      </w:pPr>
      <w:r>
        <w:rPr>
          <w:rFonts w:hint="eastAsia" w:ascii="宋体" w:hAnsi="宋体" w:cs="宋体"/>
          <w:b/>
          <w:color w:val="auto"/>
          <w:sz w:val="24"/>
          <w:szCs w:val="24"/>
          <w:highlight w:val="none"/>
        </w:rPr>
        <w:br w:type="page"/>
      </w:r>
      <w:r>
        <w:rPr>
          <w:rFonts w:hint="eastAsia" w:ascii="宋体" w:hAnsi="宋体" w:cs="宋体"/>
          <w:b/>
          <w:color w:val="auto"/>
          <w:sz w:val="24"/>
          <w:szCs w:val="24"/>
          <w:highlight w:val="none"/>
        </w:rPr>
        <w:t>残疾人</w:t>
      </w:r>
      <w:bookmarkStart w:id="114" w:name="OLE_LINK13"/>
      <w:bookmarkStart w:id="115" w:name="OLE_LINK14"/>
      <w:r>
        <w:rPr>
          <w:rFonts w:hint="eastAsia" w:ascii="宋体" w:hAnsi="宋体" w:cs="宋体"/>
          <w:b/>
          <w:color w:val="auto"/>
          <w:sz w:val="24"/>
          <w:szCs w:val="24"/>
          <w:highlight w:val="none"/>
        </w:rPr>
        <w:t>福利性单位声明函</w:t>
      </w:r>
    </w:p>
    <w:p>
      <w:pPr>
        <w:snapToGrid w:val="0"/>
        <w:spacing w:line="400" w:lineRule="exact"/>
        <w:ind w:firstLine="504" w:firstLineChars="200"/>
        <w:jc w:val="center"/>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w:t>
      </w:r>
      <w:r>
        <w:rPr>
          <w:rFonts w:hint="eastAsia" w:ascii="宋体" w:hAnsi="宋体" w:cs="宋体"/>
          <w:color w:val="auto"/>
          <w:sz w:val="24"/>
          <w:highlight w:val="none"/>
        </w:rPr>
        <w:t>残疾人福</w:t>
      </w:r>
      <w:bookmarkEnd w:id="114"/>
      <w:bookmarkEnd w:id="115"/>
      <w:r>
        <w:rPr>
          <w:rFonts w:hint="eastAsia" w:ascii="宋体" w:hAnsi="宋体" w:cs="宋体"/>
          <w:color w:val="auto"/>
          <w:sz w:val="24"/>
          <w:highlight w:val="none"/>
        </w:rPr>
        <w:t>利性单位适用</w:t>
      </w:r>
      <w:r>
        <w:rPr>
          <w:rFonts w:hint="eastAsia" w:ascii="宋体" w:hAnsi="宋体" w:cs="宋体"/>
          <w:color w:val="auto"/>
          <w:spacing w:val="6"/>
          <w:sz w:val="24"/>
          <w:szCs w:val="24"/>
          <w:highlight w:val="none"/>
        </w:rPr>
        <w:t>）</w:t>
      </w:r>
    </w:p>
    <w:p>
      <w:pPr>
        <w:snapToGrid w:val="0"/>
        <w:spacing w:line="400"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23"/>
        <w:snapToGrid w:val="0"/>
        <w:spacing w:before="156" w:after="156"/>
        <w:ind w:firstLine="504" w:firstLineChars="200"/>
        <w:jc w:val="center"/>
        <w:rPr>
          <w:rFonts w:hAnsi="宋体" w:cs="宋体"/>
          <w:color w:val="auto"/>
          <w:spacing w:val="6"/>
          <w:sz w:val="24"/>
          <w:szCs w:val="24"/>
          <w:highlight w:val="none"/>
        </w:rPr>
      </w:pPr>
      <w:r>
        <w:rPr>
          <w:rFonts w:hint="eastAsia" w:hAnsi="宋体" w:cs="宋体"/>
          <w:color w:val="auto"/>
          <w:spacing w:val="6"/>
          <w:sz w:val="24"/>
          <w:szCs w:val="24"/>
          <w:highlight w:val="none"/>
        </w:rPr>
        <w:t>本单位对上述声明的真实性负责。如有虚假，将依法承担相应责任。</w:t>
      </w:r>
    </w:p>
    <w:p>
      <w:pPr>
        <w:pStyle w:val="23"/>
        <w:snapToGrid w:val="0"/>
        <w:spacing w:before="156" w:after="156"/>
        <w:ind w:firstLine="444" w:firstLineChars="200"/>
        <w:jc w:val="center"/>
        <w:rPr>
          <w:rFonts w:hAnsi="宋体" w:cs="宋体"/>
          <w:color w:val="auto"/>
          <w:spacing w:val="6"/>
          <w:highlight w:val="none"/>
        </w:rPr>
      </w:pP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供应商名称(公章)：____________</w:t>
      </w:r>
      <w:r>
        <w:rPr>
          <w:rFonts w:hint="eastAsia" w:hAnsi="宋体" w:cs="宋体"/>
          <w:color w:val="auto"/>
          <w:sz w:val="24"/>
          <w:szCs w:val="24"/>
          <w:highlight w:val="none"/>
        </w:rPr>
        <w:tab/>
      </w:r>
      <w:r>
        <w:rPr>
          <w:rFonts w:hint="eastAsia" w:hAnsi="宋体" w:cs="宋体"/>
          <w:color w:val="auto"/>
          <w:sz w:val="24"/>
          <w:szCs w:val="24"/>
          <w:highlight w:val="none"/>
        </w:rPr>
        <w:tab/>
      </w:r>
    </w:p>
    <w:p>
      <w:pPr>
        <w:pStyle w:val="23"/>
        <w:snapToGrid w:val="0"/>
        <w:spacing w:before="156" w:after="156"/>
        <w:ind w:firstLine="480" w:firstLineChars="200"/>
        <w:rPr>
          <w:rFonts w:hAnsi="宋体" w:cs="宋体"/>
          <w:color w:val="auto"/>
          <w:sz w:val="24"/>
          <w:szCs w:val="24"/>
          <w:highlight w:val="none"/>
        </w:rPr>
      </w:pPr>
      <w:r>
        <w:rPr>
          <w:rFonts w:hint="eastAsia" w:hAnsi="宋体" w:cs="宋体"/>
          <w:color w:val="auto"/>
          <w:sz w:val="24"/>
          <w:szCs w:val="24"/>
          <w:highlight w:val="none"/>
        </w:rPr>
        <w:t>日期：________________________</w:t>
      </w:r>
    </w:p>
    <w:p>
      <w:pPr>
        <w:pStyle w:val="23"/>
        <w:snapToGrid w:val="0"/>
        <w:spacing w:before="156" w:after="156"/>
        <w:jc w:val="center"/>
        <w:rPr>
          <w:rFonts w:hint="eastAsia" w:hAnsi="宋体" w:cs="宋体"/>
          <w:b/>
          <w:color w:val="auto"/>
          <w:highlight w:val="none"/>
        </w:rPr>
      </w:pPr>
      <w:r>
        <w:rPr>
          <w:rFonts w:hint="eastAsia" w:hAnsi="宋体" w:cs="宋体"/>
          <w:color w:val="auto"/>
          <w:highlight w:val="none"/>
        </w:rPr>
        <w:br w:type="page"/>
      </w:r>
      <w:r>
        <w:rPr>
          <w:rFonts w:hint="eastAsia" w:ascii="宋体" w:hAnsi="宋体" w:eastAsia="宋体" w:cs="宋体"/>
          <w:b/>
          <w:color w:val="auto"/>
          <w:kern w:val="2"/>
          <w:sz w:val="24"/>
          <w:szCs w:val="24"/>
          <w:highlight w:val="none"/>
          <w:lang w:val="en-US" w:eastAsia="zh-CN" w:bidi="ar-SA"/>
        </w:rPr>
        <w:t>节能、环境标志产品证明文件</w:t>
      </w:r>
    </w:p>
    <w:p>
      <w:pPr>
        <w:pStyle w:val="198"/>
        <w:snapToGrid w:val="0"/>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3）节能产品明细表</w:t>
      </w:r>
    </w:p>
    <w:p>
      <w:pPr>
        <w:pStyle w:val="197"/>
        <w:snapToGrid w:val="0"/>
        <w:spacing w:line="400" w:lineRule="exact"/>
        <w:ind w:left="0" w:leftChars="0" w:firstLine="0" w:firstLineChars="0"/>
        <w:rPr>
          <w:rFonts w:hint="eastAsia" w:ascii="宋体" w:hAnsi="宋体" w:cs="宋体"/>
          <w:color w:val="auto"/>
          <w:highlight w:val="none"/>
        </w:rPr>
      </w:pPr>
      <w:r>
        <w:rPr>
          <w:rFonts w:hint="eastAsia" w:ascii="宋体" w:hAnsi="宋体" w:cs="宋体"/>
          <w:color w:val="auto"/>
          <w:highlight w:val="none"/>
        </w:rPr>
        <w:t>项目编号、包号</w:t>
      </w:r>
      <w:r>
        <w:rPr>
          <w:rFonts w:hint="eastAsia" w:ascii="宋体" w:hAnsi="宋体" w:cs="宋体"/>
          <w:color w:val="auto"/>
          <w:highlight w:val="none"/>
          <w:lang w:eastAsia="zh-CN"/>
        </w:rPr>
        <w:t>（如有）</w:t>
      </w:r>
      <w:r>
        <w:rPr>
          <w:rFonts w:hint="eastAsia" w:ascii="宋体" w:hAnsi="宋体" w:cs="宋体"/>
          <w:color w:val="auto"/>
          <w:highlight w:val="none"/>
        </w:rPr>
        <w:t>：</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价格单位：元</w:t>
      </w:r>
    </w:p>
    <w:tbl>
      <w:tblPr>
        <w:tblStyle w:val="38"/>
        <w:tblW w:w="101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1524"/>
        <w:gridCol w:w="1337"/>
        <w:gridCol w:w="1483"/>
        <w:gridCol w:w="1791"/>
        <w:gridCol w:w="2071"/>
        <w:gridCol w:w="1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6" w:type="dxa"/>
            <w:tcBorders>
              <w:top w:val="single" w:color="auto" w:sz="12" w:space="0"/>
              <w:left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524" w:type="dxa"/>
            <w:tcBorders>
              <w:top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产品名称</w:t>
            </w:r>
          </w:p>
        </w:tc>
        <w:tc>
          <w:tcPr>
            <w:tcW w:w="1337" w:type="dxa"/>
            <w:tcBorders>
              <w:top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制造商</w:t>
            </w:r>
          </w:p>
        </w:tc>
        <w:tc>
          <w:tcPr>
            <w:tcW w:w="1483" w:type="dxa"/>
            <w:tcBorders>
              <w:top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产品型号</w:t>
            </w:r>
          </w:p>
        </w:tc>
        <w:tc>
          <w:tcPr>
            <w:tcW w:w="1791" w:type="dxa"/>
            <w:tcBorders>
              <w:top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节能标志认证证书号</w:t>
            </w:r>
          </w:p>
        </w:tc>
        <w:tc>
          <w:tcPr>
            <w:tcW w:w="2071" w:type="dxa"/>
            <w:tcBorders>
              <w:top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节能产品认证证书有效截止日期</w:t>
            </w:r>
          </w:p>
        </w:tc>
        <w:tc>
          <w:tcPr>
            <w:tcW w:w="1069" w:type="dxa"/>
            <w:tcBorders>
              <w:top w:val="single" w:color="auto" w:sz="12" w:space="0"/>
              <w:right w:val="single" w:color="auto" w:sz="12" w:space="0"/>
            </w:tcBorders>
            <w:noWrap w:val="0"/>
            <w:vAlign w:val="center"/>
          </w:tcPr>
          <w:p>
            <w:pPr>
              <w:pStyle w:val="198"/>
              <w:snapToGrid w:val="0"/>
              <w:spacing w:line="400" w:lineRule="exact"/>
              <w:jc w:val="center"/>
              <w:rPr>
                <w:rFonts w:hint="eastAsia" w:ascii="宋体" w:hAnsi="宋体" w:cs="宋体"/>
                <w:color w:val="auto"/>
                <w:sz w:val="24"/>
                <w:highlight w:val="none"/>
              </w:rPr>
            </w:pPr>
            <w:r>
              <w:rPr>
                <w:rFonts w:hint="eastAsia" w:ascii="宋体" w:hAnsi="宋体" w:cs="宋体"/>
                <w:color w:val="auto"/>
                <w:sz w:val="24"/>
                <w:highlight w:val="none"/>
              </w:rPr>
              <w:t>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76" w:type="dxa"/>
            <w:tcBorders>
              <w:left w:val="single" w:color="auto" w:sz="12" w:space="0"/>
            </w:tcBorders>
            <w:noWrap w:val="0"/>
            <w:vAlign w:val="center"/>
          </w:tcPr>
          <w:p>
            <w:pPr>
              <w:pStyle w:val="198"/>
              <w:snapToGrid w:val="0"/>
              <w:spacing w:line="400" w:lineRule="exact"/>
              <w:ind w:right="480" w:firstLine="240" w:firstLineChars="100"/>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1524"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337"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483"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791"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2071"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069" w:type="dxa"/>
            <w:tcBorders>
              <w:right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76" w:type="dxa"/>
            <w:tcBorders>
              <w:left w:val="single" w:color="auto" w:sz="12" w:space="0"/>
            </w:tcBorders>
            <w:noWrap w:val="0"/>
            <w:vAlign w:val="center"/>
          </w:tcPr>
          <w:p>
            <w:pPr>
              <w:pStyle w:val="198"/>
              <w:snapToGrid w:val="0"/>
              <w:spacing w:line="400" w:lineRule="exact"/>
              <w:ind w:right="480" w:firstLine="240" w:firstLineChars="100"/>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1524"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337"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483"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791"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2071"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069" w:type="dxa"/>
            <w:tcBorders>
              <w:right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76" w:type="dxa"/>
            <w:tcBorders>
              <w:left w:val="single" w:color="auto" w:sz="12" w:space="0"/>
            </w:tcBorders>
            <w:noWrap w:val="0"/>
            <w:vAlign w:val="center"/>
          </w:tcPr>
          <w:p>
            <w:pPr>
              <w:pStyle w:val="198"/>
              <w:snapToGrid w:val="0"/>
              <w:spacing w:line="400" w:lineRule="exact"/>
              <w:ind w:right="480" w:firstLine="240" w:firstLineChars="100"/>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524" w:type="dxa"/>
            <w:noWrap w:val="0"/>
            <w:vAlign w:val="center"/>
          </w:tcPr>
          <w:p>
            <w:pPr>
              <w:pStyle w:val="198"/>
              <w:snapToGrid w:val="0"/>
              <w:spacing w:line="400" w:lineRule="exact"/>
              <w:ind w:right="480" w:firstLine="600" w:firstLineChars="250"/>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1337"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483"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791"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2071" w:type="dxa"/>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069" w:type="dxa"/>
            <w:tcBorders>
              <w:right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876" w:type="dxa"/>
            <w:tcBorders>
              <w:left w:val="single" w:color="auto" w:sz="12" w:space="0"/>
              <w:bottom w:val="single" w:color="auto" w:sz="12" w:space="0"/>
            </w:tcBorders>
            <w:noWrap w:val="0"/>
            <w:vAlign w:val="center"/>
          </w:tcPr>
          <w:p>
            <w:pPr>
              <w:pStyle w:val="198"/>
              <w:snapToGrid w:val="0"/>
              <w:spacing w:line="400" w:lineRule="exact"/>
              <w:ind w:right="480" w:firstLine="240" w:firstLineChars="100"/>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1524" w:type="dxa"/>
            <w:tcBorders>
              <w:bottom w:val="single" w:color="auto" w:sz="12" w:space="0"/>
            </w:tcBorders>
            <w:noWrap w:val="0"/>
            <w:vAlign w:val="center"/>
          </w:tcPr>
          <w:p>
            <w:pPr>
              <w:pStyle w:val="198"/>
              <w:snapToGrid w:val="0"/>
              <w:spacing w:line="400" w:lineRule="exact"/>
              <w:ind w:right="83" w:firstLine="120" w:firstLineChars="50"/>
              <w:jc w:val="center"/>
              <w:rPr>
                <w:rFonts w:hint="eastAsia" w:ascii="宋体" w:hAnsi="宋体" w:cs="宋体"/>
                <w:color w:val="auto"/>
                <w:sz w:val="24"/>
                <w:highlight w:val="none"/>
              </w:rPr>
            </w:pPr>
            <w:r>
              <w:rPr>
                <w:rFonts w:hint="eastAsia" w:ascii="宋体" w:hAnsi="宋体" w:cs="宋体"/>
                <w:color w:val="auto"/>
                <w:sz w:val="24"/>
                <w:highlight w:val="none"/>
              </w:rPr>
              <w:t>合计</w:t>
            </w:r>
          </w:p>
        </w:tc>
        <w:tc>
          <w:tcPr>
            <w:tcW w:w="1337" w:type="dxa"/>
            <w:tcBorders>
              <w:bottom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483" w:type="dxa"/>
            <w:tcBorders>
              <w:bottom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791" w:type="dxa"/>
            <w:tcBorders>
              <w:bottom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2071" w:type="dxa"/>
            <w:tcBorders>
              <w:bottom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c>
          <w:tcPr>
            <w:tcW w:w="1069" w:type="dxa"/>
            <w:tcBorders>
              <w:bottom w:val="single" w:color="auto" w:sz="12" w:space="0"/>
              <w:right w:val="single" w:color="auto" w:sz="12" w:space="0"/>
            </w:tcBorders>
            <w:noWrap w:val="0"/>
            <w:vAlign w:val="center"/>
          </w:tcPr>
          <w:p>
            <w:pPr>
              <w:pStyle w:val="198"/>
              <w:snapToGrid w:val="0"/>
              <w:spacing w:line="400" w:lineRule="exact"/>
              <w:ind w:right="480"/>
              <w:jc w:val="center"/>
              <w:rPr>
                <w:rFonts w:hint="eastAsia" w:ascii="宋体" w:hAnsi="宋体" w:cs="宋体"/>
                <w:color w:val="auto"/>
                <w:sz w:val="24"/>
                <w:highlight w:val="none"/>
              </w:rPr>
            </w:pPr>
          </w:p>
        </w:tc>
      </w:tr>
    </w:tbl>
    <w:p>
      <w:pPr>
        <w:pStyle w:val="198"/>
        <w:snapToGrid w:val="0"/>
        <w:spacing w:line="400" w:lineRule="exact"/>
        <w:ind w:left="1080" w:right="-96" w:hanging="1080" w:hangingChars="450"/>
        <w:rPr>
          <w:rFonts w:hint="eastAsia" w:ascii="宋体" w:hAnsi="宋体" w:cs="宋体"/>
          <w:color w:val="auto"/>
          <w:sz w:val="24"/>
          <w:highlight w:val="none"/>
        </w:rPr>
      </w:pPr>
      <w:r>
        <w:rPr>
          <w:rFonts w:hint="eastAsia" w:ascii="宋体" w:hAnsi="宋体" w:cs="宋体"/>
          <w:color w:val="auto"/>
          <w:sz w:val="24"/>
          <w:highlight w:val="none"/>
        </w:rPr>
        <w:t>说明：</w:t>
      </w:r>
    </w:p>
    <w:p>
      <w:pPr>
        <w:pStyle w:val="198"/>
        <w:snapToGrid w:val="0"/>
        <w:spacing w:line="400" w:lineRule="exact"/>
        <w:ind w:right="-96"/>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1、节能产品根据《财库【</w:t>
      </w:r>
      <w:r>
        <w:rPr>
          <w:rFonts w:hint="eastAsia" w:ascii="宋体" w:hAnsi="宋体" w:cs="宋体"/>
          <w:color w:val="auto"/>
          <w:sz w:val="24"/>
          <w:highlight w:val="none"/>
          <w:lang w:val="en-US" w:eastAsia="zh-CN"/>
        </w:rPr>
        <w:t>2019</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19号</w:t>
      </w:r>
      <w:r>
        <w:rPr>
          <w:rFonts w:hint="eastAsia" w:ascii="宋体" w:hAnsi="宋体" w:cs="宋体"/>
          <w:color w:val="auto"/>
          <w:sz w:val="24"/>
          <w:highlight w:val="none"/>
          <w:lang w:eastAsia="zh-CN"/>
        </w:rPr>
        <w:t>》文件公布的节能产品政府采购品目清单确定。</w:t>
      </w:r>
    </w:p>
    <w:p>
      <w:pPr>
        <w:pStyle w:val="198"/>
        <w:snapToGrid w:val="0"/>
        <w:spacing w:line="400" w:lineRule="exact"/>
        <w:ind w:right="-96"/>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表内所列</w:t>
      </w:r>
      <w:r>
        <w:rPr>
          <w:rFonts w:hint="eastAsia" w:ascii="宋体" w:hAnsi="宋体" w:cs="宋体"/>
          <w:color w:val="auto"/>
          <w:sz w:val="24"/>
          <w:highlight w:val="none"/>
        </w:rPr>
        <w:t>节能产品，须</w:t>
      </w:r>
      <w:r>
        <w:rPr>
          <w:rFonts w:hint="eastAsia" w:ascii="宋体" w:hAnsi="宋体" w:cs="宋体"/>
          <w:color w:val="auto"/>
          <w:sz w:val="24"/>
          <w:highlight w:val="none"/>
          <w:lang w:eastAsia="zh-CN"/>
        </w:rPr>
        <w:t>附该</w:t>
      </w:r>
      <w:r>
        <w:rPr>
          <w:rFonts w:hint="eastAsia" w:ascii="宋体" w:hAnsi="宋体" w:cs="宋体"/>
          <w:color w:val="auto"/>
          <w:sz w:val="24"/>
          <w:highlight w:val="none"/>
        </w:rPr>
        <w:t>产品</w:t>
      </w:r>
      <w:r>
        <w:rPr>
          <w:rFonts w:hint="eastAsia" w:ascii="宋体" w:hAnsi="宋体" w:cs="宋体"/>
          <w:color w:val="auto"/>
          <w:sz w:val="24"/>
          <w:highlight w:val="none"/>
          <w:lang w:eastAsia="zh-CN"/>
        </w:rPr>
        <w:t>取得的由国家认可的认证机构出具的、处于有效期内的节能产品认证证书复印件</w:t>
      </w:r>
      <w:r>
        <w:rPr>
          <w:rFonts w:hint="eastAsia" w:ascii="宋体" w:hAnsi="宋体" w:cs="宋体"/>
          <w:color w:val="auto"/>
          <w:sz w:val="24"/>
          <w:highlight w:val="none"/>
        </w:rPr>
        <w:t>。</w:t>
      </w:r>
    </w:p>
    <w:p>
      <w:pPr>
        <w:pStyle w:val="198"/>
        <w:snapToGrid w:val="0"/>
        <w:spacing w:line="400" w:lineRule="exact"/>
        <w:ind w:right="17"/>
        <w:jc w:val="right"/>
        <w:rPr>
          <w:rFonts w:hint="eastAsia" w:ascii="宋体" w:hAnsi="宋体" w:cs="宋体"/>
          <w:color w:val="auto"/>
          <w:sz w:val="24"/>
          <w:highlight w:val="none"/>
        </w:rPr>
      </w:pPr>
      <w:r>
        <w:rPr>
          <w:rFonts w:hint="eastAsia" w:ascii="宋体" w:hAnsi="宋体" w:cs="宋体"/>
          <w:color w:val="auto"/>
          <w:sz w:val="24"/>
          <w:highlight w:val="none"/>
        </w:rPr>
        <w:t>年   月   日</w:t>
      </w:r>
    </w:p>
    <w:p>
      <w:pPr>
        <w:snapToGrid w:val="0"/>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2）环境标志产品明细表</w:t>
      </w:r>
    </w:p>
    <w:p>
      <w:pPr>
        <w:pStyle w:val="197"/>
        <w:snapToGrid w:val="0"/>
        <w:spacing w:line="400" w:lineRule="exact"/>
        <w:ind w:left="0" w:leftChars="0" w:firstLine="0" w:firstLineChars="0"/>
        <w:rPr>
          <w:rFonts w:hint="eastAsia" w:ascii="宋体" w:hAnsi="宋体" w:cs="宋体"/>
          <w:color w:val="auto"/>
          <w:highlight w:val="none"/>
        </w:rPr>
      </w:pPr>
      <w:r>
        <w:rPr>
          <w:rFonts w:hint="eastAsia" w:ascii="宋体" w:hAnsi="宋体" w:cs="宋体"/>
          <w:color w:val="auto"/>
          <w:highlight w:val="none"/>
        </w:rPr>
        <w:t>项目编号、包号</w:t>
      </w:r>
      <w:r>
        <w:rPr>
          <w:rFonts w:hint="eastAsia" w:ascii="宋体" w:hAnsi="宋体" w:cs="宋体"/>
          <w:color w:val="auto"/>
          <w:highlight w:val="none"/>
          <w:lang w:eastAsia="zh-CN"/>
        </w:rPr>
        <w:t>（如有）</w:t>
      </w:r>
      <w:r>
        <w:rPr>
          <w:rFonts w:hint="eastAsia" w:ascii="宋体" w:hAnsi="宋体" w:cs="宋体"/>
          <w:color w:val="auto"/>
          <w:highlight w:val="none"/>
        </w:rPr>
        <w:t>：</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价格单位：元</w:t>
      </w:r>
    </w:p>
    <w:tbl>
      <w:tblPr>
        <w:tblStyle w:val="38"/>
        <w:tblW w:w="102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1331"/>
        <w:gridCol w:w="1331"/>
        <w:gridCol w:w="1331"/>
        <w:gridCol w:w="1331"/>
        <w:gridCol w:w="1791"/>
        <w:gridCol w:w="1469"/>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621" w:type="dxa"/>
            <w:tcBorders>
              <w:top w:val="single" w:color="auto" w:sz="12" w:space="0"/>
              <w:left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序号</w:t>
            </w:r>
          </w:p>
        </w:tc>
        <w:tc>
          <w:tcPr>
            <w:tcW w:w="1331" w:type="dxa"/>
            <w:tcBorders>
              <w:top w:val="single" w:color="auto" w:sz="12" w:space="0"/>
            </w:tcBorders>
            <w:noWrap w:val="0"/>
            <w:vAlign w:val="center"/>
          </w:tcPr>
          <w:p>
            <w:pPr>
              <w:pStyle w:val="198"/>
              <w:tabs>
                <w:tab w:val="left" w:pos="60"/>
                <w:tab w:val="center" w:pos="4777"/>
              </w:tabs>
              <w:snapToGrid w:val="0"/>
              <w:spacing w:line="240" w:lineRule="exact"/>
              <w:ind w:right="-8440" w:rightChars="-4019"/>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产品名称</w:t>
            </w:r>
            <w:r>
              <w:rPr>
                <w:rFonts w:hint="eastAsia" w:ascii="宋体" w:hAnsi="宋体" w:cs="宋体"/>
                <w:color w:val="auto"/>
                <w:kern w:val="0"/>
                <w:sz w:val="24"/>
                <w:highlight w:val="none"/>
              </w:rPr>
              <w:tab/>
            </w:r>
            <w:r>
              <w:rPr>
                <w:rFonts w:hint="eastAsia" w:ascii="宋体" w:hAnsi="宋体" w:cs="宋体"/>
                <w:color w:val="auto"/>
                <w:kern w:val="0"/>
                <w:sz w:val="24"/>
                <w:highlight w:val="none"/>
              </w:rPr>
              <w:t>产品名称</w:t>
            </w:r>
          </w:p>
        </w:tc>
        <w:tc>
          <w:tcPr>
            <w:tcW w:w="1331" w:type="dxa"/>
            <w:tcBorders>
              <w:top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企业名称</w:t>
            </w:r>
          </w:p>
        </w:tc>
        <w:tc>
          <w:tcPr>
            <w:tcW w:w="1331" w:type="dxa"/>
            <w:tcBorders>
              <w:top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注册商标</w:t>
            </w:r>
          </w:p>
        </w:tc>
        <w:tc>
          <w:tcPr>
            <w:tcW w:w="1331" w:type="dxa"/>
            <w:tcBorders>
              <w:top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规格型号</w:t>
            </w:r>
          </w:p>
        </w:tc>
        <w:tc>
          <w:tcPr>
            <w:tcW w:w="1791" w:type="dxa"/>
            <w:tcBorders>
              <w:top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中国环境标志认证证书编号</w:t>
            </w:r>
          </w:p>
        </w:tc>
        <w:tc>
          <w:tcPr>
            <w:tcW w:w="1469" w:type="dxa"/>
            <w:tcBorders>
              <w:top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认证证书有效截止日期</w:t>
            </w:r>
          </w:p>
        </w:tc>
        <w:tc>
          <w:tcPr>
            <w:tcW w:w="1005" w:type="dxa"/>
            <w:tcBorders>
              <w:top w:val="single" w:color="auto" w:sz="12" w:space="0"/>
              <w:right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621" w:type="dxa"/>
            <w:tcBorders>
              <w:left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79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469"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005" w:type="dxa"/>
            <w:tcBorders>
              <w:right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621" w:type="dxa"/>
            <w:tcBorders>
              <w:left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79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469"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005" w:type="dxa"/>
            <w:tcBorders>
              <w:right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621" w:type="dxa"/>
            <w:tcBorders>
              <w:left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w:t>
            </w: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791"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469" w:type="dxa"/>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005" w:type="dxa"/>
            <w:tcBorders>
              <w:right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621" w:type="dxa"/>
            <w:tcBorders>
              <w:left w:val="single" w:color="auto" w:sz="12" w:space="0"/>
              <w:bottom w:val="single" w:color="auto" w:sz="12" w:space="0"/>
            </w:tcBorders>
            <w:noWrap w:val="0"/>
            <w:vAlign w:val="center"/>
          </w:tcPr>
          <w:p>
            <w:pPr>
              <w:pStyle w:val="198"/>
              <w:snapToGrid w:val="0"/>
              <w:spacing w:line="2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4</w:t>
            </w:r>
          </w:p>
        </w:tc>
        <w:tc>
          <w:tcPr>
            <w:tcW w:w="1331" w:type="dxa"/>
            <w:tcBorders>
              <w:bottom w:val="single" w:color="auto" w:sz="12" w:space="0"/>
            </w:tcBorders>
            <w:noWrap w:val="0"/>
            <w:vAlign w:val="center"/>
          </w:tcPr>
          <w:p>
            <w:pPr>
              <w:pStyle w:val="198"/>
              <w:snapToGrid w:val="0"/>
              <w:spacing w:line="240" w:lineRule="exact"/>
              <w:ind w:right="154" w:firstLine="120" w:firstLineChars="5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合计</w:t>
            </w:r>
          </w:p>
        </w:tc>
        <w:tc>
          <w:tcPr>
            <w:tcW w:w="1331" w:type="dxa"/>
            <w:tcBorders>
              <w:bottom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tcBorders>
              <w:bottom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331" w:type="dxa"/>
            <w:tcBorders>
              <w:bottom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791" w:type="dxa"/>
            <w:tcBorders>
              <w:bottom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469" w:type="dxa"/>
            <w:tcBorders>
              <w:bottom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c>
          <w:tcPr>
            <w:tcW w:w="1005" w:type="dxa"/>
            <w:tcBorders>
              <w:bottom w:val="single" w:color="auto" w:sz="12" w:space="0"/>
              <w:right w:val="single" w:color="auto" w:sz="12" w:space="0"/>
            </w:tcBorders>
            <w:noWrap w:val="0"/>
            <w:vAlign w:val="center"/>
          </w:tcPr>
          <w:p>
            <w:pPr>
              <w:pStyle w:val="198"/>
              <w:snapToGrid w:val="0"/>
              <w:spacing w:line="240" w:lineRule="exact"/>
              <w:ind w:right="480"/>
              <w:jc w:val="center"/>
              <w:rPr>
                <w:rFonts w:hint="eastAsia" w:ascii="宋体" w:hAnsi="宋体" w:cs="宋体"/>
                <w:color w:val="auto"/>
                <w:kern w:val="0"/>
                <w:sz w:val="24"/>
                <w:highlight w:val="none"/>
              </w:rPr>
            </w:pPr>
          </w:p>
        </w:tc>
      </w:tr>
    </w:tbl>
    <w:p>
      <w:pPr>
        <w:pStyle w:val="198"/>
        <w:snapToGrid w:val="0"/>
        <w:spacing w:line="400" w:lineRule="exact"/>
        <w:ind w:right="-88"/>
        <w:rPr>
          <w:rFonts w:hint="eastAsia" w:ascii="宋体" w:hAnsi="宋体" w:cs="宋体"/>
          <w:color w:val="auto"/>
          <w:sz w:val="24"/>
          <w:highlight w:val="none"/>
        </w:rPr>
      </w:pPr>
      <w:r>
        <w:rPr>
          <w:rFonts w:hint="eastAsia" w:ascii="宋体" w:hAnsi="宋体" w:cs="宋体"/>
          <w:color w:val="auto"/>
          <w:sz w:val="24"/>
          <w:highlight w:val="none"/>
        </w:rPr>
        <w:t>说明：</w:t>
      </w:r>
    </w:p>
    <w:p>
      <w:pPr>
        <w:pStyle w:val="198"/>
        <w:snapToGrid w:val="0"/>
        <w:spacing w:line="400" w:lineRule="exact"/>
        <w:ind w:right="-96"/>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1、节能产品根据《财库【</w:t>
      </w:r>
      <w:r>
        <w:rPr>
          <w:rFonts w:hint="eastAsia" w:ascii="宋体" w:hAnsi="宋体" w:cs="宋体"/>
          <w:color w:val="auto"/>
          <w:sz w:val="24"/>
          <w:highlight w:val="none"/>
          <w:lang w:val="en-US" w:eastAsia="zh-CN"/>
        </w:rPr>
        <w:t>2019</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18号</w:t>
      </w:r>
      <w:r>
        <w:rPr>
          <w:rFonts w:hint="eastAsia" w:ascii="宋体" w:hAnsi="宋体" w:cs="宋体"/>
          <w:color w:val="auto"/>
          <w:sz w:val="24"/>
          <w:highlight w:val="none"/>
          <w:lang w:eastAsia="zh-CN"/>
        </w:rPr>
        <w:t>》文件公布的环境标志产品政府采购品目清单确定。</w:t>
      </w:r>
    </w:p>
    <w:p>
      <w:pPr>
        <w:pStyle w:val="198"/>
        <w:snapToGrid w:val="0"/>
        <w:spacing w:line="400" w:lineRule="exact"/>
        <w:ind w:right="-96"/>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eastAsia="zh-CN"/>
        </w:rPr>
        <w:t>表内所列环境标志</w:t>
      </w:r>
      <w:r>
        <w:rPr>
          <w:rFonts w:hint="eastAsia" w:ascii="宋体" w:hAnsi="宋体" w:cs="宋体"/>
          <w:color w:val="auto"/>
          <w:sz w:val="24"/>
          <w:highlight w:val="none"/>
        </w:rPr>
        <w:t>产品，须</w:t>
      </w:r>
      <w:r>
        <w:rPr>
          <w:rFonts w:hint="eastAsia" w:ascii="宋体" w:hAnsi="宋体" w:cs="宋体"/>
          <w:color w:val="auto"/>
          <w:sz w:val="24"/>
          <w:highlight w:val="none"/>
          <w:lang w:eastAsia="zh-CN"/>
        </w:rPr>
        <w:t>附该</w:t>
      </w:r>
      <w:r>
        <w:rPr>
          <w:rFonts w:hint="eastAsia" w:ascii="宋体" w:hAnsi="宋体" w:cs="宋体"/>
          <w:color w:val="auto"/>
          <w:sz w:val="24"/>
          <w:highlight w:val="none"/>
        </w:rPr>
        <w:t>产品</w:t>
      </w:r>
      <w:r>
        <w:rPr>
          <w:rFonts w:hint="eastAsia" w:ascii="宋体" w:hAnsi="宋体" w:cs="宋体"/>
          <w:color w:val="auto"/>
          <w:sz w:val="24"/>
          <w:highlight w:val="none"/>
          <w:lang w:eastAsia="zh-CN"/>
        </w:rPr>
        <w:t>取得的由国家认可的认证机构出具的、处于有效期内的环境标志产品认证证书复印件</w:t>
      </w:r>
      <w:r>
        <w:rPr>
          <w:rFonts w:hint="eastAsia" w:ascii="宋体" w:hAnsi="宋体" w:cs="宋体"/>
          <w:color w:val="auto"/>
          <w:sz w:val="24"/>
          <w:highlight w:val="none"/>
        </w:rPr>
        <w:t>。</w:t>
      </w:r>
    </w:p>
    <w:p>
      <w:pPr>
        <w:pStyle w:val="198"/>
        <w:snapToGrid w:val="0"/>
        <w:spacing w:line="400" w:lineRule="exact"/>
        <w:ind w:right="17"/>
        <w:jc w:val="right"/>
        <w:rPr>
          <w:rFonts w:ascii="宋体" w:hAnsi="宋体" w:cs="宋体"/>
          <w:color w:val="auto"/>
          <w:sz w:val="24"/>
          <w:highlight w:val="none"/>
        </w:rPr>
      </w:pPr>
      <w:r>
        <w:rPr>
          <w:rFonts w:hint="eastAsia" w:ascii="宋体" w:hAnsi="宋体" w:cs="宋体"/>
          <w:color w:val="auto"/>
          <w:sz w:val="24"/>
          <w:highlight w:val="none"/>
        </w:rPr>
        <w:t>年   月   日</w:t>
      </w:r>
    </w:p>
    <w:p>
      <w:pPr>
        <w:adjustRightInd w:val="0"/>
        <w:snapToGrid w:val="0"/>
        <w:spacing w:line="400" w:lineRule="exact"/>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、其他证明文件或</w:t>
      </w:r>
      <w:r>
        <w:rPr>
          <w:rFonts w:hint="eastAsia" w:ascii="宋体" w:hAnsi="宋体" w:cs="宋体"/>
          <w:b/>
          <w:color w:val="auto"/>
          <w:sz w:val="24"/>
          <w:szCs w:val="24"/>
          <w:highlight w:val="none"/>
          <w:lang w:eastAsia="zh-CN"/>
        </w:rPr>
        <w:t>供应商</w:t>
      </w:r>
      <w:r>
        <w:rPr>
          <w:rFonts w:hint="eastAsia" w:ascii="宋体" w:hAnsi="宋体" w:cs="宋体"/>
          <w:b/>
          <w:color w:val="auto"/>
          <w:sz w:val="24"/>
          <w:szCs w:val="24"/>
          <w:highlight w:val="none"/>
        </w:rPr>
        <w:t>认为应提交的商务文件</w:t>
      </w:r>
    </w:p>
    <w:p>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（1）其他生产经营该产品所必需的证明文件、制造商授权书等（如有）；</w:t>
      </w:r>
    </w:p>
    <w:p>
      <w:pPr>
        <w:adjustRightInd w:val="0"/>
        <w:snapToGrid w:val="0"/>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（2）其他</w:t>
      </w:r>
    </w:p>
    <w:p>
      <w:pPr>
        <w:widowControl/>
        <w:snapToGrid w:val="0"/>
        <w:spacing w:line="400" w:lineRule="exact"/>
        <w:jc w:val="left"/>
        <w:rPr>
          <w:rFonts w:hint="eastAsia" w:ascii="宋体" w:hAnsi="宋体" w:cs="宋体"/>
          <w:b/>
          <w:bCs/>
          <w:color w:val="auto"/>
          <w:sz w:val="24"/>
          <w:szCs w:val="24"/>
          <w:highlight w:val="none"/>
        </w:rPr>
      </w:pPr>
    </w:p>
    <w:p>
      <w:pPr>
        <w:snapToGrid w:val="0"/>
        <w:spacing w:line="400" w:lineRule="exact"/>
        <w:rPr>
          <w:rFonts w:ascii="宋体" w:hAnsi="宋体" w:cs="宋体"/>
          <w:color w:val="auto"/>
          <w:sz w:val="24"/>
          <w:szCs w:val="24"/>
          <w:highlight w:val="none"/>
        </w:rPr>
      </w:pPr>
      <w:r>
        <w:rPr>
          <w:rFonts w:hint="eastAsia" w:ascii="宋体" w:hAnsi="宋体" w:cs="宋体"/>
          <w:b/>
          <w:color w:val="auto"/>
          <w:sz w:val="24"/>
          <w:szCs w:val="24"/>
          <w:highlight w:val="none"/>
        </w:rPr>
        <w:t>1</w:t>
      </w:r>
      <w:r>
        <w:rPr>
          <w:rFonts w:hint="eastAsia" w:ascii="宋体" w:hAnsi="宋体" w:cs="宋体"/>
          <w:b/>
          <w:color w:val="auto"/>
          <w:sz w:val="24"/>
          <w:szCs w:val="24"/>
          <w:highlight w:val="none"/>
          <w:lang w:val="en-US" w:eastAsia="zh-CN"/>
        </w:rPr>
        <w:t>4</w:t>
      </w:r>
      <w:r>
        <w:rPr>
          <w:rFonts w:hint="eastAsia" w:ascii="宋体" w:hAnsi="宋体" w:cs="宋体"/>
          <w:b/>
          <w:color w:val="auto"/>
          <w:sz w:val="24"/>
          <w:szCs w:val="24"/>
          <w:highlight w:val="none"/>
        </w:rPr>
        <w:t>、技术偏离表格式：</w:t>
      </w:r>
    </w:p>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b/>
          <w:bCs/>
          <w:color w:val="auto"/>
          <w:sz w:val="24"/>
          <w:szCs w:val="24"/>
          <w:highlight w:val="none"/>
        </w:rPr>
        <w:t>技术偏离表</w:t>
      </w:r>
    </w:p>
    <w:p>
      <w:pPr>
        <w:adjustRightInd w:val="0"/>
        <w:snapToGrid w:val="0"/>
        <w:spacing w:line="400" w:lineRule="exact"/>
        <w:jc w:val="left"/>
        <w:rPr>
          <w:rFonts w:ascii="宋体" w:hAnsi="宋体" w:cs="宋体"/>
          <w:b/>
          <w:color w:val="auto"/>
          <w:sz w:val="24"/>
          <w:szCs w:val="24"/>
          <w:highlight w:val="none"/>
        </w:rPr>
      </w:pPr>
      <w:r>
        <w:rPr>
          <w:rFonts w:hint="eastAsia" w:ascii="宋体" w:hAnsi="宋体" w:cs="宋体"/>
          <w:color w:val="auto"/>
          <w:sz w:val="24"/>
          <w:szCs w:val="24"/>
          <w:highlight w:val="none"/>
        </w:rPr>
        <w:t>项目名称：</w:t>
      </w:r>
    </w:p>
    <w:p>
      <w:pPr>
        <w:adjustRightInd w:val="0"/>
        <w:snapToGrid w:val="0"/>
        <w:spacing w:line="400" w:lineRule="exact"/>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项目编号：</w:t>
      </w:r>
    </w:p>
    <w:p>
      <w:pPr>
        <w:adjustRightInd w:val="0"/>
        <w:snapToGrid w:val="0"/>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标包编号及内容： </w:t>
      </w:r>
    </w:p>
    <w:tbl>
      <w:tblPr>
        <w:tblStyle w:val="38"/>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项目</w:t>
            </w: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要求</w:t>
            </w: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color w:val="auto"/>
                <w:sz w:val="24"/>
                <w:szCs w:val="24"/>
                <w:highlight w:val="none"/>
              </w:rPr>
            </w:pPr>
          </w:p>
        </w:tc>
      </w:tr>
    </w:tbl>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注：1、投标人应根据投标设备的性能指标、对照招标文件要求在“偏离情况”栏注明“正偏离”、“负偏离”或“无偏离”。</w:t>
      </w:r>
    </w:p>
    <w:p>
      <w:pPr>
        <w:adjustRightInd w:val="0"/>
        <w:snapToGrid w:val="0"/>
        <w:spacing w:line="4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2、每项技术参数须针对项目需求提供相关佐证材料（包括但不限于检测报告、技术规格书等）。</w:t>
      </w:r>
    </w:p>
    <w:p>
      <w:pPr>
        <w:adjustRightInd w:val="0"/>
        <w:snapToGrid w:val="0"/>
        <w:spacing w:line="400" w:lineRule="exact"/>
        <w:rPr>
          <w:rFonts w:ascii="宋体" w:hAnsi="宋体" w:cs="宋体"/>
          <w:b/>
          <w:bCs/>
          <w:color w:val="auto"/>
          <w:spacing w:val="20"/>
          <w:sz w:val="24"/>
          <w:szCs w:val="24"/>
          <w:highlight w:val="none"/>
        </w:rPr>
      </w:pPr>
      <w:r>
        <w:rPr>
          <w:rFonts w:hint="eastAsia" w:ascii="宋体" w:hAnsi="宋体" w:cs="宋体"/>
          <w:b/>
          <w:bCs/>
          <w:color w:val="auto"/>
          <w:sz w:val="24"/>
          <w:szCs w:val="24"/>
          <w:highlight w:val="none"/>
        </w:rPr>
        <w:t>3、投标人提供投标设备的性能指标与实际不符的且产生偏离的，评标委员会有权认定该投标文件为无效响应。</w:t>
      </w:r>
    </w:p>
    <w:p>
      <w:pPr>
        <w:adjustRightInd w:val="0"/>
        <w:snapToGrid w:val="0"/>
        <w:spacing w:line="400" w:lineRule="exact"/>
        <w:ind w:right="-817" w:rightChars="-389"/>
        <w:rPr>
          <w:rFonts w:ascii="宋体" w:hAnsi="宋体" w:cs="宋体"/>
          <w:color w:val="auto"/>
          <w:sz w:val="24"/>
          <w:szCs w:val="24"/>
          <w:highlight w:val="none"/>
        </w:rPr>
      </w:pP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投标人名称（盖章）：</w:t>
      </w:r>
    </w:p>
    <w:p>
      <w:pPr>
        <w:adjustRightInd w:val="0"/>
        <w:snapToGrid w:val="0"/>
        <w:spacing w:line="400" w:lineRule="exact"/>
        <w:ind w:left="-4" w:leftChars="-2" w:right="-817" w:rightChars="-389" w:firstLine="2"/>
        <w:rPr>
          <w:rFonts w:ascii="宋体" w:hAnsi="宋体" w:cs="宋体"/>
          <w:color w:val="auto"/>
          <w:sz w:val="24"/>
          <w:szCs w:val="24"/>
          <w:highlight w:val="none"/>
        </w:rPr>
      </w:pPr>
      <w:r>
        <w:rPr>
          <w:rFonts w:hint="eastAsia" w:ascii="宋体" w:hAnsi="宋体" w:cs="宋体"/>
          <w:color w:val="auto"/>
          <w:sz w:val="24"/>
          <w:szCs w:val="24"/>
          <w:highlight w:val="none"/>
        </w:rPr>
        <w:t>法定代表人（负责人、自然人）或授权代表（签字）：</w:t>
      </w:r>
    </w:p>
    <w:p>
      <w:pPr>
        <w:adjustRightInd w:val="0"/>
        <w:snapToGrid w:val="0"/>
        <w:spacing w:line="400" w:lineRule="exact"/>
        <w:ind w:left="-2" w:leftChars="-1" w:right="-817" w:rightChars="-389" w:firstLine="2"/>
        <w:jc w:val="left"/>
        <w:rPr>
          <w:rFonts w:ascii="宋体" w:hAnsi="宋体" w:cs="宋体"/>
          <w:color w:val="auto"/>
          <w:sz w:val="24"/>
          <w:szCs w:val="24"/>
          <w:highlight w:val="none"/>
        </w:rPr>
      </w:pPr>
      <w:r>
        <w:rPr>
          <w:rFonts w:hint="eastAsia" w:ascii="宋体" w:hAnsi="宋体" w:cs="宋体"/>
          <w:color w:val="auto"/>
          <w:sz w:val="24"/>
          <w:szCs w:val="24"/>
          <w:highlight w:val="none"/>
        </w:rPr>
        <w:t>日期：    年   月   日</w:t>
      </w:r>
    </w:p>
    <w:p>
      <w:pPr>
        <w:pStyle w:val="2"/>
        <w:rPr>
          <w:rFonts w:hint="eastAsia"/>
          <w:color w:val="auto"/>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widowControl/>
        <w:snapToGrid w:val="0"/>
        <w:spacing w:line="400" w:lineRule="exact"/>
        <w:jc w:val="left"/>
        <w:rPr>
          <w:rFonts w:hint="eastAsia" w:ascii="宋体" w:hAnsi="宋体" w:eastAsia="宋体" w:cs="宋体"/>
          <w:b/>
          <w:color w:val="auto"/>
          <w:sz w:val="24"/>
          <w:szCs w:val="24"/>
          <w:highlight w:val="none"/>
          <w:lang w:eastAsia="zh-CN"/>
        </w:rPr>
      </w:pPr>
      <w:r>
        <w:rPr>
          <w:rFonts w:hint="eastAsia" w:ascii="宋体" w:hAnsi="宋体" w:cs="宋体"/>
          <w:b/>
          <w:bCs/>
          <w:color w:val="auto"/>
          <w:sz w:val="24"/>
          <w:szCs w:val="24"/>
          <w:highlight w:val="none"/>
        </w:rPr>
        <w:t>1</w:t>
      </w:r>
      <w:r>
        <w:rPr>
          <w:rFonts w:hint="eastAsia" w:ascii="宋体" w:hAnsi="宋体" w:cs="宋体"/>
          <w:b/>
          <w:bCs/>
          <w:color w:val="auto"/>
          <w:sz w:val="24"/>
          <w:szCs w:val="24"/>
          <w:highlight w:val="none"/>
          <w:lang w:val="en-US" w:eastAsia="zh-CN"/>
        </w:rPr>
        <w:t>5</w:t>
      </w:r>
      <w:r>
        <w:rPr>
          <w:rFonts w:hint="eastAsia" w:ascii="宋体" w:hAnsi="宋体" w:cs="宋体"/>
          <w:b/>
          <w:bCs/>
          <w:color w:val="auto"/>
          <w:sz w:val="24"/>
          <w:szCs w:val="24"/>
          <w:highlight w:val="none"/>
        </w:rPr>
        <w:t>、</w:t>
      </w:r>
      <w:r>
        <w:rPr>
          <w:rFonts w:hint="eastAsia" w:ascii="宋体" w:hAnsi="宋体" w:cs="宋体"/>
          <w:b/>
          <w:color w:val="auto"/>
          <w:sz w:val="24"/>
          <w:szCs w:val="24"/>
          <w:highlight w:val="none"/>
          <w:lang w:eastAsia="zh-CN"/>
        </w:rPr>
        <w:t>产品详细技术规格书</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货物说明包括：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(1)产品技术参数（指标）、功能等性能描述；（产品技术参数（指标）、功能等性能描述内容必须为可编辑Word版本）</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(2)产品的规范资料、外观彩图及尺寸等描述（要求提供复印件）；</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(3)配置先进合理，技术成熟，安全可靠；</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(4)货物优势介绍；</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(5)产品耐用性及使用功能安全性、采用新技术、新工艺或选用新材料情况；</w:t>
      </w:r>
    </w:p>
    <w:p>
      <w:pPr>
        <w:snapToGrid w:val="0"/>
        <w:spacing w:line="400" w:lineRule="exact"/>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(6)投标人认为有必要提供的其他说明材料。</w:t>
      </w:r>
    </w:p>
    <w:p>
      <w:pPr>
        <w:pStyle w:val="2"/>
        <w:rPr>
          <w:rFonts w:hint="eastAsia" w:ascii="宋体" w:hAnsi="宋体" w:cs="宋体"/>
          <w:b/>
          <w:bCs/>
          <w:color w:val="auto"/>
          <w:sz w:val="24"/>
          <w:szCs w:val="24"/>
          <w:highlight w:val="none"/>
        </w:rPr>
      </w:pPr>
    </w:p>
    <w:p>
      <w:pPr>
        <w:widowControl/>
        <w:snapToGrid w:val="0"/>
        <w:spacing w:line="400" w:lineRule="exact"/>
        <w:jc w:val="lef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16、</w:t>
      </w:r>
      <w:r>
        <w:rPr>
          <w:rFonts w:hint="eastAsia" w:ascii="宋体" w:hAnsi="宋体" w:eastAsia="宋体" w:cs="宋体"/>
          <w:b/>
          <w:color w:val="auto"/>
          <w:sz w:val="24"/>
          <w:szCs w:val="24"/>
          <w:highlight w:val="none"/>
          <w:lang w:eastAsia="zh-CN"/>
        </w:rPr>
        <w:t>与产品相关的由国家认可的检测机构出具的检测报告</w:t>
      </w:r>
      <w:r>
        <w:rPr>
          <w:rFonts w:hint="eastAsia" w:ascii="宋体" w:hAnsi="宋体" w:cs="宋体"/>
          <w:b/>
          <w:color w:val="auto"/>
          <w:sz w:val="24"/>
          <w:szCs w:val="24"/>
          <w:highlight w:val="none"/>
          <w:lang w:eastAsia="zh-CN"/>
        </w:rPr>
        <w:t>（如有）。</w:t>
      </w: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hint="eastAsia" w:asciiTheme="majorEastAsia" w:hAnsiTheme="majorEastAsia" w:eastAsiaTheme="majorEastAsia" w:cstheme="majorEastAsia"/>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18、针对本项目的详细技术培训方案：包括（但不限于）</w:t>
      </w:r>
      <w:r>
        <w:rPr>
          <w:rFonts w:hint="default" w:ascii="宋体" w:hAnsi="宋体" w:eastAsia="宋体" w:cs="宋体"/>
          <w:b/>
          <w:color w:val="auto"/>
          <w:sz w:val="24"/>
          <w:szCs w:val="24"/>
          <w:highlight w:val="none"/>
          <w:lang w:val="en-US" w:eastAsia="zh-CN"/>
        </w:rPr>
        <w:t>培训内容</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培训方式</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培训计划</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培训团队人员配置等</w:t>
      </w:r>
      <w:r>
        <w:rPr>
          <w:rFonts w:hint="eastAsia" w:ascii="宋体" w:hAnsi="宋体" w:eastAsia="宋体" w:cs="宋体"/>
          <w:b/>
          <w:color w:val="auto"/>
          <w:sz w:val="24"/>
          <w:szCs w:val="24"/>
          <w:highlight w:val="none"/>
          <w:lang w:val="en-US" w:eastAsia="zh-CN"/>
        </w:rPr>
        <w:t>内容。</w:t>
      </w: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19、针对本项目的售后服务方案：包括（但不限于）售后</w:t>
      </w:r>
      <w:r>
        <w:rPr>
          <w:rFonts w:hint="default" w:ascii="宋体" w:hAnsi="宋体" w:eastAsia="宋体" w:cs="宋体"/>
          <w:b/>
          <w:color w:val="auto"/>
          <w:sz w:val="24"/>
          <w:szCs w:val="24"/>
          <w:highlight w:val="none"/>
          <w:lang w:val="en-US" w:eastAsia="zh-CN"/>
        </w:rPr>
        <w:t>服务承诺</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服务响应方案</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备件（易耗品）供应方案</w:t>
      </w:r>
      <w:r>
        <w:rPr>
          <w:rFonts w:hint="eastAsia" w:ascii="宋体" w:hAnsi="宋体" w:eastAsia="宋体" w:cs="宋体"/>
          <w:b/>
          <w:color w:val="auto"/>
          <w:sz w:val="24"/>
          <w:szCs w:val="24"/>
          <w:highlight w:val="none"/>
          <w:lang w:val="en-US" w:eastAsia="zh-CN"/>
        </w:rPr>
        <w:t>（含备件价格）、</w:t>
      </w:r>
      <w:r>
        <w:rPr>
          <w:rFonts w:hint="default" w:ascii="宋体" w:hAnsi="宋体" w:eastAsia="宋体" w:cs="宋体"/>
          <w:b/>
          <w:color w:val="auto"/>
          <w:sz w:val="24"/>
          <w:szCs w:val="24"/>
          <w:highlight w:val="none"/>
          <w:lang w:val="en-US" w:eastAsia="zh-CN"/>
        </w:rPr>
        <w:t>服务人员配备</w:t>
      </w:r>
      <w:r>
        <w:rPr>
          <w:rFonts w:hint="eastAsia" w:ascii="宋体" w:hAnsi="宋体" w:eastAsia="宋体" w:cs="宋体"/>
          <w:b/>
          <w:color w:val="auto"/>
          <w:sz w:val="24"/>
          <w:szCs w:val="24"/>
          <w:highlight w:val="none"/>
          <w:lang w:val="en-US" w:eastAsia="zh-CN"/>
        </w:rPr>
        <w:t>、</w:t>
      </w:r>
      <w:r>
        <w:rPr>
          <w:rFonts w:hint="default" w:ascii="宋体" w:hAnsi="宋体" w:eastAsia="宋体" w:cs="宋体"/>
          <w:b/>
          <w:color w:val="auto"/>
          <w:sz w:val="24"/>
          <w:szCs w:val="24"/>
          <w:highlight w:val="none"/>
          <w:lang w:val="en-US" w:eastAsia="zh-CN"/>
        </w:rPr>
        <w:t>故障响应</w:t>
      </w:r>
      <w:r>
        <w:rPr>
          <w:rFonts w:hint="eastAsia" w:ascii="宋体" w:hAnsi="宋体" w:eastAsia="宋体" w:cs="宋体"/>
          <w:b/>
          <w:color w:val="auto"/>
          <w:sz w:val="24"/>
          <w:szCs w:val="24"/>
          <w:highlight w:val="none"/>
          <w:lang w:val="en-US" w:eastAsia="zh-CN"/>
        </w:rPr>
        <w:t>措施、</w:t>
      </w:r>
      <w:r>
        <w:rPr>
          <w:rFonts w:hint="default" w:ascii="宋体" w:hAnsi="宋体" w:eastAsia="宋体" w:cs="宋体"/>
          <w:b/>
          <w:color w:val="auto"/>
          <w:sz w:val="24"/>
          <w:szCs w:val="24"/>
          <w:highlight w:val="none"/>
          <w:lang w:val="en-US" w:eastAsia="zh-CN"/>
        </w:rPr>
        <w:t>质保外服务措施等</w:t>
      </w:r>
      <w:r>
        <w:rPr>
          <w:rFonts w:hint="eastAsia" w:ascii="宋体" w:hAnsi="宋体" w:eastAsia="宋体" w:cs="宋体"/>
          <w:b/>
          <w:color w:val="auto"/>
          <w:sz w:val="24"/>
          <w:szCs w:val="24"/>
          <w:highlight w:val="none"/>
          <w:lang w:val="en-US" w:eastAsia="zh-CN"/>
        </w:rPr>
        <w:t>内容。</w:t>
      </w:r>
    </w:p>
    <w:p>
      <w:pPr>
        <w:widowControl/>
        <w:snapToGrid w:val="0"/>
        <w:spacing w:line="400" w:lineRule="exact"/>
        <w:jc w:val="center"/>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售后服务附表</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项目名称：</w:t>
      </w:r>
    </w:p>
    <w:p>
      <w:pPr>
        <w:snapToGrid w:val="0"/>
        <w:spacing w:line="400" w:lineRule="exact"/>
        <w:jc w:val="left"/>
        <w:rPr>
          <w:rFonts w:asciiTheme="minorEastAsia" w:hAnsiTheme="minorEastAsia" w:eastAsiaTheme="minorEastAsia" w:cstheme="minorEastAsia"/>
          <w:color w:val="auto"/>
          <w:spacing w:val="1"/>
          <w:kern w:val="0"/>
          <w:sz w:val="24"/>
          <w:szCs w:val="24"/>
          <w:highlight w:val="none"/>
          <w:u w:val="single"/>
        </w:rPr>
      </w:pPr>
      <w:r>
        <w:rPr>
          <w:rFonts w:hint="eastAsia" w:asciiTheme="minorEastAsia" w:hAnsiTheme="minorEastAsia" w:eastAsiaTheme="minorEastAsia" w:cstheme="minorEastAsia"/>
          <w:color w:val="auto"/>
          <w:spacing w:val="1"/>
          <w:kern w:val="0"/>
          <w:sz w:val="24"/>
          <w:szCs w:val="24"/>
          <w:highlight w:val="none"/>
        </w:rPr>
        <w:t>标包编号：</w:t>
      </w:r>
    </w:p>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标包编号及内容： </w:t>
      </w:r>
    </w:p>
    <w:tbl>
      <w:tblPr>
        <w:tblStyle w:val="38"/>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服务网点名称</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地址</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注册资本金</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其中：投标人出资比例</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提供相关证明材料（如：营业执照或租房合同等）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员工总人数</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其中：技术人员数</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经营期限</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售后服务协议</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提供相关</w:t>
            </w:r>
          </w:p>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售后服务内容</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此部分内容做附件进行详细说明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服务承诺</w:t>
            </w:r>
          </w:p>
        </w:tc>
        <w:tc>
          <w:tcPr>
            <w:tcW w:w="4450" w:type="dxa"/>
            <w:gridSpan w:val="3"/>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业务咨询电话</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传真</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附人员身份证等相关证件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pPr>
              <w:snapToGrid w:val="0"/>
              <w:spacing w:line="400" w:lineRule="exact"/>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负责人</w:t>
            </w:r>
          </w:p>
        </w:tc>
        <w:tc>
          <w:tcPr>
            <w:tcW w:w="1046"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151"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联系电话</w:t>
            </w:r>
          </w:p>
        </w:tc>
        <w:tc>
          <w:tcPr>
            <w:tcW w:w="1253" w:type="dxa"/>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color w:val="auto"/>
                <w:kern w:val="0"/>
                <w:sz w:val="24"/>
                <w:szCs w:val="24"/>
                <w:highlight w:val="none"/>
              </w:rPr>
            </w:pPr>
          </w:p>
        </w:tc>
      </w:tr>
    </w:tbl>
    <w:p>
      <w:pPr>
        <w:snapToGrid w:val="0"/>
        <w:spacing w:line="400" w:lineRule="exact"/>
        <w:jc w:val="left"/>
        <w:rPr>
          <w:rFonts w:asciiTheme="minorEastAsia" w:hAnsiTheme="minorEastAsia" w:eastAsiaTheme="minorEastAsia" w:cstheme="minorEastAsia"/>
          <w:color w:val="auto"/>
          <w:kern w:val="0"/>
          <w:sz w:val="24"/>
          <w:szCs w:val="24"/>
          <w:highlight w:val="none"/>
        </w:rPr>
      </w:pPr>
    </w:p>
    <w:p>
      <w:pPr>
        <w:pStyle w:val="196"/>
        <w:adjustRightInd w:val="0"/>
        <w:snapToGrid w:val="0"/>
        <w:spacing w:line="400" w:lineRule="exact"/>
        <w:ind w:left="1747" w:firstLine="470"/>
        <w:rPr>
          <w:rFonts w:ascii="宋体" w:hAnsi="宋体" w:cs="宋体"/>
          <w:color w:val="auto"/>
          <w:sz w:val="24"/>
          <w:szCs w:val="24"/>
          <w:highlight w:val="none"/>
        </w:rPr>
      </w:pPr>
      <w:r>
        <w:rPr>
          <w:rFonts w:hint="eastAsia" w:ascii="宋体" w:hAnsi="宋体" w:cs="宋体"/>
          <w:color w:val="auto"/>
          <w:sz w:val="24"/>
          <w:szCs w:val="24"/>
          <w:highlight w:val="none"/>
        </w:rPr>
        <w:t>投标人（盖单位章）：</w:t>
      </w:r>
    </w:p>
    <w:p>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法定代表人或其委托代理人（签字或盖章）：</w:t>
      </w:r>
    </w:p>
    <w:p>
      <w:pPr>
        <w:snapToGrid w:val="0"/>
        <w:spacing w:line="4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日期：        年    月    日</w:t>
      </w: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pStyle w:val="2"/>
        <w:rPr>
          <w:rFonts w:hint="eastAsia" w:ascii="宋体" w:hAnsi="宋体" w:eastAsia="宋体" w:cs="宋体"/>
          <w:b/>
          <w:color w:val="auto"/>
          <w:sz w:val="24"/>
          <w:szCs w:val="24"/>
          <w:highlight w:val="none"/>
          <w:lang w:val="en-US" w:eastAsia="zh-CN"/>
        </w:rPr>
      </w:pPr>
    </w:p>
    <w:p>
      <w:pPr>
        <w:pStyle w:val="2"/>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20、其他优惠条件（如有）：投标人承诺给予采购人的各种优惠条件，包括备品备件、专用耗材等；</w:t>
      </w:r>
    </w:p>
    <w:p>
      <w:pPr>
        <w:widowControl/>
        <w:snapToGrid w:val="0"/>
        <w:spacing w:line="400" w:lineRule="exact"/>
        <w:jc w:val="left"/>
        <w:rPr>
          <w:rFonts w:hint="eastAsia" w:ascii="宋体" w:hAnsi="宋体" w:eastAsia="宋体" w:cs="宋体"/>
          <w:b/>
          <w:color w:val="auto"/>
          <w:sz w:val="24"/>
          <w:szCs w:val="24"/>
          <w:highlight w:val="none"/>
          <w:lang w:val="en-US" w:eastAsia="zh-CN"/>
        </w:rPr>
      </w:pPr>
    </w:p>
    <w:p>
      <w:pPr>
        <w:widowControl/>
        <w:snapToGrid w:val="0"/>
        <w:spacing w:line="400" w:lineRule="exact"/>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21、投标人需要提供的其他文件或资料（如有）。</w:t>
      </w: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pStyle w:val="2"/>
        <w:rPr>
          <w:rFonts w:hint="eastAsia" w:ascii="宋体" w:hAnsi="宋体" w:cs="宋体"/>
          <w:b/>
          <w:bCs/>
          <w:color w:val="auto"/>
          <w:sz w:val="24"/>
          <w:szCs w:val="24"/>
          <w:highlight w:val="none"/>
        </w:rPr>
      </w:pPr>
    </w:p>
    <w:p>
      <w:pPr>
        <w:widowControl/>
        <w:snapToGrid w:val="0"/>
        <w:spacing w:line="400" w:lineRule="exact"/>
        <w:jc w:val="left"/>
        <w:rPr>
          <w:rFonts w:hint="eastAsia" w:ascii="宋体" w:hAnsi="宋体" w:cs="宋体"/>
          <w:b/>
          <w:bCs/>
          <w:color w:val="auto"/>
          <w:sz w:val="24"/>
          <w:szCs w:val="24"/>
          <w:highlight w:val="none"/>
        </w:rPr>
      </w:pPr>
    </w:p>
    <w:p>
      <w:pPr>
        <w:adjustRightInd w:val="0"/>
        <w:snapToGrid w:val="0"/>
        <w:spacing w:line="400" w:lineRule="exact"/>
        <w:jc w:val="left"/>
        <w:rPr>
          <w:rFonts w:ascii="宋体" w:hAnsi="宋体" w:cs="宋体"/>
          <w:b/>
          <w:color w:val="auto"/>
          <w:sz w:val="24"/>
          <w:szCs w:val="24"/>
          <w:highlight w:val="none"/>
        </w:rPr>
      </w:pPr>
    </w:p>
    <w:p>
      <w:pPr>
        <w:pStyle w:val="18"/>
        <w:spacing w:line="480" w:lineRule="exact"/>
        <w:rPr>
          <w:rFonts w:ascii="仿宋" w:hAnsi="仿宋" w:eastAsia="仿宋" w:cs="仿宋"/>
          <w:b/>
          <w:bCs/>
          <w:color w:val="auto"/>
          <w:kern w:val="0"/>
          <w:sz w:val="24"/>
          <w:szCs w:val="24"/>
          <w:highlight w:val="none"/>
        </w:rPr>
      </w:pPr>
    </w:p>
    <w:p>
      <w:pPr>
        <w:pStyle w:val="18"/>
        <w:spacing w:line="480" w:lineRule="exact"/>
        <w:jc w:val="center"/>
        <w:rPr>
          <w:rFonts w:ascii="仿宋" w:hAnsi="仿宋" w:eastAsia="仿宋" w:cs="仿宋"/>
          <w:b/>
          <w:bCs/>
          <w:color w:val="auto"/>
          <w:kern w:val="0"/>
          <w:sz w:val="24"/>
          <w:szCs w:val="24"/>
          <w:highlight w:val="none"/>
        </w:rPr>
      </w:pPr>
    </w:p>
    <w:p>
      <w:pPr>
        <w:pStyle w:val="37"/>
        <w:ind w:firstLine="0" w:firstLineChars="0"/>
        <w:rPr>
          <w:rFonts w:hint="eastAsia"/>
          <w:color w:val="auto"/>
          <w:sz w:val="24"/>
          <w:szCs w:val="22"/>
          <w:highlight w:val="none"/>
        </w:rPr>
      </w:pPr>
    </w:p>
    <w:p>
      <w:pPr>
        <w:pStyle w:val="37"/>
        <w:ind w:firstLine="0" w:firstLineChars="0"/>
        <w:rPr>
          <w:rFonts w:hint="eastAsia"/>
          <w:color w:val="auto"/>
          <w:sz w:val="24"/>
          <w:szCs w:val="22"/>
          <w:highlight w:val="none"/>
        </w:rPr>
      </w:pPr>
    </w:p>
    <w:p>
      <w:pPr>
        <w:pStyle w:val="37"/>
        <w:ind w:firstLine="0" w:firstLineChars="0"/>
        <w:rPr>
          <w:rFonts w:hint="eastAsia"/>
          <w:color w:val="auto"/>
          <w:sz w:val="24"/>
          <w:szCs w:val="22"/>
          <w:highlight w:val="none"/>
        </w:rPr>
      </w:pPr>
    </w:p>
    <w:p>
      <w:pPr>
        <w:pStyle w:val="37"/>
        <w:ind w:firstLine="0" w:firstLineChars="0"/>
        <w:rPr>
          <w:rFonts w:hint="eastAsia"/>
          <w:color w:val="auto"/>
          <w:sz w:val="24"/>
          <w:szCs w:val="22"/>
          <w:highlight w:val="none"/>
        </w:rPr>
      </w:pPr>
    </w:p>
    <w:p>
      <w:pPr>
        <w:pStyle w:val="37"/>
        <w:ind w:firstLine="0" w:firstLineChars="0"/>
        <w:rPr>
          <w:color w:val="auto"/>
          <w:sz w:val="24"/>
          <w:szCs w:val="22"/>
          <w:highlight w:val="none"/>
        </w:rPr>
      </w:pPr>
      <w:r>
        <w:rPr>
          <w:rFonts w:hint="eastAsia"/>
          <w:color w:val="auto"/>
          <w:sz w:val="24"/>
          <w:szCs w:val="22"/>
          <w:highlight w:val="none"/>
        </w:rPr>
        <w:t>附：</w:t>
      </w:r>
    </w:p>
    <w:p>
      <w:pPr>
        <w:pStyle w:val="37"/>
        <w:ind w:firstLine="0" w:firstLineChars="0"/>
        <w:jc w:val="center"/>
        <w:rPr>
          <w:color w:val="auto"/>
          <w:sz w:val="24"/>
          <w:szCs w:val="22"/>
          <w:highlight w:val="none"/>
        </w:rPr>
      </w:pPr>
      <w:r>
        <w:rPr>
          <w:rFonts w:hint="eastAsia"/>
          <w:color w:val="auto"/>
          <w:sz w:val="24"/>
          <w:szCs w:val="22"/>
          <w:highlight w:val="none"/>
        </w:rPr>
        <w:t>质疑函范本</w:t>
      </w:r>
    </w:p>
    <w:p>
      <w:pPr>
        <w:pStyle w:val="37"/>
        <w:ind w:firstLine="480"/>
        <w:rPr>
          <w:color w:val="auto"/>
          <w:sz w:val="24"/>
          <w:szCs w:val="22"/>
          <w:highlight w:val="none"/>
        </w:rPr>
      </w:pPr>
      <w:r>
        <w:rPr>
          <w:rFonts w:hint="eastAsia"/>
          <w:color w:val="auto"/>
          <w:sz w:val="24"/>
          <w:szCs w:val="22"/>
          <w:highlight w:val="none"/>
        </w:rPr>
        <w:t>一、质疑供应商基本信息</w:t>
      </w:r>
    </w:p>
    <w:p>
      <w:pPr>
        <w:pStyle w:val="37"/>
        <w:ind w:firstLine="480"/>
        <w:rPr>
          <w:color w:val="auto"/>
          <w:sz w:val="24"/>
          <w:szCs w:val="22"/>
          <w:highlight w:val="none"/>
          <w:u w:val="single"/>
        </w:rPr>
      </w:pPr>
      <w:r>
        <w:rPr>
          <w:rFonts w:hint="eastAsia"/>
          <w:color w:val="auto"/>
          <w:sz w:val="24"/>
          <w:szCs w:val="22"/>
          <w:highlight w:val="none"/>
        </w:rPr>
        <w:t xml:space="preserve">质疑供应商：  </w:t>
      </w:r>
    </w:p>
    <w:p>
      <w:pPr>
        <w:pStyle w:val="37"/>
        <w:ind w:firstLine="480"/>
        <w:rPr>
          <w:color w:val="auto"/>
          <w:sz w:val="24"/>
          <w:szCs w:val="22"/>
          <w:highlight w:val="none"/>
        </w:rPr>
      </w:pPr>
      <w:r>
        <w:rPr>
          <w:rFonts w:hint="eastAsia"/>
          <w:color w:val="auto"/>
          <w:sz w:val="24"/>
          <w:szCs w:val="22"/>
          <w:highlight w:val="none"/>
        </w:rPr>
        <w:t xml:space="preserve">地址：                          邮编：                  </w:t>
      </w:r>
    </w:p>
    <w:p>
      <w:pPr>
        <w:pStyle w:val="37"/>
        <w:ind w:firstLine="480"/>
        <w:rPr>
          <w:color w:val="auto"/>
          <w:sz w:val="24"/>
          <w:szCs w:val="22"/>
          <w:highlight w:val="none"/>
        </w:rPr>
      </w:pPr>
      <w:r>
        <w:rPr>
          <w:rFonts w:hint="eastAsia"/>
          <w:color w:val="auto"/>
          <w:sz w:val="24"/>
          <w:szCs w:val="22"/>
          <w:highlight w:val="none"/>
        </w:rPr>
        <w:t xml:space="preserve">联系人：                      联系电话：                 </w:t>
      </w:r>
    </w:p>
    <w:p>
      <w:pPr>
        <w:pStyle w:val="37"/>
        <w:ind w:firstLine="480"/>
        <w:rPr>
          <w:color w:val="auto"/>
          <w:sz w:val="24"/>
          <w:szCs w:val="22"/>
          <w:highlight w:val="none"/>
        </w:rPr>
      </w:pPr>
      <w:r>
        <w:rPr>
          <w:rFonts w:hint="eastAsia"/>
          <w:color w:val="auto"/>
          <w:sz w:val="24"/>
          <w:szCs w:val="22"/>
          <w:highlight w:val="none"/>
        </w:rPr>
        <w:t xml:space="preserve">授权代表：                                          </w:t>
      </w:r>
    </w:p>
    <w:p>
      <w:pPr>
        <w:pStyle w:val="37"/>
        <w:ind w:firstLine="480"/>
        <w:rPr>
          <w:color w:val="auto"/>
          <w:sz w:val="24"/>
          <w:szCs w:val="22"/>
          <w:highlight w:val="none"/>
        </w:rPr>
      </w:pPr>
      <w:r>
        <w:rPr>
          <w:rFonts w:hint="eastAsia"/>
          <w:color w:val="auto"/>
          <w:sz w:val="24"/>
          <w:szCs w:val="22"/>
          <w:highlight w:val="none"/>
        </w:rPr>
        <w:t xml:space="preserve">联系电话：                                            </w:t>
      </w:r>
    </w:p>
    <w:p>
      <w:pPr>
        <w:pStyle w:val="37"/>
        <w:ind w:firstLine="480"/>
        <w:rPr>
          <w:color w:val="auto"/>
          <w:sz w:val="24"/>
          <w:szCs w:val="22"/>
          <w:highlight w:val="none"/>
        </w:rPr>
      </w:pPr>
      <w:r>
        <w:rPr>
          <w:rFonts w:hint="eastAsia"/>
          <w:color w:val="auto"/>
          <w:sz w:val="24"/>
          <w:szCs w:val="22"/>
          <w:highlight w:val="none"/>
        </w:rPr>
        <w:t xml:space="preserve">地址：                         邮编：                    </w:t>
      </w:r>
    </w:p>
    <w:p>
      <w:pPr>
        <w:pStyle w:val="37"/>
        <w:ind w:firstLine="480"/>
        <w:rPr>
          <w:color w:val="auto"/>
          <w:sz w:val="24"/>
          <w:szCs w:val="22"/>
          <w:highlight w:val="none"/>
        </w:rPr>
      </w:pPr>
      <w:r>
        <w:rPr>
          <w:rFonts w:hint="eastAsia"/>
          <w:color w:val="auto"/>
          <w:sz w:val="24"/>
          <w:szCs w:val="22"/>
          <w:highlight w:val="none"/>
        </w:rPr>
        <w:t>二、质疑项目基本情况</w:t>
      </w:r>
    </w:p>
    <w:p>
      <w:pPr>
        <w:pStyle w:val="37"/>
        <w:ind w:firstLine="480"/>
        <w:rPr>
          <w:color w:val="auto"/>
          <w:sz w:val="24"/>
          <w:szCs w:val="22"/>
          <w:highlight w:val="none"/>
        </w:rPr>
      </w:pPr>
      <w:r>
        <w:rPr>
          <w:rFonts w:hint="eastAsia"/>
          <w:color w:val="auto"/>
          <w:sz w:val="24"/>
          <w:szCs w:val="22"/>
          <w:highlight w:val="none"/>
        </w:rPr>
        <w:t xml:space="preserve">质疑项目的名称：                                      </w:t>
      </w:r>
    </w:p>
    <w:p>
      <w:pPr>
        <w:pStyle w:val="37"/>
        <w:ind w:firstLine="480"/>
        <w:rPr>
          <w:color w:val="auto"/>
          <w:sz w:val="24"/>
          <w:szCs w:val="22"/>
          <w:highlight w:val="none"/>
        </w:rPr>
      </w:pPr>
      <w:r>
        <w:rPr>
          <w:rFonts w:hint="eastAsia"/>
          <w:color w:val="auto"/>
          <w:sz w:val="24"/>
          <w:szCs w:val="22"/>
          <w:highlight w:val="none"/>
        </w:rPr>
        <w:t xml:space="preserve">质疑项目的编号：               包号：                 </w:t>
      </w:r>
    </w:p>
    <w:p>
      <w:pPr>
        <w:pStyle w:val="37"/>
        <w:ind w:firstLine="480"/>
        <w:rPr>
          <w:color w:val="auto"/>
          <w:sz w:val="24"/>
          <w:szCs w:val="22"/>
          <w:highlight w:val="none"/>
        </w:rPr>
      </w:pPr>
      <w:r>
        <w:rPr>
          <w:rFonts w:hint="eastAsia"/>
          <w:color w:val="auto"/>
          <w:sz w:val="24"/>
          <w:szCs w:val="22"/>
          <w:highlight w:val="none"/>
        </w:rPr>
        <w:t xml:space="preserve">采购人名称：                                         </w:t>
      </w:r>
    </w:p>
    <w:p>
      <w:pPr>
        <w:pStyle w:val="37"/>
        <w:ind w:firstLine="480"/>
        <w:rPr>
          <w:color w:val="auto"/>
          <w:sz w:val="24"/>
          <w:szCs w:val="22"/>
          <w:highlight w:val="none"/>
        </w:rPr>
      </w:pPr>
      <w:r>
        <w:rPr>
          <w:rFonts w:hint="eastAsia"/>
          <w:color w:val="auto"/>
          <w:sz w:val="24"/>
          <w:szCs w:val="22"/>
          <w:highlight w:val="none"/>
        </w:rPr>
        <w:t xml:space="preserve">招标文件获取日期：                                           </w:t>
      </w:r>
    </w:p>
    <w:p>
      <w:pPr>
        <w:pStyle w:val="37"/>
        <w:ind w:firstLine="480"/>
        <w:rPr>
          <w:color w:val="auto"/>
          <w:sz w:val="24"/>
          <w:szCs w:val="22"/>
          <w:highlight w:val="none"/>
        </w:rPr>
      </w:pPr>
      <w:r>
        <w:rPr>
          <w:rFonts w:hint="eastAsia"/>
          <w:color w:val="auto"/>
          <w:sz w:val="24"/>
          <w:szCs w:val="22"/>
          <w:highlight w:val="none"/>
        </w:rPr>
        <w:t>三、质疑事项具体内容</w:t>
      </w:r>
    </w:p>
    <w:p>
      <w:pPr>
        <w:pStyle w:val="37"/>
        <w:ind w:firstLine="480"/>
        <w:rPr>
          <w:color w:val="auto"/>
          <w:sz w:val="24"/>
          <w:szCs w:val="22"/>
          <w:highlight w:val="none"/>
        </w:rPr>
      </w:pPr>
      <w:r>
        <w:rPr>
          <w:rFonts w:hint="eastAsia"/>
          <w:color w:val="auto"/>
          <w:sz w:val="24"/>
          <w:szCs w:val="22"/>
          <w:highlight w:val="none"/>
        </w:rPr>
        <w:t xml:space="preserve">质疑事项1：                                         </w:t>
      </w:r>
    </w:p>
    <w:p>
      <w:pPr>
        <w:pStyle w:val="37"/>
        <w:ind w:firstLine="480"/>
        <w:rPr>
          <w:color w:val="auto"/>
          <w:sz w:val="24"/>
          <w:szCs w:val="22"/>
          <w:highlight w:val="none"/>
        </w:rPr>
      </w:pPr>
      <w:r>
        <w:rPr>
          <w:rFonts w:hint="eastAsia"/>
          <w:color w:val="auto"/>
          <w:sz w:val="24"/>
          <w:szCs w:val="22"/>
          <w:highlight w:val="none"/>
        </w:rPr>
        <w:t xml:space="preserve">事实依据：                                          </w:t>
      </w:r>
    </w:p>
    <w:p>
      <w:pPr>
        <w:pStyle w:val="37"/>
        <w:ind w:firstLine="480"/>
        <w:rPr>
          <w:color w:val="auto"/>
          <w:sz w:val="24"/>
          <w:szCs w:val="22"/>
          <w:highlight w:val="none"/>
        </w:rPr>
      </w:pPr>
    </w:p>
    <w:p>
      <w:pPr>
        <w:pStyle w:val="37"/>
        <w:ind w:firstLine="480"/>
        <w:rPr>
          <w:color w:val="auto"/>
          <w:sz w:val="24"/>
          <w:szCs w:val="22"/>
          <w:highlight w:val="none"/>
        </w:rPr>
      </w:pPr>
      <w:r>
        <w:rPr>
          <w:rFonts w:hint="eastAsia"/>
          <w:color w:val="auto"/>
          <w:sz w:val="24"/>
          <w:szCs w:val="22"/>
          <w:highlight w:val="none"/>
        </w:rPr>
        <w:t xml:space="preserve">法律依据：                                          </w:t>
      </w:r>
    </w:p>
    <w:p>
      <w:pPr>
        <w:pStyle w:val="37"/>
        <w:ind w:firstLine="480"/>
        <w:rPr>
          <w:color w:val="auto"/>
          <w:sz w:val="24"/>
          <w:szCs w:val="22"/>
          <w:highlight w:val="none"/>
        </w:rPr>
      </w:pPr>
    </w:p>
    <w:p>
      <w:pPr>
        <w:pStyle w:val="37"/>
        <w:ind w:firstLine="480"/>
        <w:rPr>
          <w:color w:val="auto"/>
          <w:sz w:val="24"/>
          <w:szCs w:val="22"/>
          <w:highlight w:val="none"/>
        </w:rPr>
      </w:pPr>
      <w:r>
        <w:rPr>
          <w:rFonts w:hint="eastAsia"/>
          <w:color w:val="auto"/>
          <w:sz w:val="24"/>
          <w:szCs w:val="22"/>
          <w:highlight w:val="none"/>
        </w:rPr>
        <w:t>质疑事项2</w:t>
      </w:r>
    </w:p>
    <w:p>
      <w:pPr>
        <w:pStyle w:val="37"/>
        <w:ind w:firstLine="480"/>
        <w:rPr>
          <w:color w:val="auto"/>
          <w:sz w:val="24"/>
          <w:szCs w:val="22"/>
          <w:highlight w:val="none"/>
        </w:rPr>
      </w:pPr>
      <w:r>
        <w:rPr>
          <w:rFonts w:hint="eastAsia"/>
          <w:color w:val="auto"/>
          <w:sz w:val="24"/>
          <w:szCs w:val="22"/>
          <w:highlight w:val="none"/>
        </w:rPr>
        <w:t>……</w:t>
      </w:r>
    </w:p>
    <w:p>
      <w:pPr>
        <w:pStyle w:val="37"/>
        <w:ind w:firstLine="480"/>
        <w:rPr>
          <w:color w:val="auto"/>
          <w:sz w:val="24"/>
          <w:szCs w:val="22"/>
          <w:highlight w:val="none"/>
        </w:rPr>
      </w:pPr>
      <w:r>
        <w:rPr>
          <w:rFonts w:hint="eastAsia"/>
          <w:color w:val="auto"/>
          <w:sz w:val="24"/>
          <w:szCs w:val="22"/>
          <w:highlight w:val="none"/>
        </w:rPr>
        <w:t>四、与质疑事项相关的质疑请求</w:t>
      </w:r>
    </w:p>
    <w:p>
      <w:pPr>
        <w:pStyle w:val="37"/>
        <w:ind w:firstLine="480"/>
        <w:rPr>
          <w:color w:val="auto"/>
          <w:sz w:val="24"/>
          <w:szCs w:val="22"/>
          <w:highlight w:val="none"/>
        </w:rPr>
      </w:pPr>
      <w:r>
        <w:rPr>
          <w:rFonts w:hint="eastAsia"/>
          <w:color w:val="auto"/>
          <w:sz w:val="24"/>
          <w:szCs w:val="22"/>
          <w:highlight w:val="none"/>
        </w:rPr>
        <w:t xml:space="preserve">请求：                                               </w:t>
      </w:r>
    </w:p>
    <w:p>
      <w:pPr>
        <w:pStyle w:val="37"/>
        <w:ind w:firstLine="480"/>
        <w:rPr>
          <w:color w:val="auto"/>
          <w:sz w:val="24"/>
          <w:szCs w:val="22"/>
          <w:highlight w:val="none"/>
        </w:rPr>
      </w:pPr>
      <w:r>
        <w:rPr>
          <w:rFonts w:hint="eastAsia"/>
          <w:color w:val="auto"/>
          <w:sz w:val="24"/>
          <w:szCs w:val="22"/>
          <w:highlight w:val="none"/>
        </w:rPr>
        <w:t xml:space="preserve">签字(签章)：                   公章：                      </w:t>
      </w:r>
    </w:p>
    <w:p>
      <w:pPr>
        <w:pStyle w:val="37"/>
        <w:ind w:firstLine="480"/>
        <w:rPr>
          <w:color w:val="auto"/>
          <w:sz w:val="24"/>
          <w:szCs w:val="22"/>
          <w:highlight w:val="none"/>
        </w:rPr>
      </w:pPr>
      <w:r>
        <w:rPr>
          <w:rFonts w:hint="eastAsia"/>
          <w:color w:val="auto"/>
          <w:sz w:val="24"/>
          <w:szCs w:val="22"/>
          <w:highlight w:val="none"/>
        </w:rPr>
        <w:t xml:space="preserve">日期：    </w:t>
      </w:r>
    </w:p>
    <w:p>
      <w:pPr>
        <w:rPr>
          <w:color w:val="auto"/>
          <w:sz w:val="24"/>
          <w:szCs w:val="22"/>
          <w:highlight w:val="none"/>
        </w:rPr>
      </w:pPr>
      <w:r>
        <w:rPr>
          <w:rFonts w:hint="eastAsia"/>
          <w:color w:val="auto"/>
          <w:sz w:val="24"/>
          <w:szCs w:val="22"/>
          <w:highlight w:val="none"/>
        </w:rPr>
        <w:br w:type="page"/>
      </w:r>
    </w:p>
    <w:p>
      <w:pPr>
        <w:pStyle w:val="37"/>
        <w:ind w:firstLine="480"/>
        <w:rPr>
          <w:color w:val="auto"/>
          <w:sz w:val="24"/>
          <w:szCs w:val="22"/>
          <w:highlight w:val="none"/>
        </w:rPr>
      </w:pPr>
      <w:r>
        <w:rPr>
          <w:rFonts w:hint="eastAsia"/>
          <w:color w:val="auto"/>
          <w:sz w:val="24"/>
          <w:szCs w:val="22"/>
          <w:highlight w:val="none"/>
        </w:rPr>
        <w:t>质疑函制作说明：</w:t>
      </w:r>
    </w:p>
    <w:p>
      <w:pPr>
        <w:pStyle w:val="37"/>
        <w:ind w:firstLine="480"/>
        <w:rPr>
          <w:color w:val="auto"/>
          <w:sz w:val="24"/>
          <w:szCs w:val="22"/>
          <w:highlight w:val="none"/>
        </w:rPr>
      </w:pPr>
      <w:r>
        <w:rPr>
          <w:rFonts w:hint="eastAsia"/>
          <w:color w:val="auto"/>
          <w:sz w:val="24"/>
          <w:szCs w:val="22"/>
          <w:highlight w:val="none"/>
        </w:rPr>
        <w:t>1.供应商提出质疑时，应提交质疑函和必要的证明材料。</w:t>
      </w:r>
    </w:p>
    <w:p>
      <w:pPr>
        <w:pStyle w:val="37"/>
        <w:ind w:firstLine="480"/>
        <w:rPr>
          <w:color w:val="auto"/>
          <w:sz w:val="24"/>
          <w:szCs w:val="22"/>
          <w:highlight w:val="none"/>
        </w:rPr>
      </w:pPr>
      <w:r>
        <w:rPr>
          <w:rFonts w:hint="eastAsia"/>
          <w:color w:val="auto"/>
          <w:sz w:val="24"/>
          <w:szCs w:val="2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37"/>
        <w:ind w:firstLine="480"/>
        <w:rPr>
          <w:color w:val="auto"/>
          <w:sz w:val="24"/>
          <w:szCs w:val="22"/>
          <w:highlight w:val="none"/>
        </w:rPr>
      </w:pPr>
      <w:r>
        <w:rPr>
          <w:rFonts w:hint="eastAsia"/>
          <w:color w:val="auto"/>
          <w:sz w:val="24"/>
          <w:szCs w:val="22"/>
          <w:highlight w:val="none"/>
        </w:rPr>
        <w:t>3.质疑供应商若对项目的某一分包进行质疑，质疑函中应列明具体分包号。</w:t>
      </w:r>
    </w:p>
    <w:p>
      <w:pPr>
        <w:pStyle w:val="37"/>
        <w:ind w:firstLine="480"/>
        <w:rPr>
          <w:color w:val="auto"/>
          <w:sz w:val="24"/>
          <w:szCs w:val="22"/>
          <w:highlight w:val="none"/>
        </w:rPr>
      </w:pPr>
      <w:r>
        <w:rPr>
          <w:rFonts w:hint="eastAsia"/>
          <w:color w:val="auto"/>
          <w:sz w:val="24"/>
          <w:szCs w:val="22"/>
          <w:highlight w:val="none"/>
        </w:rPr>
        <w:t>4.质疑函的质疑事项应具体、明确，并有必要的事实依据和法律依据。</w:t>
      </w:r>
    </w:p>
    <w:p>
      <w:pPr>
        <w:pStyle w:val="37"/>
        <w:ind w:firstLine="480"/>
        <w:rPr>
          <w:color w:val="auto"/>
          <w:sz w:val="24"/>
          <w:szCs w:val="22"/>
          <w:highlight w:val="none"/>
        </w:rPr>
      </w:pPr>
      <w:r>
        <w:rPr>
          <w:rFonts w:hint="eastAsia"/>
          <w:color w:val="auto"/>
          <w:sz w:val="24"/>
          <w:szCs w:val="22"/>
          <w:highlight w:val="none"/>
        </w:rPr>
        <w:t>5.质疑函的质疑请求应与质疑事项相关。</w:t>
      </w:r>
    </w:p>
    <w:p>
      <w:pPr>
        <w:pStyle w:val="37"/>
        <w:ind w:firstLine="480"/>
        <w:rPr>
          <w:color w:val="auto"/>
          <w:sz w:val="24"/>
          <w:szCs w:val="22"/>
          <w:highlight w:val="none"/>
        </w:rPr>
      </w:pPr>
      <w:r>
        <w:rPr>
          <w:rFonts w:hint="eastAsia"/>
          <w:color w:val="auto"/>
          <w:sz w:val="24"/>
          <w:szCs w:val="22"/>
          <w:highlight w:val="none"/>
        </w:rPr>
        <w:t>6.质疑供应商为自然人的，质疑函应由本人签字；质疑供应商为法人或者其他组织的，质疑函应由法定代表人、主要负责人，或者其授权代表签字或者盖章，并加盖公章。</w:t>
      </w:r>
    </w:p>
    <w:p>
      <w:pPr>
        <w:rPr>
          <w:rFonts w:hint="eastAsia" w:eastAsia="宋体"/>
          <w:color w:val="auto"/>
          <w:highlight w:val="none"/>
          <w:lang w:eastAsia="zh-CN"/>
        </w:rPr>
        <w:sectPr>
          <w:headerReference r:id="rId8" w:type="default"/>
          <w:footerReference r:id="rId9"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bookmarkStart w:id="116" w:name="_Toc24870"/>
      <w:bookmarkStart w:id="117" w:name="_Toc99731325"/>
      <w:bookmarkStart w:id="118" w:name="_Toc6920"/>
      <w:bookmarkStart w:id="119" w:name="_Toc30959"/>
      <w:bookmarkStart w:id="120" w:name="_Toc95234398"/>
      <w:bookmarkStart w:id="121" w:name="_Toc105522757"/>
      <w:bookmarkStart w:id="122" w:name="_Toc99731210"/>
      <w:r>
        <w:rPr>
          <w:rFonts w:hint="eastAsia"/>
          <w:color w:val="auto"/>
          <w:highlight w:val="none"/>
          <w:lang w:eastAsia="zh-CN"/>
        </w:rPr>
        <w:t>晁</w:t>
      </w:r>
    </w:p>
    <w:bookmarkEnd w:id="116"/>
    <w:bookmarkEnd w:id="117"/>
    <w:bookmarkEnd w:id="118"/>
    <w:bookmarkEnd w:id="119"/>
    <w:bookmarkEnd w:id="120"/>
    <w:bookmarkEnd w:id="121"/>
    <w:bookmarkEnd w:id="122"/>
    <w:p>
      <w:pPr>
        <w:pStyle w:val="3"/>
        <w:rPr>
          <w:color w:val="auto"/>
          <w:highlight w:val="none"/>
        </w:rPr>
      </w:pPr>
      <w:r>
        <w:rPr>
          <w:rFonts w:hint="eastAsia"/>
          <w:color w:val="auto"/>
          <w:highlight w:val="none"/>
        </w:rPr>
        <w:t>第六章 项目需求</w:t>
      </w:r>
    </w:p>
    <w:tbl>
      <w:tblPr>
        <w:tblStyle w:val="38"/>
        <w:tblpPr w:leftFromText="180" w:rightFromText="180" w:vertAnchor="text" w:horzAnchor="page" w:tblpXSpec="center" w:tblpY="305"/>
        <w:tblOverlap w:val="never"/>
        <w:tblW w:w="96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75"/>
        <w:gridCol w:w="1749"/>
        <w:gridCol w:w="765"/>
        <w:gridCol w:w="795"/>
        <w:gridCol w:w="1035"/>
        <w:gridCol w:w="1095"/>
        <w:gridCol w:w="1230"/>
        <w:gridCol w:w="1039"/>
        <w:gridCol w:w="12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6" w:hRule="atLeast"/>
          <w:jc w:val="center"/>
        </w:trPr>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包号</w:t>
            </w: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装备名称</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单位</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数量</w:t>
            </w:r>
          </w:p>
        </w:tc>
        <w:tc>
          <w:tcPr>
            <w:tcW w:w="103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黑体_GBK" w:hAnsi="方正黑体_GBK" w:eastAsia="方正黑体_GBK" w:cs="方正黑体_GBK"/>
                <w:b/>
                <w:bCs/>
                <w:i w:val="0"/>
                <w:iCs w:val="0"/>
                <w:color w:val="000000"/>
                <w:kern w:val="0"/>
                <w:sz w:val="22"/>
                <w:szCs w:val="22"/>
                <w:highlight w:val="none"/>
                <w:u w:val="none"/>
                <w:lang w:val="en-US" w:eastAsia="zh-CN" w:bidi="ar"/>
              </w:rPr>
            </w:pPr>
            <w:r>
              <w:rPr>
                <w:rFonts w:hint="eastAsia" w:ascii="方正黑体_GBK" w:hAnsi="方正黑体_GBK" w:eastAsia="方正黑体_GBK" w:cs="方正黑体_GBK"/>
                <w:b/>
                <w:bCs/>
                <w:i w:val="0"/>
                <w:iCs w:val="0"/>
                <w:color w:val="000000"/>
                <w:kern w:val="0"/>
                <w:sz w:val="22"/>
                <w:szCs w:val="22"/>
                <w:highlight w:val="none"/>
                <w:u w:val="none"/>
                <w:lang w:val="en-US" w:eastAsia="zh-CN" w:bidi="ar"/>
              </w:rPr>
              <w:t>单价</w:t>
            </w:r>
          </w:p>
          <w:p>
            <w:pPr>
              <w:keepNext w:val="0"/>
              <w:keepLines w:val="0"/>
              <w:widowControl/>
              <w:suppressLineNumbers w:val="0"/>
              <w:jc w:val="center"/>
              <w:textAlignment w:val="center"/>
              <w:rPr>
                <w:rFonts w:hint="eastAsia" w:ascii="方正黑体_GBK" w:hAnsi="方正黑体_GBK" w:eastAsia="方正黑体_GBK" w:cs="方正黑体_GBK"/>
                <w:b/>
                <w:bCs/>
                <w:i w:val="0"/>
                <w:iCs w:val="0"/>
                <w:color w:val="000000"/>
                <w:kern w:val="0"/>
                <w:sz w:val="22"/>
                <w:szCs w:val="22"/>
                <w:highlight w:val="none"/>
                <w:u w:val="none"/>
                <w:lang w:val="en-US" w:eastAsia="zh-CN" w:bidi="ar"/>
              </w:rPr>
            </w:pPr>
            <w:r>
              <w:rPr>
                <w:rFonts w:hint="eastAsia" w:ascii="方正黑体_GBK" w:hAnsi="方正黑体_GBK" w:eastAsia="方正黑体_GBK" w:cs="方正黑体_GBK"/>
                <w:b/>
                <w:bCs/>
                <w:i w:val="0"/>
                <w:iCs w:val="0"/>
                <w:color w:val="000000"/>
                <w:kern w:val="0"/>
                <w:sz w:val="22"/>
                <w:szCs w:val="22"/>
                <w:highlight w:val="none"/>
                <w:u w:val="none"/>
                <w:lang w:val="en-US" w:eastAsia="zh-CN" w:bidi="ar"/>
              </w:rPr>
              <w:t>（万元）</w:t>
            </w:r>
          </w:p>
        </w:tc>
        <w:tc>
          <w:tcPr>
            <w:tcW w:w="109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黑体_GBK" w:hAnsi="方正黑体_GBK" w:eastAsia="方正黑体_GBK" w:cs="方正黑体_GBK"/>
                <w:b/>
                <w:bCs/>
                <w:i w:val="0"/>
                <w:iCs w:val="0"/>
                <w:color w:val="000000"/>
                <w:kern w:val="0"/>
                <w:sz w:val="22"/>
                <w:szCs w:val="22"/>
                <w:highlight w:val="none"/>
                <w:u w:val="none"/>
                <w:lang w:val="en-US" w:eastAsia="zh-CN" w:bidi="ar"/>
              </w:rPr>
            </w:pPr>
            <w:r>
              <w:rPr>
                <w:rFonts w:hint="eastAsia" w:ascii="方正黑体_GBK" w:hAnsi="方正黑体_GBK" w:eastAsia="方正黑体_GBK" w:cs="方正黑体_GBK"/>
                <w:b/>
                <w:bCs/>
                <w:i w:val="0"/>
                <w:iCs w:val="0"/>
                <w:color w:val="000000"/>
                <w:kern w:val="0"/>
                <w:sz w:val="22"/>
                <w:szCs w:val="22"/>
                <w:highlight w:val="none"/>
                <w:u w:val="none"/>
                <w:lang w:val="en-US" w:eastAsia="zh-CN" w:bidi="ar"/>
              </w:rPr>
              <w:t>合计</w:t>
            </w:r>
          </w:p>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2"/>
                <w:szCs w:val="22"/>
                <w:highlight w:val="none"/>
                <w:u w:val="none"/>
                <w:lang w:val="en-US" w:eastAsia="zh-CN" w:bidi="ar"/>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（万元）</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2"/>
                <w:szCs w:val="22"/>
                <w:highlight w:val="none"/>
                <w:u w:val="none"/>
                <w:lang w:val="en-US" w:eastAsia="zh-CN" w:bidi="ar"/>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最高限价</w:t>
            </w:r>
            <w:r>
              <w:rPr>
                <w:rFonts w:hint="eastAsia" w:ascii="方正黑体_GBK" w:hAnsi="方正黑体_GBK" w:eastAsia="方正黑体_GBK" w:cs="方正黑体_GBK"/>
                <w:b/>
                <w:bCs/>
                <w:i w:val="0"/>
                <w:iCs w:val="0"/>
                <w:color w:val="000000"/>
                <w:kern w:val="0"/>
                <w:sz w:val="22"/>
                <w:szCs w:val="22"/>
                <w:highlight w:val="none"/>
                <w:u w:val="none"/>
                <w:lang w:val="en-US" w:eastAsia="zh-CN" w:bidi="ar"/>
              </w:rPr>
              <w:t>合计</w:t>
            </w:r>
          </w:p>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(万元)</w:t>
            </w:r>
          </w:p>
        </w:tc>
        <w:tc>
          <w:tcPr>
            <w:tcW w:w="10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2"/>
                <w:szCs w:val="22"/>
                <w:highlight w:val="none"/>
                <w:u w:val="none"/>
                <w:lang w:val="en-US" w:eastAsia="zh-CN" w:bidi="ar"/>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是否核心产品</w:t>
            </w:r>
          </w:p>
        </w:tc>
        <w:tc>
          <w:tcPr>
            <w:tcW w:w="12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2"/>
                <w:szCs w:val="22"/>
                <w:highlight w:val="none"/>
                <w:u w:val="none"/>
                <w:lang w:val="en-US"/>
              </w:rPr>
            </w:pPr>
            <w:r>
              <w:rPr>
                <w:rFonts w:hint="default" w:ascii="方正黑体_GBK" w:hAnsi="方正黑体_GBK" w:eastAsia="方正黑体_GBK" w:cs="方正黑体_GBK"/>
                <w:b/>
                <w:bCs/>
                <w:i w:val="0"/>
                <w:iCs w:val="0"/>
                <w:color w:val="000000"/>
                <w:kern w:val="0"/>
                <w:sz w:val="22"/>
                <w:szCs w:val="22"/>
                <w:highlight w:val="none"/>
                <w:u w:val="none"/>
                <w:lang w:val="en-US" w:eastAsia="zh-CN" w:bidi="ar"/>
              </w:rPr>
              <w:t>是否</w:t>
            </w:r>
            <w:r>
              <w:rPr>
                <w:rFonts w:hint="eastAsia" w:ascii="方正黑体_GBK" w:hAnsi="方正黑体_GBK" w:eastAsia="方正黑体_GBK" w:cs="方正黑体_GBK"/>
                <w:b/>
                <w:bCs/>
                <w:i w:val="0"/>
                <w:iCs w:val="0"/>
                <w:color w:val="000000"/>
                <w:kern w:val="0"/>
                <w:sz w:val="22"/>
                <w:szCs w:val="22"/>
                <w:highlight w:val="none"/>
                <w:u w:val="none"/>
                <w:lang w:val="en-US" w:eastAsia="zh-CN" w:bidi="ar"/>
              </w:rPr>
              <w:t>提供视频样品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干式水域救援服</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100</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0.800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80.000 </w:t>
            </w:r>
          </w:p>
        </w:tc>
        <w:tc>
          <w:tcPr>
            <w:tcW w:w="123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256.250 </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sz w:val="20"/>
                <w:szCs w:val="20"/>
                <w:highlight w:val="none"/>
                <w:u w:val="none"/>
                <w:lang w:val="en-US" w:eastAsia="zh-CN"/>
              </w:rPr>
              <w:t>是</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湿式水域救援服</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255</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0.350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89.250 </w:t>
            </w:r>
          </w:p>
        </w:tc>
        <w:tc>
          <w:tcPr>
            <w:tcW w:w="1230" w:type="dxa"/>
            <w:vMerge w:val="continue"/>
            <w:tcBorders>
              <w:left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sz w:val="20"/>
                <w:szCs w:val="20"/>
                <w:highlight w:val="none"/>
                <w:u w:val="none"/>
                <w:lang w:val="en-US" w:eastAsia="zh-CN"/>
              </w:rPr>
              <w:t>是</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水域救援套装</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269</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0.200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53.800 </w:t>
            </w:r>
          </w:p>
        </w:tc>
        <w:tc>
          <w:tcPr>
            <w:tcW w:w="1230" w:type="dxa"/>
            <w:vMerge w:val="continue"/>
            <w:tcBorders>
              <w:left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水域救生套装</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166</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0.200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33.200 </w:t>
            </w:r>
          </w:p>
        </w:tc>
        <w:tc>
          <w:tcPr>
            <w:tcW w:w="1230" w:type="dxa"/>
            <w:vMerge w:val="continue"/>
            <w:tcBorders>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潜水全面罩</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24</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1.600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38.400 </w:t>
            </w:r>
          </w:p>
        </w:tc>
        <w:tc>
          <w:tcPr>
            <w:tcW w:w="1230" w:type="dxa"/>
            <w:vMerge w:val="restart"/>
            <w:tcBorders>
              <w:top w:val="single" w:color="000000" w:sz="4" w:space="0"/>
              <w:left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359.400 </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黑体_GBK" w:hAnsi="方正黑体_GBK" w:eastAsia="方正黑体_GBK" w:cs="方正黑体_GBK"/>
                <w:b/>
                <w:bCs/>
                <w:i w:val="0"/>
                <w:iCs w:val="0"/>
                <w:color w:val="000000"/>
                <w:sz w:val="20"/>
                <w:szCs w:val="20"/>
                <w:highlight w:val="none"/>
                <w:u w:val="none"/>
                <w:lang w:val="en-US" w:eastAsia="zh-CN"/>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全面罩</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45</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1.600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72.000 </w:t>
            </w:r>
          </w:p>
        </w:tc>
        <w:tc>
          <w:tcPr>
            <w:tcW w:w="1230" w:type="dxa"/>
            <w:vMerge w:val="continue"/>
            <w:tcBorders>
              <w:left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干式潜水衣</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24</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1.320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31.680 </w:t>
            </w:r>
          </w:p>
        </w:tc>
        <w:tc>
          <w:tcPr>
            <w:tcW w:w="1230" w:type="dxa"/>
            <w:vMerge w:val="continue"/>
            <w:tcBorders>
              <w:left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sz w:val="20"/>
                <w:szCs w:val="20"/>
                <w:highlight w:val="none"/>
                <w:u w:val="none"/>
                <w:lang w:val="en-US" w:eastAsia="zh-CN"/>
              </w:rPr>
              <w:t>是</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湿式潜水衣</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24</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0.460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11.040 </w:t>
            </w:r>
          </w:p>
        </w:tc>
        <w:tc>
          <w:tcPr>
            <w:tcW w:w="1230" w:type="dxa"/>
            <w:vMerge w:val="continue"/>
            <w:tcBorders>
              <w:left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sz w:val="20"/>
                <w:szCs w:val="20"/>
                <w:highlight w:val="none"/>
                <w:u w:val="none"/>
                <w:lang w:val="en-US" w:eastAsia="zh-CN"/>
              </w:rPr>
              <w:t>是</w:t>
            </w: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潜水浮力装置</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24</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0.400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9.600 </w:t>
            </w:r>
          </w:p>
        </w:tc>
        <w:tc>
          <w:tcPr>
            <w:tcW w:w="1230" w:type="dxa"/>
            <w:vMerge w:val="continue"/>
            <w:tcBorders>
              <w:left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潜水气瓶</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30</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0.240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7.200 </w:t>
            </w:r>
          </w:p>
        </w:tc>
        <w:tc>
          <w:tcPr>
            <w:tcW w:w="1230" w:type="dxa"/>
            <w:vMerge w:val="continue"/>
            <w:tcBorders>
              <w:left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潜水调节器（含附件）</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24</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0.500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12.000 </w:t>
            </w:r>
          </w:p>
        </w:tc>
        <w:tc>
          <w:tcPr>
            <w:tcW w:w="1230" w:type="dxa"/>
            <w:vMerge w:val="continue"/>
            <w:tcBorders>
              <w:left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潜水电脑表</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18</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0.420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7.560 </w:t>
            </w:r>
          </w:p>
        </w:tc>
        <w:tc>
          <w:tcPr>
            <w:tcW w:w="1230" w:type="dxa"/>
            <w:vMerge w:val="continue"/>
            <w:tcBorders>
              <w:left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管供式潜水装具</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68.000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136.000 </w:t>
            </w:r>
          </w:p>
        </w:tc>
        <w:tc>
          <w:tcPr>
            <w:tcW w:w="1230" w:type="dxa"/>
            <w:vMerge w:val="continue"/>
            <w:tcBorders>
              <w:left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left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水下推进器</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2.800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5.600 </w:t>
            </w:r>
          </w:p>
        </w:tc>
        <w:tc>
          <w:tcPr>
            <w:tcW w:w="1230" w:type="dxa"/>
            <w:vMerge w:val="continue"/>
            <w:tcBorders>
              <w:left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eastAsia="zh-CN"/>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left w:val="single" w:color="000000" w:sz="4" w:space="0"/>
              <w:bottom w:val="single" w:color="auto" w:sz="4" w:space="0"/>
              <w:right w:val="single" w:color="000000"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17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潜水装备套装</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48</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0.590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28.320 </w:t>
            </w:r>
          </w:p>
        </w:tc>
        <w:tc>
          <w:tcPr>
            <w:tcW w:w="1230" w:type="dxa"/>
            <w:vMerge w:val="continue"/>
            <w:tcBorders>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p>
        </w:tc>
        <w:tc>
          <w:tcPr>
            <w:tcW w:w="12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174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sz w:val="20"/>
                <w:szCs w:val="20"/>
                <w:highlight w:val="none"/>
                <w:u w:val="none"/>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冰面救援服</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sz w:val="20"/>
                <w:szCs w:val="20"/>
                <w:highlight w:val="none"/>
                <w:u w:val="none"/>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iCs w:val="0"/>
                <w:color w:val="000000"/>
                <w:kern w:val="0"/>
                <w:sz w:val="24"/>
                <w:szCs w:val="24"/>
                <w:highlight w:val="none"/>
                <w:u w:val="none"/>
                <w:lang w:val="en-US" w:eastAsia="zh-CN" w:bidi="ar"/>
              </w:rPr>
              <w:t>20</w:t>
            </w:r>
            <w:r>
              <w:rPr>
                <w:rFonts w:hint="eastAsia" w:ascii="宋体" w:hAnsi="宋体" w:eastAsia="宋体" w:cs="宋体"/>
                <w:i w:val="0"/>
                <w:iCs w:val="0"/>
                <w:color w:val="000000"/>
                <w:kern w:val="0"/>
                <w:sz w:val="24"/>
                <w:szCs w:val="24"/>
                <w:highlight w:val="none"/>
                <w:u w:val="none"/>
                <w:lang w:val="en-US" w:eastAsia="zh-CN" w:bidi="ar"/>
              </w:rPr>
              <w:t xml:space="preserve"> </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1.400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28.000 </w:t>
            </w:r>
          </w:p>
        </w:tc>
        <w:tc>
          <w:tcPr>
            <w:tcW w:w="123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128.875 </w:t>
            </w:r>
          </w:p>
        </w:tc>
        <w:tc>
          <w:tcPr>
            <w:tcW w:w="1039"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sz w:val="20"/>
                <w:szCs w:val="20"/>
                <w:highlight w:val="none"/>
                <w:u w:val="none"/>
                <w:lang w:val="en-US" w:eastAsia="zh-CN"/>
              </w:rPr>
              <w:t>是</w:t>
            </w:r>
          </w:p>
        </w:tc>
        <w:tc>
          <w:tcPr>
            <w:tcW w:w="124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749"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冰域呼吸器组件</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45</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1.500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67.500 </w:t>
            </w:r>
          </w:p>
        </w:tc>
        <w:tc>
          <w:tcPr>
            <w:tcW w:w="123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jc w:val="center"/>
              <w:rPr>
                <w:rFonts w:hint="default"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sz w:val="20"/>
                <w:szCs w:val="20"/>
                <w:highlight w:val="none"/>
                <w:u w:val="none"/>
                <w:lang w:val="en-US" w:eastAsia="zh-CN"/>
              </w:rPr>
              <w:t>是</w:t>
            </w:r>
          </w:p>
        </w:tc>
        <w:tc>
          <w:tcPr>
            <w:tcW w:w="124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749" w:type="dxa"/>
            <w:tcBorders>
              <w:top w:val="single" w:color="000000" w:sz="4" w:space="0"/>
              <w:left w:val="single" w:color="auto"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冰面行动辅助套装</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套</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25</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0.535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13.375 </w:t>
            </w:r>
          </w:p>
        </w:tc>
        <w:tc>
          <w:tcPr>
            <w:tcW w:w="123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p>
        </w:tc>
        <w:tc>
          <w:tcPr>
            <w:tcW w:w="124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7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74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i w:val="0"/>
                <w:iCs w:val="0"/>
                <w:color w:val="000000"/>
                <w:kern w:val="0"/>
                <w:sz w:val="20"/>
                <w:szCs w:val="20"/>
                <w:highlight w:val="none"/>
                <w:u w:val="none"/>
                <w:lang w:val="en-US" w:eastAsia="zh-CN" w:bidi="ar"/>
              </w:rPr>
            </w:pPr>
            <w:r>
              <w:rPr>
                <w:rFonts w:hint="default" w:ascii="方正黑体_GBK" w:hAnsi="方正黑体_GBK" w:eastAsia="方正黑体_GBK" w:cs="方正黑体_GBK"/>
                <w:i w:val="0"/>
                <w:iCs w:val="0"/>
                <w:color w:val="000000"/>
                <w:kern w:val="0"/>
                <w:sz w:val="20"/>
                <w:szCs w:val="20"/>
                <w:highlight w:val="none"/>
                <w:u w:val="none"/>
                <w:lang w:val="en-US" w:eastAsia="zh-CN" w:bidi="ar"/>
              </w:rPr>
              <w:t>冰面救援滑板</w:t>
            </w:r>
          </w:p>
        </w:tc>
        <w:tc>
          <w:tcPr>
            <w:tcW w:w="765"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方正黑体_GBK" w:hAnsi="方正黑体_GBK" w:eastAsia="方正黑体_GBK" w:cs="方正黑体_GBK"/>
                <w:b/>
                <w:bCs/>
                <w:i w:val="0"/>
                <w:iCs w:val="0"/>
                <w:color w:val="000000"/>
                <w:kern w:val="0"/>
                <w:sz w:val="20"/>
                <w:szCs w:val="20"/>
                <w:highlight w:val="none"/>
                <w:u w:val="none"/>
                <w:lang w:val="en-US" w:eastAsia="zh-CN" w:bidi="ar"/>
              </w:rPr>
            </w:pPr>
            <w:r>
              <w:rPr>
                <w:rFonts w:hint="eastAsia" w:ascii="方正黑体_GBK" w:hAnsi="方正黑体_GBK" w:eastAsia="方正黑体_GBK" w:cs="方正黑体_GBK"/>
                <w:b/>
                <w:bCs/>
                <w:i w:val="0"/>
                <w:iCs w:val="0"/>
                <w:color w:val="000000"/>
                <w:kern w:val="0"/>
                <w:sz w:val="20"/>
                <w:szCs w:val="20"/>
                <w:highlight w:val="none"/>
                <w:u w:val="none"/>
                <w:lang w:val="en-US" w:eastAsia="zh-CN" w:bidi="ar"/>
              </w:rPr>
              <w:t>个</w:t>
            </w:r>
          </w:p>
        </w:tc>
        <w:tc>
          <w:tcPr>
            <w:tcW w:w="795" w:type="dxa"/>
            <w:tcBorders>
              <w:top w:val="single" w:color="000000" w:sz="4" w:space="0"/>
              <w:left w:val="single" w:color="000000" w:sz="4" w:space="0"/>
              <w:bottom w:val="single" w:color="000000"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25</w:t>
            </w:r>
          </w:p>
        </w:tc>
        <w:tc>
          <w:tcPr>
            <w:tcW w:w="103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cs="宋体"/>
                <w:i w:val="0"/>
                <w:iCs w:val="0"/>
                <w:color w:val="000000"/>
                <w:kern w:val="0"/>
                <w:sz w:val="24"/>
                <w:szCs w:val="24"/>
                <w:highlight w:val="none"/>
                <w:u w:val="none"/>
                <w:lang w:val="en-US" w:eastAsia="zh-CN" w:bidi="ar"/>
              </w:rPr>
            </w:pPr>
            <w:r>
              <w:rPr>
                <w:rFonts w:hint="default" w:ascii="宋体" w:hAnsi="宋体" w:cs="宋体"/>
                <w:i w:val="0"/>
                <w:iCs w:val="0"/>
                <w:color w:val="000000"/>
                <w:kern w:val="0"/>
                <w:sz w:val="24"/>
                <w:szCs w:val="24"/>
                <w:highlight w:val="none"/>
                <w:u w:val="none"/>
                <w:lang w:val="en-US" w:eastAsia="zh-CN" w:bidi="ar"/>
              </w:rPr>
              <w:t xml:space="preserve">0.800 </w:t>
            </w:r>
          </w:p>
        </w:tc>
        <w:tc>
          <w:tcPr>
            <w:tcW w:w="109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 xml:space="preserve">20.000 </w:t>
            </w:r>
          </w:p>
        </w:tc>
        <w:tc>
          <w:tcPr>
            <w:tcW w:w="123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c>
          <w:tcPr>
            <w:tcW w:w="1039"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p>
        </w:tc>
        <w:tc>
          <w:tcPr>
            <w:tcW w:w="1245" w:type="dxa"/>
            <w:tcBorders>
              <w:top w:val="single" w:color="000000" w:sz="4" w:space="0"/>
              <w:left w:val="single" w:color="auto" w:sz="4" w:space="0"/>
              <w:bottom w:val="single" w:color="000000" w:sz="4" w:space="0"/>
              <w:right w:val="single" w:color="000000" w:sz="4" w:space="0"/>
            </w:tcBorders>
            <w:shd w:val="clear" w:color="auto" w:fill="auto"/>
            <w:noWrap/>
            <w:vAlign w:val="center"/>
          </w:tcPr>
          <w:p>
            <w:pPr>
              <w:jc w:val="center"/>
              <w:rPr>
                <w:rFonts w:hint="eastAsia" w:ascii="方正黑体_GBK" w:hAnsi="方正黑体_GBK" w:eastAsia="方正黑体_GBK" w:cs="方正黑体_GBK"/>
                <w:b/>
                <w:bCs/>
                <w:i w:val="0"/>
                <w:iCs w:val="0"/>
                <w:color w:val="000000"/>
                <w:sz w:val="20"/>
                <w:szCs w:val="20"/>
                <w:highlight w:val="none"/>
                <w:u w:val="none"/>
                <w:lang w:val="en-US" w:eastAsia="zh-CN"/>
              </w:rPr>
            </w:pPr>
            <w:r>
              <w:rPr>
                <w:rFonts w:hint="eastAsia" w:ascii="方正黑体_GBK" w:hAnsi="方正黑体_GBK" w:eastAsia="方正黑体_GBK" w:cs="方正黑体_GBK"/>
                <w:b/>
                <w:bCs/>
                <w:i w:val="0"/>
                <w:iCs w:val="0"/>
                <w:color w:val="000000"/>
                <w:kern w:val="0"/>
                <w:sz w:val="22"/>
                <w:szCs w:val="22"/>
                <w:u w:val="none"/>
                <w:lang w:val="en-US" w:eastAsia="zh-CN" w:bidi="ar"/>
              </w:rPr>
              <w:t>是</w:t>
            </w:r>
          </w:p>
        </w:tc>
      </w:tr>
    </w:tbl>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center"/>
        <w:rPr>
          <w:color w:val="auto"/>
          <w:highlight w:val="none"/>
        </w:rPr>
      </w:pPr>
    </w:p>
    <w:p>
      <w:pPr>
        <w:pStyle w:val="23"/>
        <w:jc w:val="both"/>
        <w:rPr>
          <w:color w:val="auto"/>
          <w:highlight w:val="none"/>
        </w:rPr>
        <w:sectPr>
          <w:headerReference r:id="rId10" w:type="default"/>
          <w:footerReference r:id="rId11" w:type="default"/>
          <w:pgSz w:w="11906" w:h="16838"/>
          <w:pgMar w:top="1440" w:right="1803" w:bottom="1440" w:left="1803" w:header="851" w:footer="992" w:gutter="0"/>
          <w:pgBorders>
            <w:top w:val="none" w:sz="0" w:space="0"/>
            <w:left w:val="none" w:sz="0" w:space="0"/>
            <w:bottom w:val="none" w:sz="0" w:space="0"/>
            <w:right w:val="none" w:sz="0" w:space="0"/>
          </w:pgBorders>
          <w:cols w:space="0" w:num="1"/>
          <w:docGrid w:type="linesAndChars" w:linePitch="319" w:charSpace="0"/>
        </w:sectPr>
      </w:pPr>
    </w:p>
    <w:tbl>
      <w:tblPr>
        <w:tblStyle w:val="38"/>
        <w:tblW w:w="1437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40"/>
        <w:gridCol w:w="2380"/>
        <w:gridCol w:w="10120"/>
        <w:gridCol w:w="7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1437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第一包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140"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包号</w:t>
            </w:r>
          </w:p>
        </w:tc>
        <w:tc>
          <w:tcPr>
            <w:tcW w:w="2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装备名称</w:t>
            </w:r>
          </w:p>
        </w:tc>
        <w:tc>
          <w:tcPr>
            <w:tcW w:w="10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参      数</w:t>
            </w:r>
          </w:p>
        </w:tc>
        <w:tc>
          <w:tcPr>
            <w:tcW w:w="7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1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238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干式水域救援服</w:t>
            </w:r>
          </w:p>
        </w:tc>
        <w:tc>
          <w:tcPr>
            <w:tcW w:w="10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1.1 款式：连体干式救援服整体为高防水设计。</w:t>
            </w:r>
          </w:p>
          <w:p>
            <w:pPr>
              <w:keepNext w:val="0"/>
              <w:keepLines w:val="0"/>
              <w:widowControl/>
              <w:suppressLineNumbers w:val="0"/>
              <w:jc w:val="left"/>
              <w:textAlignment w:val="center"/>
              <w:rPr>
                <w:rFonts w:hint="eastAsia"/>
              </w:rPr>
            </w:pPr>
            <w:r>
              <w:rPr>
                <w:rFonts w:hint="eastAsia"/>
              </w:rPr>
              <w:t>1.2 衣领处有反光嵌线及透水网,身体正前方或者背后为横向或斜向防水拉链，袖口、领口魔术贴束紧带设计，（用于调节至舒适度）。领口、袖口均使用全防水密封圈；腰部有弹性松紧带设计，（用于调节至舒适度）小腿部和手臂处设有环状反光条，（提高夜间救援360°可视度）。内置背带可调节；</w:t>
            </w:r>
          </w:p>
          <w:p>
            <w:pPr>
              <w:keepNext w:val="0"/>
              <w:keepLines w:val="0"/>
              <w:widowControl/>
              <w:suppressLineNumbers w:val="0"/>
              <w:jc w:val="left"/>
              <w:textAlignment w:val="center"/>
              <w:rPr>
                <w:rFonts w:hint="eastAsia"/>
              </w:rPr>
            </w:pPr>
            <w:r>
              <w:rPr>
                <w:rFonts w:hint="eastAsia"/>
              </w:rPr>
              <w:t>1.3 肘部、膝盖和臀部有补强，增加耐磨性能；裆部设计高强度防水拉链，（如厕时不用脱下整件服装）腿部两侧配有带盖板的排水孔工具袋，可以储存物品；附带一体的乳胶袜套可以防水，且确保脚部更为保暖。</w:t>
            </w:r>
          </w:p>
          <w:p>
            <w:pPr>
              <w:keepNext w:val="0"/>
              <w:keepLines w:val="0"/>
              <w:widowControl/>
              <w:suppressLineNumbers w:val="0"/>
              <w:jc w:val="left"/>
              <w:textAlignment w:val="center"/>
              <w:rPr>
                <w:rFonts w:hint="eastAsia"/>
              </w:rPr>
            </w:pPr>
            <w:r>
              <w:rPr>
                <w:rFonts w:hint="eastAsia"/>
              </w:rPr>
              <w:t>1.4 内里缝合处采用先缝制再压胶技术，热熔贴合处理，加固接缝，增强防水性能，每件干衣都进行单独测试；</w:t>
            </w:r>
          </w:p>
          <w:p>
            <w:pPr>
              <w:keepNext w:val="0"/>
              <w:keepLines w:val="0"/>
              <w:widowControl/>
              <w:suppressLineNumbers w:val="0"/>
              <w:jc w:val="left"/>
              <w:textAlignment w:val="center"/>
              <w:rPr>
                <w:rFonts w:hint="eastAsia"/>
              </w:rPr>
            </w:pPr>
            <w:r>
              <w:rPr>
                <w:rFonts w:hint="eastAsia"/>
              </w:rPr>
              <w:t>▲2 、技术参数：</w:t>
            </w:r>
          </w:p>
          <w:p>
            <w:pPr>
              <w:keepNext w:val="0"/>
              <w:keepLines w:val="0"/>
              <w:widowControl/>
              <w:suppressLineNumbers w:val="0"/>
              <w:jc w:val="left"/>
              <w:textAlignment w:val="center"/>
              <w:rPr>
                <w:rFonts w:hint="eastAsia"/>
              </w:rPr>
            </w:pPr>
            <w:r>
              <w:rPr>
                <w:rFonts w:hint="eastAsia"/>
              </w:rPr>
              <w:t>符合《消防水域救援个人防护装备试验大纲》的依据。</w:t>
            </w:r>
          </w:p>
          <w:p>
            <w:pPr>
              <w:keepNext w:val="0"/>
              <w:keepLines w:val="0"/>
              <w:widowControl/>
              <w:suppressLineNumbers w:val="0"/>
              <w:jc w:val="left"/>
              <w:textAlignment w:val="center"/>
              <w:rPr>
                <w:rFonts w:hint="eastAsia"/>
              </w:rPr>
            </w:pPr>
            <w:r>
              <w:rPr>
                <w:rFonts w:hint="eastAsia"/>
              </w:rPr>
              <w:t>2.1 保温性能：经保温性能试验后，受试者的体表（手、脚和腰部皮肤表面）温度均未降低≤10℃，体温下降≤0.4℃，且受试者能捡一支直径8mm的铅笔并书写。</w:t>
            </w:r>
          </w:p>
          <w:p>
            <w:pPr>
              <w:keepNext w:val="0"/>
              <w:keepLines w:val="0"/>
              <w:widowControl/>
              <w:suppressLineNumbers w:val="0"/>
              <w:jc w:val="left"/>
              <w:textAlignment w:val="center"/>
              <w:rPr>
                <w:rFonts w:hint="eastAsia"/>
              </w:rPr>
            </w:pPr>
            <w:r>
              <w:rPr>
                <w:rFonts w:hint="eastAsia"/>
              </w:rPr>
              <w:t>2.2 防渗漏性能：经静水中持续 1h 的渗透性能试验，消防员水域救援防护服的进水量≤ 0.25 kg。</w:t>
            </w:r>
          </w:p>
          <w:p>
            <w:pPr>
              <w:keepNext w:val="0"/>
              <w:keepLines w:val="0"/>
              <w:widowControl/>
              <w:suppressLineNumbers w:val="0"/>
              <w:jc w:val="left"/>
              <w:textAlignment w:val="center"/>
              <w:rPr>
                <w:rFonts w:hint="eastAsia"/>
              </w:rPr>
            </w:pPr>
            <w:r>
              <w:rPr>
                <w:rFonts w:hint="eastAsia"/>
              </w:rPr>
              <w:t>2.3保温性能：经保温性能试验后，受试者的体表（手、脚和腰部皮肤表面）温度均未降至10℃以下，体温下降了≤0.4℃。</w:t>
            </w:r>
          </w:p>
          <w:p>
            <w:pPr>
              <w:keepNext w:val="0"/>
              <w:keepLines w:val="0"/>
              <w:widowControl/>
              <w:suppressLineNumbers w:val="0"/>
              <w:jc w:val="left"/>
              <w:textAlignment w:val="center"/>
              <w:rPr>
                <w:rFonts w:hint="eastAsia"/>
              </w:rPr>
            </w:pPr>
            <w:r>
              <w:rPr>
                <w:rFonts w:hint="eastAsia"/>
              </w:rPr>
              <w:t xml:space="preserve">2.4 穿着时间：≤25s。 </w:t>
            </w:r>
          </w:p>
          <w:p>
            <w:pPr>
              <w:keepNext w:val="0"/>
              <w:keepLines w:val="0"/>
              <w:widowControl/>
              <w:suppressLineNumbers w:val="0"/>
              <w:jc w:val="left"/>
              <w:textAlignment w:val="center"/>
              <w:rPr>
                <w:rFonts w:hint="eastAsia"/>
              </w:rPr>
            </w:pPr>
            <w:r>
              <w:rPr>
                <w:rFonts w:hint="eastAsia"/>
              </w:rPr>
              <w:t>2.5 服装质量：≤1667g。</w:t>
            </w:r>
          </w:p>
          <w:p>
            <w:pPr>
              <w:keepNext w:val="0"/>
              <w:keepLines w:val="0"/>
              <w:widowControl/>
              <w:suppressLineNumbers w:val="0"/>
              <w:jc w:val="left"/>
              <w:textAlignment w:val="center"/>
              <w:rPr>
                <w:rFonts w:hint="eastAsia"/>
              </w:rPr>
            </w:pPr>
            <w:r>
              <w:rPr>
                <w:rFonts w:hint="eastAsia"/>
              </w:rPr>
              <w:t>2.6 携行质量（含消防员水域救援服、保温内衣和携行袋）：≤2790g。</w:t>
            </w:r>
          </w:p>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rPr>
              <w:t>3. 总体性能符合市场准入标准的要求。</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38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湿式水域救援服</w:t>
            </w:r>
          </w:p>
        </w:tc>
        <w:tc>
          <w:tcPr>
            <w:tcW w:w="10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1、总体要求</w:t>
            </w:r>
          </w:p>
          <w:p>
            <w:pPr>
              <w:keepNext w:val="0"/>
              <w:keepLines w:val="0"/>
              <w:widowControl/>
              <w:suppressLineNumbers w:val="0"/>
              <w:jc w:val="left"/>
              <w:textAlignment w:val="center"/>
              <w:rPr>
                <w:rFonts w:hint="eastAsia"/>
              </w:rPr>
            </w:pPr>
            <w:r>
              <w:rPr>
                <w:rFonts w:hint="eastAsia"/>
              </w:rPr>
              <w:t>▲（1）水上或冰上救援作业时的专用防护，技术性能符合《消防水域救援个人防护装备》试验大纲的规定；</w:t>
            </w:r>
          </w:p>
          <w:p>
            <w:pPr>
              <w:keepNext w:val="0"/>
              <w:keepLines w:val="0"/>
              <w:widowControl/>
              <w:suppressLineNumbers w:val="0"/>
              <w:jc w:val="left"/>
              <w:textAlignment w:val="center"/>
              <w:rPr>
                <w:rFonts w:hint="eastAsia"/>
              </w:rPr>
            </w:pPr>
            <w:r>
              <w:rPr>
                <w:rFonts w:hint="eastAsia"/>
              </w:rPr>
              <w:t>（2）含防护服、水域救援靴、水域救援手套、水域救援头盔及防水灯；</w:t>
            </w:r>
          </w:p>
          <w:p>
            <w:pPr>
              <w:keepNext w:val="0"/>
              <w:keepLines w:val="0"/>
              <w:widowControl/>
              <w:suppressLineNumbers w:val="0"/>
              <w:jc w:val="left"/>
              <w:textAlignment w:val="center"/>
              <w:rPr>
                <w:rFonts w:hint="eastAsia"/>
              </w:rPr>
            </w:pPr>
            <w:r>
              <w:rPr>
                <w:rFonts w:hint="eastAsia"/>
              </w:rPr>
              <w:t>2、外观要求</w:t>
            </w:r>
          </w:p>
          <w:p>
            <w:pPr>
              <w:keepNext w:val="0"/>
              <w:keepLines w:val="0"/>
              <w:widowControl/>
              <w:suppressLineNumbers w:val="0"/>
              <w:jc w:val="left"/>
              <w:textAlignment w:val="center"/>
              <w:rPr>
                <w:rFonts w:hint="eastAsia"/>
              </w:rPr>
            </w:pPr>
            <w:r>
              <w:rPr>
                <w:rFonts w:hint="eastAsia"/>
              </w:rPr>
              <w:t>（1）黑、橙色立体拼接剪裁，连体式或分体式结构，裤脚和袖口设有可调节开口大小的拉链；</w:t>
            </w:r>
          </w:p>
          <w:p>
            <w:pPr>
              <w:keepNext w:val="0"/>
              <w:keepLines w:val="0"/>
              <w:widowControl/>
              <w:suppressLineNumbers w:val="0"/>
              <w:jc w:val="left"/>
              <w:textAlignment w:val="center"/>
              <w:rPr>
                <w:rFonts w:hint="eastAsia"/>
              </w:rPr>
            </w:pPr>
            <w:r>
              <w:rPr>
                <w:rFonts w:hint="eastAsia"/>
              </w:rPr>
              <w:t>（2）在臀部、膝部、肘部敷有用于增强耐磨性的补强材料；</w:t>
            </w:r>
          </w:p>
          <w:p>
            <w:pPr>
              <w:keepNext w:val="0"/>
              <w:keepLines w:val="0"/>
              <w:widowControl/>
              <w:suppressLineNumbers w:val="0"/>
              <w:jc w:val="left"/>
              <w:textAlignment w:val="center"/>
              <w:rPr>
                <w:rFonts w:hint="eastAsia"/>
              </w:rPr>
            </w:pPr>
            <w:r>
              <w:rPr>
                <w:rFonts w:hint="eastAsia"/>
              </w:rPr>
              <w:t>★（3）主体采用≥3mm氯丁橡胶材质，具有舒适保暖防寒的性能；</w:t>
            </w:r>
          </w:p>
          <w:p>
            <w:pPr>
              <w:keepNext w:val="0"/>
              <w:keepLines w:val="0"/>
              <w:widowControl/>
              <w:suppressLineNumbers w:val="0"/>
              <w:jc w:val="left"/>
              <w:textAlignment w:val="center"/>
              <w:rPr>
                <w:rFonts w:hint="eastAsia"/>
              </w:rPr>
            </w:pPr>
            <w:r>
              <w:rPr>
                <w:rFonts w:hint="eastAsia"/>
              </w:rPr>
              <w:t>（4）合理位置设有盛放工具的口袋，口袋底部有排水孔；</w:t>
            </w:r>
          </w:p>
          <w:p>
            <w:pPr>
              <w:keepNext w:val="0"/>
              <w:keepLines w:val="0"/>
              <w:widowControl/>
              <w:suppressLineNumbers w:val="0"/>
              <w:jc w:val="left"/>
              <w:textAlignment w:val="center"/>
              <w:rPr>
                <w:rFonts w:hint="eastAsia"/>
              </w:rPr>
            </w:pPr>
            <w:r>
              <w:rPr>
                <w:rFonts w:hint="eastAsia"/>
              </w:rPr>
              <w:t>（5）多处合理设有反光标志带，根据采购人需求适当位置印制反光统型标识；</w:t>
            </w:r>
          </w:p>
          <w:p>
            <w:pPr>
              <w:keepNext w:val="0"/>
              <w:keepLines w:val="0"/>
              <w:widowControl/>
              <w:suppressLineNumbers w:val="0"/>
              <w:jc w:val="left"/>
              <w:textAlignment w:val="center"/>
              <w:rPr>
                <w:rFonts w:hint="eastAsia"/>
              </w:rPr>
            </w:pPr>
            <w:r>
              <w:rPr>
                <w:rFonts w:hint="eastAsia"/>
              </w:rPr>
              <w:t>3、材料要求：</w:t>
            </w:r>
          </w:p>
          <w:p>
            <w:pPr>
              <w:keepNext w:val="0"/>
              <w:keepLines w:val="0"/>
              <w:widowControl/>
              <w:suppressLineNumbers w:val="0"/>
              <w:jc w:val="left"/>
              <w:textAlignment w:val="center"/>
              <w:rPr>
                <w:rFonts w:hint="eastAsia"/>
              </w:rPr>
            </w:pPr>
            <w:r>
              <w:rPr>
                <w:rFonts w:hint="eastAsia"/>
              </w:rPr>
              <w:t>（1）耐磨性：面料经1000次摩擦后试样未被磨穿，补强材料经3000次循环摩擦后试样未被磨穿；</w:t>
            </w:r>
          </w:p>
          <w:p>
            <w:pPr>
              <w:keepNext w:val="0"/>
              <w:keepLines w:val="0"/>
              <w:widowControl/>
              <w:suppressLineNumbers w:val="0"/>
              <w:jc w:val="left"/>
              <w:textAlignment w:val="center"/>
              <w:rPr>
                <w:rFonts w:hint="eastAsia"/>
              </w:rPr>
            </w:pPr>
            <w:r>
              <w:rPr>
                <w:rFonts w:hint="eastAsia"/>
              </w:rPr>
              <w:t>（2）耐静水压性能≥17kPa；</w:t>
            </w:r>
          </w:p>
          <w:p>
            <w:pPr>
              <w:keepNext w:val="0"/>
              <w:keepLines w:val="0"/>
              <w:widowControl/>
              <w:suppressLineNumbers w:val="0"/>
              <w:jc w:val="left"/>
              <w:textAlignment w:val="center"/>
              <w:rPr>
                <w:rFonts w:hint="eastAsia"/>
              </w:rPr>
            </w:pPr>
            <w:r>
              <w:rPr>
                <w:rFonts w:hint="eastAsia"/>
              </w:rPr>
              <w:t>4、适用性能：</w:t>
            </w:r>
          </w:p>
          <w:p>
            <w:pPr>
              <w:keepNext w:val="0"/>
              <w:keepLines w:val="0"/>
              <w:widowControl/>
              <w:suppressLineNumbers w:val="0"/>
              <w:jc w:val="left"/>
              <w:textAlignment w:val="center"/>
              <w:rPr>
                <w:rFonts w:hint="eastAsia"/>
              </w:rPr>
            </w:pPr>
            <w:r>
              <w:rPr>
                <w:rFonts w:hint="eastAsia"/>
              </w:rPr>
              <w:t>（1）穿着消防救生衣限制性：无限制；</w:t>
            </w:r>
          </w:p>
          <w:p>
            <w:pPr>
              <w:keepNext w:val="0"/>
              <w:keepLines w:val="0"/>
              <w:widowControl/>
              <w:suppressLineNumbers w:val="0"/>
              <w:jc w:val="left"/>
              <w:textAlignment w:val="center"/>
              <w:rPr>
                <w:rFonts w:hint="eastAsia"/>
              </w:rPr>
            </w:pPr>
            <w:r>
              <w:rPr>
                <w:rFonts w:hint="eastAsia"/>
              </w:rPr>
              <w:t>（2）水域救援防护服穿着时间≤30S；</w:t>
            </w:r>
          </w:p>
          <w:p>
            <w:pPr>
              <w:keepNext w:val="0"/>
              <w:keepLines w:val="0"/>
              <w:widowControl/>
              <w:suppressLineNumbers w:val="0"/>
              <w:jc w:val="left"/>
              <w:textAlignment w:val="center"/>
              <w:rPr>
                <w:rFonts w:hint="eastAsia"/>
              </w:rPr>
            </w:pPr>
            <w:r>
              <w:rPr>
                <w:rFonts w:hint="eastAsia"/>
              </w:rPr>
              <w:t>（3）穿着者可活动性：穿着防护服的人员能行走、爬行、游泳并登上平台；</w:t>
            </w:r>
          </w:p>
          <w:p>
            <w:pPr>
              <w:keepNext w:val="0"/>
              <w:keepLines w:val="0"/>
              <w:widowControl/>
              <w:suppressLineNumbers w:val="0"/>
              <w:jc w:val="left"/>
              <w:textAlignment w:val="center"/>
              <w:rPr>
                <w:rFonts w:hint="eastAsia"/>
              </w:rPr>
            </w:pPr>
            <w:r>
              <w:rPr>
                <w:rFonts w:hint="eastAsia"/>
              </w:rPr>
              <w:t>★（4）质量≤2kg；</w:t>
            </w:r>
          </w:p>
          <w:p>
            <w:pPr>
              <w:keepNext w:val="0"/>
              <w:keepLines w:val="0"/>
              <w:widowControl/>
              <w:suppressLineNumbers w:val="0"/>
              <w:jc w:val="left"/>
              <w:textAlignment w:val="center"/>
              <w:rPr>
                <w:rFonts w:hint="eastAsia"/>
              </w:rPr>
            </w:pPr>
            <w:r>
              <w:rPr>
                <w:rFonts w:hint="eastAsia"/>
              </w:rPr>
              <w:t>（5）面料甲醛含量：≤0mg/kg；</w:t>
            </w:r>
          </w:p>
          <w:p>
            <w:pPr>
              <w:keepNext w:val="0"/>
              <w:keepLines w:val="0"/>
              <w:widowControl/>
              <w:suppressLineNumbers w:val="0"/>
              <w:jc w:val="left"/>
              <w:textAlignment w:val="center"/>
              <w:rPr>
                <w:rFonts w:hint="eastAsia"/>
              </w:rPr>
            </w:pPr>
            <w:r>
              <w:rPr>
                <w:rFonts w:hint="eastAsia"/>
              </w:rPr>
              <w:t>（6）异味：无；</w:t>
            </w:r>
          </w:p>
          <w:p>
            <w:pPr>
              <w:keepNext w:val="0"/>
              <w:keepLines w:val="0"/>
              <w:widowControl/>
              <w:suppressLineNumbers w:val="0"/>
              <w:jc w:val="left"/>
              <w:textAlignment w:val="center"/>
              <w:rPr>
                <w:rFonts w:hint="eastAsia"/>
              </w:rPr>
            </w:pPr>
            <w:r>
              <w:rPr>
                <w:rFonts w:hint="eastAsia"/>
              </w:rPr>
              <w:t>（7）耐磨性：试样经过100圈磨损后，无破洞；</w:t>
            </w:r>
          </w:p>
          <w:p>
            <w:pPr>
              <w:keepNext w:val="0"/>
              <w:keepLines w:val="0"/>
              <w:widowControl/>
              <w:suppressLineNumbers w:val="0"/>
              <w:jc w:val="left"/>
              <w:textAlignment w:val="center"/>
              <w:rPr>
                <w:rFonts w:hint="eastAsia"/>
              </w:rPr>
            </w:pPr>
            <w:r>
              <w:rPr>
                <w:rFonts w:hint="eastAsia"/>
              </w:rPr>
              <w:t>5、水域救援靴</w:t>
            </w:r>
          </w:p>
          <w:p>
            <w:pPr>
              <w:keepNext w:val="0"/>
              <w:keepLines w:val="0"/>
              <w:widowControl/>
              <w:suppressLineNumbers w:val="0"/>
              <w:jc w:val="left"/>
              <w:textAlignment w:val="center"/>
              <w:rPr>
                <w:rFonts w:hint="eastAsia"/>
              </w:rPr>
            </w:pPr>
            <w:r>
              <w:rPr>
                <w:rFonts w:hint="eastAsia"/>
              </w:rPr>
              <w:t>（1）款式：中帮款式，靴鼻处能限制杂物进入靴内；</w:t>
            </w:r>
          </w:p>
          <w:p>
            <w:pPr>
              <w:keepNext w:val="0"/>
              <w:keepLines w:val="0"/>
              <w:widowControl/>
              <w:suppressLineNumbers w:val="0"/>
              <w:jc w:val="left"/>
              <w:textAlignment w:val="center"/>
              <w:rPr>
                <w:rFonts w:hint="eastAsia"/>
              </w:rPr>
            </w:pPr>
            <w:r>
              <w:rPr>
                <w:rFonts w:hint="eastAsia"/>
              </w:rPr>
              <w:t>（2）具有耐穿刺、耐切割、防滑等保护性能；</w:t>
            </w:r>
          </w:p>
          <w:p>
            <w:pPr>
              <w:keepNext w:val="0"/>
              <w:keepLines w:val="0"/>
              <w:widowControl/>
              <w:suppressLineNumbers w:val="0"/>
              <w:jc w:val="left"/>
              <w:textAlignment w:val="center"/>
              <w:rPr>
                <w:rFonts w:hint="eastAsia"/>
              </w:rPr>
            </w:pPr>
            <w:r>
              <w:rPr>
                <w:rFonts w:hint="eastAsia"/>
              </w:rPr>
              <w:t>（3）技术性能符合《消防水域救援个人防护装备》试验大纲的规定；</w:t>
            </w:r>
          </w:p>
          <w:p>
            <w:pPr>
              <w:keepNext w:val="0"/>
              <w:keepLines w:val="0"/>
              <w:widowControl/>
              <w:suppressLineNumbers w:val="0"/>
              <w:jc w:val="left"/>
              <w:textAlignment w:val="center"/>
              <w:rPr>
                <w:rFonts w:hint="eastAsia"/>
              </w:rPr>
            </w:pPr>
            <w:r>
              <w:rPr>
                <w:rFonts w:hint="eastAsia"/>
              </w:rPr>
              <w:t>6、五指式水域救援手套；</w:t>
            </w:r>
          </w:p>
          <w:p>
            <w:pPr>
              <w:keepNext w:val="0"/>
              <w:keepLines w:val="0"/>
              <w:widowControl/>
              <w:suppressLineNumbers w:val="0"/>
              <w:jc w:val="left"/>
              <w:textAlignment w:val="center"/>
              <w:rPr>
                <w:rFonts w:hint="eastAsia"/>
              </w:rPr>
            </w:pPr>
            <w:r>
              <w:rPr>
                <w:rFonts w:hint="eastAsia"/>
              </w:rPr>
              <w:t>★7、水域救援头盔：3/4或半盔设计，头盔设有排水透气孔，配有防水灯；</w:t>
            </w:r>
          </w:p>
          <w:p>
            <w:pPr>
              <w:keepNext w:val="0"/>
              <w:keepLines w:val="0"/>
              <w:widowControl/>
              <w:suppressLineNumbers w:val="0"/>
              <w:jc w:val="left"/>
              <w:textAlignment w:val="center"/>
              <w:rPr>
                <w:rFonts w:hint="eastAsia"/>
              </w:rPr>
            </w:pPr>
            <w:r>
              <w:rPr>
                <w:rFonts w:hint="eastAsia"/>
              </w:rPr>
              <w:t>8、投标时需提供样品；</w:t>
            </w:r>
          </w:p>
          <w:p>
            <w:pPr>
              <w:keepNext w:val="0"/>
              <w:keepLines w:val="0"/>
              <w:widowControl/>
              <w:suppressLineNumbers w:val="0"/>
              <w:jc w:val="left"/>
              <w:textAlignment w:val="center"/>
              <w:rPr>
                <w:rFonts w:hint="eastAsia"/>
              </w:rPr>
            </w:pPr>
            <w:r>
              <w:rPr>
                <w:rFonts w:hint="eastAsia"/>
              </w:rPr>
              <w:t>9、在救援服的显著位置有永久性的标志，其内容为：产品型号、用途、商标（或者生产厂名）、批号以及生产日期等；</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10、每套救援服配有独立的保存运输包装袋；</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255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7" w:hRule="atLeast"/>
        </w:trPr>
        <w:tc>
          <w:tcPr>
            <w:tcW w:w="11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38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水域救援套装</w:t>
            </w:r>
          </w:p>
        </w:tc>
        <w:tc>
          <w:tcPr>
            <w:tcW w:w="10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2、包含水域救援头盔1顶、防水头灯1个、水域救援手套1双、水域救援鞋1双、水域救援刀1把；</w:t>
            </w:r>
          </w:p>
          <w:p>
            <w:pPr>
              <w:keepNext w:val="0"/>
              <w:keepLines w:val="0"/>
              <w:widowControl/>
              <w:suppressLineNumbers w:val="0"/>
              <w:jc w:val="left"/>
              <w:textAlignment w:val="center"/>
              <w:rPr>
                <w:rFonts w:hint="eastAsia"/>
              </w:rPr>
            </w:pPr>
            <w:r>
              <w:rPr>
                <w:rFonts w:hint="eastAsia"/>
              </w:rPr>
              <w:t>3、水域救援头盔1顶：</w:t>
            </w:r>
          </w:p>
          <w:p>
            <w:pPr>
              <w:keepNext w:val="0"/>
              <w:keepLines w:val="0"/>
              <w:widowControl/>
              <w:suppressLineNumbers w:val="0"/>
              <w:jc w:val="left"/>
              <w:textAlignment w:val="center"/>
              <w:rPr>
                <w:rFonts w:hint="eastAsia"/>
              </w:rPr>
            </w:pPr>
            <w:r>
              <w:rPr>
                <w:rFonts w:hint="eastAsia"/>
              </w:rPr>
              <w:t>▲（1）可调节下颏带，抗拉强度高，延伸长度≥ 20mm,低重心无帽沿设计，由ABS工程塑料注塑成型盔壳，高冲击强度稳定性好,水域救援头盔色泽鲜艳醒目，保护头及耳部，并在头盔上部留有≥6个排水孔,内层采用EVA发泡棉，能提供良好的缓冲性能,护耳组件外层采用 ABS 制成，固定在头盔两侧，防止遇到冲击对耳部成伤害；</w:t>
            </w:r>
          </w:p>
          <w:p>
            <w:pPr>
              <w:keepNext w:val="0"/>
              <w:keepLines w:val="0"/>
              <w:widowControl/>
              <w:suppressLineNumbers w:val="0"/>
              <w:jc w:val="left"/>
              <w:textAlignment w:val="center"/>
              <w:rPr>
                <w:rFonts w:hint="eastAsia"/>
              </w:rPr>
            </w:pPr>
            <w:r>
              <w:rPr>
                <w:rFonts w:hint="eastAsia"/>
              </w:rPr>
              <w:t>（2）整体设置要求，头盔顶部和侧部护耳处，应按照宽体脸型设计，头盔对救援人员头顶及太阳穴部位无紧迫感，头盔应设多级调节，最大调节按照头围≥62CM设计，头盔设有头盔灯卡槽和记录仪卡槽；</w:t>
            </w:r>
          </w:p>
          <w:p>
            <w:pPr>
              <w:keepNext w:val="0"/>
              <w:keepLines w:val="0"/>
              <w:widowControl/>
              <w:suppressLineNumbers w:val="0"/>
              <w:jc w:val="left"/>
              <w:textAlignment w:val="center"/>
              <w:rPr>
                <w:rFonts w:hint="eastAsia"/>
              </w:rPr>
            </w:pPr>
            <w:r>
              <w:rPr>
                <w:rFonts w:hint="eastAsia"/>
              </w:rPr>
              <w:t>4、防水头灯1个：</w:t>
            </w:r>
          </w:p>
          <w:p>
            <w:pPr>
              <w:keepNext w:val="0"/>
              <w:keepLines w:val="0"/>
              <w:widowControl/>
              <w:suppressLineNumbers w:val="0"/>
              <w:jc w:val="left"/>
              <w:textAlignment w:val="center"/>
              <w:rPr>
                <w:rFonts w:hint="eastAsia"/>
              </w:rPr>
            </w:pPr>
            <w:r>
              <w:rPr>
                <w:rFonts w:hint="eastAsia"/>
              </w:rPr>
              <w:t>（1）能与救援头盔预留卡槽适用，多档亮度可调，具有强光、弱光、爆闪功能，防水等级≥IP7，USB一体充电，适用于Type-c充电。，最大功率≥10W，亮度≥240流明，射程≥100米；</w:t>
            </w:r>
          </w:p>
          <w:p>
            <w:pPr>
              <w:keepNext w:val="0"/>
              <w:keepLines w:val="0"/>
              <w:widowControl/>
              <w:suppressLineNumbers w:val="0"/>
              <w:jc w:val="left"/>
              <w:textAlignment w:val="center"/>
              <w:rPr>
                <w:rFonts w:hint="eastAsia"/>
              </w:rPr>
            </w:pPr>
            <w:r>
              <w:rPr>
                <w:rFonts w:hint="eastAsia"/>
              </w:rPr>
              <w:t>（2）水域救援手套1双：</w:t>
            </w:r>
          </w:p>
          <w:p>
            <w:pPr>
              <w:keepNext w:val="0"/>
              <w:keepLines w:val="0"/>
              <w:widowControl/>
              <w:suppressLineNumbers w:val="0"/>
              <w:jc w:val="left"/>
              <w:textAlignment w:val="center"/>
              <w:rPr>
                <w:rFonts w:hint="eastAsia"/>
              </w:rPr>
            </w:pPr>
            <w:r>
              <w:rPr>
                <w:rFonts w:hint="eastAsia"/>
              </w:rPr>
              <w:t>（3）手套采用高档聚合物和热反射衬里，热合压缝，保证密封性，手套背面有≥2mm 氯丁橡胶层和≥2mm的缓冲垫层，提供良好的保暖性和抗冲击性，手心：芳香尼龙纤维的合成皮革，掌心与手指部位采用耐磨合成皮革贴片，手背有醒目的反光区域及3D 立体花纹，在手腕处设有魔术贴，可以快速调节和固定，并确保手套不会滑落，增加保暖性；</w:t>
            </w:r>
          </w:p>
          <w:p>
            <w:pPr>
              <w:keepNext w:val="0"/>
              <w:keepLines w:val="0"/>
              <w:widowControl/>
              <w:suppressLineNumbers w:val="0"/>
              <w:jc w:val="left"/>
              <w:textAlignment w:val="center"/>
              <w:rPr>
                <w:rFonts w:hint="eastAsia"/>
              </w:rPr>
            </w:pPr>
            <w:r>
              <w:rPr>
                <w:rFonts w:hint="eastAsia"/>
              </w:rPr>
              <w:t>5、水域救援鞋1双：</w:t>
            </w:r>
          </w:p>
          <w:p>
            <w:pPr>
              <w:keepNext w:val="0"/>
              <w:keepLines w:val="0"/>
              <w:widowControl/>
              <w:suppressLineNumbers w:val="0"/>
              <w:jc w:val="left"/>
              <w:textAlignment w:val="center"/>
              <w:rPr>
                <w:rFonts w:hint="eastAsia"/>
              </w:rPr>
            </w:pPr>
            <w:r>
              <w:rPr>
                <w:rFonts w:hint="eastAsia"/>
              </w:rPr>
              <w:t>（1）系带式高腰鞋 ，且带有可调粘扣,鞋面由合成超轻材料,内里是弹性十足≥5mm 厚的氯丁橡胶加固材料制成，内里弹性材料，内胆为足部提供很好的保暖性和踝部支撑和保护；</w:t>
            </w:r>
          </w:p>
          <w:p>
            <w:pPr>
              <w:keepNext w:val="0"/>
              <w:keepLines w:val="0"/>
              <w:widowControl/>
              <w:suppressLineNumbers w:val="0"/>
              <w:jc w:val="left"/>
              <w:textAlignment w:val="center"/>
              <w:rPr>
                <w:rFonts w:hint="eastAsia"/>
              </w:rPr>
            </w:pPr>
            <w:r>
              <w:rPr>
                <w:rFonts w:hint="eastAsia"/>
              </w:rPr>
              <w:t>（2）靴子内侧设有排水孔，鞋内底厚7mm, 鞋底有防滑设计，坚固结实，安全舒适，可适应各种地形，后帮跟部带有止滑凸块，可与蛙鞋稳固结合；</w:t>
            </w:r>
          </w:p>
          <w:p>
            <w:pPr>
              <w:keepNext w:val="0"/>
              <w:keepLines w:val="0"/>
              <w:widowControl/>
              <w:suppressLineNumbers w:val="0"/>
              <w:jc w:val="left"/>
              <w:textAlignment w:val="center"/>
              <w:rPr>
                <w:rFonts w:hint="eastAsia"/>
              </w:rPr>
            </w:pPr>
            <w:r>
              <w:rPr>
                <w:rFonts w:hint="eastAsia"/>
              </w:rPr>
              <w:t>6、水域救援刀1把：</w:t>
            </w:r>
          </w:p>
          <w:p>
            <w:pPr>
              <w:keepNext w:val="0"/>
              <w:keepLines w:val="0"/>
              <w:widowControl/>
              <w:suppressLineNumbers w:val="0"/>
              <w:jc w:val="left"/>
              <w:textAlignment w:val="center"/>
              <w:rPr>
                <w:rFonts w:hint="eastAsia"/>
              </w:rPr>
            </w:pPr>
            <w:r>
              <w:rPr>
                <w:rFonts w:hint="eastAsia"/>
              </w:rPr>
              <w:t>（1）符合GB/T2330.1-2018《金属材料洛氏硬度试验 第1部分：试验方法》；</w:t>
            </w:r>
          </w:p>
          <w:p>
            <w:pPr>
              <w:keepNext w:val="0"/>
              <w:keepLines w:val="0"/>
              <w:widowControl/>
              <w:suppressLineNumbers w:val="0"/>
              <w:jc w:val="left"/>
              <w:textAlignment w:val="center"/>
              <w:rPr>
                <w:rFonts w:hint="eastAsia"/>
              </w:rPr>
            </w:pPr>
            <w:r>
              <w:rPr>
                <w:rFonts w:hint="eastAsia"/>
              </w:rPr>
              <w:t>（2）钛合金潜水救援刀是极轻、超强韧和高耐腐蚀的结合体；</w:t>
            </w:r>
          </w:p>
          <w:p>
            <w:pPr>
              <w:keepNext w:val="0"/>
              <w:keepLines w:val="0"/>
              <w:widowControl/>
              <w:suppressLineNumbers w:val="0"/>
              <w:jc w:val="left"/>
              <w:textAlignment w:val="center"/>
              <w:rPr>
                <w:rFonts w:hint="eastAsia"/>
              </w:rPr>
            </w:pPr>
            <w:r>
              <w:rPr>
                <w:rFonts w:hint="eastAsia"/>
              </w:rPr>
              <w:t>（3）调整整刀长≥18cm，刃长≥7cm，硬度：≥HRC51；</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 xml:space="preserve">（4）刀鞘材料采用玻璃纤维加强型尼龙。  </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269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86" w:hRule="atLeast"/>
        </w:trPr>
        <w:tc>
          <w:tcPr>
            <w:tcW w:w="1140"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水域救生套装</w:t>
            </w:r>
          </w:p>
        </w:tc>
        <w:tc>
          <w:tcPr>
            <w:tcW w:w="101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★1、总体性能符合国家或行业技术标准；</w:t>
            </w:r>
          </w:p>
          <w:p>
            <w:pPr>
              <w:keepNext w:val="0"/>
              <w:keepLines w:val="0"/>
              <w:widowControl/>
              <w:suppressLineNumbers w:val="0"/>
              <w:jc w:val="left"/>
              <w:textAlignment w:val="center"/>
              <w:rPr>
                <w:rFonts w:hint="eastAsia"/>
              </w:rPr>
            </w:pPr>
            <w:r>
              <w:rPr>
                <w:rFonts w:hint="eastAsia"/>
              </w:rPr>
              <w:t>★2、整套装备包括激流救援专用救生衣1套、救援牛尾绳1根、15m水域抛绳包1个、高频口哨1个和配套携行包1个；</w:t>
            </w:r>
          </w:p>
          <w:p>
            <w:pPr>
              <w:keepNext w:val="0"/>
              <w:keepLines w:val="0"/>
              <w:widowControl/>
              <w:suppressLineNumbers w:val="0"/>
              <w:jc w:val="left"/>
              <w:textAlignment w:val="center"/>
              <w:rPr>
                <w:rFonts w:hint="eastAsia"/>
              </w:rPr>
            </w:pPr>
            <w:r>
              <w:rPr>
                <w:rFonts w:hint="eastAsia"/>
              </w:rPr>
              <w:t>3、激流救援专用救生衣采用背心式设计，浮力≥150N，配备1根多功能腰带（宽度≥5cm，材质为尼龙织带）环绕在胸部，腰带前部设置自救脱困快解装置，腰带后部设置牵引绳连接拉环，正面设置可拆卸式置物袋（数量≥2个），后背设置可拆卸式置物袋（数量≥1个），设计多个与水域割绳刀、定位示位灯、口哨等配套的挂点；</w:t>
            </w:r>
          </w:p>
          <w:p>
            <w:pPr>
              <w:keepNext w:val="0"/>
              <w:keepLines w:val="0"/>
              <w:widowControl/>
              <w:suppressLineNumbers w:val="0"/>
              <w:jc w:val="left"/>
              <w:textAlignment w:val="center"/>
              <w:rPr>
                <w:rFonts w:hint="eastAsia"/>
              </w:rPr>
            </w:pPr>
            <w:r>
              <w:rPr>
                <w:rFonts w:hint="eastAsia"/>
              </w:rPr>
              <w:t>4、救援牛尾绳与救生衣配套使用，用于救生衣PFD上面的牵引绳，带有0型环和三角形连接锁，牵引绳应具有良好的延展效果，紧急情况下PFD救生衣可与该牵引绳快速分离，绳长≥80cm，延展长度≥150cm；</w:t>
            </w:r>
          </w:p>
          <w:p>
            <w:pPr>
              <w:keepNext w:val="0"/>
              <w:keepLines w:val="0"/>
              <w:widowControl/>
              <w:suppressLineNumbers w:val="0"/>
              <w:jc w:val="left"/>
              <w:textAlignment w:val="center"/>
              <w:rPr>
                <w:rFonts w:hint="eastAsia"/>
              </w:rPr>
            </w:pPr>
            <w:r>
              <w:rPr>
                <w:rFonts w:hint="eastAsia"/>
              </w:rPr>
              <w:t>5、15m水域抛绳包面料采用优质尼龙布料，颜色为红色或橙色，中部设置网布，顶端设有收紧拉绳，侧面设置魔术贴挂点，可挂闪光棒或荧光棒，配备专用水面荧光漂浮绳，直径≥8mm，长度≥15m；</w:t>
            </w:r>
          </w:p>
          <w:p>
            <w:pPr>
              <w:keepNext w:val="0"/>
              <w:keepLines w:val="0"/>
              <w:widowControl/>
              <w:suppressLineNumbers w:val="0"/>
              <w:jc w:val="left"/>
              <w:textAlignment w:val="center"/>
              <w:rPr>
                <w:rFonts w:hint="eastAsia"/>
              </w:rPr>
            </w:pPr>
            <w:r>
              <w:rPr>
                <w:rFonts w:hint="eastAsia"/>
              </w:rPr>
              <w:t>6、高频口哨采用ABS工程塑料材质，音量≥100dB，质量≤15g；</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7、携行包颜色为橘黄色或红色，具有一定的防水性能，容积≥50L。</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166</w:t>
            </w:r>
          </w:p>
        </w:tc>
      </w:tr>
    </w:tbl>
    <w:p>
      <w:pPr>
        <w:pStyle w:val="23"/>
        <w:jc w:val="center"/>
        <w:rPr>
          <w:rFonts w:hint="eastAsia" w:ascii="宋体" w:hAnsi="宋体" w:eastAsia="宋体" w:cs="宋体"/>
          <w:color w:val="auto"/>
          <w:sz w:val="22"/>
          <w:szCs w:val="22"/>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0" w:num="1"/>
          <w:docGrid w:type="linesAndChars" w:linePitch="319" w:charSpace="0"/>
        </w:sectPr>
      </w:pPr>
    </w:p>
    <w:tbl>
      <w:tblPr>
        <w:tblStyle w:val="38"/>
        <w:tblW w:w="1448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40"/>
        <w:gridCol w:w="2560"/>
        <w:gridCol w:w="9940"/>
        <w:gridCol w:w="8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4485"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第二包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140"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包号</w:t>
            </w:r>
          </w:p>
        </w:tc>
        <w:tc>
          <w:tcPr>
            <w:tcW w:w="25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装备名称</w:t>
            </w:r>
          </w:p>
        </w:tc>
        <w:tc>
          <w:tcPr>
            <w:tcW w:w="9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参      数</w:t>
            </w:r>
          </w:p>
        </w:tc>
        <w:tc>
          <w:tcPr>
            <w:tcW w:w="8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52" w:hRule="atLeast"/>
        </w:trPr>
        <w:tc>
          <w:tcPr>
            <w:tcW w:w="11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25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潜水全面罩</w:t>
            </w:r>
          </w:p>
        </w:tc>
        <w:tc>
          <w:tcPr>
            <w:tcW w:w="9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★2、潜水全面罩：由全面罩，水下耳机，水面基站组成；</w:t>
            </w:r>
          </w:p>
          <w:p>
            <w:pPr>
              <w:keepNext w:val="0"/>
              <w:keepLines w:val="0"/>
              <w:widowControl/>
              <w:suppressLineNumbers w:val="0"/>
              <w:jc w:val="left"/>
              <w:textAlignment w:val="center"/>
              <w:rPr>
                <w:rFonts w:hint="eastAsia"/>
              </w:rPr>
            </w:pPr>
            <w:r>
              <w:rPr>
                <w:rFonts w:hint="eastAsia"/>
              </w:rPr>
              <w:t>3、适用于潜水员在污染、低温和复杂水下环境中进行作业时的面部保护；</w:t>
            </w:r>
          </w:p>
          <w:p>
            <w:pPr>
              <w:keepNext w:val="0"/>
              <w:keepLines w:val="0"/>
              <w:widowControl/>
              <w:suppressLineNumbers w:val="0"/>
              <w:jc w:val="left"/>
              <w:textAlignment w:val="center"/>
              <w:rPr>
                <w:rFonts w:hint="eastAsia"/>
              </w:rPr>
            </w:pPr>
            <w:r>
              <w:rPr>
                <w:rFonts w:hint="eastAsia"/>
              </w:rPr>
              <w:t>4、面罩和调节器框架结构采用高强度 ABS 塑料；一体化硅胶材质的双密封裙边；</w:t>
            </w:r>
          </w:p>
          <w:p>
            <w:pPr>
              <w:keepNext w:val="0"/>
              <w:keepLines w:val="0"/>
              <w:widowControl/>
              <w:suppressLineNumbers w:val="0"/>
              <w:jc w:val="left"/>
              <w:textAlignment w:val="center"/>
              <w:rPr>
                <w:rFonts w:hint="eastAsia"/>
              </w:rPr>
            </w:pPr>
            <w:r>
              <w:rPr>
                <w:rFonts w:hint="eastAsia"/>
              </w:rPr>
              <w:t>5、配备专用水下通讯单元和耳机／麦克风；</w:t>
            </w:r>
          </w:p>
          <w:p>
            <w:pPr>
              <w:keepNext w:val="0"/>
              <w:keepLines w:val="0"/>
              <w:widowControl/>
              <w:suppressLineNumbers w:val="0"/>
              <w:jc w:val="left"/>
              <w:textAlignment w:val="center"/>
              <w:rPr>
                <w:rFonts w:hint="eastAsia"/>
              </w:rPr>
            </w:pPr>
            <w:r>
              <w:rPr>
                <w:rFonts w:hint="eastAsia"/>
              </w:rPr>
              <w:t>6、独有的导流除雾设计提高水下使用的便捷和安全性；</w:t>
            </w:r>
          </w:p>
          <w:p>
            <w:pPr>
              <w:keepNext w:val="0"/>
              <w:keepLines w:val="0"/>
              <w:widowControl/>
              <w:suppressLineNumbers w:val="0"/>
              <w:jc w:val="left"/>
              <w:textAlignment w:val="center"/>
              <w:rPr>
                <w:rFonts w:hint="eastAsia"/>
              </w:rPr>
            </w:pPr>
            <w:r>
              <w:rPr>
                <w:rFonts w:hint="eastAsia"/>
              </w:rPr>
              <w:t>7、单向阀门排气设计有效消除二氧化碳堆积；</w:t>
            </w:r>
          </w:p>
          <w:p>
            <w:pPr>
              <w:keepNext w:val="0"/>
              <w:keepLines w:val="0"/>
              <w:widowControl/>
              <w:suppressLineNumbers w:val="0"/>
              <w:jc w:val="left"/>
              <w:textAlignment w:val="center"/>
              <w:rPr>
                <w:rFonts w:hint="eastAsia"/>
              </w:rPr>
            </w:pPr>
            <w:r>
              <w:rPr>
                <w:rFonts w:hint="eastAsia"/>
              </w:rPr>
              <w:t>8、面罩右侧装有水面呼吸阀门，降低入水前气体消耗量；</w:t>
            </w:r>
          </w:p>
          <w:p>
            <w:pPr>
              <w:keepNext w:val="0"/>
              <w:keepLines w:val="0"/>
              <w:widowControl/>
              <w:suppressLineNumbers w:val="0"/>
              <w:jc w:val="left"/>
              <w:textAlignment w:val="center"/>
              <w:rPr>
                <w:rFonts w:hint="eastAsia"/>
              </w:rPr>
            </w:pPr>
            <w:r>
              <w:rPr>
                <w:rFonts w:hint="eastAsia"/>
              </w:rPr>
              <w:t>9、使用专用可调整的鼻托垫进行耳压平衡；</w:t>
            </w:r>
          </w:p>
          <w:p>
            <w:pPr>
              <w:keepNext w:val="0"/>
              <w:keepLines w:val="0"/>
              <w:widowControl/>
              <w:suppressLineNumbers w:val="0"/>
              <w:jc w:val="left"/>
              <w:textAlignment w:val="center"/>
              <w:rPr>
                <w:rFonts w:hint="eastAsia"/>
              </w:rPr>
            </w:pPr>
            <w:r>
              <w:rPr>
                <w:rFonts w:hint="eastAsia"/>
              </w:rPr>
              <w:t>★10、水面基站：四频道通讯，标准范围200-3000m，输出功率约5w；</w:t>
            </w:r>
          </w:p>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rPr>
              <w:t>11、水下耳机：配合全面罩使用，双频道水下通讯耳机。标准范围50-500m，输出功≥0.5w，水下耳机最大使用深度≥40m。</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24</w:t>
            </w:r>
            <w:r>
              <w:rPr>
                <w:rFonts w:hint="eastAsia" w:ascii="宋体" w:hAnsi="宋体" w:eastAsia="宋体" w:cs="宋体"/>
                <w:i w:val="0"/>
                <w:iCs w:val="0"/>
                <w:color w:val="000000"/>
                <w:kern w:val="0"/>
                <w:sz w:val="22"/>
                <w:szCs w:val="22"/>
                <w:highlight w:val="none"/>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6" w:hRule="atLeast"/>
        </w:trPr>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5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全面罩</w:t>
            </w:r>
          </w:p>
        </w:tc>
        <w:tc>
          <w:tcPr>
            <w:tcW w:w="9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★2、潜水全面罩：由全面罩，水下耳机，水面基站（按照5套面罩配备1套基站）；</w:t>
            </w:r>
          </w:p>
          <w:p>
            <w:pPr>
              <w:keepNext w:val="0"/>
              <w:keepLines w:val="0"/>
              <w:widowControl/>
              <w:suppressLineNumbers w:val="0"/>
              <w:jc w:val="left"/>
              <w:textAlignment w:val="center"/>
              <w:rPr>
                <w:rFonts w:hint="eastAsia"/>
              </w:rPr>
            </w:pPr>
            <w:r>
              <w:rPr>
                <w:rFonts w:hint="eastAsia"/>
              </w:rPr>
              <w:t>3、适用于潜水员在污染、低温和复杂水下环境中进行作业时的面部保护；</w:t>
            </w:r>
          </w:p>
          <w:p>
            <w:pPr>
              <w:keepNext w:val="0"/>
              <w:keepLines w:val="0"/>
              <w:widowControl/>
              <w:suppressLineNumbers w:val="0"/>
              <w:jc w:val="left"/>
              <w:textAlignment w:val="center"/>
              <w:rPr>
                <w:rFonts w:hint="eastAsia"/>
              </w:rPr>
            </w:pPr>
            <w:r>
              <w:rPr>
                <w:rFonts w:hint="eastAsia"/>
              </w:rPr>
              <w:t>4、面罩和调节器框架结构采用高强度 ABS 塑料；一体化硅胶材质的双密封裙边；</w:t>
            </w:r>
          </w:p>
          <w:p>
            <w:pPr>
              <w:keepNext w:val="0"/>
              <w:keepLines w:val="0"/>
              <w:widowControl/>
              <w:suppressLineNumbers w:val="0"/>
              <w:jc w:val="left"/>
              <w:textAlignment w:val="center"/>
              <w:rPr>
                <w:rFonts w:hint="eastAsia"/>
              </w:rPr>
            </w:pPr>
            <w:r>
              <w:rPr>
                <w:rFonts w:hint="eastAsia"/>
              </w:rPr>
              <w:t>5、技术参数：</w:t>
            </w:r>
          </w:p>
          <w:p>
            <w:pPr>
              <w:keepNext w:val="0"/>
              <w:keepLines w:val="0"/>
              <w:widowControl/>
              <w:suppressLineNumbers w:val="0"/>
              <w:jc w:val="left"/>
              <w:textAlignment w:val="center"/>
              <w:rPr>
                <w:rFonts w:hint="eastAsia"/>
              </w:rPr>
            </w:pPr>
            <w:r>
              <w:rPr>
                <w:rFonts w:hint="eastAsia"/>
              </w:rPr>
              <w:t>（1）配备专用水下通讯单元和耳机／麦克风；</w:t>
            </w:r>
          </w:p>
          <w:p>
            <w:pPr>
              <w:keepNext w:val="0"/>
              <w:keepLines w:val="0"/>
              <w:widowControl/>
              <w:suppressLineNumbers w:val="0"/>
              <w:jc w:val="left"/>
              <w:textAlignment w:val="center"/>
              <w:rPr>
                <w:rFonts w:hint="eastAsia"/>
              </w:rPr>
            </w:pPr>
            <w:r>
              <w:rPr>
                <w:rFonts w:hint="eastAsia"/>
              </w:rPr>
              <w:t>（2）独有的导流除雾设计提高水下使用的便捷和安全性；</w:t>
            </w:r>
          </w:p>
          <w:p>
            <w:pPr>
              <w:keepNext w:val="0"/>
              <w:keepLines w:val="0"/>
              <w:widowControl/>
              <w:suppressLineNumbers w:val="0"/>
              <w:jc w:val="left"/>
              <w:textAlignment w:val="center"/>
              <w:rPr>
                <w:rFonts w:hint="eastAsia"/>
              </w:rPr>
            </w:pPr>
            <w:r>
              <w:rPr>
                <w:rFonts w:hint="eastAsia"/>
              </w:rPr>
              <w:t>（3）单向阀门排气设计有效消除二氧化碳堆积；</w:t>
            </w:r>
          </w:p>
          <w:p>
            <w:pPr>
              <w:keepNext w:val="0"/>
              <w:keepLines w:val="0"/>
              <w:widowControl/>
              <w:suppressLineNumbers w:val="0"/>
              <w:jc w:val="left"/>
              <w:textAlignment w:val="center"/>
              <w:rPr>
                <w:rFonts w:hint="eastAsia"/>
              </w:rPr>
            </w:pPr>
            <w:r>
              <w:rPr>
                <w:rFonts w:hint="eastAsia"/>
              </w:rPr>
              <w:t>（4）面罩右侧装有水面呼吸阀门，降低入水前气体消耗量；</w:t>
            </w:r>
          </w:p>
          <w:p>
            <w:pPr>
              <w:keepNext w:val="0"/>
              <w:keepLines w:val="0"/>
              <w:widowControl/>
              <w:suppressLineNumbers w:val="0"/>
              <w:jc w:val="left"/>
              <w:textAlignment w:val="center"/>
              <w:rPr>
                <w:rFonts w:hint="eastAsia"/>
              </w:rPr>
            </w:pPr>
            <w:r>
              <w:rPr>
                <w:rFonts w:hint="eastAsia"/>
              </w:rPr>
              <w:t>（5）使用专用可调整的鼻托垫进行耳压平衡；</w:t>
            </w:r>
          </w:p>
          <w:p>
            <w:pPr>
              <w:keepNext w:val="0"/>
              <w:keepLines w:val="0"/>
              <w:widowControl/>
              <w:suppressLineNumbers w:val="0"/>
              <w:jc w:val="left"/>
              <w:textAlignment w:val="center"/>
              <w:rPr>
                <w:rFonts w:hint="eastAsia"/>
              </w:rPr>
            </w:pPr>
            <w:r>
              <w:rPr>
                <w:rFonts w:hint="eastAsia"/>
              </w:rPr>
              <w:t>★（6）水面基站：四频道通讯，标准范围200-3000m，输出功率约5w；</w:t>
            </w:r>
          </w:p>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rPr>
              <w:t>（7）水下耳机：配合全面罩使用，双频道水下通讯耳机。标准范围50-500m，输出功≥0.5w，水下耳机最大使用深度≥40m。</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45</w:t>
            </w:r>
            <w:r>
              <w:rPr>
                <w:rFonts w:hint="eastAsia" w:ascii="宋体" w:hAnsi="宋体" w:eastAsia="宋体" w:cs="宋体"/>
                <w:i w:val="0"/>
                <w:iCs w:val="0"/>
                <w:color w:val="000000"/>
                <w:kern w:val="0"/>
                <w:sz w:val="22"/>
                <w:szCs w:val="22"/>
                <w:highlight w:val="none"/>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1" w:hRule="atLeast"/>
        </w:trPr>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5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干式潜水衣</w:t>
            </w:r>
          </w:p>
        </w:tc>
        <w:tc>
          <w:tcPr>
            <w:tcW w:w="9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2、面料拉伸强力、经向≥ 1800N, 纬向≥ 950N；</w:t>
            </w:r>
          </w:p>
          <w:p>
            <w:pPr>
              <w:keepNext w:val="0"/>
              <w:keepLines w:val="0"/>
              <w:widowControl/>
              <w:suppressLineNumbers w:val="0"/>
              <w:jc w:val="left"/>
              <w:textAlignment w:val="center"/>
              <w:rPr>
                <w:rFonts w:hint="eastAsia"/>
              </w:rPr>
            </w:pPr>
            <w:r>
              <w:rPr>
                <w:rFonts w:hint="eastAsia"/>
              </w:rPr>
              <w:t>3、每套包括干式潜水衣、干式潜水手套、潜水靴和潜水拉杆箱；</w:t>
            </w:r>
          </w:p>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rPr>
              <w:t>4、整体采用三层超轻质纤维材料叠加制造。水密封金属拉链，护膝和臀部为高强度高韧性芳纶涂层—凯夫拉补强设计，加厚硬质鞋底，鞋背配魔术贴。有进排气阀门。前胸倾斜拉链，方便潜水员穿脱，有可调节系绳，穿着可任意调节，在体侧分别有 2 个口袋，配有 D 型环。干衣内部带有弹性背带，适合不同人体体型，全身多处反光条设计，救援时醒目警示，识别性强，配有潜水服手提包，与充气阀连接的低压管，袖子和领子可以自行拆卸。</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cs="宋体"/>
                <w:i w:val="0"/>
                <w:iCs w:val="0"/>
                <w:color w:val="000000"/>
                <w:kern w:val="0"/>
                <w:sz w:val="22"/>
                <w:szCs w:val="22"/>
                <w:highlight w:val="none"/>
                <w:u w:val="none"/>
                <w:lang w:val="en-US" w:eastAsia="zh-CN" w:bidi="ar"/>
              </w:rPr>
              <w:t>24</w:t>
            </w:r>
            <w:r>
              <w:rPr>
                <w:rFonts w:hint="eastAsia" w:ascii="宋体" w:hAnsi="宋体" w:eastAsia="宋体" w:cs="宋体"/>
                <w:i w:val="0"/>
                <w:iCs w:val="0"/>
                <w:color w:val="000000"/>
                <w:kern w:val="0"/>
                <w:sz w:val="22"/>
                <w:szCs w:val="22"/>
                <w:highlight w:val="none"/>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3" w:hRule="atLeast"/>
        </w:trPr>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5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湿式潜水衣</w:t>
            </w:r>
          </w:p>
        </w:tc>
        <w:tc>
          <w:tcPr>
            <w:tcW w:w="9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★2、3mm带有钛涂层的氯丁橡胶材质可以在寒冷的温度中提供非常好的热反射性能；</w:t>
            </w:r>
          </w:p>
          <w:p>
            <w:pPr>
              <w:keepNext w:val="0"/>
              <w:keepLines w:val="0"/>
              <w:widowControl/>
              <w:suppressLineNumbers w:val="0"/>
              <w:jc w:val="left"/>
              <w:textAlignment w:val="center"/>
              <w:rPr>
                <w:rFonts w:hint="eastAsia"/>
              </w:rPr>
            </w:pPr>
            <w:r>
              <w:rPr>
                <w:rFonts w:hint="eastAsia"/>
              </w:rPr>
              <w:t>▲3、在肩部、背部和手臂处都采用特殊的PowerSpanT材质提高灵活性，降低束缚性；</w:t>
            </w:r>
          </w:p>
          <w:p>
            <w:pPr>
              <w:keepNext w:val="0"/>
              <w:keepLines w:val="0"/>
              <w:widowControl/>
              <w:suppressLineNumbers w:val="0"/>
              <w:jc w:val="left"/>
              <w:textAlignment w:val="center"/>
              <w:rPr>
                <w:rFonts w:hint="eastAsia"/>
              </w:rPr>
            </w:pPr>
            <w:r>
              <w:rPr>
                <w:rFonts w:hint="eastAsia"/>
              </w:rPr>
              <w:t>4、所有的缝线处都是用暗针缝制，并且都做了加固压胶处理，最大程度的确保保暖和舒适感；</w:t>
            </w:r>
          </w:p>
          <w:p>
            <w:pPr>
              <w:keepNext w:val="0"/>
              <w:keepLines w:val="0"/>
              <w:widowControl/>
              <w:suppressLineNumbers w:val="0"/>
              <w:jc w:val="left"/>
              <w:textAlignment w:val="center"/>
              <w:rPr>
                <w:rFonts w:hint="eastAsia"/>
              </w:rPr>
            </w:pPr>
            <w:r>
              <w:rPr>
                <w:rFonts w:hint="eastAsia"/>
              </w:rPr>
              <w:t>5、双向的YKK前置拉链和手腕、踝部拉链可以使救援者穿、脱装备都非常的迅速和便捷；</w:t>
            </w:r>
          </w:p>
          <w:p>
            <w:pPr>
              <w:keepNext w:val="0"/>
              <w:keepLines w:val="0"/>
              <w:widowControl/>
              <w:suppressLineNumbers w:val="0"/>
              <w:jc w:val="left"/>
              <w:textAlignment w:val="center"/>
              <w:rPr>
                <w:rFonts w:hint="eastAsia"/>
              </w:rPr>
            </w:pPr>
            <w:r>
              <w:rPr>
                <w:rFonts w:hint="eastAsia"/>
              </w:rPr>
              <w:t>6、在躯干的两侧部位有大摩擦力区域用于搭配PFD固定使用；</w:t>
            </w:r>
          </w:p>
          <w:p>
            <w:pPr>
              <w:keepNext w:val="0"/>
              <w:keepLines w:val="0"/>
              <w:widowControl/>
              <w:suppressLineNumbers w:val="0"/>
              <w:jc w:val="left"/>
              <w:textAlignment w:val="center"/>
              <w:rPr>
                <w:rFonts w:hint="eastAsia"/>
              </w:rPr>
            </w:pPr>
            <w:r>
              <w:rPr>
                <w:rFonts w:hint="eastAsia"/>
              </w:rPr>
              <w:t>7、在膝盖和小腿处都有聚氨酯涂层垫，可以提供额外的保护，手臂和腿部有荧光反射区，并且有RESCUE救援字样，提高了救援者的警示性；</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▲8、质量：≤1.8kg。</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87" w:hRule="atLeast"/>
        </w:trPr>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5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潜水浮力装置</w:t>
            </w:r>
          </w:p>
        </w:tc>
        <w:tc>
          <w:tcPr>
            <w:tcW w:w="9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2、双侧口袋有魔术贴，防止内容物脱落，也避免使用拉链，操着不便；</w:t>
            </w:r>
          </w:p>
          <w:p>
            <w:pPr>
              <w:keepNext w:val="0"/>
              <w:keepLines w:val="0"/>
              <w:widowControl/>
              <w:suppressLineNumbers w:val="0"/>
              <w:jc w:val="left"/>
              <w:textAlignment w:val="center"/>
              <w:rPr>
                <w:rFonts w:hint="eastAsia"/>
              </w:rPr>
            </w:pPr>
            <w:r>
              <w:rPr>
                <w:rFonts w:hint="eastAsia"/>
              </w:rPr>
              <w:t>3、右侧口袋内侧有备用调节器口，左边口袋内侧有潜水仪表口，方便收纳和保护备用调节器和潜水仪表；</w:t>
            </w:r>
          </w:p>
          <w:p>
            <w:pPr>
              <w:keepNext w:val="0"/>
              <w:keepLines w:val="0"/>
              <w:widowControl/>
              <w:suppressLineNumbers w:val="0"/>
              <w:jc w:val="left"/>
              <w:textAlignment w:val="center"/>
              <w:rPr>
                <w:rFonts w:hint="eastAsia"/>
              </w:rPr>
            </w:pPr>
            <w:r>
              <w:rPr>
                <w:rFonts w:hint="eastAsia"/>
              </w:rPr>
              <w:t>▲4、外层采用 1000D CORDURA 面料，防外线 UV 面料，方便快速辨认；</w:t>
            </w:r>
          </w:p>
          <w:p>
            <w:pPr>
              <w:keepNext w:val="0"/>
              <w:keepLines w:val="0"/>
              <w:widowControl/>
              <w:suppressLineNumbers w:val="0"/>
              <w:jc w:val="left"/>
              <w:textAlignment w:val="center"/>
              <w:rPr>
                <w:rFonts w:hint="eastAsia"/>
              </w:rPr>
            </w:pPr>
            <w:r>
              <w:rPr>
                <w:rFonts w:hint="eastAsia"/>
              </w:rPr>
              <w:t>5、水中最小可承重≥140N，最大可承重≥230kg体重；</w:t>
            </w:r>
          </w:p>
          <w:p>
            <w:pPr>
              <w:keepNext w:val="0"/>
              <w:keepLines w:val="0"/>
              <w:widowControl/>
              <w:suppressLineNumbers w:val="0"/>
              <w:jc w:val="left"/>
              <w:textAlignment w:val="center"/>
              <w:rPr>
                <w:rFonts w:hint="eastAsia"/>
              </w:rPr>
            </w:pPr>
            <w:r>
              <w:rPr>
                <w:rFonts w:hint="eastAsia"/>
              </w:rPr>
              <w:t>6、后背气瓶绑带设计有配重袋，方便调整身体的配重系统分布；</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7、全部金属配件经过72小时测试盐雾测试，耐海水锈蚀。</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73" w:hRule="atLeast"/>
        </w:trPr>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5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潜水气瓶</w:t>
            </w:r>
          </w:p>
        </w:tc>
        <w:tc>
          <w:tcPr>
            <w:tcW w:w="9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★2、12L 潜水专用气瓶，含瓶头阀；</w:t>
            </w:r>
          </w:p>
          <w:p>
            <w:pPr>
              <w:keepNext w:val="0"/>
              <w:keepLines w:val="0"/>
              <w:widowControl/>
              <w:suppressLineNumbers w:val="0"/>
              <w:jc w:val="left"/>
              <w:textAlignment w:val="center"/>
              <w:rPr>
                <w:rFonts w:hint="eastAsia"/>
              </w:rPr>
            </w:pPr>
            <w:r>
              <w:rPr>
                <w:rFonts w:hint="eastAsia"/>
              </w:rPr>
              <w:t>3、瓶体材料：同等或优于6061铝制气瓶；</w:t>
            </w:r>
          </w:p>
          <w:p>
            <w:pPr>
              <w:keepNext w:val="0"/>
              <w:keepLines w:val="0"/>
              <w:widowControl/>
              <w:suppressLineNumbers w:val="0"/>
              <w:jc w:val="left"/>
              <w:textAlignment w:val="center"/>
              <w:rPr>
                <w:rFonts w:hint="eastAsia"/>
              </w:rPr>
            </w:pPr>
            <w:r>
              <w:rPr>
                <w:rFonts w:hint="eastAsia"/>
              </w:rPr>
              <w:t>4、壁厚：12.2mm；</w:t>
            </w:r>
          </w:p>
          <w:p>
            <w:pPr>
              <w:keepNext w:val="0"/>
              <w:keepLines w:val="0"/>
              <w:widowControl/>
              <w:suppressLineNumbers w:val="0"/>
              <w:jc w:val="left"/>
              <w:textAlignment w:val="center"/>
              <w:rPr>
                <w:rFonts w:hint="eastAsia"/>
              </w:rPr>
            </w:pPr>
            <w:r>
              <w:rPr>
                <w:rFonts w:hint="eastAsia"/>
              </w:rPr>
              <w:t>5、公称容积：容积为12±0.5L；</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6、公称工作压力：≥200bar，水压试验压力：≥300bar，气密性试验压力：≥200bar；</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30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6" w:hRule="atLeast"/>
        </w:trPr>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5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潜水调节器（含附件）</w:t>
            </w:r>
          </w:p>
        </w:tc>
        <w:tc>
          <w:tcPr>
            <w:tcW w:w="9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▲2、呼吸反应更便捷快速；低压管接口位置，可设有旁通管，呼吸气体降压位置完全干燥，避免二级调节器结冰；</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3、一级调节器以夹头方式与气瓶连接，通过隔膜设计降低气瓶压力到 9.8 至 10.5bar的水平，适合各个深度的潜水。一级头可设计DFC 控制流量系统，可最大限度的降低在吸气时所产生的瞬间压力下降。保持足够的通气量，使呼吸更加顺畅。</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52" w:hRule="atLeast"/>
        </w:trPr>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5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潜水电脑表</w:t>
            </w:r>
          </w:p>
        </w:tc>
        <w:tc>
          <w:tcPr>
            <w:tcW w:w="9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2、潜水电脑表为中文界面，蓝牙传输；</w:t>
            </w:r>
          </w:p>
          <w:p>
            <w:pPr>
              <w:keepNext w:val="0"/>
              <w:keepLines w:val="0"/>
              <w:widowControl/>
              <w:suppressLineNumbers w:val="0"/>
              <w:jc w:val="left"/>
              <w:textAlignment w:val="center"/>
              <w:rPr>
                <w:rFonts w:hint="eastAsia"/>
              </w:rPr>
            </w:pPr>
            <w:r>
              <w:rPr>
                <w:rFonts w:hint="eastAsia"/>
              </w:rPr>
              <w:t>★3、快速充电（1小时充电可达 85%电量）。防水深度≥100米；</w:t>
            </w:r>
          </w:p>
          <w:p>
            <w:pPr>
              <w:keepNext w:val="0"/>
              <w:keepLines w:val="0"/>
              <w:widowControl/>
              <w:suppressLineNumbers w:val="0"/>
              <w:jc w:val="left"/>
              <w:textAlignment w:val="center"/>
              <w:rPr>
                <w:rFonts w:hint="eastAsia"/>
              </w:rPr>
            </w:pPr>
            <w:r>
              <w:rPr>
                <w:rFonts w:hint="eastAsia"/>
              </w:rPr>
              <w:t>▲4、支持水肺、自由潜水、高氧(21-56%)、仪表四种模式。重量≤ 95 g；</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5、潜水日志存储高达200+。</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5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管供式潜水装具</w:t>
            </w:r>
          </w:p>
        </w:tc>
        <w:tc>
          <w:tcPr>
            <w:tcW w:w="9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★2、供气类潜水装具（三口配气板)：高压进气压力：≤20MPa，低压进气压力：≤2MPa，供气压力 ：0.03～2MPa 可调，最大作业深度：≥60m，整机重量：≤30kg；</w:t>
            </w:r>
          </w:p>
          <w:p>
            <w:pPr>
              <w:keepNext w:val="0"/>
              <w:keepLines w:val="0"/>
              <w:widowControl/>
              <w:suppressLineNumbers w:val="0"/>
              <w:jc w:val="left"/>
              <w:textAlignment w:val="center"/>
              <w:rPr>
                <w:rFonts w:hint="eastAsia"/>
              </w:rPr>
            </w:pPr>
            <w:r>
              <w:rPr>
                <w:rFonts w:hint="eastAsia"/>
              </w:rPr>
              <w:t>▲3、供气类潜水装具（脐带)：每条脐带由 1 根测深管、1 根呼吸气管和 1 根水下加强专用四芯电话线组成，长度≥60m。脐带两端接头可与潜水头盔、潜水电话和配气板直连。脐带整体最小弯曲半径：静态≥180mm±3mm、动态≥270mm±3mm，不易扭接造成憋气。材质：呼吸气管采用无毒食品级材料，工作压力：外径≥18mm，最大工作压力≥3.5MPa。测深管外径≥12.5mm，最大工作压力≥2.5MPa。电话线强度：水下专用四芯电话线拉断力≥500 kg，紧急情况下可作救援拖拽绳；</w:t>
            </w:r>
          </w:p>
          <w:p>
            <w:pPr>
              <w:keepNext w:val="0"/>
              <w:keepLines w:val="0"/>
              <w:widowControl/>
              <w:suppressLineNumbers w:val="0"/>
              <w:jc w:val="left"/>
              <w:textAlignment w:val="center"/>
              <w:rPr>
                <w:rFonts w:hint="eastAsia"/>
              </w:rPr>
            </w:pPr>
            <w:r>
              <w:rPr>
                <w:rFonts w:hint="eastAsia"/>
              </w:rPr>
              <w:t>4、供气类潜水装具（潜水头盔)：结构：面罩式结构，面罩内耳机、话筒通过电缆线和水面潜水电话连接，实现即时通话。重量：（空气环境）≤5kg，最大潜水深度：≥300m，排气方式：采用双隔膜排气阀门，操作压力要求：高于环境压力0.8～1.6MPa；</w:t>
            </w:r>
          </w:p>
          <w:p>
            <w:pPr>
              <w:keepNext w:val="0"/>
              <w:keepLines w:val="0"/>
              <w:widowControl/>
              <w:suppressLineNumbers w:val="0"/>
              <w:jc w:val="left"/>
              <w:textAlignment w:val="center"/>
              <w:rPr>
                <w:rFonts w:hint="eastAsia"/>
              </w:rPr>
            </w:pPr>
            <w:r>
              <w:rPr>
                <w:rFonts w:hint="eastAsia"/>
              </w:rPr>
              <w:t>5、供气类潜水装具（干式潜水服）：材质及特点：压缩氯丁橡胶材质，厚度适中约 6.5mm，采用后背式高强度防水拉链，整体封闭性能良好。其他配置：设肩部膝部保护层，外置工作口袋，配全身式安全背带；</w:t>
            </w:r>
          </w:p>
          <w:p>
            <w:pPr>
              <w:keepNext w:val="0"/>
              <w:keepLines w:val="0"/>
              <w:widowControl/>
              <w:suppressLineNumbers w:val="0"/>
              <w:jc w:val="left"/>
              <w:textAlignment w:val="center"/>
              <w:rPr>
                <w:rFonts w:hint="eastAsia"/>
              </w:rPr>
            </w:pPr>
            <w:r>
              <w:rPr>
                <w:rFonts w:hint="eastAsia"/>
              </w:rPr>
              <w:t>6、供气类潜水装具（通讯系统)：功能：可实现潜水员之间，潜水员与水面人员之间的对讲通话和连续在线通话功能。电池连续使用时间：≥10小时。供气类潜水装具（水面供气式潜水装具 电动供气机)：电动机：220V/380V，压缩级：≥2，供气量：≥300L/min，接管最大作业长度：≥80m。二级空气过滤：充气压力≥8bar，配有小车式移动装置。重量：≤60kg；</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7、供气类潜水装具（水面供气式潜水装具 内燃式应急供气机)：内燃式应急供气机 1 台。压缩级：≥2，供气量：≥300L/min，接管最大作业长度：≥80m。二级空气过滤：充气压力≥8bar，配有小车式移动装置，重量≤60kg。</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45" w:hRule="atLeast"/>
        </w:trPr>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5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水下推进器</w:t>
            </w:r>
          </w:p>
        </w:tc>
        <w:tc>
          <w:tcPr>
            <w:tcW w:w="9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★2、长宽高主体直径≤790mm*407mm*338mm*200mm，不含电池重量≤11.5kg；</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▲3、最大静推力≥ 120N，最大深度≥40M，最大速度≥ 50米/分钟，连续通电使用时间＞60 分钟。</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2" w:hRule="atLeast"/>
        </w:trPr>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宋体" w:hAnsi="宋体" w:eastAsia="宋体" w:cs="宋体"/>
                <w:i w:val="0"/>
                <w:iCs w:val="0"/>
                <w:color w:val="000000"/>
                <w:sz w:val="22"/>
                <w:szCs w:val="22"/>
                <w:highlight w:val="none"/>
                <w:u w:val="none"/>
              </w:rPr>
            </w:pPr>
          </w:p>
        </w:tc>
        <w:tc>
          <w:tcPr>
            <w:tcW w:w="2560"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潜水装备套装</w:t>
            </w:r>
          </w:p>
        </w:tc>
        <w:tc>
          <w:tcPr>
            <w:tcW w:w="99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★2、符合救援人员水上或水下作业要求；</w:t>
            </w:r>
          </w:p>
          <w:p>
            <w:pPr>
              <w:keepNext w:val="0"/>
              <w:keepLines w:val="0"/>
              <w:widowControl/>
              <w:suppressLineNumbers w:val="0"/>
              <w:jc w:val="left"/>
              <w:textAlignment w:val="center"/>
              <w:rPr>
                <w:rFonts w:hint="eastAsia"/>
              </w:rPr>
            </w:pPr>
            <w:r>
              <w:rPr>
                <w:rFonts w:hint="eastAsia"/>
              </w:rPr>
              <w:t>3、技术参数：</w:t>
            </w:r>
          </w:p>
          <w:p>
            <w:pPr>
              <w:keepNext w:val="0"/>
              <w:keepLines w:val="0"/>
              <w:widowControl/>
              <w:suppressLineNumbers w:val="0"/>
              <w:jc w:val="left"/>
              <w:textAlignment w:val="center"/>
              <w:rPr>
                <w:rFonts w:hint="eastAsia"/>
              </w:rPr>
            </w:pPr>
            <w:r>
              <w:rPr>
                <w:rFonts w:hint="eastAsia"/>
              </w:rPr>
              <w:t>（1）潜水头套用于水域救援保暖头套使用，通过包裹头部和耳朵减少在水里身体的热量流失，高弹性氯丁橡胶制成，内层贴合皮肤的内衬，穿着舒适，耐久度高；</w:t>
            </w:r>
          </w:p>
          <w:p>
            <w:pPr>
              <w:keepNext w:val="0"/>
              <w:keepLines w:val="0"/>
              <w:widowControl/>
              <w:suppressLineNumbers w:val="0"/>
              <w:jc w:val="left"/>
              <w:textAlignment w:val="center"/>
              <w:rPr>
                <w:rFonts w:hint="eastAsia"/>
              </w:rPr>
            </w:pPr>
            <w:r>
              <w:rPr>
                <w:rFonts w:hint="eastAsia"/>
              </w:rPr>
              <w:t>（2）面镜：重量轻、紧凑、牢固、硅胶裙边无泄漏的密封效果、可安装光学镜片；</w:t>
            </w:r>
          </w:p>
          <w:p>
            <w:pPr>
              <w:keepNext w:val="0"/>
              <w:keepLines w:val="0"/>
              <w:widowControl/>
              <w:suppressLineNumbers w:val="0"/>
              <w:jc w:val="left"/>
              <w:textAlignment w:val="center"/>
              <w:rPr>
                <w:rFonts w:hint="eastAsia"/>
              </w:rPr>
            </w:pPr>
            <w:r>
              <w:rPr>
                <w:rFonts w:hint="eastAsia"/>
              </w:rPr>
              <w:t>（3）干衣底衣双层防水保暖内衣，搭配干式潜水服使用。轻盈透气具有良好的保暖效果。前拉链设计，两头均可拉合。脚底配蹬带。口袋使用拉链；</w:t>
            </w:r>
          </w:p>
          <w:p>
            <w:pPr>
              <w:keepNext w:val="0"/>
              <w:keepLines w:val="0"/>
              <w:widowControl/>
              <w:suppressLineNumbers w:val="0"/>
              <w:jc w:val="left"/>
              <w:textAlignment w:val="center"/>
              <w:rPr>
                <w:rFonts w:hint="eastAsia"/>
              </w:rPr>
            </w:pPr>
            <w:r>
              <w:rPr>
                <w:rFonts w:hint="eastAsia"/>
              </w:rPr>
              <w:t>（4）脚蹼：蛙鞋，蹼片采用聚丙烯材质，鞋垫采用柔软的弹性纤维；</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★（5）潜水气瓶：防锈及防爆全铝合金瓶身,铜制瓶头,配防爆安全阀,容积：≥11L，符合GB/T11640-2021标准，配备充气转换接口（与空呼充气泵匹配）。</w:t>
            </w:r>
          </w:p>
        </w:tc>
        <w:tc>
          <w:tcPr>
            <w:tcW w:w="8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48</w:t>
            </w:r>
          </w:p>
        </w:tc>
      </w:tr>
    </w:tbl>
    <w:p>
      <w:pPr>
        <w:pStyle w:val="23"/>
        <w:jc w:val="center"/>
        <w:rPr>
          <w:rFonts w:hint="eastAsia" w:ascii="宋体" w:hAnsi="宋体" w:eastAsia="宋体" w:cs="宋体"/>
          <w:color w:val="auto"/>
          <w:sz w:val="22"/>
          <w:szCs w:val="22"/>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0" w:num="1"/>
          <w:docGrid w:type="linesAndChars" w:linePitch="319" w:charSpace="0"/>
        </w:sectPr>
      </w:pPr>
    </w:p>
    <w:tbl>
      <w:tblPr>
        <w:tblStyle w:val="38"/>
        <w:tblW w:w="146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40"/>
        <w:gridCol w:w="2272"/>
        <w:gridCol w:w="10311"/>
        <w:gridCol w:w="9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4660"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第三包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140"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包号</w:t>
            </w:r>
          </w:p>
        </w:tc>
        <w:tc>
          <w:tcPr>
            <w:tcW w:w="22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装备名称</w:t>
            </w:r>
          </w:p>
        </w:tc>
        <w:tc>
          <w:tcPr>
            <w:tcW w:w="103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参      数</w:t>
            </w:r>
          </w:p>
        </w:tc>
        <w:tc>
          <w:tcPr>
            <w:tcW w:w="9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09" w:hRule="atLeast"/>
        </w:trPr>
        <w:tc>
          <w:tcPr>
            <w:tcW w:w="11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2272" w:type="dxa"/>
            <w:tcBorders>
              <w:top w:val="single" w:color="000000" w:sz="4" w:space="0"/>
              <w:left w:val="single" w:color="auto"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冰面救援服</w:t>
            </w:r>
          </w:p>
        </w:tc>
        <w:tc>
          <w:tcPr>
            <w:tcW w:w="103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★2、整体设计成密封连体服装，手套、靴子和头罩都与服装为一整体，具有防水、防寒功能，可快速穿脱；</w:t>
            </w:r>
          </w:p>
          <w:p>
            <w:pPr>
              <w:keepNext w:val="0"/>
              <w:keepLines w:val="0"/>
              <w:widowControl/>
              <w:suppressLineNumbers w:val="0"/>
              <w:jc w:val="left"/>
              <w:textAlignment w:val="center"/>
              <w:rPr>
                <w:rFonts w:hint="eastAsia"/>
              </w:rPr>
            </w:pPr>
            <w:r>
              <w:rPr>
                <w:rFonts w:hint="eastAsia"/>
              </w:rPr>
              <w:t>3、手套为五指，里面有保暖内衬。靴底防滑，里面有厚靴垫。服装里有可拆式透气保暖内衬，做到防水保暖兼具，穿脱便捷；</w:t>
            </w:r>
          </w:p>
          <w:p>
            <w:pPr>
              <w:keepNext w:val="0"/>
              <w:keepLines w:val="0"/>
              <w:widowControl/>
              <w:suppressLineNumbers w:val="0"/>
              <w:jc w:val="left"/>
              <w:textAlignment w:val="center"/>
              <w:rPr>
                <w:rFonts w:hint="eastAsia"/>
              </w:rPr>
            </w:pPr>
            <w:r>
              <w:rPr>
                <w:rFonts w:hint="eastAsia"/>
              </w:rPr>
              <w:t>4、技术参数：</w:t>
            </w:r>
          </w:p>
          <w:p>
            <w:pPr>
              <w:keepNext w:val="0"/>
              <w:keepLines w:val="0"/>
              <w:widowControl/>
              <w:suppressLineNumbers w:val="0"/>
              <w:jc w:val="left"/>
              <w:textAlignment w:val="center"/>
              <w:rPr>
                <w:rFonts w:hint="eastAsia"/>
              </w:rPr>
            </w:pPr>
            <w:r>
              <w:rPr>
                <w:rFonts w:hint="eastAsia"/>
              </w:rPr>
              <w:t>▲（1）适合于-30-0℃温度作业，内部可配置多功能口袋和拉链口袋，口袋拉链防水压胶设计，方便携带救援工具适合于。内背带设计，可将救援服调节至感觉最舒适的位置。配有舒适可拆卸的头罩；</w:t>
            </w:r>
          </w:p>
          <w:p>
            <w:pPr>
              <w:keepNext w:val="0"/>
              <w:keepLines w:val="0"/>
              <w:widowControl/>
              <w:suppressLineNumbers w:val="0"/>
              <w:jc w:val="left"/>
              <w:textAlignment w:val="center"/>
              <w:rPr>
                <w:rFonts w:hint="eastAsia"/>
              </w:rPr>
            </w:pPr>
            <w:r>
              <w:rPr>
                <w:rFonts w:hint="eastAsia"/>
              </w:rPr>
              <w:t>▲（2）肩部有反光带，膝盖处加配2块护垫保护，厚度：2mm，厚实耐磨，具有更好的护膝作用。全身配有5处反光条和魔术贴，胸部配有全调式安全吊带，可与绳索连接，设置携带冰面 爬行辅助器口袋。大腿部有特殊调整带，腿部宽松设计方便穿脱；</w:t>
            </w:r>
          </w:p>
          <w:p>
            <w:pPr>
              <w:keepNext w:val="0"/>
              <w:keepLines w:val="0"/>
              <w:widowControl/>
              <w:suppressLineNumbers w:val="0"/>
              <w:jc w:val="left"/>
              <w:textAlignment w:val="center"/>
              <w:rPr>
                <w:rFonts w:hint="eastAsia"/>
              </w:rPr>
            </w:pPr>
            <w:r>
              <w:rPr>
                <w:rFonts w:hint="eastAsia"/>
              </w:rPr>
              <w:t>（3）尺寸：均码 适合身高1.5-1.9m；</w:t>
            </w:r>
          </w:p>
          <w:p>
            <w:pPr>
              <w:keepNext w:val="0"/>
              <w:keepLines w:val="0"/>
              <w:widowControl/>
              <w:suppressLineNumbers w:val="0"/>
              <w:jc w:val="left"/>
              <w:textAlignment w:val="center"/>
              <w:rPr>
                <w:rFonts w:hint="eastAsia"/>
              </w:rPr>
            </w:pPr>
            <w:r>
              <w:rPr>
                <w:rFonts w:hint="eastAsia"/>
              </w:rPr>
              <w:t>（4）前胸后背都印有夜光反光标识。整套衣服都为高频热压而成，无车缝拼接，且防水拉链为OEB纯铜水密拉链；</w:t>
            </w:r>
          </w:p>
          <w:p>
            <w:pPr>
              <w:keepNext w:val="0"/>
              <w:keepLines w:val="0"/>
              <w:widowControl/>
              <w:suppressLineNumbers w:val="0"/>
              <w:jc w:val="left"/>
              <w:textAlignment w:val="center"/>
              <w:rPr>
                <w:rFonts w:hint="eastAsia"/>
              </w:rPr>
            </w:pPr>
            <w:r>
              <w:rPr>
                <w:rFonts w:hint="eastAsia"/>
              </w:rPr>
              <w:t>（5）在150N拉伸强度下持续10S，未出现断裂；</w:t>
            </w:r>
          </w:p>
          <w:p>
            <w:pPr>
              <w:keepNext w:val="0"/>
              <w:keepLines w:val="0"/>
              <w:widowControl/>
              <w:suppressLineNumbers w:val="0"/>
              <w:jc w:val="left"/>
              <w:textAlignment w:val="center"/>
              <w:rPr>
                <w:rFonts w:hint="eastAsia"/>
              </w:rPr>
            </w:pPr>
            <w:r>
              <w:rPr>
                <w:rFonts w:hint="eastAsia"/>
              </w:rPr>
              <w:t>（6）耐水色牢度4，pH值5，耐干摩擦色牢度4；</w:t>
            </w:r>
          </w:p>
          <w:p>
            <w:pPr>
              <w:keepNext w:val="0"/>
              <w:keepLines w:val="0"/>
              <w:widowControl/>
              <w:suppressLineNumbers w:val="0"/>
              <w:jc w:val="left"/>
              <w:textAlignment w:val="center"/>
              <w:rPr>
                <w:rFonts w:hint="eastAsia"/>
              </w:rPr>
            </w:pPr>
            <w:r>
              <w:rPr>
                <w:rFonts w:hint="eastAsia"/>
              </w:rPr>
              <w:t>（7）穿着救生衣经受1h浸水后，体温下降≤0.6℃，且能捡起直径9mm的铅笔进行书写；</w:t>
            </w:r>
          </w:p>
          <w:p>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rPr>
              <w:t>（8）穿着救援服在静水中1h后，救援服的进水量≤20g，靴底抗刺穿性能≥1300N。</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rPr>
            </w:pPr>
            <w:r>
              <w:rPr>
                <w:rFonts w:hint="eastAsia" w:ascii="宋体" w:hAnsi="宋体" w:cs="宋体"/>
                <w:i w:val="0"/>
                <w:iCs w:val="0"/>
                <w:color w:val="000000"/>
                <w:kern w:val="0"/>
                <w:sz w:val="22"/>
                <w:szCs w:val="22"/>
                <w:highlight w:val="none"/>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9" w:hRule="atLeast"/>
        </w:trPr>
        <w:tc>
          <w:tcPr>
            <w:tcW w:w="1140"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冰域呼吸器组件</w:t>
            </w:r>
          </w:p>
        </w:tc>
        <w:tc>
          <w:tcPr>
            <w:tcW w:w="103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★2、适合消防救援人员开展冰潜作业时的保护；</w:t>
            </w:r>
          </w:p>
          <w:p>
            <w:pPr>
              <w:keepNext w:val="0"/>
              <w:keepLines w:val="0"/>
              <w:widowControl/>
              <w:suppressLineNumbers w:val="0"/>
              <w:jc w:val="left"/>
              <w:textAlignment w:val="center"/>
              <w:rPr>
                <w:rFonts w:hint="eastAsia"/>
              </w:rPr>
            </w:pPr>
            <w:r>
              <w:rPr>
                <w:rFonts w:hint="eastAsia"/>
              </w:rPr>
              <w:t>3、技术参数：</w:t>
            </w:r>
          </w:p>
          <w:p>
            <w:pPr>
              <w:keepNext w:val="0"/>
              <w:keepLines w:val="0"/>
              <w:widowControl/>
              <w:suppressLineNumbers w:val="0"/>
              <w:jc w:val="left"/>
              <w:textAlignment w:val="center"/>
              <w:rPr>
                <w:rFonts w:hint="eastAsia"/>
              </w:rPr>
            </w:pPr>
            <w:r>
              <w:rPr>
                <w:rFonts w:hint="eastAsia"/>
              </w:rPr>
              <w:t>▲（1）面罩和调节器框架结构采用高强度 ABS 塑料；一体化硅胶材质的双密封裙边；</w:t>
            </w:r>
          </w:p>
          <w:p>
            <w:pPr>
              <w:keepNext w:val="0"/>
              <w:keepLines w:val="0"/>
              <w:widowControl/>
              <w:suppressLineNumbers w:val="0"/>
              <w:jc w:val="left"/>
              <w:textAlignment w:val="center"/>
              <w:rPr>
                <w:rFonts w:hint="eastAsia"/>
              </w:rPr>
            </w:pPr>
            <w:r>
              <w:rPr>
                <w:rFonts w:hint="eastAsia"/>
              </w:rPr>
              <w:t>（2）配备专用水下通讯单元和耳机／麦克风；</w:t>
            </w:r>
          </w:p>
          <w:p>
            <w:pPr>
              <w:keepNext w:val="0"/>
              <w:keepLines w:val="0"/>
              <w:widowControl/>
              <w:suppressLineNumbers w:val="0"/>
              <w:jc w:val="left"/>
              <w:textAlignment w:val="center"/>
              <w:rPr>
                <w:rFonts w:hint="eastAsia"/>
              </w:rPr>
            </w:pPr>
            <w:r>
              <w:rPr>
                <w:rFonts w:hint="eastAsia"/>
              </w:rPr>
              <w:t>（3）独有的导流除雾设计提高水下使用的便捷和安全性；</w:t>
            </w:r>
          </w:p>
          <w:p>
            <w:pPr>
              <w:keepNext w:val="0"/>
              <w:keepLines w:val="0"/>
              <w:widowControl/>
              <w:suppressLineNumbers w:val="0"/>
              <w:jc w:val="left"/>
              <w:textAlignment w:val="center"/>
              <w:rPr>
                <w:rFonts w:hint="eastAsia"/>
              </w:rPr>
            </w:pPr>
            <w:r>
              <w:rPr>
                <w:rFonts w:hint="eastAsia"/>
              </w:rPr>
              <w:t>（4）单向阀门排气设计有效消除二氧化碳堆积；</w:t>
            </w:r>
          </w:p>
          <w:p>
            <w:pPr>
              <w:keepNext w:val="0"/>
              <w:keepLines w:val="0"/>
              <w:widowControl/>
              <w:suppressLineNumbers w:val="0"/>
              <w:jc w:val="left"/>
              <w:textAlignment w:val="center"/>
              <w:rPr>
                <w:rFonts w:hint="eastAsia"/>
              </w:rPr>
            </w:pPr>
            <w:r>
              <w:rPr>
                <w:rFonts w:hint="eastAsia"/>
              </w:rPr>
              <w:t>（5）面罩右侧装有水面呼吸阀门，降低入水前气体消耗量；</w:t>
            </w:r>
          </w:p>
          <w:p>
            <w:pPr>
              <w:keepNext w:val="0"/>
              <w:keepLines w:val="0"/>
              <w:widowControl/>
              <w:suppressLineNumbers w:val="0"/>
              <w:jc w:val="left"/>
              <w:textAlignment w:val="center"/>
              <w:rPr>
                <w:rFonts w:hint="eastAsia"/>
              </w:rPr>
            </w:pPr>
            <w:r>
              <w:rPr>
                <w:rFonts w:hint="eastAsia"/>
              </w:rPr>
              <w:t>（6）使用专用可调整的鼻托垫进行耳压平衡；</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（7）手持式，≥200 欧姆／重型前面板扬声器，带开／关控制，尺寸约：36cm*16.5cm*27cm。声音控制、噪音抑制和波段选择可以调节，标配手持式麦克风和无线通讯传感器电缆；</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9" w:hRule="atLeast"/>
        </w:trPr>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冰面行动辅助套装</w:t>
            </w:r>
          </w:p>
        </w:tc>
        <w:tc>
          <w:tcPr>
            <w:tcW w:w="103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2、适合救援人员开展冰面救援或者训练，并能与冰域防护服配套使用；</w:t>
            </w:r>
          </w:p>
          <w:p>
            <w:pPr>
              <w:keepNext w:val="0"/>
              <w:keepLines w:val="0"/>
              <w:widowControl/>
              <w:suppressLineNumbers w:val="0"/>
              <w:jc w:val="left"/>
              <w:textAlignment w:val="center"/>
              <w:rPr>
                <w:rFonts w:hint="eastAsia"/>
              </w:rPr>
            </w:pPr>
            <w:r>
              <w:rPr>
                <w:rFonts w:hint="eastAsia"/>
              </w:rPr>
              <w:t>3、技术参数：</w:t>
            </w:r>
          </w:p>
          <w:p>
            <w:pPr>
              <w:keepNext w:val="0"/>
              <w:keepLines w:val="0"/>
              <w:widowControl/>
              <w:suppressLineNumbers w:val="0"/>
              <w:jc w:val="left"/>
              <w:textAlignment w:val="center"/>
              <w:rPr>
                <w:rFonts w:hint="eastAsia"/>
              </w:rPr>
            </w:pPr>
            <w:r>
              <w:rPr>
                <w:rFonts w:hint="eastAsia"/>
              </w:rPr>
              <w:t>（1）冰爪：加强型12齿碎冰冰爪，材质：TPU橡胶+锰钢爪，适合鞋码：35-45码，规格：伸缩长度范围区间（19-28cm），收纳袋1个；</w:t>
            </w:r>
          </w:p>
          <w:p>
            <w:pPr>
              <w:keepNext w:val="0"/>
              <w:keepLines w:val="0"/>
              <w:widowControl/>
              <w:suppressLineNumbers w:val="0"/>
              <w:jc w:val="left"/>
              <w:textAlignment w:val="center"/>
              <w:rPr>
                <w:rFonts w:hint="eastAsia"/>
              </w:rPr>
            </w:pPr>
            <w:r>
              <w:rPr>
                <w:rFonts w:hint="eastAsia"/>
              </w:rPr>
              <w:t>（2）爬行辅助器：冰面救援爬行辅助器可以用于自救，也可以使施救人员更安全的靠近遇险人员，使用它可以在冰面上爬行的时候增大摩擦力。另外冰面救援爬行辅助器有附带的挂绳能与冰面救援服配套使用，施救人员可以用这个绳子将工具抛给已经跌入冰水里的遇险人员，10cm长的塑料把手中包含一个带有可伸缩保护鞘的2.5cm长的尖头，在两个把手之间有1.6m长的挂绳，里面有反光丝，在黑暗的环境下易于辨识；</w:t>
            </w:r>
          </w:p>
          <w:p>
            <w:pPr>
              <w:keepNext w:val="0"/>
              <w:keepLines w:val="0"/>
              <w:widowControl/>
              <w:suppressLineNumbers w:val="0"/>
              <w:jc w:val="left"/>
              <w:textAlignment w:val="center"/>
              <w:rPr>
                <w:rFonts w:hint="eastAsia"/>
              </w:rPr>
            </w:pPr>
            <w:r>
              <w:rPr>
                <w:rFonts w:hint="eastAsia"/>
              </w:rPr>
              <w:t>（3）冰镐：适用于大多数冰雪环境下攀冰、攀岩、登山时使用，冰镐手柄采用性能不低于热锻铝镁合金材质制作，冰镐镐尖用于雪山或者冰山的攀登，采用铝钼合金钢的材质制作，铲头用来在登山时清理道路上淤泥石头等东西，挂孔用于排泥，挂孔数量不低于两个，冰镐尾部有尖刺，锋利容易插入雪地和冰面；</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（4）冰锚：坚韧结实，采用超轻航空铝材质框架。质量：≤350g，带有孔洞，可以连接钢缆使用，长度：≥190mm。</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2" w:hRule="atLeast"/>
        </w:trPr>
        <w:tc>
          <w:tcPr>
            <w:tcW w:w="1140"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22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冰面救援滑板</w:t>
            </w:r>
          </w:p>
        </w:tc>
        <w:tc>
          <w:tcPr>
            <w:tcW w:w="103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rPr>
            </w:pPr>
            <w:r>
              <w:rPr>
                <w:rFonts w:hint="eastAsia"/>
              </w:rPr>
              <w:t>★1、符合国家相关标准；</w:t>
            </w:r>
          </w:p>
          <w:p>
            <w:pPr>
              <w:keepNext w:val="0"/>
              <w:keepLines w:val="0"/>
              <w:widowControl/>
              <w:suppressLineNumbers w:val="0"/>
              <w:jc w:val="left"/>
              <w:textAlignment w:val="center"/>
              <w:rPr>
                <w:rFonts w:hint="eastAsia"/>
              </w:rPr>
            </w:pPr>
            <w:r>
              <w:rPr>
                <w:rFonts w:hint="eastAsia"/>
              </w:rPr>
              <w:t>★2、适用于冰面、水面、湿地工作平台；</w:t>
            </w:r>
          </w:p>
          <w:p>
            <w:pPr>
              <w:keepNext w:val="0"/>
              <w:keepLines w:val="0"/>
              <w:widowControl/>
              <w:suppressLineNumbers w:val="0"/>
              <w:jc w:val="left"/>
              <w:textAlignment w:val="center"/>
              <w:rPr>
                <w:rFonts w:hint="eastAsia"/>
              </w:rPr>
            </w:pPr>
            <w:r>
              <w:rPr>
                <w:rFonts w:hint="eastAsia"/>
              </w:rPr>
              <w:t>3、技术参数：</w:t>
            </w:r>
          </w:p>
          <w:p>
            <w:pPr>
              <w:keepNext w:val="0"/>
              <w:keepLines w:val="0"/>
              <w:widowControl/>
              <w:suppressLineNumbers w:val="0"/>
              <w:jc w:val="left"/>
              <w:textAlignment w:val="center"/>
              <w:rPr>
                <w:rFonts w:hint="eastAsia"/>
              </w:rPr>
            </w:pPr>
            <w:r>
              <w:rPr>
                <w:rFonts w:hint="eastAsia"/>
              </w:rPr>
              <w:t>（1）展开尺寸：长≥3m，宽≥1m；</w:t>
            </w:r>
          </w:p>
          <w:p>
            <w:pPr>
              <w:keepNext w:val="0"/>
              <w:keepLines w:val="0"/>
              <w:widowControl/>
              <w:suppressLineNumbers w:val="0"/>
              <w:jc w:val="left"/>
              <w:textAlignment w:val="center"/>
              <w:rPr>
                <w:rFonts w:hint="eastAsia"/>
              </w:rPr>
            </w:pPr>
            <w:r>
              <w:rPr>
                <w:rFonts w:hint="eastAsia"/>
              </w:rPr>
              <w:t>（2）折叠尺寸：长≤1m，宽≤0.5m；</w:t>
            </w:r>
          </w:p>
          <w:p>
            <w:pPr>
              <w:keepNext w:val="0"/>
              <w:keepLines w:val="0"/>
              <w:widowControl/>
              <w:suppressLineNumbers w:val="0"/>
              <w:jc w:val="left"/>
              <w:textAlignment w:val="center"/>
              <w:rPr>
                <w:rFonts w:hint="eastAsia"/>
              </w:rPr>
            </w:pPr>
            <w:r>
              <w:rPr>
                <w:rFonts w:hint="eastAsia"/>
              </w:rPr>
              <w:t>（3）重量≤40kg；</w:t>
            </w:r>
          </w:p>
          <w:p>
            <w:pPr>
              <w:keepNext w:val="0"/>
              <w:keepLines w:val="0"/>
              <w:widowControl/>
              <w:suppressLineNumbers w:val="0"/>
              <w:jc w:val="left"/>
              <w:textAlignment w:val="center"/>
              <w:rPr>
                <w:rFonts w:hint="eastAsia"/>
              </w:rPr>
            </w:pPr>
            <w:r>
              <w:rPr>
                <w:rFonts w:hint="eastAsia"/>
              </w:rPr>
              <w:t>▲（4）非空心结构，正反板材之间带有支撑连接结构，防止充气后变形；</w:t>
            </w:r>
          </w:p>
          <w:p>
            <w:pPr>
              <w:keepNext w:val="0"/>
              <w:keepLines w:val="0"/>
              <w:widowControl/>
              <w:suppressLineNumbers w:val="0"/>
              <w:jc w:val="left"/>
              <w:textAlignment w:val="center"/>
              <w:rPr>
                <w:rFonts w:hint="eastAsia"/>
              </w:rPr>
            </w:pPr>
            <w:r>
              <w:rPr>
                <w:rFonts w:hint="eastAsia"/>
              </w:rPr>
              <w:t>▲（5）静态均衡承载浮力≥900kg；</w:t>
            </w:r>
          </w:p>
          <w:p>
            <w:pPr>
              <w:keepNext w:val="0"/>
              <w:keepLines w:val="0"/>
              <w:widowControl/>
              <w:suppressLineNumbers w:val="0"/>
              <w:jc w:val="left"/>
              <w:textAlignment w:val="center"/>
              <w:rPr>
                <w:rFonts w:hint="eastAsia"/>
              </w:rPr>
            </w:pPr>
            <w:r>
              <w:rPr>
                <w:rFonts w:hint="eastAsia"/>
              </w:rPr>
              <w:t>▲（6）带有充气气筒，也可以通过空气呼吸器充气，充气时间≤3min；</w:t>
            </w:r>
          </w:p>
          <w:p>
            <w:pPr>
              <w:keepNext w:val="0"/>
              <w:keepLines w:val="0"/>
              <w:widowControl/>
              <w:suppressLineNumbers w:val="0"/>
              <w:jc w:val="left"/>
              <w:textAlignment w:val="center"/>
              <w:rPr>
                <w:rFonts w:hint="eastAsia"/>
              </w:rPr>
            </w:pPr>
            <w:r>
              <w:rPr>
                <w:rFonts w:hint="eastAsia"/>
              </w:rPr>
              <w:t>（7）频闪灯，重量≤100g，频闪灯标准续航能力≥30h；</w:t>
            </w:r>
          </w:p>
          <w:p>
            <w:pPr>
              <w:keepNext w:val="0"/>
              <w:keepLines w:val="0"/>
              <w:widowControl/>
              <w:suppressLineNumbers w:val="0"/>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rPr>
              <w:t>4、具有永久性标志及产品数据标识。</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25</w:t>
            </w:r>
          </w:p>
        </w:tc>
      </w:tr>
    </w:tbl>
    <w:p>
      <w:pPr>
        <w:pStyle w:val="23"/>
        <w:jc w:val="center"/>
        <w:rPr>
          <w:rFonts w:hint="eastAsia" w:ascii="宋体" w:hAnsi="宋体" w:eastAsia="宋体" w:cs="宋体"/>
          <w:color w:val="auto"/>
          <w:sz w:val="22"/>
          <w:szCs w:val="22"/>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cols w:space="0" w:num="1"/>
          <w:docGrid w:type="linesAndChars" w:linePitch="319" w:charSpace="0"/>
        </w:sectPr>
      </w:pPr>
    </w:p>
    <w:p>
      <w:pPr>
        <w:keepNext w:val="0"/>
        <w:keepLines w:val="0"/>
        <w:widowControl/>
        <w:suppressLineNumbers w:val="0"/>
        <w:jc w:val="left"/>
        <w:textAlignment w:val="center"/>
        <w:rPr>
          <w:rFonts w:hint="eastAsia" w:ascii="宋体" w:hAnsi="宋体" w:eastAsia="宋体" w:cs="宋体"/>
          <w:color w:val="auto"/>
          <w:kern w:val="2"/>
          <w:sz w:val="24"/>
          <w:szCs w:val="24"/>
          <w:highlight w:val="none"/>
          <w:lang w:val="en-US" w:eastAsia="zh-CN" w:bidi="ar-SA"/>
        </w:rPr>
      </w:pPr>
    </w:p>
    <w:sectPr>
      <w:pgSz w:w="11906" w:h="16838"/>
      <w:pgMar w:top="1440" w:right="1803" w:bottom="1440" w:left="1803" w:header="851" w:footer="992" w:gutter="0"/>
      <w:pgBorders>
        <w:top w:val="none" w:sz="0" w:space="0"/>
        <w:left w:val="none" w:sz="0" w:space="0"/>
        <w:bottom w:val="none" w:sz="0" w:space="0"/>
        <w:right w:val="none" w:sz="0" w:space="0"/>
      </w:pgBorders>
      <w:cols w:space="0" w:num="1"/>
      <w:rtlGutter w:val="0"/>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Corbel"/>
    <w:panose1 w:val="00000000000000000000"/>
    <w:charset w:val="00"/>
    <w:family w:val="auto"/>
    <w:pitch w:val="default"/>
    <w:sig w:usb0="00000000" w:usb1="00000000" w:usb2="00000000" w:usb3="00000000" w:csb0="00040001" w:csb1="00000000"/>
  </w:font>
  <w:font w:name="方正黑体_GBK">
    <w:altName w:val="微软雅黑"/>
    <w:panose1 w:val="03000509000000000000"/>
    <w:charset w:val="86"/>
    <w:family w:val="auto"/>
    <w:pitch w:val="default"/>
    <w:sig w:usb0="00000000" w:usb1="0000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方正小标宋_GBK">
    <w:altName w:val="微软雅黑"/>
    <w:panose1 w:val="03000509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Corbel">
    <w:panose1 w:val="020B0503020204020204"/>
    <w:charset w:val="00"/>
    <w:family w:val="auto"/>
    <w:pitch w:val="default"/>
    <w:sig w:usb0="A00002EF" w:usb1="4000A44B"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7"/>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27</w:t>
                    </w:r>
                    <w:r>
                      <w:fldChar w:fldCharType="end"/>
                    </w:r>
                  </w:p>
                </w:txbxContent>
              </v:textbox>
            </v:shape>
          </w:pict>
        </mc:Fallback>
      </mc:AlternateConten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7"/>
                          </w:pPr>
                          <w:r>
                            <w:fldChar w:fldCharType="begin"/>
                          </w:r>
                          <w:r>
                            <w:instrText xml:space="preserve"> PAGE  \* MERGEFORMAT </w:instrText>
                          </w:r>
                          <w:r>
                            <w:fldChar w:fldCharType="separate"/>
                          </w:r>
                          <w:r>
                            <w:t>125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pPr>
                      <w:pStyle w:val="27"/>
                    </w:pPr>
                    <w:r>
                      <w:fldChar w:fldCharType="begin"/>
                    </w:r>
                    <w:r>
                      <w:instrText xml:space="preserve"> PAGE  \* MERGEFORMAT </w:instrText>
                    </w:r>
                    <w:r>
                      <w:fldChar w:fldCharType="separate"/>
                    </w:r>
                    <w:r>
                      <w:t>125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AF878"/>
    <w:multiLevelType w:val="singleLevel"/>
    <w:tmpl w:val="85CAF878"/>
    <w:lvl w:ilvl="0" w:tentative="0">
      <w:start w:val="2"/>
      <w:numFmt w:val="chineseCounting"/>
      <w:suff w:val="nothing"/>
      <w:lvlText w:val="%1、"/>
      <w:lvlJc w:val="left"/>
      <w:rPr>
        <w:rFonts w:hint="eastAsia"/>
      </w:rPr>
    </w:lvl>
  </w:abstractNum>
  <w:abstractNum w:abstractNumId="1">
    <w:nsid w:val="B07F54CC"/>
    <w:multiLevelType w:val="singleLevel"/>
    <w:tmpl w:val="B07F54CC"/>
    <w:lvl w:ilvl="0" w:tentative="0">
      <w:start w:val="1"/>
      <w:numFmt w:val="decimal"/>
      <w:suff w:val="space"/>
      <w:lvlText w:val="%1."/>
      <w:lvlJc w:val="left"/>
    </w:lvl>
  </w:abstractNum>
  <w:abstractNum w:abstractNumId="2">
    <w:nsid w:val="C0746057"/>
    <w:multiLevelType w:val="singleLevel"/>
    <w:tmpl w:val="C0746057"/>
    <w:lvl w:ilvl="0" w:tentative="0">
      <w:start w:val="1"/>
      <w:numFmt w:val="decimal"/>
      <w:lvlText w:val="%1."/>
      <w:lvlJc w:val="left"/>
      <w:pPr>
        <w:tabs>
          <w:tab w:val="left" w:pos="312"/>
        </w:tabs>
      </w:pPr>
    </w:lvl>
  </w:abstractNum>
  <w:abstractNum w:abstractNumId="3">
    <w:nsid w:val="D3D46D9D"/>
    <w:multiLevelType w:val="singleLevel"/>
    <w:tmpl w:val="D3D46D9D"/>
    <w:lvl w:ilvl="0" w:tentative="0">
      <w:start w:val="1"/>
      <w:numFmt w:val="decimal"/>
      <w:lvlText w:val="%1."/>
      <w:lvlJc w:val="left"/>
      <w:pPr>
        <w:tabs>
          <w:tab w:val="left" w:pos="312"/>
        </w:tabs>
      </w:pPr>
    </w:lvl>
  </w:abstractNum>
  <w:abstractNum w:abstractNumId="4">
    <w:nsid w:val="FB799847"/>
    <w:multiLevelType w:val="singleLevel"/>
    <w:tmpl w:val="FB799847"/>
    <w:lvl w:ilvl="0" w:tentative="0">
      <w:start w:val="1"/>
      <w:numFmt w:val="decimal"/>
      <w:lvlText w:val="%1."/>
      <w:lvlJc w:val="left"/>
      <w:pPr>
        <w:tabs>
          <w:tab w:val="left" w:pos="312"/>
        </w:tabs>
      </w:pPr>
    </w:lvl>
  </w:abstractNum>
  <w:abstractNum w:abstractNumId="5">
    <w:nsid w:val="FEC1CC46"/>
    <w:multiLevelType w:val="singleLevel"/>
    <w:tmpl w:val="FEC1CC46"/>
    <w:lvl w:ilvl="0" w:tentative="0">
      <w:start w:val="7"/>
      <w:numFmt w:val="chineseCounting"/>
      <w:suff w:val="nothing"/>
      <w:lvlText w:val="%1、"/>
      <w:lvlJc w:val="left"/>
      <w:rPr>
        <w:rFonts w:hint="eastAsia"/>
      </w:rPr>
    </w:lvl>
  </w:abstractNum>
  <w:abstractNum w:abstractNumId="6">
    <w:nsid w:val="06784D56"/>
    <w:multiLevelType w:val="singleLevel"/>
    <w:tmpl w:val="06784D56"/>
    <w:lvl w:ilvl="0" w:tentative="0">
      <w:start w:val="1"/>
      <w:numFmt w:val="upperLetter"/>
      <w:pStyle w:val="117"/>
      <w:lvlText w:val="附录%1."/>
      <w:lvlJc w:val="left"/>
      <w:pPr>
        <w:tabs>
          <w:tab w:val="left" w:pos="907"/>
        </w:tabs>
        <w:ind w:left="907" w:hanging="907"/>
      </w:pPr>
      <w:rPr>
        <w:rFonts w:hint="eastAsia"/>
      </w:rPr>
    </w:lvl>
  </w:abstractNum>
  <w:abstractNum w:abstractNumId="7">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2BC170F9"/>
    <w:multiLevelType w:val="singleLevel"/>
    <w:tmpl w:val="2BC170F9"/>
    <w:lvl w:ilvl="0" w:tentative="0">
      <w:start w:val="2"/>
      <w:numFmt w:val="decimal"/>
      <w:suff w:val="space"/>
      <w:lvlText w:val="%1."/>
      <w:lvlJc w:val="left"/>
    </w:lvl>
  </w:abstractNum>
  <w:abstractNum w:abstractNumId="9">
    <w:nsid w:val="3A15682F"/>
    <w:multiLevelType w:val="singleLevel"/>
    <w:tmpl w:val="3A15682F"/>
    <w:lvl w:ilvl="0" w:tentative="0">
      <w:start w:val="0"/>
      <w:numFmt w:val="none"/>
      <w:lvlText w:val=""/>
      <w:lvlJc w:val="left"/>
      <w:pPr>
        <w:tabs>
          <w:tab w:val="left" w:pos="360"/>
        </w:tabs>
      </w:p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2">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55"/>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13">
    <w:nsid w:val="4C0C1BFB"/>
    <w:multiLevelType w:val="singleLevel"/>
    <w:tmpl w:val="4C0C1BFB"/>
    <w:lvl w:ilvl="0" w:tentative="0">
      <w:start w:val="1"/>
      <w:numFmt w:val="decimal"/>
      <w:pStyle w:val="122"/>
      <w:lvlText w:val="（%1）"/>
      <w:lvlJc w:val="left"/>
      <w:pPr>
        <w:tabs>
          <w:tab w:val="left" w:pos="810"/>
        </w:tabs>
        <w:ind w:left="810" w:hanging="810"/>
      </w:pPr>
      <w:rPr>
        <w:rFonts w:hint="eastAsia"/>
      </w:rPr>
    </w:lvl>
  </w:abstractNum>
  <w:abstractNum w:abstractNumId="14">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num w:numId="1">
    <w:abstractNumId w:val="14"/>
  </w:num>
  <w:num w:numId="2">
    <w:abstractNumId w:val="12"/>
  </w:num>
  <w:num w:numId="3">
    <w:abstractNumId w:val="10"/>
  </w:num>
  <w:num w:numId="4">
    <w:abstractNumId w:val="11"/>
  </w:num>
  <w:num w:numId="5">
    <w:abstractNumId w:val="6"/>
  </w:num>
  <w:num w:numId="6">
    <w:abstractNumId w:val="13"/>
  </w:num>
  <w:num w:numId="7">
    <w:abstractNumId w:val="3"/>
  </w:num>
  <w:num w:numId="8">
    <w:abstractNumId w:val="1"/>
  </w:num>
  <w:num w:numId="9">
    <w:abstractNumId w:val="5"/>
  </w:num>
  <w:num w:numId="10">
    <w:abstractNumId w:val="2"/>
  </w:num>
  <w:num w:numId="11">
    <w:abstractNumId w:val="4"/>
  </w:num>
  <w:num w:numId="12">
    <w:abstractNumId w:val="8"/>
  </w:num>
  <w:num w:numId="13">
    <w:abstractNumId w:val="0"/>
  </w:num>
  <w:num w:numId="14">
    <w:abstractNumId w:val="7"/>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6"/>
  <w:drawingGridVerticalSpacing w:val="15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RlYTRiZDc2NjY4YTc3ZWEyMDlhNThjNGVhMjU2MWMifQ=="/>
    <w:docVar w:name="KSO_WPS_MARK_KEY" w:val="Ā"/>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39D"/>
    <w:rsid w:val="00033D51"/>
    <w:rsid w:val="00034EE1"/>
    <w:rsid w:val="000355B7"/>
    <w:rsid w:val="00035B84"/>
    <w:rsid w:val="00035DB5"/>
    <w:rsid w:val="00035FD3"/>
    <w:rsid w:val="0003628F"/>
    <w:rsid w:val="00036464"/>
    <w:rsid w:val="000368D5"/>
    <w:rsid w:val="000404B4"/>
    <w:rsid w:val="00041C0C"/>
    <w:rsid w:val="000426B0"/>
    <w:rsid w:val="000448ED"/>
    <w:rsid w:val="00045FCC"/>
    <w:rsid w:val="0004682D"/>
    <w:rsid w:val="00047D80"/>
    <w:rsid w:val="00050598"/>
    <w:rsid w:val="00050F3A"/>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307E"/>
    <w:rsid w:val="00073596"/>
    <w:rsid w:val="00075DBF"/>
    <w:rsid w:val="000760C9"/>
    <w:rsid w:val="00076450"/>
    <w:rsid w:val="00076D7B"/>
    <w:rsid w:val="00076DB5"/>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400"/>
    <w:rsid w:val="000D26C1"/>
    <w:rsid w:val="000D26D8"/>
    <w:rsid w:val="000D3A32"/>
    <w:rsid w:val="000D3CF7"/>
    <w:rsid w:val="000D3EE4"/>
    <w:rsid w:val="000D4D2B"/>
    <w:rsid w:val="000D6565"/>
    <w:rsid w:val="000D7692"/>
    <w:rsid w:val="000E0173"/>
    <w:rsid w:val="000E0F51"/>
    <w:rsid w:val="000E157E"/>
    <w:rsid w:val="000E1A22"/>
    <w:rsid w:val="000E5078"/>
    <w:rsid w:val="000E6A6F"/>
    <w:rsid w:val="000F0EB5"/>
    <w:rsid w:val="000F3923"/>
    <w:rsid w:val="000F4D9E"/>
    <w:rsid w:val="000F5242"/>
    <w:rsid w:val="000F5CDE"/>
    <w:rsid w:val="000F6E74"/>
    <w:rsid w:val="000F7537"/>
    <w:rsid w:val="00100053"/>
    <w:rsid w:val="00100A5E"/>
    <w:rsid w:val="00101DB7"/>
    <w:rsid w:val="00102619"/>
    <w:rsid w:val="00102D5E"/>
    <w:rsid w:val="00103454"/>
    <w:rsid w:val="00103E0B"/>
    <w:rsid w:val="00105903"/>
    <w:rsid w:val="00107536"/>
    <w:rsid w:val="001077C0"/>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881"/>
    <w:rsid w:val="001319ED"/>
    <w:rsid w:val="00131A58"/>
    <w:rsid w:val="001333E9"/>
    <w:rsid w:val="0013433C"/>
    <w:rsid w:val="00134831"/>
    <w:rsid w:val="001372D8"/>
    <w:rsid w:val="00140DFA"/>
    <w:rsid w:val="00141F88"/>
    <w:rsid w:val="0014204A"/>
    <w:rsid w:val="00143575"/>
    <w:rsid w:val="0014483C"/>
    <w:rsid w:val="00146F7C"/>
    <w:rsid w:val="001477FB"/>
    <w:rsid w:val="001510B7"/>
    <w:rsid w:val="0015158B"/>
    <w:rsid w:val="00151C50"/>
    <w:rsid w:val="001525DE"/>
    <w:rsid w:val="00152F20"/>
    <w:rsid w:val="00152FA5"/>
    <w:rsid w:val="001541B9"/>
    <w:rsid w:val="001544A4"/>
    <w:rsid w:val="0015497E"/>
    <w:rsid w:val="00154CA1"/>
    <w:rsid w:val="001551BF"/>
    <w:rsid w:val="0015531C"/>
    <w:rsid w:val="00155D52"/>
    <w:rsid w:val="00157E5B"/>
    <w:rsid w:val="00160AE5"/>
    <w:rsid w:val="001637D2"/>
    <w:rsid w:val="0016437E"/>
    <w:rsid w:val="00164C69"/>
    <w:rsid w:val="00165AF0"/>
    <w:rsid w:val="001667D0"/>
    <w:rsid w:val="00166EFF"/>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FDB"/>
    <w:rsid w:val="00204503"/>
    <w:rsid w:val="00204B0E"/>
    <w:rsid w:val="00207854"/>
    <w:rsid w:val="002114C5"/>
    <w:rsid w:val="0021150E"/>
    <w:rsid w:val="00211D84"/>
    <w:rsid w:val="002129B4"/>
    <w:rsid w:val="00213554"/>
    <w:rsid w:val="002135F1"/>
    <w:rsid w:val="00213952"/>
    <w:rsid w:val="0021413E"/>
    <w:rsid w:val="002150AA"/>
    <w:rsid w:val="00215D7A"/>
    <w:rsid w:val="0021681C"/>
    <w:rsid w:val="00216D78"/>
    <w:rsid w:val="0022068B"/>
    <w:rsid w:val="0022183A"/>
    <w:rsid w:val="00224BF6"/>
    <w:rsid w:val="00224D56"/>
    <w:rsid w:val="002250E1"/>
    <w:rsid w:val="0022514B"/>
    <w:rsid w:val="002251B2"/>
    <w:rsid w:val="00225592"/>
    <w:rsid w:val="00225C8B"/>
    <w:rsid w:val="00225CD5"/>
    <w:rsid w:val="00227982"/>
    <w:rsid w:val="00227C43"/>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7BD"/>
    <w:rsid w:val="00246C19"/>
    <w:rsid w:val="00250E77"/>
    <w:rsid w:val="002514DA"/>
    <w:rsid w:val="00252722"/>
    <w:rsid w:val="00252AA4"/>
    <w:rsid w:val="002537B2"/>
    <w:rsid w:val="00254207"/>
    <w:rsid w:val="00254B9B"/>
    <w:rsid w:val="00255C8D"/>
    <w:rsid w:val="00255FEB"/>
    <w:rsid w:val="00257A01"/>
    <w:rsid w:val="00261A7E"/>
    <w:rsid w:val="002623E9"/>
    <w:rsid w:val="0026387F"/>
    <w:rsid w:val="002640B2"/>
    <w:rsid w:val="0026470C"/>
    <w:rsid w:val="00264902"/>
    <w:rsid w:val="00264B13"/>
    <w:rsid w:val="00264D4D"/>
    <w:rsid w:val="00264FAC"/>
    <w:rsid w:val="002657FF"/>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6520"/>
    <w:rsid w:val="00296EE7"/>
    <w:rsid w:val="00297C93"/>
    <w:rsid w:val="002A006D"/>
    <w:rsid w:val="002A1B0C"/>
    <w:rsid w:val="002A35C8"/>
    <w:rsid w:val="002A67A6"/>
    <w:rsid w:val="002A693A"/>
    <w:rsid w:val="002A7962"/>
    <w:rsid w:val="002B06D1"/>
    <w:rsid w:val="002B084C"/>
    <w:rsid w:val="002B11E6"/>
    <w:rsid w:val="002B1B75"/>
    <w:rsid w:val="002B3E53"/>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80F"/>
    <w:rsid w:val="002F0B59"/>
    <w:rsid w:val="002F0E29"/>
    <w:rsid w:val="002F2018"/>
    <w:rsid w:val="002F3084"/>
    <w:rsid w:val="002F3C42"/>
    <w:rsid w:val="002F3DAA"/>
    <w:rsid w:val="002F45B0"/>
    <w:rsid w:val="002F56BB"/>
    <w:rsid w:val="002F57C5"/>
    <w:rsid w:val="002F5A9D"/>
    <w:rsid w:val="002F7C78"/>
    <w:rsid w:val="002F7F15"/>
    <w:rsid w:val="00302002"/>
    <w:rsid w:val="00303AB3"/>
    <w:rsid w:val="00303E18"/>
    <w:rsid w:val="00304294"/>
    <w:rsid w:val="003065CE"/>
    <w:rsid w:val="003077D7"/>
    <w:rsid w:val="00310052"/>
    <w:rsid w:val="003105BC"/>
    <w:rsid w:val="00310924"/>
    <w:rsid w:val="00310A49"/>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38EE"/>
    <w:rsid w:val="00325989"/>
    <w:rsid w:val="003267CD"/>
    <w:rsid w:val="00326BC1"/>
    <w:rsid w:val="003306B8"/>
    <w:rsid w:val="003306B9"/>
    <w:rsid w:val="003313D8"/>
    <w:rsid w:val="003320F3"/>
    <w:rsid w:val="003323B2"/>
    <w:rsid w:val="00332D6E"/>
    <w:rsid w:val="003346DE"/>
    <w:rsid w:val="00334AA9"/>
    <w:rsid w:val="00336151"/>
    <w:rsid w:val="0033681E"/>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B6D"/>
    <w:rsid w:val="00396C2C"/>
    <w:rsid w:val="0039729F"/>
    <w:rsid w:val="003979B3"/>
    <w:rsid w:val="003A0F75"/>
    <w:rsid w:val="003A1161"/>
    <w:rsid w:val="003A201F"/>
    <w:rsid w:val="003A2A26"/>
    <w:rsid w:val="003A359F"/>
    <w:rsid w:val="003A3E40"/>
    <w:rsid w:val="003A543B"/>
    <w:rsid w:val="003A56A9"/>
    <w:rsid w:val="003A6696"/>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68C"/>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E2B"/>
    <w:rsid w:val="003E7B57"/>
    <w:rsid w:val="003F0211"/>
    <w:rsid w:val="003F121A"/>
    <w:rsid w:val="003F28E4"/>
    <w:rsid w:val="003F421A"/>
    <w:rsid w:val="003F4303"/>
    <w:rsid w:val="003F4C69"/>
    <w:rsid w:val="003F518D"/>
    <w:rsid w:val="003F564E"/>
    <w:rsid w:val="003F5F28"/>
    <w:rsid w:val="003F5F35"/>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A00A9"/>
    <w:rsid w:val="004A147C"/>
    <w:rsid w:val="004A1507"/>
    <w:rsid w:val="004A16D9"/>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35DD"/>
    <w:rsid w:val="004C3779"/>
    <w:rsid w:val="004C44BC"/>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1641"/>
    <w:rsid w:val="004E1780"/>
    <w:rsid w:val="004E241E"/>
    <w:rsid w:val="004E2B96"/>
    <w:rsid w:val="004E3C48"/>
    <w:rsid w:val="004E3C8C"/>
    <w:rsid w:val="004E4069"/>
    <w:rsid w:val="004E42B6"/>
    <w:rsid w:val="004E59D5"/>
    <w:rsid w:val="004E7DFC"/>
    <w:rsid w:val="004F05EC"/>
    <w:rsid w:val="004F0B8C"/>
    <w:rsid w:val="004F0FA7"/>
    <w:rsid w:val="004F1130"/>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D2C"/>
    <w:rsid w:val="005056C0"/>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ABC"/>
    <w:rsid w:val="00525C95"/>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7558"/>
    <w:rsid w:val="00560104"/>
    <w:rsid w:val="0056019B"/>
    <w:rsid w:val="00560D0C"/>
    <w:rsid w:val="00560E9F"/>
    <w:rsid w:val="00561076"/>
    <w:rsid w:val="0056140C"/>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62F7"/>
    <w:rsid w:val="00587127"/>
    <w:rsid w:val="005879B9"/>
    <w:rsid w:val="00587EC6"/>
    <w:rsid w:val="00590EE1"/>
    <w:rsid w:val="00594762"/>
    <w:rsid w:val="00594C98"/>
    <w:rsid w:val="005957FD"/>
    <w:rsid w:val="00595D5A"/>
    <w:rsid w:val="00597277"/>
    <w:rsid w:val="00597651"/>
    <w:rsid w:val="00597C31"/>
    <w:rsid w:val="005A1802"/>
    <w:rsid w:val="005A1FD8"/>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526F"/>
    <w:rsid w:val="005C6801"/>
    <w:rsid w:val="005C7A3E"/>
    <w:rsid w:val="005C7DD2"/>
    <w:rsid w:val="005D197A"/>
    <w:rsid w:val="005D1C6C"/>
    <w:rsid w:val="005D27E4"/>
    <w:rsid w:val="005D2838"/>
    <w:rsid w:val="005D34D5"/>
    <w:rsid w:val="005D452A"/>
    <w:rsid w:val="005D59C2"/>
    <w:rsid w:val="005D6EFD"/>
    <w:rsid w:val="005D7200"/>
    <w:rsid w:val="005E1A40"/>
    <w:rsid w:val="005E22B7"/>
    <w:rsid w:val="005E232E"/>
    <w:rsid w:val="005E6055"/>
    <w:rsid w:val="005E79EF"/>
    <w:rsid w:val="005E7D55"/>
    <w:rsid w:val="005F0CA7"/>
    <w:rsid w:val="005F3081"/>
    <w:rsid w:val="005F3B87"/>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652B"/>
    <w:rsid w:val="00656E91"/>
    <w:rsid w:val="00657D19"/>
    <w:rsid w:val="006602B2"/>
    <w:rsid w:val="00660571"/>
    <w:rsid w:val="00661709"/>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45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53"/>
    <w:rsid w:val="006F0BB9"/>
    <w:rsid w:val="006F109E"/>
    <w:rsid w:val="006F1814"/>
    <w:rsid w:val="006F2BF0"/>
    <w:rsid w:val="006F4417"/>
    <w:rsid w:val="006F4A43"/>
    <w:rsid w:val="006F4C11"/>
    <w:rsid w:val="006F5368"/>
    <w:rsid w:val="006F60F7"/>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3908"/>
    <w:rsid w:val="00734AA6"/>
    <w:rsid w:val="00735288"/>
    <w:rsid w:val="00737EBA"/>
    <w:rsid w:val="007406DB"/>
    <w:rsid w:val="00740C8C"/>
    <w:rsid w:val="00741C51"/>
    <w:rsid w:val="007439BF"/>
    <w:rsid w:val="0074531B"/>
    <w:rsid w:val="0074572F"/>
    <w:rsid w:val="00745CA2"/>
    <w:rsid w:val="007501AF"/>
    <w:rsid w:val="00751574"/>
    <w:rsid w:val="007515CC"/>
    <w:rsid w:val="00752B83"/>
    <w:rsid w:val="00753568"/>
    <w:rsid w:val="00753D56"/>
    <w:rsid w:val="00755371"/>
    <w:rsid w:val="00755DF0"/>
    <w:rsid w:val="00761DEC"/>
    <w:rsid w:val="00762CE9"/>
    <w:rsid w:val="007638CF"/>
    <w:rsid w:val="0076480E"/>
    <w:rsid w:val="00766A0D"/>
    <w:rsid w:val="0076701E"/>
    <w:rsid w:val="00767FBB"/>
    <w:rsid w:val="007700D4"/>
    <w:rsid w:val="007703DD"/>
    <w:rsid w:val="007721EB"/>
    <w:rsid w:val="00774164"/>
    <w:rsid w:val="007743C6"/>
    <w:rsid w:val="00775A41"/>
    <w:rsid w:val="00777D52"/>
    <w:rsid w:val="00780CDB"/>
    <w:rsid w:val="00781A33"/>
    <w:rsid w:val="0078474D"/>
    <w:rsid w:val="00784763"/>
    <w:rsid w:val="00785A40"/>
    <w:rsid w:val="00790661"/>
    <w:rsid w:val="00791230"/>
    <w:rsid w:val="0079164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708C"/>
    <w:rsid w:val="007B7ABF"/>
    <w:rsid w:val="007C1569"/>
    <w:rsid w:val="007C4A2C"/>
    <w:rsid w:val="007D06B7"/>
    <w:rsid w:val="007D1506"/>
    <w:rsid w:val="007D40E2"/>
    <w:rsid w:val="007D490C"/>
    <w:rsid w:val="007D5132"/>
    <w:rsid w:val="007D5221"/>
    <w:rsid w:val="007D6351"/>
    <w:rsid w:val="007D68FB"/>
    <w:rsid w:val="007E1466"/>
    <w:rsid w:val="007E2571"/>
    <w:rsid w:val="007E302C"/>
    <w:rsid w:val="007E325F"/>
    <w:rsid w:val="007E4185"/>
    <w:rsid w:val="007E4A08"/>
    <w:rsid w:val="007E4FAB"/>
    <w:rsid w:val="007E5799"/>
    <w:rsid w:val="007E5A1C"/>
    <w:rsid w:val="007E5CFD"/>
    <w:rsid w:val="007E5DE0"/>
    <w:rsid w:val="007E7CC0"/>
    <w:rsid w:val="007E7E9F"/>
    <w:rsid w:val="007F2020"/>
    <w:rsid w:val="007F2FB0"/>
    <w:rsid w:val="007F4C3B"/>
    <w:rsid w:val="007F53E2"/>
    <w:rsid w:val="007F561B"/>
    <w:rsid w:val="007F5749"/>
    <w:rsid w:val="007F6AC8"/>
    <w:rsid w:val="007F6F33"/>
    <w:rsid w:val="00800BAC"/>
    <w:rsid w:val="00801272"/>
    <w:rsid w:val="0080467D"/>
    <w:rsid w:val="00805C95"/>
    <w:rsid w:val="00806153"/>
    <w:rsid w:val="008063C6"/>
    <w:rsid w:val="008063CB"/>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D0E"/>
    <w:rsid w:val="00826134"/>
    <w:rsid w:val="008263E2"/>
    <w:rsid w:val="00830585"/>
    <w:rsid w:val="00831B06"/>
    <w:rsid w:val="00832016"/>
    <w:rsid w:val="00832B8C"/>
    <w:rsid w:val="00832E5D"/>
    <w:rsid w:val="0083356B"/>
    <w:rsid w:val="008338D8"/>
    <w:rsid w:val="008355D4"/>
    <w:rsid w:val="008370C1"/>
    <w:rsid w:val="00842EAC"/>
    <w:rsid w:val="00843EED"/>
    <w:rsid w:val="0084407C"/>
    <w:rsid w:val="0084414A"/>
    <w:rsid w:val="00844875"/>
    <w:rsid w:val="00845A4C"/>
    <w:rsid w:val="00846062"/>
    <w:rsid w:val="0084647B"/>
    <w:rsid w:val="0084796E"/>
    <w:rsid w:val="00850B80"/>
    <w:rsid w:val="00851E51"/>
    <w:rsid w:val="008520C9"/>
    <w:rsid w:val="008539C7"/>
    <w:rsid w:val="008547DC"/>
    <w:rsid w:val="00854A2D"/>
    <w:rsid w:val="00854A8D"/>
    <w:rsid w:val="008551BA"/>
    <w:rsid w:val="008568AC"/>
    <w:rsid w:val="008576EF"/>
    <w:rsid w:val="00860E5C"/>
    <w:rsid w:val="00861F00"/>
    <w:rsid w:val="0086232B"/>
    <w:rsid w:val="00863D85"/>
    <w:rsid w:val="00864C9C"/>
    <w:rsid w:val="008659D6"/>
    <w:rsid w:val="00866672"/>
    <w:rsid w:val="0086712E"/>
    <w:rsid w:val="00870AAD"/>
    <w:rsid w:val="008715E0"/>
    <w:rsid w:val="00874BAB"/>
    <w:rsid w:val="00875931"/>
    <w:rsid w:val="00876248"/>
    <w:rsid w:val="0087713C"/>
    <w:rsid w:val="0087740E"/>
    <w:rsid w:val="00880159"/>
    <w:rsid w:val="0088393E"/>
    <w:rsid w:val="00885FC4"/>
    <w:rsid w:val="00886D12"/>
    <w:rsid w:val="00886F84"/>
    <w:rsid w:val="00887E94"/>
    <w:rsid w:val="008928E6"/>
    <w:rsid w:val="00892DC1"/>
    <w:rsid w:val="0089354A"/>
    <w:rsid w:val="00894558"/>
    <w:rsid w:val="0089738C"/>
    <w:rsid w:val="008A004C"/>
    <w:rsid w:val="008A067E"/>
    <w:rsid w:val="008A0C4A"/>
    <w:rsid w:val="008A1810"/>
    <w:rsid w:val="008A212F"/>
    <w:rsid w:val="008A21EC"/>
    <w:rsid w:val="008A291B"/>
    <w:rsid w:val="008A318E"/>
    <w:rsid w:val="008A70C8"/>
    <w:rsid w:val="008A793D"/>
    <w:rsid w:val="008A7B56"/>
    <w:rsid w:val="008B0885"/>
    <w:rsid w:val="008B3B09"/>
    <w:rsid w:val="008B4097"/>
    <w:rsid w:val="008B45DD"/>
    <w:rsid w:val="008B48DE"/>
    <w:rsid w:val="008C0EFC"/>
    <w:rsid w:val="008C1620"/>
    <w:rsid w:val="008C294F"/>
    <w:rsid w:val="008C2A57"/>
    <w:rsid w:val="008C399B"/>
    <w:rsid w:val="008C4171"/>
    <w:rsid w:val="008C429A"/>
    <w:rsid w:val="008C675A"/>
    <w:rsid w:val="008C70A7"/>
    <w:rsid w:val="008C7BF9"/>
    <w:rsid w:val="008D055B"/>
    <w:rsid w:val="008D199A"/>
    <w:rsid w:val="008D29E2"/>
    <w:rsid w:val="008D2D5F"/>
    <w:rsid w:val="008D4366"/>
    <w:rsid w:val="008D46B1"/>
    <w:rsid w:val="008D7C24"/>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1675"/>
    <w:rsid w:val="00902139"/>
    <w:rsid w:val="00902461"/>
    <w:rsid w:val="00902860"/>
    <w:rsid w:val="00902884"/>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22B0"/>
    <w:rsid w:val="00923406"/>
    <w:rsid w:val="0092428A"/>
    <w:rsid w:val="0092484B"/>
    <w:rsid w:val="009249B4"/>
    <w:rsid w:val="00927DDF"/>
    <w:rsid w:val="00927FE6"/>
    <w:rsid w:val="009310E4"/>
    <w:rsid w:val="009316D2"/>
    <w:rsid w:val="00931CE7"/>
    <w:rsid w:val="009334EE"/>
    <w:rsid w:val="00935971"/>
    <w:rsid w:val="009364DE"/>
    <w:rsid w:val="00936B2E"/>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1EC8"/>
    <w:rsid w:val="009625D4"/>
    <w:rsid w:val="009631FA"/>
    <w:rsid w:val="0096362C"/>
    <w:rsid w:val="00965AEC"/>
    <w:rsid w:val="009668C2"/>
    <w:rsid w:val="00967B62"/>
    <w:rsid w:val="0097077D"/>
    <w:rsid w:val="00971E52"/>
    <w:rsid w:val="00971FF7"/>
    <w:rsid w:val="00972AF9"/>
    <w:rsid w:val="00974F8C"/>
    <w:rsid w:val="00975A18"/>
    <w:rsid w:val="00976082"/>
    <w:rsid w:val="00976359"/>
    <w:rsid w:val="009770AB"/>
    <w:rsid w:val="009803F5"/>
    <w:rsid w:val="009810FC"/>
    <w:rsid w:val="00981AED"/>
    <w:rsid w:val="0098223A"/>
    <w:rsid w:val="00982397"/>
    <w:rsid w:val="009828F8"/>
    <w:rsid w:val="00982C4F"/>
    <w:rsid w:val="009835BB"/>
    <w:rsid w:val="00983904"/>
    <w:rsid w:val="0098642B"/>
    <w:rsid w:val="00987188"/>
    <w:rsid w:val="00987369"/>
    <w:rsid w:val="00987EEB"/>
    <w:rsid w:val="00990589"/>
    <w:rsid w:val="00990672"/>
    <w:rsid w:val="00990CF7"/>
    <w:rsid w:val="00992D59"/>
    <w:rsid w:val="00994812"/>
    <w:rsid w:val="009948ED"/>
    <w:rsid w:val="00995AF3"/>
    <w:rsid w:val="00995B1C"/>
    <w:rsid w:val="0099603D"/>
    <w:rsid w:val="009A0FE1"/>
    <w:rsid w:val="009A1207"/>
    <w:rsid w:val="009A12CC"/>
    <w:rsid w:val="009A1E6A"/>
    <w:rsid w:val="009A322D"/>
    <w:rsid w:val="009A4021"/>
    <w:rsid w:val="009A5A12"/>
    <w:rsid w:val="009A5E63"/>
    <w:rsid w:val="009A6055"/>
    <w:rsid w:val="009A6718"/>
    <w:rsid w:val="009A6AA0"/>
    <w:rsid w:val="009B00F8"/>
    <w:rsid w:val="009B0EBA"/>
    <w:rsid w:val="009B2512"/>
    <w:rsid w:val="009B4072"/>
    <w:rsid w:val="009B4657"/>
    <w:rsid w:val="009B5096"/>
    <w:rsid w:val="009B79E5"/>
    <w:rsid w:val="009B7E34"/>
    <w:rsid w:val="009B7FEF"/>
    <w:rsid w:val="009C2B21"/>
    <w:rsid w:val="009C2BC4"/>
    <w:rsid w:val="009C3CC4"/>
    <w:rsid w:val="009C4D7A"/>
    <w:rsid w:val="009C57D2"/>
    <w:rsid w:val="009C6D07"/>
    <w:rsid w:val="009C7CC2"/>
    <w:rsid w:val="009D18C4"/>
    <w:rsid w:val="009D4829"/>
    <w:rsid w:val="009D4EA6"/>
    <w:rsid w:val="009D4EB3"/>
    <w:rsid w:val="009D4F38"/>
    <w:rsid w:val="009D6298"/>
    <w:rsid w:val="009D6481"/>
    <w:rsid w:val="009D6C9B"/>
    <w:rsid w:val="009D7D5C"/>
    <w:rsid w:val="009D7F85"/>
    <w:rsid w:val="009E50F7"/>
    <w:rsid w:val="009E7800"/>
    <w:rsid w:val="009F3B3B"/>
    <w:rsid w:val="009F512E"/>
    <w:rsid w:val="009F7CB7"/>
    <w:rsid w:val="00A00F8D"/>
    <w:rsid w:val="00A019F4"/>
    <w:rsid w:val="00A01BA0"/>
    <w:rsid w:val="00A02040"/>
    <w:rsid w:val="00A02D65"/>
    <w:rsid w:val="00A0357B"/>
    <w:rsid w:val="00A037B8"/>
    <w:rsid w:val="00A03C0A"/>
    <w:rsid w:val="00A03DE2"/>
    <w:rsid w:val="00A059FE"/>
    <w:rsid w:val="00A05F20"/>
    <w:rsid w:val="00A06AAA"/>
    <w:rsid w:val="00A11095"/>
    <w:rsid w:val="00A11229"/>
    <w:rsid w:val="00A122DF"/>
    <w:rsid w:val="00A12567"/>
    <w:rsid w:val="00A13BEA"/>
    <w:rsid w:val="00A14171"/>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987"/>
    <w:rsid w:val="00A63D7C"/>
    <w:rsid w:val="00A6507F"/>
    <w:rsid w:val="00A66FF6"/>
    <w:rsid w:val="00A70CA8"/>
    <w:rsid w:val="00A7113D"/>
    <w:rsid w:val="00A71E75"/>
    <w:rsid w:val="00A72E9B"/>
    <w:rsid w:val="00A747FA"/>
    <w:rsid w:val="00A74DBB"/>
    <w:rsid w:val="00A765DF"/>
    <w:rsid w:val="00A808DD"/>
    <w:rsid w:val="00A820A8"/>
    <w:rsid w:val="00A821B5"/>
    <w:rsid w:val="00A869AC"/>
    <w:rsid w:val="00A86C3B"/>
    <w:rsid w:val="00A87912"/>
    <w:rsid w:val="00A90070"/>
    <w:rsid w:val="00A90235"/>
    <w:rsid w:val="00A902F6"/>
    <w:rsid w:val="00A90BE2"/>
    <w:rsid w:val="00A90CBF"/>
    <w:rsid w:val="00A90E4D"/>
    <w:rsid w:val="00A93324"/>
    <w:rsid w:val="00A94729"/>
    <w:rsid w:val="00A970B8"/>
    <w:rsid w:val="00A97174"/>
    <w:rsid w:val="00AA0091"/>
    <w:rsid w:val="00AA00AD"/>
    <w:rsid w:val="00AA0803"/>
    <w:rsid w:val="00AA0888"/>
    <w:rsid w:val="00AA12D7"/>
    <w:rsid w:val="00AA3408"/>
    <w:rsid w:val="00AA45A7"/>
    <w:rsid w:val="00AA46B9"/>
    <w:rsid w:val="00AA4F80"/>
    <w:rsid w:val="00AA575E"/>
    <w:rsid w:val="00AA5ADD"/>
    <w:rsid w:val="00AA5D39"/>
    <w:rsid w:val="00AA650F"/>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42EE"/>
    <w:rsid w:val="00B0452E"/>
    <w:rsid w:val="00B05012"/>
    <w:rsid w:val="00B05BB3"/>
    <w:rsid w:val="00B060E2"/>
    <w:rsid w:val="00B10DDB"/>
    <w:rsid w:val="00B10F04"/>
    <w:rsid w:val="00B1130A"/>
    <w:rsid w:val="00B11DC0"/>
    <w:rsid w:val="00B12AF7"/>
    <w:rsid w:val="00B12BDA"/>
    <w:rsid w:val="00B13827"/>
    <w:rsid w:val="00B150F7"/>
    <w:rsid w:val="00B15380"/>
    <w:rsid w:val="00B175A0"/>
    <w:rsid w:val="00B20552"/>
    <w:rsid w:val="00B2069B"/>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738F"/>
    <w:rsid w:val="00B37C39"/>
    <w:rsid w:val="00B4071D"/>
    <w:rsid w:val="00B41D59"/>
    <w:rsid w:val="00B42AC5"/>
    <w:rsid w:val="00B43774"/>
    <w:rsid w:val="00B43C1B"/>
    <w:rsid w:val="00B444B6"/>
    <w:rsid w:val="00B44752"/>
    <w:rsid w:val="00B447B4"/>
    <w:rsid w:val="00B45AEE"/>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12CF"/>
    <w:rsid w:val="00B62EA8"/>
    <w:rsid w:val="00B63002"/>
    <w:rsid w:val="00B633C0"/>
    <w:rsid w:val="00B63FB6"/>
    <w:rsid w:val="00B64F87"/>
    <w:rsid w:val="00B64FE3"/>
    <w:rsid w:val="00B66533"/>
    <w:rsid w:val="00B66B50"/>
    <w:rsid w:val="00B6704D"/>
    <w:rsid w:val="00B67F4F"/>
    <w:rsid w:val="00B71427"/>
    <w:rsid w:val="00B71AD4"/>
    <w:rsid w:val="00B72829"/>
    <w:rsid w:val="00B72948"/>
    <w:rsid w:val="00B72DA5"/>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C43"/>
    <w:rsid w:val="00B83E72"/>
    <w:rsid w:val="00B851FB"/>
    <w:rsid w:val="00B873C2"/>
    <w:rsid w:val="00B908E7"/>
    <w:rsid w:val="00B93186"/>
    <w:rsid w:val="00B9472A"/>
    <w:rsid w:val="00B94780"/>
    <w:rsid w:val="00B974E5"/>
    <w:rsid w:val="00BA0A43"/>
    <w:rsid w:val="00BA2102"/>
    <w:rsid w:val="00BA4D63"/>
    <w:rsid w:val="00BA5793"/>
    <w:rsid w:val="00BA5C53"/>
    <w:rsid w:val="00BA6021"/>
    <w:rsid w:val="00BA6BC8"/>
    <w:rsid w:val="00BB0257"/>
    <w:rsid w:val="00BB0292"/>
    <w:rsid w:val="00BB02DB"/>
    <w:rsid w:val="00BB19B7"/>
    <w:rsid w:val="00BB32B8"/>
    <w:rsid w:val="00BB4322"/>
    <w:rsid w:val="00BB5B80"/>
    <w:rsid w:val="00BB60B8"/>
    <w:rsid w:val="00BC085E"/>
    <w:rsid w:val="00BC5FDF"/>
    <w:rsid w:val="00BC634D"/>
    <w:rsid w:val="00BC6E2A"/>
    <w:rsid w:val="00BC6E3B"/>
    <w:rsid w:val="00BC7FE9"/>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8B4"/>
    <w:rsid w:val="00BE5DB0"/>
    <w:rsid w:val="00BE766E"/>
    <w:rsid w:val="00BE7F6A"/>
    <w:rsid w:val="00BF0209"/>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F08"/>
    <w:rsid w:val="00C0268E"/>
    <w:rsid w:val="00C0358B"/>
    <w:rsid w:val="00C0449D"/>
    <w:rsid w:val="00C06083"/>
    <w:rsid w:val="00C064A7"/>
    <w:rsid w:val="00C102D6"/>
    <w:rsid w:val="00C103E2"/>
    <w:rsid w:val="00C110AA"/>
    <w:rsid w:val="00C11385"/>
    <w:rsid w:val="00C11843"/>
    <w:rsid w:val="00C11AF0"/>
    <w:rsid w:val="00C12152"/>
    <w:rsid w:val="00C1217A"/>
    <w:rsid w:val="00C12ED0"/>
    <w:rsid w:val="00C13613"/>
    <w:rsid w:val="00C14128"/>
    <w:rsid w:val="00C1468B"/>
    <w:rsid w:val="00C149A5"/>
    <w:rsid w:val="00C16CA0"/>
    <w:rsid w:val="00C2149B"/>
    <w:rsid w:val="00C22419"/>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7489"/>
    <w:rsid w:val="00C604BD"/>
    <w:rsid w:val="00C61872"/>
    <w:rsid w:val="00C61A15"/>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5E6A"/>
    <w:rsid w:val="00C77337"/>
    <w:rsid w:val="00C774C9"/>
    <w:rsid w:val="00C801A7"/>
    <w:rsid w:val="00C8036D"/>
    <w:rsid w:val="00C80841"/>
    <w:rsid w:val="00C80A33"/>
    <w:rsid w:val="00C80DCA"/>
    <w:rsid w:val="00C84E9B"/>
    <w:rsid w:val="00C86851"/>
    <w:rsid w:val="00C86BF0"/>
    <w:rsid w:val="00C923A0"/>
    <w:rsid w:val="00C926A4"/>
    <w:rsid w:val="00C92B56"/>
    <w:rsid w:val="00C930DF"/>
    <w:rsid w:val="00C93737"/>
    <w:rsid w:val="00C9402E"/>
    <w:rsid w:val="00C9461A"/>
    <w:rsid w:val="00C94F87"/>
    <w:rsid w:val="00C95C4E"/>
    <w:rsid w:val="00C969D1"/>
    <w:rsid w:val="00C9789E"/>
    <w:rsid w:val="00C97927"/>
    <w:rsid w:val="00C97A9F"/>
    <w:rsid w:val="00C97AE2"/>
    <w:rsid w:val="00CA0D6F"/>
    <w:rsid w:val="00CA33F8"/>
    <w:rsid w:val="00CA3732"/>
    <w:rsid w:val="00CA3A65"/>
    <w:rsid w:val="00CA584B"/>
    <w:rsid w:val="00CA735A"/>
    <w:rsid w:val="00CB04A4"/>
    <w:rsid w:val="00CB0C94"/>
    <w:rsid w:val="00CB28E7"/>
    <w:rsid w:val="00CB2DEE"/>
    <w:rsid w:val="00CB4260"/>
    <w:rsid w:val="00CB449E"/>
    <w:rsid w:val="00CB5475"/>
    <w:rsid w:val="00CB54F4"/>
    <w:rsid w:val="00CB5A5A"/>
    <w:rsid w:val="00CB5CA9"/>
    <w:rsid w:val="00CB649B"/>
    <w:rsid w:val="00CB6718"/>
    <w:rsid w:val="00CC0807"/>
    <w:rsid w:val="00CC0852"/>
    <w:rsid w:val="00CC09C8"/>
    <w:rsid w:val="00CC0DB4"/>
    <w:rsid w:val="00CC0DF1"/>
    <w:rsid w:val="00CC1DED"/>
    <w:rsid w:val="00CC1E5D"/>
    <w:rsid w:val="00CC257A"/>
    <w:rsid w:val="00CC2AA5"/>
    <w:rsid w:val="00CC48AC"/>
    <w:rsid w:val="00CC4CA4"/>
    <w:rsid w:val="00CC513F"/>
    <w:rsid w:val="00CC7B85"/>
    <w:rsid w:val="00CD17D5"/>
    <w:rsid w:val="00CD2D1F"/>
    <w:rsid w:val="00CD3B53"/>
    <w:rsid w:val="00CD3B69"/>
    <w:rsid w:val="00CD5B08"/>
    <w:rsid w:val="00CD5C8A"/>
    <w:rsid w:val="00CD76A5"/>
    <w:rsid w:val="00CD7BA5"/>
    <w:rsid w:val="00CE00D2"/>
    <w:rsid w:val="00CE08E1"/>
    <w:rsid w:val="00CE114E"/>
    <w:rsid w:val="00CE1389"/>
    <w:rsid w:val="00CE15BC"/>
    <w:rsid w:val="00CE27A9"/>
    <w:rsid w:val="00CE3355"/>
    <w:rsid w:val="00CE36C3"/>
    <w:rsid w:val="00CE43FB"/>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98A"/>
    <w:rsid w:val="00D0245A"/>
    <w:rsid w:val="00D03AF1"/>
    <w:rsid w:val="00D0437F"/>
    <w:rsid w:val="00D05470"/>
    <w:rsid w:val="00D06750"/>
    <w:rsid w:val="00D06C89"/>
    <w:rsid w:val="00D06FC1"/>
    <w:rsid w:val="00D06FE4"/>
    <w:rsid w:val="00D106B9"/>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1430"/>
    <w:rsid w:val="00D33ACB"/>
    <w:rsid w:val="00D352A3"/>
    <w:rsid w:val="00D363FD"/>
    <w:rsid w:val="00D37234"/>
    <w:rsid w:val="00D37FE6"/>
    <w:rsid w:val="00D4096C"/>
    <w:rsid w:val="00D40EB1"/>
    <w:rsid w:val="00D416E3"/>
    <w:rsid w:val="00D41EDC"/>
    <w:rsid w:val="00D41F7E"/>
    <w:rsid w:val="00D428A0"/>
    <w:rsid w:val="00D43564"/>
    <w:rsid w:val="00D43750"/>
    <w:rsid w:val="00D44AF3"/>
    <w:rsid w:val="00D4667B"/>
    <w:rsid w:val="00D47001"/>
    <w:rsid w:val="00D5001E"/>
    <w:rsid w:val="00D504EE"/>
    <w:rsid w:val="00D51AFA"/>
    <w:rsid w:val="00D51B3B"/>
    <w:rsid w:val="00D52153"/>
    <w:rsid w:val="00D52403"/>
    <w:rsid w:val="00D5327B"/>
    <w:rsid w:val="00D5379A"/>
    <w:rsid w:val="00D55F4E"/>
    <w:rsid w:val="00D565C9"/>
    <w:rsid w:val="00D57629"/>
    <w:rsid w:val="00D60878"/>
    <w:rsid w:val="00D60ECA"/>
    <w:rsid w:val="00D63683"/>
    <w:rsid w:val="00D63B86"/>
    <w:rsid w:val="00D64531"/>
    <w:rsid w:val="00D647E8"/>
    <w:rsid w:val="00D64944"/>
    <w:rsid w:val="00D664E3"/>
    <w:rsid w:val="00D67710"/>
    <w:rsid w:val="00D71906"/>
    <w:rsid w:val="00D7435C"/>
    <w:rsid w:val="00D74539"/>
    <w:rsid w:val="00D74984"/>
    <w:rsid w:val="00D750F5"/>
    <w:rsid w:val="00D775DD"/>
    <w:rsid w:val="00D775EF"/>
    <w:rsid w:val="00D77E69"/>
    <w:rsid w:val="00D803E8"/>
    <w:rsid w:val="00D805DB"/>
    <w:rsid w:val="00D819E2"/>
    <w:rsid w:val="00D822F1"/>
    <w:rsid w:val="00D824F4"/>
    <w:rsid w:val="00D8372F"/>
    <w:rsid w:val="00D84905"/>
    <w:rsid w:val="00D90332"/>
    <w:rsid w:val="00D9073B"/>
    <w:rsid w:val="00D9264B"/>
    <w:rsid w:val="00D92988"/>
    <w:rsid w:val="00D9377B"/>
    <w:rsid w:val="00D94EAB"/>
    <w:rsid w:val="00D95DB2"/>
    <w:rsid w:val="00D96031"/>
    <w:rsid w:val="00D96ABC"/>
    <w:rsid w:val="00D9727A"/>
    <w:rsid w:val="00D97622"/>
    <w:rsid w:val="00DA003A"/>
    <w:rsid w:val="00DA2415"/>
    <w:rsid w:val="00DA27AF"/>
    <w:rsid w:val="00DA3A59"/>
    <w:rsid w:val="00DA3CED"/>
    <w:rsid w:val="00DA421F"/>
    <w:rsid w:val="00DA5D20"/>
    <w:rsid w:val="00DA6586"/>
    <w:rsid w:val="00DA66CE"/>
    <w:rsid w:val="00DA6B93"/>
    <w:rsid w:val="00DB0DF4"/>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6E5D"/>
    <w:rsid w:val="00DD6EBE"/>
    <w:rsid w:val="00DD7087"/>
    <w:rsid w:val="00DD76FD"/>
    <w:rsid w:val="00DE106B"/>
    <w:rsid w:val="00DE19C0"/>
    <w:rsid w:val="00DE2F57"/>
    <w:rsid w:val="00DE30B0"/>
    <w:rsid w:val="00DE496D"/>
    <w:rsid w:val="00DE4D98"/>
    <w:rsid w:val="00DE515C"/>
    <w:rsid w:val="00DE5BB1"/>
    <w:rsid w:val="00DE60C5"/>
    <w:rsid w:val="00DE6E8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2FFC"/>
    <w:rsid w:val="00E233FF"/>
    <w:rsid w:val="00E23836"/>
    <w:rsid w:val="00E2403C"/>
    <w:rsid w:val="00E25019"/>
    <w:rsid w:val="00E2511A"/>
    <w:rsid w:val="00E258C4"/>
    <w:rsid w:val="00E27092"/>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2A0C"/>
    <w:rsid w:val="00E4567F"/>
    <w:rsid w:val="00E4613C"/>
    <w:rsid w:val="00E46249"/>
    <w:rsid w:val="00E4629B"/>
    <w:rsid w:val="00E478EE"/>
    <w:rsid w:val="00E51CE6"/>
    <w:rsid w:val="00E5230E"/>
    <w:rsid w:val="00E52D43"/>
    <w:rsid w:val="00E540B0"/>
    <w:rsid w:val="00E54D0D"/>
    <w:rsid w:val="00E5551B"/>
    <w:rsid w:val="00E55610"/>
    <w:rsid w:val="00E558FB"/>
    <w:rsid w:val="00E562AB"/>
    <w:rsid w:val="00E56C8B"/>
    <w:rsid w:val="00E57705"/>
    <w:rsid w:val="00E601A3"/>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47B3"/>
    <w:rsid w:val="00E74A51"/>
    <w:rsid w:val="00E75210"/>
    <w:rsid w:val="00E76839"/>
    <w:rsid w:val="00E77326"/>
    <w:rsid w:val="00E800B0"/>
    <w:rsid w:val="00E81067"/>
    <w:rsid w:val="00E810A8"/>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58C"/>
    <w:rsid w:val="00EA0F0F"/>
    <w:rsid w:val="00EA1E79"/>
    <w:rsid w:val="00EA3015"/>
    <w:rsid w:val="00EA33D9"/>
    <w:rsid w:val="00EA3579"/>
    <w:rsid w:val="00EA3B1D"/>
    <w:rsid w:val="00EA3B91"/>
    <w:rsid w:val="00EA3FFB"/>
    <w:rsid w:val="00EA49EF"/>
    <w:rsid w:val="00EA4A0F"/>
    <w:rsid w:val="00EA6769"/>
    <w:rsid w:val="00EA6BFD"/>
    <w:rsid w:val="00EA71ED"/>
    <w:rsid w:val="00EB0ADA"/>
    <w:rsid w:val="00EB18C1"/>
    <w:rsid w:val="00EB3DA1"/>
    <w:rsid w:val="00EB3ED3"/>
    <w:rsid w:val="00EB447F"/>
    <w:rsid w:val="00EB44E2"/>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AB9"/>
    <w:rsid w:val="00ED7FA7"/>
    <w:rsid w:val="00EE0555"/>
    <w:rsid w:val="00EE3ED6"/>
    <w:rsid w:val="00EE5504"/>
    <w:rsid w:val="00EE6C71"/>
    <w:rsid w:val="00EE7B20"/>
    <w:rsid w:val="00EF0017"/>
    <w:rsid w:val="00EF21B3"/>
    <w:rsid w:val="00EF2464"/>
    <w:rsid w:val="00EF2999"/>
    <w:rsid w:val="00EF2C5B"/>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2B32"/>
    <w:rsid w:val="00F1330A"/>
    <w:rsid w:val="00F14F0B"/>
    <w:rsid w:val="00F15061"/>
    <w:rsid w:val="00F150FA"/>
    <w:rsid w:val="00F15826"/>
    <w:rsid w:val="00F203D0"/>
    <w:rsid w:val="00F20A51"/>
    <w:rsid w:val="00F2131E"/>
    <w:rsid w:val="00F22F9D"/>
    <w:rsid w:val="00F23C3B"/>
    <w:rsid w:val="00F243B5"/>
    <w:rsid w:val="00F26400"/>
    <w:rsid w:val="00F30066"/>
    <w:rsid w:val="00F31969"/>
    <w:rsid w:val="00F32880"/>
    <w:rsid w:val="00F32D9A"/>
    <w:rsid w:val="00F334FF"/>
    <w:rsid w:val="00F33A69"/>
    <w:rsid w:val="00F368DF"/>
    <w:rsid w:val="00F370C1"/>
    <w:rsid w:val="00F40D6E"/>
    <w:rsid w:val="00F4207B"/>
    <w:rsid w:val="00F4475E"/>
    <w:rsid w:val="00F44C48"/>
    <w:rsid w:val="00F44C84"/>
    <w:rsid w:val="00F44EF3"/>
    <w:rsid w:val="00F44F67"/>
    <w:rsid w:val="00F4581C"/>
    <w:rsid w:val="00F4684B"/>
    <w:rsid w:val="00F505B0"/>
    <w:rsid w:val="00F5105B"/>
    <w:rsid w:val="00F511B6"/>
    <w:rsid w:val="00F524CD"/>
    <w:rsid w:val="00F52998"/>
    <w:rsid w:val="00F53CA2"/>
    <w:rsid w:val="00F5401C"/>
    <w:rsid w:val="00F542CA"/>
    <w:rsid w:val="00F5466F"/>
    <w:rsid w:val="00F54DCB"/>
    <w:rsid w:val="00F56116"/>
    <w:rsid w:val="00F56661"/>
    <w:rsid w:val="00F56888"/>
    <w:rsid w:val="00F56C22"/>
    <w:rsid w:val="00F602FE"/>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2BF"/>
    <w:rsid w:val="00F748DD"/>
    <w:rsid w:val="00F753A9"/>
    <w:rsid w:val="00F759D6"/>
    <w:rsid w:val="00F75E96"/>
    <w:rsid w:val="00F766B8"/>
    <w:rsid w:val="00F77D9D"/>
    <w:rsid w:val="00F77FA4"/>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DE9"/>
    <w:rsid w:val="00FA09E1"/>
    <w:rsid w:val="00FA15BA"/>
    <w:rsid w:val="00FA2C0E"/>
    <w:rsid w:val="00FA3DAE"/>
    <w:rsid w:val="00FA4D54"/>
    <w:rsid w:val="00FA5745"/>
    <w:rsid w:val="00FA67C1"/>
    <w:rsid w:val="00FA7FE2"/>
    <w:rsid w:val="00FB1683"/>
    <w:rsid w:val="00FB3149"/>
    <w:rsid w:val="00FB391B"/>
    <w:rsid w:val="00FB402B"/>
    <w:rsid w:val="00FB40CB"/>
    <w:rsid w:val="00FB4175"/>
    <w:rsid w:val="00FB457A"/>
    <w:rsid w:val="00FB629C"/>
    <w:rsid w:val="00FB772E"/>
    <w:rsid w:val="00FB7E93"/>
    <w:rsid w:val="00FB7F02"/>
    <w:rsid w:val="00FC0948"/>
    <w:rsid w:val="00FC188D"/>
    <w:rsid w:val="00FC4BB2"/>
    <w:rsid w:val="00FC6466"/>
    <w:rsid w:val="00FC796E"/>
    <w:rsid w:val="00FD104A"/>
    <w:rsid w:val="00FD207C"/>
    <w:rsid w:val="00FD2B77"/>
    <w:rsid w:val="00FD3E2A"/>
    <w:rsid w:val="00FD4832"/>
    <w:rsid w:val="00FD5311"/>
    <w:rsid w:val="00FD54C6"/>
    <w:rsid w:val="00FD6445"/>
    <w:rsid w:val="00FD7C18"/>
    <w:rsid w:val="00FE0503"/>
    <w:rsid w:val="00FE2A0B"/>
    <w:rsid w:val="00FE453C"/>
    <w:rsid w:val="00FE7430"/>
    <w:rsid w:val="00FF03A7"/>
    <w:rsid w:val="00FF0EE1"/>
    <w:rsid w:val="00FF1B23"/>
    <w:rsid w:val="00FF29B8"/>
    <w:rsid w:val="00FF2FAE"/>
    <w:rsid w:val="00FF38FA"/>
    <w:rsid w:val="00FF5B2A"/>
    <w:rsid w:val="00FF6DB0"/>
    <w:rsid w:val="00FF74FF"/>
    <w:rsid w:val="00FF76BA"/>
    <w:rsid w:val="01087389"/>
    <w:rsid w:val="01142947"/>
    <w:rsid w:val="01145609"/>
    <w:rsid w:val="011C0BE0"/>
    <w:rsid w:val="01200505"/>
    <w:rsid w:val="0122216F"/>
    <w:rsid w:val="012670EA"/>
    <w:rsid w:val="01325A8F"/>
    <w:rsid w:val="013516BE"/>
    <w:rsid w:val="01422176"/>
    <w:rsid w:val="014A0D22"/>
    <w:rsid w:val="016C2032"/>
    <w:rsid w:val="01747137"/>
    <w:rsid w:val="017D4F5C"/>
    <w:rsid w:val="017E3632"/>
    <w:rsid w:val="01BB5FED"/>
    <w:rsid w:val="01C012ED"/>
    <w:rsid w:val="01D54D98"/>
    <w:rsid w:val="01DA43BC"/>
    <w:rsid w:val="01FB1BFF"/>
    <w:rsid w:val="0205056A"/>
    <w:rsid w:val="020B6BF9"/>
    <w:rsid w:val="02190BBE"/>
    <w:rsid w:val="021B6D21"/>
    <w:rsid w:val="02322F28"/>
    <w:rsid w:val="023B08EE"/>
    <w:rsid w:val="023F388C"/>
    <w:rsid w:val="02421CC3"/>
    <w:rsid w:val="024535A0"/>
    <w:rsid w:val="02561DE2"/>
    <w:rsid w:val="02624152"/>
    <w:rsid w:val="026305F6"/>
    <w:rsid w:val="02695A35"/>
    <w:rsid w:val="02725E2D"/>
    <w:rsid w:val="027D11A2"/>
    <w:rsid w:val="028227B2"/>
    <w:rsid w:val="0286314D"/>
    <w:rsid w:val="02935814"/>
    <w:rsid w:val="029E5B2D"/>
    <w:rsid w:val="02A0096B"/>
    <w:rsid w:val="02AE013F"/>
    <w:rsid w:val="02B04EBD"/>
    <w:rsid w:val="02B64DFD"/>
    <w:rsid w:val="02C1579F"/>
    <w:rsid w:val="02C32118"/>
    <w:rsid w:val="02CA6108"/>
    <w:rsid w:val="02D45050"/>
    <w:rsid w:val="02D60402"/>
    <w:rsid w:val="02D60F91"/>
    <w:rsid w:val="02D76984"/>
    <w:rsid w:val="02DA63DE"/>
    <w:rsid w:val="02E1151B"/>
    <w:rsid w:val="02E40D97"/>
    <w:rsid w:val="02E85072"/>
    <w:rsid w:val="02F333A9"/>
    <w:rsid w:val="02FB21AB"/>
    <w:rsid w:val="02FC0103"/>
    <w:rsid w:val="02FC6355"/>
    <w:rsid w:val="030247BA"/>
    <w:rsid w:val="030544FF"/>
    <w:rsid w:val="030671D3"/>
    <w:rsid w:val="030D0562"/>
    <w:rsid w:val="030D1793"/>
    <w:rsid w:val="030E29BA"/>
    <w:rsid w:val="0317318F"/>
    <w:rsid w:val="031831F2"/>
    <w:rsid w:val="032064E7"/>
    <w:rsid w:val="032F7F04"/>
    <w:rsid w:val="03357038"/>
    <w:rsid w:val="033A0C2B"/>
    <w:rsid w:val="03513633"/>
    <w:rsid w:val="035717DD"/>
    <w:rsid w:val="03654039"/>
    <w:rsid w:val="03663018"/>
    <w:rsid w:val="03704A13"/>
    <w:rsid w:val="037405E1"/>
    <w:rsid w:val="037D1336"/>
    <w:rsid w:val="038E120F"/>
    <w:rsid w:val="039E1095"/>
    <w:rsid w:val="03A30167"/>
    <w:rsid w:val="03A54CF2"/>
    <w:rsid w:val="03AA04B8"/>
    <w:rsid w:val="03AF714B"/>
    <w:rsid w:val="03B57082"/>
    <w:rsid w:val="03BE7AAE"/>
    <w:rsid w:val="03C345D9"/>
    <w:rsid w:val="03CD305E"/>
    <w:rsid w:val="03E80CD8"/>
    <w:rsid w:val="03EE48EF"/>
    <w:rsid w:val="03F11BF1"/>
    <w:rsid w:val="03F24DC9"/>
    <w:rsid w:val="03F34100"/>
    <w:rsid w:val="03F4702C"/>
    <w:rsid w:val="03FE2313"/>
    <w:rsid w:val="04133956"/>
    <w:rsid w:val="04161F26"/>
    <w:rsid w:val="04170DF7"/>
    <w:rsid w:val="04212517"/>
    <w:rsid w:val="042751F8"/>
    <w:rsid w:val="0430275A"/>
    <w:rsid w:val="0431202E"/>
    <w:rsid w:val="04320854"/>
    <w:rsid w:val="04365896"/>
    <w:rsid w:val="043D5D21"/>
    <w:rsid w:val="04483D61"/>
    <w:rsid w:val="045020EC"/>
    <w:rsid w:val="0458580D"/>
    <w:rsid w:val="046A53CB"/>
    <w:rsid w:val="04736563"/>
    <w:rsid w:val="047821E2"/>
    <w:rsid w:val="04947470"/>
    <w:rsid w:val="04B54A0D"/>
    <w:rsid w:val="04BC3145"/>
    <w:rsid w:val="04C40E62"/>
    <w:rsid w:val="04D66201"/>
    <w:rsid w:val="04D921EE"/>
    <w:rsid w:val="04DB2929"/>
    <w:rsid w:val="04FC3F5D"/>
    <w:rsid w:val="04FF5314"/>
    <w:rsid w:val="05010644"/>
    <w:rsid w:val="051313AC"/>
    <w:rsid w:val="05144C7F"/>
    <w:rsid w:val="052528BC"/>
    <w:rsid w:val="053013D0"/>
    <w:rsid w:val="05401924"/>
    <w:rsid w:val="0544423B"/>
    <w:rsid w:val="05542478"/>
    <w:rsid w:val="056612F2"/>
    <w:rsid w:val="056F72B2"/>
    <w:rsid w:val="057B42FE"/>
    <w:rsid w:val="05B37535"/>
    <w:rsid w:val="05D830A9"/>
    <w:rsid w:val="05DC08CF"/>
    <w:rsid w:val="05E31168"/>
    <w:rsid w:val="05E40F06"/>
    <w:rsid w:val="05EE467B"/>
    <w:rsid w:val="060646BB"/>
    <w:rsid w:val="06096F34"/>
    <w:rsid w:val="060E0879"/>
    <w:rsid w:val="061340E1"/>
    <w:rsid w:val="061C53B3"/>
    <w:rsid w:val="064017F2"/>
    <w:rsid w:val="06427967"/>
    <w:rsid w:val="064737C1"/>
    <w:rsid w:val="064C13A1"/>
    <w:rsid w:val="064C314F"/>
    <w:rsid w:val="065B3392"/>
    <w:rsid w:val="065F10D4"/>
    <w:rsid w:val="06626E56"/>
    <w:rsid w:val="06636C72"/>
    <w:rsid w:val="066E1317"/>
    <w:rsid w:val="066F5090"/>
    <w:rsid w:val="0672304F"/>
    <w:rsid w:val="06835943"/>
    <w:rsid w:val="0686299B"/>
    <w:rsid w:val="068A2316"/>
    <w:rsid w:val="068C384C"/>
    <w:rsid w:val="068D21A7"/>
    <w:rsid w:val="069B4513"/>
    <w:rsid w:val="06A17F3E"/>
    <w:rsid w:val="06A20FC1"/>
    <w:rsid w:val="06A833F4"/>
    <w:rsid w:val="06B34496"/>
    <w:rsid w:val="06B66577"/>
    <w:rsid w:val="06B84C89"/>
    <w:rsid w:val="06B95AC7"/>
    <w:rsid w:val="06BE2AAF"/>
    <w:rsid w:val="06C158EB"/>
    <w:rsid w:val="06C74C9F"/>
    <w:rsid w:val="06CC3929"/>
    <w:rsid w:val="06CC7CBA"/>
    <w:rsid w:val="06CF60DB"/>
    <w:rsid w:val="06E82CFE"/>
    <w:rsid w:val="06F313BF"/>
    <w:rsid w:val="071C0C28"/>
    <w:rsid w:val="071C6FC5"/>
    <w:rsid w:val="073B74A1"/>
    <w:rsid w:val="074B379C"/>
    <w:rsid w:val="07561504"/>
    <w:rsid w:val="07565F25"/>
    <w:rsid w:val="075864F0"/>
    <w:rsid w:val="076C4500"/>
    <w:rsid w:val="07751C03"/>
    <w:rsid w:val="0777098F"/>
    <w:rsid w:val="0780281E"/>
    <w:rsid w:val="07841BEF"/>
    <w:rsid w:val="0786398B"/>
    <w:rsid w:val="078828AD"/>
    <w:rsid w:val="078932FF"/>
    <w:rsid w:val="07AA0244"/>
    <w:rsid w:val="07B224B6"/>
    <w:rsid w:val="07B5030F"/>
    <w:rsid w:val="07B75BB0"/>
    <w:rsid w:val="07BF3D6F"/>
    <w:rsid w:val="07CD4764"/>
    <w:rsid w:val="07D12B5A"/>
    <w:rsid w:val="07DD5D59"/>
    <w:rsid w:val="07E037EB"/>
    <w:rsid w:val="07E71830"/>
    <w:rsid w:val="07F53F9D"/>
    <w:rsid w:val="07F615C4"/>
    <w:rsid w:val="07FA0547"/>
    <w:rsid w:val="080571A2"/>
    <w:rsid w:val="080A2255"/>
    <w:rsid w:val="080D777F"/>
    <w:rsid w:val="0814117C"/>
    <w:rsid w:val="08241B4B"/>
    <w:rsid w:val="0828314D"/>
    <w:rsid w:val="084E0BD6"/>
    <w:rsid w:val="08503979"/>
    <w:rsid w:val="0858227F"/>
    <w:rsid w:val="085A158C"/>
    <w:rsid w:val="085D7497"/>
    <w:rsid w:val="08601134"/>
    <w:rsid w:val="086428B3"/>
    <w:rsid w:val="08656BD0"/>
    <w:rsid w:val="08730E67"/>
    <w:rsid w:val="087760D1"/>
    <w:rsid w:val="087B0710"/>
    <w:rsid w:val="08854A3B"/>
    <w:rsid w:val="088C3CD7"/>
    <w:rsid w:val="088F5575"/>
    <w:rsid w:val="0895702F"/>
    <w:rsid w:val="08986B20"/>
    <w:rsid w:val="089D7D7B"/>
    <w:rsid w:val="08B35707"/>
    <w:rsid w:val="08BA6A96"/>
    <w:rsid w:val="08CB6A6B"/>
    <w:rsid w:val="08DD6B03"/>
    <w:rsid w:val="08E43B0F"/>
    <w:rsid w:val="08E65ADD"/>
    <w:rsid w:val="08E753B1"/>
    <w:rsid w:val="08F71A98"/>
    <w:rsid w:val="08FF7DDD"/>
    <w:rsid w:val="090166A2"/>
    <w:rsid w:val="09022534"/>
    <w:rsid w:val="090441B5"/>
    <w:rsid w:val="090D5D07"/>
    <w:rsid w:val="0922667C"/>
    <w:rsid w:val="09275236"/>
    <w:rsid w:val="092B119A"/>
    <w:rsid w:val="09336848"/>
    <w:rsid w:val="0940385B"/>
    <w:rsid w:val="0941465B"/>
    <w:rsid w:val="094F6709"/>
    <w:rsid w:val="0952183D"/>
    <w:rsid w:val="09637930"/>
    <w:rsid w:val="09664528"/>
    <w:rsid w:val="096B5FE2"/>
    <w:rsid w:val="096C5C58"/>
    <w:rsid w:val="096D038B"/>
    <w:rsid w:val="097848B8"/>
    <w:rsid w:val="0983683C"/>
    <w:rsid w:val="09836C07"/>
    <w:rsid w:val="09853824"/>
    <w:rsid w:val="09985395"/>
    <w:rsid w:val="099F7FEA"/>
    <w:rsid w:val="09B65D38"/>
    <w:rsid w:val="09CA6BBD"/>
    <w:rsid w:val="09CB3C0A"/>
    <w:rsid w:val="09CB6A81"/>
    <w:rsid w:val="09D24C53"/>
    <w:rsid w:val="09EF672A"/>
    <w:rsid w:val="09FA3203"/>
    <w:rsid w:val="09FF7BFE"/>
    <w:rsid w:val="0A0B50CF"/>
    <w:rsid w:val="0A1977EC"/>
    <w:rsid w:val="0A374116"/>
    <w:rsid w:val="0A3D1A29"/>
    <w:rsid w:val="0A3F5CD9"/>
    <w:rsid w:val="0A4A5BF8"/>
    <w:rsid w:val="0A5A637B"/>
    <w:rsid w:val="0A5B1BB3"/>
    <w:rsid w:val="0A663B0A"/>
    <w:rsid w:val="0A69348C"/>
    <w:rsid w:val="0A6E4652"/>
    <w:rsid w:val="0A7809B7"/>
    <w:rsid w:val="0A7C228C"/>
    <w:rsid w:val="0A867835"/>
    <w:rsid w:val="0A9F4195"/>
    <w:rsid w:val="0AA536BF"/>
    <w:rsid w:val="0AA82F3B"/>
    <w:rsid w:val="0AB75001"/>
    <w:rsid w:val="0AC84167"/>
    <w:rsid w:val="0ACB0F48"/>
    <w:rsid w:val="0AD754CD"/>
    <w:rsid w:val="0AE83ED5"/>
    <w:rsid w:val="0AEC6CAF"/>
    <w:rsid w:val="0B043FF8"/>
    <w:rsid w:val="0B0634FA"/>
    <w:rsid w:val="0B087721"/>
    <w:rsid w:val="0B0C5CC4"/>
    <w:rsid w:val="0B1612A2"/>
    <w:rsid w:val="0B212588"/>
    <w:rsid w:val="0B217B56"/>
    <w:rsid w:val="0B2C6CAB"/>
    <w:rsid w:val="0B3F2C19"/>
    <w:rsid w:val="0B407F54"/>
    <w:rsid w:val="0B471759"/>
    <w:rsid w:val="0B5012DA"/>
    <w:rsid w:val="0B5148CF"/>
    <w:rsid w:val="0B523A95"/>
    <w:rsid w:val="0B5331D2"/>
    <w:rsid w:val="0B681ED1"/>
    <w:rsid w:val="0B6B22C9"/>
    <w:rsid w:val="0B6E5916"/>
    <w:rsid w:val="0B70168E"/>
    <w:rsid w:val="0B72147D"/>
    <w:rsid w:val="0B7725F4"/>
    <w:rsid w:val="0B8B2703"/>
    <w:rsid w:val="0B8D3F60"/>
    <w:rsid w:val="0B951D43"/>
    <w:rsid w:val="0B9A1F23"/>
    <w:rsid w:val="0B9B6EF1"/>
    <w:rsid w:val="0B9C1C9D"/>
    <w:rsid w:val="0BA706AC"/>
    <w:rsid w:val="0BB02E2A"/>
    <w:rsid w:val="0BB772BD"/>
    <w:rsid w:val="0BB8526F"/>
    <w:rsid w:val="0BC419DA"/>
    <w:rsid w:val="0BC71C64"/>
    <w:rsid w:val="0BC8644B"/>
    <w:rsid w:val="0BD53BE7"/>
    <w:rsid w:val="0BD55995"/>
    <w:rsid w:val="0BDB78F8"/>
    <w:rsid w:val="0BE5207C"/>
    <w:rsid w:val="0BF72442"/>
    <w:rsid w:val="0BFC49CA"/>
    <w:rsid w:val="0BFF7F8F"/>
    <w:rsid w:val="0C083EBF"/>
    <w:rsid w:val="0C1A74BA"/>
    <w:rsid w:val="0C22507E"/>
    <w:rsid w:val="0C2658DC"/>
    <w:rsid w:val="0C3410D8"/>
    <w:rsid w:val="0C410A25"/>
    <w:rsid w:val="0C477D93"/>
    <w:rsid w:val="0C526FE5"/>
    <w:rsid w:val="0C55652A"/>
    <w:rsid w:val="0C5D5223"/>
    <w:rsid w:val="0C5E1BFD"/>
    <w:rsid w:val="0C62191E"/>
    <w:rsid w:val="0C631F97"/>
    <w:rsid w:val="0C6A432F"/>
    <w:rsid w:val="0C7042B9"/>
    <w:rsid w:val="0C7512C7"/>
    <w:rsid w:val="0C776A4C"/>
    <w:rsid w:val="0C777867"/>
    <w:rsid w:val="0C793191"/>
    <w:rsid w:val="0C7B02EA"/>
    <w:rsid w:val="0C8F1FE8"/>
    <w:rsid w:val="0C937576"/>
    <w:rsid w:val="0C965124"/>
    <w:rsid w:val="0C992063"/>
    <w:rsid w:val="0C9F6118"/>
    <w:rsid w:val="0CA14B3C"/>
    <w:rsid w:val="0CC441C8"/>
    <w:rsid w:val="0CC51EAD"/>
    <w:rsid w:val="0CC53C5B"/>
    <w:rsid w:val="0CCA1272"/>
    <w:rsid w:val="0CCC4ED6"/>
    <w:rsid w:val="0CCD169F"/>
    <w:rsid w:val="0CCD5722"/>
    <w:rsid w:val="0CDC0754"/>
    <w:rsid w:val="0CE831C7"/>
    <w:rsid w:val="0D0208D3"/>
    <w:rsid w:val="0D033888"/>
    <w:rsid w:val="0D051E9D"/>
    <w:rsid w:val="0D091841"/>
    <w:rsid w:val="0D103128"/>
    <w:rsid w:val="0D197B03"/>
    <w:rsid w:val="0D1A0B50"/>
    <w:rsid w:val="0D2C070A"/>
    <w:rsid w:val="0D2C767A"/>
    <w:rsid w:val="0D3247FD"/>
    <w:rsid w:val="0D3E52A0"/>
    <w:rsid w:val="0D4F346B"/>
    <w:rsid w:val="0D5A0848"/>
    <w:rsid w:val="0D694F5F"/>
    <w:rsid w:val="0D6A79DB"/>
    <w:rsid w:val="0D7D62E4"/>
    <w:rsid w:val="0D821B4C"/>
    <w:rsid w:val="0D951880"/>
    <w:rsid w:val="0D9F26FE"/>
    <w:rsid w:val="0DA6181C"/>
    <w:rsid w:val="0DAE75C1"/>
    <w:rsid w:val="0DAF2A5B"/>
    <w:rsid w:val="0DB00D5C"/>
    <w:rsid w:val="0DB461AA"/>
    <w:rsid w:val="0DB8226D"/>
    <w:rsid w:val="0DB902A0"/>
    <w:rsid w:val="0DC85F26"/>
    <w:rsid w:val="0DD2548D"/>
    <w:rsid w:val="0DDF1BCC"/>
    <w:rsid w:val="0DDF6F9F"/>
    <w:rsid w:val="0DDF7BF6"/>
    <w:rsid w:val="0DE133C7"/>
    <w:rsid w:val="0DE657DA"/>
    <w:rsid w:val="0DE819AF"/>
    <w:rsid w:val="0DF03072"/>
    <w:rsid w:val="0DF4609D"/>
    <w:rsid w:val="0DF575E7"/>
    <w:rsid w:val="0E0B0E89"/>
    <w:rsid w:val="0E191823"/>
    <w:rsid w:val="0E227B23"/>
    <w:rsid w:val="0E2E708F"/>
    <w:rsid w:val="0E344BF5"/>
    <w:rsid w:val="0E370B89"/>
    <w:rsid w:val="0E3A292E"/>
    <w:rsid w:val="0E502AAA"/>
    <w:rsid w:val="0E5D364A"/>
    <w:rsid w:val="0E741495"/>
    <w:rsid w:val="0E8279D5"/>
    <w:rsid w:val="0EA33B28"/>
    <w:rsid w:val="0EA86FBB"/>
    <w:rsid w:val="0EA87391"/>
    <w:rsid w:val="0EA93835"/>
    <w:rsid w:val="0EB0506B"/>
    <w:rsid w:val="0EB94E40"/>
    <w:rsid w:val="0EC47347"/>
    <w:rsid w:val="0EC842D6"/>
    <w:rsid w:val="0ECC7523"/>
    <w:rsid w:val="0ED8416C"/>
    <w:rsid w:val="0ED939EE"/>
    <w:rsid w:val="0EDC71A3"/>
    <w:rsid w:val="0EE43BCF"/>
    <w:rsid w:val="0EEA02B1"/>
    <w:rsid w:val="0EED0C82"/>
    <w:rsid w:val="0EF42513"/>
    <w:rsid w:val="0EF94317"/>
    <w:rsid w:val="0EFC6C34"/>
    <w:rsid w:val="0F020558"/>
    <w:rsid w:val="0F052A35"/>
    <w:rsid w:val="0F18383B"/>
    <w:rsid w:val="0F196507"/>
    <w:rsid w:val="0F204B19"/>
    <w:rsid w:val="0F234C69"/>
    <w:rsid w:val="0F2D739E"/>
    <w:rsid w:val="0F2D7847"/>
    <w:rsid w:val="0F2E788D"/>
    <w:rsid w:val="0F343334"/>
    <w:rsid w:val="0F375BC5"/>
    <w:rsid w:val="0F3B242E"/>
    <w:rsid w:val="0F3B3452"/>
    <w:rsid w:val="0F4E2DD2"/>
    <w:rsid w:val="0F64150A"/>
    <w:rsid w:val="0F661A9F"/>
    <w:rsid w:val="0F6E05DA"/>
    <w:rsid w:val="0F8344AB"/>
    <w:rsid w:val="0F8632D3"/>
    <w:rsid w:val="0F8F1D65"/>
    <w:rsid w:val="0F915FE1"/>
    <w:rsid w:val="0F9C07C7"/>
    <w:rsid w:val="0F9C5147"/>
    <w:rsid w:val="0FA7589A"/>
    <w:rsid w:val="0FCE1079"/>
    <w:rsid w:val="0FCF7CD6"/>
    <w:rsid w:val="0FD757AD"/>
    <w:rsid w:val="0FDC6720"/>
    <w:rsid w:val="0FE07CC3"/>
    <w:rsid w:val="0FF44CA3"/>
    <w:rsid w:val="100173F2"/>
    <w:rsid w:val="1005338D"/>
    <w:rsid w:val="100B407B"/>
    <w:rsid w:val="100C4023"/>
    <w:rsid w:val="10120F66"/>
    <w:rsid w:val="10132D37"/>
    <w:rsid w:val="102121B6"/>
    <w:rsid w:val="102E22AB"/>
    <w:rsid w:val="10374E70"/>
    <w:rsid w:val="103A2F9B"/>
    <w:rsid w:val="103C085C"/>
    <w:rsid w:val="10466E61"/>
    <w:rsid w:val="104B26C9"/>
    <w:rsid w:val="10532861"/>
    <w:rsid w:val="1056229E"/>
    <w:rsid w:val="10606175"/>
    <w:rsid w:val="106D3EDC"/>
    <w:rsid w:val="10771710"/>
    <w:rsid w:val="109B3F51"/>
    <w:rsid w:val="10AA3894"/>
    <w:rsid w:val="10AC4127"/>
    <w:rsid w:val="10AD0C8E"/>
    <w:rsid w:val="10BE21EF"/>
    <w:rsid w:val="10C5422A"/>
    <w:rsid w:val="10CD7A41"/>
    <w:rsid w:val="10D601E5"/>
    <w:rsid w:val="10DB1C9F"/>
    <w:rsid w:val="10E45CE2"/>
    <w:rsid w:val="10F90377"/>
    <w:rsid w:val="10FB2BF7"/>
    <w:rsid w:val="110C7F5E"/>
    <w:rsid w:val="111431D1"/>
    <w:rsid w:val="112370A4"/>
    <w:rsid w:val="112C3B78"/>
    <w:rsid w:val="11397E86"/>
    <w:rsid w:val="113F131D"/>
    <w:rsid w:val="11402938"/>
    <w:rsid w:val="11512B20"/>
    <w:rsid w:val="115305C3"/>
    <w:rsid w:val="11563AAD"/>
    <w:rsid w:val="11610A29"/>
    <w:rsid w:val="11612247"/>
    <w:rsid w:val="11671A45"/>
    <w:rsid w:val="11682FBD"/>
    <w:rsid w:val="117046DB"/>
    <w:rsid w:val="117D4B05"/>
    <w:rsid w:val="119836EC"/>
    <w:rsid w:val="11992D75"/>
    <w:rsid w:val="11A93A6B"/>
    <w:rsid w:val="11A97B89"/>
    <w:rsid w:val="11AA3420"/>
    <w:rsid w:val="11B04EDA"/>
    <w:rsid w:val="11B147AE"/>
    <w:rsid w:val="11B54ED8"/>
    <w:rsid w:val="11B67893"/>
    <w:rsid w:val="11BD1C00"/>
    <w:rsid w:val="11BF511D"/>
    <w:rsid w:val="11C9491E"/>
    <w:rsid w:val="11CC15E8"/>
    <w:rsid w:val="11CE5425"/>
    <w:rsid w:val="11DD37F5"/>
    <w:rsid w:val="11E42DD6"/>
    <w:rsid w:val="11E701D0"/>
    <w:rsid w:val="11ED1B8B"/>
    <w:rsid w:val="11F40BF5"/>
    <w:rsid w:val="11FA5A8C"/>
    <w:rsid w:val="11FC73C1"/>
    <w:rsid w:val="121A67F7"/>
    <w:rsid w:val="121B3B70"/>
    <w:rsid w:val="121C4D18"/>
    <w:rsid w:val="12217B86"/>
    <w:rsid w:val="122300F0"/>
    <w:rsid w:val="12377FD1"/>
    <w:rsid w:val="123C043C"/>
    <w:rsid w:val="12485112"/>
    <w:rsid w:val="12495C37"/>
    <w:rsid w:val="124F3FCF"/>
    <w:rsid w:val="125F3B3E"/>
    <w:rsid w:val="12601EFA"/>
    <w:rsid w:val="126401D3"/>
    <w:rsid w:val="12662A16"/>
    <w:rsid w:val="12734291"/>
    <w:rsid w:val="127614B6"/>
    <w:rsid w:val="127F42ED"/>
    <w:rsid w:val="12917963"/>
    <w:rsid w:val="129206AA"/>
    <w:rsid w:val="12932067"/>
    <w:rsid w:val="12970D18"/>
    <w:rsid w:val="129E10BB"/>
    <w:rsid w:val="12A7080A"/>
    <w:rsid w:val="12A70C59"/>
    <w:rsid w:val="12B3472F"/>
    <w:rsid w:val="12C64289"/>
    <w:rsid w:val="12D1335A"/>
    <w:rsid w:val="12D13428"/>
    <w:rsid w:val="12D1659E"/>
    <w:rsid w:val="12D9220E"/>
    <w:rsid w:val="12DF77AA"/>
    <w:rsid w:val="12E02E18"/>
    <w:rsid w:val="12E35613"/>
    <w:rsid w:val="12EE26B4"/>
    <w:rsid w:val="12F64B6E"/>
    <w:rsid w:val="130059ED"/>
    <w:rsid w:val="13013A04"/>
    <w:rsid w:val="13031039"/>
    <w:rsid w:val="130A326B"/>
    <w:rsid w:val="130C25E4"/>
    <w:rsid w:val="13142C82"/>
    <w:rsid w:val="1320256D"/>
    <w:rsid w:val="1328186B"/>
    <w:rsid w:val="132E3653"/>
    <w:rsid w:val="132F4AB0"/>
    <w:rsid w:val="133B323C"/>
    <w:rsid w:val="133E409F"/>
    <w:rsid w:val="134279E1"/>
    <w:rsid w:val="13524BCD"/>
    <w:rsid w:val="13541569"/>
    <w:rsid w:val="135610DD"/>
    <w:rsid w:val="135B7BC8"/>
    <w:rsid w:val="135D4BEE"/>
    <w:rsid w:val="13600450"/>
    <w:rsid w:val="136649CE"/>
    <w:rsid w:val="13741F37"/>
    <w:rsid w:val="137D5290"/>
    <w:rsid w:val="137E5CEB"/>
    <w:rsid w:val="13866697"/>
    <w:rsid w:val="138A6784"/>
    <w:rsid w:val="13AA53FC"/>
    <w:rsid w:val="13AE5829"/>
    <w:rsid w:val="13C76879"/>
    <w:rsid w:val="13C90091"/>
    <w:rsid w:val="13D50C28"/>
    <w:rsid w:val="13D562D3"/>
    <w:rsid w:val="13DB0677"/>
    <w:rsid w:val="13EB044B"/>
    <w:rsid w:val="13EE3A98"/>
    <w:rsid w:val="13F31769"/>
    <w:rsid w:val="13FF65A9"/>
    <w:rsid w:val="142676D5"/>
    <w:rsid w:val="143F2545"/>
    <w:rsid w:val="1440200A"/>
    <w:rsid w:val="14462972"/>
    <w:rsid w:val="1450411B"/>
    <w:rsid w:val="1457788F"/>
    <w:rsid w:val="145C7AB8"/>
    <w:rsid w:val="14751C07"/>
    <w:rsid w:val="147B7D72"/>
    <w:rsid w:val="14940ACC"/>
    <w:rsid w:val="14A2036B"/>
    <w:rsid w:val="14A34882"/>
    <w:rsid w:val="14A6471E"/>
    <w:rsid w:val="14A81CBB"/>
    <w:rsid w:val="14AE1156"/>
    <w:rsid w:val="14CB13CC"/>
    <w:rsid w:val="14CE1DB8"/>
    <w:rsid w:val="14DC1B42"/>
    <w:rsid w:val="14DD1797"/>
    <w:rsid w:val="14DE2AC5"/>
    <w:rsid w:val="14EC1251"/>
    <w:rsid w:val="14F678B5"/>
    <w:rsid w:val="1500607F"/>
    <w:rsid w:val="15007F26"/>
    <w:rsid w:val="150263BE"/>
    <w:rsid w:val="15036EB4"/>
    <w:rsid w:val="150E74EA"/>
    <w:rsid w:val="151237B6"/>
    <w:rsid w:val="151C6EE0"/>
    <w:rsid w:val="15271B06"/>
    <w:rsid w:val="1536501E"/>
    <w:rsid w:val="15417FCB"/>
    <w:rsid w:val="1553019F"/>
    <w:rsid w:val="155B6F0B"/>
    <w:rsid w:val="15766E4A"/>
    <w:rsid w:val="157F3DAD"/>
    <w:rsid w:val="15810381"/>
    <w:rsid w:val="15836462"/>
    <w:rsid w:val="158F7650"/>
    <w:rsid w:val="15AF7257"/>
    <w:rsid w:val="15CF75C2"/>
    <w:rsid w:val="15DB4E8B"/>
    <w:rsid w:val="15DB629E"/>
    <w:rsid w:val="15E2587E"/>
    <w:rsid w:val="15E769F0"/>
    <w:rsid w:val="15F31284"/>
    <w:rsid w:val="15F86E50"/>
    <w:rsid w:val="16005B4D"/>
    <w:rsid w:val="16013F56"/>
    <w:rsid w:val="16023749"/>
    <w:rsid w:val="16117F11"/>
    <w:rsid w:val="16122D70"/>
    <w:rsid w:val="163500E7"/>
    <w:rsid w:val="16390BF0"/>
    <w:rsid w:val="16394F6A"/>
    <w:rsid w:val="163A5649"/>
    <w:rsid w:val="16511CDE"/>
    <w:rsid w:val="165A5414"/>
    <w:rsid w:val="165C63EB"/>
    <w:rsid w:val="166169AF"/>
    <w:rsid w:val="166938A9"/>
    <w:rsid w:val="166C4748"/>
    <w:rsid w:val="166D5CF9"/>
    <w:rsid w:val="1679677C"/>
    <w:rsid w:val="16806F5F"/>
    <w:rsid w:val="16891110"/>
    <w:rsid w:val="168E50BE"/>
    <w:rsid w:val="16B200D8"/>
    <w:rsid w:val="16B53E81"/>
    <w:rsid w:val="16C84A74"/>
    <w:rsid w:val="16C91A60"/>
    <w:rsid w:val="16D30DE4"/>
    <w:rsid w:val="16D53A3A"/>
    <w:rsid w:val="16E16162"/>
    <w:rsid w:val="16EA2C3C"/>
    <w:rsid w:val="16EC69F2"/>
    <w:rsid w:val="16F46BD4"/>
    <w:rsid w:val="17011FF5"/>
    <w:rsid w:val="17082077"/>
    <w:rsid w:val="17086A04"/>
    <w:rsid w:val="170C79EF"/>
    <w:rsid w:val="17157094"/>
    <w:rsid w:val="1733704F"/>
    <w:rsid w:val="1739584F"/>
    <w:rsid w:val="173B3498"/>
    <w:rsid w:val="174165D4"/>
    <w:rsid w:val="17457E73"/>
    <w:rsid w:val="174A36DB"/>
    <w:rsid w:val="174F6F43"/>
    <w:rsid w:val="175D2140"/>
    <w:rsid w:val="175F5086"/>
    <w:rsid w:val="17704AAB"/>
    <w:rsid w:val="17731FA9"/>
    <w:rsid w:val="1785028E"/>
    <w:rsid w:val="178F1DC2"/>
    <w:rsid w:val="179F445C"/>
    <w:rsid w:val="17A36B40"/>
    <w:rsid w:val="17A408D6"/>
    <w:rsid w:val="17A974E2"/>
    <w:rsid w:val="17B46CFB"/>
    <w:rsid w:val="17B920AF"/>
    <w:rsid w:val="17BA6CC5"/>
    <w:rsid w:val="17BC7BFC"/>
    <w:rsid w:val="17BE4DD5"/>
    <w:rsid w:val="17D17958"/>
    <w:rsid w:val="17D23C27"/>
    <w:rsid w:val="17DB4333"/>
    <w:rsid w:val="17E86BCC"/>
    <w:rsid w:val="180773FF"/>
    <w:rsid w:val="180970F2"/>
    <w:rsid w:val="180F24E5"/>
    <w:rsid w:val="18142066"/>
    <w:rsid w:val="182401DB"/>
    <w:rsid w:val="18242F81"/>
    <w:rsid w:val="182C1032"/>
    <w:rsid w:val="184243B2"/>
    <w:rsid w:val="184B2CE6"/>
    <w:rsid w:val="18510A99"/>
    <w:rsid w:val="185524EF"/>
    <w:rsid w:val="18567E5D"/>
    <w:rsid w:val="185858F1"/>
    <w:rsid w:val="186B4D4A"/>
    <w:rsid w:val="186E51A7"/>
    <w:rsid w:val="18784278"/>
    <w:rsid w:val="188624F1"/>
    <w:rsid w:val="188B6D6F"/>
    <w:rsid w:val="188E5E3A"/>
    <w:rsid w:val="188F5CA0"/>
    <w:rsid w:val="189622E4"/>
    <w:rsid w:val="189F5400"/>
    <w:rsid w:val="18A15213"/>
    <w:rsid w:val="18A25EA5"/>
    <w:rsid w:val="18C33FDF"/>
    <w:rsid w:val="18C4126B"/>
    <w:rsid w:val="18CD25A4"/>
    <w:rsid w:val="18D3152C"/>
    <w:rsid w:val="18D712D8"/>
    <w:rsid w:val="18D82E24"/>
    <w:rsid w:val="18DF60A5"/>
    <w:rsid w:val="18E92A80"/>
    <w:rsid w:val="18EB33A0"/>
    <w:rsid w:val="18ED2570"/>
    <w:rsid w:val="18EE62E8"/>
    <w:rsid w:val="18F2402A"/>
    <w:rsid w:val="18FE3820"/>
    <w:rsid w:val="19044766"/>
    <w:rsid w:val="19130E36"/>
    <w:rsid w:val="192F2B88"/>
    <w:rsid w:val="194B1EC4"/>
    <w:rsid w:val="19550C97"/>
    <w:rsid w:val="1958129A"/>
    <w:rsid w:val="1962306A"/>
    <w:rsid w:val="196B16E7"/>
    <w:rsid w:val="19775154"/>
    <w:rsid w:val="19792055"/>
    <w:rsid w:val="197E19BA"/>
    <w:rsid w:val="19801636"/>
    <w:rsid w:val="198364F1"/>
    <w:rsid w:val="198D4077"/>
    <w:rsid w:val="19923117"/>
    <w:rsid w:val="19A36B5B"/>
    <w:rsid w:val="19AB225A"/>
    <w:rsid w:val="19AD7F51"/>
    <w:rsid w:val="19C5529B"/>
    <w:rsid w:val="19D65577"/>
    <w:rsid w:val="19DB061A"/>
    <w:rsid w:val="19DC2DEE"/>
    <w:rsid w:val="19E51F79"/>
    <w:rsid w:val="19EF1C04"/>
    <w:rsid w:val="19FB1C97"/>
    <w:rsid w:val="19FC25D9"/>
    <w:rsid w:val="1A0A0EFF"/>
    <w:rsid w:val="1A0A4ACB"/>
    <w:rsid w:val="1A141D7E"/>
    <w:rsid w:val="1A1846F1"/>
    <w:rsid w:val="1A2062AD"/>
    <w:rsid w:val="1A231FC1"/>
    <w:rsid w:val="1A3261AF"/>
    <w:rsid w:val="1A352916"/>
    <w:rsid w:val="1A417CD1"/>
    <w:rsid w:val="1A43097D"/>
    <w:rsid w:val="1A471552"/>
    <w:rsid w:val="1A476618"/>
    <w:rsid w:val="1A4A68C4"/>
    <w:rsid w:val="1A5E7B3A"/>
    <w:rsid w:val="1A606D71"/>
    <w:rsid w:val="1A78242B"/>
    <w:rsid w:val="1A840CB2"/>
    <w:rsid w:val="1A8C5DB8"/>
    <w:rsid w:val="1A8D27AD"/>
    <w:rsid w:val="1A9021AA"/>
    <w:rsid w:val="1A920900"/>
    <w:rsid w:val="1A9349CE"/>
    <w:rsid w:val="1A942CB7"/>
    <w:rsid w:val="1A9E57EB"/>
    <w:rsid w:val="1AA151CF"/>
    <w:rsid w:val="1AA2653D"/>
    <w:rsid w:val="1AA82093"/>
    <w:rsid w:val="1AC6751C"/>
    <w:rsid w:val="1AD244DF"/>
    <w:rsid w:val="1ADF01CF"/>
    <w:rsid w:val="1AF06026"/>
    <w:rsid w:val="1AF20311"/>
    <w:rsid w:val="1AF54F22"/>
    <w:rsid w:val="1AF8344E"/>
    <w:rsid w:val="1B041DF3"/>
    <w:rsid w:val="1B0B7197"/>
    <w:rsid w:val="1B270D19"/>
    <w:rsid w:val="1B312411"/>
    <w:rsid w:val="1B3157F0"/>
    <w:rsid w:val="1B324BB2"/>
    <w:rsid w:val="1B347B21"/>
    <w:rsid w:val="1B35192A"/>
    <w:rsid w:val="1B4120DC"/>
    <w:rsid w:val="1B424B16"/>
    <w:rsid w:val="1B473D6A"/>
    <w:rsid w:val="1B50316D"/>
    <w:rsid w:val="1B5230EB"/>
    <w:rsid w:val="1B593292"/>
    <w:rsid w:val="1B5B3A17"/>
    <w:rsid w:val="1B666609"/>
    <w:rsid w:val="1B6B1CE4"/>
    <w:rsid w:val="1B6B6F05"/>
    <w:rsid w:val="1B6B7277"/>
    <w:rsid w:val="1B701516"/>
    <w:rsid w:val="1B75684C"/>
    <w:rsid w:val="1B77374A"/>
    <w:rsid w:val="1B7927FA"/>
    <w:rsid w:val="1B832673"/>
    <w:rsid w:val="1B870F6D"/>
    <w:rsid w:val="1B873604"/>
    <w:rsid w:val="1B9008DD"/>
    <w:rsid w:val="1B9118D8"/>
    <w:rsid w:val="1B970EB9"/>
    <w:rsid w:val="1BAD6F45"/>
    <w:rsid w:val="1BB25C71"/>
    <w:rsid w:val="1BBC2E22"/>
    <w:rsid w:val="1BC25F36"/>
    <w:rsid w:val="1BD6553D"/>
    <w:rsid w:val="1BF16305"/>
    <w:rsid w:val="1C0C5403"/>
    <w:rsid w:val="1C122B82"/>
    <w:rsid w:val="1C153B71"/>
    <w:rsid w:val="1C1952D0"/>
    <w:rsid w:val="1C226D51"/>
    <w:rsid w:val="1C2D27CB"/>
    <w:rsid w:val="1C3B5CE8"/>
    <w:rsid w:val="1C5300CD"/>
    <w:rsid w:val="1C784A20"/>
    <w:rsid w:val="1C7E52F6"/>
    <w:rsid w:val="1C80194D"/>
    <w:rsid w:val="1C8A179F"/>
    <w:rsid w:val="1C9C180B"/>
    <w:rsid w:val="1CA92C52"/>
    <w:rsid w:val="1CBD66FD"/>
    <w:rsid w:val="1CC00E4E"/>
    <w:rsid w:val="1CC10B52"/>
    <w:rsid w:val="1CCC725F"/>
    <w:rsid w:val="1CD53DBF"/>
    <w:rsid w:val="1CD87093"/>
    <w:rsid w:val="1CDB373E"/>
    <w:rsid w:val="1CE27F12"/>
    <w:rsid w:val="1CE65EB6"/>
    <w:rsid w:val="1CF00DBA"/>
    <w:rsid w:val="1D03270B"/>
    <w:rsid w:val="1D0807A5"/>
    <w:rsid w:val="1D090ADB"/>
    <w:rsid w:val="1D0E00EC"/>
    <w:rsid w:val="1D1939ED"/>
    <w:rsid w:val="1D2101C2"/>
    <w:rsid w:val="1D29203C"/>
    <w:rsid w:val="1D294E26"/>
    <w:rsid w:val="1D3C5874"/>
    <w:rsid w:val="1D5454F5"/>
    <w:rsid w:val="1D5613CC"/>
    <w:rsid w:val="1D652F47"/>
    <w:rsid w:val="1D657F1B"/>
    <w:rsid w:val="1D6926C1"/>
    <w:rsid w:val="1D7A117D"/>
    <w:rsid w:val="1D880D96"/>
    <w:rsid w:val="1D9A1B1C"/>
    <w:rsid w:val="1D9B3BF5"/>
    <w:rsid w:val="1D9E241B"/>
    <w:rsid w:val="1DA014B3"/>
    <w:rsid w:val="1DB213DC"/>
    <w:rsid w:val="1DBF4C41"/>
    <w:rsid w:val="1DCE7F11"/>
    <w:rsid w:val="1DD0331B"/>
    <w:rsid w:val="1DD921CC"/>
    <w:rsid w:val="1DF517C5"/>
    <w:rsid w:val="1DFB74DD"/>
    <w:rsid w:val="1DFD4F3E"/>
    <w:rsid w:val="1E021E39"/>
    <w:rsid w:val="1E0358BF"/>
    <w:rsid w:val="1E087E4C"/>
    <w:rsid w:val="1E0D0FBE"/>
    <w:rsid w:val="1E14059F"/>
    <w:rsid w:val="1E2307E2"/>
    <w:rsid w:val="1E244853"/>
    <w:rsid w:val="1E28091B"/>
    <w:rsid w:val="1E286DFF"/>
    <w:rsid w:val="1E2D10E0"/>
    <w:rsid w:val="1E2E5AE4"/>
    <w:rsid w:val="1E3D3A5F"/>
    <w:rsid w:val="1E3E15B2"/>
    <w:rsid w:val="1E3E4FF3"/>
    <w:rsid w:val="1E432C32"/>
    <w:rsid w:val="1E4F234C"/>
    <w:rsid w:val="1E5135A1"/>
    <w:rsid w:val="1E562965"/>
    <w:rsid w:val="1E5D2340"/>
    <w:rsid w:val="1E620067"/>
    <w:rsid w:val="1E6C46CD"/>
    <w:rsid w:val="1E763007"/>
    <w:rsid w:val="1E854FF8"/>
    <w:rsid w:val="1E9004FA"/>
    <w:rsid w:val="1E9646FF"/>
    <w:rsid w:val="1E966318"/>
    <w:rsid w:val="1E9A6CF6"/>
    <w:rsid w:val="1EA11680"/>
    <w:rsid w:val="1EC10726"/>
    <w:rsid w:val="1EC27FFB"/>
    <w:rsid w:val="1EC3007D"/>
    <w:rsid w:val="1ECF054D"/>
    <w:rsid w:val="1EEF5642"/>
    <w:rsid w:val="1F045F88"/>
    <w:rsid w:val="1F0B7BF4"/>
    <w:rsid w:val="1F176598"/>
    <w:rsid w:val="1F3D5A2B"/>
    <w:rsid w:val="1F422AE4"/>
    <w:rsid w:val="1F434323"/>
    <w:rsid w:val="1F4E0DE8"/>
    <w:rsid w:val="1F4E5D32"/>
    <w:rsid w:val="1F77383F"/>
    <w:rsid w:val="1F7E73A9"/>
    <w:rsid w:val="1F87452F"/>
    <w:rsid w:val="1F875D46"/>
    <w:rsid w:val="1F896D6A"/>
    <w:rsid w:val="1F95416B"/>
    <w:rsid w:val="1FB72D07"/>
    <w:rsid w:val="1FC3402A"/>
    <w:rsid w:val="1FC37E78"/>
    <w:rsid w:val="1FC92E47"/>
    <w:rsid w:val="1FD54EF5"/>
    <w:rsid w:val="1FF52A08"/>
    <w:rsid w:val="1FF561AE"/>
    <w:rsid w:val="1FF71F26"/>
    <w:rsid w:val="1FF93EF0"/>
    <w:rsid w:val="1FFD0BB5"/>
    <w:rsid w:val="20020FF7"/>
    <w:rsid w:val="2003179C"/>
    <w:rsid w:val="2003268C"/>
    <w:rsid w:val="200B5C0B"/>
    <w:rsid w:val="200D1367"/>
    <w:rsid w:val="200D14A4"/>
    <w:rsid w:val="20150AF2"/>
    <w:rsid w:val="201C4CA7"/>
    <w:rsid w:val="20201E76"/>
    <w:rsid w:val="20230F6D"/>
    <w:rsid w:val="20317D46"/>
    <w:rsid w:val="2033450B"/>
    <w:rsid w:val="203B1E13"/>
    <w:rsid w:val="20463359"/>
    <w:rsid w:val="20526EB3"/>
    <w:rsid w:val="20642FAC"/>
    <w:rsid w:val="206C2914"/>
    <w:rsid w:val="206D6F3E"/>
    <w:rsid w:val="2076109D"/>
    <w:rsid w:val="20774F96"/>
    <w:rsid w:val="207D3B26"/>
    <w:rsid w:val="20827A42"/>
    <w:rsid w:val="208A2D9A"/>
    <w:rsid w:val="20931C4F"/>
    <w:rsid w:val="2094072A"/>
    <w:rsid w:val="209C2B3E"/>
    <w:rsid w:val="20A420AE"/>
    <w:rsid w:val="20B35BED"/>
    <w:rsid w:val="20B36678"/>
    <w:rsid w:val="20BD4F1E"/>
    <w:rsid w:val="20CA66FD"/>
    <w:rsid w:val="20CC5161"/>
    <w:rsid w:val="20D13B63"/>
    <w:rsid w:val="20E85164"/>
    <w:rsid w:val="20ED5FC1"/>
    <w:rsid w:val="20F50EA7"/>
    <w:rsid w:val="210A7A37"/>
    <w:rsid w:val="212B1CCB"/>
    <w:rsid w:val="212D5B2C"/>
    <w:rsid w:val="213F2BAB"/>
    <w:rsid w:val="21442F49"/>
    <w:rsid w:val="214E088D"/>
    <w:rsid w:val="214E3DC8"/>
    <w:rsid w:val="215C01B1"/>
    <w:rsid w:val="215D225D"/>
    <w:rsid w:val="21603FBE"/>
    <w:rsid w:val="2194182A"/>
    <w:rsid w:val="21A76AFB"/>
    <w:rsid w:val="21A77AE0"/>
    <w:rsid w:val="21B667D4"/>
    <w:rsid w:val="21B87BA4"/>
    <w:rsid w:val="21C5052E"/>
    <w:rsid w:val="21CB366A"/>
    <w:rsid w:val="21D555AC"/>
    <w:rsid w:val="21DD0826"/>
    <w:rsid w:val="21F04E7F"/>
    <w:rsid w:val="21F213EF"/>
    <w:rsid w:val="21FE3815"/>
    <w:rsid w:val="220F3557"/>
    <w:rsid w:val="22165C38"/>
    <w:rsid w:val="22224D86"/>
    <w:rsid w:val="22386FD2"/>
    <w:rsid w:val="22410FAB"/>
    <w:rsid w:val="22414157"/>
    <w:rsid w:val="224263F9"/>
    <w:rsid w:val="22440002"/>
    <w:rsid w:val="22481730"/>
    <w:rsid w:val="224C30CF"/>
    <w:rsid w:val="224F2D6A"/>
    <w:rsid w:val="225116B9"/>
    <w:rsid w:val="22547524"/>
    <w:rsid w:val="225675B6"/>
    <w:rsid w:val="225B49EE"/>
    <w:rsid w:val="225F67AC"/>
    <w:rsid w:val="226B2757"/>
    <w:rsid w:val="226E6D66"/>
    <w:rsid w:val="22714212"/>
    <w:rsid w:val="228C0017"/>
    <w:rsid w:val="228E770F"/>
    <w:rsid w:val="228F35D6"/>
    <w:rsid w:val="229949E3"/>
    <w:rsid w:val="229C53A0"/>
    <w:rsid w:val="22B24BDD"/>
    <w:rsid w:val="22C01A09"/>
    <w:rsid w:val="22C52F66"/>
    <w:rsid w:val="22C708C4"/>
    <w:rsid w:val="22C7230E"/>
    <w:rsid w:val="22D842DA"/>
    <w:rsid w:val="22E71D38"/>
    <w:rsid w:val="22EA0933"/>
    <w:rsid w:val="22EC07EF"/>
    <w:rsid w:val="22EE7D2D"/>
    <w:rsid w:val="22F10EAE"/>
    <w:rsid w:val="22F17100"/>
    <w:rsid w:val="22FB3ADB"/>
    <w:rsid w:val="2302130E"/>
    <w:rsid w:val="23036601"/>
    <w:rsid w:val="230D48E9"/>
    <w:rsid w:val="2321231C"/>
    <w:rsid w:val="23230C66"/>
    <w:rsid w:val="232748D0"/>
    <w:rsid w:val="23331BF5"/>
    <w:rsid w:val="233D0BA3"/>
    <w:rsid w:val="23425054"/>
    <w:rsid w:val="23425BAE"/>
    <w:rsid w:val="23501055"/>
    <w:rsid w:val="235B5E01"/>
    <w:rsid w:val="236C5D90"/>
    <w:rsid w:val="236E4580"/>
    <w:rsid w:val="23706277"/>
    <w:rsid w:val="23737B15"/>
    <w:rsid w:val="237C2E6E"/>
    <w:rsid w:val="237C6924"/>
    <w:rsid w:val="23887A65"/>
    <w:rsid w:val="2390111C"/>
    <w:rsid w:val="23922691"/>
    <w:rsid w:val="23A423C5"/>
    <w:rsid w:val="23AE6D9F"/>
    <w:rsid w:val="23BD3CBF"/>
    <w:rsid w:val="23CA51A8"/>
    <w:rsid w:val="23CC7174"/>
    <w:rsid w:val="23CF0E03"/>
    <w:rsid w:val="23DF1584"/>
    <w:rsid w:val="23E9602A"/>
    <w:rsid w:val="23FA639B"/>
    <w:rsid w:val="23FD4981"/>
    <w:rsid w:val="24013DB9"/>
    <w:rsid w:val="24131E75"/>
    <w:rsid w:val="241C3500"/>
    <w:rsid w:val="241C3808"/>
    <w:rsid w:val="242530D9"/>
    <w:rsid w:val="242D7B1F"/>
    <w:rsid w:val="243A2CDC"/>
    <w:rsid w:val="243C084F"/>
    <w:rsid w:val="24450C8E"/>
    <w:rsid w:val="24505030"/>
    <w:rsid w:val="24544436"/>
    <w:rsid w:val="246254F1"/>
    <w:rsid w:val="246256CC"/>
    <w:rsid w:val="246A5AC3"/>
    <w:rsid w:val="246C2EE2"/>
    <w:rsid w:val="24724271"/>
    <w:rsid w:val="24771887"/>
    <w:rsid w:val="2480376B"/>
    <w:rsid w:val="24803A09"/>
    <w:rsid w:val="24805846"/>
    <w:rsid w:val="2480698E"/>
    <w:rsid w:val="248C219B"/>
    <w:rsid w:val="24941808"/>
    <w:rsid w:val="249F59AA"/>
    <w:rsid w:val="24A26904"/>
    <w:rsid w:val="24A77CC7"/>
    <w:rsid w:val="24AA572C"/>
    <w:rsid w:val="24B11A33"/>
    <w:rsid w:val="24BD0D51"/>
    <w:rsid w:val="24C745BD"/>
    <w:rsid w:val="24F77329"/>
    <w:rsid w:val="24FC6EB5"/>
    <w:rsid w:val="250107BC"/>
    <w:rsid w:val="250170D7"/>
    <w:rsid w:val="250C1416"/>
    <w:rsid w:val="25113A8A"/>
    <w:rsid w:val="25215F5B"/>
    <w:rsid w:val="25287EFC"/>
    <w:rsid w:val="25314CEF"/>
    <w:rsid w:val="253506B3"/>
    <w:rsid w:val="253F224B"/>
    <w:rsid w:val="25440C67"/>
    <w:rsid w:val="254C6870"/>
    <w:rsid w:val="255710E7"/>
    <w:rsid w:val="25696F6D"/>
    <w:rsid w:val="258409DC"/>
    <w:rsid w:val="2585705F"/>
    <w:rsid w:val="25923602"/>
    <w:rsid w:val="259823ED"/>
    <w:rsid w:val="259D2944"/>
    <w:rsid w:val="25A04D0A"/>
    <w:rsid w:val="25A4045A"/>
    <w:rsid w:val="25B306C7"/>
    <w:rsid w:val="25CC1B09"/>
    <w:rsid w:val="25CE43CE"/>
    <w:rsid w:val="25DC7BF4"/>
    <w:rsid w:val="25E35426"/>
    <w:rsid w:val="25EF09CC"/>
    <w:rsid w:val="25F018F1"/>
    <w:rsid w:val="25F70468"/>
    <w:rsid w:val="26123E85"/>
    <w:rsid w:val="261A696E"/>
    <w:rsid w:val="261E1B8F"/>
    <w:rsid w:val="26250916"/>
    <w:rsid w:val="26284BE7"/>
    <w:rsid w:val="262E79BC"/>
    <w:rsid w:val="26436B55"/>
    <w:rsid w:val="26454B11"/>
    <w:rsid w:val="264616B2"/>
    <w:rsid w:val="264B5C5F"/>
    <w:rsid w:val="264F0D93"/>
    <w:rsid w:val="265911BA"/>
    <w:rsid w:val="265E5FBA"/>
    <w:rsid w:val="26600667"/>
    <w:rsid w:val="266C74E3"/>
    <w:rsid w:val="266D3CF7"/>
    <w:rsid w:val="26793695"/>
    <w:rsid w:val="268A268F"/>
    <w:rsid w:val="26962499"/>
    <w:rsid w:val="26997A56"/>
    <w:rsid w:val="269A4AD7"/>
    <w:rsid w:val="269C4E0B"/>
    <w:rsid w:val="269C55D5"/>
    <w:rsid w:val="26B730FC"/>
    <w:rsid w:val="26C17B69"/>
    <w:rsid w:val="26C33FFE"/>
    <w:rsid w:val="26C54B2C"/>
    <w:rsid w:val="26C64400"/>
    <w:rsid w:val="26C863CA"/>
    <w:rsid w:val="26CE36E5"/>
    <w:rsid w:val="26D37577"/>
    <w:rsid w:val="26E2748C"/>
    <w:rsid w:val="26E31B06"/>
    <w:rsid w:val="26E6217B"/>
    <w:rsid w:val="26FC7D13"/>
    <w:rsid w:val="26FF6276"/>
    <w:rsid w:val="27037513"/>
    <w:rsid w:val="270F224B"/>
    <w:rsid w:val="27117BFF"/>
    <w:rsid w:val="271E248E"/>
    <w:rsid w:val="27203EEB"/>
    <w:rsid w:val="27337CE7"/>
    <w:rsid w:val="27363334"/>
    <w:rsid w:val="27427F2B"/>
    <w:rsid w:val="2754129C"/>
    <w:rsid w:val="275639D6"/>
    <w:rsid w:val="27566510"/>
    <w:rsid w:val="27603EC1"/>
    <w:rsid w:val="277420AE"/>
    <w:rsid w:val="277B74B3"/>
    <w:rsid w:val="278241EB"/>
    <w:rsid w:val="27851A0B"/>
    <w:rsid w:val="27876136"/>
    <w:rsid w:val="278A18D2"/>
    <w:rsid w:val="279462F5"/>
    <w:rsid w:val="27A06CC5"/>
    <w:rsid w:val="27B34755"/>
    <w:rsid w:val="27B506FD"/>
    <w:rsid w:val="27BD3A55"/>
    <w:rsid w:val="27C112E1"/>
    <w:rsid w:val="27D8263D"/>
    <w:rsid w:val="27DB14BA"/>
    <w:rsid w:val="27DD6376"/>
    <w:rsid w:val="27DE6D28"/>
    <w:rsid w:val="27E03D9F"/>
    <w:rsid w:val="27E07DE8"/>
    <w:rsid w:val="27E862A2"/>
    <w:rsid w:val="27EF19B8"/>
    <w:rsid w:val="280334C5"/>
    <w:rsid w:val="2804309E"/>
    <w:rsid w:val="28071DAC"/>
    <w:rsid w:val="28130274"/>
    <w:rsid w:val="281459A7"/>
    <w:rsid w:val="28327F9F"/>
    <w:rsid w:val="2841272B"/>
    <w:rsid w:val="28454B2D"/>
    <w:rsid w:val="285F2D5E"/>
    <w:rsid w:val="28603EB7"/>
    <w:rsid w:val="286930B9"/>
    <w:rsid w:val="286A5D40"/>
    <w:rsid w:val="286F6AEE"/>
    <w:rsid w:val="287967D6"/>
    <w:rsid w:val="289724F8"/>
    <w:rsid w:val="289A4C69"/>
    <w:rsid w:val="28AC4758"/>
    <w:rsid w:val="28AE3251"/>
    <w:rsid w:val="28C04C4C"/>
    <w:rsid w:val="28C3509B"/>
    <w:rsid w:val="28C82DD8"/>
    <w:rsid w:val="28E07697"/>
    <w:rsid w:val="28E824C9"/>
    <w:rsid w:val="28EC4FBD"/>
    <w:rsid w:val="28EC7622"/>
    <w:rsid w:val="28EE5156"/>
    <w:rsid w:val="291173EA"/>
    <w:rsid w:val="291268CF"/>
    <w:rsid w:val="291470DB"/>
    <w:rsid w:val="29200A14"/>
    <w:rsid w:val="292A3D9E"/>
    <w:rsid w:val="292E34BD"/>
    <w:rsid w:val="29340781"/>
    <w:rsid w:val="29470E70"/>
    <w:rsid w:val="29482C06"/>
    <w:rsid w:val="294E705B"/>
    <w:rsid w:val="295959FF"/>
    <w:rsid w:val="295B3526"/>
    <w:rsid w:val="296206AF"/>
    <w:rsid w:val="297045CA"/>
    <w:rsid w:val="2973086F"/>
    <w:rsid w:val="298040D2"/>
    <w:rsid w:val="298E1846"/>
    <w:rsid w:val="298F5ED7"/>
    <w:rsid w:val="29A009BF"/>
    <w:rsid w:val="29A03A03"/>
    <w:rsid w:val="29A053DC"/>
    <w:rsid w:val="29A547A1"/>
    <w:rsid w:val="29BC6F56"/>
    <w:rsid w:val="29BD7D3C"/>
    <w:rsid w:val="29C96599"/>
    <w:rsid w:val="29DA2DCF"/>
    <w:rsid w:val="29E17A78"/>
    <w:rsid w:val="29E439C2"/>
    <w:rsid w:val="29FB6096"/>
    <w:rsid w:val="29FF388D"/>
    <w:rsid w:val="2A094D30"/>
    <w:rsid w:val="2A0F7329"/>
    <w:rsid w:val="2A104310"/>
    <w:rsid w:val="2A132508"/>
    <w:rsid w:val="2A1D0B14"/>
    <w:rsid w:val="2A203563"/>
    <w:rsid w:val="2A355B25"/>
    <w:rsid w:val="2A377AEF"/>
    <w:rsid w:val="2A3A79B3"/>
    <w:rsid w:val="2A4220BA"/>
    <w:rsid w:val="2A53353C"/>
    <w:rsid w:val="2A5534B9"/>
    <w:rsid w:val="2A57508D"/>
    <w:rsid w:val="2A5D2041"/>
    <w:rsid w:val="2A6E1037"/>
    <w:rsid w:val="2A6F2F5D"/>
    <w:rsid w:val="2A713219"/>
    <w:rsid w:val="2A755211"/>
    <w:rsid w:val="2A7A1212"/>
    <w:rsid w:val="2A8D0991"/>
    <w:rsid w:val="2AA1252A"/>
    <w:rsid w:val="2AA66A22"/>
    <w:rsid w:val="2AAE121F"/>
    <w:rsid w:val="2AAF72FB"/>
    <w:rsid w:val="2AB96756"/>
    <w:rsid w:val="2AC309F8"/>
    <w:rsid w:val="2AD52E64"/>
    <w:rsid w:val="2AD80D1A"/>
    <w:rsid w:val="2AE863AE"/>
    <w:rsid w:val="2AF156B3"/>
    <w:rsid w:val="2B0158CD"/>
    <w:rsid w:val="2B0A133F"/>
    <w:rsid w:val="2B0D0850"/>
    <w:rsid w:val="2B0D7CA2"/>
    <w:rsid w:val="2B1737B7"/>
    <w:rsid w:val="2B3C1ABB"/>
    <w:rsid w:val="2B50728E"/>
    <w:rsid w:val="2B520F1D"/>
    <w:rsid w:val="2B687D7B"/>
    <w:rsid w:val="2B694E68"/>
    <w:rsid w:val="2B791766"/>
    <w:rsid w:val="2B7F05AB"/>
    <w:rsid w:val="2B8C3E6A"/>
    <w:rsid w:val="2B924276"/>
    <w:rsid w:val="2BA32F62"/>
    <w:rsid w:val="2BB46F1D"/>
    <w:rsid w:val="2BB53941"/>
    <w:rsid w:val="2BBE3BE5"/>
    <w:rsid w:val="2BCB64C7"/>
    <w:rsid w:val="2BD10EA5"/>
    <w:rsid w:val="2BD92E3F"/>
    <w:rsid w:val="2BD96F73"/>
    <w:rsid w:val="2BDD6474"/>
    <w:rsid w:val="2BDE12CD"/>
    <w:rsid w:val="2BE25A98"/>
    <w:rsid w:val="2BE86CA8"/>
    <w:rsid w:val="2BEC7697"/>
    <w:rsid w:val="2BF01660"/>
    <w:rsid w:val="2BF2460D"/>
    <w:rsid w:val="2BF56003"/>
    <w:rsid w:val="2C045AC7"/>
    <w:rsid w:val="2C063C1D"/>
    <w:rsid w:val="2C1F4CDE"/>
    <w:rsid w:val="2C20470A"/>
    <w:rsid w:val="2C293467"/>
    <w:rsid w:val="2C3B13EC"/>
    <w:rsid w:val="2C3D2BC8"/>
    <w:rsid w:val="2C400B10"/>
    <w:rsid w:val="2C4A36EA"/>
    <w:rsid w:val="2C550ACB"/>
    <w:rsid w:val="2C571774"/>
    <w:rsid w:val="2C595F36"/>
    <w:rsid w:val="2C5C5F6C"/>
    <w:rsid w:val="2C676E85"/>
    <w:rsid w:val="2C7D1A05"/>
    <w:rsid w:val="2C825C0E"/>
    <w:rsid w:val="2C837851"/>
    <w:rsid w:val="2C9254B0"/>
    <w:rsid w:val="2CA0428D"/>
    <w:rsid w:val="2CA451E4"/>
    <w:rsid w:val="2CA60204"/>
    <w:rsid w:val="2CAB6D99"/>
    <w:rsid w:val="2CB05936"/>
    <w:rsid w:val="2CB95B41"/>
    <w:rsid w:val="2CC122AF"/>
    <w:rsid w:val="2CD566E0"/>
    <w:rsid w:val="2CDE1D5D"/>
    <w:rsid w:val="2CE1145B"/>
    <w:rsid w:val="2CEE5D0C"/>
    <w:rsid w:val="2CFB1ACD"/>
    <w:rsid w:val="2CFC166C"/>
    <w:rsid w:val="2D0637A8"/>
    <w:rsid w:val="2D0C4370"/>
    <w:rsid w:val="2D19422F"/>
    <w:rsid w:val="2D1B612E"/>
    <w:rsid w:val="2D1E4F96"/>
    <w:rsid w:val="2D272A78"/>
    <w:rsid w:val="2D294D17"/>
    <w:rsid w:val="2D2D77E4"/>
    <w:rsid w:val="2D302844"/>
    <w:rsid w:val="2D340907"/>
    <w:rsid w:val="2D422B39"/>
    <w:rsid w:val="2D4B41B4"/>
    <w:rsid w:val="2D4B565F"/>
    <w:rsid w:val="2D5C7521"/>
    <w:rsid w:val="2D664F53"/>
    <w:rsid w:val="2D7149C3"/>
    <w:rsid w:val="2D7352E2"/>
    <w:rsid w:val="2D747094"/>
    <w:rsid w:val="2D754BD2"/>
    <w:rsid w:val="2D981FD1"/>
    <w:rsid w:val="2D992C03"/>
    <w:rsid w:val="2D9B65E7"/>
    <w:rsid w:val="2DA216C6"/>
    <w:rsid w:val="2DA33153"/>
    <w:rsid w:val="2DB00528"/>
    <w:rsid w:val="2DB50AD8"/>
    <w:rsid w:val="2DB653BC"/>
    <w:rsid w:val="2DF54967"/>
    <w:rsid w:val="2DFB0C12"/>
    <w:rsid w:val="2E0F2B31"/>
    <w:rsid w:val="2E11532A"/>
    <w:rsid w:val="2E2C7B59"/>
    <w:rsid w:val="2E42114A"/>
    <w:rsid w:val="2E512381"/>
    <w:rsid w:val="2E6609A2"/>
    <w:rsid w:val="2E6D0A1B"/>
    <w:rsid w:val="2E786928"/>
    <w:rsid w:val="2E8157DC"/>
    <w:rsid w:val="2E896136"/>
    <w:rsid w:val="2E904A45"/>
    <w:rsid w:val="2E920B6E"/>
    <w:rsid w:val="2E921142"/>
    <w:rsid w:val="2E9238C2"/>
    <w:rsid w:val="2E972F4E"/>
    <w:rsid w:val="2EB37960"/>
    <w:rsid w:val="2EBC2DDB"/>
    <w:rsid w:val="2EDE6676"/>
    <w:rsid w:val="2EE62071"/>
    <w:rsid w:val="2EEB534C"/>
    <w:rsid w:val="2EF25BC3"/>
    <w:rsid w:val="2F181834"/>
    <w:rsid w:val="2F1877C3"/>
    <w:rsid w:val="2F1D3166"/>
    <w:rsid w:val="2F1E4AC6"/>
    <w:rsid w:val="2F3D2575"/>
    <w:rsid w:val="2F3D2CF4"/>
    <w:rsid w:val="2F4607D4"/>
    <w:rsid w:val="2F473125"/>
    <w:rsid w:val="2F5F6DC2"/>
    <w:rsid w:val="2F634EE2"/>
    <w:rsid w:val="2F715E38"/>
    <w:rsid w:val="2F7313FD"/>
    <w:rsid w:val="2F732A13"/>
    <w:rsid w:val="2F941D65"/>
    <w:rsid w:val="2FA43F61"/>
    <w:rsid w:val="2FA96F2B"/>
    <w:rsid w:val="2FAC4ADB"/>
    <w:rsid w:val="2FB35201"/>
    <w:rsid w:val="2FBD3AD7"/>
    <w:rsid w:val="2FC00586"/>
    <w:rsid w:val="2FC57B26"/>
    <w:rsid w:val="2FD162F0"/>
    <w:rsid w:val="2FD52BB2"/>
    <w:rsid w:val="2FDE577C"/>
    <w:rsid w:val="2FE853E7"/>
    <w:rsid w:val="2FF9240C"/>
    <w:rsid w:val="2FF946AE"/>
    <w:rsid w:val="2FFA3A98"/>
    <w:rsid w:val="2FFD2F9F"/>
    <w:rsid w:val="304537EB"/>
    <w:rsid w:val="304D1B6D"/>
    <w:rsid w:val="305059B1"/>
    <w:rsid w:val="305E3A75"/>
    <w:rsid w:val="305E47CA"/>
    <w:rsid w:val="30603DF4"/>
    <w:rsid w:val="30726515"/>
    <w:rsid w:val="30751371"/>
    <w:rsid w:val="30782C0F"/>
    <w:rsid w:val="307D6477"/>
    <w:rsid w:val="308C47E8"/>
    <w:rsid w:val="308D2CDE"/>
    <w:rsid w:val="30972D75"/>
    <w:rsid w:val="30980BBB"/>
    <w:rsid w:val="309A496D"/>
    <w:rsid w:val="30BB31C8"/>
    <w:rsid w:val="30C0620D"/>
    <w:rsid w:val="30CF2B57"/>
    <w:rsid w:val="30D34409"/>
    <w:rsid w:val="30D36097"/>
    <w:rsid w:val="30D81900"/>
    <w:rsid w:val="30DC76BD"/>
    <w:rsid w:val="30E16A06"/>
    <w:rsid w:val="30E43E01"/>
    <w:rsid w:val="30FD59F3"/>
    <w:rsid w:val="30FE700B"/>
    <w:rsid w:val="30FF0C3A"/>
    <w:rsid w:val="3104333F"/>
    <w:rsid w:val="310B6308"/>
    <w:rsid w:val="3120701A"/>
    <w:rsid w:val="313B489A"/>
    <w:rsid w:val="315238A4"/>
    <w:rsid w:val="315C56BE"/>
    <w:rsid w:val="31623972"/>
    <w:rsid w:val="316546A0"/>
    <w:rsid w:val="316D71E4"/>
    <w:rsid w:val="31727DDC"/>
    <w:rsid w:val="31802A8F"/>
    <w:rsid w:val="3181495E"/>
    <w:rsid w:val="318B193E"/>
    <w:rsid w:val="31914938"/>
    <w:rsid w:val="31931ABF"/>
    <w:rsid w:val="31A10BF5"/>
    <w:rsid w:val="31A970A8"/>
    <w:rsid w:val="31AA0D22"/>
    <w:rsid w:val="31AB1E21"/>
    <w:rsid w:val="31B75CB4"/>
    <w:rsid w:val="31BE052E"/>
    <w:rsid w:val="31CA483D"/>
    <w:rsid w:val="31D156FC"/>
    <w:rsid w:val="31D15908"/>
    <w:rsid w:val="31DD5420"/>
    <w:rsid w:val="31F167D5"/>
    <w:rsid w:val="320A7897"/>
    <w:rsid w:val="320F2803"/>
    <w:rsid w:val="321043B9"/>
    <w:rsid w:val="32130E41"/>
    <w:rsid w:val="3216448E"/>
    <w:rsid w:val="32164D38"/>
    <w:rsid w:val="321921D0"/>
    <w:rsid w:val="322713CA"/>
    <w:rsid w:val="322A670F"/>
    <w:rsid w:val="32313075"/>
    <w:rsid w:val="32432616"/>
    <w:rsid w:val="3243394A"/>
    <w:rsid w:val="324C06E6"/>
    <w:rsid w:val="324C6483"/>
    <w:rsid w:val="32522469"/>
    <w:rsid w:val="326C67A3"/>
    <w:rsid w:val="32776BA9"/>
    <w:rsid w:val="327B2A0D"/>
    <w:rsid w:val="328F5FEE"/>
    <w:rsid w:val="32B45676"/>
    <w:rsid w:val="32BD320D"/>
    <w:rsid w:val="32C5561F"/>
    <w:rsid w:val="32DC084A"/>
    <w:rsid w:val="32E12CEE"/>
    <w:rsid w:val="32E34CE2"/>
    <w:rsid w:val="32E53E60"/>
    <w:rsid w:val="32E97DF4"/>
    <w:rsid w:val="32F24013"/>
    <w:rsid w:val="32F669C8"/>
    <w:rsid w:val="33001B7A"/>
    <w:rsid w:val="33092244"/>
    <w:rsid w:val="330C1FC9"/>
    <w:rsid w:val="331535A7"/>
    <w:rsid w:val="33182DFB"/>
    <w:rsid w:val="331A0CC8"/>
    <w:rsid w:val="331A7AF8"/>
    <w:rsid w:val="3324614F"/>
    <w:rsid w:val="33264BA4"/>
    <w:rsid w:val="332C1A8F"/>
    <w:rsid w:val="33323549"/>
    <w:rsid w:val="3350577D"/>
    <w:rsid w:val="33547948"/>
    <w:rsid w:val="335F2062"/>
    <w:rsid w:val="33686602"/>
    <w:rsid w:val="3369637D"/>
    <w:rsid w:val="336A7882"/>
    <w:rsid w:val="339771F4"/>
    <w:rsid w:val="339B1393"/>
    <w:rsid w:val="339E0BDF"/>
    <w:rsid w:val="33B71F93"/>
    <w:rsid w:val="33BC2E13"/>
    <w:rsid w:val="33BF2903"/>
    <w:rsid w:val="33CD6404"/>
    <w:rsid w:val="33D354D0"/>
    <w:rsid w:val="33D46EDF"/>
    <w:rsid w:val="33E26FEF"/>
    <w:rsid w:val="33EE148C"/>
    <w:rsid w:val="33EF3CEA"/>
    <w:rsid w:val="33F07711"/>
    <w:rsid w:val="33FC203D"/>
    <w:rsid w:val="33FF0EE1"/>
    <w:rsid w:val="3406286A"/>
    <w:rsid w:val="34222A44"/>
    <w:rsid w:val="343926B5"/>
    <w:rsid w:val="34572B3B"/>
    <w:rsid w:val="3464291B"/>
    <w:rsid w:val="347436ED"/>
    <w:rsid w:val="34763909"/>
    <w:rsid w:val="347656B7"/>
    <w:rsid w:val="34840E64"/>
    <w:rsid w:val="34890588"/>
    <w:rsid w:val="34910F9E"/>
    <w:rsid w:val="34911926"/>
    <w:rsid w:val="34927084"/>
    <w:rsid w:val="349A75F8"/>
    <w:rsid w:val="34A76BD5"/>
    <w:rsid w:val="34AC732B"/>
    <w:rsid w:val="34AF3A6D"/>
    <w:rsid w:val="34BD011B"/>
    <w:rsid w:val="34CD4B64"/>
    <w:rsid w:val="34D260DF"/>
    <w:rsid w:val="34D72B0D"/>
    <w:rsid w:val="34DF5BDE"/>
    <w:rsid w:val="34EE06B7"/>
    <w:rsid w:val="34F24CD0"/>
    <w:rsid w:val="34FD7410"/>
    <w:rsid w:val="35020CF9"/>
    <w:rsid w:val="351A6043"/>
    <w:rsid w:val="351C0EA2"/>
    <w:rsid w:val="35255512"/>
    <w:rsid w:val="35280DC0"/>
    <w:rsid w:val="352C5D76"/>
    <w:rsid w:val="3542168B"/>
    <w:rsid w:val="35431A3E"/>
    <w:rsid w:val="35461EBC"/>
    <w:rsid w:val="354716FF"/>
    <w:rsid w:val="354B6B44"/>
    <w:rsid w:val="354D7F75"/>
    <w:rsid w:val="354E03E2"/>
    <w:rsid w:val="354E7EA3"/>
    <w:rsid w:val="355A12E4"/>
    <w:rsid w:val="35605956"/>
    <w:rsid w:val="356A4D9A"/>
    <w:rsid w:val="3575596F"/>
    <w:rsid w:val="35756336"/>
    <w:rsid w:val="357A11D7"/>
    <w:rsid w:val="3585603E"/>
    <w:rsid w:val="358D30B5"/>
    <w:rsid w:val="358F21E7"/>
    <w:rsid w:val="35914AC1"/>
    <w:rsid w:val="35921F18"/>
    <w:rsid w:val="359706D2"/>
    <w:rsid w:val="35A303EA"/>
    <w:rsid w:val="35A80566"/>
    <w:rsid w:val="35AA4F6C"/>
    <w:rsid w:val="35BE2E72"/>
    <w:rsid w:val="35E52AF5"/>
    <w:rsid w:val="35F73CF2"/>
    <w:rsid w:val="360407DE"/>
    <w:rsid w:val="361E461E"/>
    <w:rsid w:val="36213401"/>
    <w:rsid w:val="362236CD"/>
    <w:rsid w:val="363365B2"/>
    <w:rsid w:val="364D069A"/>
    <w:rsid w:val="36507137"/>
    <w:rsid w:val="365628C0"/>
    <w:rsid w:val="365E4E53"/>
    <w:rsid w:val="36637EBD"/>
    <w:rsid w:val="36657792"/>
    <w:rsid w:val="36741C91"/>
    <w:rsid w:val="36745F37"/>
    <w:rsid w:val="3676199F"/>
    <w:rsid w:val="368220F2"/>
    <w:rsid w:val="36826C73"/>
    <w:rsid w:val="3684230E"/>
    <w:rsid w:val="36873BAC"/>
    <w:rsid w:val="368C5779"/>
    <w:rsid w:val="36943485"/>
    <w:rsid w:val="369D3512"/>
    <w:rsid w:val="369D62CB"/>
    <w:rsid w:val="36A77DAA"/>
    <w:rsid w:val="36AD7FE4"/>
    <w:rsid w:val="36B54F4A"/>
    <w:rsid w:val="36B6196C"/>
    <w:rsid w:val="36BD312A"/>
    <w:rsid w:val="36C4095C"/>
    <w:rsid w:val="36C4252E"/>
    <w:rsid w:val="36D01095"/>
    <w:rsid w:val="36E1641D"/>
    <w:rsid w:val="36E20DE2"/>
    <w:rsid w:val="36E6311A"/>
    <w:rsid w:val="36E76C88"/>
    <w:rsid w:val="36F13492"/>
    <w:rsid w:val="36FD3CFD"/>
    <w:rsid w:val="37024C59"/>
    <w:rsid w:val="370F2612"/>
    <w:rsid w:val="37101BB1"/>
    <w:rsid w:val="37225683"/>
    <w:rsid w:val="37237B4D"/>
    <w:rsid w:val="3729161C"/>
    <w:rsid w:val="372F0DF2"/>
    <w:rsid w:val="37332395"/>
    <w:rsid w:val="373677D5"/>
    <w:rsid w:val="37384EA6"/>
    <w:rsid w:val="37433BFB"/>
    <w:rsid w:val="3744384B"/>
    <w:rsid w:val="37471BEF"/>
    <w:rsid w:val="376923BA"/>
    <w:rsid w:val="37733813"/>
    <w:rsid w:val="378823DF"/>
    <w:rsid w:val="378E0F6A"/>
    <w:rsid w:val="378E20BB"/>
    <w:rsid w:val="3793276A"/>
    <w:rsid w:val="37941218"/>
    <w:rsid w:val="37945822"/>
    <w:rsid w:val="37990A35"/>
    <w:rsid w:val="379A653D"/>
    <w:rsid w:val="37A12891"/>
    <w:rsid w:val="37AD65C6"/>
    <w:rsid w:val="37B409D1"/>
    <w:rsid w:val="37BB0FD8"/>
    <w:rsid w:val="37BD18D7"/>
    <w:rsid w:val="37C35F96"/>
    <w:rsid w:val="37C4673A"/>
    <w:rsid w:val="37CA1A7A"/>
    <w:rsid w:val="37D31ED9"/>
    <w:rsid w:val="37E35871"/>
    <w:rsid w:val="37F5270D"/>
    <w:rsid w:val="37FE10B8"/>
    <w:rsid w:val="37FE7227"/>
    <w:rsid w:val="380B32C6"/>
    <w:rsid w:val="381309C6"/>
    <w:rsid w:val="38147807"/>
    <w:rsid w:val="3827564E"/>
    <w:rsid w:val="38397128"/>
    <w:rsid w:val="386211A0"/>
    <w:rsid w:val="38774AC4"/>
    <w:rsid w:val="38795776"/>
    <w:rsid w:val="387A2AEC"/>
    <w:rsid w:val="38980B25"/>
    <w:rsid w:val="38AA5930"/>
    <w:rsid w:val="38B676A5"/>
    <w:rsid w:val="38B91722"/>
    <w:rsid w:val="38B92017"/>
    <w:rsid w:val="38EC5F48"/>
    <w:rsid w:val="38F86829"/>
    <w:rsid w:val="39097304"/>
    <w:rsid w:val="39205BF2"/>
    <w:rsid w:val="3922196A"/>
    <w:rsid w:val="392502E5"/>
    <w:rsid w:val="393741B4"/>
    <w:rsid w:val="393D4562"/>
    <w:rsid w:val="39531710"/>
    <w:rsid w:val="395D3D25"/>
    <w:rsid w:val="395F671A"/>
    <w:rsid w:val="39616936"/>
    <w:rsid w:val="396804A8"/>
    <w:rsid w:val="396F1187"/>
    <w:rsid w:val="397074D5"/>
    <w:rsid w:val="39730417"/>
    <w:rsid w:val="397B405B"/>
    <w:rsid w:val="397D525A"/>
    <w:rsid w:val="39981BEB"/>
    <w:rsid w:val="399C171C"/>
    <w:rsid w:val="39A24859"/>
    <w:rsid w:val="39AC75EE"/>
    <w:rsid w:val="39B60304"/>
    <w:rsid w:val="39B916DF"/>
    <w:rsid w:val="39BB0FFD"/>
    <w:rsid w:val="39DC2DAA"/>
    <w:rsid w:val="39DD0D52"/>
    <w:rsid w:val="39E03482"/>
    <w:rsid w:val="39E6508D"/>
    <w:rsid w:val="39E81252"/>
    <w:rsid w:val="39ED01CA"/>
    <w:rsid w:val="39EE69BC"/>
    <w:rsid w:val="39F01DE6"/>
    <w:rsid w:val="39F24125"/>
    <w:rsid w:val="3A00359B"/>
    <w:rsid w:val="3A06128C"/>
    <w:rsid w:val="3A1D44D9"/>
    <w:rsid w:val="3A24028F"/>
    <w:rsid w:val="3A3718D6"/>
    <w:rsid w:val="3A4660AA"/>
    <w:rsid w:val="3A5E3659"/>
    <w:rsid w:val="3A5F1B0C"/>
    <w:rsid w:val="3A64520B"/>
    <w:rsid w:val="3A7D3282"/>
    <w:rsid w:val="3A83468A"/>
    <w:rsid w:val="3A9F77C4"/>
    <w:rsid w:val="3AAC6550"/>
    <w:rsid w:val="3AE8089A"/>
    <w:rsid w:val="3AEB6596"/>
    <w:rsid w:val="3AFB240E"/>
    <w:rsid w:val="3AFD5CD9"/>
    <w:rsid w:val="3B1919AB"/>
    <w:rsid w:val="3B246193"/>
    <w:rsid w:val="3B2C4003"/>
    <w:rsid w:val="3B2F3D42"/>
    <w:rsid w:val="3B322AFF"/>
    <w:rsid w:val="3B340B6C"/>
    <w:rsid w:val="3B5E09F6"/>
    <w:rsid w:val="3B6B12B0"/>
    <w:rsid w:val="3B790184"/>
    <w:rsid w:val="3B88270F"/>
    <w:rsid w:val="3B9B5A04"/>
    <w:rsid w:val="3BAB27D1"/>
    <w:rsid w:val="3BAD7364"/>
    <w:rsid w:val="3BBA0580"/>
    <w:rsid w:val="3BBE60C2"/>
    <w:rsid w:val="3BC34952"/>
    <w:rsid w:val="3BCB0097"/>
    <w:rsid w:val="3BE01FA9"/>
    <w:rsid w:val="3BE82D14"/>
    <w:rsid w:val="3BEA7FE9"/>
    <w:rsid w:val="3BFC2F3F"/>
    <w:rsid w:val="3C05618E"/>
    <w:rsid w:val="3C0C5C53"/>
    <w:rsid w:val="3C166140"/>
    <w:rsid w:val="3C25022E"/>
    <w:rsid w:val="3C2C06BD"/>
    <w:rsid w:val="3C343788"/>
    <w:rsid w:val="3C430575"/>
    <w:rsid w:val="3C435976"/>
    <w:rsid w:val="3C4E4F6D"/>
    <w:rsid w:val="3C555EB9"/>
    <w:rsid w:val="3C5B4206"/>
    <w:rsid w:val="3C64645A"/>
    <w:rsid w:val="3C656018"/>
    <w:rsid w:val="3C667DB0"/>
    <w:rsid w:val="3C6C06DF"/>
    <w:rsid w:val="3C7B68BB"/>
    <w:rsid w:val="3C8C1F1C"/>
    <w:rsid w:val="3C946D71"/>
    <w:rsid w:val="3CAE79D6"/>
    <w:rsid w:val="3CB369E7"/>
    <w:rsid w:val="3CB83945"/>
    <w:rsid w:val="3CBE7BFC"/>
    <w:rsid w:val="3CC106AE"/>
    <w:rsid w:val="3CCA034E"/>
    <w:rsid w:val="3CCE5337"/>
    <w:rsid w:val="3CCF1E09"/>
    <w:rsid w:val="3CDB255C"/>
    <w:rsid w:val="3D0A559A"/>
    <w:rsid w:val="3D1E14E7"/>
    <w:rsid w:val="3D235CB1"/>
    <w:rsid w:val="3D255602"/>
    <w:rsid w:val="3D3A558F"/>
    <w:rsid w:val="3D3C3A49"/>
    <w:rsid w:val="3D3D225B"/>
    <w:rsid w:val="3D404AB5"/>
    <w:rsid w:val="3D4501F5"/>
    <w:rsid w:val="3D477BF1"/>
    <w:rsid w:val="3D577E3C"/>
    <w:rsid w:val="3D6C3114"/>
    <w:rsid w:val="3D7A74DC"/>
    <w:rsid w:val="3D7E5C88"/>
    <w:rsid w:val="3D8252C4"/>
    <w:rsid w:val="3D8C2AD7"/>
    <w:rsid w:val="3D996C27"/>
    <w:rsid w:val="3D9B0069"/>
    <w:rsid w:val="3D9E48C4"/>
    <w:rsid w:val="3DD017C1"/>
    <w:rsid w:val="3DD671C7"/>
    <w:rsid w:val="3DDB77FC"/>
    <w:rsid w:val="3DDD2303"/>
    <w:rsid w:val="3DEC0798"/>
    <w:rsid w:val="3DEF7094"/>
    <w:rsid w:val="3DFF3C37"/>
    <w:rsid w:val="3E0445FE"/>
    <w:rsid w:val="3E2A5C68"/>
    <w:rsid w:val="3E2D328B"/>
    <w:rsid w:val="3E3B08E6"/>
    <w:rsid w:val="3E3F581A"/>
    <w:rsid w:val="3E4E4FAF"/>
    <w:rsid w:val="3E50322D"/>
    <w:rsid w:val="3E6C643E"/>
    <w:rsid w:val="3E7919F5"/>
    <w:rsid w:val="3E830253"/>
    <w:rsid w:val="3E8950E5"/>
    <w:rsid w:val="3E9230EE"/>
    <w:rsid w:val="3EA13331"/>
    <w:rsid w:val="3EAB50B7"/>
    <w:rsid w:val="3EB41A1A"/>
    <w:rsid w:val="3EC571FD"/>
    <w:rsid w:val="3ECF0CFF"/>
    <w:rsid w:val="3EEB4417"/>
    <w:rsid w:val="3EFC73B7"/>
    <w:rsid w:val="3F055FB6"/>
    <w:rsid w:val="3F082623"/>
    <w:rsid w:val="3F125FDD"/>
    <w:rsid w:val="3F171845"/>
    <w:rsid w:val="3F304E08"/>
    <w:rsid w:val="3F3077D5"/>
    <w:rsid w:val="3F3D4A3D"/>
    <w:rsid w:val="3F3F4D49"/>
    <w:rsid w:val="3F4E2855"/>
    <w:rsid w:val="3F517949"/>
    <w:rsid w:val="3F5E1222"/>
    <w:rsid w:val="3F5F0663"/>
    <w:rsid w:val="3F60143E"/>
    <w:rsid w:val="3F6820A1"/>
    <w:rsid w:val="3F733AE9"/>
    <w:rsid w:val="3F7722E4"/>
    <w:rsid w:val="3F88009A"/>
    <w:rsid w:val="3F8A5A5C"/>
    <w:rsid w:val="3F976986"/>
    <w:rsid w:val="3F9D725A"/>
    <w:rsid w:val="3F9E25CD"/>
    <w:rsid w:val="3F9F48BC"/>
    <w:rsid w:val="3FA708C6"/>
    <w:rsid w:val="3FAC46C9"/>
    <w:rsid w:val="3FBE264C"/>
    <w:rsid w:val="3FC04688"/>
    <w:rsid w:val="3FC35C6C"/>
    <w:rsid w:val="3FC90D91"/>
    <w:rsid w:val="3FCC35A6"/>
    <w:rsid w:val="3FCE355B"/>
    <w:rsid w:val="3FD6525C"/>
    <w:rsid w:val="3FDA11F0"/>
    <w:rsid w:val="3FDB2873"/>
    <w:rsid w:val="3FF94E2C"/>
    <w:rsid w:val="40035149"/>
    <w:rsid w:val="400351B4"/>
    <w:rsid w:val="4005743D"/>
    <w:rsid w:val="40063D93"/>
    <w:rsid w:val="4010775A"/>
    <w:rsid w:val="40125316"/>
    <w:rsid w:val="4013337A"/>
    <w:rsid w:val="40143DF8"/>
    <w:rsid w:val="401D10DD"/>
    <w:rsid w:val="40266073"/>
    <w:rsid w:val="40267F92"/>
    <w:rsid w:val="40416B7A"/>
    <w:rsid w:val="40470673"/>
    <w:rsid w:val="40490124"/>
    <w:rsid w:val="404A445A"/>
    <w:rsid w:val="404A52B1"/>
    <w:rsid w:val="405E23E3"/>
    <w:rsid w:val="40640ABA"/>
    <w:rsid w:val="40694322"/>
    <w:rsid w:val="406E3A13"/>
    <w:rsid w:val="407C4056"/>
    <w:rsid w:val="40863AC3"/>
    <w:rsid w:val="40890521"/>
    <w:rsid w:val="409A1F76"/>
    <w:rsid w:val="40A219AE"/>
    <w:rsid w:val="40B576E7"/>
    <w:rsid w:val="40B70D19"/>
    <w:rsid w:val="40C003E6"/>
    <w:rsid w:val="40C24133"/>
    <w:rsid w:val="40C81049"/>
    <w:rsid w:val="40CA5AEE"/>
    <w:rsid w:val="40DC4E34"/>
    <w:rsid w:val="40DE61EA"/>
    <w:rsid w:val="40E260D9"/>
    <w:rsid w:val="40F461DB"/>
    <w:rsid w:val="40F736DC"/>
    <w:rsid w:val="4103272C"/>
    <w:rsid w:val="410F300B"/>
    <w:rsid w:val="412169AB"/>
    <w:rsid w:val="4125450E"/>
    <w:rsid w:val="413041F2"/>
    <w:rsid w:val="41390F1D"/>
    <w:rsid w:val="41407953"/>
    <w:rsid w:val="41421C8D"/>
    <w:rsid w:val="415119B9"/>
    <w:rsid w:val="41594397"/>
    <w:rsid w:val="41597EF3"/>
    <w:rsid w:val="4162149D"/>
    <w:rsid w:val="41635215"/>
    <w:rsid w:val="416C56EA"/>
    <w:rsid w:val="417007D7"/>
    <w:rsid w:val="41713E0B"/>
    <w:rsid w:val="41744B76"/>
    <w:rsid w:val="417F375C"/>
    <w:rsid w:val="418A09F4"/>
    <w:rsid w:val="418C2076"/>
    <w:rsid w:val="41953D1B"/>
    <w:rsid w:val="41BC64D5"/>
    <w:rsid w:val="41C21F3C"/>
    <w:rsid w:val="41CC6917"/>
    <w:rsid w:val="41DA54BD"/>
    <w:rsid w:val="41E53E7C"/>
    <w:rsid w:val="41E8185E"/>
    <w:rsid w:val="42084E7C"/>
    <w:rsid w:val="420F79EB"/>
    <w:rsid w:val="421B685C"/>
    <w:rsid w:val="4226071D"/>
    <w:rsid w:val="42323D88"/>
    <w:rsid w:val="423F1FDD"/>
    <w:rsid w:val="42435B11"/>
    <w:rsid w:val="42584A8A"/>
    <w:rsid w:val="426116DE"/>
    <w:rsid w:val="42786A51"/>
    <w:rsid w:val="42884F7A"/>
    <w:rsid w:val="42886EC3"/>
    <w:rsid w:val="429163FD"/>
    <w:rsid w:val="42963474"/>
    <w:rsid w:val="42AA0529"/>
    <w:rsid w:val="42AF2E88"/>
    <w:rsid w:val="42B14668"/>
    <w:rsid w:val="42B6714C"/>
    <w:rsid w:val="42DF1B53"/>
    <w:rsid w:val="42E414AE"/>
    <w:rsid w:val="43171E14"/>
    <w:rsid w:val="431B6658"/>
    <w:rsid w:val="431E7646"/>
    <w:rsid w:val="432D7889"/>
    <w:rsid w:val="432F53AF"/>
    <w:rsid w:val="434B5F61"/>
    <w:rsid w:val="435A3AA9"/>
    <w:rsid w:val="435E4B64"/>
    <w:rsid w:val="436379C5"/>
    <w:rsid w:val="437A14BF"/>
    <w:rsid w:val="43866F99"/>
    <w:rsid w:val="438A50B6"/>
    <w:rsid w:val="4399065B"/>
    <w:rsid w:val="43992916"/>
    <w:rsid w:val="43C53F65"/>
    <w:rsid w:val="43C56BDE"/>
    <w:rsid w:val="43CC5F2C"/>
    <w:rsid w:val="43D1290A"/>
    <w:rsid w:val="43E0686A"/>
    <w:rsid w:val="43E234DF"/>
    <w:rsid w:val="43E52CC5"/>
    <w:rsid w:val="43E960F8"/>
    <w:rsid w:val="43EC292D"/>
    <w:rsid w:val="43FC25A4"/>
    <w:rsid w:val="43FF2AD0"/>
    <w:rsid w:val="44052CBA"/>
    <w:rsid w:val="440740E3"/>
    <w:rsid w:val="440954ED"/>
    <w:rsid w:val="440C143D"/>
    <w:rsid w:val="44142F49"/>
    <w:rsid w:val="442C7144"/>
    <w:rsid w:val="443E5A02"/>
    <w:rsid w:val="444A6E63"/>
    <w:rsid w:val="44501A81"/>
    <w:rsid w:val="44620E2F"/>
    <w:rsid w:val="447137A5"/>
    <w:rsid w:val="44734028"/>
    <w:rsid w:val="4475210F"/>
    <w:rsid w:val="44830EA6"/>
    <w:rsid w:val="4488274F"/>
    <w:rsid w:val="449D3C54"/>
    <w:rsid w:val="449E3FCA"/>
    <w:rsid w:val="44B26298"/>
    <w:rsid w:val="44B32010"/>
    <w:rsid w:val="44D41F91"/>
    <w:rsid w:val="44DC2DC4"/>
    <w:rsid w:val="44DD0CDA"/>
    <w:rsid w:val="44E26451"/>
    <w:rsid w:val="44E87738"/>
    <w:rsid w:val="44E93C84"/>
    <w:rsid w:val="44F66110"/>
    <w:rsid w:val="44FD7C0D"/>
    <w:rsid w:val="451D4B80"/>
    <w:rsid w:val="4523563D"/>
    <w:rsid w:val="452847AC"/>
    <w:rsid w:val="452926E8"/>
    <w:rsid w:val="45340E1B"/>
    <w:rsid w:val="453C0257"/>
    <w:rsid w:val="45512375"/>
    <w:rsid w:val="455C4456"/>
    <w:rsid w:val="45671E30"/>
    <w:rsid w:val="456C6947"/>
    <w:rsid w:val="45742F08"/>
    <w:rsid w:val="4579370A"/>
    <w:rsid w:val="459C0CF6"/>
    <w:rsid w:val="459D0F13"/>
    <w:rsid w:val="45AE7782"/>
    <w:rsid w:val="45C75D73"/>
    <w:rsid w:val="45D02B0C"/>
    <w:rsid w:val="45D83104"/>
    <w:rsid w:val="45DB5496"/>
    <w:rsid w:val="45DD1335"/>
    <w:rsid w:val="45DE130F"/>
    <w:rsid w:val="45E21FE7"/>
    <w:rsid w:val="45EA380F"/>
    <w:rsid w:val="45EC2A44"/>
    <w:rsid w:val="45ED40E2"/>
    <w:rsid w:val="45ED4FA4"/>
    <w:rsid w:val="45F1221E"/>
    <w:rsid w:val="45F262B7"/>
    <w:rsid w:val="45F865A3"/>
    <w:rsid w:val="460A2471"/>
    <w:rsid w:val="460C19D8"/>
    <w:rsid w:val="461A0599"/>
    <w:rsid w:val="462C0983"/>
    <w:rsid w:val="462C5BD6"/>
    <w:rsid w:val="46366A55"/>
    <w:rsid w:val="464C5BD7"/>
    <w:rsid w:val="464D3810"/>
    <w:rsid w:val="464F15EF"/>
    <w:rsid w:val="46537607"/>
    <w:rsid w:val="465511B3"/>
    <w:rsid w:val="46575EC8"/>
    <w:rsid w:val="46582E6F"/>
    <w:rsid w:val="46601D24"/>
    <w:rsid w:val="46677ABB"/>
    <w:rsid w:val="46737C6F"/>
    <w:rsid w:val="46841EB6"/>
    <w:rsid w:val="46935C55"/>
    <w:rsid w:val="4693603D"/>
    <w:rsid w:val="469B6A1E"/>
    <w:rsid w:val="46A42DF8"/>
    <w:rsid w:val="46AC4F69"/>
    <w:rsid w:val="46AF2439"/>
    <w:rsid w:val="46BE6BCD"/>
    <w:rsid w:val="46C916D3"/>
    <w:rsid w:val="46CB5C37"/>
    <w:rsid w:val="46D05B31"/>
    <w:rsid w:val="46D22C21"/>
    <w:rsid w:val="46EE0EDA"/>
    <w:rsid w:val="46F30DEA"/>
    <w:rsid w:val="46F56910"/>
    <w:rsid w:val="46F661E4"/>
    <w:rsid w:val="46F9303C"/>
    <w:rsid w:val="47006AF5"/>
    <w:rsid w:val="47040901"/>
    <w:rsid w:val="47154453"/>
    <w:rsid w:val="47210AB5"/>
    <w:rsid w:val="472471F5"/>
    <w:rsid w:val="47354F5E"/>
    <w:rsid w:val="47355090"/>
    <w:rsid w:val="47356D0C"/>
    <w:rsid w:val="47423169"/>
    <w:rsid w:val="474336A4"/>
    <w:rsid w:val="47482A84"/>
    <w:rsid w:val="475048B6"/>
    <w:rsid w:val="47583D74"/>
    <w:rsid w:val="475A6773"/>
    <w:rsid w:val="475F1FDB"/>
    <w:rsid w:val="475F36B2"/>
    <w:rsid w:val="47835CCA"/>
    <w:rsid w:val="479604A6"/>
    <w:rsid w:val="479653C5"/>
    <w:rsid w:val="47973A13"/>
    <w:rsid w:val="47A26A3C"/>
    <w:rsid w:val="47B72BD9"/>
    <w:rsid w:val="47BE24AA"/>
    <w:rsid w:val="47BF7E31"/>
    <w:rsid w:val="47C87B80"/>
    <w:rsid w:val="47CA0AC9"/>
    <w:rsid w:val="47D6229D"/>
    <w:rsid w:val="47D7253A"/>
    <w:rsid w:val="47E2428C"/>
    <w:rsid w:val="47E77A11"/>
    <w:rsid w:val="47E83C04"/>
    <w:rsid w:val="47EE5734"/>
    <w:rsid w:val="47EF72F5"/>
    <w:rsid w:val="47F047D3"/>
    <w:rsid w:val="480A0199"/>
    <w:rsid w:val="480E07D8"/>
    <w:rsid w:val="481C6DA3"/>
    <w:rsid w:val="482B24EA"/>
    <w:rsid w:val="484A2C8B"/>
    <w:rsid w:val="485D651B"/>
    <w:rsid w:val="4860425D"/>
    <w:rsid w:val="486924B1"/>
    <w:rsid w:val="487735EE"/>
    <w:rsid w:val="487877F8"/>
    <w:rsid w:val="487970CD"/>
    <w:rsid w:val="488A2EB7"/>
    <w:rsid w:val="48902B3C"/>
    <w:rsid w:val="48A326ED"/>
    <w:rsid w:val="48AB58C3"/>
    <w:rsid w:val="48AF1997"/>
    <w:rsid w:val="48B013B1"/>
    <w:rsid w:val="48C03C76"/>
    <w:rsid w:val="48C4391C"/>
    <w:rsid w:val="48C775B3"/>
    <w:rsid w:val="48C93E5F"/>
    <w:rsid w:val="48CB3363"/>
    <w:rsid w:val="48E22EC4"/>
    <w:rsid w:val="48E44E8E"/>
    <w:rsid w:val="48E7672C"/>
    <w:rsid w:val="48EB6461"/>
    <w:rsid w:val="48F10FE7"/>
    <w:rsid w:val="48F7551F"/>
    <w:rsid w:val="48FD2C21"/>
    <w:rsid w:val="48FF04F9"/>
    <w:rsid w:val="4903586B"/>
    <w:rsid w:val="49131BB2"/>
    <w:rsid w:val="49160122"/>
    <w:rsid w:val="49186988"/>
    <w:rsid w:val="492822E2"/>
    <w:rsid w:val="49284D7B"/>
    <w:rsid w:val="492C413F"/>
    <w:rsid w:val="492E4E74"/>
    <w:rsid w:val="4931444D"/>
    <w:rsid w:val="493A4AAE"/>
    <w:rsid w:val="493F58B8"/>
    <w:rsid w:val="49492F43"/>
    <w:rsid w:val="494F46CF"/>
    <w:rsid w:val="4961011A"/>
    <w:rsid w:val="49647D7D"/>
    <w:rsid w:val="496B110B"/>
    <w:rsid w:val="497751F7"/>
    <w:rsid w:val="499A066F"/>
    <w:rsid w:val="499A2986"/>
    <w:rsid w:val="499F7F0B"/>
    <w:rsid w:val="49A200E2"/>
    <w:rsid w:val="49A72FB2"/>
    <w:rsid w:val="49AD58E5"/>
    <w:rsid w:val="49AE1A9E"/>
    <w:rsid w:val="49B133BD"/>
    <w:rsid w:val="49B75190"/>
    <w:rsid w:val="49C72642"/>
    <w:rsid w:val="49CC519F"/>
    <w:rsid w:val="49D60DA0"/>
    <w:rsid w:val="49DC64FA"/>
    <w:rsid w:val="49DD13EB"/>
    <w:rsid w:val="49E07403"/>
    <w:rsid w:val="49EA6878"/>
    <w:rsid w:val="49F15863"/>
    <w:rsid w:val="49F242C9"/>
    <w:rsid w:val="49F44FF0"/>
    <w:rsid w:val="49F66C27"/>
    <w:rsid w:val="4A030844"/>
    <w:rsid w:val="4A0A1F1A"/>
    <w:rsid w:val="4A0D7F42"/>
    <w:rsid w:val="4A130CD4"/>
    <w:rsid w:val="4A1B647C"/>
    <w:rsid w:val="4A1F50C2"/>
    <w:rsid w:val="4A2A2D74"/>
    <w:rsid w:val="4A2B6F2D"/>
    <w:rsid w:val="4A407EA2"/>
    <w:rsid w:val="4A541C13"/>
    <w:rsid w:val="4A5502F8"/>
    <w:rsid w:val="4A7D7215"/>
    <w:rsid w:val="4A845BD3"/>
    <w:rsid w:val="4A8D52FB"/>
    <w:rsid w:val="4A8D56DE"/>
    <w:rsid w:val="4A9E3173"/>
    <w:rsid w:val="4AB33A2C"/>
    <w:rsid w:val="4AB47A12"/>
    <w:rsid w:val="4AB538C9"/>
    <w:rsid w:val="4ABE260E"/>
    <w:rsid w:val="4ACF0F07"/>
    <w:rsid w:val="4AD66CD6"/>
    <w:rsid w:val="4AD74653"/>
    <w:rsid w:val="4AE07DFB"/>
    <w:rsid w:val="4AE23121"/>
    <w:rsid w:val="4AEC627C"/>
    <w:rsid w:val="4AEE16B8"/>
    <w:rsid w:val="4AEF24ED"/>
    <w:rsid w:val="4AF33166"/>
    <w:rsid w:val="4AF96CB6"/>
    <w:rsid w:val="4AFD5169"/>
    <w:rsid w:val="4B093295"/>
    <w:rsid w:val="4B0B04B0"/>
    <w:rsid w:val="4B0C06DC"/>
    <w:rsid w:val="4B184095"/>
    <w:rsid w:val="4B2043B8"/>
    <w:rsid w:val="4B285F31"/>
    <w:rsid w:val="4B406692"/>
    <w:rsid w:val="4B492A3B"/>
    <w:rsid w:val="4B497029"/>
    <w:rsid w:val="4B4E4840"/>
    <w:rsid w:val="4B5C74E9"/>
    <w:rsid w:val="4B5F3ED9"/>
    <w:rsid w:val="4B605F8F"/>
    <w:rsid w:val="4B634726"/>
    <w:rsid w:val="4B6422B6"/>
    <w:rsid w:val="4B7D0C82"/>
    <w:rsid w:val="4B8E2E8F"/>
    <w:rsid w:val="4B8F6E14"/>
    <w:rsid w:val="4B951AD0"/>
    <w:rsid w:val="4B9809FD"/>
    <w:rsid w:val="4BA426B2"/>
    <w:rsid w:val="4BB01057"/>
    <w:rsid w:val="4BB0472C"/>
    <w:rsid w:val="4BB41CBD"/>
    <w:rsid w:val="4BBB33A6"/>
    <w:rsid w:val="4BBE46DB"/>
    <w:rsid w:val="4BC114B6"/>
    <w:rsid w:val="4BC472D1"/>
    <w:rsid w:val="4BC54E66"/>
    <w:rsid w:val="4BC93EC7"/>
    <w:rsid w:val="4BCA53D9"/>
    <w:rsid w:val="4BCD57A7"/>
    <w:rsid w:val="4BCF788F"/>
    <w:rsid w:val="4BD765E4"/>
    <w:rsid w:val="4BD84E75"/>
    <w:rsid w:val="4BD905AE"/>
    <w:rsid w:val="4BDC5224"/>
    <w:rsid w:val="4BE76065"/>
    <w:rsid w:val="4BEA3BEA"/>
    <w:rsid w:val="4BEC4DB3"/>
    <w:rsid w:val="4BF149C3"/>
    <w:rsid w:val="4BFA4125"/>
    <w:rsid w:val="4BFE6267"/>
    <w:rsid w:val="4C003D8D"/>
    <w:rsid w:val="4C020E7B"/>
    <w:rsid w:val="4C23448B"/>
    <w:rsid w:val="4C327CBE"/>
    <w:rsid w:val="4C345224"/>
    <w:rsid w:val="4C4C2771"/>
    <w:rsid w:val="4C543B22"/>
    <w:rsid w:val="4C5566D7"/>
    <w:rsid w:val="4C644E8C"/>
    <w:rsid w:val="4C742D40"/>
    <w:rsid w:val="4C746C1E"/>
    <w:rsid w:val="4C7C48A7"/>
    <w:rsid w:val="4C7C506B"/>
    <w:rsid w:val="4C7E73A7"/>
    <w:rsid w:val="4CA706AC"/>
    <w:rsid w:val="4CA87F80"/>
    <w:rsid w:val="4CBB0A14"/>
    <w:rsid w:val="4CC770B1"/>
    <w:rsid w:val="4CCB4740"/>
    <w:rsid w:val="4CCD1A64"/>
    <w:rsid w:val="4CD251A8"/>
    <w:rsid w:val="4CD52E3E"/>
    <w:rsid w:val="4CD96906"/>
    <w:rsid w:val="4CE57A8E"/>
    <w:rsid w:val="4CF84A64"/>
    <w:rsid w:val="4CFB55CD"/>
    <w:rsid w:val="4D072D79"/>
    <w:rsid w:val="4D145D5B"/>
    <w:rsid w:val="4D17778C"/>
    <w:rsid w:val="4D281D25"/>
    <w:rsid w:val="4D2C015A"/>
    <w:rsid w:val="4D31441A"/>
    <w:rsid w:val="4D473BE7"/>
    <w:rsid w:val="4D52686A"/>
    <w:rsid w:val="4D534390"/>
    <w:rsid w:val="4D5544C8"/>
    <w:rsid w:val="4D5B4FF3"/>
    <w:rsid w:val="4D616AAD"/>
    <w:rsid w:val="4D700D45"/>
    <w:rsid w:val="4D73778C"/>
    <w:rsid w:val="4D745DFC"/>
    <w:rsid w:val="4D7A36CB"/>
    <w:rsid w:val="4D812CAB"/>
    <w:rsid w:val="4D8663D0"/>
    <w:rsid w:val="4D8F10BC"/>
    <w:rsid w:val="4D8F631A"/>
    <w:rsid w:val="4D987A0C"/>
    <w:rsid w:val="4D9C5D37"/>
    <w:rsid w:val="4DA2170E"/>
    <w:rsid w:val="4DA226DD"/>
    <w:rsid w:val="4DBC6884"/>
    <w:rsid w:val="4DD76D6F"/>
    <w:rsid w:val="4DEE07CD"/>
    <w:rsid w:val="4DF010A0"/>
    <w:rsid w:val="4DF633EF"/>
    <w:rsid w:val="4E0361F9"/>
    <w:rsid w:val="4E037B64"/>
    <w:rsid w:val="4E096E2C"/>
    <w:rsid w:val="4E0B4471"/>
    <w:rsid w:val="4E131941"/>
    <w:rsid w:val="4E197388"/>
    <w:rsid w:val="4E1F24C4"/>
    <w:rsid w:val="4E34712A"/>
    <w:rsid w:val="4E37534F"/>
    <w:rsid w:val="4E3A1C2D"/>
    <w:rsid w:val="4E463A07"/>
    <w:rsid w:val="4E4F7006"/>
    <w:rsid w:val="4E567965"/>
    <w:rsid w:val="4E5879FD"/>
    <w:rsid w:val="4E5B246B"/>
    <w:rsid w:val="4E6A6162"/>
    <w:rsid w:val="4E6A7AAB"/>
    <w:rsid w:val="4E6F7F3D"/>
    <w:rsid w:val="4E77126F"/>
    <w:rsid w:val="4E7E71EB"/>
    <w:rsid w:val="4E870CEC"/>
    <w:rsid w:val="4E932227"/>
    <w:rsid w:val="4E944C60"/>
    <w:rsid w:val="4E951779"/>
    <w:rsid w:val="4E9D5E6B"/>
    <w:rsid w:val="4EA310EA"/>
    <w:rsid w:val="4EAB5E7F"/>
    <w:rsid w:val="4EAB7B87"/>
    <w:rsid w:val="4EB1136E"/>
    <w:rsid w:val="4EB27D68"/>
    <w:rsid w:val="4ECA4D18"/>
    <w:rsid w:val="4ED17C62"/>
    <w:rsid w:val="4ED4505D"/>
    <w:rsid w:val="4EDD4F23"/>
    <w:rsid w:val="4EDE2A17"/>
    <w:rsid w:val="4EF82C0F"/>
    <w:rsid w:val="4F027E1C"/>
    <w:rsid w:val="4F1705ED"/>
    <w:rsid w:val="4F1B405C"/>
    <w:rsid w:val="4F221450"/>
    <w:rsid w:val="4F39547D"/>
    <w:rsid w:val="4F455F5A"/>
    <w:rsid w:val="4F4F0B87"/>
    <w:rsid w:val="4F5831BF"/>
    <w:rsid w:val="4F5E50E8"/>
    <w:rsid w:val="4F6065C7"/>
    <w:rsid w:val="4F67737B"/>
    <w:rsid w:val="4F6B3C13"/>
    <w:rsid w:val="4F766114"/>
    <w:rsid w:val="4F7725B8"/>
    <w:rsid w:val="4F944AF3"/>
    <w:rsid w:val="4F9B48E0"/>
    <w:rsid w:val="4FB547BF"/>
    <w:rsid w:val="4FD46E5C"/>
    <w:rsid w:val="4FD518A8"/>
    <w:rsid w:val="4FDA66A3"/>
    <w:rsid w:val="4FDA7262"/>
    <w:rsid w:val="4FE37C4D"/>
    <w:rsid w:val="4FFB4A12"/>
    <w:rsid w:val="4FFB53F6"/>
    <w:rsid w:val="50047BC4"/>
    <w:rsid w:val="50054F04"/>
    <w:rsid w:val="500B08C0"/>
    <w:rsid w:val="50136893"/>
    <w:rsid w:val="50187BDC"/>
    <w:rsid w:val="501A6B51"/>
    <w:rsid w:val="50271C76"/>
    <w:rsid w:val="50373AF5"/>
    <w:rsid w:val="503754C6"/>
    <w:rsid w:val="50435E55"/>
    <w:rsid w:val="50486282"/>
    <w:rsid w:val="50511B72"/>
    <w:rsid w:val="50693BBD"/>
    <w:rsid w:val="50700EA1"/>
    <w:rsid w:val="50795EBC"/>
    <w:rsid w:val="508C2093"/>
    <w:rsid w:val="508D1967"/>
    <w:rsid w:val="50B109AF"/>
    <w:rsid w:val="50B9275C"/>
    <w:rsid w:val="50C9265F"/>
    <w:rsid w:val="50C954CC"/>
    <w:rsid w:val="50CF3D2E"/>
    <w:rsid w:val="50D856A5"/>
    <w:rsid w:val="50E05F3B"/>
    <w:rsid w:val="50E20B5E"/>
    <w:rsid w:val="510E2DC2"/>
    <w:rsid w:val="51181B78"/>
    <w:rsid w:val="5128530D"/>
    <w:rsid w:val="512C2F2E"/>
    <w:rsid w:val="513A20EB"/>
    <w:rsid w:val="51475B9B"/>
    <w:rsid w:val="514F764A"/>
    <w:rsid w:val="515446F4"/>
    <w:rsid w:val="515C44D2"/>
    <w:rsid w:val="51607C8A"/>
    <w:rsid w:val="51646F20"/>
    <w:rsid w:val="5167040A"/>
    <w:rsid w:val="51694C80"/>
    <w:rsid w:val="5173358C"/>
    <w:rsid w:val="51866838"/>
    <w:rsid w:val="518F457C"/>
    <w:rsid w:val="51917235"/>
    <w:rsid w:val="5198472E"/>
    <w:rsid w:val="519E06BD"/>
    <w:rsid w:val="51A94649"/>
    <w:rsid w:val="51AC0513"/>
    <w:rsid w:val="51AD7117"/>
    <w:rsid w:val="51B71FD1"/>
    <w:rsid w:val="51BA3A7E"/>
    <w:rsid w:val="51BA51B2"/>
    <w:rsid w:val="51C94C21"/>
    <w:rsid w:val="51CD59F0"/>
    <w:rsid w:val="51D11D27"/>
    <w:rsid w:val="51D37172"/>
    <w:rsid w:val="51DA6316"/>
    <w:rsid w:val="51DC2BA6"/>
    <w:rsid w:val="51DF2696"/>
    <w:rsid w:val="51EB2DE9"/>
    <w:rsid w:val="51FE1BA6"/>
    <w:rsid w:val="51FF0643"/>
    <w:rsid w:val="52115C1C"/>
    <w:rsid w:val="521E385D"/>
    <w:rsid w:val="521F3230"/>
    <w:rsid w:val="522A6D57"/>
    <w:rsid w:val="522B58DB"/>
    <w:rsid w:val="522F077A"/>
    <w:rsid w:val="52306B3C"/>
    <w:rsid w:val="524E1C99"/>
    <w:rsid w:val="525700F4"/>
    <w:rsid w:val="525A5EFE"/>
    <w:rsid w:val="525F10E1"/>
    <w:rsid w:val="526724C9"/>
    <w:rsid w:val="52692625"/>
    <w:rsid w:val="527E1DD7"/>
    <w:rsid w:val="527F727E"/>
    <w:rsid w:val="52846D9A"/>
    <w:rsid w:val="5288688A"/>
    <w:rsid w:val="52983A2D"/>
    <w:rsid w:val="52993E93"/>
    <w:rsid w:val="529C2335"/>
    <w:rsid w:val="529E0439"/>
    <w:rsid w:val="52A64F62"/>
    <w:rsid w:val="52A835F0"/>
    <w:rsid w:val="52AC20F1"/>
    <w:rsid w:val="52B4767F"/>
    <w:rsid w:val="52BD4667"/>
    <w:rsid w:val="52C4650C"/>
    <w:rsid w:val="52C75BB0"/>
    <w:rsid w:val="52C9432D"/>
    <w:rsid w:val="52D16FF2"/>
    <w:rsid w:val="52DB5A3F"/>
    <w:rsid w:val="52DC0984"/>
    <w:rsid w:val="52DD4E28"/>
    <w:rsid w:val="52E674BE"/>
    <w:rsid w:val="52EC48FA"/>
    <w:rsid w:val="52ED0DE3"/>
    <w:rsid w:val="52F1442F"/>
    <w:rsid w:val="530748DF"/>
    <w:rsid w:val="530879CB"/>
    <w:rsid w:val="53222E14"/>
    <w:rsid w:val="53277E51"/>
    <w:rsid w:val="532E4BEB"/>
    <w:rsid w:val="53300FB6"/>
    <w:rsid w:val="533019DA"/>
    <w:rsid w:val="53395DD6"/>
    <w:rsid w:val="53475D3A"/>
    <w:rsid w:val="53487DC7"/>
    <w:rsid w:val="534F73A8"/>
    <w:rsid w:val="53655A80"/>
    <w:rsid w:val="53656BCB"/>
    <w:rsid w:val="537A2677"/>
    <w:rsid w:val="538B42DE"/>
    <w:rsid w:val="539E6AA6"/>
    <w:rsid w:val="53A60DD5"/>
    <w:rsid w:val="53A87967"/>
    <w:rsid w:val="53CC5E1A"/>
    <w:rsid w:val="53D127E7"/>
    <w:rsid w:val="53DC7670"/>
    <w:rsid w:val="53EC1861"/>
    <w:rsid w:val="53F76048"/>
    <w:rsid w:val="542F35D9"/>
    <w:rsid w:val="542F444C"/>
    <w:rsid w:val="543876E2"/>
    <w:rsid w:val="543A3C6A"/>
    <w:rsid w:val="543C7CB2"/>
    <w:rsid w:val="54420CBA"/>
    <w:rsid w:val="5446680B"/>
    <w:rsid w:val="54482775"/>
    <w:rsid w:val="544919E4"/>
    <w:rsid w:val="544C57DE"/>
    <w:rsid w:val="54576514"/>
    <w:rsid w:val="545C1D7C"/>
    <w:rsid w:val="545F6B68"/>
    <w:rsid w:val="54703B76"/>
    <w:rsid w:val="54880DC3"/>
    <w:rsid w:val="549B6C74"/>
    <w:rsid w:val="54A61249"/>
    <w:rsid w:val="54AF37EA"/>
    <w:rsid w:val="54C16897"/>
    <w:rsid w:val="54CC5154"/>
    <w:rsid w:val="54CF1AAB"/>
    <w:rsid w:val="54DC2EBD"/>
    <w:rsid w:val="54E3424B"/>
    <w:rsid w:val="54ED448D"/>
    <w:rsid w:val="54F46459"/>
    <w:rsid w:val="54F55A9E"/>
    <w:rsid w:val="54FE2E33"/>
    <w:rsid w:val="55010C6B"/>
    <w:rsid w:val="55025A45"/>
    <w:rsid w:val="55092FAD"/>
    <w:rsid w:val="55110DB9"/>
    <w:rsid w:val="55194651"/>
    <w:rsid w:val="551E3960"/>
    <w:rsid w:val="55375455"/>
    <w:rsid w:val="55452810"/>
    <w:rsid w:val="55603AEE"/>
    <w:rsid w:val="556154BA"/>
    <w:rsid w:val="557C733A"/>
    <w:rsid w:val="5585712D"/>
    <w:rsid w:val="558D4110"/>
    <w:rsid w:val="559912AF"/>
    <w:rsid w:val="559961B4"/>
    <w:rsid w:val="55A0038E"/>
    <w:rsid w:val="55AA6225"/>
    <w:rsid w:val="55AE6718"/>
    <w:rsid w:val="55D1678A"/>
    <w:rsid w:val="55EC13BA"/>
    <w:rsid w:val="55F94F8E"/>
    <w:rsid w:val="56004989"/>
    <w:rsid w:val="560426CB"/>
    <w:rsid w:val="56110C10"/>
    <w:rsid w:val="561428C1"/>
    <w:rsid w:val="56150EB3"/>
    <w:rsid w:val="561901FA"/>
    <w:rsid w:val="561B7A15"/>
    <w:rsid w:val="561E2D2C"/>
    <w:rsid w:val="561F3CB6"/>
    <w:rsid w:val="56233904"/>
    <w:rsid w:val="56707D61"/>
    <w:rsid w:val="567535C9"/>
    <w:rsid w:val="56796C5B"/>
    <w:rsid w:val="567F1D52"/>
    <w:rsid w:val="56803E23"/>
    <w:rsid w:val="56867584"/>
    <w:rsid w:val="568D26C1"/>
    <w:rsid w:val="568E1D15"/>
    <w:rsid w:val="56955916"/>
    <w:rsid w:val="569A6E40"/>
    <w:rsid w:val="56AE6EA8"/>
    <w:rsid w:val="56B83943"/>
    <w:rsid w:val="56BA113F"/>
    <w:rsid w:val="56C41882"/>
    <w:rsid w:val="56D54E6B"/>
    <w:rsid w:val="56DC53F6"/>
    <w:rsid w:val="56DD6FA5"/>
    <w:rsid w:val="56DF626B"/>
    <w:rsid w:val="56EC2D4F"/>
    <w:rsid w:val="56FB3FF9"/>
    <w:rsid w:val="56FD2198"/>
    <w:rsid w:val="57114899"/>
    <w:rsid w:val="5714693E"/>
    <w:rsid w:val="5718099E"/>
    <w:rsid w:val="571F4340"/>
    <w:rsid w:val="572409FC"/>
    <w:rsid w:val="57380C37"/>
    <w:rsid w:val="5739626B"/>
    <w:rsid w:val="574717EA"/>
    <w:rsid w:val="574A6804"/>
    <w:rsid w:val="574E13AD"/>
    <w:rsid w:val="57664CC0"/>
    <w:rsid w:val="57684EDC"/>
    <w:rsid w:val="57723665"/>
    <w:rsid w:val="577522C7"/>
    <w:rsid w:val="57853BD7"/>
    <w:rsid w:val="57861513"/>
    <w:rsid w:val="5789573D"/>
    <w:rsid w:val="578C704A"/>
    <w:rsid w:val="57981B34"/>
    <w:rsid w:val="579A1FB5"/>
    <w:rsid w:val="579B7EDC"/>
    <w:rsid w:val="57A13883"/>
    <w:rsid w:val="57A2525D"/>
    <w:rsid w:val="57B671D8"/>
    <w:rsid w:val="57BB500C"/>
    <w:rsid w:val="57BF3979"/>
    <w:rsid w:val="57D85BBE"/>
    <w:rsid w:val="57E5652D"/>
    <w:rsid w:val="57E74CF7"/>
    <w:rsid w:val="57E825D4"/>
    <w:rsid w:val="57F413E2"/>
    <w:rsid w:val="57F70468"/>
    <w:rsid w:val="581329DA"/>
    <w:rsid w:val="581D1822"/>
    <w:rsid w:val="58230D38"/>
    <w:rsid w:val="58233A9D"/>
    <w:rsid w:val="58337298"/>
    <w:rsid w:val="5837317F"/>
    <w:rsid w:val="58385FF7"/>
    <w:rsid w:val="583B5B3E"/>
    <w:rsid w:val="583B6401"/>
    <w:rsid w:val="584157D2"/>
    <w:rsid w:val="584331DC"/>
    <w:rsid w:val="586036A7"/>
    <w:rsid w:val="5866766D"/>
    <w:rsid w:val="586D0393"/>
    <w:rsid w:val="587753D7"/>
    <w:rsid w:val="587F7ED1"/>
    <w:rsid w:val="589D49D4"/>
    <w:rsid w:val="589D5EBC"/>
    <w:rsid w:val="58A219B7"/>
    <w:rsid w:val="58A2448A"/>
    <w:rsid w:val="58A45E46"/>
    <w:rsid w:val="58BC728D"/>
    <w:rsid w:val="58C06677"/>
    <w:rsid w:val="58C17993"/>
    <w:rsid w:val="58E93DFA"/>
    <w:rsid w:val="58EB7B73"/>
    <w:rsid w:val="58F82CC7"/>
    <w:rsid w:val="590E7B63"/>
    <w:rsid w:val="5911704A"/>
    <w:rsid w:val="59123351"/>
    <w:rsid w:val="591E31B2"/>
    <w:rsid w:val="593239B2"/>
    <w:rsid w:val="59372DB8"/>
    <w:rsid w:val="593D52A0"/>
    <w:rsid w:val="594279D7"/>
    <w:rsid w:val="59434133"/>
    <w:rsid w:val="59505C28"/>
    <w:rsid w:val="595219A0"/>
    <w:rsid w:val="59710078"/>
    <w:rsid w:val="59796DE8"/>
    <w:rsid w:val="59831B59"/>
    <w:rsid w:val="59861649"/>
    <w:rsid w:val="599730CB"/>
    <w:rsid w:val="599A30CF"/>
    <w:rsid w:val="59AE331A"/>
    <w:rsid w:val="59B1531E"/>
    <w:rsid w:val="59B31432"/>
    <w:rsid w:val="59B86BB4"/>
    <w:rsid w:val="59BC5BAA"/>
    <w:rsid w:val="59C12681"/>
    <w:rsid w:val="59C52172"/>
    <w:rsid w:val="59DC530F"/>
    <w:rsid w:val="59DD0BC9"/>
    <w:rsid w:val="59DE647C"/>
    <w:rsid w:val="59E51531"/>
    <w:rsid w:val="59EC3697"/>
    <w:rsid w:val="59EE732A"/>
    <w:rsid w:val="59F1065F"/>
    <w:rsid w:val="59F24F64"/>
    <w:rsid w:val="59F83A7F"/>
    <w:rsid w:val="5A063D38"/>
    <w:rsid w:val="5A0A227A"/>
    <w:rsid w:val="5A0A2AE1"/>
    <w:rsid w:val="5A142786"/>
    <w:rsid w:val="5A2B00AB"/>
    <w:rsid w:val="5A3A281E"/>
    <w:rsid w:val="5A3C6AE3"/>
    <w:rsid w:val="5A4C6AB4"/>
    <w:rsid w:val="5A4C6EDF"/>
    <w:rsid w:val="5A517945"/>
    <w:rsid w:val="5A60354C"/>
    <w:rsid w:val="5A684474"/>
    <w:rsid w:val="5A70032F"/>
    <w:rsid w:val="5A807B8B"/>
    <w:rsid w:val="5A8B483A"/>
    <w:rsid w:val="5A8C2C8F"/>
    <w:rsid w:val="5A9B3CFD"/>
    <w:rsid w:val="5A9D5278"/>
    <w:rsid w:val="5AA4622B"/>
    <w:rsid w:val="5AAD0BDB"/>
    <w:rsid w:val="5AB10E32"/>
    <w:rsid w:val="5ABC62D9"/>
    <w:rsid w:val="5AC44599"/>
    <w:rsid w:val="5ADF07E8"/>
    <w:rsid w:val="5AE979C9"/>
    <w:rsid w:val="5AEC6396"/>
    <w:rsid w:val="5B070568"/>
    <w:rsid w:val="5B07328E"/>
    <w:rsid w:val="5B0D3DD0"/>
    <w:rsid w:val="5B1C2265"/>
    <w:rsid w:val="5B2F01EA"/>
    <w:rsid w:val="5B376556"/>
    <w:rsid w:val="5B393C4D"/>
    <w:rsid w:val="5B4165B4"/>
    <w:rsid w:val="5B451EA5"/>
    <w:rsid w:val="5B5A2D8E"/>
    <w:rsid w:val="5B5F159B"/>
    <w:rsid w:val="5B62647A"/>
    <w:rsid w:val="5B6A2B58"/>
    <w:rsid w:val="5B7200D7"/>
    <w:rsid w:val="5B750D47"/>
    <w:rsid w:val="5B7610DF"/>
    <w:rsid w:val="5B7B1DBC"/>
    <w:rsid w:val="5B820CEA"/>
    <w:rsid w:val="5B830C39"/>
    <w:rsid w:val="5B834092"/>
    <w:rsid w:val="5BB277E5"/>
    <w:rsid w:val="5BC528FD"/>
    <w:rsid w:val="5BC815A9"/>
    <w:rsid w:val="5BDE576D"/>
    <w:rsid w:val="5BDF10EC"/>
    <w:rsid w:val="5BE11AD0"/>
    <w:rsid w:val="5BE865EB"/>
    <w:rsid w:val="5BF65E4A"/>
    <w:rsid w:val="5BFC5DEF"/>
    <w:rsid w:val="5C0139A7"/>
    <w:rsid w:val="5C031C08"/>
    <w:rsid w:val="5C073493"/>
    <w:rsid w:val="5C08313A"/>
    <w:rsid w:val="5C271679"/>
    <w:rsid w:val="5C277A24"/>
    <w:rsid w:val="5C284D5E"/>
    <w:rsid w:val="5C2C3EF8"/>
    <w:rsid w:val="5C2F6D78"/>
    <w:rsid w:val="5C3071E6"/>
    <w:rsid w:val="5C4707B9"/>
    <w:rsid w:val="5C4C0928"/>
    <w:rsid w:val="5C4E46A0"/>
    <w:rsid w:val="5C526139"/>
    <w:rsid w:val="5C5675E5"/>
    <w:rsid w:val="5C5F5E7F"/>
    <w:rsid w:val="5C6043D4"/>
    <w:rsid w:val="5C646B0E"/>
    <w:rsid w:val="5C65426F"/>
    <w:rsid w:val="5C700ABB"/>
    <w:rsid w:val="5C731A7F"/>
    <w:rsid w:val="5C7569AD"/>
    <w:rsid w:val="5C8425C1"/>
    <w:rsid w:val="5CA40764"/>
    <w:rsid w:val="5CAF2C03"/>
    <w:rsid w:val="5CD062DF"/>
    <w:rsid w:val="5CD27D37"/>
    <w:rsid w:val="5CD36B2E"/>
    <w:rsid w:val="5CD4779E"/>
    <w:rsid w:val="5CD677DA"/>
    <w:rsid w:val="5CD821BC"/>
    <w:rsid w:val="5CDE27BC"/>
    <w:rsid w:val="5CFC440A"/>
    <w:rsid w:val="5CFD49EF"/>
    <w:rsid w:val="5D105DFA"/>
    <w:rsid w:val="5D137532"/>
    <w:rsid w:val="5D157C88"/>
    <w:rsid w:val="5D1E0ED1"/>
    <w:rsid w:val="5D25720C"/>
    <w:rsid w:val="5D2B49E2"/>
    <w:rsid w:val="5D301FF8"/>
    <w:rsid w:val="5D355860"/>
    <w:rsid w:val="5D374EE4"/>
    <w:rsid w:val="5D3C4381"/>
    <w:rsid w:val="5D496913"/>
    <w:rsid w:val="5D504448"/>
    <w:rsid w:val="5D604E1A"/>
    <w:rsid w:val="5D613ECE"/>
    <w:rsid w:val="5D614D79"/>
    <w:rsid w:val="5D6927EC"/>
    <w:rsid w:val="5D6A6E55"/>
    <w:rsid w:val="5D6E48CE"/>
    <w:rsid w:val="5D76283E"/>
    <w:rsid w:val="5D78353A"/>
    <w:rsid w:val="5D8306C9"/>
    <w:rsid w:val="5D842A1D"/>
    <w:rsid w:val="5D8D11F8"/>
    <w:rsid w:val="5D8F6D1E"/>
    <w:rsid w:val="5D964551"/>
    <w:rsid w:val="5D973E25"/>
    <w:rsid w:val="5DB20FCB"/>
    <w:rsid w:val="5DB42C29"/>
    <w:rsid w:val="5DB46785"/>
    <w:rsid w:val="5DB70023"/>
    <w:rsid w:val="5DC82230"/>
    <w:rsid w:val="5DD40BD5"/>
    <w:rsid w:val="5DE51229"/>
    <w:rsid w:val="5DF31E43"/>
    <w:rsid w:val="5E021953"/>
    <w:rsid w:val="5E036527"/>
    <w:rsid w:val="5E04757B"/>
    <w:rsid w:val="5E055233"/>
    <w:rsid w:val="5E087B7C"/>
    <w:rsid w:val="5E0E54E0"/>
    <w:rsid w:val="5E1D07CE"/>
    <w:rsid w:val="5E207E63"/>
    <w:rsid w:val="5E3E6CDE"/>
    <w:rsid w:val="5E4565B9"/>
    <w:rsid w:val="5E4A7B96"/>
    <w:rsid w:val="5E4B0A93"/>
    <w:rsid w:val="5E5166CA"/>
    <w:rsid w:val="5E70389A"/>
    <w:rsid w:val="5E7E1766"/>
    <w:rsid w:val="5E873E9A"/>
    <w:rsid w:val="5E8F38D1"/>
    <w:rsid w:val="5E927AEF"/>
    <w:rsid w:val="5E9640DD"/>
    <w:rsid w:val="5E9860A7"/>
    <w:rsid w:val="5EA26F25"/>
    <w:rsid w:val="5EB37363"/>
    <w:rsid w:val="5EBA5D65"/>
    <w:rsid w:val="5EBF4211"/>
    <w:rsid w:val="5EC4031F"/>
    <w:rsid w:val="5EC6445F"/>
    <w:rsid w:val="5ED50336"/>
    <w:rsid w:val="5ED65319"/>
    <w:rsid w:val="5EE25574"/>
    <w:rsid w:val="5EE25A4F"/>
    <w:rsid w:val="5EE40F07"/>
    <w:rsid w:val="5EEB5E61"/>
    <w:rsid w:val="5EF1586C"/>
    <w:rsid w:val="5EF84D97"/>
    <w:rsid w:val="5F0D0843"/>
    <w:rsid w:val="5F1020E1"/>
    <w:rsid w:val="5F166FCB"/>
    <w:rsid w:val="5F177A95"/>
    <w:rsid w:val="5F2141F8"/>
    <w:rsid w:val="5F3A53B0"/>
    <w:rsid w:val="5F46047A"/>
    <w:rsid w:val="5F492AF7"/>
    <w:rsid w:val="5F4A68D0"/>
    <w:rsid w:val="5F781A34"/>
    <w:rsid w:val="5F7A0801"/>
    <w:rsid w:val="5F843E24"/>
    <w:rsid w:val="5F8D62F8"/>
    <w:rsid w:val="5FA23D09"/>
    <w:rsid w:val="5FAF7865"/>
    <w:rsid w:val="5FB5B2C3"/>
    <w:rsid w:val="5FB73F3B"/>
    <w:rsid w:val="5FC67588"/>
    <w:rsid w:val="5FCF5AF8"/>
    <w:rsid w:val="5FD046CB"/>
    <w:rsid w:val="5FE570CA"/>
    <w:rsid w:val="5FE73D0E"/>
    <w:rsid w:val="5FF7504F"/>
    <w:rsid w:val="5FF76DFD"/>
    <w:rsid w:val="60067040"/>
    <w:rsid w:val="6008140F"/>
    <w:rsid w:val="60086F0A"/>
    <w:rsid w:val="60107EBF"/>
    <w:rsid w:val="601B4A47"/>
    <w:rsid w:val="60217A1A"/>
    <w:rsid w:val="60261490"/>
    <w:rsid w:val="602A2D2E"/>
    <w:rsid w:val="603A1D64"/>
    <w:rsid w:val="603C0CB4"/>
    <w:rsid w:val="604270E5"/>
    <w:rsid w:val="604D05E2"/>
    <w:rsid w:val="605F20D7"/>
    <w:rsid w:val="60646418"/>
    <w:rsid w:val="60691264"/>
    <w:rsid w:val="606C77EB"/>
    <w:rsid w:val="60761A02"/>
    <w:rsid w:val="607704D1"/>
    <w:rsid w:val="608D24C2"/>
    <w:rsid w:val="609A3072"/>
    <w:rsid w:val="609E62ED"/>
    <w:rsid w:val="60A76608"/>
    <w:rsid w:val="60A80CA6"/>
    <w:rsid w:val="60B26B24"/>
    <w:rsid w:val="60B322B3"/>
    <w:rsid w:val="60BF1DF9"/>
    <w:rsid w:val="60C03693"/>
    <w:rsid w:val="60DA7029"/>
    <w:rsid w:val="60EE0218"/>
    <w:rsid w:val="60FA4B1B"/>
    <w:rsid w:val="60FB0B6F"/>
    <w:rsid w:val="60FD6695"/>
    <w:rsid w:val="60FE7FA1"/>
    <w:rsid w:val="61047A23"/>
    <w:rsid w:val="610544EA"/>
    <w:rsid w:val="61091E5D"/>
    <w:rsid w:val="6109328C"/>
    <w:rsid w:val="610A7CB7"/>
    <w:rsid w:val="611F56E1"/>
    <w:rsid w:val="61353591"/>
    <w:rsid w:val="6136215C"/>
    <w:rsid w:val="614B40F4"/>
    <w:rsid w:val="6160227E"/>
    <w:rsid w:val="6162303C"/>
    <w:rsid w:val="61630BEE"/>
    <w:rsid w:val="616E53C9"/>
    <w:rsid w:val="616F678F"/>
    <w:rsid w:val="61775741"/>
    <w:rsid w:val="618B2035"/>
    <w:rsid w:val="618C32E6"/>
    <w:rsid w:val="61942B31"/>
    <w:rsid w:val="61954B1F"/>
    <w:rsid w:val="619A0388"/>
    <w:rsid w:val="61B17E42"/>
    <w:rsid w:val="61BB3420"/>
    <w:rsid w:val="61CD6067"/>
    <w:rsid w:val="61D17319"/>
    <w:rsid w:val="61D81473"/>
    <w:rsid w:val="61DE64C6"/>
    <w:rsid w:val="61DF5D9B"/>
    <w:rsid w:val="61F77588"/>
    <w:rsid w:val="61F77AB6"/>
    <w:rsid w:val="620436BF"/>
    <w:rsid w:val="621078B3"/>
    <w:rsid w:val="62186A15"/>
    <w:rsid w:val="621A2E5F"/>
    <w:rsid w:val="621F7BE7"/>
    <w:rsid w:val="6226668F"/>
    <w:rsid w:val="62322E1F"/>
    <w:rsid w:val="62361038"/>
    <w:rsid w:val="623624F2"/>
    <w:rsid w:val="62406662"/>
    <w:rsid w:val="624A6F2B"/>
    <w:rsid w:val="624C78D4"/>
    <w:rsid w:val="62577A6A"/>
    <w:rsid w:val="62584960"/>
    <w:rsid w:val="6259394F"/>
    <w:rsid w:val="625B15D8"/>
    <w:rsid w:val="62652744"/>
    <w:rsid w:val="62691671"/>
    <w:rsid w:val="62742987"/>
    <w:rsid w:val="62775835"/>
    <w:rsid w:val="62875AAB"/>
    <w:rsid w:val="62BC0D55"/>
    <w:rsid w:val="62BC6E3C"/>
    <w:rsid w:val="62CD43AF"/>
    <w:rsid w:val="62E0150F"/>
    <w:rsid w:val="62E02F60"/>
    <w:rsid w:val="62F526E7"/>
    <w:rsid w:val="6303092A"/>
    <w:rsid w:val="63106D5B"/>
    <w:rsid w:val="63247F09"/>
    <w:rsid w:val="63260125"/>
    <w:rsid w:val="6332766D"/>
    <w:rsid w:val="63396158"/>
    <w:rsid w:val="633C5B98"/>
    <w:rsid w:val="63430D2A"/>
    <w:rsid w:val="63473BF7"/>
    <w:rsid w:val="634D61C9"/>
    <w:rsid w:val="635C4C57"/>
    <w:rsid w:val="635C750D"/>
    <w:rsid w:val="63674CA4"/>
    <w:rsid w:val="636B5B38"/>
    <w:rsid w:val="63726440"/>
    <w:rsid w:val="63A54F06"/>
    <w:rsid w:val="63A64DC2"/>
    <w:rsid w:val="63AD6951"/>
    <w:rsid w:val="63B16962"/>
    <w:rsid w:val="63BA2EDA"/>
    <w:rsid w:val="63C9624A"/>
    <w:rsid w:val="63CC601E"/>
    <w:rsid w:val="63CF5CD2"/>
    <w:rsid w:val="63D23FB7"/>
    <w:rsid w:val="63D719DB"/>
    <w:rsid w:val="63ED4724"/>
    <w:rsid w:val="63F80D94"/>
    <w:rsid w:val="63FF6FFC"/>
    <w:rsid w:val="64001A81"/>
    <w:rsid w:val="64026854"/>
    <w:rsid w:val="641F42FB"/>
    <w:rsid w:val="64393E88"/>
    <w:rsid w:val="643D2B73"/>
    <w:rsid w:val="644857E1"/>
    <w:rsid w:val="644A226C"/>
    <w:rsid w:val="64525187"/>
    <w:rsid w:val="64553A5C"/>
    <w:rsid w:val="645A5BAC"/>
    <w:rsid w:val="6462771D"/>
    <w:rsid w:val="64750A67"/>
    <w:rsid w:val="648F4603"/>
    <w:rsid w:val="64940BBC"/>
    <w:rsid w:val="649D6000"/>
    <w:rsid w:val="64A22D34"/>
    <w:rsid w:val="64B2181C"/>
    <w:rsid w:val="64BD6D1E"/>
    <w:rsid w:val="64CA3146"/>
    <w:rsid w:val="64CD78C9"/>
    <w:rsid w:val="64CF2FBB"/>
    <w:rsid w:val="64D076D0"/>
    <w:rsid w:val="64D25ADC"/>
    <w:rsid w:val="64D2637E"/>
    <w:rsid w:val="64D8700C"/>
    <w:rsid w:val="64DA642E"/>
    <w:rsid w:val="64E978B3"/>
    <w:rsid w:val="64FB1BDE"/>
    <w:rsid w:val="650B1C07"/>
    <w:rsid w:val="651A5F91"/>
    <w:rsid w:val="652808BB"/>
    <w:rsid w:val="652C5EB4"/>
    <w:rsid w:val="654B2836"/>
    <w:rsid w:val="6556509D"/>
    <w:rsid w:val="65680726"/>
    <w:rsid w:val="657F58CB"/>
    <w:rsid w:val="658159DC"/>
    <w:rsid w:val="65830371"/>
    <w:rsid w:val="65A672FB"/>
    <w:rsid w:val="65A76DE5"/>
    <w:rsid w:val="65B5753E"/>
    <w:rsid w:val="65BA079C"/>
    <w:rsid w:val="65DA2049"/>
    <w:rsid w:val="65E17BA8"/>
    <w:rsid w:val="65E71E4C"/>
    <w:rsid w:val="65FA1534"/>
    <w:rsid w:val="65FA5D55"/>
    <w:rsid w:val="66020B60"/>
    <w:rsid w:val="660255FB"/>
    <w:rsid w:val="660B1854"/>
    <w:rsid w:val="66123D10"/>
    <w:rsid w:val="66133DAB"/>
    <w:rsid w:val="661A16F1"/>
    <w:rsid w:val="661C75BD"/>
    <w:rsid w:val="662B5A52"/>
    <w:rsid w:val="663C1A0D"/>
    <w:rsid w:val="663D1055"/>
    <w:rsid w:val="6642751D"/>
    <w:rsid w:val="664541E6"/>
    <w:rsid w:val="66474970"/>
    <w:rsid w:val="6648514C"/>
    <w:rsid w:val="664B39FF"/>
    <w:rsid w:val="664D7777"/>
    <w:rsid w:val="66560D21"/>
    <w:rsid w:val="6661717A"/>
    <w:rsid w:val="6663790C"/>
    <w:rsid w:val="66703465"/>
    <w:rsid w:val="66747232"/>
    <w:rsid w:val="667D15A4"/>
    <w:rsid w:val="667D7BC5"/>
    <w:rsid w:val="668215CB"/>
    <w:rsid w:val="66837765"/>
    <w:rsid w:val="668533B4"/>
    <w:rsid w:val="6695111E"/>
    <w:rsid w:val="669902AD"/>
    <w:rsid w:val="66A129BA"/>
    <w:rsid w:val="66A93610"/>
    <w:rsid w:val="66AB587F"/>
    <w:rsid w:val="66B94E0C"/>
    <w:rsid w:val="66C37A39"/>
    <w:rsid w:val="66CA7019"/>
    <w:rsid w:val="66DA1819"/>
    <w:rsid w:val="66DC6F2C"/>
    <w:rsid w:val="66E016CA"/>
    <w:rsid w:val="66E75E1D"/>
    <w:rsid w:val="66E83E34"/>
    <w:rsid w:val="66EC3434"/>
    <w:rsid w:val="66EF52A5"/>
    <w:rsid w:val="66F30D69"/>
    <w:rsid w:val="66F91A08"/>
    <w:rsid w:val="66FC72F7"/>
    <w:rsid w:val="66FD73EF"/>
    <w:rsid w:val="67053A63"/>
    <w:rsid w:val="670B0931"/>
    <w:rsid w:val="67120309"/>
    <w:rsid w:val="67236729"/>
    <w:rsid w:val="67443AE9"/>
    <w:rsid w:val="674A015A"/>
    <w:rsid w:val="67572F8F"/>
    <w:rsid w:val="675E333F"/>
    <w:rsid w:val="6775322B"/>
    <w:rsid w:val="67780823"/>
    <w:rsid w:val="677D22DE"/>
    <w:rsid w:val="67852F40"/>
    <w:rsid w:val="67893596"/>
    <w:rsid w:val="678A0557"/>
    <w:rsid w:val="679413D5"/>
    <w:rsid w:val="67952854"/>
    <w:rsid w:val="67A27F96"/>
    <w:rsid w:val="67BF023C"/>
    <w:rsid w:val="67C223E6"/>
    <w:rsid w:val="67CE55FF"/>
    <w:rsid w:val="67D5211A"/>
    <w:rsid w:val="67D5557E"/>
    <w:rsid w:val="67E0047E"/>
    <w:rsid w:val="67F325A0"/>
    <w:rsid w:val="67F6293B"/>
    <w:rsid w:val="67FA187D"/>
    <w:rsid w:val="68142795"/>
    <w:rsid w:val="681744E0"/>
    <w:rsid w:val="68336430"/>
    <w:rsid w:val="684F4B81"/>
    <w:rsid w:val="685149A2"/>
    <w:rsid w:val="68571975"/>
    <w:rsid w:val="68594AF9"/>
    <w:rsid w:val="685A79FC"/>
    <w:rsid w:val="685E3F02"/>
    <w:rsid w:val="68611261"/>
    <w:rsid w:val="686A5EB8"/>
    <w:rsid w:val="68701E42"/>
    <w:rsid w:val="688E4077"/>
    <w:rsid w:val="688F672B"/>
    <w:rsid w:val="688F6F87"/>
    <w:rsid w:val="68A17AAF"/>
    <w:rsid w:val="68B027B4"/>
    <w:rsid w:val="68B7181F"/>
    <w:rsid w:val="68D66648"/>
    <w:rsid w:val="68DA74AF"/>
    <w:rsid w:val="68E05863"/>
    <w:rsid w:val="68EE64F5"/>
    <w:rsid w:val="68F465CF"/>
    <w:rsid w:val="69024D73"/>
    <w:rsid w:val="69030B1E"/>
    <w:rsid w:val="69085C0C"/>
    <w:rsid w:val="690D3523"/>
    <w:rsid w:val="690F6F65"/>
    <w:rsid w:val="691378B0"/>
    <w:rsid w:val="6920283B"/>
    <w:rsid w:val="692A1A46"/>
    <w:rsid w:val="693B41FE"/>
    <w:rsid w:val="694035C3"/>
    <w:rsid w:val="6941314D"/>
    <w:rsid w:val="694C01BA"/>
    <w:rsid w:val="69521130"/>
    <w:rsid w:val="69580133"/>
    <w:rsid w:val="69586E43"/>
    <w:rsid w:val="69662AFA"/>
    <w:rsid w:val="69672C6C"/>
    <w:rsid w:val="69692B1A"/>
    <w:rsid w:val="696A29B9"/>
    <w:rsid w:val="69770527"/>
    <w:rsid w:val="698222FD"/>
    <w:rsid w:val="69845BA5"/>
    <w:rsid w:val="6985069B"/>
    <w:rsid w:val="69855479"/>
    <w:rsid w:val="698F62F8"/>
    <w:rsid w:val="69AD5538"/>
    <w:rsid w:val="69BA1C87"/>
    <w:rsid w:val="69CA7330"/>
    <w:rsid w:val="69E274C8"/>
    <w:rsid w:val="69E928CE"/>
    <w:rsid w:val="69F0323B"/>
    <w:rsid w:val="69F4010D"/>
    <w:rsid w:val="69F60125"/>
    <w:rsid w:val="69F61ED3"/>
    <w:rsid w:val="69F70652"/>
    <w:rsid w:val="6A065174"/>
    <w:rsid w:val="6A1073EC"/>
    <w:rsid w:val="6A1F58CE"/>
    <w:rsid w:val="6A2004CE"/>
    <w:rsid w:val="6A35394F"/>
    <w:rsid w:val="6A3A2708"/>
    <w:rsid w:val="6A413EE6"/>
    <w:rsid w:val="6A4C4802"/>
    <w:rsid w:val="6A5779AC"/>
    <w:rsid w:val="6A6A1708"/>
    <w:rsid w:val="6A6C42F6"/>
    <w:rsid w:val="6A7513A2"/>
    <w:rsid w:val="6A786D8C"/>
    <w:rsid w:val="6A86465B"/>
    <w:rsid w:val="6A8C267C"/>
    <w:rsid w:val="6AA103AC"/>
    <w:rsid w:val="6AA84B5B"/>
    <w:rsid w:val="6AAB3624"/>
    <w:rsid w:val="6AB9187F"/>
    <w:rsid w:val="6AC75641"/>
    <w:rsid w:val="6ACE7ECF"/>
    <w:rsid w:val="6AD55603"/>
    <w:rsid w:val="6ADB14A0"/>
    <w:rsid w:val="6AE22AC5"/>
    <w:rsid w:val="6AE44653"/>
    <w:rsid w:val="6AF42BA2"/>
    <w:rsid w:val="6AFD7D57"/>
    <w:rsid w:val="6B047FBB"/>
    <w:rsid w:val="6B1430EB"/>
    <w:rsid w:val="6B184B73"/>
    <w:rsid w:val="6B1B3BDE"/>
    <w:rsid w:val="6B2040B3"/>
    <w:rsid w:val="6B2B52BE"/>
    <w:rsid w:val="6B2C2051"/>
    <w:rsid w:val="6B410AE7"/>
    <w:rsid w:val="6B413622"/>
    <w:rsid w:val="6B4355EC"/>
    <w:rsid w:val="6B453FFA"/>
    <w:rsid w:val="6B674FF6"/>
    <w:rsid w:val="6B74202F"/>
    <w:rsid w:val="6B785296"/>
    <w:rsid w:val="6B81450D"/>
    <w:rsid w:val="6B8558F1"/>
    <w:rsid w:val="6B9416DB"/>
    <w:rsid w:val="6B9568EC"/>
    <w:rsid w:val="6BC71567"/>
    <w:rsid w:val="6BCB1C20"/>
    <w:rsid w:val="6BD10E4A"/>
    <w:rsid w:val="6BD22BED"/>
    <w:rsid w:val="6BD6020E"/>
    <w:rsid w:val="6BDE3D17"/>
    <w:rsid w:val="6BE45057"/>
    <w:rsid w:val="6BF62C43"/>
    <w:rsid w:val="6BFB724A"/>
    <w:rsid w:val="6C056342"/>
    <w:rsid w:val="6C1D5E3D"/>
    <w:rsid w:val="6C1F12F7"/>
    <w:rsid w:val="6C2235BB"/>
    <w:rsid w:val="6C225202"/>
    <w:rsid w:val="6C2358F3"/>
    <w:rsid w:val="6C285F16"/>
    <w:rsid w:val="6C2B087F"/>
    <w:rsid w:val="6C36210F"/>
    <w:rsid w:val="6C3D08E7"/>
    <w:rsid w:val="6C477DAC"/>
    <w:rsid w:val="6C5A499B"/>
    <w:rsid w:val="6C6E5018"/>
    <w:rsid w:val="6C743C3C"/>
    <w:rsid w:val="6C775361"/>
    <w:rsid w:val="6C7812C6"/>
    <w:rsid w:val="6C781324"/>
    <w:rsid w:val="6C787634"/>
    <w:rsid w:val="6C810F0D"/>
    <w:rsid w:val="6CA83A9D"/>
    <w:rsid w:val="6CAE0FC7"/>
    <w:rsid w:val="6CB15C53"/>
    <w:rsid w:val="6CB60E58"/>
    <w:rsid w:val="6CB90ABC"/>
    <w:rsid w:val="6CC17C43"/>
    <w:rsid w:val="6CCC1D14"/>
    <w:rsid w:val="6CD96208"/>
    <w:rsid w:val="6CE16E6B"/>
    <w:rsid w:val="6CE1750C"/>
    <w:rsid w:val="6CE32FE9"/>
    <w:rsid w:val="6CF50CAC"/>
    <w:rsid w:val="6CFA47C3"/>
    <w:rsid w:val="6D003795"/>
    <w:rsid w:val="6D013069"/>
    <w:rsid w:val="6D0A4253"/>
    <w:rsid w:val="6D12171A"/>
    <w:rsid w:val="6D17288C"/>
    <w:rsid w:val="6D234F26"/>
    <w:rsid w:val="6D41740F"/>
    <w:rsid w:val="6D5F1476"/>
    <w:rsid w:val="6D611D5A"/>
    <w:rsid w:val="6D6131F6"/>
    <w:rsid w:val="6D6362FF"/>
    <w:rsid w:val="6D6908C9"/>
    <w:rsid w:val="6D6D06FE"/>
    <w:rsid w:val="6D891B50"/>
    <w:rsid w:val="6D940381"/>
    <w:rsid w:val="6DA02882"/>
    <w:rsid w:val="6DA0720B"/>
    <w:rsid w:val="6DBA383E"/>
    <w:rsid w:val="6DBC4E4A"/>
    <w:rsid w:val="6DC20A4A"/>
    <w:rsid w:val="6DCA78FF"/>
    <w:rsid w:val="6DCF2747"/>
    <w:rsid w:val="6DD26CD0"/>
    <w:rsid w:val="6DE26E66"/>
    <w:rsid w:val="6DF4133C"/>
    <w:rsid w:val="6DFE0A46"/>
    <w:rsid w:val="6E046D6A"/>
    <w:rsid w:val="6E0A4EE7"/>
    <w:rsid w:val="6E177CA1"/>
    <w:rsid w:val="6E1D77C2"/>
    <w:rsid w:val="6E1D7D06"/>
    <w:rsid w:val="6E241705"/>
    <w:rsid w:val="6E275A60"/>
    <w:rsid w:val="6E2D6A2F"/>
    <w:rsid w:val="6E35746E"/>
    <w:rsid w:val="6E392AF4"/>
    <w:rsid w:val="6E427DDD"/>
    <w:rsid w:val="6E4B7BC4"/>
    <w:rsid w:val="6E573888"/>
    <w:rsid w:val="6E587601"/>
    <w:rsid w:val="6E5F273D"/>
    <w:rsid w:val="6E6267FC"/>
    <w:rsid w:val="6E816EBD"/>
    <w:rsid w:val="6E892BF0"/>
    <w:rsid w:val="6E8B2C58"/>
    <w:rsid w:val="6E8E6B7E"/>
    <w:rsid w:val="6E922738"/>
    <w:rsid w:val="6E931C3F"/>
    <w:rsid w:val="6EA97E5C"/>
    <w:rsid w:val="6EB0012B"/>
    <w:rsid w:val="6EB849F5"/>
    <w:rsid w:val="6ED70525"/>
    <w:rsid w:val="6EDA6267"/>
    <w:rsid w:val="6EF93A79"/>
    <w:rsid w:val="6F017A68"/>
    <w:rsid w:val="6F074C7D"/>
    <w:rsid w:val="6F095F3A"/>
    <w:rsid w:val="6F0B3914"/>
    <w:rsid w:val="6F0C77AB"/>
    <w:rsid w:val="6F125A01"/>
    <w:rsid w:val="6F163B09"/>
    <w:rsid w:val="6F1E6154"/>
    <w:rsid w:val="6F282B2F"/>
    <w:rsid w:val="6F35524C"/>
    <w:rsid w:val="6F370FC4"/>
    <w:rsid w:val="6F3732CE"/>
    <w:rsid w:val="6F3E05A4"/>
    <w:rsid w:val="6F4266DF"/>
    <w:rsid w:val="6F571666"/>
    <w:rsid w:val="6F79782E"/>
    <w:rsid w:val="6F7C10CD"/>
    <w:rsid w:val="6F881695"/>
    <w:rsid w:val="6F8C16B9"/>
    <w:rsid w:val="6F92194C"/>
    <w:rsid w:val="6F997777"/>
    <w:rsid w:val="6FAC2382"/>
    <w:rsid w:val="6FAF14A2"/>
    <w:rsid w:val="6FBB0FBA"/>
    <w:rsid w:val="6FBD3684"/>
    <w:rsid w:val="6FC13DD2"/>
    <w:rsid w:val="6FCD418C"/>
    <w:rsid w:val="6FE83720"/>
    <w:rsid w:val="6FEF7197"/>
    <w:rsid w:val="6FEF7D8A"/>
    <w:rsid w:val="6FFA4F9B"/>
    <w:rsid w:val="6FFD2BE7"/>
    <w:rsid w:val="70006A1E"/>
    <w:rsid w:val="70050220"/>
    <w:rsid w:val="70076EA8"/>
    <w:rsid w:val="70281CDA"/>
    <w:rsid w:val="702C5E4F"/>
    <w:rsid w:val="703062FD"/>
    <w:rsid w:val="70343755"/>
    <w:rsid w:val="703A2C04"/>
    <w:rsid w:val="70486DDE"/>
    <w:rsid w:val="704E0CBB"/>
    <w:rsid w:val="70512559"/>
    <w:rsid w:val="70556940"/>
    <w:rsid w:val="705975BD"/>
    <w:rsid w:val="70677361"/>
    <w:rsid w:val="706A0FD7"/>
    <w:rsid w:val="707324D0"/>
    <w:rsid w:val="70762356"/>
    <w:rsid w:val="70827379"/>
    <w:rsid w:val="708446DD"/>
    <w:rsid w:val="70846B10"/>
    <w:rsid w:val="708F5CC6"/>
    <w:rsid w:val="709B04C9"/>
    <w:rsid w:val="70A51E7A"/>
    <w:rsid w:val="70A94695"/>
    <w:rsid w:val="70AE1665"/>
    <w:rsid w:val="70C64C13"/>
    <w:rsid w:val="70C8281B"/>
    <w:rsid w:val="70CE2A7D"/>
    <w:rsid w:val="70D56CE6"/>
    <w:rsid w:val="70E1568B"/>
    <w:rsid w:val="70EB02B8"/>
    <w:rsid w:val="70F57258"/>
    <w:rsid w:val="70FF01B1"/>
    <w:rsid w:val="710D2536"/>
    <w:rsid w:val="710D3A95"/>
    <w:rsid w:val="7123116D"/>
    <w:rsid w:val="712626A7"/>
    <w:rsid w:val="71295015"/>
    <w:rsid w:val="712F4753"/>
    <w:rsid w:val="71405C9D"/>
    <w:rsid w:val="71605930"/>
    <w:rsid w:val="71630796"/>
    <w:rsid w:val="716A0E09"/>
    <w:rsid w:val="716F5270"/>
    <w:rsid w:val="717402AD"/>
    <w:rsid w:val="717B0FF5"/>
    <w:rsid w:val="717B5AE0"/>
    <w:rsid w:val="717F25F9"/>
    <w:rsid w:val="71861D20"/>
    <w:rsid w:val="7186437F"/>
    <w:rsid w:val="719E17CE"/>
    <w:rsid w:val="71A45894"/>
    <w:rsid w:val="71AB116B"/>
    <w:rsid w:val="71BA0287"/>
    <w:rsid w:val="71BE7BEA"/>
    <w:rsid w:val="71C254BD"/>
    <w:rsid w:val="71C35830"/>
    <w:rsid w:val="71C933A1"/>
    <w:rsid w:val="71DF2A49"/>
    <w:rsid w:val="71E96735"/>
    <w:rsid w:val="71EE2413"/>
    <w:rsid w:val="71F413EE"/>
    <w:rsid w:val="71F47A5B"/>
    <w:rsid w:val="720000E6"/>
    <w:rsid w:val="72034464"/>
    <w:rsid w:val="72035AD5"/>
    <w:rsid w:val="720C50DD"/>
    <w:rsid w:val="72345C00"/>
    <w:rsid w:val="723D68C6"/>
    <w:rsid w:val="723E1C92"/>
    <w:rsid w:val="72493B52"/>
    <w:rsid w:val="726A35DE"/>
    <w:rsid w:val="726C29D6"/>
    <w:rsid w:val="72812BB6"/>
    <w:rsid w:val="728A58AF"/>
    <w:rsid w:val="72934FF3"/>
    <w:rsid w:val="72992DCB"/>
    <w:rsid w:val="729C0A73"/>
    <w:rsid w:val="72A10AC9"/>
    <w:rsid w:val="72AB728A"/>
    <w:rsid w:val="72B01AB7"/>
    <w:rsid w:val="72BD7A32"/>
    <w:rsid w:val="72BE0926"/>
    <w:rsid w:val="72C405CA"/>
    <w:rsid w:val="72C46B36"/>
    <w:rsid w:val="72D57472"/>
    <w:rsid w:val="72DF3E4C"/>
    <w:rsid w:val="72E10B87"/>
    <w:rsid w:val="72E17BC5"/>
    <w:rsid w:val="72E35CC1"/>
    <w:rsid w:val="72FB055A"/>
    <w:rsid w:val="72FD2525"/>
    <w:rsid w:val="72FE1676"/>
    <w:rsid w:val="72FE1DE6"/>
    <w:rsid w:val="72FF44EF"/>
    <w:rsid w:val="72FF7DFC"/>
    <w:rsid w:val="730A4D01"/>
    <w:rsid w:val="731A788A"/>
    <w:rsid w:val="731C6E4F"/>
    <w:rsid w:val="731D44F3"/>
    <w:rsid w:val="731D49AA"/>
    <w:rsid w:val="731D6723"/>
    <w:rsid w:val="731E1436"/>
    <w:rsid w:val="73247AB1"/>
    <w:rsid w:val="73283E0D"/>
    <w:rsid w:val="732E26DE"/>
    <w:rsid w:val="7332362C"/>
    <w:rsid w:val="7334325D"/>
    <w:rsid w:val="73350C5E"/>
    <w:rsid w:val="733A1083"/>
    <w:rsid w:val="734F0FD2"/>
    <w:rsid w:val="73513CCA"/>
    <w:rsid w:val="735306C8"/>
    <w:rsid w:val="73574EBF"/>
    <w:rsid w:val="73581579"/>
    <w:rsid w:val="735937A8"/>
    <w:rsid w:val="735A1D60"/>
    <w:rsid w:val="735C724B"/>
    <w:rsid w:val="736A2E27"/>
    <w:rsid w:val="73743E64"/>
    <w:rsid w:val="73764E92"/>
    <w:rsid w:val="73922C6D"/>
    <w:rsid w:val="739764D5"/>
    <w:rsid w:val="73A21C06"/>
    <w:rsid w:val="73A96589"/>
    <w:rsid w:val="73AA4C42"/>
    <w:rsid w:val="73AA6208"/>
    <w:rsid w:val="73B20E59"/>
    <w:rsid w:val="73B60A10"/>
    <w:rsid w:val="73C05B2F"/>
    <w:rsid w:val="73C80D84"/>
    <w:rsid w:val="73CA2AC9"/>
    <w:rsid w:val="73CC5B9E"/>
    <w:rsid w:val="73DE05EE"/>
    <w:rsid w:val="74011DAF"/>
    <w:rsid w:val="74081181"/>
    <w:rsid w:val="74123DAE"/>
    <w:rsid w:val="74251284"/>
    <w:rsid w:val="74355159"/>
    <w:rsid w:val="743B31CD"/>
    <w:rsid w:val="743F3479"/>
    <w:rsid w:val="745049B3"/>
    <w:rsid w:val="74582108"/>
    <w:rsid w:val="74600FBD"/>
    <w:rsid w:val="74661EF8"/>
    <w:rsid w:val="74693013"/>
    <w:rsid w:val="746F1200"/>
    <w:rsid w:val="746F5A57"/>
    <w:rsid w:val="7476433D"/>
    <w:rsid w:val="74795BDB"/>
    <w:rsid w:val="747A3B5C"/>
    <w:rsid w:val="747C0EC2"/>
    <w:rsid w:val="74941B1E"/>
    <w:rsid w:val="74942A15"/>
    <w:rsid w:val="74982BC3"/>
    <w:rsid w:val="74A027D8"/>
    <w:rsid w:val="74A369C6"/>
    <w:rsid w:val="74A470FC"/>
    <w:rsid w:val="74B17A6A"/>
    <w:rsid w:val="74B27B5E"/>
    <w:rsid w:val="74D75E35"/>
    <w:rsid w:val="74D84FF7"/>
    <w:rsid w:val="74E53270"/>
    <w:rsid w:val="74FF07D6"/>
    <w:rsid w:val="751050E9"/>
    <w:rsid w:val="75130B97"/>
    <w:rsid w:val="75202B2C"/>
    <w:rsid w:val="754247CE"/>
    <w:rsid w:val="75430A0D"/>
    <w:rsid w:val="754E350B"/>
    <w:rsid w:val="755D4111"/>
    <w:rsid w:val="75653527"/>
    <w:rsid w:val="75687183"/>
    <w:rsid w:val="756E4E38"/>
    <w:rsid w:val="757F5E29"/>
    <w:rsid w:val="75866801"/>
    <w:rsid w:val="75955AB2"/>
    <w:rsid w:val="75A97B92"/>
    <w:rsid w:val="75AE7B06"/>
    <w:rsid w:val="75BE2C13"/>
    <w:rsid w:val="75C867D8"/>
    <w:rsid w:val="75C91681"/>
    <w:rsid w:val="75CC1F36"/>
    <w:rsid w:val="75DE03EB"/>
    <w:rsid w:val="75E834FA"/>
    <w:rsid w:val="75F45E61"/>
    <w:rsid w:val="75F52AFB"/>
    <w:rsid w:val="760756D8"/>
    <w:rsid w:val="760E676A"/>
    <w:rsid w:val="762229CE"/>
    <w:rsid w:val="76226E1B"/>
    <w:rsid w:val="7624764F"/>
    <w:rsid w:val="76277F2F"/>
    <w:rsid w:val="762C0888"/>
    <w:rsid w:val="762F6D25"/>
    <w:rsid w:val="763E0E8A"/>
    <w:rsid w:val="76472434"/>
    <w:rsid w:val="765C3FDB"/>
    <w:rsid w:val="76672689"/>
    <w:rsid w:val="76715FC4"/>
    <w:rsid w:val="767174B1"/>
    <w:rsid w:val="767D2360"/>
    <w:rsid w:val="768B2490"/>
    <w:rsid w:val="768F2D84"/>
    <w:rsid w:val="769B20F2"/>
    <w:rsid w:val="76A80580"/>
    <w:rsid w:val="76AD7DBE"/>
    <w:rsid w:val="76B36E87"/>
    <w:rsid w:val="76B65EF5"/>
    <w:rsid w:val="76BA0CAF"/>
    <w:rsid w:val="76BF19C6"/>
    <w:rsid w:val="76C86371"/>
    <w:rsid w:val="76D95C53"/>
    <w:rsid w:val="76F51E90"/>
    <w:rsid w:val="76F679B7"/>
    <w:rsid w:val="76FF643E"/>
    <w:rsid w:val="77027F7F"/>
    <w:rsid w:val="7711659E"/>
    <w:rsid w:val="771542E1"/>
    <w:rsid w:val="772A380A"/>
    <w:rsid w:val="772B6736"/>
    <w:rsid w:val="773D55E5"/>
    <w:rsid w:val="77420E4E"/>
    <w:rsid w:val="775A0E70"/>
    <w:rsid w:val="775A6197"/>
    <w:rsid w:val="775B2B18"/>
    <w:rsid w:val="775D6AA2"/>
    <w:rsid w:val="77601172"/>
    <w:rsid w:val="77603D4F"/>
    <w:rsid w:val="776C1A27"/>
    <w:rsid w:val="777032C5"/>
    <w:rsid w:val="777B1AAE"/>
    <w:rsid w:val="778B6351"/>
    <w:rsid w:val="778E3455"/>
    <w:rsid w:val="778F5D5D"/>
    <w:rsid w:val="77925931"/>
    <w:rsid w:val="7794100B"/>
    <w:rsid w:val="779416A9"/>
    <w:rsid w:val="77972F48"/>
    <w:rsid w:val="779F63A2"/>
    <w:rsid w:val="77AB6538"/>
    <w:rsid w:val="77BF2F35"/>
    <w:rsid w:val="77BF46A4"/>
    <w:rsid w:val="77C875A5"/>
    <w:rsid w:val="77D53A70"/>
    <w:rsid w:val="77E75E53"/>
    <w:rsid w:val="77E80025"/>
    <w:rsid w:val="77ED2B68"/>
    <w:rsid w:val="77FD49BF"/>
    <w:rsid w:val="78001DA7"/>
    <w:rsid w:val="780E5553"/>
    <w:rsid w:val="781007D0"/>
    <w:rsid w:val="78284AA1"/>
    <w:rsid w:val="78335932"/>
    <w:rsid w:val="78342BFE"/>
    <w:rsid w:val="78362761"/>
    <w:rsid w:val="78381BDF"/>
    <w:rsid w:val="783C5C12"/>
    <w:rsid w:val="783F561E"/>
    <w:rsid w:val="784811A2"/>
    <w:rsid w:val="784D6313"/>
    <w:rsid w:val="78511348"/>
    <w:rsid w:val="78627D0B"/>
    <w:rsid w:val="78732237"/>
    <w:rsid w:val="78762493"/>
    <w:rsid w:val="78822056"/>
    <w:rsid w:val="788F200A"/>
    <w:rsid w:val="78930909"/>
    <w:rsid w:val="78935C12"/>
    <w:rsid w:val="78980533"/>
    <w:rsid w:val="789E75C3"/>
    <w:rsid w:val="78A51694"/>
    <w:rsid w:val="78AD313F"/>
    <w:rsid w:val="78B01E75"/>
    <w:rsid w:val="78B63A60"/>
    <w:rsid w:val="78B95140"/>
    <w:rsid w:val="78BE05D7"/>
    <w:rsid w:val="78BE5E7F"/>
    <w:rsid w:val="78D5711D"/>
    <w:rsid w:val="78E83B09"/>
    <w:rsid w:val="78EE5162"/>
    <w:rsid w:val="78FA71C1"/>
    <w:rsid w:val="790E548B"/>
    <w:rsid w:val="791D12D7"/>
    <w:rsid w:val="79222CE5"/>
    <w:rsid w:val="792339A0"/>
    <w:rsid w:val="792866E3"/>
    <w:rsid w:val="79304FC0"/>
    <w:rsid w:val="793150EC"/>
    <w:rsid w:val="79336CA0"/>
    <w:rsid w:val="79426EE3"/>
    <w:rsid w:val="794530C2"/>
    <w:rsid w:val="79725D75"/>
    <w:rsid w:val="797711F5"/>
    <w:rsid w:val="799678E9"/>
    <w:rsid w:val="79A66679"/>
    <w:rsid w:val="79B24069"/>
    <w:rsid w:val="79BC1E65"/>
    <w:rsid w:val="79BC5AF1"/>
    <w:rsid w:val="79BC691E"/>
    <w:rsid w:val="79C370CC"/>
    <w:rsid w:val="79CB4015"/>
    <w:rsid w:val="79EA7D45"/>
    <w:rsid w:val="79EC2752"/>
    <w:rsid w:val="79EF706B"/>
    <w:rsid w:val="7A022DAC"/>
    <w:rsid w:val="7A077D86"/>
    <w:rsid w:val="7A0F6AA3"/>
    <w:rsid w:val="7A1940E8"/>
    <w:rsid w:val="7A29027E"/>
    <w:rsid w:val="7A2B4E0B"/>
    <w:rsid w:val="7A2F1E62"/>
    <w:rsid w:val="7A3000FF"/>
    <w:rsid w:val="7A320D06"/>
    <w:rsid w:val="7A3D4B0E"/>
    <w:rsid w:val="7A432F13"/>
    <w:rsid w:val="7A4F18B8"/>
    <w:rsid w:val="7A524F0D"/>
    <w:rsid w:val="7A5A025C"/>
    <w:rsid w:val="7A7443E6"/>
    <w:rsid w:val="7A8157E9"/>
    <w:rsid w:val="7A820CB5"/>
    <w:rsid w:val="7A8D74A2"/>
    <w:rsid w:val="7A8F7F06"/>
    <w:rsid w:val="7A9C45C8"/>
    <w:rsid w:val="7AA0686D"/>
    <w:rsid w:val="7AA42764"/>
    <w:rsid w:val="7AA655CB"/>
    <w:rsid w:val="7AAA1E6C"/>
    <w:rsid w:val="7AB12572"/>
    <w:rsid w:val="7AB3181F"/>
    <w:rsid w:val="7AB65491"/>
    <w:rsid w:val="7AB65EFD"/>
    <w:rsid w:val="7AC048A7"/>
    <w:rsid w:val="7AC676A0"/>
    <w:rsid w:val="7AC83418"/>
    <w:rsid w:val="7ACA3634"/>
    <w:rsid w:val="7AEF76CB"/>
    <w:rsid w:val="7AF03879"/>
    <w:rsid w:val="7B056A7F"/>
    <w:rsid w:val="7B0703E4"/>
    <w:rsid w:val="7B082DB3"/>
    <w:rsid w:val="7B0A12D7"/>
    <w:rsid w:val="7B1743C0"/>
    <w:rsid w:val="7B2429F8"/>
    <w:rsid w:val="7B265958"/>
    <w:rsid w:val="7B336BC8"/>
    <w:rsid w:val="7B3E5BD9"/>
    <w:rsid w:val="7B411828"/>
    <w:rsid w:val="7B4229E6"/>
    <w:rsid w:val="7B551150"/>
    <w:rsid w:val="7B5810C9"/>
    <w:rsid w:val="7B66335D"/>
    <w:rsid w:val="7B664919"/>
    <w:rsid w:val="7B666F72"/>
    <w:rsid w:val="7B681541"/>
    <w:rsid w:val="7B6C7AFA"/>
    <w:rsid w:val="7B6E5D6D"/>
    <w:rsid w:val="7B8E13EB"/>
    <w:rsid w:val="7B9652C4"/>
    <w:rsid w:val="7BA1297E"/>
    <w:rsid w:val="7BA44318"/>
    <w:rsid w:val="7BAE2D8D"/>
    <w:rsid w:val="7BBE70D0"/>
    <w:rsid w:val="7BC70E87"/>
    <w:rsid w:val="7BD44EE3"/>
    <w:rsid w:val="7BDE7643"/>
    <w:rsid w:val="7BE45866"/>
    <w:rsid w:val="7BEE1EEB"/>
    <w:rsid w:val="7BF40907"/>
    <w:rsid w:val="7BF5023D"/>
    <w:rsid w:val="7C072E9D"/>
    <w:rsid w:val="7C127041"/>
    <w:rsid w:val="7C194DCB"/>
    <w:rsid w:val="7C1F5AF8"/>
    <w:rsid w:val="7C2036C5"/>
    <w:rsid w:val="7C21033A"/>
    <w:rsid w:val="7C217284"/>
    <w:rsid w:val="7C2428D0"/>
    <w:rsid w:val="7C27425D"/>
    <w:rsid w:val="7C330C76"/>
    <w:rsid w:val="7C3A0345"/>
    <w:rsid w:val="7C3F595C"/>
    <w:rsid w:val="7C4C5FDA"/>
    <w:rsid w:val="7C5062E6"/>
    <w:rsid w:val="7C555EFF"/>
    <w:rsid w:val="7C5807CC"/>
    <w:rsid w:val="7C5E7893"/>
    <w:rsid w:val="7C705B15"/>
    <w:rsid w:val="7C76130F"/>
    <w:rsid w:val="7C817D22"/>
    <w:rsid w:val="7C82417D"/>
    <w:rsid w:val="7C8415C1"/>
    <w:rsid w:val="7C886DA3"/>
    <w:rsid w:val="7C8C5A43"/>
    <w:rsid w:val="7C8F12C6"/>
    <w:rsid w:val="7C8F243F"/>
    <w:rsid w:val="7C904C17"/>
    <w:rsid w:val="7C9557BF"/>
    <w:rsid w:val="7C990F7B"/>
    <w:rsid w:val="7C992D45"/>
    <w:rsid w:val="7C993C6F"/>
    <w:rsid w:val="7CB44F60"/>
    <w:rsid w:val="7CB63E70"/>
    <w:rsid w:val="7CBC3D27"/>
    <w:rsid w:val="7CC876FF"/>
    <w:rsid w:val="7CD5583A"/>
    <w:rsid w:val="7CE53197"/>
    <w:rsid w:val="7CF177AF"/>
    <w:rsid w:val="7D050953"/>
    <w:rsid w:val="7D0B5714"/>
    <w:rsid w:val="7D150231"/>
    <w:rsid w:val="7D1D7B5D"/>
    <w:rsid w:val="7D246B41"/>
    <w:rsid w:val="7D344D95"/>
    <w:rsid w:val="7D361032"/>
    <w:rsid w:val="7D3F7B43"/>
    <w:rsid w:val="7D412929"/>
    <w:rsid w:val="7D4157D8"/>
    <w:rsid w:val="7D585D08"/>
    <w:rsid w:val="7D6A441D"/>
    <w:rsid w:val="7D742B7F"/>
    <w:rsid w:val="7D79512E"/>
    <w:rsid w:val="7D7B7260"/>
    <w:rsid w:val="7D8557E5"/>
    <w:rsid w:val="7D8B5FF0"/>
    <w:rsid w:val="7D900D66"/>
    <w:rsid w:val="7D9B631F"/>
    <w:rsid w:val="7D9C45E3"/>
    <w:rsid w:val="7D9D2594"/>
    <w:rsid w:val="7DA55C93"/>
    <w:rsid w:val="7DA64309"/>
    <w:rsid w:val="7DB83C18"/>
    <w:rsid w:val="7DC26844"/>
    <w:rsid w:val="7DCB394B"/>
    <w:rsid w:val="7DD36B30"/>
    <w:rsid w:val="7DD65438"/>
    <w:rsid w:val="7DDC23C7"/>
    <w:rsid w:val="7DE41C45"/>
    <w:rsid w:val="7DE642E1"/>
    <w:rsid w:val="7DEC6639"/>
    <w:rsid w:val="7E1741FF"/>
    <w:rsid w:val="7E183080"/>
    <w:rsid w:val="7E1A6A4C"/>
    <w:rsid w:val="7E1D4BD1"/>
    <w:rsid w:val="7E1E164C"/>
    <w:rsid w:val="7E236558"/>
    <w:rsid w:val="7E2F1CBD"/>
    <w:rsid w:val="7E310BC1"/>
    <w:rsid w:val="7E336A9D"/>
    <w:rsid w:val="7E3C4EA2"/>
    <w:rsid w:val="7E405738"/>
    <w:rsid w:val="7E447259"/>
    <w:rsid w:val="7E510CBD"/>
    <w:rsid w:val="7E5155FB"/>
    <w:rsid w:val="7E54753C"/>
    <w:rsid w:val="7E582E84"/>
    <w:rsid w:val="7E5E609E"/>
    <w:rsid w:val="7E5F5FE3"/>
    <w:rsid w:val="7E635932"/>
    <w:rsid w:val="7E6D347C"/>
    <w:rsid w:val="7E6E4981"/>
    <w:rsid w:val="7E7354F5"/>
    <w:rsid w:val="7E775881"/>
    <w:rsid w:val="7E7A711F"/>
    <w:rsid w:val="7E7F4735"/>
    <w:rsid w:val="7E81400A"/>
    <w:rsid w:val="7E82584A"/>
    <w:rsid w:val="7E9006F1"/>
    <w:rsid w:val="7E943510"/>
    <w:rsid w:val="7E986A37"/>
    <w:rsid w:val="7E9C7095"/>
    <w:rsid w:val="7EA321D2"/>
    <w:rsid w:val="7EA67F14"/>
    <w:rsid w:val="7EDA196C"/>
    <w:rsid w:val="7EDF056C"/>
    <w:rsid w:val="7EEDB6B1"/>
    <w:rsid w:val="7EEF2E28"/>
    <w:rsid w:val="7EF21F47"/>
    <w:rsid w:val="7EF31942"/>
    <w:rsid w:val="7EFB4FD9"/>
    <w:rsid w:val="7EFD2A44"/>
    <w:rsid w:val="7F011AFE"/>
    <w:rsid w:val="7F0C3BD0"/>
    <w:rsid w:val="7F303107"/>
    <w:rsid w:val="7F33157B"/>
    <w:rsid w:val="7F3D1095"/>
    <w:rsid w:val="7F4327F8"/>
    <w:rsid w:val="7F4339B5"/>
    <w:rsid w:val="7F480CEA"/>
    <w:rsid w:val="7F49284B"/>
    <w:rsid w:val="7F4A4D43"/>
    <w:rsid w:val="7F4E4945"/>
    <w:rsid w:val="7F581804"/>
    <w:rsid w:val="7F593BCF"/>
    <w:rsid w:val="7F675F78"/>
    <w:rsid w:val="7F727385"/>
    <w:rsid w:val="7F7741D2"/>
    <w:rsid w:val="7F7C2FEC"/>
    <w:rsid w:val="7F801D46"/>
    <w:rsid w:val="7F954211"/>
    <w:rsid w:val="7FBC103A"/>
    <w:rsid w:val="7FC5261C"/>
    <w:rsid w:val="7FE20B4D"/>
    <w:rsid w:val="7FEC2FC2"/>
    <w:rsid w:val="7FF20382"/>
    <w:rsid w:val="7FF52749"/>
    <w:rsid w:val="B77F19D3"/>
    <w:rsid w:val="DF6E69CF"/>
    <w:rsid w:val="ED7C43D2"/>
    <w:rsid w:val="F7EB0086"/>
    <w:rsid w:val="FD5FC4D6"/>
    <w:rsid w:val="FFE724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4"/>
    <w:link w:val="56"/>
    <w:autoRedefine/>
    <w:qFormat/>
    <w:uiPriority w:val="9"/>
    <w:pPr>
      <w:keepNext/>
      <w:jc w:val="center"/>
      <w:outlineLvl w:val="0"/>
    </w:pPr>
    <w:rPr>
      <w:rFonts w:ascii="楷体_GB2312" w:hAnsi="楷体_GB2312"/>
      <w:b/>
      <w:sz w:val="32"/>
      <w:szCs w:val="32"/>
    </w:rPr>
  </w:style>
  <w:style w:type="paragraph" w:styleId="5">
    <w:name w:val="heading 2"/>
    <w:basedOn w:val="1"/>
    <w:next w:val="4"/>
    <w:link w:val="89"/>
    <w:autoRedefine/>
    <w:qFormat/>
    <w:uiPriority w:val="0"/>
    <w:pPr>
      <w:keepNext/>
      <w:keepLines/>
      <w:spacing w:before="200" w:after="200" w:line="480" w:lineRule="auto"/>
      <w:jc w:val="left"/>
      <w:outlineLvl w:val="1"/>
    </w:pPr>
    <w:rPr>
      <w:rFonts w:ascii="Arial" w:hAnsi="Arial" w:cs="Arial"/>
      <w:b/>
      <w:bCs/>
      <w:sz w:val="30"/>
      <w:szCs w:val="30"/>
    </w:rPr>
  </w:style>
  <w:style w:type="paragraph" w:styleId="6">
    <w:name w:val="heading 3"/>
    <w:basedOn w:val="1"/>
    <w:next w:val="4"/>
    <w:link w:val="84"/>
    <w:autoRedefine/>
    <w:qFormat/>
    <w:uiPriority w:val="0"/>
    <w:pPr>
      <w:keepNext/>
      <w:keepLines/>
      <w:spacing w:before="200" w:after="100" w:line="480" w:lineRule="auto"/>
      <w:jc w:val="left"/>
      <w:outlineLvl w:val="2"/>
    </w:pPr>
    <w:rPr>
      <w:b/>
      <w:bCs/>
      <w:sz w:val="28"/>
      <w:szCs w:val="32"/>
    </w:rPr>
  </w:style>
  <w:style w:type="paragraph" w:styleId="7">
    <w:name w:val="heading 4"/>
    <w:basedOn w:val="1"/>
    <w:next w:val="4"/>
    <w:link w:val="57"/>
    <w:autoRedefine/>
    <w:qFormat/>
    <w:uiPriority w:val="0"/>
    <w:pPr>
      <w:keepNext/>
      <w:keepLines/>
      <w:ind w:firstLine="420" w:firstLineChars="150"/>
      <w:outlineLvl w:val="3"/>
    </w:pPr>
    <w:rPr>
      <w:rFonts w:ascii="Arial" w:hAnsi="Arial" w:cs="Arial"/>
      <w:b/>
      <w:sz w:val="28"/>
      <w:szCs w:val="28"/>
    </w:rPr>
  </w:style>
  <w:style w:type="paragraph" w:styleId="8">
    <w:name w:val="heading 5"/>
    <w:basedOn w:val="1"/>
    <w:next w:val="4"/>
    <w:link w:val="94"/>
    <w:autoRedefine/>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85"/>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65"/>
    <w:autoRedefine/>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66"/>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60"/>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2">
    <w:name w:val="footnote text"/>
    <w:basedOn w:val="1"/>
    <w:link w:val="206"/>
    <w:autoRedefine/>
    <w:qFormat/>
    <w:uiPriority w:val="0"/>
    <w:pPr>
      <w:snapToGrid w:val="0"/>
      <w:jc w:val="left"/>
    </w:pPr>
    <w:rPr>
      <w:sz w:val="18"/>
    </w:rPr>
  </w:style>
  <w:style w:type="paragraph" w:styleId="4">
    <w:name w:val="Normal Indent"/>
    <w:basedOn w:val="1"/>
    <w:next w:val="1"/>
    <w:link w:val="72"/>
    <w:autoRedefine/>
    <w:qFormat/>
    <w:uiPriority w:val="0"/>
    <w:pPr>
      <w:ind w:firstLine="420"/>
    </w:pPr>
  </w:style>
  <w:style w:type="paragraph" w:styleId="13">
    <w:name w:val="List 3"/>
    <w:basedOn w:val="1"/>
    <w:autoRedefine/>
    <w:qFormat/>
    <w:uiPriority w:val="0"/>
    <w:pPr>
      <w:ind w:left="100" w:leftChars="400" w:hanging="200" w:hangingChars="200"/>
    </w:pPr>
  </w:style>
  <w:style w:type="paragraph" w:styleId="14">
    <w:name w:val="Document Map"/>
    <w:basedOn w:val="1"/>
    <w:link w:val="91"/>
    <w:autoRedefine/>
    <w:semiHidden/>
    <w:qFormat/>
    <w:uiPriority w:val="0"/>
    <w:pPr>
      <w:shd w:val="clear" w:color="auto" w:fill="000080"/>
    </w:pPr>
  </w:style>
  <w:style w:type="paragraph" w:styleId="15">
    <w:name w:val="toa heading"/>
    <w:basedOn w:val="1"/>
    <w:next w:val="1"/>
    <w:autoRedefine/>
    <w:qFormat/>
    <w:uiPriority w:val="0"/>
    <w:pPr>
      <w:spacing w:before="120"/>
    </w:pPr>
    <w:rPr>
      <w:rFonts w:ascii="Cambria" w:hAnsi="Cambria"/>
      <w:sz w:val="24"/>
    </w:rPr>
  </w:style>
  <w:style w:type="paragraph" w:styleId="16">
    <w:name w:val="annotation text"/>
    <w:basedOn w:val="1"/>
    <w:link w:val="205"/>
    <w:autoRedefine/>
    <w:semiHidden/>
    <w:qFormat/>
    <w:uiPriority w:val="0"/>
    <w:pPr>
      <w:jc w:val="left"/>
    </w:pPr>
  </w:style>
  <w:style w:type="paragraph" w:styleId="17">
    <w:name w:val="Body Text 3"/>
    <w:basedOn w:val="1"/>
    <w:link w:val="68"/>
    <w:autoRedefine/>
    <w:qFormat/>
    <w:uiPriority w:val="0"/>
    <w:rPr>
      <w:rFonts w:ascii="仿宋_GB2312" w:hAnsi="Arial" w:eastAsia="仿宋_GB2312"/>
      <w:sz w:val="32"/>
      <w:szCs w:val="32"/>
    </w:rPr>
  </w:style>
  <w:style w:type="paragraph" w:styleId="18">
    <w:name w:val="Body Text"/>
    <w:basedOn w:val="1"/>
    <w:next w:val="1"/>
    <w:link w:val="64"/>
    <w:autoRedefine/>
    <w:qFormat/>
    <w:uiPriority w:val="0"/>
    <w:rPr>
      <w:rFonts w:ascii="楷体_GB2312" w:hAnsi="Arial" w:eastAsia="楷体_GB2312"/>
      <w:sz w:val="28"/>
      <w:szCs w:val="28"/>
    </w:rPr>
  </w:style>
  <w:style w:type="paragraph" w:styleId="19">
    <w:name w:val="Body Text Indent"/>
    <w:basedOn w:val="1"/>
    <w:next w:val="4"/>
    <w:link w:val="70"/>
    <w:autoRedefine/>
    <w:qFormat/>
    <w:uiPriority w:val="0"/>
    <w:pPr>
      <w:ind w:firstLine="645"/>
    </w:pPr>
    <w:rPr>
      <w:rFonts w:ascii="楷体_GB2312" w:eastAsia="楷体_GB2312"/>
      <w:sz w:val="32"/>
      <w:szCs w:val="32"/>
    </w:rPr>
  </w:style>
  <w:style w:type="paragraph" w:styleId="20">
    <w:name w:val="List 2"/>
    <w:basedOn w:val="1"/>
    <w:autoRedefine/>
    <w:qFormat/>
    <w:uiPriority w:val="0"/>
    <w:pPr>
      <w:ind w:left="100" w:leftChars="200" w:hanging="200" w:hangingChars="200"/>
    </w:pPr>
  </w:style>
  <w:style w:type="paragraph" w:styleId="21">
    <w:name w:val="toc 3"/>
    <w:basedOn w:val="22"/>
    <w:next w:val="1"/>
    <w:autoRedefine/>
    <w:qFormat/>
    <w:uiPriority w:val="39"/>
    <w:pPr>
      <w:ind w:left="840" w:leftChars="400"/>
    </w:pPr>
  </w:style>
  <w:style w:type="paragraph" w:styleId="22">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3">
    <w:name w:val="Plain Text"/>
    <w:basedOn w:val="1"/>
    <w:link w:val="93"/>
    <w:autoRedefine/>
    <w:qFormat/>
    <w:uiPriority w:val="0"/>
    <w:rPr>
      <w:rFonts w:ascii="宋体" w:hAnsi="Courier New" w:cs="Courier New"/>
    </w:rPr>
  </w:style>
  <w:style w:type="paragraph" w:styleId="24">
    <w:name w:val="Date"/>
    <w:basedOn w:val="1"/>
    <w:next w:val="1"/>
    <w:link w:val="76"/>
    <w:autoRedefine/>
    <w:qFormat/>
    <w:uiPriority w:val="0"/>
    <w:rPr>
      <w:sz w:val="24"/>
      <w:szCs w:val="24"/>
    </w:rPr>
  </w:style>
  <w:style w:type="paragraph" w:styleId="25">
    <w:name w:val="Body Text Indent 2"/>
    <w:basedOn w:val="1"/>
    <w:link w:val="71"/>
    <w:autoRedefine/>
    <w:qFormat/>
    <w:uiPriority w:val="0"/>
    <w:pPr>
      <w:ind w:left="630" w:firstLine="645"/>
    </w:pPr>
    <w:rPr>
      <w:rFonts w:ascii="Arial" w:hAnsi="Arial" w:eastAsia="仿宋_GB2312" w:cs="Arial"/>
      <w:sz w:val="32"/>
      <w:szCs w:val="32"/>
    </w:rPr>
  </w:style>
  <w:style w:type="paragraph" w:styleId="26">
    <w:name w:val="Balloon Text"/>
    <w:basedOn w:val="1"/>
    <w:link w:val="95"/>
    <w:autoRedefine/>
    <w:semiHidden/>
    <w:qFormat/>
    <w:uiPriority w:val="0"/>
    <w:rPr>
      <w:sz w:val="18"/>
      <w:szCs w:val="18"/>
    </w:rPr>
  </w:style>
  <w:style w:type="paragraph" w:styleId="27">
    <w:name w:val="footer"/>
    <w:basedOn w:val="1"/>
    <w:link w:val="69"/>
    <w:autoRedefine/>
    <w:qFormat/>
    <w:uiPriority w:val="99"/>
    <w:pPr>
      <w:tabs>
        <w:tab w:val="center" w:pos="4153"/>
        <w:tab w:val="right" w:pos="8306"/>
      </w:tabs>
      <w:snapToGrid w:val="0"/>
      <w:jc w:val="left"/>
    </w:pPr>
    <w:rPr>
      <w:rFonts w:cs="Symbol"/>
      <w:color w:val="000000" w:themeColor="text1"/>
      <w:sz w:val="18"/>
      <w:szCs w:val="18"/>
      <w14:textFill>
        <w14:solidFill>
          <w14:schemeClr w14:val="tx1"/>
        </w14:solidFill>
      </w14:textFill>
    </w:rPr>
  </w:style>
  <w:style w:type="paragraph" w:styleId="28">
    <w:name w:val="header"/>
    <w:basedOn w:val="1"/>
    <w:link w:val="87"/>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4"/>
    <w:basedOn w:val="1"/>
    <w:next w:val="1"/>
    <w:autoRedefine/>
    <w:qFormat/>
    <w:uiPriority w:val="39"/>
    <w:pPr>
      <w:ind w:left="960"/>
      <w:jc w:val="left"/>
    </w:pPr>
    <w:rPr>
      <w:rFonts w:ascii="Calibri" w:hAnsi="Calibri"/>
      <w:sz w:val="18"/>
      <w:szCs w:val="18"/>
    </w:rPr>
  </w:style>
  <w:style w:type="paragraph" w:styleId="30">
    <w:name w:val="List"/>
    <w:basedOn w:val="1"/>
    <w:autoRedefine/>
    <w:qFormat/>
    <w:uiPriority w:val="0"/>
    <w:pPr>
      <w:ind w:left="200" w:hanging="200" w:hangingChars="200"/>
    </w:pPr>
  </w:style>
  <w:style w:type="paragraph" w:styleId="31">
    <w:name w:val="Body Text Indent 3"/>
    <w:basedOn w:val="1"/>
    <w:link w:val="86"/>
    <w:autoRedefine/>
    <w:qFormat/>
    <w:uiPriority w:val="0"/>
    <w:pPr>
      <w:ind w:left="645" w:firstLine="645"/>
    </w:pPr>
    <w:rPr>
      <w:rFonts w:ascii="Arial" w:hAnsi="Arial" w:eastAsia="仿宋_GB2312" w:cs="Arial"/>
      <w:color w:val="FFFF00"/>
      <w:sz w:val="32"/>
      <w:szCs w:val="32"/>
    </w:rPr>
  </w:style>
  <w:style w:type="paragraph" w:styleId="32">
    <w:name w:val="toc 2"/>
    <w:basedOn w:val="22"/>
    <w:next w:val="1"/>
    <w:autoRedefine/>
    <w:qFormat/>
    <w:uiPriority w:val="39"/>
    <w:pPr>
      <w:ind w:left="210"/>
    </w:pPr>
    <w:rPr>
      <w:smallCaps/>
      <w:szCs w:val="24"/>
    </w:rPr>
  </w:style>
  <w:style w:type="paragraph" w:styleId="33">
    <w:name w:val="Body Text 2"/>
    <w:basedOn w:val="1"/>
    <w:link w:val="92"/>
    <w:autoRedefine/>
    <w:qFormat/>
    <w:uiPriority w:val="0"/>
    <w:pPr>
      <w:widowControl/>
      <w:jc w:val="center"/>
    </w:pPr>
    <w:rPr>
      <w:rFonts w:ascii="楷体_GB2312" w:eastAsia="楷体_GB2312"/>
      <w:sz w:val="28"/>
      <w:szCs w:val="28"/>
    </w:rPr>
  </w:style>
  <w:style w:type="paragraph" w:styleId="34">
    <w:name w:val="Normal (Web)"/>
    <w:basedOn w:val="1"/>
    <w:next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5">
    <w:name w:val="annotation subject"/>
    <w:basedOn w:val="16"/>
    <w:next w:val="16"/>
    <w:link w:val="88"/>
    <w:autoRedefine/>
    <w:semiHidden/>
    <w:qFormat/>
    <w:uiPriority w:val="0"/>
    <w:rPr>
      <w:b/>
      <w:bCs/>
    </w:rPr>
  </w:style>
  <w:style w:type="paragraph" w:styleId="36">
    <w:name w:val="Body Text First Indent"/>
    <w:basedOn w:val="18"/>
    <w:link w:val="90"/>
    <w:autoRedefine/>
    <w:qFormat/>
    <w:uiPriority w:val="0"/>
    <w:pPr>
      <w:spacing w:line="360" w:lineRule="auto"/>
      <w:ind w:firstLine="200" w:firstLineChars="200"/>
    </w:pPr>
    <w:rPr>
      <w:rFonts w:ascii="仿宋_GB2312" w:eastAsia="仿宋_GB2312"/>
      <w:sz w:val="30"/>
      <w:szCs w:val="30"/>
    </w:rPr>
  </w:style>
  <w:style w:type="paragraph" w:styleId="37">
    <w:name w:val="Body Text First Indent 2"/>
    <w:basedOn w:val="19"/>
    <w:next w:val="1"/>
    <w:link w:val="73"/>
    <w:autoRedefine/>
    <w:qFormat/>
    <w:uiPriority w:val="0"/>
    <w:pPr>
      <w:spacing w:line="360" w:lineRule="auto"/>
      <w:ind w:firstLine="420" w:firstLineChars="200"/>
    </w:pPr>
    <w:rPr>
      <w:rFonts w:ascii="宋体" w:hAnsi="宋体" w:eastAsia="宋体"/>
      <w:sz w:val="21"/>
      <w:szCs w:val="20"/>
    </w:rPr>
  </w:style>
  <w:style w:type="table" w:styleId="39">
    <w:name w:val="Table Grid"/>
    <w:basedOn w:val="3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autoRedefine/>
    <w:qFormat/>
    <w:uiPriority w:val="0"/>
    <w:rPr>
      <w:b/>
      <w:bCs/>
    </w:rPr>
  </w:style>
  <w:style w:type="character" w:styleId="42">
    <w:name w:val="page number"/>
    <w:basedOn w:val="40"/>
    <w:autoRedefine/>
    <w:qFormat/>
    <w:uiPriority w:val="0"/>
  </w:style>
  <w:style w:type="character" w:styleId="43">
    <w:name w:val="FollowedHyperlink"/>
    <w:autoRedefine/>
    <w:qFormat/>
    <w:uiPriority w:val="99"/>
    <w:rPr>
      <w:color w:val="800080"/>
      <w:u w:val="single"/>
    </w:rPr>
  </w:style>
  <w:style w:type="character" w:styleId="44">
    <w:name w:val="Emphasis"/>
    <w:basedOn w:val="40"/>
    <w:autoRedefine/>
    <w:qFormat/>
    <w:uiPriority w:val="0"/>
  </w:style>
  <w:style w:type="character" w:styleId="45">
    <w:name w:val="HTML Definition"/>
    <w:basedOn w:val="40"/>
    <w:autoRedefine/>
    <w:qFormat/>
    <w:uiPriority w:val="0"/>
  </w:style>
  <w:style w:type="character" w:styleId="46">
    <w:name w:val="HTML Typewriter"/>
    <w:basedOn w:val="40"/>
    <w:autoRedefine/>
    <w:qFormat/>
    <w:uiPriority w:val="0"/>
    <w:rPr>
      <w:rFonts w:hint="default" w:ascii="monospace" w:hAnsi="monospace" w:eastAsia="monospace" w:cs="monospace"/>
      <w:sz w:val="20"/>
    </w:rPr>
  </w:style>
  <w:style w:type="character" w:styleId="47">
    <w:name w:val="HTML Acronym"/>
    <w:basedOn w:val="40"/>
    <w:autoRedefine/>
    <w:qFormat/>
    <w:uiPriority w:val="0"/>
  </w:style>
  <w:style w:type="character" w:styleId="48">
    <w:name w:val="HTML Variable"/>
    <w:basedOn w:val="40"/>
    <w:autoRedefine/>
    <w:qFormat/>
    <w:uiPriority w:val="0"/>
  </w:style>
  <w:style w:type="character" w:styleId="49">
    <w:name w:val="Hyperlink"/>
    <w:autoRedefine/>
    <w:qFormat/>
    <w:uiPriority w:val="99"/>
    <w:rPr>
      <w:color w:val="0000FF"/>
      <w:u w:val="single"/>
    </w:rPr>
  </w:style>
  <w:style w:type="character" w:styleId="50">
    <w:name w:val="HTML Code"/>
    <w:basedOn w:val="40"/>
    <w:autoRedefine/>
    <w:qFormat/>
    <w:uiPriority w:val="0"/>
    <w:rPr>
      <w:rFonts w:hint="default" w:ascii="monospace" w:hAnsi="monospace" w:eastAsia="monospace" w:cs="monospace"/>
      <w:sz w:val="20"/>
    </w:rPr>
  </w:style>
  <w:style w:type="character" w:styleId="51">
    <w:name w:val="annotation reference"/>
    <w:autoRedefine/>
    <w:qFormat/>
    <w:uiPriority w:val="0"/>
    <w:rPr>
      <w:sz w:val="21"/>
      <w:szCs w:val="21"/>
    </w:rPr>
  </w:style>
  <w:style w:type="character" w:styleId="52">
    <w:name w:val="HTML Cite"/>
    <w:basedOn w:val="40"/>
    <w:autoRedefine/>
    <w:qFormat/>
    <w:uiPriority w:val="0"/>
  </w:style>
  <w:style w:type="character" w:styleId="53">
    <w:name w:val="HTML Keyboard"/>
    <w:basedOn w:val="40"/>
    <w:autoRedefine/>
    <w:qFormat/>
    <w:uiPriority w:val="0"/>
    <w:rPr>
      <w:rFonts w:hint="default" w:ascii="monospace" w:hAnsi="monospace" w:eastAsia="monospace" w:cs="monospace"/>
      <w:sz w:val="20"/>
    </w:rPr>
  </w:style>
  <w:style w:type="character" w:styleId="54">
    <w:name w:val="HTML Sample"/>
    <w:basedOn w:val="40"/>
    <w:autoRedefine/>
    <w:qFormat/>
    <w:uiPriority w:val="0"/>
    <w:rPr>
      <w:rFonts w:ascii="monospace" w:hAnsi="monospace" w:eastAsia="monospace" w:cs="monospace"/>
    </w:rPr>
  </w:style>
  <w:style w:type="paragraph" w:customStyle="1" w:styleId="55">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56">
    <w:name w:val="标题 1 Char"/>
    <w:link w:val="3"/>
    <w:autoRedefine/>
    <w:qFormat/>
    <w:uiPriority w:val="9"/>
    <w:rPr>
      <w:rFonts w:ascii="楷体_GB2312" w:hAnsi="楷体_GB2312" w:eastAsia="宋体"/>
      <w:b/>
      <w:kern w:val="2"/>
      <w:sz w:val="32"/>
      <w:szCs w:val="32"/>
      <w:lang w:val="en-US" w:eastAsia="zh-CN" w:bidi="ar-SA"/>
    </w:rPr>
  </w:style>
  <w:style w:type="character" w:customStyle="1" w:styleId="57">
    <w:name w:val="标题 4 Char"/>
    <w:link w:val="7"/>
    <w:autoRedefine/>
    <w:qFormat/>
    <w:uiPriority w:val="0"/>
    <w:rPr>
      <w:rFonts w:ascii="Arial" w:hAnsi="Arial" w:eastAsia="宋体" w:cs="Arial"/>
      <w:b/>
      <w:kern w:val="2"/>
      <w:sz w:val="28"/>
      <w:szCs w:val="28"/>
      <w:lang w:val="en-US" w:eastAsia="zh-CN" w:bidi="ar-SA"/>
    </w:rPr>
  </w:style>
  <w:style w:type="paragraph" w:customStyle="1" w:styleId="58">
    <w:name w:val="标题 5（有编号）（绿盟科技）"/>
    <w:basedOn w:val="1"/>
    <w:next w:val="59"/>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59">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0">
    <w:name w:val="标题 9 Char"/>
    <w:link w:val="12"/>
    <w:autoRedefine/>
    <w:qFormat/>
    <w:uiPriority w:val="0"/>
    <w:rPr>
      <w:rFonts w:ascii="Arial" w:hAnsi="Arial" w:eastAsia="黑体"/>
      <w:kern w:val="2"/>
      <w:sz w:val="21"/>
      <w:szCs w:val="21"/>
      <w:lang w:val="en-US" w:eastAsia="zh-CN" w:bidi="ar-SA"/>
    </w:rPr>
  </w:style>
  <w:style w:type="character" w:customStyle="1" w:styleId="61">
    <w:name w:val="正文缩进 Char"/>
    <w:autoRedefine/>
    <w:qFormat/>
    <w:uiPriority w:val="0"/>
    <w:rPr>
      <w:kern w:val="2"/>
      <w:sz w:val="21"/>
      <w:szCs w:val="21"/>
    </w:rPr>
  </w:style>
  <w:style w:type="character" w:customStyle="1" w:styleId="62">
    <w:name w:val="列出段落 Char"/>
    <w:link w:val="63"/>
    <w:autoRedefine/>
    <w:qFormat/>
    <w:locked/>
    <w:uiPriority w:val="0"/>
    <w:rPr>
      <w:rFonts w:ascii="Calibri" w:hAnsi="Calibri"/>
      <w:sz w:val="24"/>
      <w:szCs w:val="24"/>
      <w:lang w:eastAsia="en-US" w:bidi="en-US"/>
    </w:rPr>
  </w:style>
  <w:style w:type="paragraph" w:customStyle="1" w:styleId="63">
    <w:name w:val="列出段落11"/>
    <w:basedOn w:val="1"/>
    <w:link w:val="62"/>
    <w:autoRedefine/>
    <w:qFormat/>
    <w:uiPriority w:val="0"/>
    <w:pPr>
      <w:widowControl/>
      <w:ind w:left="720"/>
      <w:contextualSpacing/>
      <w:jc w:val="left"/>
    </w:pPr>
    <w:rPr>
      <w:rFonts w:ascii="Calibri" w:hAnsi="Calibri"/>
      <w:kern w:val="0"/>
      <w:sz w:val="24"/>
      <w:szCs w:val="24"/>
      <w:lang w:eastAsia="en-US" w:bidi="en-US"/>
    </w:rPr>
  </w:style>
  <w:style w:type="character" w:customStyle="1" w:styleId="64">
    <w:name w:val="正文文本 Char"/>
    <w:link w:val="18"/>
    <w:autoRedefine/>
    <w:qFormat/>
    <w:uiPriority w:val="0"/>
    <w:rPr>
      <w:rFonts w:ascii="楷体_GB2312" w:hAnsi="Arial" w:eastAsia="楷体_GB2312"/>
      <w:kern w:val="2"/>
      <w:sz w:val="28"/>
      <w:szCs w:val="28"/>
      <w:lang w:val="en-US" w:eastAsia="zh-CN" w:bidi="ar-SA"/>
    </w:rPr>
  </w:style>
  <w:style w:type="character" w:customStyle="1" w:styleId="65">
    <w:name w:val="标题 7 Char"/>
    <w:link w:val="10"/>
    <w:autoRedefine/>
    <w:qFormat/>
    <w:uiPriority w:val="0"/>
    <w:rPr>
      <w:rFonts w:eastAsia="宋体"/>
      <w:b/>
      <w:bCs/>
      <w:kern w:val="2"/>
      <w:sz w:val="24"/>
      <w:szCs w:val="24"/>
      <w:lang w:val="en-US" w:eastAsia="zh-CN" w:bidi="ar-SA"/>
    </w:rPr>
  </w:style>
  <w:style w:type="character" w:customStyle="1" w:styleId="66">
    <w:name w:val="标题 8 Char"/>
    <w:link w:val="11"/>
    <w:autoRedefine/>
    <w:qFormat/>
    <w:uiPriority w:val="0"/>
    <w:rPr>
      <w:rFonts w:ascii="Arial" w:hAnsi="Arial" w:eastAsia="黑体"/>
      <w:kern w:val="2"/>
      <w:sz w:val="24"/>
      <w:szCs w:val="24"/>
      <w:lang w:val="en-US" w:eastAsia="zh-CN" w:bidi="ar-SA"/>
    </w:rPr>
  </w:style>
  <w:style w:type="character" w:customStyle="1" w:styleId="67">
    <w:name w:val="正文首行缩进 Char"/>
    <w:autoRedefine/>
    <w:qFormat/>
    <w:uiPriority w:val="0"/>
    <w:rPr>
      <w:rFonts w:ascii="仿宋_GB2312" w:hAnsi="Times New Roman" w:eastAsia="仿宋_GB2312" w:cs="Times New Roman"/>
      <w:kern w:val="2"/>
      <w:sz w:val="30"/>
      <w:szCs w:val="30"/>
    </w:rPr>
  </w:style>
  <w:style w:type="character" w:customStyle="1" w:styleId="68">
    <w:name w:val="正文文本 3 Char"/>
    <w:link w:val="17"/>
    <w:autoRedefine/>
    <w:qFormat/>
    <w:uiPriority w:val="0"/>
    <w:rPr>
      <w:rFonts w:ascii="仿宋_GB2312" w:hAnsi="Arial" w:eastAsia="仿宋_GB2312"/>
      <w:kern w:val="2"/>
      <w:sz w:val="32"/>
      <w:szCs w:val="32"/>
      <w:lang w:val="en-US" w:eastAsia="zh-CN" w:bidi="ar-SA"/>
    </w:rPr>
  </w:style>
  <w:style w:type="character" w:customStyle="1" w:styleId="69">
    <w:name w:val="页脚 Char"/>
    <w:link w:val="27"/>
    <w:autoRedefine/>
    <w:qFormat/>
    <w:uiPriority w:val="99"/>
    <w:rPr>
      <w:rFonts w:eastAsia="宋体" w:cs="Symbol"/>
      <w:color w:val="000000" w:themeColor="text1"/>
      <w:kern w:val="2"/>
      <w:sz w:val="18"/>
      <w:szCs w:val="18"/>
      <w:lang w:bidi="ar-SA"/>
      <w14:textFill>
        <w14:solidFill>
          <w14:schemeClr w14:val="tx1"/>
        </w14:solidFill>
      </w14:textFill>
    </w:rPr>
  </w:style>
  <w:style w:type="character" w:customStyle="1" w:styleId="70">
    <w:name w:val="正文文本缩进 Char"/>
    <w:link w:val="19"/>
    <w:autoRedefine/>
    <w:qFormat/>
    <w:uiPriority w:val="0"/>
    <w:rPr>
      <w:rFonts w:ascii="楷体_GB2312" w:eastAsia="楷体_GB2312"/>
      <w:kern w:val="2"/>
      <w:sz w:val="32"/>
      <w:szCs w:val="32"/>
      <w:lang w:val="en-US" w:eastAsia="zh-CN" w:bidi="ar-SA"/>
    </w:rPr>
  </w:style>
  <w:style w:type="character" w:customStyle="1" w:styleId="71">
    <w:name w:val="正文文本缩进 2 Char"/>
    <w:link w:val="25"/>
    <w:autoRedefine/>
    <w:qFormat/>
    <w:uiPriority w:val="0"/>
    <w:rPr>
      <w:rFonts w:ascii="Arial" w:hAnsi="Arial" w:eastAsia="仿宋_GB2312" w:cs="Arial"/>
      <w:kern w:val="2"/>
      <w:sz w:val="32"/>
      <w:szCs w:val="32"/>
      <w:lang w:val="en-US" w:eastAsia="zh-CN" w:bidi="ar-SA"/>
    </w:rPr>
  </w:style>
  <w:style w:type="character" w:customStyle="1" w:styleId="72">
    <w:name w:val="正文缩进 Char1"/>
    <w:link w:val="4"/>
    <w:autoRedefine/>
    <w:qFormat/>
    <w:uiPriority w:val="0"/>
    <w:rPr>
      <w:rFonts w:eastAsia="宋体"/>
      <w:kern w:val="2"/>
      <w:sz w:val="21"/>
      <w:szCs w:val="21"/>
      <w:lang w:bidi="ar-SA"/>
    </w:rPr>
  </w:style>
  <w:style w:type="character" w:customStyle="1" w:styleId="73">
    <w:name w:val="正文首行缩进 2 Char"/>
    <w:link w:val="37"/>
    <w:autoRedefine/>
    <w:qFormat/>
    <w:uiPriority w:val="0"/>
    <w:rPr>
      <w:rFonts w:ascii="宋体" w:hAnsi="宋体" w:eastAsia="宋体"/>
      <w:kern w:val="2"/>
      <w:sz w:val="21"/>
      <w:lang w:val="en-US" w:eastAsia="zh-CN" w:bidi="ar-SA"/>
    </w:rPr>
  </w:style>
  <w:style w:type="character" w:customStyle="1" w:styleId="74">
    <w:name w:val="正文首行缩进（qhb） Char"/>
    <w:link w:val="75"/>
    <w:autoRedefine/>
    <w:qFormat/>
    <w:uiPriority w:val="0"/>
    <w:rPr>
      <w:rFonts w:ascii="Arial" w:hAnsi="Arial"/>
      <w:sz w:val="24"/>
      <w:szCs w:val="21"/>
    </w:rPr>
  </w:style>
  <w:style w:type="paragraph" w:customStyle="1" w:styleId="75">
    <w:name w:val="正文首行缩进（qhb）"/>
    <w:basedOn w:val="1"/>
    <w:link w:val="74"/>
    <w:autoRedefine/>
    <w:qFormat/>
    <w:uiPriority w:val="0"/>
    <w:pPr>
      <w:widowControl/>
      <w:spacing w:after="50" w:line="360" w:lineRule="auto"/>
      <w:ind w:firstLine="200" w:firstLineChars="200"/>
      <w:jc w:val="left"/>
    </w:pPr>
    <w:rPr>
      <w:rFonts w:ascii="Arial" w:hAnsi="Arial"/>
      <w:kern w:val="0"/>
      <w:sz w:val="24"/>
    </w:rPr>
  </w:style>
  <w:style w:type="character" w:customStyle="1" w:styleId="76">
    <w:name w:val="日期 Char"/>
    <w:link w:val="24"/>
    <w:autoRedefine/>
    <w:qFormat/>
    <w:uiPriority w:val="0"/>
    <w:rPr>
      <w:rFonts w:eastAsia="宋体"/>
      <w:kern w:val="2"/>
      <w:sz w:val="24"/>
      <w:szCs w:val="24"/>
      <w:lang w:val="en-US" w:eastAsia="zh-CN" w:bidi="ar-SA"/>
    </w:rPr>
  </w:style>
  <w:style w:type="character" w:customStyle="1" w:styleId="77">
    <w:name w:val="font5 Char"/>
    <w:autoRedefine/>
    <w:qFormat/>
    <w:uiPriority w:val="0"/>
    <w:rPr>
      <w:rFonts w:ascii="宋体" w:hAnsi="宋体" w:eastAsia="宋体"/>
      <w:sz w:val="28"/>
      <w:szCs w:val="28"/>
      <w:lang w:val="en-US" w:eastAsia="zh-CN" w:bidi="ar-SA"/>
    </w:rPr>
  </w:style>
  <w:style w:type="character" w:customStyle="1" w:styleId="78">
    <w:name w:val="Char Char2"/>
    <w:autoRedefine/>
    <w:qFormat/>
    <w:uiPriority w:val="0"/>
    <w:rPr>
      <w:rFonts w:ascii="Times New Roman" w:hAnsi="Times New Roman" w:eastAsia="宋体" w:cs="Times New Roman"/>
      <w:szCs w:val="21"/>
    </w:rPr>
  </w:style>
  <w:style w:type="character" w:customStyle="1" w:styleId="79">
    <w:name w:val="正文格式 Char"/>
    <w:link w:val="80"/>
    <w:autoRedefine/>
    <w:qFormat/>
    <w:uiPriority w:val="0"/>
    <w:rPr>
      <w:rFonts w:eastAsia="仿宋_GB2312"/>
      <w:sz w:val="28"/>
      <w:lang w:bidi="ar-SA"/>
    </w:rPr>
  </w:style>
  <w:style w:type="paragraph" w:customStyle="1" w:styleId="80">
    <w:name w:val="正文格式"/>
    <w:basedOn w:val="1"/>
    <w:link w:val="79"/>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1">
    <w:name w:val="二级目录 Char"/>
    <w:link w:val="82"/>
    <w:autoRedefine/>
    <w:qFormat/>
    <w:uiPriority w:val="0"/>
    <w:rPr>
      <w:rFonts w:eastAsia="Times New Roman"/>
      <w:b/>
      <w:kern w:val="2"/>
      <w:sz w:val="30"/>
      <w:szCs w:val="28"/>
      <w:lang w:val="en-US" w:eastAsia="zh-CN" w:bidi="ar-SA"/>
    </w:rPr>
  </w:style>
  <w:style w:type="paragraph" w:customStyle="1" w:styleId="82">
    <w:name w:val="二级目录"/>
    <w:next w:val="1"/>
    <w:link w:val="81"/>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3">
    <w:name w:val="Char Char6"/>
    <w:autoRedefine/>
    <w:qFormat/>
    <w:uiPriority w:val="0"/>
    <w:rPr>
      <w:rFonts w:ascii="Times New Roman" w:hAnsi="Times New Roman" w:eastAsia="宋体" w:cs="Times New Roman"/>
      <w:sz w:val="18"/>
      <w:szCs w:val="18"/>
    </w:rPr>
  </w:style>
  <w:style w:type="character" w:customStyle="1" w:styleId="84">
    <w:name w:val="标题 3 Char"/>
    <w:link w:val="6"/>
    <w:autoRedefine/>
    <w:qFormat/>
    <w:uiPriority w:val="0"/>
    <w:rPr>
      <w:rFonts w:ascii="Times New Roman" w:hAnsi="Times New Roman" w:eastAsia="宋体"/>
      <w:b/>
      <w:bCs/>
      <w:kern w:val="2"/>
      <w:sz w:val="28"/>
      <w:szCs w:val="32"/>
      <w:lang w:val="en-US" w:eastAsia="zh-CN" w:bidi="ar-SA"/>
    </w:rPr>
  </w:style>
  <w:style w:type="character" w:customStyle="1" w:styleId="85">
    <w:name w:val="标题 6 Char"/>
    <w:link w:val="9"/>
    <w:autoRedefine/>
    <w:qFormat/>
    <w:uiPriority w:val="0"/>
    <w:rPr>
      <w:rFonts w:ascii="Arial" w:hAnsi="Arial" w:eastAsia="黑体"/>
      <w:b/>
      <w:bCs/>
      <w:kern w:val="2"/>
      <w:sz w:val="24"/>
      <w:szCs w:val="24"/>
      <w:lang w:val="en-US" w:eastAsia="zh-CN" w:bidi="ar-SA"/>
    </w:rPr>
  </w:style>
  <w:style w:type="character" w:customStyle="1" w:styleId="86">
    <w:name w:val="正文文本缩进 3 Char"/>
    <w:link w:val="31"/>
    <w:autoRedefine/>
    <w:qFormat/>
    <w:uiPriority w:val="0"/>
    <w:rPr>
      <w:rFonts w:ascii="Arial" w:hAnsi="Arial" w:eastAsia="仿宋_GB2312" w:cs="Arial"/>
      <w:color w:val="FFFF00"/>
      <w:kern w:val="2"/>
      <w:sz w:val="32"/>
      <w:szCs w:val="32"/>
      <w:lang w:val="en-US" w:eastAsia="zh-CN" w:bidi="ar-SA"/>
    </w:rPr>
  </w:style>
  <w:style w:type="character" w:customStyle="1" w:styleId="87">
    <w:name w:val="页眉 Char"/>
    <w:link w:val="28"/>
    <w:autoRedefine/>
    <w:qFormat/>
    <w:uiPriority w:val="99"/>
    <w:rPr>
      <w:rFonts w:eastAsia="宋体"/>
      <w:kern w:val="2"/>
      <w:sz w:val="18"/>
      <w:szCs w:val="18"/>
      <w:lang w:val="en-US" w:eastAsia="zh-CN" w:bidi="ar-SA"/>
    </w:rPr>
  </w:style>
  <w:style w:type="character" w:customStyle="1" w:styleId="88">
    <w:name w:val="批注主题 Char"/>
    <w:link w:val="35"/>
    <w:autoRedefine/>
    <w:semiHidden/>
    <w:qFormat/>
    <w:uiPriority w:val="0"/>
    <w:rPr>
      <w:rFonts w:eastAsia="宋体"/>
      <w:b/>
      <w:bCs/>
      <w:kern w:val="2"/>
      <w:sz w:val="21"/>
      <w:szCs w:val="21"/>
      <w:lang w:val="en-US" w:eastAsia="zh-CN" w:bidi="ar-SA"/>
    </w:rPr>
  </w:style>
  <w:style w:type="character" w:customStyle="1" w:styleId="89">
    <w:name w:val="标题 2 Char"/>
    <w:link w:val="5"/>
    <w:autoRedefine/>
    <w:qFormat/>
    <w:uiPriority w:val="0"/>
    <w:rPr>
      <w:rFonts w:ascii="Arial" w:hAnsi="Arial" w:eastAsia="宋体" w:cs="Arial"/>
      <w:b/>
      <w:bCs/>
      <w:kern w:val="2"/>
      <w:sz w:val="30"/>
      <w:szCs w:val="30"/>
      <w:lang w:val="en-US" w:eastAsia="zh-CN" w:bidi="ar-SA"/>
    </w:rPr>
  </w:style>
  <w:style w:type="character" w:customStyle="1" w:styleId="90">
    <w:name w:val="正文首行缩进 Char1"/>
    <w:link w:val="36"/>
    <w:autoRedefine/>
    <w:qFormat/>
    <w:uiPriority w:val="0"/>
    <w:rPr>
      <w:rFonts w:ascii="仿宋_GB2312" w:eastAsia="仿宋_GB2312"/>
      <w:kern w:val="2"/>
      <w:sz w:val="30"/>
      <w:szCs w:val="30"/>
      <w:lang w:val="en-US" w:eastAsia="zh-CN" w:bidi="ar-SA"/>
    </w:rPr>
  </w:style>
  <w:style w:type="character" w:customStyle="1" w:styleId="91">
    <w:name w:val="文档结构图 Char"/>
    <w:link w:val="14"/>
    <w:autoRedefine/>
    <w:semiHidden/>
    <w:qFormat/>
    <w:uiPriority w:val="0"/>
    <w:rPr>
      <w:rFonts w:eastAsia="宋体"/>
      <w:kern w:val="2"/>
      <w:sz w:val="21"/>
      <w:szCs w:val="21"/>
      <w:lang w:bidi="ar-SA"/>
    </w:rPr>
  </w:style>
  <w:style w:type="character" w:customStyle="1" w:styleId="92">
    <w:name w:val="正文文本 2 Char"/>
    <w:link w:val="33"/>
    <w:autoRedefine/>
    <w:qFormat/>
    <w:uiPriority w:val="0"/>
    <w:rPr>
      <w:rFonts w:ascii="楷体_GB2312" w:eastAsia="楷体_GB2312"/>
      <w:kern w:val="2"/>
      <w:sz w:val="28"/>
      <w:szCs w:val="28"/>
      <w:lang w:val="en-US" w:eastAsia="zh-CN" w:bidi="ar-SA"/>
    </w:rPr>
  </w:style>
  <w:style w:type="character" w:customStyle="1" w:styleId="93">
    <w:name w:val="纯文本 Char"/>
    <w:link w:val="23"/>
    <w:autoRedefine/>
    <w:qFormat/>
    <w:uiPriority w:val="0"/>
    <w:rPr>
      <w:rFonts w:ascii="宋体" w:hAnsi="Courier New" w:eastAsia="宋体" w:cs="Courier New"/>
      <w:kern w:val="2"/>
      <w:sz w:val="21"/>
      <w:szCs w:val="21"/>
      <w:lang w:val="en-US" w:eastAsia="zh-CN" w:bidi="ar-SA"/>
    </w:rPr>
  </w:style>
  <w:style w:type="character" w:customStyle="1" w:styleId="94">
    <w:name w:val="标题 5 Char"/>
    <w:link w:val="8"/>
    <w:autoRedefine/>
    <w:qFormat/>
    <w:uiPriority w:val="0"/>
    <w:rPr>
      <w:rFonts w:ascii="宋体" w:eastAsia="宋体"/>
      <w:color w:val="000000"/>
      <w:sz w:val="28"/>
      <w:szCs w:val="28"/>
      <w:lang w:val="en-US" w:eastAsia="zh-CN" w:bidi="ar-SA"/>
    </w:rPr>
  </w:style>
  <w:style w:type="character" w:customStyle="1" w:styleId="95">
    <w:name w:val="批注框文本 Char"/>
    <w:link w:val="26"/>
    <w:autoRedefine/>
    <w:semiHidden/>
    <w:qFormat/>
    <w:uiPriority w:val="0"/>
    <w:rPr>
      <w:rFonts w:eastAsia="宋体"/>
      <w:kern w:val="2"/>
      <w:sz w:val="18"/>
      <w:szCs w:val="18"/>
      <w:lang w:val="en-US" w:eastAsia="zh-CN" w:bidi="ar-SA"/>
    </w:rPr>
  </w:style>
  <w:style w:type="paragraph" w:customStyle="1" w:styleId="96">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9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98">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9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0">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1">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4">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5">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6">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7">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列出段落1"/>
    <w:basedOn w:val="1"/>
    <w:autoRedefine/>
    <w:qFormat/>
    <w:uiPriority w:val="99"/>
    <w:pPr>
      <w:ind w:firstLine="420" w:firstLineChars="200"/>
    </w:pPr>
  </w:style>
  <w:style w:type="paragraph" w:customStyle="1" w:styleId="11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1">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2">
    <w:name w:val="Char"/>
    <w:basedOn w:val="1"/>
    <w:autoRedefine/>
    <w:qFormat/>
    <w:uiPriority w:val="0"/>
    <w:pPr>
      <w:tabs>
        <w:tab w:val="left" w:pos="360"/>
      </w:tabs>
      <w:ind w:firstLine="200" w:firstLineChars="200"/>
    </w:pPr>
    <w:rPr>
      <w:sz w:val="28"/>
      <w:szCs w:val="30"/>
    </w:rPr>
  </w:style>
  <w:style w:type="paragraph" w:customStyle="1" w:styleId="113">
    <w:name w:val="table_1stline"/>
    <w:basedOn w:val="1"/>
    <w:autoRedefine/>
    <w:qFormat/>
    <w:uiPriority w:val="0"/>
    <w:pPr>
      <w:widowControl/>
      <w:spacing w:before="120"/>
      <w:jc w:val="left"/>
    </w:pPr>
    <w:rPr>
      <w:bCs/>
      <w:kern w:val="0"/>
      <w:sz w:val="20"/>
      <w:szCs w:val="20"/>
      <w:lang w:val="de-DE" w:eastAsia="de-DE"/>
    </w:rPr>
  </w:style>
  <w:style w:type="paragraph" w:customStyle="1" w:styleId="114">
    <w:name w:val="table_lines"/>
    <w:basedOn w:val="1"/>
    <w:autoRedefine/>
    <w:qFormat/>
    <w:uiPriority w:val="0"/>
    <w:pPr>
      <w:widowControl/>
      <w:jc w:val="left"/>
    </w:pPr>
    <w:rPr>
      <w:kern w:val="0"/>
      <w:sz w:val="20"/>
      <w:szCs w:val="20"/>
      <w:lang w:val="de-DE" w:eastAsia="de-DE"/>
    </w:rPr>
  </w:style>
  <w:style w:type="paragraph" w:customStyle="1" w:styleId="115">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16">
    <w:name w:val="Char Char Char Char1"/>
    <w:basedOn w:val="14"/>
    <w:autoRedefine/>
    <w:qFormat/>
    <w:uiPriority w:val="0"/>
    <w:pPr>
      <w:adjustRightInd w:val="0"/>
      <w:snapToGrid w:val="0"/>
      <w:spacing w:line="360" w:lineRule="auto"/>
    </w:pPr>
    <w:rPr>
      <w:rFonts w:ascii="Tahoma" w:hAnsi="Tahoma"/>
      <w:kern w:val="0"/>
      <w:sz w:val="24"/>
      <w:szCs w:val="24"/>
    </w:rPr>
  </w:style>
  <w:style w:type="paragraph" w:customStyle="1" w:styleId="117">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18">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9">
    <w:name w:val="Char Char Char Char"/>
    <w:basedOn w:val="14"/>
    <w:autoRedefine/>
    <w:qFormat/>
    <w:uiPriority w:val="0"/>
    <w:pPr>
      <w:adjustRightInd w:val="0"/>
      <w:snapToGrid w:val="0"/>
      <w:spacing w:line="360" w:lineRule="auto"/>
    </w:pPr>
    <w:rPr>
      <w:rFonts w:ascii="Tahoma" w:hAnsi="Tahoma"/>
      <w:sz w:val="24"/>
      <w:szCs w:val="24"/>
    </w:rPr>
  </w:style>
  <w:style w:type="paragraph" w:customStyle="1" w:styleId="120">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1">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2">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3">
    <w:name w:val="Body Text(ch)"/>
    <w:basedOn w:val="1"/>
    <w:next w:val="18"/>
    <w:autoRedefine/>
    <w:qFormat/>
    <w:uiPriority w:val="0"/>
    <w:pPr>
      <w:spacing w:after="120"/>
    </w:pPr>
    <w:rPr>
      <w:rFonts w:ascii="宋体" w:hAnsi="Arial"/>
      <w:bCs/>
      <w:iCs/>
      <w:szCs w:val="24"/>
    </w:rPr>
  </w:style>
  <w:style w:type="paragraph" w:styleId="124">
    <w:name w:val="List Paragraph"/>
    <w:basedOn w:val="1"/>
    <w:autoRedefine/>
    <w:qFormat/>
    <w:uiPriority w:val="34"/>
    <w:pPr>
      <w:widowControl/>
      <w:ind w:left="720"/>
      <w:contextualSpacing/>
      <w:jc w:val="left"/>
    </w:pPr>
    <w:rPr>
      <w:rFonts w:ascii="Calibri" w:hAnsi="Calibri"/>
      <w:kern w:val="0"/>
      <w:sz w:val="24"/>
      <w:szCs w:val="24"/>
      <w:lang w:eastAsia="en-US" w:bidi="en-US"/>
    </w:rPr>
  </w:style>
  <w:style w:type="paragraph" w:customStyle="1" w:styleId="125">
    <w:name w:val="Char11"/>
    <w:basedOn w:val="14"/>
    <w:autoRedefine/>
    <w:qFormat/>
    <w:uiPriority w:val="0"/>
    <w:rPr>
      <w:rFonts w:ascii="Tahoma" w:hAnsi="Tahoma"/>
      <w:sz w:val="24"/>
      <w:szCs w:val="24"/>
    </w:rPr>
  </w:style>
  <w:style w:type="paragraph" w:customStyle="1" w:styleId="126">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27">
    <w:name w:val="_Style 4"/>
    <w:basedOn w:val="14"/>
    <w:autoRedefine/>
    <w:qFormat/>
    <w:uiPriority w:val="0"/>
    <w:pPr>
      <w:shd w:val="clear" w:color="auto" w:fill="auto"/>
      <w:spacing w:line="360" w:lineRule="auto"/>
      <w:jc w:val="left"/>
    </w:pPr>
    <w:rPr>
      <w:kern w:val="0"/>
      <w:sz w:val="20"/>
      <w:szCs w:val="20"/>
    </w:rPr>
  </w:style>
  <w:style w:type="paragraph" w:customStyle="1" w:styleId="128">
    <w:name w:val="4"/>
    <w:basedOn w:val="1"/>
    <w:next w:val="31"/>
    <w:autoRedefine/>
    <w:qFormat/>
    <w:uiPriority w:val="0"/>
    <w:pPr>
      <w:spacing w:line="360" w:lineRule="auto"/>
      <w:ind w:firstLine="420"/>
    </w:pPr>
    <w:rPr>
      <w:color w:val="FF0000"/>
      <w:sz w:val="24"/>
      <w:szCs w:val="24"/>
    </w:rPr>
  </w:style>
  <w:style w:type="paragraph" w:customStyle="1" w:styleId="129">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
    <w:name w:val="TOC 标题1"/>
    <w:basedOn w:val="3"/>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1">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2">
    <w:name w:val="Char1"/>
    <w:basedOn w:val="1"/>
    <w:autoRedefine/>
    <w:qFormat/>
    <w:uiPriority w:val="0"/>
    <w:pPr>
      <w:tabs>
        <w:tab w:val="left" w:pos="360"/>
      </w:tabs>
      <w:ind w:firstLine="200" w:firstLineChars="200"/>
    </w:pPr>
    <w:rPr>
      <w:sz w:val="28"/>
      <w:szCs w:val="30"/>
    </w:rPr>
  </w:style>
  <w:style w:type="paragraph" w:customStyle="1" w:styleId="133">
    <w:name w:val="Char2 Char1 Char"/>
    <w:basedOn w:val="1"/>
    <w:autoRedefine/>
    <w:qFormat/>
    <w:uiPriority w:val="0"/>
    <w:pPr>
      <w:tabs>
        <w:tab w:val="left" w:pos="360"/>
      </w:tabs>
    </w:pPr>
    <w:rPr>
      <w:rFonts w:eastAsia="方正仿宋简体"/>
      <w:sz w:val="24"/>
      <w:szCs w:val="32"/>
    </w:rPr>
  </w:style>
  <w:style w:type="paragraph" w:customStyle="1" w:styleId="134">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5">
    <w:name w:val="Char Char Char Char2"/>
    <w:basedOn w:val="14"/>
    <w:autoRedefine/>
    <w:qFormat/>
    <w:uiPriority w:val="0"/>
    <w:pPr>
      <w:adjustRightInd w:val="0"/>
      <w:snapToGrid w:val="0"/>
      <w:spacing w:line="360" w:lineRule="auto"/>
    </w:pPr>
    <w:rPr>
      <w:rFonts w:ascii="Tahoma" w:hAnsi="Tahoma"/>
      <w:sz w:val="24"/>
      <w:szCs w:val="24"/>
    </w:rPr>
  </w:style>
  <w:style w:type="paragraph" w:customStyle="1" w:styleId="136">
    <w:name w:val="_Style 119"/>
    <w:basedOn w:val="1"/>
    <w:next w:val="124"/>
    <w:autoRedefine/>
    <w:qFormat/>
    <w:uiPriority w:val="34"/>
    <w:pPr>
      <w:widowControl/>
      <w:ind w:left="720"/>
      <w:contextualSpacing/>
      <w:jc w:val="left"/>
    </w:pPr>
    <w:rPr>
      <w:rFonts w:ascii="Calibri" w:hAnsi="Calibri"/>
      <w:kern w:val="0"/>
      <w:sz w:val="24"/>
      <w:szCs w:val="24"/>
      <w:lang w:eastAsia="en-US" w:bidi="en-US"/>
    </w:rPr>
  </w:style>
  <w:style w:type="paragraph" w:customStyle="1" w:styleId="13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Table Paragraph"/>
    <w:basedOn w:val="1"/>
    <w:autoRedefine/>
    <w:qFormat/>
    <w:uiPriority w:val="1"/>
  </w:style>
  <w:style w:type="character" w:customStyle="1" w:styleId="139">
    <w:name w:val="纯文本 字符"/>
    <w:autoRedefine/>
    <w:qFormat/>
    <w:uiPriority w:val="0"/>
    <w:rPr>
      <w:rFonts w:ascii="宋体" w:hAnsi="Courier New" w:cs="Courier New"/>
      <w:kern w:val="2"/>
      <w:sz w:val="21"/>
      <w:szCs w:val="21"/>
    </w:rPr>
  </w:style>
  <w:style w:type="character" w:customStyle="1" w:styleId="140">
    <w:name w:val="正文缩进 字符"/>
    <w:autoRedefine/>
    <w:qFormat/>
    <w:uiPriority w:val="0"/>
    <w:rPr>
      <w:kern w:val="2"/>
      <w:sz w:val="21"/>
      <w:szCs w:val="21"/>
    </w:rPr>
  </w:style>
  <w:style w:type="paragraph" w:customStyle="1" w:styleId="141">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2">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3">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4">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6">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7">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8">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9">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0">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4">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56">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9">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0">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2">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4">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5">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6">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7">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69">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0">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1">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2">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3">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4">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5">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6">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78">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79">
    <w:name w:val="超链接_0"/>
    <w:autoRedefine/>
    <w:qFormat/>
    <w:uiPriority w:val="99"/>
    <w:rPr>
      <w:rFonts w:hint="default" w:ascii="Calibri" w:hAnsi="Calibri" w:cs="Calibri"/>
      <w:color w:val="0000FF"/>
      <w:u w:val="single"/>
    </w:rPr>
  </w:style>
  <w:style w:type="paragraph" w:customStyle="1" w:styleId="180">
    <w:name w:val="正文_0"/>
    <w:basedOn w:val="1"/>
    <w:next w:val="1"/>
    <w:autoRedefine/>
    <w:qFormat/>
    <w:uiPriority w:val="0"/>
    <w:pPr>
      <w:spacing w:after="200" w:line="276" w:lineRule="auto"/>
    </w:pPr>
    <w:rPr>
      <w:rFonts w:ascii="Calibri" w:hAnsi="Calibri"/>
      <w:szCs w:val="24"/>
    </w:rPr>
  </w:style>
  <w:style w:type="paragraph" w:customStyle="1" w:styleId="181">
    <w:name w:val="普通(网站)1"/>
    <w:basedOn w:val="1"/>
    <w:autoRedefine/>
    <w:qFormat/>
    <w:uiPriority w:val="0"/>
    <w:pPr>
      <w:spacing w:beforeAutospacing="1" w:afterAutospacing="1"/>
      <w:jc w:val="left"/>
    </w:pPr>
    <w:rPr>
      <w:rFonts w:ascii="Calibri" w:hAnsi="Calibri"/>
      <w:kern w:val="0"/>
      <w:sz w:val="24"/>
    </w:rPr>
  </w:style>
  <w:style w:type="character" w:customStyle="1" w:styleId="182">
    <w:name w:val="bookmark-item"/>
    <w:basedOn w:val="40"/>
    <w:autoRedefine/>
    <w:qFormat/>
    <w:uiPriority w:val="0"/>
  </w:style>
  <w:style w:type="paragraph" w:customStyle="1" w:styleId="183">
    <w:name w:val="表格"/>
    <w:basedOn w:val="30"/>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4">
    <w:name w:val="btn-auto-1"/>
    <w:basedOn w:val="40"/>
    <w:autoRedefine/>
    <w:qFormat/>
    <w:uiPriority w:val="0"/>
  </w:style>
  <w:style w:type="character" w:customStyle="1" w:styleId="185">
    <w:name w:val="s1"/>
    <w:basedOn w:val="40"/>
    <w:autoRedefine/>
    <w:qFormat/>
    <w:uiPriority w:val="0"/>
    <w:rPr>
      <w:color w:val="DDDDDD"/>
      <w:sz w:val="14"/>
      <w:szCs w:val="14"/>
    </w:rPr>
  </w:style>
  <w:style w:type="character" w:customStyle="1" w:styleId="186">
    <w:name w:val="btn-task-gray2"/>
    <w:basedOn w:val="40"/>
    <w:autoRedefine/>
    <w:qFormat/>
    <w:uiPriority w:val="0"/>
    <w:rPr>
      <w:color w:val="FFFFFF"/>
      <w:u w:val="none"/>
      <w:shd w:val="clear" w:color="auto" w:fill="CCCCCC"/>
    </w:rPr>
  </w:style>
  <w:style w:type="character" w:customStyle="1" w:styleId="187">
    <w:name w:val="btn-task-gray3"/>
    <w:basedOn w:val="40"/>
    <w:autoRedefine/>
    <w:qFormat/>
    <w:uiPriority w:val="0"/>
  </w:style>
  <w:style w:type="character" w:customStyle="1" w:styleId="188">
    <w:name w:val="fontstyle01"/>
    <w:basedOn w:val="40"/>
    <w:autoRedefine/>
    <w:qFormat/>
    <w:uiPriority w:val="0"/>
    <w:rPr>
      <w:rFonts w:ascii="仿宋" w:hAnsi="仿宋" w:eastAsia="仿宋" w:cs="仿宋"/>
      <w:color w:val="000000"/>
      <w:sz w:val="32"/>
      <w:szCs w:val="32"/>
    </w:rPr>
  </w:style>
  <w:style w:type="paragraph" w:customStyle="1" w:styleId="189">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190">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2">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3">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4">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5">
    <w:name w:val="正文2"/>
    <w:basedOn w:val="1"/>
    <w:autoRedefine/>
    <w:qFormat/>
    <w:uiPriority w:val="0"/>
    <w:pPr>
      <w:spacing w:before="156" w:line="360" w:lineRule="auto"/>
      <w:ind w:firstLine="510" w:firstLineChars="200"/>
    </w:pPr>
    <w:rPr>
      <w:sz w:val="24"/>
    </w:rPr>
  </w:style>
  <w:style w:type="paragraph" w:customStyle="1" w:styleId="196">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正文文本缩进_2"/>
    <w:basedOn w:val="198"/>
    <w:autoRedefine/>
    <w:qFormat/>
    <w:uiPriority w:val="0"/>
    <w:pPr>
      <w:spacing w:line="500" w:lineRule="exact"/>
      <w:ind w:left="1588" w:leftChars="832" w:firstLine="433" w:firstLineChars="196"/>
    </w:pPr>
    <w:rPr>
      <w:kern w:val="0"/>
      <w:sz w:val="24"/>
    </w:rPr>
  </w:style>
  <w:style w:type="paragraph" w:customStyle="1" w:styleId="198">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00">
    <w:name w:val="layui-layer-tabnow"/>
    <w:basedOn w:val="40"/>
    <w:autoRedefine/>
    <w:qFormat/>
    <w:uiPriority w:val="0"/>
    <w:rPr>
      <w:bdr w:val="single" w:color="CCCCCC" w:sz="4" w:space="0"/>
      <w:shd w:val="clear" w:color="auto" w:fill="FFFFFF"/>
    </w:rPr>
  </w:style>
  <w:style w:type="character" w:customStyle="1" w:styleId="201">
    <w:name w:val="first-child"/>
    <w:basedOn w:val="40"/>
    <w:autoRedefine/>
    <w:qFormat/>
    <w:uiPriority w:val="0"/>
  </w:style>
  <w:style w:type="paragraph" w:customStyle="1" w:styleId="202">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3">
    <w:name w:val="正文2.25"/>
    <w:basedOn w:val="1"/>
    <w:autoRedefine/>
    <w:qFormat/>
    <w:uiPriority w:val="0"/>
    <w:pPr>
      <w:spacing w:line="360" w:lineRule="auto"/>
      <w:ind w:firstLine="540"/>
    </w:pPr>
    <w:rPr>
      <w:sz w:val="24"/>
      <w:szCs w:val="24"/>
    </w:rPr>
  </w:style>
  <w:style w:type="paragraph" w:customStyle="1" w:styleId="204">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5">
    <w:name w:val="批注文字 Char"/>
    <w:basedOn w:val="40"/>
    <w:link w:val="16"/>
    <w:autoRedefine/>
    <w:semiHidden/>
    <w:qFormat/>
    <w:uiPriority w:val="0"/>
    <w:rPr>
      <w:kern w:val="2"/>
      <w:sz w:val="21"/>
      <w:szCs w:val="21"/>
    </w:rPr>
  </w:style>
  <w:style w:type="character" w:customStyle="1" w:styleId="206">
    <w:name w:val="脚注文本 Char"/>
    <w:basedOn w:val="40"/>
    <w:link w:val="2"/>
    <w:autoRedefine/>
    <w:qFormat/>
    <w:uiPriority w:val="0"/>
    <w:rPr>
      <w:kern w:val="2"/>
      <w:sz w:val="18"/>
      <w:szCs w:val="21"/>
    </w:rPr>
  </w:style>
  <w:style w:type="character" w:customStyle="1" w:styleId="207">
    <w:name w:val="font01"/>
    <w:basedOn w:val="40"/>
    <w:autoRedefine/>
    <w:qFormat/>
    <w:uiPriority w:val="0"/>
    <w:rPr>
      <w:rFonts w:hint="default" w:ascii="Times New Roman" w:hAnsi="Times New Roman" w:cs="Times New Roman"/>
      <w:color w:val="000000"/>
      <w:sz w:val="24"/>
      <w:szCs w:val="24"/>
      <w:u w:val="none"/>
    </w:rPr>
  </w:style>
  <w:style w:type="character" w:customStyle="1" w:styleId="208">
    <w:name w:val="font21"/>
    <w:basedOn w:val="40"/>
    <w:autoRedefine/>
    <w:qFormat/>
    <w:uiPriority w:val="0"/>
    <w:rPr>
      <w:rFonts w:hint="eastAsia" w:ascii="宋体" w:hAnsi="宋体" w:eastAsia="宋体" w:cs="宋体"/>
      <w:color w:val="000000"/>
      <w:sz w:val="24"/>
      <w:szCs w:val="24"/>
      <w:u w:val="none"/>
    </w:rPr>
  </w:style>
  <w:style w:type="character" w:customStyle="1" w:styleId="209">
    <w:name w:val="font11"/>
    <w:basedOn w:val="40"/>
    <w:autoRedefine/>
    <w:qFormat/>
    <w:uiPriority w:val="0"/>
    <w:rPr>
      <w:rFonts w:hint="eastAsia" w:ascii="宋体" w:hAnsi="宋体" w:eastAsia="宋体" w:cs="宋体"/>
      <w:color w:val="000000"/>
      <w:sz w:val="24"/>
      <w:szCs w:val="24"/>
      <w:u w:val="none"/>
    </w:rPr>
  </w:style>
  <w:style w:type="table" w:customStyle="1" w:styleId="210">
    <w:name w:val="Table Normal"/>
    <w:autoRedefine/>
    <w:semiHidden/>
    <w:unhideWhenUsed/>
    <w:qFormat/>
    <w:uiPriority w:val="0"/>
    <w:tblPr>
      <w:tblCellMar>
        <w:top w:w="0" w:type="dxa"/>
        <w:left w:w="0" w:type="dxa"/>
        <w:bottom w:w="0" w:type="dxa"/>
        <w:right w:w="0" w:type="dxa"/>
      </w:tblCellMar>
    </w:tblPr>
  </w:style>
  <w:style w:type="character" w:customStyle="1" w:styleId="211">
    <w:name w:val="font31"/>
    <w:basedOn w:val="40"/>
    <w:autoRedefine/>
    <w:qFormat/>
    <w:uiPriority w:val="0"/>
    <w:rPr>
      <w:rFonts w:hint="eastAsia" w:ascii="宋体" w:hAnsi="宋体" w:eastAsia="宋体" w:cs="宋体"/>
      <w:color w:val="000000"/>
      <w:sz w:val="24"/>
      <w:szCs w:val="24"/>
      <w:u w:val="none"/>
    </w:rPr>
  </w:style>
  <w:style w:type="character" w:customStyle="1" w:styleId="212">
    <w:name w:val="font61"/>
    <w:basedOn w:val="40"/>
    <w:autoRedefine/>
    <w:qFormat/>
    <w:uiPriority w:val="0"/>
    <w:rPr>
      <w:rFonts w:hint="eastAsia" w:ascii="宋体" w:hAnsi="宋体" w:eastAsia="宋体" w:cs="宋体"/>
      <w:color w:val="FF0000"/>
      <w:sz w:val="20"/>
      <w:szCs w:val="20"/>
      <w:u w:val="none"/>
    </w:rPr>
  </w:style>
  <w:style w:type="character" w:customStyle="1" w:styleId="213">
    <w:name w:val="font51"/>
    <w:basedOn w:val="40"/>
    <w:autoRedefine/>
    <w:qFormat/>
    <w:uiPriority w:val="0"/>
    <w:rPr>
      <w:rFonts w:hint="default" w:ascii="方正黑体_GBK" w:hAnsi="方正黑体_GBK" w:eastAsia="方正黑体_GBK" w:cs="方正黑体_GBK"/>
      <w:color w:val="FF0000"/>
      <w:sz w:val="20"/>
      <w:szCs w:val="20"/>
      <w:u w:val="none"/>
    </w:rPr>
  </w:style>
  <w:style w:type="character" w:customStyle="1" w:styleId="214">
    <w:name w:val="font4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5">
    <w:name w:val="font81"/>
    <w:basedOn w:val="40"/>
    <w:autoRedefine/>
    <w:qFormat/>
    <w:uiPriority w:val="0"/>
    <w:rPr>
      <w:rFonts w:hint="eastAsia" w:ascii="黑体" w:hAnsi="宋体" w:eastAsia="黑体" w:cs="黑体"/>
      <w:color w:val="FF0000"/>
      <w:sz w:val="20"/>
      <w:szCs w:val="20"/>
      <w:u w:val="none"/>
    </w:rPr>
  </w:style>
  <w:style w:type="character" w:customStyle="1" w:styleId="216">
    <w:name w:val="font7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7">
    <w:name w:val="font9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8">
    <w:name w:val="font101"/>
    <w:basedOn w:val="40"/>
    <w:autoRedefine/>
    <w:qFormat/>
    <w:uiPriority w:val="0"/>
    <w:rPr>
      <w:rFonts w:hint="default" w:ascii="Times New Roman" w:hAnsi="Times New Roman" w:cs="Times New Roman"/>
      <w:color w:val="000000"/>
      <w:sz w:val="22"/>
      <w:szCs w:val="22"/>
      <w:u w:val="none"/>
    </w:rPr>
  </w:style>
  <w:style w:type="character" w:customStyle="1" w:styleId="219">
    <w:name w:val="font112"/>
    <w:basedOn w:val="40"/>
    <w:autoRedefine/>
    <w:qFormat/>
    <w:uiPriority w:val="0"/>
    <w:rPr>
      <w:rFonts w:hint="eastAsia" w:ascii="黑体" w:hAnsi="宋体" w:eastAsia="黑体" w:cs="黑体"/>
      <w:color w:val="000000"/>
      <w:sz w:val="22"/>
      <w:szCs w:val="22"/>
      <w:u w:val="none"/>
    </w:rPr>
  </w:style>
  <w:style w:type="paragraph" w:customStyle="1" w:styleId="220">
    <w:name w:val="Table Text"/>
    <w:basedOn w:val="1"/>
    <w:autoRedefine/>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4D8702-CD7E-4C19-ACCF-7EE74A4FBC0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136</Pages>
  <Words>77440</Words>
  <Characters>82203</Characters>
  <Lines>616</Lines>
  <Paragraphs>173</Paragraphs>
  <TotalTime>79</TotalTime>
  <ScaleCrop>false</ScaleCrop>
  <LinksUpToDate>false</LinksUpToDate>
  <CharactersWithSpaces>85211</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2022-12-30T13:26:00Z</dcterms:created>
  <dc:creator>yinjian</dc:creator>
  <cp:lastModifiedBy>A0000</cp:lastModifiedBy>
  <cp:lastPrinted>2023-10-16T03:58:00Z</cp:lastPrinted>
  <dcterms:modified xsi:type="dcterms:W3CDTF">2024-05-04T04:38:44Z</dcterms:modified>
  <dc:title>招　标　文　件</dc:title>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3454D24CE60D4E34A01C0C7B758718B9_13</vt:lpwstr>
  </property>
</Properties>
</file>