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kinsoku/>
        <w:wordWrap/>
        <w:overflowPunct/>
        <w:bidi w:val="0"/>
        <w:spacing w:line="480" w:lineRule="exact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项目采购需求</w:t>
      </w:r>
    </w:p>
    <w:p>
      <w:pPr>
        <w:keepNext w:val="0"/>
        <w:keepLines w:val="0"/>
        <w:pageBreakBefore w:val="0"/>
        <w:kinsoku/>
        <w:wordWrap/>
        <w:overflowPunct/>
        <w:bidi w:val="0"/>
        <w:spacing w:before="1" w:after="156" w:afterLines="50" w:line="480" w:lineRule="exact"/>
        <w:rPr>
          <w:rFonts w:hint="eastAsia" w:ascii="仿宋" w:hAnsi="仿宋" w:eastAsia="仿宋" w:cs="仿宋"/>
          <w:b/>
          <w:color w:val="auto"/>
          <w:spacing w:val="-8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pacing w:val="-8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="仿宋" w:hAnsi="仿宋" w:eastAsia="仿宋" w:cs="仿宋"/>
          <w:b/>
          <w:color w:val="auto"/>
          <w:spacing w:val="-8"/>
          <w:sz w:val="28"/>
          <w:szCs w:val="28"/>
          <w:highlight w:val="none"/>
        </w:rPr>
        <w:t>项目需求：</w:t>
      </w:r>
    </w:p>
    <w:p>
      <w:pPr>
        <w:keepNext w:val="0"/>
        <w:keepLines w:val="0"/>
        <w:pageBreakBefore w:val="0"/>
        <w:kinsoku/>
        <w:wordWrap/>
        <w:overflowPunct/>
        <w:bidi w:val="0"/>
        <w:spacing w:before="1" w:after="156" w:afterLines="50" w:line="48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2"/>
          <w:highlight w:val="none"/>
          <w:lang w:val="en-US" w:eastAsia="zh-CN"/>
        </w:rPr>
        <w:t>制剂楼改造完毕在即，按最新提交的电气专业设计图纸要求，该楼总用电负荷为300KW，原有主电缆WDZB-YJY-(4*50+25)仅能保障负荷73.3KW，经论证，利用原电缆沟从老配电房新增一条160米规格为WDZB-YJY-(4*150+70)型电缆敷设至制剂楼。</w:t>
      </w:r>
    </w:p>
    <w:p>
      <w:pPr>
        <w:keepNext w:val="0"/>
        <w:keepLines w:val="0"/>
        <w:pageBreakBefore w:val="0"/>
        <w:kinsoku/>
        <w:wordWrap/>
        <w:overflowPunct/>
        <w:bidi w:val="0"/>
        <w:spacing w:before="1" w:after="156" w:afterLines="50" w:line="480" w:lineRule="exact"/>
        <w:rPr>
          <w:rFonts w:hint="eastAsia" w:ascii="仿宋" w:hAnsi="仿宋" w:eastAsia="仿宋" w:cs="仿宋"/>
          <w:b/>
          <w:color w:val="auto"/>
          <w:spacing w:val="-8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-8"/>
          <w:sz w:val="28"/>
          <w:szCs w:val="28"/>
          <w:highlight w:val="none"/>
          <w:lang w:val="en-US" w:eastAsia="zh-CN"/>
        </w:rPr>
        <w:t>2、制剂楼新增电缆及电缆敷设施工清单表</w:t>
      </w:r>
    </w:p>
    <w:tbl>
      <w:tblPr>
        <w:tblStyle w:val="6"/>
        <w:tblW w:w="10356" w:type="dxa"/>
        <w:tblInd w:w="-28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1950"/>
        <w:gridCol w:w="2556"/>
        <w:gridCol w:w="716"/>
        <w:gridCol w:w="1315"/>
        <w:gridCol w:w="850"/>
        <w:gridCol w:w="763"/>
        <w:gridCol w:w="14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金额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户外落地式配电箱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一进三出，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进线开关500A，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出线1*400A+2*125A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配电箱基础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砖砌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座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接地制作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镀锌扁钢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四叶电缆井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砖砌，含井盖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座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二叶电缆井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砖砌，含井盖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座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探查、拖拉管、电缆敷设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175（按实结算）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破除及恢复地坪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含绿化带和人行道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低压电缆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ZR-YJV22-4*150+1*70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175（按实结算）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远东、扬帆、熊猫、正泰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电缆终端头制作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热缩式，铜芯，4*240+1*120mm²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安装及调试费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小计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税金</w:t>
            </w:r>
          </w:p>
        </w:tc>
        <w:tc>
          <w:tcPr>
            <w:tcW w:w="2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3%税点普票</w:t>
            </w:r>
          </w:p>
        </w:tc>
        <w:tc>
          <w:tcPr>
            <w:tcW w:w="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合计总价</w:t>
            </w:r>
          </w:p>
        </w:tc>
        <w:tc>
          <w:tcPr>
            <w:tcW w:w="2556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31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5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控制价（大写）：</w:t>
            </w:r>
          </w:p>
        </w:tc>
        <w:tc>
          <w:tcPr>
            <w:tcW w:w="5060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说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</w:t>
            </w:r>
          </w:p>
        </w:tc>
        <w:tc>
          <w:tcPr>
            <w:tcW w:w="956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1.配电箱按照要求的配置生产，采用户外落地式箱体，预留2只125A开关备用。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2.安装完成后对接地电阻、电缆相位、使用功能进行测试。</w:t>
            </w:r>
          </w:p>
        </w:tc>
      </w:tr>
    </w:tbl>
    <w:p>
      <w:pPr>
        <w:pStyle w:val="2"/>
        <w:numPr>
          <w:ilvl w:val="0"/>
          <w:numId w:val="0"/>
        </w:numPr>
        <w:rPr>
          <w:rFonts w:hint="eastAsia"/>
          <w:color w:val="auto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bidi w:val="0"/>
        <w:spacing w:before="1" w:after="156" w:afterLines="50" w:line="480" w:lineRule="exact"/>
        <w:rPr>
          <w:rFonts w:hint="default" w:ascii="仿宋" w:hAnsi="仿宋" w:eastAsia="仿宋" w:cs="仿宋"/>
          <w:b/>
          <w:color w:val="auto"/>
          <w:spacing w:val="-8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-8"/>
          <w:sz w:val="28"/>
          <w:szCs w:val="28"/>
          <w:highlight w:val="none"/>
          <w:lang w:val="en-US" w:eastAsia="zh-CN"/>
        </w:rPr>
        <w:t>3、用电负荷图</w:t>
      </w:r>
    </w:p>
    <w:p>
      <w:pPr>
        <w:numPr>
          <w:ilvl w:val="0"/>
          <w:numId w:val="0"/>
        </w:numPr>
        <w:ind w:left="420" w:leftChars="0"/>
        <w:rPr>
          <w:rFonts w:hint="default"/>
          <w:color w:val="auto"/>
          <w:highlight w:val="none"/>
          <w:lang w:val="en-US" w:eastAsia="zh-CN"/>
        </w:rPr>
      </w:pPr>
    </w:p>
    <w:p>
      <w:p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drawing>
          <wp:inline distT="0" distB="0" distL="114300" distR="114300">
            <wp:extent cx="5572125" cy="3721735"/>
            <wp:effectExtent l="0" t="0" r="9525" b="12065"/>
            <wp:docPr id="7" name="图片 7" descr="1705304355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705304355195"/>
                    <pic:cNvPicPr>
                      <a:picLocks noChangeAspect="1"/>
                    </pic:cNvPicPr>
                  </pic:nvPicPr>
                  <pic:blipFill>
                    <a:blip r:embed="rId5"/>
                    <a:srcRect l="1775" t="10558" r="4729" b="14512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372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color w:val="auto"/>
          <w:highlight w:val="none"/>
          <w:lang w:val="en-US" w:eastAsia="zh-CN"/>
        </w:rPr>
      </w:pPr>
    </w:p>
    <w:p>
      <w:pPr>
        <w:ind w:firstLine="1890" w:firstLineChars="900"/>
        <w:rPr>
          <w:rFonts w:hint="eastAsia"/>
          <w:color w:val="auto"/>
          <w:highlight w:val="none"/>
          <w:lang w:val="en-US" w:eastAsia="zh-CN"/>
        </w:rPr>
      </w:pPr>
    </w:p>
    <w:p>
      <w:pPr>
        <w:ind w:firstLine="3360" w:firstLineChars="16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新增用电负荷1（180.85KW）</w:t>
      </w:r>
    </w:p>
    <w:p>
      <w:pPr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    </w:t>
      </w:r>
      <w:r>
        <w:rPr>
          <w:rFonts w:hint="default"/>
          <w:color w:val="auto"/>
          <w:highlight w:val="none"/>
          <w:lang w:val="en-US" w:eastAsia="zh-CN"/>
        </w:rPr>
        <w:drawing>
          <wp:inline distT="0" distB="0" distL="114300" distR="114300">
            <wp:extent cx="4746625" cy="3598545"/>
            <wp:effectExtent l="0" t="0" r="15875" b="1905"/>
            <wp:docPr id="3" name="图片 3" descr="1705304548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0530454854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6625" cy="359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150" w:firstLineChars="150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新增用电负荷2（24KW）</w:t>
      </w:r>
    </w:p>
    <w:p>
      <w:pPr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     </w:t>
      </w:r>
      <w:r>
        <w:rPr>
          <w:rFonts w:hint="default"/>
          <w:color w:val="auto"/>
          <w:highlight w:val="none"/>
          <w:lang w:val="en-US" w:eastAsia="zh-CN"/>
        </w:rPr>
        <w:drawing>
          <wp:inline distT="0" distB="0" distL="114300" distR="114300">
            <wp:extent cx="5304790" cy="4373880"/>
            <wp:effectExtent l="0" t="0" r="10160" b="7620"/>
            <wp:docPr id="5" name="图片 5" descr="1705304714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7053047146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04790" cy="437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360" w:firstLineChars="160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新增用电负荷3（23.5KW）</w:t>
      </w:r>
    </w:p>
    <w:p>
      <w:pPr>
        <w:rPr>
          <w:rFonts w:hint="default"/>
          <w:color w:val="auto"/>
          <w:highlight w:val="none"/>
          <w:lang w:val="en-US" w:eastAsia="zh-CN"/>
        </w:rPr>
      </w:pPr>
      <w:r>
        <w:rPr>
          <w:rFonts w:hint="default"/>
          <w:color w:val="auto"/>
          <w:highlight w:val="none"/>
          <w:lang w:val="en-US" w:eastAsia="zh-CN"/>
        </w:rPr>
        <w:drawing>
          <wp:inline distT="0" distB="0" distL="114300" distR="114300">
            <wp:extent cx="6134735" cy="2846705"/>
            <wp:effectExtent l="0" t="0" r="18415" b="10795"/>
            <wp:docPr id="6" name="图片 6" descr="1705304784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70530478472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34735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360" w:firstLineChars="16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原有保障负荷（73.2KW）</w:t>
      </w:r>
    </w:p>
    <w:p>
      <w:pPr>
        <w:keepNext w:val="0"/>
        <w:keepLines w:val="0"/>
        <w:pageBreakBefore w:val="0"/>
        <w:kinsoku/>
        <w:wordWrap/>
        <w:overflowPunct/>
        <w:bidi w:val="0"/>
        <w:spacing w:line="48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2"/>
          <w:highlight w:val="none"/>
        </w:rPr>
        <w:sectPr>
          <w:footerReference r:id="rId3" w:type="default"/>
          <w:pgSz w:w="11906" w:h="16838"/>
          <w:pgMar w:top="1191" w:right="1106" w:bottom="1191" w:left="1259" w:header="851" w:footer="992" w:gutter="0"/>
          <w:pgNumType w:start="1" w:chapSep="emDash"/>
          <w:cols w:space="720" w:num="1"/>
          <w:docGrid w:type="lines" w:linePitch="312" w:charSpace="0"/>
        </w:sect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2Mzc3MjM0YzFjOGQwMDc0ZmU3ODM2MTg0ODk2ODMifQ=="/>
  </w:docVars>
  <w:rsids>
    <w:rsidRoot w:val="2EDA4059"/>
    <w:rsid w:val="2EDA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99"/>
    <w:pPr>
      <w:ind w:firstLine="645"/>
    </w:pPr>
    <w:rPr>
      <w:rFonts w:ascii="楷体_GB2312" w:eastAsia="楷体_GB2312"/>
      <w:sz w:val="32"/>
      <w:szCs w:val="32"/>
    </w:rPr>
  </w:style>
  <w:style w:type="paragraph" w:styleId="3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Title"/>
    <w:basedOn w:val="1"/>
    <w:next w:val="1"/>
    <w:qFormat/>
    <w:uiPriority w:val="0"/>
    <w:pPr>
      <w:jc w:val="center"/>
      <w:outlineLvl w:val="0"/>
    </w:pPr>
    <w:rPr>
      <w:rFonts w:ascii="Cambria" w:hAnsi="Cambria" w:eastAsia="仿宋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2024-02-20T07:23:00Z</dcterms:created>
  <dc:creator>A</dc:creator>
  <cp:lastModifiedBy>A</cp:lastModifiedBy>
  <dcterms:modified xsi:type="dcterms:W3CDTF">2024-02-20T07:23:43Z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BBB43816232C45889084207D63FF80AB_11</vt:lpwstr>
  </property>
</Properties>
</file>